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6540F">
      <w:pPr>
        <w:jc w:val="center"/>
        <w:rPr>
          <w:rFonts w:ascii="宋体" w:hAnsi="宋体"/>
          <w:spacing w:val="116"/>
          <w:sz w:val="52"/>
        </w:rPr>
      </w:pPr>
      <w:r>
        <w:rPr>
          <w:rFonts w:ascii="宋体" w:hAnsi="宋体"/>
          <w:spacing w:val="116"/>
          <w:sz w:val="52"/>
        </w:rPr>
        <w:drawing>
          <wp:inline distT="0" distB="0" distL="0" distR="0">
            <wp:extent cx="1618615" cy="106680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18615" cy="1066800"/>
                    </a:xfrm>
                    <a:prstGeom prst="rect">
                      <a:avLst/>
                    </a:prstGeom>
                    <a:noFill/>
                    <a:ln>
                      <a:noFill/>
                    </a:ln>
                  </pic:spPr>
                </pic:pic>
              </a:graphicData>
            </a:graphic>
          </wp:inline>
        </w:drawing>
      </w:r>
    </w:p>
    <w:p w14:paraId="7FCCC10A">
      <w:pPr>
        <w:jc w:val="center"/>
        <w:rPr>
          <w:rFonts w:ascii="宋体" w:hAnsi="宋体"/>
          <w:sz w:val="36"/>
          <w:szCs w:val="36"/>
        </w:rPr>
      </w:pPr>
      <w:r>
        <w:rPr>
          <w:rFonts w:hint="eastAsia" w:ascii="宋体" w:hAnsi="宋体"/>
          <w:sz w:val="36"/>
          <w:szCs w:val="36"/>
        </w:rPr>
        <w:t>中经国际招标集团有限公司</w:t>
      </w:r>
    </w:p>
    <w:p w14:paraId="441F5544">
      <w:pPr>
        <w:snapToGrid w:val="0"/>
        <w:spacing w:before="156" w:beforeLines="50" w:line="360" w:lineRule="auto"/>
        <w:jc w:val="center"/>
        <w:rPr>
          <w:rFonts w:ascii="宋体" w:hAnsi="宋体" w:eastAsia="宋体" w:cs="Times New Roman"/>
          <w:sz w:val="72"/>
          <w:szCs w:val="72"/>
        </w:rPr>
      </w:pPr>
      <w:r>
        <w:rPr>
          <w:rFonts w:hint="eastAsia" w:ascii="宋体" w:hAnsi="宋体" w:eastAsia="宋体" w:cs="Times New Roman"/>
          <w:sz w:val="72"/>
          <w:szCs w:val="72"/>
        </w:rPr>
        <w:t>招 标 文 件</w:t>
      </w:r>
    </w:p>
    <w:p w14:paraId="76351BE2">
      <w:pPr>
        <w:snapToGrid w:val="0"/>
        <w:spacing w:before="156" w:beforeLines="50" w:line="360" w:lineRule="auto"/>
        <w:jc w:val="center"/>
        <w:rPr>
          <w:rFonts w:ascii="宋体" w:hAnsi="宋体" w:eastAsia="宋体" w:cs="Times New Roman"/>
          <w:sz w:val="72"/>
          <w:szCs w:val="72"/>
        </w:rPr>
      </w:pPr>
    </w:p>
    <w:p w14:paraId="778E66A9">
      <w:pPr>
        <w:snapToGrid w:val="0"/>
        <w:spacing w:before="156" w:beforeLines="50" w:line="360" w:lineRule="auto"/>
        <w:jc w:val="center"/>
        <w:rPr>
          <w:rFonts w:ascii="宋体" w:hAnsi="宋体" w:eastAsia="宋体" w:cs="Times New Roman"/>
          <w:sz w:val="72"/>
          <w:szCs w:val="72"/>
        </w:rPr>
      </w:pPr>
    </w:p>
    <w:p w14:paraId="0DF5C34A">
      <w:pPr>
        <w:snapToGrid w:val="0"/>
        <w:spacing w:before="50" w:after="120" w:line="360" w:lineRule="auto"/>
        <w:ind w:left="2548" w:hanging="2548" w:hangingChars="846"/>
        <w:rPr>
          <w:rFonts w:ascii="宋体" w:hAnsi="宋体" w:eastAsia="宋体" w:cs="Times New Roman"/>
          <w:b/>
          <w:bCs/>
          <w:kern w:val="0"/>
          <w:sz w:val="30"/>
          <w:szCs w:val="30"/>
          <w:lang w:val="zh-CN"/>
        </w:rPr>
      </w:pPr>
      <w:r>
        <w:rPr>
          <w:rFonts w:hint="eastAsia" w:ascii="宋体" w:hAnsi="宋体" w:eastAsia="宋体" w:cs="Times New Roman"/>
          <w:b/>
          <w:bCs/>
          <w:kern w:val="0"/>
          <w:sz w:val="30"/>
          <w:szCs w:val="30"/>
          <w:lang w:val="zh-CN"/>
        </w:rPr>
        <w:t xml:space="preserve">       项目</w:t>
      </w:r>
      <w:r>
        <w:rPr>
          <w:rFonts w:hint="eastAsia" w:ascii="宋体" w:hAnsi="宋体" w:eastAsia="宋体" w:cs="Courier New"/>
          <w:b/>
          <w:bCs/>
          <w:w w:val="95"/>
          <w:kern w:val="0"/>
          <w:sz w:val="30"/>
          <w:szCs w:val="30"/>
          <w:lang w:val="zh-CN"/>
        </w:rPr>
        <w:t>名称</w:t>
      </w:r>
      <w:r>
        <w:rPr>
          <w:rFonts w:hint="eastAsia" w:ascii="宋体" w:hAnsi="宋体" w:eastAsia="宋体" w:cs="Times New Roman"/>
          <w:b/>
          <w:bCs/>
          <w:kern w:val="0"/>
          <w:sz w:val="30"/>
          <w:szCs w:val="30"/>
          <w:lang w:val="zh-CN"/>
        </w:rPr>
        <w:t>：质谱类设备（重）</w:t>
      </w:r>
    </w:p>
    <w:p w14:paraId="13BEA7F3">
      <w:pPr>
        <w:snapToGrid w:val="0"/>
        <w:spacing w:before="156" w:beforeLines="50" w:line="360" w:lineRule="auto"/>
        <w:ind w:firstLine="1145" w:firstLineChars="400"/>
        <w:rPr>
          <w:rFonts w:ascii="宋体" w:hAnsi="宋体" w:eastAsia="宋体" w:cs="Times New Roman"/>
          <w:sz w:val="30"/>
          <w:szCs w:val="72"/>
        </w:rPr>
      </w:pPr>
      <w:r>
        <w:rPr>
          <w:rFonts w:hint="eastAsia" w:ascii="宋体" w:hAnsi="宋体" w:eastAsia="宋体" w:cs="Courier New"/>
          <w:b/>
          <w:bCs/>
          <w:w w:val="95"/>
          <w:sz w:val="30"/>
          <w:szCs w:val="30"/>
        </w:rPr>
        <w:t>项目</w:t>
      </w:r>
      <w:r>
        <w:rPr>
          <w:rFonts w:hint="eastAsia" w:ascii="宋体" w:hAnsi="宋体" w:eastAsia="宋体" w:cs="Times New Roman"/>
          <w:b/>
          <w:bCs/>
          <w:sz w:val="30"/>
          <w:szCs w:val="30"/>
        </w:rPr>
        <w:t>编号</w:t>
      </w:r>
      <w:r>
        <w:rPr>
          <w:rFonts w:hint="eastAsia" w:ascii="宋体" w:hAnsi="宋体" w:eastAsia="宋体" w:cs="Courier New"/>
          <w:b/>
          <w:bCs/>
          <w:w w:val="95"/>
          <w:sz w:val="30"/>
          <w:szCs w:val="30"/>
        </w:rPr>
        <w:t>：WZZC2026-G1-990039-ZJGJ</w:t>
      </w:r>
    </w:p>
    <w:p w14:paraId="06A2B876">
      <w:pPr>
        <w:snapToGrid w:val="0"/>
        <w:spacing w:before="50" w:after="120" w:line="360" w:lineRule="auto"/>
        <w:ind w:firstLine="1125" w:firstLineChars="393"/>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采 购 人：梧州市红十字会医院</w:t>
      </w:r>
    </w:p>
    <w:p w14:paraId="1FF6476B">
      <w:pPr>
        <w:snapToGrid w:val="0"/>
        <w:spacing w:before="50" w:after="120" w:line="360" w:lineRule="auto"/>
        <w:ind w:left="3111" w:leftChars="537" w:hanging="1983" w:hangingChars="693"/>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采购代理机构：中经国际招标集团有限公司</w:t>
      </w:r>
    </w:p>
    <w:p w14:paraId="16AFF921">
      <w:pPr>
        <w:snapToGrid w:val="0"/>
        <w:spacing w:line="360" w:lineRule="auto"/>
        <w:ind w:firstLine="841" w:firstLineChars="294"/>
        <w:rPr>
          <w:rFonts w:ascii="宋体" w:hAnsi="宋体" w:eastAsia="宋体" w:cs="Times New Roman"/>
          <w:b/>
          <w:bCs/>
          <w:w w:val="95"/>
          <w:kern w:val="0"/>
          <w:sz w:val="30"/>
          <w:szCs w:val="30"/>
          <w:lang w:val="zh-CN"/>
        </w:rPr>
      </w:pPr>
      <w:r>
        <w:rPr>
          <w:rFonts w:hint="eastAsia" w:ascii="宋体" w:hAnsi="宋体" w:eastAsia="宋体" w:cs="Times New Roman"/>
          <w:b/>
          <w:bCs/>
          <w:w w:val="95"/>
          <w:kern w:val="0"/>
          <w:sz w:val="30"/>
          <w:szCs w:val="30"/>
          <w:lang w:val="zh-CN"/>
        </w:rPr>
        <w:t xml:space="preserve">                  </w:t>
      </w:r>
    </w:p>
    <w:p w14:paraId="607C5C6A">
      <w:pPr>
        <w:snapToGrid w:val="0"/>
        <w:spacing w:line="360" w:lineRule="auto"/>
        <w:ind w:firstLine="841" w:firstLineChars="294"/>
        <w:rPr>
          <w:rFonts w:ascii="宋体" w:hAnsi="宋体" w:eastAsia="宋体" w:cs="Times New Roman"/>
          <w:b/>
          <w:bCs/>
          <w:w w:val="95"/>
          <w:kern w:val="0"/>
          <w:sz w:val="30"/>
          <w:szCs w:val="30"/>
          <w:lang w:val="zh-CN"/>
        </w:rPr>
      </w:pPr>
    </w:p>
    <w:p w14:paraId="62977C19">
      <w:pPr>
        <w:snapToGrid w:val="0"/>
        <w:spacing w:line="360" w:lineRule="auto"/>
        <w:ind w:firstLine="1128" w:firstLineChars="394"/>
        <w:jc w:val="center"/>
        <w:rPr>
          <w:rFonts w:ascii="仿宋_GB2312" w:hAnsi="Courier New" w:eastAsia="仿宋_GB2312" w:cs="Times New Roman"/>
          <w:kern w:val="0"/>
          <w:sz w:val="20"/>
          <w:szCs w:val="20"/>
          <w:lang w:val="zh-CN"/>
        </w:rPr>
      </w:pPr>
      <w:r>
        <w:rPr>
          <w:rFonts w:hint="eastAsia" w:ascii="宋体" w:hAnsi="宋体" w:eastAsia="宋体" w:cs="Times New Roman"/>
          <w:b/>
          <w:bCs/>
          <w:w w:val="95"/>
          <w:kern w:val="0"/>
          <w:sz w:val="30"/>
          <w:szCs w:val="30"/>
          <w:lang w:val="zh-CN"/>
        </w:rPr>
        <w:t>202</w:t>
      </w:r>
      <w:r>
        <w:rPr>
          <w:rFonts w:hint="eastAsia" w:ascii="宋体" w:hAnsi="宋体" w:eastAsia="宋体" w:cs="Times New Roman"/>
          <w:b/>
          <w:bCs/>
          <w:w w:val="95"/>
          <w:kern w:val="0"/>
          <w:sz w:val="30"/>
          <w:szCs w:val="30"/>
        </w:rPr>
        <w:t>6</w:t>
      </w:r>
      <w:r>
        <w:rPr>
          <w:rFonts w:hint="eastAsia" w:ascii="宋体" w:hAnsi="宋体" w:eastAsia="宋体" w:cs="Times New Roman"/>
          <w:b/>
          <w:bCs/>
          <w:w w:val="95"/>
          <w:kern w:val="0"/>
          <w:sz w:val="30"/>
          <w:szCs w:val="30"/>
          <w:lang w:val="zh-CN"/>
        </w:rPr>
        <w:t>年</w:t>
      </w:r>
      <w:r>
        <w:rPr>
          <w:rFonts w:hint="eastAsia" w:ascii="宋体" w:hAnsi="宋体" w:eastAsia="宋体" w:cs="Times New Roman"/>
          <w:b/>
          <w:bCs/>
          <w:w w:val="95"/>
          <w:kern w:val="0"/>
          <w:sz w:val="30"/>
          <w:szCs w:val="30"/>
        </w:rPr>
        <w:t>3</w:t>
      </w:r>
      <w:r>
        <w:rPr>
          <w:rFonts w:hint="eastAsia" w:ascii="宋体" w:hAnsi="宋体" w:eastAsia="宋体" w:cs="Times New Roman"/>
          <w:b/>
          <w:bCs/>
          <w:w w:val="95"/>
          <w:kern w:val="0"/>
          <w:sz w:val="30"/>
          <w:szCs w:val="30"/>
          <w:lang w:val="zh-CN"/>
        </w:rPr>
        <w:t>月</w:t>
      </w:r>
    </w:p>
    <w:p w14:paraId="563327A1">
      <w:pPr>
        <w:spacing w:before="120" w:after="120" w:line="360" w:lineRule="auto"/>
        <w:jc w:val="center"/>
        <w:rPr>
          <w:rFonts w:ascii="仿宋_GB2312" w:hAnsi="宋体" w:eastAsia="仿宋_GB2312" w:cs="Times New Roman"/>
          <w:kern w:val="0"/>
          <w:sz w:val="20"/>
          <w:szCs w:val="21"/>
          <w:lang w:val="zh-CN"/>
        </w:rPr>
      </w:pPr>
    </w:p>
    <w:p w14:paraId="5C7651CE">
      <w:pPr>
        <w:kinsoku w:val="0"/>
        <w:overflowPunct w:val="0"/>
        <w:spacing w:line="380" w:lineRule="exact"/>
        <w:rPr>
          <w:rFonts w:ascii="Times New Roman" w:hAnsi="Times New Roman" w:eastAsia="宋体" w:cs="Times New Roman"/>
          <w:kern w:val="0"/>
          <w:sz w:val="40"/>
          <w:szCs w:val="24"/>
          <w:lang w:val="zh-CN"/>
        </w:rPr>
      </w:pPr>
    </w:p>
    <w:p w14:paraId="0519DFF1">
      <w:pPr>
        <w:spacing w:line="360" w:lineRule="auto"/>
        <w:rPr>
          <w:rFonts w:ascii="宋体" w:hAnsi="宋体" w:eastAsia="宋体" w:cs="宋体"/>
          <w:bCs/>
          <w:szCs w:val="21"/>
        </w:rPr>
      </w:pPr>
    </w:p>
    <w:p w14:paraId="4F700B20">
      <w:pPr>
        <w:spacing w:before="120" w:after="120" w:line="360" w:lineRule="auto"/>
        <w:jc w:val="center"/>
        <w:rPr>
          <w:rFonts w:ascii="仿宋_GB2312" w:hAnsi="宋体" w:eastAsia="仿宋_GB2312" w:cs="Times New Roman"/>
          <w:kern w:val="0"/>
          <w:sz w:val="20"/>
          <w:szCs w:val="21"/>
          <w:lang w:val="zh-CN"/>
        </w:rPr>
      </w:pPr>
    </w:p>
    <w:p w14:paraId="7C3266B6">
      <w:pPr>
        <w:spacing w:line="360" w:lineRule="auto"/>
        <w:jc w:val="center"/>
        <w:rPr>
          <w:rFonts w:hint="eastAsia" w:ascii="宋体" w:hAnsi="宋体" w:eastAsia="宋体" w:cs="Times New Roman"/>
          <w:b/>
          <w:sz w:val="44"/>
          <w:szCs w:val="44"/>
        </w:rPr>
        <w:sectPr>
          <w:headerReference r:id="rId4" w:type="first"/>
          <w:headerReference r:id="rId3" w:type="default"/>
          <w:footerReference r:id="rId5" w:type="default"/>
          <w:pgSz w:w="11906" w:h="16838"/>
          <w:pgMar w:top="1440" w:right="1797" w:bottom="1440" w:left="1797" w:header="851" w:footer="992" w:gutter="0"/>
          <w:pgNumType w:fmt="decimal"/>
          <w:cols w:space="720" w:num="1"/>
          <w:docGrid w:type="lines" w:linePitch="312" w:charSpace="0"/>
        </w:sectPr>
      </w:pPr>
    </w:p>
    <w:p w14:paraId="459594DD">
      <w:pPr>
        <w:spacing w:line="360" w:lineRule="auto"/>
        <w:jc w:val="center"/>
        <w:rPr>
          <w:rFonts w:ascii="宋体" w:hAnsi="宋体" w:eastAsia="宋体" w:cs="Times New Roman"/>
          <w:b/>
          <w:sz w:val="44"/>
          <w:szCs w:val="44"/>
        </w:rPr>
      </w:pPr>
      <w:r>
        <w:rPr>
          <w:rFonts w:hint="eastAsia" w:ascii="宋体" w:hAnsi="宋体" w:eastAsia="宋体" w:cs="Times New Roman"/>
          <w:b/>
          <w:sz w:val="44"/>
          <w:szCs w:val="44"/>
        </w:rPr>
        <w:t>目  录</w:t>
      </w:r>
    </w:p>
    <w:p w14:paraId="112CDEE5">
      <w:pPr>
        <w:spacing w:line="400" w:lineRule="exact"/>
        <w:jc w:val="center"/>
        <w:rPr>
          <w:rFonts w:ascii="宋体" w:hAnsi="宋体" w:eastAsia="宋体" w:cs="Times New Roman"/>
          <w:b/>
          <w:sz w:val="44"/>
          <w:szCs w:val="44"/>
        </w:rPr>
      </w:pPr>
    </w:p>
    <w:p w14:paraId="1FFB2B6B">
      <w:pPr>
        <w:tabs>
          <w:tab w:val="right" w:leader="dot" w:pos="8789"/>
        </w:tabs>
        <w:snapToGrid w:val="0"/>
        <w:spacing w:line="500" w:lineRule="atLeast"/>
        <w:jc w:val="left"/>
        <w:rPr>
          <w:rFonts w:ascii="Calibri" w:hAnsi="Calibri" w:eastAsia="宋体" w:cs="Times New Roman"/>
        </w:rPr>
      </w:pPr>
      <w:r>
        <w:rPr>
          <w:rFonts w:ascii="仿宋_GB2312" w:hAnsi="宋体" w:eastAsia="仿宋_GB2312" w:cs="Times New Roman"/>
          <w:bCs/>
          <w:caps/>
          <w:sz w:val="24"/>
          <w:szCs w:val="24"/>
        </w:rPr>
        <w:fldChar w:fldCharType="begin"/>
      </w:r>
      <w:r>
        <w:rPr>
          <w:rFonts w:ascii="仿宋_GB2312" w:hAnsi="宋体" w:eastAsia="仿宋_GB2312" w:cs="Times New Roman"/>
          <w:bCs/>
          <w:caps/>
          <w:sz w:val="24"/>
          <w:szCs w:val="24"/>
        </w:rPr>
        <w:instrText xml:space="preserve"> </w:instrText>
      </w:r>
      <w:r>
        <w:rPr>
          <w:rFonts w:hint="eastAsia" w:ascii="仿宋_GB2312" w:hAnsi="宋体" w:eastAsia="仿宋_GB2312" w:cs="Times New Roman"/>
          <w:bCs/>
          <w:caps/>
          <w:sz w:val="24"/>
          <w:szCs w:val="24"/>
        </w:rPr>
        <w:instrText xml:space="preserve">TOC \o "1-2" \h \z \u</w:instrText>
      </w:r>
      <w:r>
        <w:rPr>
          <w:rFonts w:ascii="仿宋_GB2312" w:hAnsi="宋体" w:eastAsia="仿宋_GB2312" w:cs="Times New Roman"/>
          <w:bCs/>
          <w:caps/>
          <w:sz w:val="24"/>
          <w:szCs w:val="24"/>
        </w:rPr>
        <w:instrText xml:space="preserve"> </w:instrText>
      </w:r>
      <w:r>
        <w:rPr>
          <w:rFonts w:ascii="仿宋_GB2312" w:hAnsi="宋体" w:eastAsia="仿宋_GB2312" w:cs="Times New Roman"/>
          <w:bCs/>
          <w:caps/>
          <w:sz w:val="24"/>
          <w:szCs w:val="24"/>
        </w:rPr>
        <w:fldChar w:fldCharType="separate"/>
      </w:r>
      <w:r>
        <w:fldChar w:fldCharType="begin"/>
      </w:r>
      <w:r>
        <w:instrText xml:space="preserve"> HYPERLINK \l "_Toc74323511" </w:instrText>
      </w:r>
      <w:r>
        <w:fldChar w:fldCharType="separate"/>
      </w:r>
      <w:r>
        <w:rPr>
          <w:rFonts w:hint="eastAsia" w:ascii="宋体" w:hAnsi="宋体" w:eastAsia="宋体" w:cs="Times New Roman"/>
          <w:b/>
          <w:bCs/>
          <w:caps/>
          <w:sz w:val="24"/>
          <w:szCs w:val="24"/>
          <w:u w:val="single"/>
        </w:rPr>
        <w:t>第一章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 xml:space="preserve"> 招标公告</w:t>
      </w:r>
      <w:r>
        <w:rPr>
          <w:rFonts w:ascii="宋体" w:hAnsi="宋体" w:eastAsia="宋体" w:cs="Times New Roman"/>
          <w:b/>
          <w:bCs/>
          <w:caps/>
          <w:sz w:val="24"/>
          <w:szCs w:val="24"/>
        </w:rPr>
        <w:tab/>
      </w:r>
      <w:r>
        <w:rPr>
          <w:rFonts w:hint="eastAsia" w:ascii="宋体" w:hAnsi="宋体" w:eastAsia="宋体" w:cs="Times New Roman"/>
          <w:b/>
          <w:bCs/>
          <w:caps/>
          <w:sz w:val="24"/>
          <w:szCs w:val="24"/>
          <w:lang w:val="en-US" w:eastAsia="zh-CN"/>
        </w:rPr>
        <w:t>2</w:t>
      </w:r>
      <w:r>
        <w:rPr>
          <w:rFonts w:ascii="宋体" w:hAnsi="宋体" w:eastAsia="宋体" w:cs="Times New Roman"/>
          <w:b/>
          <w:bCs/>
          <w:caps/>
          <w:sz w:val="24"/>
          <w:szCs w:val="24"/>
        </w:rPr>
        <w:fldChar w:fldCharType="end"/>
      </w:r>
    </w:p>
    <w:p w14:paraId="5629B0CC">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"_Toc74323512" </w:instrText>
      </w:r>
      <w:r>
        <w:fldChar w:fldCharType="separate"/>
      </w:r>
      <w:r>
        <w:rPr>
          <w:rFonts w:hint="eastAsia" w:ascii="宋体" w:hAnsi="宋体" w:eastAsia="宋体" w:cs="Times New Roman"/>
          <w:b/>
          <w:bCs/>
          <w:caps/>
          <w:sz w:val="24"/>
          <w:szCs w:val="24"/>
          <w:u w:val="single"/>
        </w:rPr>
        <w:t>第二章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采购需求</w:t>
      </w:r>
      <w:bookmarkStart w:id="0" w:name="_Hlt75337184"/>
      <w:r>
        <w:rPr>
          <w:rFonts w:ascii="宋体" w:hAnsi="宋体" w:eastAsia="宋体" w:cs="Times New Roman"/>
          <w:b/>
          <w:bCs/>
          <w:caps/>
          <w:sz w:val="24"/>
          <w:szCs w:val="24"/>
        </w:rPr>
        <w:tab/>
      </w:r>
      <w:bookmarkEnd w:id="0"/>
      <w:r>
        <w:rPr>
          <w:rFonts w:hint="eastAsia" w:ascii="宋体" w:hAnsi="宋体" w:eastAsia="宋体" w:cs="Times New Roman"/>
          <w:b/>
          <w:bCs/>
          <w:caps/>
          <w:sz w:val="24"/>
          <w:szCs w:val="24"/>
          <w:lang w:val="en-US" w:eastAsia="zh-CN"/>
        </w:rPr>
        <w:t>5</w:t>
      </w:r>
      <w:r>
        <w:rPr>
          <w:rFonts w:ascii="宋体" w:hAnsi="宋体" w:eastAsia="宋体" w:cs="Times New Roman"/>
          <w:b/>
          <w:bCs/>
          <w:caps/>
          <w:sz w:val="24"/>
          <w:szCs w:val="24"/>
        </w:rPr>
        <w:fldChar w:fldCharType="end"/>
      </w:r>
    </w:p>
    <w:p w14:paraId="0A7D7479">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"_Toc74323513" </w:instrText>
      </w:r>
      <w:r>
        <w:fldChar w:fldCharType="separate"/>
      </w:r>
      <w:r>
        <w:rPr>
          <w:rFonts w:hint="eastAsia" w:ascii="宋体" w:hAnsi="宋体" w:eastAsia="宋体" w:cs="Times New Roman"/>
          <w:b/>
          <w:bCs/>
          <w:caps/>
          <w:sz w:val="24"/>
          <w:szCs w:val="24"/>
          <w:u w:val="single"/>
        </w:rPr>
        <w:t>第三章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投标人须知</w:t>
      </w:r>
      <w:bookmarkStart w:id="1" w:name="_Hlt76631497"/>
      <w:r>
        <w:rPr>
          <w:rFonts w:ascii="宋体" w:hAnsi="宋体" w:eastAsia="宋体" w:cs="Times New Roman"/>
          <w:b/>
          <w:bCs/>
          <w:caps/>
          <w:sz w:val="24"/>
          <w:szCs w:val="24"/>
        </w:rPr>
        <w:tab/>
      </w:r>
      <w:bookmarkEnd w:id="1"/>
      <w:r>
        <w:rPr>
          <w:rFonts w:hint="eastAsia" w:ascii="宋体" w:hAnsi="宋体" w:eastAsia="宋体" w:cs="Times New Roman"/>
          <w:b/>
          <w:bCs/>
          <w:caps/>
          <w:sz w:val="24"/>
          <w:szCs w:val="24"/>
        </w:rPr>
        <w:t>2</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0</w:t>
      </w:r>
    </w:p>
    <w:p w14:paraId="521F8E1F">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"_Toc74323514" </w:instrText>
      </w:r>
      <w:r>
        <w:fldChar w:fldCharType="separate"/>
      </w:r>
      <w:r>
        <w:rPr>
          <w:rFonts w:hint="eastAsia" w:ascii="宋体" w:hAnsi="宋体" w:eastAsia="宋体" w:cs="Times New Roman"/>
          <w:b/>
          <w:bCs/>
          <w:caps/>
          <w:sz w:val="24"/>
          <w:szCs w:val="24"/>
          <w:u w:val="single"/>
        </w:rPr>
        <w:t>第四章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评标方法及</w:t>
      </w:r>
      <w:bookmarkStart w:id="2" w:name="_Hlt75857959"/>
      <w:r>
        <w:rPr>
          <w:rFonts w:hint="eastAsia" w:ascii="宋体" w:hAnsi="宋体" w:eastAsia="宋体" w:cs="Times New Roman"/>
          <w:b/>
          <w:bCs/>
          <w:caps/>
          <w:sz w:val="24"/>
          <w:szCs w:val="24"/>
          <w:u w:val="single"/>
        </w:rPr>
        <w:t>评</w:t>
      </w:r>
      <w:bookmarkEnd w:id="2"/>
      <w:r>
        <w:rPr>
          <w:rFonts w:hint="eastAsia" w:ascii="宋体" w:hAnsi="宋体" w:eastAsia="宋体" w:cs="Times New Roman"/>
          <w:b/>
          <w:bCs/>
          <w:caps/>
          <w:sz w:val="24"/>
          <w:szCs w:val="24"/>
          <w:u w:val="single"/>
        </w:rPr>
        <w:t>标标准</w:t>
      </w:r>
      <w:r>
        <w:rPr>
          <w:rFonts w:ascii="宋体" w:hAnsi="宋体" w:eastAsia="宋体" w:cs="Times New Roman"/>
          <w:b/>
          <w:bCs/>
          <w:caps/>
          <w:sz w:val="24"/>
          <w:szCs w:val="24"/>
        </w:rPr>
        <w:tab/>
      </w:r>
      <w:r>
        <w:rPr>
          <w:rFonts w:hint="eastAsia" w:ascii="宋体" w:hAnsi="宋体" w:eastAsia="宋体" w:cs="Times New Roman"/>
          <w:b/>
          <w:bCs/>
          <w:caps/>
          <w:sz w:val="24"/>
          <w:szCs w:val="24"/>
        </w:rPr>
        <w:t>4</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0</w:t>
      </w:r>
    </w:p>
    <w:p w14:paraId="37FF05BA">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"_Toc74323515" </w:instrText>
      </w:r>
      <w:r>
        <w:fldChar w:fldCharType="separate"/>
      </w:r>
      <w:r>
        <w:rPr>
          <w:rFonts w:hint="eastAsia" w:ascii="宋体" w:hAnsi="宋体" w:eastAsia="宋体" w:cs="Times New Roman"/>
          <w:b/>
          <w:bCs/>
          <w:caps/>
          <w:sz w:val="24"/>
          <w:szCs w:val="24"/>
          <w:u w:val="single"/>
        </w:rPr>
        <w:t>第五章</w:t>
      </w:r>
      <w:r>
        <w:rPr>
          <w:rFonts w:ascii="宋体" w:hAnsi="宋体" w:eastAsia="宋体" w:cs="Times New Roman"/>
          <w:b/>
          <w:bCs/>
          <w:caps/>
          <w:sz w:val="24"/>
          <w:szCs w:val="24"/>
          <w:u w:val="single"/>
        </w:rPr>
        <w:t xml:space="preserve">  </w:t>
      </w:r>
      <w:r>
        <w:rPr>
          <w:rFonts w:hint="eastAsia" w:ascii="宋体" w:hAnsi="宋体" w:eastAsia="宋体" w:cs="Times New Roman"/>
          <w:b/>
          <w:bCs/>
          <w:caps/>
          <w:sz w:val="24"/>
          <w:szCs w:val="24"/>
          <w:u w:val="single"/>
        </w:rPr>
        <w:t>拟签订的合同文本</w:t>
      </w:r>
      <w:r>
        <w:rPr>
          <w:rFonts w:ascii="宋体" w:hAnsi="宋体" w:eastAsia="宋体" w:cs="Times New Roman"/>
          <w:b/>
          <w:bCs/>
          <w:caps/>
          <w:sz w:val="24"/>
          <w:szCs w:val="24"/>
        </w:rPr>
        <w:tab/>
      </w:r>
      <w:r>
        <w:rPr>
          <w:rFonts w:hint="eastAsia" w:ascii="宋体" w:hAnsi="宋体" w:eastAsia="宋体" w:cs="Times New Roman"/>
          <w:b/>
          <w:bCs/>
          <w:caps/>
          <w:sz w:val="24"/>
          <w:szCs w:val="24"/>
        </w:rPr>
        <w:t>5</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6</w:t>
      </w:r>
    </w:p>
    <w:p w14:paraId="03C6B0B8">
      <w:pPr>
        <w:tabs>
          <w:tab w:val="right" w:leader="dot" w:pos="8789"/>
        </w:tabs>
        <w:snapToGrid w:val="0"/>
        <w:spacing w:line="500" w:lineRule="atLeast"/>
        <w:jc w:val="left"/>
        <w:rPr>
          <w:rFonts w:ascii="Calibri" w:hAnsi="Calibri" w:eastAsia="宋体" w:cs="Times New Roman"/>
        </w:rPr>
      </w:pPr>
      <w:r>
        <w:fldChar w:fldCharType="begin"/>
      </w:r>
      <w:r>
        <w:instrText xml:space="preserve"> HYPERLINK \l "_Toc74323516" </w:instrText>
      </w:r>
      <w:r>
        <w:fldChar w:fldCharType="separate"/>
      </w:r>
      <w:r>
        <w:rPr>
          <w:rFonts w:hint="eastAsia" w:ascii="宋体" w:hAnsi="宋体" w:eastAsia="宋体" w:cs="Times New Roman"/>
          <w:b/>
          <w:bCs/>
          <w:caps/>
          <w:sz w:val="24"/>
          <w:szCs w:val="24"/>
          <w:u w:val="single"/>
        </w:rPr>
        <w:t>第六章　投标文件格式</w:t>
      </w:r>
      <w:r>
        <w:rPr>
          <w:rFonts w:ascii="宋体" w:hAnsi="宋体" w:eastAsia="宋体" w:cs="Times New Roman"/>
          <w:b/>
          <w:bCs/>
          <w:caps/>
          <w:sz w:val="24"/>
          <w:szCs w:val="24"/>
        </w:rPr>
        <w:tab/>
      </w:r>
      <w:r>
        <w:rPr>
          <w:rFonts w:hint="eastAsia" w:ascii="宋体" w:hAnsi="宋体" w:eastAsia="宋体" w:cs="Times New Roman"/>
          <w:b/>
          <w:bCs/>
          <w:caps/>
          <w:sz w:val="24"/>
          <w:szCs w:val="24"/>
        </w:rPr>
        <w:t>6</w:t>
      </w:r>
      <w:r>
        <w:rPr>
          <w:rFonts w:hint="eastAsia" w:ascii="宋体" w:hAnsi="宋体" w:eastAsia="宋体" w:cs="Times New Roman"/>
          <w:b/>
          <w:bCs/>
          <w:caps/>
          <w:sz w:val="24"/>
          <w:szCs w:val="24"/>
        </w:rPr>
        <w:fldChar w:fldCharType="end"/>
      </w:r>
      <w:r>
        <w:rPr>
          <w:rFonts w:hint="eastAsia" w:ascii="宋体" w:hAnsi="宋体" w:eastAsia="宋体" w:cs="Times New Roman"/>
          <w:b/>
          <w:bCs/>
          <w:caps/>
          <w:sz w:val="24"/>
          <w:szCs w:val="24"/>
          <w:lang w:val="en-US" w:eastAsia="zh-CN"/>
        </w:rPr>
        <w:t>4</w:t>
      </w:r>
    </w:p>
    <w:p w14:paraId="0E7AB25F">
      <w:pPr>
        <w:tabs>
          <w:tab w:val="right" w:leader="dot" w:pos="8789"/>
        </w:tabs>
        <w:snapToGrid w:val="0"/>
        <w:spacing w:line="500" w:lineRule="atLeast"/>
        <w:rPr>
          <w:rFonts w:ascii="仿宋_GB2312" w:hAnsi="宋体" w:eastAsia="仿宋_GB2312" w:cs="Times New Roman"/>
          <w:sz w:val="24"/>
          <w:szCs w:val="24"/>
        </w:rPr>
      </w:pPr>
      <w:r>
        <w:rPr>
          <w:rFonts w:ascii="仿宋_GB2312" w:hAnsi="宋体" w:eastAsia="仿宋_GB2312" w:cs="Times New Roman"/>
          <w:b/>
          <w:sz w:val="24"/>
          <w:szCs w:val="24"/>
        </w:rPr>
        <w:fldChar w:fldCharType="end"/>
      </w:r>
    </w:p>
    <w:p w14:paraId="5901C4A7">
      <w:pPr>
        <w:spacing w:before="156" w:beforeLines="50" w:line="480" w:lineRule="exact"/>
        <w:rPr>
          <w:rFonts w:ascii="仿宋_GB2312" w:hAnsi="宋体" w:eastAsia="仿宋_GB2312" w:cs="Times New Roman"/>
          <w:sz w:val="30"/>
          <w:szCs w:val="24"/>
        </w:rPr>
      </w:pPr>
    </w:p>
    <w:p w14:paraId="56C64AEA">
      <w:pPr>
        <w:rPr>
          <w:rFonts w:ascii="Times New Roman" w:hAnsi="Times New Roman" w:eastAsia="宋体" w:cs="Times New Roman"/>
          <w:szCs w:val="24"/>
        </w:rPr>
      </w:pPr>
    </w:p>
    <w:p w14:paraId="7E86D941">
      <w:pPr>
        <w:spacing w:before="156" w:beforeLines="50" w:line="480" w:lineRule="exact"/>
        <w:rPr>
          <w:rFonts w:ascii="仿宋_GB2312" w:hAnsi="宋体" w:eastAsia="仿宋_GB2312" w:cs="Times New Roman"/>
          <w:sz w:val="30"/>
          <w:szCs w:val="24"/>
        </w:rPr>
      </w:pPr>
    </w:p>
    <w:p w14:paraId="6730B11C">
      <w:pPr>
        <w:spacing w:before="156" w:beforeLines="50" w:line="480" w:lineRule="exact"/>
        <w:rPr>
          <w:rFonts w:ascii="仿宋_GB2312" w:hAnsi="宋体" w:eastAsia="仿宋_GB2312" w:cs="Times New Roman"/>
          <w:sz w:val="30"/>
          <w:szCs w:val="24"/>
        </w:rPr>
      </w:pPr>
    </w:p>
    <w:p w14:paraId="7F19AB0B">
      <w:pPr>
        <w:jc w:val="left"/>
        <w:rPr>
          <w:rFonts w:ascii="宋体" w:hAnsi="宋体" w:eastAsia="宋体" w:cs="宋体"/>
          <w:b/>
          <w:bCs/>
          <w:szCs w:val="24"/>
          <w:lang w:val="zh-CN"/>
        </w:rPr>
      </w:pPr>
      <w:bookmarkStart w:id="3" w:name="_Toc254970489"/>
      <w:bookmarkStart w:id="4" w:name="_Toc254970630"/>
    </w:p>
    <w:p w14:paraId="0BA364DE">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sectPr>
          <w:footerReference r:id="rId6" w:type="default"/>
          <w:pgSz w:w="11906" w:h="16838"/>
          <w:pgMar w:top="1440" w:right="1797" w:bottom="1440" w:left="1797" w:header="851" w:footer="992" w:gutter="0"/>
          <w:pgNumType w:fmt="decimal" w:start="1"/>
          <w:cols w:space="720" w:num="1"/>
          <w:docGrid w:type="lines" w:linePitch="312" w:charSpace="0"/>
        </w:sectPr>
      </w:pPr>
      <w:bookmarkStart w:id="5" w:name="_Toc74323511"/>
    </w:p>
    <w:p w14:paraId="7A960F86">
      <w:pPr>
        <w:tabs>
          <w:tab w:val="left" w:pos="0"/>
          <w:tab w:val="left" w:pos="3165"/>
          <w:tab w:val="center" w:pos="4153"/>
        </w:tabs>
        <w:autoSpaceDE w:val="0"/>
        <w:autoSpaceDN w:val="0"/>
        <w:adjustRightInd w:val="0"/>
        <w:spacing w:line="360" w:lineRule="auto"/>
        <w:jc w:val="center"/>
        <w:outlineLvl w:val="0"/>
        <w:rPr>
          <w:rFonts w:ascii="宋体" w:hAnsi="宋体" w:eastAsia="宋体" w:cs="Times New Roman"/>
          <w:szCs w:val="21"/>
        </w:rPr>
      </w:pPr>
      <w:r>
        <w:rPr>
          <w:rFonts w:hint="eastAsia" w:ascii="Times New Roman" w:hAnsi="Times New Roman" w:eastAsia="宋体" w:cs="Times New Roman"/>
          <w:b/>
          <w:bCs/>
          <w:kern w:val="44"/>
          <w:sz w:val="44"/>
          <w:szCs w:val="44"/>
          <w:lang w:val="zh-CN"/>
        </w:rPr>
        <w:t>第一章</w:t>
      </w:r>
      <w:bookmarkEnd w:id="3"/>
      <w:bookmarkEnd w:id="4"/>
      <w:bookmarkStart w:id="6" w:name="_Toc35393789"/>
      <w:bookmarkStart w:id="7" w:name="_Toc28359001"/>
      <w:r>
        <w:rPr>
          <w:rFonts w:hint="eastAsia" w:ascii="Times New Roman" w:hAnsi="Times New Roman" w:eastAsia="宋体" w:cs="Times New Roman"/>
          <w:b/>
          <w:bCs/>
          <w:kern w:val="44"/>
          <w:sz w:val="44"/>
          <w:szCs w:val="44"/>
          <w:lang w:val="zh-CN"/>
        </w:rPr>
        <w:t xml:space="preserve"> 招标公告</w:t>
      </w:r>
      <w:bookmarkEnd w:id="5"/>
      <w:bookmarkEnd w:id="6"/>
      <w:bookmarkEnd w:id="7"/>
    </w:p>
    <w:p w14:paraId="4D7F1FDE">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项目概况</w:t>
      </w:r>
    </w:p>
    <w:p w14:paraId="683FAF79">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eastAsia="宋体" w:cs="Times New Roman"/>
          <w:szCs w:val="21"/>
        </w:rPr>
      </w:pPr>
      <w:r>
        <w:rPr>
          <w:rFonts w:hint="eastAsia" w:ascii="宋体" w:hAnsi="宋体" w:eastAsia="宋体" w:cs="Times New Roman"/>
          <w:szCs w:val="21"/>
          <w:u w:val="single"/>
        </w:rPr>
        <w:t>质谱类设备（重）</w:t>
      </w:r>
      <w:r>
        <w:rPr>
          <w:rFonts w:hint="eastAsia" w:ascii="宋体" w:hAnsi="宋体" w:eastAsia="宋体" w:cs="Times New Roman"/>
          <w:szCs w:val="21"/>
        </w:rPr>
        <w:t>招标项目的潜在投标人应在</w:t>
      </w:r>
      <w:r>
        <w:rPr>
          <w:rFonts w:hint="eastAsia" w:ascii="宋体" w:hAnsi="宋体" w:cs="宋体"/>
          <w:kern w:val="0"/>
          <w:szCs w:val="21"/>
        </w:rPr>
        <w:t>广西政府采购云平台（网址：http://www.gcy.zfcg.gxzf.gov.cn）</w:t>
      </w:r>
      <w:r>
        <w:rPr>
          <w:rFonts w:hint="eastAsia" w:ascii="宋体" w:hAnsi="宋体" w:eastAsia="宋体" w:cs="Times New Roman"/>
          <w:szCs w:val="21"/>
        </w:rPr>
        <w:t>获取招标文件，并于</w:t>
      </w:r>
      <w:r>
        <w:rPr>
          <w:rFonts w:hint="eastAsia" w:ascii="宋体" w:hAnsi="宋体" w:eastAsia="宋体" w:cs="Times New Roman"/>
          <w:szCs w:val="21"/>
          <w:u w:val="single"/>
        </w:rPr>
        <w:t>2026</w:t>
      </w:r>
      <w:r>
        <w:rPr>
          <w:rFonts w:hint="eastAsia" w:ascii="宋体" w:hAnsi="宋体" w:eastAsia="宋体" w:cs="Times New Roman"/>
          <w:bCs/>
          <w:szCs w:val="21"/>
          <w:u w:val="single"/>
        </w:rPr>
        <w:t>年4月10</w:t>
      </w:r>
      <w:r>
        <w:rPr>
          <w:rFonts w:ascii="宋体" w:hAnsi="宋体" w:eastAsia="宋体" w:cs="Times New Roman"/>
          <w:bCs/>
          <w:szCs w:val="21"/>
          <w:u w:val="single"/>
        </w:rPr>
        <w:t xml:space="preserve"> </w:t>
      </w:r>
      <w:r>
        <w:rPr>
          <w:rFonts w:hint="eastAsia" w:ascii="宋体" w:hAnsi="宋体" w:eastAsia="宋体" w:cs="Times New Roman"/>
          <w:bCs/>
          <w:szCs w:val="21"/>
          <w:u w:val="single"/>
        </w:rPr>
        <w:t>日9</w:t>
      </w:r>
      <w:r>
        <w:rPr>
          <w:rFonts w:ascii="宋体" w:hAnsi="宋体" w:eastAsia="宋体" w:cs="Times New Roman"/>
          <w:bCs/>
          <w:szCs w:val="21"/>
          <w:u w:val="single"/>
        </w:rPr>
        <w:t>时30分</w:t>
      </w:r>
      <w:r>
        <w:rPr>
          <w:rFonts w:hint="eastAsia" w:ascii="宋体" w:hAnsi="宋体" w:eastAsia="宋体" w:cs="Times New Roman"/>
          <w:bCs/>
          <w:szCs w:val="21"/>
          <w:u w:val="single"/>
        </w:rPr>
        <w:t>（</w:t>
      </w:r>
      <w:r>
        <w:rPr>
          <w:rFonts w:hint="eastAsia" w:ascii="宋体" w:hAnsi="宋体" w:eastAsia="宋体" w:cs="Times New Roman"/>
          <w:bCs/>
          <w:szCs w:val="21"/>
        </w:rPr>
        <w:t>北京时间）前递交投标</w:t>
      </w:r>
      <w:r>
        <w:rPr>
          <w:rFonts w:ascii="宋体" w:hAnsi="宋体" w:eastAsia="宋体" w:cs="Times New Roman"/>
          <w:bCs/>
          <w:szCs w:val="21"/>
        </w:rPr>
        <w:t>文件</w:t>
      </w:r>
      <w:r>
        <w:rPr>
          <w:rFonts w:hint="eastAsia" w:ascii="宋体" w:hAnsi="宋体" w:eastAsia="宋体" w:cs="Times New Roman"/>
          <w:szCs w:val="21"/>
        </w:rPr>
        <w:t>。</w:t>
      </w:r>
    </w:p>
    <w:p w14:paraId="2A5ED822">
      <w:pPr>
        <w:spacing w:line="360" w:lineRule="auto"/>
        <w:rPr>
          <w:rFonts w:ascii="宋体" w:hAnsi="宋体" w:eastAsia="宋体" w:cs="Times New Roman"/>
          <w:szCs w:val="21"/>
        </w:rPr>
      </w:pPr>
    </w:p>
    <w:p w14:paraId="5E31B2D7">
      <w:pPr>
        <w:spacing w:line="360" w:lineRule="auto"/>
        <w:rPr>
          <w:rFonts w:ascii="黑体" w:hAnsi="黑体" w:eastAsia="黑体" w:cs="Times New Roman"/>
          <w:b/>
          <w:bCs/>
          <w:sz w:val="24"/>
          <w:szCs w:val="24"/>
        </w:rPr>
      </w:pPr>
      <w:bookmarkStart w:id="8" w:name="_Toc35393790"/>
      <w:bookmarkStart w:id="9" w:name="_Toc28359079"/>
      <w:bookmarkStart w:id="10" w:name="_Toc28359002"/>
      <w:bookmarkStart w:id="11" w:name="_Toc35393621"/>
      <w:bookmarkStart w:id="12" w:name="_Hlk24379207"/>
      <w:r>
        <w:rPr>
          <w:rFonts w:hint="eastAsia" w:ascii="黑体" w:hAnsi="黑体" w:eastAsia="黑体" w:cs="Times New Roman"/>
          <w:b/>
          <w:bCs/>
          <w:sz w:val="24"/>
          <w:szCs w:val="24"/>
        </w:rPr>
        <w:t>一、项目基本情况</w:t>
      </w:r>
      <w:bookmarkEnd w:id="8"/>
      <w:bookmarkEnd w:id="9"/>
      <w:bookmarkEnd w:id="10"/>
      <w:bookmarkEnd w:id="11"/>
    </w:p>
    <w:bookmarkEnd w:id="12"/>
    <w:p w14:paraId="06E4BC83">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项目编号：WZZC2026-G1-990039-ZJGJ</w:t>
      </w:r>
    </w:p>
    <w:p w14:paraId="73B6E50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项目名称：质谱类设备（重）</w:t>
      </w:r>
    </w:p>
    <w:p w14:paraId="7882E6F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预算总金额（元）：3288000.00 </w:t>
      </w:r>
    </w:p>
    <w:p w14:paraId="3124027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采购需求：</w:t>
      </w:r>
    </w:p>
    <w:p w14:paraId="28CA5B0E">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标项一</w:t>
      </w:r>
      <w:r>
        <w:rPr>
          <w:rFonts w:hint="eastAsia" w:ascii="宋体" w:hAnsi="宋体" w:eastAsia="宋体" w:cs="Times New Roman"/>
          <w:szCs w:val="21"/>
        </w:rPr>
        <w:br w:type="textWrapping"/>
      </w:r>
      <w:r>
        <w:rPr>
          <w:rFonts w:hint="eastAsia" w:ascii="宋体" w:hAnsi="宋体" w:eastAsia="宋体" w:cs="Times New Roman"/>
          <w:szCs w:val="21"/>
        </w:rPr>
        <w:t xml:space="preserve">    标项名称：高效液相色谱串联质谱仪</w:t>
      </w:r>
      <w:r>
        <w:rPr>
          <w:rFonts w:hint="eastAsia" w:ascii="宋体" w:hAnsi="宋体" w:eastAsia="宋体" w:cs="Times New Roman"/>
          <w:szCs w:val="21"/>
        </w:rPr>
        <w:br w:type="textWrapping"/>
      </w:r>
      <w:r>
        <w:rPr>
          <w:rFonts w:hint="eastAsia" w:ascii="宋体" w:hAnsi="宋体" w:eastAsia="宋体" w:cs="Times New Roman"/>
          <w:szCs w:val="21"/>
        </w:rPr>
        <w:t xml:space="preserve">    数量:1</w:t>
      </w:r>
      <w:r>
        <w:rPr>
          <w:rFonts w:hint="eastAsia" w:ascii="宋体" w:hAnsi="宋体" w:eastAsia="宋体" w:cs="Times New Roman"/>
          <w:szCs w:val="21"/>
        </w:rPr>
        <w:br w:type="textWrapping"/>
      </w:r>
      <w:r>
        <w:rPr>
          <w:rFonts w:hint="eastAsia" w:ascii="宋体" w:hAnsi="宋体" w:eastAsia="宋体" w:cs="Times New Roman"/>
          <w:szCs w:val="21"/>
        </w:rPr>
        <w:t xml:space="preserve">    预算金额（元）：1940000.00</w:t>
      </w:r>
      <w:r>
        <w:rPr>
          <w:rFonts w:hint="eastAsia" w:ascii="宋体" w:hAnsi="宋体" w:eastAsia="宋体" w:cs="Times New Roman"/>
          <w:szCs w:val="21"/>
        </w:rPr>
        <w:br w:type="textWrapping"/>
      </w:r>
      <w:r>
        <w:rPr>
          <w:rFonts w:hint="eastAsia" w:ascii="宋体" w:hAnsi="宋体" w:eastAsia="宋体" w:cs="Times New Roman"/>
          <w:szCs w:val="21"/>
        </w:rPr>
        <w:t xml:space="preserve">    简要规格描述或项目基本概况介绍、用途：高效液相色谱串联质谱仪1套，具体参数详见招标文件。</w:t>
      </w:r>
    </w:p>
    <w:p w14:paraId="4A11D0A9">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最高限价（如有）：1940000.00元    </w:t>
      </w:r>
    </w:p>
    <w:p w14:paraId="47FC9857">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合同履约期限：签订合同即日起30日内完成安装、调试、培训工作。</w:t>
      </w:r>
    </w:p>
    <w:p w14:paraId="072C15AA">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本标项（否）接受联合体投标</w:t>
      </w:r>
    </w:p>
    <w:p w14:paraId="1296A872">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标项二</w:t>
      </w:r>
      <w:r>
        <w:rPr>
          <w:rFonts w:hint="eastAsia" w:ascii="宋体" w:hAnsi="宋体" w:eastAsia="宋体" w:cs="Times New Roman"/>
          <w:szCs w:val="21"/>
        </w:rPr>
        <w:br w:type="textWrapping"/>
      </w:r>
      <w:r>
        <w:rPr>
          <w:rFonts w:hint="eastAsia" w:ascii="宋体" w:hAnsi="宋体" w:eastAsia="宋体" w:cs="Times New Roman"/>
          <w:szCs w:val="21"/>
        </w:rPr>
        <w:t xml:space="preserve">    标项名称：全自动微生物质谱检测系统</w:t>
      </w:r>
      <w:r>
        <w:rPr>
          <w:rFonts w:hint="eastAsia" w:ascii="宋体" w:hAnsi="宋体" w:eastAsia="宋体" w:cs="Times New Roman"/>
          <w:szCs w:val="21"/>
        </w:rPr>
        <w:br w:type="textWrapping"/>
      </w:r>
      <w:r>
        <w:rPr>
          <w:rFonts w:hint="eastAsia" w:ascii="宋体" w:hAnsi="宋体" w:eastAsia="宋体" w:cs="Times New Roman"/>
          <w:szCs w:val="21"/>
        </w:rPr>
        <w:t xml:space="preserve">    数量:1</w:t>
      </w:r>
      <w:r>
        <w:rPr>
          <w:rFonts w:hint="eastAsia" w:ascii="宋体" w:hAnsi="宋体" w:eastAsia="宋体" w:cs="Times New Roman"/>
          <w:szCs w:val="21"/>
        </w:rPr>
        <w:br w:type="textWrapping"/>
      </w:r>
      <w:r>
        <w:rPr>
          <w:rFonts w:hint="eastAsia" w:ascii="宋体" w:hAnsi="宋体" w:eastAsia="宋体" w:cs="Times New Roman"/>
          <w:szCs w:val="21"/>
        </w:rPr>
        <w:t xml:space="preserve">    预算金额（元）：1348000.00</w:t>
      </w:r>
      <w:r>
        <w:rPr>
          <w:rFonts w:hint="eastAsia" w:ascii="宋体" w:hAnsi="宋体" w:eastAsia="宋体" w:cs="Times New Roman"/>
          <w:szCs w:val="21"/>
        </w:rPr>
        <w:br w:type="textWrapping"/>
      </w:r>
      <w:r>
        <w:rPr>
          <w:rFonts w:hint="eastAsia" w:ascii="宋体" w:hAnsi="宋体" w:eastAsia="宋体" w:cs="Times New Roman"/>
          <w:szCs w:val="21"/>
        </w:rPr>
        <w:t xml:space="preserve">    简要规格描述或项目基本概况介绍、用途：采购全自动微生物质谱检测系统1套，具体参数详见招标文件。</w:t>
      </w:r>
    </w:p>
    <w:p w14:paraId="09E9FDC5">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 xml:space="preserve">最高限价（如有）：1348000.00元    </w:t>
      </w:r>
    </w:p>
    <w:p w14:paraId="65976E66">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合同履约期限：签订合同即日起30日内完成安装、调试、培训工作。</w:t>
      </w:r>
    </w:p>
    <w:p w14:paraId="6D03386D">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本标项（否）接受联合体投标</w:t>
      </w:r>
    </w:p>
    <w:p w14:paraId="42C4AE25">
      <w:pPr>
        <w:spacing w:line="360" w:lineRule="auto"/>
        <w:rPr>
          <w:rFonts w:ascii="黑体" w:hAnsi="黑体" w:eastAsia="黑体" w:cs="Times New Roman"/>
          <w:b/>
          <w:bCs/>
          <w:sz w:val="24"/>
          <w:szCs w:val="24"/>
        </w:rPr>
      </w:pPr>
      <w:bookmarkStart w:id="13" w:name="_Toc28359003"/>
      <w:bookmarkStart w:id="14" w:name="_Toc35393791"/>
      <w:bookmarkStart w:id="15" w:name="_Toc35393622"/>
      <w:bookmarkStart w:id="16" w:name="_Toc28359080"/>
    </w:p>
    <w:p w14:paraId="6BAE28F1">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二、申请人的资格要求：</w:t>
      </w:r>
      <w:bookmarkEnd w:id="13"/>
      <w:bookmarkEnd w:id="14"/>
      <w:bookmarkEnd w:id="15"/>
      <w:bookmarkEnd w:id="16"/>
    </w:p>
    <w:p w14:paraId="61DE8AAA">
      <w:pPr>
        <w:spacing w:line="360" w:lineRule="auto"/>
        <w:ind w:firstLine="420" w:firstLineChars="200"/>
        <w:rPr>
          <w:rFonts w:ascii="宋体" w:hAnsi="宋体" w:eastAsia="宋体" w:cs="Times New Roman"/>
          <w:szCs w:val="21"/>
        </w:rPr>
      </w:pPr>
      <w:bookmarkStart w:id="17" w:name="_Hlk51746371"/>
      <w:bookmarkStart w:id="18" w:name="_Toc35393792"/>
      <w:bookmarkStart w:id="19" w:name="_Toc28359004"/>
      <w:bookmarkStart w:id="20" w:name="_Toc35393623"/>
      <w:bookmarkStart w:id="21" w:name="_Toc28359081"/>
      <w:r>
        <w:rPr>
          <w:rFonts w:hint="eastAsia" w:ascii="宋体" w:hAnsi="宋体" w:eastAsia="宋体" w:cs="Times New Roman"/>
          <w:szCs w:val="21"/>
        </w:rPr>
        <w:t>1.满足《中华人民共和国政府采购法》第二十二条规定；</w:t>
      </w:r>
    </w:p>
    <w:p w14:paraId="6113C805">
      <w:pPr>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.落实政府采购政策需满足的资格要求：</w:t>
      </w:r>
      <w:r>
        <w:rPr>
          <w:rFonts w:hint="eastAsia" w:ascii="宋体" w:hAnsi="宋体" w:eastAsia="宋体" w:cs="Times New Roman"/>
          <w:szCs w:val="21"/>
          <w:u w:val="single"/>
        </w:rPr>
        <w:t>分标1、专门面向中小企业采购。分标2：无</w:t>
      </w:r>
    </w:p>
    <w:p w14:paraId="01309F77">
      <w:pPr>
        <w:spacing w:line="360" w:lineRule="auto"/>
        <w:ind w:firstLine="420" w:firstLineChars="200"/>
        <w:rPr>
          <w:rFonts w:cs="宋体"/>
          <w:szCs w:val="21"/>
        </w:rPr>
      </w:pPr>
      <w:r>
        <w:rPr>
          <w:rFonts w:hint="eastAsia" w:ascii="宋体" w:hAnsi="宋体" w:eastAsia="宋体" w:cs="Times New Roman"/>
          <w:szCs w:val="21"/>
        </w:rPr>
        <w:t>3.本项目的特定资格要求：</w:t>
      </w:r>
      <w:r>
        <w:rPr>
          <w:rFonts w:hint="eastAsia" w:cs="宋体"/>
          <w:szCs w:val="21"/>
        </w:rPr>
        <w:t>【分标1、2】</w:t>
      </w:r>
    </w:p>
    <w:bookmarkEnd w:id="17"/>
    <w:p w14:paraId="34194CEF">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供应商按《医疗器械监督管理条例》（国务院令第739号）医疗器械分类管理要求具备有效的医疗器械经营备案凭证或者经营许可证，且经营范围必须包含采购标的【符合《医疗器械监督管理条例》第四十一条第二款规定的除外】；或者供应商具有《医疗器械监督管理条例》第四十三条规定的注册人凭证。</w:t>
      </w:r>
    </w:p>
    <w:p w14:paraId="44A72A9B">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三、获取招标文件</w:t>
      </w:r>
      <w:bookmarkEnd w:id="18"/>
      <w:bookmarkEnd w:id="19"/>
      <w:bookmarkEnd w:id="20"/>
      <w:bookmarkEnd w:id="21"/>
    </w:p>
    <w:p w14:paraId="3CEC850D">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时间：</w:t>
      </w:r>
      <w:r>
        <w:rPr>
          <w:rFonts w:ascii="宋体" w:hAnsi="宋体" w:eastAsia="宋体" w:cs="宋体"/>
          <w:bCs/>
          <w:kern w:val="0"/>
          <w:szCs w:val="21"/>
        </w:rPr>
        <w:t xml:space="preserve"> </w:t>
      </w:r>
      <w:r>
        <w:rPr>
          <w:rFonts w:hint="eastAsia" w:ascii="宋体" w:hAnsi="宋体" w:eastAsia="宋体" w:cs="宋体"/>
          <w:bCs/>
          <w:kern w:val="0"/>
          <w:szCs w:val="21"/>
          <w:u w:val="single"/>
        </w:rPr>
        <w:t>2026年3月19日</w:t>
      </w:r>
      <w:r>
        <w:rPr>
          <w:rFonts w:hint="eastAsia" w:ascii="宋体" w:hAnsi="宋体" w:eastAsia="宋体" w:cs="宋体"/>
          <w:bCs/>
          <w:kern w:val="0"/>
          <w:szCs w:val="21"/>
        </w:rPr>
        <w:t>至</w:t>
      </w:r>
      <w:r>
        <w:rPr>
          <w:rFonts w:hint="eastAsia" w:ascii="宋体" w:hAnsi="宋体" w:eastAsia="宋体" w:cs="宋体"/>
          <w:bCs/>
          <w:kern w:val="0"/>
          <w:szCs w:val="21"/>
          <w:u w:val="single"/>
        </w:rPr>
        <w:t>2026年 3月</w:t>
      </w:r>
      <w:r>
        <w:rPr>
          <w:rFonts w:ascii="宋体" w:hAnsi="宋体" w:eastAsia="宋体" w:cs="宋体"/>
          <w:bCs/>
          <w:kern w:val="0"/>
          <w:szCs w:val="21"/>
          <w:u w:val="single"/>
        </w:rPr>
        <w:t xml:space="preserve"> </w:t>
      </w:r>
      <w:r>
        <w:rPr>
          <w:rFonts w:hint="eastAsia" w:ascii="宋体" w:hAnsi="宋体" w:eastAsia="宋体" w:cs="宋体"/>
          <w:bCs/>
          <w:kern w:val="0"/>
          <w:szCs w:val="21"/>
          <w:u w:val="single"/>
        </w:rPr>
        <w:t>26 日</w:t>
      </w:r>
      <w:r>
        <w:rPr>
          <w:rFonts w:hint="eastAsia" w:ascii="宋体" w:hAnsi="宋体" w:eastAsia="宋体" w:cs="宋体"/>
          <w:bCs/>
          <w:kern w:val="0"/>
          <w:szCs w:val="21"/>
        </w:rPr>
        <w:t>，每天上午00:00至12:00，下午12:00至23:59（北京时间，</w:t>
      </w:r>
      <w:r>
        <w:rPr>
          <w:rFonts w:ascii="宋体" w:hAnsi="宋体" w:eastAsia="宋体" w:cs="宋体"/>
          <w:bCs/>
          <w:kern w:val="0"/>
          <w:szCs w:val="21"/>
        </w:rPr>
        <w:t>法定节假日</w:t>
      </w:r>
      <w:r>
        <w:rPr>
          <w:rFonts w:hint="eastAsia" w:ascii="宋体" w:hAnsi="宋体" w:eastAsia="宋体" w:cs="宋体"/>
          <w:bCs/>
          <w:kern w:val="0"/>
          <w:szCs w:val="21"/>
        </w:rPr>
        <w:t>除外）</w:t>
      </w:r>
    </w:p>
    <w:p w14:paraId="37881CC4">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地点：广西政府采购云平台（网址：http://www.gcy.zfcg.gxzf.gov.cn）</w:t>
      </w:r>
    </w:p>
    <w:p w14:paraId="301D9B14">
      <w:pPr>
        <w:spacing w:line="360" w:lineRule="auto"/>
        <w:ind w:firstLine="540"/>
        <w:rPr>
          <w:rFonts w:ascii="宋体" w:hAnsi="宋体" w:eastAsia="宋体" w:cs="宋体"/>
          <w:bCs/>
          <w:kern w:val="0"/>
          <w:szCs w:val="21"/>
        </w:rPr>
      </w:pPr>
      <w:r>
        <w:rPr>
          <w:rFonts w:hint="eastAsia" w:ascii="宋体" w:hAnsi="宋体" w:eastAsia="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招标文件。电子响应文件制作需要基于广西政府采购云平台获取的招标文件编制，通过其他方式获取招标文件的，将有可能导致供应商无法在广西政府采购云平台编制及上传响应文件。</w:t>
      </w:r>
    </w:p>
    <w:p w14:paraId="395B0CB3">
      <w:pPr>
        <w:spacing w:line="360" w:lineRule="auto"/>
        <w:ind w:firstLine="540"/>
        <w:rPr>
          <w:rFonts w:ascii="宋体" w:hAnsi="宋体" w:eastAsia="宋体" w:cs="宋体"/>
          <w:szCs w:val="21"/>
        </w:rPr>
      </w:pPr>
      <w:r>
        <w:rPr>
          <w:rFonts w:hint="eastAsia" w:ascii="宋体" w:hAnsi="宋体" w:eastAsia="宋体" w:cs="宋体"/>
          <w:bCs/>
          <w:kern w:val="0"/>
          <w:szCs w:val="21"/>
        </w:rPr>
        <w:t>售价：</w:t>
      </w:r>
      <w:r>
        <w:rPr>
          <w:rFonts w:hint="eastAsia" w:ascii="宋体" w:hAnsi="宋体" w:eastAsia="宋体" w:cs="宋体"/>
          <w:szCs w:val="21"/>
        </w:rPr>
        <w:t>0元</w:t>
      </w:r>
    </w:p>
    <w:p w14:paraId="5AF443F9">
      <w:pPr>
        <w:spacing w:line="360" w:lineRule="auto"/>
        <w:rPr>
          <w:rFonts w:ascii="黑体" w:hAnsi="黑体" w:eastAsia="黑体" w:cs="Times New Roman"/>
          <w:b/>
          <w:bCs/>
          <w:sz w:val="24"/>
          <w:szCs w:val="24"/>
        </w:rPr>
      </w:pPr>
      <w:bookmarkStart w:id="22" w:name="_Toc28359082"/>
      <w:bookmarkStart w:id="23" w:name="_Toc28359005"/>
      <w:bookmarkStart w:id="24" w:name="_Toc35393793"/>
      <w:bookmarkStart w:id="25" w:name="_Toc35393624"/>
      <w:r>
        <w:rPr>
          <w:rFonts w:hint="eastAsia" w:ascii="黑体" w:hAnsi="黑体" w:eastAsia="黑体" w:cs="Times New Roman"/>
          <w:b/>
          <w:bCs/>
          <w:sz w:val="24"/>
          <w:szCs w:val="24"/>
        </w:rPr>
        <w:t>四、提交投标文件</w:t>
      </w:r>
      <w:bookmarkEnd w:id="22"/>
      <w:bookmarkEnd w:id="23"/>
      <w:r>
        <w:rPr>
          <w:rFonts w:hint="eastAsia" w:ascii="黑体" w:hAnsi="黑体" w:eastAsia="黑体" w:cs="Times New Roman"/>
          <w:b/>
          <w:bCs/>
          <w:sz w:val="24"/>
          <w:szCs w:val="24"/>
        </w:rPr>
        <w:t>截止时间、开标时间和地点</w:t>
      </w:r>
      <w:bookmarkEnd w:id="24"/>
      <w:bookmarkEnd w:id="25"/>
    </w:p>
    <w:p w14:paraId="673D29C4">
      <w:pPr>
        <w:spacing w:line="360" w:lineRule="auto"/>
        <w:ind w:firstLine="420" w:firstLineChars="200"/>
        <w:rPr>
          <w:rFonts w:ascii="宋体" w:hAnsi="宋体" w:eastAsia="宋体" w:cs="Times New Roman"/>
          <w:bCs/>
          <w:szCs w:val="21"/>
          <w:u w:val="single"/>
        </w:rPr>
      </w:pPr>
      <w:bookmarkStart w:id="26" w:name="_Toc35393794"/>
      <w:bookmarkStart w:id="27" w:name="_Toc28359084"/>
      <w:bookmarkStart w:id="28" w:name="_Toc28359007"/>
      <w:bookmarkStart w:id="29" w:name="_Toc35393625"/>
      <w:r>
        <w:rPr>
          <w:rFonts w:hint="eastAsia" w:ascii="宋体" w:hAnsi="宋体" w:eastAsia="宋体" w:cs="Times New Roman"/>
          <w:bCs/>
          <w:szCs w:val="21"/>
          <w:u w:val="single"/>
        </w:rPr>
        <w:t>提交投标文件截止时间：2026年4月10</w:t>
      </w:r>
      <w:r>
        <w:rPr>
          <w:rFonts w:ascii="宋体" w:hAnsi="宋体" w:eastAsia="宋体" w:cs="Times New Roman"/>
          <w:bCs/>
          <w:szCs w:val="21"/>
          <w:u w:val="single"/>
        </w:rPr>
        <w:t xml:space="preserve"> </w:t>
      </w:r>
      <w:r>
        <w:rPr>
          <w:rFonts w:hint="eastAsia" w:ascii="宋体" w:hAnsi="宋体" w:eastAsia="宋体" w:cs="Times New Roman"/>
          <w:bCs/>
          <w:szCs w:val="21"/>
          <w:u w:val="single"/>
        </w:rPr>
        <w:t>日9点</w:t>
      </w:r>
      <w:r>
        <w:rPr>
          <w:rFonts w:ascii="宋体" w:hAnsi="宋体" w:eastAsia="宋体" w:cs="Times New Roman"/>
          <w:bCs/>
          <w:szCs w:val="21"/>
          <w:u w:val="single"/>
        </w:rPr>
        <w:t>30</w:t>
      </w:r>
      <w:r>
        <w:rPr>
          <w:rFonts w:hint="eastAsia" w:ascii="宋体" w:hAnsi="宋体" w:eastAsia="宋体" w:cs="Times New Roman"/>
          <w:bCs/>
          <w:szCs w:val="21"/>
          <w:u w:val="single"/>
        </w:rPr>
        <w:t>分（北京时间）</w:t>
      </w:r>
    </w:p>
    <w:p w14:paraId="34D95FBE">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投标地点（网址）：广西政府采购云平台（https://www.gcy.zfcg.gxzf.gov.cn/）</w:t>
      </w:r>
    </w:p>
    <w:p w14:paraId="588502D1">
      <w:pPr>
        <w:spacing w:line="360" w:lineRule="auto"/>
        <w:ind w:firstLine="420" w:firstLineChars="200"/>
        <w:rPr>
          <w:rFonts w:ascii="宋体" w:hAnsi="宋体" w:eastAsia="宋体" w:cs="Times New Roman"/>
          <w:bCs/>
          <w:szCs w:val="21"/>
          <w:u w:val="single"/>
        </w:rPr>
      </w:pPr>
      <w:r>
        <w:rPr>
          <w:rFonts w:hint="eastAsia" w:ascii="宋体" w:hAnsi="宋体" w:eastAsia="宋体" w:cs="Times New Roman"/>
          <w:bCs/>
          <w:szCs w:val="21"/>
          <w:u w:val="single"/>
        </w:rPr>
        <w:t>开标时间：2026年 4月  10 日9:</w:t>
      </w:r>
      <w:r>
        <w:rPr>
          <w:rFonts w:ascii="宋体" w:hAnsi="宋体" w:eastAsia="宋体" w:cs="Times New Roman"/>
          <w:bCs/>
          <w:szCs w:val="21"/>
          <w:u w:val="single"/>
        </w:rPr>
        <w:t>30</w:t>
      </w:r>
      <w:r>
        <w:rPr>
          <w:rFonts w:hint="eastAsia" w:ascii="宋体" w:hAnsi="宋体" w:eastAsia="宋体" w:cs="Times New Roman"/>
          <w:bCs/>
          <w:szCs w:val="21"/>
          <w:u w:val="single"/>
        </w:rPr>
        <w:t>分（北京时间）</w:t>
      </w:r>
      <w:bookmarkStart w:id="162" w:name="_GoBack"/>
      <w:bookmarkEnd w:id="162"/>
    </w:p>
    <w:p w14:paraId="33F1BB11">
      <w:pPr>
        <w:spacing w:line="360" w:lineRule="auto"/>
        <w:ind w:firstLine="420" w:firstLineChars="200"/>
        <w:rPr>
          <w:rFonts w:ascii="宋体" w:hAnsi="宋体" w:eastAsia="宋体" w:cs="Times New Roman"/>
          <w:szCs w:val="21"/>
        </w:rPr>
      </w:pPr>
      <w:r>
        <w:rPr>
          <w:rFonts w:hint="eastAsia" w:ascii="宋体" w:hAnsi="宋体" w:eastAsia="宋体" w:cs="Times New Roman"/>
          <w:bCs/>
          <w:szCs w:val="21"/>
          <w:u w:val="single"/>
        </w:rPr>
        <w:t>开标地点：广西政府采购云平台（https://www.gcy.zfcg.gxzf.gov.cn/）</w:t>
      </w:r>
    </w:p>
    <w:p w14:paraId="4CB00B5F">
      <w:pPr>
        <w:spacing w:line="360" w:lineRule="auto"/>
        <w:rPr>
          <w:rFonts w:ascii="黑体" w:hAnsi="黑体" w:eastAsia="黑体" w:cs="Times New Roman"/>
          <w:b/>
          <w:bCs/>
          <w:sz w:val="24"/>
          <w:szCs w:val="24"/>
        </w:rPr>
      </w:pPr>
      <w:r>
        <w:rPr>
          <w:rFonts w:hint="eastAsia" w:ascii="黑体" w:hAnsi="黑体" w:eastAsia="黑体" w:cs="Times New Roman"/>
          <w:b/>
          <w:bCs/>
          <w:sz w:val="24"/>
          <w:szCs w:val="24"/>
        </w:rPr>
        <w:t>五、公告期限</w:t>
      </w:r>
      <w:bookmarkEnd w:id="26"/>
      <w:bookmarkEnd w:id="27"/>
      <w:bookmarkEnd w:id="28"/>
      <w:bookmarkEnd w:id="29"/>
    </w:p>
    <w:p w14:paraId="4866D368">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自本公告发布之日起5个工作日。</w:t>
      </w:r>
    </w:p>
    <w:p w14:paraId="0017B088">
      <w:pPr>
        <w:numPr>
          <w:ilvl w:val="0"/>
          <w:numId w:val="3"/>
        </w:numPr>
        <w:spacing w:line="360" w:lineRule="auto"/>
      </w:pPr>
      <w:bookmarkStart w:id="30" w:name="_Toc35393795"/>
      <w:bookmarkStart w:id="31" w:name="_Toc35393626"/>
      <w:r>
        <w:rPr>
          <w:rFonts w:hint="eastAsia" w:ascii="黑体" w:hAnsi="黑体" w:eastAsia="黑体" w:cs="Times New Roman"/>
          <w:b/>
          <w:bCs/>
          <w:sz w:val="24"/>
          <w:szCs w:val="24"/>
        </w:rPr>
        <w:t>其他补充事宜</w:t>
      </w:r>
      <w:bookmarkEnd w:id="30"/>
      <w:bookmarkEnd w:id="31"/>
    </w:p>
    <w:p w14:paraId="4A3CF1FF">
      <w:pPr>
        <w:numPr>
          <w:ilvl w:val="0"/>
          <w:numId w:val="4"/>
        </w:numPr>
        <w:spacing w:line="360" w:lineRule="auto"/>
        <w:ind w:firstLine="420" w:firstLineChars="200"/>
        <w:rPr>
          <w:rFonts w:ascii="宋体" w:hAnsi="宋体" w:eastAsia="宋体" w:cs="宋体"/>
          <w:kern w:val="0"/>
          <w:szCs w:val="21"/>
        </w:rPr>
      </w:pPr>
      <w:bookmarkStart w:id="32" w:name="_Hlk37429595"/>
      <w:bookmarkStart w:id="33" w:name="_Hlk37429585"/>
      <w:bookmarkStart w:id="34" w:name="_Toc28359085"/>
      <w:bookmarkStart w:id="35" w:name="_Toc35393627"/>
      <w:bookmarkStart w:id="36" w:name="_Toc28359008"/>
      <w:bookmarkStart w:id="37" w:name="_Toc35393796"/>
      <w:r>
        <w:rPr>
          <w:rFonts w:hint="eastAsia" w:ascii="宋体" w:hAnsi="宋体" w:eastAsia="宋体" w:cs="宋体"/>
          <w:kern w:val="0"/>
          <w:szCs w:val="21"/>
        </w:rPr>
        <w:t>本项目为远程异地评标项目</w:t>
      </w:r>
      <w:r>
        <w:rPr>
          <w:rFonts w:hint="eastAsia" w:ascii="宋体" w:hAnsi="宋体" w:eastAsia="宋体" w:cs="宋体"/>
          <w:kern w:val="0"/>
          <w:szCs w:val="21"/>
          <w:lang w:val="en-US" w:eastAsia="zh-CN"/>
        </w:rPr>
        <w:t>。</w:t>
      </w:r>
    </w:p>
    <w:p w14:paraId="7C937C03">
      <w:pPr>
        <w:pStyle w:val="2"/>
        <w:numPr>
          <w:ilvl w:val="0"/>
          <w:numId w:val="4"/>
        </w:numPr>
        <w:rPr>
          <w:sz w:val="21"/>
          <w:szCs w:val="21"/>
        </w:rPr>
      </w:pPr>
      <w:r>
        <w:rPr>
          <w:rFonts w:hint="eastAsia" w:eastAsia="宋体" w:cs="宋体"/>
          <w:sz w:val="21"/>
          <w:szCs w:val="21"/>
          <w:lang w:val="en-US"/>
        </w:rPr>
        <w:t xml:space="preserve"> </w:t>
      </w:r>
      <w:r>
        <w:rPr>
          <w:rFonts w:hint="eastAsia" w:eastAsia="宋体" w:cs="宋体"/>
          <w:sz w:val="21"/>
          <w:szCs w:val="21"/>
        </w:rPr>
        <w:t>网上查询地址</w:t>
      </w:r>
    </w:p>
    <w:bookmarkEnd w:id="32"/>
    <w:bookmarkEnd w:id="33"/>
    <w:p w14:paraId="414C35AB">
      <w:pPr>
        <w:spacing w:line="360" w:lineRule="auto"/>
        <w:ind w:firstLine="424" w:firstLineChars="202"/>
        <w:rPr>
          <w:rFonts w:ascii="宋体" w:hAnsi="宋体" w:eastAsia="宋体" w:cs="Times New Roman"/>
          <w:szCs w:val="21"/>
        </w:rPr>
      </w:pPr>
      <w:bookmarkStart w:id="38" w:name="_Hlk37429674"/>
      <w:r>
        <w:rPr>
          <w:rFonts w:hint="eastAsia" w:ascii="宋体" w:hAnsi="宋体" w:eastAsia="宋体" w:cs="宋体"/>
          <w:kern w:val="0"/>
          <w:szCs w:val="21"/>
        </w:rPr>
        <w:t>中国政府采购网、广西壮族自治区政府采购网、梧州市政府采购网、广西壮族自治区公共资源交易中心网站。</w:t>
      </w:r>
    </w:p>
    <w:p w14:paraId="7D0EC579">
      <w:pPr>
        <w:spacing w:line="360" w:lineRule="auto"/>
        <w:ind w:firstLine="424" w:firstLineChars="202"/>
        <w:rPr>
          <w:rFonts w:ascii="宋体" w:hAnsi="宋体" w:eastAsia="宋体" w:cs="宋体"/>
          <w:kern w:val="0"/>
          <w:szCs w:val="21"/>
        </w:rPr>
      </w:pPr>
      <w:r>
        <w:rPr>
          <w:rFonts w:hint="eastAsia" w:ascii="宋体" w:hAnsi="宋体" w:eastAsia="宋体" w:cs="Times New Roman"/>
          <w:szCs w:val="21"/>
        </w:rPr>
        <w:t>3</w:t>
      </w:r>
      <w:r>
        <w:rPr>
          <w:rFonts w:ascii="宋体" w:hAnsi="宋体" w:eastAsia="宋体" w:cs="Times New Roman"/>
          <w:szCs w:val="21"/>
        </w:rPr>
        <w:t>.</w:t>
      </w:r>
      <w:r>
        <w:rPr>
          <w:rFonts w:hint="eastAsia" w:ascii="宋体" w:hAnsi="宋体" w:eastAsia="宋体" w:cs="宋体"/>
          <w:kern w:val="0"/>
          <w:szCs w:val="21"/>
        </w:rPr>
        <w:t>本项目需要落实的政府采购政策</w:t>
      </w:r>
    </w:p>
    <w:p w14:paraId="747A44AB">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（1）政府采购促进中小企业发展。</w:t>
      </w:r>
    </w:p>
    <w:p w14:paraId="267D1AD4">
      <w:pPr>
        <w:spacing w:line="360" w:lineRule="auto"/>
        <w:ind w:firstLine="420" w:firstLineChars="200"/>
        <w:rPr>
          <w:rFonts w:ascii="宋体" w:hAnsi="宋体" w:eastAsia="宋体" w:cs="宋体"/>
          <w:kern w:val="0"/>
          <w:szCs w:val="21"/>
        </w:rPr>
      </w:pPr>
      <w:r>
        <w:rPr>
          <w:rFonts w:hint="eastAsia" w:ascii="宋体" w:hAnsi="宋体" w:eastAsia="宋体" w:cs="宋体"/>
          <w:kern w:val="0"/>
          <w:szCs w:val="21"/>
        </w:rPr>
        <w:t>（2）政府采购支持采用本国产品的政策。</w:t>
      </w:r>
    </w:p>
    <w:p w14:paraId="6C5BB0C8">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（3）强制采购节能产品；优先采购节能产品、环境标志产品。</w:t>
      </w:r>
    </w:p>
    <w:p w14:paraId="7C99AE2A">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（4）政府采购促进残疾人就业政策。</w:t>
      </w:r>
    </w:p>
    <w:p w14:paraId="61A033B5">
      <w:pPr>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（5）政府采购支持监狱企业发展。</w:t>
      </w:r>
    </w:p>
    <w:p w14:paraId="4F71A859">
      <w:pPr>
        <w:spacing w:line="40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（6）政府采购扶持不发达地区和少数民族地区政策。</w:t>
      </w:r>
    </w:p>
    <w:p w14:paraId="16BD2D91">
      <w:pPr>
        <w:spacing w:line="400" w:lineRule="exact"/>
        <w:ind w:firstLine="420" w:firstLineChars="200"/>
      </w:pPr>
      <w:r>
        <w:rPr>
          <w:rFonts w:hint="eastAsia" w:ascii="宋体" w:hAnsi="宋体" w:eastAsia="宋体" w:cs="宋体"/>
          <w:kern w:val="0"/>
          <w:szCs w:val="21"/>
          <w:lang w:eastAsia="zh-CN"/>
        </w:rPr>
        <w:t>（</w:t>
      </w:r>
      <w:r>
        <w:rPr>
          <w:rFonts w:hint="eastAsia" w:ascii="宋体" w:hAnsi="宋体" w:eastAsia="宋体" w:cs="宋体"/>
          <w:kern w:val="0"/>
          <w:szCs w:val="21"/>
          <w:lang w:val="en-US" w:eastAsia="zh-CN"/>
        </w:rPr>
        <w:t>7</w:t>
      </w:r>
      <w:r>
        <w:rPr>
          <w:rFonts w:hint="eastAsia" w:ascii="宋体" w:hAnsi="宋体" w:eastAsia="宋体" w:cs="宋体"/>
          <w:kern w:val="0"/>
          <w:szCs w:val="21"/>
          <w:lang w:eastAsia="zh-CN"/>
        </w:rPr>
        <w:t>）本项目需要落实政府采购异常低价审查政策；</w:t>
      </w:r>
    </w:p>
    <w:p w14:paraId="0EA5AAF0">
      <w:pPr>
        <w:spacing w:line="400" w:lineRule="exact"/>
        <w:ind w:firstLine="420" w:firstLineChars="200"/>
        <w:rPr>
          <w:rFonts w:ascii="宋体" w:hAnsi="宋体" w:eastAsia="宋体" w:cs="Arial"/>
          <w:kern w:val="0"/>
          <w:szCs w:val="21"/>
        </w:rPr>
      </w:pPr>
      <w:r>
        <w:rPr>
          <w:rFonts w:hint="eastAsia" w:ascii="宋体" w:hAnsi="宋体" w:eastAsia="宋体" w:cs="Arial"/>
          <w:kern w:val="0"/>
          <w:szCs w:val="21"/>
        </w:rPr>
        <w:t>4</w:t>
      </w:r>
      <w:r>
        <w:rPr>
          <w:rFonts w:ascii="宋体" w:hAnsi="宋体" w:eastAsia="宋体" w:cs="Arial"/>
          <w:kern w:val="0"/>
          <w:szCs w:val="21"/>
        </w:rPr>
        <w:t xml:space="preserve">.其他注意事项 </w:t>
      </w:r>
      <w:r>
        <w:rPr>
          <w:rFonts w:hint="eastAsia" w:ascii="宋体" w:hAnsi="宋体" w:eastAsia="宋体" w:cs="Arial"/>
          <w:kern w:val="0"/>
          <w:szCs w:val="21"/>
        </w:rPr>
        <w:t>：</w:t>
      </w:r>
    </w:p>
    <w:p w14:paraId="15EAD94A">
      <w:pPr>
        <w:wordWrap w:val="0"/>
        <w:spacing w:line="400" w:lineRule="exact"/>
        <w:ind w:firstLine="420" w:firstLineChars="200"/>
        <w:rPr>
          <w:rFonts w:ascii="宋体" w:hAnsi="宋体" w:eastAsia="宋体" w:cs="宋体"/>
          <w:kern w:val="0"/>
          <w:szCs w:val="21"/>
        </w:rPr>
      </w:pPr>
      <w:r>
        <w:rPr>
          <w:rFonts w:hint="eastAsia" w:ascii="宋体" w:hAnsi="宋体" w:eastAsia="宋体" w:cs="宋体"/>
          <w:kern w:val="0"/>
          <w:szCs w:val="21"/>
        </w:rPr>
        <w:t>（1）本项目实行电子投标，供应商应按照本项目招标文件和广西政府采购云平台的要求编制、加密并提交投标文件。供应商在使用系统参与投标过程中遇到涉及平台使用的任何问题，可致电广西政府采购云平台技术支持热线咨询，联系方式：95763。</w:t>
      </w:r>
      <w:r>
        <w:rPr>
          <w:rFonts w:hint="eastAsia" w:ascii="宋体" w:hAnsi="宋体" w:eastAsia="宋体" w:cs="宋体"/>
          <w:kern w:val="0"/>
          <w:szCs w:val="21"/>
        </w:rPr>
        <w:br w:type="textWrapping"/>
      </w:r>
      <w:r>
        <w:rPr>
          <w:rFonts w:hint="eastAsia" w:ascii="宋体" w:hAnsi="宋体" w:eastAsia="宋体" w:cs="宋体"/>
          <w:kern w:val="0"/>
          <w:szCs w:val="21"/>
        </w:rPr>
        <w:t xml:space="preserve">    （2）供应商应及时熟悉掌握电子标系统操作指南（见广西政府采购云平台首页右上角—服务中心—帮助文档—项目采购）：https://helpcenter.zcygov.cn/document/#/document/dashboard?siteCode=gx。</w:t>
      </w:r>
      <w:r>
        <w:rPr>
          <w:rFonts w:hint="eastAsia" w:ascii="宋体" w:hAnsi="宋体" w:eastAsia="宋体" w:cs="宋体"/>
          <w:kern w:val="0"/>
          <w:szCs w:val="21"/>
        </w:rPr>
        <w:br w:type="textWrapping"/>
      </w:r>
      <w:r>
        <w:rPr>
          <w:rFonts w:hint="eastAsia" w:ascii="宋体" w:hAnsi="宋体" w:eastAsia="宋体" w:cs="宋体"/>
          <w:kern w:val="0"/>
          <w:szCs w:val="21"/>
        </w:rPr>
        <w:t xml:space="preserve">    （3）供应商应及时完成CA证书申领和绑定（见广西壮族自治区政府采购网—办事服务—下载专区—广西政府采购云平台CA证书办理操作指南）</w:t>
      </w:r>
      <w:r>
        <w:rPr>
          <w:rFonts w:hint="eastAsia" w:ascii="宋体" w:hAnsi="宋体" w:eastAsia="宋体" w:cs="宋体"/>
          <w:kern w:val="0"/>
          <w:szCs w:val="21"/>
        </w:rPr>
        <w:br w:type="textWrapping"/>
      </w:r>
      <w:r>
        <w:rPr>
          <w:rFonts w:hint="eastAsia" w:ascii="宋体" w:hAnsi="宋体" w:eastAsia="宋体" w:cs="宋体"/>
          <w:kern w:val="0"/>
          <w:szCs w:val="21"/>
        </w:rPr>
        <w:t xml:space="preserve">    （4）供应商通过广西政府采购云平台新版客户端软件制作投标文件，广西政府采购云平台新版客户端软件请供应商自行前往下载并安装（见广西壮族自治区政府采购网—办事服务—下载专区）。</w:t>
      </w:r>
      <w:r>
        <w:rPr>
          <w:rFonts w:hint="eastAsia" w:ascii="宋体" w:hAnsi="宋体" w:eastAsia="宋体" w:cs="宋体"/>
          <w:kern w:val="0"/>
          <w:szCs w:val="21"/>
        </w:rPr>
        <w:br w:type="textWrapping"/>
      </w:r>
      <w:r>
        <w:rPr>
          <w:rFonts w:hint="eastAsia" w:ascii="宋体" w:hAnsi="宋体" w:eastAsia="宋体" w:cs="宋体"/>
          <w:kern w:val="0"/>
          <w:szCs w:val="21"/>
        </w:rPr>
        <w:t xml:space="preserve">    （5）因未注册入库、未办理CA证书、CA证书故障、操作不当、CA证书逾期等原因造成无法投标或投标失败等后果由供应商自行承担。</w:t>
      </w:r>
      <w:r>
        <w:rPr>
          <w:rFonts w:hint="eastAsia" w:ascii="宋体" w:hAnsi="宋体" w:eastAsia="宋体" w:cs="宋体"/>
          <w:kern w:val="0"/>
          <w:szCs w:val="21"/>
        </w:rPr>
        <w:br w:type="textWrapping"/>
      </w:r>
      <w:r>
        <w:rPr>
          <w:rFonts w:hint="eastAsia" w:ascii="宋体" w:hAnsi="宋体" w:eastAsia="宋体" w:cs="宋体"/>
          <w:kern w:val="0"/>
          <w:szCs w:val="21"/>
        </w:rPr>
        <w:t xml:space="preserve">    （6）投标文件网上提交截止后，广西政府采购云平台（电子标系统）自动提取所有投标文件，各供应商须在开标开始后30分钟内对上传广西政府采购云平台的投标文件进行解密，所有供应商在规定的解密时限内解密完成或解密时限结束后，本中心开启投标文件；供应商超过解密时限的，系统默认自动放弃。</w:t>
      </w:r>
    </w:p>
    <w:bookmarkEnd w:id="38"/>
    <w:p w14:paraId="441BF7FF">
      <w:pPr>
        <w:spacing w:line="400" w:lineRule="exact"/>
        <w:rPr>
          <w:rFonts w:ascii="黑体" w:hAnsi="黑体" w:eastAsia="黑体" w:cs="Times New Roman"/>
          <w:b/>
          <w:bCs/>
          <w:sz w:val="24"/>
          <w:szCs w:val="24"/>
        </w:rPr>
      </w:pPr>
      <w:r>
        <w:rPr>
          <w:rFonts w:hint="eastAsia" w:ascii="黑体" w:hAnsi="黑体" w:eastAsia="黑体" w:cs="Times New Roman"/>
          <w:b/>
          <w:bCs/>
          <w:sz w:val="24"/>
          <w:szCs w:val="24"/>
        </w:rPr>
        <w:t>七、对本次招标提出询问，请按</w:t>
      </w:r>
      <w:r>
        <w:rPr>
          <w:rFonts w:ascii="黑体" w:hAnsi="黑体" w:eastAsia="黑体" w:cs="Times New Roman"/>
          <w:b/>
          <w:bCs/>
          <w:sz w:val="24"/>
          <w:szCs w:val="24"/>
        </w:rPr>
        <w:t>以下方式</w:t>
      </w:r>
      <w:r>
        <w:rPr>
          <w:rFonts w:hint="eastAsia" w:ascii="黑体" w:hAnsi="黑体" w:eastAsia="黑体" w:cs="Times New Roman"/>
          <w:b/>
          <w:bCs/>
          <w:sz w:val="24"/>
          <w:szCs w:val="24"/>
        </w:rPr>
        <w:t>联系。</w:t>
      </w:r>
      <w:bookmarkEnd w:id="34"/>
      <w:bookmarkEnd w:id="35"/>
      <w:bookmarkEnd w:id="36"/>
      <w:bookmarkEnd w:id="37"/>
    </w:p>
    <w:p w14:paraId="07D4A828">
      <w:pPr>
        <w:spacing w:line="400" w:lineRule="exact"/>
        <w:ind w:firstLine="424" w:firstLineChars="202"/>
        <w:jc w:val="left"/>
        <w:rPr>
          <w:rFonts w:ascii="宋体" w:hAnsi="宋体" w:eastAsia="宋体" w:cs="Times New Roman"/>
          <w:szCs w:val="21"/>
        </w:rPr>
      </w:pPr>
      <w:r>
        <w:rPr>
          <w:rFonts w:hint="eastAsia" w:ascii="宋体" w:hAnsi="宋体" w:eastAsia="宋体" w:cs="宋体"/>
          <w:szCs w:val="21"/>
        </w:rPr>
        <w:t>1.招标人信息</w:t>
      </w:r>
    </w:p>
    <w:p w14:paraId="7759D4B0">
      <w:pPr>
        <w:spacing w:line="400" w:lineRule="exact"/>
        <w:ind w:firstLine="424" w:firstLineChars="202"/>
        <w:jc w:val="left"/>
        <w:rPr>
          <w:rFonts w:ascii="宋体" w:hAnsi="宋体" w:eastAsia="宋体" w:cs="Times New Roman"/>
          <w:szCs w:val="21"/>
        </w:rPr>
      </w:pPr>
      <w:r>
        <w:rPr>
          <w:rFonts w:hint="eastAsia" w:ascii="宋体" w:hAnsi="宋体" w:eastAsia="宋体" w:cs="Times New Roman"/>
          <w:szCs w:val="21"/>
        </w:rPr>
        <w:t>名 称：</w:t>
      </w:r>
      <w:r>
        <w:rPr>
          <w:rFonts w:hint="eastAsia" w:ascii="宋体" w:hAnsi="宋体" w:eastAsia="宋体" w:cs="宋体"/>
          <w:kern w:val="0"/>
          <w:szCs w:val="21"/>
          <w:lang w:val="zh-CN"/>
        </w:rPr>
        <w:t>梧州市红十字会医院</w:t>
      </w:r>
    </w:p>
    <w:p w14:paraId="6557A756">
      <w:pPr>
        <w:tabs>
          <w:tab w:val="left" w:pos="3420"/>
        </w:tabs>
        <w:spacing w:line="400" w:lineRule="exact"/>
        <w:ind w:firstLine="420" w:firstLineChars="200"/>
        <w:rPr>
          <w:rFonts w:ascii="宋体" w:hAnsi="宋体" w:eastAsia="宋体" w:cs="宋体"/>
          <w:kern w:val="0"/>
          <w:szCs w:val="21"/>
          <w:lang w:val="zh-CN"/>
        </w:rPr>
      </w:pPr>
      <w:bookmarkStart w:id="39" w:name="_Toc28359009"/>
      <w:bookmarkStart w:id="40" w:name="_Toc28359086"/>
      <w:r>
        <w:rPr>
          <w:rFonts w:hint="eastAsia" w:ascii="宋体" w:hAnsi="宋体" w:eastAsia="宋体" w:cs="宋体"/>
          <w:kern w:val="0"/>
          <w:szCs w:val="21"/>
          <w:lang w:val="zh-CN"/>
        </w:rPr>
        <w:t>地址：梧州市万秀区新兴一路3-1号</w:t>
      </w:r>
    </w:p>
    <w:p w14:paraId="7013151A">
      <w:pPr>
        <w:spacing w:line="400" w:lineRule="exact"/>
        <w:ind w:firstLine="424" w:firstLineChars="202"/>
        <w:jc w:val="left"/>
        <w:rPr>
          <w:rFonts w:ascii="宋体" w:hAnsi="宋体" w:eastAsia="宋体" w:cs="Times New Roman"/>
          <w:szCs w:val="21"/>
          <w:u w:val="single"/>
        </w:rPr>
      </w:pPr>
      <w:r>
        <w:rPr>
          <w:rFonts w:hint="eastAsia" w:ascii="宋体" w:hAnsi="宋体" w:eastAsia="宋体" w:cs="宋体"/>
          <w:kern w:val="0"/>
          <w:szCs w:val="21"/>
        </w:rPr>
        <w:t>联系方式：马先生，电话：0774-3821961</w:t>
      </w:r>
    </w:p>
    <w:p w14:paraId="36254979">
      <w:pPr>
        <w:spacing w:line="400" w:lineRule="exact"/>
        <w:ind w:firstLine="424" w:firstLineChars="202"/>
        <w:jc w:val="left"/>
        <w:rPr>
          <w:rFonts w:ascii="宋体" w:hAnsi="宋体" w:eastAsia="宋体" w:cs="Times New Roman"/>
          <w:szCs w:val="21"/>
        </w:rPr>
      </w:pPr>
      <w:r>
        <w:rPr>
          <w:rFonts w:hint="eastAsia" w:ascii="宋体" w:hAnsi="宋体" w:eastAsia="宋体" w:cs="宋体"/>
          <w:szCs w:val="21"/>
        </w:rPr>
        <w:t>2.采购代理机构信息</w:t>
      </w:r>
      <w:bookmarkEnd w:id="39"/>
      <w:bookmarkEnd w:id="40"/>
    </w:p>
    <w:p w14:paraId="0BBAB8D3">
      <w:pPr>
        <w:spacing w:line="400" w:lineRule="exact"/>
        <w:ind w:firstLine="424" w:firstLineChars="202"/>
        <w:rPr>
          <w:rFonts w:ascii="宋体" w:hAnsi="宋体" w:eastAsia="宋体" w:cs="Times New Roman"/>
          <w:szCs w:val="21"/>
        </w:rPr>
      </w:pPr>
      <w:bookmarkStart w:id="41" w:name="_Toc28359087"/>
      <w:bookmarkStart w:id="42" w:name="_Toc28359010"/>
      <w:r>
        <w:rPr>
          <w:rFonts w:hint="eastAsia" w:ascii="宋体" w:hAnsi="宋体" w:eastAsia="宋体" w:cs="Times New Roman"/>
          <w:szCs w:val="21"/>
        </w:rPr>
        <w:t>名称：中经国际招标集团有限公司</w:t>
      </w:r>
    </w:p>
    <w:p w14:paraId="685B62B9">
      <w:pPr>
        <w:spacing w:line="400" w:lineRule="exact"/>
        <w:ind w:firstLine="424" w:firstLineChars="202"/>
        <w:rPr>
          <w:rFonts w:ascii="宋体" w:hAnsi="宋体" w:eastAsia="宋体" w:cs="Times New Roman"/>
          <w:szCs w:val="21"/>
        </w:rPr>
      </w:pPr>
      <w:r>
        <w:rPr>
          <w:rFonts w:hint="eastAsia" w:ascii="宋体" w:hAnsi="宋体" w:eastAsia="宋体" w:cs="Times New Roman"/>
          <w:szCs w:val="21"/>
        </w:rPr>
        <w:t>地址：</w:t>
      </w:r>
      <w:r>
        <w:rPr>
          <w:rFonts w:hint="eastAsia" w:ascii="Times New Roman" w:hAnsi="Times New Roman" w:eastAsia="宋体" w:cs="Times New Roman"/>
          <w:szCs w:val="24"/>
        </w:rPr>
        <w:t>梧州市长洲区新兴二路1</w:t>
      </w:r>
      <w:r>
        <w:rPr>
          <w:rFonts w:ascii="Times New Roman" w:hAnsi="Times New Roman" w:eastAsia="宋体" w:cs="Times New Roman"/>
          <w:szCs w:val="24"/>
        </w:rPr>
        <w:t>25号梧州日报社</w:t>
      </w:r>
      <w:r>
        <w:rPr>
          <w:rFonts w:hint="eastAsia" w:ascii="Times New Roman" w:hAnsi="Times New Roman" w:eastAsia="宋体" w:cs="Times New Roman"/>
          <w:szCs w:val="24"/>
        </w:rPr>
        <w:t>8楼</w:t>
      </w:r>
    </w:p>
    <w:p w14:paraId="6AE2BA63">
      <w:pPr>
        <w:tabs>
          <w:tab w:val="left" w:pos="3420"/>
        </w:tabs>
        <w:spacing w:line="400" w:lineRule="exact"/>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项目联系人：</w:t>
      </w:r>
      <w:r>
        <w:rPr>
          <w:rFonts w:hint="eastAsia" w:ascii="宋体" w:hAnsi="宋体" w:eastAsia="宋体" w:cs="宋体"/>
          <w:kern w:val="0"/>
          <w:szCs w:val="21"/>
        </w:rPr>
        <w:t>李工</w:t>
      </w:r>
    </w:p>
    <w:p w14:paraId="62E08B1E">
      <w:pPr>
        <w:tabs>
          <w:tab w:val="left" w:pos="3420"/>
        </w:tabs>
        <w:spacing w:line="400" w:lineRule="exact"/>
        <w:ind w:firstLine="420" w:firstLineChars="200"/>
        <w:rPr>
          <w:rFonts w:ascii="宋体" w:hAnsi="宋体" w:eastAsia="宋体" w:cs="宋体"/>
          <w:kern w:val="0"/>
          <w:szCs w:val="21"/>
          <w:lang w:val="zh-CN"/>
        </w:rPr>
      </w:pPr>
      <w:r>
        <w:rPr>
          <w:rFonts w:hint="eastAsia" w:ascii="宋体" w:hAnsi="宋体" w:eastAsia="宋体" w:cs="宋体"/>
          <w:kern w:val="0"/>
          <w:szCs w:val="21"/>
          <w:lang w:val="zh-CN"/>
        </w:rPr>
        <w:t>电　　话：0774</w:t>
      </w:r>
      <w:r>
        <w:rPr>
          <w:rFonts w:hint="eastAsia" w:ascii="Times New Roman" w:hAnsi="Times New Roman" w:eastAsia="宋体" w:cs="Times New Roman"/>
          <w:szCs w:val="24"/>
        </w:rPr>
        <w:t>-38</w:t>
      </w:r>
      <w:r>
        <w:rPr>
          <w:rFonts w:ascii="Times New Roman" w:hAnsi="Times New Roman" w:eastAsia="宋体" w:cs="Times New Roman"/>
          <w:szCs w:val="24"/>
        </w:rPr>
        <w:t>19193</w:t>
      </w:r>
    </w:p>
    <w:bookmarkEnd w:id="41"/>
    <w:bookmarkEnd w:id="42"/>
    <w:p w14:paraId="4A159D95">
      <w:pPr>
        <w:wordWrap w:val="0"/>
        <w:jc w:val="right"/>
        <w:rPr>
          <w:rFonts w:ascii="Times New Roman" w:hAnsi="Times New Roman" w:eastAsia="宋体" w:cs="Times New Roman"/>
          <w:szCs w:val="24"/>
        </w:rPr>
      </w:pPr>
      <w:r>
        <w:rPr>
          <w:rFonts w:hint="eastAsia" w:ascii="Times New Roman" w:hAnsi="Times New Roman" w:eastAsia="宋体" w:cs="Times New Roman"/>
          <w:szCs w:val="24"/>
        </w:rPr>
        <w:t xml:space="preserve"> 中经国际招标集团有限公司</w:t>
      </w:r>
    </w:p>
    <w:p w14:paraId="3C87F9FE">
      <w:pPr>
        <w:spacing w:line="360" w:lineRule="auto"/>
        <w:ind w:right="420" w:firstLine="7140" w:firstLineChars="3400"/>
        <w:rPr>
          <w:rFonts w:ascii="Times New Roman" w:hAnsi="Times New Roman" w:eastAsia="宋体" w:cs="Times New Roman"/>
          <w:szCs w:val="24"/>
        </w:rPr>
      </w:pPr>
    </w:p>
    <w:p w14:paraId="5F17DA65">
      <w:pPr>
        <w:spacing w:line="360" w:lineRule="auto"/>
        <w:ind w:right="420"/>
        <w:jc w:val="right"/>
        <w:rPr>
          <w:rFonts w:ascii="宋体" w:hAnsi="宋体" w:eastAsia="宋体" w:cs="Times New Roman"/>
          <w:szCs w:val="21"/>
        </w:rPr>
      </w:pPr>
      <w:r>
        <w:rPr>
          <w:rFonts w:hint="eastAsia" w:ascii="Times New Roman" w:hAnsi="Times New Roman" w:eastAsia="宋体" w:cs="Times New Roman"/>
          <w:szCs w:val="24"/>
        </w:rPr>
        <w:t>2026年3 月19</w:t>
      </w:r>
      <w:r>
        <w:rPr>
          <w:rFonts w:ascii="Times New Roman" w:hAnsi="Times New Roman" w:eastAsia="宋体" w:cs="Times New Roman"/>
          <w:szCs w:val="24"/>
        </w:rPr>
        <w:t xml:space="preserve"> </w:t>
      </w:r>
      <w:r>
        <w:rPr>
          <w:rFonts w:hint="eastAsia" w:ascii="Times New Roman" w:hAnsi="Times New Roman" w:eastAsia="宋体" w:cs="Times New Roman"/>
          <w:szCs w:val="24"/>
        </w:rPr>
        <w:t>日</w:t>
      </w:r>
    </w:p>
    <w:p w14:paraId="4E586A15">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bookmarkStart w:id="43" w:name="_Toc74323512"/>
    </w:p>
    <w:p w14:paraId="2AB947CC">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r>
        <w:rPr>
          <w:rFonts w:hint="eastAsia" w:ascii="Times New Roman" w:hAnsi="Times New Roman" w:eastAsia="宋体" w:cs="Times New Roman"/>
          <w:b/>
          <w:bCs/>
          <w:kern w:val="44"/>
          <w:sz w:val="44"/>
          <w:szCs w:val="44"/>
          <w:lang w:val="zh-CN"/>
        </w:rPr>
        <w:t>第二章  采购需求</w:t>
      </w:r>
      <w:bookmarkEnd w:id="43"/>
    </w:p>
    <w:p w14:paraId="780F221D">
      <w:pPr>
        <w:snapToGrid w:val="0"/>
        <w:spacing w:line="460" w:lineRule="exact"/>
        <w:ind w:left="238"/>
        <w:jc w:val="center"/>
        <w:rPr>
          <w:rFonts w:ascii="仿宋_GB2312" w:hAnsi="宋体" w:eastAsia="仿宋_GB2312" w:cs="Times New Roman"/>
          <w:color w:val="000000"/>
          <w:sz w:val="24"/>
          <w:szCs w:val="20"/>
        </w:rPr>
      </w:pPr>
    </w:p>
    <w:p w14:paraId="0ADAEB2B">
      <w:pPr>
        <w:spacing w:line="460" w:lineRule="exact"/>
        <w:jc w:val="left"/>
        <w:rPr>
          <w:rFonts w:ascii="宋体" w:hAnsi="宋体" w:eastAsia="宋体" w:cs="宋体"/>
          <w:color w:val="000000"/>
          <w:sz w:val="24"/>
          <w:szCs w:val="24"/>
        </w:rPr>
      </w:pPr>
      <w:bookmarkStart w:id="44" w:name="_Toc254970631"/>
      <w:bookmarkStart w:id="45" w:name="_Toc254970490"/>
      <w:r>
        <w:rPr>
          <w:rFonts w:hint="eastAsia" w:ascii="宋体" w:hAnsi="宋体" w:eastAsia="宋体" w:cs="宋体"/>
          <w:color w:val="000000"/>
          <w:sz w:val="24"/>
          <w:szCs w:val="24"/>
        </w:rPr>
        <w:t>说明：</w:t>
      </w:r>
    </w:p>
    <w:p w14:paraId="31EDF2A6">
      <w:pPr>
        <w:pStyle w:val="69"/>
        <w:spacing w:line="460" w:lineRule="exact"/>
        <w:ind w:firstLine="240" w:firstLineChars="100"/>
        <w:jc w:val="left"/>
        <w:rPr>
          <w:rFonts w:ascii="宋体" w:hAnsi="宋体" w:eastAsia="宋体" w:cs="宋体"/>
          <w:color w:val="000000"/>
          <w:sz w:val="24"/>
          <w:szCs w:val="24"/>
        </w:rPr>
      </w:pPr>
      <w:r>
        <w:rPr>
          <w:rFonts w:hint="eastAsia" w:ascii="宋体" w:hAnsi="宋体" w:eastAsia="宋体" w:cs="宋体"/>
          <w:color w:val="000000"/>
          <w:sz w:val="24"/>
          <w:szCs w:val="24"/>
        </w:rPr>
        <w:t>1.根据《财政部 发展改革委 生态环境部 市场监管总局关于调整优化节能产品、环境标志产品政府采购执行机制的通知》（财库〔2019〕9号）和《关于印发节能产品政府采购品目清单的通知》（财库〔2019〕19号）的规定，节能产品政府采购品目清单内标注“★”的品目属于政府强制采购节能产品，如本项目包含的货物属于品目清单内标注“★”的产品时，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具体详见“第四章 评标方法和评标标准”。</w:t>
      </w:r>
    </w:p>
    <w:p w14:paraId="261A36F2">
      <w:pPr>
        <w:spacing w:line="460" w:lineRule="exact"/>
        <w:jc w:val="left"/>
        <w:rPr>
          <w:rFonts w:ascii="宋体" w:hAnsi="宋体" w:eastAsia="宋体" w:cs="宋体"/>
          <w:color w:val="000000"/>
          <w:sz w:val="24"/>
          <w:szCs w:val="24"/>
        </w:rPr>
      </w:pPr>
      <w:r>
        <w:rPr>
          <w:rFonts w:ascii="宋体" w:hAnsi="宋体" w:eastAsia="宋体" w:cs="宋体"/>
          <w:color w:val="000000"/>
          <w:sz w:val="24"/>
          <w:szCs w:val="24"/>
        </w:rPr>
        <w:t>2</w:t>
      </w:r>
      <w:r>
        <w:rPr>
          <w:rFonts w:hint="eastAsia" w:ascii="宋体" w:hAnsi="宋体" w:eastAsia="宋体" w:cs="宋体"/>
          <w:color w:val="000000"/>
          <w:sz w:val="24"/>
          <w:szCs w:val="24"/>
        </w:rPr>
        <w:t>.“实质性要求”是指招标文件中已经指明不满足则投标无效的条款，或者不能负偏离的条款，或者采购需求中带“▲”的条款。（带“▲”的条款需提供相关证明材料（包括但不限于彩页、官网和功能截图等））</w:t>
      </w:r>
    </w:p>
    <w:p w14:paraId="24B39BC9">
      <w:pPr>
        <w:adjustRightInd w:val="0"/>
        <w:spacing w:line="460" w:lineRule="exact"/>
        <w:ind w:left="6"/>
        <w:rPr>
          <w:rFonts w:ascii="宋体" w:hAnsi="宋体" w:eastAsia="宋体" w:cs="宋体"/>
          <w:color w:val="000000"/>
          <w:sz w:val="24"/>
          <w:szCs w:val="24"/>
        </w:rPr>
      </w:pPr>
      <w:r>
        <w:rPr>
          <w:rFonts w:ascii="宋体" w:hAnsi="宋体" w:eastAsia="宋体" w:cs="宋体"/>
          <w:color w:val="000000"/>
          <w:sz w:val="24"/>
          <w:szCs w:val="24"/>
        </w:rPr>
        <w:t>3</w:t>
      </w:r>
      <w:r>
        <w:rPr>
          <w:rFonts w:hint="eastAsia" w:ascii="宋体" w:hAnsi="宋体" w:eastAsia="宋体" w:cs="宋体"/>
          <w:color w:val="000000"/>
          <w:sz w:val="24"/>
          <w:szCs w:val="24"/>
        </w:rPr>
        <w:t>.采购需求中出现的品牌、型号或者生产厂家仅起参考作用，不属于指定品牌、型号或者生产厂家的情形。投标人可参照或者选用其他相当的品牌、型号或者生产厂家替代，但选用的投标产品参数性能必须</w:t>
      </w:r>
      <w:r>
        <w:rPr>
          <w:rFonts w:hint="eastAsia" w:ascii="Times New Roman" w:hAnsi="宋体" w:eastAsia="宋体" w:cs="Times New Roman"/>
          <w:sz w:val="24"/>
          <w:szCs w:val="24"/>
        </w:rPr>
        <w:t>在实质性要求和条件上</w:t>
      </w:r>
      <w:r>
        <w:rPr>
          <w:rFonts w:hint="eastAsia" w:ascii="宋体" w:hAnsi="宋体" w:eastAsia="宋体" w:cs="宋体"/>
          <w:color w:val="000000"/>
          <w:sz w:val="24"/>
          <w:szCs w:val="24"/>
        </w:rPr>
        <w:t>要相当于或优于参</w:t>
      </w:r>
      <w:r>
        <w:rPr>
          <w:rFonts w:hint="eastAsia" w:ascii="Times New Roman" w:hAnsi="宋体" w:eastAsia="宋体" w:cs="Times New Roman"/>
          <w:sz w:val="24"/>
          <w:szCs w:val="24"/>
        </w:rPr>
        <w:t>考品牌、型号。</w:t>
      </w:r>
    </w:p>
    <w:p w14:paraId="5DA4D77A">
      <w:pPr>
        <w:spacing w:line="460" w:lineRule="exact"/>
        <w:jc w:val="left"/>
        <w:rPr>
          <w:rFonts w:ascii="宋体" w:hAnsi="宋体" w:eastAsia="宋体" w:cs="宋体"/>
          <w:color w:val="000000"/>
          <w:sz w:val="24"/>
          <w:szCs w:val="24"/>
        </w:rPr>
      </w:pPr>
      <w:r>
        <w:rPr>
          <w:rFonts w:hint="eastAsia" w:ascii="宋体" w:hAnsi="宋体" w:eastAsia="宋体" w:cs="宋体"/>
          <w:color w:val="000000"/>
          <w:sz w:val="24"/>
          <w:szCs w:val="24"/>
        </w:rPr>
        <w:t>4.本采购需求一览表中无核心产品</w:t>
      </w:r>
    </w:p>
    <w:p w14:paraId="4C71F63F">
      <w:pPr>
        <w:pStyle w:val="144"/>
        <w:spacing w:line="460" w:lineRule="exact"/>
        <w:rPr>
          <w:rFonts w:hAnsi="宋体"/>
        </w:rPr>
      </w:pPr>
      <w:r>
        <w:rPr>
          <w:rFonts w:hint="eastAsia" w:hAnsi="宋体"/>
        </w:rPr>
        <w:t>5.本项目标的所属行业均为：工业；划分依据：《关于印发中小企业划型标准规定的通知》（工信部联企业[2011]300号）</w:t>
      </w:r>
    </w:p>
    <w:p w14:paraId="353CB806">
      <w:pPr>
        <w:pStyle w:val="144"/>
      </w:pPr>
    </w:p>
    <w:p w14:paraId="3BE8AF91">
      <w:pPr>
        <w:spacing w:line="360" w:lineRule="auto"/>
        <w:ind w:firstLine="421"/>
        <w:jc w:val="left"/>
        <w:rPr>
          <w:rFonts w:ascii="宋体" w:hAnsi="宋体" w:eastAsia="宋体" w:cs="Arial"/>
          <w:b/>
          <w:color w:val="000000"/>
          <w:sz w:val="28"/>
          <w:szCs w:val="28"/>
          <w:u w:val="single"/>
        </w:rPr>
      </w:pPr>
    </w:p>
    <w:p w14:paraId="69D61A96">
      <w:pPr>
        <w:spacing w:line="360" w:lineRule="auto"/>
        <w:ind w:firstLine="421"/>
        <w:jc w:val="left"/>
        <w:rPr>
          <w:rFonts w:ascii="宋体" w:hAnsi="宋体" w:eastAsia="宋体" w:cs="Arial"/>
          <w:b/>
          <w:color w:val="000000"/>
          <w:sz w:val="28"/>
          <w:szCs w:val="28"/>
          <w:u w:val="single"/>
        </w:rPr>
      </w:pPr>
    </w:p>
    <w:p w14:paraId="28389435">
      <w:pPr>
        <w:spacing w:line="360" w:lineRule="auto"/>
        <w:ind w:firstLine="421"/>
        <w:jc w:val="left"/>
        <w:rPr>
          <w:rFonts w:ascii="宋体" w:hAnsi="宋体" w:eastAsia="宋体" w:cs="Arial"/>
          <w:b/>
          <w:color w:val="000000"/>
          <w:sz w:val="28"/>
          <w:szCs w:val="28"/>
          <w:u w:val="single"/>
        </w:rPr>
      </w:pPr>
    </w:p>
    <w:p w14:paraId="1F583D62">
      <w:pPr>
        <w:spacing w:line="360" w:lineRule="auto"/>
        <w:ind w:firstLine="421"/>
        <w:jc w:val="left"/>
        <w:rPr>
          <w:rFonts w:ascii="宋体" w:hAnsi="宋体" w:eastAsia="宋体" w:cs="Arial"/>
          <w:b/>
          <w:color w:val="000000"/>
          <w:sz w:val="28"/>
          <w:szCs w:val="28"/>
          <w:u w:val="single"/>
        </w:rPr>
      </w:pPr>
    </w:p>
    <w:p w14:paraId="6DFA4826">
      <w:pPr>
        <w:spacing w:line="360" w:lineRule="auto"/>
        <w:ind w:firstLine="421"/>
        <w:jc w:val="left"/>
        <w:rPr>
          <w:rFonts w:ascii="宋体" w:hAnsi="宋体" w:eastAsia="宋体" w:cs="Arial"/>
          <w:b/>
          <w:color w:val="000000"/>
          <w:sz w:val="28"/>
          <w:szCs w:val="28"/>
          <w:u w:val="single"/>
        </w:rPr>
      </w:pPr>
    </w:p>
    <w:p w14:paraId="54346376">
      <w:pPr>
        <w:spacing w:line="360" w:lineRule="auto"/>
        <w:ind w:firstLine="421"/>
        <w:jc w:val="left"/>
        <w:rPr>
          <w:rFonts w:ascii="宋体" w:hAnsi="宋体" w:eastAsia="宋体" w:cs="Arial"/>
          <w:b/>
          <w:color w:val="000000"/>
          <w:sz w:val="28"/>
          <w:szCs w:val="28"/>
          <w:u w:val="single"/>
        </w:rPr>
      </w:pPr>
    </w:p>
    <w:p w14:paraId="17DE8D36">
      <w:pPr>
        <w:pStyle w:val="144"/>
        <w:rPr>
          <w:rFonts w:hAnsi="宋体" w:cs="Arial"/>
          <w:b/>
          <w:sz w:val="28"/>
          <w:szCs w:val="28"/>
          <w:u w:val="single"/>
        </w:rPr>
      </w:pPr>
    </w:p>
    <w:p w14:paraId="552DDB9F">
      <w:pPr>
        <w:pStyle w:val="21"/>
        <w:spacing w:line="400" w:lineRule="exact"/>
        <w:jc w:val="left"/>
        <w:rPr>
          <w:rFonts w:hAnsi="宋体"/>
          <w:b/>
          <w:color w:val="000000" w:themeColor="text1"/>
          <w:sz w:val="32"/>
          <w14:textFill>
            <w14:solidFill>
              <w14:schemeClr w14:val="tx1"/>
            </w14:solidFill>
          </w14:textFill>
        </w:rPr>
      </w:pPr>
      <w:r>
        <w:rPr>
          <w:rFonts w:hint="eastAsia" w:hAnsi="宋体"/>
          <w:b/>
          <w:color w:val="000000" w:themeColor="text1"/>
          <w:sz w:val="32"/>
          <w14:textFill>
            <w14:solidFill>
              <w14:schemeClr w14:val="tx1"/>
            </w14:solidFill>
          </w14:textFill>
        </w:rPr>
        <w:t>附件</w:t>
      </w:r>
    </w:p>
    <w:p w14:paraId="2E522380">
      <w:pPr>
        <w:spacing w:line="528" w:lineRule="exact"/>
        <w:ind w:firstLine="280" w:firstLineChars="100"/>
        <w:jc w:val="center"/>
        <w:rPr>
          <w:rFonts w:ascii="宋体" w:hAnsi="宋体" w:cs="宋体"/>
          <w:sz w:val="28"/>
          <w:szCs w:val="28"/>
        </w:rPr>
      </w:pPr>
      <w:r>
        <w:rPr>
          <w:rFonts w:hint="eastAsia" w:ascii="宋体" w:hAnsi="宋体" w:cs="宋体"/>
          <w:sz w:val="28"/>
          <w:szCs w:val="28"/>
        </w:rPr>
        <w:t>中小微企业划型标准</w:t>
      </w:r>
    </w:p>
    <w:tbl>
      <w:tblPr>
        <w:tblStyle w:val="37"/>
        <w:tblW w:w="8706" w:type="dxa"/>
        <w:tblInd w:w="250" w:type="dxa"/>
        <w:tblLayout w:type="fixed"/>
        <w:tblCellMar>
          <w:top w:w="0" w:type="dxa"/>
          <w:left w:w="108" w:type="dxa"/>
          <w:bottom w:w="0" w:type="dxa"/>
          <w:right w:w="108" w:type="dxa"/>
        </w:tblCellMar>
      </w:tblPr>
      <w:tblGrid>
        <w:gridCol w:w="1446"/>
        <w:gridCol w:w="1701"/>
        <w:gridCol w:w="1134"/>
        <w:gridCol w:w="1846"/>
        <w:gridCol w:w="1570"/>
        <w:gridCol w:w="1009"/>
      </w:tblGrid>
      <w:tr w14:paraId="4711B980">
        <w:tblPrEx>
          <w:tblCellMar>
            <w:top w:w="0" w:type="dxa"/>
            <w:left w:w="108" w:type="dxa"/>
            <w:bottom w:w="0" w:type="dxa"/>
            <w:right w:w="108" w:type="dxa"/>
          </w:tblCellMar>
        </w:tblPrEx>
        <w:trPr>
          <w:trHeight w:val="279" w:hRule="atLeast"/>
        </w:trPr>
        <w:tc>
          <w:tcPr>
            <w:tcW w:w="1446" w:type="dxa"/>
            <w:tcBorders>
              <w:top w:val="single" w:color="auto" w:sz="4" w:space="0"/>
              <w:left w:val="single" w:color="auto" w:sz="4" w:space="0"/>
              <w:bottom w:val="single" w:color="auto" w:sz="4" w:space="0"/>
              <w:right w:val="single" w:color="auto" w:sz="4" w:space="0"/>
            </w:tcBorders>
            <w:vAlign w:val="center"/>
          </w:tcPr>
          <w:p w14:paraId="0AFFF779">
            <w:pPr>
              <w:widowControl/>
              <w:jc w:val="left"/>
              <w:rPr>
                <w:rFonts w:ascii="宋体" w:hAnsi="宋体" w:cs="宋体"/>
                <w:szCs w:val="21"/>
              </w:rPr>
            </w:pPr>
            <w:r>
              <w:rPr>
                <w:rFonts w:hint="eastAsia" w:ascii="宋体" w:hAnsi="宋体" w:cs="宋体"/>
                <w:szCs w:val="21"/>
              </w:rPr>
              <w:t>行业名称</w:t>
            </w:r>
          </w:p>
        </w:tc>
        <w:tc>
          <w:tcPr>
            <w:tcW w:w="1701" w:type="dxa"/>
            <w:tcBorders>
              <w:top w:val="single" w:color="auto" w:sz="4" w:space="0"/>
              <w:left w:val="nil"/>
              <w:bottom w:val="single" w:color="auto" w:sz="4" w:space="0"/>
              <w:right w:val="single" w:color="auto" w:sz="4" w:space="0"/>
            </w:tcBorders>
            <w:vAlign w:val="center"/>
          </w:tcPr>
          <w:p w14:paraId="20C4DA8C">
            <w:pPr>
              <w:widowControl/>
              <w:jc w:val="left"/>
              <w:rPr>
                <w:rFonts w:ascii="宋体" w:hAnsi="宋体" w:cs="宋体"/>
                <w:szCs w:val="21"/>
              </w:rPr>
            </w:pPr>
            <w:r>
              <w:rPr>
                <w:rFonts w:hint="eastAsia" w:ascii="宋体" w:hAnsi="宋体" w:cs="宋体"/>
                <w:szCs w:val="21"/>
              </w:rPr>
              <w:t>指标名称</w:t>
            </w:r>
          </w:p>
        </w:tc>
        <w:tc>
          <w:tcPr>
            <w:tcW w:w="1134" w:type="dxa"/>
            <w:tcBorders>
              <w:top w:val="single" w:color="auto" w:sz="4" w:space="0"/>
              <w:left w:val="nil"/>
              <w:bottom w:val="single" w:color="auto" w:sz="4" w:space="0"/>
              <w:right w:val="single" w:color="auto" w:sz="4" w:space="0"/>
            </w:tcBorders>
            <w:vAlign w:val="center"/>
          </w:tcPr>
          <w:p w14:paraId="4E70F39E">
            <w:pPr>
              <w:widowControl/>
              <w:jc w:val="left"/>
              <w:rPr>
                <w:rFonts w:ascii="宋体" w:hAnsi="宋体" w:cs="宋体"/>
                <w:szCs w:val="21"/>
              </w:rPr>
            </w:pPr>
            <w:r>
              <w:rPr>
                <w:rFonts w:hint="eastAsia" w:ascii="宋体" w:hAnsi="宋体" w:cs="宋体"/>
                <w:szCs w:val="21"/>
              </w:rPr>
              <w:t>计量单位</w:t>
            </w:r>
          </w:p>
        </w:tc>
        <w:tc>
          <w:tcPr>
            <w:tcW w:w="1846" w:type="dxa"/>
            <w:tcBorders>
              <w:top w:val="single" w:color="auto" w:sz="4" w:space="0"/>
              <w:left w:val="nil"/>
              <w:bottom w:val="single" w:color="auto" w:sz="4" w:space="0"/>
              <w:right w:val="single" w:color="auto" w:sz="4" w:space="0"/>
            </w:tcBorders>
            <w:vAlign w:val="center"/>
          </w:tcPr>
          <w:p w14:paraId="04AAB2B9">
            <w:pPr>
              <w:widowControl/>
              <w:jc w:val="left"/>
              <w:rPr>
                <w:rFonts w:ascii="宋体" w:hAnsi="宋体" w:cs="宋体"/>
                <w:szCs w:val="21"/>
              </w:rPr>
            </w:pPr>
            <w:r>
              <w:rPr>
                <w:rFonts w:hint="eastAsia" w:ascii="宋体" w:hAnsi="宋体" w:cs="宋体"/>
                <w:szCs w:val="21"/>
              </w:rPr>
              <w:t>中型</w:t>
            </w:r>
          </w:p>
        </w:tc>
        <w:tc>
          <w:tcPr>
            <w:tcW w:w="1570" w:type="dxa"/>
            <w:tcBorders>
              <w:top w:val="single" w:color="auto" w:sz="4" w:space="0"/>
              <w:left w:val="nil"/>
              <w:bottom w:val="single" w:color="auto" w:sz="4" w:space="0"/>
              <w:right w:val="single" w:color="auto" w:sz="4" w:space="0"/>
            </w:tcBorders>
            <w:vAlign w:val="center"/>
          </w:tcPr>
          <w:p w14:paraId="08D6E25F">
            <w:pPr>
              <w:widowControl/>
              <w:jc w:val="left"/>
              <w:rPr>
                <w:rFonts w:ascii="宋体" w:hAnsi="宋体" w:cs="宋体"/>
                <w:szCs w:val="21"/>
              </w:rPr>
            </w:pPr>
            <w:r>
              <w:rPr>
                <w:rFonts w:hint="eastAsia" w:ascii="宋体" w:hAnsi="宋体" w:cs="宋体"/>
                <w:szCs w:val="21"/>
              </w:rPr>
              <w:t>小型</w:t>
            </w:r>
          </w:p>
        </w:tc>
        <w:tc>
          <w:tcPr>
            <w:tcW w:w="1009" w:type="dxa"/>
            <w:tcBorders>
              <w:top w:val="single" w:color="auto" w:sz="4" w:space="0"/>
              <w:left w:val="nil"/>
              <w:bottom w:val="single" w:color="auto" w:sz="4" w:space="0"/>
              <w:right w:val="single" w:color="auto" w:sz="4" w:space="0"/>
            </w:tcBorders>
            <w:vAlign w:val="center"/>
          </w:tcPr>
          <w:p w14:paraId="78EF4065">
            <w:pPr>
              <w:widowControl/>
              <w:jc w:val="left"/>
              <w:rPr>
                <w:rFonts w:ascii="宋体" w:hAnsi="宋体" w:cs="宋体"/>
                <w:szCs w:val="21"/>
              </w:rPr>
            </w:pPr>
            <w:r>
              <w:rPr>
                <w:rFonts w:hint="eastAsia" w:ascii="宋体" w:hAnsi="宋体" w:cs="宋体"/>
                <w:szCs w:val="21"/>
              </w:rPr>
              <w:t>微型</w:t>
            </w:r>
          </w:p>
        </w:tc>
      </w:tr>
      <w:tr w14:paraId="7DD8D04C">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7761C69C">
            <w:pPr>
              <w:widowControl/>
              <w:jc w:val="center"/>
              <w:rPr>
                <w:rFonts w:ascii="宋体" w:hAnsi="宋体" w:cs="宋体"/>
                <w:szCs w:val="21"/>
              </w:rPr>
            </w:pPr>
            <w:r>
              <w:rPr>
                <w:rFonts w:hint="eastAsia" w:ascii="宋体" w:hAnsi="宋体" w:cs="宋体"/>
                <w:szCs w:val="21"/>
              </w:rPr>
              <w:t>农、林、牧、渔</w:t>
            </w:r>
          </w:p>
        </w:tc>
        <w:tc>
          <w:tcPr>
            <w:tcW w:w="1701" w:type="dxa"/>
            <w:tcBorders>
              <w:top w:val="nil"/>
              <w:left w:val="nil"/>
              <w:bottom w:val="single" w:color="auto" w:sz="4" w:space="0"/>
              <w:right w:val="single" w:color="auto" w:sz="4" w:space="0"/>
            </w:tcBorders>
            <w:vAlign w:val="center"/>
          </w:tcPr>
          <w:p w14:paraId="32B49567">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4825CC6">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7DEB4686">
            <w:pPr>
              <w:widowControl/>
              <w:jc w:val="left"/>
              <w:rPr>
                <w:rFonts w:ascii="宋体" w:hAnsi="宋体" w:cs="宋体"/>
                <w:szCs w:val="21"/>
              </w:rPr>
            </w:pPr>
            <w:r>
              <w:rPr>
                <w:rFonts w:hint="eastAsia" w:ascii="宋体" w:hAnsi="宋体" w:cs="宋体"/>
                <w:szCs w:val="21"/>
              </w:rPr>
              <w:t>500≤Y＜20000</w:t>
            </w:r>
          </w:p>
        </w:tc>
        <w:tc>
          <w:tcPr>
            <w:tcW w:w="1570" w:type="dxa"/>
            <w:tcBorders>
              <w:top w:val="nil"/>
              <w:left w:val="nil"/>
              <w:bottom w:val="single" w:color="auto" w:sz="4" w:space="0"/>
              <w:right w:val="single" w:color="auto" w:sz="4" w:space="0"/>
            </w:tcBorders>
            <w:vAlign w:val="center"/>
          </w:tcPr>
          <w:p w14:paraId="44B06498">
            <w:pPr>
              <w:widowControl/>
              <w:jc w:val="left"/>
              <w:rPr>
                <w:rFonts w:ascii="宋体" w:hAnsi="宋体" w:cs="宋体"/>
                <w:szCs w:val="21"/>
              </w:rPr>
            </w:pPr>
            <w:r>
              <w:rPr>
                <w:rFonts w:hint="eastAsia" w:ascii="宋体" w:hAnsi="宋体" w:cs="宋体"/>
                <w:szCs w:val="21"/>
              </w:rPr>
              <w:t>50≤Y＜500</w:t>
            </w:r>
          </w:p>
        </w:tc>
        <w:tc>
          <w:tcPr>
            <w:tcW w:w="1009" w:type="dxa"/>
            <w:tcBorders>
              <w:top w:val="nil"/>
              <w:left w:val="nil"/>
              <w:bottom w:val="single" w:color="auto" w:sz="4" w:space="0"/>
              <w:right w:val="single" w:color="auto" w:sz="4" w:space="0"/>
            </w:tcBorders>
            <w:vAlign w:val="center"/>
          </w:tcPr>
          <w:p w14:paraId="1FAB0E3D">
            <w:pPr>
              <w:widowControl/>
              <w:jc w:val="left"/>
              <w:rPr>
                <w:rFonts w:ascii="宋体" w:hAnsi="宋体" w:cs="宋体"/>
                <w:szCs w:val="21"/>
              </w:rPr>
            </w:pPr>
            <w:r>
              <w:rPr>
                <w:rFonts w:hint="eastAsia" w:ascii="宋体" w:hAnsi="宋体" w:cs="宋体"/>
                <w:szCs w:val="21"/>
              </w:rPr>
              <w:t>Y＜50</w:t>
            </w:r>
          </w:p>
        </w:tc>
      </w:tr>
      <w:tr w14:paraId="631E354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37253D4">
            <w:pPr>
              <w:widowControl/>
              <w:jc w:val="center"/>
              <w:rPr>
                <w:rFonts w:ascii="宋体" w:hAnsi="宋体" w:cs="宋体"/>
                <w:szCs w:val="21"/>
              </w:rPr>
            </w:pPr>
            <w:r>
              <w:rPr>
                <w:rFonts w:hint="eastAsia" w:ascii="宋体" w:hAnsi="宋体" w:cs="宋体"/>
                <w:szCs w:val="21"/>
              </w:rPr>
              <w:t>工业</w:t>
            </w:r>
          </w:p>
        </w:tc>
        <w:tc>
          <w:tcPr>
            <w:tcW w:w="1701" w:type="dxa"/>
            <w:tcBorders>
              <w:top w:val="nil"/>
              <w:left w:val="nil"/>
              <w:bottom w:val="single" w:color="auto" w:sz="4" w:space="0"/>
              <w:right w:val="single" w:color="auto" w:sz="4" w:space="0"/>
            </w:tcBorders>
            <w:vAlign w:val="center"/>
          </w:tcPr>
          <w:p w14:paraId="20A2CFBA">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43BA2368">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176F5563">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6F86869B">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38985E9F">
            <w:pPr>
              <w:widowControl/>
              <w:jc w:val="left"/>
              <w:rPr>
                <w:rFonts w:ascii="宋体" w:hAnsi="宋体" w:cs="宋体"/>
                <w:szCs w:val="21"/>
              </w:rPr>
            </w:pPr>
            <w:r>
              <w:rPr>
                <w:rFonts w:hint="eastAsia" w:ascii="宋体" w:hAnsi="宋体" w:cs="宋体"/>
                <w:szCs w:val="21"/>
              </w:rPr>
              <w:t>X＜20</w:t>
            </w:r>
          </w:p>
        </w:tc>
      </w:tr>
      <w:tr w14:paraId="3449231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A8E0F62">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4BF0DC71">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1F0AED67">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5D1A0FCC">
            <w:pPr>
              <w:widowControl/>
              <w:jc w:val="left"/>
              <w:rPr>
                <w:rFonts w:ascii="宋体" w:hAnsi="宋体" w:cs="宋体"/>
                <w:szCs w:val="21"/>
              </w:rPr>
            </w:pPr>
            <w:r>
              <w:rPr>
                <w:rFonts w:hint="eastAsia" w:ascii="宋体" w:hAnsi="宋体" w:cs="宋体"/>
                <w:szCs w:val="21"/>
              </w:rPr>
              <w:t>2000≤Y＜40000</w:t>
            </w:r>
          </w:p>
        </w:tc>
        <w:tc>
          <w:tcPr>
            <w:tcW w:w="1570" w:type="dxa"/>
            <w:tcBorders>
              <w:top w:val="nil"/>
              <w:left w:val="nil"/>
              <w:bottom w:val="single" w:color="auto" w:sz="4" w:space="0"/>
              <w:right w:val="single" w:color="auto" w:sz="4" w:space="0"/>
            </w:tcBorders>
            <w:vAlign w:val="center"/>
          </w:tcPr>
          <w:p w14:paraId="3972AA6B">
            <w:pPr>
              <w:widowControl/>
              <w:jc w:val="left"/>
              <w:rPr>
                <w:rFonts w:ascii="宋体" w:hAnsi="宋体" w:cs="宋体"/>
                <w:szCs w:val="21"/>
              </w:rPr>
            </w:pPr>
            <w:r>
              <w:rPr>
                <w:rFonts w:hint="eastAsia" w:ascii="宋体" w:hAnsi="宋体" w:cs="宋体"/>
                <w:szCs w:val="21"/>
              </w:rPr>
              <w:t>300≤Y＜2000</w:t>
            </w:r>
          </w:p>
        </w:tc>
        <w:tc>
          <w:tcPr>
            <w:tcW w:w="1009" w:type="dxa"/>
            <w:tcBorders>
              <w:top w:val="nil"/>
              <w:left w:val="nil"/>
              <w:bottom w:val="single" w:color="auto" w:sz="4" w:space="0"/>
              <w:right w:val="single" w:color="auto" w:sz="4" w:space="0"/>
            </w:tcBorders>
            <w:vAlign w:val="center"/>
          </w:tcPr>
          <w:p w14:paraId="4845409E">
            <w:pPr>
              <w:widowControl/>
              <w:jc w:val="left"/>
              <w:rPr>
                <w:rFonts w:ascii="宋体" w:hAnsi="宋体" w:cs="宋体"/>
                <w:szCs w:val="21"/>
              </w:rPr>
            </w:pPr>
            <w:r>
              <w:rPr>
                <w:rFonts w:hint="eastAsia" w:ascii="宋体" w:hAnsi="宋体" w:cs="宋体"/>
                <w:szCs w:val="21"/>
              </w:rPr>
              <w:t>Y＜300</w:t>
            </w:r>
          </w:p>
        </w:tc>
      </w:tr>
      <w:tr w14:paraId="021398D8">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4796D06">
            <w:pPr>
              <w:widowControl/>
              <w:jc w:val="center"/>
              <w:rPr>
                <w:rFonts w:ascii="宋体" w:hAnsi="宋体" w:cs="宋体"/>
                <w:szCs w:val="21"/>
              </w:rPr>
            </w:pPr>
            <w:r>
              <w:rPr>
                <w:rFonts w:hint="eastAsia" w:ascii="宋体" w:hAnsi="宋体" w:cs="宋体"/>
                <w:szCs w:val="21"/>
              </w:rPr>
              <w:t>建筑业</w:t>
            </w:r>
          </w:p>
        </w:tc>
        <w:tc>
          <w:tcPr>
            <w:tcW w:w="1701" w:type="dxa"/>
            <w:tcBorders>
              <w:top w:val="nil"/>
              <w:left w:val="nil"/>
              <w:bottom w:val="single" w:color="auto" w:sz="4" w:space="0"/>
              <w:right w:val="single" w:color="auto" w:sz="4" w:space="0"/>
            </w:tcBorders>
            <w:vAlign w:val="center"/>
          </w:tcPr>
          <w:p w14:paraId="2EA4F66F">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47F97444">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A337832">
            <w:pPr>
              <w:widowControl/>
              <w:jc w:val="left"/>
              <w:rPr>
                <w:rFonts w:ascii="宋体" w:hAnsi="宋体" w:cs="宋体"/>
                <w:szCs w:val="21"/>
              </w:rPr>
            </w:pPr>
            <w:r>
              <w:rPr>
                <w:rFonts w:hint="eastAsia" w:ascii="宋体" w:hAnsi="宋体" w:cs="宋体"/>
                <w:szCs w:val="21"/>
              </w:rPr>
              <w:t>6000≤Y＜80000</w:t>
            </w:r>
          </w:p>
        </w:tc>
        <w:tc>
          <w:tcPr>
            <w:tcW w:w="1570" w:type="dxa"/>
            <w:tcBorders>
              <w:top w:val="nil"/>
              <w:left w:val="nil"/>
              <w:bottom w:val="single" w:color="auto" w:sz="4" w:space="0"/>
              <w:right w:val="single" w:color="auto" w:sz="4" w:space="0"/>
            </w:tcBorders>
            <w:vAlign w:val="center"/>
          </w:tcPr>
          <w:p w14:paraId="55FF41CD">
            <w:pPr>
              <w:widowControl/>
              <w:jc w:val="left"/>
              <w:rPr>
                <w:rFonts w:ascii="宋体" w:hAnsi="宋体" w:cs="宋体"/>
                <w:szCs w:val="21"/>
              </w:rPr>
            </w:pPr>
            <w:r>
              <w:rPr>
                <w:rFonts w:hint="eastAsia" w:ascii="宋体" w:hAnsi="宋体" w:cs="宋体"/>
                <w:szCs w:val="21"/>
              </w:rPr>
              <w:t>300≤Y＜6000</w:t>
            </w:r>
          </w:p>
        </w:tc>
        <w:tc>
          <w:tcPr>
            <w:tcW w:w="1009" w:type="dxa"/>
            <w:tcBorders>
              <w:top w:val="nil"/>
              <w:left w:val="nil"/>
              <w:bottom w:val="single" w:color="auto" w:sz="4" w:space="0"/>
              <w:right w:val="single" w:color="auto" w:sz="4" w:space="0"/>
            </w:tcBorders>
            <w:vAlign w:val="center"/>
          </w:tcPr>
          <w:p w14:paraId="72C76528">
            <w:pPr>
              <w:widowControl/>
              <w:jc w:val="left"/>
              <w:rPr>
                <w:rFonts w:ascii="宋体" w:hAnsi="宋体" w:cs="宋体"/>
                <w:szCs w:val="21"/>
              </w:rPr>
            </w:pPr>
            <w:r>
              <w:rPr>
                <w:rFonts w:hint="eastAsia" w:ascii="宋体" w:hAnsi="宋体" w:cs="宋体"/>
                <w:szCs w:val="21"/>
              </w:rPr>
              <w:t>Y＜300</w:t>
            </w:r>
          </w:p>
        </w:tc>
      </w:tr>
      <w:tr w14:paraId="74EA283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33359431">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1112DF6">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1A7ECCDB">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0E8ED77E">
            <w:pPr>
              <w:widowControl/>
              <w:jc w:val="left"/>
              <w:rPr>
                <w:rFonts w:ascii="宋体" w:hAnsi="宋体" w:cs="宋体"/>
                <w:szCs w:val="21"/>
              </w:rPr>
            </w:pPr>
            <w:r>
              <w:rPr>
                <w:rFonts w:hint="eastAsia" w:ascii="宋体" w:hAnsi="宋体" w:cs="宋体"/>
                <w:szCs w:val="21"/>
              </w:rPr>
              <w:t>5000≤Z＜80000</w:t>
            </w:r>
          </w:p>
        </w:tc>
        <w:tc>
          <w:tcPr>
            <w:tcW w:w="1570" w:type="dxa"/>
            <w:tcBorders>
              <w:top w:val="nil"/>
              <w:left w:val="nil"/>
              <w:bottom w:val="single" w:color="auto" w:sz="4" w:space="0"/>
              <w:right w:val="single" w:color="auto" w:sz="4" w:space="0"/>
            </w:tcBorders>
            <w:vAlign w:val="center"/>
          </w:tcPr>
          <w:p w14:paraId="33BA1733">
            <w:pPr>
              <w:widowControl/>
              <w:jc w:val="left"/>
              <w:rPr>
                <w:rFonts w:ascii="宋体" w:hAnsi="宋体" w:cs="宋体"/>
                <w:szCs w:val="21"/>
              </w:rPr>
            </w:pPr>
            <w:r>
              <w:rPr>
                <w:rFonts w:hint="eastAsia" w:ascii="宋体" w:hAnsi="宋体" w:cs="宋体"/>
                <w:szCs w:val="21"/>
              </w:rPr>
              <w:t>300≤Z＜5000</w:t>
            </w:r>
          </w:p>
        </w:tc>
        <w:tc>
          <w:tcPr>
            <w:tcW w:w="1009" w:type="dxa"/>
            <w:tcBorders>
              <w:top w:val="nil"/>
              <w:left w:val="nil"/>
              <w:bottom w:val="single" w:color="auto" w:sz="4" w:space="0"/>
              <w:right w:val="single" w:color="auto" w:sz="4" w:space="0"/>
            </w:tcBorders>
            <w:vAlign w:val="center"/>
          </w:tcPr>
          <w:p w14:paraId="7771513B">
            <w:pPr>
              <w:widowControl/>
              <w:jc w:val="left"/>
              <w:rPr>
                <w:rFonts w:ascii="宋体" w:hAnsi="宋体" w:cs="宋体"/>
                <w:szCs w:val="21"/>
              </w:rPr>
            </w:pPr>
            <w:r>
              <w:rPr>
                <w:rFonts w:hint="eastAsia" w:ascii="宋体" w:hAnsi="宋体" w:cs="宋体"/>
                <w:szCs w:val="21"/>
              </w:rPr>
              <w:t>Z＜300</w:t>
            </w:r>
          </w:p>
        </w:tc>
      </w:tr>
      <w:tr w14:paraId="0FD02973">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33D4A0EA">
            <w:pPr>
              <w:widowControl/>
              <w:ind w:firstLine="315" w:firstLineChars="150"/>
              <w:rPr>
                <w:rFonts w:ascii="宋体" w:hAnsi="宋体" w:cs="宋体"/>
                <w:szCs w:val="21"/>
              </w:rPr>
            </w:pPr>
            <w:r>
              <w:rPr>
                <w:rFonts w:hint="eastAsia" w:ascii="宋体" w:hAnsi="宋体" w:cs="宋体"/>
                <w:szCs w:val="21"/>
              </w:rPr>
              <w:t>批发业</w:t>
            </w:r>
          </w:p>
        </w:tc>
        <w:tc>
          <w:tcPr>
            <w:tcW w:w="1701" w:type="dxa"/>
            <w:tcBorders>
              <w:top w:val="nil"/>
              <w:left w:val="nil"/>
              <w:bottom w:val="single" w:color="auto" w:sz="4" w:space="0"/>
              <w:right w:val="single" w:color="auto" w:sz="4" w:space="0"/>
            </w:tcBorders>
            <w:vAlign w:val="center"/>
          </w:tcPr>
          <w:p w14:paraId="553311BA">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CA061F6">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DC302BE">
            <w:pPr>
              <w:widowControl/>
              <w:jc w:val="left"/>
              <w:rPr>
                <w:rFonts w:ascii="宋体" w:hAnsi="宋体" w:cs="宋体"/>
                <w:szCs w:val="21"/>
              </w:rPr>
            </w:pPr>
            <w:r>
              <w:rPr>
                <w:rFonts w:hint="eastAsia" w:ascii="宋体" w:hAnsi="宋体" w:cs="宋体"/>
                <w:szCs w:val="21"/>
              </w:rPr>
              <w:t>20≤X＜200</w:t>
            </w:r>
          </w:p>
        </w:tc>
        <w:tc>
          <w:tcPr>
            <w:tcW w:w="1570" w:type="dxa"/>
            <w:tcBorders>
              <w:top w:val="nil"/>
              <w:left w:val="nil"/>
              <w:bottom w:val="single" w:color="auto" w:sz="4" w:space="0"/>
              <w:right w:val="single" w:color="auto" w:sz="4" w:space="0"/>
            </w:tcBorders>
            <w:vAlign w:val="center"/>
          </w:tcPr>
          <w:p w14:paraId="4D160791">
            <w:pPr>
              <w:widowControl/>
              <w:jc w:val="left"/>
              <w:rPr>
                <w:rFonts w:ascii="宋体" w:hAnsi="宋体" w:cs="宋体"/>
                <w:szCs w:val="21"/>
              </w:rPr>
            </w:pPr>
            <w:r>
              <w:rPr>
                <w:rFonts w:hint="eastAsia" w:ascii="宋体" w:hAnsi="宋体" w:cs="宋体"/>
                <w:szCs w:val="21"/>
              </w:rPr>
              <w:t>5≤X＜20</w:t>
            </w:r>
          </w:p>
        </w:tc>
        <w:tc>
          <w:tcPr>
            <w:tcW w:w="1009" w:type="dxa"/>
            <w:tcBorders>
              <w:top w:val="nil"/>
              <w:left w:val="nil"/>
              <w:bottom w:val="single" w:color="auto" w:sz="4" w:space="0"/>
              <w:right w:val="single" w:color="auto" w:sz="4" w:space="0"/>
            </w:tcBorders>
            <w:vAlign w:val="center"/>
          </w:tcPr>
          <w:p w14:paraId="17D55588">
            <w:pPr>
              <w:widowControl/>
              <w:jc w:val="left"/>
              <w:rPr>
                <w:rFonts w:ascii="宋体" w:hAnsi="宋体" w:cs="宋体"/>
                <w:szCs w:val="21"/>
              </w:rPr>
            </w:pPr>
            <w:r>
              <w:rPr>
                <w:rFonts w:hint="eastAsia" w:ascii="宋体" w:hAnsi="宋体" w:cs="宋体"/>
                <w:szCs w:val="21"/>
              </w:rPr>
              <w:t>X＜5</w:t>
            </w:r>
          </w:p>
        </w:tc>
      </w:tr>
      <w:tr w14:paraId="0725BBB1">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1AB1AF">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3E4D6B49">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14BBAAD2">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68343822">
            <w:pPr>
              <w:widowControl/>
              <w:jc w:val="left"/>
              <w:rPr>
                <w:rFonts w:ascii="宋体" w:hAnsi="宋体" w:cs="宋体"/>
                <w:szCs w:val="21"/>
              </w:rPr>
            </w:pPr>
            <w:r>
              <w:rPr>
                <w:rFonts w:hint="eastAsia" w:ascii="宋体" w:hAnsi="宋体" w:cs="宋体"/>
                <w:szCs w:val="21"/>
              </w:rPr>
              <w:t>5000≤Y＜40000</w:t>
            </w:r>
          </w:p>
        </w:tc>
        <w:tc>
          <w:tcPr>
            <w:tcW w:w="1570" w:type="dxa"/>
            <w:tcBorders>
              <w:top w:val="nil"/>
              <w:left w:val="nil"/>
              <w:bottom w:val="single" w:color="auto" w:sz="4" w:space="0"/>
              <w:right w:val="single" w:color="auto" w:sz="4" w:space="0"/>
            </w:tcBorders>
            <w:vAlign w:val="center"/>
          </w:tcPr>
          <w:p w14:paraId="4E3BE1AA">
            <w:pPr>
              <w:widowControl/>
              <w:jc w:val="left"/>
              <w:rPr>
                <w:rFonts w:ascii="宋体" w:hAnsi="宋体" w:cs="宋体"/>
                <w:szCs w:val="21"/>
              </w:rPr>
            </w:pPr>
            <w:r>
              <w:rPr>
                <w:rFonts w:hint="eastAsia" w:ascii="宋体" w:hAnsi="宋体" w:cs="宋体"/>
                <w:szCs w:val="21"/>
              </w:rPr>
              <w:t>1000≤Y＜5000</w:t>
            </w:r>
          </w:p>
        </w:tc>
        <w:tc>
          <w:tcPr>
            <w:tcW w:w="1009" w:type="dxa"/>
            <w:tcBorders>
              <w:top w:val="nil"/>
              <w:left w:val="nil"/>
              <w:bottom w:val="single" w:color="auto" w:sz="4" w:space="0"/>
              <w:right w:val="single" w:color="auto" w:sz="4" w:space="0"/>
            </w:tcBorders>
            <w:vAlign w:val="center"/>
          </w:tcPr>
          <w:p w14:paraId="0981454E">
            <w:pPr>
              <w:widowControl/>
              <w:jc w:val="left"/>
              <w:rPr>
                <w:rFonts w:ascii="宋体" w:hAnsi="宋体" w:cs="宋体"/>
                <w:szCs w:val="21"/>
              </w:rPr>
            </w:pPr>
            <w:r>
              <w:rPr>
                <w:rFonts w:hint="eastAsia" w:ascii="宋体" w:hAnsi="宋体" w:cs="宋体"/>
                <w:szCs w:val="21"/>
              </w:rPr>
              <w:t>Y＜1000</w:t>
            </w:r>
          </w:p>
        </w:tc>
      </w:tr>
      <w:tr w14:paraId="2DF4083B">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74F6A3C">
            <w:pPr>
              <w:widowControl/>
              <w:jc w:val="center"/>
              <w:rPr>
                <w:rFonts w:ascii="宋体" w:hAnsi="宋体" w:cs="宋体"/>
                <w:szCs w:val="21"/>
              </w:rPr>
            </w:pPr>
            <w:r>
              <w:rPr>
                <w:rFonts w:hint="eastAsia" w:ascii="宋体" w:hAnsi="宋体" w:cs="宋体"/>
                <w:szCs w:val="21"/>
              </w:rPr>
              <w:t>零售业</w:t>
            </w:r>
          </w:p>
        </w:tc>
        <w:tc>
          <w:tcPr>
            <w:tcW w:w="1701" w:type="dxa"/>
            <w:tcBorders>
              <w:top w:val="nil"/>
              <w:left w:val="nil"/>
              <w:bottom w:val="single" w:color="auto" w:sz="4" w:space="0"/>
              <w:right w:val="single" w:color="auto" w:sz="4" w:space="0"/>
            </w:tcBorders>
            <w:vAlign w:val="center"/>
          </w:tcPr>
          <w:p w14:paraId="3B99059B">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470B90D">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1D955E2">
            <w:pPr>
              <w:widowControl/>
              <w:jc w:val="left"/>
              <w:rPr>
                <w:rFonts w:ascii="宋体" w:hAnsi="宋体" w:cs="宋体"/>
                <w:szCs w:val="21"/>
              </w:rPr>
            </w:pPr>
            <w:r>
              <w:rPr>
                <w:rFonts w:hint="eastAsia" w:ascii="宋体" w:hAnsi="宋体" w:cs="宋体"/>
                <w:szCs w:val="21"/>
              </w:rPr>
              <w:t>50≤X＜300</w:t>
            </w:r>
          </w:p>
        </w:tc>
        <w:tc>
          <w:tcPr>
            <w:tcW w:w="1570" w:type="dxa"/>
            <w:tcBorders>
              <w:top w:val="nil"/>
              <w:left w:val="nil"/>
              <w:bottom w:val="single" w:color="auto" w:sz="4" w:space="0"/>
              <w:right w:val="single" w:color="auto" w:sz="4" w:space="0"/>
            </w:tcBorders>
            <w:vAlign w:val="center"/>
          </w:tcPr>
          <w:p w14:paraId="6C615B08">
            <w:pPr>
              <w:widowControl/>
              <w:jc w:val="left"/>
              <w:rPr>
                <w:rFonts w:ascii="宋体" w:hAnsi="宋体" w:cs="宋体"/>
                <w:szCs w:val="21"/>
              </w:rPr>
            </w:pPr>
            <w:r>
              <w:rPr>
                <w:rFonts w:hint="eastAsia" w:ascii="宋体" w:hAnsi="宋体" w:cs="宋体"/>
                <w:szCs w:val="21"/>
              </w:rPr>
              <w:t>10≤X＜50</w:t>
            </w:r>
          </w:p>
        </w:tc>
        <w:tc>
          <w:tcPr>
            <w:tcW w:w="1009" w:type="dxa"/>
            <w:tcBorders>
              <w:top w:val="nil"/>
              <w:left w:val="nil"/>
              <w:bottom w:val="single" w:color="auto" w:sz="4" w:space="0"/>
              <w:right w:val="single" w:color="auto" w:sz="4" w:space="0"/>
            </w:tcBorders>
            <w:vAlign w:val="center"/>
          </w:tcPr>
          <w:p w14:paraId="47620FFA">
            <w:pPr>
              <w:widowControl/>
              <w:jc w:val="left"/>
              <w:rPr>
                <w:rFonts w:ascii="宋体" w:hAnsi="宋体" w:cs="宋体"/>
                <w:szCs w:val="21"/>
              </w:rPr>
            </w:pPr>
            <w:r>
              <w:rPr>
                <w:rFonts w:hint="eastAsia" w:ascii="宋体" w:hAnsi="宋体" w:cs="宋体"/>
                <w:szCs w:val="21"/>
              </w:rPr>
              <w:t>X＜10</w:t>
            </w:r>
          </w:p>
        </w:tc>
      </w:tr>
      <w:tr w14:paraId="3256FAD4">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CF6F76B">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7265070">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833EA3E">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1E1385AD">
            <w:pPr>
              <w:widowControl/>
              <w:jc w:val="left"/>
              <w:rPr>
                <w:rFonts w:ascii="宋体" w:hAnsi="宋体" w:cs="宋体"/>
                <w:szCs w:val="21"/>
              </w:rPr>
            </w:pPr>
            <w:r>
              <w:rPr>
                <w:rFonts w:hint="eastAsia" w:ascii="宋体" w:hAnsi="宋体" w:cs="宋体"/>
                <w:szCs w:val="21"/>
              </w:rPr>
              <w:t>500≤Y＜20000</w:t>
            </w:r>
          </w:p>
        </w:tc>
        <w:tc>
          <w:tcPr>
            <w:tcW w:w="1570" w:type="dxa"/>
            <w:tcBorders>
              <w:top w:val="nil"/>
              <w:left w:val="nil"/>
              <w:bottom w:val="single" w:color="auto" w:sz="4" w:space="0"/>
              <w:right w:val="single" w:color="auto" w:sz="4" w:space="0"/>
            </w:tcBorders>
            <w:vAlign w:val="center"/>
          </w:tcPr>
          <w:p w14:paraId="49BE3BBD">
            <w:pPr>
              <w:widowControl/>
              <w:jc w:val="left"/>
              <w:rPr>
                <w:rFonts w:ascii="宋体" w:hAnsi="宋体" w:cs="宋体"/>
                <w:szCs w:val="21"/>
              </w:rPr>
            </w:pPr>
            <w:r>
              <w:rPr>
                <w:rFonts w:hint="eastAsia" w:ascii="宋体" w:hAnsi="宋体" w:cs="宋体"/>
                <w:szCs w:val="21"/>
              </w:rPr>
              <w:t>100≤Y＜500</w:t>
            </w:r>
          </w:p>
        </w:tc>
        <w:tc>
          <w:tcPr>
            <w:tcW w:w="1009" w:type="dxa"/>
            <w:tcBorders>
              <w:top w:val="nil"/>
              <w:left w:val="nil"/>
              <w:bottom w:val="single" w:color="auto" w:sz="4" w:space="0"/>
              <w:right w:val="single" w:color="auto" w:sz="4" w:space="0"/>
            </w:tcBorders>
            <w:vAlign w:val="center"/>
          </w:tcPr>
          <w:p w14:paraId="4B4FC943">
            <w:pPr>
              <w:widowControl/>
              <w:jc w:val="left"/>
              <w:rPr>
                <w:rFonts w:ascii="宋体" w:hAnsi="宋体" w:cs="宋体"/>
                <w:szCs w:val="21"/>
              </w:rPr>
            </w:pPr>
            <w:r>
              <w:rPr>
                <w:rFonts w:hint="eastAsia" w:ascii="宋体" w:hAnsi="宋体" w:cs="宋体"/>
                <w:szCs w:val="21"/>
              </w:rPr>
              <w:t>Y＜100</w:t>
            </w:r>
          </w:p>
        </w:tc>
      </w:tr>
      <w:tr w14:paraId="528609E6">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7578F2E">
            <w:pPr>
              <w:widowControl/>
              <w:jc w:val="center"/>
              <w:rPr>
                <w:rFonts w:ascii="宋体" w:hAnsi="宋体" w:cs="宋体"/>
                <w:szCs w:val="21"/>
              </w:rPr>
            </w:pPr>
            <w:r>
              <w:rPr>
                <w:rFonts w:hint="eastAsia" w:ascii="宋体" w:hAnsi="宋体" w:cs="宋体"/>
                <w:szCs w:val="21"/>
              </w:rPr>
              <w:t>交通运输业</w:t>
            </w:r>
          </w:p>
        </w:tc>
        <w:tc>
          <w:tcPr>
            <w:tcW w:w="1701" w:type="dxa"/>
            <w:tcBorders>
              <w:top w:val="nil"/>
              <w:left w:val="nil"/>
              <w:bottom w:val="single" w:color="auto" w:sz="4" w:space="0"/>
              <w:right w:val="single" w:color="auto" w:sz="4" w:space="0"/>
            </w:tcBorders>
            <w:vAlign w:val="center"/>
          </w:tcPr>
          <w:p w14:paraId="7E19C1ED">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42548262">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00B06AC8">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46A738B5">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2610D722">
            <w:pPr>
              <w:widowControl/>
              <w:jc w:val="left"/>
              <w:rPr>
                <w:rFonts w:ascii="宋体" w:hAnsi="宋体" w:cs="宋体"/>
                <w:szCs w:val="21"/>
              </w:rPr>
            </w:pPr>
            <w:r>
              <w:rPr>
                <w:rFonts w:hint="eastAsia" w:ascii="宋体" w:hAnsi="宋体" w:cs="宋体"/>
                <w:szCs w:val="21"/>
              </w:rPr>
              <w:t>X＜20</w:t>
            </w:r>
          </w:p>
        </w:tc>
      </w:tr>
      <w:tr w14:paraId="49839E1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87236DE">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19A8914D">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488826DA">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40F77808">
            <w:pPr>
              <w:widowControl/>
              <w:jc w:val="left"/>
              <w:rPr>
                <w:rFonts w:ascii="宋体" w:hAnsi="宋体" w:cs="宋体"/>
                <w:szCs w:val="21"/>
              </w:rPr>
            </w:pPr>
            <w:r>
              <w:rPr>
                <w:rFonts w:hint="eastAsia" w:ascii="宋体" w:hAnsi="宋体" w:cs="宋体"/>
                <w:szCs w:val="21"/>
              </w:rPr>
              <w:t>3000≤Y＜30000</w:t>
            </w:r>
          </w:p>
        </w:tc>
        <w:tc>
          <w:tcPr>
            <w:tcW w:w="1570" w:type="dxa"/>
            <w:tcBorders>
              <w:top w:val="nil"/>
              <w:left w:val="nil"/>
              <w:bottom w:val="single" w:color="auto" w:sz="4" w:space="0"/>
              <w:right w:val="single" w:color="auto" w:sz="4" w:space="0"/>
            </w:tcBorders>
            <w:vAlign w:val="center"/>
          </w:tcPr>
          <w:p w14:paraId="596780FB">
            <w:pPr>
              <w:widowControl/>
              <w:jc w:val="left"/>
              <w:rPr>
                <w:rFonts w:ascii="宋体" w:hAnsi="宋体" w:cs="宋体"/>
                <w:szCs w:val="21"/>
              </w:rPr>
            </w:pPr>
            <w:r>
              <w:rPr>
                <w:rFonts w:hint="eastAsia" w:ascii="宋体" w:hAnsi="宋体" w:cs="宋体"/>
                <w:szCs w:val="21"/>
              </w:rPr>
              <w:t>200≤Y＜3000</w:t>
            </w:r>
          </w:p>
        </w:tc>
        <w:tc>
          <w:tcPr>
            <w:tcW w:w="1009" w:type="dxa"/>
            <w:tcBorders>
              <w:top w:val="nil"/>
              <w:left w:val="nil"/>
              <w:bottom w:val="single" w:color="auto" w:sz="4" w:space="0"/>
              <w:right w:val="single" w:color="auto" w:sz="4" w:space="0"/>
            </w:tcBorders>
            <w:vAlign w:val="center"/>
          </w:tcPr>
          <w:p w14:paraId="713FACFD">
            <w:pPr>
              <w:widowControl/>
              <w:jc w:val="left"/>
              <w:rPr>
                <w:rFonts w:ascii="宋体" w:hAnsi="宋体" w:cs="宋体"/>
                <w:szCs w:val="21"/>
              </w:rPr>
            </w:pPr>
            <w:r>
              <w:rPr>
                <w:rFonts w:hint="eastAsia" w:ascii="宋体" w:hAnsi="宋体" w:cs="宋体"/>
                <w:szCs w:val="21"/>
              </w:rPr>
              <w:t>Y＜200</w:t>
            </w:r>
          </w:p>
        </w:tc>
      </w:tr>
      <w:tr w14:paraId="4CF5B76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7219D2C">
            <w:pPr>
              <w:widowControl/>
              <w:jc w:val="center"/>
              <w:rPr>
                <w:rFonts w:ascii="宋体" w:hAnsi="宋体" w:cs="宋体"/>
                <w:szCs w:val="21"/>
              </w:rPr>
            </w:pPr>
            <w:r>
              <w:rPr>
                <w:rFonts w:hint="eastAsia" w:ascii="宋体" w:hAnsi="宋体" w:cs="宋体"/>
                <w:szCs w:val="21"/>
              </w:rPr>
              <w:t>仓储业</w:t>
            </w:r>
          </w:p>
        </w:tc>
        <w:tc>
          <w:tcPr>
            <w:tcW w:w="1701" w:type="dxa"/>
            <w:tcBorders>
              <w:top w:val="nil"/>
              <w:left w:val="nil"/>
              <w:bottom w:val="single" w:color="auto" w:sz="4" w:space="0"/>
              <w:right w:val="single" w:color="auto" w:sz="4" w:space="0"/>
            </w:tcBorders>
            <w:vAlign w:val="center"/>
          </w:tcPr>
          <w:p w14:paraId="49A4F5E4">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5338E99E">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53784931">
            <w:pPr>
              <w:widowControl/>
              <w:jc w:val="left"/>
              <w:rPr>
                <w:rFonts w:ascii="宋体" w:hAnsi="宋体" w:cs="宋体"/>
                <w:szCs w:val="21"/>
              </w:rPr>
            </w:pPr>
            <w:r>
              <w:rPr>
                <w:rFonts w:hint="eastAsia" w:ascii="宋体" w:hAnsi="宋体" w:cs="宋体"/>
                <w:szCs w:val="21"/>
              </w:rPr>
              <w:t>100≤X＜200</w:t>
            </w:r>
          </w:p>
        </w:tc>
        <w:tc>
          <w:tcPr>
            <w:tcW w:w="1570" w:type="dxa"/>
            <w:tcBorders>
              <w:top w:val="nil"/>
              <w:left w:val="nil"/>
              <w:bottom w:val="single" w:color="auto" w:sz="4" w:space="0"/>
              <w:right w:val="single" w:color="auto" w:sz="4" w:space="0"/>
            </w:tcBorders>
            <w:vAlign w:val="center"/>
          </w:tcPr>
          <w:p w14:paraId="68A0A962">
            <w:pPr>
              <w:widowControl/>
              <w:jc w:val="left"/>
              <w:rPr>
                <w:rFonts w:ascii="宋体" w:hAnsi="宋体" w:cs="宋体"/>
                <w:szCs w:val="21"/>
              </w:rPr>
            </w:pPr>
            <w:r>
              <w:rPr>
                <w:rFonts w:hint="eastAsia" w:ascii="宋体" w:hAnsi="宋体" w:cs="宋体"/>
                <w:szCs w:val="21"/>
              </w:rPr>
              <w:t>20≤X＜100</w:t>
            </w:r>
          </w:p>
        </w:tc>
        <w:tc>
          <w:tcPr>
            <w:tcW w:w="1009" w:type="dxa"/>
            <w:tcBorders>
              <w:top w:val="nil"/>
              <w:left w:val="nil"/>
              <w:bottom w:val="single" w:color="auto" w:sz="4" w:space="0"/>
              <w:right w:val="single" w:color="auto" w:sz="4" w:space="0"/>
            </w:tcBorders>
            <w:vAlign w:val="center"/>
          </w:tcPr>
          <w:p w14:paraId="2553C679">
            <w:pPr>
              <w:widowControl/>
              <w:jc w:val="left"/>
              <w:rPr>
                <w:rFonts w:ascii="宋体" w:hAnsi="宋体" w:cs="宋体"/>
                <w:szCs w:val="21"/>
              </w:rPr>
            </w:pPr>
            <w:r>
              <w:rPr>
                <w:rFonts w:hint="eastAsia" w:ascii="宋体" w:hAnsi="宋体" w:cs="宋体"/>
                <w:szCs w:val="21"/>
              </w:rPr>
              <w:t>X＜20</w:t>
            </w:r>
          </w:p>
        </w:tc>
      </w:tr>
      <w:tr w14:paraId="30EC8770">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9740F8B">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24CA1E50">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4EA62A6">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4742706">
            <w:pPr>
              <w:widowControl/>
              <w:jc w:val="left"/>
              <w:rPr>
                <w:rFonts w:ascii="宋体" w:hAnsi="宋体" w:cs="宋体"/>
                <w:szCs w:val="21"/>
              </w:rPr>
            </w:pPr>
            <w:r>
              <w:rPr>
                <w:rFonts w:hint="eastAsia" w:ascii="宋体" w:hAnsi="宋体" w:cs="宋体"/>
                <w:szCs w:val="21"/>
              </w:rPr>
              <w:t>1000≤Y＜30000</w:t>
            </w:r>
          </w:p>
        </w:tc>
        <w:tc>
          <w:tcPr>
            <w:tcW w:w="1570" w:type="dxa"/>
            <w:tcBorders>
              <w:top w:val="nil"/>
              <w:left w:val="nil"/>
              <w:bottom w:val="single" w:color="auto" w:sz="4" w:space="0"/>
              <w:right w:val="single" w:color="auto" w:sz="4" w:space="0"/>
            </w:tcBorders>
            <w:vAlign w:val="center"/>
          </w:tcPr>
          <w:p w14:paraId="31B8FFCB">
            <w:pPr>
              <w:widowControl/>
              <w:jc w:val="left"/>
              <w:rPr>
                <w:rFonts w:ascii="宋体" w:hAnsi="宋体" w:cs="宋体"/>
                <w:szCs w:val="21"/>
              </w:rPr>
            </w:pPr>
            <w:r>
              <w:rPr>
                <w:rFonts w:hint="eastAsia" w:ascii="宋体" w:hAnsi="宋体" w:cs="宋体"/>
                <w:szCs w:val="21"/>
              </w:rPr>
              <w:t>100≤Y＜1000</w:t>
            </w:r>
          </w:p>
        </w:tc>
        <w:tc>
          <w:tcPr>
            <w:tcW w:w="1009" w:type="dxa"/>
            <w:tcBorders>
              <w:top w:val="nil"/>
              <w:left w:val="nil"/>
              <w:bottom w:val="single" w:color="auto" w:sz="4" w:space="0"/>
              <w:right w:val="single" w:color="auto" w:sz="4" w:space="0"/>
            </w:tcBorders>
            <w:vAlign w:val="center"/>
          </w:tcPr>
          <w:p w14:paraId="4E128CD5">
            <w:pPr>
              <w:widowControl/>
              <w:jc w:val="left"/>
              <w:rPr>
                <w:rFonts w:ascii="宋体" w:hAnsi="宋体" w:cs="宋体"/>
                <w:szCs w:val="21"/>
              </w:rPr>
            </w:pPr>
            <w:r>
              <w:rPr>
                <w:rFonts w:hint="eastAsia" w:ascii="宋体" w:hAnsi="宋体" w:cs="宋体"/>
                <w:szCs w:val="21"/>
              </w:rPr>
              <w:t>Y＜100</w:t>
            </w:r>
          </w:p>
        </w:tc>
      </w:tr>
      <w:tr w14:paraId="1A33872F">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73F79497">
            <w:pPr>
              <w:widowControl/>
              <w:jc w:val="center"/>
              <w:rPr>
                <w:rFonts w:ascii="宋体" w:hAnsi="宋体" w:cs="宋体"/>
                <w:szCs w:val="21"/>
              </w:rPr>
            </w:pPr>
            <w:r>
              <w:rPr>
                <w:rFonts w:hint="eastAsia" w:ascii="宋体" w:hAnsi="宋体" w:cs="宋体"/>
                <w:szCs w:val="21"/>
              </w:rPr>
              <w:t>邮政业</w:t>
            </w:r>
          </w:p>
        </w:tc>
        <w:tc>
          <w:tcPr>
            <w:tcW w:w="1701" w:type="dxa"/>
            <w:tcBorders>
              <w:top w:val="nil"/>
              <w:left w:val="nil"/>
              <w:bottom w:val="single" w:color="auto" w:sz="4" w:space="0"/>
              <w:right w:val="single" w:color="auto" w:sz="4" w:space="0"/>
            </w:tcBorders>
            <w:vAlign w:val="center"/>
          </w:tcPr>
          <w:p w14:paraId="699BB540">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4BF77E32">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6926265">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340CD919">
            <w:pPr>
              <w:widowControl/>
              <w:jc w:val="left"/>
              <w:rPr>
                <w:rFonts w:ascii="宋体" w:hAnsi="宋体" w:cs="宋体"/>
                <w:szCs w:val="21"/>
              </w:rPr>
            </w:pPr>
            <w:r>
              <w:rPr>
                <w:rFonts w:hint="eastAsia" w:ascii="宋体" w:hAnsi="宋体" w:cs="宋体"/>
                <w:szCs w:val="21"/>
              </w:rPr>
              <w:t>20≤X＜300</w:t>
            </w:r>
          </w:p>
        </w:tc>
        <w:tc>
          <w:tcPr>
            <w:tcW w:w="1009" w:type="dxa"/>
            <w:tcBorders>
              <w:top w:val="nil"/>
              <w:left w:val="nil"/>
              <w:bottom w:val="single" w:color="auto" w:sz="4" w:space="0"/>
              <w:right w:val="single" w:color="auto" w:sz="4" w:space="0"/>
            </w:tcBorders>
            <w:vAlign w:val="center"/>
          </w:tcPr>
          <w:p w14:paraId="243D694A">
            <w:pPr>
              <w:widowControl/>
              <w:jc w:val="left"/>
              <w:rPr>
                <w:rFonts w:ascii="宋体" w:hAnsi="宋体" w:cs="宋体"/>
                <w:szCs w:val="21"/>
              </w:rPr>
            </w:pPr>
            <w:r>
              <w:rPr>
                <w:rFonts w:hint="eastAsia" w:ascii="宋体" w:hAnsi="宋体" w:cs="宋体"/>
                <w:szCs w:val="21"/>
              </w:rPr>
              <w:t>X＜20</w:t>
            </w:r>
          </w:p>
        </w:tc>
      </w:tr>
      <w:tr w14:paraId="220E0D7A">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60F688A">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298D9112">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5BD97C39">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7C85AA23">
            <w:pPr>
              <w:widowControl/>
              <w:jc w:val="left"/>
              <w:rPr>
                <w:rFonts w:ascii="宋体" w:hAnsi="宋体" w:cs="宋体"/>
                <w:szCs w:val="21"/>
              </w:rPr>
            </w:pPr>
            <w:r>
              <w:rPr>
                <w:rFonts w:hint="eastAsia" w:ascii="宋体" w:hAnsi="宋体" w:cs="宋体"/>
                <w:szCs w:val="21"/>
              </w:rPr>
              <w:t>2000≤Y＜30000</w:t>
            </w:r>
          </w:p>
        </w:tc>
        <w:tc>
          <w:tcPr>
            <w:tcW w:w="1570" w:type="dxa"/>
            <w:tcBorders>
              <w:top w:val="nil"/>
              <w:left w:val="nil"/>
              <w:bottom w:val="single" w:color="auto" w:sz="4" w:space="0"/>
              <w:right w:val="single" w:color="auto" w:sz="4" w:space="0"/>
            </w:tcBorders>
            <w:vAlign w:val="center"/>
          </w:tcPr>
          <w:p w14:paraId="1CA2A0E5">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508808D7">
            <w:pPr>
              <w:widowControl/>
              <w:jc w:val="left"/>
              <w:rPr>
                <w:rFonts w:ascii="宋体" w:hAnsi="宋体" w:cs="宋体"/>
                <w:szCs w:val="21"/>
              </w:rPr>
            </w:pPr>
            <w:r>
              <w:rPr>
                <w:rFonts w:hint="eastAsia" w:ascii="宋体" w:hAnsi="宋体" w:cs="宋体"/>
                <w:szCs w:val="21"/>
              </w:rPr>
              <w:t>Y＜100</w:t>
            </w:r>
          </w:p>
        </w:tc>
      </w:tr>
      <w:tr w14:paraId="7398B6D7">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CFADB8E">
            <w:pPr>
              <w:widowControl/>
              <w:jc w:val="center"/>
              <w:rPr>
                <w:rFonts w:ascii="宋体" w:hAnsi="宋体" w:cs="宋体"/>
                <w:szCs w:val="21"/>
              </w:rPr>
            </w:pPr>
            <w:r>
              <w:rPr>
                <w:rFonts w:hint="eastAsia" w:ascii="宋体" w:hAnsi="宋体" w:cs="宋体"/>
                <w:szCs w:val="21"/>
              </w:rPr>
              <w:t>住宿业</w:t>
            </w:r>
          </w:p>
        </w:tc>
        <w:tc>
          <w:tcPr>
            <w:tcW w:w="1701" w:type="dxa"/>
            <w:tcBorders>
              <w:top w:val="nil"/>
              <w:left w:val="nil"/>
              <w:bottom w:val="single" w:color="auto" w:sz="4" w:space="0"/>
              <w:right w:val="single" w:color="auto" w:sz="4" w:space="0"/>
            </w:tcBorders>
            <w:vAlign w:val="center"/>
          </w:tcPr>
          <w:p w14:paraId="1AF87BFE">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A5C0647">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24A1D197">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4DB349AC">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2387728A">
            <w:pPr>
              <w:widowControl/>
              <w:jc w:val="left"/>
              <w:rPr>
                <w:rFonts w:ascii="宋体" w:hAnsi="宋体" w:cs="宋体"/>
                <w:szCs w:val="21"/>
              </w:rPr>
            </w:pPr>
            <w:r>
              <w:rPr>
                <w:rFonts w:hint="eastAsia" w:ascii="宋体" w:hAnsi="宋体" w:cs="宋体"/>
                <w:szCs w:val="21"/>
              </w:rPr>
              <w:t>X＜10</w:t>
            </w:r>
          </w:p>
        </w:tc>
      </w:tr>
      <w:tr w14:paraId="50CF3473">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0700C4C9">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6DC36359">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F01831A">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D498AA3">
            <w:pPr>
              <w:widowControl/>
              <w:jc w:val="left"/>
              <w:rPr>
                <w:rFonts w:ascii="宋体" w:hAnsi="宋体" w:cs="宋体"/>
                <w:szCs w:val="21"/>
              </w:rPr>
            </w:pPr>
            <w:r>
              <w:rPr>
                <w:rFonts w:hint="eastAsia" w:ascii="宋体" w:hAnsi="宋体" w:cs="宋体"/>
                <w:szCs w:val="21"/>
              </w:rPr>
              <w:t>2000≤Y＜10000</w:t>
            </w:r>
          </w:p>
        </w:tc>
        <w:tc>
          <w:tcPr>
            <w:tcW w:w="1570" w:type="dxa"/>
            <w:tcBorders>
              <w:top w:val="nil"/>
              <w:left w:val="nil"/>
              <w:bottom w:val="single" w:color="auto" w:sz="4" w:space="0"/>
              <w:right w:val="single" w:color="auto" w:sz="4" w:space="0"/>
            </w:tcBorders>
            <w:vAlign w:val="center"/>
          </w:tcPr>
          <w:p w14:paraId="194255A2">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10F55CC0">
            <w:pPr>
              <w:widowControl/>
              <w:jc w:val="left"/>
              <w:rPr>
                <w:rFonts w:ascii="宋体" w:hAnsi="宋体" w:cs="宋体"/>
                <w:szCs w:val="21"/>
              </w:rPr>
            </w:pPr>
            <w:r>
              <w:rPr>
                <w:rFonts w:hint="eastAsia" w:ascii="宋体" w:hAnsi="宋体" w:cs="宋体"/>
                <w:szCs w:val="21"/>
              </w:rPr>
              <w:t>Y＜100</w:t>
            </w:r>
          </w:p>
        </w:tc>
      </w:tr>
      <w:tr w14:paraId="3EFF42CE">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260176E1">
            <w:pPr>
              <w:widowControl/>
              <w:jc w:val="center"/>
              <w:rPr>
                <w:rFonts w:ascii="宋体" w:hAnsi="宋体" w:cs="宋体"/>
                <w:szCs w:val="21"/>
              </w:rPr>
            </w:pPr>
            <w:r>
              <w:rPr>
                <w:rFonts w:hint="eastAsia" w:ascii="宋体" w:hAnsi="宋体" w:cs="宋体"/>
                <w:szCs w:val="21"/>
              </w:rPr>
              <w:t>餐饮业</w:t>
            </w:r>
          </w:p>
        </w:tc>
        <w:tc>
          <w:tcPr>
            <w:tcW w:w="1701" w:type="dxa"/>
            <w:tcBorders>
              <w:top w:val="nil"/>
              <w:left w:val="nil"/>
              <w:bottom w:val="single" w:color="auto" w:sz="4" w:space="0"/>
              <w:right w:val="single" w:color="auto" w:sz="4" w:space="0"/>
            </w:tcBorders>
            <w:vAlign w:val="center"/>
          </w:tcPr>
          <w:p w14:paraId="6DCB3017">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3FEB5B7E">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407BFA0D">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18096871">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658700FA">
            <w:pPr>
              <w:widowControl/>
              <w:jc w:val="left"/>
              <w:rPr>
                <w:rFonts w:ascii="宋体" w:hAnsi="宋体" w:cs="宋体"/>
                <w:szCs w:val="21"/>
              </w:rPr>
            </w:pPr>
            <w:r>
              <w:rPr>
                <w:rFonts w:hint="eastAsia" w:ascii="宋体" w:hAnsi="宋体" w:cs="宋体"/>
                <w:szCs w:val="21"/>
              </w:rPr>
              <w:t>X＜10</w:t>
            </w:r>
          </w:p>
        </w:tc>
      </w:tr>
      <w:tr w14:paraId="33BE6CD9">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CFF8559">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11F6F751">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3563E206">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53D7F978">
            <w:pPr>
              <w:widowControl/>
              <w:jc w:val="left"/>
              <w:rPr>
                <w:rFonts w:ascii="宋体" w:hAnsi="宋体" w:cs="宋体"/>
                <w:szCs w:val="21"/>
              </w:rPr>
            </w:pPr>
            <w:r>
              <w:rPr>
                <w:rFonts w:hint="eastAsia" w:ascii="宋体" w:hAnsi="宋体" w:cs="宋体"/>
                <w:szCs w:val="21"/>
              </w:rPr>
              <w:t>2000≤Y＜10000</w:t>
            </w:r>
          </w:p>
        </w:tc>
        <w:tc>
          <w:tcPr>
            <w:tcW w:w="1570" w:type="dxa"/>
            <w:tcBorders>
              <w:top w:val="nil"/>
              <w:left w:val="nil"/>
              <w:bottom w:val="single" w:color="auto" w:sz="4" w:space="0"/>
              <w:right w:val="single" w:color="auto" w:sz="4" w:space="0"/>
            </w:tcBorders>
            <w:vAlign w:val="center"/>
          </w:tcPr>
          <w:p w14:paraId="6C3133BF">
            <w:pPr>
              <w:widowControl/>
              <w:jc w:val="left"/>
              <w:rPr>
                <w:rFonts w:ascii="宋体" w:hAnsi="宋体" w:cs="宋体"/>
                <w:szCs w:val="21"/>
              </w:rPr>
            </w:pPr>
            <w:r>
              <w:rPr>
                <w:rFonts w:hint="eastAsia" w:ascii="宋体" w:hAnsi="宋体" w:cs="宋体"/>
                <w:szCs w:val="21"/>
              </w:rPr>
              <w:t>100≤Y＜2000</w:t>
            </w:r>
          </w:p>
        </w:tc>
        <w:tc>
          <w:tcPr>
            <w:tcW w:w="1009" w:type="dxa"/>
            <w:tcBorders>
              <w:top w:val="nil"/>
              <w:left w:val="nil"/>
              <w:bottom w:val="single" w:color="auto" w:sz="4" w:space="0"/>
              <w:right w:val="single" w:color="auto" w:sz="4" w:space="0"/>
            </w:tcBorders>
            <w:vAlign w:val="center"/>
          </w:tcPr>
          <w:p w14:paraId="39EB71C3">
            <w:pPr>
              <w:widowControl/>
              <w:jc w:val="left"/>
              <w:rPr>
                <w:rFonts w:ascii="宋体" w:hAnsi="宋体" w:cs="宋体"/>
                <w:szCs w:val="21"/>
              </w:rPr>
            </w:pPr>
            <w:r>
              <w:rPr>
                <w:rFonts w:hint="eastAsia" w:ascii="宋体" w:hAnsi="宋体" w:cs="宋体"/>
                <w:szCs w:val="21"/>
              </w:rPr>
              <w:t>Y＜100</w:t>
            </w:r>
          </w:p>
        </w:tc>
      </w:tr>
      <w:tr w14:paraId="5855030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6A6AF70F">
            <w:pPr>
              <w:widowControl/>
              <w:jc w:val="center"/>
              <w:rPr>
                <w:rFonts w:ascii="宋体" w:hAnsi="宋体" w:cs="宋体"/>
                <w:szCs w:val="21"/>
              </w:rPr>
            </w:pPr>
            <w:r>
              <w:rPr>
                <w:rFonts w:hint="eastAsia" w:ascii="宋体" w:hAnsi="宋体" w:cs="宋体"/>
                <w:szCs w:val="21"/>
              </w:rPr>
              <w:t>信息传输业</w:t>
            </w:r>
          </w:p>
        </w:tc>
        <w:tc>
          <w:tcPr>
            <w:tcW w:w="1701" w:type="dxa"/>
            <w:tcBorders>
              <w:top w:val="nil"/>
              <w:left w:val="nil"/>
              <w:bottom w:val="single" w:color="auto" w:sz="4" w:space="0"/>
              <w:right w:val="single" w:color="auto" w:sz="4" w:space="0"/>
            </w:tcBorders>
            <w:vAlign w:val="center"/>
          </w:tcPr>
          <w:p w14:paraId="26402288">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57905666">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ECFF451">
            <w:pPr>
              <w:widowControl/>
              <w:jc w:val="left"/>
              <w:rPr>
                <w:rFonts w:ascii="宋体" w:hAnsi="宋体" w:cs="宋体"/>
                <w:szCs w:val="21"/>
              </w:rPr>
            </w:pPr>
            <w:r>
              <w:rPr>
                <w:rFonts w:hint="eastAsia" w:ascii="宋体" w:hAnsi="宋体" w:cs="宋体"/>
                <w:szCs w:val="21"/>
              </w:rPr>
              <w:t>100≤X＜2000</w:t>
            </w:r>
          </w:p>
        </w:tc>
        <w:tc>
          <w:tcPr>
            <w:tcW w:w="1570" w:type="dxa"/>
            <w:tcBorders>
              <w:top w:val="nil"/>
              <w:left w:val="nil"/>
              <w:bottom w:val="single" w:color="auto" w:sz="4" w:space="0"/>
              <w:right w:val="single" w:color="auto" w:sz="4" w:space="0"/>
            </w:tcBorders>
            <w:vAlign w:val="center"/>
          </w:tcPr>
          <w:p w14:paraId="1A331DD7">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56F3ED72">
            <w:pPr>
              <w:widowControl/>
              <w:jc w:val="left"/>
              <w:rPr>
                <w:rFonts w:ascii="宋体" w:hAnsi="宋体" w:cs="宋体"/>
                <w:szCs w:val="21"/>
              </w:rPr>
            </w:pPr>
            <w:r>
              <w:rPr>
                <w:rFonts w:hint="eastAsia" w:ascii="宋体" w:hAnsi="宋体" w:cs="宋体"/>
                <w:szCs w:val="21"/>
              </w:rPr>
              <w:t>X＜10</w:t>
            </w:r>
          </w:p>
        </w:tc>
      </w:tr>
      <w:tr w14:paraId="3816B9AD">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16B1BEDC">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41EBFDF8">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5E0697CD">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11CECF1B">
            <w:pPr>
              <w:widowControl/>
              <w:jc w:val="left"/>
              <w:rPr>
                <w:rFonts w:ascii="宋体" w:hAnsi="宋体" w:cs="宋体"/>
                <w:szCs w:val="21"/>
              </w:rPr>
            </w:pPr>
            <w:r>
              <w:rPr>
                <w:rFonts w:hint="eastAsia" w:ascii="宋体" w:hAnsi="宋体" w:cs="宋体"/>
                <w:szCs w:val="21"/>
              </w:rPr>
              <w:t>1000≤Y＜100000</w:t>
            </w:r>
          </w:p>
        </w:tc>
        <w:tc>
          <w:tcPr>
            <w:tcW w:w="1570" w:type="dxa"/>
            <w:tcBorders>
              <w:top w:val="nil"/>
              <w:left w:val="nil"/>
              <w:bottom w:val="single" w:color="auto" w:sz="4" w:space="0"/>
              <w:right w:val="single" w:color="auto" w:sz="4" w:space="0"/>
            </w:tcBorders>
            <w:vAlign w:val="center"/>
          </w:tcPr>
          <w:p w14:paraId="4D321D2C">
            <w:pPr>
              <w:widowControl/>
              <w:jc w:val="left"/>
              <w:rPr>
                <w:rFonts w:ascii="宋体" w:hAnsi="宋体" w:cs="宋体"/>
                <w:szCs w:val="21"/>
              </w:rPr>
            </w:pPr>
            <w:r>
              <w:rPr>
                <w:rFonts w:hint="eastAsia" w:ascii="宋体" w:hAnsi="宋体" w:cs="宋体"/>
                <w:szCs w:val="21"/>
              </w:rPr>
              <w:t>100≤Y＜1000</w:t>
            </w:r>
          </w:p>
        </w:tc>
        <w:tc>
          <w:tcPr>
            <w:tcW w:w="1009" w:type="dxa"/>
            <w:tcBorders>
              <w:top w:val="nil"/>
              <w:left w:val="nil"/>
              <w:bottom w:val="single" w:color="auto" w:sz="4" w:space="0"/>
              <w:right w:val="single" w:color="auto" w:sz="4" w:space="0"/>
            </w:tcBorders>
            <w:vAlign w:val="center"/>
          </w:tcPr>
          <w:p w14:paraId="55F72166">
            <w:pPr>
              <w:widowControl/>
              <w:jc w:val="left"/>
              <w:rPr>
                <w:rFonts w:ascii="宋体" w:hAnsi="宋体" w:cs="宋体"/>
                <w:szCs w:val="21"/>
              </w:rPr>
            </w:pPr>
            <w:r>
              <w:rPr>
                <w:rFonts w:hint="eastAsia" w:ascii="宋体" w:hAnsi="宋体" w:cs="宋体"/>
                <w:szCs w:val="21"/>
              </w:rPr>
              <w:t>Y＜100</w:t>
            </w:r>
          </w:p>
        </w:tc>
      </w:tr>
      <w:tr w14:paraId="025C89B5">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6706D8D">
            <w:pPr>
              <w:widowControl/>
              <w:jc w:val="center"/>
              <w:rPr>
                <w:rFonts w:ascii="宋体" w:hAnsi="宋体" w:cs="宋体"/>
                <w:szCs w:val="21"/>
              </w:rPr>
            </w:pPr>
            <w:r>
              <w:rPr>
                <w:rFonts w:hint="eastAsia" w:ascii="宋体" w:hAnsi="宋体" w:cs="宋体"/>
                <w:szCs w:val="21"/>
              </w:rPr>
              <w:t>软件和信息技术服务业</w:t>
            </w:r>
          </w:p>
        </w:tc>
        <w:tc>
          <w:tcPr>
            <w:tcW w:w="1701" w:type="dxa"/>
            <w:tcBorders>
              <w:top w:val="nil"/>
              <w:left w:val="nil"/>
              <w:bottom w:val="single" w:color="auto" w:sz="4" w:space="0"/>
              <w:right w:val="single" w:color="auto" w:sz="4" w:space="0"/>
            </w:tcBorders>
            <w:vAlign w:val="center"/>
          </w:tcPr>
          <w:p w14:paraId="3E5454AD">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F84E250">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46E59EF2">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66556667">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1D6F665C">
            <w:pPr>
              <w:widowControl/>
              <w:jc w:val="left"/>
              <w:rPr>
                <w:rFonts w:ascii="宋体" w:hAnsi="宋体" w:cs="宋体"/>
                <w:szCs w:val="21"/>
              </w:rPr>
            </w:pPr>
            <w:r>
              <w:rPr>
                <w:rFonts w:hint="eastAsia" w:ascii="宋体" w:hAnsi="宋体" w:cs="宋体"/>
                <w:szCs w:val="21"/>
              </w:rPr>
              <w:t>X＜10</w:t>
            </w:r>
          </w:p>
        </w:tc>
      </w:tr>
      <w:tr w14:paraId="1B4C1F07">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7D63452">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41395630">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41A9A10">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6CA992C">
            <w:pPr>
              <w:widowControl/>
              <w:jc w:val="left"/>
              <w:rPr>
                <w:rFonts w:ascii="宋体" w:hAnsi="宋体" w:cs="宋体"/>
                <w:szCs w:val="21"/>
              </w:rPr>
            </w:pPr>
            <w:r>
              <w:rPr>
                <w:rFonts w:hint="eastAsia" w:ascii="宋体" w:hAnsi="宋体" w:cs="宋体"/>
                <w:szCs w:val="21"/>
              </w:rPr>
              <w:t>1000≤Y＜10000</w:t>
            </w:r>
          </w:p>
        </w:tc>
        <w:tc>
          <w:tcPr>
            <w:tcW w:w="1570" w:type="dxa"/>
            <w:tcBorders>
              <w:top w:val="nil"/>
              <w:left w:val="nil"/>
              <w:bottom w:val="single" w:color="auto" w:sz="4" w:space="0"/>
              <w:right w:val="single" w:color="auto" w:sz="4" w:space="0"/>
            </w:tcBorders>
            <w:vAlign w:val="center"/>
          </w:tcPr>
          <w:p w14:paraId="52F30613">
            <w:pPr>
              <w:widowControl/>
              <w:jc w:val="left"/>
              <w:rPr>
                <w:rFonts w:ascii="宋体" w:hAnsi="宋体" w:cs="宋体"/>
                <w:szCs w:val="21"/>
              </w:rPr>
            </w:pPr>
            <w:r>
              <w:rPr>
                <w:rFonts w:hint="eastAsia" w:ascii="宋体" w:hAnsi="宋体" w:cs="宋体"/>
                <w:szCs w:val="21"/>
              </w:rPr>
              <w:t>50≤Y＜1000</w:t>
            </w:r>
          </w:p>
        </w:tc>
        <w:tc>
          <w:tcPr>
            <w:tcW w:w="1009" w:type="dxa"/>
            <w:tcBorders>
              <w:top w:val="nil"/>
              <w:left w:val="nil"/>
              <w:bottom w:val="single" w:color="auto" w:sz="4" w:space="0"/>
              <w:right w:val="single" w:color="auto" w:sz="4" w:space="0"/>
            </w:tcBorders>
            <w:vAlign w:val="center"/>
          </w:tcPr>
          <w:p w14:paraId="275BAD58">
            <w:pPr>
              <w:widowControl/>
              <w:jc w:val="left"/>
              <w:rPr>
                <w:rFonts w:ascii="宋体" w:hAnsi="宋体" w:cs="宋体"/>
                <w:szCs w:val="21"/>
              </w:rPr>
            </w:pPr>
            <w:r>
              <w:rPr>
                <w:rFonts w:hint="eastAsia" w:ascii="宋体" w:hAnsi="宋体" w:cs="宋体"/>
                <w:szCs w:val="21"/>
              </w:rPr>
              <w:t>Y＜50</w:t>
            </w:r>
          </w:p>
        </w:tc>
      </w:tr>
      <w:tr w14:paraId="27047D1D">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0F12BBF9">
            <w:pPr>
              <w:widowControl/>
              <w:jc w:val="center"/>
              <w:rPr>
                <w:rFonts w:ascii="宋体" w:hAnsi="宋体" w:cs="宋体"/>
                <w:szCs w:val="21"/>
              </w:rPr>
            </w:pPr>
            <w:r>
              <w:rPr>
                <w:rFonts w:hint="eastAsia" w:ascii="宋体" w:hAnsi="宋体" w:cs="宋体"/>
                <w:szCs w:val="21"/>
              </w:rPr>
              <w:t>房地产开发经营</w:t>
            </w:r>
          </w:p>
        </w:tc>
        <w:tc>
          <w:tcPr>
            <w:tcW w:w="1701" w:type="dxa"/>
            <w:tcBorders>
              <w:top w:val="nil"/>
              <w:left w:val="nil"/>
              <w:bottom w:val="single" w:color="auto" w:sz="4" w:space="0"/>
              <w:right w:val="single" w:color="auto" w:sz="4" w:space="0"/>
            </w:tcBorders>
            <w:vAlign w:val="center"/>
          </w:tcPr>
          <w:p w14:paraId="31F2D11C">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2F81399B">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0ACFAB8C">
            <w:pPr>
              <w:widowControl/>
              <w:jc w:val="left"/>
              <w:rPr>
                <w:rFonts w:ascii="宋体" w:hAnsi="宋体" w:cs="宋体"/>
                <w:szCs w:val="21"/>
              </w:rPr>
            </w:pPr>
            <w:r>
              <w:rPr>
                <w:rFonts w:hint="eastAsia" w:ascii="宋体" w:hAnsi="宋体" w:cs="宋体"/>
                <w:szCs w:val="21"/>
              </w:rPr>
              <w:t>1000≤Y＜200000</w:t>
            </w:r>
          </w:p>
        </w:tc>
        <w:tc>
          <w:tcPr>
            <w:tcW w:w="1570" w:type="dxa"/>
            <w:tcBorders>
              <w:top w:val="nil"/>
              <w:left w:val="nil"/>
              <w:bottom w:val="single" w:color="auto" w:sz="4" w:space="0"/>
              <w:right w:val="single" w:color="auto" w:sz="4" w:space="0"/>
            </w:tcBorders>
            <w:vAlign w:val="center"/>
          </w:tcPr>
          <w:p w14:paraId="1E631A35">
            <w:pPr>
              <w:widowControl/>
              <w:jc w:val="left"/>
              <w:rPr>
                <w:rFonts w:ascii="宋体" w:hAnsi="宋体" w:cs="宋体"/>
                <w:szCs w:val="21"/>
              </w:rPr>
            </w:pPr>
            <w:r>
              <w:rPr>
                <w:rFonts w:hint="eastAsia" w:ascii="宋体" w:hAnsi="宋体" w:cs="宋体"/>
                <w:szCs w:val="21"/>
              </w:rPr>
              <w:t>100≤X＜1000</w:t>
            </w:r>
          </w:p>
        </w:tc>
        <w:tc>
          <w:tcPr>
            <w:tcW w:w="1009" w:type="dxa"/>
            <w:tcBorders>
              <w:top w:val="nil"/>
              <w:left w:val="nil"/>
              <w:bottom w:val="single" w:color="auto" w:sz="4" w:space="0"/>
              <w:right w:val="single" w:color="auto" w:sz="4" w:space="0"/>
            </w:tcBorders>
            <w:vAlign w:val="center"/>
          </w:tcPr>
          <w:p w14:paraId="487D66D9">
            <w:pPr>
              <w:widowControl/>
              <w:jc w:val="left"/>
              <w:rPr>
                <w:rFonts w:ascii="宋体" w:hAnsi="宋体" w:cs="宋体"/>
                <w:szCs w:val="21"/>
              </w:rPr>
            </w:pPr>
            <w:r>
              <w:rPr>
                <w:rFonts w:hint="eastAsia" w:ascii="宋体" w:hAnsi="宋体" w:cs="宋体"/>
                <w:szCs w:val="21"/>
              </w:rPr>
              <w:t>X＜100</w:t>
            </w:r>
          </w:p>
        </w:tc>
      </w:tr>
      <w:tr w14:paraId="4CDCCA2E">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29311D8E">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5AE9A437">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0B1ACF85">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36A18B52">
            <w:pPr>
              <w:widowControl/>
              <w:jc w:val="left"/>
              <w:rPr>
                <w:rFonts w:ascii="宋体" w:hAnsi="宋体" w:cs="宋体"/>
                <w:szCs w:val="21"/>
              </w:rPr>
            </w:pPr>
            <w:r>
              <w:rPr>
                <w:rFonts w:hint="eastAsia" w:ascii="宋体" w:hAnsi="宋体" w:cs="宋体"/>
                <w:szCs w:val="21"/>
              </w:rPr>
              <w:t>5000≤Z＜10000</w:t>
            </w:r>
          </w:p>
        </w:tc>
        <w:tc>
          <w:tcPr>
            <w:tcW w:w="1570" w:type="dxa"/>
            <w:tcBorders>
              <w:top w:val="nil"/>
              <w:left w:val="nil"/>
              <w:bottom w:val="single" w:color="auto" w:sz="4" w:space="0"/>
              <w:right w:val="single" w:color="auto" w:sz="4" w:space="0"/>
            </w:tcBorders>
            <w:vAlign w:val="center"/>
          </w:tcPr>
          <w:p w14:paraId="32B6ACAC">
            <w:pPr>
              <w:widowControl/>
              <w:jc w:val="left"/>
              <w:rPr>
                <w:rFonts w:ascii="宋体" w:hAnsi="宋体" w:cs="宋体"/>
                <w:szCs w:val="21"/>
              </w:rPr>
            </w:pPr>
            <w:r>
              <w:rPr>
                <w:rFonts w:hint="eastAsia" w:ascii="宋体" w:hAnsi="宋体" w:cs="宋体"/>
                <w:szCs w:val="21"/>
              </w:rPr>
              <w:t>2000≤Y＜5000</w:t>
            </w:r>
          </w:p>
        </w:tc>
        <w:tc>
          <w:tcPr>
            <w:tcW w:w="1009" w:type="dxa"/>
            <w:tcBorders>
              <w:top w:val="nil"/>
              <w:left w:val="nil"/>
              <w:bottom w:val="single" w:color="auto" w:sz="4" w:space="0"/>
              <w:right w:val="single" w:color="auto" w:sz="4" w:space="0"/>
            </w:tcBorders>
            <w:vAlign w:val="center"/>
          </w:tcPr>
          <w:p w14:paraId="3CD7B7E6">
            <w:pPr>
              <w:widowControl/>
              <w:jc w:val="left"/>
              <w:rPr>
                <w:rFonts w:ascii="宋体" w:hAnsi="宋体" w:cs="宋体"/>
                <w:szCs w:val="21"/>
              </w:rPr>
            </w:pPr>
            <w:r>
              <w:rPr>
                <w:rFonts w:hint="eastAsia" w:ascii="宋体" w:hAnsi="宋体" w:cs="宋体"/>
                <w:szCs w:val="21"/>
              </w:rPr>
              <w:t>Y＜2000</w:t>
            </w:r>
          </w:p>
        </w:tc>
      </w:tr>
      <w:tr w14:paraId="49F8BB7C">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5BCEEE14">
            <w:pPr>
              <w:widowControl/>
              <w:jc w:val="center"/>
              <w:rPr>
                <w:rFonts w:ascii="宋体" w:hAnsi="宋体" w:cs="宋体"/>
                <w:szCs w:val="21"/>
              </w:rPr>
            </w:pPr>
            <w:r>
              <w:rPr>
                <w:rFonts w:hint="eastAsia" w:ascii="宋体" w:hAnsi="宋体" w:cs="宋体"/>
                <w:szCs w:val="21"/>
              </w:rPr>
              <w:t>物业管理</w:t>
            </w:r>
          </w:p>
        </w:tc>
        <w:tc>
          <w:tcPr>
            <w:tcW w:w="1701" w:type="dxa"/>
            <w:tcBorders>
              <w:top w:val="nil"/>
              <w:left w:val="nil"/>
              <w:bottom w:val="single" w:color="auto" w:sz="4" w:space="0"/>
              <w:right w:val="single" w:color="auto" w:sz="4" w:space="0"/>
            </w:tcBorders>
            <w:vAlign w:val="center"/>
          </w:tcPr>
          <w:p w14:paraId="51022CC8">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5C0D89C">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787A2F72">
            <w:pPr>
              <w:widowControl/>
              <w:jc w:val="left"/>
              <w:rPr>
                <w:rFonts w:ascii="宋体" w:hAnsi="宋体" w:cs="宋体"/>
                <w:szCs w:val="21"/>
              </w:rPr>
            </w:pPr>
            <w:r>
              <w:rPr>
                <w:rFonts w:hint="eastAsia" w:ascii="宋体" w:hAnsi="宋体" w:cs="宋体"/>
                <w:szCs w:val="21"/>
              </w:rPr>
              <w:t>300≤X＜1000</w:t>
            </w:r>
          </w:p>
        </w:tc>
        <w:tc>
          <w:tcPr>
            <w:tcW w:w="1570" w:type="dxa"/>
            <w:tcBorders>
              <w:top w:val="nil"/>
              <w:left w:val="nil"/>
              <w:bottom w:val="single" w:color="auto" w:sz="4" w:space="0"/>
              <w:right w:val="single" w:color="auto" w:sz="4" w:space="0"/>
            </w:tcBorders>
            <w:vAlign w:val="center"/>
          </w:tcPr>
          <w:p w14:paraId="126B74BE">
            <w:pPr>
              <w:widowControl/>
              <w:jc w:val="left"/>
              <w:rPr>
                <w:rFonts w:ascii="宋体" w:hAnsi="宋体" w:cs="宋体"/>
                <w:szCs w:val="21"/>
              </w:rPr>
            </w:pPr>
            <w:r>
              <w:rPr>
                <w:rFonts w:hint="eastAsia" w:ascii="宋体" w:hAnsi="宋体" w:cs="宋体"/>
                <w:szCs w:val="21"/>
              </w:rPr>
              <w:t>100≤X＜300</w:t>
            </w:r>
          </w:p>
        </w:tc>
        <w:tc>
          <w:tcPr>
            <w:tcW w:w="1009" w:type="dxa"/>
            <w:tcBorders>
              <w:top w:val="nil"/>
              <w:left w:val="nil"/>
              <w:bottom w:val="single" w:color="auto" w:sz="4" w:space="0"/>
              <w:right w:val="single" w:color="auto" w:sz="4" w:space="0"/>
            </w:tcBorders>
            <w:vAlign w:val="center"/>
          </w:tcPr>
          <w:p w14:paraId="7BE4AD43">
            <w:pPr>
              <w:widowControl/>
              <w:jc w:val="left"/>
              <w:rPr>
                <w:rFonts w:ascii="宋体" w:hAnsi="宋体" w:cs="宋体"/>
                <w:szCs w:val="21"/>
              </w:rPr>
            </w:pPr>
            <w:r>
              <w:rPr>
                <w:rFonts w:hint="eastAsia" w:ascii="宋体" w:hAnsi="宋体" w:cs="宋体"/>
                <w:szCs w:val="21"/>
              </w:rPr>
              <w:t>X＜100</w:t>
            </w:r>
          </w:p>
        </w:tc>
      </w:tr>
      <w:tr w14:paraId="15BE30CF">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6C5B8E49">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079982A3">
            <w:pPr>
              <w:widowControl/>
              <w:jc w:val="left"/>
              <w:rPr>
                <w:rFonts w:ascii="宋体" w:hAnsi="宋体" w:cs="宋体"/>
                <w:szCs w:val="21"/>
              </w:rPr>
            </w:pPr>
            <w:r>
              <w:rPr>
                <w:rFonts w:hint="eastAsia" w:ascii="宋体" w:hAnsi="宋体" w:cs="宋体"/>
                <w:szCs w:val="21"/>
              </w:rPr>
              <w:t>营业收入（Y）</w:t>
            </w:r>
          </w:p>
        </w:tc>
        <w:tc>
          <w:tcPr>
            <w:tcW w:w="1134" w:type="dxa"/>
            <w:tcBorders>
              <w:top w:val="nil"/>
              <w:left w:val="nil"/>
              <w:bottom w:val="single" w:color="auto" w:sz="4" w:space="0"/>
              <w:right w:val="single" w:color="auto" w:sz="4" w:space="0"/>
            </w:tcBorders>
            <w:vAlign w:val="center"/>
          </w:tcPr>
          <w:p w14:paraId="705E9EA6">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107A1221">
            <w:pPr>
              <w:widowControl/>
              <w:jc w:val="left"/>
              <w:rPr>
                <w:rFonts w:ascii="宋体" w:hAnsi="宋体" w:cs="宋体"/>
                <w:szCs w:val="21"/>
              </w:rPr>
            </w:pPr>
            <w:r>
              <w:rPr>
                <w:rFonts w:hint="eastAsia" w:ascii="宋体" w:hAnsi="宋体" w:cs="宋体"/>
                <w:szCs w:val="21"/>
              </w:rPr>
              <w:t>1000≤Y＜5000</w:t>
            </w:r>
          </w:p>
        </w:tc>
        <w:tc>
          <w:tcPr>
            <w:tcW w:w="1570" w:type="dxa"/>
            <w:tcBorders>
              <w:top w:val="nil"/>
              <w:left w:val="nil"/>
              <w:bottom w:val="single" w:color="auto" w:sz="4" w:space="0"/>
              <w:right w:val="single" w:color="auto" w:sz="4" w:space="0"/>
            </w:tcBorders>
            <w:vAlign w:val="center"/>
          </w:tcPr>
          <w:p w14:paraId="0EDBD88B">
            <w:pPr>
              <w:widowControl/>
              <w:jc w:val="left"/>
              <w:rPr>
                <w:rFonts w:ascii="宋体" w:hAnsi="宋体" w:cs="宋体"/>
                <w:szCs w:val="21"/>
              </w:rPr>
            </w:pPr>
            <w:r>
              <w:rPr>
                <w:rFonts w:hint="eastAsia" w:ascii="宋体" w:hAnsi="宋体" w:cs="宋体"/>
                <w:szCs w:val="21"/>
              </w:rPr>
              <w:t>500≤Y＜1000</w:t>
            </w:r>
          </w:p>
        </w:tc>
        <w:tc>
          <w:tcPr>
            <w:tcW w:w="1009" w:type="dxa"/>
            <w:tcBorders>
              <w:top w:val="nil"/>
              <w:left w:val="nil"/>
              <w:bottom w:val="single" w:color="auto" w:sz="4" w:space="0"/>
              <w:right w:val="single" w:color="auto" w:sz="4" w:space="0"/>
            </w:tcBorders>
            <w:vAlign w:val="center"/>
          </w:tcPr>
          <w:p w14:paraId="7099657B">
            <w:pPr>
              <w:widowControl/>
              <w:jc w:val="left"/>
              <w:rPr>
                <w:rFonts w:ascii="宋体" w:hAnsi="宋体" w:cs="宋体"/>
                <w:szCs w:val="21"/>
              </w:rPr>
            </w:pPr>
            <w:r>
              <w:rPr>
                <w:rFonts w:hint="eastAsia" w:ascii="宋体" w:hAnsi="宋体" w:cs="宋体"/>
                <w:szCs w:val="21"/>
              </w:rPr>
              <w:t>Y＜500</w:t>
            </w:r>
          </w:p>
        </w:tc>
      </w:tr>
      <w:tr w14:paraId="2170675A">
        <w:tblPrEx>
          <w:tblCellMar>
            <w:top w:w="0" w:type="dxa"/>
            <w:left w:w="108" w:type="dxa"/>
            <w:bottom w:w="0" w:type="dxa"/>
            <w:right w:w="108" w:type="dxa"/>
          </w:tblCellMar>
        </w:tblPrEx>
        <w:trPr>
          <w:trHeight w:val="220" w:hRule="atLeast"/>
        </w:trPr>
        <w:tc>
          <w:tcPr>
            <w:tcW w:w="1446" w:type="dxa"/>
            <w:vMerge w:val="restart"/>
            <w:tcBorders>
              <w:top w:val="nil"/>
              <w:left w:val="single" w:color="auto" w:sz="4" w:space="0"/>
              <w:bottom w:val="single" w:color="auto" w:sz="4" w:space="0"/>
              <w:right w:val="single" w:color="auto" w:sz="4" w:space="0"/>
            </w:tcBorders>
            <w:vAlign w:val="bottom"/>
          </w:tcPr>
          <w:p w14:paraId="4621914E">
            <w:pPr>
              <w:widowControl/>
              <w:jc w:val="center"/>
              <w:rPr>
                <w:rFonts w:ascii="宋体" w:hAnsi="宋体" w:cs="宋体"/>
                <w:szCs w:val="21"/>
              </w:rPr>
            </w:pPr>
            <w:r>
              <w:rPr>
                <w:rFonts w:hint="eastAsia" w:ascii="宋体" w:hAnsi="宋体" w:cs="宋体"/>
                <w:szCs w:val="21"/>
              </w:rPr>
              <w:t>租赁和商务服务业</w:t>
            </w:r>
          </w:p>
        </w:tc>
        <w:tc>
          <w:tcPr>
            <w:tcW w:w="1701" w:type="dxa"/>
            <w:tcBorders>
              <w:top w:val="nil"/>
              <w:left w:val="nil"/>
              <w:bottom w:val="single" w:color="auto" w:sz="4" w:space="0"/>
              <w:right w:val="single" w:color="auto" w:sz="4" w:space="0"/>
            </w:tcBorders>
            <w:vAlign w:val="center"/>
          </w:tcPr>
          <w:p w14:paraId="489512CB">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2F3CE43C">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AB694EA">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5D68655A">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7514669A">
            <w:pPr>
              <w:widowControl/>
              <w:jc w:val="left"/>
              <w:rPr>
                <w:rFonts w:ascii="宋体" w:hAnsi="宋体" w:cs="宋体"/>
                <w:szCs w:val="21"/>
              </w:rPr>
            </w:pPr>
            <w:r>
              <w:rPr>
                <w:rFonts w:hint="eastAsia" w:ascii="宋体" w:hAnsi="宋体" w:cs="宋体"/>
                <w:szCs w:val="21"/>
              </w:rPr>
              <w:t>X＜10</w:t>
            </w:r>
          </w:p>
        </w:tc>
      </w:tr>
      <w:tr w14:paraId="53BB2622">
        <w:tblPrEx>
          <w:tblCellMar>
            <w:top w:w="0" w:type="dxa"/>
            <w:left w:w="108" w:type="dxa"/>
            <w:bottom w:w="0" w:type="dxa"/>
            <w:right w:w="108" w:type="dxa"/>
          </w:tblCellMar>
        </w:tblPrEx>
        <w:trPr>
          <w:trHeight w:val="220" w:hRule="atLeast"/>
        </w:trPr>
        <w:tc>
          <w:tcPr>
            <w:tcW w:w="1446" w:type="dxa"/>
            <w:vMerge w:val="continue"/>
            <w:tcBorders>
              <w:top w:val="nil"/>
              <w:left w:val="single" w:color="auto" w:sz="4" w:space="0"/>
              <w:bottom w:val="single" w:color="auto" w:sz="4" w:space="0"/>
              <w:right w:val="single" w:color="auto" w:sz="4" w:space="0"/>
            </w:tcBorders>
            <w:vAlign w:val="center"/>
          </w:tcPr>
          <w:p w14:paraId="7B0F7ABC">
            <w:pPr>
              <w:widowControl/>
              <w:jc w:val="left"/>
              <w:rPr>
                <w:rFonts w:ascii="宋体" w:hAnsi="宋体" w:cs="宋体"/>
                <w:szCs w:val="21"/>
              </w:rPr>
            </w:pPr>
          </w:p>
        </w:tc>
        <w:tc>
          <w:tcPr>
            <w:tcW w:w="1701" w:type="dxa"/>
            <w:tcBorders>
              <w:top w:val="nil"/>
              <w:left w:val="nil"/>
              <w:bottom w:val="single" w:color="auto" w:sz="4" w:space="0"/>
              <w:right w:val="single" w:color="auto" w:sz="4" w:space="0"/>
            </w:tcBorders>
            <w:vAlign w:val="center"/>
          </w:tcPr>
          <w:p w14:paraId="6A563FAA">
            <w:pPr>
              <w:widowControl/>
              <w:jc w:val="left"/>
              <w:rPr>
                <w:rFonts w:ascii="宋体" w:hAnsi="宋体" w:cs="宋体"/>
                <w:szCs w:val="21"/>
              </w:rPr>
            </w:pPr>
            <w:r>
              <w:rPr>
                <w:rFonts w:hint="eastAsia" w:ascii="宋体" w:hAnsi="宋体" w:cs="宋体"/>
                <w:szCs w:val="21"/>
              </w:rPr>
              <w:t>资产总额（Z）</w:t>
            </w:r>
          </w:p>
        </w:tc>
        <w:tc>
          <w:tcPr>
            <w:tcW w:w="1134" w:type="dxa"/>
            <w:tcBorders>
              <w:top w:val="nil"/>
              <w:left w:val="nil"/>
              <w:bottom w:val="single" w:color="auto" w:sz="4" w:space="0"/>
              <w:right w:val="single" w:color="auto" w:sz="4" w:space="0"/>
            </w:tcBorders>
            <w:vAlign w:val="center"/>
          </w:tcPr>
          <w:p w14:paraId="7ED25E19">
            <w:pPr>
              <w:widowControl/>
              <w:jc w:val="left"/>
              <w:rPr>
                <w:rFonts w:ascii="宋体" w:hAnsi="宋体" w:cs="宋体"/>
                <w:szCs w:val="21"/>
              </w:rPr>
            </w:pPr>
            <w:r>
              <w:rPr>
                <w:rFonts w:hint="eastAsia" w:ascii="宋体" w:hAnsi="宋体" w:cs="宋体"/>
                <w:szCs w:val="21"/>
              </w:rPr>
              <w:t>万元</w:t>
            </w:r>
          </w:p>
        </w:tc>
        <w:tc>
          <w:tcPr>
            <w:tcW w:w="1846" w:type="dxa"/>
            <w:tcBorders>
              <w:top w:val="nil"/>
              <w:left w:val="nil"/>
              <w:bottom w:val="single" w:color="auto" w:sz="4" w:space="0"/>
              <w:right w:val="single" w:color="auto" w:sz="4" w:space="0"/>
            </w:tcBorders>
            <w:vAlign w:val="center"/>
          </w:tcPr>
          <w:p w14:paraId="2C8D5F8A">
            <w:pPr>
              <w:widowControl/>
              <w:jc w:val="left"/>
              <w:rPr>
                <w:rFonts w:ascii="宋体" w:hAnsi="宋体" w:cs="宋体"/>
                <w:szCs w:val="21"/>
              </w:rPr>
            </w:pPr>
            <w:r>
              <w:rPr>
                <w:rFonts w:hint="eastAsia" w:ascii="宋体" w:hAnsi="宋体" w:cs="宋体"/>
                <w:szCs w:val="21"/>
              </w:rPr>
              <w:t>8000≤Z＜120000</w:t>
            </w:r>
          </w:p>
        </w:tc>
        <w:tc>
          <w:tcPr>
            <w:tcW w:w="1570" w:type="dxa"/>
            <w:tcBorders>
              <w:top w:val="nil"/>
              <w:left w:val="nil"/>
              <w:bottom w:val="single" w:color="auto" w:sz="4" w:space="0"/>
              <w:right w:val="single" w:color="auto" w:sz="4" w:space="0"/>
            </w:tcBorders>
            <w:vAlign w:val="center"/>
          </w:tcPr>
          <w:p w14:paraId="6414956C">
            <w:pPr>
              <w:widowControl/>
              <w:jc w:val="left"/>
              <w:rPr>
                <w:rFonts w:ascii="宋体" w:hAnsi="宋体" w:cs="宋体"/>
                <w:szCs w:val="21"/>
              </w:rPr>
            </w:pPr>
            <w:r>
              <w:rPr>
                <w:rFonts w:hint="eastAsia" w:ascii="宋体" w:hAnsi="宋体" w:cs="宋体"/>
                <w:szCs w:val="21"/>
              </w:rPr>
              <w:t>100≤Z＜8000</w:t>
            </w:r>
          </w:p>
        </w:tc>
        <w:tc>
          <w:tcPr>
            <w:tcW w:w="1009" w:type="dxa"/>
            <w:tcBorders>
              <w:top w:val="nil"/>
              <w:left w:val="nil"/>
              <w:bottom w:val="single" w:color="auto" w:sz="4" w:space="0"/>
              <w:right w:val="single" w:color="auto" w:sz="4" w:space="0"/>
            </w:tcBorders>
            <w:vAlign w:val="center"/>
          </w:tcPr>
          <w:p w14:paraId="68456F6C">
            <w:pPr>
              <w:widowControl/>
              <w:jc w:val="left"/>
              <w:rPr>
                <w:rFonts w:ascii="宋体" w:hAnsi="宋体" w:cs="宋体"/>
                <w:szCs w:val="21"/>
              </w:rPr>
            </w:pPr>
            <w:r>
              <w:rPr>
                <w:rFonts w:hint="eastAsia" w:ascii="宋体" w:hAnsi="宋体" w:cs="宋体"/>
                <w:szCs w:val="21"/>
              </w:rPr>
              <w:t>Y＜100</w:t>
            </w:r>
          </w:p>
        </w:tc>
      </w:tr>
      <w:tr w14:paraId="79B8ED50">
        <w:tblPrEx>
          <w:tblCellMar>
            <w:top w:w="0" w:type="dxa"/>
            <w:left w:w="108" w:type="dxa"/>
            <w:bottom w:w="0" w:type="dxa"/>
            <w:right w:w="108" w:type="dxa"/>
          </w:tblCellMar>
        </w:tblPrEx>
        <w:trPr>
          <w:trHeight w:val="220" w:hRule="atLeast"/>
        </w:trPr>
        <w:tc>
          <w:tcPr>
            <w:tcW w:w="1446" w:type="dxa"/>
            <w:tcBorders>
              <w:top w:val="nil"/>
              <w:left w:val="single" w:color="auto" w:sz="4" w:space="0"/>
              <w:bottom w:val="single" w:color="auto" w:sz="4" w:space="0"/>
              <w:right w:val="single" w:color="auto" w:sz="4" w:space="0"/>
            </w:tcBorders>
            <w:vAlign w:val="bottom"/>
          </w:tcPr>
          <w:p w14:paraId="087EC258">
            <w:pPr>
              <w:widowControl/>
              <w:jc w:val="center"/>
              <w:rPr>
                <w:rFonts w:ascii="宋体" w:hAnsi="宋体" w:cs="宋体"/>
                <w:szCs w:val="21"/>
              </w:rPr>
            </w:pPr>
            <w:r>
              <w:rPr>
                <w:rFonts w:hint="eastAsia" w:ascii="宋体" w:hAnsi="宋体" w:cs="宋体"/>
                <w:szCs w:val="21"/>
              </w:rPr>
              <w:t>其他未列明行业</w:t>
            </w:r>
          </w:p>
        </w:tc>
        <w:tc>
          <w:tcPr>
            <w:tcW w:w="1701" w:type="dxa"/>
            <w:tcBorders>
              <w:top w:val="nil"/>
              <w:left w:val="nil"/>
              <w:bottom w:val="single" w:color="auto" w:sz="4" w:space="0"/>
              <w:right w:val="single" w:color="auto" w:sz="4" w:space="0"/>
            </w:tcBorders>
            <w:vAlign w:val="center"/>
          </w:tcPr>
          <w:p w14:paraId="671BC8B6">
            <w:pPr>
              <w:widowControl/>
              <w:jc w:val="left"/>
              <w:rPr>
                <w:rFonts w:ascii="宋体" w:hAnsi="宋体" w:cs="宋体"/>
                <w:szCs w:val="21"/>
              </w:rPr>
            </w:pPr>
            <w:r>
              <w:rPr>
                <w:rFonts w:hint="eastAsia" w:ascii="宋体" w:hAnsi="宋体" w:cs="宋体"/>
                <w:szCs w:val="21"/>
              </w:rPr>
              <w:t>从业人员（X）</w:t>
            </w:r>
          </w:p>
        </w:tc>
        <w:tc>
          <w:tcPr>
            <w:tcW w:w="1134" w:type="dxa"/>
            <w:tcBorders>
              <w:top w:val="nil"/>
              <w:left w:val="nil"/>
              <w:bottom w:val="single" w:color="auto" w:sz="4" w:space="0"/>
              <w:right w:val="single" w:color="auto" w:sz="4" w:space="0"/>
            </w:tcBorders>
            <w:vAlign w:val="center"/>
          </w:tcPr>
          <w:p w14:paraId="7690E3FB">
            <w:pPr>
              <w:widowControl/>
              <w:jc w:val="left"/>
              <w:rPr>
                <w:rFonts w:ascii="宋体" w:hAnsi="宋体" w:cs="宋体"/>
                <w:szCs w:val="21"/>
              </w:rPr>
            </w:pPr>
            <w:r>
              <w:rPr>
                <w:rFonts w:hint="eastAsia" w:ascii="宋体" w:hAnsi="宋体" w:cs="宋体"/>
                <w:szCs w:val="21"/>
              </w:rPr>
              <w:t>人</w:t>
            </w:r>
          </w:p>
        </w:tc>
        <w:tc>
          <w:tcPr>
            <w:tcW w:w="1846" w:type="dxa"/>
            <w:tcBorders>
              <w:top w:val="nil"/>
              <w:left w:val="nil"/>
              <w:bottom w:val="single" w:color="auto" w:sz="4" w:space="0"/>
              <w:right w:val="single" w:color="auto" w:sz="4" w:space="0"/>
            </w:tcBorders>
            <w:vAlign w:val="center"/>
          </w:tcPr>
          <w:p w14:paraId="3411BDF1">
            <w:pPr>
              <w:widowControl/>
              <w:jc w:val="left"/>
              <w:rPr>
                <w:rFonts w:ascii="宋体" w:hAnsi="宋体" w:cs="宋体"/>
                <w:szCs w:val="21"/>
              </w:rPr>
            </w:pPr>
            <w:r>
              <w:rPr>
                <w:rFonts w:hint="eastAsia" w:ascii="宋体" w:hAnsi="宋体" w:cs="宋体"/>
                <w:szCs w:val="21"/>
              </w:rPr>
              <w:t>100≤X＜300</w:t>
            </w:r>
          </w:p>
        </w:tc>
        <w:tc>
          <w:tcPr>
            <w:tcW w:w="1570" w:type="dxa"/>
            <w:tcBorders>
              <w:top w:val="nil"/>
              <w:left w:val="nil"/>
              <w:bottom w:val="single" w:color="auto" w:sz="4" w:space="0"/>
              <w:right w:val="single" w:color="auto" w:sz="4" w:space="0"/>
            </w:tcBorders>
            <w:vAlign w:val="center"/>
          </w:tcPr>
          <w:p w14:paraId="32D75228">
            <w:pPr>
              <w:widowControl/>
              <w:jc w:val="left"/>
              <w:rPr>
                <w:rFonts w:ascii="宋体" w:hAnsi="宋体" w:cs="宋体"/>
                <w:szCs w:val="21"/>
              </w:rPr>
            </w:pPr>
            <w:r>
              <w:rPr>
                <w:rFonts w:hint="eastAsia" w:ascii="宋体" w:hAnsi="宋体" w:cs="宋体"/>
                <w:szCs w:val="21"/>
              </w:rPr>
              <w:t>10≤X＜100</w:t>
            </w:r>
          </w:p>
        </w:tc>
        <w:tc>
          <w:tcPr>
            <w:tcW w:w="1009" w:type="dxa"/>
            <w:tcBorders>
              <w:top w:val="nil"/>
              <w:left w:val="nil"/>
              <w:bottom w:val="single" w:color="auto" w:sz="4" w:space="0"/>
              <w:right w:val="single" w:color="auto" w:sz="4" w:space="0"/>
            </w:tcBorders>
            <w:vAlign w:val="center"/>
          </w:tcPr>
          <w:p w14:paraId="6B5B5F74">
            <w:pPr>
              <w:widowControl/>
              <w:jc w:val="left"/>
              <w:rPr>
                <w:rFonts w:ascii="宋体" w:hAnsi="宋体" w:cs="宋体"/>
                <w:szCs w:val="21"/>
              </w:rPr>
            </w:pPr>
            <w:r>
              <w:rPr>
                <w:rFonts w:hint="eastAsia" w:ascii="宋体" w:hAnsi="宋体" w:cs="宋体"/>
                <w:szCs w:val="21"/>
              </w:rPr>
              <w:t>X＜10</w:t>
            </w:r>
          </w:p>
        </w:tc>
      </w:tr>
    </w:tbl>
    <w:p w14:paraId="530D08F9">
      <w:pPr>
        <w:rPr>
          <w:rFonts w:ascii="宋体" w:hAnsi="宋体" w:cs="宋体"/>
          <w:szCs w:val="21"/>
        </w:rPr>
      </w:pPr>
    </w:p>
    <w:p w14:paraId="6EF05191">
      <w:pPr>
        <w:pStyle w:val="144"/>
        <w:rPr>
          <w:rFonts w:hAnsi="宋体" w:cs="Arial"/>
          <w:b/>
          <w:sz w:val="28"/>
          <w:szCs w:val="28"/>
          <w:u w:val="single"/>
        </w:rPr>
      </w:pPr>
      <w:r>
        <w:rPr>
          <w:rFonts w:hint="eastAsia" w:hAnsi="宋体"/>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941F38A">
      <w:pPr>
        <w:pStyle w:val="144"/>
        <w:rPr>
          <w:rFonts w:hAnsi="宋体" w:cs="Arial"/>
          <w:b/>
          <w:sz w:val="28"/>
          <w:szCs w:val="28"/>
          <w:u w:val="single"/>
        </w:rPr>
      </w:pPr>
    </w:p>
    <w:p w14:paraId="54681B17">
      <w:pPr>
        <w:ind w:firstLine="420"/>
        <w:rPr>
          <w:rStyle w:val="147"/>
          <w:rFonts w:ascii="宋体" w:hAnsi="宋体"/>
          <w:b/>
          <w:bCs/>
          <w:color w:val="auto"/>
          <w:sz w:val="24"/>
          <w:szCs w:val="24"/>
          <w:u w:val="none"/>
        </w:rPr>
      </w:pPr>
      <w:r>
        <w:rPr>
          <w:rStyle w:val="147"/>
          <w:rFonts w:hint="eastAsia" w:ascii="宋体" w:hAnsi="宋体"/>
          <w:b/>
          <w:bCs/>
          <w:color w:val="auto"/>
          <w:sz w:val="24"/>
          <w:szCs w:val="24"/>
          <w:u w:val="none"/>
        </w:rPr>
        <w:t>分标1：高效液相色谱串联质谱仪</w:t>
      </w:r>
    </w:p>
    <w:p w14:paraId="456B478F">
      <w:pPr>
        <w:spacing w:line="400" w:lineRule="exact"/>
        <w:ind w:firstLine="480" w:firstLineChars="200"/>
        <w:rPr>
          <w:sz w:val="24"/>
          <w:szCs w:val="24"/>
        </w:rPr>
      </w:pPr>
      <w:r>
        <w:rPr>
          <w:rFonts w:hint="eastAsia"/>
          <w:sz w:val="24"/>
          <w:szCs w:val="24"/>
        </w:rPr>
        <w:t>采购预算：1940000.00元</w:t>
      </w:r>
    </w:p>
    <w:p w14:paraId="30B7D35C">
      <w:pPr>
        <w:ind w:firstLine="420"/>
        <w:rPr>
          <w:rFonts w:ascii="宋体" w:hAnsi="宋体" w:cs="宋体"/>
          <w:sz w:val="24"/>
          <w:szCs w:val="24"/>
        </w:rPr>
      </w:pPr>
    </w:p>
    <w:p w14:paraId="181CAEC9">
      <w:pPr>
        <w:ind w:firstLine="420"/>
        <w:rPr>
          <w:rFonts w:ascii="宋体" w:hAnsi="宋体" w:cs="宋体"/>
          <w:sz w:val="24"/>
          <w:szCs w:val="24"/>
        </w:rPr>
      </w:pPr>
      <w:r>
        <w:rPr>
          <w:rFonts w:hint="eastAsia" w:ascii="宋体" w:hAnsi="宋体" w:cs="宋体"/>
          <w:sz w:val="24"/>
          <w:szCs w:val="24"/>
        </w:rPr>
        <w:t>一、</w:t>
      </w:r>
      <w:r>
        <w:rPr>
          <w:rStyle w:val="147"/>
          <w:rFonts w:hint="eastAsia" w:ascii="宋体" w:hAnsi="宋体"/>
          <w:color w:val="auto"/>
          <w:sz w:val="24"/>
          <w:szCs w:val="24"/>
          <w:u w:val="none"/>
        </w:rPr>
        <w:t>技术参数及性能（配置）要求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596"/>
        <w:gridCol w:w="648"/>
        <w:gridCol w:w="684"/>
        <w:gridCol w:w="4925"/>
      </w:tblGrid>
      <w:tr w14:paraId="42B01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2" w:hRule="atLeast"/>
        </w:trPr>
        <w:tc>
          <w:tcPr>
            <w:tcW w:w="667" w:type="dxa"/>
            <w:vAlign w:val="center"/>
          </w:tcPr>
          <w:p w14:paraId="5CA6FB70">
            <w:pPr>
              <w:tabs>
                <w:tab w:val="left" w:pos="180"/>
                <w:tab w:val="left" w:pos="1620"/>
              </w:tabs>
              <w:jc w:val="center"/>
              <w:rPr>
                <w:szCs w:val="21"/>
              </w:rPr>
            </w:pPr>
            <w:r>
              <w:rPr>
                <w:rFonts w:hint="eastAsia" w:ascii="宋体" w:hAnsi="宋体" w:cs="宋体"/>
                <w:szCs w:val="21"/>
              </w:rPr>
              <w:t>序号</w:t>
            </w:r>
          </w:p>
        </w:tc>
        <w:tc>
          <w:tcPr>
            <w:tcW w:w="1596" w:type="dxa"/>
            <w:vAlign w:val="center"/>
          </w:tcPr>
          <w:p w14:paraId="07908709">
            <w:pPr>
              <w:tabs>
                <w:tab w:val="left" w:pos="180"/>
                <w:tab w:val="left" w:pos="1620"/>
              </w:tabs>
              <w:jc w:val="center"/>
              <w:rPr>
                <w:szCs w:val="21"/>
              </w:rPr>
            </w:pPr>
            <w:r>
              <w:rPr>
                <w:rFonts w:hint="eastAsia" w:ascii="宋体" w:hAnsi="宋体" w:cs="宋体"/>
                <w:szCs w:val="21"/>
              </w:rPr>
              <w:t>货物名称</w:t>
            </w:r>
          </w:p>
        </w:tc>
        <w:tc>
          <w:tcPr>
            <w:tcW w:w="648" w:type="dxa"/>
            <w:vAlign w:val="center"/>
          </w:tcPr>
          <w:p w14:paraId="1A399071">
            <w:pPr>
              <w:tabs>
                <w:tab w:val="left" w:pos="180"/>
                <w:tab w:val="left" w:pos="1620"/>
              </w:tabs>
              <w:jc w:val="center"/>
              <w:rPr>
                <w:szCs w:val="21"/>
              </w:rPr>
            </w:pPr>
            <w:r>
              <w:rPr>
                <w:rFonts w:hint="eastAsia" w:ascii="宋体" w:hAnsi="宋体" w:cs="宋体"/>
                <w:szCs w:val="21"/>
              </w:rPr>
              <w:t>数量</w:t>
            </w:r>
          </w:p>
        </w:tc>
        <w:tc>
          <w:tcPr>
            <w:tcW w:w="684" w:type="dxa"/>
            <w:vAlign w:val="center"/>
          </w:tcPr>
          <w:p w14:paraId="28146F09">
            <w:pPr>
              <w:tabs>
                <w:tab w:val="left" w:pos="180"/>
                <w:tab w:val="left" w:pos="1620"/>
              </w:tabs>
              <w:jc w:val="center"/>
              <w:rPr>
                <w:szCs w:val="21"/>
              </w:rPr>
            </w:pPr>
            <w:r>
              <w:rPr>
                <w:rFonts w:hint="eastAsia" w:ascii="宋体" w:hAnsi="宋体" w:cs="宋体"/>
                <w:szCs w:val="21"/>
              </w:rPr>
              <w:t>单位</w:t>
            </w:r>
          </w:p>
        </w:tc>
        <w:tc>
          <w:tcPr>
            <w:tcW w:w="4925" w:type="dxa"/>
            <w:vAlign w:val="center"/>
          </w:tcPr>
          <w:p w14:paraId="7DADD6E3">
            <w:pPr>
              <w:jc w:val="center"/>
            </w:pPr>
            <w:r>
              <w:rPr>
                <w:rFonts w:hint="eastAsia"/>
                <w:szCs w:val="21"/>
              </w:rPr>
              <w:t>技术规格与性能要求</w:t>
            </w:r>
          </w:p>
        </w:tc>
      </w:tr>
      <w:tr w14:paraId="21E5E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667" w:type="dxa"/>
            <w:vAlign w:val="center"/>
          </w:tcPr>
          <w:p w14:paraId="00184CCB">
            <w:pPr>
              <w:spacing w:line="460" w:lineRule="exact"/>
              <w:jc w:val="center"/>
            </w:pPr>
            <w:r>
              <w:rPr>
                <w:rFonts w:hint="eastAsia"/>
              </w:rPr>
              <w:t>1</w:t>
            </w:r>
          </w:p>
        </w:tc>
        <w:tc>
          <w:tcPr>
            <w:tcW w:w="1596" w:type="dxa"/>
            <w:vAlign w:val="center"/>
          </w:tcPr>
          <w:p w14:paraId="4EC2DA1D">
            <w:pPr>
              <w:spacing w:line="460" w:lineRule="exact"/>
              <w:jc w:val="center"/>
            </w:pPr>
            <w:r>
              <w:rPr>
                <w:rFonts w:hint="eastAsia"/>
                <w:b/>
                <w:bCs/>
              </w:rPr>
              <w:t>高效液相色谱串联质谱仪</w:t>
            </w:r>
          </w:p>
        </w:tc>
        <w:tc>
          <w:tcPr>
            <w:tcW w:w="648" w:type="dxa"/>
            <w:vAlign w:val="center"/>
          </w:tcPr>
          <w:p w14:paraId="03C5E7DE">
            <w:pPr>
              <w:spacing w:line="460" w:lineRule="exact"/>
              <w:jc w:val="center"/>
            </w:pPr>
            <w:r>
              <w:rPr>
                <w:rFonts w:hint="eastAsia"/>
              </w:rPr>
              <w:t>1</w:t>
            </w:r>
          </w:p>
        </w:tc>
        <w:tc>
          <w:tcPr>
            <w:tcW w:w="684" w:type="dxa"/>
            <w:vAlign w:val="center"/>
          </w:tcPr>
          <w:p w14:paraId="112BD6A3">
            <w:pPr>
              <w:spacing w:line="460" w:lineRule="exact"/>
              <w:jc w:val="center"/>
            </w:pPr>
            <w:r>
              <w:rPr>
                <w:rFonts w:hint="eastAsia"/>
              </w:rPr>
              <w:t>套</w:t>
            </w:r>
          </w:p>
        </w:tc>
        <w:tc>
          <w:tcPr>
            <w:tcW w:w="4925" w:type="dxa"/>
          </w:tcPr>
          <w:p w14:paraId="384613C2">
            <w:pPr>
              <w:spacing w:line="360" w:lineRule="auto"/>
              <w:jc w:val="center"/>
              <w:rPr>
                <w:rFonts w:ascii="等线" w:hAnsi="等线" w:eastAsia="等线" w:cs="等线"/>
                <w:b/>
                <w:bCs/>
                <w:sz w:val="28"/>
                <w:szCs w:val="36"/>
              </w:rPr>
            </w:pPr>
            <w:r>
              <w:rPr>
                <w:rFonts w:hint="eastAsia" w:ascii="等线" w:hAnsi="等线" w:eastAsia="等线" w:cs="等线"/>
                <w:b/>
                <w:bCs/>
                <w:sz w:val="28"/>
                <w:szCs w:val="36"/>
              </w:rPr>
              <w:t>高效液相色谱串联质谱仪参数</w:t>
            </w:r>
          </w:p>
          <w:p w14:paraId="5E396652">
            <w:pPr>
              <w:spacing w:line="420" w:lineRule="exact"/>
              <w:rPr>
                <w:rFonts w:asciiTheme="minorEastAsia" w:hAnsiTheme="minorEastAsia" w:cstheme="minorEastAsia"/>
              </w:rPr>
            </w:pPr>
            <w:r>
              <w:rPr>
                <w:rFonts w:hint="eastAsia" w:asciiTheme="minorEastAsia" w:hAnsiTheme="minorEastAsia" w:cstheme="minorEastAsia"/>
              </w:rPr>
              <w:t>一、仪器用途</w:t>
            </w:r>
          </w:p>
          <w:p w14:paraId="42290EF5">
            <w:pPr>
              <w:spacing w:line="420" w:lineRule="exact"/>
              <w:rPr>
                <w:rFonts w:asciiTheme="minorEastAsia" w:hAnsiTheme="minorEastAsia" w:cstheme="minorEastAsia"/>
              </w:rPr>
            </w:pPr>
            <w:r>
              <w:rPr>
                <w:rFonts w:hint="eastAsia" w:asciiTheme="minorEastAsia" w:hAnsiTheme="minorEastAsia" w:cstheme="minorEastAsia"/>
              </w:rPr>
              <w:t>1.用于药物、药物代谢物及维生素、胆汁酸、氨基酸等人体内源性小分子有机化合物的定性、定量检测与研究。</w:t>
            </w:r>
          </w:p>
          <w:p w14:paraId="23FFD300">
            <w:pPr>
              <w:spacing w:line="420" w:lineRule="exact"/>
            </w:pPr>
            <w:r>
              <w:rPr>
                <w:rFonts w:hint="eastAsia" w:ascii="宋体" w:hAnsi="宋体" w:eastAsia="宋体" w:cs="宋体"/>
                <w:color w:val="000000"/>
                <w:sz w:val="24"/>
                <w:szCs w:val="24"/>
              </w:rPr>
              <w:t>▲</w:t>
            </w:r>
            <w:r>
              <w:rPr>
                <w:rFonts w:hint="eastAsia"/>
              </w:rPr>
              <w:t>二、整体要求</w:t>
            </w:r>
          </w:p>
          <w:p w14:paraId="5A162576">
            <w:pPr>
              <w:spacing w:line="420" w:lineRule="exact"/>
            </w:pPr>
            <w:r>
              <w:rPr>
                <w:rFonts w:hint="eastAsia"/>
              </w:rPr>
              <w:t>1.可开展项目（包括但不限于以下项目）：内源成分检测（新生儿遗传代谢疾病筛查、全谱维生素、激素类、儿茶酚胺及代谢物、胆汁酸、脂肪酸、游离氨基酸、诊断标志物）；临床TDM：（精神类药物、抗抑郁药、抗癫痫药、免疫制剂类、抗肿瘤药物、抗菌药、心血管药物）；临床科研类（代谢组学、诊断标志物）；合成药毒物/品类。</w:t>
            </w:r>
          </w:p>
          <w:p w14:paraId="63AA1AAA">
            <w:pPr>
              <w:spacing w:line="420" w:lineRule="exact"/>
            </w:pPr>
            <w:r>
              <w:rPr>
                <w:rFonts w:hint="eastAsia"/>
              </w:rPr>
              <w:t>三、液相色谱部分</w:t>
            </w:r>
          </w:p>
          <w:p w14:paraId="25D45BD8">
            <w:pPr>
              <w:spacing w:line="420" w:lineRule="exact"/>
            </w:pPr>
            <w:r>
              <w:rPr>
                <w:rFonts w:hint="eastAsia"/>
              </w:rPr>
              <w:t>1.二元高压梯度泵</w:t>
            </w:r>
          </w:p>
          <w:p w14:paraId="3F62F27D">
            <w:pPr>
              <w:spacing w:line="420" w:lineRule="exact"/>
            </w:pPr>
            <w:r>
              <w:rPr>
                <w:rFonts w:hint="eastAsia" w:ascii="宋体" w:hAnsi="宋体" w:eastAsia="宋体" w:cs="宋体"/>
                <w:color w:val="000000"/>
                <w:sz w:val="24"/>
                <w:szCs w:val="24"/>
              </w:rPr>
              <w:t>▲</w:t>
            </w:r>
            <w:r>
              <w:rPr>
                <w:rFonts w:hint="eastAsia"/>
              </w:rPr>
              <w:t>1）梯度混合精度：≤0.1%RSD；</w:t>
            </w:r>
          </w:p>
          <w:p w14:paraId="420DC39A">
            <w:pPr>
              <w:spacing w:line="420" w:lineRule="exact"/>
            </w:pPr>
            <w:r>
              <w:rPr>
                <w:rFonts w:hint="eastAsia"/>
              </w:rPr>
              <w:t>2）流速范围：0.001</w:t>
            </w:r>
            <w:r>
              <w:rPr>
                <w:rFonts w:hint="eastAsia" w:ascii="仿宋_GB2312" w:hAnsi="仿宋_GB2312" w:eastAsia="仿宋_GB2312" w:cs="仿宋_GB2312"/>
              </w:rPr>
              <w:t>～</w:t>
            </w:r>
            <w:r>
              <w:rPr>
                <w:rFonts w:hint="eastAsia"/>
              </w:rPr>
              <w:t>8.000mL/min；</w:t>
            </w:r>
          </w:p>
          <w:p w14:paraId="4C4B8935">
            <w:pPr>
              <w:spacing w:line="420" w:lineRule="exact"/>
            </w:pPr>
            <w:r>
              <w:rPr>
                <w:rFonts w:hint="eastAsia" w:ascii="宋体" w:hAnsi="宋体" w:eastAsia="宋体" w:cs="宋体"/>
                <w:color w:val="000000"/>
                <w:sz w:val="24"/>
                <w:szCs w:val="24"/>
              </w:rPr>
              <w:t>▲</w:t>
            </w:r>
            <w:r>
              <w:rPr>
                <w:rFonts w:hint="eastAsia"/>
              </w:rPr>
              <w:t>3）流速精密度：≤0.06% RSD；流速准确性：±1.0 %；</w:t>
            </w:r>
          </w:p>
          <w:p w14:paraId="68CCC56C">
            <w:pPr>
              <w:spacing w:line="420" w:lineRule="exact"/>
            </w:pPr>
            <w:r>
              <w:rPr>
                <w:rFonts w:hint="eastAsia"/>
              </w:rPr>
              <w:t>5.安全机制：支持高压、低压报警、漏液报警等；</w:t>
            </w:r>
          </w:p>
          <w:p w14:paraId="60543EBC">
            <w:pPr>
              <w:spacing w:line="420" w:lineRule="exact"/>
            </w:pPr>
            <w:r>
              <w:rPr>
                <w:rFonts w:hint="eastAsia"/>
              </w:rPr>
              <w:t>6.操作压力范围：≥70MPa；</w:t>
            </w:r>
          </w:p>
          <w:p w14:paraId="3879F11B">
            <w:pPr>
              <w:spacing w:line="420" w:lineRule="exact"/>
            </w:pPr>
            <w:r>
              <w:rPr>
                <w:rFonts w:hint="eastAsia"/>
              </w:rPr>
              <w:t>7.具备泵头清洗；</w:t>
            </w:r>
          </w:p>
          <w:p w14:paraId="126ED0DF">
            <w:pPr>
              <w:spacing w:line="420" w:lineRule="exact"/>
            </w:pPr>
            <w:r>
              <w:rPr>
                <w:rFonts w:hint="eastAsia"/>
              </w:rPr>
              <w:t>8.具备自动进样器；</w:t>
            </w:r>
          </w:p>
          <w:p w14:paraId="186193DD">
            <w:pPr>
              <w:spacing w:line="420" w:lineRule="exact"/>
            </w:pPr>
            <w:r>
              <w:rPr>
                <w:rFonts w:hint="eastAsia"/>
              </w:rPr>
              <w:t>9.真空脱气气流路数≥5 路；</w:t>
            </w:r>
          </w:p>
          <w:p w14:paraId="2BF3E392">
            <w:pPr>
              <w:spacing w:line="420" w:lineRule="exact"/>
            </w:pPr>
            <w:r>
              <w:rPr>
                <w:rFonts w:hint="eastAsia"/>
              </w:rPr>
              <w:t>10.样品数量：≥160 位(1.5mL/2mL 样品瓶)；</w:t>
            </w:r>
          </w:p>
          <w:p w14:paraId="1E75CC19">
            <w:pPr>
              <w:spacing w:line="420" w:lineRule="exact"/>
            </w:pPr>
            <w:r>
              <w:rPr>
                <w:rFonts w:hint="eastAsia" w:ascii="宋体" w:hAnsi="宋体" w:eastAsia="宋体" w:cs="宋体"/>
                <w:color w:val="000000"/>
                <w:sz w:val="24"/>
                <w:szCs w:val="24"/>
              </w:rPr>
              <w:t>▲</w:t>
            </w:r>
            <w:r>
              <w:rPr>
                <w:rFonts w:hint="eastAsia"/>
              </w:rPr>
              <w:t>11.进样量：0.1～100ul；</w:t>
            </w:r>
          </w:p>
          <w:p w14:paraId="699FF24D">
            <w:pPr>
              <w:spacing w:line="420" w:lineRule="exact"/>
            </w:pPr>
            <w:r>
              <w:rPr>
                <w:rFonts w:hint="eastAsia" w:ascii="宋体" w:hAnsi="宋体" w:eastAsia="宋体" w:cs="宋体"/>
                <w:color w:val="000000"/>
                <w:sz w:val="24"/>
                <w:szCs w:val="24"/>
              </w:rPr>
              <w:t>▲</w:t>
            </w:r>
            <w:r>
              <w:rPr>
                <w:rFonts w:hint="eastAsia"/>
              </w:rPr>
              <w:t>12.进样精密度：RSD≤0.25%；</w:t>
            </w:r>
          </w:p>
          <w:p w14:paraId="4C93357E">
            <w:pPr>
              <w:spacing w:line="420" w:lineRule="exact"/>
            </w:pPr>
            <w:r>
              <w:rPr>
                <w:rFonts w:hint="eastAsia"/>
              </w:rPr>
              <w:t>13.柱温箱温度范围：室温～100℃；</w:t>
            </w:r>
          </w:p>
          <w:p w14:paraId="172C8F23">
            <w:pPr>
              <w:spacing w:line="420" w:lineRule="exact"/>
            </w:pPr>
            <w:r>
              <w:rPr>
                <w:rFonts w:hint="eastAsia"/>
              </w:rPr>
              <w:t>14.具备柱切换阀；</w:t>
            </w:r>
          </w:p>
          <w:p w14:paraId="29D38C2B">
            <w:pPr>
              <w:spacing w:line="420" w:lineRule="exact"/>
            </w:pPr>
            <w:r>
              <w:rPr>
                <w:rFonts w:hint="eastAsia"/>
              </w:rPr>
              <w:t>四、质谱仪部分</w:t>
            </w:r>
          </w:p>
          <w:p w14:paraId="6474B19D">
            <w:pPr>
              <w:spacing w:line="420" w:lineRule="exact"/>
            </w:pPr>
            <w:r>
              <w:rPr>
                <w:rFonts w:hint="eastAsia"/>
              </w:rPr>
              <w:t>1.具备独立ESI 或APCI 源；</w:t>
            </w:r>
          </w:p>
          <w:p w14:paraId="40646D22">
            <w:pPr>
              <w:spacing w:line="420" w:lineRule="exact"/>
            </w:pPr>
            <w:r>
              <w:rPr>
                <w:rFonts w:hint="eastAsia"/>
              </w:rPr>
              <w:t>2.具备无需破坏真空环也可实现快速拆卸、清洗离子源，常规维护免工具；</w:t>
            </w:r>
          </w:p>
          <w:p w14:paraId="203AD945">
            <w:pPr>
              <w:spacing w:line="420" w:lineRule="exact"/>
            </w:pPr>
            <w:r>
              <w:rPr>
                <w:rFonts w:hint="eastAsia"/>
              </w:rPr>
              <w:t>3.离子源流速范围：正/负ESI 模式下满足1～2000μL/min；</w:t>
            </w:r>
          </w:p>
          <w:p w14:paraId="31F13A80">
            <w:pPr>
              <w:spacing w:line="420" w:lineRule="exact"/>
            </w:pPr>
            <w:r>
              <w:rPr>
                <w:rFonts w:hint="eastAsia"/>
              </w:rPr>
              <w:t>4.离子源温度：辅助加热气温可达550℃及以上，并可针对不同化合物设定不同的分析温度，保证获得最优的离子化效果；</w:t>
            </w:r>
          </w:p>
          <w:p w14:paraId="799B9B6C">
            <w:pPr>
              <w:spacing w:line="420" w:lineRule="exact"/>
            </w:pPr>
            <w:r>
              <w:rPr>
                <w:rFonts w:hint="eastAsia"/>
              </w:rPr>
              <w:t>5.质量分析器：双曲面全金属钼四极杆，不需要控温即可保证质量准确度的稳定；</w:t>
            </w:r>
          </w:p>
          <w:p w14:paraId="6186FF82">
            <w:pPr>
              <w:spacing w:line="420" w:lineRule="exact"/>
            </w:pPr>
            <w:r>
              <w:rPr>
                <w:rFonts w:hint="eastAsia"/>
              </w:rPr>
              <w:t>6.碰撞池：采用多极杆超快速碰撞室及曲线型加速电势场加碰撞气压控制，可同时进行线性高压加速，有效消除记忆效应和交叉污染；</w:t>
            </w:r>
          </w:p>
          <w:p w14:paraId="7232CF22">
            <w:pPr>
              <w:spacing w:line="420" w:lineRule="exact"/>
            </w:pPr>
            <w:r>
              <w:rPr>
                <w:rFonts w:hint="eastAsia"/>
              </w:rPr>
              <w:t>7.检测器系统：电子倍增器，能够确保长期大量样品定量分析数据的可靠性和重复性；</w:t>
            </w:r>
          </w:p>
          <w:p w14:paraId="7E16C560">
            <w:pPr>
              <w:spacing w:line="420" w:lineRule="exact"/>
            </w:pPr>
            <w:r>
              <w:rPr>
                <w:rFonts w:hint="eastAsia" w:ascii="宋体" w:hAnsi="宋体" w:eastAsia="宋体" w:cs="宋体"/>
                <w:color w:val="000000"/>
                <w:sz w:val="24"/>
                <w:szCs w:val="24"/>
              </w:rPr>
              <w:t>▲</w:t>
            </w:r>
            <w:r>
              <w:rPr>
                <w:rFonts w:hint="eastAsia"/>
              </w:rPr>
              <w:t>8.正负离子切换速度（或切换时间）≤20ms；</w:t>
            </w:r>
          </w:p>
          <w:p w14:paraId="570ADEF0">
            <w:pPr>
              <w:spacing w:line="420" w:lineRule="exact"/>
            </w:pPr>
            <w:r>
              <w:rPr>
                <w:rFonts w:hint="eastAsia" w:ascii="宋体" w:hAnsi="宋体" w:eastAsia="宋体" w:cs="宋体"/>
                <w:color w:val="000000"/>
                <w:sz w:val="24"/>
                <w:szCs w:val="24"/>
              </w:rPr>
              <w:t>▲</w:t>
            </w:r>
            <w:r>
              <w:rPr>
                <w:rFonts w:hint="eastAsia"/>
              </w:rPr>
              <w:t>9.质量范围：至少包含m/z(质量/电荷比) 5</w:t>
            </w:r>
            <w:r>
              <w:rPr>
                <w:rFonts w:hint="eastAsia" w:ascii="仿宋_GB2312" w:hAnsi="仿宋_GB2312" w:eastAsia="仿宋_GB2312" w:cs="仿宋_GB2312"/>
              </w:rPr>
              <w:t>～</w:t>
            </w:r>
            <w:r>
              <w:rPr>
                <w:rFonts w:hint="eastAsia"/>
              </w:rPr>
              <w:t>1950amu；</w:t>
            </w:r>
          </w:p>
          <w:p w14:paraId="59369E47">
            <w:pPr>
              <w:spacing w:line="420" w:lineRule="exact"/>
            </w:pPr>
            <w:r>
              <w:rPr>
                <w:rFonts w:hint="eastAsia" w:ascii="宋体" w:hAnsi="宋体" w:eastAsia="宋体" w:cs="宋体"/>
                <w:color w:val="000000"/>
                <w:sz w:val="24"/>
                <w:szCs w:val="24"/>
              </w:rPr>
              <w:t>▲</w:t>
            </w:r>
            <w:r>
              <w:rPr>
                <w:rFonts w:hint="eastAsia"/>
              </w:rPr>
              <w:t>10.质谱分辨率：FWHM≤0.4 u；</w:t>
            </w:r>
          </w:p>
          <w:p w14:paraId="683EE912">
            <w:pPr>
              <w:spacing w:line="420" w:lineRule="exact"/>
            </w:pPr>
            <w:r>
              <w:rPr>
                <w:rFonts w:hint="eastAsia" w:ascii="宋体" w:hAnsi="宋体" w:eastAsia="宋体" w:cs="宋体"/>
                <w:color w:val="000000"/>
                <w:sz w:val="24"/>
                <w:szCs w:val="24"/>
              </w:rPr>
              <w:t>▲</w:t>
            </w:r>
            <w:r>
              <w:rPr>
                <w:rFonts w:hint="eastAsia"/>
              </w:rPr>
              <w:t>11.灵敏度</w:t>
            </w:r>
          </w:p>
          <w:p w14:paraId="69648B93">
            <w:pPr>
              <w:spacing w:line="420" w:lineRule="exact"/>
            </w:pPr>
            <w:r>
              <w:rPr>
                <w:rFonts w:hint="eastAsia"/>
              </w:rPr>
              <w:t>1）ESI 正离子灵敏度：1pg 利血平，MRM（m/z 609&gt;195），噪比S/N≥500000:1（RMS）；2）ESI 负离子灵敏度：1pg 氯霉素，MRM（m/z 321&gt;151），噪比S/N≥500000:1 (RMS) ；</w:t>
            </w:r>
          </w:p>
          <w:p w14:paraId="0687D0F3">
            <w:pPr>
              <w:spacing w:line="420" w:lineRule="exact"/>
            </w:pPr>
            <w:r>
              <w:rPr>
                <w:rFonts w:hint="eastAsia" w:ascii="宋体" w:hAnsi="宋体" w:eastAsia="宋体" w:cs="宋体"/>
                <w:color w:val="000000"/>
                <w:sz w:val="24"/>
                <w:szCs w:val="24"/>
              </w:rPr>
              <w:t>▲</w:t>
            </w:r>
            <w:r>
              <w:rPr>
                <w:rFonts w:hint="eastAsia"/>
              </w:rPr>
              <w:t>12.扫描速度：≥15000amu/s；</w:t>
            </w:r>
          </w:p>
          <w:p w14:paraId="00025D53">
            <w:pPr>
              <w:spacing w:line="420" w:lineRule="exact"/>
            </w:pPr>
            <w:r>
              <w:rPr>
                <w:rFonts w:hint="eastAsia"/>
              </w:rPr>
              <w:t>13.最小驻留时间≤1ms；</w:t>
            </w:r>
          </w:p>
          <w:p w14:paraId="7B8C049A">
            <w:pPr>
              <w:spacing w:line="420" w:lineRule="exact"/>
            </w:pPr>
            <w:r>
              <w:rPr>
                <w:rFonts w:hint="eastAsia" w:ascii="宋体" w:hAnsi="宋体" w:eastAsia="宋体" w:cs="宋体"/>
                <w:color w:val="000000"/>
                <w:sz w:val="24"/>
                <w:szCs w:val="24"/>
              </w:rPr>
              <w:t>▲</w:t>
            </w:r>
            <w:r>
              <w:rPr>
                <w:rFonts w:hint="eastAsia"/>
              </w:rPr>
              <w:t>14.质量稳定性：≤0.05u/24 小时；</w:t>
            </w:r>
          </w:p>
          <w:p w14:paraId="08AB0DB6">
            <w:pPr>
              <w:spacing w:line="420" w:lineRule="exact"/>
            </w:pPr>
            <w:r>
              <w:rPr>
                <w:rFonts w:hint="eastAsia"/>
              </w:rPr>
              <w:t>15.MRM 通道数量：一次进样，不分时间段，可以至少同时检测30000 个MRM 离子对，并保证灵敏度和重现性不受损失；</w:t>
            </w:r>
          </w:p>
          <w:p w14:paraId="03D8046A">
            <w:pPr>
              <w:spacing w:line="420" w:lineRule="exact"/>
            </w:pPr>
            <w:r>
              <w:rPr>
                <w:rFonts w:hint="eastAsia"/>
              </w:rPr>
              <w:t>16.MRM 速度：≥500MRM/s；</w:t>
            </w:r>
          </w:p>
          <w:p w14:paraId="394A2105">
            <w:pPr>
              <w:spacing w:line="420" w:lineRule="exact"/>
            </w:pPr>
            <w:r>
              <w:rPr>
                <w:rFonts w:hint="eastAsia"/>
              </w:rPr>
              <w:t>17.线性范围：≥6 个数量级；</w:t>
            </w:r>
          </w:p>
          <w:p w14:paraId="0A0A093F">
            <w:pPr>
              <w:spacing w:line="420" w:lineRule="exact"/>
            </w:pPr>
            <w:r>
              <w:rPr>
                <w:rFonts w:hint="eastAsia"/>
              </w:rPr>
              <w:t>五、配套运行系统</w:t>
            </w:r>
          </w:p>
          <w:p w14:paraId="1BBADD45">
            <w:pPr>
              <w:spacing w:line="420" w:lineRule="exact"/>
            </w:pPr>
            <w:r>
              <w:rPr>
                <w:rFonts w:hint="eastAsia"/>
              </w:rPr>
              <w:t>1.支持全中文应用软件；</w:t>
            </w:r>
          </w:p>
          <w:p w14:paraId="06C2DA6A">
            <w:pPr>
              <w:spacing w:line="420" w:lineRule="exact"/>
            </w:pPr>
            <w:r>
              <w:rPr>
                <w:rFonts w:hint="eastAsia"/>
              </w:rPr>
              <w:t>2.具备数据采集、数据处理、定性定量分析、建立数据库、谱库检索等功能；</w:t>
            </w:r>
          </w:p>
          <w:p w14:paraId="7A2355D9">
            <w:pPr>
              <w:spacing w:line="420" w:lineRule="exact"/>
            </w:pPr>
            <w:r>
              <w:rPr>
                <w:rFonts w:hint="eastAsia"/>
              </w:rPr>
              <w:t>3.支持全中文质谱报告，可自由添加、修改、提取化合物的信息，分析和处理方法；</w:t>
            </w:r>
          </w:p>
          <w:p w14:paraId="3CD17212">
            <w:pPr>
              <w:spacing w:line="420" w:lineRule="exact"/>
            </w:pPr>
            <w:r>
              <w:rPr>
                <w:rFonts w:hint="eastAsia"/>
              </w:rPr>
              <w:t>4.扫描方式：具备全扫描(Full Scan)、选择离子扫描(SIM)、子离子扫描（Product Ion Scan）、母离子扫描（Precursor Ion Scan）、中性丢失扫描（Neutral LossScan）、多反应监测扫描（MRM）等扫描方式；</w:t>
            </w:r>
          </w:p>
          <w:p w14:paraId="5F0154BA">
            <w:pPr>
              <w:spacing w:line="420" w:lineRule="exact"/>
            </w:pPr>
            <w:r>
              <w:rPr>
                <w:rFonts w:hint="eastAsia"/>
              </w:rPr>
              <w:t>5.可接入医院LIS 系统，双向通讯；</w:t>
            </w:r>
          </w:p>
          <w:p w14:paraId="23E7F6DF">
            <w:pPr>
              <w:spacing w:line="420" w:lineRule="exact"/>
            </w:pPr>
            <w:r>
              <w:rPr>
                <w:rFonts w:hint="eastAsia"/>
              </w:rPr>
              <w:t>六、基本配置（包括但不限于以下配置）</w:t>
            </w:r>
          </w:p>
          <w:p w14:paraId="5835BD7D">
            <w:pPr>
              <w:spacing w:line="420" w:lineRule="exact"/>
              <w:rPr>
                <w:rFonts w:ascii="等线" w:hAnsi="等线" w:eastAsia="等线" w:cs="等线"/>
              </w:rPr>
            </w:pPr>
            <w:r>
              <w:rPr>
                <w:rFonts w:hint="eastAsia" w:ascii="等线" w:hAnsi="等线" w:eastAsia="等线" w:cs="等线"/>
              </w:rPr>
              <w:t xml:space="preserve">序号  货物名称  数量 </w:t>
            </w:r>
            <w:r>
              <w:rPr>
                <w:rFonts w:hint="eastAsia" w:ascii="等线" w:hAnsi="等线" w:eastAsia="等线" w:cs="等线"/>
              </w:rPr>
              <w:br w:type="textWrapping"/>
            </w:r>
            <w:r>
              <w:rPr>
                <w:rFonts w:hint="eastAsia" w:ascii="等线" w:hAnsi="等线" w:eastAsia="等线" w:cs="等线"/>
              </w:rPr>
              <w:t>1   液相色谱串联质谱检测系统 1 套（标配）</w:t>
            </w:r>
            <w:r>
              <w:rPr>
                <w:rFonts w:hint="eastAsia" w:ascii="等线" w:hAnsi="等线" w:eastAsia="等线" w:cs="等线"/>
              </w:rPr>
              <w:br w:type="textWrapping"/>
            </w:r>
            <w:r>
              <w:rPr>
                <w:rFonts w:hint="eastAsia" w:ascii="等线" w:hAnsi="等线" w:eastAsia="等线" w:cs="等线"/>
              </w:rPr>
              <w:t>2   氮气发生器 1 台（标配）</w:t>
            </w:r>
            <w:r>
              <w:rPr>
                <w:rFonts w:hint="eastAsia" w:ascii="等线" w:hAnsi="等线" w:eastAsia="等线" w:cs="等线"/>
              </w:rPr>
              <w:br w:type="textWrapping"/>
            </w:r>
            <w:r>
              <w:rPr>
                <w:rFonts w:hint="eastAsia" w:ascii="等线" w:hAnsi="等线" w:eastAsia="等线" w:cs="等线"/>
              </w:rPr>
              <w:t>3   氩气钢瓶 1 个</w:t>
            </w:r>
          </w:p>
          <w:p w14:paraId="6CF27158">
            <w:pPr>
              <w:spacing w:line="420" w:lineRule="exact"/>
              <w:rPr>
                <w:rFonts w:ascii="等线" w:hAnsi="等线" w:eastAsia="等线" w:cs="等线"/>
              </w:rPr>
            </w:pPr>
            <w:r>
              <w:rPr>
                <w:rFonts w:hint="eastAsia" w:ascii="等线" w:hAnsi="等线" w:eastAsia="等线" w:cs="等线"/>
              </w:rPr>
              <w:t>4   启动耗材包 1 套（标配）</w:t>
            </w:r>
            <w:r>
              <w:rPr>
                <w:rFonts w:hint="eastAsia" w:ascii="等线" w:hAnsi="等线" w:eastAsia="等线" w:cs="等线"/>
              </w:rPr>
              <w:br w:type="textWrapping"/>
            </w:r>
            <w:r>
              <w:rPr>
                <w:rFonts w:hint="eastAsia" w:ascii="等线" w:hAnsi="等线" w:eastAsia="等线" w:cs="等线"/>
              </w:rPr>
              <w:t>5   色谱柱 2 套（标配）</w:t>
            </w:r>
            <w:r>
              <w:rPr>
                <w:rFonts w:hint="eastAsia" w:ascii="等线" w:hAnsi="等线" w:eastAsia="等线" w:cs="等线"/>
              </w:rPr>
              <w:br w:type="textWrapping"/>
            </w:r>
            <w:r>
              <w:rPr>
                <w:rFonts w:hint="eastAsia" w:ascii="等线" w:hAnsi="等线" w:eastAsia="等线" w:cs="等线"/>
              </w:rPr>
              <w:t>6   维修工具包 1 套（标配）</w:t>
            </w:r>
            <w:r>
              <w:rPr>
                <w:rFonts w:hint="eastAsia" w:ascii="等线" w:hAnsi="等线" w:eastAsia="等线" w:cs="等线"/>
              </w:rPr>
              <w:br w:type="textWrapping"/>
            </w:r>
            <w:r>
              <w:rPr>
                <w:rFonts w:hint="eastAsia" w:ascii="等线" w:hAnsi="等线" w:eastAsia="等线" w:cs="等线"/>
              </w:rPr>
              <w:t>7   高速离心机 1 台（标配）</w:t>
            </w:r>
            <w:r>
              <w:rPr>
                <w:rFonts w:hint="eastAsia" w:ascii="等线" w:hAnsi="等线" w:eastAsia="等线" w:cs="等线"/>
              </w:rPr>
              <w:br w:type="textWrapping"/>
            </w:r>
            <w:r>
              <w:rPr>
                <w:rFonts w:hint="eastAsia" w:ascii="等线" w:hAnsi="等线" w:eastAsia="等线" w:cs="等线"/>
              </w:rPr>
              <w:t>8   采血管低速离心机 1 台（标配）</w:t>
            </w:r>
            <w:r>
              <w:rPr>
                <w:rFonts w:hint="eastAsia" w:ascii="等线" w:hAnsi="等线" w:eastAsia="等线" w:cs="等线"/>
              </w:rPr>
              <w:br w:type="textWrapping"/>
            </w:r>
            <w:r>
              <w:rPr>
                <w:rFonts w:hint="eastAsia" w:ascii="等线" w:hAnsi="等线" w:eastAsia="等线" w:cs="等线"/>
              </w:rPr>
              <w:t>9   涡旋震荡仪 1 台（标配）</w:t>
            </w:r>
            <w:r>
              <w:rPr>
                <w:rFonts w:hint="eastAsia" w:ascii="等线" w:hAnsi="等线" w:eastAsia="等线" w:cs="等线"/>
              </w:rPr>
              <w:br w:type="textWrapping"/>
            </w:r>
            <w:r>
              <w:rPr>
                <w:rFonts w:hint="eastAsia" w:ascii="等线" w:hAnsi="等线" w:eastAsia="等线" w:cs="等线"/>
              </w:rPr>
              <w:t>10  移液枪 2 支（标配）</w:t>
            </w:r>
          </w:p>
          <w:p w14:paraId="6B517625">
            <w:pPr>
              <w:spacing w:line="420" w:lineRule="exact"/>
            </w:pPr>
            <w:r>
              <w:rPr>
                <w:rFonts w:hint="eastAsia"/>
              </w:rPr>
              <w:t>七、其他</w:t>
            </w:r>
          </w:p>
          <w:p w14:paraId="1BD3575D">
            <w:pPr>
              <w:spacing w:line="420" w:lineRule="exact"/>
            </w:pPr>
            <w:r>
              <w:rPr>
                <w:rFonts w:hint="eastAsia" w:ascii="宋体" w:hAnsi="宋体" w:eastAsia="宋体" w:cs="宋体"/>
                <w:color w:val="000000"/>
                <w:sz w:val="24"/>
                <w:szCs w:val="24"/>
              </w:rPr>
              <w:t>▲</w:t>
            </w:r>
            <w:r>
              <w:rPr>
                <w:rFonts w:hint="eastAsia"/>
              </w:rPr>
              <w:t>1.质量保证期：≥3年；</w:t>
            </w:r>
          </w:p>
          <w:p w14:paraId="028C872D">
            <w:pPr>
              <w:spacing w:line="340" w:lineRule="exact"/>
              <w:rPr>
                <w:rFonts w:ascii="等线" w:hAnsi="等线" w:eastAsia="等线" w:cs="等线"/>
              </w:rPr>
            </w:pPr>
            <w:r>
              <w:rPr>
                <w:rFonts w:hint="eastAsia" w:ascii="宋体" w:hAnsi="宋体" w:eastAsia="宋体" w:cs="宋体"/>
                <w:color w:val="000000"/>
                <w:sz w:val="24"/>
                <w:szCs w:val="24"/>
              </w:rPr>
              <w:t>▲</w:t>
            </w:r>
            <w:r>
              <w:rPr>
                <w:rFonts w:hint="eastAsia"/>
              </w:rPr>
              <w:t>2.使用年限：≥7年。</w:t>
            </w:r>
            <w:r>
              <w:rPr>
                <w:rFonts w:hint="eastAsia" w:ascii="等线" w:hAnsi="等线" w:eastAsia="等线" w:cs="等线"/>
              </w:rPr>
              <w:br w:type="textWrapping"/>
            </w:r>
            <w:bookmarkStart w:id="46" w:name="OLE_LINK1"/>
            <w:bookmarkStart w:id="47" w:name="OLE_LINK2"/>
            <w:r>
              <w:rPr>
                <w:rFonts w:hint="eastAsia" w:ascii="等线" w:hAnsi="等线" w:eastAsia="等线" w:cs="等线"/>
              </w:rPr>
              <w:t>说明：</w:t>
            </w:r>
            <w:r>
              <w:rPr>
                <w:rFonts w:ascii="等线" w:hAnsi="等线" w:eastAsia="等线" w:cs="等线"/>
              </w:rPr>
              <w:t>1.</w:t>
            </w:r>
            <w:r>
              <w:rPr>
                <w:rFonts w:hint="eastAsia" w:ascii="等线" w:hAnsi="等线" w:eastAsia="等线" w:cs="等线"/>
              </w:rPr>
              <w:t>打“</w:t>
            </w:r>
            <w:r>
              <w:rPr>
                <w:rFonts w:hint="eastAsia" w:ascii="宋体" w:hAnsi="宋体" w:eastAsia="宋体" w:cs="宋体"/>
                <w:color w:val="000000"/>
                <w:sz w:val="24"/>
                <w:szCs w:val="24"/>
              </w:rPr>
              <w:t>▲</w:t>
            </w:r>
            <w:r>
              <w:rPr>
                <w:rFonts w:hint="eastAsia" w:ascii="等线" w:hAnsi="等线" w:eastAsia="等线" w:cs="等线"/>
              </w:rPr>
              <w:t>”号条款为实质性条款，若有任何一条负偏离或不满足则导致投标无效。</w:t>
            </w:r>
          </w:p>
          <w:p w14:paraId="5A117EB0">
            <w:pPr>
              <w:pStyle w:val="8"/>
              <w:spacing w:line="340" w:lineRule="exact"/>
              <w:rPr>
                <w:rFonts w:ascii="等线" w:hAnsi="等线" w:eastAsia="等线" w:cs="等线"/>
                <w:szCs w:val="22"/>
              </w:rPr>
            </w:pPr>
            <w:r>
              <w:rPr>
                <w:rFonts w:hint="eastAsia"/>
              </w:rPr>
              <w:t xml:space="preserve"> </w:t>
            </w:r>
            <w:bookmarkStart w:id="48" w:name="OLE_LINK3"/>
            <w:bookmarkStart w:id="49" w:name="OLE_LINK4"/>
            <w:r>
              <w:rPr>
                <w:rFonts w:ascii="等线" w:hAnsi="等线" w:eastAsia="等线" w:cs="等线"/>
                <w:szCs w:val="22"/>
              </w:rPr>
              <w:t>2.对于区间涵盖值参数，例：电压“测量范围3V-5V”，同时满足下限值更低及上限值更高才视为正偏离，例：响应为“测量范围2V-6V”。如有一端负偏离，不管另一端如何，均视为负偏离，例：响应为“测量范围4V-6V”。</w:t>
            </w:r>
          </w:p>
          <w:p w14:paraId="3F7E8DA6">
            <w:pPr>
              <w:pStyle w:val="8"/>
              <w:spacing w:line="340" w:lineRule="exact"/>
              <w:rPr>
                <w:rFonts w:ascii="等线" w:hAnsi="等线" w:eastAsia="等线" w:cs="等线"/>
                <w:szCs w:val="22"/>
              </w:rPr>
            </w:pPr>
            <w:r>
              <w:rPr>
                <w:rFonts w:hint="eastAsia" w:ascii="等线" w:hAnsi="等线" w:eastAsia="等线" w:cs="等线"/>
                <w:szCs w:val="22"/>
              </w:rPr>
              <w:t>3</w:t>
            </w:r>
            <w:r>
              <w:rPr>
                <w:rFonts w:ascii="等线" w:hAnsi="等线" w:eastAsia="等线" w:cs="等线"/>
                <w:szCs w:val="22"/>
              </w:rPr>
              <w:t>.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311BDACD">
            <w:pPr>
              <w:pStyle w:val="8"/>
              <w:spacing w:line="340" w:lineRule="exact"/>
              <w:rPr>
                <w:rFonts w:ascii="等线" w:hAnsi="等线" w:eastAsia="等线" w:cs="等线"/>
                <w:szCs w:val="22"/>
              </w:rPr>
            </w:pPr>
            <w:r>
              <w:rPr>
                <w:rFonts w:hint="eastAsia" w:ascii="等线" w:hAnsi="等线" w:eastAsia="等线" w:cs="等线"/>
                <w:szCs w:val="22"/>
              </w:rPr>
              <w:t>4</w:t>
            </w:r>
            <w:r>
              <w:rPr>
                <w:rFonts w:ascii="等线" w:hAnsi="等线" w:eastAsia="等线" w:cs="等线"/>
                <w:szCs w:val="22"/>
              </w:rPr>
              <w:t>.对于单边任意参数的要求，例“长度≥50cm”，若响应为50 cm及50cm以上任意一个数值，均视为无偏离；若响应小于50cm，视为负偏离。此类参数无正偏离。</w:t>
            </w:r>
          </w:p>
          <w:p w14:paraId="2A8AA610">
            <w:pPr>
              <w:pStyle w:val="8"/>
              <w:spacing w:line="340" w:lineRule="exact"/>
              <w:rPr>
                <w:rFonts w:ascii="等线" w:hAnsi="等线" w:eastAsia="等线" w:cs="等线"/>
                <w:szCs w:val="22"/>
              </w:rPr>
            </w:pPr>
            <w:r>
              <w:rPr>
                <w:rFonts w:hint="eastAsia" w:ascii="等线" w:hAnsi="等线" w:eastAsia="等线" w:cs="等线"/>
                <w:szCs w:val="22"/>
              </w:rPr>
              <w:t>5</w:t>
            </w:r>
            <w:r>
              <w:rPr>
                <w:rFonts w:ascii="等线" w:hAnsi="等线" w:eastAsia="等线" w:cs="等线"/>
                <w:szCs w:val="22"/>
              </w:rPr>
              <w:t>.对于固定参数，响应与采购需求中技术参数一致，视为无偏离，其他均视为负偏离，此类参数无正偏离。</w:t>
            </w:r>
          </w:p>
          <w:p w14:paraId="36034D69">
            <w:pPr>
              <w:pStyle w:val="8"/>
              <w:spacing w:line="340" w:lineRule="exact"/>
            </w:pPr>
            <w:r>
              <w:rPr>
                <w:rFonts w:hint="eastAsia" w:ascii="等线" w:hAnsi="等线" w:eastAsia="等线" w:cs="等线"/>
                <w:szCs w:val="22"/>
              </w:rPr>
              <w:t>6</w:t>
            </w:r>
            <w:r>
              <w:rPr>
                <w:rFonts w:ascii="等线" w:hAnsi="等线" w:eastAsia="等线" w:cs="等线"/>
                <w:szCs w:val="22"/>
              </w:rPr>
              <w:t>.如采购需求中技术参数有特殊要求与上述说明不一致的，以特殊要求为准。</w:t>
            </w:r>
            <w:bookmarkEnd w:id="46"/>
            <w:bookmarkEnd w:id="47"/>
            <w:bookmarkEnd w:id="48"/>
            <w:bookmarkEnd w:id="49"/>
          </w:p>
        </w:tc>
      </w:tr>
    </w:tbl>
    <w:p w14:paraId="6DF462E4">
      <w:pPr>
        <w:spacing w:line="560" w:lineRule="exact"/>
        <w:jc w:val="center"/>
        <w:rPr>
          <w:rFonts w:ascii="仿宋" w:hAnsi="仿宋" w:eastAsia="仿宋" w:cs="Times New Roman"/>
          <w:b/>
          <w:sz w:val="32"/>
          <w:szCs w:val="32"/>
        </w:rPr>
      </w:pPr>
      <w:r>
        <w:rPr>
          <w:rFonts w:hint="eastAsia" w:ascii="仿宋" w:hAnsi="仿宋" w:eastAsia="仿宋" w:cs="Times New Roman"/>
          <w:b/>
          <w:sz w:val="32"/>
          <w:szCs w:val="32"/>
        </w:rPr>
        <w:t>二、商务要求</w:t>
      </w:r>
    </w:p>
    <w:p w14:paraId="4AB2E1AD">
      <w:pPr>
        <w:spacing w:line="420" w:lineRule="exact"/>
        <w:ind w:firstLine="480" w:firstLineChars="200"/>
        <w:rPr>
          <w:rFonts w:ascii="宋体" w:hAnsi="宋体" w:cs="宋体"/>
          <w:b/>
          <w:bCs/>
          <w:sz w:val="24"/>
          <w:szCs w:val="24"/>
        </w:rPr>
      </w:pPr>
      <w:r>
        <w:rPr>
          <w:rFonts w:hint="eastAsia" w:ascii="宋体" w:hAnsi="宋体" w:cs="宋体"/>
          <w:b/>
          <w:bCs/>
          <w:sz w:val="24"/>
          <w:szCs w:val="24"/>
        </w:rPr>
        <w:t>（一）质量保证期</w:t>
      </w:r>
    </w:p>
    <w:p w14:paraId="0B531032">
      <w:pPr>
        <w:spacing w:line="420" w:lineRule="exact"/>
        <w:ind w:firstLine="480" w:firstLineChars="200"/>
        <w:rPr>
          <w:rFonts w:ascii="宋体" w:hAnsi="宋体" w:cs="宋体"/>
          <w:sz w:val="24"/>
          <w:szCs w:val="24"/>
        </w:rPr>
      </w:pPr>
      <w:r>
        <w:rPr>
          <w:rFonts w:hint="eastAsia" w:ascii="宋体" w:hAnsi="宋体" w:cs="宋体"/>
          <w:sz w:val="24"/>
          <w:szCs w:val="24"/>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招标人日后采购时参考。</w:t>
      </w:r>
    </w:p>
    <w:p w14:paraId="608B66C8">
      <w:pPr>
        <w:spacing w:line="420" w:lineRule="exact"/>
        <w:ind w:firstLine="480" w:firstLineChars="200"/>
        <w:rPr>
          <w:rFonts w:ascii="宋体" w:hAnsi="宋体" w:cs="宋体"/>
          <w:b/>
          <w:bCs/>
          <w:sz w:val="24"/>
          <w:szCs w:val="24"/>
        </w:rPr>
      </w:pPr>
      <w:r>
        <w:rPr>
          <w:rFonts w:hint="eastAsia" w:ascii="宋体" w:hAnsi="宋体" w:cs="宋体"/>
          <w:b/>
          <w:bCs/>
          <w:sz w:val="24"/>
          <w:szCs w:val="24"/>
        </w:rPr>
        <w:t>（二）交货时间及地点</w:t>
      </w:r>
    </w:p>
    <w:p w14:paraId="7AE875E8">
      <w:pPr>
        <w:spacing w:line="420" w:lineRule="exact"/>
        <w:ind w:firstLine="480" w:firstLineChars="200"/>
        <w:rPr>
          <w:rFonts w:ascii="宋体" w:hAnsi="宋体" w:cs="宋体"/>
          <w:sz w:val="24"/>
          <w:szCs w:val="24"/>
        </w:rPr>
      </w:pPr>
      <w:r>
        <w:rPr>
          <w:rFonts w:hint="eastAsia" w:ascii="宋体" w:hAnsi="宋体" w:cs="宋体"/>
          <w:sz w:val="24"/>
          <w:szCs w:val="24"/>
        </w:rPr>
        <w:t>1.交货时间：合同签定之日起，中标供应商在30个日历日内向采购人交付全部货物。</w:t>
      </w:r>
    </w:p>
    <w:p w14:paraId="0BE910B5">
      <w:pPr>
        <w:spacing w:line="420" w:lineRule="exact"/>
        <w:ind w:firstLine="480" w:firstLineChars="200"/>
        <w:rPr>
          <w:rFonts w:ascii="宋体" w:hAnsi="宋体" w:cs="宋体"/>
          <w:sz w:val="24"/>
          <w:szCs w:val="24"/>
        </w:rPr>
      </w:pPr>
      <w:r>
        <w:rPr>
          <w:rFonts w:hint="eastAsia" w:ascii="宋体" w:hAnsi="宋体" w:cs="宋体"/>
          <w:sz w:val="24"/>
          <w:szCs w:val="24"/>
        </w:rPr>
        <w:t>2.交货地点：采购人指定地点。</w:t>
      </w:r>
    </w:p>
    <w:p w14:paraId="14B5EA87">
      <w:pPr>
        <w:spacing w:line="420" w:lineRule="exact"/>
        <w:ind w:firstLine="480" w:firstLineChars="200"/>
        <w:rPr>
          <w:rFonts w:ascii="宋体" w:hAnsi="宋体" w:cs="宋体"/>
          <w:b/>
          <w:bCs/>
          <w:sz w:val="24"/>
          <w:szCs w:val="24"/>
        </w:rPr>
      </w:pPr>
      <w:r>
        <w:rPr>
          <w:rFonts w:hint="eastAsia" w:ascii="宋体" w:hAnsi="宋体" w:cs="宋体"/>
          <w:b/>
          <w:bCs/>
          <w:sz w:val="24"/>
          <w:szCs w:val="24"/>
        </w:rPr>
        <w:t>（三）服务标准、服务效率、售后服务要求</w:t>
      </w:r>
    </w:p>
    <w:p w14:paraId="19C5CE74">
      <w:pPr>
        <w:spacing w:line="420" w:lineRule="exact"/>
        <w:ind w:firstLine="480" w:firstLineChars="200"/>
        <w:rPr>
          <w:rFonts w:ascii="宋体" w:hAnsi="宋体" w:cs="宋体"/>
          <w:sz w:val="24"/>
          <w:szCs w:val="24"/>
        </w:rPr>
      </w:pPr>
      <w:r>
        <w:rPr>
          <w:rFonts w:hint="eastAsia" w:ascii="宋体" w:hAnsi="宋体" w:cs="宋体"/>
          <w:sz w:val="24"/>
          <w:szCs w:val="24"/>
        </w:rPr>
        <w:t>1.中标供应商负责送货上门，保障设备、人员安全及安装调试，安装前提供相关的布局图和设计要求，培训采购人的操作人员至能完全独立操作、日常维护及承担以上所产生的相关费用。</w:t>
      </w:r>
    </w:p>
    <w:p w14:paraId="7578760A">
      <w:pPr>
        <w:spacing w:line="420" w:lineRule="exact"/>
        <w:ind w:firstLine="480" w:firstLineChars="200"/>
        <w:rPr>
          <w:rFonts w:ascii="宋体" w:hAnsi="宋体" w:cs="宋体"/>
          <w:sz w:val="24"/>
          <w:szCs w:val="24"/>
        </w:rPr>
      </w:pPr>
      <w:r>
        <w:rPr>
          <w:rFonts w:hint="eastAsia" w:ascii="宋体" w:hAnsi="宋体" w:cs="宋体"/>
          <w:sz w:val="24"/>
          <w:szCs w:val="24"/>
        </w:rPr>
        <w:t>2.质保期内提供7×24小时售后服务，仪器设备出现故障，在接到电话通知后，2小时内做出实质性响应（远程解决或做出预备维护动作），需维护工程师现场解决的，要求在24小时内到现场处理。</w:t>
      </w:r>
    </w:p>
    <w:p w14:paraId="2E3C88CB">
      <w:pPr>
        <w:spacing w:line="420" w:lineRule="exact"/>
        <w:ind w:firstLine="480" w:firstLineChars="200"/>
        <w:rPr>
          <w:rFonts w:ascii="宋体" w:hAnsi="宋体" w:cs="宋体"/>
          <w:sz w:val="24"/>
          <w:szCs w:val="24"/>
        </w:rPr>
      </w:pPr>
      <w:r>
        <w:rPr>
          <w:rFonts w:hint="eastAsia" w:ascii="宋体" w:hAnsi="宋体" w:cs="宋体"/>
          <w:sz w:val="24"/>
          <w:szCs w:val="24"/>
        </w:rPr>
        <w:t>3.质保期内发生故障的设备如无法在24小时内修复，须保证年开机率95%以上，否则中标供应商承担相应的损失。单次故障（不可抗力因素除外）维修时间超过20天仍无法修复的，采购人有权要求更换设备或赔偿。</w:t>
      </w:r>
    </w:p>
    <w:p w14:paraId="4A027489">
      <w:pPr>
        <w:spacing w:line="420" w:lineRule="exact"/>
        <w:ind w:firstLine="480" w:firstLineChars="200"/>
        <w:rPr>
          <w:rFonts w:ascii="宋体" w:hAnsi="宋体" w:cs="宋体"/>
          <w:sz w:val="24"/>
          <w:szCs w:val="24"/>
        </w:rPr>
      </w:pPr>
      <w:r>
        <w:rPr>
          <w:rFonts w:hint="eastAsia" w:ascii="宋体" w:hAnsi="宋体" w:cs="宋体"/>
          <w:sz w:val="24"/>
          <w:szCs w:val="24"/>
        </w:rPr>
        <w:t>4.质保期内每季度一次定期回访以及对设备维护。质保期满前1个月内中标供应商应负责对设备进行一次免费全面检查，如发现潜在问题，应负责排除，保证设备正常运行。</w:t>
      </w:r>
    </w:p>
    <w:p w14:paraId="6AF84CE8">
      <w:pPr>
        <w:spacing w:line="420" w:lineRule="exact"/>
        <w:ind w:firstLine="480" w:firstLineChars="200"/>
        <w:rPr>
          <w:rFonts w:ascii="宋体" w:hAnsi="宋体" w:cs="宋体"/>
          <w:sz w:val="24"/>
          <w:szCs w:val="24"/>
        </w:rPr>
      </w:pPr>
      <w:r>
        <w:rPr>
          <w:rFonts w:hint="eastAsia" w:ascii="宋体" w:hAnsi="宋体" w:cs="宋体"/>
          <w:sz w:val="24"/>
          <w:szCs w:val="24"/>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08B70E9D">
      <w:pPr>
        <w:spacing w:line="420" w:lineRule="exact"/>
        <w:ind w:firstLine="480" w:firstLineChars="200"/>
        <w:rPr>
          <w:rFonts w:ascii="宋体" w:hAnsi="宋体" w:cs="宋体"/>
          <w:sz w:val="24"/>
          <w:szCs w:val="24"/>
        </w:rPr>
      </w:pPr>
      <w:r>
        <w:rPr>
          <w:rFonts w:hint="eastAsia" w:ascii="宋体" w:hAnsi="宋体" w:cs="宋体"/>
          <w:sz w:val="24"/>
          <w:szCs w:val="24"/>
        </w:rPr>
        <w:t>6.安装调试完成后，中标供应商对采购人提供1次或多次培训，使采购人的操作人员及工程人员熟练掌握全部功能及基本维修，相关费用包括在投标报价中，采购人不再另行支付。</w:t>
      </w:r>
    </w:p>
    <w:p w14:paraId="4ED3E820">
      <w:pPr>
        <w:spacing w:line="420" w:lineRule="exact"/>
        <w:ind w:firstLine="480" w:firstLineChars="200"/>
        <w:rPr>
          <w:rFonts w:ascii="宋体" w:hAnsi="宋体" w:cs="宋体"/>
          <w:sz w:val="24"/>
          <w:szCs w:val="24"/>
        </w:rPr>
      </w:pPr>
      <w:r>
        <w:rPr>
          <w:rFonts w:hint="eastAsia" w:ascii="宋体" w:hAnsi="宋体" w:cs="宋体"/>
          <w:sz w:val="24"/>
          <w:szCs w:val="24"/>
        </w:rPr>
        <w:t>7.中标供应商提供维护手册、维修手册、软件备份、故障代码表、备件清单。质保期外，无偿提供维修密码及所附软件在该项目的永久使用权。</w:t>
      </w:r>
    </w:p>
    <w:p w14:paraId="5D5080A0">
      <w:pPr>
        <w:spacing w:line="420" w:lineRule="exact"/>
        <w:ind w:firstLine="480" w:firstLineChars="200"/>
        <w:rPr>
          <w:rFonts w:ascii="宋体" w:hAnsi="宋体" w:cs="宋体"/>
          <w:sz w:val="24"/>
          <w:szCs w:val="24"/>
        </w:rPr>
      </w:pPr>
      <w:r>
        <w:rPr>
          <w:rFonts w:hint="eastAsia" w:ascii="宋体" w:hAnsi="宋体" w:cs="宋体"/>
          <w:sz w:val="24"/>
          <w:szCs w:val="24"/>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14:paraId="36B10BFB">
      <w:pPr>
        <w:spacing w:line="420" w:lineRule="exact"/>
        <w:ind w:firstLine="480" w:firstLineChars="200"/>
        <w:rPr>
          <w:rFonts w:ascii="宋体" w:hAnsi="宋体" w:cs="宋体"/>
          <w:sz w:val="24"/>
          <w:szCs w:val="24"/>
        </w:rPr>
      </w:pPr>
      <w:r>
        <w:rPr>
          <w:rFonts w:hint="eastAsia" w:ascii="宋体" w:hAnsi="宋体" w:cs="宋体"/>
          <w:sz w:val="24"/>
          <w:szCs w:val="24"/>
        </w:rPr>
        <w:t>9.中标供应商保证采购人能够合法应用该器械及相应服务。采购人在办理相关证件及验收等流程中，中标供应商必须提供所需的合法材料。</w:t>
      </w:r>
    </w:p>
    <w:p w14:paraId="05BED3ED">
      <w:pPr>
        <w:spacing w:line="420" w:lineRule="exact"/>
        <w:ind w:firstLine="480" w:firstLineChars="200"/>
        <w:rPr>
          <w:rFonts w:ascii="宋体" w:hAnsi="宋体" w:cs="宋体"/>
          <w:b/>
          <w:bCs/>
          <w:sz w:val="24"/>
          <w:szCs w:val="24"/>
        </w:rPr>
      </w:pPr>
      <w:r>
        <w:rPr>
          <w:rFonts w:hint="eastAsia" w:ascii="宋体" w:hAnsi="宋体" w:cs="宋体"/>
          <w:b/>
          <w:bCs/>
          <w:sz w:val="24"/>
          <w:szCs w:val="24"/>
        </w:rPr>
        <w:t>（四）付款方式</w:t>
      </w:r>
    </w:p>
    <w:p w14:paraId="417A53E9">
      <w:pPr>
        <w:spacing w:line="420" w:lineRule="exact"/>
        <w:ind w:firstLine="480" w:firstLineChars="200"/>
        <w:rPr>
          <w:rFonts w:ascii="宋体" w:hAnsi="宋体" w:cs="宋体"/>
          <w:sz w:val="24"/>
          <w:szCs w:val="24"/>
        </w:rPr>
      </w:pPr>
      <w:r>
        <w:rPr>
          <w:rFonts w:hint="eastAsia" w:ascii="宋体" w:hAnsi="宋体" w:cs="宋体"/>
          <w:sz w:val="24"/>
          <w:szCs w:val="24"/>
        </w:rPr>
        <w:t>本合同采用分期付款方式结算，采购人核对发票无误后支付当期合同款至中标供应商指定对公银行帐户。</w:t>
      </w:r>
    </w:p>
    <w:p w14:paraId="6DB90407">
      <w:pPr>
        <w:spacing w:line="420" w:lineRule="exact"/>
        <w:ind w:firstLine="480" w:firstLineChars="200"/>
        <w:rPr>
          <w:rFonts w:ascii="宋体" w:hAnsi="宋体" w:cs="宋体"/>
          <w:sz w:val="24"/>
          <w:szCs w:val="24"/>
        </w:rPr>
      </w:pPr>
      <w:r>
        <w:rPr>
          <w:rFonts w:hint="eastAsia" w:ascii="宋体" w:hAnsi="宋体" w:cs="宋体"/>
          <w:sz w:val="24"/>
          <w:szCs w:val="24"/>
        </w:rPr>
        <w:t>第一期：收到项目货物并经采购人验收合格入库后，通知中标供应商开具符合税法规定的全额增值税发票并提交请款函，经采购人审核确认无误后，10个工作日内支付至合同总额的90%。</w:t>
      </w:r>
    </w:p>
    <w:p w14:paraId="6F7E6EBB">
      <w:pPr>
        <w:spacing w:line="420" w:lineRule="exact"/>
        <w:ind w:firstLine="480" w:firstLineChars="200"/>
        <w:rPr>
          <w:rFonts w:ascii="宋体" w:hAnsi="宋体" w:cs="宋体"/>
          <w:sz w:val="24"/>
          <w:szCs w:val="24"/>
        </w:rPr>
      </w:pPr>
      <w:r>
        <w:rPr>
          <w:rFonts w:hint="eastAsia" w:ascii="宋体" w:hAnsi="宋体" w:cs="宋体"/>
          <w:sz w:val="24"/>
          <w:szCs w:val="24"/>
        </w:rPr>
        <w:t>第二笔款：余下10%合同款项在验收合格9个月后，中标供应商向采购人请款，采购人收到请款函后10个工作日内支付完毕。(不计利息)。</w:t>
      </w:r>
    </w:p>
    <w:p w14:paraId="2C1FE472">
      <w:pPr>
        <w:spacing w:line="420" w:lineRule="exact"/>
        <w:ind w:firstLine="480" w:firstLineChars="200"/>
        <w:rPr>
          <w:rFonts w:ascii="宋体" w:hAnsi="宋体" w:cs="宋体"/>
          <w:b/>
          <w:bCs/>
          <w:sz w:val="24"/>
          <w:szCs w:val="24"/>
        </w:rPr>
      </w:pPr>
      <w:r>
        <w:rPr>
          <w:rFonts w:hint="eastAsia" w:ascii="宋体" w:hAnsi="宋体" w:cs="宋体"/>
          <w:sz w:val="24"/>
          <w:szCs w:val="24"/>
        </w:rPr>
        <w:t>合同签署的中标供应商名称及发票开具单位与收款单位必须一致，在合同执行过程中，中标供应商不得以其他不正当理由要求调整发票开具单位或收款单位，否则视为中标供应商违约。</w:t>
      </w:r>
    </w:p>
    <w:p w14:paraId="0F4B238D">
      <w:pPr>
        <w:spacing w:line="420" w:lineRule="exact"/>
        <w:ind w:firstLine="480" w:firstLineChars="200"/>
        <w:rPr>
          <w:rFonts w:ascii="宋体" w:hAnsi="宋体" w:cs="宋体"/>
          <w:b/>
          <w:bCs/>
          <w:sz w:val="24"/>
          <w:szCs w:val="24"/>
        </w:rPr>
      </w:pPr>
      <w:r>
        <w:rPr>
          <w:rFonts w:hint="eastAsia" w:ascii="宋体" w:hAnsi="宋体" w:cs="宋体"/>
          <w:b/>
          <w:bCs/>
          <w:sz w:val="24"/>
          <w:szCs w:val="24"/>
        </w:rPr>
        <w:t>（五）履约保证金：无</w:t>
      </w:r>
    </w:p>
    <w:p w14:paraId="2453DCD1">
      <w:pPr>
        <w:spacing w:line="420" w:lineRule="exact"/>
        <w:ind w:firstLine="480" w:firstLineChars="200"/>
        <w:rPr>
          <w:rFonts w:ascii="宋体" w:hAnsi="宋体" w:cs="宋体"/>
          <w:b/>
          <w:bCs/>
          <w:sz w:val="24"/>
          <w:szCs w:val="24"/>
        </w:rPr>
      </w:pPr>
      <w:r>
        <w:rPr>
          <w:rFonts w:hint="eastAsia" w:ascii="宋体" w:hAnsi="宋体" w:cs="宋体"/>
          <w:b/>
          <w:bCs/>
          <w:sz w:val="24"/>
          <w:szCs w:val="24"/>
        </w:rPr>
        <w:t>（六）投标报价要求</w:t>
      </w:r>
    </w:p>
    <w:p w14:paraId="4DCBD84F">
      <w:pPr>
        <w:spacing w:line="420" w:lineRule="exact"/>
        <w:ind w:firstLine="480" w:firstLineChars="200"/>
        <w:rPr>
          <w:rFonts w:ascii="宋体" w:hAnsi="宋体" w:cs="宋体"/>
          <w:sz w:val="24"/>
          <w:szCs w:val="24"/>
        </w:rPr>
      </w:pPr>
      <w:r>
        <w:rPr>
          <w:rFonts w:hint="eastAsia" w:ascii="宋体" w:hAnsi="宋体" w:cs="宋体"/>
          <w:sz w:val="24"/>
          <w:szCs w:val="24"/>
        </w:rPr>
        <w:t>投标报价包含货物、货物标准附件、备品备件、专用工具、设备安装辅材、施工辅材、包装、运输、装卸、保险、连接医院信息系统接口费（如</w:t>
      </w:r>
      <w:r>
        <w:rPr>
          <w:rFonts w:hint="eastAsia" w:ascii="宋体" w:hAnsi="宋体" w:cs="宋体"/>
          <w:sz w:val="24"/>
          <w:szCs w:val="24"/>
          <w:lang w:eastAsia="zh"/>
        </w:rPr>
        <w:t>HIS、PACS</w:t>
      </w:r>
      <w:r>
        <w:rPr>
          <w:rFonts w:hint="eastAsia" w:ascii="宋体" w:hAnsi="宋体" w:cs="宋体"/>
          <w:sz w:val="24"/>
          <w:szCs w:val="24"/>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14:paraId="7AB35518">
      <w:pPr>
        <w:spacing w:line="420" w:lineRule="exact"/>
        <w:ind w:firstLine="480" w:firstLineChars="200"/>
        <w:rPr>
          <w:rFonts w:ascii="宋体" w:hAnsi="宋体" w:cs="宋体"/>
          <w:b/>
          <w:bCs/>
          <w:sz w:val="24"/>
          <w:szCs w:val="24"/>
        </w:rPr>
      </w:pPr>
      <w:r>
        <w:rPr>
          <w:rFonts w:hint="eastAsia" w:ascii="宋体" w:hAnsi="宋体" w:cs="宋体"/>
          <w:b/>
          <w:bCs/>
          <w:sz w:val="24"/>
          <w:szCs w:val="24"/>
        </w:rPr>
        <w:t>（七）政策性加分条件</w:t>
      </w:r>
    </w:p>
    <w:p w14:paraId="31F83728">
      <w:pPr>
        <w:spacing w:line="420" w:lineRule="exact"/>
        <w:ind w:firstLine="480" w:firstLineChars="200"/>
        <w:rPr>
          <w:rFonts w:ascii="宋体" w:hAnsi="宋体" w:cs="宋体"/>
          <w:sz w:val="24"/>
          <w:szCs w:val="24"/>
        </w:rPr>
      </w:pPr>
      <w:r>
        <w:rPr>
          <w:rFonts w:hint="eastAsia" w:ascii="宋体" w:hAnsi="宋体" w:cs="宋体"/>
          <w:sz w:val="24"/>
          <w:szCs w:val="24"/>
        </w:rPr>
        <w:t>符合节能环保等国家政策要求。</w:t>
      </w:r>
    </w:p>
    <w:p w14:paraId="51FD77DA">
      <w:pPr>
        <w:spacing w:line="420" w:lineRule="exact"/>
        <w:ind w:firstLine="480" w:firstLineChars="200"/>
        <w:rPr>
          <w:rFonts w:ascii="宋体" w:hAnsi="宋体" w:cs="宋体"/>
          <w:b/>
          <w:bCs/>
          <w:sz w:val="24"/>
          <w:szCs w:val="24"/>
        </w:rPr>
      </w:pPr>
      <w:r>
        <w:rPr>
          <w:rFonts w:hint="eastAsia" w:ascii="宋体" w:hAnsi="宋体" w:cs="宋体"/>
          <w:b/>
          <w:bCs/>
          <w:sz w:val="24"/>
          <w:szCs w:val="24"/>
        </w:rPr>
        <w:t>（八）验收标准及验收方法</w:t>
      </w:r>
    </w:p>
    <w:p w14:paraId="3DE25905">
      <w:pPr>
        <w:spacing w:line="420" w:lineRule="exact"/>
        <w:ind w:firstLine="480" w:firstLineChars="200"/>
        <w:rPr>
          <w:rFonts w:ascii="宋体" w:hAnsi="宋体" w:cs="宋体"/>
          <w:sz w:val="24"/>
          <w:szCs w:val="24"/>
        </w:rPr>
      </w:pPr>
      <w:r>
        <w:rPr>
          <w:rFonts w:hint="eastAsia" w:ascii="宋体" w:hAnsi="宋体" w:cs="宋体"/>
          <w:sz w:val="24"/>
          <w:szCs w:val="24"/>
        </w:rPr>
        <w:t>1.中标供应商应将所提供货物的装箱清单、用户手册、原厂保修卡、随机资料、工具和备品、备件等交付给采购人，如有缺失应在采购人要求的期限内及时补齐，否则视为逾期交货。</w:t>
      </w:r>
    </w:p>
    <w:p w14:paraId="10F27B14">
      <w:pPr>
        <w:spacing w:line="420" w:lineRule="exact"/>
        <w:ind w:firstLine="480" w:firstLineChars="200"/>
        <w:rPr>
          <w:rFonts w:ascii="宋体" w:hAnsi="宋体" w:cs="宋体"/>
          <w:sz w:val="24"/>
          <w:szCs w:val="24"/>
        </w:rPr>
      </w:pPr>
      <w:r>
        <w:rPr>
          <w:rFonts w:hint="eastAsia" w:ascii="宋体" w:hAnsi="宋体" w:cs="宋体"/>
          <w:sz w:val="24"/>
          <w:szCs w:val="24"/>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14:paraId="150BA355">
      <w:pPr>
        <w:spacing w:line="420" w:lineRule="exact"/>
        <w:ind w:firstLine="480" w:firstLineChars="200"/>
        <w:rPr>
          <w:rFonts w:ascii="宋体" w:hAnsi="宋体" w:cs="宋体"/>
          <w:sz w:val="24"/>
          <w:szCs w:val="24"/>
        </w:rPr>
      </w:pPr>
      <w:r>
        <w:rPr>
          <w:rFonts w:hint="eastAsia" w:ascii="宋体" w:hAnsi="宋体" w:cs="宋体"/>
          <w:sz w:val="24"/>
          <w:szCs w:val="24"/>
        </w:rPr>
        <w:t>3.中标供应商需承担供货时产品质量抽样检测的相关费用以及项目验收时发生的一切费用。</w:t>
      </w:r>
    </w:p>
    <w:p w14:paraId="1797DB03">
      <w:pPr>
        <w:spacing w:line="420" w:lineRule="exact"/>
        <w:ind w:firstLine="480" w:firstLineChars="200"/>
        <w:rPr>
          <w:rFonts w:ascii="宋体" w:hAnsi="宋体" w:cs="宋体"/>
          <w:sz w:val="24"/>
          <w:szCs w:val="24"/>
        </w:rPr>
      </w:pPr>
      <w:r>
        <w:rPr>
          <w:rFonts w:hint="eastAsia" w:ascii="宋体" w:hAnsi="宋体" w:cs="宋体"/>
          <w:sz w:val="24"/>
          <w:szCs w:val="24"/>
        </w:rPr>
        <w:t>4.安装合格后15日内提供安装调试报告与原厂技术规格书(或Datasheet)。 本条所有涉及的文件均提供纸质与电子档。</w:t>
      </w:r>
    </w:p>
    <w:p w14:paraId="0A2620CE">
      <w:pPr>
        <w:spacing w:line="420" w:lineRule="exact"/>
        <w:ind w:firstLine="480" w:firstLineChars="200"/>
        <w:rPr>
          <w:rFonts w:ascii="宋体" w:hAnsi="宋体" w:cs="宋体"/>
          <w:sz w:val="24"/>
          <w:szCs w:val="24"/>
        </w:rPr>
      </w:pPr>
      <w:r>
        <w:rPr>
          <w:rFonts w:hint="eastAsia" w:ascii="宋体" w:hAnsi="宋体" w:cs="宋体"/>
          <w:sz w:val="24"/>
          <w:szCs w:val="24"/>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14:paraId="3A398EE2">
      <w:pPr>
        <w:spacing w:line="420" w:lineRule="exact"/>
        <w:ind w:firstLine="480" w:firstLineChars="200"/>
        <w:rPr>
          <w:rFonts w:ascii="宋体" w:hAnsi="宋体" w:cs="宋体"/>
          <w:sz w:val="24"/>
          <w:szCs w:val="24"/>
        </w:rPr>
      </w:pPr>
      <w:r>
        <w:rPr>
          <w:rFonts w:hint="eastAsia" w:ascii="宋体" w:hAnsi="宋体" w:cs="宋体"/>
          <w:sz w:val="24"/>
          <w:szCs w:val="24"/>
        </w:rPr>
        <w:t>6.采购人对验收有异议的，以书面形式向中标供应商提出，中标供应商应自收到采购人书面异议后5个工作日内及时予以解决，中标供应商不予答复或未予以实质解决的，视为认可采购人异议及处置意见。</w:t>
      </w:r>
    </w:p>
    <w:p w14:paraId="5B0536B5">
      <w:pPr>
        <w:spacing w:line="420" w:lineRule="exact"/>
        <w:ind w:firstLine="480" w:firstLineChars="200"/>
        <w:rPr>
          <w:rFonts w:ascii="宋体" w:hAnsi="宋体" w:cs="宋体"/>
          <w:sz w:val="24"/>
          <w:szCs w:val="24"/>
        </w:rPr>
      </w:pPr>
      <w:r>
        <w:rPr>
          <w:rFonts w:hint="eastAsia" w:ascii="宋体" w:hAnsi="宋体" w:cs="宋体"/>
          <w:sz w:val="24"/>
          <w:szCs w:val="24"/>
        </w:rPr>
        <w:t>7.验收标准</w:t>
      </w:r>
    </w:p>
    <w:p w14:paraId="18D74999">
      <w:pPr>
        <w:spacing w:line="420" w:lineRule="exact"/>
        <w:ind w:firstLine="480" w:firstLineChars="200"/>
        <w:rPr>
          <w:rFonts w:ascii="宋体" w:hAnsi="宋体" w:cs="宋体"/>
          <w:sz w:val="24"/>
          <w:szCs w:val="24"/>
        </w:rPr>
      </w:pPr>
      <w:r>
        <w:rPr>
          <w:rFonts w:hint="eastAsia" w:ascii="宋体" w:hAnsi="宋体" w:cs="宋体"/>
          <w:sz w:val="24"/>
          <w:szCs w:val="24"/>
        </w:rPr>
        <w:t>1)项目招标文件及中标供应商投标文件中的“技术响应表”,逐条验收；</w:t>
      </w:r>
    </w:p>
    <w:p w14:paraId="71519A32">
      <w:pPr>
        <w:spacing w:line="420" w:lineRule="exact"/>
        <w:ind w:firstLine="480" w:firstLineChars="200"/>
        <w:rPr>
          <w:rFonts w:ascii="宋体" w:hAnsi="宋体" w:cs="宋体"/>
          <w:sz w:val="24"/>
          <w:szCs w:val="24"/>
        </w:rPr>
      </w:pPr>
      <w:r>
        <w:rPr>
          <w:rFonts w:hint="eastAsia" w:ascii="宋体" w:hAnsi="宋体" w:cs="宋体"/>
          <w:sz w:val="24"/>
          <w:szCs w:val="24"/>
        </w:rPr>
        <w:t>2)项目招标文件及中标供应商投标文件中的“商务响应表”,逐条验收；</w:t>
      </w:r>
    </w:p>
    <w:p w14:paraId="26A093DE">
      <w:pPr>
        <w:spacing w:line="420" w:lineRule="exact"/>
        <w:ind w:firstLine="480" w:firstLineChars="200"/>
        <w:rPr>
          <w:rFonts w:ascii="宋体" w:hAnsi="宋体" w:cs="宋体"/>
          <w:sz w:val="24"/>
          <w:szCs w:val="24"/>
        </w:rPr>
      </w:pPr>
      <w:r>
        <w:rPr>
          <w:rFonts w:hint="eastAsia" w:ascii="宋体" w:hAnsi="宋体" w:cs="宋体"/>
          <w:sz w:val="24"/>
          <w:szCs w:val="24"/>
        </w:rPr>
        <w:t>3)中标供应商投标文件中其他技术、服务、商务性的说明、承诺事项，逐条验收。</w:t>
      </w:r>
    </w:p>
    <w:p w14:paraId="457DFF8C">
      <w:pPr>
        <w:spacing w:line="420" w:lineRule="exact"/>
        <w:ind w:firstLine="480" w:firstLineChars="200"/>
        <w:rPr>
          <w:rFonts w:ascii="宋体" w:hAnsi="宋体" w:cs="宋体"/>
          <w:sz w:val="24"/>
          <w:szCs w:val="24"/>
        </w:rPr>
      </w:pPr>
      <w:r>
        <w:rPr>
          <w:rFonts w:hint="eastAsia" w:ascii="宋体" w:hAnsi="宋体" w:cs="宋体"/>
          <w:sz w:val="24"/>
          <w:szCs w:val="24"/>
        </w:rPr>
        <w:t>4)国家相关法律、法规、标准和规范等。</w:t>
      </w:r>
    </w:p>
    <w:p w14:paraId="7EC1303B">
      <w:pPr>
        <w:spacing w:line="420" w:lineRule="exact"/>
        <w:ind w:firstLine="480" w:firstLineChars="200"/>
        <w:rPr>
          <w:rFonts w:ascii="宋体" w:hAnsi="宋体" w:cs="宋体"/>
          <w:sz w:val="24"/>
          <w:szCs w:val="24"/>
        </w:rPr>
      </w:pPr>
      <w:r>
        <w:rPr>
          <w:rFonts w:hint="eastAsia" w:ascii="宋体" w:hAnsi="宋体" w:cs="宋体"/>
          <w:sz w:val="24"/>
          <w:szCs w:val="24"/>
        </w:rPr>
        <w:t>5)其他未尽事宜应严格参照《关于印发广西壮族自治区政府采购项目履约验收管理办法的通知》[桂财采〔2015〕22号]以及《财政部关于进一步加强政府采购需求和履约验收管理的指导意见》[财库〔2016〕205号]规定执行。</w:t>
      </w:r>
    </w:p>
    <w:p w14:paraId="0FF233FE">
      <w:pPr>
        <w:spacing w:line="420" w:lineRule="exact"/>
        <w:ind w:firstLine="480" w:firstLineChars="200"/>
        <w:rPr>
          <w:rFonts w:ascii="宋体" w:hAnsi="宋体" w:cs="宋体"/>
          <w:sz w:val="24"/>
          <w:szCs w:val="24"/>
        </w:rPr>
      </w:pPr>
      <w:r>
        <w:rPr>
          <w:rFonts w:hint="eastAsia" w:ascii="宋体" w:hAnsi="宋体" w:cs="宋体"/>
          <w:sz w:val="24"/>
          <w:szCs w:val="24"/>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45C7F3E3">
      <w:pPr>
        <w:spacing w:line="420" w:lineRule="exact"/>
        <w:ind w:firstLine="480" w:firstLineChars="200"/>
        <w:rPr>
          <w:sz w:val="24"/>
          <w:szCs w:val="24"/>
        </w:rPr>
      </w:pPr>
      <w:r>
        <w:rPr>
          <w:rFonts w:hint="eastAsia" w:ascii="宋体" w:hAnsi="宋体" w:eastAsia="宋体" w:cs="宋体"/>
          <w:sz w:val="24"/>
          <w:szCs w:val="24"/>
        </w:rPr>
        <w:t>9.中标供应商提供</w:t>
      </w:r>
      <w:r>
        <w:rPr>
          <w:rFonts w:hint="eastAsia" w:ascii="宋体" w:hAnsi="宋体" w:cs="宋体"/>
          <w:sz w:val="24"/>
          <w:szCs w:val="24"/>
        </w:rPr>
        <w:t>的</w:t>
      </w:r>
      <w:r>
        <w:rPr>
          <w:rFonts w:hint="eastAsia" w:ascii="宋体" w:hAnsi="宋体" w:eastAsia="宋体" w:cs="宋体"/>
          <w:sz w:val="24"/>
          <w:szCs w:val="24"/>
        </w:rPr>
        <w:t>货物与投标文件响应情况不符，视为验收不合格</w:t>
      </w:r>
      <w:r>
        <w:rPr>
          <w:rFonts w:hint="eastAsia" w:ascii="宋体" w:hAnsi="宋体" w:cs="宋体"/>
          <w:sz w:val="24"/>
          <w:szCs w:val="24"/>
        </w:rPr>
        <w:t>。</w:t>
      </w:r>
    </w:p>
    <w:p w14:paraId="7C34223B">
      <w:pPr>
        <w:spacing w:line="420" w:lineRule="exact"/>
        <w:ind w:firstLine="480" w:firstLineChars="200"/>
        <w:rPr>
          <w:rFonts w:ascii="宋体" w:hAnsi="宋体" w:cs="宋体"/>
          <w:b/>
          <w:bCs/>
          <w:sz w:val="24"/>
          <w:szCs w:val="24"/>
        </w:rPr>
      </w:pPr>
      <w:r>
        <w:rPr>
          <w:rFonts w:hint="eastAsia" w:ascii="宋体" w:hAnsi="宋体" w:cs="宋体"/>
          <w:b/>
          <w:bCs/>
          <w:sz w:val="24"/>
          <w:szCs w:val="24"/>
        </w:rPr>
        <w:t>（九）进口产品说明</w:t>
      </w:r>
    </w:p>
    <w:p w14:paraId="738C3F37">
      <w:pPr>
        <w:spacing w:line="420" w:lineRule="exact"/>
        <w:ind w:firstLine="480" w:firstLineChars="200"/>
        <w:rPr>
          <w:rFonts w:ascii="宋体" w:hAnsi="宋体" w:cs="宋体"/>
          <w:sz w:val="24"/>
          <w:szCs w:val="24"/>
        </w:rPr>
      </w:pPr>
      <w:r>
        <w:rPr>
          <w:rFonts w:hint="eastAsia" w:ascii="宋体" w:hAnsi="宋体" w:cs="宋体"/>
          <w:sz w:val="24"/>
          <w:szCs w:val="24"/>
        </w:rPr>
        <w:t>本标项不接受进口设备参与投标。</w:t>
      </w:r>
    </w:p>
    <w:p w14:paraId="137733BF">
      <w:pPr>
        <w:spacing w:line="420" w:lineRule="exact"/>
        <w:ind w:firstLine="480" w:firstLineChars="200"/>
        <w:rPr>
          <w:rFonts w:ascii="宋体" w:hAnsi="宋体" w:cs="宋体"/>
          <w:b/>
          <w:bCs/>
          <w:sz w:val="24"/>
          <w:szCs w:val="24"/>
        </w:rPr>
      </w:pPr>
      <w:r>
        <w:rPr>
          <w:rFonts w:hint="eastAsia" w:ascii="宋体" w:hAnsi="宋体" w:cs="宋体"/>
          <w:b/>
          <w:bCs/>
          <w:sz w:val="24"/>
          <w:szCs w:val="24"/>
        </w:rPr>
        <w:t>（十）规范标准</w:t>
      </w:r>
    </w:p>
    <w:p w14:paraId="3EE782AC">
      <w:pPr>
        <w:spacing w:line="420" w:lineRule="exact"/>
        <w:ind w:firstLine="480" w:firstLineChars="200"/>
        <w:rPr>
          <w:rFonts w:ascii="宋体" w:hAnsi="宋体" w:cs="宋体"/>
          <w:sz w:val="24"/>
          <w:szCs w:val="24"/>
        </w:rPr>
      </w:pPr>
      <w:r>
        <w:rPr>
          <w:rFonts w:hint="eastAsia" w:ascii="宋体" w:hAnsi="宋体" w:cs="宋体"/>
          <w:sz w:val="24"/>
          <w:szCs w:val="24"/>
        </w:rPr>
        <w:t>执行现行的强制执行的国家、行业、地方标准。</w:t>
      </w:r>
    </w:p>
    <w:p w14:paraId="57E38142">
      <w:pPr>
        <w:spacing w:line="420" w:lineRule="exact"/>
        <w:ind w:firstLine="480" w:firstLineChars="200"/>
        <w:rPr>
          <w:rFonts w:ascii="宋体" w:hAnsi="宋体" w:cs="宋体"/>
          <w:b/>
          <w:bCs/>
          <w:sz w:val="24"/>
          <w:szCs w:val="24"/>
        </w:rPr>
      </w:pPr>
      <w:r>
        <w:rPr>
          <w:rFonts w:hint="eastAsia" w:ascii="宋体" w:hAnsi="宋体" w:cs="宋体"/>
          <w:b/>
          <w:bCs/>
          <w:sz w:val="24"/>
          <w:szCs w:val="24"/>
        </w:rPr>
        <w:t>（十一）产品资料及说明文件</w:t>
      </w:r>
    </w:p>
    <w:p w14:paraId="4D9C75E3">
      <w:pPr>
        <w:spacing w:line="420" w:lineRule="exact"/>
        <w:ind w:firstLine="480" w:firstLineChars="200"/>
        <w:rPr>
          <w:rFonts w:ascii="宋体" w:hAnsi="宋体" w:cs="宋体"/>
          <w:sz w:val="24"/>
          <w:szCs w:val="24"/>
        </w:rPr>
      </w:pPr>
      <w:r>
        <w:rPr>
          <w:rFonts w:hint="eastAsia" w:ascii="宋体" w:hAnsi="宋体" w:cs="宋体"/>
          <w:sz w:val="24"/>
          <w:szCs w:val="24"/>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14:paraId="35867754">
      <w:pPr>
        <w:spacing w:line="420" w:lineRule="exact"/>
        <w:ind w:firstLine="480" w:firstLineChars="200"/>
        <w:rPr>
          <w:rFonts w:ascii="宋体" w:hAnsi="宋体" w:cs="宋体"/>
          <w:b/>
          <w:bCs/>
          <w:sz w:val="24"/>
          <w:szCs w:val="24"/>
        </w:rPr>
      </w:pPr>
      <w:r>
        <w:rPr>
          <w:rFonts w:hint="eastAsia" w:ascii="宋体" w:hAnsi="宋体" w:cs="宋体"/>
          <w:b/>
          <w:bCs/>
          <w:sz w:val="24"/>
          <w:szCs w:val="24"/>
        </w:rPr>
        <w:t>（十二）采购预算价及最高限价</w:t>
      </w:r>
    </w:p>
    <w:p w14:paraId="3E82CC7F">
      <w:pPr>
        <w:spacing w:line="420" w:lineRule="exact"/>
        <w:ind w:firstLine="480" w:firstLineChars="200"/>
        <w:rPr>
          <w:rFonts w:ascii="宋体" w:hAnsi="宋体" w:cs="宋体"/>
          <w:sz w:val="24"/>
          <w:szCs w:val="24"/>
        </w:rPr>
      </w:pPr>
      <w:r>
        <w:rPr>
          <w:rFonts w:hint="eastAsia" w:ascii="宋体" w:hAnsi="宋体" w:cs="宋体"/>
          <w:sz w:val="24"/>
          <w:szCs w:val="24"/>
        </w:rPr>
        <w:t>投标报价超采购预算（含单项采购预算，如有）及最高限价（含单项最高限价，如有）的投标无效。</w:t>
      </w:r>
    </w:p>
    <w:p w14:paraId="0F173000">
      <w:pPr>
        <w:spacing w:line="420" w:lineRule="exact"/>
        <w:ind w:firstLine="480" w:firstLineChars="200"/>
        <w:rPr>
          <w:rFonts w:ascii="宋体" w:hAnsi="宋体" w:cs="宋体"/>
          <w:b/>
          <w:bCs/>
          <w:sz w:val="24"/>
          <w:szCs w:val="24"/>
        </w:rPr>
      </w:pPr>
      <w:r>
        <w:rPr>
          <w:rFonts w:hint="eastAsia" w:ascii="宋体" w:hAnsi="宋体" w:cs="宋体"/>
          <w:b/>
          <w:bCs/>
          <w:sz w:val="24"/>
          <w:szCs w:val="24"/>
        </w:rPr>
        <w:t>（十三）医疗器械注册或备案要求</w:t>
      </w:r>
    </w:p>
    <w:p w14:paraId="06FBA2BB">
      <w:pPr>
        <w:spacing w:line="420" w:lineRule="exact"/>
        <w:ind w:firstLine="480" w:firstLineChars="200"/>
        <w:rPr>
          <w:rFonts w:ascii="宋体" w:hAnsi="宋体" w:cs="宋体"/>
          <w:sz w:val="24"/>
          <w:szCs w:val="24"/>
        </w:rPr>
      </w:pPr>
      <w:r>
        <w:rPr>
          <w:rFonts w:hint="eastAsia" w:ascii="宋体" w:hAnsi="宋体" w:cs="宋体"/>
          <w:sz w:val="24"/>
          <w:szCs w:val="24"/>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14:paraId="6AF58099">
      <w:pPr>
        <w:spacing w:line="420" w:lineRule="exact"/>
        <w:ind w:firstLine="480" w:firstLineChars="200"/>
        <w:rPr>
          <w:rFonts w:ascii="宋体" w:hAnsi="宋体" w:cs="宋体"/>
          <w:b/>
          <w:bCs/>
          <w:sz w:val="24"/>
          <w:szCs w:val="24"/>
        </w:rPr>
      </w:pPr>
      <w:r>
        <w:rPr>
          <w:rFonts w:hint="eastAsia" w:ascii="宋体" w:hAnsi="宋体" w:cs="宋体"/>
          <w:b/>
          <w:bCs/>
          <w:sz w:val="24"/>
          <w:szCs w:val="24"/>
        </w:rPr>
        <w:t>（十四）其它</w:t>
      </w:r>
    </w:p>
    <w:p w14:paraId="58828311">
      <w:pPr>
        <w:spacing w:line="420" w:lineRule="exact"/>
        <w:ind w:firstLine="480" w:firstLineChars="200"/>
        <w:rPr>
          <w:rFonts w:ascii="宋体" w:hAnsi="宋体" w:cs="宋体"/>
          <w:sz w:val="24"/>
          <w:szCs w:val="24"/>
        </w:rPr>
      </w:pPr>
      <w:r>
        <w:rPr>
          <w:rFonts w:hint="eastAsia" w:ascii="宋体" w:hAnsi="宋体" w:cs="宋体"/>
          <w:sz w:val="24"/>
          <w:szCs w:val="24"/>
        </w:rPr>
        <w:t>投标人根据自身情况提供项目实施方案，内容包括但不限于：</w:t>
      </w:r>
    </w:p>
    <w:p w14:paraId="0501F0CF">
      <w:pPr>
        <w:spacing w:line="420" w:lineRule="exact"/>
        <w:ind w:firstLine="480" w:firstLineChars="200"/>
        <w:rPr>
          <w:rFonts w:ascii="宋体" w:hAnsi="宋体" w:cs="宋体"/>
          <w:sz w:val="24"/>
          <w:szCs w:val="24"/>
        </w:rPr>
      </w:pPr>
      <w:r>
        <w:rPr>
          <w:rFonts w:hint="eastAsia" w:ascii="宋体" w:hAnsi="宋体" w:cs="宋体"/>
          <w:sz w:val="24"/>
          <w:szCs w:val="24"/>
        </w:rPr>
        <w:t>1.技术及项目实施方案（包含但不限于管理措施、具体实施流程、进度安排、质量保证措施、有利于采购项目实施的内容或合理性建议的等）；</w:t>
      </w:r>
    </w:p>
    <w:p w14:paraId="71FEE5BC">
      <w:pPr>
        <w:spacing w:line="420" w:lineRule="exact"/>
        <w:ind w:firstLine="480" w:firstLineChars="200"/>
        <w:rPr>
          <w:rFonts w:ascii="宋体" w:hAnsi="宋体" w:cs="宋体"/>
          <w:sz w:val="24"/>
          <w:szCs w:val="24"/>
        </w:rPr>
      </w:pPr>
      <w:r>
        <w:rPr>
          <w:rFonts w:hint="eastAsia" w:ascii="宋体" w:hAnsi="宋体" w:cs="宋体"/>
          <w:sz w:val="24"/>
          <w:szCs w:val="24"/>
        </w:rPr>
        <w:t>2.技术人员方案（包含但不限于技术人员投入计划，有技术人员在安装调试过程提供技术支持和协助计划，拟派有资质技术人员完成实施方案，有利于采购项目实施的内容或合理性建议的）；</w:t>
      </w:r>
    </w:p>
    <w:p w14:paraId="4DA55A7F">
      <w:pPr>
        <w:spacing w:line="420" w:lineRule="exact"/>
        <w:ind w:firstLine="480" w:firstLineChars="200"/>
        <w:rPr>
          <w:rFonts w:ascii="宋体" w:hAnsi="宋体" w:cs="宋体"/>
          <w:sz w:val="24"/>
          <w:szCs w:val="24"/>
        </w:rPr>
      </w:pPr>
      <w:r>
        <w:rPr>
          <w:rFonts w:hint="eastAsia" w:ascii="宋体" w:hAnsi="宋体" w:cs="宋体"/>
          <w:sz w:val="24"/>
          <w:szCs w:val="24"/>
        </w:rPr>
        <w:t>3.培训计划（包括但不限于：培训方式、培训次数、人数、课程内容及师资等）;</w:t>
      </w:r>
    </w:p>
    <w:p w14:paraId="78F6F2E7">
      <w:pPr>
        <w:spacing w:line="420" w:lineRule="exact"/>
        <w:ind w:firstLine="480" w:firstLineChars="200"/>
        <w:jc w:val="left"/>
        <w:rPr>
          <w:rStyle w:val="147"/>
          <w:rFonts w:ascii="宋体" w:hAnsi="宋体"/>
          <w:b/>
          <w:bCs/>
          <w:color w:val="auto"/>
          <w:sz w:val="24"/>
          <w:szCs w:val="24"/>
          <w:u w:val="none"/>
        </w:rPr>
      </w:pPr>
      <w:r>
        <w:rPr>
          <w:rFonts w:hint="eastAsia" w:ascii="宋体" w:hAnsi="宋体" w:cs="宋体"/>
          <w:sz w:val="24"/>
          <w:szCs w:val="24"/>
        </w:rPr>
        <w:t>4.生产厂家售后服务承诺书等。</w:t>
      </w:r>
    </w:p>
    <w:p w14:paraId="68F079B5">
      <w:pPr>
        <w:ind w:firstLine="420"/>
        <w:rPr>
          <w:rStyle w:val="147"/>
          <w:rFonts w:ascii="宋体" w:hAnsi="宋体"/>
          <w:b/>
          <w:bCs/>
          <w:color w:val="auto"/>
          <w:sz w:val="24"/>
          <w:szCs w:val="24"/>
          <w:u w:val="none"/>
        </w:rPr>
      </w:pPr>
    </w:p>
    <w:p w14:paraId="4D516198">
      <w:pPr>
        <w:ind w:firstLine="420"/>
        <w:rPr>
          <w:rStyle w:val="147"/>
          <w:rFonts w:ascii="宋体" w:hAnsi="宋体"/>
          <w:b/>
          <w:bCs/>
          <w:color w:val="auto"/>
          <w:sz w:val="24"/>
          <w:szCs w:val="24"/>
          <w:u w:val="none"/>
        </w:rPr>
      </w:pPr>
    </w:p>
    <w:p w14:paraId="74F212B2">
      <w:pPr>
        <w:ind w:firstLine="420"/>
        <w:rPr>
          <w:rStyle w:val="147"/>
          <w:rFonts w:ascii="宋体" w:hAnsi="宋体"/>
          <w:b/>
          <w:bCs/>
          <w:color w:val="auto"/>
          <w:sz w:val="24"/>
          <w:szCs w:val="24"/>
          <w:u w:val="none"/>
        </w:rPr>
      </w:pPr>
      <w:r>
        <w:rPr>
          <w:rStyle w:val="147"/>
          <w:rFonts w:hint="eastAsia" w:ascii="宋体" w:hAnsi="宋体"/>
          <w:b/>
          <w:bCs/>
          <w:color w:val="auto"/>
          <w:sz w:val="24"/>
          <w:szCs w:val="24"/>
          <w:u w:val="none"/>
        </w:rPr>
        <w:t>分标2：全自动微生物质谱检测系统</w:t>
      </w:r>
    </w:p>
    <w:p w14:paraId="730617DD">
      <w:pPr>
        <w:spacing w:line="400" w:lineRule="exact"/>
        <w:ind w:firstLine="480" w:firstLineChars="200"/>
        <w:rPr>
          <w:sz w:val="24"/>
          <w:szCs w:val="24"/>
        </w:rPr>
      </w:pPr>
      <w:r>
        <w:rPr>
          <w:rFonts w:hint="eastAsia"/>
          <w:sz w:val="24"/>
          <w:szCs w:val="24"/>
        </w:rPr>
        <w:t>采购预算：1348000.00元</w:t>
      </w:r>
    </w:p>
    <w:p w14:paraId="7AED1412">
      <w:pPr>
        <w:rPr>
          <w:rFonts w:ascii="Times New Roman" w:hAnsi="Times New Roman" w:eastAsia="宋体" w:cs="Times New Roman"/>
          <w:kern w:val="0"/>
          <w:sz w:val="24"/>
          <w:szCs w:val="24"/>
        </w:rPr>
      </w:pPr>
    </w:p>
    <w:p w14:paraId="2C7A26C0">
      <w:pPr>
        <w:ind w:firstLine="420"/>
        <w:rPr>
          <w:rFonts w:ascii="宋体" w:hAnsi="宋体" w:cs="宋体"/>
          <w:sz w:val="24"/>
          <w:szCs w:val="24"/>
        </w:rPr>
      </w:pPr>
      <w:r>
        <w:rPr>
          <w:rFonts w:hint="eastAsia" w:ascii="宋体" w:hAnsi="宋体" w:cs="宋体"/>
          <w:sz w:val="24"/>
          <w:szCs w:val="24"/>
        </w:rPr>
        <w:t>一、</w:t>
      </w:r>
      <w:r>
        <w:rPr>
          <w:rStyle w:val="147"/>
          <w:rFonts w:hint="eastAsia" w:ascii="宋体" w:hAnsi="宋体"/>
          <w:color w:val="auto"/>
          <w:sz w:val="24"/>
          <w:szCs w:val="24"/>
          <w:u w:val="none"/>
        </w:rPr>
        <w:t>技术参数及性能（配置）要求</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84"/>
        <w:gridCol w:w="792"/>
        <w:gridCol w:w="744"/>
        <w:gridCol w:w="5231"/>
      </w:tblGrid>
      <w:tr w14:paraId="49D0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4" w:type="dxa"/>
            <w:vAlign w:val="center"/>
          </w:tcPr>
          <w:p w14:paraId="15355A7B">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序号</w:t>
            </w:r>
          </w:p>
        </w:tc>
        <w:tc>
          <w:tcPr>
            <w:tcW w:w="1284" w:type="dxa"/>
            <w:vAlign w:val="center"/>
          </w:tcPr>
          <w:p w14:paraId="2B5D3D3D">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货物名称</w:t>
            </w:r>
          </w:p>
        </w:tc>
        <w:tc>
          <w:tcPr>
            <w:tcW w:w="792" w:type="dxa"/>
            <w:vAlign w:val="center"/>
          </w:tcPr>
          <w:p w14:paraId="1E82DD1B">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数量</w:t>
            </w:r>
          </w:p>
        </w:tc>
        <w:tc>
          <w:tcPr>
            <w:tcW w:w="744" w:type="dxa"/>
            <w:vAlign w:val="center"/>
          </w:tcPr>
          <w:p w14:paraId="34DC39C7">
            <w:pPr>
              <w:tabs>
                <w:tab w:val="left" w:pos="180"/>
                <w:tab w:val="left" w:pos="1620"/>
              </w:tabs>
              <w:jc w:val="center"/>
              <w:rPr>
                <w:rFonts w:ascii="Times New Roman" w:hAnsi="Times New Roman" w:eastAsia="宋体" w:cs="Times New Roman"/>
                <w:kern w:val="0"/>
                <w:sz w:val="24"/>
                <w:szCs w:val="24"/>
              </w:rPr>
            </w:pPr>
            <w:r>
              <w:rPr>
                <w:rFonts w:hint="eastAsia" w:ascii="宋体" w:hAnsi="宋体" w:cs="宋体"/>
                <w:sz w:val="24"/>
                <w:szCs w:val="24"/>
              </w:rPr>
              <w:t>单位</w:t>
            </w:r>
          </w:p>
        </w:tc>
        <w:tc>
          <w:tcPr>
            <w:tcW w:w="5231" w:type="dxa"/>
            <w:vAlign w:val="center"/>
          </w:tcPr>
          <w:p w14:paraId="7EBC0612">
            <w:pPr>
              <w:jc w:val="center"/>
              <w:rPr>
                <w:rFonts w:ascii="Times New Roman" w:hAnsi="Times New Roman" w:eastAsia="宋体" w:cs="Times New Roman"/>
                <w:kern w:val="0"/>
                <w:sz w:val="24"/>
                <w:szCs w:val="24"/>
              </w:rPr>
            </w:pPr>
            <w:r>
              <w:rPr>
                <w:rFonts w:hint="eastAsia"/>
                <w:sz w:val="24"/>
                <w:szCs w:val="24"/>
              </w:rPr>
              <w:t>技术规格与性能要求</w:t>
            </w:r>
          </w:p>
        </w:tc>
      </w:tr>
      <w:tr w14:paraId="7B69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60D2CC4">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1284" w:type="dxa"/>
            <w:vAlign w:val="center"/>
          </w:tcPr>
          <w:p w14:paraId="200CD45C">
            <w:pPr>
              <w:jc w:val="center"/>
              <w:rPr>
                <w:rFonts w:ascii="Times New Roman" w:hAnsi="Times New Roman" w:eastAsia="宋体" w:cs="Times New Roman"/>
                <w:kern w:val="0"/>
                <w:sz w:val="24"/>
                <w:szCs w:val="24"/>
              </w:rPr>
            </w:pPr>
            <w:r>
              <w:rPr>
                <w:rStyle w:val="147"/>
                <w:rFonts w:hint="eastAsia" w:ascii="宋体" w:hAnsi="宋体"/>
                <w:b/>
                <w:bCs/>
                <w:color w:val="auto"/>
                <w:sz w:val="24"/>
                <w:szCs w:val="24"/>
                <w:u w:val="none"/>
              </w:rPr>
              <w:t>全自动微生物质谱检测系统</w:t>
            </w:r>
          </w:p>
        </w:tc>
        <w:tc>
          <w:tcPr>
            <w:tcW w:w="792" w:type="dxa"/>
            <w:vAlign w:val="center"/>
          </w:tcPr>
          <w:p w14:paraId="40A752FD">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1</w:t>
            </w:r>
          </w:p>
        </w:tc>
        <w:tc>
          <w:tcPr>
            <w:tcW w:w="744" w:type="dxa"/>
            <w:vAlign w:val="center"/>
          </w:tcPr>
          <w:p w14:paraId="5DEA84B7">
            <w:pPr>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套</w:t>
            </w:r>
          </w:p>
        </w:tc>
        <w:tc>
          <w:tcPr>
            <w:tcW w:w="5231" w:type="dxa"/>
          </w:tcPr>
          <w:p w14:paraId="7C46D0F5">
            <w:pPr>
              <w:widowControl/>
              <w:kinsoku w:val="0"/>
              <w:autoSpaceDE w:val="0"/>
              <w:autoSpaceDN w:val="0"/>
              <w:adjustRightInd w:val="0"/>
              <w:snapToGrid w:val="0"/>
              <w:spacing w:before="163" w:line="240" w:lineRule="exact"/>
              <w:jc w:val="left"/>
              <w:textAlignment w:val="baseline"/>
              <w:rPr>
                <w:rFonts w:ascii="宋体" w:hAnsi="宋体" w:cs="宋体"/>
                <w:b/>
                <w:bCs/>
                <w:sz w:val="24"/>
                <w:szCs w:val="24"/>
              </w:rPr>
            </w:pPr>
            <w:r>
              <w:rPr>
                <w:rFonts w:hint="eastAsia" w:ascii="宋体" w:hAnsi="宋体" w:cs="宋体"/>
                <w:b/>
                <w:bCs/>
                <w:sz w:val="24"/>
                <w:szCs w:val="24"/>
              </w:rPr>
              <w:t>一、主要技术参数要求</w:t>
            </w:r>
          </w:p>
          <w:p w14:paraId="189957E8">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1、数据库：</w:t>
            </w:r>
          </w:p>
          <w:p w14:paraId="411E5B30">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▲1.1 病原微生物数据库：建有云端在线数据库（包括但不限于云存储或在线升级功能等）及本地数据库（包含自建库）。</w:t>
            </w:r>
          </w:p>
          <w:p w14:paraId="7C24380C">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1.2、数据库容量：菌种数量≥3000种，包括分枝杆菌、丝状真菌、厌氧菌、军团菌、诺卡菌及临床常见的致病菌。</w:t>
            </w:r>
          </w:p>
          <w:p w14:paraId="7E1F2204">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▲2、质量分析器类型：利用基质辅助激光解吸电离飞行时间质谱法对细菌、真菌、分枝杆菌等微生物进行检测。</w:t>
            </w:r>
          </w:p>
          <w:p w14:paraId="798392CA">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3、激光器：</w:t>
            </w:r>
          </w:p>
          <w:p w14:paraId="7F9644E8">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▲3.1、在1-60Hz范围内任意连续可调。</w:t>
            </w:r>
          </w:p>
          <w:p w14:paraId="23697C3B">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▲3.2、激光聚焦光斑小，提高空间分辨率；激光斑点：50μm~120μm可调。</w:t>
            </w:r>
          </w:p>
          <w:p w14:paraId="62B51883">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3.3、飞行距离≤1050mm。</w:t>
            </w:r>
          </w:p>
          <w:p w14:paraId="48CC94E5">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3.4、激光发射次数≥3×108。</w:t>
            </w:r>
          </w:p>
          <w:p w14:paraId="6579962C">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4、高压自诊断系统：无需复杂的反馈路径及逻辑判断，实时跟踪高压状态，极速响应，保障高压系统的安全稳定。</w:t>
            </w:r>
          </w:p>
          <w:p w14:paraId="6E932A24">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5、检测通量：每次最大检测通量≥96样本。</w:t>
            </w:r>
          </w:p>
          <w:p w14:paraId="58C0AB50">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▲6、自动化数据采集，图谱实时刷新。</w:t>
            </w:r>
          </w:p>
          <w:p w14:paraId="7DF66AD3">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▲7、 可以与 LIS/HIS系统实现无缝对接，可实现病人样品信息录入、实验数据存储及统计分析、报告审核、打印分发等功能，有效提高信息化程度。</w:t>
            </w:r>
          </w:p>
          <w:p w14:paraId="337F9E0F">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软件具有中、英文界面，鉴定结果可选择中文。</w:t>
            </w:r>
          </w:p>
          <w:p w14:paraId="67384397">
            <w:pPr>
              <w:widowControl/>
              <w:kinsoku w:val="0"/>
              <w:autoSpaceDE w:val="0"/>
              <w:autoSpaceDN w:val="0"/>
              <w:adjustRightInd w:val="0"/>
              <w:snapToGrid w:val="0"/>
              <w:spacing w:line="340" w:lineRule="exact"/>
              <w:ind w:firstLine="408" w:firstLineChars="200"/>
              <w:jc w:val="left"/>
              <w:textAlignment w:val="baseline"/>
              <w:rPr>
                <w:rFonts w:ascii="宋体" w:hAnsi="宋体" w:cs="宋体"/>
                <w:snapToGrid w:val="0"/>
                <w:color w:val="000000"/>
                <w:spacing w:val="-3"/>
                <w:kern w:val="0"/>
                <w:szCs w:val="21"/>
              </w:rPr>
            </w:pPr>
            <w:r>
              <w:rPr>
                <w:rFonts w:hint="eastAsia" w:ascii="宋体" w:hAnsi="宋体" w:cs="宋体"/>
                <w:snapToGrid w:val="0"/>
                <w:color w:val="000000"/>
                <w:spacing w:val="-3"/>
                <w:kern w:val="0"/>
                <w:szCs w:val="21"/>
              </w:rPr>
              <w:t>配备微生物检验数字管理平台，连接微生物质谱、微生物药敏分析仪及血培养等检测仪器，同一操作平台即可完成鉴定和药敏的标本处理及标本信息上载工作，不需人工输入鉴定药敏结果，并与医院 LIS 系统连接，同时实现微生物实验室检验流程可追溯式管理功能。</w:t>
            </w:r>
          </w:p>
          <w:p w14:paraId="3B36DCBA">
            <w:pPr>
              <w:spacing w:line="340" w:lineRule="exact"/>
              <w:ind w:firstLine="210" w:firstLineChars="100"/>
              <w:rPr>
                <w:rFonts w:ascii="等线" w:hAnsi="等线" w:eastAsia="等线" w:cs="等线"/>
                <w:szCs w:val="21"/>
              </w:rPr>
            </w:pPr>
            <w:r>
              <w:rPr>
                <w:rFonts w:hint="eastAsia" w:ascii="等线" w:hAnsi="等线" w:eastAsia="等线" w:cs="等线"/>
                <w:szCs w:val="21"/>
              </w:rPr>
              <w:t>说明：</w:t>
            </w:r>
            <w:r>
              <w:rPr>
                <w:rFonts w:ascii="等线" w:hAnsi="等线" w:eastAsia="等线" w:cs="等线"/>
                <w:szCs w:val="21"/>
              </w:rPr>
              <w:t>1.</w:t>
            </w:r>
            <w:r>
              <w:rPr>
                <w:rFonts w:hint="eastAsia" w:ascii="等线" w:hAnsi="等线" w:eastAsia="等线" w:cs="等线"/>
                <w:szCs w:val="21"/>
              </w:rPr>
              <w:t>打“</w:t>
            </w:r>
            <w:r>
              <w:rPr>
                <w:rFonts w:hint="eastAsia" w:ascii="宋体" w:hAnsi="宋体" w:eastAsia="宋体" w:cs="宋体"/>
                <w:color w:val="000000"/>
                <w:szCs w:val="21"/>
              </w:rPr>
              <w:t>▲</w:t>
            </w:r>
            <w:r>
              <w:rPr>
                <w:rFonts w:hint="eastAsia" w:ascii="等线" w:hAnsi="等线" w:eastAsia="等线" w:cs="等线"/>
                <w:szCs w:val="21"/>
              </w:rPr>
              <w:t>”号条款为实质性条款，若有任何一条负偏离或不满足则导致投标无效。</w:t>
            </w:r>
          </w:p>
          <w:p w14:paraId="3BAC775E">
            <w:pPr>
              <w:pStyle w:val="8"/>
              <w:spacing w:line="340" w:lineRule="exact"/>
              <w:rPr>
                <w:rFonts w:ascii="等线" w:hAnsi="等线" w:eastAsia="等线" w:cs="等线"/>
                <w:szCs w:val="22"/>
              </w:rPr>
            </w:pPr>
            <w:r>
              <w:rPr>
                <w:rFonts w:hint="eastAsia"/>
                <w:szCs w:val="21"/>
              </w:rPr>
              <w:t xml:space="preserve"> </w:t>
            </w:r>
            <w:r>
              <w:rPr>
                <w:rFonts w:hint="eastAsia"/>
              </w:rPr>
              <w:t xml:space="preserve"> </w:t>
            </w:r>
            <w:r>
              <w:rPr>
                <w:rFonts w:ascii="等线" w:hAnsi="等线" w:eastAsia="等线" w:cs="等线"/>
                <w:szCs w:val="22"/>
              </w:rPr>
              <w:t>2.对于区间涵盖值参数，例：电压“测量范围3V-5V”，同时满足下限值更低及上限值更高才视为正偏离，例：响应为“测量范围2V-6V”。如有一端负偏离，不管另一端如何，均视为负偏离，例：响应为“测量范围4V-6V”。</w:t>
            </w:r>
          </w:p>
          <w:p w14:paraId="5D279111">
            <w:pPr>
              <w:pStyle w:val="8"/>
              <w:spacing w:line="340" w:lineRule="exact"/>
              <w:rPr>
                <w:rFonts w:ascii="等线" w:hAnsi="等线" w:eastAsia="等线" w:cs="等线"/>
                <w:szCs w:val="22"/>
              </w:rPr>
            </w:pPr>
            <w:r>
              <w:rPr>
                <w:rFonts w:hint="eastAsia" w:ascii="等线" w:hAnsi="等线" w:eastAsia="等线" w:cs="等线"/>
                <w:szCs w:val="22"/>
              </w:rPr>
              <w:t>3</w:t>
            </w:r>
            <w:r>
              <w:rPr>
                <w:rFonts w:ascii="等线" w:hAnsi="等线" w:eastAsia="等线" w:cs="等线"/>
                <w:szCs w:val="22"/>
              </w:rPr>
              <w:t>.对于区间任意值参数，例“5mm≤间距≤10mm”或“间距7.5±2.5mm”，若间距响应值为5mm-10mm中任意区间值或任意一个数值（含本数）时为无偏离，例：“6mm≤间距≤8mm”、“8±2mm”、“8mm”。超过区间范围视为负偏离，例：“3mm≤间距≤12mm”、“8±4mm”、“3-12mm”、“3mm”。此类参数不存在正偏离。</w:t>
            </w:r>
          </w:p>
          <w:p w14:paraId="308E1480">
            <w:pPr>
              <w:pStyle w:val="8"/>
              <w:spacing w:line="340" w:lineRule="exact"/>
              <w:rPr>
                <w:rFonts w:ascii="等线" w:hAnsi="等线" w:eastAsia="等线" w:cs="等线"/>
                <w:szCs w:val="22"/>
              </w:rPr>
            </w:pPr>
            <w:r>
              <w:rPr>
                <w:rFonts w:hint="eastAsia" w:ascii="等线" w:hAnsi="等线" w:eastAsia="等线" w:cs="等线"/>
                <w:szCs w:val="22"/>
              </w:rPr>
              <w:t>4</w:t>
            </w:r>
            <w:r>
              <w:rPr>
                <w:rFonts w:ascii="等线" w:hAnsi="等线" w:eastAsia="等线" w:cs="等线"/>
                <w:szCs w:val="22"/>
              </w:rPr>
              <w:t>.对于单边任意参数的要求，例“长度≥50cm”，若响应为50 cm及50cm以上任意一个数值，均视为无偏离；若响应小于50cm，视为负偏离。此类参数无正偏离。</w:t>
            </w:r>
          </w:p>
          <w:p w14:paraId="6167AC58">
            <w:pPr>
              <w:pStyle w:val="8"/>
              <w:spacing w:line="340" w:lineRule="exact"/>
              <w:rPr>
                <w:rFonts w:ascii="等线" w:hAnsi="等线" w:eastAsia="等线" w:cs="等线"/>
                <w:szCs w:val="22"/>
              </w:rPr>
            </w:pPr>
            <w:r>
              <w:rPr>
                <w:rFonts w:hint="eastAsia" w:ascii="等线" w:hAnsi="等线" w:eastAsia="等线" w:cs="等线"/>
                <w:szCs w:val="22"/>
              </w:rPr>
              <w:t>5</w:t>
            </w:r>
            <w:r>
              <w:rPr>
                <w:rFonts w:ascii="等线" w:hAnsi="等线" w:eastAsia="等线" w:cs="等线"/>
                <w:szCs w:val="22"/>
              </w:rPr>
              <w:t>.对于固定参数，响应与采购需求中技术参数一致，视为无偏离，其他均视为负偏离，此类参数无正偏离。</w:t>
            </w:r>
          </w:p>
          <w:p w14:paraId="785B54BC">
            <w:pPr>
              <w:spacing w:line="340" w:lineRule="exact"/>
              <w:ind w:firstLine="420" w:firstLineChars="200"/>
              <w:rPr>
                <w:rFonts w:ascii="Times New Roman" w:hAnsi="Times New Roman" w:eastAsia="宋体" w:cs="Times New Roman"/>
                <w:kern w:val="0"/>
                <w:sz w:val="24"/>
                <w:szCs w:val="24"/>
              </w:rPr>
            </w:pPr>
            <w:r>
              <w:rPr>
                <w:rFonts w:hint="eastAsia" w:ascii="等线" w:hAnsi="等线" w:eastAsia="等线" w:cs="等线"/>
              </w:rPr>
              <w:t>6</w:t>
            </w:r>
            <w:r>
              <w:rPr>
                <w:rFonts w:ascii="等线" w:hAnsi="等线" w:eastAsia="等线" w:cs="等线"/>
              </w:rPr>
              <w:t>.如采购需求中技术参数有特殊要求与上述说明不一致的，以特殊要求为准。</w:t>
            </w:r>
          </w:p>
        </w:tc>
      </w:tr>
    </w:tbl>
    <w:p w14:paraId="1132A7A9">
      <w:pPr>
        <w:rPr>
          <w:rFonts w:ascii="Times New Roman" w:hAnsi="Times New Roman" w:eastAsia="宋体" w:cs="Times New Roman"/>
          <w:kern w:val="0"/>
          <w:sz w:val="24"/>
          <w:szCs w:val="24"/>
        </w:rPr>
      </w:pPr>
    </w:p>
    <w:p w14:paraId="40EE2149">
      <w:pPr>
        <w:spacing w:line="560" w:lineRule="exact"/>
        <w:jc w:val="center"/>
        <w:rPr>
          <w:rFonts w:ascii="仿宋" w:hAnsi="仿宋" w:eastAsia="仿宋" w:cs="Times New Roman"/>
          <w:b/>
          <w:sz w:val="32"/>
          <w:szCs w:val="32"/>
        </w:rPr>
      </w:pPr>
      <w:r>
        <w:rPr>
          <w:rFonts w:hint="eastAsia" w:ascii="仿宋" w:hAnsi="仿宋" w:eastAsia="仿宋" w:cs="Times New Roman"/>
          <w:b/>
          <w:sz w:val="36"/>
          <w:szCs w:val="36"/>
        </w:rPr>
        <w:t>二、商务要求</w:t>
      </w:r>
    </w:p>
    <w:p w14:paraId="6FD687CA">
      <w:pPr>
        <w:spacing w:line="400" w:lineRule="exact"/>
        <w:ind w:firstLine="480" w:firstLineChars="200"/>
        <w:rPr>
          <w:rFonts w:ascii="宋体" w:hAnsi="宋体" w:cs="宋体"/>
          <w:b/>
          <w:bCs/>
          <w:sz w:val="24"/>
          <w:szCs w:val="24"/>
        </w:rPr>
      </w:pPr>
      <w:r>
        <w:rPr>
          <w:rFonts w:hint="eastAsia" w:ascii="宋体" w:hAnsi="宋体" w:cs="宋体"/>
          <w:b/>
          <w:bCs/>
          <w:sz w:val="24"/>
          <w:szCs w:val="24"/>
        </w:rPr>
        <w:t>（一）质量保证期</w:t>
      </w:r>
    </w:p>
    <w:p w14:paraId="1D16CE04">
      <w:pPr>
        <w:spacing w:line="400" w:lineRule="exact"/>
        <w:ind w:firstLine="480" w:firstLineChars="200"/>
        <w:rPr>
          <w:rFonts w:ascii="宋体" w:hAnsi="宋体" w:cs="宋体"/>
          <w:sz w:val="24"/>
          <w:szCs w:val="24"/>
        </w:rPr>
      </w:pPr>
      <w:r>
        <w:rPr>
          <w:rFonts w:hint="eastAsia" w:ascii="宋体" w:hAnsi="宋体" w:cs="宋体"/>
          <w:sz w:val="24"/>
          <w:szCs w:val="24"/>
        </w:rPr>
        <w:t>质量保证期（以下简称质保期）按国家有关产品“三包”规定执行“三包”，产品生产厂家提供整机保修及免费升级承诺函，且保修时间不得少于3年，自设备验收合格并能正常使用之日起计算。投标人应在投标文件中提供质保期后维保服务优惠报价供采购人日后采购时参考。</w:t>
      </w:r>
    </w:p>
    <w:p w14:paraId="4BEAA6C0">
      <w:pPr>
        <w:spacing w:line="400" w:lineRule="exact"/>
        <w:ind w:firstLine="480" w:firstLineChars="200"/>
        <w:rPr>
          <w:rFonts w:ascii="宋体" w:hAnsi="宋体" w:cs="宋体"/>
          <w:b/>
          <w:bCs/>
          <w:sz w:val="24"/>
          <w:szCs w:val="24"/>
        </w:rPr>
      </w:pPr>
      <w:r>
        <w:rPr>
          <w:rFonts w:hint="eastAsia" w:ascii="宋体" w:hAnsi="宋体" w:cs="宋体"/>
          <w:b/>
          <w:bCs/>
          <w:sz w:val="24"/>
          <w:szCs w:val="24"/>
        </w:rPr>
        <w:t>（二）交货时间及地点</w:t>
      </w:r>
    </w:p>
    <w:p w14:paraId="6D089C64">
      <w:pPr>
        <w:spacing w:line="400" w:lineRule="exact"/>
        <w:ind w:firstLine="480" w:firstLineChars="200"/>
        <w:rPr>
          <w:rFonts w:ascii="宋体" w:hAnsi="宋体" w:cs="宋体"/>
          <w:sz w:val="24"/>
          <w:szCs w:val="24"/>
        </w:rPr>
      </w:pPr>
      <w:r>
        <w:rPr>
          <w:rFonts w:hint="eastAsia" w:ascii="宋体" w:hAnsi="宋体" w:cs="宋体"/>
          <w:sz w:val="24"/>
          <w:szCs w:val="24"/>
        </w:rPr>
        <w:t>1.交货时间：合同签定之日起，中标供应商在30个日历日内向采购人交付全部货物。</w:t>
      </w:r>
    </w:p>
    <w:p w14:paraId="4B233D8C">
      <w:pPr>
        <w:spacing w:line="400" w:lineRule="exact"/>
        <w:ind w:firstLine="480" w:firstLineChars="200"/>
        <w:rPr>
          <w:rFonts w:ascii="宋体" w:hAnsi="宋体" w:cs="宋体"/>
          <w:sz w:val="24"/>
          <w:szCs w:val="24"/>
        </w:rPr>
      </w:pPr>
      <w:r>
        <w:rPr>
          <w:rFonts w:hint="eastAsia" w:ascii="宋体" w:hAnsi="宋体" w:cs="宋体"/>
          <w:sz w:val="24"/>
          <w:szCs w:val="24"/>
        </w:rPr>
        <w:t>2.交货地点：采购人指定地点。</w:t>
      </w:r>
    </w:p>
    <w:p w14:paraId="00EA77B4">
      <w:pPr>
        <w:spacing w:line="400" w:lineRule="exact"/>
        <w:ind w:firstLine="480" w:firstLineChars="200"/>
        <w:rPr>
          <w:rFonts w:ascii="宋体" w:hAnsi="宋体" w:cs="宋体"/>
          <w:b/>
          <w:bCs/>
          <w:sz w:val="24"/>
          <w:szCs w:val="24"/>
        </w:rPr>
      </w:pPr>
      <w:r>
        <w:rPr>
          <w:rFonts w:hint="eastAsia" w:ascii="宋体" w:hAnsi="宋体" w:cs="宋体"/>
          <w:b/>
          <w:bCs/>
          <w:sz w:val="24"/>
          <w:szCs w:val="24"/>
        </w:rPr>
        <w:t>（三）服务标准、服务效率、售后服务要求</w:t>
      </w:r>
    </w:p>
    <w:p w14:paraId="119804BD">
      <w:pPr>
        <w:spacing w:line="400" w:lineRule="exact"/>
        <w:ind w:firstLine="480" w:firstLineChars="200"/>
        <w:rPr>
          <w:rFonts w:ascii="宋体" w:hAnsi="宋体" w:cs="宋体"/>
          <w:sz w:val="24"/>
          <w:szCs w:val="24"/>
        </w:rPr>
      </w:pPr>
      <w:r>
        <w:rPr>
          <w:rFonts w:hint="eastAsia" w:ascii="宋体" w:hAnsi="宋体" w:cs="宋体"/>
          <w:sz w:val="24"/>
          <w:szCs w:val="24"/>
        </w:rPr>
        <w:t>1.中标供应商负责送货上门，保障设备、人员安全及安装调试，安装前提供相关的布局图和设计要求，培训采购人的操作人员至能完全独立操作、日常维护及承担以上所产生的相关费用。</w:t>
      </w:r>
    </w:p>
    <w:p w14:paraId="1F450654">
      <w:pPr>
        <w:spacing w:line="400" w:lineRule="exact"/>
        <w:ind w:firstLine="480" w:firstLineChars="200"/>
        <w:rPr>
          <w:rFonts w:ascii="宋体" w:hAnsi="宋体" w:cs="宋体"/>
          <w:sz w:val="24"/>
          <w:szCs w:val="24"/>
        </w:rPr>
      </w:pPr>
      <w:r>
        <w:rPr>
          <w:rFonts w:hint="eastAsia" w:ascii="宋体" w:hAnsi="宋体" w:cs="宋体"/>
          <w:sz w:val="24"/>
          <w:szCs w:val="24"/>
        </w:rPr>
        <w:t>2.质保期内提供7×24小时售后服务，仪器设备出现故障，在接到电话通知后，2小时内做出实质性响应（远程解决或做出预备维护动作），需维护工程师现场解决的，要求在24小时内到现场处理。</w:t>
      </w:r>
    </w:p>
    <w:p w14:paraId="52DBF681">
      <w:pPr>
        <w:spacing w:line="400" w:lineRule="exact"/>
        <w:ind w:firstLine="480" w:firstLineChars="200"/>
        <w:rPr>
          <w:rFonts w:ascii="宋体" w:hAnsi="宋体" w:cs="宋体"/>
          <w:sz w:val="24"/>
          <w:szCs w:val="24"/>
        </w:rPr>
      </w:pPr>
      <w:r>
        <w:rPr>
          <w:rFonts w:hint="eastAsia" w:ascii="宋体" w:hAnsi="宋体" w:cs="宋体"/>
          <w:sz w:val="24"/>
          <w:szCs w:val="24"/>
        </w:rPr>
        <w:t>3.质保期内发生故障的设备如无法在24小时内修复，须保证年开机率95%以上，否则中标供应商承担相应的损失。单次故障（不可抗力因素除外）维修时间超过20天仍无法修复的，采购人有权要求更换设备或赔偿。</w:t>
      </w:r>
    </w:p>
    <w:p w14:paraId="0E8434B4">
      <w:pPr>
        <w:spacing w:line="400" w:lineRule="exact"/>
        <w:ind w:firstLine="480" w:firstLineChars="200"/>
        <w:rPr>
          <w:rFonts w:ascii="宋体" w:hAnsi="宋体" w:cs="宋体"/>
          <w:sz w:val="24"/>
          <w:szCs w:val="24"/>
        </w:rPr>
      </w:pPr>
      <w:r>
        <w:rPr>
          <w:rFonts w:hint="eastAsia" w:ascii="宋体" w:hAnsi="宋体" w:cs="宋体"/>
          <w:sz w:val="24"/>
          <w:szCs w:val="24"/>
        </w:rPr>
        <w:t>4.质保期内每季度一次定期回访以及对设备维护。质保期满前1个月内中标供应商应负责对设备进行一次免费全面检查，如发现潜在问题，应负责排除，保证设备正常运行。</w:t>
      </w:r>
    </w:p>
    <w:p w14:paraId="61595FC9">
      <w:pPr>
        <w:spacing w:line="400" w:lineRule="exact"/>
        <w:ind w:firstLine="480" w:firstLineChars="200"/>
        <w:rPr>
          <w:rFonts w:ascii="宋体" w:hAnsi="宋体" w:cs="宋体"/>
          <w:sz w:val="24"/>
          <w:szCs w:val="24"/>
        </w:rPr>
      </w:pPr>
      <w:r>
        <w:rPr>
          <w:rFonts w:hint="eastAsia" w:ascii="宋体" w:hAnsi="宋体" w:cs="宋体"/>
          <w:sz w:val="24"/>
          <w:szCs w:val="24"/>
        </w:rPr>
        <w:t>5.投标产品必须是全新，且生产日期为1年内（签订合同之日计算）的产品。产品包装必须是全新的合格产品，并按照原厂标准包装规格供货，不接受散装或拆包装件。所有货物都提供中文说明书和详细装箱清单及质量合格证。</w:t>
      </w:r>
    </w:p>
    <w:p w14:paraId="3DAA0E34">
      <w:pPr>
        <w:spacing w:line="400" w:lineRule="exact"/>
        <w:ind w:firstLine="480" w:firstLineChars="200"/>
        <w:rPr>
          <w:rFonts w:ascii="宋体" w:hAnsi="宋体" w:cs="宋体"/>
          <w:sz w:val="24"/>
          <w:szCs w:val="24"/>
        </w:rPr>
      </w:pPr>
      <w:r>
        <w:rPr>
          <w:rFonts w:hint="eastAsia" w:ascii="宋体" w:hAnsi="宋体" w:cs="宋体"/>
          <w:sz w:val="24"/>
          <w:szCs w:val="24"/>
        </w:rPr>
        <w:t>6.安装调试完成后，中标供应商对采购人提供1次或多次培训，使采购人的操作人员及工程人员熟练掌握全部功能及基本维修，相关费用包括在投标报价中，采购人不再另行支付。</w:t>
      </w:r>
    </w:p>
    <w:p w14:paraId="1E7EFBFE">
      <w:pPr>
        <w:spacing w:line="400" w:lineRule="exact"/>
        <w:ind w:firstLine="480" w:firstLineChars="200"/>
        <w:rPr>
          <w:rFonts w:ascii="宋体" w:hAnsi="宋体" w:cs="宋体"/>
          <w:sz w:val="24"/>
          <w:szCs w:val="24"/>
        </w:rPr>
      </w:pPr>
      <w:r>
        <w:rPr>
          <w:rFonts w:hint="eastAsia" w:ascii="宋体" w:hAnsi="宋体" w:cs="宋体"/>
          <w:sz w:val="24"/>
          <w:szCs w:val="24"/>
        </w:rPr>
        <w:t>7.中标供应商提供维护手册、维修手册、软件备份、故障代码表、备件清单。质保期外，无偿提供维修密码及所附软件在该项目的永久使用权。</w:t>
      </w:r>
    </w:p>
    <w:p w14:paraId="2C89A647">
      <w:pPr>
        <w:spacing w:line="400" w:lineRule="exact"/>
        <w:ind w:firstLine="480" w:firstLineChars="200"/>
        <w:rPr>
          <w:rFonts w:ascii="宋体" w:hAnsi="宋体" w:cs="宋体"/>
          <w:sz w:val="24"/>
          <w:szCs w:val="24"/>
        </w:rPr>
      </w:pPr>
      <w:r>
        <w:rPr>
          <w:rFonts w:hint="eastAsia" w:ascii="宋体" w:hAnsi="宋体" w:cs="宋体"/>
          <w:sz w:val="24"/>
          <w:szCs w:val="24"/>
        </w:rPr>
        <w:t>8.中标供应商承诺的质保期内的所有售后服务，其中硬件的售后服务包括但不限于硬件维护维修、配件更换、整机更换、提供替代品；涉及软件的，应用软件的售后服务包括但不限于应用软件维护升级以及非结构性修改；中标供应商承担质保期内售后服务所产生的费用。</w:t>
      </w:r>
    </w:p>
    <w:p w14:paraId="004E5270">
      <w:pPr>
        <w:spacing w:line="400" w:lineRule="exact"/>
        <w:ind w:firstLine="480" w:firstLineChars="200"/>
        <w:rPr>
          <w:rFonts w:ascii="宋体" w:hAnsi="宋体" w:cs="宋体"/>
          <w:sz w:val="24"/>
          <w:szCs w:val="24"/>
        </w:rPr>
      </w:pPr>
      <w:r>
        <w:rPr>
          <w:rFonts w:hint="eastAsia" w:ascii="宋体" w:hAnsi="宋体" w:cs="宋体"/>
          <w:sz w:val="24"/>
          <w:szCs w:val="24"/>
        </w:rPr>
        <w:t>9.中标供应商保证采购人能够合法应用该器械及相应服务。采购人在办理相关证件及验收等流程中，中标供应商必须提供所需的合法材料。</w:t>
      </w:r>
    </w:p>
    <w:p w14:paraId="7C2DF26E">
      <w:pPr>
        <w:spacing w:line="400" w:lineRule="exact"/>
        <w:ind w:firstLine="480" w:firstLineChars="200"/>
        <w:rPr>
          <w:rFonts w:ascii="宋体" w:hAnsi="宋体" w:cs="宋体"/>
          <w:b/>
          <w:bCs/>
          <w:sz w:val="24"/>
          <w:szCs w:val="24"/>
        </w:rPr>
      </w:pPr>
      <w:r>
        <w:rPr>
          <w:rFonts w:hint="eastAsia" w:ascii="宋体" w:hAnsi="宋体" w:cs="宋体"/>
          <w:b/>
          <w:bCs/>
          <w:sz w:val="24"/>
          <w:szCs w:val="24"/>
        </w:rPr>
        <w:t>（四）付款方式</w:t>
      </w:r>
    </w:p>
    <w:p w14:paraId="7939E981">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本合同采用分期付款方式结算，采购人核对发票无误后支付当期合同款至中标供应商指定对公银行帐户。</w:t>
      </w:r>
    </w:p>
    <w:p w14:paraId="2C6B52A2">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第一期：收到项目货物并经采购人验收合格入库后，通知中标供应商开具符合税法规定的全额增值税发票并提交请款函，经采购人审核确认无误后，10个工作日内支付至合同总额的90%。</w:t>
      </w:r>
    </w:p>
    <w:p w14:paraId="070813C3">
      <w:pPr>
        <w:widowControl/>
        <w:kinsoku w:val="0"/>
        <w:autoSpaceDE w:val="0"/>
        <w:autoSpaceDN w:val="0"/>
        <w:adjustRightInd w:val="0"/>
        <w:snapToGrid w:val="0"/>
        <w:spacing w:before="163" w:line="400" w:lineRule="exact"/>
        <w:ind w:left="522" w:firstLine="468" w:firstLineChars="200"/>
        <w:jc w:val="left"/>
        <w:textAlignment w:val="baseline"/>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第二笔款：余下10%合同款项在验收合格9个月后，中标供应商向采购人请款，采购人收到请款函后10个工作日内支付完毕。(不计利息)。</w:t>
      </w:r>
    </w:p>
    <w:p w14:paraId="00B41D22">
      <w:pPr>
        <w:spacing w:line="400" w:lineRule="exact"/>
        <w:ind w:firstLine="468" w:firstLineChars="200"/>
        <w:rPr>
          <w:rFonts w:ascii="宋体" w:hAnsi="宋体" w:cs="宋体"/>
          <w:snapToGrid w:val="0"/>
          <w:color w:val="000000"/>
          <w:spacing w:val="-3"/>
          <w:kern w:val="0"/>
          <w:sz w:val="24"/>
          <w:szCs w:val="24"/>
        </w:rPr>
      </w:pPr>
      <w:r>
        <w:rPr>
          <w:rFonts w:hint="eastAsia" w:ascii="宋体" w:hAnsi="宋体" w:cs="宋体"/>
          <w:snapToGrid w:val="0"/>
          <w:color w:val="000000"/>
          <w:spacing w:val="-3"/>
          <w:kern w:val="0"/>
          <w:sz w:val="24"/>
          <w:szCs w:val="24"/>
        </w:rPr>
        <w:t>合同签署的中标供应商名称及发票开具单位与收款单位必须一致，在合同执行过程中，中标供应商不得以其他不正当理由要求调整发票开具单位或收款单位，否则视为中标供应商违约。</w:t>
      </w:r>
    </w:p>
    <w:p w14:paraId="4FFABBAA">
      <w:pPr>
        <w:spacing w:line="400" w:lineRule="exact"/>
        <w:ind w:firstLine="480" w:firstLineChars="200"/>
        <w:rPr>
          <w:rFonts w:ascii="宋体" w:hAnsi="宋体" w:cs="宋体"/>
          <w:sz w:val="24"/>
          <w:szCs w:val="24"/>
        </w:rPr>
      </w:pPr>
      <w:r>
        <w:rPr>
          <w:rFonts w:hint="eastAsia" w:ascii="宋体" w:hAnsi="宋体" w:cs="宋体"/>
          <w:b/>
          <w:bCs/>
          <w:sz w:val="24"/>
          <w:szCs w:val="24"/>
        </w:rPr>
        <w:t>（五）履约保证金：无</w:t>
      </w:r>
    </w:p>
    <w:p w14:paraId="1DA9097B">
      <w:pPr>
        <w:spacing w:line="400" w:lineRule="exact"/>
        <w:ind w:firstLine="480" w:firstLineChars="200"/>
        <w:rPr>
          <w:rFonts w:ascii="宋体" w:hAnsi="宋体" w:cs="宋体"/>
          <w:b/>
          <w:bCs/>
          <w:sz w:val="24"/>
          <w:szCs w:val="24"/>
        </w:rPr>
      </w:pPr>
      <w:r>
        <w:rPr>
          <w:rFonts w:hint="eastAsia" w:ascii="宋体" w:hAnsi="宋体" w:cs="宋体"/>
          <w:b/>
          <w:bCs/>
          <w:sz w:val="24"/>
          <w:szCs w:val="24"/>
        </w:rPr>
        <w:t>（六）投标报价要求</w:t>
      </w:r>
    </w:p>
    <w:p w14:paraId="681398EE">
      <w:pPr>
        <w:spacing w:line="400" w:lineRule="exact"/>
        <w:ind w:firstLine="480" w:firstLineChars="200"/>
        <w:rPr>
          <w:rFonts w:ascii="宋体" w:hAnsi="宋体" w:cs="宋体"/>
          <w:sz w:val="24"/>
          <w:szCs w:val="24"/>
        </w:rPr>
      </w:pPr>
      <w:r>
        <w:rPr>
          <w:rFonts w:hint="eastAsia" w:ascii="宋体" w:hAnsi="宋体" w:cs="宋体"/>
          <w:sz w:val="24"/>
          <w:szCs w:val="24"/>
        </w:rPr>
        <w:t>投标报价包含货物、货物标准附件、备品备件、专用工具、设备安装辅材、施工辅材、包装、运输、装卸、保险、连接医院信息系统接口费（如</w:t>
      </w:r>
      <w:r>
        <w:rPr>
          <w:rFonts w:hint="eastAsia" w:ascii="宋体" w:hAnsi="宋体" w:cs="宋体"/>
          <w:sz w:val="24"/>
          <w:szCs w:val="24"/>
          <w:lang w:eastAsia="zh"/>
        </w:rPr>
        <w:t>HIS、PACS</w:t>
      </w:r>
      <w:r>
        <w:rPr>
          <w:rFonts w:hint="eastAsia" w:ascii="宋体" w:hAnsi="宋体" w:cs="宋体"/>
          <w:sz w:val="24"/>
          <w:szCs w:val="24"/>
        </w:rPr>
        <w:t>）以及安装、调试等本采购文件所列设备材料需进行补充完善才能完成本项目的功能配置或实际采购中产品材料有任何遗漏的费用（含本项目需要但本文件中未列出的设备材料、功能配置）、税金、售后服务、技术培训及其他所有成本费用，以及合同包括但不限于的所有责任、义务和一般风险等一切费用。</w:t>
      </w:r>
    </w:p>
    <w:p w14:paraId="5F3EC248">
      <w:pPr>
        <w:spacing w:line="400" w:lineRule="exact"/>
        <w:ind w:firstLine="480" w:firstLineChars="200"/>
        <w:rPr>
          <w:rFonts w:ascii="宋体" w:hAnsi="宋体" w:cs="宋体"/>
          <w:b/>
          <w:bCs/>
          <w:sz w:val="24"/>
          <w:szCs w:val="24"/>
        </w:rPr>
      </w:pPr>
      <w:r>
        <w:rPr>
          <w:rFonts w:hint="eastAsia" w:ascii="宋体" w:hAnsi="宋体" w:cs="宋体"/>
          <w:b/>
          <w:bCs/>
          <w:sz w:val="24"/>
          <w:szCs w:val="24"/>
        </w:rPr>
        <w:t>（七）政策性加分条件</w:t>
      </w:r>
    </w:p>
    <w:p w14:paraId="11F96DC6">
      <w:pPr>
        <w:spacing w:line="400" w:lineRule="exact"/>
        <w:ind w:firstLine="480" w:firstLineChars="200"/>
        <w:rPr>
          <w:rFonts w:ascii="宋体" w:hAnsi="宋体" w:cs="宋体"/>
          <w:sz w:val="24"/>
          <w:szCs w:val="24"/>
        </w:rPr>
      </w:pPr>
      <w:r>
        <w:rPr>
          <w:rFonts w:hint="eastAsia" w:ascii="宋体" w:hAnsi="宋体" w:cs="宋体"/>
          <w:sz w:val="24"/>
          <w:szCs w:val="24"/>
        </w:rPr>
        <w:t>符合节能环保等国家政策要求。</w:t>
      </w:r>
    </w:p>
    <w:p w14:paraId="0C884F24">
      <w:pPr>
        <w:spacing w:line="400" w:lineRule="exact"/>
        <w:ind w:firstLine="480" w:firstLineChars="200"/>
        <w:rPr>
          <w:rFonts w:ascii="宋体" w:hAnsi="宋体" w:cs="宋体"/>
          <w:b/>
          <w:bCs/>
          <w:sz w:val="24"/>
          <w:szCs w:val="24"/>
        </w:rPr>
      </w:pPr>
      <w:r>
        <w:rPr>
          <w:rFonts w:hint="eastAsia" w:ascii="宋体" w:hAnsi="宋体" w:cs="宋体"/>
          <w:b/>
          <w:bCs/>
          <w:sz w:val="24"/>
          <w:szCs w:val="24"/>
        </w:rPr>
        <w:t>（八）验收标准及验收方法</w:t>
      </w:r>
    </w:p>
    <w:p w14:paraId="3745991F">
      <w:pPr>
        <w:spacing w:line="400" w:lineRule="exact"/>
        <w:ind w:firstLine="480" w:firstLineChars="200"/>
        <w:rPr>
          <w:rFonts w:ascii="宋体" w:hAnsi="宋体" w:cs="宋体"/>
          <w:sz w:val="24"/>
          <w:szCs w:val="24"/>
        </w:rPr>
      </w:pPr>
      <w:r>
        <w:rPr>
          <w:rFonts w:hint="eastAsia" w:ascii="宋体" w:hAnsi="宋体" w:cs="宋体"/>
          <w:sz w:val="24"/>
          <w:szCs w:val="24"/>
        </w:rPr>
        <w:t>1.中标供应商应将所提供货物的装箱清单、用户手册、原厂保修卡、随机资料、工具和备品、备件等交付给采购人，如有缺失应在采购人要求的期限内及时补齐，否则视为逾期交货。</w:t>
      </w:r>
    </w:p>
    <w:p w14:paraId="7E27F1F0">
      <w:pPr>
        <w:spacing w:line="400" w:lineRule="exact"/>
        <w:ind w:firstLine="480" w:firstLineChars="200"/>
        <w:rPr>
          <w:rFonts w:ascii="宋体" w:hAnsi="宋体" w:cs="宋体"/>
          <w:sz w:val="24"/>
          <w:szCs w:val="24"/>
        </w:rPr>
      </w:pPr>
      <w:r>
        <w:rPr>
          <w:rFonts w:hint="eastAsia" w:ascii="宋体" w:hAnsi="宋体" w:cs="宋体"/>
          <w:sz w:val="24"/>
          <w:szCs w:val="24"/>
        </w:rPr>
        <w:t>2.采购人将依据招标文件上的技术要求和国家有关质量标准对中标供应商提交的货物进行初步签收；中标供应商如提供不符合招标文件、投标文件和采购合同规定的货物，采购人有权不予签收，由此产生的一切损失均由中标供应商自行承担。</w:t>
      </w:r>
    </w:p>
    <w:p w14:paraId="23E376FB">
      <w:pPr>
        <w:spacing w:line="400" w:lineRule="exact"/>
        <w:ind w:firstLine="480" w:firstLineChars="200"/>
        <w:rPr>
          <w:rFonts w:ascii="宋体" w:hAnsi="宋体" w:cs="宋体"/>
          <w:sz w:val="24"/>
          <w:szCs w:val="24"/>
        </w:rPr>
      </w:pPr>
      <w:r>
        <w:rPr>
          <w:rFonts w:hint="eastAsia" w:ascii="宋体" w:hAnsi="宋体" w:cs="宋体"/>
          <w:sz w:val="24"/>
          <w:szCs w:val="24"/>
        </w:rPr>
        <w:t>3.中标供应商需承担供货时产品质量抽样检测的相关费用以及项目验收时发生的一切费用。</w:t>
      </w:r>
    </w:p>
    <w:p w14:paraId="435B7B19">
      <w:pPr>
        <w:spacing w:line="400" w:lineRule="exact"/>
        <w:ind w:firstLine="480" w:firstLineChars="200"/>
        <w:rPr>
          <w:rFonts w:ascii="宋体" w:hAnsi="宋体" w:cs="宋体"/>
          <w:sz w:val="24"/>
          <w:szCs w:val="24"/>
        </w:rPr>
      </w:pPr>
      <w:r>
        <w:rPr>
          <w:rFonts w:hint="eastAsia" w:ascii="宋体" w:hAnsi="宋体" w:cs="宋体"/>
          <w:sz w:val="24"/>
          <w:szCs w:val="24"/>
        </w:rPr>
        <w:t>4.安装合格后15日内提供安装调试报告与原厂技术规格书(或Datasheet)。 本条所有涉及的文件均提供纸质与电子档。</w:t>
      </w:r>
    </w:p>
    <w:p w14:paraId="250BFF3B">
      <w:pPr>
        <w:spacing w:line="400" w:lineRule="exact"/>
        <w:ind w:firstLine="480" w:firstLineChars="200"/>
        <w:rPr>
          <w:rFonts w:ascii="宋体" w:hAnsi="宋体" w:cs="宋体"/>
          <w:sz w:val="24"/>
          <w:szCs w:val="24"/>
        </w:rPr>
      </w:pPr>
      <w:r>
        <w:rPr>
          <w:rFonts w:hint="eastAsia" w:ascii="宋体" w:hAnsi="宋体" w:cs="宋体"/>
          <w:sz w:val="24"/>
          <w:szCs w:val="24"/>
        </w:rPr>
        <w:t>5.当项目调试完成后，由中标供应商向采购人提出项目竣工测试申请，并于验收前向采购人提供一切有关技术文件、资料、图纸和培训相关记录等竣工材料，并在竣工前5个工作日通知采购人及有关部门准备验收。拟竣工项目的实施总体功能、性能符合采购人认可的技术设计方案及合同规定的，采购人在7个工作日内组织验收，并作出验收结果报告。供需双方签署项目终验验收证书并加盖公章，自正式交付使用之日起，开始计算质保期。</w:t>
      </w:r>
    </w:p>
    <w:p w14:paraId="0853ECD2">
      <w:pPr>
        <w:spacing w:line="400" w:lineRule="exact"/>
        <w:ind w:firstLine="480" w:firstLineChars="200"/>
        <w:rPr>
          <w:rFonts w:ascii="宋体" w:hAnsi="宋体" w:cs="宋体"/>
          <w:sz w:val="24"/>
          <w:szCs w:val="24"/>
        </w:rPr>
      </w:pPr>
      <w:r>
        <w:rPr>
          <w:rFonts w:hint="eastAsia" w:ascii="宋体" w:hAnsi="宋体" w:cs="宋体"/>
          <w:sz w:val="24"/>
          <w:szCs w:val="24"/>
        </w:rPr>
        <w:t>6.采购人对验收有异议的，以书面形式向中标供应商提出，中标供应商应自收到采购人书面异议后5个工作日内及时予以解决，中标供应商不予答复或未予以实质解决的，视为认可采购人异议及处置意见。</w:t>
      </w:r>
    </w:p>
    <w:p w14:paraId="3DFD2292">
      <w:pPr>
        <w:spacing w:line="400" w:lineRule="exact"/>
        <w:ind w:firstLine="480" w:firstLineChars="200"/>
        <w:rPr>
          <w:rFonts w:ascii="宋体" w:hAnsi="宋体" w:cs="宋体"/>
          <w:sz w:val="24"/>
          <w:szCs w:val="24"/>
        </w:rPr>
      </w:pPr>
      <w:r>
        <w:rPr>
          <w:rFonts w:hint="eastAsia" w:ascii="宋体" w:hAnsi="宋体" w:cs="宋体"/>
          <w:sz w:val="24"/>
          <w:szCs w:val="24"/>
        </w:rPr>
        <w:t>7.验收标准</w:t>
      </w:r>
    </w:p>
    <w:p w14:paraId="1F5C1227">
      <w:pPr>
        <w:spacing w:line="400" w:lineRule="exact"/>
        <w:ind w:firstLine="480" w:firstLineChars="200"/>
        <w:rPr>
          <w:rFonts w:ascii="宋体" w:hAnsi="宋体" w:cs="宋体"/>
          <w:sz w:val="24"/>
          <w:szCs w:val="24"/>
        </w:rPr>
      </w:pPr>
      <w:r>
        <w:rPr>
          <w:rFonts w:hint="eastAsia" w:ascii="宋体" w:hAnsi="宋体" w:cs="宋体"/>
          <w:sz w:val="24"/>
          <w:szCs w:val="24"/>
        </w:rPr>
        <w:t>1)项目招标文件及中标供应商投标文件中的“技术响应表”,逐条验收；</w:t>
      </w:r>
    </w:p>
    <w:p w14:paraId="70891F31">
      <w:pPr>
        <w:spacing w:line="400" w:lineRule="exact"/>
        <w:ind w:firstLine="480" w:firstLineChars="200"/>
        <w:rPr>
          <w:rFonts w:ascii="宋体" w:hAnsi="宋体" w:cs="宋体"/>
          <w:sz w:val="24"/>
          <w:szCs w:val="24"/>
        </w:rPr>
      </w:pPr>
      <w:r>
        <w:rPr>
          <w:rFonts w:hint="eastAsia" w:ascii="宋体" w:hAnsi="宋体" w:cs="宋体"/>
          <w:sz w:val="24"/>
          <w:szCs w:val="24"/>
        </w:rPr>
        <w:t>2)项目招标文件及中标供应商投标文件中的“商务响应表”,逐条验收；</w:t>
      </w:r>
    </w:p>
    <w:p w14:paraId="55189C1A">
      <w:pPr>
        <w:spacing w:line="400" w:lineRule="exact"/>
        <w:ind w:firstLine="480" w:firstLineChars="200"/>
        <w:rPr>
          <w:rFonts w:ascii="宋体" w:hAnsi="宋体" w:cs="宋体"/>
          <w:sz w:val="24"/>
          <w:szCs w:val="24"/>
        </w:rPr>
      </w:pPr>
      <w:r>
        <w:rPr>
          <w:rFonts w:hint="eastAsia" w:ascii="宋体" w:hAnsi="宋体" w:cs="宋体"/>
          <w:sz w:val="24"/>
          <w:szCs w:val="24"/>
        </w:rPr>
        <w:t>3)中标供应商投标文件中其他技术、服务、商务性的说明、承诺事项，逐条验收。</w:t>
      </w:r>
    </w:p>
    <w:p w14:paraId="07606176">
      <w:pPr>
        <w:spacing w:line="400" w:lineRule="exact"/>
        <w:ind w:firstLine="480" w:firstLineChars="200"/>
        <w:rPr>
          <w:rFonts w:ascii="宋体" w:hAnsi="宋体" w:cs="宋体"/>
          <w:sz w:val="24"/>
          <w:szCs w:val="24"/>
        </w:rPr>
      </w:pPr>
      <w:r>
        <w:rPr>
          <w:rFonts w:hint="eastAsia" w:ascii="宋体" w:hAnsi="宋体" w:cs="宋体"/>
          <w:sz w:val="24"/>
          <w:szCs w:val="24"/>
        </w:rPr>
        <w:t>4)国家相关法律、法规、标准和规范等。</w:t>
      </w:r>
    </w:p>
    <w:p w14:paraId="3F793E63">
      <w:pPr>
        <w:spacing w:line="400" w:lineRule="exact"/>
        <w:ind w:firstLine="480" w:firstLineChars="200"/>
        <w:rPr>
          <w:rFonts w:ascii="宋体" w:hAnsi="宋体" w:cs="宋体"/>
          <w:sz w:val="24"/>
          <w:szCs w:val="24"/>
        </w:rPr>
      </w:pPr>
      <w:r>
        <w:rPr>
          <w:rFonts w:hint="eastAsia" w:ascii="宋体" w:hAnsi="宋体" w:cs="宋体"/>
          <w:sz w:val="24"/>
          <w:szCs w:val="24"/>
        </w:rPr>
        <w:t>5)其他未尽事宜应严格参照《关于印发广西壮族自治区政府采购项目履约验收管理办法的通知》[桂财采〔2015〕22号]以及《财政部关于进一步加强政府采购需求和履约验收管理的指导意见》[财库〔2016〕205号]规定执行。</w:t>
      </w:r>
    </w:p>
    <w:p w14:paraId="57CD74F6">
      <w:pPr>
        <w:spacing w:line="400" w:lineRule="exact"/>
        <w:ind w:firstLine="480" w:firstLineChars="200"/>
        <w:rPr>
          <w:rFonts w:ascii="宋体" w:hAnsi="宋体" w:cs="宋体"/>
          <w:sz w:val="24"/>
          <w:szCs w:val="24"/>
        </w:rPr>
      </w:pPr>
      <w:r>
        <w:rPr>
          <w:rFonts w:hint="eastAsia" w:ascii="宋体" w:hAnsi="宋体" w:cs="宋体"/>
          <w:sz w:val="24"/>
          <w:szCs w:val="24"/>
        </w:rPr>
        <w:t>8.若采购人委托第三方组织的验收项目，其验收时间以该项目验收方案确定的验收时间为准，验收结果以该项目验收报告结论为准。在验收过程中发现中标供应商有违约问题，可暂缓资金结算，待违约问题解决后，方可办理资金结算事宜，在此期间，采购人不承担逾期付款责任。</w:t>
      </w:r>
    </w:p>
    <w:p w14:paraId="4334072C">
      <w:pPr>
        <w:spacing w:line="400" w:lineRule="exact"/>
        <w:ind w:firstLine="480" w:firstLineChars="200"/>
        <w:rPr>
          <w:sz w:val="24"/>
          <w:szCs w:val="24"/>
        </w:rPr>
      </w:pPr>
      <w:r>
        <w:rPr>
          <w:rFonts w:hint="eastAsia" w:ascii="宋体" w:hAnsi="宋体" w:eastAsia="宋体" w:cs="宋体"/>
          <w:sz w:val="24"/>
          <w:szCs w:val="24"/>
        </w:rPr>
        <w:t>9.中标供应商提供</w:t>
      </w:r>
      <w:r>
        <w:rPr>
          <w:rFonts w:hint="eastAsia" w:ascii="宋体" w:hAnsi="宋体" w:cs="宋体"/>
          <w:sz w:val="24"/>
          <w:szCs w:val="24"/>
        </w:rPr>
        <w:t>的</w:t>
      </w:r>
      <w:r>
        <w:rPr>
          <w:rFonts w:hint="eastAsia" w:ascii="宋体" w:hAnsi="宋体" w:eastAsia="宋体" w:cs="宋体"/>
          <w:sz w:val="24"/>
          <w:szCs w:val="24"/>
        </w:rPr>
        <w:t>货物与投标文件响应情况不符，视为验收不合格</w:t>
      </w:r>
      <w:r>
        <w:rPr>
          <w:rFonts w:hint="eastAsia" w:ascii="宋体" w:hAnsi="宋体" w:cs="宋体"/>
          <w:sz w:val="24"/>
          <w:szCs w:val="24"/>
        </w:rPr>
        <w:t>。</w:t>
      </w:r>
    </w:p>
    <w:p w14:paraId="0C8A8858">
      <w:pPr>
        <w:spacing w:line="400" w:lineRule="exact"/>
        <w:ind w:firstLine="480" w:firstLineChars="200"/>
        <w:rPr>
          <w:rFonts w:ascii="宋体" w:hAnsi="宋体" w:cs="宋体"/>
          <w:b/>
          <w:bCs/>
          <w:sz w:val="24"/>
          <w:szCs w:val="24"/>
        </w:rPr>
      </w:pPr>
      <w:r>
        <w:rPr>
          <w:rFonts w:hint="eastAsia" w:ascii="宋体" w:hAnsi="宋体" w:cs="宋体"/>
          <w:b/>
          <w:bCs/>
          <w:sz w:val="24"/>
          <w:szCs w:val="24"/>
        </w:rPr>
        <w:t>（九）进口产品说明</w:t>
      </w:r>
    </w:p>
    <w:p w14:paraId="18DFC7E2">
      <w:pPr>
        <w:spacing w:line="400" w:lineRule="exact"/>
        <w:ind w:firstLine="480" w:firstLineChars="200"/>
        <w:rPr>
          <w:rFonts w:ascii="宋体" w:hAnsi="宋体" w:cs="宋体"/>
          <w:sz w:val="24"/>
          <w:szCs w:val="24"/>
        </w:rPr>
      </w:pPr>
      <w:r>
        <w:rPr>
          <w:rFonts w:hint="eastAsia" w:ascii="宋体" w:hAnsi="宋体" w:cs="宋体"/>
          <w:sz w:val="24"/>
          <w:szCs w:val="24"/>
        </w:rPr>
        <w:t>本标项不接受进口设备参与投标。</w:t>
      </w:r>
    </w:p>
    <w:p w14:paraId="196BB351">
      <w:pPr>
        <w:spacing w:line="400" w:lineRule="exact"/>
        <w:ind w:firstLine="480" w:firstLineChars="200"/>
        <w:rPr>
          <w:rFonts w:ascii="宋体" w:hAnsi="宋体" w:cs="宋体"/>
          <w:b/>
          <w:bCs/>
          <w:sz w:val="24"/>
          <w:szCs w:val="24"/>
        </w:rPr>
      </w:pPr>
      <w:r>
        <w:rPr>
          <w:rFonts w:hint="eastAsia" w:ascii="宋体" w:hAnsi="宋体" w:cs="宋体"/>
          <w:b/>
          <w:bCs/>
          <w:sz w:val="24"/>
          <w:szCs w:val="24"/>
        </w:rPr>
        <w:t>（十）规范标准</w:t>
      </w:r>
    </w:p>
    <w:p w14:paraId="2F2A71B0">
      <w:pPr>
        <w:spacing w:line="400" w:lineRule="exact"/>
        <w:ind w:firstLine="480" w:firstLineChars="200"/>
        <w:rPr>
          <w:rFonts w:ascii="宋体" w:hAnsi="宋体" w:cs="宋体"/>
          <w:sz w:val="24"/>
          <w:szCs w:val="24"/>
        </w:rPr>
      </w:pPr>
      <w:r>
        <w:rPr>
          <w:rFonts w:hint="eastAsia" w:ascii="宋体" w:hAnsi="宋体" w:cs="宋体"/>
          <w:sz w:val="24"/>
          <w:szCs w:val="24"/>
        </w:rPr>
        <w:t>执行现行的强制执行的国家、行业、地方标准。</w:t>
      </w:r>
    </w:p>
    <w:p w14:paraId="29CC4114">
      <w:pPr>
        <w:spacing w:line="400" w:lineRule="exact"/>
        <w:ind w:firstLine="480" w:firstLineChars="200"/>
        <w:rPr>
          <w:rFonts w:ascii="宋体" w:hAnsi="宋体" w:cs="宋体"/>
          <w:b/>
          <w:bCs/>
          <w:sz w:val="24"/>
          <w:szCs w:val="24"/>
        </w:rPr>
      </w:pPr>
      <w:r>
        <w:rPr>
          <w:rFonts w:hint="eastAsia" w:ascii="宋体" w:hAnsi="宋体" w:cs="宋体"/>
          <w:b/>
          <w:bCs/>
          <w:sz w:val="24"/>
          <w:szCs w:val="24"/>
        </w:rPr>
        <w:t>（十一）产品资料及说明文件</w:t>
      </w:r>
    </w:p>
    <w:p w14:paraId="502EF32A">
      <w:pPr>
        <w:spacing w:line="400" w:lineRule="exact"/>
        <w:ind w:firstLine="480" w:firstLineChars="200"/>
        <w:rPr>
          <w:rFonts w:ascii="宋体" w:hAnsi="宋体" w:cs="宋体"/>
          <w:sz w:val="24"/>
          <w:szCs w:val="24"/>
        </w:rPr>
      </w:pPr>
      <w:r>
        <w:rPr>
          <w:rFonts w:hint="eastAsia" w:ascii="宋体" w:hAnsi="宋体" w:cs="宋体"/>
          <w:sz w:val="24"/>
          <w:szCs w:val="24"/>
        </w:rPr>
        <w:t>投标文件中提供投标产品对外公开的产品彩页或说明书（体现技术参数，可以是从生产厂家网页下载的PDF或HTM文件或在药品监督管理部门备案的技术参数或检测报告或生产厂家盖章的技术参数证明材料），以供评标时核对。当投标文件提供的仪器性能参数与该仪器生产商提供的性能参数不符合时，以后者为准。</w:t>
      </w:r>
    </w:p>
    <w:p w14:paraId="7240F928">
      <w:pPr>
        <w:spacing w:line="400" w:lineRule="exact"/>
        <w:ind w:firstLine="480" w:firstLineChars="200"/>
        <w:rPr>
          <w:rFonts w:ascii="宋体" w:hAnsi="宋体" w:cs="宋体"/>
          <w:b/>
          <w:bCs/>
          <w:sz w:val="24"/>
          <w:szCs w:val="24"/>
        </w:rPr>
      </w:pPr>
      <w:r>
        <w:rPr>
          <w:rFonts w:hint="eastAsia" w:ascii="宋体" w:hAnsi="宋体" w:cs="宋体"/>
          <w:b/>
          <w:bCs/>
          <w:sz w:val="24"/>
          <w:szCs w:val="24"/>
        </w:rPr>
        <w:t>（十二）采购预算价及最高限价</w:t>
      </w:r>
    </w:p>
    <w:p w14:paraId="1C070C1C">
      <w:pPr>
        <w:spacing w:line="400" w:lineRule="exact"/>
        <w:ind w:firstLine="480" w:firstLineChars="200"/>
        <w:rPr>
          <w:rFonts w:ascii="宋体" w:hAnsi="宋体" w:cs="宋体"/>
          <w:sz w:val="24"/>
          <w:szCs w:val="24"/>
        </w:rPr>
      </w:pPr>
      <w:r>
        <w:rPr>
          <w:rFonts w:hint="eastAsia" w:ascii="宋体" w:hAnsi="宋体" w:cs="宋体"/>
          <w:sz w:val="24"/>
          <w:szCs w:val="24"/>
        </w:rPr>
        <w:t>投标报价超采购预算（含单项采购预算，如有）及最高限价（含单项最高限价，如有）的投标无效。</w:t>
      </w:r>
    </w:p>
    <w:p w14:paraId="790E26B1">
      <w:pPr>
        <w:spacing w:line="400" w:lineRule="exact"/>
        <w:ind w:firstLine="480" w:firstLineChars="200"/>
        <w:rPr>
          <w:rFonts w:ascii="宋体" w:hAnsi="宋体" w:cs="宋体"/>
          <w:b/>
          <w:bCs/>
          <w:sz w:val="24"/>
          <w:szCs w:val="24"/>
        </w:rPr>
      </w:pPr>
      <w:r>
        <w:rPr>
          <w:rFonts w:hint="eastAsia" w:ascii="宋体" w:hAnsi="宋体" w:cs="宋体"/>
          <w:b/>
          <w:bCs/>
          <w:sz w:val="24"/>
          <w:szCs w:val="24"/>
        </w:rPr>
        <w:t>（十三）医疗器械注册或备案要求</w:t>
      </w:r>
    </w:p>
    <w:p w14:paraId="1DF70424">
      <w:pPr>
        <w:spacing w:line="400" w:lineRule="exact"/>
        <w:ind w:firstLine="480" w:firstLineChars="200"/>
        <w:rPr>
          <w:rFonts w:ascii="宋体" w:hAnsi="宋体" w:cs="宋体"/>
          <w:sz w:val="24"/>
          <w:szCs w:val="24"/>
        </w:rPr>
      </w:pPr>
      <w:r>
        <w:rPr>
          <w:rFonts w:hint="eastAsia" w:ascii="宋体" w:hAnsi="宋体" w:cs="宋体"/>
          <w:sz w:val="24"/>
          <w:szCs w:val="24"/>
        </w:rPr>
        <w:t>投标产品属第一类医疗器械产品的，投标文件中须按《医疗器械注册与备案管理办法》（国家市场监督管理总局令第47号）提供该设备在负责药品监督管理的部门提交备案资料证明材料复印件（或扫描件）加盖投标人电子签章；投标产品属第二、三类医疗器械产品的，投标文件中须按《医疗器械注册与备案管理办法》（国家市场监督管理总局令第47号）提供该设备有效的药品监督管理部门出具的医疗器械注册证复印件（或扫描件）加盖投标人电子签章，否则投标无效。</w:t>
      </w:r>
    </w:p>
    <w:p w14:paraId="6A5C0F29">
      <w:pPr>
        <w:spacing w:line="400" w:lineRule="exact"/>
        <w:ind w:firstLine="480" w:firstLineChars="200"/>
        <w:rPr>
          <w:rFonts w:ascii="宋体" w:hAnsi="宋体" w:cs="宋体"/>
          <w:b/>
          <w:bCs/>
          <w:sz w:val="24"/>
          <w:szCs w:val="24"/>
        </w:rPr>
      </w:pPr>
      <w:r>
        <w:rPr>
          <w:rFonts w:hint="eastAsia" w:ascii="宋体" w:hAnsi="宋体" w:cs="宋体"/>
          <w:b/>
          <w:bCs/>
          <w:sz w:val="24"/>
          <w:szCs w:val="24"/>
        </w:rPr>
        <w:t>（十四）其它</w:t>
      </w:r>
    </w:p>
    <w:p w14:paraId="6DBACBB2">
      <w:pPr>
        <w:spacing w:line="400" w:lineRule="exact"/>
        <w:ind w:firstLine="480" w:firstLineChars="200"/>
        <w:rPr>
          <w:rFonts w:ascii="宋体" w:hAnsi="宋体" w:cs="宋体"/>
          <w:sz w:val="24"/>
          <w:szCs w:val="24"/>
        </w:rPr>
      </w:pPr>
      <w:r>
        <w:rPr>
          <w:rFonts w:hint="eastAsia" w:ascii="宋体" w:hAnsi="宋体" w:cs="宋体"/>
          <w:sz w:val="24"/>
          <w:szCs w:val="24"/>
        </w:rPr>
        <w:t>投标人根据自身情况提供项目实施方案，内容包括但不限于：</w:t>
      </w:r>
    </w:p>
    <w:p w14:paraId="6A5A7ECF">
      <w:pPr>
        <w:spacing w:line="400" w:lineRule="exact"/>
        <w:ind w:firstLine="480" w:firstLineChars="200"/>
        <w:rPr>
          <w:rFonts w:ascii="宋体" w:hAnsi="宋体" w:cs="宋体"/>
          <w:sz w:val="24"/>
          <w:szCs w:val="24"/>
        </w:rPr>
      </w:pPr>
      <w:r>
        <w:rPr>
          <w:rFonts w:hint="eastAsia" w:ascii="宋体" w:hAnsi="宋体" w:cs="宋体"/>
          <w:sz w:val="24"/>
          <w:szCs w:val="24"/>
        </w:rPr>
        <w:t>1.技术及项目实施方案（包含但不限于管理措施、具体实施流程、进度安排、质量保证措施、有利于采购项目实施的内容或合理性建议的等）；</w:t>
      </w:r>
    </w:p>
    <w:p w14:paraId="5F6B1B2F">
      <w:pPr>
        <w:spacing w:line="400" w:lineRule="exact"/>
        <w:ind w:firstLine="480" w:firstLineChars="200"/>
        <w:rPr>
          <w:rFonts w:ascii="宋体" w:hAnsi="宋体" w:cs="宋体"/>
          <w:sz w:val="24"/>
          <w:szCs w:val="24"/>
        </w:rPr>
      </w:pPr>
      <w:r>
        <w:rPr>
          <w:rFonts w:hint="eastAsia" w:ascii="宋体" w:hAnsi="宋体" w:cs="宋体"/>
          <w:sz w:val="24"/>
          <w:szCs w:val="24"/>
        </w:rPr>
        <w:t>2.技术人员方案（包含但不限于技术人员投入计划，有技术人员在安装调试过程提供技术支持和协助计划，拟派有资质技术人员完成实施方案，有利于采购项目实施的内容或合理性建议的）；</w:t>
      </w:r>
    </w:p>
    <w:p w14:paraId="554DF915">
      <w:pPr>
        <w:spacing w:line="400" w:lineRule="exact"/>
        <w:ind w:firstLine="480" w:firstLineChars="200"/>
        <w:rPr>
          <w:rFonts w:ascii="宋体" w:hAnsi="宋体" w:cs="宋体"/>
          <w:sz w:val="24"/>
          <w:szCs w:val="24"/>
        </w:rPr>
      </w:pPr>
      <w:r>
        <w:rPr>
          <w:rFonts w:hint="eastAsia" w:ascii="宋体" w:hAnsi="宋体" w:cs="宋体"/>
          <w:sz w:val="24"/>
          <w:szCs w:val="24"/>
        </w:rPr>
        <w:t>3.培训计划（包括但不限于：培训方式、培训次数、人数、课程内容及师资等）;</w:t>
      </w:r>
    </w:p>
    <w:p w14:paraId="531C090E">
      <w:pPr>
        <w:spacing w:line="400" w:lineRule="exact"/>
        <w:ind w:firstLine="480" w:firstLineChars="200"/>
        <w:jc w:val="left"/>
        <w:rPr>
          <w:rFonts w:ascii="宋体" w:hAnsi="宋体" w:eastAsia="宋体" w:cs="宋体"/>
          <w:b/>
          <w:bCs/>
          <w:sz w:val="24"/>
          <w:szCs w:val="24"/>
        </w:rPr>
      </w:pPr>
      <w:r>
        <w:rPr>
          <w:rFonts w:hint="eastAsia" w:ascii="宋体" w:hAnsi="宋体" w:cs="宋体"/>
          <w:sz w:val="24"/>
          <w:szCs w:val="24"/>
        </w:rPr>
        <w:t>4.生产厂家售后服务承诺书等。</w:t>
      </w:r>
    </w:p>
    <w:p w14:paraId="562AC300">
      <w:pPr>
        <w:pStyle w:val="144"/>
        <w:spacing w:line="400" w:lineRule="exact"/>
        <w:rPr>
          <w:rFonts w:hAnsi="宋体"/>
          <w:sz w:val="21"/>
          <w:szCs w:val="21"/>
        </w:rPr>
      </w:pPr>
    </w:p>
    <w:p w14:paraId="348E74F5">
      <w:pPr>
        <w:widowControl/>
        <w:jc w:val="left"/>
        <w:rPr>
          <w:rFonts w:ascii="宋体" w:hAnsi="宋体" w:cs="宋体"/>
          <w:b/>
          <w:bCs/>
          <w:sz w:val="30"/>
          <w:szCs w:val="30"/>
        </w:rPr>
      </w:pPr>
    </w:p>
    <w:p w14:paraId="4471C41D">
      <w:pPr>
        <w:rPr>
          <w:rFonts w:ascii="Times New Roman" w:hAnsi="Times New Roman" w:eastAsia="宋体" w:cs="Times New Roman"/>
          <w:kern w:val="0"/>
          <w:sz w:val="24"/>
          <w:szCs w:val="24"/>
        </w:rPr>
      </w:pPr>
    </w:p>
    <w:p w14:paraId="46D13DDB">
      <w:pPr>
        <w:pStyle w:val="144"/>
        <w:rPr>
          <w:rFonts w:ascii="Times New Roman" w:cs="Times New Roman"/>
        </w:rPr>
      </w:pPr>
    </w:p>
    <w:p w14:paraId="3344F984">
      <w:pPr>
        <w:pStyle w:val="144"/>
        <w:rPr>
          <w:rFonts w:ascii="Times New Roman" w:cs="Times New Roman"/>
        </w:rPr>
      </w:pPr>
    </w:p>
    <w:p w14:paraId="072BE633">
      <w:pPr>
        <w:pStyle w:val="144"/>
        <w:rPr>
          <w:rFonts w:ascii="Times New Roman" w:cs="Times New Roman"/>
        </w:rPr>
      </w:pPr>
    </w:p>
    <w:p w14:paraId="5CC66B2B">
      <w:pPr>
        <w:pStyle w:val="144"/>
        <w:rPr>
          <w:rFonts w:ascii="Times New Roman" w:cs="Times New Roman"/>
        </w:rPr>
      </w:pPr>
    </w:p>
    <w:p w14:paraId="05620854">
      <w:pPr>
        <w:pStyle w:val="144"/>
        <w:rPr>
          <w:rFonts w:ascii="Times New Roman" w:cs="Times New Roman"/>
        </w:rPr>
      </w:pPr>
    </w:p>
    <w:p w14:paraId="7CB81C69">
      <w:pPr>
        <w:pStyle w:val="144"/>
        <w:rPr>
          <w:rFonts w:ascii="Times New Roman" w:cs="Times New Roman"/>
        </w:rPr>
      </w:pPr>
    </w:p>
    <w:p w14:paraId="6EF937AB">
      <w:pPr>
        <w:pStyle w:val="144"/>
        <w:rPr>
          <w:rFonts w:ascii="Times New Roman" w:cs="Times New Roman"/>
        </w:rPr>
      </w:pPr>
    </w:p>
    <w:p w14:paraId="0A3F3BB2">
      <w:pPr>
        <w:pStyle w:val="144"/>
        <w:rPr>
          <w:rFonts w:ascii="Times New Roman" w:cs="Times New Roman"/>
        </w:rPr>
      </w:pPr>
    </w:p>
    <w:p w14:paraId="2F3932E9">
      <w:pPr>
        <w:pStyle w:val="144"/>
        <w:rPr>
          <w:rFonts w:ascii="Times New Roman" w:cs="Times New Roman"/>
        </w:rPr>
      </w:pPr>
    </w:p>
    <w:p w14:paraId="5C4C4D49">
      <w:pPr>
        <w:pStyle w:val="144"/>
        <w:rPr>
          <w:rFonts w:ascii="Times New Roman" w:cs="Times New Roman"/>
        </w:rPr>
      </w:pPr>
    </w:p>
    <w:p w14:paraId="6048B02F">
      <w:pPr>
        <w:pStyle w:val="144"/>
        <w:rPr>
          <w:rFonts w:ascii="Times New Roman" w:cs="Times New Roman"/>
        </w:rPr>
      </w:pPr>
    </w:p>
    <w:p w14:paraId="2B58B970">
      <w:pPr>
        <w:pStyle w:val="144"/>
        <w:rPr>
          <w:rFonts w:ascii="Times New Roman" w:cs="Times New Roman"/>
        </w:rPr>
      </w:pPr>
    </w:p>
    <w:p w14:paraId="50701E79">
      <w:pPr>
        <w:pStyle w:val="144"/>
        <w:rPr>
          <w:rFonts w:ascii="Times New Roman" w:cs="Times New Roman"/>
        </w:rPr>
      </w:pPr>
    </w:p>
    <w:p w14:paraId="43C3E856">
      <w:pPr>
        <w:pStyle w:val="144"/>
        <w:rPr>
          <w:rFonts w:ascii="Times New Roman" w:cs="Times New Roman"/>
        </w:rPr>
      </w:pPr>
    </w:p>
    <w:p w14:paraId="27895452">
      <w:pPr>
        <w:pStyle w:val="144"/>
        <w:rPr>
          <w:rFonts w:ascii="Times New Roman" w:cs="Times New Roman"/>
        </w:rPr>
      </w:pPr>
    </w:p>
    <w:p w14:paraId="6F361E4A">
      <w:pPr>
        <w:pStyle w:val="144"/>
        <w:rPr>
          <w:rFonts w:ascii="Times New Roman" w:cs="Times New Roman"/>
        </w:rPr>
      </w:pPr>
    </w:p>
    <w:p w14:paraId="595B2E4D">
      <w:pPr>
        <w:pStyle w:val="144"/>
        <w:rPr>
          <w:rFonts w:ascii="Times New Roman" w:cs="Times New Roman"/>
        </w:rPr>
      </w:pPr>
    </w:p>
    <w:p w14:paraId="787AA91C">
      <w:pPr>
        <w:pStyle w:val="144"/>
        <w:rPr>
          <w:rFonts w:ascii="Times New Roman" w:cs="Times New Roman"/>
        </w:rPr>
      </w:pPr>
    </w:p>
    <w:p w14:paraId="3A37627B">
      <w:pPr>
        <w:pStyle w:val="144"/>
        <w:rPr>
          <w:rFonts w:ascii="Times New Roman" w:cs="Times New Roman"/>
        </w:rPr>
      </w:pPr>
    </w:p>
    <w:p w14:paraId="41B175B6">
      <w:pPr>
        <w:pStyle w:val="144"/>
        <w:rPr>
          <w:rFonts w:ascii="Times New Roman" w:cs="Times New Roman"/>
        </w:rPr>
      </w:pPr>
    </w:p>
    <w:p w14:paraId="6285C5CE">
      <w:pPr>
        <w:pStyle w:val="144"/>
        <w:rPr>
          <w:rFonts w:ascii="Times New Roman" w:cs="Times New Roman"/>
        </w:rPr>
      </w:pPr>
    </w:p>
    <w:p w14:paraId="1F1D2135">
      <w:pPr>
        <w:pStyle w:val="144"/>
        <w:rPr>
          <w:rFonts w:ascii="Times New Roman" w:cs="Times New Roman"/>
        </w:rPr>
      </w:pPr>
    </w:p>
    <w:p w14:paraId="5C2FBDB4">
      <w:pPr>
        <w:pStyle w:val="144"/>
        <w:rPr>
          <w:rFonts w:ascii="Times New Roman" w:cs="Times New Roman"/>
        </w:rPr>
      </w:pPr>
    </w:p>
    <w:p w14:paraId="020DDF9E">
      <w:pPr>
        <w:pStyle w:val="144"/>
        <w:rPr>
          <w:rFonts w:ascii="Times New Roman" w:cs="Times New Roman"/>
        </w:rPr>
      </w:pPr>
    </w:p>
    <w:p w14:paraId="575EEF38">
      <w:pPr>
        <w:pStyle w:val="144"/>
        <w:rPr>
          <w:rFonts w:ascii="Times New Roman" w:cs="Times New Roman"/>
        </w:rPr>
      </w:pPr>
    </w:p>
    <w:p w14:paraId="728FEAF3">
      <w:pPr>
        <w:pStyle w:val="144"/>
        <w:rPr>
          <w:rFonts w:ascii="Times New Roman" w:cs="Times New Roman"/>
        </w:rPr>
      </w:pPr>
    </w:p>
    <w:p w14:paraId="08F13B95">
      <w:pPr>
        <w:pStyle w:val="144"/>
        <w:rPr>
          <w:rFonts w:ascii="Times New Roman" w:cs="Times New Roman"/>
        </w:rPr>
      </w:pPr>
    </w:p>
    <w:p w14:paraId="063D57D3">
      <w:pPr>
        <w:pStyle w:val="144"/>
        <w:rPr>
          <w:rFonts w:ascii="Times New Roman" w:cs="Times New Roman"/>
        </w:rPr>
      </w:pPr>
    </w:p>
    <w:p w14:paraId="16EBB8D9">
      <w:pPr>
        <w:pStyle w:val="144"/>
        <w:rPr>
          <w:rFonts w:ascii="Times New Roman" w:cs="Times New Roman"/>
        </w:rPr>
      </w:pPr>
    </w:p>
    <w:p w14:paraId="545A52B3">
      <w:pPr>
        <w:pStyle w:val="144"/>
        <w:rPr>
          <w:rFonts w:ascii="Times New Roman" w:cs="Times New Roman"/>
        </w:rPr>
      </w:pPr>
    </w:p>
    <w:p w14:paraId="7C11A636">
      <w:pPr>
        <w:pStyle w:val="144"/>
        <w:rPr>
          <w:rFonts w:ascii="Times New Roman" w:cs="Times New Roman"/>
        </w:rPr>
      </w:pPr>
    </w:p>
    <w:p w14:paraId="16A3F131">
      <w:pPr>
        <w:rPr>
          <w:rFonts w:ascii="Times New Roman" w:hAnsi="Times New Roman" w:eastAsia="宋体" w:cs="Times New Roman"/>
          <w:szCs w:val="24"/>
        </w:rPr>
      </w:pPr>
    </w:p>
    <w:bookmarkEnd w:id="44"/>
    <w:bookmarkEnd w:id="45"/>
    <w:p w14:paraId="43BCBE3C">
      <w:pPr>
        <w:tabs>
          <w:tab w:val="left" w:pos="0"/>
          <w:tab w:val="left" w:pos="3165"/>
          <w:tab w:val="center" w:pos="4153"/>
        </w:tabs>
        <w:autoSpaceDE w:val="0"/>
        <w:autoSpaceDN w:val="0"/>
        <w:adjustRightInd w:val="0"/>
        <w:spacing w:line="360" w:lineRule="auto"/>
        <w:jc w:val="center"/>
        <w:outlineLvl w:val="0"/>
        <w:rPr>
          <w:rFonts w:ascii="Times New Roman" w:hAnsi="Times New Roman" w:eastAsia="宋体" w:cs="Times New Roman"/>
          <w:b/>
          <w:bCs/>
          <w:kern w:val="44"/>
          <w:sz w:val="44"/>
          <w:szCs w:val="44"/>
          <w:lang w:val="zh-CN"/>
        </w:rPr>
      </w:pPr>
      <w:bookmarkStart w:id="50" w:name="_Toc74323513"/>
      <w:r>
        <w:rPr>
          <w:rFonts w:hint="eastAsia" w:ascii="Times New Roman" w:hAnsi="Times New Roman" w:eastAsia="宋体" w:cs="Times New Roman"/>
          <w:b/>
          <w:bCs/>
          <w:kern w:val="44"/>
          <w:sz w:val="44"/>
          <w:szCs w:val="44"/>
          <w:lang w:val="zh-CN"/>
        </w:rPr>
        <w:t>第三章  投标人须知</w:t>
      </w:r>
      <w:bookmarkEnd w:id="50"/>
    </w:p>
    <w:p w14:paraId="0E2EEA4B">
      <w:pPr>
        <w:jc w:val="center"/>
        <w:rPr>
          <w:rFonts w:ascii="Times New Roman" w:hAnsi="Times New Roman" w:eastAsia="宋体" w:cs="Times New Roman"/>
          <w:sz w:val="36"/>
          <w:szCs w:val="36"/>
        </w:rPr>
      </w:pPr>
      <w:bookmarkStart w:id="51" w:name="_Toc254970667"/>
      <w:bookmarkStart w:id="52" w:name="_Toc254970526"/>
      <w:r>
        <w:rPr>
          <w:rFonts w:hint="eastAsia" w:ascii="Times New Roman" w:hAnsi="Times New Roman" w:eastAsia="宋体" w:cs="Times New Roman"/>
          <w:sz w:val="36"/>
          <w:szCs w:val="36"/>
        </w:rPr>
        <w:t>投标人须知前附表</w:t>
      </w:r>
      <w:bookmarkEnd w:id="51"/>
      <w:bookmarkEnd w:id="52"/>
    </w:p>
    <w:tbl>
      <w:tblPr>
        <w:tblStyle w:val="37"/>
        <w:tblW w:w="9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8748"/>
      </w:tblGrid>
      <w:tr w14:paraId="269FA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C03BACE">
            <w:pPr>
              <w:snapToGrid w:val="0"/>
              <w:spacing w:line="360" w:lineRule="auto"/>
              <w:jc w:val="center"/>
              <w:rPr>
                <w:rFonts w:ascii="宋体" w:hAnsi="宋体" w:eastAsia="宋体" w:cs="Times New Roman"/>
                <w:szCs w:val="21"/>
              </w:rPr>
            </w:pPr>
            <w:r>
              <w:rPr>
                <w:rFonts w:hint="eastAsia" w:ascii="宋体" w:hAnsi="宋体" w:eastAsia="宋体" w:cs="Times New Roman"/>
                <w:szCs w:val="21"/>
              </w:rPr>
              <w:t>条款号</w:t>
            </w:r>
          </w:p>
        </w:tc>
        <w:tc>
          <w:tcPr>
            <w:tcW w:w="8748" w:type="dxa"/>
            <w:tcBorders>
              <w:top w:val="single" w:color="auto" w:sz="4" w:space="0"/>
              <w:left w:val="single" w:color="auto" w:sz="4" w:space="0"/>
              <w:bottom w:val="single" w:color="auto" w:sz="4" w:space="0"/>
              <w:right w:val="single" w:color="auto" w:sz="4" w:space="0"/>
            </w:tcBorders>
            <w:vAlign w:val="center"/>
          </w:tcPr>
          <w:p w14:paraId="5937B2FF">
            <w:pPr>
              <w:snapToGrid w:val="0"/>
              <w:spacing w:line="360" w:lineRule="auto"/>
              <w:jc w:val="center"/>
              <w:rPr>
                <w:rFonts w:ascii="宋体" w:hAnsi="宋体" w:eastAsia="宋体" w:cs="Times New Roman"/>
                <w:szCs w:val="21"/>
              </w:rPr>
            </w:pPr>
            <w:r>
              <w:rPr>
                <w:rFonts w:hint="eastAsia" w:ascii="宋体" w:hAnsi="宋体" w:eastAsia="宋体" w:cs="Times New Roman"/>
                <w:szCs w:val="21"/>
              </w:rPr>
              <w:t>编列内容</w:t>
            </w:r>
          </w:p>
        </w:tc>
      </w:tr>
      <w:tr w14:paraId="10E7A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903FF3D">
            <w:pPr>
              <w:spacing w:line="360" w:lineRule="auto"/>
              <w:jc w:val="center"/>
              <w:rPr>
                <w:rFonts w:ascii="宋体" w:hAnsi="宋体" w:eastAsia="宋体" w:cs="Times New Roman"/>
                <w:szCs w:val="21"/>
              </w:rPr>
            </w:pPr>
            <w:r>
              <w:rPr>
                <w:rFonts w:ascii="宋体" w:hAnsi="宋体" w:eastAsia="宋体" w:cs="Times New Roman"/>
                <w:szCs w:val="21"/>
              </w:rPr>
              <w:t>1</w:t>
            </w:r>
          </w:p>
        </w:tc>
        <w:tc>
          <w:tcPr>
            <w:tcW w:w="8748" w:type="dxa"/>
            <w:tcBorders>
              <w:top w:val="single" w:color="auto" w:sz="4" w:space="0"/>
              <w:left w:val="single" w:color="auto" w:sz="4" w:space="0"/>
              <w:bottom w:val="single" w:color="auto" w:sz="4" w:space="0"/>
              <w:right w:val="single" w:color="auto" w:sz="4" w:space="0"/>
            </w:tcBorders>
            <w:vAlign w:val="center"/>
          </w:tcPr>
          <w:p w14:paraId="3CA09415">
            <w:pPr>
              <w:snapToGrid w:val="0"/>
              <w:spacing w:line="360" w:lineRule="auto"/>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w:t>
            </w:r>
            <w:r>
              <w:rPr>
                <w:rFonts w:hint="eastAsia" w:ascii="宋体" w:hAnsi="宋体" w:eastAsia="宋体" w:cs="Times New Roman"/>
                <w:szCs w:val="21"/>
              </w:rPr>
              <w:t>投标人的资格要求详见招标公告。</w:t>
            </w:r>
          </w:p>
          <w:p w14:paraId="3489BF86">
            <w:pPr>
              <w:snapToGrid w:val="0"/>
              <w:spacing w:line="360" w:lineRule="auto"/>
              <w:jc w:val="left"/>
              <w:rPr>
                <w:rFonts w:ascii="宋体" w:hAnsi="宋体" w:eastAsia="宋体" w:cs="Times New Roman"/>
                <w:szCs w:val="21"/>
              </w:rPr>
            </w:pPr>
            <w:r>
              <w:rPr>
                <w:rFonts w:hint="eastAsia" w:ascii="宋体" w:hAnsi="宋体" w:eastAsia="宋体" w:cs="Times New Roman"/>
                <w:szCs w:val="21"/>
              </w:rPr>
              <w:t>2</w:t>
            </w:r>
            <w:r>
              <w:rPr>
                <w:rFonts w:ascii="宋体" w:hAnsi="宋体" w:eastAsia="宋体" w:cs="Times New Roman"/>
                <w:szCs w:val="21"/>
              </w:rPr>
              <w:t>.</w:t>
            </w:r>
            <w:r>
              <w:rPr>
                <w:rFonts w:hint="eastAsia" w:ascii="宋体" w:hAnsi="宋体" w:eastAsia="宋体" w:cs="Times New Roman"/>
                <w:szCs w:val="21"/>
              </w:rPr>
              <w:t>投标人出现下列情形之一的，不得参加政府采购活动：</w:t>
            </w:r>
          </w:p>
          <w:p w14:paraId="645C86A2">
            <w:pPr>
              <w:snapToGrid w:val="0"/>
              <w:spacing w:line="360" w:lineRule="auto"/>
              <w:jc w:val="left"/>
              <w:rPr>
                <w:rFonts w:ascii="宋体" w:hAnsi="宋体" w:eastAsia="宋体" w:cs="Times New Roman"/>
                <w:szCs w:val="21"/>
              </w:rPr>
            </w:pPr>
            <w:r>
              <w:rPr>
                <w:rFonts w:ascii="宋体" w:hAnsi="宋体" w:eastAsia="宋体" w:cs="Times New Roman"/>
                <w:szCs w:val="21"/>
              </w:rPr>
              <w:t>2.1</w:t>
            </w:r>
            <w:r>
              <w:rPr>
                <w:rFonts w:hint="eastAsia" w:ascii="宋体" w:hAnsi="宋体" w:eastAsia="宋体" w:cs="Times New Roman"/>
                <w:szCs w:val="21"/>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5F5DB6">
            <w:pPr>
              <w:snapToGrid w:val="0"/>
              <w:spacing w:line="360" w:lineRule="auto"/>
              <w:jc w:val="left"/>
              <w:rPr>
                <w:rFonts w:ascii="宋体" w:hAnsi="宋体" w:eastAsia="宋体" w:cs="Times New Roman"/>
                <w:szCs w:val="21"/>
              </w:rPr>
            </w:pPr>
            <w:r>
              <w:rPr>
                <w:rFonts w:ascii="宋体" w:hAnsi="宋体" w:eastAsia="宋体" w:cs="Times New Roman"/>
                <w:szCs w:val="21"/>
              </w:rPr>
              <w:t>2.2</w:t>
            </w:r>
            <w:r>
              <w:rPr>
                <w:rFonts w:hint="eastAsia" w:ascii="宋体" w:hAnsi="宋体" w:eastAsia="宋体" w:cs="Times New Roman"/>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tc>
      </w:tr>
      <w:tr w14:paraId="4DFE5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731D19F">
            <w:pPr>
              <w:spacing w:line="360" w:lineRule="auto"/>
              <w:jc w:val="center"/>
              <w:rPr>
                <w:rFonts w:ascii="宋体" w:hAnsi="宋体" w:eastAsia="宋体" w:cs="Times New Roman"/>
                <w:szCs w:val="21"/>
              </w:rPr>
            </w:pPr>
            <w:bookmarkStart w:id="53" w:name="_8.1"/>
            <w:bookmarkEnd w:id="53"/>
            <w:bookmarkStart w:id="54" w:name="_5"/>
            <w:bookmarkEnd w:id="54"/>
            <w:bookmarkStart w:id="55" w:name="_9.2"/>
            <w:bookmarkEnd w:id="55"/>
            <w:r>
              <w:rPr>
                <w:rFonts w:ascii="宋体" w:hAnsi="宋体" w:eastAsia="宋体" w:cs="Times New Roman"/>
                <w:szCs w:val="21"/>
              </w:rPr>
              <w:t>2</w:t>
            </w:r>
          </w:p>
        </w:tc>
        <w:tc>
          <w:tcPr>
            <w:tcW w:w="8748" w:type="dxa"/>
            <w:tcBorders>
              <w:top w:val="single" w:color="auto" w:sz="4" w:space="0"/>
              <w:left w:val="single" w:color="auto" w:sz="4" w:space="0"/>
              <w:bottom w:val="single" w:color="auto" w:sz="4" w:space="0"/>
              <w:right w:val="single" w:color="auto" w:sz="4" w:space="0"/>
            </w:tcBorders>
            <w:vAlign w:val="center"/>
          </w:tcPr>
          <w:p w14:paraId="4F65D3AF">
            <w:pPr>
              <w:spacing w:line="360" w:lineRule="auto"/>
              <w:jc w:val="left"/>
              <w:rPr>
                <w:rFonts w:ascii="宋体" w:hAnsi="宋体" w:eastAsia="宋体" w:cs="Times New Roman"/>
                <w:szCs w:val="21"/>
              </w:rPr>
            </w:pPr>
            <w:r>
              <w:rPr>
                <w:rFonts w:hint="eastAsia" w:ascii="宋体" w:hAnsi="宋体" w:eastAsia="宋体" w:cs="Times New Roman"/>
                <w:szCs w:val="21"/>
              </w:rPr>
              <w:t>本项目是否接受联合体投标：详见招标公告。</w:t>
            </w:r>
          </w:p>
        </w:tc>
      </w:tr>
      <w:tr w14:paraId="5673BD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C13381C">
            <w:pPr>
              <w:spacing w:line="360" w:lineRule="auto"/>
              <w:jc w:val="center"/>
              <w:rPr>
                <w:rFonts w:ascii="宋体" w:hAnsi="宋体" w:eastAsia="宋体" w:cs="Times New Roman"/>
                <w:szCs w:val="21"/>
              </w:rPr>
            </w:pPr>
            <w:r>
              <w:rPr>
                <w:rFonts w:ascii="宋体" w:hAnsi="宋体" w:eastAsia="宋体" w:cs="Times New Roman"/>
                <w:szCs w:val="21"/>
              </w:rPr>
              <w:t>3</w:t>
            </w:r>
          </w:p>
        </w:tc>
        <w:tc>
          <w:tcPr>
            <w:tcW w:w="8748" w:type="dxa"/>
            <w:tcBorders>
              <w:top w:val="single" w:color="auto" w:sz="4" w:space="0"/>
              <w:left w:val="single" w:color="auto" w:sz="4" w:space="0"/>
              <w:bottom w:val="single" w:color="auto" w:sz="4" w:space="0"/>
              <w:right w:val="single" w:color="auto" w:sz="4" w:space="0"/>
            </w:tcBorders>
            <w:vAlign w:val="center"/>
          </w:tcPr>
          <w:p w14:paraId="3DB46618">
            <w:pPr>
              <w:spacing w:line="360" w:lineRule="auto"/>
              <w:jc w:val="left"/>
              <w:rPr>
                <w:rFonts w:ascii="宋体" w:hAnsi="宋体" w:eastAsia="宋体" w:cs="Times New Roman"/>
                <w:szCs w:val="21"/>
              </w:rPr>
            </w:pPr>
            <w:r>
              <w:rPr>
                <w:rFonts w:hint="eastAsia" w:ascii="宋体" w:hAnsi="宋体" w:eastAsia="宋体" w:cs="Times New Roman"/>
                <w:szCs w:val="21"/>
              </w:rPr>
              <w:t>联合体投标要求如下：无</w:t>
            </w:r>
          </w:p>
        </w:tc>
      </w:tr>
      <w:tr w14:paraId="7F244B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117500C">
            <w:pPr>
              <w:spacing w:line="360" w:lineRule="auto"/>
              <w:jc w:val="center"/>
              <w:rPr>
                <w:rFonts w:ascii="宋体" w:hAnsi="宋体" w:eastAsia="宋体" w:cs="Times New Roman"/>
                <w:szCs w:val="21"/>
              </w:rPr>
            </w:pPr>
            <w:r>
              <w:rPr>
                <w:rFonts w:ascii="宋体" w:hAnsi="宋体" w:eastAsia="宋体" w:cs="Times New Roman"/>
                <w:szCs w:val="21"/>
              </w:rPr>
              <w:t>4</w:t>
            </w:r>
          </w:p>
        </w:tc>
        <w:tc>
          <w:tcPr>
            <w:tcW w:w="8748" w:type="dxa"/>
            <w:tcBorders>
              <w:top w:val="single" w:color="auto" w:sz="4" w:space="0"/>
              <w:left w:val="single" w:color="auto" w:sz="4" w:space="0"/>
              <w:bottom w:val="single" w:color="auto" w:sz="4" w:space="0"/>
              <w:right w:val="single" w:color="auto" w:sz="4" w:space="0"/>
            </w:tcBorders>
            <w:vAlign w:val="center"/>
          </w:tcPr>
          <w:p w14:paraId="2F52A45F">
            <w:pPr>
              <w:spacing w:line="360" w:lineRule="auto"/>
              <w:jc w:val="left"/>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不允许分包</w:t>
            </w:r>
          </w:p>
          <w:p w14:paraId="78DD0D2C">
            <w:pPr>
              <w:spacing w:line="360" w:lineRule="auto"/>
              <w:jc w:val="left"/>
              <w:rPr>
                <w:rFonts w:ascii="宋体" w:hAnsi="宋体" w:eastAsia="宋体" w:cs="Times New Roman"/>
                <w:szCs w:val="21"/>
                <w:u w:val="single"/>
              </w:rPr>
            </w:pPr>
            <w:r>
              <w:rPr>
                <w:rFonts w:hint="eastAsia" w:ascii="宋体" w:hAnsi="宋体" w:eastAsia="宋体" w:cs="Times New Roman"/>
                <w:szCs w:val="21"/>
              </w:rPr>
              <w:t>□允许分包</w:t>
            </w:r>
          </w:p>
        </w:tc>
      </w:tr>
      <w:tr w14:paraId="586B13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23033E29">
            <w:pPr>
              <w:spacing w:line="360" w:lineRule="auto"/>
              <w:jc w:val="center"/>
              <w:rPr>
                <w:rFonts w:ascii="宋体" w:hAnsi="宋体" w:eastAsia="宋体" w:cs="Times New Roman"/>
                <w:szCs w:val="21"/>
              </w:rPr>
            </w:pPr>
            <w:r>
              <w:rPr>
                <w:rFonts w:ascii="宋体" w:hAnsi="宋体" w:eastAsia="宋体" w:cs="Times New Roman"/>
                <w:szCs w:val="21"/>
              </w:rPr>
              <w:t>5</w:t>
            </w:r>
          </w:p>
        </w:tc>
        <w:tc>
          <w:tcPr>
            <w:tcW w:w="8748" w:type="dxa"/>
            <w:tcBorders>
              <w:top w:val="single" w:color="auto" w:sz="4" w:space="0"/>
              <w:left w:val="single" w:color="auto" w:sz="4" w:space="0"/>
              <w:bottom w:val="single" w:color="auto" w:sz="4" w:space="0"/>
              <w:right w:val="single" w:color="auto" w:sz="4" w:space="0"/>
            </w:tcBorders>
            <w:vAlign w:val="center"/>
          </w:tcPr>
          <w:p w14:paraId="7BB24F6E">
            <w:pPr>
              <w:spacing w:line="360" w:lineRule="auto"/>
              <w:jc w:val="left"/>
              <w:rPr>
                <w:rFonts w:ascii="宋体" w:hAnsi="宋体" w:eastAsia="宋体" w:cs="Times New Roman"/>
                <w:szCs w:val="21"/>
              </w:rPr>
            </w:pPr>
            <w:r>
              <w:rPr>
                <w:rFonts w:hint="eastAsia" w:ascii="宋体" w:hAnsi="宋体" w:eastAsia="宋体" w:cs="Times New Roman"/>
                <w:szCs w:val="21"/>
              </w:rPr>
              <w:t>本项目采用兼投兼中形式开展</w:t>
            </w:r>
          </w:p>
        </w:tc>
      </w:tr>
      <w:tr w14:paraId="2F7AA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E80BCB0">
            <w:pPr>
              <w:spacing w:line="360" w:lineRule="auto"/>
              <w:jc w:val="center"/>
              <w:rPr>
                <w:rFonts w:ascii="宋体" w:hAnsi="宋体" w:eastAsia="宋体" w:cs="Times New Roman"/>
                <w:szCs w:val="21"/>
              </w:rPr>
            </w:pPr>
            <w:r>
              <w:rPr>
                <w:rFonts w:ascii="宋体" w:hAnsi="宋体" w:eastAsia="宋体" w:cs="Times New Roman"/>
                <w:szCs w:val="21"/>
              </w:rPr>
              <w:t>6</w:t>
            </w:r>
          </w:p>
        </w:tc>
        <w:tc>
          <w:tcPr>
            <w:tcW w:w="8748" w:type="dxa"/>
            <w:tcBorders>
              <w:top w:val="single" w:color="auto" w:sz="4" w:space="0"/>
              <w:left w:val="single" w:color="auto" w:sz="4" w:space="0"/>
              <w:bottom w:val="single" w:color="auto" w:sz="4" w:space="0"/>
              <w:right w:val="single" w:color="auto" w:sz="4" w:space="0"/>
            </w:tcBorders>
            <w:vAlign w:val="center"/>
          </w:tcPr>
          <w:p w14:paraId="063706A5">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不组织现场考察</w:t>
            </w:r>
          </w:p>
          <w:p w14:paraId="2F8FE210">
            <w:pPr>
              <w:snapToGrid w:val="0"/>
              <w:spacing w:line="360" w:lineRule="auto"/>
              <w:rPr>
                <w:rFonts w:ascii="宋体" w:hAnsi="宋体" w:eastAsia="宋体" w:cs="Times New Roman"/>
                <w:szCs w:val="21"/>
              </w:rPr>
            </w:pPr>
            <w:r>
              <w:rPr>
                <w:rFonts w:hint="eastAsia" w:ascii="宋体" w:hAnsi="宋体" w:eastAsia="宋体" w:cs="Times New Roman"/>
                <w:szCs w:val="21"/>
              </w:rPr>
              <w:t>□组织现场考察：</w:t>
            </w:r>
          </w:p>
          <w:p w14:paraId="1FF9B5D0">
            <w:pPr>
              <w:snapToGrid w:val="0"/>
              <w:spacing w:line="360" w:lineRule="auto"/>
              <w:rPr>
                <w:rFonts w:ascii="宋体" w:hAnsi="宋体" w:eastAsia="宋体" w:cs="Times New Roman"/>
                <w:szCs w:val="21"/>
                <w:u w:val="single"/>
              </w:rPr>
            </w:pPr>
            <w:r>
              <w:rPr>
                <w:rFonts w:hint="eastAsia" w:ascii="宋体" w:hAnsi="宋体" w:eastAsia="宋体" w:cs="Times New Roman"/>
                <w:szCs w:val="21"/>
              </w:rPr>
              <w:t>详见招标文件第二章</w:t>
            </w:r>
          </w:p>
          <w:p w14:paraId="78531784">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不组织召开开标前答疑会</w:t>
            </w:r>
          </w:p>
          <w:p w14:paraId="12D6AE38">
            <w:pPr>
              <w:snapToGrid w:val="0"/>
              <w:spacing w:line="360" w:lineRule="auto"/>
              <w:rPr>
                <w:rFonts w:ascii="宋体" w:hAnsi="宋体" w:eastAsia="宋体" w:cs="Times New Roman"/>
                <w:szCs w:val="21"/>
              </w:rPr>
            </w:pPr>
            <w:r>
              <w:rPr>
                <w:rFonts w:hint="eastAsia" w:ascii="宋体" w:hAnsi="宋体" w:eastAsia="宋体" w:cs="Times New Roman"/>
                <w:szCs w:val="21"/>
              </w:rPr>
              <w:t>□组织召开开标前答疑会</w:t>
            </w:r>
          </w:p>
        </w:tc>
      </w:tr>
      <w:tr w14:paraId="05D50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E1A0591">
            <w:pPr>
              <w:spacing w:line="360" w:lineRule="auto"/>
              <w:jc w:val="center"/>
              <w:rPr>
                <w:rFonts w:ascii="宋体" w:hAnsi="宋体" w:eastAsia="宋体" w:cs="Times New Roman"/>
                <w:szCs w:val="21"/>
              </w:rPr>
            </w:pPr>
            <w:r>
              <w:rPr>
                <w:rFonts w:ascii="宋体" w:hAnsi="宋体" w:eastAsia="宋体" w:cs="Times New Roman"/>
                <w:szCs w:val="21"/>
              </w:rPr>
              <w:t>7</w:t>
            </w:r>
          </w:p>
        </w:tc>
        <w:tc>
          <w:tcPr>
            <w:tcW w:w="8748" w:type="dxa"/>
            <w:tcBorders>
              <w:top w:val="single" w:color="auto" w:sz="4" w:space="0"/>
              <w:left w:val="single" w:color="auto" w:sz="4" w:space="0"/>
              <w:bottom w:val="single" w:color="auto" w:sz="4" w:space="0"/>
              <w:right w:val="single" w:color="auto" w:sz="4" w:space="0"/>
            </w:tcBorders>
            <w:vAlign w:val="center"/>
          </w:tcPr>
          <w:p w14:paraId="727803DE">
            <w:pPr>
              <w:snapToGrid w:val="0"/>
              <w:spacing w:line="360" w:lineRule="auto"/>
              <w:rPr>
                <w:rFonts w:ascii="宋体" w:hAnsi="宋体" w:eastAsia="宋体" w:cs="Times New Roman"/>
                <w:szCs w:val="21"/>
              </w:rPr>
            </w:pPr>
            <w:r>
              <w:rPr>
                <w:rFonts w:hint="eastAsia" w:ascii="宋体" w:hAnsi="宋体" w:eastAsia="宋体" w:cs="Times New Roman"/>
                <w:szCs w:val="21"/>
              </w:rPr>
              <w:t>投标前准备：</w:t>
            </w:r>
          </w:p>
          <w:p w14:paraId="6BB20413">
            <w:pPr>
              <w:snapToGrid w:val="0"/>
              <w:spacing w:line="360" w:lineRule="auto"/>
              <w:rPr>
                <w:rFonts w:ascii="宋体" w:hAnsi="宋体" w:eastAsia="宋体" w:cs="Times New Roman"/>
                <w:szCs w:val="21"/>
              </w:rPr>
            </w:pPr>
            <w:r>
              <w:rPr>
                <w:rFonts w:hint="eastAsia" w:ascii="宋体" w:hAnsi="宋体" w:eastAsia="宋体" w:cs="Times New Roman"/>
                <w:szCs w:val="21"/>
              </w:rPr>
              <w:t>1.本项目实行网上投标，采用电子投标文件。若供应商参与投标，自行承担投标一切费用。</w:t>
            </w:r>
          </w:p>
          <w:p w14:paraId="4B3CE4CD">
            <w:pPr>
              <w:snapToGrid w:val="0"/>
              <w:spacing w:line="360" w:lineRule="auto"/>
              <w:rPr>
                <w:rFonts w:ascii="宋体" w:hAnsi="宋体" w:eastAsia="宋体" w:cs="Times New Roman"/>
                <w:szCs w:val="21"/>
              </w:rPr>
            </w:pPr>
            <w:r>
              <w:rPr>
                <w:rFonts w:hint="eastAsia" w:ascii="宋体" w:hAnsi="宋体" w:eastAsia="宋体" w:cs="Times New Roman"/>
                <w:szCs w:val="21"/>
              </w:rPr>
              <w:t>2.各供应商应在投标文件递交截止时间前应确保成为政采云正式注册入库供应商，并完成CA数字证书申领。因未注册入库、未办理CA数字证书等原因造成无法投标或投标失败等后果由供应商自行承担。</w:t>
            </w:r>
          </w:p>
          <w:p w14:paraId="02ACDEBB">
            <w:pPr>
              <w:wordWrap w:val="0"/>
              <w:snapToGrid w:val="0"/>
              <w:spacing w:line="360" w:lineRule="auto"/>
              <w:rPr>
                <w:rFonts w:ascii="宋体" w:hAnsi="宋体" w:eastAsia="宋体" w:cs="Times New Roman"/>
                <w:szCs w:val="21"/>
              </w:rPr>
            </w:pPr>
            <w:r>
              <w:rPr>
                <w:rFonts w:hint="eastAsia" w:ascii="宋体" w:hAnsi="宋体" w:eastAsia="宋体" w:cs="Times New Roman"/>
                <w:szCs w:val="21"/>
              </w:rPr>
              <w:t>3.供应商将政采云电子交易客户端下载、安装完成后，可通过账号密码或CA登录客户端进行投标文件制作。客户端请自行前往广西政府采购网下载并安装（http://zfcg.gxzf.gov.cn/OfficeService/DownloadArea/2455918.html?utm=sites_group_front.b8b6c91.0.0.c51f9820a48111eabb9bcbdf01af125e），如有问题可拨打政采云客户服务热线95763进行咨询。</w:t>
            </w:r>
          </w:p>
        </w:tc>
      </w:tr>
      <w:tr w14:paraId="44CCE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restart"/>
            <w:tcBorders>
              <w:top w:val="single" w:color="auto" w:sz="4" w:space="0"/>
              <w:left w:val="single" w:color="auto" w:sz="4" w:space="0"/>
              <w:right w:val="single" w:color="auto" w:sz="4" w:space="0"/>
            </w:tcBorders>
            <w:vAlign w:val="center"/>
          </w:tcPr>
          <w:p w14:paraId="501006B0">
            <w:pPr>
              <w:spacing w:line="360" w:lineRule="auto"/>
              <w:rPr>
                <w:rFonts w:ascii="宋体" w:hAnsi="宋体" w:eastAsia="宋体" w:cs="Times New Roman"/>
                <w:szCs w:val="21"/>
              </w:rPr>
            </w:pPr>
            <w:bookmarkStart w:id="56" w:name="_13.1"/>
            <w:bookmarkEnd w:id="56"/>
            <w:r>
              <w:rPr>
                <w:rFonts w:ascii="宋体" w:hAnsi="宋体" w:eastAsia="宋体" w:cs="Times New Roman"/>
                <w:szCs w:val="21"/>
              </w:rPr>
              <w:t>8</w:t>
            </w:r>
          </w:p>
        </w:tc>
        <w:tc>
          <w:tcPr>
            <w:tcW w:w="8748" w:type="dxa"/>
            <w:tcBorders>
              <w:top w:val="single" w:color="auto" w:sz="4" w:space="0"/>
              <w:left w:val="single" w:color="auto" w:sz="4" w:space="0"/>
              <w:bottom w:val="single" w:color="auto" w:sz="4" w:space="0"/>
              <w:right w:val="single" w:color="auto" w:sz="4" w:space="0"/>
            </w:tcBorders>
            <w:vAlign w:val="center"/>
          </w:tcPr>
          <w:p w14:paraId="5AFA01C9">
            <w:pPr>
              <w:snapToGrid w:val="0"/>
              <w:spacing w:line="360" w:lineRule="auto"/>
              <w:jc w:val="left"/>
              <w:rPr>
                <w:rFonts w:ascii="宋体" w:hAnsi="宋体" w:eastAsia="宋体" w:cs="Courier New"/>
                <w:b/>
                <w:szCs w:val="21"/>
              </w:rPr>
            </w:pPr>
            <w:r>
              <w:rPr>
                <w:rFonts w:hint="eastAsia" w:ascii="宋体" w:hAnsi="宋体" w:eastAsia="宋体" w:cs="Courier New"/>
                <w:b/>
                <w:szCs w:val="21"/>
              </w:rPr>
              <w:t>报价文件：</w:t>
            </w:r>
          </w:p>
          <w:p w14:paraId="59D0F16A">
            <w:pPr>
              <w:numPr>
                <w:ilvl w:val="0"/>
                <w:numId w:val="5"/>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投标函（格式后附）；</w:t>
            </w:r>
            <w:r>
              <w:rPr>
                <w:rFonts w:hint="eastAsia" w:ascii="宋体" w:hAnsi="宋体" w:eastAsia="宋体" w:cs="Times New Roman"/>
                <w:b/>
                <w:szCs w:val="21"/>
              </w:rPr>
              <w:t>（必须提供，否则按无效投标处理）</w:t>
            </w:r>
          </w:p>
          <w:p w14:paraId="2C15C7AE">
            <w:pPr>
              <w:numPr>
                <w:ilvl w:val="0"/>
                <w:numId w:val="5"/>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开标一览表（格式后附）； （</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C2346D5">
            <w:pPr>
              <w:numPr>
                <w:ilvl w:val="0"/>
                <w:numId w:val="5"/>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报价明细表（格式后附）； （</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E63DE6F">
            <w:pPr>
              <w:numPr>
                <w:ilvl w:val="0"/>
                <w:numId w:val="5"/>
              </w:numPr>
              <w:tabs>
                <w:tab w:val="left" w:pos="459"/>
              </w:tabs>
              <w:snapToGrid w:val="0"/>
              <w:spacing w:line="360" w:lineRule="auto"/>
              <w:ind w:left="459" w:hanging="39"/>
              <w:jc w:val="left"/>
              <w:rPr>
                <w:rFonts w:ascii="宋体" w:hAnsi="宋体" w:eastAsia="宋体" w:cs="Times New Roman"/>
                <w:szCs w:val="21"/>
              </w:rPr>
            </w:pPr>
            <w:r>
              <w:rPr>
                <w:rFonts w:hint="eastAsia" w:ascii="宋体" w:hAnsi="宋体" w:eastAsia="宋体" w:cs="Times New Roman"/>
                <w:szCs w:val="21"/>
              </w:rPr>
              <w:t>投标人针对报价需要说明的其他文件和说明（格式自拟）。</w:t>
            </w:r>
          </w:p>
          <w:p w14:paraId="13A515DC">
            <w:pPr>
              <w:snapToGrid w:val="0"/>
              <w:spacing w:line="360" w:lineRule="auto"/>
              <w:ind w:firstLine="420"/>
              <w:jc w:val="left"/>
              <w:rPr>
                <w:rFonts w:ascii="宋体" w:hAnsi="宋体" w:eastAsia="宋体" w:cs="Times New Roman"/>
                <w:b/>
                <w:bCs/>
                <w:szCs w:val="21"/>
              </w:rPr>
            </w:pPr>
            <w:r>
              <w:rPr>
                <w:rFonts w:hint="eastAsia" w:ascii="宋体" w:hAnsi="宋体" w:eastAsia="宋体" w:cs="Times New Roman"/>
                <w:b/>
                <w:bCs/>
                <w:szCs w:val="21"/>
              </w:rPr>
              <w:t>注：1.投标函、开标一览表必须由法定代表人或者委托代理人在规定签章处逐一签字并加盖投标人公章，否则按无效投标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1956B5AB">
            <w:pPr>
              <w:snapToGrid w:val="0"/>
              <w:spacing w:line="360" w:lineRule="auto"/>
              <w:ind w:firstLine="420"/>
              <w:jc w:val="left"/>
              <w:rPr>
                <w:rFonts w:ascii="宋体" w:hAnsi="宋体" w:eastAsia="宋体" w:cs="Times New Roman"/>
                <w:szCs w:val="21"/>
              </w:rPr>
            </w:pPr>
            <w:r>
              <w:rPr>
                <w:rFonts w:hint="eastAsia" w:ascii="宋体" w:hAnsi="宋体" w:eastAsia="宋体" w:cs="Times New Roman"/>
                <w:b/>
                <w:bCs/>
                <w:szCs w:val="21"/>
              </w:rPr>
              <w:t>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18506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72D5487A">
            <w:pPr>
              <w:spacing w:line="360" w:lineRule="auto"/>
              <w:rPr>
                <w:rFonts w:ascii="宋体" w:hAnsi="宋体" w:eastAsia="宋体" w:cs="Times New Roman"/>
                <w:szCs w:val="21"/>
              </w:rPr>
            </w:pPr>
            <w:bookmarkStart w:id="57" w:name="_13.2"/>
            <w:bookmarkEnd w:id="57"/>
          </w:p>
        </w:tc>
        <w:tc>
          <w:tcPr>
            <w:tcW w:w="8748" w:type="dxa"/>
            <w:tcBorders>
              <w:top w:val="single" w:color="auto" w:sz="4" w:space="0"/>
              <w:left w:val="single" w:color="auto" w:sz="4" w:space="0"/>
              <w:bottom w:val="single" w:color="auto" w:sz="4" w:space="0"/>
              <w:right w:val="single" w:color="auto" w:sz="4" w:space="0"/>
            </w:tcBorders>
            <w:vAlign w:val="center"/>
          </w:tcPr>
          <w:p w14:paraId="1D55B2F1">
            <w:pPr>
              <w:snapToGrid w:val="0"/>
              <w:spacing w:line="360" w:lineRule="auto"/>
              <w:jc w:val="left"/>
              <w:rPr>
                <w:rFonts w:ascii="宋体" w:hAnsi="宋体" w:eastAsia="宋体" w:cs="Courier New"/>
                <w:b/>
                <w:szCs w:val="21"/>
              </w:rPr>
            </w:pPr>
            <w:r>
              <w:rPr>
                <w:rFonts w:hint="eastAsia" w:ascii="宋体" w:hAnsi="宋体" w:eastAsia="宋体" w:cs="Courier New"/>
                <w:b/>
                <w:szCs w:val="21"/>
              </w:rPr>
              <w:t>资格证明文件</w:t>
            </w:r>
          </w:p>
          <w:p w14:paraId="7DBAB310">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投标人为法人或者其他组织的，提供营业执照等证明文件</w:t>
            </w:r>
            <w:r>
              <w:rPr>
                <w:rFonts w:hint="eastAsia" w:ascii="宋体" w:hAnsi="宋体" w:eastAsia="宋体" w:cs="宋体"/>
                <w:szCs w:val="21"/>
              </w:rPr>
              <w:t>（如营业执照或者事业单位法人证书或者</w:t>
            </w:r>
            <w:r>
              <w:rPr>
                <w:rFonts w:ascii="宋体" w:hAnsi="宋体" w:eastAsia="宋体" w:cs="宋体"/>
                <w:szCs w:val="21"/>
                <w:lang w:val="zh-CN" w:bidi="zh-CN"/>
              </w:rPr>
              <w:t>执业许可证</w:t>
            </w:r>
            <w:r>
              <w:rPr>
                <w:rFonts w:hint="eastAsia" w:ascii="宋体" w:hAnsi="宋体" w:eastAsia="宋体" w:cs="宋体"/>
                <w:szCs w:val="21"/>
              </w:rPr>
              <w:t>等）</w:t>
            </w:r>
            <w:r>
              <w:rPr>
                <w:rFonts w:hint="eastAsia" w:ascii="宋体" w:hAnsi="宋体" w:eastAsia="宋体" w:cs="Times New Roman"/>
                <w:szCs w:val="21"/>
              </w:rPr>
              <w:t>，投标人为自然人的，提供身份证</w:t>
            </w:r>
            <w:r>
              <w:rPr>
                <w:rFonts w:hint="eastAsia" w:ascii="宋体" w:hAnsi="宋体" w:eastAsia="宋体" w:cs="宋体"/>
                <w:szCs w:val="21"/>
              </w:rPr>
              <w:t>复印件</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134A6235">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投标人有效的《医疗器械经营备案凭证》或《医疗器械经营企业许可证》（复印件，必须提供，同时要加盖单位公章，生产厂家参加投标的，则必须提供《医疗器械生产企业许可证》复印件）；</w:t>
            </w:r>
          </w:p>
          <w:p w14:paraId="538E68B6">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宋体"/>
                <w:szCs w:val="21"/>
              </w:rPr>
              <w:t>投标人依法缴纳税收的相关材料（</w:t>
            </w:r>
            <w:r>
              <w:rPr>
                <w:rFonts w:hint="eastAsia" w:ascii="宋体" w:hAnsi="宋体" w:eastAsia="宋体" w:cs="宋体"/>
                <w:szCs w:val="21"/>
                <w:u w:val="single"/>
              </w:rPr>
              <w:t>2025</w:t>
            </w:r>
            <w:r>
              <w:rPr>
                <w:rFonts w:hint="eastAsia" w:ascii="宋体" w:hAnsi="宋体" w:eastAsia="宋体" w:cs="宋体"/>
                <w:szCs w:val="21"/>
              </w:rPr>
              <w:t>年内任意</w:t>
            </w:r>
            <w:r>
              <w:rPr>
                <w:rFonts w:hint="eastAsia" w:ascii="宋体" w:hAnsi="宋体" w:eastAsia="宋体" w:cs="宋体"/>
                <w:szCs w:val="21"/>
                <w:u w:val="single"/>
              </w:rPr>
              <w:t xml:space="preserve"> 1 </w:t>
            </w:r>
            <w:r>
              <w:rPr>
                <w:rFonts w:hint="eastAsia" w:ascii="宋体" w:hAnsi="宋体" w:eastAsia="宋体" w:cs="宋体"/>
                <w:szCs w:val="21"/>
              </w:rPr>
              <w:t>个月的依法缴纳税收的凭据复印件；</w:t>
            </w:r>
            <w:r>
              <w:rPr>
                <w:rFonts w:hint="eastAsia" w:ascii="宋体" w:hAnsi="宋体" w:eastAsia="宋体" w:cs="Times New Roman"/>
                <w:szCs w:val="21"/>
              </w:rPr>
              <w:t>依法免税的供应商，必须提供相应文件证明其依法免税。</w:t>
            </w:r>
            <w:r>
              <w:rPr>
                <w:rFonts w:hint="eastAsia" w:ascii="宋体" w:hAnsi="宋体" w:eastAsia="宋体" w:cs="宋体"/>
                <w:szCs w:val="21"/>
              </w:rPr>
              <w:t>从取得营业执照时间起到投标文件提交截止时间为止不足要求月数的，只需提供从取得营业执照起的依法缴纳税收</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0E3CDEC6">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宋体"/>
                <w:szCs w:val="21"/>
              </w:rPr>
              <w:t>投标人依法缴纳社会保障资金的相关材料[</w:t>
            </w:r>
            <w:r>
              <w:rPr>
                <w:rFonts w:hint="eastAsia" w:ascii="宋体" w:hAnsi="宋体" w:eastAsia="宋体" w:cs="宋体"/>
                <w:szCs w:val="21"/>
                <w:u w:val="single"/>
              </w:rPr>
              <w:t>2025</w:t>
            </w:r>
            <w:r>
              <w:rPr>
                <w:rFonts w:hint="eastAsia" w:ascii="宋体" w:hAnsi="宋体" w:eastAsia="宋体" w:cs="宋体"/>
                <w:szCs w:val="21"/>
              </w:rPr>
              <w:t>年内任意</w:t>
            </w:r>
            <w:r>
              <w:rPr>
                <w:rFonts w:hint="eastAsia" w:ascii="宋体" w:hAnsi="宋体" w:eastAsia="宋体" w:cs="宋体"/>
                <w:szCs w:val="21"/>
                <w:u w:val="single"/>
              </w:rPr>
              <w:t xml:space="preserve"> 1 个月</w:t>
            </w:r>
            <w:r>
              <w:rPr>
                <w:rFonts w:hint="eastAsia" w:ascii="宋体" w:hAnsi="宋体" w:eastAsia="宋体" w:cs="宋体"/>
                <w:szCs w:val="21"/>
              </w:rPr>
              <w:t>的依法缴纳社会保障资金的缴费凭证（专用收据或者社会保险缴纳清单）复印件；</w:t>
            </w:r>
            <w:r>
              <w:rPr>
                <w:rFonts w:hint="eastAsia" w:ascii="宋体" w:hAnsi="宋体" w:eastAsia="宋体" w:cs="Times New Roman"/>
                <w:szCs w:val="21"/>
              </w:rPr>
              <w:t>依法不需要缴纳社会保障资金的供应商，必须提供相应文件证明不需要缴纳社会保障资金。</w:t>
            </w:r>
            <w:r>
              <w:rPr>
                <w:rFonts w:hint="eastAsia" w:ascii="宋体" w:hAnsi="宋体" w:eastAsia="宋体" w:cs="宋体"/>
                <w:szCs w:val="21"/>
              </w:rPr>
              <w:t>从取得营业执照时间起到投标文件提交截止时间为止不足要求月数的只需提供从取得营业执照起的依法缴纳社会保障资金的</w:t>
            </w:r>
            <w:r>
              <w:rPr>
                <w:rFonts w:hint="eastAsia" w:ascii="宋体" w:hAnsi="宋体" w:eastAsia="宋体" w:cs="Times New Roman"/>
                <w:szCs w:val="21"/>
              </w:rPr>
              <w:t>相应证明文件</w:t>
            </w:r>
            <w:r>
              <w:rPr>
                <w:rFonts w:hint="eastAsia" w:ascii="宋体" w:hAnsi="宋体" w:eastAsia="宋体" w:cs="宋体"/>
                <w:szCs w:val="21"/>
              </w:rPr>
              <w:t>]</w:t>
            </w:r>
            <w:r>
              <w:rPr>
                <w:rFonts w:hint="eastAsia" w:ascii="宋体" w:hAnsi="宋体" w:eastAsia="宋体" w:cs="Times New Roman"/>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3B21D2DA">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宋体"/>
                <w:szCs w:val="21"/>
              </w:rPr>
              <w:t>投标人提供2024</w:t>
            </w:r>
            <w:r>
              <w:rPr>
                <w:rFonts w:ascii="宋体" w:hAnsi="宋体" w:eastAsia="宋体" w:cs="宋体"/>
                <w:szCs w:val="21"/>
              </w:rPr>
              <w:t>年经审计的财务报告或银行出具的资信证明，202</w:t>
            </w:r>
            <w:r>
              <w:rPr>
                <w:rFonts w:hint="eastAsia" w:ascii="宋体" w:hAnsi="宋体" w:eastAsia="宋体" w:cs="宋体"/>
                <w:szCs w:val="21"/>
              </w:rPr>
              <w:t>5</w:t>
            </w:r>
            <w:r>
              <w:rPr>
                <w:rFonts w:ascii="宋体" w:hAnsi="宋体" w:eastAsia="宋体" w:cs="宋体"/>
                <w:szCs w:val="21"/>
              </w:rPr>
              <w:t>年1月1日以后成立的企业按实际情况提供月度财务报表。</w:t>
            </w:r>
            <w:r>
              <w:rPr>
                <w:rFonts w:hint="eastAsia" w:ascii="宋体" w:hAnsi="宋体" w:eastAsia="宋体" w:cs="宋体"/>
                <w:szCs w:val="21"/>
              </w:rPr>
              <w:t>（</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14D72491">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投标人直接控股、管理关系信息表（格式后附）；（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71D5CDC">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Times New Roman"/>
                <w:szCs w:val="21"/>
              </w:rPr>
              <w:t>投标声明（格式后附）；（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46FEDD61">
            <w:pPr>
              <w:numPr>
                <w:ilvl w:val="0"/>
                <w:numId w:val="6"/>
              </w:numPr>
              <w:snapToGrid w:val="0"/>
              <w:spacing w:line="360" w:lineRule="auto"/>
              <w:jc w:val="left"/>
              <w:rPr>
                <w:rFonts w:ascii="宋体" w:hAnsi="宋体" w:eastAsia="宋体" w:cs="Times New Roman"/>
                <w:szCs w:val="21"/>
              </w:rPr>
            </w:pPr>
            <w:r>
              <w:rPr>
                <w:rFonts w:hint="eastAsia" w:ascii="宋体" w:hAnsi="宋体" w:eastAsia="宋体" w:cs="Times New Roman"/>
                <w:szCs w:val="21"/>
              </w:rPr>
              <w:t>除招标文件规定必须提供以外，投标人认为需要提供的其他证明材料。</w:t>
            </w:r>
          </w:p>
          <w:p w14:paraId="18F91AB3">
            <w:pPr>
              <w:snapToGrid w:val="0"/>
              <w:spacing w:line="360" w:lineRule="auto"/>
              <w:jc w:val="left"/>
              <w:rPr>
                <w:rFonts w:ascii="宋体" w:hAnsi="宋体" w:eastAsia="宋体" w:cs="Courier New"/>
                <w:b/>
                <w:szCs w:val="21"/>
              </w:rPr>
            </w:pPr>
            <w:r>
              <w:rPr>
                <w:rFonts w:hint="eastAsia" w:ascii="宋体" w:hAnsi="宋体" w:eastAsia="宋体" w:cs="Times New Roman"/>
                <w:b/>
                <w:bCs/>
                <w:szCs w:val="21"/>
              </w:rPr>
              <w:t>注：1.</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以上标明“必须提供”的材料属于复印件的，必须加盖投标人公章，否则按无效投标</w:t>
            </w:r>
            <w:r>
              <w:rPr>
                <w:rFonts w:hint="eastAsia" w:ascii="宋体" w:hAnsi="宋体" w:eastAsia="宋体" w:cs="Courier New"/>
                <w:b/>
                <w:szCs w:val="21"/>
              </w:rPr>
              <w:t>处理。</w:t>
            </w:r>
          </w:p>
          <w:p w14:paraId="2723AA39">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Courier New"/>
                <w:b/>
                <w:szCs w:val="21"/>
              </w:rPr>
              <w:t>2.</w:t>
            </w:r>
            <w:r>
              <w:rPr>
                <w:rFonts w:hint="eastAsia" w:ascii="宋体" w:hAnsi="宋体" w:eastAsia="宋体" w:cs="Times New Roman"/>
                <w:b/>
                <w:bCs/>
                <w:szCs w:val="21"/>
              </w:rPr>
              <w:t>投标声明必须由法定代表人在规定签章处签字并加盖投标人公章，否则按无效投标处理。</w:t>
            </w:r>
          </w:p>
          <w:p w14:paraId="37741638">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3.投标人直接控股、管理关系信息表必须由法定代表人或者委托代理人在规定签章处签字并加盖投标人公章，否则按无效投标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1EDECEDD">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265FB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right w:val="single" w:color="auto" w:sz="4" w:space="0"/>
            </w:tcBorders>
            <w:vAlign w:val="center"/>
          </w:tcPr>
          <w:p w14:paraId="6C0321FB">
            <w:pPr>
              <w:spacing w:line="360" w:lineRule="auto"/>
              <w:rPr>
                <w:rFonts w:ascii="宋体" w:hAnsi="宋体" w:eastAsia="宋体" w:cs="Times New Roman"/>
                <w:szCs w:val="21"/>
              </w:rPr>
            </w:pPr>
            <w:bookmarkStart w:id="58" w:name="_13.3"/>
            <w:bookmarkEnd w:id="58"/>
          </w:p>
        </w:tc>
        <w:tc>
          <w:tcPr>
            <w:tcW w:w="8748" w:type="dxa"/>
            <w:tcBorders>
              <w:top w:val="single" w:color="auto" w:sz="4" w:space="0"/>
              <w:left w:val="single" w:color="auto" w:sz="4" w:space="0"/>
              <w:bottom w:val="single" w:color="auto" w:sz="4" w:space="0"/>
              <w:right w:val="single" w:color="auto" w:sz="4" w:space="0"/>
            </w:tcBorders>
            <w:vAlign w:val="center"/>
          </w:tcPr>
          <w:p w14:paraId="5ECF99BB">
            <w:pPr>
              <w:snapToGrid w:val="0"/>
              <w:spacing w:line="360" w:lineRule="auto"/>
              <w:jc w:val="left"/>
              <w:rPr>
                <w:rFonts w:ascii="宋体" w:hAnsi="宋体" w:eastAsia="宋体" w:cs="Courier New"/>
                <w:b/>
                <w:szCs w:val="21"/>
              </w:rPr>
            </w:pPr>
            <w:r>
              <w:rPr>
                <w:rFonts w:hint="eastAsia" w:ascii="宋体" w:hAnsi="宋体" w:eastAsia="宋体" w:cs="Courier New"/>
                <w:b/>
                <w:szCs w:val="21"/>
              </w:rPr>
              <w:t>商务文件：</w:t>
            </w:r>
          </w:p>
          <w:p w14:paraId="6DCACEBF">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1.无串通投标行为的承诺函（格式后附）；（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6A26C84">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2.法定代表人身份证明及法定代表人有效身份证正反面复印件（格式后附）；（</w:t>
            </w:r>
            <w:r>
              <w:rPr>
                <w:rFonts w:hint="eastAsia" w:ascii="宋体" w:hAnsi="宋体" w:eastAsia="宋体" w:cs="宋体"/>
                <w:b/>
                <w:bCs/>
                <w:szCs w:val="21"/>
              </w:rPr>
              <w:t>除自然人投标外</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44C9920B">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3.授权委托书及委托代理人有效身份证正反面复印件（格式后附）；（</w:t>
            </w:r>
            <w:r>
              <w:rPr>
                <w:rFonts w:hint="eastAsia" w:ascii="宋体" w:hAnsi="宋体" w:eastAsia="宋体" w:cs="Times New Roman"/>
                <w:b/>
                <w:szCs w:val="21"/>
              </w:rPr>
              <w:t>委托时必须提供，否则按无效投标处理</w:t>
            </w:r>
            <w:r>
              <w:rPr>
                <w:rFonts w:hint="eastAsia" w:ascii="宋体" w:hAnsi="宋体" w:eastAsia="宋体" w:cs="Times New Roman"/>
                <w:szCs w:val="21"/>
              </w:rPr>
              <w:t>）</w:t>
            </w:r>
          </w:p>
          <w:p w14:paraId="3CD077AF">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4</w:t>
            </w:r>
            <w:r>
              <w:rPr>
                <w:rFonts w:ascii="宋体" w:hAnsi="宋体" w:eastAsia="宋体" w:cs="Times New Roman"/>
                <w:szCs w:val="21"/>
              </w:rPr>
              <w:t>.</w:t>
            </w:r>
            <w:r>
              <w:rPr>
                <w:rFonts w:hint="eastAsia" w:ascii="宋体" w:hAnsi="宋体" w:eastAsia="宋体" w:cs="Times New Roman"/>
                <w:szCs w:val="21"/>
              </w:rPr>
              <w:t>商务条款偏离表（格式后附）；（</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57B4D10D">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5.售后服务承诺（格式自拟）；（</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4C31A3A5">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6.投标人情况介绍（格式自拟）；</w:t>
            </w:r>
          </w:p>
          <w:p w14:paraId="6AC9807C">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7.中小企业声明函（格式后附）；（</w:t>
            </w:r>
            <w:r>
              <w:rPr>
                <w:rFonts w:hint="eastAsia" w:ascii="宋体" w:hAnsi="宋体" w:eastAsia="宋体" w:cs="Times New Roman"/>
                <w:b/>
                <w:bCs/>
                <w:szCs w:val="21"/>
              </w:rPr>
              <w:t>分标1</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4DEBD160">
            <w:pPr>
              <w:snapToGrid w:val="0"/>
              <w:spacing w:line="360" w:lineRule="auto"/>
              <w:ind w:left="413"/>
              <w:jc w:val="left"/>
              <w:rPr>
                <w:rFonts w:ascii="宋体" w:hAnsi="宋体" w:eastAsia="宋体" w:cs="Times New Roman"/>
                <w:szCs w:val="21"/>
              </w:rPr>
            </w:pPr>
            <w:r>
              <w:rPr>
                <w:rFonts w:hint="eastAsia" w:ascii="宋体" w:hAnsi="宋体" w:eastAsia="宋体" w:cs="Times New Roman"/>
                <w:szCs w:val="21"/>
              </w:rPr>
              <w:t>8.除招标文件规定必须提供以外，投标人认为需要提供的其他证明材料（格式自拟）。（投标人根据“第二章 采购需求”及“第四章 评标方法及评标标准”提供有关证明材料）。</w:t>
            </w:r>
          </w:p>
          <w:p w14:paraId="46A84711">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注： 1.授权委托书必须由法定代表人及委托代理人签字，并加盖投标人公章，否则按无效投标处理。</w:t>
            </w:r>
          </w:p>
          <w:p w14:paraId="7EB6723F">
            <w:pPr>
              <w:snapToGrid w:val="0"/>
              <w:spacing w:line="360" w:lineRule="auto"/>
              <w:ind w:firstLine="422" w:firstLineChars="200"/>
              <w:jc w:val="left"/>
              <w:rPr>
                <w:rFonts w:ascii="宋体" w:hAnsi="宋体" w:eastAsia="宋体" w:cs="Times New Roman"/>
                <w:b/>
                <w:bCs/>
                <w:szCs w:val="21"/>
              </w:rPr>
            </w:pPr>
            <w:r>
              <w:rPr>
                <w:rFonts w:hint="eastAsia" w:ascii="宋体" w:hAnsi="宋体" w:eastAsia="宋体" w:cs="Times New Roman"/>
                <w:b/>
                <w:bCs/>
                <w:szCs w:val="21"/>
              </w:rPr>
              <w:t>2.</w:t>
            </w:r>
            <w:r>
              <w:rPr>
                <w:rFonts w:hint="eastAsia" w:ascii="宋体" w:hAnsi="宋体" w:eastAsia="宋体" w:cs="Times New Roman"/>
                <w:szCs w:val="21"/>
              </w:rPr>
              <w:t xml:space="preserve"> </w:t>
            </w:r>
            <w:r>
              <w:rPr>
                <w:rFonts w:hint="eastAsia" w:ascii="宋体" w:hAnsi="宋体" w:eastAsia="宋体" w:cs="Times New Roman"/>
                <w:b/>
                <w:bCs/>
                <w:szCs w:val="21"/>
              </w:rPr>
              <w:t>以上标明“必须提供”的材料属于复印件的，必须加盖投标人公章，否则按无效投标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782FE0E7">
            <w:pPr>
              <w:snapToGrid w:val="0"/>
              <w:spacing w:line="360" w:lineRule="auto"/>
              <w:ind w:firstLine="422" w:firstLineChars="200"/>
              <w:jc w:val="left"/>
              <w:rPr>
                <w:rFonts w:ascii="宋体" w:hAnsi="宋体" w:eastAsia="宋体" w:cs="Courier New"/>
                <w:b/>
                <w:szCs w:val="21"/>
              </w:rPr>
            </w:pPr>
            <w:r>
              <w:rPr>
                <w:rFonts w:hint="eastAsia" w:ascii="宋体" w:hAnsi="宋体" w:eastAsia="宋体" w:cs="Times New Roman"/>
                <w:b/>
                <w:bCs/>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3D317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vMerge w:val="continue"/>
            <w:tcBorders>
              <w:left w:val="single" w:color="auto" w:sz="4" w:space="0"/>
              <w:bottom w:val="single" w:color="auto" w:sz="4" w:space="0"/>
              <w:right w:val="single" w:color="auto" w:sz="4" w:space="0"/>
            </w:tcBorders>
            <w:vAlign w:val="center"/>
          </w:tcPr>
          <w:p w14:paraId="2FC66619">
            <w:pPr>
              <w:spacing w:line="360" w:lineRule="auto"/>
              <w:rPr>
                <w:rFonts w:ascii="宋体" w:hAnsi="宋体" w:eastAsia="宋体" w:cs="Times New Roman"/>
                <w:szCs w:val="21"/>
              </w:rPr>
            </w:pPr>
            <w:bookmarkStart w:id="59" w:name="_13.4"/>
            <w:bookmarkEnd w:id="59"/>
          </w:p>
        </w:tc>
        <w:tc>
          <w:tcPr>
            <w:tcW w:w="8748" w:type="dxa"/>
            <w:tcBorders>
              <w:top w:val="single" w:color="auto" w:sz="4" w:space="0"/>
              <w:left w:val="single" w:color="auto" w:sz="4" w:space="0"/>
              <w:bottom w:val="single" w:color="auto" w:sz="4" w:space="0"/>
              <w:right w:val="single" w:color="auto" w:sz="4" w:space="0"/>
            </w:tcBorders>
            <w:vAlign w:val="center"/>
          </w:tcPr>
          <w:p w14:paraId="3663D890">
            <w:pPr>
              <w:snapToGrid w:val="0"/>
              <w:spacing w:line="360" w:lineRule="auto"/>
              <w:jc w:val="left"/>
              <w:rPr>
                <w:rFonts w:ascii="宋体" w:hAnsi="宋体" w:eastAsia="宋体" w:cs="Courier New"/>
                <w:b/>
                <w:szCs w:val="21"/>
              </w:rPr>
            </w:pPr>
            <w:r>
              <w:rPr>
                <w:rFonts w:hint="eastAsia" w:ascii="宋体" w:hAnsi="宋体" w:eastAsia="宋体" w:cs="Courier New"/>
                <w:b/>
                <w:szCs w:val="21"/>
              </w:rPr>
              <w:t>技术文件：</w:t>
            </w:r>
          </w:p>
          <w:p w14:paraId="58F318C8">
            <w:pPr>
              <w:snapToGrid w:val="0"/>
              <w:spacing w:line="360" w:lineRule="auto"/>
              <w:ind w:left="420"/>
              <w:jc w:val="left"/>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 售后服务方案；（</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1DD5938A">
            <w:pPr>
              <w:snapToGrid w:val="0"/>
              <w:spacing w:line="360" w:lineRule="auto"/>
              <w:ind w:left="420"/>
              <w:jc w:val="left"/>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 技术响应表；（</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631180A0">
            <w:pPr>
              <w:snapToGrid w:val="0"/>
              <w:spacing w:line="360" w:lineRule="auto"/>
              <w:ind w:left="420"/>
              <w:jc w:val="left"/>
              <w:rPr>
                <w:rFonts w:ascii="宋体" w:hAnsi="宋体" w:eastAsia="宋体" w:cs="Times New Roman"/>
                <w:szCs w:val="21"/>
              </w:rPr>
            </w:pPr>
            <w:r>
              <w:rPr>
                <w:rFonts w:hint="eastAsia" w:ascii="宋体" w:hAnsi="宋体" w:eastAsia="宋体" w:cs="Times New Roman"/>
                <w:szCs w:val="21"/>
              </w:rPr>
              <w:t>3. 设备配置清单（均不含报价）；（</w:t>
            </w:r>
            <w:r>
              <w:rPr>
                <w:rFonts w:hint="eastAsia" w:ascii="宋体" w:hAnsi="宋体" w:eastAsia="宋体" w:cs="Times New Roman"/>
                <w:b/>
                <w:szCs w:val="21"/>
              </w:rPr>
              <w:t>必须提供，否则按无效投标处理</w:t>
            </w:r>
            <w:r>
              <w:rPr>
                <w:rFonts w:hint="eastAsia" w:ascii="宋体" w:hAnsi="宋体" w:eastAsia="宋体" w:cs="Times New Roman"/>
                <w:szCs w:val="21"/>
              </w:rPr>
              <w:t>）</w:t>
            </w:r>
          </w:p>
          <w:p w14:paraId="7064269D">
            <w:pPr>
              <w:snapToGrid w:val="0"/>
              <w:spacing w:line="360" w:lineRule="auto"/>
              <w:ind w:left="420"/>
              <w:jc w:val="left"/>
              <w:rPr>
                <w:rFonts w:ascii="宋体" w:hAnsi="宋体" w:eastAsia="宋体" w:cs="Times New Roman"/>
                <w:bCs/>
                <w:szCs w:val="21"/>
              </w:rPr>
            </w:pPr>
            <w:r>
              <w:rPr>
                <w:rFonts w:ascii="宋体" w:hAnsi="宋体" w:eastAsia="宋体" w:cs="Times New Roman"/>
                <w:szCs w:val="21"/>
              </w:rPr>
              <w:t>4</w:t>
            </w:r>
            <w:r>
              <w:rPr>
                <w:rFonts w:hint="eastAsia" w:ascii="宋体" w:hAnsi="宋体" w:eastAsia="宋体" w:cs="Times New Roman"/>
                <w:szCs w:val="21"/>
              </w:rPr>
              <w:t>.除招标文件规定必须提供以外，投标人需要说明的其他文件和说明（格式自拟）。</w:t>
            </w:r>
          </w:p>
          <w:p w14:paraId="3BF8A032">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注：1.以上标明“必须提供”的材料属于复印件的，必须加盖投标人公章，否则按无效投标</w:t>
            </w:r>
            <w:r>
              <w:rPr>
                <w:rFonts w:hint="eastAsia" w:ascii="宋体" w:hAnsi="宋体" w:eastAsia="宋体" w:cs="Courier New"/>
                <w:b/>
                <w:szCs w:val="21"/>
              </w:rPr>
              <w:t>处理</w:t>
            </w:r>
            <w:r>
              <w:rPr>
                <w:rFonts w:hint="eastAsia" w:ascii="宋体" w:hAnsi="宋体" w:eastAsia="宋体" w:cs="Times New Roman"/>
                <w:b/>
                <w:bCs/>
                <w:szCs w:val="21"/>
              </w:rPr>
              <w:t>。</w:t>
            </w:r>
          </w:p>
          <w:p w14:paraId="55A8DEF4">
            <w:pPr>
              <w:snapToGrid w:val="0"/>
              <w:spacing w:line="360" w:lineRule="auto"/>
              <w:jc w:val="left"/>
              <w:rPr>
                <w:rFonts w:ascii="宋体" w:hAnsi="宋体" w:eastAsia="宋体" w:cs="Times New Roman"/>
                <w:b/>
                <w:bCs/>
                <w:szCs w:val="21"/>
              </w:rPr>
            </w:pPr>
            <w:r>
              <w:rPr>
                <w:rFonts w:hint="eastAsia" w:ascii="宋体" w:hAnsi="宋体" w:eastAsia="宋体" w:cs="Times New Roman"/>
                <w:b/>
                <w:bCs/>
                <w:szCs w:val="21"/>
              </w:rPr>
              <w:t xml:space="preserve">    2.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5E355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05EB1FE">
            <w:pPr>
              <w:spacing w:line="360" w:lineRule="auto"/>
              <w:rPr>
                <w:rFonts w:ascii="宋体" w:hAnsi="宋体" w:eastAsia="宋体" w:cs="Times New Roman"/>
                <w:szCs w:val="21"/>
              </w:rPr>
            </w:pPr>
            <w:bookmarkStart w:id="60" w:name="_16.2"/>
            <w:bookmarkEnd w:id="60"/>
            <w:bookmarkStart w:id="61" w:name="_13.5"/>
            <w:bookmarkEnd w:id="61"/>
            <w:r>
              <w:rPr>
                <w:rFonts w:ascii="宋体" w:hAnsi="宋体" w:eastAsia="宋体" w:cs="Times New Roman"/>
                <w:szCs w:val="21"/>
              </w:rPr>
              <w:t>9</w:t>
            </w:r>
          </w:p>
        </w:tc>
        <w:tc>
          <w:tcPr>
            <w:tcW w:w="8748" w:type="dxa"/>
            <w:tcBorders>
              <w:top w:val="single" w:color="auto" w:sz="4" w:space="0"/>
              <w:left w:val="single" w:color="auto" w:sz="4" w:space="0"/>
              <w:bottom w:val="single" w:color="auto" w:sz="4" w:space="0"/>
              <w:right w:val="single" w:color="auto" w:sz="4" w:space="0"/>
            </w:tcBorders>
            <w:vAlign w:val="center"/>
          </w:tcPr>
          <w:p w14:paraId="79680130">
            <w:pPr>
              <w:snapToGrid w:val="0"/>
              <w:spacing w:line="360" w:lineRule="auto"/>
              <w:rPr>
                <w:rFonts w:ascii="宋体" w:hAnsi="宋体" w:eastAsia="宋体" w:cs="Times New Roman"/>
                <w:b/>
                <w:szCs w:val="21"/>
              </w:rPr>
            </w:pPr>
            <w:r>
              <w:rPr>
                <w:rFonts w:hint="eastAsia" w:ascii="宋体" w:hAnsi="宋体" w:eastAsia="宋体" w:cs="Times New Roman"/>
                <w:szCs w:val="21"/>
              </w:rPr>
              <w:t>投标报价是履行合同的最终价格，</w:t>
            </w:r>
            <w:r>
              <w:rPr>
                <w:rFonts w:hint="eastAsia" w:ascii="宋体" w:hAnsi="宋体" w:eastAsia="宋体" w:cs="宋体"/>
                <w:szCs w:val="21"/>
              </w:rPr>
              <w:t>供应商必须就第二章采购需求中</w:t>
            </w:r>
            <w:r>
              <w:rPr>
                <w:rFonts w:hint="eastAsia" w:ascii="宋体" w:hAnsi="宋体" w:eastAsia="宋体" w:cs="Times New Roman"/>
                <w:szCs w:val="24"/>
              </w:rPr>
              <w:t>所有货物和服务内容分别作完整唯一报价。</w:t>
            </w:r>
          </w:p>
        </w:tc>
      </w:tr>
      <w:tr w14:paraId="46582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061400B">
            <w:pPr>
              <w:spacing w:line="360" w:lineRule="auto"/>
              <w:rPr>
                <w:rFonts w:ascii="宋体" w:hAnsi="宋体" w:eastAsia="宋体" w:cs="Times New Roman"/>
                <w:szCs w:val="21"/>
              </w:rPr>
            </w:pPr>
            <w:bookmarkStart w:id="62" w:name="_17.1"/>
            <w:bookmarkEnd w:id="62"/>
            <w:r>
              <w:rPr>
                <w:rFonts w:ascii="宋体" w:hAnsi="宋体" w:eastAsia="宋体" w:cs="Times New Roman"/>
                <w:szCs w:val="21"/>
              </w:rPr>
              <w:t>10</w:t>
            </w:r>
          </w:p>
        </w:tc>
        <w:tc>
          <w:tcPr>
            <w:tcW w:w="8748" w:type="dxa"/>
            <w:tcBorders>
              <w:top w:val="single" w:color="auto" w:sz="4" w:space="0"/>
              <w:left w:val="single" w:color="auto" w:sz="4" w:space="0"/>
              <w:bottom w:val="single" w:color="auto" w:sz="4" w:space="0"/>
              <w:right w:val="single" w:color="auto" w:sz="4" w:space="0"/>
            </w:tcBorders>
            <w:vAlign w:val="center"/>
          </w:tcPr>
          <w:p w14:paraId="6A86A652">
            <w:pPr>
              <w:snapToGrid w:val="0"/>
              <w:spacing w:line="360" w:lineRule="auto"/>
              <w:rPr>
                <w:rFonts w:ascii="宋体" w:hAnsi="宋体" w:eastAsia="宋体" w:cs="Times New Roman"/>
                <w:szCs w:val="21"/>
              </w:rPr>
            </w:pPr>
            <w:r>
              <w:rPr>
                <w:rFonts w:hint="eastAsia" w:ascii="宋体" w:hAnsi="宋体" w:eastAsia="宋体" w:cs="Times New Roman"/>
                <w:szCs w:val="21"/>
              </w:rPr>
              <w:t>投标有效期：自投标截止之日起</w:t>
            </w:r>
            <w:r>
              <w:rPr>
                <w:rFonts w:hint="eastAsia" w:ascii="宋体" w:hAnsi="宋体" w:eastAsia="宋体" w:cs="Times New Roman"/>
                <w:szCs w:val="21"/>
                <w:u w:val="single"/>
              </w:rPr>
              <w:t>60</w:t>
            </w:r>
            <w:r>
              <w:rPr>
                <w:rFonts w:hint="eastAsia" w:ascii="宋体" w:hAnsi="宋体" w:eastAsia="宋体" w:cs="Times New Roman"/>
                <w:szCs w:val="21"/>
              </w:rPr>
              <w:t>日。</w:t>
            </w:r>
          </w:p>
        </w:tc>
      </w:tr>
      <w:tr w14:paraId="102F6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055D36F">
            <w:pPr>
              <w:spacing w:line="360" w:lineRule="auto"/>
              <w:rPr>
                <w:rFonts w:ascii="宋体" w:hAnsi="宋体" w:eastAsia="宋体" w:cs="Times New Roman"/>
                <w:szCs w:val="21"/>
              </w:rPr>
            </w:pPr>
            <w:bookmarkStart w:id="63" w:name="_18"/>
            <w:bookmarkEnd w:id="63"/>
            <w:r>
              <w:rPr>
                <w:rFonts w:ascii="宋体" w:hAnsi="宋体" w:eastAsia="宋体" w:cs="Times New Roman"/>
                <w:szCs w:val="21"/>
              </w:rPr>
              <w:t>11</w:t>
            </w:r>
          </w:p>
        </w:tc>
        <w:tc>
          <w:tcPr>
            <w:tcW w:w="8748" w:type="dxa"/>
            <w:tcBorders>
              <w:top w:val="single" w:color="auto" w:sz="4" w:space="0"/>
              <w:left w:val="single" w:color="auto" w:sz="4" w:space="0"/>
              <w:bottom w:val="single" w:color="auto" w:sz="4" w:space="0"/>
              <w:right w:val="single" w:color="auto" w:sz="4" w:space="0"/>
            </w:tcBorders>
            <w:vAlign w:val="center"/>
          </w:tcPr>
          <w:p w14:paraId="1C17F18D">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☑本项目不收取投标保证金。</w:t>
            </w:r>
          </w:p>
          <w:p w14:paraId="31B29E35">
            <w:pPr>
              <w:snapToGrid w:val="0"/>
              <w:spacing w:line="360" w:lineRule="auto"/>
              <w:rPr>
                <w:rFonts w:ascii="宋体" w:hAnsi="宋体" w:eastAsia="宋体" w:cs="Times New Roman"/>
                <w:szCs w:val="21"/>
              </w:rPr>
            </w:pPr>
            <w:r>
              <w:rPr>
                <w:rFonts w:hint="eastAsia" w:ascii="宋体" w:hAnsi="宋体" w:eastAsia="宋体" w:cs="Times New Roman"/>
                <w:szCs w:val="21"/>
              </w:rPr>
              <w:sym w:font="Wingdings" w:char="00A8"/>
            </w:r>
            <w:r>
              <w:rPr>
                <w:rFonts w:hint="eastAsia" w:ascii="宋体" w:hAnsi="宋体" w:eastAsia="宋体" w:cs="Times New Roman"/>
                <w:szCs w:val="21"/>
              </w:rPr>
              <w:t>本项目收取投标保证金，详见招标公告要求</w:t>
            </w:r>
          </w:p>
          <w:p w14:paraId="3CE2DA74">
            <w:pPr>
              <w:snapToGrid w:val="0"/>
              <w:spacing w:line="360" w:lineRule="auto"/>
              <w:rPr>
                <w:rFonts w:ascii="宋体" w:hAnsi="宋体" w:eastAsia="宋体" w:cs="Times New Roman"/>
                <w:b/>
                <w:szCs w:val="21"/>
              </w:rPr>
            </w:pPr>
            <w:r>
              <w:rPr>
                <w:rFonts w:hint="eastAsia" w:ascii="宋体" w:hAnsi="宋体" w:eastAsia="宋体" w:cs="Times New Roman"/>
                <w:b/>
                <w:szCs w:val="21"/>
              </w:rPr>
              <w:t xml:space="preserve">备注： </w:t>
            </w:r>
          </w:p>
          <w:p w14:paraId="3F1A651C">
            <w:pPr>
              <w:snapToGrid w:val="0"/>
              <w:spacing w:line="360" w:lineRule="auto"/>
              <w:rPr>
                <w:rFonts w:ascii="宋体" w:hAnsi="宋体" w:eastAsia="宋体" w:cs="Times New Roman"/>
                <w:b/>
                <w:szCs w:val="21"/>
              </w:rPr>
            </w:pPr>
            <w:r>
              <w:rPr>
                <w:rFonts w:hint="eastAsia" w:ascii="宋体" w:hAnsi="宋体" w:eastAsia="宋体" w:cs="Times New Roman"/>
                <w:b/>
                <w:szCs w:val="21"/>
              </w:rPr>
              <w:t>1. 投标保证金在投标截止时间后提交的，或者不按规定交纳方式交纳的，或者未足额交纳的（包含保函额度不足的），视为无效投标保证金。</w:t>
            </w:r>
          </w:p>
          <w:p w14:paraId="7D9241A5">
            <w:pPr>
              <w:snapToGrid w:val="0"/>
              <w:spacing w:line="360" w:lineRule="auto"/>
              <w:rPr>
                <w:rFonts w:ascii="宋体" w:hAnsi="宋体" w:eastAsia="宋体" w:cs="Times New Roman"/>
                <w:b/>
                <w:szCs w:val="21"/>
              </w:rPr>
            </w:pPr>
            <w:r>
              <w:rPr>
                <w:rFonts w:hint="eastAsia" w:ascii="宋体" w:hAnsi="宋体" w:eastAsia="宋体" w:cs="Times New Roman"/>
                <w:b/>
                <w:szCs w:val="21"/>
              </w:rPr>
              <w:t>2.投标人采用现钞方式或者从个人账户（自然人投标除外）转出的投标保证金，视为无效投标保证金。</w:t>
            </w:r>
          </w:p>
          <w:p w14:paraId="6B0FE771">
            <w:pPr>
              <w:snapToGrid w:val="0"/>
              <w:spacing w:line="360" w:lineRule="auto"/>
              <w:rPr>
                <w:rFonts w:ascii="宋体" w:hAnsi="宋体" w:eastAsia="宋体" w:cs="Times New Roman"/>
                <w:b/>
                <w:szCs w:val="21"/>
              </w:rPr>
            </w:pPr>
            <w:r>
              <w:rPr>
                <w:rFonts w:hint="eastAsia" w:ascii="宋体" w:hAnsi="宋体" w:eastAsia="宋体" w:cs="Times New Roman"/>
                <w:b/>
                <w:szCs w:val="21"/>
              </w:rPr>
              <w:t>3.支票、汇票或者本票出现无效或者背书情形的，视为无效投标保证金。</w:t>
            </w:r>
          </w:p>
          <w:p w14:paraId="43637B35">
            <w:pPr>
              <w:snapToGrid w:val="0"/>
              <w:spacing w:line="360" w:lineRule="auto"/>
              <w:rPr>
                <w:rFonts w:ascii="宋体" w:hAnsi="宋体" w:eastAsia="宋体" w:cs="Times New Roman"/>
                <w:b/>
                <w:szCs w:val="21"/>
              </w:rPr>
            </w:pPr>
            <w:r>
              <w:rPr>
                <w:rFonts w:hint="eastAsia" w:ascii="宋体" w:hAnsi="宋体" w:eastAsia="宋体" w:cs="Times New Roman"/>
                <w:b/>
                <w:szCs w:val="21"/>
              </w:rPr>
              <w:t>4.保函有效期低于投标有效期的，视为无效投标保证金。</w:t>
            </w:r>
          </w:p>
          <w:p w14:paraId="2D447ED0">
            <w:pPr>
              <w:snapToGrid w:val="0"/>
              <w:spacing w:line="360" w:lineRule="auto"/>
              <w:rPr>
                <w:rFonts w:ascii="宋体" w:hAnsi="宋体" w:eastAsia="宋体" w:cs="Times New Roman"/>
                <w:b/>
                <w:szCs w:val="21"/>
              </w:rPr>
            </w:pPr>
            <w:r>
              <w:rPr>
                <w:rFonts w:hint="eastAsia" w:ascii="宋体" w:hAnsi="宋体" w:eastAsia="宋体" w:cs="Times New Roman"/>
                <w:b/>
                <w:szCs w:val="21"/>
              </w:rPr>
              <w:t>5.采用银行、保险机构出具保函的，必须为无条件保函，否则视为无效投标保证金。</w:t>
            </w:r>
          </w:p>
          <w:p w14:paraId="078767D1">
            <w:pPr>
              <w:snapToGrid w:val="0"/>
              <w:spacing w:line="360" w:lineRule="auto"/>
              <w:rPr>
                <w:rFonts w:ascii="宋体" w:hAnsi="宋体" w:eastAsia="宋体" w:cs="Times New Roman"/>
                <w:b/>
                <w:szCs w:val="21"/>
              </w:rPr>
            </w:pPr>
            <w:r>
              <w:rPr>
                <w:rFonts w:hint="eastAsia" w:ascii="宋体" w:hAnsi="宋体" w:eastAsia="宋体" w:cs="Times New Roman"/>
                <w:b/>
                <w:szCs w:val="21"/>
              </w:rPr>
              <w:t>投标保证金指定账户：</w:t>
            </w:r>
          </w:p>
          <w:p w14:paraId="5763DF76">
            <w:pPr>
              <w:snapToGrid w:val="0"/>
              <w:spacing w:line="360" w:lineRule="auto"/>
              <w:rPr>
                <w:rFonts w:ascii="宋体" w:hAnsi="宋体" w:eastAsia="宋体" w:cs="Times New Roman"/>
                <w:b/>
                <w:szCs w:val="21"/>
              </w:rPr>
            </w:pPr>
            <w:r>
              <w:rPr>
                <w:rFonts w:hint="eastAsia" w:ascii="宋体" w:hAnsi="宋体" w:eastAsia="宋体" w:cs="Times New Roman"/>
                <w:b/>
                <w:szCs w:val="21"/>
              </w:rPr>
              <w:t>开户名称：</w:t>
            </w:r>
          </w:p>
          <w:p w14:paraId="769C8947">
            <w:pPr>
              <w:snapToGrid w:val="0"/>
              <w:spacing w:line="360" w:lineRule="auto"/>
              <w:rPr>
                <w:rFonts w:ascii="宋体" w:hAnsi="宋体" w:eastAsia="宋体" w:cs="Times New Roman"/>
                <w:b/>
                <w:szCs w:val="21"/>
              </w:rPr>
            </w:pPr>
            <w:r>
              <w:rPr>
                <w:rFonts w:hint="eastAsia" w:ascii="宋体" w:hAnsi="宋体" w:eastAsia="宋体" w:cs="Times New Roman"/>
                <w:b/>
                <w:szCs w:val="21"/>
              </w:rPr>
              <w:t>开户银行：</w:t>
            </w:r>
          </w:p>
          <w:p w14:paraId="79BFB83B">
            <w:pPr>
              <w:snapToGrid w:val="0"/>
              <w:spacing w:line="360" w:lineRule="auto"/>
              <w:rPr>
                <w:rFonts w:ascii="宋体" w:hAnsi="宋体" w:eastAsia="宋体" w:cs="Times New Roman"/>
                <w:b/>
                <w:szCs w:val="21"/>
              </w:rPr>
            </w:pPr>
            <w:r>
              <w:rPr>
                <w:rFonts w:hint="eastAsia" w:ascii="宋体" w:hAnsi="宋体" w:eastAsia="宋体" w:cs="Times New Roman"/>
                <w:b/>
                <w:szCs w:val="21"/>
              </w:rPr>
              <w:t>银行账号：</w:t>
            </w:r>
          </w:p>
        </w:tc>
      </w:tr>
      <w:tr w14:paraId="75F8D6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7FBACCB">
            <w:pPr>
              <w:spacing w:line="360" w:lineRule="auto"/>
              <w:jc w:val="center"/>
              <w:rPr>
                <w:rFonts w:ascii="宋体" w:hAnsi="宋体" w:eastAsia="宋体" w:cs="Times New Roman"/>
                <w:szCs w:val="21"/>
              </w:rPr>
            </w:pPr>
            <w:bookmarkStart w:id="64" w:name="_19.2"/>
            <w:bookmarkEnd w:id="64"/>
            <w:r>
              <w:rPr>
                <w:rFonts w:ascii="宋体" w:hAnsi="宋体" w:eastAsia="宋体" w:cs="Times New Roman"/>
                <w:szCs w:val="21"/>
              </w:rPr>
              <w:t>12</w:t>
            </w:r>
          </w:p>
        </w:tc>
        <w:tc>
          <w:tcPr>
            <w:tcW w:w="8748" w:type="dxa"/>
            <w:tcBorders>
              <w:top w:val="single" w:color="auto" w:sz="4" w:space="0"/>
              <w:left w:val="single" w:color="auto" w:sz="4" w:space="0"/>
              <w:bottom w:val="single" w:color="auto" w:sz="4" w:space="0"/>
              <w:right w:val="single" w:color="auto" w:sz="4" w:space="0"/>
            </w:tcBorders>
            <w:vAlign w:val="center"/>
          </w:tcPr>
          <w:p w14:paraId="2B8FA190">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投标文件编制按报价文件、资格证明文件、商务文件、技术文件分别编制。</w:t>
            </w:r>
          </w:p>
        </w:tc>
      </w:tr>
      <w:tr w14:paraId="5B4DED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17" w:type="dxa"/>
            <w:tcBorders>
              <w:top w:val="single" w:color="auto" w:sz="4" w:space="0"/>
              <w:left w:val="single" w:color="auto" w:sz="4" w:space="0"/>
              <w:bottom w:val="single" w:color="auto" w:sz="4" w:space="0"/>
              <w:right w:val="single" w:color="auto" w:sz="4" w:space="0"/>
            </w:tcBorders>
            <w:vAlign w:val="center"/>
          </w:tcPr>
          <w:p w14:paraId="7592BFE3">
            <w:pPr>
              <w:spacing w:line="360" w:lineRule="auto"/>
              <w:jc w:val="center"/>
              <w:rPr>
                <w:rFonts w:ascii="宋体" w:hAnsi="宋体" w:eastAsia="宋体" w:cs="Times New Roman"/>
                <w:szCs w:val="21"/>
              </w:rPr>
            </w:pPr>
            <w:bookmarkStart w:id="65" w:name="_21.1"/>
            <w:bookmarkEnd w:id="65"/>
            <w:r>
              <w:rPr>
                <w:rFonts w:ascii="宋体" w:hAnsi="宋体" w:eastAsia="宋体" w:cs="Times New Roman"/>
                <w:szCs w:val="21"/>
              </w:rPr>
              <w:t>13</w:t>
            </w:r>
          </w:p>
        </w:tc>
        <w:tc>
          <w:tcPr>
            <w:tcW w:w="8748" w:type="dxa"/>
            <w:tcBorders>
              <w:top w:val="single" w:color="auto" w:sz="4" w:space="0"/>
              <w:left w:val="single" w:color="auto" w:sz="4" w:space="0"/>
              <w:bottom w:val="single" w:color="auto" w:sz="4" w:space="0"/>
              <w:right w:val="single" w:color="auto" w:sz="4" w:space="0"/>
            </w:tcBorders>
            <w:vAlign w:val="center"/>
          </w:tcPr>
          <w:p w14:paraId="76EE6887">
            <w:pPr>
              <w:snapToGrid w:val="0"/>
              <w:spacing w:line="360" w:lineRule="auto"/>
              <w:rPr>
                <w:rFonts w:ascii="宋体" w:hAnsi="宋体" w:eastAsia="宋体" w:cs="Times New Roman"/>
                <w:szCs w:val="21"/>
              </w:rPr>
            </w:pPr>
            <w:r>
              <w:rPr>
                <w:rFonts w:hint="eastAsia" w:ascii="宋体" w:hAnsi="宋体" w:eastAsia="宋体" w:cs="Times New Roman"/>
                <w:szCs w:val="21"/>
              </w:rPr>
              <w:t>1.提交投标文件截止时间：详见招标公告</w:t>
            </w:r>
          </w:p>
          <w:p w14:paraId="6CB7DA31">
            <w:pPr>
              <w:snapToGrid w:val="0"/>
              <w:spacing w:line="360" w:lineRule="auto"/>
              <w:rPr>
                <w:rFonts w:ascii="宋体" w:hAnsi="宋体" w:eastAsia="宋体" w:cs="Times New Roman"/>
                <w:szCs w:val="21"/>
              </w:rPr>
            </w:pPr>
            <w:r>
              <w:rPr>
                <w:rFonts w:hint="eastAsia" w:ascii="宋体" w:hAnsi="宋体" w:eastAsia="宋体" w:cs="Times New Roman"/>
                <w:szCs w:val="21"/>
              </w:rPr>
              <w:t>2.投标地点：广西政府采购云平台（网址：http://www.gcy.zfcg.gxzf.gov.cn）在线投标</w:t>
            </w:r>
          </w:p>
        </w:tc>
      </w:tr>
      <w:tr w14:paraId="4B29E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6C0FA21">
            <w:pPr>
              <w:spacing w:line="360" w:lineRule="auto"/>
              <w:jc w:val="center"/>
              <w:rPr>
                <w:rFonts w:ascii="宋体" w:hAnsi="宋体" w:eastAsia="宋体" w:cs="Times New Roman"/>
                <w:szCs w:val="21"/>
              </w:rPr>
            </w:pPr>
            <w:bookmarkStart w:id="66" w:name="_23"/>
            <w:bookmarkEnd w:id="66"/>
            <w:r>
              <w:rPr>
                <w:rFonts w:ascii="宋体" w:hAnsi="宋体" w:eastAsia="宋体" w:cs="Times New Roman"/>
                <w:szCs w:val="21"/>
              </w:rPr>
              <w:t>14</w:t>
            </w:r>
          </w:p>
        </w:tc>
        <w:tc>
          <w:tcPr>
            <w:tcW w:w="8748" w:type="dxa"/>
            <w:tcBorders>
              <w:top w:val="single" w:color="auto" w:sz="4" w:space="0"/>
              <w:left w:val="single" w:color="auto" w:sz="4" w:space="0"/>
              <w:bottom w:val="single" w:color="auto" w:sz="4" w:space="0"/>
              <w:right w:val="single" w:color="auto" w:sz="4" w:space="0"/>
            </w:tcBorders>
            <w:vAlign w:val="center"/>
          </w:tcPr>
          <w:p w14:paraId="69B2D9F6">
            <w:pPr>
              <w:snapToGrid w:val="0"/>
              <w:spacing w:line="360" w:lineRule="auto"/>
              <w:rPr>
                <w:rFonts w:ascii="宋体" w:hAnsi="宋体" w:eastAsia="宋体" w:cs="Times New Roman"/>
                <w:szCs w:val="21"/>
              </w:rPr>
            </w:pPr>
            <w:r>
              <w:rPr>
                <w:rFonts w:hint="eastAsia" w:ascii="宋体" w:hAnsi="宋体" w:eastAsia="宋体" w:cs="Times New Roman"/>
                <w:szCs w:val="21"/>
              </w:rPr>
              <w:t>1.开标时间：同投标文件递交截止时间</w:t>
            </w:r>
          </w:p>
          <w:p w14:paraId="54E92BA0">
            <w:pPr>
              <w:snapToGrid w:val="0"/>
              <w:spacing w:line="360" w:lineRule="auto"/>
              <w:rPr>
                <w:rFonts w:ascii="宋体" w:hAnsi="宋体" w:eastAsia="宋体" w:cs="Times New Roman"/>
                <w:szCs w:val="21"/>
              </w:rPr>
            </w:pPr>
            <w:r>
              <w:rPr>
                <w:rFonts w:hint="eastAsia" w:ascii="宋体" w:hAnsi="宋体" w:eastAsia="宋体" w:cs="Times New Roman"/>
                <w:szCs w:val="21"/>
              </w:rPr>
              <w:t>2.开标地点： 通过广西政府采购云平台实行在线截标</w:t>
            </w:r>
          </w:p>
          <w:p w14:paraId="6C649C8A">
            <w:pPr>
              <w:snapToGrid w:val="0"/>
              <w:spacing w:line="360" w:lineRule="auto"/>
              <w:rPr>
                <w:rFonts w:ascii="宋体" w:hAnsi="宋体" w:eastAsia="宋体" w:cs="Times New Roman"/>
                <w:sz w:val="22"/>
                <w:szCs w:val="21"/>
              </w:rPr>
            </w:pPr>
            <w:r>
              <w:rPr>
                <w:rFonts w:hint="eastAsia" w:ascii="宋体" w:hAnsi="宋体" w:eastAsia="宋体" w:cs="Times New Roman"/>
                <w:b/>
                <w:sz w:val="22"/>
                <w:szCs w:val="21"/>
              </w:rPr>
              <w:t>3.电子投标文件解密时间：</w:t>
            </w:r>
            <w:r>
              <w:rPr>
                <w:rFonts w:hint="eastAsia" w:ascii="宋体" w:hAnsi="宋体" w:eastAsia="宋体" w:cs="Times New Roman"/>
                <w:sz w:val="22"/>
                <w:szCs w:val="21"/>
              </w:rPr>
              <w:t>截标时间后30分钟内，供应商必须在此时间段内登录</w:t>
            </w:r>
            <w:r>
              <w:rPr>
                <w:rFonts w:hint="eastAsia" w:ascii="宋体" w:hAnsi="宋体" w:eastAsia="宋体" w:cs="Times New Roman"/>
                <w:szCs w:val="21"/>
              </w:rPr>
              <w:t>广西政府采购云平台</w:t>
            </w:r>
            <w:r>
              <w:rPr>
                <w:rFonts w:hint="eastAsia" w:ascii="宋体" w:hAnsi="宋体" w:eastAsia="宋体" w:cs="Times New Roman"/>
                <w:sz w:val="22"/>
                <w:szCs w:val="21"/>
              </w:rPr>
              <w:t>，用“项目采购-开标评标”功能完成电子投标文件的解密。若投标供应商在规定时间内未按时解密的，视为投标文件撤回。</w:t>
            </w:r>
          </w:p>
          <w:p w14:paraId="255101EB">
            <w:pPr>
              <w:pStyle w:val="21"/>
              <w:rPr>
                <w:lang w:val="en-US"/>
              </w:rPr>
            </w:pPr>
            <w:r>
              <w:rPr>
                <w:rFonts w:hint="eastAsia" w:hAnsi="宋体"/>
                <w:sz w:val="22"/>
                <w:lang w:val="en-US"/>
              </w:rPr>
              <w:t>4.</w:t>
            </w:r>
            <w:r>
              <w:rPr>
                <w:rFonts w:hint="eastAsia"/>
              </w:rPr>
              <w:t>开标顺序：</w:t>
            </w:r>
            <w:r>
              <w:rPr>
                <w:rFonts w:hint="eastAsia" w:hAnsi="宋体"/>
                <w:kern w:val="2"/>
                <w:sz w:val="22"/>
                <w:lang w:val="en-US"/>
              </w:rPr>
              <w:t>按分标1-分标2分标顺序开标，投标人可以参与一个或二个分标，但不能同时中标。</w:t>
            </w:r>
          </w:p>
        </w:tc>
      </w:tr>
      <w:tr w14:paraId="12B64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CD3A725">
            <w:pPr>
              <w:spacing w:line="360" w:lineRule="auto"/>
              <w:jc w:val="center"/>
              <w:rPr>
                <w:rFonts w:ascii="宋体" w:hAnsi="宋体" w:eastAsia="宋体" w:cs="Times New Roman"/>
                <w:szCs w:val="21"/>
              </w:rPr>
            </w:pPr>
            <w:bookmarkStart w:id="67" w:name="_25.3"/>
            <w:bookmarkEnd w:id="67"/>
            <w:r>
              <w:rPr>
                <w:rFonts w:ascii="宋体" w:hAnsi="宋体" w:eastAsia="宋体" w:cs="Times New Roman"/>
                <w:szCs w:val="21"/>
              </w:rPr>
              <w:t>15</w:t>
            </w:r>
          </w:p>
        </w:tc>
        <w:tc>
          <w:tcPr>
            <w:tcW w:w="8748" w:type="dxa"/>
            <w:tcBorders>
              <w:top w:val="single" w:color="auto" w:sz="4" w:space="0"/>
              <w:left w:val="single" w:color="auto" w:sz="4" w:space="0"/>
              <w:bottom w:val="single" w:color="auto" w:sz="4" w:space="0"/>
              <w:right w:val="single" w:color="auto" w:sz="4" w:space="0"/>
            </w:tcBorders>
            <w:vAlign w:val="center"/>
          </w:tcPr>
          <w:p w14:paraId="67A49F27">
            <w:pPr>
              <w:snapToGrid w:val="0"/>
              <w:spacing w:line="360" w:lineRule="auto"/>
              <w:rPr>
                <w:rFonts w:ascii="宋体" w:hAnsi="宋体" w:eastAsia="宋体" w:cs="Times New Roman"/>
                <w:szCs w:val="21"/>
              </w:rPr>
            </w:pPr>
            <w:r>
              <w:rPr>
                <w:rFonts w:hint="eastAsia" w:ascii="Times New Roman" w:hAnsi="Times New Roman" w:eastAsia="宋体" w:cs="Times New Roman"/>
                <w:szCs w:val="24"/>
              </w:rPr>
              <w:t>采购人或者采购代理机构在资格审查结束前，对投标人进行信用查询。</w:t>
            </w:r>
          </w:p>
          <w:p w14:paraId="1BC8FCD0">
            <w:pPr>
              <w:snapToGrid w:val="0"/>
              <w:spacing w:line="360" w:lineRule="auto"/>
              <w:rPr>
                <w:rFonts w:ascii="宋体" w:hAnsi="宋体" w:eastAsia="宋体" w:cs="Times New Roman"/>
                <w:szCs w:val="21"/>
              </w:rPr>
            </w:pPr>
            <w:r>
              <w:rPr>
                <w:rFonts w:hint="eastAsia" w:ascii="宋体" w:hAnsi="宋体" w:eastAsia="宋体" w:cs="Times New Roman"/>
                <w:szCs w:val="21"/>
              </w:rPr>
              <w:t>查询渠道：“信用中国”网站(www.creditchina.gov.cn) 、中国政府采购网(www.ccgp.gov.cn)。</w:t>
            </w:r>
          </w:p>
          <w:p w14:paraId="0E148E5E">
            <w:pPr>
              <w:snapToGrid w:val="0"/>
              <w:spacing w:line="360" w:lineRule="auto"/>
              <w:rPr>
                <w:rFonts w:ascii="宋体" w:hAnsi="宋体" w:eastAsia="宋体" w:cs="Times New Roman"/>
                <w:b/>
                <w:szCs w:val="21"/>
              </w:rPr>
            </w:pPr>
            <w:r>
              <w:rPr>
                <w:rFonts w:hint="eastAsia" w:ascii="宋体" w:hAnsi="宋体" w:eastAsia="宋体" w:cs="Times New Roman"/>
                <w:szCs w:val="21"/>
              </w:rPr>
              <w:t>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招标人或者采购代理机构</w:t>
            </w:r>
            <w:r>
              <w:rPr>
                <w:rFonts w:hint="eastAsia" w:ascii="Times New Roman" w:hAnsi="Times New Roman" w:eastAsia="宋体" w:cs="Times New Roman"/>
                <w:sz w:val="22"/>
              </w:rPr>
              <w:t>应当拒绝其参与政府采购活动</w:t>
            </w:r>
            <w:r>
              <w:rPr>
                <w:rFonts w:hint="eastAsia" w:ascii="宋体" w:hAnsi="宋体" w:eastAsia="宋体" w:cs="Times New Roman"/>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6BF3AF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187123C">
            <w:pPr>
              <w:spacing w:line="360" w:lineRule="auto"/>
              <w:jc w:val="center"/>
              <w:rPr>
                <w:rFonts w:ascii="宋体" w:hAnsi="宋体" w:eastAsia="宋体" w:cs="Times New Roman"/>
                <w:szCs w:val="21"/>
              </w:rPr>
            </w:pPr>
            <w:bookmarkStart w:id="68" w:name="_26"/>
            <w:bookmarkEnd w:id="68"/>
            <w:r>
              <w:rPr>
                <w:rFonts w:ascii="宋体" w:hAnsi="宋体" w:eastAsia="宋体" w:cs="Times New Roman"/>
                <w:szCs w:val="21"/>
              </w:rPr>
              <w:t>16</w:t>
            </w:r>
          </w:p>
        </w:tc>
        <w:tc>
          <w:tcPr>
            <w:tcW w:w="8748" w:type="dxa"/>
            <w:tcBorders>
              <w:top w:val="single" w:color="auto" w:sz="4" w:space="0"/>
              <w:left w:val="single" w:color="auto" w:sz="4" w:space="0"/>
              <w:bottom w:val="single" w:color="auto" w:sz="4" w:space="0"/>
              <w:right w:val="single" w:color="auto" w:sz="4" w:space="0"/>
            </w:tcBorders>
            <w:vAlign w:val="center"/>
          </w:tcPr>
          <w:p w14:paraId="22837B36">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评标委员会的人数：</w:t>
            </w:r>
            <w:r>
              <w:rPr>
                <w:rFonts w:ascii="宋体" w:hAnsi="宋体" w:eastAsia="宋体" w:cs="Times New Roman"/>
                <w:szCs w:val="21"/>
                <w:u w:val="single"/>
              </w:rPr>
              <w:t>5</w:t>
            </w:r>
            <w:r>
              <w:rPr>
                <w:rFonts w:hint="eastAsia" w:ascii="宋体" w:hAnsi="宋体" w:eastAsia="宋体" w:cs="Times New Roman"/>
                <w:szCs w:val="21"/>
              </w:rPr>
              <w:t>人</w:t>
            </w:r>
          </w:p>
        </w:tc>
      </w:tr>
      <w:tr w14:paraId="4D4C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743FC869">
            <w:pPr>
              <w:spacing w:line="360" w:lineRule="auto"/>
              <w:jc w:val="center"/>
              <w:rPr>
                <w:rFonts w:ascii="宋体" w:hAnsi="宋体" w:eastAsia="宋体" w:cs="Times New Roman"/>
                <w:szCs w:val="21"/>
              </w:rPr>
            </w:pPr>
            <w:bookmarkStart w:id="69" w:name="_28.3"/>
            <w:bookmarkEnd w:id="69"/>
            <w:r>
              <w:rPr>
                <w:rFonts w:ascii="宋体" w:hAnsi="宋体" w:eastAsia="宋体" w:cs="Times New Roman"/>
                <w:szCs w:val="21"/>
              </w:rPr>
              <w:t>17</w:t>
            </w:r>
          </w:p>
        </w:tc>
        <w:tc>
          <w:tcPr>
            <w:tcW w:w="8748" w:type="dxa"/>
            <w:tcBorders>
              <w:top w:val="single" w:color="auto" w:sz="4" w:space="0"/>
              <w:left w:val="single" w:color="auto" w:sz="4" w:space="0"/>
              <w:bottom w:val="single" w:color="auto" w:sz="4" w:space="0"/>
              <w:right w:val="single" w:color="auto" w:sz="4" w:space="0"/>
            </w:tcBorders>
            <w:vAlign w:val="center"/>
          </w:tcPr>
          <w:p w14:paraId="71D7CF27">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评标方法：</w:t>
            </w:r>
          </w:p>
          <w:p w14:paraId="3C13C0DE">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综合评分法</w:t>
            </w:r>
          </w:p>
          <w:p w14:paraId="60469391">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□最低评标报价法</w:t>
            </w:r>
          </w:p>
        </w:tc>
      </w:tr>
      <w:tr w14:paraId="2C799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5F1860E4">
            <w:pPr>
              <w:spacing w:line="360" w:lineRule="auto"/>
              <w:jc w:val="center"/>
              <w:rPr>
                <w:rFonts w:ascii="宋体" w:hAnsi="宋体" w:eastAsia="宋体" w:cs="Times New Roman"/>
                <w:szCs w:val="21"/>
              </w:rPr>
            </w:pPr>
            <w:bookmarkStart w:id="70" w:name="_29.2.2（2）"/>
            <w:bookmarkEnd w:id="70"/>
            <w:r>
              <w:rPr>
                <w:rFonts w:ascii="宋体" w:hAnsi="宋体" w:eastAsia="宋体" w:cs="Times New Roman"/>
                <w:szCs w:val="21"/>
              </w:rPr>
              <w:t>18</w:t>
            </w:r>
          </w:p>
        </w:tc>
        <w:tc>
          <w:tcPr>
            <w:tcW w:w="8748" w:type="dxa"/>
            <w:tcBorders>
              <w:top w:val="single" w:color="auto" w:sz="4" w:space="0"/>
              <w:left w:val="single" w:color="auto" w:sz="4" w:space="0"/>
              <w:bottom w:val="single" w:color="auto" w:sz="4" w:space="0"/>
              <w:right w:val="single" w:color="auto" w:sz="4" w:space="0"/>
            </w:tcBorders>
            <w:vAlign w:val="center"/>
          </w:tcPr>
          <w:p w14:paraId="3DF768E4">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 w:val="22"/>
              </w:rPr>
              <w:t>采用综合评分法的采购项目，</w:t>
            </w:r>
            <w:r>
              <w:rPr>
                <w:rFonts w:hint="eastAsia" w:ascii="宋体" w:hAnsi="宋体" w:eastAsia="宋体" w:cs="Times New Roman"/>
                <w:szCs w:val="21"/>
              </w:rPr>
              <w:t>招标人确定中标人时，出现中标候选人并列的情形，招标人按以下的方式确定中标人：</w:t>
            </w:r>
          </w:p>
          <w:p w14:paraId="0E04739C">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sym w:font="Wingdings" w:char="F0FE"/>
            </w:r>
            <w:r>
              <w:rPr>
                <w:rFonts w:hint="eastAsia" w:ascii="宋体" w:hAnsi="宋体" w:eastAsia="宋体" w:cs="Times New Roman"/>
                <w:szCs w:val="21"/>
              </w:rPr>
              <w:t>依次按投标报价低的优先、政策分得分高的优先、技术评分高的优先、商务评分高的优先、项目质保期长优先、交货期短优先、故障响应时间短优先的顺序确定；</w:t>
            </w:r>
          </w:p>
          <w:p w14:paraId="78C0502C">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□随机抽取；</w:t>
            </w:r>
          </w:p>
          <w:p w14:paraId="7E2FF927">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 w:val="22"/>
              </w:rPr>
              <w:t>采用最低评标价法的采购项目，</w:t>
            </w:r>
            <w:r>
              <w:rPr>
                <w:rFonts w:hint="eastAsia" w:ascii="宋体" w:hAnsi="宋体" w:eastAsia="宋体" w:cs="Times New Roman"/>
                <w:szCs w:val="21"/>
              </w:rPr>
              <w:t>招标人确定中标人时，出现中标候选人并列的情形，招标人按以下的方式确定中标人：</w:t>
            </w:r>
          </w:p>
          <w:p w14:paraId="4164818B">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依次按投标报价低的优先、节能及环保产品累计金额高的优先、带“▲”的实质性要求正偏离项数多的优先、均无正偏离或者正偏离项数一致时负偏离项数少的优先、质量保证期长优先、交货期短优先、故障响应时间短优先的顺序确定。</w:t>
            </w:r>
          </w:p>
          <w:p w14:paraId="6BB19287">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□随机抽取；</w:t>
            </w:r>
          </w:p>
        </w:tc>
      </w:tr>
      <w:tr w14:paraId="646808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7" w:type="dxa"/>
            <w:tcBorders>
              <w:top w:val="single" w:color="auto" w:sz="4" w:space="0"/>
              <w:left w:val="single" w:color="auto" w:sz="4" w:space="0"/>
              <w:bottom w:val="single" w:color="auto" w:sz="4" w:space="0"/>
              <w:right w:val="single" w:color="auto" w:sz="4" w:space="0"/>
            </w:tcBorders>
            <w:vAlign w:val="center"/>
          </w:tcPr>
          <w:p w14:paraId="49ED33BB">
            <w:pPr>
              <w:spacing w:line="360" w:lineRule="auto"/>
              <w:jc w:val="center"/>
              <w:rPr>
                <w:rFonts w:ascii="宋体" w:hAnsi="宋体" w:eastAsia="宋体" w:cs="Times New Roman"/>
                <w:szCs w:val="21"/>
              </w:rPr>
            </w:pPr>
            <w:bookmarkStart w:id="71" w:name="_39.1"/>
            <w:bookmarkEnd w:id="71"/>
            <w:r>
              <w:rPr>
                <w:rFonts w:ascii="宋体" w:hAnsi="宋体" w:eastAsia="宋体" w:cs="Times New Roman"/>
                <w:szCs w:val="21"/>
              </w:rPr>
              <w:t>19</w:t>
            </w:r>
          </w:p>
        </w:tc>
        <w:tc>
          <w:tcPr>
            <w:tcW w:w="8748" w:type="dxa"/>
            <w:tcBorders>
              <w:top w:val="single" w:color="auto" w:sz="4" w:space="0"/>
              <w:left w:val="single" w:color="auto" w:sz="4" w:space="0"/>
              <w:bottom w:val="single" w:color="auto" w:sz="4" w:space="0"/>
              <w:right w:val="single" w:color="auto" w:sz="4" w:space="0"/>
            </w:tcBorders>
            <w:vAlign w:val="center"/>
          </w:tcPr>
          <w:p w14:paraId="10F4B777">
            <w:pPr>
              <w:spacing w:line="360" w:lineRule="auto"/>
              <w:rPr>
                <w:rFonts w:ascii="宋体" w:hAnsi="宋体" w:eastAsia="宋体" w:cs="Times New Roman"/>
                <w:szCs w:val="21"/>
              </w:rPr>
            </w:pPr>
            <w:r>
              <w:rPr>
                <w:rFonts w:hint="eastAsia" w:ascii="宋体" w:hAnsi="宋体" w:eastAsia="宋体" w:cs="Times New Roman"/>
                <w:szCs w:val="21"/>
              </w:rPr>
              <w:t>履约保证金金额：无</w:t>
            </w:r>
          </w:p>
          <w:p w14:paraId="5D3BDFDF">
            <w:pPr>
              <w:spacing w:line="360" w:lineRule="auto"/>
              <w:rPr>
                <w:rFonts w:ascii="Times New Roman" w:hAnsi="Times New Roman" w:eastAsia="宋体" w:cs="Times New Roman"/>
                <w:szCs w:val="24"/>
              </w:rPr>
            </w:pPr>
            <w:r>
              <w:rPr>
                <w:rFonts w:hint="eastAsia" w:ascii="宋体" w:hAnsi="宋体" w:eastAsia="宋体" w:cs="Times New Roman"/>
                <w:szCs w:val="21"/>
              </w:rPr>
              <w:t>履约保证金递交方式：银行转账、支票、汇票、本票、</w:t>
            </w:r>
            <w:r>
              <w:rPr>
                <w:rFonts w:ascii="宋体" w:hAnsi="宋体" w:eastAsia="宋体" w:cs="Arial"/>
                <w:kern w:val="0"/>
                <w:szCs w:val="21"/>
              </w:rPr>
              <w:t>保险机构出具的保函等形式</w:t>
            </w:r>
          </w:p>
          <w:p w14:paraId="275B57C9">
            <w:pPr>
              <w:autoSpaceDE w:val="0"/>
              <w:autoSpaceDN w:val="0"/>
              <w:spacing w:line="360" w:lineRule="auto"/>
              <w:contextualSpacing/>
              <w:textAlignment w:val="bottom"/>
              <w:rPr>
                <w:rFonts w:ascii="宋体" w:hAnsi="宋体" w:eastAsia="宋体" w:cs="Times New Roman"/>
                <w:szCs w:val="21"/>
                <w:u w:val="single"/>
              </w:rPr>
            </w:pPr>
            <w:r>
              <w:rPr>
                <w:rFonts w:hint="eastAsia" w:ascii="宋体" w:hAnsi="宋体" w:eastAsia="宋体" w:cs="Times New Roman"/>
                <w:szCs w:val="21"/>
              </w:rPr>
              <w:t>履约保证金退付方式、时间及条件：详见第二章采购需求</w:t>
            </w:r>
          </w:p>
          <w:p w14:paraId="6CAD5F74">
            <w:pPr>
              <w:autoSpaceDE w:val="0"/>
              <w:autoSpaceDN w:val="0"/>
              <w:spacing w:line="360" w:lineRule="auto"/>
              <w:contextualSpacing/>
              <w:textAlignment w:val="bottom"/>
              <w:rPr>
                <w:rFonts w:ascii="宋体" w:hAnsi="宋体" w:eastAsia="宋体" w:cs="Times New Roman"/>
                <w:szCs w:val="21"/>
              </w:rPr>
            </w:pPr>
            <w:r>
              <w:rPr>
                <w:rFonts w:hint="eastAsia" w:ascii="宋体" w:hAnsi="宋体" w:eastAsia="宋体" w:cs="Times New Roman"/>
                <w:szCs w:val="21"/>
              </w:rPr>
              <w:t>履约保证金指定账户：</w:t>
            </w:r>
          </w:p>
          <w:p w14:paraId="756BD4AD">
            <w:pPr>
              <w:snapToGrid w:val="0"/>
              <w:spacing w:line="360" w:lineRule="auto"/>
              <w:rPr>
                <w:rFonts w:ascii="宋体" w:hAnsi="宋体" w:eastAsia="宋体" w:cs="Times New Roman"/>
                <w:b/>
                <w:szCs w:val="21"/>
              </w:rPr>
            </w:pPr>
            <w:r>
              <w:rPr>
                <w:rFonts w:hint="eastAsia" w:ascii="宋体" w:hAnsi="宋体" w:eastAsia="宋体" w:cs="Times New Roman"/>
                <w:b/>
                <w:szCs w:val="21"/>
              </w:rPr>
              <w:t>开户名称：/</w:t>
            </w:r>
          </w:p>
          <w:p w14:paraId="2E48B5A1">
            <w:pPr>
              <w:snapToGrid w:val="0"/>
              <w:spacing w:line="360" w:lineRule="auto"/>
              <w:rPr>
                <w:rFonts w:ascii="宋体" w:hAnsi="宋体" w:eastAsia="宋体" w:cs="Times New Roman"/>
                <w:b/>
                <w:szCs w:val="21"/>
              </w:rPr>
            </w:pPr>
            <w:r>
              <w:rPr>
                <w:rFonts w:hint="eastAsia" w:ascii="宋体" w:hAnsi="宋体" w:eastAsia="宋体" w:cs="Times New Roman"/>
                <w:b/>
                <w:szCs w:val="21"/>
              </w:rPr>
              <w:t>开户银行：/</w:t>
            </w:r>
          </w:p>
          <w:p w14:paraId="383CC088">
            <w:pPr>
              <w:spacing w:line="360" w:lineRule="auto"/>
              <w:contextualSpacing/>
              <w:jc w:val="left"/>
              <w:rPr>
                <w:rFonts w:ascii="宋体" w:hAnsi="宋体" w:eastAsia="宋体" w:cs="Times New Roman"/>
                <w:b/>
                <w:szCs w:val="21"/>
              </w:rPr>
            </w:pPr>
            <w:r>
              <w:rPr>
                <w:rFonts w:hint="eastAsia" w:ascii="宋体" w:hAnsi="宋体" w:eastAsia="宋体" w:cs="Times New Roman"/>
                <w:b/>
                <w:szCs w:val="21"/>
              </w:rPr>
              <w:t>银行账号：/</w:t>
            </w:r>
          </w:p>
          <w:p w14:paraId="4F990761">
            <w:pPr>
              <w:spacing w:line="360" w:lineRule="auto"/>
              <w:contextualSpacing/>
              <w:jc w:val="left"/>
              <w:rPr>
                <w:rFonts w:ascii="宋体" w:hAnsi="宋体" w:eastAsia="宋体" w:cs="Courier New"/>
                <w:szCs w:val="21"/>
              </w:rPr>
            </w:pPr>
            <w:r>
              <w:rPr>
                <w:rFonts w:ascii="宋体" w:hAnsi="宋体" w:eastAsia="宋体" w:cs="Courier New"/>
                <w:szCs w:val="21"/>
              </w:rPr>
              <w:t>备注：</w:t>
            </w:r>
          </w:p>
          <w:p w14:paraId="3213FD86">
            <w:pPr>
              <w:spacing w:line="360" w:lineRule="auto"/>
              <w:contextualSpacing/>
              <w:jc w:val="left"/>
              <w:rPr>
                <w:rFonts w:ascii="宋体" w:hAnsi="宋体" w:eastAsia="宋体" w:cs="Times New Roman"/>
                <w:b/>
                <w:szCs w:val="21"/>
              </w:rPr>
            </w:pPr>
            <w:r>
              <w:rPr>
                <w:rFonts w:ascii="宋体" w:hAnsi="宋体" w:eastAsia="宋体" w:cs="Times New Roman"/>
                <w:b/>
                <w:szCs w:val="21"/>
              </w:rPr>
              <w:t>1.</w:t>
            </w:r>
            <w:r>
              <w:rPr>
                <w:rFonts w:hint="eastAsia" w:ascii="宋体" w:hAnsi="宋体" w:eastAsia="宋体" w:cs="Times New Roman"/>
                <w:b/>
                <w:szCs w:val="21"/>
              </w:rPr>
              <w:t xml:space="preserve"> </w:t>
            </w:r>
            <w:bookmarkStart w:id="72" w:name="_Hlk54170335"/>
            <w:r>
              <w:rPr>
                <w:rFonts w:hint="eastAsia" w:ascii="宋体" w:hAnsi="宋体" w:eastAsia="宋体" w:cs="Times New Roman"/>
                <w:b/>
                <w:szCs w:val="21"/>
              </w:rPr>
              <w:t>根据《广西壮族自治区财政厅关于贯彻落实政府采购优化营商环境百日攻坚行动方案的通知》（桂财采〔2020〕49号）规定，鼓励招标人在与中小微企业签订政府采购合同时，减少或免于收取履约保证金，有必要收取履约保证金的，收取的履约保证金不得超过政府采购合同金额的5%。</w:t>
            </w:r>
            <w:bookmarkEnd w:id="72"/>
          </w:p>
          <w:p w14:paraId="7476A985">
            <w:pPr>
              <w:spacing w:line="360" w:lineRule="auto"/>
              <w:contextualSpacing/>
              <w:jc w:val="left"/>
              <w:rPr>
                <w:rFonts w:ascii="宋体" w:hAnsi="宋体" w:eastAsia="宋体" w:cs="Times New Roman"/>
                <w:b/>
                <w:szCs w:val="21"/>
              </w:rPr>
            </w:pPr>
            <w:r>
              <w:rPr>
                <w:rFonts w:ascii="宋体" w:hAnsi="宋体" w:eastAsia="宋体" w:cs="Times New Roman"/>
                <w:b/>
                <w:szCs w:val="21"/>
              </w:rPr>
              <w:t>2.</w:t>
            </w:r>
            <w:r>
              <w:rPr>
                <w:rFonts w:hint="eastAsia" w:ascii="宋体" w:hAnsi="宋体" w:eastAsia="宋体" w:cs="Times New Roman"/>
                <w:szCs w:val="21"/>
              </w:rPr>
              <w:t xml:space="preserve"> </w:t>
            </w:r>
            <w:r>
              <w:rPr>
                <w:rFonts w:hint="eastAsia" w:ascii="宋体" w:hAnsi="宋体" w:eastAsia="宋体" w:cs="Times New Roman"/>
                <w:b/>
                <w:szCs w:val="21"/>
              </w:rPr>
              <w:t>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7DD1AF4">
            <w:pPr>
              <w:spacing w:line="360" w:lineRule="auto"/>
              <w:contextualSpacing/>
              <w:jc w:val="left"/>
              <w:rPr>
                <w:rFonts w:ascii="宋体" w:hAnsi="宋体" w:eastAsia="宋体" w:cs="Times New Roman"/>
                <w:b/>
                <w:szCs w:val="21"/>
              </w:rPr>
            </w:pPr>
            <w:r>
              <w:rPr>
                <w:rFonts w:ascii="宋体" w:hAnsi="宋体" w:eastAsia="宋体" w:cs="Times New Roman"/>
                <w:b/>
                <w:szCs w:val="21"/>
              </w:rPr>
              <w:t>3.采用银行、保险机构出具的保函的，必须为无条件保函，否则不予签订合同。</w:t>
            </w:r>
          </w:p>
        </w:tc>
      </w:tr>
      <w:tr w14:paraId="41518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4E4BB48">
            <w:pPr>
              <w:spacing w:line="360" w:lineRule="auto"/>
              <w:jc w:val="center"/>
              <w:rPr>
                <w:rFonts w:ascii="宋体" w:hAnsi="宋体" w:eastAsia="宋体" w:cs="Times New Roman"/>
                <w:szCs w:val="21"/>
              </w:rPr>
            </w:pPr>
            <w:bookmarkStart w:id="73" w:name="_40.1"/>
            <w:bookmarkEnd w:id="73"/>
            <w:r>
              <w:rPr>
                <w:rFonts w:ascii="宋体" w:hAnsi="宋体" w:eastAsia="宋体" w:cs="Times New Roman"/>
                <w:szCs w:val="21"/>
              </w:rPr>
              <w:t>20</w:t>
            </w:r>
          </w:p>
        </w:tc>
        <w:tc>
          <w:tcPr>
            <w:tcW w:w="8748" w:type="dxa"/>
            <w:tcBorders>
              <w:top w:val="single" w:color="auto" w:sz="4" w:space="0"/>
              <w:left w:val="single" w:color="auto" w:sz="4" w:space="0"/>
              <w:bottom w:val="single" w:color="auto" w:sz="4" w:space="0"/>
              <w:right w:val="single" w:color="auto" w:sz="4" w:space="0"/>
            </w:tcBorders>
            <w:vAlign w:val="center"/>
          </w:tcPr>
          <w:p w14:paraId="5A317315">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 xml:space="preserve">签订合同携带的证明材料： </w:t>
            </w:r>
          </w:p>
          <w:p w14:paraId="0907164C">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委托代理人负责签订合同的，须携带授权委托书及委托代理人身份证原件等其他资格证件。</w:t>
            </w:r>
          </w:p>
          <w:p w14:paraId="5231AEF3">
            <w:pPr>
              <w:autoSpaceDE w:val="0"/>
              <w:autoSpaceDN w:val="0"/>
              <w:snapToGrid w:val="0"/>
              <w:spacing w:line="360" w:lineRule="auto"/>
              <w:textAlignment w:val="bottom"/>
              <w:rPr>
                <w:rFonts w:ascii="宋体" w:hAnsi="宋体" w:eastAsia="宋体" w:cs="Times New Roman"/>
                <w:szCs w:val="21"/>
              </w:rPr>
            </w:pPr>
            <w:r>
              <w:rPr>
                <w:rFonts w:hint="eastAsia" w:ascii="宋体" w:hAnsi="宋体" w:eastAsia="宋体" w:cs="Times New Roman"/>
                <w:szCs w:val="21"/>
              </w:rPr>
              <w:t>法定代表人负责签订合同的，须携带法定代表人</w:t>
            </w:r>
            <w:r>
              <w:rPr>
                <w:rFonts w:ascii="宋体" w:hAnsi="宋体" w:eastAsia="宋体" w:cs="Times New Roman"/>
                <w:szCs w:val="21"/>
              </w:rPr>
              <w:t>身份证明原件</w:t>
            </w:r>
            <w:r>
              <w:rPr>
                <w:rFonts w:hint="eastAsia" w:ascii="宋体" w:hAnsi="宋体" w:eastAsia="宋体" w:cs="Times New Roman"/>
                <w:szCs w:val="21"/>
              </w:rPr>
              <w:t>及</w:t>
            </w:r>
            <w:r>
              <w:rPr>
                <w:rFonts w:ascii="宋体" w:hAnsi="宋体" w:eastAsia="宋体" w:cs="Times New Roman"/>
                <w:szCs w:val="21"/>
              </w:rPr>
              <w:t>身份证原件</w:t>
            </w:r>
            <w:r>
              <w:rPr>
                <w:rFonts w:hint="eastAsia" w:ascii="宋体" w:hAnsi="宋体" w:eastAsia="宋体" w:cs="Times New Roman"/>
                <w:szCs w:val="21"/>
              </w:rPr>
              <w:t>等其他证明材料。</w:t>
            </w:r>
          </w:p>
        </w:tc>
      </w:tr>
      <w:tr w14:paraId="67F1AE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050D1806">
            <w:pPr>
              <w:spacing w:line="360" w:lineRule="auto"/>
              <w:jc w:val="center"/>
              <w:rPr>
                <w:rFonts w:ascii="宋体" w:hAnsi="宋体" w:eastAsia="宋体" w:cs="Times New Roman"/>
                <w:szCs w:val="21"/>
              </w:rPr>
            </w:pPr>
            <w:r>
              <w:rPr>
                <w:rFonts w:ascii="宋体" w:hAnsi="宋体" w:eastAsia="宋体" w:cs="Times New Roman"/>
                <w:szCs w:val="21"/>
              </w:rPr>
              <w:t>21</w:t>
            </w:r>
          </w:p>
        </w:tc>
        <w:tc>
          <w:tcPr>
            <w:tcW w:w="8748" w:type="dxa"/>
            <w:tcBorders>
              <w:top w:val="single" w:color="auto" w:sz="4" w:space="0"/>
              <w:left w:val="single" w:color="auto" w:sz="4" w:space="0"/>
              <w:bottom w:val="single" w:color="auto" w:sz="4" w:space="0"/>
              <w:right w:val="single" w:color="auto" w:sz="4" w:space="0"/>
            </w:tcBorders>
            <w:vAlign w:val="center"/>
          </w:tcPr>
          <w:p w14:paraId="7434D568">
            <w:pPr>
              <w:snapToGrid w:val="0"/>
              <w:spacing w:line="360" w:lineRule="auto"/>
              <w:rPr>
                <w:rFonts w:ascii="宋体" w:hAnsi="宋体" w:eastAsia="宋体" w:cs="Times New Roman"/>
                <w:szCs w:val="21"/>
              </w:rPr>
            </w:pPr>
            <w:r>
              <w:rPr>
                <w:rFonts w:hint="eastAsia" w:ascii="宋体" w:hAnsi="宋体" w:eastAsia="宋体" w:cs="Times New Roman"/>
                <w:szCs w:val="21"/>
              </w:rPr>
              <w:t>接收质疑函方式：以书面形式</w:t>
            </w:r>
          </w:p>
          <w:p w14:paraId="71505187">
            <w:pPr>
              <w:snapToGrid w:val="0"/>
              <w:spacing w:line="360" w:lineRule="auto"/>
              <w:rPr>
                <w:rFonts w:ascii="宋体" w:hAnsi="宋体" w:eastAsia="宋体" w:cs="Times New Roman"/>
                <w:szCs w:val="21"/>
              </w:rPr>
            </w:pPr>
            <w:r>
              <w:rPr>
                <w:rFonts w:hint="eastAsia" w:ascii="宋体" w:hAnsi="宋体" w:eastAsia="宋体" w:cs="Times New Roman"/>
                <w:szCs w:val="21"/>
              </w:rPr>
              <w:t>质疑联系部门及联系方式：</w:t>
            </w:r>
            <w:r>
              <w:rPr>
                <w:rFonts w:hint="eastAsia" w:ascii="宋体" w:hAnsi="宋体" w:eastAsia="宋体" w:cs="Times New Roman"/>
                <w:szCs w:val="21"/>
                <w:u w:val="single"/>
              </w:rPr>
              <w:t>中经国际招标集团有限公司</w:t>
            </w:r>
            <w:r>
              <w:rPr>
                <w:rFonts w:hint="eastAsia" w:ascii="宋体" w:hAnsi="宋体" w:eastAsia="宋体" w:cs="Times New Roman"/>
                <w:szCs w:val="21"/>
              </w:rPr>
              <w:t>，</w:t>
            </w:r>
            <w:r>
              <w:rPr>
                <w:rFonts w:ascii="宋体" w:hAnsi="宋体" w:eastAsia="宋体" w:cs="Times New Roman"/>
                <w:szCs w:val="21"/>
              </w:rPr>
              <w:t>联系电话</w:t>
            </w:r>
            <w:r>
              <w:rPr>
                <w:rFonts w:hint="eastAsia" w:ascii="宋体" w:hAnsi="宋体" w:eastAsia="宋体" w:cs="Times New Roman"/>
                <w:szCs w:val="21"/>
              </w:rPr>
              <w:t>：0774-</w:t>
            </w:r>
            <w:r>
              <w:rPr>
                <w:rFonts w:ascii="宋体" w:hAnsi="宋体" w:eastAsia="宋体" w:cs="Times New Roman"/>
                <w:szCs w:val="21"/>
              </w:rPr>
              <w:t>3819193</w:t>
            </w:r>
            <w:r>
              <w:rPr>
                <w:rFonts w:hint="eastAsia" w:ascii="宋体" w:hAnsi="宋体" w:eastAsia="宋体" w:cs="Times New Roman"/>
                <w:szCs w:val="21"/>
              </w:rPr>
              <w:t>，</w:t>
            </w:r>
            <w:r>
              <w:rPr>
                <w:rFonts w:ascii="宋体" w:hAnsi="宋体" w:eastAsia="宋体" w:cs="Times New Roman"/>
                <w:szCs w:val="21"/>
              </w:rPr>
              <w:t>通讯地址</w:t>
            </w:r>
            <w:r>
              <w:rPr>
                <w:rFonts w:hint="eastAsia" w:ascii="宋体" w:hAnsi="宋体" w:eastAsia="宋体" w:cs="Helvetica"/>
                <w:szCs w:val="21"/>
              </w:rPr>
              <w:t>：</w:t>
            </w:r>
            <w:r>
              <w:rPr>
                <w:rFonts w:hint="eastAsia" w:ascii="宋体" w:hAnsi="宋体" w:eastAsia="宋体" w:cs="Times New Roman"/>
                <w:szCs w:val="21"/>
                <w:u w:val="single"/>
              </w:rPr>
              <w:t>梧州市长洲区新兴二路1</w:t>
            </w:r>
            <w:r>
              <w:rPr>
                <w:rFonts w:ascii="宋体" w:hAnsi="宋体" w:eastAsia="宋体" w:cs="Times New Roman"/>
                <w:szCs w:val="21"/>
                <w:u w:val="single"/>
              </w:rPr>
              <w:t>25</w:t>
            </w:r>
            <w:r>
              <w:rPr>
                <w:rFonts w:hint="eastAsia" w:ascii="宋体" w:hAnsi="宋体" w:eastAsia="宋体" w:cs="Times New Roman"/>
                <w:szCs w:val="21"/>
                <w:u w:val="single"/>
              </w:rPr>
              <w:t>梧州日报社</w:t>
            </w:r>
            <w:r>
              <w:rPr>
                <w:rFonts w:ascii="宋体" w:hAnsi="宋体" w:eastAsia="宋体" w:cs="Times New Roman"/>
                <w:szCs w:val="21"/>
                <w:u w:val="single"/>
              </w:rPr>
              <w:t>8</w:t>
            </w:r>
            <w:r>
              <w:rPr>
                <w:rFonts w:hint="eastAsia" w:ascii="宋体" w:hAnsi="宋体" w:eastAsia="宋体" w:cs="Times New Roman"/>
                <w:szCs w:val="21"/>
                <w:u w:val="single"/>
              </w:rPr>
              <w:t>楼</w:t>
            </w:r>
          </w:p>
          <w:p w14:paraId="36165009">
            <w:pPr>
              <w:autoSpaceDE w:val="0"/>
              <w:autoSpaceDN w:val="0"/>
              <w:snapToGrid w:val="0"/>
              <w:spacing w:line="360" w:lineRule="auto"/>
              <w:textAlignment w:val="bottom"/>
              <w:rPr>
                <w:rFonts w:ascii="宋体" w:hAnsi="宋体" w:eastAsia="宋体" w:cs="Times New Roman"/>
                <w:szCs w:val="21"/>
              </w:rPr>
            </w:pPr>
            <w:r>
              <w:rPr>
                <w:rFonts w:hint="eastAsia" w:ascii="Times New Roman" w:hAnsi="宋体" w:eastAsia="宋体" w:cs="Times New Roman"/>
                <w:szCs w:val="24"/>
              </w:rPr>
              <w:t>现场提交质疑办理业务时间：每天8时00分到12时00分，15时00分到18时00分，业务时间以外、双休日和法定节假日不办理业务。</w:t>
            </w:r>
          </w:p>
        </w:tc>
      </w:tr>
      <w:tr w14:paraId="650BA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432E7119">
            <w:pPr>
              <w:spacing w:line="360" w:lineRule="auto"/>
              <w:jc w:val="center"/>
              <w:rPr>
                <w:rFonts w:ascii="宋体" w:hAnsi="宋体" w:eastAsia="宋体" w:cs="Times New Roman"/>
                <w:szCs w:val="21"/>
              </w:rPr>
            </w:pPr>
            <w:bookmarkStart w:id="74" w:name="_42"/>
            <w:bookmarkEnd w:id="74"/>
            <w:bookmarkStart w:id="75" w:name="_41"/>
            <w:bookmarkEnd w:id="75"/>
            <w:r>
              <w:rPr>
                <w:rFonts w:ascii="宋体" w:hAnsi="宋体" w:eastAsia="宋体" w:cs="Times New Roman"/>
                <w:szCs w:val="21"/>
              </w:rPr>
              <w:t>22</w:t>
            </w:r>
          </w:p>
        </w:tc>
        <w:tc>
          <w:tcPr>
            <w:tcW w:w="8748" w:type="dxa"/>
            <w:tcBorders>
              <w:top w:val="single" w:color="auto" w:sz="4" w:space="0"/>
              <w:left w:val="single" w:color="auto" w:sz="4" w:space="0"/>
              <w:bottom w:val="single" w:color="auto" w:sz="4" w:space="0"/>
              <w:right w:val="single" w:color="auto" w:sz="4" w:space="0"/>
            </w:tcBorders>
            <w:vAlign w:val="center"/>
          </w:tcPr>
          <w:p w14:paraId="10DF0C0D">
            <w:pPr>
              <w:pStyle w:val="21"/>
              <w:snapToGrid w:val="0"/>
              <w:spacing w:line="360" w:lineRule="auto"/>
              <w:rPr>
                <w:rFonts w:hAnsi="宋体" w:cs="宋体"/>
                <w:sz w:val="21"/>
              </w:rPr>
            </w:pPr>
            <w:r>
              <w:rPr>
                <w:rFonts w:hint="eastAsia" w:hAnsi="宋体" w:cs="宋体"/>
                <w:sz w:val="21"/>
                <w:lang w:val="en-US"/>
              </w:rPr>
              <w:t>1.</w:t>
            </w:r>
            <w:r>
              <w:rPr>
                <w:rFonts w:hint="eastAsia" w:hAnsi="宋体" w:cs="宋体"/>
                <w:sz w:val="21"/>
              </w:rPr>
              <w:t>采购代理费支付方式：</w:t>
            </w:r>
          </w:p>
          <w:p w14:paraId="2ED97484">
            <w:pPr>
              <w:pStyle w:val="21"/>
              <w:snapToGrid w:val="0"/>
              <w:spacing w:line="360" w:lineRule="auto"/>
              <w:rPr>
                <w:rFonts w:hAnsi="宋体" w:cs="宋体"/>
                <w:sz w:val="21"/>
              </w:rPr>
            </w:pPr>
            <w:r>
              <w:rPr>
                <w:rFonts w:hint="eastAsia" w:hAnsi="宋体" w:cs="宋体"/>
              </w:rPr>
              <w:t xml:space="preserve"> </w:t>
            </w:r>
            <w:r>
              <w:rPr>
                <w:rFonts w:hint="eastAsia" w:hAnsi="宋体" w:cs="宋体"/>
                <w:sz w:val="21"/>
              </w:rPr>
              <w:sym w:font="Wingdings" w:char="F0FE"/>
            </w: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7D7D9F08">
            <w:pPr>
              <w:pStyle w:val="21"/>
              <w:snapToGrid w:val="0"/>
              <w:spacing w:line="360" w:lineRule="auto"/>
              <w:rPr>
                <w:rFonts w:hAnsi="宋体" w:cs="宋体"/>
                <w:sz w:val="21"/>
              </w:rPr>
            </w:pPr>
            <w:r>
              <w:rPr>
                <w:rFonts w:hint="eastAsia" w:hAnsi="宋体" w:cs="宋体"/>
                <w:sz w:val="21"/>
              </w:rPr>
              <w:t>□招标人支付。</w:t>
            </w:r>
          </w:p>
          <w:p w14:paraId="3F0E6334">
            <w:pPr>
              <w:pStyle w:val="21"/>
              <w:snapToGrid w:val="0"/>
              <w:spacing w:line="360" w:lineRule="auto"/>
              <w:rPr>
                <w:rFonts w:hAnsi="宋体" w:cs="宋体"/>
                <w:sz w:val="21"/>
              </w:rPr>
            </w:pPr>
            <w:r>
              <w:rPr>
                <w:rFonts w:hint="eastAsia" w:hAnsi="宋体" w:cs="宋体"/>
                <w:sz w:val="21"/>
              </w:rPr>
              <w:t>2.采购代理费收取标准：</w:t>
            </w:r>
          </w:p>
          <w:p w14:paraId="4E0E0B53">
            <w:pPr>
              <w:pStyle w:val="21"/>
              <w:snapToGrid w:val="0"/>
              <w:spacing w:line="360" w:lineRule="auto"/>
              <w:rPr>
                <w:rFonts w:hAnsi="宋体" w:cs="宋体"/>
                <w:sz w:val="21"/>
              </w:rPr>
            </w:pPr>
            <w:r>
              <w:rPr>
                <w:rFonts w:hint="eastAsia" w:hAnsi="宋体" w:cs="宋体"/>
                <w:sz w:val="21"/>
              </w:rPr>
              <w:t>☑以分标（☑中标金额/□采购预算/□暂定中标金额/□其他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条规定的收费计算标准（☑货物招标/□服务招标/□工程招标）采用差额定率累进法计算出收费基准价格，采购代理收费以（☑收费基准价格/□收费基准价格下浮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5B3A5D56">
            <w:pPr>
              <w:pStyle w:val="21"/>
              <w:snapToGrid w:val="0"/>
              <w:spacing w:line="360" w:lineRule="auto"/>
              <w:rPr>
                <w:rFonts w:hAnsi="宋体" w:cs="宋体"/>
                <w:sz w:val="21"/>
                <w:u w:val="single"/>
              </w:rPr>
            </w:pPr>
            <w:r>
              <w:rPr>
                <w:rFonts w:hint="eastAsia" w:hAnsi="宋体" w:cs="宋体"/>
                <w:sz w:val="21"/>
              </w:rPr>
              <w:sym w:font="Wingdings" w:char="00A8"/>
            </w:r>
            <w:r>
              <w:rPr>
                <w:rFonts w:hint="eastAsia" w:hAnsi="宋体" w:cs="宋体"/>
                <w:sz w:val="21"/>
              </w:rPr>
              <w:t>固定采购代理收费</w:t>
            </w:r>
          </w:p>
          <w:p w14:paraId="715CCDB7">
            <w:pPr>
              <w:snapToGrid w:val="0"/>
              <w:spacing w:line="360" w:lineRule="auto"/>
              <w:rPr>
                <w:rFonts w:ascii="宋体" w:hAnsi="宋体" w:eastAsia="宋体" w:cs="宋体"/>
                <w:kern w:val="0"/>
                <w:szCs w:val="21"/>
              </w:rPr>
            </w:pPr>
            <w:r>
              <w:rPr>
                <w:rFonts w:hint="eastAsia" w:ascii="宋体" w:hAnsi="宋体" w:eastAsia="宋体" w:cs="宋体"/>
                <w:kern w:val="0"/>
                <w:szCs w:val="21"/>
              </w:rPr>
              <w:t>3.采购代理费收取银行账户信息以中标事项告知书为准。</w:t>
            </w:r>
          </w:p>
        </w:tc>
      </w:tr>
      <w:tr w14:paraId="6400EF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10606EF2">
            <w:pPr>
              <w:snapToGrid w:val="0"/>
              <w:spacing w:line="360" w:lineRule="auto"/>
              <w:jc w:val="center"/>
              <w:rPr>
                <w:rFonts w:ascii="宋体" w:hAnsi="宋体" w:eastAsia="宋体" w:cs="Times New Roman"/>
                <w:szCs w:val="21"/>
              </w:rPr>
            </w:pPr>
            <w:r>
              <w:rPr>
                <w:rFonts w:ascii="宋体" w:hAnsi="宋体" w:eastAsia="宋体" w:cs="Times New Roman"/>
                <w:szCs w:val="21"/>
              </w:rPr>
              <w:t>23</w:t>
            </w:r>
          </w:p>
        </w:tc>
        <w:tc>
          <w:tcPr>
            <w:tcW w:w="8748" w:type="dxa"/>
            <w:tcBorders>
              <w:top w:val="single" w:color="auto" w:sz="4" w:space="0"/>
              <w:left w:val="single" w:color="auto" w:sz="4" w:space="0"/>
              <w:bottom w:val="single" w:color="auto" w:sz="4" w:space="0"/>
              <w:right w:val="single" w:color="auto" w:sz="4" w:space="0"/>
            </w:tcBorders>
            <w:vAlign w:val="center"/>
          </w:tcPr>
          <w:p w14:paraId="6B6EF3EC">
            <w:pPr>
              <w:snapToGrid w:val="0"/>
              <w:spacing w:line="360" w:lineRule="auto"/>
              <w:rPr>
                <w:rFonts w:ascii="宋体" w:hAnsi="宋体" w:eastAsia="宋体" w:cs="Times New Roman"/>
                <w:szCs w:val="21"/>
              </w:rPr>
            </w:pPr>
            <w:r>
              <w:rPr>
                <w:rFonts w:hint="eastAsia" w:ascii="宋体" w:hAnsi="宋体" w:eastAsia="宋体" w:cs="Times New Roman"/>
                <w:szCs w:val="21"/>
              </w:rPr>
              <w:t>解释：</w:t>
            </w:r>
            <w:r>
              <w:rPr>
                <w:rFonts w:ascii="宋体" w:hAnsi="宋体" w:eastAsia="宋体" w:cs="Times New Roman"/>
                <w:szCs w:val="21"/>
              </w:rPr>
              <w:t>构成本招标文件的各个组成文件应互为解释，互为说明；除招标文件中有特别规定外，仅适用于招标投标阶段的规定，按</w:t>
            </w:r>
            <w:r>
              <w:rPr>
                <w:rFonts w:hint="eastAsia" w:ascii="宋体" w:hAnsi="宋体" w:eastAsia="宋体" w:cs="Times New Roman"/>
                <w:szCs w:val="21"/>
              </w:rPr>
              <w:t>更正公告（澄清公告）</w:t>
            </w:r>
            <w:r>
              <w:rPr>
                <w:rFonts w:ascii="宋体" w:hAnsi="宋体" w:eastAsia="宋体" w:cs="Times New Roman"/>
                <w:szCs w:val="21"/>
              </w:rPr>
              <w:t>、招标公告、</w:t>
            </w:r>
            <w:r>
              <w:rPr>
                <w:rFonts w:hint="eastAsia" w:ascii="宋体" w:hAnsi="宋体" w:eastAsia="宋体" w:cs="Times New Roman"/>
                <w:szCs w:val="21"/>
              </w:rPr>
              <w:t>采购需求、</w:t>
            </w:r>
            <w:r>
              <w:rPr>
                <w:rFonts w:ascii="宋体" w:hAnsi="宋体" w:eastAsia="宋体" w:cs="Times New Roman"/>
                <w:szCs w:val="21"/>
              </w:rPr>
              <w:t>投标人须知、</w:t>
            </w:r>
            <w:r>
              <w:rPr>
                <w:rFonts w:hint="eastAsia" w:ascii="宋体" w:hAnsi="宋体" w:eastAsia="宋体" w:cs="Times New Roman"/>
                <w:szCs w:val="21"/>
              </w:rPr>
              <w:t>评标方法及评标标准</w:t>
            </w:r>
            <w:r>
              <w:rPr>
                <w:rFonts w:ascii="宋体" w:hAnsi="宋体" w:eastAsia="宋体" w:cs="Times New Roman"/>
                <w:szCs w:val="21"/>
              </w:rPr>
              <w:t>、</w:t>
            </w:r>
            <w:r>
              <w:rPr>
                <w:rFonts w:hint="eastAsia" w:ascii="宋体" w:hAnsi="宋体" w:eastAsia="宋体" w:cs="Times New Roman"/>
                <w:szCs w:val="21"/>
              </w:rPr>
              <w:t>拟签订的合同文本、</w:t>
            </w:r>
            <w:r>
              <w:rPr>
                <w:rFonts w:ascii="宋体" w:hAnsi="宋体" w:eastAsia="宋体" w:cs="Times New Roman"/>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szCs w:val="21"/>
              </w:rPr>
              <w:t>更正公告（澄清公告）</w:t>
            </w:r>
            <w:r>
              <w:rPr>
                <w:rFonts w:ascii="宋体" w:hAnsi="宋体" w:eastAsia="宋体" w:cs="Times New Roman"/>
                <w:szCs w:val="21"/>
              </w:rPr>
              <w:t>与同步更新的招标文件不一致时以</w:t>
            </w:r>
            <w:r>
              <w:rPr>
                <w:rFonts w:hint="eastAsia" w:ascii="宋体" w:hAnsi="宋体" w:eastAsia="宋体" w:cs="Times New Roman"/>
                <w:szCs w:val="21"/>
              </w:rPr>
              <w:t>更正公告（澄清公告）</w:t>
            </w:r>
            <w:r>
              <w:rPr>
                <w:rFonts w:ascii="宋体" w:hAnsi="宋体" w:eastAsia="宋体" w:cs="Times New Roman"/>
                <w:szCs w:val="21"/>
              </w:rPr>
              <w:t>为准。按本款前述规定仍不能形成结论的，由</w:t>
            </w:r>
            <w:r>
              <w:rPr>
                <w:rFonts w:hint="eastAsia" w:ascii="宋体" w:hAnsi="宋体" w:eastAsia="宋体" w:cs="Times New Roman"/>
                <w:szCs w:val="21"/>
              </w:rPr>
              <w:t>招标人或者采购代理机构</w:t>
            </w:r>
            <w:r>
              <w:rPr>
                <w:rFonts w:ascii="宋体" w:hAnsi="宋体" w:eastAsia="宋体" w:cs="Times New Roman"/>
                <w:szCs w:val="21"/>
              </w:rPr>
              <w:t>负责解释。</w:t>
            </w:r>
          </w:p>
        </w:tc>
      </w:tr>
      <w:tr w14:paraId="3F9803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DDABEE2">
            <w:pPr>
              <w:snapToGrid w:val="0"/>
              <w:spacing w:line="360" w:lineRule="auto"/>
              <w:jc w:val="center"/>
              <w:rPr>
                <w:rFonts w:ascii="宋体" w:hAnsi="宋体" w:eastAsia="宋体" w:cs="Times New Roman"/>
                <w:szCs w:val="21"/>
              </w:rPr>
            </w:pPr>
            <w:r>
              <w:rPr>
                <w:rFonts w:ascii="宋体" w:hAnsi="宋体" w:eastAsia="宋体" w:cs="Times New Roman"/>
                <w:szCs w:val="21"/>
              </w:rPr>
              <w:t>24</w:t>
            </w:r>
          </w:p>
        </w:tc>
        <w:tc>
          <w:tcPr>
            <w:tcW w:w="8748" w:type="dxa"/>
            <w:tcBorders>
              <w:top w:val="single" w:color="auto" w:sz="4" w:space="0"/>
              <w:left w:val="single" w:color="auto" w:sz="4" w:space="0"/>
              <w:bottom w:val="single" w:color="auto" w:sz="4" w:space="0"/>
              <w:right w:val="single" w:color="auto" w:sz="4" w:space="0"/>
            </w:tcBorders>
            <w:vAlign w:val="center"/>
          </w:tcPr>
          <w:p w14:paraId="79FBFEE3">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36172E0">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83BDA32">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3.本招标文件中描述投标人的“签字”是指投标人的法定代表人或者委托代理人亲自在文件规定签字处亲笔写上个人的名字的行为，私章、签字章、印鉴、影印等其他形式均不能代替亲笔签字。</w:t>
            </w:r>
          </w:p>
          <w:p w14:paraId="06DABEF4">
            <w:pPr>
              <w:snapToGrid w:val="0"/>
              <w:spacing w:line="360" w:lineRule="auto"/>
              <w:rPr>
                <w:rFonts w:ascii="宋体" w:hAnsi="宋体" w:eastAsia="宋体" w:cs="宋体"/>
                <w:bCs/>
                <w:kern w:val="0"/>
                <w:szCs w:val="21"/>
              </w:rPr>
            </w:pPr>
            <w:r>
              <w:rPr>
                <w:rFonts w:hint="eastAsia" w:ascii="宋体" w:hAnsi="宋体" w:eastAsia="宋体" w:cs="宋体"/>
                <w:bCs/>
                <w:kern w:val="0"/>
                <w:szCs w:val="21"/>
              </w:rPr>
              <w:t>4.自然人投标的，招标文件规定盖公章处由自然人摁手指指印。</w:t>
            </w:r>
          </w:p>
          <w:p w14:paraId="708D99CD">
            <w:pPr>
              <w:spacing w:line="360" w:lineRule="auto"/>
              <w:jc w:val="left"/>
              <w:rPr>
                <w:rFonts w:ascii="宋体" w:hAnsi="宋体" w:eastAsia="宋体" w:cs="Times New Roman"/>
                <w:szCs w:val="21"/>
              </w:rPr>
            </w:pPr>
            <w:r>
              <w:rPr>
                <w:rFonts w:hint="eastAsia" w:ascii="宋体" w:hAnsi="宋体" w:eastAsia="宋体" w:cs="宋体"/>
                <w:bCs/>
                <w:szCs w:val="21"/>
              </w:rPr>
              <w:t>5.本招标文件所称的“以上”“以下”“以内”“届满”，包括本数；所称的“不满”“超过”“以外”，不包括本数。</w:t>
            </w:r>
          </w:p>
        </w:tc>
      </w:tr>
    </w:tbl>
    <w:p w14:paraId="1D649FC4">
      <w:pPr>
        <w:snapToGrid w:val="0"/>
        <w:rPr>
          <w:rFonts w:ascii="宋体" w:hAnsi="宋体" w:eastAsia="宋体" w:cs="Times New Roman"/>
          <w:sz w:val="24"/>
          <w:szCs w:val="20"/>
        </w:rPr>
      </w:pPr>
    </w:p>
    <w:p w14:paraId="160837D9">
      <w:pPr>
        <w:spacing w:before="260" w:after="260" w:line="416" w:lineRule="auto"/>
        <w:jc w:val="center"/>
        <w:outlineLvl w:val="2"/>
        <w:rPr>
          <w:rFonts w:ascii="Times New Roman" w:hAnsi="Times New Roman" w:eastAsia="宋体" w:cs="Times New Roman"/>
          <w:b/>
          <w:bCs/>
          <w:kern w:val="0"/>
          <w:sz w:val="32"/>
          <w:szCs w:val="32"/>
          <w:lang w:val="zh-CN"/>
        </w:rPr>
      </w:pPr>
      <w:r>
        <w:rPr>
          <w:rFonts w:ascii="Times New Roman" w:hAnsi="Times New Roman" w:eastAsia="宋体" w:cs="Times New Roman"/>
          <w:b/>
          <w:bCs/>
          <w:kern w:val="0"/>
          <w:sz w:val="32"/>
          <w:szCs w:val="32"/>
          <w:lang w:val="zh-CN"/>
        </w:rPr>
        <w:br w:type="page"/>
      </w:r>
      <w:r>
        <w:rPr>
          <w:rFonts w:hint="eastAsia" w:ascii="Times New Roman" w:hAnsi="Times New Roman" w:eastAsia="宋体" w:cs="Times New Roman"/>
          <w:b/>
          <w:bCs/>
          <w:kern w:val="0"/>
          <w:sz w:val="32"/>
          <w:szCs w:val="32"/>
          <w:lang w:val="zh-CN"/>
        </w:rPr>
        <w:t>投标人须知正文</w:t>
      </w:r>
    </w:p>
    <w:p w14:paraId="0E971FF1">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一、总  则</w:t>
      </w:r>
    </w:p>
    <w:p w14:paraId="48A953CF">
      <w:pPr>
        <w:numPr>
          <w:ilvl w:val="4"/>
          <w:numId w:val="0"/>
        </w:numPr>
        <w:spacing w:line="360" w:lineRule="auto"/>
        <w:ind w:left="420" w:leftChars="200"/>
        <w:outlineLvl w:val="4"/>
        <w:rPr>
          <w:rFonts w:ascii="黑体" w:hAnsi="黑体" w:eastAsia="黑体" w:cs="Times New Roman"/>
          <w:b/>
          <w:sz w:val="24"/>
          <w:szCs w:val="24"/>
          <w:lang w:val="zh-CN"/>
        </w:rPr>
      </w:pPr>
      <w:bookmarkStart w:id="76" w:name="_Toc254970527"/>
      <w:bookmarkStart w:id="77" w:name="_Toc254970668"/>
      <w:r>
        <w:rPr>
          <w:rFonts w:hint="eastAsia" w:ascii="黑体" w:hAnsi="黑体" w:eastAsia="黑体" w:cs="Times New Roman"/>
          <w:b/>
          <w:sz w:val="24"/>
          <w:szCs w:val="24"/>
          <w:lang w:val="zh-CN"/>
        </w:rPr>
        <w:t>1.适用范围</w:t>
      </w:r>
      <w:bookmarkEnd w:id="76"/>
      <w:bookmarkEnd w:id="77"/>
    </w:p>
    <w:p w14:paraId="0BAB1812">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1.1适用法律：本项目招标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26A321B6">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1.2本招标文件</w:t>
      </w:r>
      <w:r>
        <w:rPr>
          <w:rFonts w:hint="eastAsia" w:ascii="宋体" w:hAnsi="宋体" w:eastAsia="宋体" w:cs="宋体"/>
          <w:spacing w:val="-6"/>
          <w:szCs w:val="21"/>
        </w:rPr>
        <w:t>适用于本项目的所有采购程序和环节（法律、法规另有规定的，从其规定）。</w:t>
      </w:r>
    </w:p>
    <w:p w14:paraId="431628CA">
      <w:pPr>
        <w:numPr>
          <w:ilvl w:val="4"/>
          <w:numId w:val="0"/>
        </w:numPr>
        <w:spacing w:line="360" w:lineRule="auto"/>
        <w:ind w:left="420" w:leftChars="200"/>
        <w:outlineLvl w:val="4"/>
        <w:rPr>
          <w:rFonts w:ascii="黑体" w:hAnsi="黑体" w:eastAsia="黑体" w:cs="Times New Roman"/>
          <w:b/>
          <w:sz w:val="24"/>
          <w:szCs w:val="24"/>
          <w:lang w:val="zh-CN"/>
        </w:rPr>
      </w:pPr>
      <w:bookmarkStart w:id="78" w:name="_Toc254970669"/>
      <w:bookmarkStart w:id="79" w:name="_Toc254970528"/>
      <w:r>
        <w:rPr>
          <w:rFonts w:hint="eastAsia" w:ascii="黑体" w:hAnsi="黑体" w:eastAsia="黑体" w:cs="Times New Roman"/>
          <w:b/>
          <w:sz w:val="24"/>
          <w:szCs w:val="24"/>
          <w:lang w:val="zh-CN"/>
        </w:rPr>
        <w:t>2.定义</w:t>
      </w:r>
      <w:bookmarkEnd w:id="78"/>
      <w:bookmarkEnd w:id="79"/>
    </w:p>
    <w:p w14:paraId="27E095A2">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2.1“招标人”是指依法进行政府采购的国家机关、事业单位、团体组织。</w:t>
      </w:r>
    </w:p>
    <w:p w14:paraId="05797E8A">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2.2“采购代理机构”是指政府采购集中采购机构和集中采购机构以外的采购代理机构。</w:t>
      </w:r>
    </w:p>
    <w:p w14:paraId="40EAF1BF">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2.3“供应商”是指向招标人提供货物、工程或者服务的法人、其他组织或者自然人。</w:t>
      </w:r>
    </w:p>
    <w:p w14:paraId="0FE6F3E4">
      <w:pPr>
        <w:spacing w:line="360" w:lineRule="auto"/>
        <w:ind w:firstLine="420"/>
        <w:rPr>
          <w:rFonts w:ascii="宋体" w:hAnsi="宋体" w:eastAsia="宋体" w:cs="Times New Roman"/>
          <w:szCs w:val="21"/>
        </w:rPr>
      </w:pPr>
      <w:r>
        <w:rPr>
          <w:rFonts w:hint="eastAsia" w:ascii="宋体" w:hAnsi="宋体" w:eastAsia="宋体" w:cs="Times New Roman"/>
          <w:szCs w:val="21"/>
        </w:rPr>
        <w:t>2.4“投标人”是指响应招标、参加投标竞争的法人、非法人组织或者自然人。</w:t>
      </w:r>
    </w:p>
    <w:p w14:paraId="289E4293">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2.5“服务”是指除货物和工程以外的其他政府采购对象。</w:t>
      </w:r>
    </w:p>
    <w:p w14:paraId="28CCB6CC">
      <w:pPr>
        <w:numPr>
          <w:ilvl w:val="4"/>
          <w:numId w:val="0"/>
        </w:numPr>
        <w:spacing w:line="360" w:lineRule="auto"/>
        <w:outlineLvl w:val="4"/>
        <w:rPr>
          <w:rFonts w:ascii="宋体" w:hAnsi="宋体" w:eastAsia="宋体" w:cs="Times New Roman"/>
          <w:szCs w:val="21"/>
          <w:lang w:val="zh-CN"/>
        </w:rPr>
      </w:pPr>
      <w:r>
        <w:rPr>
          <w:rFonts w:hint="eastAsia" w:ascii="宋体" w:hAnsi="宋体" w:eastAsia="宋体" w:cs="Times New Roman"/>
          <w:szCs w:val="21"/>
          <w:lang w:val="zh-CN"/>
        </w:rPr>
        <w:t xml:space="preserve">    2.</w:t>
      </w:r>
      <w:r>
        <w:rPr>
          <w:rFonts w:ascii="宋体" w:hAnsi="宋体" w:eastAsia="宋体" w:cs="Times New Roman"/>
          <w:szCs w:val="21"/>
          <w:lang w:val="zh-CN"/>
        </w:rPr>
        <w:t>6</w:t>
      </w:r>
      <w:r>
        <w:rPr>
          <w:rFonts w:hint="eastAsia" w:ascii="宋体" w:hAnsi="宋体" w:eastAsia="宋体" w:cs="Times New Roman"/>
          <w:szCs w:val="21"/>
          <w:lang w:val="zh-CN"/>
        </w:rPr>
        <w:t>“书面形式”是指合同书、信件和数据电文（包括电报、电传、传真、电子数据交换和电子邮件）等可以有形地表现所载内容的形式。</w:t>
      </w:r>
    </w:p>
    <w:p w14:paraId="18D3E260">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2.</w:t>
      </w:r>
      <w:r>
        <w:rPr>
          <w:rFonts w:ascii="宋体" w:hAnsi="宋体" w:eastAsia="宋体" w:cs="Times New Roman"/>
          <w:szCs w:val="21"/>
          <w:lang w:val="zh-CN"/>
        </w:rPr>
        <w:t>7</w:t>
      </w:r>
      <w:r>
        <w:rPr>
          <w:rFonts w:hint="eastAsia" w:ascii="宋体" w:hAnsi="宋体" w:eastAsia="宋体" w:cs="Times New Roman"/>
          <w:szCs w:val="21"/>
          <w:lang w:val="zh-CN"/>
        </w:rPr>
        <w:t>“实质性要求”是指招标文件中已经指明不满足则投标无效的条款，或者不能负偏离的条款，或者采购需求中带“</w:t>
      </w:r>
      <w:r>
        <w:rPr>
          <w:rFonts w:hint="eastAsia" w:ascii="Times New Roman" w:hAnsi="Times New Roman" w:eastAsia="宋体" w:cs="Times New Roman"/>
          <w:b/>
          <w:sz w:val="28"/>
          <w:szCs w:val="24"/>
          <w:lang w:val="zh-CN"/>
        </w:rPr>
        <w:t xml:space="preserve"> </w:t>
      </w:r>
      <w:r>
        <w:rPr>
          <w:rFonts w:hint="eastAsia" w:ascii="宋体" w:hAnsi="宋体" w:eastAsia="宋体" w:cs="Times New Roman"/>
          <w:szCs w:val="21"/>
          <w:lang w:val="zh-CN"/>
        </w:rPr>
        <w:t>★或▲”的条款。</w:t>
      </w:r>
    </w:p>
    <w:p w14:paraId="6C25655C">
      <w:pPr>
        <w:snapToGrid w:val="0"/>
        <w:spacing w:line="360" w:lineRule="auto"/>
        <w:ind w:firstLine="420" w:firstLineChars="200"/>
        <w:jc w:val="left"/>
        <w:rPr>
          <w:rFonts w:ascii="宋体" w:hAnsi="宋体" w:eastAsia="宋体" w:cs="宋体"/>
          <w:szCs w:val="21"/>
        </w:rPr>
      </w:pPr>
      <w:r>
        <w:rPr>
          <w:rFonts w:hint="eastAsia" w:ascii="宋体" w:hAnsi="宋体" w:eastAsia="宋体" w:cs="Times New Roman"/>
          <w:szCs w:val="21"/>
        </w:rPr>
        <w:t>2.</w:t>
      </w:r>
      <w:r>
        <w:rPr>
          <w:rFonts w:ascii="宋体" w:hAnsi="宋体" w:eastAsia="宋体" w:cs="Times New Roman"/>
          <w:szCs w:val="21"/>
        </w:rPr>
        <w:t>8</w:t>
      </w:r>
      <w:r>
        <w:rPr>
          <w:rFonts w:hint="eastAsia" w:ascii="宋体" w:hAnsi="宋体" w:eastAsia="宋体" w:cs="宋体"/>
          <w:szCs w:val="21"/>
        </w:rPr>
        <w:t>“正偏离”，是指投标文件对招标文件“采购需求”中有关条款作出的响应优于条款要求并有利于招标人的情形。</w:t>
      </w:r>
    </w:p>
    <w:p w14:paraId="7C4DDC34">
      <w:pPr>
        <w:snapToGrid w:val="0"/>
        <w:spacing w:line="360" w:lineRule="auto"/>
        <w:ind w:firstLine="420" w:firstLineChars="200"/>
        <w:jc w:val="left"/>
        <w:rPr>
          <w:rFonts w:ascii="宋体" w:hAnsi="宋体" w:eastAsia="宋体" w:cs="宋体"/>
          <w:szCs w:val="21"/>
        </w:rPr>
      </w:pPr>
      <w:r>
        <w:rPr>
          <w:rFonts w:ascii="宋体" w:hAnsi="宋体" w:eastAsia="宋体" w:cs="宋体"/>
          <w:szCs w:val="21"/>
        </w:rPr>
        <w:t>2.9</w:t>
      </w:r>
      <w:r>
        <w:rPr>
          <w:rFonts w:hint="eastAsia" w:ascii="宋体" w:hAnsi="宋体" w:eastAsia="宋体" w:cs="宋体"/>
          <w:szCs w:val="21"/>
        </w:rPr>
        <w:t>“负偏离”，是指投标文件对招标文件“采购需求”中有关条款作出的响应不满足条款要求，导致招标人要求不能得到满足的情形。</w:t>
      </w:r>
    </w:p>
    <w:p w14:paraId="0C709104">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2.1</w:t>
      </w:r>
      <w:r>
        <w:rPr>
          <w:rFonts w:ascii="宋体" w:hAnsi="宋体" w:eastAsia="宋体" w:cs="Times New Roman"/>
          <w:szCs w:val="21"/>
        </w:rPr>
        <w:t>0</w:t>
      </w:r>
      <w:r>
        <w:rPr>
          <w:rFonts w:hint="eastAsia" w:ascii="宋体" w:hAnsi="宋体" w:eastAsia="宋体" w:cs="宋体"/>
          <w:szCs w:val="21"/>
        </w:rPr>
        <w:t>“允许负偏离的条款”是指采购需求中的不属于“实质性要求”的条款。</w:t>
      </w:r>
      <w:bookmarkStart w:id="80" w:name="_Toc254970670"/>
      <w:bookmarkStart w:id="81" w:name="_Toc254970529"/>
    </w:p>
    <w:p w14:paraId="6CCDA656">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w:t>
      </w:r>
      <w:bookmarkEnd w:id="80"/>
      <w:bookmarkEnd w:id="81"/>
      <w:r>
        <w:rPr>
          <w:rFonts w:hint="eastAsia" w:ascii="黑体" w:hAnsi="黑体" w:eastAsia="黑体" w:cs="Times New Roman"/>
          <w:b/>
          <w:sz w:val="24"/>
          <w:szCs w:val="24"/>
          <w:lang w:val="zh-CN"/>
        </w:rPr>
        <w:t>投标人的资格要求</w:t>
      </w:r>
    </w:p>
    <w:p w14:paraId="30BDE613">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投标人的资格要求详见“投标人须知前附表”。</w:t>
      </w:r>
    </w:p>
    <w:p w14:paraId="5ED33CAB">
      <w:pPr>
        <w:numPr>
          <w:ilvl w:val="4"/>
          <w:numId w:val="0"/>
        </w:numPr>
        <w:spacing w:line="360" w:lineRule="auto"/>
        <w:ind w:left="420" w:leftChars="200"/>
        <w:outlineLvl w:val="4"/>
        <w:rPr>
          <w:rFonts w:ascii="黑体" w:hAnsi="黑体" w:eastAsia="黑体" w:cs="Times New Roman"/>
          <w:b/>
          <w:sz w:val="24"/>
          <w:szCs w:val="24"/>
          <w:lang w:val="zh-CN"/>
        </w:rPr>
      </w:pPr>
      <w:bookmarkStart w:id="82" w:name="_Toc254970530"/>
      <w:bookmarkStart w:id="83" w:name="_Toc254970671"/>
      <w:r>
        <w:rPr>
          <w:rFonts w:hint="eastAsia" w:ascii="黑体" w:hAnsi="黑体" w:eastAsia="黑体" w:cs="Times New Roman"/>
          <w:b/>
          <w:sz w:val="24"/>
          <w:szCs w:val="24"/>
          <w:lang w:val="zh-CN"/>
        </w:rPr>
        <w:t>4.投标委托</w:t>
      </w:r>
      <w:bookmarkEnd w:id="82"/>
      <w:bookmarkEnd w:id="83"/>
    </w:p>
    <w:p w14:paraId="2A183BF3">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投标人代表参加投标活动过程中必须携带个人有效身份证件。如投标人代表不是法定代表人，须持有授权委托书（正本用原件，副本用复印件，按第六章要求格式填写）。</w:t>
      </w:r>
    </w:p>
    <w:p w14:paraId="621F4616">
      <w:pPr>
        <w:numPr>
          <w:ilvl w:val="4"/>
          <w:numId w:val="0"/>
        </w:numPr>
        <w:spacing w:line="360" w:lineRule="auto"/>
        <w:ind w:left="420" w:leftChars="200"/>
        <w:outlineLvl w:val="4"/>
        <w:rPr>
          <w:rFonts w:ascii="黑体" w:hAnsi="黑体" w:eastAsia="黑体" w:cs="Times New Roman"/>
          <w:b/>
          <w:sz w:val="24"/>
          <w:szCs w:val="24"/>
          <w:lang w:val="zh-CN"/>
        </w:rPr>
      </w:pPr>
      <w:bookmarkStart w:id="84" w:name="_5.投标费用"/>
      <w:bookmarkEnd w:id="84"/>
      <w:bookmarkStart w:id="85" w:name="_Toc254970531"/>
      <w:bookmarkStart w:id="86" w:name="_Toc254970672"/>
      <w:r>
        <w:rPr>
          <w:rFonts w:hint="eastAsia" w:ascii="黑体" w:hAnsi="黑体" w:eastAsia="黑体" w:cs="Times New Roman"/>
          <w:b/>
          <w:sz w:val="24"/>
          <w:szCs w:val="24"/>
          <w:lang w:val="zh-CN"/>
        </w:rPr>
        <w:t>5.投标费用</w:t>
      </w:r>
      <w:bookmarkEnd w:id="85"/>
      <w:bookmarkEnd w:id="86"/>
    </w:p>
    <w:p w14:paraId="44EBF8AD">
      <w:pPr>
        <w:snapToGrid w:val="0"/>
        <w:spacing w:line="360" w:lineRule="auto"/>
        <w:ind w:firstLine="420" w:firstLineChars="200"/>
        <w:jc w:val="left"/>
        <w:rPr>
          <w:rFonts w:ascii="宋体" w:hAnsi="宋体" w:eastAsia="宋体" w:cs="Times New Roman"/>
          <w:szCs w:val="21"/>
        </w:rPr>
      </w:pPr>
      <w:r>
        <w:rPr>
          <w:rFonts w:hint="eastAsia" w:ascii="宋体" w:hAnsi="宋体" w:eastAsia="宋体" w:cs="宋体"/>
          <w:szCs w:val="21"/>
        </w:rPr>
        <w:t>投标费用：投标人应承担参与本次采购活动有关的所有费用，包括但不限于获取招标文件、勘查现场、编制和提交投标文件、参加澄清说明、签订合同等，不论投标结果如何，均应自行承担。</w:t>
      </w:r>
    </w:p>
    <w:p w14:paraId="05ED8C1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6.联合体投标</w:t>
      </w:r>
    </w:p>
    <w:p w14:paraId="326F9E89">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6.1本项目是否接受联合体投标，详见“投标人须知前附表”。</w:t>
      </w:r>
    </w:p>
    <w:p w14:paraId="0F888C12">
      <w:pPr>
        <w:snapToGrid w:val="0"/>
        <w:spacing w:line="360" w:lineRule="auto"/>
        <w:ind w:firstLine="420" w:firstLineChars="200"/>
        <w:jc w:val="left"/>
        <w:rPr>
          <w:rFonts w:ascii="宋体" w:hAnsi="宋体" w:eastAsia="宋体" w:cs="Times New Roman"/>
          <w:bCs/>
          <w:szCs w:val="21"/>
        </w:rPr>
      </w:pPr>
      <w:r>
        <w:rPr>
          <w:rFonts w:hint="eastAsia" w:ascii="宋体" w:hAnsi="宋体" w:eastAsia="宋体" w:cs="Times New Roman"/>
          <w:bCs/>
          <w:szCs w:val="21"/>
        </w:rPr>
        <w:t>6.2如接受联合体投标，联合体投标要求详见“投标人须知前附表”。</w:t>
      </w:r>
    </w:p>
    <w:p w14:paraId="34B5D390">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bCs/>
          <w:szCs w:val="21"/>
        </w:rPr>
        <w:t>6.3</w:t>
      </w:r>
      <w:r>
        <w:rPr>
          <w:rFonts w:hint="eastAsia" w:ascii="宋体" w:hAnsi="宋体" w:eastAsia="宋体" w:cs="Times New Roman"/>
          <w:szCs w:val="21"/>
        </w:rPr>
        <w:t>根据《政府采购促进中小企业发展管理办法》（财库〔2020〕46号）第九条第二款的规定，接受大中型企业与小微企业组成联合体或者允许大中型企业向一家或者多家小微企业分包的采购项目，对于联合协议或者分包意向协议约定小微企业的合同份额占到合同总金额30%以上的，招标人、采购代理机构应当对联合体或者大中型企业的报价给予2%-3%的扣除，用扣除后的价格参加评审。</w:t>
      </w:r>
    </w:p>
    <w:p w14:paraId="404B20C0">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 xml:space="preserve">7.转包与分包             </w:t>
      </w:r>
    </w:p>
    <w:p w14:paraId="1E969441">
      <w:pPr>
        <w:numPr>
          <w:ilvl w:val="4"/>
          <w:numId w:val="0"/>
        </w:numPr>
        <w:spacing w:line="360" w:lineRule="auto"/>
        <w:ind w:left="420" w:leftChars="200"/>
        <w:outlineLvl w:val="4"/>
        <w:rPr>
          <w:rFonts w:ascii="宋体" w:hAnsi="宋体" w:eastAsia="宋体" w:cs="Times New Roman"/>
          <w:szCs w:val="21"/>
          <w:lang w:val="zh-CN"/>
        </w:rPr>
      </w:pPr>
      <w:bookmarkStart w:id="87" w:name="_Toc254970673"/>
      <w:bookmarkStart w:id="88" w:name="_Toc254970532"/>
      <w:r>
        <w:rPr>
          <w:rFonts w:hint="eastAsia" w:ascii="宋体" w:hAnsi="宋体" w:eastAsia="宋体" w:cs="Times New Roman"/>
          <w:szCs w:val="21"/>
          <w:lang w:val="zh-CN"/>
        </w:rPr>
        <w:t>7.1本项目不允许转包。</w:t>
      </w:r>
    </w:p>
    <w:p w14:paraId="69D4C9E5">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2BF9850">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76FC39DF">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8.特别说明</w:t>
      </w:r>
      <w:bookmarkEnd w:id="87"/>
      <w:bookmarkEnd w:id="88"/>
    </w:p>
    <w:p w14:paraId="071685C5">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8.1如果本招标文件要求提供投标人或制造商的资格、信誉、荣誉、业绩与企业认证等材料的，资格、信誉、荣誉、业绩与企业认证等必须为投标人或者制造商所拥有或自身获得 。</w:t>
      </w:r>
    </w:p>
    <w:p w14:paraId="10C0A2FB">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8.2投标人应仔细阅读招标文件的所有内容，按照招标文件的要求提交投标文件，并对所提供的全部资料的真实性承担法律责任。</w:t>
      </w:r>
    </w:p>
    <w:p w14:paraId="33C7F2BB">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8.3投标人在投标活动中提供任何虚假材料，将报监管部门查处；中标后发现的，中标人须依照《中华人民共和国消费者权益保护法》规定赔偿招标人，且民事赔偿并不免除违法投标人的行政与刑事责任。</w:t>
      </w:r>
    </w:p>
    <w:p w14:paraId="5D382955">
      <w:pPr>
        <w:numPr>
          <w:ilvl w:val="4"/>
          <w:numId w:val="0"/>
        </w:numPr>
        <w:spacing w:line="360" w:lineRule="auto"/>
        <w:ind w:left="420" w:leftChars="200"/>
        <w:outlineLvl w:val="4"/>
        <w:rPr>
          <w:rFonts w:ascii="黑体" w:hAnsi="黑体" w:eastAsia="黑体" w:cs="Times New Roman"/>
          <w:b/>
          <w:sz w:val="24"/>
          <w:szCs w:val="24"/>
          <w:lang w:val="zh-CN"/>
        </w:rPr>
      </w:pPr>
      <w:r>
        <w:rPr>
          <w:rFonts w:ascii="黑体" w:hAnsi="黑体" w:eastAsia="黑体" w:cs="Times New Roman"/>
          <w:b/>
          <w:sz w:val="24"/>
          <w:szCs w:val="24"/>
          <w:lang w:val="zh-CN"/>
        </w:rPr>
        <w:t>9.</w:t>
      </w:r>
      <w:r>
        <w:rPr>
          <w:rFonts w:hint="eastAsia" w:ascii="黑体" w:hAnsi="黑体" w:eastAsia="黑体" w:cs="Times New Roman"/>
          <w:b/>
          <w:sz w:val="24"/>
          <w:szCs w:val="24"/>
          <w:lang w:val="zh-CN"/>
        </w:rPr>
        <w:t>回避与串通投标</w:t>
      </w:r>
    </w:p>
    <w:p w14:paraId="19E80C8E">
      <w:pPr>
        <w:numPr>
          <w:ilvl w:val="4"/>
          <w:numId w:val="0"/>
        </w:numPr>
        <w:spacing w:line="360" w:lineRule="auto"/>
        <w:ind w:firstLine="367" w:firstLineChars="175"/>
        <w:outlineLvl w:val="4"/>
        <w:rPr>
          <w:rFonts w:ascii="宋体" w:hAnsi="宋体" w:eastAsia="宋体" w:cs="Times New Roman"/>
          <w:szCs w:val="21"/>
          <w:lang w:val="zh-CN"/>
        </w:rPr>
      </w:pPr>
      <w:r>
        <w:rPr>
          <w:rFonts w:hint="eastAsia" w:ascii="宋体" w:hAnsi="宋体" w:eastAsia="宋体" w:cs="Times New Roman"/>
          <w:szCs w:val="21"/>
          <w:lang w:val="zh-CN"/>
        </w:rPr>
        <w:t>9</w:t>
      </w:r>
      <w:r>
        <w:rPr>
          <w:rFonts w:ascii="宋体" w:hAnsi="宋体" w:eastAsia="宋体" w:cs="Times New Roman"/>
          <w:szCs w:val="21"/>
          <w:lang w:val="zh-CN"/>
        </w:rPr>
        <w:t>.1在政府采购活动中，招标人员及相关人员与</w:t>
      </w:r>
      <w:r>
        <w:rPr>
          <w:rFonts w:hint="eastAsia" w:ascii="宋体" w:hAnsi="宋体" w:eastAsia="宋体" w:cs="Times New Roman"/>
          <w:szCs w:val="21"/>
          <w:lang w:val="zh-CN"/>
        </w:rPr>
        <w:t>供应商</w:t>
      </w:r>
      <w:r>
        <w:rPr>
          <w:rFonts w:ascii="宋体" w:hAnsi="宋体" w:eastAsia="宋体" w:cs="Times New Roman"/>
          <w:szCs w:val="21"/>
          <w:lang w:val="zh-CN"/>
        </w:rPr>
        <w:t>有下列利害关系之一的，应当回避：</w:t>
      </w:r>
    </w:p>
    <w:p w14:paraId="4005DB73">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1</w:t>
      </w:r>
      <w:r>
        <w:rPr>
          <w:rFonts w:ascii="宋体" w:hAnsi="宋体" w:eastAsia="宋体" w:cs="Times New Roman"/>
          <w:szCs w:val="21"/>
          <w:lang w:val="zh-CN"/>
        </w:rPr>
        <w:t>）参加采购活动前3年内与</w:t>
      </w:r>
      <w:r>
        <w:rPr>
          <w:rFonts w:hint="eastAsia" w:ascii="宋体" w:hAnsi="宋体" w:eastAsia="宋体" w:cs="Times New Roman"/>
          <w:szCs w:val="21"/>
          <w:lang w:val="zh-CN"/>
        </w:rPr>
        <w:t>供应商</w:t>
      </w:r>
      <w:r>
        <w:rPr>
          <w:rFonts w:ascii="宋体" w:hAnsi="宋体" w:eastAsia="宋体" w:cs="Times New Roman"/>
          <w:szCs w:val="21"/>
          <w:lang w:val="zh-CN"/>
        </w:rPr>
        <w:t>存在劳动关系；</w:t>
      </w:r>
    </w:p>
    <w:p w14:paraId="0D6D0192">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2</w:t>
      </w:r>
      <w:r>
        <w:rPr>
          <w:rFonts w:ascii="宋体" w:hAnsi="宋体" w:eastAsia="宋体" w:cs="Times New Roman"/>
          <w:szCs w:val="21"/>
          <w:lang w:val="zh-CN"/>
        </w:rPr>
        <w:t>）参加采购活动前3年内担任</w:t>
      </w:r>
      <w:r>
        <w:rPr>
          <w:rFonts w:hint="eastAsia" w:ascii="宋体" w:hAnsi="宋体" w:eastAsia="宋体" w:cs="Times New Roman"/>
          <w:szCs w:val="21"/>
          <w:lang w:val="zh-CN"/>
        </w:rPr>
        <w:t>供应商</w:t>
      </w:r>
      <w:r>
        <w:rPr>
          <w:rFonts w:ascii="宋体" w:hAnsi="宋体" w:eastAsia="宋体" w:cs="Times New Roman"/>
          <w:szCs w:val="21"/>
          <w:lang w:val="zh-CN"/>
        </w:rPr>
        <w:t>的董事、监事；</w:t>
      </w:r>
    </w:p>
    <w:p w14:paraId="6D367078">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3</w:t>
      </w:r>
      <w:r>
        <w:rPr>
          <w:rFonts w:ascii="宋体" w:hAnsi="宋体" w:eastAsia="宋体" w:cs="Times New Roman"/>
          <w:szCs w:val="21"/>
          <w:lang w:val="zh-CN"/>
        </w:rPr>
        <w:t>）参加采购活动前3年内是</w:t>
      </w:r>
      <w:r>
        <w:rPr>
          <w:rFonts w:hint="eastAsia" w:ascii="宋体" w:hAnsi="宋体" w:eastAsia="宋体" w:cs="Times New Roman"/>
          <w:szCs w:val="21"/>
          <w:lang w:val="zh-CN"/>
        </w:rPr>
        <w:t>供应商</w:t>
      </w:r>
      <w:r>
        <w:rPr>
          <w:rFonts w:ascii="宋体" w:hAnsi="宋体" w:eastAsia="宋体" w:cs="Times New Roman"/>
          <w:szCs w:val="21"/>
          <w:lang w:val="zh-CN"/>
        </w:rPr>
        <w:t>的控股股东或者实际控制人；</w:t>
      </w:r>
    </w:p>
    <w:p w14:paraId="331765EA">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4</w:t>
      </w:r>
      <w:r>
        <w:rPr>
          <w:rFonts w:ascii="宋体" w:hAnsi="宋体" w:eastAsia="宋体" w:cs="Times New Roman"/>
          <w:szCs w:val="21"/>
          <w:lang w:val="zh-CN"/>
        </w:rPr>
        <w:t>）与</w:t>
      </w:r>
      <w:r>
        <w:rPr>
          <w:rFonts w:hint="eastAsia" w:ascii="宋体" w:hAnsi="宋体" w:eastAsia="宋体" w:cs="Times New Roman"/>
          <w:szCs w:val="21"/>
          <w:lang w:val="zh-CN"/>
        </w:rPr>
        <w:t>供应商</w:t>
      </w:r>
      <w:r>
        <w:rPr>
          <w:rFonts w:ascii="宋体" w:hAnsi="宋体" w:eastAsia="宋体" w:cs="Times New Roman"/>
          <w:szCs w:val="21"/>
          <w:lang w:val="zh-CN"/>
        </w:rPr>
        <w:t>的法定代表人或者负责人有夫妻、直系血亲、三代以内旁系血亲或者近姻亲关系；</w:t>
      </w:r>
    </w:p>
    <w:p w14:paraId="465938EA">
      <w:pPr>
        <w:snapToGrid w:val="0"/>
        <w:spacing w:line="360" w:lineRule="auto"/>
        <w:ind w:left="2" w:leftChars="1" w:firstLine="420" w:firstLineChars="200"/>
        <w:rPr>
          <w:rFonts w:ascii="宋体" w:hAnsi="宋体" w:eastAsia="宋体" w:cs="Times New Roman"/>
          <w:szCs w:val="21"/>
          <w:lang w:val="zh-CN"/>
        </w:rPr>
      </w:pPr>
      <w:r>
        <w:rPr>
          <w:rFonts w:ascii="宋体" w:hAnsi="宋体" w:eastAsia="宋体" w:cs="Times New Roman"/>
          <w:szCs w:val="21"/>
          <w:lang w:val="zh-CN"/>
        </w:rPr>
        <w:t>（</w:t>
      </w:r>
      <w:r>
        <w:rPr>
          <w:rFonts w:hint="eastAsia" w:ascii="宋体" w:hAnsi="宋体" w:eastAsia="宋体" w:cs="Times New Roman"/>
          <w:szCs w:val="21"/>
          <w:lang w:val="zh-CN"/>
        </w:rPr>
        <w:t>5</w:t>
      </w:r>
      <w:r>
        <w:rPr>
          <w:rFonts w:ascii="宋体" w:hAnsi="宋体" w:eastAsia="宋体" w:cs="Times New Roman"/>
          <w:szCs w:val="21"/>
          <w:lang w:val="zh-CN"/>
        </w:rPr>
        <w:t>）与</w:t>
      </w:r>
      <w:r>
        <w:rPr>
          <w:rFonts w:hint="eastAsia" w:ascii="宋体" w:hAnsi="宋体" w:eastAsia="宋体" w:cs="Times New Roman"/>
          <w:szCs w:val="21"/>
          <w:lang w:val="zh-CN"/>
        </w:rPr>
        <w:t>供应商</w:t>
      </w:r>
      <w:r>
        <w:rPr>
          <w:rFonts w:ascii="宋体" w:hAnsi="宋体" w:eastAsia="宋体" w:cs="Times New Roman"/>
          <w:szCs w:val="21"/>
          <w:lang w:val="zh-CN"/>
        </w:rPr>
        <w:t>有其他可能影响政府采购活动公平、公正进行的关系。</w:t>
      </w:r>
    </w:p>
    <w:p w14:paraId="06D33EF9">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供应商</w:t>
      </w:r>
      <w:r>
        <w:rPr>
          <w:rFonts w:ascii="宋体" w:hAnsi="宋体" w:eastAsia="宋体" w:cs="Times New Roman"/>
          <w:szCs w:val="21"/>
          <w:lang w:val="zh-CN"/>
        </w:rPr>
        <w:t>认为招标人员及相关人员与其他</w:t>
      </w:r>
      <w:r>
        <w:rPr>
          <w:rFonts w:hint="eastAsia" w:ascii="宋体" w:hAnsi="宋体" w:eastAsia="宋体" w:cs="Times New Roman"/>
          <w:szCs w:val="21"/>
          <w:lang w:val="zh-CN"/>
        </w:rPr>
        <w:t>供应商</w:t>
      </w:r>
      <w:r>
        <w:rPr>
          <w:rFonts w:ascii="宋体" w:hAnsi="宋体" w:eastAsia="宋体" w:cs="Times New Roman"/>
          <w:szCs w:val="21"/>
          <w:lang w:val="zh-CN"/>
        </w:rPr>
        <w:t>有利害关系的，可以向招标人或者采购代理机构书面提出回避申请，并说明理由。招标人或者采购代理机构应当及时询问被申请回避人员，有利害关系的被申请回避人员应当回避。</w:t>
      </w:r>
    </w:p>
    <w:p w14:paraId="01B5C453">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9.2</w:t>
      </w:r>
      <w:r>
        <w:rPr>
          <w:rFonts w:hint="eastAsia" w:ascii="宋体" w:hAnsi="宋体" w:eastAsia="宋体" w:cs="Times New Roman"/>
          <w:b/>
          <w:szCs w:val="21"/>
          <w:lang w:val="zh-CN"/>
        </w:rPr>
        <w:t>有下列情形之一的视为投标人相互串通投标，投标文件将被视为无效：</w:t>
      </w:r>
    </w:p>
    <w:p w14:paraId="62E6DCBE">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 xml:space="preserve">（1）不同投标人的投标文件由同一单位或者个人编制； </w:t>
      </w:r>
    </w:p>
    <w:p w14:paraId="789FF22F">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（2）不同投标人委托同一单位或者个人办理投标事宜；</w:t>
      </w:r>
    </w:p>
    <w:p w14:paraId="710AF540">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（3）不同的投标人的投标文件载明的项目管理员为同一个人；</w:t>
      </w:r>
    </w:p>
    <w:p w14:paraId="457253D1">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（4）不同投标人的投标文件异常一致或者投标报价呈规律性差异；</w:t>
      </w:r>
    </w:p>
    <w:p w14:paraId="38FFB04E">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（5）不同投标人的投标文件相互混装；</w:t>
      </w:r>
    </w:p>
    <w:p w14:paraId="18DFDFB9">
      <w:pPr>
        <w:snapToGrid w:val="0"/>
        <w:spacing w:line="360" w:lineRule="auto"/>
        <w:ind w:left="2" w:leftChars="1" w:firstLine="422" w:firstLineChars="200"/>
        <w:rPr>
          <w:rFonts w:ascii="宋体" w:hAnsi="宋体" w:eastAsia="宋体" w:cs="Times New Roman"/>
          <w:b/>
          <w:szCs w:val="21"/>
          <w:lang w:val="zh-CN"/>
        </w:rPr>
      </w:pPr>
      <w:r>
        <w:rPr>
          <w:rFonts w:hint="eastAsia" w:ascii="宋体" w:hAnsi="宋体" w:eastAsia="宋体" w:cs="Times New Roman"/>
          <w:b/>
          <w:szCs w:val="21"/>
          <w:lang w:val="zh-CN"/>
        </w:rPr>
        <w:t>（6）不同投标人的投标保证金从同一单位或者个人账户转出。</w:t>
      </w:r>
    </w:p>
    <w:p w14:paraId="30B88149">
      <w:pPr>
        <w:numPr>
          <w:ilvl w:val="4"/>
          <w:numId w:val="0"/>
        </w:numPr>
        <w:spacing w:line="360" w:lineRule="auto"/>
        <w:ind w:left="420" w:leftChars="200"/>
        <w:outlineLvl w:val="4"/>
        <w:rPr>
          <w:rFonts w:ascii="宋体" w:hAnsi="宋体" w:eastAsia="宋体" w:cs="Times New Roman"/>
          <w:szCs w:val="21"/>
          <w:lang w:val="zh-CN"/>
        </w:rPr>
      </w:pPr>
      <w:r>
        <w:rPr>
          <w:rFonts w:ascii="宋体" w:hAnsi="宋体" w:eastAsia="宋体" w:cs="Times New Roman"/>
          <w:szCs w:val="21"/>
          <w:lang w:val="zh-CN"/>
        </w:rPr>
        <w:t>9.3</w:t>
      </w:r>
      <w:r>
        <w:rPr>
          <w:rFonts w:hint="eastAsia" w:ascii="宋体" w:hAnsi="宋体" w:eastAsia="宋体" w:cs="Times New Roman"/>
          <w:szCs w:val="21"/>
          <w:lang w:val="zh-CN"/>
        </w:rPr>
        <w:t>供应商有下列情形之一的，属于恶意串通行为，将报同级监督管理部门：</w:t>
      </w:r>
    </w:p>
    <w:p w14:paraId="418FD9F0">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（1）供应商直接或者间接从招标人或者采购代理机构处获得其他供应商的相关信息并修改其投标文件或者投标文件；</w:t>
      </w:r>
    </w:p>
    <w:p w14:paraId="7FF0F900">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（2）供应商按照招标人或者采购代理机构的授意撤换、修改投标文件或者投标文件；</w:t>
      </w:r>
    </w:p>
    <w:p w14:paraId="2210E0CD">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（3）供应商之间协商报价、技术方案等投标文件或者投标文件的实质性内容；</w:t>
      </w:r>
    </w:p>
    <w:p w14:paraId="32D036D0">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（4）属于同一集团、协会、商会等组织成员的供应商按照该组织要求协同参加政府采购活动；</w:t>
      </w:r>
    </w:p>
    <w:p w14:paraId="5E14A7EF">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（5）供应商之间事先约定一致抬高或者压低投标报价，或者在招标项目中事先约定轮流以高价位或者低价位中标，或者事先约定由某一特定供应商中标，然后再参加投标；</w:t>
      </w:r>
    </w:p>
    <w:p w14:paraId="706BE103">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（6）供应商之间商定部分供应商放弃参加政府采购活动或者放弃中标；</w:t>
      </w:r>
    </w:p>
    <w:p w14:paraId="3FCD8C07">
      <w:pPr>
        <w:snapToGrid w:val="0"/>
        <w:spacing w:line="360" w:lineRule="auto"/>
        <w:ind w:left="2" w:leftChars="1" w:firstLine="420" w:firstLineChars="200"/>
        <w:rPr>
          <w:rFonts w:ascii="宋体" w:hAnsi="宋体" w:eastAsia="宋体" w:cs="Times New Roman"/>
          <w:szCs w:val="21"/>
          <w:lang w:val="zh-CN"/>
        </w:rPr>
      </w:pPr>
      <w:r>
        <w:rPr>
          <w:rFonts w:hint="eastAsia" w:ascii="宋体" w:hAnsi="宋体" w:eastAsia="宋体" w:cs="Times New Roman"/>
          <w:szCs w:val="21"/>
          <w:lang w:val="zh-CN"/>
        </w:rPr>
        <w:t>（7）供应商与招标人或者采购代理机构之间、供应商相互之间，为谋求特定供应商中标或者排斥其他供应商的其他串通行为。</w:t>
      </w:r>
    </w:p>
    <w:p w14:paraId="0D2CC0FA">
      <w:pPr>
        <w:snapToGrid w:val="0"/>
        <w:spacing w:line="360" w:lineRule="auto"/>
        <w:ind w:left="2" w:leftChars="1" w:firstLine="422" w:firstLineChars="200"/>
        <w:rPr>
          <w:rFonts w:ascii="宋体" w:hAnsi="宋体" w:eastAsia="宋体" w:cs="Times New Roman"/>
          <w:b/>
          <w:szCs w:val="21"/>
          <w:lang w:val="zh-CN"/>
        </w:rPr>
      </w:pPr>
    </w:p>
    <w:p w14:paraId="50908F89">
      <w:pPr>
        <w:spacing w:before="260" w:after="260" w:line="416" w:lineRule="auto"/>
        <w:jc w:val="center"/>
        <w:outlineLvl w:val="2"/>
        <w:rPr>
          <w:rFonts w:ascii="Times New Roman" w:hAnsi="Times New Roman" w:eastAsia="宋体" w:cs="Times New Roman"/>
          <w:b/>
          <w:bCs/>
          <w:kern w:val="0"/>
          <w:sz w:val="32"/>
          <w:szCs w:val="32"/>
          <w:lang w:val="zh-CN"/>
        </w:rPr>
      </w:pPr>
      <w:bookmarkStart w:id="89" w:name="_Toc254970675"/>
      <w:bookmarkStart w:id="90" w:name="_Toc254970534"/>
      <w:r>
        <w:rPr>
          <w:rFonts w:hint="eastAsia" w:ascii="Times New Roman" w:hAnsi="Times New Roman" w:eastAsia="宋体" w:cs="Times New Roman"/>
          <w:b/>
          <w:bCs/>
          <w:kern w:val="0"/>
          <w:sz w:val="32"/>
          <w:szCs w:val="32"/>
          <w:lang w:val="zh-CN"/>
        </w:rPr>
        <w:t>二、招标文件</w:t>
      </w:r>
      <w:bookmarkEnd w:id="89"/>
      <w:bookmarkEnd w:id="90"/>
    </w:p>
    <w:p w14:paraId="1DAF5B7C">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10.招标文件的组成</w:t>
      </w:r>
    </w:p>
    <w:p w14:paraId="474B7DC9">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（1）招标公告；</w:t>
      </w:r>
    </w:p>
    <w:p w14:paraId="3E8CB701">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 xml:space="preserve">（2）采购需求； </w:t>
      </w:r>
    </w:p>
    <w:p w14:paraId="4A60D0E1">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（3）投标人须知；</w:t>
      </w:r>
    </w:p>
    <w:p w14:paraId="11E950FD">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（4）评标方法及评标标准；</w:t>
      </w:r>
    </w:p>
    <w:p w14:paraId="219341EF">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（5）拟签订的合同文本；</w:t>
      </w:r>
    </w:p>
    <w:p w14:paraId="5F4AEF68">
      <w:pPr>
        <w:snapToGrid w:val="0"/>
        <w:spacing w:line="360" w:lineRule="auto"/>
        <w:ind w:firstLine="420"/>
        <w:jc w:val="left"/>
        <w:rPr>
          <w:rFonts w:ascii="宋体" w:hAnsi="宋体" w:eastAsia="宋体" w:cs="Times New Roman"/>
          <w:szCs w:val="21"/>
        </w:rPr>
      </w:pPr>
      <w:r>
        <w:rPr>
          <w:rFonts w:hint="eastAsia" w:ascii="宋体" w:hAnsi="宋体" w:eastAsia="宋体" w:cs="Times New Roman"/>
          <w:szCs w:val="21"/>
        </w:rPr>
        <w:t>（6）投标文件格式。</w:t>
      </w:r>
    </w:p>
    <w:p w14:paraId="25FE5FB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11.招标文件的澄清、修改 、现场考察和答疑会</w:t>
      </w:r>
    </w:p>
    <w:p w14:paraId="55590AF4">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11.1招标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B3909DD">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澄清或者修改的内容可能影响投标文件编制的，招标人或者采购代理机构应当在投标截止时间至少15日前，以书面形式通知所有获取招标文件的潜在投标人；不足15日的，招标人或者采购代理机构应当顺延提交投标文件的截止时间。</w:t>
      </w:r>
      <w:r>
        <w:rPr>
          <w:rFonts w:ascii="宋体" w:hAnsi="宋体" w:eastAsia="宋体" w:cs="Times New Roman"/>
          <w:kern w:val="0"/>
          <w:szCs w:val="21"/>
          <w:lang w:val="zh-CN"/>
        </w:rPr>
        <w:t>投标人</w:t>
      </w:r>
      <w:r>
        <w:rPr>
          <w:rFonts w:hint="eastAsia" w:ascii="宋体" w:hAnsi="宋体" w:eastAsia="宋体" w:cs="Times New Roman"/>
          <w:kern w:val="0"/>
          <w:szCs w:val="21"/>
          <w:lang w:val="zh-CN"/>
        </w:rPr>
        <w:t>应当</w:t>
      </w:r>
      <w:r>
        <w:rPr>
          <w:rFonts w:ascii="宋体" w:hAnsi="宋体" w:eastAsia="宋体" w:cs="Times New Roman"/>
          <w:kern w:val="0"/>
          <w:szCs w:val="21"/>
          <w:lang w:val="zh-CN"/>
        </w:rPr>
        <w:t>按照桂财采【2007】65号文件第二十九条规定，在澄清或者修改通知发出后</w:t>
      </w:r>
      <w:r>
        <w:rPr>
          <w:rFonts w:hint="eastAsia" w:ascii="宋体" w:hAnsi="宋体" w:eastAsia="宋体" w:cs="Times New Roman"/>
          <w:kern w:val="0"/>
          <w:szCs w:val="21"/>
          <w:lang w:val="zh-CN"/>
        </w:rPr>
        <w:t>24</w:t>
      </w:r>
      <w:r>
        <w:rPr>
          <w:rFonts w:ascii="宋体" w:hAnsi="宋体" w:eastAsia="宋体" w:cs="Times New Roman"/>
          <w:kern w:val="0"/>
          <w:szCs w:val="21"/>
          <w:lang w:val="zh-CN"/>
        </w:rPr>
        <w:t>小时内以书面形式进行确认</w:t>
      </w:r>
      <w:r>
        <w:rPr>
          <w:rFonts w:hint="eastAsia" w:ascii="宋体" w:hAnsi="宋体" w:eastAsia="宋体" w:cs="Times New Roman"/>
          <w:kern w:val="0"/>
          <w:szCs w:val="21"/>
          <w:lang w:val="zh-CN"/>
        </w:rPr>
        <w:t>（采用网上下载招标文件形式的除外）</w:t>
      </w:r>
      <w:r>
        <w:rPr>
          <w:rFonts w:ascii="宋体" w:hAnsi="宋体" w:eastAsia="宋体" w:cs="Times New Roman"/>
          <w:kern w:val="0"/>
          <w:szCs w:val="21"/>
          <w:lang w:val="zh-CN"/>
        </w:rPr>
        <w:t>，否则视为已经收到。</w:t>
      </w:r>
    </w:p>
    <w:p w14:paraId="02652094">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w:t>
      </w:r>
      <w:r>
        <w:rPr>
          <w:rFonts w:ascii="宋体" w:hAnsi="宋体" w:eastAsia="宋体" w:cs="Times New Roman"/>
          <w:kern w:val="0"/>
          <w:szCs w:val="21"/>
          <w:lang w:val="zh-CN"/>
        </w:rPr>
        <w:t>1.2</w:t>
      </w:r>
      <w:bookmarkStart w:id="91" w:name="_Hlk53134511"/>
      <w:r>
        <w:rPr>
          <w:rFonts w:hint="eastAsia" w:ascii="宋体" w:hAnsi="宋体" w:eastAsia="宋体" w:cs="Times New Roman"/>
          <w:kern w:val="0"/>
          <w:szCs w:val="21"/>
          <w:lang w:val="zh-CN"/>
        </w:rPr>
        <w:t>招标人或者采购代理机构可以在招标文件提供期限截止后，组织已获取招标文件的潜在投标人现场考察或者召开开标前答疑会，具体详见“投标人须知前附表”。</w:t>
      </w:r>
    </w:p>
    <w:bookmarkEnd w:id="91"/>
    <w:p w14:paraId="45092ABC">
      <w:pPr>
        <w:spacing w:before="260" w:after="260" w:line="416" w:lineRule="auto"/>
        <w:jc w:val="center"/>
        <w:outlineLvl w:val="2"/>
        <w:rPr>
          <w:rFonts w:ascii="Times New Roman" w:hAnsi="Times New Roman" w:eastAsia="宋体" w:cs="Times New Roman"/>
          <w:b/>
          <w:bCs/>
          <w:kern w:val="0"/>
          <w:sz w:val="32"/>
          <w:szCs w:val="32"/>
          <w:lang w:val="zh-CN"/>
        </w:rPr>
      </w:pPr>
      <w:bookmarkStart w:id="92" w:name="_Toc254970535"/>
      <w:bookmarkStart w:id="93" w:name="_Toc254970676"/>
      <w:r>
        <w:rPr>
          <w:rFonts w:hint="eastAsia" w:ascii="Times New Roman" w:hAnsi="Times New Roman" w:eastAsia="宋体" w:cs="Times New Roman"/>
          <w:b/>
          <w:bCs/>
          <w:kern w:val="0"/>
          <w:sz w:val="32"/>
          <w:szCs w:val="32"/>
          <w:lang w:val="zh-CN"/>
        </w:rPr>
        <w:t>三、投标文件的编制</w:t>
      </w:r>
      <w:bookmarkEnd w:id="92"/>
      <w:bookmarkEnd w:id="93"/>
    </w:p>
    <w:p w14:paraId="362D3D4C">
      <w:pPr>
        <w:numPr>
          <w:ilvl w:val="4"/>
          <w:numId w:val="0"/>
        </w:numPr>
        <w:spacing w:line="360" w:lineRule="auto"/>
        <w:ind w:left="420" w:leftChars="200"/>
        <w:outlineLvl w:val="4"/>
        <w:rPr>
          <w:rFonts w:ascii="黑体" w:hAnsi="黑体" w:eastAsia="黑体" w:cs="Times New Roman"/>
          <w:b/>
          <w:sz w:val="24"/>
          <w:szCs w:val="24"/>
          <w:lang w:val="zh-CN"/>
        </w:rPr>
      </w:pPr>
      <w:bookmarkStart w:id="94" w:name="_Toc254970536"/>
      <w:bookmarkStart w:id="95" w:name="_Toc254970677"/>
      <w:r>
        <w:rPr>
          <w:rFonts w:hint="eastAsia" w:ascii="黑体" w:hAnsi="黑体" w:eastAsia="黑体" w:cs="Times New Roman"/>
          <w:b/>
          <w:sz w:val="24"/>
          <w:szCs w:val="24"/>
          <w:lang w:val="zh-CN"/>
        </w:rPr>
        <w:t>12.</w:t>
      </w:r>
      <w:r>
        <w:rPr>
          <w:rFonts w:hint="eastAsia" w:ascii="Times New Roman" w:hAnsi="Times New Roman" w:eastAsia="宋体" w:cs="Times New Roman"/>
          <w:b/>
          <w:sz w:val="28"/>
          <w:szCs w:val="24"/>
          <w:lang w:val="zh-CN"/>
        </w:rPr>
        <w:t xml:space="preserve"> </w:t>
      </w:r>
      <w:r>
        <w:rPr>
          <w:rFonts w:hint="eastAsia" w:ascii="黑体" w:hAnsi="黑体" w:eastAsia="黑体" w:cs="Times New Roman"/>
          <w:b/>
          <w:sz w:val="24"/>
          <w:szCs w:val="24"/>
          <w:lang w:val="zh-CN"/>
        </w:rPr>
        <w:t>投标前准备</w:t>
      </w:r>
    </w:p>
    <w:p w14:paraId="3BA455CC">
      <w:pPr>
        <w:snapToGrid w:val="0"/>
        <w:spacing w:line="360" w:lineRule="auto"/>
        <w:ind w:firstLine="420"/>
        <w:jc w:val="left"/>
        <w:rPr>
          <w:rFonts w:ascii="宋体" w:hAnsi="宋体" w:eastAsia="宋体" w:cs="Courier New"/>
          <w:szCs w:val="21"/>
        </w:rPr>
      </w:pPr>
      <w:r>
        <w:rPr>
          <w:rFonts w:hint="eastAsia" w:ascii="宋体" w:hAnsi="宋体" w:eastAsia="宋体" w:cs="Times New Roman"/>
          <w:szCs w:val="21"/>
        </w:rPr>
        <w:t>投标前准备：具体材料见“投标人须知前附表”。</w:t>
      </w:r>
    </w:p>
    <w:p w14:paraId="0C7DD037">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13.投标文件的组成</w:t>
      </w:r>
      <w:bookmarkEnd w:id="94"/>
      <w:bookmarkEnd w:id="95"/>
    </w:p>
    <w:p w14:paraId="44D342B1">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1</w:t>
      </w:r>
      <w:r>
        <w:rPr>
          <w:rFonts w:ascii="宋体" w:hAnsi="宋体" w:eastAsia="宋体" w:cs="Times New Roman"/>
          <w:szCs w:val="21"/>
        </w:rPr>
        <w:t>3.1</w:t>
      </w:r>
      <w:r>
        <w:rPr>
          <w:rFonts w:hint="eastAsia" w:ascii="宋体" w:hAnsi="宋体" w:eastAsia="宋体" w:cs="Times New Roman"/>
          <w:szCs w:val="21"/>
        </w:rPr>
        <w:t>投标文件由报价文件、资格证明文件、商务文件、技术文件四部分组成。</w:t>
      </w:r>
    </w:p>
    <w:p w14:paraId="0CF5F898">
      <w:pPr>
        <w:numPr>
          <w:ilvl w:val="4"/>
          <w:numId w:val="0"/>
        </w:numPr>
        <w:spacing w:line="360" w:lineRule="auto"/>
        <w:ind w:left="420" w:leftChars="200"/>
        <w:outlineLvl w:val="4"/>
        <w:rPr>
          <w:rFonts w:ascii="宋体" w:hAnsi="宋体" w:eastAsia="宋体" w:cs="Times New Roman"/>
          <w:szCs w:val="21"/>
          <w:lang w:val="zh-CN"/>
        </w:rPr>
      </w:pPr>
      <w:bookmarkStart w:id="96" w:name="_13.1报价文件:_具体材料见“投标人须知前附表”。"/>
      <w:bookmarkEnd w:id="96"/>
      <w:r>
        <w:rPr>
          <w:rFonts w:hint="eastAsia" w:ascii="宋体" w:hAnsi="宋体" w:eastAsia="宋体" w:cs="Times New Roman"/>
          <w:szCs w:val="21"/>
          <w:lang w:val="zh-CN"/>
        </w:rPr>
        <w:t>（1）报价文件：</w:t>
      </w:r>
      <w:r>
        <w:rPr>
          <w:rFonts w:ascii="宋体" w:hAnsi="宋体" w:eastAsia="宋体" w:cs="Times New Roman"/>
          <w:szCs w:val="21"/>
          <w:lang w:val="zh-CN"/>
        </w:rPr>
        <w:t xml:space="preserve"> 具体材料见“投标人须知前附表”</w:t>
      </w:r>
      <w:r>
        <w:rPr>
          <w:rFonts w:hint="eastAsia" w:ascii="宋体" w:hAnsi="宋体" w:eastAsia="宋体" w:cs="Times New Roman"/>
          <w:szCs w:val="21"/>
          <w:lang w:val="zh-CN"/>
        </w:rPr>
        <w:t>。</w:t>
      </w:r>
    </w:p>
    <w:p w14:paraId="2E5F7C1E">
      <w:pPr>
        <w:numPr>
          <w:ilvl w:val="4"/>
          <w:numId w:val="0"/>
        </w:numPr>
        <w:spacing w:line="360" w:lineRule="auto"/>
        <w:ind w:left="420" w:leftChars="200"/>
        <w:outlineLvl w:val="4"/>
        <w:rPr>
          <w:rFonts w:ascii="宋体" w:hAnsi="宋体" w:eastAsia="宋体" w:cs="Times New Roman"/>
          <w:szCs w:val="21"/>
          <w:lang w:val="zh-CN"/>
        </w:rPr>
      </w:pPr>
      <w:bookmarkStart w:id="97" w:name="_13.2资格证明文件：具体材料见“投标人须知前附表”。"/>
      <w:bookmarkEnd w:id="97"/>
      <w:r>
        <w:rPr>
          <w:rFonts w:hint="eastAsia" w:ascii="宋体" w:hAnsi="宋体" w:eastAsia="宋体" w:cs="Times New Roman"/>
          <w:szCs w:val="21"/>
          <w:lang w:val="zh-CN"/>
        </w:rPr>
        <w:t>（</w:t>
      </w:r>
      <w:r>
        <w:rPr>
          <w:rFonts w:ascii="宋体" w:hAnsi="宋体" w:eastAsia="宋体" w:cs="Times New Roman"/>
          <w:szCs w:val="21"/>
          <w:lang w:val="zh-CN"/>
        </w:rPr>
        <w:t>2</w:t>
      </w:r>
      <w:r>
        <w:rPr>
          <w:rFonts w:hint="eastAsia" w:ascii="宋体" w:hAnsi="宋体" w:eastAsia="宋体" w:cs="Times New Roman"/>
          <w:szCs w:val="21"/>
          <w:lang w:val="zh-CN"/>
        </w:rPr>
        <w:t>）资格证明文件：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0076BB2D">
      <w:pPr>
        <w:numPr>
          <w:ilvl w:val="4"/>
          <w:numId w:val="0"/>
        </w:numPr>
        <w:spacing w:line="360" w:lineRule="auto"/>
        <w:ind w:left="420" w:leftChars="200"/>
        <w:outlineLvl w:val="4"/>
        <w:rPr>
          <w:rFonts w:ascii="宋体" w:hAnsi="宋体" w:eastAsia="宋体" w:cs="Times New Roman"/>
          <w:szCs w:val="21"/>
          <w:lang w:val="zh-CN"/>
        </w:rPr>
      </w:pPr>
      <w:bookmarkStart w:id="98" w:name="_13.3商务文件:_具体材料见“投标人须知前附表”。"/>
      <w:bookmarkEnd w:id="98"/>
      <w:r>
        <w:rPr>
          <w:rFonts w:hint="eastAsia" w:ascii="宋体" w:hAnsi="宋体" w:eastAsia="宋体" w:cs="Times New Roman"/>
          <w:szCs w:val="21"/>
          <w:lang w:val="zh-CN"/>
        </w:rPr>
        <w:t>（</w:t>
      </w:r>
      <w:r>
        <w:rPr>
          <w:rFonts w:ascii="宋体" w:hAnsi="宋体" w:eastAsia="宋体" w:cs="Times New Roman"/>
          <w:szCs w:val="21"/>
          <w:lang w:val="zh-CN"/>
        </w:rPr>
        <w:t>3</w:t>
      </w:r>
      <w:r>
        <w:rPr>
          <w:rFonts w:hint="eastAsia" w:ascii="宋体" w:hAnsi="宋体" w:eastAsia="宋体" w:cs="Times New Roman"/>
          <w:szCs w:val="21"/>
          <w:lang w:val="zh-CN"/>
        </w:rPr>
        <w:t>）商务文件：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5CA248AB">
      <w:pPr>
        <w:numPr>
          <w:ilvl w:val="4"/>
          <w:numId w:val="0"/>
        </w:numPr>
        <w:spacing w:line="360" w:lineRule="auto"/>
        <w:ind w:left="420" w:leftChars="200"/>
        <w:outlineLvl w:val="4"/>
        <w:rPr>
          <w:rFonts w:ascii="宋体" w:hAnsi="宋体" w:eastAsia="宋体" w:cs="Times New Roman"/>
          <w:szCs w:val="21"/>
          <w:lang w:val="zh-CN"/>
        </w:rPr>
      </w:pPr>
      <w:bookmarkStart w:id="99" w:name="_13.4技术文件：具体材料见“投标人须知前附表”。"/>
      <w:bookmarkEnd w:id="99"/>
      <w:r>
        <w:rPr>
          <w:rFonts w:hint="eastAsia" w:ascii="宋体" w:hAnsi="宋体" w:eastAsia="宋体" w:cs="Times New Roman"/>
          <w:szCs w:val="21"/>
          <w:lang w:val="zh-CN"/>
        </w:rPr>
        <w:t>（</w:t>
      </w:r>
      <w:r>
        <w:rPr>
          <w:rFonts w:ascii="宋体" w:hAnsi="宋体" w:eastAsia="宋体" w:cs="Times New Roman"/>
          <w:szCs w:val="21"/>
          <w:lang w:val="zh-CN"/>
        </w:rPr>
        <w:t>4</w:t>
      </w:r>
      <w:r>
        <w:rPr>
          <w:rFonts w:hint="eastAsia" w:ascii="宋体" w:hAnsi="宋体" w:eastAsia="宋体" w:cs="Times New Roman"/>
          <w:szCs w:val="21"/>
          <w:lang w:val="zh-CN"/>
        </w:rPr>
        <w:t>）技术文件：</w:t>
      </w:r>
      <w:r>
        <w:rPr>
          <w:rFonts w:ascii="宋体" w:hAnsi="宋体" w:eastAsia="宋体" w:cs="Times New Roman"/>
          <w:szCs w:val="21"/>
          <w:lang w:val="zh-CN"/>
        </w:rPr>
        <w:t>具体材料见“投标人须知前附表”</w:t>
      </w:r>
      <w:r>
        <w:rPr>
          <w:rFonts w:hint="eastAsia" w:ascii="宋体" w:hAnsi="宋体" w:eastAsia="宋体" w:cs="Times New Roman"/>
          <w:szCs w:val="21"/>
          <w:lang w:val="zh-CN"/>
        </w:rPr>
        <w:t>。</w:t>
      </w:r>
    </w:p>
    <w:p w14:paraId="259C031B">
      <w:pPr>
        <w:numPr>
          <w:ilvl w:val="4"/>
          <w:numId w:val="0"/>
        </w:numPr>
        <w:spacing w:line="360" w:lineRule="auto"/>
        <w:ind w:left="420" w:leftChars="200"/>
        <w:outlineLvl w:val="4"/>
        <w:rPr>
          <w:rFonts w:ascii="宋体" w:hAnsi="宋体" w:eastAsia="宋体" w:cs="Times New Roman"/>
          <w:szCs w:val="21"/>
          <w:lang w:val="zh-CN"/>
        </w:rPr>
      </w:pPr>
      <w:bookmarkStart w:id="100" w:name="_13.5投标文件电子版：具体材料见“投标人须知前附表”。"/>
      <w:bookmarkEnd w:id="100"/>
      <w:r>
        <w:rPr>
          <w:rFonts w:hint="eastAsia" w:ascii="宋体" w:hAnsi="宋体" w:eastAsia="宋体" w:cs="Times New Roman"/>
          <w:szCs w:val="21"/>
          <w:lang w:val="zh-CN"/>
        </w:rPr>
        <w:t>13.</w:t>
      </w:r>
      <w:r>
        <w:rPr>
          <w:rFonts w:ascii="宋体" w:hAnsi="宋体" w:eastAsia="宋体" w:cs="Times New Roman"/>
          <w:szCs w:val="21"/>
          <w:lang w:val="zh-CN"/>
        </w:rPr>
        <w:t>2</w:t>
      </w:r>
      <w:r>
        <w:rPr>
          <w:rFonts w:hint="eastAsia" w:ascii="宋体" w:hAnsi="宋体" w:eastAsia="宋体" w:cs="Times New Roman"/>
          <w:szCs w:val="21"/>
          <w:lang w:val="zh-CN"/>
        </w:rPr>
        <w:t>投标文件电子版：</w:t>
      </w:r>
      <w:r>
        <w:rPr>
          <w:rFonts w:ascii="宋体" w:hAnsi="宋体" w:eastAsia="宋体" w:cs="Times New Roman"/>
          <w:szCs w:val="21"/>
          <w:lang w:val="zh-CN"/>
        </w:rPr>
        <w:t>具体</w:t>
      </w:r>
      <w:r>
        <w:rPr>
          <w:rFonts w:hint="eastAsia" w:ascii="宋体" w:hAnsi="宋体" w:eastAsia="宋体" w:cs="Times New Roman"/>
          <w:szCs w:val="21"/>
          <w:lang w:val="zh-CN"/>
        </w:rPr>
        <w:t>要求</w:t>
      </w:r>
      <w:r>
        <w:rPr>
          <w:rFonts w:ascii="宋体" w:hAnsi="宋体" w:eastAsia="宋体" w:cs="Times New Roman"/>
          <w:szCs w:val="21"/>
          <w:lang w:val="zh-CN"/>
        </w:rPr>
        <w:t>见“投标人须知前附表”</w:t>
      </w:r>
      <w:r>
        <w:rPr>
          <w:rFonts w:hint="eastAsia" w:ascii="宋体" w:hAnsi="宋体" w:eastAsia="宋体" w:cs="Times New Roman"/>
          <w:szCs w:val="21"/>
          <w:lang w:val="zh-CN"/>
        </w:rPr>
        <w:t>。</w:t>
      </w:r>
    </w:p>
    <w:p w14:paraId="05AACB14">
      <w:pPr>
        <w:numPr>
          <w:ilvl w:val="4"/>
          <w:numId w:val="0"/>
        </w:numPr>
        <w:spacing w:line="360" w:lineRule="auto"/>
        <w:ind w:left="420" w:leftChars="200"/>
        <w:outlineLvl w:val="4"/>
        <w:rPr>
          <w:rFonts w:ascii="黑体" w:hAnsi="黑体" w:eastAsia="黑体" w:cs="Times New Roman"/>
          <w:b/>
          <w:sz w:val="24"/>
          <w:szCs w:val="24"/>
          <w:lang w:val="zh-CN"/>
        </w:rPr>
      </w:pPr>
      <w:bookmarkStart w:id="101" w:name="_Toc254970537"/>
      <w:bookmarkStart w:id="102" w:name="_Toc254970678"/>
      <w:r>
        <w:rPr>
          <w:rFonts w:hint="eastAsia" w:ascii="黑体" w:hAnsi="黑体" w:eastAsia="黑体" w:cs="Times New Roman"/>
          <w:b/>
          <w:sz w:val="24"/>
          <w:szCs w:val="24"/>
          <w:lang w:val="zh-CN"/>
        </w:rPr>
        <w:t>14.投标文件的语言及计量</w:t>
      </w:r>
      <w:bookmarkEnd w:id="101"/>
      <w:bookmarkEnd w:id="102"/>
    </w:p>
    <w:p w14:paraId="58FEE29C">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14.1语言文字</w:t>
      </w:r>
    </w:p>
    <w:p w14:paraId="51B264EB">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投标文件以及投标人与招标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72FDDC9">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14.2投标计量单位</w:t>
      </w:r>
    </w:p>
    <w:p w14:paraId="443161C5">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招标文件已有明确规定的，使用招标文件规定的计量单位；招标文件没有规定的，应采用中华人民共和国法定计量单位，货币种类为人民币，否则视同未响应。</w:t>
      </w:r>
    </w:p>
    <w:p w14:paraId="59E3D55D">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15.投标的风险</w:t>
      </w:r>
    </w:p>
    <w:p w14:paraId="5F6DC307">
      <w:pPr>
        <w:snapToGrid w:val="0"/>
        <w:spacing w:line="360" w:lineRule="auto"/>
        <w:ind w:firstLine="420" w:firstLineChars="200"/>
        <w:jc w:val="left"/>
        <w:rPr>
          <w:rFonts w:ascii="宋体" w:hAnsi="宋体" w:eastAsia="宋体" w:cs="Times New Roman"/>
          <w:kern w:val="0"/>
          <w:szCs w:val="21"/>
          <w:lang w:val="zh-CN"/>
        </w:rPr>
      </w:pPr>
      <w:r>
        <w:rPr>
          <w:rFonts w:hint="eastAsia" w:ascii="宋体" w:hAnsi="宋体" w:eastAsia="宋体" w:cs="Times New Roman"/>
          <w:kern w:val="0"/>
          <w:szCs w:val="21"/>
          <w:lang w:val="zh-CN"/>
        </w:rPr>
        <w:t>投标人没有按照招标文件要求提供全部资料，或者投标人没有对招标文件作出实质性响应是投标人的风险，并可能导致其投标被拒绝。</w:t>
      </w:r>
    </w:p>
    <w:p w14:paraId="0B187057">
      <w:pPr>
        <w:numPr>
          <w:ilvl w:val="4"/>
          <w:numId w:val="0"/>
        </w:numPr>
        <w:spacing w:line="360" w:lineRule="auto"/>
        <w:ind w:left="420" w:leftChars="200"/>
        <w:outlineLvl w:val="4"/>
        <w:rPr>
          <w:rFonts w:ascii="黑体" w:hAnsi="黑体" w:eastAsia="黑体" w:cs="Times New Roman"/>
          <w:b/>
          <w:sz w:val="24"/>
          <w:szCs w:val="24"/>
          <w:lang w:val="zh-CN"/>
        </w:rPr>
      </w:pPr>
      <w:bookmarkStart w:id="103" w:name="_Toc254970679"/>
      <w:bookmarkStart w:id="104" w:name="_Toc254970538"/>
      <w:r>
        <w:rPr>
          <w:rFonts w:hint="eastAsia" w:ascii="黑体" w:hAnsi="黑体" w:eastAsia="黑体" w:cs="Times New Roman"/>
          <w:b/>
          <w:sz w:val="24"/>
          <w:szCs w:val="24"/>
          <w:lang w:val="zh-CN"/>
        </w:rPr>
        <w:t>16.投标报价</w:t>
      </w:r>
      <w:bookmarkEnd w:id="103"/>
      <w:bookmarkEnd w:id="104"/>
    </w:p>
    <w:p w14:paraId="50978367">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16.1投标报价应按“第六章　投标文件格式”中“开标一览表”格式填写。</w:t>
      </w:r>
    </w:p>
    <w:p w14:paraId="611AC775">
      <w:pPr>
        <w:numPr>
          <w:ilvl w:val="4"/>
          <w:numId w:val="0"/>
        </w:numPr>
        <w:spacing w:line="360" w:lineRule="auto"/>
        <w:ind w:left="420" w:leftChars="200"/>
        <w:outlineLvl w:val="4"/>
        <w:rPr>
          <w:rFonts w:ascii="宋体" w:hAnsi="宋体" w:eastAsia="宋体" w:cs="Times New Roman"/>
          <w:szCs w:val="21"/>
          <w:lang w:val="zh-CN"/>
        </w:rPr>
      </w:pPr>
      <w:bookmarkStart w:id="105" w:name="_16.2投标报价具体定义见投标人须知前附表。"/>
      <w:bookmarkEnd w:id="105"/>
      <w:r>
        <w:rPr>
          <w:rFonts w:hint="eastAsia" w:ascii="宋体" w:hAnsi="宋体" w:eastAsia="宋体" w:cs="Times New Roman"/>
          <w:szCs w:val="21"/>
          <w:lang w:val="zh-CN"/>
        </w:rPr>
        <w:t>16.2投标报价具体包括内容详见“投标人须知前附表”。</w:t>
      </w:r>
    </w:p>
    <w:p w14:paraId="43160EA3">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16.3投标人必须就第二章采购需求的全部内容作完整唯一总价报价，不得存在漏项报价。</w:t>
      </w:r>
    </w:p>
    <w:p w14:paraId="5EAD2BB4">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17.投标有效期</w:t>
      </w:r>
    </w:p>
    <w:p w14:paraId="6B89597E">
      <w:pPr>
        <w:numPr>
          <w:ilvl w:val="4"/>
          <w:numId w:val="0"/>
        </w:numPr>
        <w:spacing w:line="360" w:lineRule="auto"/>
        <w:ind w:firstLine="420" w:firstLineChars="200"/>
        <w:outlineLvl w:val="4"/>
        <w:rPr>
          <w:rFonts w:ascii="宋体" w:hAnsi="宋体" w:eastAsia="宋体" w:cs="Times New Roman"/>
          <w:szCs w:val="21"/>
          <w:lang w:val="zh-CN"/>
        </w:rPr>
      </w:pPr>
      <w:bookmarkStart w:id="106" w:name="_17.1投标有效期应按“投标人须知中的前附表”规定的期限。"/>
      <w:bookmarkEnd w:id="106"/>
      <w:r>
        <w:rPr>
          <w:rFonts w:hint="eastAsia" w:ascii="宋体" w:hAnsi="宋体" w:eastAsia="宋体" w:cs="Times New Roman"/>
          <w:szCs w:val="21"/>
          <w:lang w:val="zh-CN"/>
        </w:rPr>
        <w:t>17.1投标有效期是指为保证招标人有足够的时间在开标后完成评标、定标、合同签订等工作而要求投标人提交的投标文件在一定时间内保持有效的期限。</w:t>
      </w:r>
    </w:p>
    <w:p w14:paraId="69F2E248">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17.2</w:t>
      </w:r>
      <w:bookmarkStart w:id="107" w:name="_Toc254970681"/>
      <w:bookmarkStart w:id="108" w:name="_Toc254970540"/>
      <w:r>
        <w:rPr>
          <w:rFonts w:hint="eastAsia" w:ascii="宋体" w:hAnsi="宋体" w:eastAsia="宋体" w:cs="Times New Roman"/>
          <w:szCs w:val="21"/>
          <w:lang w:val="zh-CN"/>
        </w:rPr>
        <w:t xml:space="preserve"> 投标有效期应按规定的期限作出承诺，具体详见“投标人须知前附表”。</w:t>
      </w:r>
    </w:p>
    <w:p w14:paraId="73363C7B">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17.3投标人的投标文件在投标有效期内均保持有效。</w:t>
      </w:r>
      <w:bookmarkEnd w:id="107"/>
      <w:bookmarkEnd w:id="108"/>
    </w:p>
    <w:p w14:paraId="238F1F60">
      <w:pPr>
        <w:numPr>
          <w:ilvl w:val="4"/>
          <w:numId w:val="0"/>
        </w:numPr>
        <w:spacing w:line="360" w:lineRule="auto"/>
        <w:ind w:left="420" w:leftChars="200"/>
        <w:outlineLvl w:val="4"/>
        <w:rPr>
          <w:rFonts w:ascii="黑体" w:hAnsi="黑体" w:eastAsia="黑体" w:cs="Times New Roman"/>
          <w:b/>
          <w:sz w:val="24"/>
          <w:szCs w:val="24"/>
          <w:lang w:val="zh-CN"/>
        </w:rPr>
      </w:pPr>
      <w:bookmarkStart w:id="109" w:name="_18.投标保证金"/>
      <w:bookmarkEnd w:id="109"/>
      <w:bookmarkStart w:id="110" w:name="_Toc254970541"/>
      <w:bookmarkStart w:id="111" w:name="_Toc254970682"/>
      <w:r>
        <w:rPr>
          <w:rFonts w:hint="eastAsia" w:ascii="黑体" w:hAnsi="黑体" w:eastAsia="黑体" w:cs="Times New Roman"/>
          <w:b/>
          <w:sz w:val="24"/>
          <w:szCs w:val="24"/>
          <w:lang w:val="zh-CN"/>
        </w:rPr>
        <w:t>18.投标保证金</w:t>
      </w:r>
      <w:bookmarkEnd w:id="110"/>
      <w:bookmarkEnd w:id="111"/>
    </w:p>
    <w:p w14:paraId="113E10D7">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18.1投标人须按“投标人须知前附表”的规定提交投标保证金。</w:t>
      </w:r>
    </w:p>
    <w:p w14:paraId="4DA14090">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18.2投标保证金的退还</w:t>
      </w:r>
    </w:p>
    <w:p w14:paraId="63A14223">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 xml:space="preserve">未中标人的投标保证金自中标通知书发出之日起5个工作日内退还；中标人的投标保证金在政府采购合同签订后，递交至我中心公示后3个工作日内退还。 </w:t>
      </w:r>
    </w:p>
    <w:p w14:paraId="152E38DF">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18.3除逾期退还投标保证金和终止招标的情形以外，投标保证金不计息。</w:t>
      </w:r>
    </w:p>
    <w:p w14:paraId="495E7785">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 xml:space="preserve">18.4投标人有下列情形之一的，投标保证金将不予退还： </w:t>
      </w:r>
    </w:p>
    <w:p w14:paraId="73DBFF57">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（1）投标人在投标有效期内撤销投标文件的；</w:t>
      </w:r>
    </w:p>
    <w:p w14:paraId="7706AEB7">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（2）未按规定提交履约保证金的；</w:t>
      </w:r>
    </w:p>
    <w:p w14:paraId="769C1233">
      <w:pPr>
        <w:snapToGrid w:val="0"/>
        <w:spacing w:line="360" w:lineRule="auto"/>
        <w:ind w:firstLine="411" w:firstLineChars="196"/>
        <w:jc w:val="left"/>
        <w:rPr>
          <w:rFonts w:ascii="宋体" w:hAnsi="宋体" w:eastAsia="宋体" w:cs="Times New Roman"/>
          <w:szCs w:val="21"/>
        </w:rPr>
      </w:pPr>
      <w:r>
        <w:rPr>
          <w:rFonts w:hint="eastAsia" w:ascii="宋体" w:hAnsi="宋体" w:eastAsia="宋体" w:cs="Times New Roman"/>
          <w:szCs w:val="21"/>
        </w:rPr>
        <w:t>（3）投标人在投标过程中弄虚作假，提供虚假材料的；</w:t>
      </w:r>
    </w:p>
    <w:p w14:paraId="5C6D7BDF">
      <w:pPr>
        <w:snapToGrid w:val="0"/>
        <w:spacing w:line="360" w:lineRule="auto"/>
        <w:ind w:firstLine="411" w:firstLineChars="196"/>
        <w:rPr>
          <w:rFonts w:ascii="宋体" w:hAnsi="宋体" w:eastAsia="宋体" w:cs="Times New Roman"/>
          <w:szCs w:val="21"/>
        </w:rPr>
      </w:pPr>
      <w:r>
        <w:rPr>
          <w:rFonts w:hint="eastAsia" w:ascii="宋体" w:hAnsi="宋体" w:eastAsia="宋体" w:cs="Times New Roman"/>
          <w:szCs w:val="21"/>
        </w:rPr>
        <w:t>（4）中标人无正当理由不与招标人签订合同的；</w:t>
      </w:r>
    </w:p>
    <w:p w14:paraId="3507457F">
      <w:pPr>
        <w:snapToGrid w:val="0"/>
        <w:spacing w:line="360" w:lineRule="auto"/>
        <w:ind w:firstLine="420" w:firstLineChars="200"/>
        <w:rPr>
          <w:rFonts w:ascii="宋体" w:hAnsi="宋体" w:eastAsia="宋体" w:cs="Times New Roman"/>
          <w:szCs w:val="21"/>
        </w:rPr>
      </w:pPr>
      <w:bookmarkStart w:id="112" w:name="_Toc254970542"/>
      <w:bookmarkStart w:id="113" w:name="_Toc254970683"/>
      <w:r>
        <w:rPr>
          <w:rFonts w:hint="eastAsia" w:ascii="宋体" w:hAnsi="宋体" w:eastAsia="宋体" w:cs="Times New Roman"/>
          <w:szCs w:val="21"/>
        </w:rPr>
        <w:t>（5）投标人出现本章第9.2、9.3情形的；</w:t>
      </w:r>
    </w:p>
    <w:p w14:paraId="4B983918">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w:t>
      </w:r>
      <w:r>
        <w:rPr>
          <w:rFonts w:hint="eastAsia" w:ascii="宋体" w:hAnsi="宋体" w:eastAsia="宋体" w:cs="宋体"/>
          <w:szCs w:val="21"/>
        </w:rPr>
        <w:t>法律法规规定的其他情形</w:t>
      </w:r>
      <w:r>
        <w:rPr>
          <w:rFonts w:hint="eastAsia" w:ascii="宋体" w:hAnsi="宋体" w:eastAsia="宋体" w:cs="Times New Roman"/>
          <w:szCs w:val="21"/>
        </w:rPr>
        <w:t>。</w:t>
      </w:r>
    </w:p>
    <w:p w14:paraId="620CCAB7">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19.投标文件的</w:t>
      </w:r>
      <w:bookmarkEnd w:id="112"/>
      <w:bookmarkEnd w:id="113"/>
      <w:r>
        <w:rPr>
          <w:rFonts w:hint="eastAsia" w:ascii="黑体" w:hAnsi="黑体" w:eastAsia="黑体" w:cs="Times New Roman"/>
          <w:b/>
          <w:sz w:val="24"/>
          <w:szCs w:val="24"/>
          <w:lang w:val="zh-CN"/>
        </w:rPr>
        <w:t>编制</w:t>
      </w:r>
    </w:p>
    <w:p w14:paraId="5A11F42B">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19.1投标人应按本招标文件规定的格式和顺序编制、装订投标文件并标注页码，投标文件内容不完整、编排混乱导致投标文件被误读、漏读或者查找不到相关内容的，由此引发的后果由投标人承担。</w:t>
      </w:r>
      <w:bookmarkStart w:id="114" w:name="_19.2投标文件应按报价文件、资格证明文件、商务文件、技术文件分别编制"/>
      <w:bookmarkEnd w:id="114"/>
    </w:p>
    <w:p w14:paraId="30E5B20C">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19.2投标文件应按报价文件、资格证明文件、商务文件、技术文件分别编制。</w:t>
      </w:r>
    </w:p>
    <w:p w14:paraId="5D7418AE">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19.3投标文件须由投标人在规定位置盖公章并由法定代表人（负责人或自然人）或委托代理人签字，否则作无效投标处理。</w:t>
      </w:r>
    </w:p>
    <w:p w14:paraId="00764D91">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19.4投标文件中标注的投标人名称应与主体资格证明（如营业执照、事业单位法人证书、执业许可证、个体工商户营业执照、自然人身份证等）和公章一致，否则作无效投标处理。</w:t>
      </w:r>
    </w:p>
    <w:p w14:paraId="1CC507A5">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19.5投标文件应尽量避免涂改、行间插字或删除。如果出现上述情况，改动之处应由投标人的法定代表人（负责人或自然人）或其委托代理人签字或盖章。投标文件因字迹潦草或表达不清所引起的后果由投标人承担。</w:t>
      </w:r>
    </w:p>
    <w:p w14:paraId="15EB82B1">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19.6电子投标文件中须加盖供应商公章部分均采用CA签章，并根据“政府采购项目电子交易管理操作指南-供应商” 及本招标文件规定的格式和顺序编制电子投标文件并进行关联定位，以便评标委员会在评审时，点击评分项可直接定位到该评分项内容。如对招标文件的某项要求，供应商的电子投标文件未能关联定位提供相应的内容与其对应，则评标委员会在评审时如做出对供应商不利的评审由供应商自行承担。电子投标文件如内容不完整、编排混乱导致投标文件被误读、 漏读，或者在按采购文件规定的部位查找不到相关内容的，由供应商自行承担。</w:t>
      </w:r>
    </w:p>
    <w:p w14:paraId="4CC0CD2B">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 xml:space="preserve">19.7 </w:t>
      </w:r>
      <w:r>
        <w:rPr>
          <w:rFonts w:hint="eastAsia" w:ascii="黑体" w:hAnsi="黑体" w:eastAsia="黑体" w:cs="Times New Roman"/>
          <w:b/>
          <w:sz w:val="24"/>
          <w:szCs w:val="24"/>
          <w:lang w:val="zh-CN"/>
        </w:rPr>
        <w:t>CA签章上目前没有法人（负责人）或授权代表签字信息，供应商在投标文件中涉及到签字的位置线下签好字然后扫描或者拍照做成PDF的格式亦可。投标文件中涉及到签字的位置未按要求签字的，提供的材料视为无效。</w:t>
      </w:r>
    </w:p>
    <w:p w14:paraId="51CDB80C">
      <w:pPr>
        <w:numPr>
          <w:ilvl w:val="4"/>
          <w:numId w:val="0"/>
        </w:numPr>
        <w:spacing w:line="360" w:lineRule="auto"/>
        <w:ind w:left="105" w:leftChars="50" w:firstLine="420" w:firstLineChars="200"/>
        <w:outlineLvl w:val="4"/>
        <w:rPr>
          <w:rFonts w:ascii="黑体" w:hAnsi="黑体" w:eastAsia="黑体" w:cs="Times New Roman"/>
          <w:b/>
          <w:sz w:val="24"/>
          <w:szCs w:val="24"/>
          <w:lang w:val="zh-CN"/>
        </w:rPr>
      </w:pPr>
      <w:r>
        <w:rPr>
          <w:rFonts w:hint="eastAsia" w:ascii="宋体" w:hAnsi="宋体" w:eastAsia="宋体" w:cs="Times New Roman"/>
          <w:szCs w:val="21"/>
          <w:lang w:val="zh-CN"/>
        </w:rPr>
        <w:t>19.8投标文件不得涂改，若有修改错漏处，须加盖单位公章或者法定代表人（负责人）或授权委托人签字或盖章。投标文件因字迹潦草或表达不清所引起的后果由供应商负责。</w:t>
      </w:r>
    </w:p>
    <w:p w14:paraId="7FEE0F0C">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20.投标文件的密封和标记</w:t>
      </w:r>
    </w:p>
    <w:p w14:paraId="0F5893FA">
      <w:pPr>
        <w:keepNext/>
        <w:keepLines/>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详见投标须知前附表</w:t>
      </w:r>
    </w:p>
    <w:p w14:paraId="47113799">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21.投标文件的提交</w:t>
      </w:r>
    </w:p>
    <w:p w14:paraId="016CAD07">
      <w:pPr>
        <w:spacing w:line="360" w:lineRule="auto"/>
        <w:ind w:firstLine="420"/>
        <w:jc w:val="left"/>
        <w:rPr>
          <w:rFonts w:ascii="宋体" w:hAnsi="宋体" w:eastAsia="宋体" w:cs="Times New Roman"/>
          <w:szCs w:val="21"/>
        </w:rPr>
      </w:pPr>
      <w:bookmarkStart w:id="115" w:name="_21.1投标人必须在“投标人须知中的前附表”规定的投标文件接收时间和投"/>
      <w:bookmarkEnd w:id="115"/>
      <w:r>
        <w:rPr>
          <w:rFonts w:hint="eastAsia" w:ascii="宋体" w:hAnsi="宋体" w:eastAsia="宋体" w:cs="Times New Roman"/>
          <w:szCs w:val="21"/>
        </w:rPr>
        <w:t>21.1所有投标文件应于招标文件中规定的时间上传递交至广西政府采购云平台。</w:t>
      </w:r>
    </w:p>
    <w:p w14:paraId="6C800479">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21.2电子投标文件的相关说明</w:t>
      </w:r>
    </w:p>
    <w:p w14:paraId="7C5B370B">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21.2.1供应商进行电子投标应安装客户端软件，并按照采购文件和电子交易平台的要求编制并加密投标文件。供应商未按规定加密的投标文件，电子交易平台将拒收。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6C4082B">
      <w:pPr>
        <w:spacing w:line="360" w:lineRule="auto"/>
        <w:ind w:firstLine="420"/>
        <w:jc w:val="left"/>
        <w:rPr>
          <w:rFonts w:ascii="宋体" w:hAnsi="宋体" w:eastAsia="宋体" w:cs="Times New Roman"/>
          <w:szCs w:val="21"/>
        </w:rPr>
      </w:pPr>
      <w:r>
        <w:rPr>
          <w:rFonts w:hint="eastAsia" w:ascii="宋体" w:hAnsi="宋体" w:eastAsia="宋体" w:cs="Times New Roman"/>
          <w:szCs w:val="21"/>
        </w:rPr>
        <w:t>21.2.2如有特殊情况，本项目延长截止时间和开标时间，采购代理机构和供应商的权利和义务将受到新的截止时间和开标时间的约束。</w:t>
      </w:r>
    </w:p>
    <w:p w14:paraId="22EF1D8E">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22. 投标文件的补充、修改、撤回与退回</w:t>
      </w:r>
    </w:p>
    <w:p w14:paraId="62B5EC51">
      <w:pPr>
        <w:snapToGrid w:val="0"/>
        <w:spacing w:line="360" w:lineRule="auto"/>
        <w:ind w:firstLine="420"/>
        <w:jc w:val="left"/>
        <w:rPr>
          <w:rFonts w:ascii="宋体" w:hAnsi="宋体" w:eastAsia="宋体" w:cs="Times New Roman"/>
          <w:szCs w:val="21"/>
        </w:rPr>
      </w:pPr>
      <w:bookmarkStart w:id="116" w:name="_Toc254970684"/>
      <w:bookmarkStart w:id="117" w:name="_Toc254970543"/>
      <w:r>
        <w:rPr>
          <w:rFonts w:hint="eastAsia" w:ascii="宋体" w:hAnsi="宋体" w:eastAsia="宋体" w:cs="Times New Roman"/>
          <w:szCs w:val="21"/>
        </w:rPr>
        <w:t>2</w:t>
      </w:r>
      <w:r>
        <w:rPr>
          <w:rFonts w:ascii="宋体" w:hAnsi="宋体" w:eastAsia="宋体" w:cs="Times New Roman"/>
          <w:szCs w:val="21"/>
        </w:rPr>
        <w:t>2.1</w:t>
      </w:r>
      <w:r>
        <w:rPr>
          <w:rFonts w:hint="eastAsia" w:ascii="宋体" w:hAnsi="宋体" w:eastAsia="宋体" w:cs="Times New Roman"/>
          <w:szCs w:val="21"/>
        </w:rPr>
        <w:t>投标人在投标截止时间之前，可以对已提交的投标文件进行补充、修改或者撤回，并书面通知招标人或者采购代理机构。补充、修改的内容必须按照本须知前附表第</w:t>
      </w:r>
      <w:r>
        <w:rPr>
          <w:rFonts w:ascii="宋体" w:hAnsi="宋体" w:eastAsia="宋体" w:cs="Times New Roman"/>
          <w:szCs w:val="21"/>
        </w:rPr>
        <w:t>24</w:t>
      </w:r>
      <w:r>
        <w:rPr>
          <w:rFonts w:hint="eastAsia" w:ascii="宋体" w:hAnsi="宋体" w:eastAsia="宋体" w:cs="Times New Roman"/>
          <w:szCs w:val="21"/>
        </w:rPr>
        <w:t>条签字、盖章，并按照本须知正文第</w:t>
      </w:r>
      <w:r>
        <w:rPr>
          <w:rFonts w:ascii="宋体" w:hAnsi="宋体" w:eastAsia="宋体" w:cs="Times New Roman"/>
          <w:szCs w:val="21"/>
        </w:rPr>
        <w:t>20</w:t>
      </w:r>
      <w:r>
        <w:rPr>
          <w:rFonts w:hint="eastAsia" w:ascii="宋体" w:hAnsi="宋体" w:eastAsia="宋体" w:cs="Times New Roman"/>
          <w:szCs w:val="21"/>
        </w:rPr>
        <w:t>条密封后，作为投标文件的组成部分</w:t>
      </w:r>
      <w:r>
        <w:rPr>
          <w:rFonts w:hint="eastAsia" w:ascii="宋体" w:hAnsi="宋体" w:eastAsia="宋体" w:cs="Times New Roman"/>
          <w:b/>
          <w:szCs w:val="21"/>
        </w:rPr>
        <w:t>。</w:t>
      </w:r>
    </w:p>
    <w:bookmarkEnd w:id="116"/>
    <w:bookmarkEnd w:id="117"/>
    <w:p w14:paraId="056293AE">
      <w:pPr>
        <w:spacing w:line="360" w:lineRule="auto"/>
        <w:ind w:firstLine="420" w:firstLineChars="200"/>
        <w:rPr>
          <w:rFonts w:ascii="宋体" w:hAnsi="宋体" w:eastAsia="宋体" w:cs="宋体"/>
          <w:szCs w:val="21"/>
        </w:rPr>
      </w:pPr>
      <w:r>
        <w:rPr>
          <w:rFonts w:hint="eastAsia" w:ascii="宋体" w:hAnsi="宋体" w:eastAsia="宋体" w:cs="宋体"/>
          <w:szCs w:val="21"/>
        </w:rPr>
        <w:t>22.</w:t>
      </w:r>
      <w:r>
        <w:rPr>
          <w:rFonts w:ascii="宋体" w:hAnsi="宋体" w:eastAsia="宋体" w:cs="宋体"/>
          <w:szCs w:val="21"/>
        </w:rPr>
        <w:t>2</w:t>
      </w:r>
      <w:r>
        <w:rPr>
          <w:rFonts w:hint="eastAsia" w:ascii="宋体" w:hAnsi="宋体" w:eastAsia="宋体" w:cs="宋体"/>
          <w:szCs w:val="21"/>
        </w:rPr>
        <w:t>在投标截止时间止提交投标文件的投标人不足3家时</w:t>
      </w:r>
      <w:r>
        <w:rPr>
          <w:rFonts w:hint="eastAsia" w:ascii="宋体" w:hAnsi="宋体" w:eastAsia="宋体" w:cs="Times New Roman"/>
          <w:szCs w:val="21"/>
        </w:rPr>
        <w:t>，</w:t>
      </w:r>
      <w:r>
        <w:rPr>
          <w:rFonts w:hint="eastAsia" w:ascii="宋体" w:hAnsi="宋体" w:eastAsia="宋体" w:cs="宋体"/>
          <w:szCs w:val="21"/>
        </w:rPr>
        <w:t>不得开标</w:t>
      </w:r>
      <w:r>
        <w:rPr>
          <w:rFonts w:hint="eastAsia" w:ascii="宋体" w:hAnsi="宋体" w:eastAsia="宋体" w:cs="Times New Roman"/>
          <w:szCs w:val="21"/>
        </w:rPr>
        <w:t>。</w:t>
      </w:r>
    </w:p>
    <w:p w14:paraId="0083B47D">
      <w:pPr>
        <w:spacing w:line="360" w:lineRule="auto"/>
        <w:ind w:firstLine="420" w:firstLineChars="200"/>
        <w:rPr>
          <w:rFonts w:ascii="宋体" w:hAnsi="宋体" w:eastAsia="宋体" w:cs="宋体"/>
          <w:szCs w:val="21"/>
        </w:rPr>
      </w:pPr>
      <w:r>
        <w:rPr>
          <w:rFonts w:hint="eastAsia" w:ascii="宋体" w:hAnsi="宋体" w:eastAsia="宋体" w:cs="宋体"/>
          <w:szCs w:val="21"/>
        </w:rPr>
        <w:t>2</w:t>
      </w:r>
      <w:r>
        <w:rPr>
          <w:rFonts w:ascii="宋体" w:hAnsi="宋体" w:eastAsia="宋体" w:cs="宋体"/>
          <w:szCs w:val="21"/>
        </w:rPr>
        <w:t>2.3</w:t>
      </w:r>
      <w:r>
        <w:rPr>
          <w:rFonts w:hint="eastAsia" w:ascii="宋体" w:hAnsi="宋体" w:eastAsia="宋体" w:cs="宋体"/>
          <w:szCs w:val="21"/>
        </w:rPr>
        <w:t xml:space="preserve"> 投标人在投标截止时间后书面通知招标人、采购代理机构撤销投标文件的，将根据本须知正文1</w:t>
      </w:r>
      <w:r>
        <w:rPr>
          <w:rFonts w:ascii="宋体" w:hAnsi="宋体" w:eastAsia="宋体" w:cs="宋体"/>
          <w:szCs w:val="21"/>
        </w:rPr>
        <w:t>8</w:t>
      </w:r>
      <w:r>
        <w:rPr>
          <w:rFonts w:hint="eastAsia" w:ascii="宋体" w:hAnsi="宋体" w:eastAsia="宋体" w:cs="宋体"/>
          <w:szCs w:val="21"/>
        </w:rPr>
        <w:t>.4的规定不予退还其投标保证金。</w:t>
      </w:r>
    </w:p>
    <w:p w14:paraId="4B9024A1">
      <w:pPr>
        <w:spacing w:before="260" w:after="260" w:line="416" w:lineRule="auto"/>
        <w:jc w:val="center"/>
        <w:outlineLvl w:val="2"/>
        <w:rPr>
          <w:rFonts w:ascii="Times New Roman" w:hAnsi="Times New Roman" w:eastAsia="宋体" w:cs="Times New Roman"/>
          <w:b/>
          <w:bCs/>
          <w:kern w:val="0"/>
          <w:sz w:val="32"/>
          <w:szCs w:val="32"/>
          <w:lang w:val="zh-CN"/>
        </w:rPr>
      </w:pPr>
      <w:bookmarkStart w:id="118" w:name="_Toc254970544"/>
      <w:bookmarkStart w:id="119" w:name="_Toc254970685"/>
      <w:r>
        <w:rPr>
          <w:rFonts w:hint="eastAsia" w:ascii="Times New Roman" w:hAnsi="Times New Roman" w:eastAsia="宋体" w:cs="Times New Roman"/>
          <w:b/>
          <w:bCs/>
          <w:kern w:val="0"/>
          <w:sz w:val="32"/>
          <w:szCs w:val="32"/>
          <w:lang w:val="zh-CN"/>
        </w:rPr>
        <w:t>四、开    标</w:t>
      </w:r>
      <w:bookmarkEnd w:id="118"/>
      <w:bookmarkEnd w:id="119"/>
    </w:p>
    <w:p w14:paraId="328234DF">
      <w:pPr>
        <w:numPr>
          <w:ilvl w:val="4"/>
          <w:numId w:val="0"/>
        </w:numPr>
        <w:spacing w:line="360" w:lineRule="auto"/>
        <w:ind w:left="420" w:leftChars="200"/>
        <w:outlineLvl w:val="4"/>
        <w:rPr>
          <w:rFonts w:ascii="黑体" w:hAnsi="黑体" w:eastAsia="黑体" w:cs="Times New Roman"/>
          <w:b/>
          <w:sz w:val="24"/>
          <w:szCs w:val="24"/>
          <w:lang w:val="zh-CN"/>
        </w:rPr>
      </w:pPr>
      <w:bookmarkStart w:id="120" w:name="_23.开标时间和地点"/>
      <w:bookmarkEnd w:id="120"/>
      <w:r>
        <w:rPr>
          <w:rFonts w:hint="eastAsia" w:ascii="黑体" w:hAnsi="黑体" w:eastAsia="黑体" w:cs="Times New Roman"/>
          <w:b/>
          <w:sz w:val="24"/>
          <w:szCs w:val="24"/>
          <w:lang w:val="zh-CN"/>
        </w:rPr>
        <w:t>23.开标时间和地点</w:t>
      </w:r>
    </w:p>
    <w:p w14:paraId="48DEC62D">
      <w:pPr>
        <w:snapToGrid w:val="0"/>
        <w:spacing w:line="360" w:lineRule="auto"/>
        <w:ind w:firstLine="420" w:firstLineChars="200"/>
        <w:rPr>
          <w:rFonts w:ascii="宋体" w:hAnsi="宋体" w:eastAsia="宋体" w:cs="Times New Roman"/>
          <w:bCs/>
          <w:kern w:val="0"/>
          <w:szCs w:val="21"/>
          <w:lang w:val="zh-CN"/>
        </w:rPr>
      </w:pPr>
      <w:bookmarkStart w:id="121" w:name="_Hlk91151662"/>
      <w:r>
        <w:rPr>
          <w:rFonts w:hint="eastAsia" w:ascii="宋体" w:hAnsi="宋体" w:eastAsia="宋体" w:cs="Times New Roman"/>
          <w:bCs/>
          <w:kern w:val="0"/>
          <w:szCs w:val="21"/>
          <w:lang w:val="zh-CN"/>
        </w:rPr>
        <w:t>采购代理机构</w:t>
      </w:r>
      <w:bookmarkEnd w:id="121"/>
      <w:r>
        <w:rPr>
          <w:rFonts w:hint="eastAsia" w:ascii="宋体" w:hAnsi="宋体" w:eastAsia="宋体" w:cs="Times New Roman"/>
          <w:bCs/>
          <w:kern w:val="0"/>
          <w:szCs w:val="21"/>
          <w:lang w:val="zh-CN"/>
        </w:rPr>
        <w:t>将在“投标人须知前附表”规定的时间通过“政府采购云平台”组织开标、开启投标文件，所有供应商均应当准时在线参加。投标供应商如不参加开标会的，视同认可开标结果，事后不得对采购相关人员、开标过程和开标结果提出异议，同时供应商因未在线参加开标而导致投标文件无法按时解密等一切后果由供应商自己承担。本项目开标过程实行全程录音、录像监控。</w:t>
      </w:r>
    </w:p>
    <w:p w14:paraId="578B2A9C">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24.开标程序</w:t>
      </w:r>
    </w:p>
    <w:p w14:paraId="2F508059">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1.电子开标会由采购代理机构主持</w:t>
      </w:r>
    </w:p>
    <w:p w14:paraId="40FBFF24">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2. 采购代理机构工作人员向各投标供应商发出电子加密投标文件【开始解密】通知，由供应商按招标文件规定的时间内自行进行投标文件解密。投标供应商未在规定时间内完成解密的，系统默认自动放弃。</w:t>
      </w:r>
    </w:p>
    <w:p w14:paraId="2426A770">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3.</w:t>
      </w:r>
      <w:r>
        <w:rPr>
          <w:rFonts w:ascii="宋体" w:hAnsi="宋体" w:eastAsia="宋体" w:cs="Times New Roman"/>
          <w:bCs/>
          <w:kern w:val="0"/>
          <w:szCs w:val="21"/>
          <w:lang w:val="zh-CN"/>
        </w:rPr>
        <w:t>投标文件解密结束，开启</w:t>
      </w:r>
      <w:r>
        <w:rPr>
          <w:rFonts w:hint="eastAsia" w:ascii="宋体" w:hAnsi="宋体" w:eastAsia="宋体" w:cs="Times New Roman"/>
          <w:bCs/>
          <w:kern w:val="0"/>
          <w:szCs w:val="21"/>
          <w:lang w:val="zh-CN"/>
        </w:rPr>
        <w:t>报价文件。投标供应商在线制作投标文件时填写的报价金额</w:t>
      </w:r>
      <w:r>
        <w:rPr>
          <w:rFonts w:ascii="宋体" w:hAnsi="宋体" w:eastAsia="宋体" w:cs="Times New Roman"/>
          <w:bCs/>
          <w:kern w:val="0"/>
          <w:szCs w:val="21"/>
          <w:lang w:val="zh-CN"/>
        </w:rPr>
        <w:t>与解密后“电子加密投标文件”中《开标一览表》填写的金额不一致的，以解密后“电子加密投标文件”中《开标一览表》填写的金额为准，投标供应商拒绝接受此调整的，按无效投标处理。</w:t>
      </w:r>
    </w:p>
    <w:p w14:paraId="54E046C0">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4.进入</w:t>
      </w:r>
      <w:r>
        <w:rPr>
          <w:rFonts w:ascii="宋体" w:hAnsi="宋体" w:eastAsia="宋体" w:cs="Times New Roman"/>
          <w:bCs/>
          <w:kern w:val="0"/>
          <w:szCs w:val="21"/>
          <w:lang w:val="zh-CN"/>
        </w:rPr>
        <w:t>资格文件</w:t>
      </w:r>
      <w:r>
        <w:rPr>
          <w:rFonts w:hint="eastAsia" w:ascii="宋体" w:hAnsi="宋体" w:eastAsia="宋体" w:cs="Times New Roman"/>
          <w:bCs/>
          <w:kern w:val="0"/>
          <w:szCs w:val="21"/>
          <w:lang w:val="zh-CN"/>
        </w:rPr>
        <w:t>审查环节</w:t>
      </w: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采购代理机构或者招标采购单位</w:t>
      </w:r>
      <w:r>
        <w:rPr>
          <w:rFonts w:ascii="宋体" w:hAnsi="宋体" w:eastAsia="宋体" w:cs="Times New Roman"/>
          <w:bCs/>
          <w:kern w:val="0"/>
          <w:szCs w:val="21"/>
          <w:lang w:val="zh-CN"/>
        </w:rPr>
        <w:t>依法对投标供应商的资格进行审查。</w:t>
      </w:r>
    </w:p>
    <w:p w14:paraId="09A1A096">
      <w:pPr>
        <w:adjustRightInd w:val="0"/>
        <w:snapToGrid w:val="0"/>
        <w:spacing w:line="400" w:lineRule="exact"/>
        <w:ind w:firstLine="420" w:firstLineChars="200"/>
        <w:rPr>
          <w:rFonts w:ascii="宋体" w:hAnsi="宋体" w:eastAsia="宋体" w:cs="Times New Roman"/>
          <w:bCs/>
          <w:kern w:val="0"/>
          <w:szCs w:val="21"/>
          <w:lang w:val="zh-CN"/>
        </w:rPr>
      </w:pPr>
      <w:r>
        <w:rPr>
          <w:rFonts w:hint="eastAsia" w:ascii="宋体" w:hAnsi="宋体" w:eastAsia="宋体" w:cs="Times New Roman"/>
          <w:bCs/>
          <w:kern w:val="0"/>
          <w:szCs w:val="21"/>
          <w:lang w:val="zh-CN"/>
        </w:rPr>
        <w:t>5.</w:t>
      </w:r>
      <w:r>
        <w:rPr>
          <w:rFonts w:ascii="宋体" w:hAnsi="宋体" w:eastAsia="宋体" w:cs="Times New Roman"/>
          <w:bCs/>
          <w:kern w:val="0"/>
          <w:szCs w:val="21"/>
          <w:lang w:val="zh-CN"/>
        </w:rPr>
        <w:t>开启资格审查通过的投标供应商的商务技术文件进入符合性审查及商务技术评审</w:t>
      </w:r>
      <w:r>
        <w:rPr>
          <w:rFonts w:hint="eastAsia" w:ascii="宋体" w:hAnsi="宋体" w:eastAsia="宋体" w:cs="Times New Roman"/>
          <w:bCs/>
          <w:kern w:val="0"/>
          <w:szCs w:val="21"/>
          <w:lang w:val="zh-CN"/>
        </w:rPr>
        <w:t>。</w:t>
      </w:r>
    </w:p>
    <w:p w14:paraId="2E4FFDAB">
      <w:pPr>
        <w:adjustRightInd w:val="0"/>
        <w:snapToGrid w:val="0"/>
        <w:spacing w:line="400" w:lineRule="exact"/>
        <w:ind w:firstLine="420"/>
        <w:rPr>
          <w:rFonts w:ascii="宋体" w:hAnsi="宋体" w:eastAsia="宋体" w:cs="Times New Roman"/>
          <w:bCs/>
          <w:kern w:val="0"/>
          <w:szCs w:val="21"/>
          <w:lang w:val="zh-CN"/>
        </w:rPr>
      </w:pPr>
      <w:r>
        <w:rPr>
          <w:rFonts w:hint="eastAsia" w:ascii="宋体" w:hAnsi="宋体" w:eastAsia="宋体" w:cs="Times New Roman"/>
          <w:bCs/>
          <w:kern w:val="0"/>
          <w:szCs w:val="21"/>
          <w:lang w:val="zh-CN"/>
        </w:rPr>
        <w:t>注：①当整个招标项目的投标人不足3家的不开标，采购代理机构将按政府采购管理的有关规定处理。</w:t>
      </w:r>
    </w:p>
    <w:p w14:paraId="2B1758C2">
      <w:pPr>
        <w:adjustRightInd w:val="0"/>
        <w:snapToGrid w:val="0"/>
        <w:spacing w:line="400" w:lineRule="exact"/>
        <w:ind w:firstLine="840" w:firstLineChars="400"/>
        <w:rPr>
          <w:rFonts w:ascii="宋体" w:hAnsi="宋体" w:eastAsia="宋体" w:cs="Times New Roman"/>
          <w:bCs/>
          <w:kern w:val="0"/>
          <w:szCs w:val="21"/>
          <w:lang w:val="zh-CN"/>
        </w:rPr>
      </w:pPr>
      <w:r>
        <w:rPr>
          <w:rFonts w:hint="eastAsia" w:ascii="宋体" w:hAnsi="宋体" w:eastAsia="宋体" w:cs="Times New Roman"/>
          <w:bCs/>
          <w:kern w:val="0"/>
          <w:szCs w:val="21"/>
          <w:lang w:val="zh-CN"/>
        </w:rPr>
        <w:t>②开标后,投标人不足3家的，采购代理机构将按政府采购管理的有关规定处理。</w:t>
      </w:r>
    </w:p>
    <w:p w14:paraId="5264E9DD">
      <w:pPr>
        <w:spacing w:line="360" w:lineRule="auto"/>
        <w:ind w:firstLine="420"/>
        <w:jc w:val="left"/>
        <w:rPr>
          <w:rFonts w:ascii="宋体" w:hAnsi="宋体" w:eastAsia="宋体" w:cs="Times New Roman"/>
          <w:b/>
          <w:bCs/>
          <w:kern w:val="0"/>
          <w:szCs w:val="21"/>
        </w:rPr>
      </w:pPr>
      <w:r>
        <w:rPr>
          <w:rFonts w:ascii="宋体" w:hAnsi="宋体" w:eastAsia="宋体" w:cs="Times New Roman"/>
          <w:b/>
          <w:bCs/>
          <w:kern w:val="0"/>
          <w:szCs w:val="21"/>
        </w:rPr>
        <w:t>特别说明：如遇“</w:t>
      </w:r>
      <w:r>
        <w:rPr>
          <w:rFonts w:hint="eastAsia" w:ascii="宋体" w:hAnsi="宋体" w:eastAsia="宋体" w:cs="Times New Roman"/>
          <w:b/>
          <w:bCs/>
          <w:kern w:val="0"/>
          <w:szCs w:val="21"/>
        </w:rPr>
        <w:t>广西政府采购云</w:t>
      </w:r>
      <w:r>
        <w:rPr>
          <w:rFonts w:ascii="宋体" w:hAnsi="宋体" w:eastAsia="宋体" w:cs="Times New Roman"/>
          <w:b/>
          <w:bCs/>
          <w:kern w:val="0"/>
          <w:szCs w:val="21"/>
        </w:rPr>
        <w:t>平台”电子化开标或评审程序调整的，按调整后程序执行。</w:t>
      </w:r>
    </w:p>
    <w:p w14:paraId="4B274D27">
      <w:pPr>
        <w:snapToGrid w:val="0"/>
        <w:spacing w:line="360" w:lineRule="auto"/>
        <w:ind w:left="689" w:leftChars="228" w:hanging="210" w:hangingChars="100"/>
        <w:rPr>
          <w:rFonts w:ascii="宋体" w:hAnsi="宋体" w:eastAsia="宋体" w:cs="Times New Roman"/>
          <w:kern w:val="0"/>
          <w:szCs w:val="21"/>
          <w:lang w:val="zh-CN"/>
        </w:rPr>
      </w:pPr>
    </w:p>
    <w:p w14:paraId="4C6CE116">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五、资格审查</w:t>
      </w:r>
    </w:p>
    <w:p w14:paraId="5B86E4E7">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25.资格审查</w:t>
      </w:r>
    </w:p>
    <w:p w14:paraId="68513E01">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25.1</w:t>
      </w:r>
      <w:r>
        <w:rPr>
          <w:rFonts w:ascii="宋体" w:hAnsi="宋体" w:eastAsia="宋体" w:cs="Times New Roman"/>
          <w:szCs w:val="21"/>
          <w:lang w:val="zh-CN"/>
        </w:rPr>
        <w:t>开标结束后，</w:t>
      </w:r>
      <w:r>
        <w:rPr>
          <w:rFonts w:hint="eastAsia" w:ascii="宋体" w:hAnsi="宋体" w:eastAsia="宋体" w:cs="Times New Roman"/>
          <w:szCs w:val="21"/>
          <w:lang w:val="zh-CN"/>
        </w:rPr>
        <w:t>招标人或者采购代理机构</w:t>
      </w:r>
      <w:r>
        <w:rPr>
          <w:rFonts w:ascii="宋体" w:hAnsi="宋体" w:eastAsia="宋体" w:cs="Times New Roman"/>
          <w:szCs w:val="21"/>
          <w:lang w:val="zh-CN"/>
        </w:rPr>
        <w:t>依法对投标人的资格进行审查。</w:t>
      </w:r>
    </w:p>
    <w:p w14:paraId="14ABBEAA">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25.2资格审查标准为本招标文件中载明对投标人资格要求的条件。本项目资格审查采用合格制，凡符合招标文件规定的投标人资格要求的投标人均通过资格审查。</w:t>
      </w:r>
    </w:p>
    <w:p w14:paraId="58BDBF6D">
      <w:pPr>
        <w:spacing w:line="360" w:lineRule="auto"/>
        <w:ind w:firstLine="422" w:firstLineChars="200"/>
        <w:outlineLvl w:val="4"/>
        <w:rPr>
          <w:rFonts w:ascii="宋体" w:hAnsi="宋体" w:eastAsia="宋体" w:cs="Times New Roman"/>
          <w:b/>
          <w:szCs w:val="21"/>
          <w:lang w:val="zh-CN"/>
        </w:rPr>
      </w:pPr>
      <w:bookmarkStart w:id="122" w:name="_25.3_投标人有下列情形之一的，资格审查不通过而导致其投标无效："/>
      <w:bookmarkEnd w:id="122"/>
      <w:r>
        <w:rPr>
          <w:rFonts w:hint="eastAsia" w:ascii="宋体" w:hAnsi="宋体" w:eastAsia="宋体" w:cs="Times New Roman"/>
          <w:b/>
          <w:szCs w:val="21"/>
          <w:lang w:val="zh-CN"/>
        </w:rPr>
        <w:t>25.3 投标人有下列情形之一的，资格审查不通过，作无效投标处理：</w:t>
      </w:r>
    </w:p>
    <w:p w14:paraId="79C6E168">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（1）未按招标文件规定的方式获取本招标文件的投标人；</w:t>
      </w:r>
    </w:p>
    <w:p w14:paraId="635CC226">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（2）不具备招标文件中规定的资格要求的；</w:t>
      </w:r>
    </w:p>
    <w:p w14:paraId="734C6869">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（3）在“信用中国”网站(www.creditchina.gov.cn) 、中国政府采购网(www.ccgp.gov.cn)被列入失信被执行人、重大税收违法案件当事人名单、政府采购严重违法失信行为记录名单及其他不符合《中华人民共和国政府采购法》第二十二条规定条件的；（注：其中信用查询规则见“投标人须知前附表”）</w:t>
      </w:r>
    </w:p>
    <w:p w14:paraId="5B61888C">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（4）同一合同项下的不同投标人，单位负责人为同一人或者存在直接控股、管理关系的；为本项目提供过整体设计、规范编制或者项目管理、监理、检测等服务的；</w:t>
      </w:r>
    </w:p>
    <w:p w14:paraId="7B5DD35C">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w:t>
      </w:r>
      <w:r>
        <w:rPr>
          <w:rFonts w:ascii="宋体" w:hAnsi="宋体" w:eastAsia="宋体" w:cs="Times New Roman"/>
          <w:b/>
          <w:kern w:val="0"/>
          <w:szCs w:val="21"/>
          <w:lang w:val="zh-CN"/>
        </w:rPr>
        <w:t>5</w:t>
      </w:r>
      <w:r>
        <w:rPr>
          <w:rFonts w:hint="eastAsia" w:ascii="宋体" w:hAnsi="宋体" w:eastAsia="宋体" w:cs="Times New Roman"/>
          <w:b/>
          <w:kern w:val="0"/>
          <w:szCs w:val="21"/>
          <w:lang w:val="zh-CN"/>
        </w:rPr>
        <w:t>）投标文件未提供任一项“投标人须知前附表”资格证明文件规定的“必须提供”的文件资料的；</w:t>
      </w:r>
    </w:p>
    <w:p w14:paraId="60EB3B62">
      <w:pPr>
        <w:snapToGrid w:val="0"/>
        <w:spacing w:line="360" w:lineRule="auto"/>
        <w:ind w:firstLine="422" w:firstLineChars="200"/>
        <w:rPr>
          <w:rFonts w:ascii="宋体" w:hAnsi="宋体" w:eastAsia="宋体" w:cs="Times New Roman"/>
          <w:b/>
          <w:kern w:val="0"/>
          <w:szCs w:val="21"/>
          <w:lang w:val="zh-CN"/>
        </w:rPr>
      </w:pPr>
      <w:r>
        <w:rPr>
          <w:rFonts w:hint="eastAsia" w:ascii="宋体" w:hAnsi="宋体" w:eastAsia="宋体" w:cs="Times New Roman"/>
          <w:b/>
          <w:kern w:val="0"/>
          <w:szCs w:val="21"/>
          <w:lang w:val="zh-CN"/>
        </w:rPr>
        <w:t>（</w:t>
      </w:r>
      <w:r>
        <w:rPr>
          <w:rFonts w:ascii="宋体" w:hAnsi="宋体" w:eastAsia="宋体" w:cs="Times New Roman"/>
          <w:b/>
          <w:kern w:val="0"/>
          <w:szCs w:val="21"/>
          <w:lang w:val="zh-CN"/>
        </w:rPr>
        <w:t>6</w:t>
      </w:r>
      <w:r>
        <w:rPr>
          <w:rFonts w:hint="eastAsia" w:ascii="宋体" w:hAnsi="宋体" w:eastAsia="宋体" w:cs="Times New Roman"/>
          <w:b/>
          <w:kern w:val="0"/>
          <w:szCs w:val="21"/>
          <w:lang w:val="zh-CN"/>
        </w:rPr>
        <w:t>）投标文件提供的资格证明文件出现任一项不符合“投标人须知前附表”资格证明文件规定的“必须提供”的文件资料要求或者无效的。</w:t>
      </w:r>
    </w:p>
    <w:p w14:paraId="7C1F8004">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b/>
          <w:szCs w:val="21"/>
          <w:lang w:val="zh-CN"/>
        </w:rPr>
        <w:t>25.4资格审查的</w:t>
      </w:r>
      <w:r>
        <w:rPr>
          <w:rFonts w:ascii="宋体" w:hAnsi="宋体" w:eastAsia="宋体" w:cs="Times New Roman"/>
          <w:b/>
          <w:szCs w:val="21"/>
          <w:lang w:val="zh-CN"/>
        </w:rPr>
        <w:t>合格投标人不足3家的，不得评标。</w:t>
      </w:r>
    </w:p>
    <w:p w14:paraId="6C8595DE">
      <w:pPr>
        <w:snapToGrid w:val="0"/>
        <w:spacing w:line="360" w:lineRule="auto"/>
        <w:ind w:left="689" w:leftChars="228" w:hanging="210" w:hangingChars="100"/>
        <w:rPr>
          <w:rFonts w:ascii="宋体" w:hAnsi="宋体" w:eastAsia="宋体" w:cs="Times New Roman"/>
          <w:kern w:val="0"/>
          <w:szCs w:val="21"/>
          <w:lang w:val="zh-CN"/>
        </w:rPr>
      </w:pPr>
    </w:p>
    <w:p w14:paraId="7543DCBA">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六、评   标</w:t>
      </w:r>
    </w:p>
    <w:p w14:paraId="635FFCD5">
      <w:pPr>
        <w:numPr>
          <w:ilvl w:val="4"/>
          <w:numId w:val="0"/>
        </w:numPr>
        <w:spacing w:line="360" w:lineRule="auto"/>
        <w:ind w:left="420" w:leftChars="200"/>
        <w:outlineLvl w:val="4"/>
        <w:rPr>
          <w:rFonts w:ascii="黑体" w:hAnsi="黑体" w:eastAsia="黑体" w:cs="Times New Roman"/>
          <w:b/>
          <w:sz w:val="24"/>
          <w:szCs w:val="24"/>
          <w:lang w:val="zh-CN"/>
        </w:rPr>
      </w:pPr>
      <w:bookmarkStart w:id="123" w:name="_26.组建评标委员会"/>
      <w:bookmarkEnd w:id="123"/>
      <w:r>
        <w:rPr>
          <w:rFonts w:hint="eastAsia" w:ascii="黑体" w:hAnsi="黑体" w:eastAsia="黑体" w:cs="Times New Roman"/>
          <w:b/>
          <w:sz w:val="24"/>
          <w:szCs w:val="24"/>
          <w:lang w:val="zh-CN"/>
        </w:rPr>
        <w:t>26.组建评标委员会</w:t>
      </w:r>
    </w:p>
    <w:p w14:paraId="4937727F">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评标委员会由招标人代表和评审专家组成，具体人数详见“投标人须知前附表”，其中评审专家不得少于成员总数的三分之二。</w:t>
      </w:r>
    </w:p>
    <w:p w14:paraId="2C6222E0">
      <w:pPr>
        <w:snapToGrid w:val="0"/>
        <w:spacing w:line="360" w:lineRule="auto"/>
        <w:ind w:left="2" w:leftChars="1"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参加过采购项目前期咨询论证的专家，不得参加该采购项目的评审活动。</w:t>
      </w:r>
    </w:p>
    <w:p w14:paraId="69F92B6F">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27.评标的依据</w:t>
      </w:r>
    </w:p>
    <w:p w14:paraId="2A84BD74">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评标委员会以招标文件为依据对投标文件进行评审，</w:t>
      </w:r>
      <w:r>
        <w:rPr>
          <w:rFonts w:hint="eastAsia" w:ascii="宋体" w:hAnsi="宋体" w:eastAsia="宋体" w:cs="宋体"/>
          <w:kern w:val="0"/>
          <w:szCs w:val="21"/>
          <w:lang w:val="zh-CN"/>
        </w:rPr>
        <w:t>“第四章 评标方法和评标标准”</w:t>
      </w:r>
      <w:r>
        <w:rPr>
          <w:rFonts w:ascii="宋体" w:hAnsi="宋体" w:eastAsia="宋体" w:cs="Times New Roman"/>
          <w:kern w:val="0"/>
          <w:szCs w:val="21"/>
          <w:lang w:val="zh-CN"/>
        </w:rPr>
        <w:t>没有规定的方法、评审因素和标准，不作为评标依据。</w:t>
      </w:r>
    </w:p>
    <w:p w14:paraId="5B939A7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28.评标原则</w:t>
      </w:r>
    </w:p>
    <w:p w14:paraId="50DDF7B7">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DAAC0CC">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28.2评委表决。评标委员会成员对需要共同认定的事项存在争议的，应当按照少数服从多数的原则作出结论。</w:t>
      </w:r>
    </w:p>
    <w:p w14:paraId="707C5877">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28.</w:t>
      </w:r>
      <w:r>
        <w:rPr>
          <w:rFonts w:ascii="宋体" w:hAnsi="宋体" w:eastAsia="宋体" w:cs="Times New Roman"/>
          <w:kern w:val="0"/>
          <w:szCs w:val="21"/>
          <w:lang w:val="zh-CN"/>
        </w:rPr>
        <w:t>3</w:t>
      </w:r>
      <w:r>
        <w:rPr>
          <w:rFonts w:hint="eastAsia" w:ascii="宋体" w:hAnsi="宋体" w:eastAsia="宋体" w:cs="Times New Roman"/>
          <w:kern w:val="0"/>
          <w:szCs w:val="21"/>
          <w:lang w:val="zh-CN"/>
        </w:rPr>
        <w:t>评标的保密。招标人、采购代理机构应当采取必要措施，保证评标在严格保密（封闭式评标）的情况下进行。除招标人代表、评标现场组织人员外，招标人的其他工作人员以及与评标工作无关的人员不得进入评标现场。有关人员对评标情况以及在评标过程中获悉的国家秘密、商业秘密负有保密责任。</w:t>
      </w:r>
    </w:p>
    <w:p w14:paraId="077D8917">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8.4</w:t>
      </w:r>
      <w:r>
        <w:rPr>
          <w:rFonts w:hint="eastAsia" w:ascii="宋体" w:hAnsi="宋体" w:eastAsia="宋体" w:cs="Times New Roman"/>
          <w:kern w:val="0"/>
          <w:szCs w:val="21"/>
          <w:lang w:val="zh-CN"/>
        </w:rPr>
        <w:t>评标过程的监控。本项目评标过程实行全程录音、录像监控，</w:t>
      </w:r>
      <w:r>
        <w:rPr>
          <w:rFonts w:hint="eastAsia" w:ascii="宋体" w:hAnsi="宋体" w:eastAsia="宋体" w:cs="Times New Roman"/>
          <w:b/>
          <w:kern w:val="0"/>
          <w:szCs w:val="21"/>
          <w:lang w:val="zh-CN"/>
        </w:rPr>
        <w:t>投标人在评标过程中所进行的试图影响评标结果的不公正活动，可能导致其投标无效。</w:t>
      </w:r>
    </w:p>
    <w:p w14:paraId="71CC8491">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29.评标方法及评标标准</w:t>
      </w:r>
    </w:p>
    <w:p w14:paraId="1BBB7C76">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9.1</w:t>
      </w:r>
      <w:r>
        <w:rPr>
          <w:rFonts w:hint="eastAsia" w:ascii="宋体" w:hAnsi="宋体" w:eastAsia="宋体" w:cs="Times New Roman"/>
          <w:kern w:val="0"/>
          <w:szCs w:val="21"/>
          <w:lang w:val="zh-CN"/>
        </w:rPr>
        <w:t>本项目的评标方法详见“投标人须知前附表”。</w:t>
      </w:r>
    </w:p>
    <w:p w14:paraId="7D73AD4F">
      <w:pPr>
        <w:snapToGrid w:val="0"/>
        <w:spacing w:line="360" w:lineRule="auto"/>
        <w:ind w:firstLine="420" w:firstLineChars="200"/>
        <w:rPr>
          <w:rFonts w:ascii="宋体" w:hAnsi="宋体" w:eastAsia="宋体" w:cs="宋体"/>
          <w:kern w:val="0"/>
          <w:szCs w:val="21"/>
          <w:lang w:val="zh-CN"/>
        </w:rPr>
      </w:pPr>
      <w:r>
        <w:rPr>
          <w:rFonts w:hint="eastAsia" w:ascii="宋体" w:hAnsi="宋体" w:eastAsia="宋体" w:cs="Times New Roman"/>
          <w:kern w:val="0"/>
          <w:szCs w:val="21"/>
          <w:lang w:val="zh-CN"/>
        </w:rPr>
        <w:t>2</w:t>
      </w:r>
      <w:r>
        <w:rPr>
          <w:rFonts w:ascii="宋体" w:hAnsi="宋体" w:eastAsia="宋体" w:cs="Times New Roman"/>
          <w:kern w:val="0"/>
          <w:szCs w:val="21"/>
          <w:lang w:val="zh-CN"/>
        </w:rPr>
        <w:t>9.2</w:t>
      </w:r>
      <w:r>
        <w:rPr>
          <w:rFonts w:ascii="宋体" w:hAnsi="宋体" w:eastAsia="宋体" w:cs="宋体"/>
          <w:kern w:val="0"/>
          <w:szCs w:val="21"/>
          <w:lang w:val="zh-CN"/>
        </w:rPr>
        <w:t xml:space="preserve"> </w:t>
      </w:r>
      <w:r>
        <w:rPr>
          <w:rFonts w:ascii="宋体" w:hAnsi="宋体" w:eastAsia="宋体" w:cs="Times New Roman"/>
          <w:kern w:val="0"/>
          <w:szCs w:val="21"/>
          <w:lang w:val="zh-CN"/>
        </w:rPr>
        <w:t>评标委员会按照</w:t>
      </w:r>
      <w:r>
        <w:rPr>
          <w:rFonts w:hint="eastAsia" w:ascii="宋体" w:hAnsi="宋体" w:eastAsia="宋体" w:cs="宋体"/>
          <w:kern w:val="0"/>
          <w:szCs w:val="21"/>
          <w:lang w:val="zh-CN"/>
        </w:rPr>
        <w:t>“第四章 评标方法及评标标准”</w:t>
      </w:r>
      <w:r>
        <w:rPr>
          <w:rFonts w:ascii="宋体" w:hAnsi="宋体" w:eastAsia="宋体" w:cs="Times New Roman"/>
          <w:kern w:val="0"/>
          <w:szCs w:val="21"/>
          <w:lang w:val="zh-CN"/>
        </w:rPr>
        <w:t>规定的</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方法、</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程序和</w:t>
      </w:r>
      <w:r>
        <w:rPr>
          <w:rFonts w:hint="eastAsia" w:ascii="宋体" w:hAnsi="宋体" w:eastAsia="宋体" w:cs="Times New Roman"/>
          <w:kern w:val="0"/>
          <w:szCs w:val="21"/>
          <w:lang w:val="zh-CN"/>
        </w:rPr>
        <w:t>评标</w:t>
      </w:r>
      <w:r>
        <w:rPr>
          <w:rFonts w:ascii="宋体" w:hAnsi="宋体" w:eastAsia="宋体" w:cs="Times New Roman"/>
          <w:kern w:val="0"/>
          <w:szCs w:val="21"/>
          <w:lang w:val="zh-CN"/>
        </w:rPr>
        <w:t>标准对投标文件进行评审。</w:t>
      </w:r>
    </w:p>
    <w:p w14:paraId="210A642F">
      <w:pPr>
        <w:snapToGrid w:val="0"/>
        <w:spacing w:line="360" w:lineRule="auto"/>
        <w:rPr>
          <w:rFonts w:ascii="宋体" w:hAnsi="宋体" w:eastAsia="宋体" w:cs="Times New Roman"/>
          <w:kern w:val="0"/>
          <w:szCs w:val="21"/>
          <w:lang w:val="zh-CN"/>
        </w:rPr>
      </w:pPr>
    </w:p>
    <w:p w14:paraId="63DEAB30">
      <w:pPr>
        <w:spacing w:before="260" w:after="260" w:line="416" w:lineRule="auto"/>
        <w:jc w:val="center"/>
        <w:outlineLvl w:val="2"/>
        <w:rPr>
          <w:rFonts w:ascii="Times New Roman" w:hAnsi="Times New Roman" w:eastAsia="宋体" w:cs="Times New Roman"/>
          <w:b/>
          <w:bCs/>
          <w:kern w:val="0"/>
          <w:sz w:val="32"/>
          <w:szCs w:val="32"/>
          <w:lang w:val="zh-CN"/>
        </w:rPr>
      </w:pPr>
      <w:bookmarkStart w:id="124" w:name="_Toc254970687"/>
      <w:bookmarkStart w:id="125" w:name="_Toc254970546"/>
      <w:r>
        <w:rPr>
          <w:rFonts w:hint="eastAsia" w:ascii="Times New Roman" w:hAnsi="Times New Roman" w:eastAsia="宋体" w:cs="Times New Roman"/>
          <w:b/>
          <w:bCs/>
          <w:kern w:val="0"/>
          <w:sz w:val="32"/>
          <w:szCs w:val="32"/>
          <w:lang w:val="zh-CN"/>
        </w:rPr>
        <w:t>七、</w:t>
      </w:r>
      <w:bookmarkEnd w:id="124"/>
      <w:bookmarkEnd w:id="125"/>
      <w:r>
        <w:rPr>
          <w:rFonts w:hint="eastAsia" w:ascii="Times New Roman" w:hAnsi="Times New Roman" w:eastAsia="宋体" w:cs="Times New Roman"/>
          <w:b/>
          <w:bCs/>
          <w:kern w:val="0"/>
          <w:sz w:val="32"/>
          <w:szCs w:val="32"/>
          <w:lang w:val="zh-CN"/>
        </w:rPr>
        <w:t>中标和合同</w:t>
      </w:r>
    </w:p>
    <w:p w14:paraId="3E48A8ED">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30</w:t>
      </w:r>
      <w:r>
        <w:rPr>
          <w:rFonts w:ascii="黑体" w:hAnsi="黑体" w:eastAsia="黑体" w:cs="Times New Roman"/>
          <w:b/>
          <w:sz w:val="24"/>
          <w:szCs w:val="24"/>
          <w:lang w:val="zh-CN"/>
        </w:rPr>
        <w:t xml:space="preserve"> </w:t>
      </w:r>
      <w:r>
        <w:rPr>
          <w:rFonts w:hint="eastAsia" w:ascii="黑体" w:hAnsi="黑体" w:eastAsia="黑体" w:cs="Times New Roman"/>
          <w:b/>
          <w:sz w:val="24"/>
          <w:szCs w:val="24"/>
          <w:lang w:val="zh-CN"/>
        </w:rPr>
        <w:t>确定中标人</w:t>
      </w:r>
    </w:p>
    <w:p w14:paraId="76CA49F9">
      <w:pPr>
        <w:numPr>
          <w:ilvl w:val="4"/>
          <w:numId w:val="0"/>
        </w:numPr>
        <w:spacing w:line="360" w:lineRule="auto"/>
        <w:ind w:firstLine="420" w:firstLineChars="200"/>
        <w:outlineLvl w:val="4"/>
        <w:rPr>
          <w:rFonts w:ascii="宋体" w:hAnsi="宋体" w:eastAsia="宋体" w:cs="Times New Roman"/>
          <w:szCs w:val="21"/>
          <w:lang w:val="zh-CN"/>
        </w:rPr>
      </w:pPr>
      <w:r>
        <w:rPr>
          <w:rFonts w:ascii="宋体" w:hAnsi="宋体" w:eastAsia="宋体" w:cs="Times New Roman"/>
          <w:szCs w:val="21"/>
          <w:lang w:val="zh-CN"/>
        </w:rPr>
        <w:t>30.1</w:t>
      </w:r>
      <w:r>
        <w:rPr>
          <w:rFonts w:hint="eastAsia" w:ascii="宋体" w:hAnsi="宋体" w:eastAsia="宋体" w:cs="Times New Roman"/>
          <w:szCs w:val="21"/>
          <w:lang w:val="zh-CN"/>
        </w:rPr>
        <w:t>采购代理机构在评标结束之日起2个工作日内将评标报告送招标人，招标人在收到评标报告之日起5个工作日内，在评标报告确定的中标候选人名单中按顺序确定中标人。中标候选人并列的，按照“投标人须知前附表”规定的方式确定中标人。招标人也可以事先授权评标委员会直接确定中标人。</w:t>
      </w:r>
    </w:p>
    <w:p w14:paraId="0FDEAEF7">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30.2</w:t>
      </w:r>
      <w:r>
        <w:rPr>
          <w:rFonts w:hint="eastAsia" w:ascii="宋体" w:hAnsi="宋体" w:eastAsia="宋体" w:cs="Courier New"/>
          <w:szCs w:val="21"/>
        </w:rPr>
        <w:t>招标人在收到评标报告5个工作日内未按评标报告推荐的中标候选人顺序确定中标人，又不能说明合法理由的，视同按评标报告推荐的顺序确定排名第一的中标候选人为中标人。</w:t>
      </w:r>
    </w:p>
    <w:p w14:paraId="3B9C46E1">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30.3</w:t>
      </w:r>
      <w:r>
        <w:rPr>
          <w:rFonts w:hint="eastAsia" w:ascii="宋体" w:hAnsi="宋体" w:eastAsia="宋体" w:cs="Courier New"/>
          <w:szCs w:val="21"/>
        </w:rPr>
        <w:t>招标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2F63D955">
      <w:pPr>
        <w:snapToGrid w:val="0"/>
        <w:spacing w:line="360" w:lineRule="auto"/>
        <w:ind w:firstLine="420" w:firstLineChars="200"/>
        <w:rPr>
          <w:rFonts w:ascii="宋体" w:hAnsi="宋体" w:eastAsia="宋体" w:cs="Courier New"/>
          <w:szCs w:val="21"/>
        </w:rPr>
      </w:pPr>
      <w:r>
        <w:rPr>
          <w:rFonts w:ascii="宋体" w:hAnsi="宋体" w:eastAsia="宋体" w:cs="Courier New"/>
          <w:szCs w:val="21"/>
        </w:rPr>
        <w:t>30.4</w:t>
      </w:r>
      <w:r>
        <w:rPr>
          <w:rFonts w:hint="eastAsia" w:ascii="宋体" w:hAnsi="宋体" w:eastAsia="宋体" w:cs="Courier New"/>
          <w:szCs w:val="21"/>
        </w:rPr>
        <w:t>中标人拒绝签订政府采购和或者放弃中标或者因不可抗力提出不能履行合同，招标人可以确定排名第二的中标候选人为中标人。排名第二的中标候选人因前款规定的同样原因不能签订合同的，招标人可以确定排名第三的中标候选人为中标人，以此类推。</w:t>
      </w:r>
    </w:p>
    <w:p w14:paraId="39EBB0E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31. 结果公告</w:t>
      </w:r>
    </w:p>
    <w:p w14:paraId="51BF9F61">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w:t>
      </w:r>
      <w:r>
        <w:rPr>
          <w:rFonts w:ascii="宋体" w:hAnsi="宋体" w:eastAsia="宋体" w:cs="Times New Roman"/>
          <w:szCs w:val="21"/>
          <w:lang w:val="zh-CN"/>
        </w:rPr>
        <w:t>1.1</w:t>
      </w:r>
      <w:r>
        <w:rPr>
          <w:rFonts w:hint="eastAsia" w:ascii="宋体" w:hAnsi="宋体" w:eastAsia="宋体" w:cs="Times New Roman"/>
          <w:szCs w:val="21"/>
          <w:lang w:val="zh-CN"/>
        </w:rPr>
        <w:t>中标人确定后，于中标人确定之日起2个工作日内，中标结果将在招标公告发布媒体上公告。招标人或者采购代理发出中标通知书前，应当对中标人信用进行查询，对列入失信被执行人、重大税收违法案件当事人名单、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招标人可以确定排名第三的中标候选人为中标人，以此类推。</w:t>
      </w:r>
    </w:p>
    <w:p w14:paraId="303BC2C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以上信息查询记录及相关证据与采购文件一并保存。</w:t>
      </w:r>
    </w:p>
    <w:p w14:paraId="3406E9A8">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31.2中标供应商享受《政府采购促进中小企业发展管理办法》（财库〔2020〕46号）规定的中小企业扶持政策的，招标人、采购代理机构应当随中标结果公开中标供应商的《中小企业声明函》。</w:t>
      </w:r>
    </w:p>
    <w:p w14:paraId="1DA1DAC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32.发出中标通知书</w:t>
      </w:r>
    </w:p>
    <w:p w14:paraId="0628A6DC">
      <w:pPr>
        <w:numPr>
          <w:ilvl w:val="4"/>
          <w:numId w:val="0"/>
        </w:num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在发布中标公告的同时，采购代理机构向中标人发出中标通知书。对未通过资格审查的投标人，应当告知其未通过的原因；采用综合评分办法评审的，还应当告知未中标人本人的评审得分与排序。</w:t>
      </w:r>
    </w:p>
    <w:p w14:paraId="5D2DD76B">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33. 无义务解释未中标原因</w:t>
      </w:r>
    </w:p>
    <w:p w14:paraId="6DFE8AFC">
      <w:pPr>
        <w:numPr>
          <w:ilvl w:val="4"/>
          <w:numId w:val="0"/>
        </w:numPr>
        <w:spacing w:line="360" w:lineRule="auto"/>
        <w:ind w:left="420" w:leftChars="200"/>
        <w:outlineLvl w:val="4"/>
        <w:rPr>
          <w:rFonts w:ascii="宋体" w:hAnsi="宋体" w:eastAsia="宋体" w:cs="Times New Roman"/>
          <w:szCs w:val="21"/>
          <w:lang w:val="zh-CN"/>
        </w:rPr>
      </w:pPr>
      <w:r>
        <w:rPr>
          <w:rFonts w:hint="eastAsia" w:ascii="宋体" w:hAnsi="宋体" w:eastAsia="宋体" w:cs="Times New Roman"/>
          <w:szCs w:val="21"/>
          <w:lang w:val="zh-CN"/>
        </w:rPr>
        <w:t>采购代理机构无义务向未中标的投标人解释未中标原因和退还投标文件。</w:t>
      </w:r>
    </w:p>
    <w:p w14:paraId="3FC5E9BF">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34.合同授予标准</w:t>
      </w:r>
    </w:p>
    <w:p w14:paraId="31345364">
      <w:pPr>
        <w:snapToGrid w:val="0"/>
        <w:spacing w:line="360" w:lineRule="auto"/>
        <w:ind w:firstLine="420" w:firstLineChars="200"/>
        <w:rPr>
          <w:rFonts w:ascii="宋体" w:hAnsi="宋体" w:eastAsia="宋体" w:cs="Times New Roman"/>
          <w:szCs w:val="21"/>
        </w:rPr>
      </w:pPr>
      <w:r>
        <w:rPr>
          <w:rFonts w:hint="eastAsia" w:ascii="宋体" w:hAnsi="宋体" w:eastAsia="宋体" w:cs="Courier New"/>
          <w:szCs w:val="21"/>
        </w:rPr>
        <w:t>合同将授予被确定实质上响应招标文件要求，具备履行合同能力的中标人。</w:t>
      </w:r>
    </w:p>
    <w:p w14:paraId="13263EE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35.履约保证金</w:t>
      </w:r>
    </w:p>
    <w:p w14:paraId="48D046D4">
      <w:pPr>
        <w:numPr>
          <w:ilvl w:val="4"/>
          <w:numId w:val="0"/>
        </w:numPr>
        <w:spacing w:line="360" w:lineRule="auto"/>
        <w:ind w:firstLine="315" w:firstLineChars="150"/>
        <w:outlineLvl w:val="4"/>
        <w:rPr>
          <w:rFonts w:ascii="宋体" w:hAnsi="宋体" w:eastAsia="宋体" w:cs="Times New Roman"/>
          <w:szCs w:val="21"/>
          <w:lang w:val="zh-CN"/>
        </w:rPr>
      </w:pPr>
      <w:bookmarkStart w:id="126" w:name="_39.1中标人须于签订合同前按本须知前附表规定的金额转账或电汇到指定账"/>
      <w:bookmarkEnd w:id="126"/>
      <w:r>
        <w:rPr>
          <w:rFonts w:ascii="宋体" w:hAnsi="宋体" w:eastAsia="宋体" w:cs="Times New Roman"/>
          <w:szCs w:val="21"/>
          <w:lang w:val="zh-CN"/>
        </w:rPr>
        <w:t xml:space="preserve"> </w:t>
      </w: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.1 履约保证金的金额、提交方式、退付的时间和条件详见 “投标人须知前附表”。中标人未按规定提交履约保证金的，视为拒绝与招标人签订合同，招标人可以按照评标报告推荐的中标候选人名单排序，确定下一候选人为中标人，也可以重新开展政府采购活动。</w:t>
      </w:r>
    </w:p>
    <w:p w14:paraId="78F373B8">
      <w:pPr>
        <w:numPr>
          <w:ilvl w:val="4"/>
          <w:numId w:val="0"/>
        </w:numPr>
        <w:spacing w:line="360" w:lineRule="auto"/>
        <w:ind w:firstLine="315" w:firstLineChars="150"/>
        <w:outlineLvl w:val="4"/>
        <w:rPr>
          <w:rFonts w:ascii="宋体" w:hAnsi="宋体" w:eastAsia="宋体" w:cs="Times New Roman"/>
          <w:szCs w:val="21"/>
          <w:lang w:val="zh-CN"/>
        </w:rPr>
      </w:pPr>
      <w:r>
        <w:rPr>
          <w:rFonts w:ascii="宋体" w:hAnsi="宋体" w:eastAsia="宋体" w:cs="Times New Roman"/>
          <w:szCs w:val="21"/>
          <w:lang w:val="zh-CN"/>
        </w:rPr>
        <w:t xml:space="preserve"> </w:t>
      </w: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.2签订合同后，如中标人不按双方签订的合同规定履约，则没收其全部履约保证金，履约保证金不足以赔偿损失的，按实际损失赔偿。</w:t>
      </w:r>
    </w:p>
    <w:p w14:paraId="1E145BB0">
      <w:p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w:t>
      </w:r>
      <w:r>
        <w:rPr>
          <w:rFonts w:ascii="宋体" w:hAnsi="宋体" w:eastAsia="宋体" w:cs="Times New Roman"/>
          <w:szCs w:val="21"/>
          <w:lang w:val="zh-CN"/>
        </w:rPr>
        <w:t>5</w:t>
      </w:r>
      <w:r>
        <w:rPr>
          <w:rFonts w:hint="eastAsia" w:ascii="宋体" w:hAnsi="宋体" w:eastAsia="宋体" w:cs="Times New Roman"/>
          <w:szCs w:val="21"/>
          <w:lang w:val="zh-CN"/>
        </w:rPr>
        <w:t>.3在履约保证金退还日期前，若中标人的开户名称、开户银行、帐号有变动的，请以书面形式通知履约保证金收取单位，否则由此产生的后果由中标人自行承担。</w:t>
      </w:r>
    </w:p>
    <w:p w14:paraId="08A1CFCE">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36.签订合同</w:t>
      </w:r>
    </w:p>
    <w:p w14:paraId="474723C5">
      <w:pPr>
        <w:numPr>
          <w:ilvl w:val="4"/>
          <w:numId w:val="0"/>
        </w:numPr>
        <w:spacing w:line="360" w:lineRule="auto"/>
        <w:ind w:firstLine="315" w:firstLineChars="150"/>
        <w:outlineLvl w:val="4"/>
        <w:rPr>
          <w:rFonts w:ascii="宋体" w:hAnsi="宋体" w:eastAsia="宋体" w:cs="Times New Roman"/>
          <w:szCs w:val="21"/>
          <w:lang w:val="zh-CN"/>
        </w:rPr>
      </w:pPr>
      <w:bookmarkStart w:id="127" w:name="_40.1投标人接到中标通知书后，按须知前附表规定向采购人出示相关资格证"/>
      <w:bookmarkEnd w:id="127"/>
      <w:r>
        <w:rPr>
          <w:rFonts w:hint="eastAsia" w:ascii="宋体" w:hAnsi="宋体" w:eastAsia="宋体" w:cs="Times New Roman"/>
          <w:szCs w:val="21"/>
          <w:lang w:val="zh-CN"/>
        </w:rPr>
        <w:t xml:space="preserve"> 36.1投标人领取中标通知书后，按“投标人须知前附表”规定向招标人出示相关证明材料，经招标人核验合格后方可签订合同。</w:t>
      </w:r>
    </w:p>
    <w:p w14:paraId="739A953B">
      <w:pPr>
        <w:spacing w:line="360" w:lineRule="auto"/>
        <w:ind w:firstLine="420" w:firstLineChars="200"/>
        <w:outlineLvl w:val="4"/>
        <w:rPr>
          <w:rFonts w:ascii="宋体" w:hAnsi="宋体" w:eastAsia="宋体" w:cs="Times New Roman"/>
          <w:szCs w:val="21"/>
          <w:lang w:val="zh-CN"/>
        </w:rPr>
      </w:pPr>
      <w:r>
        <w:rPr>
          <w:rFonts w:hint="eastAsia" w:ascii="宋体" w:hAnsi="宋体" w:eastAsia="宋体" w:cs="Times New Roman"/>
          <w:szCs w:val="21"/>
          <w:lang w:val="zh-CN"/>
        </w:rPr>
        <w:t>36.2签订合同时间：按中标通知书规定的时间与招标人签订合同。</w:t>
      </w:r>
    </w:p>
    <w:p w14:paraId="0DCACBA9">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36.</w:t>
      </w:r>
      <w:r>
        <w:rPr>
          <w:rFonts w:ascii="宋体" w:hAnsi="宋体" w:eastAsia="宋体" w:cs="Times New Roman"/>
          <w:szCs w:val="21"/>
          <w:lang w:val="zh-CN"/>
        </w:rPr>
        <w:t>3</w:t>
      </w:r>
      <w:r>
        <w:rPr>
          <w:rFonts w:hint="eastAsia" w:ascii="宋体" w:hAnsi="宋体" w:eastAsia="宋体" w:cs="Times New Roman"/>
          <w:szCs w:val="21"/>
          <w:lang w:val="zh-CN"/>
        </w:rPr>
        <w:t>中标人拒绝与招标人签订合同的，招标人可以按照评审报告推荐的中标候选人名单排序，确定下一候选人为中标人，也可以重新开展政府采购活动。</w:t>
      </w:r>
    </w:p>
    <w:p w14:paraId="4BCCC664">
      <w:pPr>
        <w:numPr>
          <w:ilvl w:val="4"/>
          <w:numId w:val="0"/>
        </w:numPr>
        <w:spacing w:line="360" w:lineRule="auto"/>
        <w:ind w:left="420" w:leftChars="200"/>
        <w:outlineLvl w:val="4"/>
        <w:rPr>
          <w:rFonts w:ascii="黑体" w:hAnsi="黑体" w:eastAsia="黑体" w:cs="Times New Roman"/>
          <w:b/>
          <w:sz w:val="24"/>
          <w:szCs w:val="24"/>
          <w:lang w:val="zh-CN"/>
        </w:rPr>
      </w:pPr>
      <w:bookmarkStart w:id="128" w:name="_41.政府采购合同公告"/>
      <w:bookmarkEnd w:id="128"/>
      <w:r>
        <w:rPr>
          <w:rFonts w:hint="eastAsia" w:ascii="黑体" w:hAnsi="黑体" w:eastAsia="黑体" w:cs="Times New Roman"/>
          <w:b/>
          <w:sz w:val="24"/>
          <w:szCs w:val="24"/>
          <w:lang w:val="zh-CN"/>
        </w:rPr>
        <w:t>37.政府采购合同公告</w:t>
      </w:r>
    </w:p>
    <w:p w14:paraId="3213139F">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招标人或者受托采购代理机构应当自政府采购合同签订之日起2个工作日内，将政府采购合同在省级以上人民政府财政部门指定的媒体上公告，</w:t>
      </w:r>
      <w:r>
        <w:rPr>
          <w:rFonts w:ascii="宋体" w:hAnsi="宋体" w:eastAsia="宋体" w:cs="Times New Roman"/>
          <w:kern w:val="0"/>
          <w:szCs w:val="21"/>
          <w:lang w:val="zh-CN"/>
        </w:rPr>
        <w:t>但政府采购合同中涉及国家秘密、商业秘密的内容除外。</w:t>
      </w:r>
    </w:p>
    <w:p w14:paraId="339440F8">
      <w:pPr>
        <w:numPr>
          <w:ilvl w:val="4"/>
          <w:numId w:val="0"/>
        </w:numPr>
        <w:spacing w:line="360" w:lineRule="auto"/>
        <w:ind w:left="420" w:leftChars="200"/>
        <w:outlineLvl w:val="4"/>
        <w:rPr>
          <w:rFonts w:ascii="黑体" w:hAnsi="黑体" w:eastAsia="黑体" w:cs="Times New Roman"/>
          <w:b/>
          <w:sz w:val="24"/>
          <w:szCs w:val="24"/>
          <w:lang w:val="zh-CN"/>
        </w:rPr>
      </w:pPr>
      <w:r>
        <w:rPr>
          <w:rFonts w:hint="eastAsia" w:ascii="黑体" w:hAnsi="黑体" w:eastAsia="黑体" w:cs="Times New Roman"/>
          <w:b/>
          <w:sz w:val="24"/>
          <w:szCs w:val="24"/>
          <w:lang w:val="zh-CN"/>
        </w:rPr>
        <w:t>3</w:t>
      </w:r>
      <w:r>
        <w:rPr>
          <w:rFonts w:ascii="黑体" w:hAnsi="黑体" w:eastAsia="黑体" w:cs="Times New Roman"/>
          <w:b/>
          <w:sz w:val="24"/>
          <w:szCs w:val="24"/>
          <w:lang w:val="zh-CN"/>
        </w:rPr>
        <w:t>8.</w:t>
      </w:r>
      <w:r>
        <w:rPr>
          <w:rFonts w:hint="eastAsia" w:ascii="黑体" w:hAnsi="黑体" w:eastAsia="黑体" w:cs="Times New Roman"/>
          <w:b/>
          <w:sz w:val="24"/>
          <w:szCs w:val="24"/>
          <w:lang w:val="zh-CN"/>
        </w:rPr>
        <w:t xml:space="preserve"> 询问、质疑和投诉</w:t>
      </w:r>
    </w:p>
    <w:p w14:paraId="59727D95">
      <w:pPr>
        <w:spacing w:line="360" w:lineRule="auto"/>
        <w:ind w:firstLine="420"/>
        <w:rPr>
          <w:rFonts w:ascii="宋体" w:hAnsi="宋体" w:eastAsia="宋体" w:cs="Times New Roman"/>
          <w:szCs w:val="21"/>
        </w:rPr>
      </w:pPr>
      <w:r>
        <w:rPr>
          <w:rFonts w:ascii="宋体" w:hAnsi="宋体" w:eastAsia="宋体" w:cs="Times New Roman"/>
          <w:szCs w:val="21"/>
        </w:rPr>
        <w:t>38.1</w:t>
      </w:r>
      <w:r>
        <w:rPr>
          <w:rFonts w:hint="eastAsia" w:ascii="宋体" w:hAnsi="宋体" w:eastAsia="宋体" w:cs="Times New Roman"/>
          <w:szCs w:val="21"/>
        </w:rPr>
        <w:t>供应商对政府采购活动事项有疑问的，可以向招标人提出询问，招标人应当及时作出答复，但答复的内容不得涉及商业秘密。</w:t>
      </w:r>
    </w:p>
    <w:p w14:paraId="7662580C">
      <w:pPr>
        <w:numPr>
          <w:ilvl w:val="4"/>
          <w:numId w:val="0"/>
        </w:numPr>
        <w:spacing w:line="360" w:lineRule="auto"/>
        <w:ind w:firstLine="315" w:firstLineChars="150"/>
        <w:outlineLvl w:val="4"/>
        <w:rPr>
          <w:rFonts w:ascii="宋体" w:hAnsi="宋体" w:eastAsia="宋体" w:cs="Times New Roman"/>
          <w:szCs w:val="21"/>
          <w:lang w:val="zh-CN"/>
        </w:rPr>
      </w:pPr>
      <w:r>
        <w:rPr>
          <w:rFonts w:hint="eastAsia" w:ascii="宋体" w:hAnsi="宋体" w:eastAsia="宋体" w:cs="Times New Roman"/>
          <w:szCs w:val="21"/>
          <w:lang w:val="zh-CN"/>
        </w:rPr>
        <w:t xml:space="preserve"> </w:t>
      </w:r>
      <w:r>
        <w:rPr>
          <w:rFonts w:ascii="宋体" w:hAnsi="宋体" w:eastAsia="宋体" w:cs="Times New Roman"/>
          <w:szCs w:val="21"/>
          <w:lang w:val="zh-CN"/>
        </w:rPr>
        <w:t>38</w:t>
      </w:r>
      <w:r>
        <w:rPr>
          <w:rFonts w:hint="eastAsia" w:ascii="宋体" w:hAnsi="宋体" w:eastAsia="宋体" w:cs="Times New Roman"/>
          <w:szCs w:val="21"/>
          <w:lang w:val="zh-CN"/>
        </w:rPr>
        <w:t>.</w:t>
      </w:r>
      <w:r>
        <w:rPr>
          <w:rFonts w:ascii="宋体" w:hAnsi="宋体" w:eastAsia="宋体" w:cs="Times New Roman"/>
          <w:szCs w:val="21"/>
          <w:lang w:val="zh-CN"/>
        </w:rPr>
        <w:t>2</w:t>
      </w:r>
      <w:r>
        <w:rPr>
          <w:rFonts w:hint="eastAsia" w:ascii="宋体" w:hAnsi="宋体" w:eastAsia="宋体" w:cs="Times New Roman"/>
          <w:szCs w:val="21"/>
          <w:lang w:val="zh-CN"/>
        </w:rPr>
        <w:t xml:space="preserve">供应商认为招标文件、采购过程或者中标结果使自己的合法权益受到损害的，必须在知道或者应知其权益受到损害之日起7个工作日内，以书面形式向招标人、采购代理机构提出质疑。招标人、采购代理机构接收质疑函的方式、联系部门、联系电话和通讯地址等信息详见“投标人须知前附表”。具体质疑起算时间如下： </w:t>
      </w:r>
    </w:p>
    <w:p w14:paraId="513041A0">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1</w:t>
      </w:r>
      <w:r>
        <w:rPr>
          <w:rFonts w:ascii="宋体" w:hAnsi="宋体" w:eastAsia="宋体" w:cs="Times New Roman"/>
          <w:kern w:val="0"/>
          <w:szCs w:val="21"/>
          <w:lang w:val="zh-CN"/>
        </w:rPr>
        <w:t>）对可以质疑的</w:t>
      </w:r>
      <w:r>
        <w:rPr>
          <w:rFonts w:hint="eastAsia" w:ascii="宋体" w:hAnsi="宋体" w:eastAsia="宋体" w:cs="Times New Roman"/>
          <w:kern w:val="0"/>
          <w:szCs w:val="21"/>
          <w:lang w:val="zh-CN"/>
        </w:rPr>
        <w:t>招标</w:t>
      </w:r>
      <w:r>
        <w:rPr>
          <w:rFonts w:ascii="宋体" w:hAnsi="宋体" w:eastAsia="宋体" w:cs="Times New Roman"/>
          <w:kern w:val="0"/>
          <w:szCs w:val="21"/>
          <w:lang w:val="zh-CN"/>
        </w:rPr>
        <w:t>文件提出质疑的，为收到</w:t>
      </w:r>
      <w:r>
        <w:rPr>
          <w:rFonts w:hint="eastAsia" w:ascii="宋体" w:hAnsi="宋体" w:eastAsia="宋体" w:cs="Times New Roman"/>
          <w:kern w:val="0"/>
          <w:szCs w:val="21"/>
          <w:lang w:val="zh-CN"/>
        </w:rPr>
        <w:t>招标</w:t>
      </w:r>
      <w:r>
        <w:rPr>
          <w:rFonts w:ascii="宋体" w:hAnsi="宋体" w:eastAsia="宋体" w:cs="Times New Roman"/>
          <w:kern w:val="0"/>
          <w:szCs w:val="21"/>
          <w:lang w:val="zh-CN"/>
        </w:rPr>
        <w:t>文件之日</w:t>
      </w:r>
      <w:r>
        <w:rPr>
          <w:rFonts w:hint="eastAsia" w:ascii="宋体" w:hAnsi="宋体" w:eastAsia="宋体" w:cs="Times New Roman"/>
          <w:kern w:val="0"/>
          <w:szCs w:val="21"/>
          <w:lang w:val="zh-CN"/>
        </w:rPr>
        <w:t>或者招标文件公告期限届满之日</w:t>
      </w:r>
      <w:r>
        <w:rPr>
          <w:rFonts w:ascii="宋体" w:hAnsi="宋体" w:eastAsia="宋体" w:cs="Times New Roman"/>
          <w:kern w:val="0"/>
          <w:szCs w:val="21"/>
          <w:lang w:val="zh-CN"/>
        </w:rPr>
        <w:t>；</w:t>
      </w:r>
    </w:p>
    <w:p w14:paraId="3A86AB17">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2</w:t>
      </w:r>
      <w:r>
        <w:rPr>
          <w:rFonts w:ascii="宋体" w:hAnsi="宋体" w:eastAsia="宋体" w:cs="Times New Roman"/>
          <w:kern w:val="0"/>
          <w:szCs w:val="21"/>
          <w:lang w:val="zh-CN"/>
        </w:rPr>
        <w:t>）对</w:t>
      </w:r>
      <w:r>
        <w:rPr>
          <w:rFonts w:hint="eastAsia" w:ascii="宋体" w:hAnsi="宋体" w:eastAsia="宋体" w:cs="Times New Roman"/>
          <w:kern w:val="0"/>
          <w:szCs w:val="21"/>
          <w:lang w:val="zh-CN"/>
        </w:rPr>
        <w:t>采购</w:t>
      </w:r>
      <w:r>
        <w:rPr>
          <w:rFonts w:ascii="宋体" w:hAnsi="宋体" w:eastAsia="宋体" w:cs="Times New Roman"/>
          <w:kern w:val="0"/>
          <w:szCs w:val="21"/>
          <w:lang w:val="zh-CN"/>
        </w:rPr>
        <w:t>过程提出质疑的，为各采购程序环节结束之日；</w:t>
      </w:r>
    </w:p>
    <w:p w14:paraId="4C3754EF">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kern w:val="0"/>
          <w:szCs w:val="21"/>
          <w:lang w:val="zh-CN"/>
        </w:rPr>
        <w:t>（</w:t>
      </w:r>
      <w:r>
        <w:rPr>
          <w:rFonts w:hint="eastAsia" w:ascii="宋体" w:hAnsi="宋体" w:eastAsia="宋体" w:cs="Times New Roman"/>
          <w:kern w:val="0"/>
          <w:szCs w:val="21"/>
          <w:lang w:val="zh-CN"/>
        </w:rPr>
        <w:t>3</w:t>
      </w:r>
      <w:r>
        <w:rPr>
          <w:rFonts w:ascii="宋体" w:hAnsi="宋体" w:eastAsia="宋体" w:cs="Times New Roman"/>
          <w:kern w:val="0"/>
          <w:szCs w:val="21"/>
          <w:lang w:val="zh-CN"/>
        </w:rPr>
        <w:t>）对中标结果提出质疑的，为中标结果公告期限届满之日。</w:t>
      </w:r>
    </w:p>
    <w:p w14:paraId="36A79328">
      <w:pPr>
        <w:snapToGrid w:val="0"/>
        <w:spacing w:line="360" w:lineRule="auto"/>
        <w:ind w:firstLine="420" w:firstLineChars="200"/>
        <w:rPr>
          <w:rFonts w:ascii="宋体" w:hAnsi="宋体" w:eastAsia="宋体" w:cs="Times New Roman"/>
          <w:bCs/>
          <w:kern w:val="0"/>
          <w:szCs w:val="21"/>
          <w:lang w:val="zh-CN"/>
        </w:rPr>
      </w:pPr>
      <w:r>
        <w:rPr>
          <w:rFonts w:hint="eastAsia" w:ascii="宋体" w:hAnsi="宋体" w:eastAsia="宋体" w:cs="Times New Roman"/>
          <w:kern w:val="0"/>
          <w:szCs w:val="21"/>
          <w:lang w:val="zh-CN"/>
        </w:rPr>
        <w:t>供应商对招标人、采购代理机构的质疑答复不满意，或者招标人、采购代理机构未在规定时间内作出答复的，可以在答复期满后十五个工作日内向同级政府采购监管部门投诉。</w:t>
      </w:r>
    </w:p>
    <w:p w14:paraId="48A06C88">
      <w:pPr>
        <w:numPr>
          <w:ilvl w:val="4"/>
          <w:numId w:val="0"/>
        </w:numPr>
        <w:spacing w:line="360" w:lineRule="auto"/>
        <w:ind w:firstLine="315" w:firstLineChars="150"/>
        <w:outlineLvl w:val="4"/>
        <w:rPr>
          <w:rFonts w:ascii="宋体" w:hAnsi="宋体" w:eastAsia="宋体" w:cs="Times New Roman"/>
          <w:szCs w:val="21"/>
          <w:lang w:val="zh-CN"/>
        </w:rPr>
      </w:pPr>
      <w:bookmarkStart w:id="129" w:name="_9.2质疑、投诉应当采用书面形式，质疑函、投诉书均应明确阐述招标文件、"/>
      <w:bookmarkEnd w:id="129"/>
      <w:r>
        <w:rPr>
          <w:rFonts w:hint="eastAsia" w:ascii="宋体" w:hAnsi="宋体" w:eastAsia="宋体" w:cs="Times New Roman"/>
          <w:szCs w:val="21"/>
          <w:lang w:val="zh-CN"/>
        </w:rPr>
        <w:t xml:space="preserve"> </w:t>
      </w:r>
      <w:r>
        <w:rPr>
          <w:rFonts w:ascii="宋体" w:hAnsi="宋体" w:eastAsia="宋体" w:cs="Times New Roman"/>
          <w:szCs w:val="21"/>
          <w:lang w:val="zh-CN"/>
        </w:rPr>
        <w:t>38</w:t>
      </w:r>
      <w:r>
        <w:rPr>
          <w:rFonts w:hint="eastAsia" w:ascii="宋体" w:hAnsi="宋体" w:eastAsia="宋体" w:cs="Times New Roman"/>
          <w:szCs w:val="21"/>
          <w:lang w:val="zh-CN"/>
        </w:rPr>
        <w:t>.</w:t>
      </w:r>
      <w:r>
        <w:rPr>
          <w:rFonts w:ascii="宋体" w:hAnsi="宋体" w:eastAsia="宋体" w:cs="Times New Roman"/>
          <w:szCs w:val="21"/>
          <w:lang w:val="zh-CN"/>
        </w:rPr>
        <w:t>3</w:t>
      </w:r>
      <w:r>
        <w:rPr>
          <w:rFonts w:hint="eastAsia" w:ascii="宋体" w:hAnsi="宋体" w:eastAsia="宋体" w:cs="Times New Roman"/>
          <w:szCs w:val="21"/>
          <w:lang w:val="zh-CN"/>
        </w:rPr>
        <w:t xml:space="preserve"> </w:t>
      </w:r>
      <w:r>
        <w:rPr>
          <w:rFonts w:ascii="Times New Roman" w:hAnsi="宋体" w:eastAsia="宋体" w:cs="Times New Roman"/>
          <w:bCs/>
          <w:szCs w:val="24"/>
          <w:lang w:val="zh-CN"/>
        </w:rPr>
        <w:t>供应商提出质疑应当提交质疑函和必要的证明材料</w:t>
      </w:r>
      <w:r>
        <w:rPr>
          <w:rFonts w:hint="eastAsia" w:ascii="Times New Roman" w:hAnsi="宋体" w:eastAsia="宋体" w:cs="Times New Roman"/>
          <w:bCs/>
          <w:szCs w:val="24"/>
          <w:lang w:val="zh-CN"/>
        </w:rPr>
        <w:t>，</w:t>
      </w:r>
      <w:r>
        <w:rPr>
          <w:rFonts w:ascii="Times New Roman" w:hAnsi="宋体" w:eastAsia="宋体" w:cs="Times New Roman"/>
          <w:bCs/>
          <w:szCs w:val="24"/>
          <w:lang w:val="zh-CN"/>
        </w:rPr>
        <w:t>针对同一采购程序环节的质疑</w:t>
      </w:r>
      <w:r>
        <w:rPr>
          <w:rFonts w:hint="eastAsia" w:ascii="Times New Roman" w:hAnsi="宋体" w:eastAsia="宋体" w:cs="Times New Roman"/>
          <w:bCs/>
          <w:szCs w:val="24"/>
          <w:lang w:val="zh-CN"/>
        </w:rPr>
        <w:t>必须</w:t>
      </w:r>
      <w:r>
        <w:rPr>
          <w:rFonts w:ascii="Times New Roman" w:hAnsi="宋体" w:eastAsia="宋体" w:cs="Times New Roman"/>
          <w:bCs/>
          <w:szCs w:val="24"/>
          <w:lang w:val="zh-CN"/>
        </w:rPr>
        <w:t>在法定质疑期内一次性提出。质疑函应当包括下列内容</w:t>
      </w:r>
      <w:r>
        <w:rPr>
          <w:rFonts w:hint="eastAsia" w:ascii="Times New Roman" w:hAnsi="宋体" w:eastAsia="宋体" w:cs="Times New Roman"/>
          <w:bCs/>
          <w:szCs w:val="24"/>
          <w:lang w:val="zh-CN"/>
        </w:rPr>
        <w:t>（质疑函格式后附）</w:t>
      </w:r>
      <w:r>
        <w:rPr>
          <w:rFonts w:ascii="Times New Roman" w:hAnsi="宋体" w:eastAsia="宋体" w:cs="Times New Roman"/>
          <w:bCs/>
          <w:szCs w:val="24"/>
          <w:lang w:val="zh-CN"/>
        </w:rPr>
        <w:t>：</w:t>
      </w:r>
    </w:p>
    <w:p w14:paraId="42459B2B">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1</w:t>
      </w:r>
      <w:r>
        <w:rPr>
          <w:rFonts w:ascii="宋体" w:hAnsi="宋体" w:eastAsia="宋体" w:cs="Times New Roman"/>
          <w:bCs/>
          <w:kern w:val="0"/>
          <w:szCs w:val="21"/>
          <w:lang w:val="zh-CN"/>
        </w:rPr>
        <w:t>）供应商的姓名或者名称、地址、邮编、联系人及联系电话；</w:t>
      </w:r>
    </w:p>
    <w:p w14:paraId="12BFED9D">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2</w:t>
      </w:r>
      <w:r>
        <w:rPr>
          <w:rFonts w:ascii="宋体" w:hAnsi="宋体" w:eastAsia="宋体" w:cs="Times New Roman"/>
          <w:bCs/>
          <w:kern w:val="0"/>
          <w:szCs w:val="21"/>
          <w:lang w:val="zh-CN"/>
        </w:rPr>
        <w:t>）质疑项目的名称、编号；</w:t>
      </w:r>
    </w:p>
    <w:p w14:paraId="6375E6F9">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3</w:t>
      </w:r>
      <w:r>
        <w:rPr>
          <w:rFonts w:ascii="宋体" w:hAnsi="宋体" w:eastAsia="宋体" w:cs="Times New Roman"/>
          <w:bCs/>
          <w:kern w:val="0"/>
          <w:szCs w:val="21"/>
          <w:lang w:val="zh-CN"/>
        </w:rPr>
        <w:t>）具体、明确的质疑事项和与质疑事项相关的请求；</w:t>
      </w:r>
    </w:p>
    <w:p w14:paraId="624251D7">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4</w:t>
      </w:r>
      <w:r>
        <w:rPr>
          <w:rFonts w:ascii="宋体" w:hAnsi="宋体" w:eastAsia="宋体" w:cs="Times New Roman"/>
          <w:bCs/>
          <w:kern w:val="0"/>
          <w:szCs w:val="21"/>
          <w:lang w:val="zh-CN"/>
        </w:rPr>
        <w:t>）事实依据；</w:t>
      </w:r>
    </w:p>
    <w:p w14:paraId="041AF42D">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5</w:t>
      </w:r>
      <w:r>
        <w:rPr>
          <w:rFonts w:ascii="宋体" w:hAnsi="宋体" w:eastAsia="宋体" w:cs="Times New Roman"/>
          <w:bCs/>
          <w:kern w:val="0"/>
          <w:szCs w:val="21"/>
          <w:lang w:val="zh-CN"/>
        </w:rPr>
        <w:t>）必要的法律依据；</w:t>
      </w:r>
    </w:p>
    <w:p w14:paraId="0925BD36">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w:t>
      </w:r>
      <w:r>
        <w:rPr>
          <w:rFonts w:hint="eastAsia" w:ascii="宋体" w:hAnsi="宋体" w:eastAsia="宋体" w:cs="Times New Roman"/>
          <w:bCs/>
          <w:kern w:val="0"/>
          <w:szCs w:val="21"/>
          <w:lang w:val="zh-CN"/>
        </w:rPr>
        <w:t>6</w:t>
      </w:r>
      <w:r>
        <w:rPr>
          <w:rFonts w:ascii="宋体" w:hAnsi="宋体" w:eastAsia="宋体" w:cs="Times New Roman"/>
          <w:bCs/>
          <w:kern w:val="0"/>
          <w:szCs w:val="21"/>
          <w:lang w:val="zh-CN"/>
        </w:rPr>
        <w:t>）提出质疑的日期。</w:t>
      </w:r>
    </w:p>
    <w:p w14:paraId="3C915028">
      <w:pPr>
        <w:snapToGrid w:val="0"/>
        <w:spacing w:line="360" w:lineRule="auto"/>
        <w:ind w:firstLine="420" w:firstLineChars="200"/>
        <w:rPr>
          <w:rFonts w:ascii="宋体" w:hAnsi="宋体" w:eastAsia="宋体" w:cs="Times New Roman"/>
          <w:bCs/>
          <w:kern w:val="0"/>
          <w:szCs w:val="21"/>
          <w:lang w:val="zh-CN"/>
        </w:rPr>
      </w:pPr>
      <w:r>
        <w:rPr>
          <w:rFonts w:ascii="宋体" w:hAnsi="宋体" w:eastAsia="宋体" w:cs="Times New Roman"/>
          <w:bCs/>
          <w:kern w:val="0"/>
          <w:szCs w:val="21"/>
          <w:lang w:val="zh-CN"/>
        </w:rPr>
        <w:t>供应商为自然人的，应当由本人签字；供应商为法人或者其他组织的，应当由法定代表人、主要负责人，或者其委托代理人签字或者盖章，并加盖公章</w:t>
      </w:r>
      <w:r>
        <w:rPr>
          <w:rFonts w:hint="eastAsia" w:ascii="宋体" w:hAnsi="宋体" w:eastAsia="宋体" w:cs="Times New Roman"/>
          <w:bCs/>
          <w:kern w:val="0"/>
          <w:szCs w:val="21"/>
          <w:lang w:val="zh-CN"/>
        </w:rPr>
        <w:t>。</w:t>
      </w:r>
    </w:p>
    <w:p w14:paraId="585181CF">
      <w:pPr>
        <w:numPr>
          <w:ilvl w:val="4"/>
          <w:numId w:val="0"/>
        </w:numPr>
        <w:snapToGrid w:val="0"/>
        <w:spacing w:line="360" w:lineRule="auto"/>
        <w:ind w:firstLine="420" w:firstLineChars="200"/>
        <w:outlineLvl w:val="4"/>
        <w:rPr>
          <w:rFonts w:ascii="宋体" w:hAnsi="宋体" w:eastAsia="宋体" w:cs="Times New Roman"/>
          <w:bCs/>
          <w:szCs w:val="21"/>
          <w:lang w:val="zh-CN"/>
        </w:rPr>
      </w:pPr>
      <w:r>
        <w:rPr>
          <w:rFonts w:ascii="宋体" w:hAnsi="宋体" w:eastAsia="宋体" w:cs="Times New Roman"/>
          <w:szCs w:val="21"/>
          <w:lang w:val="zh-CN"/>
        </w:rPr>
        <w:t>3</w:t>
      </w:r>
      <w:r>
        <w:rPr>
          <w:rFonts w:ascii="宋体" w:hAnsi="宋体" w:eastAsia="宋体" w:cs="Times New Roman"/>
          <w:bCs/>
          <w:szCs w:val="21"/>
          <w:lang w:val="zh-CN"/>
        </w:rPr>
        <w:t>8.4</w:t>
      </w:r>
      <w:r>
        <w:rPr>
          <w:rFonts w:hint="eastAsia" w:ascii="宋体" w:hAnsi="宋体" w:eastAsia="宋体" w:cs="Times New Roman"/>
          <w:bCs/>
          <w:szCs w:val="21"/>
          <w:lang w:val="zh-CN"/>
        </w:rPr>
        <w:t>招标人、采购代理机构认为供应商质疑不成立，或者成立但未对中标结果构成影响的，继续开展采购活动；认为供应商质疑成立且影响或者可能影响中标结果的，按照下列情况处理：</w:t>
      </w:r>
    </w:p>
    <w:p w14:paraId="2CD674D2">
      <w:pPr>
        <w:snapToGrid w:val="0"/>
        <w:spacing w:line="360" w:lineRule="auto"/>
        <w:rPr>
          <w:rFonts w:ascii="宋体" w:hAnsi="宋体" w:eastAsia="宋体" w:cs="Times New Roman"/>
          <w:bCs/>
          <w:kern w:val="0"/>
          <w:szCs w:val="21"/>
          <w:lang w:val="zh-CN"/>
        </w:rPr>
      </w:pPr>
      <w:r>
        <w:rPr>
          <w:rFonts w:hint="eastAsia" w:ascii="宋体" w:hAnsi="宋体" w:eastAsia="宋体" w:cs="Times New Roman"/>
          <w:bCs/>
          <w:kern w:val="0"/>
          <w:szCs w:val="21"/>
          <w:lang w:val="zh-CN"/>
        </w:rPr>
        <w:t>　　（一）对招标文件提出的质疑，依法通过澄清或者修改可以继续开展采购活动的，澄清或者修改招标文件后继续开展采购活动；否则应当修改招标文件后重新开展采购活动。</w:t>
      </w:r>
    </w:p>
    <w:p w14:paraId="4C6A13E4">
      <w:pPr>
        <w:snapToGrid w:val="0"/>
        <w:spacing w:line="360" w:lineRule="auto"/>
        <w:rPr>
          <w:rFonts w:ascii="宋体" w:hAnsi="宋体" w:eastAsia="宋体" w:cs="Times New Roman"/>
          <w:bCs/>
          <w:kern w:val="0"/>
          <w:szCs w:val="21"/>
          <w:lang w:val="zh-CN"/>
        </w:rPr>
      </w:pPr>
      <w:r>
        <w:rPr>
          <w:rFonts w:hint="eastAsia" w:ascii="宋体" w:hAnsi="宋体" w:eastAsia="宋体" w:cs="Times New Roman"/>
          <w:bCs/>
          <w:kern w:val="0"/>
          <w:szCs w:val="21"/>
          <w:lang w:val="zh-CN"/>
        </w:rPr>
        <w:t>　　（二）对采购过程、中标结果提出的质疑，合格供应商符合法定数量时，可以从合格的中标候选人中另行确定中标供应商的，应当依法另行确定中标供应商；否则应当重新开展采购活动。</w:t>
      </w:r>
    </w:p>
    <w:p w14:paraId="473A9604">
      <w:pPr>
        <w:snapToGrid w:val="0"/>
        <w:spacing w:line="360" w:lineRule="auto"/>
        <w:ind w:firstLine="420"/>
        <w:rPr>
          <w:rFonts w:ascii="宋体" w:hAnsi="宋体" w:eastAsia="宋体" w:cs="Times New Roman"/>
          <w:bCs/>
          <w:kern w:val="0"/>
          <w:szCs w:val="21"/>
          <w:lang w:val="zh-CN"/>
        </w:rPr>
      </w:pPr>
      <w:r>
        <w:rPr>
          <w:rFonts w:hint="eastAsia" w:ascii="宋体" w:hAnsi="宋体" w:eastAsia="宋体" w:cs="Times New Roman"/>
          <w:bCs/>
          <w:kern w:val="0"/>
          <w:szCs w:val="21"/>
          <w:lang w:val="zh-CN"/>
        </w:rPr>
        <w:t>质疑答复导致中标结果改变的，招标人或者采购代理机构应当将有关情况书面报告本级财政部门。</w:t>
      </w:r>
    </w:p>
    <w:p w14:paraId="340E62CC">
      <w:pPr>
        <w:snapToGrid w:val="0"/>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38</w:t>
      </w:r>
      <w:r>
        <w:rPr>
          <w:rFonts w:hint="eastAsia" w:ascii="宋体" w:hAnsi="宋体" w:eastAsia="宋体" w:cs="Times New Roman"/>
          <w:kern w:val="0"/>
          <w:szCs w:val="21"/>
          <w:lang w:val="zh-CN"/>
        </w:rPr>
        <w:t>.</w:t>
      </w:r>
      <w:r>
        <w:rPr>
          <w:rFonts w:ascii="宋体" w:hAnsi="宋体" w:eastAsia="宋体" w:cs="Times New Roman"/>
          <w:kern w:val="0"/>
          <w:szCs w:val="21"/>
          <w:lang w:val="zh-CN"/>
        </w:rPr>
        <w:t>5</w:t>
      </w:r>
      <w:r>
        <w:rPr>
          <w:rFonts w:hint="eastAsia" w:ascii="宋体" w:hAnsi="宋体" w:eastAsia="宋体" w:cs="Times New Roman"/>
          <w:kern w:val="0"/>
          <w:szCs w:val="21"/>
          <w:lang w:val="zh-CN"/>
        </w:rPr>
        <w:t>投诉的权利。质疑供应商对招标人、采购代理机构的答复不满意，或者招标人、采购代理机构未在规定时间内作出答复的，可以在答复期满后15个工作日内向《政府采购质疑和投诉办法》（财政部令第94号）第六条规定的财政部门提起投诉（投诉书格式后附）。</w:t>
      </w:r>
    </w:p>
    <w:p w14:paraId="38E9E9E0">
      <w:pPr>
        <w:spacing w:before="240" w:after="240" w:line="415" w:lineRule="auto"/>
        <w:jc w:val="center"/>
        <w:outlineLvl w:val="2"/>
        <w:rPr>
          <w:rFonts w:ascii="Times New Roman" w:hAnsi="Times New Roman" w:eastAsia="宋体" w:cs="Times New Roman"/>
          <w:b/>
          <w:bCs/>
          <w:kern w:val="0"/>
          <w:sz w:val="32"/>
          <w:szCs w:val="32"/>
          <w:lang w:val="zh-CN"/>
        </w:rPr>
      </w:pPr>
      <w:bookmarkStart w:id="130" w:name="_八、其他事项"/>
      <w:bookmarkEnd w:id="130"/>
      <w:r>
        <w:rPr>
          <w:rFonts w:hint="eastAsia" w:ascii="Times New Roman" w:hAnsi="Times New Roman" w:eastAsia="宋体" w:cs="Times New Roman"/>
          <w:b/>
          <w:bCs/>
          <w:kern w:val="0"/>
          <w:sz w:val="32"/>
          <w:szCs w:val="32"/>
          <w:lang w:val="zh-CN"/>
        </w:rPr>
        <w:t>八、其他事项</w:t>
      </w:r>
    </w:p>
    <w:p w14:paraId="49389D1A">
      <w:pPr>
        <w:numPr>
          <w:ilvl w:val="4"/>
          <w:numId w:val="0"/>
        </w:numPr>
        <w:spacing w:line="360" w:lineRule="auto"/>
        <w:ind w:left="420" w:leftChars="200"/>
        <w:outlineLvl w:val="4"/>
        <w:rPr>
          <w:rFonts w:ascii="黑体" w:hAnsi="黑体" w:eastAsia="黑体" w:cs="Times New Roman"/>
          <w:b/>
          <w:sz w:val="24"/>
          <w:szCs w:val="24"/>
          <w:lang w:val="zh-CN"/>
        </w:rPr>
      </w:pPr>
      <w:bookmarkStart w:id="131" w:name="_42.代理服务费"/>
      <w:bookmarkEnd w:id="131"/>
      <w:r>
        <w:rPr>
          <w:rFonts w:hint="eastAsia" w:ascii="黑体" w:hAnsi="黑体" w:eastAsia="黑体" w:cs="Times New Roman"/>
          <w:b/>
          <w:sz w:val="24"/>
          <w:szCs w:val="24"/>
          <w:lang w:val="zh-CN"/>
        </w:rPr>
        <w:t>3</w:t>
      </w:r>
      <w:r>
        <w:rPr>
          <w:rFonts w:ascii="黑体" w:hAnsi="黑体" w:eastAsia="黑体" w:cs="Times New Roman"/>
          <w:b/>
          <w:sz w:val="24"/>
          <w:szCs w:val="24"/>
          <w:lang w:val="zh-CN"/>
        </w:rPr>
        <w:t>9</w:t>
      </w:r>
      <w:r>
        <w:rPr>
          <w:rFonts w:hint="eastAsia" w:ascii="黑体" w:hAnsi="黑体" w:eastAsia="黑体" w:cs="Times New Roman"/>
          <w:b/>
          <w:sz w:val="24"/>
          <w:szCs w:val="24"/>
          <w:lang w:val="zh-CN"/>
        </w:rPr>
        <w:t>.代理服务费</w:t>
      </w:r>
    </w:p>
    <w:p w14:paraId="15AC0DAA">
      <w:pPr>
        <w:pStyle w:val="21"/>
        <w:snapToGrid w:val="0"/>
        <w:spacing w:line="360" w:lineRule="auto"/>
        <w:ind w:firstLine="420" w:firstLineChars="200"/>
        <w:rPr>
          <w:rFonts w:hAnsi="宋体" w:cs="宋体"/>
          <w:sz w:val="21"/>
        </w:rPr>
      </w:pPr>
      <w:r>
        <w:rPr>
          <w:rFonts w:hint="eastAsia" w:hAnsi="宋体" w:cs="宋体"/>
          <w:sz w:val="21"/>
        </w:rPr>
        <w:sym w:font="Wingdings" w:char="F0FE"/>
      </w:r>
      <w:r>
        <w:rPr>
          <w:rFonts w:hint="eastAsia" w:hAnsi="宋体" w:cs="宋体"/>
          <w:sz w:val="21"/>
        </w:rPr>
        <w:t>本项目代理服务费由</w:t>
      </w:r>
      <w:r>
        <w:rPr>
          <w:rFonts w:hint="eastAsia" w:hAnsi="宋体" w:cs="宋体"/>
          <w:sz w:val="21"/>
          <w:u w:val="single"/>
        </w:rPr>
        <w:t>中标人</w:t>
      </w:r>
      <w:r>
        <w:rPr>
          <w:rFonts w:hint="eastAsia" w:hAnsi="宋体" w:cs="宋体"/>
          <w:sz w:val="21"/>
        </w:rPr>
        <w:t>在领取中标通知书前，一次性向采购代理机构支付。</w:t>
      </w:r>
    </w:p>
    <w:p w14:paraId="58B82DCB">
      <w:pPr>
        <w:pStyle w:val="21"/>
        <w:snapToGrid w:val="0"/>
        <w:spacing w:line="360" w:lineRule="auto"/>
        <w:ind w:firstLine="420" w:firstLineChars="200"/>
        <w:rPr>
          <w:rFonts w:hAnsi="宋体" w:cs="宋体"/>
          <w:sz w:val="21"/>
        </w:rPr>
      </w:pPr>
      <w:r>
        <w:rPr>
          <w:rFonts w:hint="eastAsia" w:hAnsi="宋体" w:cs="宋体"/>
          <w:sz w:val="21"/>
        </w:rPr>
        <w:t>□招标人支付。</w:t>
      </w:r>
    </w:p>
    <w:p w14:paraId="0EE7E6A8">
      <w:pPr>
        <w:pStyle w:val="21"/>
        <w:snapToGrid w:val="0"/>
        <w:spacing w:line="360" w:lineRule="auto"/>
        <w:ind w:firstLine="420" w:firstLineChars="200"/>
        <w:rPr>
          <w:rFonts w:hAnsi="宋体" w:cs="宋体"/>
          <w:sz w:val="21"/>
        </w:rPr>
      </w:pPr>
      <w:r>
        <w:rPr>
          <w:rFonts w:hAnsi="宋体" w:cs="宋体"/>
          <w:sz w:val="21"/>
        </w:rPr>
        <w:t>39.1</w:t>
      </w:r>
      <w:r>
        <w:rPr>
          <w:rFonts w:hint="eastAsia" w:hAnsi="宋体" w:cs="宋体"/>
          <w:sz w:val="21"/>
        </w:rPr>
        <w:t>.采购代理费收取标准：</w:t>
      </w:r>
    </w:p>
    <w:p w14:paraId="41BD4635">
      <w:pPr>
        <w:pStyle w:val="21"/>
        <w:snapToGrid w:val="0"/>
        <w:spacing w:line="360" w:lineRule="auto"/>
        <w:ind w:left="420" w:leftChars="200"/>
        <w:rPr>
          <w:rFonts w:hAnsi="宋体" w:cs="宋体"/>
          <w:sz w:val="21"/>
        </w:rPr>
      </w:pPr>
      <w:r>
        <w:rPr>
          <w:rFonts w:hint="eastAsia" w:hAnsi="宋体" w:cs="宋体"/>
          <w:sz w:val="21"/>
        </w:rPr>
        <w:t>☑以分标（☑中标金额/□采购预算/□暂定中标金额/□其他</w:t>
      </w:r>
      <w:r>
        <w:rPr>
          <w:rFonts w:hint="eastAsia" w:hAnsi="宋体" w:cs="宋体"/>
          <w:sz w:val="21"/>
          <w:u w:val="single"/>
        </w:rPr>
        <w:t xml:space="preserve"> </w:t>
      </w:r>
      <w:r>
        <w:rPr>
          <w:rFonts w:hAnsi="宋体" w:cs="宋体"/>
          <w:sz w:val="21"/>
          <w:u w:val="single"/>
        </w:rPr>
        <w:t xml:space="preserve">  </w:t>
      </w:r>
      <w:r>
        <w:rPr>
          <w:rFonts w:hint="eastAsia" w:hAnsi="宋体" w:cs="宋体"/>
          <w:sz w:val="21"/>
        </w:rPr>
        <w:t>）为计费额，按本须知正文第</w:t>
      </w:r>
      <w:r>
        <w:rPr>
          <w:rFonts w:hAnsi="宋体" w:cs="宋体"/>
          <w:sz w:val="21"/>
        </w:rPr>
        <w:t>39</w:t>
      </w:r>
      <w:r>
        <w:rPr>
          <w:rFonts w:hint="eastAsia" w:hAnsi="宋体" w:cs="宋体"/>
          <w:sz w:val="21"/>
        </w:rPr>
        <w:t>.</w:t>
      </w:r>
      <w:r>
        <w:rPr>
          <w:rFonts w:hAnsi="宋体" w:cs="宋体"/>
          <w:sz w:val="21"/>
        </w:rPr>
        <w:t>2</w:t>
      </w:r>
      <w:r>
        <w:rPr>
          <w:rFonts w:hint="eastAsia" w:hAnsi="宋体" w:cs="宋体"/>
          <w:sz w:val="21"/>
        </w:rPr>
        <w:t>条规定的收费计算标准（☑货物招标/□服务招标/□工程招标）采用差额定率累进法计算出收费基准价格，采购代理收费以（☑收费基准价格/□收费基准价格下浮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Ansi="宋体" w:cs="宋体"/>
          <w:sz w:val="21"/>
        </w:rPr>
        <w:t>/</w:t>
      </w:r>
      <w:r>
        <w:rPr>
          <w:rFonts w:hint="eastAsia" w:hAnsi="宋体" w:cs="宋体"/>
          <w:sz w:val="21"/>
        </w:rPr>
        <w:t>□收费基准价格上浮</w:t>
      </w:r>
      <w:r>
        <w:rPr>
          <w:rFonts w:hint="eastAsia" w:hAnsi="宋体" w:cs="宋体"/>
          <w:sz w:val="21"/>
          <w:u w:val="single"/>
        </w:rPr>
        <w:t xml:space="preserve"> </w:t>
      </w:r>
      <w:r>
        <w:rPr>
          <w:rFonts w:hAnsi="宋体" w:cs="宋体"/>
          <w:sz w:val="21"/>
          <w:u w:val="single"/>
        </w:rPr>
        <w:t xml:space="preserve">  </w:t>
      </w:r>
      <w:r>
        <w:rPr>
          <w:rFonts w:hint="eastAsia" w:hAnsi="宋体" w:cs="宋体"/>
          <w:sz w:val="21"/>
          <w:u w:val="single"/>
        </w:rPr>
        <w:t>%</w:t>
      </w:r>
      <w:r>
        <w:rPr>
          <w:rFonts w:hint="eastAsia" w:hAnsi="宋体" w:cs="宋体"/>
          <w:sz w:val="21"/>
        </w:rPr>
        <w:t>）收取。</w:t>
      </w:r>
    </w:p>
    <w:p w14:paraId="5AE17382">
      <w:pPr>
        <w:pStyle w:val="21"/>
        <w:snapToGrid w:val="0"/>
        <w:spacing w:line="360" w:lineRule="auto"/>
        <w:ind w:firstLine="420" w:firstLineChars="200"/>
        <w:rPr>
          <w:rFonts w:hAnsi="宋体" w:cs="宋体"/>
          <w:sz w:val="21"/>
          <w:u w:val="single"/>
        </w:rPr>
      </w:pPr>
      <w:r>
        <w:rPr>
          <w:rFonts w:hint="eastAsia" w:hAnsi="宋体" w:cs="宋体"/>
          <w:sz w:val="21"/>
        </w:rPr>
        <w:sym w:font="Wingdings" w:char="00A8"/>
      </w:r>
      <w:r>
        <w:rPr>
          <w:rFonts w:hint="eastAsia" w:hAnsi="宋体" w:cs="宋体"/>
          <w:sz w:val="21"/>
        </w:rPr>
        <w:t>固定采购代理收费</w:t>
      </w:r>
    </w:p>
    <w:p w14:paraId="0F159721">
      <w:pPr>
        <w:numPr>
          <w:ilvl w:val="4"/>
          <w:numId w:val="0"/>
        </w:numPr>
        <w:spacing w:line="360" w:lineRule="auto"/>
        <w:ind w:left="420" w:leftChars="200"/>
        <w:outlineLvl w:val="4"/>
        <w:rPr>
          <w:rFonts w:ascii="宋体" w:hAnsi="宋体" w:eastAsia="宋体" w:cs="宋体"/>
          <w:kern w:val="0"/>
          <w:szCs w:val="21"/>
        </w:rPr>
      </w:pPr>
      <w:r>
        <w:rPr>
          <w:rFonts w:hint="eastAsia" w:ascii="宋体" w:hAnsi="宋体" w:eastAsia="宋体" w:cs="宋体"/>
          <w:kern w:val="0"/>
          <w:szCs w:val="21"/>
          <w:lang w:val="zh-CN"/>
        </w:rPr>
        <w:t>39.2</w:t>
      </w:r>
      <w:r>
        <w:rPr>
          <w:rFonts w:hint="eastAsia" w:ascii="宋体" w:hAnsi="宋体" w:eastAsia="宋体" w:cs="宋体"/>
          <w:kern w:val="0"/>
          <w:szCs w:val="21"/>
        </w:rPr>
        <w:t>采购代理费收取银行账户信息以中标事项告知书为准。</w:t>
      </w:r>
    </w:p>
    <w:p w14:paraId="3A426C7B">
      <w:pPr>
        <w:numPr>
          <w:ilvl w:val="4"/>
          <w:numId w:val="0"/>
        </w:numPr>
        <w:spacing w:line="360" w:lineRule="auto"/>
        <w:ind w:left="420" w:leftChars="200"/>
        <w:outlineLvl w:val="4"/>
        <w:rPr>
          <w:rFonts w:ascii="黑体" w:hAnsi="黑体" w:eastAsia="黑体" w:cs="Times New Roman"/>
          <w:b/>
          <w:sz w:val="24"/>
          <w:szCs w:val="24"/>
          <w:lang w:val="zh-CN"/>
        </w:rPr>
      </w:pPr>
      <w:r>
        <w:rPr>
          <w:rFonts w:ascii="黑体" w:hAnsi="黑体" w:eastAsia="黑体" w:cs="Times New Roman"/>
          <w:b/>
          <w:sz w:val="24"/>
          <w:szCs w:val="24"/>
          <w:lang w:val="zh-CN"/>
        </w:rPr>
        <w:t>40. 需要补充的其他内容</w:t>
      </w:r>
    </w:p>
    <w:p w14:paraId="0D0AC82F">
      <w:pPr>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40.1</w:t>
      </w:r>
      <w:r>
        <w:rPr>
          <w:rFonts w:hint="eastAsia" w:ascii="宋体" w:hAnsi="宋体" w:eastAsia="宋体" w:cs="宋体"/>
          <w:kern w:val="0"/>
          <w:szCs w:val="21"/>
          <w:lang w:val="zh-CN"/>
        </w:rPr>
        <w:t>本招标文件解释规则详见</w:t>
      </w:r>
      <w:r>
        <w:rPr>
          <w:rFonts w:hint="eastAsia" w:ascii="宋体" w:hAnsi="宋体" w:eastAsia="宋体" w:cs="Times New Roman"/>
          <w:kern w:val="0"/>
          <w:szCs w:val="21"/>
          <w:lang w:val="zh-CN"/>
        </w:rPr>
        <w:t>“投标人须知前附表”。</w:t>
      </w:r>
    </w:p>
    <w:p w14:paraId="18E994FB">
      <w:pPr>
        <w:spacing w:line="360" w:lineRule="auto"/>
        <w:ind w:firstLine="420" w:firstLineChars="200"/>
        <w:rPr>
          <w:rFonts w:ascii="宋体" w:hAnsi="宋体" w:eastAsia="宋体" w:cs="Times New Roman"/>
          <w:kern w:val="0"/>
          <w:szCs w:val="21"/>
          <w:lang w:val="zh-CN"/>
        </w:rPr>
      </w:pPr>
      <w:r>
        <w:rPr>
          <w:rFonts w:ascii="宋体" w:hAnsi="宋体" w:eastAsia="宋体" w:cs="宋体"/>
          <w:kern w:val="0"/>
          <w:szCs w:val="21"/>
          <w:lang w:val="zh-CN"/>
        </w:rPr>
        <w:t>40.2</w:t>
      </w:r>
      <w:r>
        <w:rPr>
          <w:rFonts w:hint="eastAsia" w:ascii="宋体" w:hAnsi="宋体" w:eastAsia="宋体" w:cs="宋体"/>
          <w:kern w:val="0"/>
          <w:szCs w:val="21"/>
          <w:lang w:val="zh-CN"/>
        </w:rPr>
        <w:t xml:space="preserve"> </w:t>
      </w:r>
      <w:r>
        <w:rPr>
          <w:rFonts w:hint="eastAsia" w:ascii="宋体" w:hAnsi="宋体" w:eastAsia="宋体" w:cs="Times New Roman"/>
          <w:kern w:val="0"/>
          <w:szCs w:val="21"/>
          <w:lang w:val="zh-CN"/>
        </w:rPr>
        <w:t>其他事项详见“投标人须知前附表”。</w:t>
      </w:r>
    </w:p>
    <w:p w14:paraId="4397BF11">
      <w:pPr>
        <w:spacing w:line="360" w:lineRule="auto"/>
        <w:ind w:firstLine="420" w:firstLineChars="200"/>
        <w:rPr>
          <w:rFonts w:ascii="宋体" w:hAnsi="宋体" w:eastAsia="宋体" w:cs="Times New Roman"/>
          <w:kern w:val="0"/>
          <w:szCs w:val="21"/>
          <w:lang w:val="zh-CN"/>
        </w:rPr>
      </w:pPr>
      <w:r>
        <w:rPr>
          <w:rFonts w:ascii="宋体" w:hAnsi="宋体" w:eastAsia="宋体" w:cs="Times New Roman"/>
          <w:kern w:val="0"/>
          <w:szCs w:val="21"/>
          <w:lang w:val="zh-CN"/>
        </w:rPr>
        <w:t>40.3</w:t>
      </w:r>
      <w:r>
        <w:rPr>
          <w:rFonts w:hint="eastAsia" w:ascii="宋体" w:hAnsi="宋体" w:eastAsia="宋体" w:cs="Times New Roman"/>
          <w:kern w:val="0"/>
          <w:szCs w:val="21"/>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文件规定的中小企业扶持政策：</w:t>
      </w:r>
    </w:p>
    <w:p w14:paraId="46EBAB36">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（1）在货物采购项目中，货物由中小企业制造，即货物由中小企业生产且使用该中小企业商号或者注册商标，不对其中涉及的工程承建商和服务的承接商作出要求；</w:t>
      </w:r>
    </w:p>
    <w:p w14:paraId="46C3FF63">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（2）在工程采购项目中，工程由中小企业承建，即工程施工单位为中小企业，</w:t>
      </w:r>
      <w:r>
        <w:rPr>
          <w:rFonts w:hint="eastAsia" w:ascii="宋体" w:hAnsi="Courier New" w:eastAsia="宋体" w:cs="Times New Roman"/>
          <w:kern w:val="0"/>
          <w:sz w:val="20"/>
          <w:szCs w:val="21"/>
          <w:lang w:val="zh-CN"/>
        </w:rPr>
        <w:t>不对其中涉及的货物的制造商和服务的承接商作出要求</w:t>
      </w:r>
      <w:r>
        <w:rPr>
          <w:rFonts w:hint="eastAsia" w:ascii="宋体" w:hAnsi="宋体" w:eastAsia="宋体" w:cs="Times New Roman"/>
          <w:kern w:val="0"/>
          <w:szCs w:val="21"/>
          <w:lang w:val="zh-CN"/>
        </w:rPr>
        <w:t>；</w:t>
      </w:r>
    </w:p>
    <w:p w14:paraId="2AA37321">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（3）在服务采购项目中，服务由中小企业承接，即提供服务的人员为中小企业依照《中华人民共和国劳动合同法》订立劳动合同的从业人员，</w:t>
      </w:r>
      <w:r>
        <w:rPr>
          <w:rFonts w:hint="eastAsia" w:ascii="宋体" w:hAnsi="Courier New" w:eastAsia="宋体" w:cs="Times New Roman"/>
          <w:kern w:val="0"/>
          <w:sz w:val="20"/>
          <w:szCs w:val="21"/>
          <w:lang w:val="zh-CN"/>
        </w:rPr>
        <w:t>不对其中涉及的货物的制造商和工程承建商作出要求</w:t>
      </w:r>
      <w:r>
        <w:rPr>
          <w:rFonts w:hint="eastAsia" w:ascii="宋体" w:hAnsi="宋体" w:eastAsia="宋体" w:cs="Times New Roman"/>
          <w:kern w:val="0"/>
          <w:szCs w:val="21"/>
          <w:lang w:val="zh-CN"/>
        </w:rPr>
        <w:t>。</w:t>
      </w:r>
    </w:p>
    <w:p w14:paraId="4A008D35">
      <w:pPr>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BE9621A">
      <w:pPr>
        <w:jc w:val="left"/>
        <w:rPr>
          <w:rFonts w:ascii="Times New Roman" w:hAnsi="宋体" w:eastAsia="宋体" w:cs="Times New Roman"/>
          <w:szCs w:val="24"/>
        </w:rPr>
      </w:pPr>
      <w:r>
        <w:rPr>
          <w:rFonts w:hint="eastAsia" w:ascii="Times New Roman" w:hAnsi="宋体" w:eastAsia="宋体" w:cs="Times New Roman"/>
          <w:szCs w:val="24"/>
        </w:rPr>
        <w:t>依据本文件规定享受扶持政策获得政府采购合同的，小微企业不得将合同分包给大中型企业，中型企业不得将合同分包给大型企业。</w:t>
      </w:r>
      <w:r>
        <w:rPr>
          <w:rFonts w:ascii="Times New Roman" w:hAnsi="宋体" w:eastAsia="宋体" w:cs="Times New Roman"/>
          <w:szCs w:val="24"/>
        </w:rPr>
        <w:br w:type="page"/>
      </w:r>
      <w:r>
        <w:rPr>
          <w:rFonts w:hint="eastAsia" w:ascii="黑体" w:hAnsi="黑体" w:eastAsia="黑体" w:cs="黑体"/>
          <w:szCs w:val="24"/>
        </w:rPr>
        <w:t>附件1：</w:t>
      </w:r>
    </w:p>
    <w:p w14:paraId="684FF7F5">
      <w:pPr>
        <w:jc w:val="center"/>
        <w:rPr>
          <w:rFonts w:ascii="黑体" w:hAnsi="黑体" w:eastAsia="黑体" w:cs="Times New Roman"/>
          <w:sz w:val="32"/>
          <w:szCs w:val="32"/>
        </w:rPr>
      </w:pPr>
      <w:r>
        <w:rPr>
          <w:rFonts w:hint="eastAsia" w:ascii="黑体" w:hAnsi="黑体" w:eastAsia="黑体" w:cs="Times New Roman"/>
          <w:sz w:val="32"/>
          <w:szCs w:val="32"/>
        </w:rPr>
        <w:t>政府采购项目履约保证金退付意见书（参考）</w:t>
      </w:r>
    </w:p>
    <w:p w14:paraId="3911FE1F">
      <w:pPr>
        <w:jc w:val="center"/>
        <w:rPr>
          <w:rFonts w:ascii="黑体" w:hAnsi="黑体" w:eastAsia="黑体" w:cs="Times New Roman"/>
          <w:sz w:val="36"/>
          <w:szCs w:val="36"/>
        </w:rPr>
      </w:pPr>
    </w:p>
    <w:tbl>
      <w:tblPr>
        <w:tblStyle w:val="3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34BB4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55644F16">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供</w:t>
            </w:r>
          </w:p>
          <w:p w14:paraId="79889DD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应</w:t>
            </w:r>
          </w:p>
          <w:p w14:paraId="16579293">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商</w:t>
            </w:r>
          </w:p>
          <w:p w14:paraId="4B139F8F">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w:t>
            </w:r>
          </w:p>
          <w:p w14:paraId="050EB02D">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请</w:t>
            </w:r>
          </w:p>
        </w:tc>
        <w:tc>
          <w:tcPr>
            <w:tcW w:w="8456" w:type="dxa"/>
            <w:vAlign w:val="center"/>
          </w:tcPr>
          <w:p w14:paraId="3FEC4D47">
            <w:pPr>
              <w:rPr>
                <w:rFonts w:ascii="Times New Roman" w:hAnsi="Times New Roman" w:eastAsia="宋体" w:cs="Times New Roman"/>
                <w:sz w:val="24"/>
                <w:szCs w:val="24"/>
              </w:rPr>
            </w:pPr>
            <w:r>
              <w:rPr>
                <w:rFonts w:hint="eastAsia" w:ascii="Times New Roman" w:hAnsi="Times New Roman" w:eastAsia="宋体" w:cs="Times New Roman"/>
                <w:sz w:val="24"/>
                <w:szCs w:val="24"/>
              </w:rPr>
              <w:t>项目编号：</w:t>
            </w:r>
          </w:p>
        </w:tc>
      </w:tr>
      <w:tr w14:paraId="7925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6DD7A396">
            <w:pPr>
              <w:rPr>
                <w:rFonts w:ascii="Times New Roman" w:hAnsi="Times New Roman" w:eastAsia="宋体" w:cs="Times New Roman"/>
                <w:sz w:val="24"/>
                <w:szCs w:val="24"/>
              </w:rPr>
            </w:pPr>
          </w:p>
        </w:tc>
        <w:tc>
          <w:tcPr>
            <w:tcW w:w="8456" w:type="dxa"/>
            <w:vAlign w:val="center"/>
          </w:tcPr>
          <w:p w14:paraId="080A1B9A">
            <w:pPr>
              <w:rPr>
                <w:rFonts w:ascii="Times New Roman" w:hAnsi="Times New Roman" w:eastAsia="宋体" w:cs="Times New Roman"/>
                <w:sz w:val="24"/>
                <w:szCs w:val="24"/>
              </w:rPr>
            </w:pPr>
            <w:r>
              <w:rPr>
                <w:rFonts w:hint="eastAsia" w:ascii="Times New Roman" w:hAnsi="Times New Roman" w:eastAsia="宋体" w:cs="Times New Roman"/>
                <w:sz w:val="24"/>
                <w:szCs w:val="24"/>
              </w:rPr>
              <w:t>项目名称：</w:t>
            </w:r>
          </w:p>
        </w:tc>
      </w:tr>
      <w:tr w14:paraId="086D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D5139D1">
            <w:pPr>
              <w:rPr>
                <w:rFonts w:ascii="Times New Roman" w:hAnsi="Times New Roman" w:eastAsia="宋体" w:cs="Times New Roman"/>
                <w:sz w:val="24"/>
                <w:szCs w:val="24"/>
              </w:rPr>
            </w:pPr>
          </w:p>
        </w:tc>
        <w:tc>
          <w:tcPr>
            <w:tcW w:w="8456" w:type="dxa"/>
          </w:tcPr>
          <w:p w14:paraId="48CF9FA6">
            <w:pP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p>
          <w:p w14:paraId="3BF5B6FC">
            <w:pPr>
              <w:spacing w:line="400" w:lineRule="exact"/>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该项目已于</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日验收并交付使用。根据合同规定，该项目的履约保证金期限于</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日已满，请将履约保证金</w:t>
            </w:r>
          </w:p>
          <w:p w14:paraId="61E4CD39">
            <w:pPr>
              <w:spacing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（大写）￥</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（小写）退付到达以下帐户。</w:t>
            </w:r>
          </w:p>
          <w:p w14:paraId="27002D21">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单位名称：</w:t>
            </w:r>
          </w:p>
          <w:p w14:paraId="425130C9">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开户银行：</w:t>
            </w:r>
          </w:p>
          <w:p w14:paraId="6FCB0EA0">
            <w:pPr>
              <w:spacing w:line="400" w:lineRule="exact"/>
              <w:ind w:firstLine="705"/>
              <w:rPr>
                <w:rFonts w:ascii="Times New Roman" w:hAnsi="Times New Roman" w:eastAsia="宋体" w:cs="Times New Roman"/>
                <w:sz w:val="24"/>
                <w:szCs w:val="24"/>
              </w:rPr>
            </w:pPr>
            <w:r>
              <w:rPr>
                <w:rFonts w:hint="eastAsia" w:ascii="Times New Roman" w:hAnsi="Times New Roman" w:eastAsia="宋体" w:cs="Times New Roman"/>
                <w:sz w:val="24"/>
                <w:szCs w:val="24"/>
              </w:rPr>
              <w:t>帐   号：</w:t>
            </w:r>
          </w:p>
          <w:p w14:paraId="553DCFE5">
            <w:pPr>
              <w:spacing w:line="40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联系人及电话：</w:t>
            </w:r>
          </w:p>
          <w:p w14:paraId="4B9085D3">
            <w:pPr>
              <w:spacing w:line="400" w:lineRule="exact"/>
              <w:rPr>
                <w:rFonts w:ascii="Times New Roman" w:hAnsi="Times New Roman" w:eastAsia="宋体" w:cs="Times New Roman"/>
                <w:sz w:val="24"/>
                <w:szCs w:val="24"/>
              </w:rPr>
            </w:pPr>
          </w:p>
          <w:p w14:paraId="68786C38">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投标人签章：</w:t>
            </w:r>
          </w:p>
          <w:p w14:paraId="04FA86AD">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tc>
      </w:tr>
      <w:tr w14:paraId="6516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vAlign w:val="center"/>
          </w:tcPr>
          <w:p w14:paraId="4C937E12">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采</w:t>
            </w:r>
          </w:p>
          <w:p w14:paraId="77473356">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购</w:t>
            </w:r>
          </w:p>
          <w:p w14:paraId="17E740E8">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人</w:t>
            </w:r>
          </w:p>
          <w:p w14:paraId="264004F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意</w:t>
            </w:r>
          </w:p>
          <w:p w14:paraId="3FC0C79E">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见</w:t>
            </w:r>
          </w:p>
        </w:tc>
        <w:tc>
          <w:tcPr>
            <w:tcW w:w="8456" w:type="dxa"/>
          </w:tcPr>
          <w:p w14:paraId="36C1EF3A">
            <w:pPr>
              <w:rPr>
                <w:rFonts w:ascii="Times New Roman" w:hAnsi="Times New Roman" w:eastAsia="宋体" w:cs="Times New Roman"/>
                <w:sz w:val="24"/>
                <w:szCs w:val="24"/>
              </w:rPr>
            </w:pPr>
          </w:p>
          <w:p w14:paraId="5355643D">
            <w:pPr>
              <w:rPr>
                <w:rFonts w:ascii="Times New Roman" w:hAnsi="Times New Roman" w:eastAsia="宋体" w:cs="Times New Roman"/>
                <w:sz w:val="24"/>
                <w:szCs w:val="24"/>
              </w:rPr>
            </w:pPr>
            <w:r>
              <w:rPr>
                <w:rFonts w:hint="eastAsia" w:ascii="Times New Roman" w:hAnsi="Times New Roman" w:eastAsia="宋体" w:cs="Times New Roman"/>
                <w:sz w:val="24"/>
                <w:szCs w:val="24"/>
              </w:rPr>
              <w:t>退付意见：（是否同意退付履约保证金及退付金额）</w:t>
            </w:r>
          </w:p>
          <w:p w14:paraId="5D35F530">
            <w:pPr>
              <w:rPr>
                <w:rFonts w:ascii="Times New Roman" w:hAnsi="Times New Roman" w:eastAsia="宋体" w:cs="Times New Roman"/>
                <w:sz w:val="24"/>
                <w:szCs w:val="24"/>
              </w:rPr>
            </w:pPr>
          </w:p>
          <w:p w14:paraId="605B9319">
            <w:pPr>
              <w:rPr>
                <w:rFonts w:ascii="Times New Roman" w:hAnsi="Times New Roman" w:eastAsia="宋体" w:cs="Times New Roman"/>
                <w:sz w:val="24"/>
                <w:szCs w:val="24"/>
              </w:rPr>
            </w:pPr>
          </w:p>
          <w:p w14:paraId="645D8C1E">
            <w:pPr>
              <w:rPr>
                <w:rFonts w:ascii="Times New Roman" w:hAnsi="Times New Roman" w:eastAsia="宋体" w:cs="Times New Roman"/>
                <w:sz w:val="24"/>
                <w:szCs w:val="24"/>
              </w:rPr>
            </w:pPr>
          </w:p>
          <w:p w14:paraId="32A4B322">
            <w:pPr>
              <w:rPr>
                <w:rFonts w:ascii="Times New Roman" w:hAnsi="Times New Roman" w:eastAsia="宋体" w:cs="Times New Roman"/>
                <w:sz w:val="24"/>
                <w:szCs w:val="24"/>
              </w:rPr>
            </w:pPr>
          </w:p>
          <w:p w14:paraId="4C80B290">
            <w:pPr>
              <w:spacing w:line="520" w:lineRule="exact"/>
              <w:rPr>
                <w:rFonts w:ascii="Times New Roman" w:hAnsi="Times New Roman" w:eastAsia="宋体" w:cs="Times New Roman"/>
                <w:sz w:val="24"/>
                <w:szCs w:val="24"/>
              </w:rPr>
            </w:pPr>
            <w:r>
              <w:rPr>
                <w:rFonts w:hint="eastAsia" w:ascii="Times New Roman" w:hAnsi="Times New Roman" w:eastAsia="宋体" w:cs="Times New Roman"/>
                <w:sz w:val="24"/>
                <w:szCs w:val="24"/>
              </w:rPr>
              <w:t>联系人及电话：                         招标人签章</w:t>
            </w:r>
          </w:p>
          <w:p w14:paraId="0BBD0B41">
            <w:pPr>
              <w:spacing w:line="520" w:lineRule="exact"/>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tc>
      </w:tr>
      <w:tr w14:paraId="3D01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vAlign w:val="center"/>
          </w:tcPr>
          <w:p w14:paraId="5BA4C61C">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备注</w:t>
            </w:r>
          </w:p>
        </w:tc>
        <w:tc>
          <w:tcPr>
            <w:tcW w:w="8456" w:type="dxa"/>
          </w:tcPr>
          <w:p w14:paraId="6C0105BC">
            <w:pPr>
              <w:rPr>
                <w:rFonts w:ascii="Times New Roman" w:hAnsi="Times New Roman" w:eastAsia="宋体" w:cs="Times New Roman"/>
                <w:sz w:val="24"/>
                <w:szCs w:val="24"/>
              </w:rPr>
            </w:pPr>
          </w:p>
        </w:tc>
      </w:tr>
    </w:tbl>
    <w:p w14:paraId="121CDD96">
      <w:pPr>
        <w:spacing w:line="380" w:lineRule="exact"/>
        <w:ind w:left="420" w:leftChars="114" w:hanging="181" w:hangingChars="100"/>
        <w:rPr>
          <w:rFonts w:ascii="宋体" w:hAnsi="Times New Roman" w:eastAsia="宋体" w:cs="Times New Roman"/>
          <w:b/>
          <w:bCs/>
          <w:kern w:val="0"/>
          <w:sz w:val="18"/>
          <w:szCs w:val="24"/>
          <w:lang w:val="zh-CN"/>
        </w:rPr>
      </w:pPr>
      <w:r>
        <w:rPr>
          <w:rFonts w:hint="eastAsia" w:ascii="宋体" w:hAnsi="Times New Roman" w:eastAsia="宋体" w:cs="Times New Roman"/>
          <w:b/>
          <w:bCs/>
          <w:kern w:val="0"/>
          <w:sz w:val="18"/>
          <w:szCs w:val="24"/>
          <w:lang w:val="zh-CN"/>
        </w:rPr>
        <w:t>注：投标人凭经招标人审批的退付意见书到保证金收取单位办理履约保证金退付事宜。</w:t>
      </w:r>
    </w:p>
    <w:p w14:paraId="2CC23142">
      <w:pPr>
        <w:snapToGrid w:val="0"/>
        <w:spacing w:before="120" w:after="120"/>
        <w:rPr>
          <w:rFonts w:ascii="宋体" w:hAnsi="宋体" w:eastAsia="宋体" w:cs="Times New Roman"/>
          <w:kern w:val="0"/>
          <w:sz w:val="20"/>
          <w:szCs w:val="21"/>
          <w:lang w:val="zh-CN"/>
        </w:rPr>
      </w:pPr>
    </w:p>
    <w:p w14:paraId="73E554F1">
      <w:pPr>
        <w:snapToGrid w:val="0"/>
        <w:spacing w:before="120" w:after="120"/>
        <w:rPr>
          <w:rFonts w:ascii="宋体" w:hAnsi="宋体" w:eastAsia="宋体" w:cs="Times New Roman"/>
          <w:kern w:val="0"/>
          <w:sz w:val="20"/>
          <w:szCs w:val="21"/>
          <w:lang w:val="zh-CN"/>
        </w:rPr>
      </w:pPr>
      <w:r>
        <w:rPr>
          <w:rFonts w:ascii="宋体" w:hAnsi="宋体" w:eastAsia="宋体" w:cs="Times New Roman"/>
          <w:kern w:val="0"/>
          <w:sz w:val="20"/>
          <w:szCs w:val="21"/>
          <w:lang w:val="zh-CN"/>
        </w:rPr>
        <w:br w:type="page"/>
      </w:r>
    </w:p>
    <w:p w14:paraId="5351C33B">
      <w:pPr>
        <w:snapToGrid w:val="0"/>
        <w:spacing w:before="120" w:after="120"/>
        <w:rPr>
          <w:rFonts w:ascii="宋体" w:hAnsi="宋体" w:eastAsia="宋体" w:cs="Times New Roman"/>
          <w:kern w:val="0"/>
          <w:sz w:val="20"/>
          <w:szCs w:val="21"/>
          <w:lang w:val="zh-CN"/>
        </w:rPr>
      </w:pPr>
    </w:p>
    <w:p w14:paraId="385D04B9">
      <w:pPr>
        <w:snapToGrid w:val="0"/>
        <w:spacing w:before="120" w:after="120"/>
        <w:rPr>
          <w:rFonts w:ascii="宋体" w:hAnsi="宋体" w:eastAsia="宋体" w:cs="Times New Roman"/>
          <w:kern w:val="0"/>
          <w:sz w:val="20"/>
          <w:szCs w:val="21"/>
          <w:lang w:val="zh-CN"/>
        </w:rPr>
      </w:pPr>
    </w:p>
    <w:p w14:paraId="1615196E">
      <w:pPr>
        <w:snapToGrid w:val="0"/>
        <w:spacing w:before="120" w:after="120"/>
        <w:rPr>
          <w:rFonts w:ascii="宋体" w:hAnsi="宋体" w:eastAsia="宋体" w:cs="Times New Roman"/>
          <w:kern w:val="0"/>
          <w:sz w:val="20"/>
          <w:szCs w:val="21"/>
          <w:lang w:val="zh-CN"/>
        </w:rPr>
      </w:pPr>
    </w:p>
    <w:p w14:paraId="4099621B">
      <w:pPr>
        <w:keepNext/>
        <w:keepLines/>
        <w:spacing w:before="340" w:after="330" w:line="578" w:lineRule="auto"/>
        <w:jc w:val="center"/>
        <w:outlineLvl w:val="0"/>
        <w:rPr>
          <w:rFonts w:ascii="Times New Roman" w:hAnsi="Times New Roman" w:eastAsia="宋体" w:cs="Times New Roman"/>
          <w:b/>
          <w:bCs/>
          <w:kern w:val="44"/>
          <w:sz w:val="44"/>
          <w:szCs w:val="44"/>
          <w:lang w:val="zh-CN"/>
        </w:rPr>
      </w:pPr>
      <w:bookmarkStart w:id="132" w:name="_Toc74323514"/>
      <w:bookmarkStart w:id="133" w:name="_Toc330456896"/>
      <w:bookmarkStart w:id="134" w:name="_Toc254970548"/>
      <w:bookmarkStart w:id="135" w:name="_Toc254970689"/>
      <w:r>
        <w:rPr>
          <w:rFonts w:hint="eastAsia" w:ascii="Times New Roman" w:hAnsi="Times New Roman" w:eastAsia="宋体" w:cs="Times New Roman"/>
          <w:b/>
          <w:bCs/>
          <w:kern w:val="44"/>
          <w:sz w:val="44"/>
          <w:szCs w:val="44"/>
          <w:lang w:val="zh-CN"/>
        </w:rPr>
        <w:t>第四章  评标方法及评标标准</w:t>
      </w:r>
      <w:bookmarkEnd w:id="132"/>
      <w:bookmarkEnd w:id="133"/>
      <w:bookmarkEnd w:id="134"/>
      <w:bookmarkEnd w:id="135"/>
    </w:p>
    <w:p w14:paraId="234DF62C">
      <w:pPr>
        <w:rPr>
          <w:rFonts w:ascii="Times New Roman" w:hAnsi="Times New Roman" w:eastAsia="宋体" w:cs="Times New Roman"/>
          <w:szCs w:val="24"/>
        </w:rPr>
      </w:pPr>
      <w:bookmarkStart w:id="136" w:name="_Toc254970690"/>
      <w:bookmarkStart w:id="137" w:name="_Toc254970549"/>
    </w:p>
    <w:bookmarkEnd w:id="136"/>
    <w:bookmarkEnd w:id="137"/>
    <w:p w14:paraId="7413C399">
      <w:pPr>
        <w:rPr>
          <w:rFonts w:ascii="Times New Roman" w:hAnsi="Times New Roman" w:eastAsia="宋体" w:cs="Times New Roman"/>
          <w:szCs w:val="24"/>
        </w:rPr>
      </w:pPr>
    </w:p>
    <w:p w14:paraId="7C019799">
      <w:pPr>
        <w:rPr>
          <w:rFonts w:ascii="Times New Roman" w:hAnsi="Times New Roman" w:eastAsia="宋体" w:cs="Times New Roman"/>
          <w:szCs w:val="24"/>
        </w:rPr>
      </w:pPr>
    </w:p>
    <w:p w14:paraId="1AEEE10C">
      <w:pPr>
        <w:rPr>
          <w:rFonts w:ascii="Times New Roman" w:hAnsi="Times New Roman" w:eastAsia="宋体" w:cs="Times New Roman"/>
          <w:szCs w:val="24"/>
        </w:rPr>
      </w:pPr>
    </w:p>
    <w:p w14:paraId="1ABB0AA4">
      <w:pPr>
        <w:rPr>
          <w:rFonts w:ascii="Times New Roman" w:hAnsi="Times New Roman" w:eastAsia="宋体" w:cs="Times New Roman"/>
          <w:szCs w:val="24"/>
        </w:rPr>
      </w:pPr>
    </w:p>
    <w:p w14:paraId="4F72A7D5">
      <w:pPr>
        <w:rPr>
          <w:rFonts w:ascii="Times New Roman" w:hAnsi="Times New Roman" w:eastAsia="宋体" w:cs="Times New Roman"/>
          <w:szCs w:val="24"/>
        </w:rPr>
      </w:pPr>
    </w:p>
    <w:p w14:paraId="650345F7">
      <w:pPr>
        <w:rPr>
          <w:rFonts w:ascii="Times New Roman" w:hAnsi="Times New Roman" w:eastAsia="宋体" w:cs="Times New Roman"/>
          <w:szCs w:val="24"/>
        </w:rPr>
      </w:pPr>
    </w:p>
    <w:p w14:paraId="19FD1FDD">
      <w:pPr>
        <w:rPr>
          <w:rFonts w:ascii="Times New Roman" w:hAnsi="Times New Roman" w:eastAsia="宋体" w:cs="Times New Roman"/>
          <w:szCs w:val="24"/>
        </w:rPr>
      </w:pPr>
    </w:p>
    <w:p w14:paraId="0AD26E28">
      <w:pPr>
        <w:rPr>
          <w:rFonts w:ascii="Times New Roman" w:hAnsi="Times New Roman" w:eastAsia="宋体" w:cs="Times New Roman"/>
          <w:szCs w:val="24"/>
        </w:rPr>
      </w:pPr>
    </w:p>
    <w:p w14:paraId="0AE68573">
      <w:pPr>
        <w:spacing w:before="120" w:beforeLines="50" w:after="120" w:afterLines="50" w:line="400" w:lineRule="exact"/>
        <w:rPr>
          <w:rFonts w:ascii="宋体" w:hAnsi="宋体" w:eastAsia="宋体" w:cs="Times New Roman"/>
          <w:b/>
          <w:sz w:val="24"/>
          <w:szCs w:val="24"/>
        </w:rPr>
      </w:pPr>
    </w:p>
    <w:p w14:paraId="23A0D472">
      <w:pPr>
        <w:spacing w:before="120" w:beforeLines="50" w:after="120" w:afterLines="50" w:line="400" w:lineRule="exact"/>
        <w:rPr>
          <w:rFonts w:ascii="宋体" w:hAnsi="宋体" w:eastAsia="宋体" w:cs="Times New Roman"/>
          <w:b/>
          <w:sz w:val="24"/>
          <w:szCs w:val="24"/>
        </w:rPr>
      </w:pPr>
    </w:p>
    <w:p w14:paraId="52E05384">
      <w:pPr>
        <w:spacing w:line="360" w:lineRule="exact"/>
        <w:rPr>
          <w:rFonts w:ascii="宋体" w:hAnsi="宋体" w:eastAsia="宋体" w:cs="Times New Roman"/>
          <w:b/>
          <w:kern w:val="0"/>
          <w:sz w:val="24"/>
          <w:szCs w:val="21"/>
          <w:lang w:val="zh-CN"/>
        </w:rPr>
      </w:pPr>
    </w:p>
    <w:p w14:paraId="181E226F">
      <w:pPr>
        <w:spacing w:line="360" w:lineRule="exact"/>
        <w:rPr>
          <w:rFonts w:ascii="宋体" w:hAnsi="宋体" w:eastAsia="宋体" w:cs="Times New Roman"/>
          <w:b/>
          <w:kern w:val="0"/>
          <w:sz w:val="24"/>
          <w:szCs w:val="21"/>
          <w:lang w:val="zh-CN"/>
        </w:rPr>
      </w:pPr>
    </w:p>
    <w:p w14:paraId="23774376">
      <w:pPr>
        <w:spacing w:line="360" w:lineRule="exact"/>
        <w:rPr>
          <w:rFonts w:ascii="宋体" w:hAnsi="宋体" w:eastAsia="宋体" w:cs="Times New Roman"/>
          <w:b/>
          <w:kern w:val="0"/>
          <w:sz w:val="24"/>
          <w:szCs w:val="21"/>
          <w:lang w:val="zh-CN"/>
        </w:rPr>
      </w:pPr>
    </w:p>
    <w:p w14:paraId="4CF6C32D">
      <w:pPr>
        <w:spacing w:line="360" w:lineRule="exact"/>
        <w:rPr>
          <w:rFonts w:ascii="宋体" w:hAnsi="宋体" w:eastAsia="宋体" w:cs="Times New Roman"/>
          <w:b/>
          <w:kern w:val="0"/>
          <w:sz w:val="24"/>
          <w:szCs w:val="21"/>
          <w:lang w:val="zh-CN"/>
        </w:rPr>
      </w:pPr>
    </w:p>
    <w:p w14:paraId="7EC7106E">
      <w:pPr>
        <w:spacing w:line="360" w:lineRule="exact"/>
        <w:rPr>
          <w:rFonts w:ascii="宋体" w:hAnsi="宋体" w:eastAsia="宋体" w:cs="Times New Roman"/>
          <w:b/>
          <w:kern w:val="0"/>
          <w:sz w:val="24"/>
          <w:szCs w:val="21"/>
          <w:lang w:val="zh-CN"/>
        </w:rPr>
      </w:pPr>
    </w:p>
    <w:p w14:paraId="58D556C7">
      <w:pPr>
        <w:spacing w:line="360" w:lineRule="exact"/>
        <w:rPr>
          <w:rFonts w:ascii="宋体" w:hAnsi="宋体" w:eastAsia="宋体" w:cs="Times New Roman"/>
          <w:b/>
          <w:kern w:val="0"/>
          <w:sz w:val="24"/>
          <w:szCs w:val="21"/>
          <w:lang w:val="zh-CN"/>
        </w:rPr>
      </w:pPr>
    </w:p>
    <w:p w14:paraId="3CBF0163">
      <w:pPr>
        <w:spacing w:line="360" w:lineRule="exact"/>
        <w:rPr>
          <w:rFonts w:ascii="宋体" w:hAnsi="宋体" w:eastAsia="宋体" w:cs="Times New Roman"/>
          <w:bCs/>
          <w:kern w:val="0"/>
          <w:sz w:val="20"/>
          <w:szCs w:val="21"/>
          <w:lang w:val="zh-CN"/>
        </w:rPr>
      </w:pPr>
      <w:r>
        <w:rPr>
          <w:rFonts w:ascii="宋体" w:hAnsi="宋体" w:eastAsia="宋体" w:cs="Times New Roman"/>
          <w:bCs/>
          <w:kern w:val="0"/>
          <w:sz w:val="20"/>
          <w:szCs w:val="21"/>
          <w:lang w:val="zh-CN"/>
        </w:rPr>
        <w:t xml:space="preserve"> </w:t>
      </w:r>
    </w:p>
    <w:p w14:paraId="113D7400">
      <w:pPr>
        <w:spacing w:before="260" w:after="260" w:line="416" w:lineRule="auto"/>
        <w:jc w:val="center"/>
        <w:outlineLvl w:val="2"/>
        <w:rPr>
          <w:rFonts w:ascii="Times New Roman" w:hAnsi="Times New Roman" w:eastAsia="宋体" w:cs="Times New Roman"/>
          <w:b/>
          <w:bCs/>
          <w:kern w:val="0"/>
          <w:sz w:val="32"/>
          <w:szCs w:val="32"/>
          <w:lang w:val="zh-CN"/>
        </w:rPr>
      </w:pPr>
      <w:r>
        <w:rPr>
          <w:rFonts w:ascii="Times New Roman" w:hAnsi="Times New Roman" w:eastAsia="宋体" w:cs="Times New Roman"/>
          <w:b/>
          <w:bCs/>
          <w:kern w:val="0"/>
          <w:sz w:val="32"/>
          <w:szCs w:val="32"/>
          <w:lang w:val="zh-CN"/>
        </w:rPr>
        <w:br w:type="page"/>
      </w:r>
      <w:r>
        <w:rPr>
          <w:rFonts w:hint="eastAsia" w:ascii="Times New Roman" w:hAnsi="Times New Roman" w:eastAsia="宋体" w:cs="Times New Roman"/>
          <w:b/>
          <w:bCs/>
          <w:kern w:val="0"/>
          <w:sz w:val="32"/>
          <w:szCs w:val="32"/>
          <w:lang w:val="zh-CN"/>
        </w:rPr>
        <w:t>一、评标方法</w:t>
      </w:r>
    </w:p>
    <w:p w14:paraId="2B9A8658">
      <w:pPr>
        <w:spacing w:line="360" w:lineRule="auto"/>
        <w:ind w:firstLine="420"/>
        <w:rPr>
          <w:rFonts w:ascii="宋体" w:hAnsi="宋体" w:eastAsia="宋体" w:cs="Times New Roman"/>
          <w:kern w:val="0"/>
          <w:szCs w:val="21"/>
          <w:lang w:val="zh-CN"/>
        </w:rPr>
      </w:pPr>
      <w:r>
        <w:rPr>
          <w:rFonts w:hint="eastAsia" w:ascii="宋体" w:hAnsi="宋体" w:eastAsia="宋体" w:cs="Times New Roman"/>
          <w:kern w:val="0"/>
          <w:szCs w:val="21"/>
          <w:lang w:val="zh-CN"/>
        </w:rPr>
        <w:t>综合评分法，是指投标文件满足招标文件全部实质性要求，且按照评审因素的量化指标评审得分最高的投标人为中标候选人的评标方法。</w:t>
      </w:r>
    </w:p>
    <w:p w14:paraId="69006A4E">
      <w:pPr>
        <w:spacing w:line="360" w:lineRule="auto"/>
        <w:ind w:firstLine="420"/>
        <w:rPr>
          <w:rFonts w:ascii="宋体" w:hAnsi="宋体" w:eastAsia="宋体" w:cs="Times New Roman"/>
          <w:kern w:val="0"/>
          <w:szCs w:val="21"/>
          <w:lang w:val="zh-CN"/>
        </w:rPr>
      </w:pPr>
      <w:r>
        <w:rPr>
          <w:rFonts w:hint="eastAsia" w:ascii="宋体" w:hAnsi="宋体" w:eastAsia="宋体" w:cs="Times New Roman"/>
          <w:kern w:val="0"/>
          <w:szCs w:val="21"/>
          <w:lang w:val="zh-CN"/>
        </w:rPr>
        <w:t>最低评标报价法，是指投标文件满足招标文件全部实质性要求，且投标报价最低的投标人为中标候选人的评标方法。</w:t>
      </w:r>
    </w:p>
    <w:p w14:paraId="3E9C66B1">
      <w:pPr>
        <w:spacing w:before="260" w:after="260" w:line="416" w:lineRule="auto"/>
        <w:jc w:val="center"/>
        <w:outlineLvl w:val="2"/>
        <w:rPr>
          <w:rFonts w:ascii="Times New Roman" w:hAnsi="Times New Roman" w:eastAsia="宋体" w:cs="Times New Roman"/>
          <w:b/>
          <w:bCs/>
          <w:kern w:val="0"/>
          <w:sz w:val="32"/>
          <w:szCs w:val="32"/>
          <w:lang w:val="zh-CN"/>
        </w:rPr>
      </w:pPr>
      <w:r>
        <w:rPr>
          <w:rFonts w:hint="eastAsia" w:ascii="Times New Roman" w:hAnsi="Times New Roman" w:eastAsia="宋体" w:cs="Times New Roman"/>
          <w:b/>
          <w:bCs/>
          <w:kern w:val="0"/>
          <w:sz w:val="32"/>
          <w:szCs w:val="32"/>
          <w:lang w:val="zh-CN"/>
        </w:rPr>
        <w:t>二、评标程序</w:t>
      </w:r>
    </w:p>
    <w:p w14:paraId="57C4E7AF">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1.符合性审查</w:t>
      </w:r>
    </w:p>
    <w:p w14:paraId="3C05EBDA">
      <w:pPr>
        <w:snapToGrid w:val="0"/>
        <w:spacing w:line="360" w:lineRule="auto"/>
        <w:ind w:left="1" w:firstLine="420"/>
        <w:rPr>
          <w:rFonts w:ascii="宋体" w:hAnsi="宋体" w:eastAsia="宋体" w:cs="Times New Roman"/>
          <w:b/>
          <w:szCs w:val="21"/>
          <w:lang w:val="zh-CN"/>
        </w:rPr>
      </w:pPr>
      <w:r>
        <w:rPr>
          <w:rFonts w:hint="eastAsia" w:ascii="宋体" w:hAnsi="宋体" w:eastAsia="宋体" w:cs="Times New Roman"/>
          <w:b/>
          <w:szCs w:val="21"/>
          <w:lang w:val="zh-CN"/>
        </w:rPr>
        <w:t>评标委员会应当对符合资格的投标人的投标文件进行投标报价、商务、技术等实质性内容符合性审查，以确定其是否满足招标文件的实质性要求。</w:t>
      </w:r>
    </w:p>
    <w:p w14:paraId="1F4922C6">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w:t>
      </w:r>
      <w:r>
        <w:rPr>
          <w:rFonts w:ascii="宋体" w:hAnsi="宋体" w:eastAsia="宋体" w:cs="Times New Roman"/>
          <w:b/>
          <w:szCs w:val="21"/>
          <w:lang w:val="zh-CN"/>
        </w:rPr>
        <w:t>.</w:t>
      </w:r>
      <w:r>
        <w:rPr>
          <w:rFonts w:hint="eastAsia" w:ascii="宋体" w:hAnsi="宋体" w:eastAsia="宋体" w:cs="Times New Roman"/>
          <w:b/>
          <w:szCs w:val="21"/>
          <w:lang w:val="zh-CN"/>
        </w:rPr>
        <w:t>符合性审查不通过而导致投标无效的情形</w:t>
      </w:r>
    </w:p>
    <w:p w14:paraId="68F00981">
      <w:p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投标人的投标文件中存在对招标文件的任何实质性要求和条件的负偏离，将被视为投标无效。</w:t>
      </w:r>
    </w:p>
    <w:p w14:paraId="763320A2">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2.1在报价评审时，如发现下列情形之一的，将被视为投标无效：</w:t>
      </w:r>
    </w:p>
    <w:p w14:paraId="77D086AD">
      <w:pPr>
        <w:numPr>
          <w:ilvl w:val="0"/>
          <w:numId w:val="7"/>
        </w:numPr>
        <w:spacing w:line="360" w:lineRule="auto"/>
        <w:ind w:firstLine="398" w:firstLineChars="200"/>
        <w:rPr>
          <w:rFonts w:ascii="宋体" w:hAnsi="宋体" w:eastAsia="宋体" w:cs="Times New Roman"/>
          <w:b/>
          <w:spacing w:val="-6"/>
          <w:szCs w:val="21"/>
        </w:rPr>
      </w:pPr>
      <w:r>
        <w:rPr>
          <w:rFonts w:hint="eastAsia" w:ascii="宋体" w:hAnsi="宋体" w:eastAsia="宋体" w:cs="Times New Roman"/>
          <w:b/>
          <w:spacing w:val="-6"/>
          <w:szCs w:val="21"/>
        </w:rPr>
        <w:t>投标文件未提供“投标人须知前附表”第</w:t>
      </w:r>
      <w:r>
        <w:rPr>
          <w:rFonts w:ascii="宋体" w:hAnsi="宋体" w:eastAsia="宋体" w:cs="Times New Roman"/>
          <w:b/>
          <w:spacing w:val="-6"/>
          <w:szCs w:val="21"/>
        </w:rPr>
        <w:t>8</w:t>
      </w:r>
      <w:r>
        <w:rPr>
          <w:rFonts w:hint="eastAsia" w:ascii="宋体" w:hAnsi="宋体" w:eastAsia="宋体" w:cs="Times New Roman"/>
          <w:b/>
          <w:spacing w:val="-6"/>
          <w:szCs w:val="21"/>
        </w:rPr>
        <w:t>条规定中“必须提供”的文件资料的;</w:t>
      </w:r>
    </w:p>
    <w:p w14:paraId="0A99896A">
      <w:pPr>
        <w:numPr>
          <w:ilvl w:val="0"/>
          <w:numId w:val="7"/>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未采用人民币报价或者未按照招标文件标明的币种报价的；</w:t>
      </w:r>
    </w:p>
    <w:p w14:paraId="5BBDA223">
      <w:pPr>
        <w:numPr>
          <w:ilvl w:val="0"/>
          <w:numId w:val="7"/>
        </w:numPr>
        <w:spacing w:line="360" w:lineRule="auto"/>
        <w:ind w:left="-2" w:firstLine="422"/>
        <w:rPr>
          <w:rFonts w:ascii="宋体" w:hAnsi="宋体" w:eastAsia="宋体" w:cs="Times New Roman"/>
          <w:b/>
          <w:spacing w:val="-6"/>
          <w:szCs w:val="21"/>
        </w:rPr>
      </w:pPr>
      <w:r>
        <w:rPr>
          <w:rFonts w:hint="eastAsia" w:ascii="宋体" w:hAnsi="宋体" w:eastAsia="宋体" w:cs="Times New Roman"/>
          <w:b/>
          <w:spacing w:val="-6"/>
          <w:szCs w:val="21"/>
        </w:rPr>
        <w:t>各分标报价超出招标文件相应分标规定最高限价，或者超出相应分标采购预算金额的；</w:t>
      </w:r>
    </w:p>
    <w:p w14:paraId="695F48D6">
      <w:pPr>
        <w:numPr>
          <w:ilvl w:val="0"/>
          <w:numId w:val="7"/>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793AEE98">
      <w:pPr>
        <w:numPr>
          <w:ilvl w:val="0"/>
          <w:numId w:val="7"/>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修正后的报价，投标人不确认的；</w:t>
      </w:r>
    </w:p>
    <w:p w14:paraId="1FAA976C">
      <w:pPr>
        <w:numPr>
          <w:ilvl w:val="0"/>
          <w:numId w:val="7"/>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投标人属于本章第</w:t>
      </w:r>
      <w:r>
        <w:rPr>
          <w:rFonts w:ascii="宋体" w:hAnsi="宋体" w:eastAsia="宋体" w:cs="Times New Roman"/>
          <w:b/>
          <w:szCs w:val="21"/>
        </w:rPr>
        <w:t>5</w:t>
      </w:r>
      <w:r>
        <w:rPr>
          <w:rFonts w:hint="eastAsia" w:ascii="宋体" w:hAnsi="宋体" w:eastAsia="宋体" w:cs="Times New Roman"/>
          <w:b/>
          <w:szCs w:val="21"/>
        </w:rPr>
        <w:t>条第（2）项情形的。</w:t>
      </w:r>
    </w:p>
    <w:p w14:paraId="1570DC91">
      <w:pPr>
        <w:numPr>
          <w:ilvl w:val="0"/>
          <w:numId w:val="7"/>
        </w:numPr>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投标文件响应的标的数量及单位与招标文件要求实质性不一致的。</w:t>
      </w:r>
    </w:p>
    <w:p w14:paraId="0F1C4AFB">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2.2在商务评审时，如发现下列情形之一的，将被视为投标无效：</w:t>
      </w:r>
    </w:p>
    <w:p w14:paraId="639880BB">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投标文件未按招标文件要求签署、盖章的；</w:t>
      </w:r>
    </w:p>
    <w:p w14:paraId="19842102">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 xml:space="preserve">委托代理人未能出具有效身份证明或者出具的身份证明与授权委托书中的信息不符的； </w:t>
      </w:r>
    </w:p>
    <w:p w14:paraId="4BF940EE">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为无效投标保证金的或者未按照招标文件的规定提交投标保证金的；</w:t>
      </w:r>
    </w:p>
    <w:p w14:paraId="493F6575">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投标文件未提供“投标人须知前附表”第</w:t>
      </w:r>
      <w:r>
        <w:rPr>
          <w:rFonts w:ascii="宋体" w:hAnsi="宋体" w:eastAsia="宋体" w:cs="Times New Roman"/>
          <w:b/>
          <w:szCs w:val="21"/>
        </w:rPr>
        <w:t>8</w:t>
      </w:r>
      <w:r>
        <w:rPr>
          <w:rFonts w:hint="eastAsia" w:ascii="宋体" w:hAnsi="宋体" w:eastAsia="宋体" w:cs="Times New Roman"/>
          <w:b/>
          <w:szCs w:val="21"/>
        </w:rPr>
        <w:t>条规定中“必须提供”或者“委托时必须提供”的文件资料的;</w:t>
      </w:r>
    </w:p>
    <w:p w14:paraId="2C5C2624">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商务条款评审允许负偏离的条款数超过“投标人须知前附表”规定项数的。</w:t>
      </w:r>
    </w:p>
    <w:p w14:paraId="561C5EAB">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投标文件的实质性内容未使用中文表述、使用计量单位不符合招标文件要求的；</w:t>
      </w:r>
    </w:p>
    <w:p w14:paraId="1E96D218">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投标文件中的文件资料因填写不齐全或者内容虚假或者出现其他情形而导致被评标委员会认定无效的；</w:t>
      </w:r>
    </w:p>
    <w:p w14:paraId="353BA4E7">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投标文件含有招标人不能接受的附加条件的；</w:t>
      </w:r>
    </w:p>
    <w:p w14:paraId="6CA3B8E8">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属于投标人须知正文第</w:t>
      </w:r>
      <w:r>
        <w:rPr>
          <w:rFonts w:ascii="宋体" w:hAnsi="宋体" w:eastAsia="宋体" w:cs="Times New Roman"/>
          <w:b/>
          <w:szCs w:val="21"/>
        </w:rPr>
        <w:t>9.2</w:t>
      </w:r>
      <w:r>
        <w:rPr>
          <w:rFonts w:hint="eastAsia" w:ascii="宋体" w:hAnsi="宋体" w:eastAsia="宋体" w:cs="Times New Roman"/>
          <w:b/>
          <w:szCs w:val="21"/>
        </w:rPr>
        <w:t>条情形的；</w:t>
      </w:r>
    </w:p>
    <w:p w14:paraId="1998E88F">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投标文件标注的项目名称或者项目编号与招标文件标注的项目名称或者项目编号不一致的；</w:t>
      </w:r>
    </w:p>
    <w:p w14:paraId="4FEF6372">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未响应招标文件实质性要求的；</w:t>
      </w:r>
    </w:p>
    <w:p w14:paraId="3733C035">
      <w:pPr>
        <w:numPr>
          <w:ilvl w:val="0"/>
          <w:numId w:val="8"/>
        </w:numPr>
        <w:snapToGrid w:val="0"/>
        <w:spacing w:line="360" w:lineRule="auto"/>
        <w:ind w:firstLine="422" w:firstLineChars="200"/>
        <w:rPr>
          <w:rFonts w:ascii="宋体" w:hAnsi="宋体" w:eastAsia="宋体" w:cs="Times New Roman"/>
          <w:b/>
          <w:szCs w:val="21"/>
        </w:rPr>
      </w:pPr>
      <w:r>
        <w:rPr>
          <w:rFonts w:hint="eastAsia" w:ascii="宋体" w:hAnsi="宋体" w:eastAsia="宋体" w:cs="Times New Roman"/>
          <w:b/>
          <w:szCs w:val="21"/>
        </w:rPr>
        <w:t>法律、法规和招标文件规定的其他无效情形。</w:t>
      </w:r>
    </w:p>
    <w:p w14:paraId="35C3328A">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2.3在技术评审时，如发现下列情形之一的，将被视为投标无效：</w:t>
      </w:r>
    </w:p>
    <w:p w14:paraId="76F1FB0C">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（1）明显不满足招标文件要求的服务内容、技术要求、安全、质量标准；</w:t>
      </w:r>
    </w:p>
    <w:p w14:paraId="39A5E804">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（2）服务需求评审允许负偏离的条款数超过“投标人须知前附表”规定项数的；</w:t>
      </w:r>
    </w:p>
    <w:p w14:paraId="2E318D48">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（3）投标文件未提供“投标人须知前附表”第</w:t>
      </w:r>
      <w:r>
        <w:rPr>
          <w:rFonts w:ascii="宋体" w:hAnsi="宋体" w:eastAsia="宋体" w:cs="Times New Roman"/>
          <w:b/>
          <w:szCs w:val="21"/>
          <w:lang w:val="zh-CN"/>
        </w:rPr>
        <w:t>8</w:t>
      </w:r>
      <w:r>
        <w:rPr>
          <w:rFonts w:hint="eastAsia" w:ascii="宋体" w:hAnsi="宋体" w:eastAsia="宋体" w:cs="Times New Roman"/>
          <w:b/>
          <w:szCs w:val="21"/>
          <w:lang w:val="zh-CN"/>
        </w:rPr>
        <w:t>条规定中“必须提供”的文件资料的;</w:t>
      </w:r>
    </w:p>
    <w:p w14:paraId="6BF53E4A">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（4）虚假投标，或者出现其他情形而导致被评标委员会认定无效的；</w:t>
      </w:r>
    </w:p>
    <w:p w14:paraId="75CC0E6A">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（5）</w:t>
      </w:r>
      <w:bookmarkStart w:id="138" w:name="_Hlk71706244"/>
      <w:r>
        <w:rPr>
          <w:rFonts w:hint="eastAsia" w:ascii="宋体" w:hAnsi="宋体" w:eastAsia="宋体" w:cs="Times New Roman"/>
          <w:b/>
          <w:szCs w:val="21"/>
          <w:lang w:val="zh-CN"/>
        </w:rPr>
        <w:t>招标文件未载明允许提供备选（替代）投标方案或明确不允许提供备选（替代）投标方案时，投标人提供了备选（替代）投标方案的；</w:t>
      </w:r>
      <w:bookmarkEnd w:id="138"/>
    </w:p>
    <w:p w14:paraId="53168C6B">
      <w:pPr>
        <w:snapToGrid w:val="0"/>
        <w:spacing w:line="360" w:lineRule="auto"/>
        <w:ind w:firstLine="413" w:firstLineChars="196"/>
        <w:rPr>
          <w:rFonts w:ascii="宋体" w:hAnsi="宋体" w:eastAsia="宋体" w:cs="Times New Roman"/>
          <w:b/>
          <w:szCs w:val="21"/>
          <w:lang w:val="zh-CN"/>
        </w:rPr>
      </w:pPr>
      <w:r>
        <w:rPr>
          <w:rFonts w:hint="eastAsia" w:ascii="宋体" w:hAnsi="宋体" w:eastAsia="宋体" w:cs="Times New Roman"/>
          <w:b/>
          <w:szCs w:val="21"/>
          <w:lang w:val="zh-CN"/>
        </w:rPr>
        <w:t>（6）未响应招标文件实质性要求的。</w:t>
      </w:r>
    </w:p>
    <w:p w14:paraId="593DCB45">
      <w:pPr>
        <w:numPr>
          <w:ilvl w:val="4"/>
          <w:numId w:val="0"/>
        </w:numPr>
        <w:spacing w:line="360" w:lineRule="auto"/>
        <w:ind w:left="420" w:leftChars="200"/>
        <w:outlineLvl w:val="4"/>
        <w:rPr>
          <w:rFonts w:ascii="宋体" w:hAnsi="宋体" w:eastAsia="宋体" w:cs="Times New Roman"/>
          <w:b/>
          <w:szCs w:val="21"/>
          <w:lang w:val="zh-CN"/>
        </w:rPr>
      </w:pPr>
      <w:r>
        <w:rPr>
          <w:rFonts w:hint="eastAsia" w:ascii="宋体" w:hAnsi="宋体" w:eastAsia="宋体" w:cs="Times New Roman"/>
          <w:b/>
          <w:szCs w:val="21"/>
          <w:lang w:val="zh-CN"/>
        </w:rPr>
        <w:t>3</w:t>
      </w:r>
      <w:r>
        <w:rPr>
          <w:rFonts w:ascii="宋体" w:hAnsi="宋体" w:eastAsia="宋体" w:cs="Times New Roman"/>
          <w:b/>
          <w:szCs w:val="21"/>
          <w:lang w:val="zh-CN"/>
        </w:rPr>
        <w:t>.</w:t>
      </w:r>
      <w:r>
        <w:rPr>
          <w:rFonts w:hint="eastAsia" w:ascii="宋体" w:hAnsi="宋体" w:eastAsia="宋体" w:cs="Times New Roman"/>
          <w:b/>
          <w:szCs w:val="21"/>
          <w:lang w:val="zh-CN"/>
        </w:rPr>
        <w:t>澄清补正</w:t>
      </w:r>
    </w:p>
    <w:p w14:paraId="2930E1F2">
      <w:pPr>
        <w:snapToGrid w:val="0"/>
        <w:spacing w:line="360" w:lineRule="auto"/>
        <w:ind w:firstLine="420" w:firstLineChars="200"/>
        <w:rPr>
          <w:rFonts w:ascii="宋体" w:hAnsi="宋体" w:eastAsia="宋体" w:cs="Courier New"/>
          <w:szCs w:val="21"/>
        </w:rPr>
      </w:pPr>
      <w:r>
        <w:rPr>
          <w:rFonts w:hint="eastAsia" w:ascii="宋体" w:hAnsi="宋体" w:eastAsia="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2C153BCC">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4.</w:t>
      </w:r>
      <w:r>
        <w:rPr>
          <w:rFonts w:hint="eastAsia" w:ascii="宋体" w:hAnsi="宋体" w:eastAsia="宋体" w:cs="Times New Roman"/>
          <w:b/>
          <w:szCs w:val="21"/>
          <w:lang w:val="zh-CN"/>
        </w:rPr>
        <w:t>投标文件修正</w:t>
      </w:r>
    </w:p>
    <w:p w14:paraId="0955D866">
      <w:pPr>
        <w:numPr>
          <w:ilvl w:val="4"/>
          <w:numId w:val="0"/>
        </w:numPr>
        <w:spacing w:line="360" w:lineRule="auto"/>
        <w:ind w:left="420" w:leftChars="200"/>
        <w:outlineLvl w:val="4"/>
        <w:rPr>
          <w:rFonts w:ascii="宋体" w:hAnsi="宋体" w:eastAsia="宋体" w:cs="Times New Roman"/>
          <w:szCs w:val="21"/>
          <w:lang w:val="zh-CN"/>
        </w:rPr>
      </w:pPr>
      <w:r>
        <w:rPr>
          <w:rFonts w:ascii="宋体" w:hAnsi="宋体" w:eastAsia="宋体" w:cs="Times New Roman"/>
          <w:szCs w:val="21"/>
          <w:lang w:val="zh-CN"/>
        </w:rPr>
        <w:t>4</w:t>
      </w:r>
      <w:r>
        <w:rPr>
          <w:rFonts w:hint="eastAsia" w:ascii="宋体" w:hAnsi="宋体" w:eastAsia="宋体" w:cs="Times New Roman"/>
          <w:szCs w:val="21"/>
          <w:lang w:val="zh-CN"/>
        </w:rPr>
        <w:t xml:space="preserve">.1投标文件报价出现前后不一致的，按照下列规定修正： </w:t>
      </w:r>
    </w:p>
    <w:p w14:paraId="2F36F82B">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（1）投标文件中开标一览表（报价表）内容与投标文件中相应内容不一致的，以开标一览表（报价表）为准；</w:t>
      </w:r>
    </w:p>
    <w:p w14:paraId="7B5242D9">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（2）大写金额和小写金额不一致的，以大写金额为准；</w:t>
      </w:r>
    </w:p>
    <w:p w14:paraId="0BDFC5C2">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（3）单价金额小数点或者百分比有明显错位的，以开标一览表的总价为准，并修改单价；</w:t>
      </w:r>
    </w:p>
    <w:p w14:paraId="57CF2A56">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（4）总价金额与按单价汇总金额不一致的，以单价金额计算结果为准。</w:t>
      </w:r>
    </w:p>
    <w:p w14:paraId="6F73717D">
      <w:pPr>
        <w:snapToGrid w:val="0"/>
        <w:spacing w:line="360" w:lineRule="auto"/>
        <w:ind w:firstLine="420" w:firstLineChars="200"/>
        <w:rPr>
          <w:rFonts w:ascii="宋体" w:hAnsi="宋体" w:eastAsia="宋体" w:cs="Times New Roman"/>
          <w:kern w:val="0"/>
          <w:szCs w:val="21"/>
          <w:lang w:val="zh-CN"/>
        </w:rPr>
      </w:pPr>
      <w:r>
        <w:rPr>
          <w:rFonts w:hint="eastAsia" w:ascii="宋体" w:hAnsi="宋体" w:eastAsia="宋体" w:cs="Times New Roman"/>
          <w:kern w:val="0"/>
          <w:szCs w:val="21"/>
          <w:lang w:val="zh-CN"/>
        </w:rPr>
        <w:t>同时出现两种以上不一致的，按照以上（1）-（4）规定的顺序修正。修正后的报价经投标人确认后产生约束力，投标人不确认的，</w:t>
      </w:r>
      <w:r>
        <w:rPr>
          <w:rFonts w:hint="eastAsia" w:ascii="宋体" w:hAnsi="宋体" w:eastAsia="宋体" w:cs="Times New Roman"/>
          <w:b/>
          <w:szCs w:val="21"/>
          <w:lang w:val="zh-CN"/>
        </w:rPr>
        <w:t>其投标无效</w:t>
      </w:r>
      <w:r>
        <w:rPr>
          <w:rFonts w:hint="eastAsia" w:ascii="宋体" w:hAnsi="宋体" w:eastAsia="宋体" w:cs="Times New Roman"/>
          <w:kern w:val="0"/>
          <w:szCs w:val="21"/>
          <w:lang w:val="zh-CN"/>
        </w:rPr>
        <w:t>。</w:t>
      </w:r>
    </w:p>
    <w:p w14:paraId="4D176D3F">
      <w:pPr>
        <w:numPr>
          <w:ilvl w:val="4"/>
          <w:numId w:val="0"/>
        </w:numPr>
        <w:spacing w:line="360" w:lineRule="auto"/>
        <w:outlineLvl w:val="4"/>
        <w:rPr>
          <w:rFonts w:ascii="宋体" w:hAnsi="宋体" w:eastAsia="宋体" w:cs="Times New Roman"/>
          <w:szCs w:val="21"/>
          <w:lang w:val="zh-CN"/>
        </w:rPr>
      </w:pPr>
      <w:r>
        <w:rPr>
          <w:rFonts w:ascii="宋体" w:hAnsi="宋体" w:eastAsia="宋体" w:cs="Times New Roman"/>
          <w:szCs w:val="21"/>
          <w:lang w:val="zh-CN"/>
        </w:rPr>
        <w:t xml:space="preserve">    4</w:t>
      </w:r>
      <w:r>
        <w:rPr>
          <w:rFonts w:hint="eastAsia" w:ascii="宋体" w:hAnsi="宋体" w:eastAsia="宋体" w:cs="Times New Roman"/>
          <w:szCs w:val="21"/>
          <w:lang w:val="zh-CN"/>
        </w:rPr>
        <w:t>.2经投标人确认修正后的报价若超过采购预算金额或者最高限价，</w:t>
      </w:r>
      <w:r>
        <w:rPr>
          <w:rFonts w:hint="eastAsia" w:ascii="Times New Roman" w:hAnsi="宋体" w:eastAsia="宋体" w:cs="Times New Roman"/>
          <w:b/>
          <w:szCs w:val="24"/>
          <w:lang w:val="zh-CN"/>
        </w:rPr>
        <w:t>其投标无效</w:t>
      </w:r>
      <w:r>
        <w:rPr>
          <w:rFonts w:hint="eastAsia" w:ascii="宋体" w:hAnsi="宋体" w:eastAsia="宋体" w:cs="Times New Roman"/>
          <w:szCs w:val="21"/>
          <w:lang w:val="zh-CN"/>
        </w:rPr>
        <w:t>。</w:t>
      </w:r>
    </w:p>
    <w:p w14:paraId="2A8529D8">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.3经投标人确认修正后的报价作为签订合同的依据，并以此报价计算价格分。</w:t>
      </w:r>
    </w:p>
    <w:p w14:paraId="17B95E67">
      <w:pPr>
        <w:numPr>
          <w:ilvl w:val="4"/>
          <w:numId w:val="0"/>
        </w:numPr>
        <w:spacing w:line="360" w:lineRule="auto"/>
        <w:ind w:left="420" w:leftChars="200"/>
        <w:outlineLvl w:val="4"/>
        <w:rPr>
          <w:rFonts w:ascii="宋体" w:hAnsi="宋体" w:eastAsia="宋体" w:cs="Times New Roman"/>
          <w:b/>
          <w:szCs w:val="21"/>
          <w:lang w:val="zh-CN"/>
        </w:rPr>
      </w:pPr>
      <w:r>
        <w:rPr>
          <w:rFonts w:ascii="宋体" w:hAnsi="宋体" w:eastAsia="宋体" w:cs="Times New Roman"/>
          <w:b/>
          <w:szCs w:val="21"/>
          <w:lang w:val="zh-CN"/>
        </w:rPr>
        <w:t>5.</w:t>
      </w:r>
      <w:r>
        <w:rPr>
          <w:rFonts w:hint="eastAsia" w:ascii="宋体" w:hAnsi="宋体" w:eastAsia="宋体" w:cs="Times New Roman"/>
          <w:b/>
          <w:szCs w:val="21"/>
          <w:lang w:val="zh-CN"/>
        </w:rPr>
        <w:t>比较与评价</w:t>
      </w:r>
    </w:p>
    <w:p w14:paraId="0728F5C6">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5.1采用综合评分法的</w:t>
      </w:r>
    </w:p>
    <w:p w14:paraId="4CF7FE21">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（1）评标委员会按照招标文件中规定的评标方法及评标标准，对符合性审查合格的投标文件进行商务和技术评估，综合比较与评价。</w:t>
      </w:r>
    </w:p>
    <w:p w14:paraId="6D0353DB">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（2）评标委员会独立对每个投标人的投标文件进行评价，并汇总每个投标人的得分。</w:t>
      </w:r>
    </w:p>
    <w:p w14:paraId="04F1324D">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380A552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（3）评标委员会按照招标文件中规定的评标方法和标准计算各投标人的报价得分。在计算过程中，不得去掉最高报价或者最低报价。</w:t>
      </w:r>
    </w:p>
    <w:p w14:paraId="5C32C220">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（4）各投标人的得分为所有评委的有效评分的算术平均数。</w:t>
      </w:r>
    </w:p>
    <w:p w14:paraId="3C0AAD1F">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（5）评标委员会按照招标文件中的规定推荐中标候选人。</w:t>
      </w:r>
    </w:p>
    <w:p w14:paraId="39E90247">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3AE795">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5.2采用</w:t>
      </w:r>
      <w:r>
        <w:rPr>
          <w:rFonts w:hint="eastAsia" w:ascii="Times New Roman" w:hAnsi="宋体" w:eastAsia="宋体" w:cs="Times New Roman"/>
          <w:szCs w:val="24"/>
        </w:rPr>
        <w:t>最低评标报价法</w:t>
      </w:r>
      <w:r>
        <w:rPr>
          <w:rFonts w:hint="eastAsia" w:ascii="宋体" w:hAnsi="宋体" w:eastAsia="宋体" w:cs="Times New Roman"/>
          <w:szCs w:val="21"/>
        </w:rPr>
        <w:t>的</w:t>
      </w:r>
    </w:p>
    <w:p w14:paraId="6249A77C">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（1）评标委员会按照招标文件中规定的评标方法及评标标准，对符合性审查合格的投标文件报价进行比较。</w:t>
      </w:r>
    </w:p>
    <w:p w14:paraId="370F1E3F">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72ABF832">
      <w:pPr>
        <w:snapToGrid w:val="0"/>
        <w:spacing w:line="360" w:lineRule="auto"/>
        <w:ind w:firstLine="424" w:firstLineChars="202"/>
        <w:jc w:val="left"/>
        <w:rPr>
          <w:rFonts w:ascii="宋体" w:hAnsi="宋体" w:eastAsia="宋体" w:cs="Times New Roman"/>
          <w:szCs w:val="21"/>
        </w:rPr>
      </w:pPr>
      <w:r>
        <w:rPr>
          <w:rFonts w:hint="eastAsia" w:ascii="宋体" w:hAnsi="宋体" w:eastAsia="宋体" w:cs="Times New Roman"/>
          <w:szCs w:val="21"/>
        </w:rPr>
        <w:t>（3）评标委员会按照招标文件中的规定推荐中标候选人。</w:t>
      </w:r>
    </w:p>
    <w:p w14:paraId="0C3568D7">
      <w:pPr>
        <w:snapToGrid w:val="0"/>
        <w:spacing w:line="360" w:lineRule="exact"/>
        <w:ind w:firstLine="424" w:firstLineChars="202"/>
        <w:jc w:val="center"/>
        <w:rPr>
          <w:rFonts w:ascii="Times New Roman" w:hAnsi="Times New Roman" w:eastAsia="宋体" w:cs="Times New Roman"/>
          <w:b/>
          <w:bCs/>
          <w:sz w:val="32"/>
          <w:szCs w:val="32"/>
        </w:rPr>
      </w:pPr>
      <w:r>
        <w:rPr>
          <w:rFonts w:hint="eastAsia" w:ascii="宋体" w:hAnsi="宋体" w:eastAsia="宋体" w:cs="Times New Roman"/>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ascii="Times New Roman" w:hAnsi="宋体" w:eastAsia="宋体" w:cs="Times New Roman"/>
          <w:szCs w:val="24"/>
        </w:rPr>
        <w:br w:type="page"/>
      </w:r>
      <w:bookmarkStart w:id="139" w:name="_Hlk71707917"/>
      <w:r>
        <w:rPr>
          <w:rFonts w:hint="eastAsia" w:ascii="Times New Roman" w:hAnsi="Times New Roman" w:eastAsia="宋体" w:cs="Times New Roman"/>
          <w:b/>
          <w:bCs/>
          <w:sz w:val="32"/>
          <w:szCs w:val="32"/>
        </w:rPr>
        <w:t>三、评标标准（分标1）</w:t>
      </w:r>
    </w:p>
    <w:p w14:paraId="1CE1E4AD">
      <w:pPr>
        <w:spacing w:line="360" w:lineRule="exact"/>
        <w:ind w:firstLine="422" w:firstLineChars="200"/>
        <w:rPr>
          <w:rFonts w:ascii="宋体" w:hAnsi="宋体" w:eastAsia="宋体"/>
          <w:b/>
          <w:szCs w:val="21"/>
        </w:rPr>
      </w:pPr>
      <w:bookmarkStart w:id="140" w:name="_Toc433187409"/>
      <w:bookmarkStart w:id="141" w:name="_Toc1552"/>
      <w:r>
        <w:rPr>
          <w:rFonts w:ascii="宋体" w:hAnsi="宋体" w:eastAsia="宋体"/>
          <w:b/>
          <w:szCs w:val="21"/>
        </w:rPr>
        <w:t>一、评标原则</w:t>
      </w:r>
      <w:bookmarkEnd w:id="140"/>
      <w:bookmarkEnd w:id="141"/>
    </w:p>
    <w:p w14:paraId="7DFE67F4">
      <w:pPr>
        <w:pStyle w:val="21"/>
        <w:spacing w:line="360" w:lineRule="exact"/>
        <w:ind w:firstLine="420" w:firstLineChars="200"/>
        <w:rPr>
          <w:rFonts w:hAnsi="宋体"/>
          <w:bCs/>
          <w:sz w:val="21"/>
        </w:rPr>
      </w:pPr>
      <w:r>
        <w:rPr>
          <w:rFonts w:hint="eastAsia" w:hAnsi="宋体"/>
          <w:bCs/>
          <w:sz w:val="21"/>
        </w:rPr>
        <w:t>（</w:t>
      </w:r>
      <w:r>
        <w:rPr>
          <w:rFonts w:hAnsi="宋体"/>
          <w:bCs/>
          <w:sz w:val="21"/>
        </w:rPr>
        <w:t>一</w:t>
      </w:r>
      <w:r>
        <w:rPr>
          <w:rFonts w:hint="eastAsia" w:hAnsi="宋体"/>
          <w:bCs/>
          <w:sz w:val="21"/>
        </w:rPr>
        <w:t>）</w:t>
      </w:r>
      <w:r>
        <w:rPr>
          <w:rFonts w:hAnsi="宋体"/>
          <w:bCs/>
          <w:sz w:val="21"/>
        </w:rPr>
        <w:t>评标依据：评委将以招标文件、投标文件为评标依据。</w:t>
      </w:r>
    </w:p>
    <w:p w14:paraId="4DFB0C51">
      <w:pPr>
        <w:pStyle w:val="21"/>
        <w:spacing w:line="360" w:lineRule="exact"/>
        <w:ind w:firstLine="420" w:firstLineChars="200"/>
        <w:rPr>
          <w:rFonts w:hAnsi="宋体"/>
          <w:bCs/>
          <w:sz w:val="21"/>
        </w:rPr>
      </w:pPr>
      <w:r>
        <w:rPr>
          <w:rFonts w:hint="eastAsia" w:hAnsi="宋体"/>
          <w:bCs/>
          <w:sz w:val="21"/>
        </w:rPr>
        <w:t>（二）</w:t>
      </w:r>
      <w:r>
        <w:rPr>
          <w:rFonts w:hAnsi="宋体"/>
          <w:bCs/>
          <w:sz w:val="21"/>
        </w:rPr>
        <w:t>评标委员会构成：</w:t>
      </w:r>
      <w:r>
        <w:rPr>
          <w:rFonts w:hint="eastAsia" w:hAnsi="宋体"/>
          <w:bCs/>
          <w:sz w:val="21"/>
        </w:rPr>
        <w:t>本招标采购项目的评标委员会由招标人代表和有关技术、经济等方面的专家组成，</w:t>
      </w:r>
      <w:r>
        <w:rPr>
          <w:rFonts w:hAnsi="宋体"/>
          <w:bCs/>
          <w:sz w:val="21"/>
        </w:rPr>
        <w:t>技术、经济等方面的专家不少于成员总数的三分之二。</w:t>
      </w:r>
    </w:p>
    <w:p w14:paraId="2D9EDF2F">
      <w:pPr>
        <w:pStyle w:val="21"/>
        <w:spacing w:line="360" w:lineRule="exact"/>
        <w:ind w:firstLine="420" w:firstLineChars="200"/>
        <w:rPr>
          <w:rFonts w:hAnsi="宋体"/>
          <w:bCs/>
          <w:sz w:val="21"/>
        </w:rPr>
      </w:pPr>
      <w:r>
        <w:rPr>
          <w:rFonts w:hAnsi="宋体"/>
          <w:bCs/>
          <w:sz w:val="21"/>
        </w:rPr>
        <w:t>（</w:t>
      </w:r>
      <w:r>
        <w:rPr>
          <w:rFonts w:hint="eastAsia" w:hAnsi="宋体"/>
          <w:bCs/>
          <w:sz w:val="21"/>
        </w:rPr>
        <w:t>三</w:t>
      </w:r>
      <w:r>
        <w:rPr>
          <w:rFonts w:hAnsi="宋体"/>
          <w:bCs/>
          <w:sz w:val="21"/>
        </w:rPr>
        <w:t>）评标方式：以</w:t>
      </w:r>
      <w:r>
        <w:rPr>
          <w:rFonts w:hint="eastAsia" w:hAnsi="宋体"/>
          <w:bCs/>
          <w:sz w:val="21"/>
        </w:rPr>
        <w:t>不公开</w:t>
      </w:r>
      <w:r>
        <w:rPr>
          <w:rFonts w:hAnsi="宋体"/>
          <w:bCs/>
          <w:sz w:val="21"/>
        </w:rPr>
        <w:t>方式进行。</w:t>
      </w:r>
    </w:p>
    <w:p w14:paraId="159D8AFF">
      <w:pPr>
        <w:spacing w:line="360" w:lineRule="exact"/>
        <w:ind w:firstLine="420" w:firstLineChars="200"/>
        <w:rPr>
          <w:rFonts w:ascii="宋体" w:hAnsi="宋体" w:eastAsia="宋体"/>
          <w:color w:val="000000"/>
          <w:szCs w:val="21"/>
        </w:rPr>
      </w:pPr>
      <w:r>
        <w:rPr>
          <w:rStyle w:val="141"/>
          <w:rFonts w:hint="default"/>
          <w:sz w:val="21"/>
          <w:szCs w:val="21"/>
        </w:rPr>
        <w:t>二、评定方法：</w:t>
      </w:r>
    </w:p>
    <w:p w14:paraId="2159DCEF">
      <w:pPr>
        <w:pStyle w:val="21"/>
        <w:spacing w:line="360" w:lineRule="exact"/>
        <w:ind w:firstLine="420" w:firstLineChars="200"/>
        <w:rPr>
          <w:rFonts w:hAnsi="宋体"/>
          <w:bCs/>
          <w:sz w:val="21"/>
        </w:rPr>
      </w:pPr>
      <w:r>
        <w:rPr>
          <w:rFonts w:hAnsi="宋体"/>
          <w:bCs/>
          <w:sz w:val="21"/>
        </w:rPr>
        <w:t>（一）对进入详评的，采用百分制综合评分法：是指完全满足招标文件实质性要求前提下，按照招标文件</w:t>
      </w:r>
    </w:p>
    <w:p w14:paraId="296D5677">
      <w:pPr>
        <w:pStyle w:val="21"/>
        <w:spacing w:line="360" w:lineRule="exact"/>
        <w:ind w:firstLine="420" w:firstLineChars="200"/>
        <w:rPr>
          <w:rFonts w:hAnsi="宋体"/>
          <w:bCs/>
          <w:sz w:val="21"/>
        </w:rPr>
      </w:pPr>
      <w:r>
        <w:rPr>
          <w:rFonts w:hAnsi="宋体"/>
          <w:bCs/>
          <w:sz w:val="21"/>
        </w:rPr>
        <w:t>规定的各项因素进行综合评审后，以评标总得分最高的投标人作为中标候选人或中标供应商的评标方法。</w:t>
      </w:r>
    </w:p>
    <w:p w14:paraId="5C96A2CD">
      <w:pPr>
        <w:pStyle w:val="21"/>
        <w:spacing w:line="360" w:lineRule="exact"/>
        <w:ind w:firstLine="420" w:firstLineChars="200"/>
        <w:rPr>
          <w:rFonts w:hAnsi="宋体"/>
          <w:bCs/>
          <w:sz w:val="21"/>
        </w:rPr>
      </w:pPr>
      <w:r>
        <w:rPr>
          <w:rFonts w:hAnsi="宋体"/>
          <w:bCs/>
          <w:sz w:val="21"/>
        </w:rPr>
        <w:t>（二）计分办法（按四舍五入取至百分位） ：</w:t>
      </w:r>
    </w:p>
    <w:p w14:paraId="57ACFF95">
      <w:pPr>
        <w:pStyle w:val="21"/>
        <w:spacing w:line="360" w:lineRule="exact"/>
        <w:ind w:firstLine="394" w:firstLineChars="196"/>
        <w:outlineLvl w:val="0"/>
        <w:rPr>
          <w:rFonts w:hAnsi="宋体"/>
          <w:b/>
        </w:rPr>
      </w:pPr>
      <w:r>
        <w:rPr>
          <w:rFonts w:hint="eastAsia" w:hAnsi="宋体"/>
          <w:b/>
        </w:rPr>
        <w:t>一、评标方法</w:t>
      </w:r>
    </w:p>
    <w:p w14:paraId="0826FBFB">
      <w:pPr>
        <w:pStyle w:val="21"/>
        <w:spacing w:line="360" w:lineRule="exact"/>
        <w:ind w:firstLine="392" w:firstLineChars="196"/>
        <w:outlineLvl w:val="0"/>
        <w:rPr>
          <w:rFonts w:hAnsi="宋体"/>
          <w:bCs/>
        </w:rPr>
      </w:pPr>
      <w:r>
        <w:rPr>
          <w:rFonts w:hint="eastAsia" w:hAnsi="宋体"/>
          <w:bCs/>
        </w:rPr>
        <w:t>（一）综合评分法，是指投标文件满足招标文件全部实质性要求，且按照评审因素的量化指标评审得分最高的投标人为中标候选人的评标方法。</w:t>
      </w:r>
    </w:p>
    <w:p w14:paraId="78201D32">
      <w:pPr>
        <w:pStyle w:val="21"/>
        <w:spacing w:line="360" w:lineRule="exact"/>
        <w:ind w:firstLine="392" w:firstLineChars="196"/>
        <w:outlineLvl w:val="0"/>
        <w:rPr>
          <w:rFonts w:hAnsi="宋体"/>
          <w:bCs/>
        </w:rPr>
      </w:pPr>
      <w:r>
        <w:rPr>
          <w:rFonts w:hint="eastAsia" w:hAnsi="宋体"/>
          <w:bCs/>
        </w:rPr>
        <w:t>（二）组建评标委员会</w:t>
      </w:r>
    </w:p>
    <w:p w14:paraId="68721B90">
      <w:pPr>
        <w:pStyle w:val="21"/>
        <w:spacing w:line="360" w:lineRule="exact"/>
        <w:ind w:firstLine="392" w:firstLineChars="196"/>
        <w:outlineLvl w:val="0"/>
        <w:rPr>
          <w:rFonts w:hAnsi="宋体"/>
          <w:bCs/>
        </w:rPr>
      </w:pPr>
      <w:r>
        <w:rPr>
          <w:rFonts w:hint="eastAsia" w:hAnsi="宋体"/>
          <w:bCs/>
        </w:rPr>
        <w:t>评标委员会由招标人代表和评审专家组成，成员人数见“投标人须知前附表”，其中评审专家不得少于成员总数的三分之二。参加过采购项目前期咨询论证的专家，不得参加该采购项目的评审活动。</w:t>
      </w:r>
    </w:p>
    <w:p w14:paraId="22B5A50A">
      <w:pPr>
        <w:pStyle w:val="21"/>
        <w:spacing w:line="360" w:lineRule="exact"/>
        <w:ind w:firstLine="394" w:firstLineChars="196"/>
        <w:outlineLvl w:val="0"/>
        <w:rPr>
          <w:rFonts w:hAnsi="宋体"/>
          <w:bCs/>
        </w:rPr>
      </w:pPr>
      <w:r>
        <w:rPr>
          <w:rFonts w:hint="eastAsia" w:hAnsi="宋体"/>
          <w:b/>
        </w:rPr>
        <w:t>（三）评标程序</w:t>
      </w:r>
    </w:p>
    <w:p w14:paraId="7C1A5020">
      <w:pPr>
        <w:pStyle w:val="21"/>
        <w:spacing w:line="360" w:lineRule="exact"/>
        <w:ind w:firstLine="394" w:firstLineChars="196"/>
        <w:outlineLvl w:val="0"/>
        <w:rPr>
          <w:rFonts w:hAnsi="宋体"/>
          <w:b/>
        </w:rPr>
      </w:pPr>
      <w:r>
        <w:rPr>
          <w:rFonts w:hint="eastAsia" w:hAnsi="宋体"/>
          <w:b/>
        </w:rPr>
        <w:t>1 符合性审查</w:t>
      </w:r>
    </w:p>
    <w:p w14:paraId="238E47B0">
      <w:pPr>
        <w:pStyle w:val="21"/>
        <w:spacing w:line="360" w:lineRule="exact"/>
        <w:ind w:firstLine="394" w:firstLineChars="196"/>
        <w:outlineLvl w:val="0"/>
        <w:rPr>
          <w:rFonts w:hAnsi="宋体"/>
          <w:b/>
        </w:rPr>
      </w:pPr>
      <w:r>
        <w:rPr>
          <w:rFonts w:hint="eastAsia" w:hAnsi="宋体"/>
          <w:b/>
        </w:rPr>
        <w:t>评标委员会应当对符合资格的投标人的投标文件进行投标报价、商务、技术等实质性要求符合性审查，以确定其是否满足招标文件的实质性要求。</w:t>
      </w:r>
    </w:p>
    <w:p w14:paraId="2A82B4D8">
      <w:pPr>
        <w:pStyle w:val="21"/>
        <w:spacing w:line="360" w:lineRule="exact"/>
        <w:ind w:firstLine="394" w:firstLineChars="196"/>
        <w:outlineLvl w:val="0"/>
        <w:rPr>
          <w:rFonts w:hAnsi="宋体"/>
          <w:b/>
        </w:rPr>
      </w:pPr>
      <w:r>
        <w:rPr>
          <w:rFonts w:hint="eastAsia" w:hAnsi="宋体"/>
          <w:b/>
        </w:rPr>
        <w:t>2 符合性审查不通过而导致投标无效的情形</w:t>
      </w:r>
    </w:p>
    <w:p w14:paraId="71E626F3">
      <w:pPr>
        <w:pStyle w:val="21"/>
        <w:spacing w:line="360" w:lineRule="exact"/>
        <w:ind w:firstLine="394" w:firstLineChars="196"/>
        <w:outlineLvl w:val="0"/>
        <w:rPr>
          <w:rFonts w:hAnsi="宋体"/>
          <w:b/>
        </w:rPr>
      </w:pPr>
      <w:r>
        <w:rPr>
          <w:rFonts w:hint="eastAsia" w:hAnsi="宋体"/>
          <w:b/>
        </w:rPr>
        <w:t>投标人的投标文件中存在对招标文件的任何实质性要求和条件的负偏离，其投标将被视为投标无效。</w:t>
      </w:r>
    </w:p>
    <w:p w14:paraId="5F34A260">
      <w:pPr>
        <w:pStyle w:val="21"/>
        <w:spacing w:line="360" w:lineRule="exact"/>
        <w:ind w:firstLine="394" w:firstLineChars="196"/>
        <w:outlineLvl w:val="0"/>
        <w:rPr>
          <w:rFonts w:hAnsi="宋体"/>
          <w:b/>
        </w:rPr>
      </w:pPr>
      <w:r>
        <w:rPr>
          <w:rFonts w:hint="eastAsia" w:hAnsi="宋体"/>
          <w:b/>
        </w:rPr>
        <w:t>2.1 在报价评审时，如发现下列情形之一的，将被视为投标无效：</w:t>
      </w:r>
    </w:p>
    <w:p w14:paraId="4127EFDB">
      <w:pPr>
        <w:pStyle w:val="21"/>
        <w:spacing w:line="360" w:lineRule="exact"/>
        <w:ind w:firstLine="394" w:firstLineChars="196"/>
        <w:outlineLvl w:val="0"/>
        <w:rPr>
          <w:rFonts w:hAnsi="宋体"/>
          <w:b/>
        </w:rPr>
      </w:pPr>
      <w:r>
        <w:rPr>
          <w:rFonts w:hint="eastAsia" w:hAnsi="宋体"/>
          <w:b/>
        </w:rPr>
        <w:t>（1）投标文件未提供“投标人须知前附表”第</w:t>
      </w:r>
      <w:r>
        <w:rPr>
          <w:rFonts w:hAnsi="宋体"/>
          <w:b/>
        </w:rPr>
        <w:t>8</w:t>
      </w:r>
      <w:r>
        <w:rPr>
          <w:rFonts w:hint="eastAsia" w:hAnsi="宋体"/>
          <w:b/>
        </w:rPr>
        <w:t>条规定中“必须提供”的文件资料的;</w:t>
      </w:r>
    </w:p>
    <w:p w14:paraId="786E8BD9">
      <w:pPr>
        <w:pStyle w:val="21"/>
        <w:spacing w:line="360" w:lineRule="exact"/>
        <w:ind w:firstLine="394" w:firstLineChars="196"/>
        <w:outlineLvl w:val="0"/>
        <w:rPr>
          <w:rFonts w:hAnsi="宋体"/>
          <w:b/>
        </w:rPr>
      </w:pPr>
      <w:r>
        <w:rPr>
          <w:rFonts w:hint="eastAsia" w:hAnsi="宋体"/>
          <w:b/>
        </w:rPr>
        <w:t>（2）未采用人民币报价或者未按照招标文件标明的币种报价的；</w:t>
      </w:r>
    </w:p>
    <w:p w14:paraId="6E56F6D3">
      <w:pPr>
        <w:pStyle w:val="21"/>
        <w:spacing w:line="360" w:lineRule="exact"/>
        <w:ind w:firstLine="394" w:firstLineChars="196"/>
        <w:outlineLvl w:val="0"/>
        <w:rPr>
          <w:rFonts w:hAnsi="宋体"/>
          <w:b/>
        </w:rPr>
      </w:pPr>
      <w:r>
        <w:rPr>
          <w:rFonts w:hint="eastAsia" w:hAnsi="宋体"/>
          <w:b/>
        </w:rPr>
        <w:t>（3）报价超出招标文件规定最高限价，或者超出采购预算金额的；</w:t>
      </w:r>
    </w:p>
    <w:p w14:paraId="2C201D9C">
      <w:pPr>
        <w:pStyle w:val="21"/>
        <w:spacing w:line="360" w:lineRule="exact"/>
        <w:ind w:firstLine="394" w:firstLineChars="196"/>
        <w:outlineLvl w:val="0"/>
        <w:rPr>
          <w:rFonts w:hAnsi="宋体"/>
          <w:b/>
        </w:rPr>
      </w:pPr>
      <w:r>
        <w:rPr>
          <w:rFonts w:hint="eastAsia" w:hAnsi="宋体"/>
          <w:b/>
        </w:rPr>
        <w:t>（4）投标人未就所投分标进行报价或存在漏项报价；投标人未就所投分标的单项内容作唯一报</w:t>
      </w:r>
    </w:p>
    <w:p w14:paraId="4511A924">
      <w:pPr>
        <w:pStyle w:val="21"/>
        <w:spacing w:line="360" w:lineRule="exact"/>
        <w:ind w:firstLine="394" w:firstLineChars="196"/>
        <w:outlineLvl w:val="0"/>
        <w:rPr>
          <w:rFonts w:hAnsi="宋体"/>
          <w:b/>
        </w:rPr>
      </w:pPr>
      <w:r>
        <w:rPr>
          <w:rFonts w:hint="eastAsia" w:hAnsi="宋体"/>
          <w:b/>
        </w:rPr>
        <w:t>价；投标人未就所投分标的全部内容作唯一总价报价；存在有选择、有条件报价的（招标文件允许有备选方案或其他约定的除外）；</w:t>
      </w:r>
    </w:p>
    <w:p w14:paraId="0EC2B763">
      <w:pPr>
        <w:pStyle w:val="21"/>
        <w:spacing w:line="360" w:lineRule="exact"/>
        <w:ind w:firstLine="394" w:firstLineChars="196"/>
        <w:outlineLvl w:val="0"/>
        <w:rPr>
          <w:rFonts w:hAnsi="宋体"/>
          <w:b/>
        </w:rPr>
      </w:pPr>
      <w:r>
        <w:rPr>
          <w:rFonts w:hint="eastAsia" w:hAnsi="宋体"/>
          <w:b/>
        </w:rPr>
        <w:t>（5）修正后的报价，投标人不确认的；</w:t>
      </w:r>
    </w:p>
    <w:p w14:paraId="48227DEA">
      <w:pPr>
        <w:pStyle w:val="21"/>
        <w:spacing w:line="360" w:lineRule="exact"/>
        <w:ind w:firstLine="394" w:firstLineChars="196"/>
        <w:outlineLvl w:val="0"/>
        <w:rPr>
          <w:rFonts w:hAnsi="宋体"/>
          <w:b/>
        </w:rPr>
      </w:pPr>
      <w:r>
        <w:rPr>
          <w:rFonts w:hint="eastAsia" w:hAnsi="宋体"/>
          <w:b/>
        </w:rPr>
        <w:t>2.2 在商务评审时，如发现下列情形之一的，将被视为投标无效：</w:t>
      </w:r>
    </w:p>
    <w:p w14:paraId="552D1484">
      <w:pPr>
        <w:pStyle w:val="21"/>
        <w:spacing w:line="360" w:lineRule="exact"/>
        <w:ind w:firstLine="394" w:firstLineChars="196"/>
        <w:outlineLvl w:val="0"/>
        <w:rPr>
          <w:rFonts w:hAnsi="宋体"/>
          <w:b/>
        </w:rPr>
      </w:pPr>
      <w:r>
        <w:rPr>
          <w:rFonts w:hint="eastAsia" w:hAnsi="宋体"/>
          <w:b/>
        </w:rPr>
        <w:t>（1）投标文件未按招标文件要求签署、盖章的；</w:t>
      </w:r>
    </w:p>
    <w:p w14:paraId="41D0651B">
      <w:pPr>
        <w:pStyle w:val="21"/>
        <w:spacing w:line="360" w:lineRule="exact"/>
        <w:ind w:firstLine="394" w:firstLineChars="196"/>
        <w:outlineLvl w:val="0"/>
        <w:rPr>
          <w:rFonts w:hAnsi="宋体"/>
          <w:b/>
        </w:rPr>
      </w:pPr>
      <w:r>
        <w:rPr>
          <w:rFonts w:hint="eastAsia" w:hAnsi="宋体"/>
          <w:b/>
        </w:rPr>
        <w:t>（2）委托代理人未能出具有效身份证明或出具的身份证明与授权委托书中的信息不符的；</w:t>
      </w:r>
    </w:p>
    <w:p w14:paraId="4723E0FD">
      <w:pPr>
        <w:pStyle w:val="21"/>
        <w:spacing w:line="360" w:lineRule="exact"/>
        <w:ind w:firstLine="394" w:firstLineChars="196"/>
        <w:outlineLvl w:val="0"/>
        <w:rPr>
          <w:rFonts w:hAnsi="宋体"/>
          <w:b/>
        </w:rPr>
      </w:pPr>
      <w:r>
        <w:rPr>
          <w:rFonts w:hint="eastAsia" w:hAnsi="宋体"/>
          <w:b/>
        </w:rPr>
        <w:t>（3）为无效投标保证金的或未按照招标文件的规定提交投标保证金的；</w:t>
      </w:r>
    </w:p>
    <w:p w14:paraId="3BC1524A">
      <w:pPr>
        <w:pStyle w:val="21"/>
        <w:spacing w:line="360" w:lineRule="exact"/>
        <w:ind w:firstLine="394" w:firstLineChars="196"/>
        <w:outlineLvl w:val="0"/>
        <w:rPr>
          <w:rFonts w:hAnsi="宋体"/>
          <w:b/>
        </w:rPr>
      </w:pPr>
      <w:r>
        <w:rPr>
          <w:rFonts w:hint="eastAsia" w:hAnsi="宋体"/>
          <w:b/>
        </w:rPr>
        <w:t xml:space="preserve">（4）投标文件未提供“投标人须知前附表”第 </w:t>
      </w:r>
      <w:r>
        <w:rPr>
          <w:rFonts w:hAnsi="宋体"/>
          <w:b/>
        </w:rPr>
        <w:t>8</w:t>
      </w:r>
      <w:r>
        <w:rPr>
          <w:rFonts w:hint="eastAsia" w:hAnsi="宋体"/>
          <w:b/>
        </w:rPr>
        <w:t xml:space="preserve"> 条规定中“必须提供”或者“委托时必须提供”的文件资料的;</w:t>
      </w:r>
    </w:p>
    <w:p w14:paraId="0ADF9833">
      <w:pPr>
        <w:pStyle w:val="21"/>
        <w:spacing w:line="360" w:lineRule="exact"/>
        <w:ind w:firstLine="394" w:firstLineChars="196"/>
        <w:outlineLvl w:val="0"/>
        <w:rPr>
          <w:rFonts w:hAnsi="宋体"/>
          <w:b/>
        </w:rPr>
      </w:pPr>
      <w:r>
        <w:rPr>
          <w:rFonts w:hint="eastAsia" w:hAnsi="宋体"/>
          <w:b/>
        </w:rPr>
        <w:t>（5）投标有效期、项目完成时间（交货时间、服务完成时间或服务期等）、质保期、售后服务等招标文件中标“▲”的商务条款发生负偏离的；</w:t>
      </w:r>
    </w:p>
    <w:p w14:paraId="606CD7EC">
      <w:pPr>
        <w:pStyle w:val="21"/>
        <w:spacing w:line="360" w:lineRule="exact"/>
        <w:ind w:firstLine="394" w:firstLineChars="196"/>
        <w:outlineLvl w:val="0"/>
        <w:rPr>
          <w:rFonts w:hAnsi="宋体"/>
          <w:b/>
        </w:rPr>
      </w:pPr>
      <w:r>
        <w:rPr>
          <w:rFonts w:hint="eastAsia" w:hAnsi="宋体"/>
          <w:b/>
        </w:rPr>
        <w:t>（6）商务评审允许负偏离的项目数超过“投标人须知前附表”规定项数的（如有）。</w:t>
      </w:r>
    </w:p>
    <w:p w14:paraId="0645070E">
      <w:pPr>
        <w:pStyle w:val="21"/>
        <w:spacing w:line="360" w:lineRule="exact"/>
        <w:ind w:firstLine="394" w:firstLineChars="196"/>
        <w:outlineLvl w:val="0"/>
        <w:rPr>
          <w:rFonts w:hAnsi="宋体"/>
          <w:b/>
        </w:rPr>
      </w:pPr>
      <w:r>
        <w:rPr>
          <w:rFonts w:hint="eastAsia" w:hAnsi="宋体"/>
          <w:b/>
        </w:rPr>
        <w:t>（7）投标文件的实质性内容未使用中文表述、使用计量单位不符合招标文件要求的；</w:t>
      </w:r>
    </w:p>
    <w:p w14:paraId="538C38DA">
      <w:pPr>
        <w:pStyle w:val="21"/>
        <w:spacing w:line="360" w:lineRule="exact"/>
        <w:ind w:firstLine="394" w:firstLineChars="196"/>
        <w:outlineLvl w:val="0"/>
        <w:rPr>
          <w:rFonts w:hAnsi="宋体"/>
          <w:b/>
        </w:rPr>
      </w:pPr>
      <w:r>
        <w:rPr>
          <w:rFonts w:hint="eastAsia" w:hAnsi="宋体"/>
          <w:b/>
        </w:rPr>
        <w:t>（8）投标文件中的文件资料因填写不齐全或者内容虚假或者出现其他情形而导致被评标委员会认定无效的；</w:t>
      </w:r>
    </w:p>
    <w:p w14:paraId="42EB9E9A">
      <w:pPr>
        <w:pStyle w:val="21"/>
        <w:spacing w:line="360" w:lineRule="exact"/>
        <w:ind w:firstLine="394" w:firstLineChars="196"/>
        <w:outlineLvl w:val="0"/>
        <w:rPr>
          <w:rFonts w:hAnsi="宋体"/>
          <w:b/>
        </w:rPr>
      </w:pPr>
      <w:r>
        <w:rPr>
          <w:rFonts w:hint="eastAsia" w:hAnsi="宋体"/>
          <w:b/>
        </w:rPr>
        <w:t>（9）投标文件含有招标人不能接受的附加条件的；</w:t>
      </w:r>
    </w:p>
    <w:p w14:paraId="63F1075B">
      <w:pPr>
        <w:pStyle w:val="21"/>
        <w:spacing w:line="360" w:lineRule="exact"/>
        <w:ind w:firstLine="394" w:firstLineChars="196"/>
        <w:outlineLvl w:val="0"/>
        <w:rPr>
          <w:rFonts w:hAnsi="宋体"/>
          <w:b/>
        </w:rPr>
      </w:pPr>
      <w:r>
        <w:rPr>
          <w:rFonts w:hint="eastAsia" w:hAnsi="宋体"/>
          <w:b/>
        </w:rPr>
        <w:t>（10）未响应招标文件实质性要求的；</w:t>
      </w:r>
    </w:p>
    <w:p w14:paraId="36A9F4D0">
      <w:pPr>
        <w:pStyle w:val="21"/>
        <w:spacing w:line="360" w:lineRule="exact"/>
        <w:ind w:firstLine="394" w:firstLineChars="196"/>
        <w:outlineLvl w:val="0"/>
        <w:rPr>
          <w:rFonts w:hAnsi="宋体"/>
          <w:b/>
        </w:rPr>
      </w:pPr>
      <w:r>
        <w:rPr>
          <w:rFonts w:hint="eastAsia" w:hAnsi="宋体"/>
          <w:b/>
        </w:rPr>
        <w:t>（1</w:t>
      </w:r>
      <w:r>
        <w:rPr>
          <w:rFonts w:hint="eastAsia" w:hAnsi="宋体"/>
          <w:b/>
          <w:lang w:val="en-US"/>
        </w:rPr>
        <w:t>1</w:t>
      </w:r>
      <w:r>
        <w:rPr>
          <w:rFonts w:hint="eastAsia" w:hAnsi="宋体"/>
          <w:b/>
        </w:rPr>
        <w:t>）法律、法规和招标文件规定的其他无效情形。</w:t>
      </w:r>
    </w:p>
    <w:p w14:paraId="24EA2A9B">
      <w:pPr>
        <w:pStyle w:val="21"/>
        <w:spacing w:line="360" w:lineRule="exact"/>
        <w:ind w:firstLine="394" w:firstLineChars="196"/>
        <w:outlineLvl w:val="0"/>
        <w:rPr>
          <w:rFonts w:hAnsi="宋体"/>
          <w:b/>
        </w:rPr>
      </w:pPr>
      <w:r>
        <w:rPr>
          <w:rFonts w:hint="eastAsia" w:hAnsi="宋体"/>
          <w:b/>
        </w:rPr>
        <w:t>2.3 在技术评审时，如发现下列情形之一的，将被视为投标无效：</w:t>
      </w:r>
    </w:p>
    <w:p w14:paraId="0E4AA1E6">
      <w:pPr>
        <w:pStyle w:val="21"/>
        <w:spacing w:line="360" w:lineRule="exact"/>
        <w:ind w:firstLine="394" w:firstLineChars="196"/>
        <w:outlineLvl w:val="0"/>
        <w:rPr>
          <w:rFonts w:hAnsi="宋体"/>
          <w:b/>
        </w:rPr>
      </w:pPr>
      <w:r>
        <w:rPr>
          <w:rFonts w:hint="eastAsia" w:hAnsi="宋体"/>
          <w:b/>
        </w:rPr>
        <w:t>（1）明显不满足招标文件要求的技术规格、安全、质量标准，或者与招标文件中标“▲”的技术指标、主要功能发生负偏离的；</w:t>
      </w:r>
    </w:p>
    <w:p w14:paraId="08D0B9F3">
      <w:pPr>
        <w:pStyle w:val="21"/>
        <w:spacing w:line="360" w:lineRule="exact"/>
        <w:ind w:firstLine="394" w:firstLineChars="196"/>
        <w:outlineLvl w:val="0"/>
        <w:rPr>
          <w:rFonts w:hAnsi="宋体"/>
          <w:b/>
        </w:rPr>
      </w:pPr>
      <w:r>
        <w:rPr>
          <w:rFonts w:hint="eastAsia" w:hAnsi="宋体"/>
          <w:b/>
        </w:rPr>
        <w:t>（2）技术评审允许负偏离的项目数超过“投标人须知前附表”规定项数的；</w:t>
      </w:r>
    </w:p>
    <w:p w14:paraId="60CD8CBA">
      <w:pPr>
        <w:pStyle w:val="21"/>
        <w:spacing w:line="360" w:lineRule="exact"/>
        <w:ind w:firstLine="394" w:firstLineChars="196"/>
        <w:outlineLvl w:val="0"/>
        <w:rPr>
          <w:rFonts w:hAnsi="宋体"/>
          <w:b/>
        </w:rPr>
      </w:pPr>
      <w:r>
        <w:rPr>
          <w:rFonts w:hint="eastAsia" w:hAnsi="宋体"/>
          <w:b/>
        </w:rPr>
        <w:t xml:space="preserve">（3）投标文件未提供“投标人须知前附表”第 </w:t>
      </w:r>
      <w:r>
        <w:rPr>
          <w:rFonts w:hAnsi="宋体"/>
          <w:b/>
        </w:rPr>
        <w:t>8</w:t>
      </w:r>
      <w:r>
        <w:rPr>
          <w:rFonts w:hint="eastAsia" w:hAnsi="宋体"/>
          <w:b/>
        </w:rPr>
        <w:t>条规定中“必须提供”的文件资料的;</w:t>
      </w:r>
    </w:p>
    <w:p w14:paraId="304E2E32">
      <w:pPr>
        <w:pStyle w:val="21"/>
        <w:spacing w:line="360" w:lineRule="exact"/>
        <w:ind w:firstLine="394" w:firstLineChars="196"/>
        <w:outlineLvl w:val="0"/>
        <w:rPr>
          <w:rFonts w:hAnsi="宋体"/>
          <w:b/>
        </w:rPr>
      </w:pPr>
      <w:r>
        <w:rPr>
          <w:rFonts w:hint="eastAsia" w:hAnsi="宋体"/>
          <w:b/>
        </w:rPr>
        <w:t>（4）虚假投标，或者出现其他情形而导致被评标委员会认定无效的；</w:t>
      </w:r>
    </w:p>
    <w:p w14:paraId="148BBFC1">
      <w:pPr>
        <w:pStyle w:val="21"/>
        <w:spacing w:line="360" w:lineRule="exact"/>
        <w:ind w:firstLine="394" w:firstLineChars="196"/>
        <w:outlineLvl w:val="0"/>
        <w:rPr>
          <w:rFonts w:hAnsi="宋体"/>
          <w:b/>
        </w:rPr>
      </w:pPr>
      <w:r>
        <w:rPr>
          <w:rFonts w:hint="eastAsia" w:hAnsi="宋体"/>
          <w:b/>
        </w:rPr>
        <w:t>（5）投标技术方案不明确，招标文件未允许但存在一个或一个以上备选（替代）投标方案的。</w:t>
      </w:r>
    </w:p>
    <w:p w14:paraId="199DD082">
      <w:pPr>
        <w:pStyle w:val="21"/>
        <w:spacing w:line="360" w:lineRule="exact"/>
        <w:ind w:firstLine="392" w:firstLineChars="196"/>
        <w:outlineLvl w:val="0"/>
        <w:rPr>
          <w:rFonts w:hAnsi="宋体"/>
          <w:bCs/>
        </w:rPr>
      </w:pPr>
      <w:r>
        <w:rPr>
          <w:rFonts w:hint="eastAsia" w:hAnsi="宋体"/>
          <w:bCs/>
        </w:rPr>
        <w:t>3 澄清补正</w:t>
      </w:r>
    </w:p>
    <w:p w14:paraId="43AF7710">
      <w:pPr>
        <w:pStyle w:val="21"/>
        <w:spacing w:line="360" w:lineRule="exact"/>
        <w:ind w:firstLine="392" w:firstLineChars="196"/>
        <w:outlineLvl w:val="0"/>
        <w:rPr>
          <w:rFonts w:hAnsi="宋体"/>
          <w:bCs/>
        </w:rPr>
      </w:pPr>
      <w:r>
        <w:rPr>
          <w:rFonts w:hint="eastAsia" w:hAnsi="宋体"/>
          <w:bCs/>
        </w:rPr>
        <w:t>对投标文件中含义不明确、同类问题表述不一致或者有明显文字和计算错误的内容，评标委员会应当以书面形式要求投标人在规定时间内作出必要的澄清、说明或者纠正。投标人的澄清、说明或者补正应当采用书面形式，并加盖公章，或者由法定代表人（经营者或自然人）或其授权的代表签字。投标人的澄清、说明或者补正不得超出投标文件的范围或者改变投标文件的实质性内容。</w:t>
      </w:r>
    </w:p>
    <w:p w14:paraId="379B8D43">
      <w:pPr>
        <w:pStyle w:val="21"/>
        <w:spacing w:line="360" w:lineRule="exact"/>
        <w:ind w:firstLine="392" w:firstLineChars="196"/>
        <w:outlineLvl w:val="0"/>
        <w:rPr>
          <w:rFonts w:hAnsi="宋体"/>
          <w:bCs/>
        </w:rPr>
      </w:pPr>
      <w:r>
        <w:rPr>
          <w:rFonts w:hint="eastAsia" w:hAnsi="宋体"/>
          <w:bCs/>
        </w:rPr>
        <w:t>4 比较与评价</w:t>
      </w:r>
    </w:p>
    <w:p w14:paraId="452206C6">
      <w:pPr>
        <w:pStyle w:val="21"/>
        <w:spacing w:line="360" w:lineRule="exact"/>
        <w:ind w:firstLine="392" w:firstLineChars="196"/>
        <w:outlineLvl w:val="0"/>
        <w:rPr>
          <w:rFonts w:hAnsi="宋体"/>
          <w:bCs/>
        </w:rPr>
      </w:pPr>
      <w:r>
        <w:rPr>
          <w:rFonts w:hint="eastAsia" w:hAnsi="宋体"/>
          <w:bCs/>
        </w:rPr>
        <w:t>（1）评标委员会按照招标文件中规定的评标方法和评标标准，对符合性审查合格的投标文件进行商务和技术评估，综合比较与评价。</w:t>
      </w:r>
    </w:p>
    <w:p w14:paraId="116A261E">
      <w:pPr>
        <w:pStyle w:val="21"/>
        <w:spacing w:line="360" w:lineRule="exact"/>
        <w:ind w:firstLine="392" w:firstLineChars="196"/>
        <w:outlineLvl w:val="0"/>
        <w:rPr>
          <w:rFonts w:hAnsi="宋体"/>
          <w:bCs/>
        </w:rPr>
      </w:pPr>
      <w:r>
        <w:rPr>
          <w:rFonts w:hint="eastAsia" w:hAnsi="宋体"/>
          <w:bCs/>
        </w:rPr>
        <w:t>（2）评标委员会应当独立对每个投标人的投标文件进行评价，并汇总每个投标人的得分。</w:t>
      </w:r>
    </w:p>
    <w:p w14:paraId="63DDD188">
      <w:pPr>
        <w:pStyle w:val="21"/>
        <w:spacing w:line="360" w:lineRule="exact"/>
        <w:ind w:firstLine="392" w:firstLineChars="196"/>
        <w:outlineLvl w:val="0"/>
        <w:rPr>
          <w:rFonts w:hAnsi="宋体"/>
          <w:bCs/>
        </w:rPr>
      </w:pPr>
      <w:r>
        <w:rPr>
          <w:rFonts w:hint="eastAsia" w:hAnsi="宋体"/>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8E9D8C5">
      <w:pPr>
        <w:pStyle w:val="21"/>
        <w:spacing w:line="360" w:lineRule="exact"/>
        <w:ind w:firstLine="392" w:firstLineChars="196"/>
        <w:outlineLvl w:val="0"/>
        <w:rPr>
          <w:rFonts w:hAnsi="宋体"/>
          <w:bCs/>
        </w:rPr>
      </w:pPr>
      <w:r>
        <w:rPr>
          <w:rFonts w:hint="eastAsia" w:hAnsi="宋体"/>
          <w:bCs/>
        </w:rPr>
        <w:t>（3）评标委员会按照招标文件中规定的评标方法和标准计算各投标人的报价得分。在计算过程中，不得去掉最高报价或最低报价。</w:t>
      </w:r>
    </w:p>
    <w:p w14:paraId="109BBC93">
      <w:pPr>
        <w:pStyle w:val="21"/>
        <w:spacing w:line="360" w:lineRule="exact"/>
        <w:ind w:firstLine="392" w:firstLineChars="196"/>
        <w:outlineLvl w:val="0"/>
        <w:rPr>
          <w:rFonts w:hAnsi="宋体"/>
          <w:bCs/>
        </w:rPr>
      </w:pPr>
      <w:r>
        <w:rPr>
          <w:rFonts w:hint="eastAsia" w:hAnsi="宋体"/>
          <w:bCs/>
        </w:rPr>
        <w:t>（4）各投标人的得分为所有评委的有效评分的算术平均数。</w:t>
      </w:r>
    </w:p>
    <w:p w14:paraId="0835AAC3">
      <w:pPr>
        <w:pStyle w:val="21"/>
        <w:spacing w:line="360" w:lineRule="exact"/>
        <w:ind w:firstLine="392" w:firstLineChars="196"/>
        <w:outlineLvl w:val="0"/>
        <w:rPr>
          <w:rFonts w:hAnsi="宋体"/>
          <w:bCs/>
        </w:rPr>
      </w:pPr>
      <w:r>
        <w:rPr>
          <w:rFonts w:hint="eastAsia" w:hAnsi="宋体"/>
          <w:bCs/>
        </w:rPr>
        <w:t>（5）评标委员会按照招标文件中的规定推荐中标候选人。</w:t>
      </w:r>
    </w:p>
    <w:p w14:paraId="3AB705D5">
      <w:pPr>
        <w:pStyle w:val="21"/>
        <w:spacing w:line="360" w:lineRule="exact"/>
        <w:ind w:firstLine="392" w:firstLineChars="196"/>
        <w:outlineLvl w:val="0"/>
        <w:rPr>
          <w:rFonts w:hAnsi="宋体"/>
          <w:bCs/>
        </w:rPr>
      </w:pPr>
      <w:r>
        <w:rPr>
          <w:rFonts w:hint="eastAsia" w:hAnsi="宋体"/>
          <w:bCs/>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5614376A">
      <w:pPr>
        <w:pStyle w:val="21"/>
        <w:spacing w:line="360" w:lineRule="exact"/>
        <w:ind w:firstLine="392" w:firstLineChars="196"/>
        <w:outlineLvl w:val="0"/>
        <w:rPr>
          <w:rFonts w:hAnsi="宋体"/>
          <w:bCs/>
        </w:rPr>
      </w:pPr>
      <w:r>
        <w:rPr>
          <w:rFonts w:hint="eastAsia" w:hAnsi="宋体"/>
          <w:bCs/>
        </w:rPr>
        <w:t>5 投标文件修正</w:t>
      </w:r>
    </w:p>
    <w:p w14:paraId="20815DA2">
      <w:pPr>
        <w:pStyle w:val="21"/>
        <w:spacing w:line="360" w:lineRule="exact"/>
        <w:ind w:firstLine="392" w:firstLineChars="196"/>
        <w:outlineLvl w:val="0"/>
        <w:rPr>
          <w:rFonts w:hAnsi="宋体"/>
          <w:bCs/>
        </w:rPr>
      </w:pPr>
      <w:r>
        <w:rPr>
          <w:rFonts w:hint="eastAsia" w:hAnsi="宋体"/>
          <w:bCs/>
        </w:rPr>
        <w:t>5.1 投标文件报价出现前后不一致的，按照下列规定修正：</w:t>
      </w:r>
    </w:p>
    <w:p w14:paraId="275F6982">
      <w:pPr>
        <w:pStyle w:val="21"/>
        <w:spacing w:line="360" w:lineRule="exact"/>
        <w:ind w:firstLine="392" w:firstLineChars="196"/>
        <w:outlineLvl w:val="0"/>
        <w:rPr>
          <w:rFonts w:hAnsi="宋体"/>
          <w:bCs/>
        </w:rPr>
      </w:pPr>
      <w:r>
        <w:rPr>
          <w:rFonts w:hint="eastAsia" w:hAnsi="宋体"/>
          <w:bCs/>
        </w:rPr>
        <w:t>（1）投标文件中开标一览表（报价表）内容与投标文件中相应内容不一致的，以开标一览表（报</w:t>
      </w:r>
    </w:p>
    <w:p w14:paraId="2BF11E8F">
      <w:pPr>
        <w:pStyle w:val="21"/>
        <w:spacing w:line="360" w:lineRule="exact"/>
        <w:outlineLvl w:val="0"/>
        <w:rPr>
          <w:rFonts w:hAnsi="宋体"/>
          <w:bCs/>
        </w:rPr>
      </w:pPr>
      <w:r>
        <w:rPr>
          <w:rFonts w:hint="eastAsia" w:hAnsi="宋体"/>
          <w:bCs/>
        </w:rPr>
        <w:t>价表）为准；</w:t>
      </w:r>
    </w:p>
    <w:p w14:paraId="5795EE26">
      <w:pPr>
        <w:pStyle w:val="21"/>
        <w:spacing w:line="360" w:lineRule="exact"/>
        <w:ind w:firstLine="392" w:firstLineChars="196"/>
        <w:outlineLvl w:val="0"/>
        <w:rPr>
          <w:rFonts w:hAnsi="宋体"/>
          <w:bCs/>
        </w:rPr>
      </w:pPr>
      <w:r>
        <w:rPr>
          <w:rFonts w:hint="eastAsia" w:hAnsi="宋体"/>
          <w:bCs/>
        </w:rPr>
        <w:t>（2）大写金额和小写金额不一致的，以大写金额为准；</w:t>
      </w:r>
    </w:p>
    <w:p w14:paraId="14BCBD18">
      <w:pPr>
        <w:pStyle w:val="21"/>
        <w:spacing w:line="360" w:lineRule="exact"/>
        <w:ind w:firstLine="392" w:firstLineChars="196"/>
        <w:outlineLvl w:val="0"/>
        <w:rPr>
          <w:rFonts w:hAnsi="宋体"/>
          <w:bCs/>
        </w:rPr>
      </w:pPr>
      <w:r>
        <w:rPr>
          <w:rFonts w:hint="eastAsia" w:hAnsi="宋体"/>
          <w:bCs/>
        </w:rPr>
        <w:t>（3）单价金额小数点或者百分比有明显错位的，以开标一览表的总价为准，并修改单价；</w:t>
      </w:r>
    </w:p>
    <w:p w14:paraId="5F67E34D">
      <w:pPr>
        <w:pStyle w:val="21"/>
        <w:spacing w:line="360" w:lineRule="exact"/>
        <w:ind w:firstLine="392" w:firstLineChars="196"/>
        <w:outlineLvl w:val="0"/>
        <w:rPr>
          <w:rFonts w:hAnsi="宋体"/>
          <w:bCs/>
        </w:rPr>
      </w:pPr>
      <w:r>
        <w:rPr>
          <w:rFonts w:hint="eastAsia" w:hAnsi="宋体"/>
          <w:bCs/>
        </w:rPr>
        <w:t>（4）总价金额与按单价汇总金额不一致的，以单价金额计算结果为准。</w:t>
      </w:r>
    </w:p>
    <w:p w14:paraId="4AA87C1C">
      <w:pPr>
        <w:pStyle w:val="21"/>
        <w:spacing w:line="360" w:lineRule="exact"/>
        <w:ind w:firstLine="392" w:firstLineChars="196"/>
        <w:outlineLvl w:val="0"/>
        <w:rPr>
          <w:rFonts w:hAnsi="宋体"/>
          <w:bCs/>
        </w:rPr>
      </w:pPr>
      <w:r>
        <w:rPr>
          <w:rFonts w:hint="eastAsia" w:hAnsi="宋体"/>
          <w:bCs/>
        </w:rPr>
        <w:t>同时出现两种以上不一致的，按照以上（1）-（4）规定的顺序修正。修正后的报价经投标人确认后产生约束力，投标人不确认的，其投标无效。</w:t>
      </w:r>
    </w:p>
    <w:p w14:paraId="1AA5FD18">
      <w:pPr>
        <w:pStyle w:val="21"/>
        <w:spacing w:line="360" w:lineRule="exact"/>
        <w:ind w:firstLine="392" w:firstLineChars="196"/>
        <w:outlineLvl w:val="0"/>
        <w:rPr>
          <w:rFonts w:hAnsi="宋体"/>
          <w:bCs/>
        </w:rPr>
      </w:pPr>
      <w:r>
        <w:rPr>
          <w:rFonts w:hint="eastAsia" w:hAnsi="宋体"/>
          <w:bCs/>
        </w:rPr>
        <w:t>5.2 经投标人确认修正后的报价若超过采购预算金额，投标人的投标文件作无效投标处理。</w:t>
      </w:r>
    </w:p>
    <w:p w14:paraId="52D15030">
      <w:pPr>
        <w:pStyle w:val="21"/>
        <w:spacing w:line="360" w:lineRule="exact"/>
        <w:ind w:firstLine="392" w:firstLineChars="196"/>
        <w:outlineLvl w:val="0"/>
        <w:rPr>
          <w:rFonts w:hAnsi="宋体"/>
          <w:bCs/>
        </w:rPr>
      </w:pPr>
      <w:r>
        <w:rPr>
          <w:rFonts w:hint="eastAsia" w:hAnsi="宋体"/>
          <w:bCs/>
        </w:rPr>
        <w:t>5.3 经投标人确认修正后的报价作为签订合同的一个依据，并以此报价计算价格分。</w:t>
      </w:r>
    </w:p>
    <w:p w14:paraId="04157A9E">
      <w:pPr>
        <w:pStyle w:val="21"/>
        <w:spacing w:line="360" w:lineRule="exact"/>
        <w:ind w:firstLine="392" w:firstLineChars="196"/>
        <w:outlineLvl w:val="0"/>
        <w:rPr>
          <w:rFonts w:hAnsi="宋体"/>
          <w:bCs/>
        </w:rPr>
      </w:pPr>
      <w:r>
        <w:rPr>
          <w:rFonts w:hint="eastAsia" w:hAnsi="宋体"/>
          <w:bCs/>
        </w:rPr>
        <w:t>6.评标过程的监控</w:t>
      </w:r>
    </w:p>
    <w:p w14:paraId="69009401">
      <w:pPr>
        <w:pStyle w:val="21"/>
        <w:spacing w:line="360" w:lineRule="exact"/>
        <w:ind w:firstLine="394" w:firstLineChars="196"/>
        <w:outlineLvl w:val="0"/>
        <w:rPr>
          <w:rFonts w:hint="eastAsia" w:hAnsi="宋体"/>
          <w:b/>
        </w:rPr>
      </w:pPr>
      <w:r>
        <w:rPr>
          <w:rFonts w:hint="eastAsia" w:hAnsi="宋体"/>
          <w:b/>
        </w:rPr>
        <w:t>本项目评标过程实行全程录音、录像监控，投标人在评标过程中所进行的试图影响评标结果的不公正活动，可能导致其投标按无效处理。</w:t>
      </w:r>
    </w:p>
    <w:p w14:paraId="2C1D6038">
      <w:pPr>
        <w:pStyle w:val="21"/>
        <w:spacing w:line="360" w:lineRule="exact"/>
        <w:ind w:firstLine="394" w:firstLineChars="196"/>
        <w:outlineLvl w:val="0"/>
        <w:rPr>
          <w:rFonts w:hint="eastAsia" w:hAnsi="宋体"/>
          <w:b/>
          <w:lang w:val="en-US" w:eastAsia="zh-CN"/>
        </w:rPr>
      </w:pPr>
      <w:r>
        <w:rPr>
          <w:rFonts w:hint="eastAsia" w:hAnsi="宋体"/>
          <w:b/>
          <w:lang w:val="en-US" w:eastAsia="zh-CN"/>
        </w:rPr>
        <w:t>（四）政府采购评审中出现下列情形之一的，评审委员会应当启动异常低价投标（响应）审查程序：</w:t>
      </w:r>
    </w:p>
    <w:p w14:paraId="07EFEF3A">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1.投标（响应）报价低于全部通过符合性审查供应商投标（响应）报价平均值50%的，即投标（应）报价&lt;全部通过符合性审查供应商投标（响应）报价平均值×50%；</w:t>
      </w:r>
    </w:p>
    <w:p w14:paraId="01FEAEFB">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2.投标（响应）报价低于通过符合性审查的次低报价供应商投标（响应）报价50%的，即投标（响应）报价&lt;通过符合性审查的次低报价供应商投标（响应）报价×50%；</w:t>
      </w:r>
    </w:p>
    <w:p w14:paraId="4D2CDB6B">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3.投标（响应）报价低于采购项目最高限价45%的，即投标（响应）报价&lt;采购项目最高限价×45%；</w:t>
      </w:r>
    </w:p>
    <w:p w14:paraId="7F734545">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4.评审委员会基于专业判断，认为供应商报价过低，有可能影响产品质量或者不能诚信履约的其他情形。</w:t>
      </w:r>
    </w:p>
    <w:p w14:paraId="43BA7689">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采购人可以结合具体项目实际情况，提高上述第1项至第3项中启动异常低价投标（响应）审查的数值标准，但是最高不得超过65%。</w:t>
      </w:r>
    </w:p>
    <w:p w14:paraId="5D46051B">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相关法律法规对供应商报价有规定的，从其规定。</w:t>
      </w:r>
    </w:p>
    <w:p w14:paraId="48A136C7">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五）评审委员会启动异常低价投标（响应）审查后，属于前述第1项至第4项情形的，应当要求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6B263005">
      <w:pPr>
        <w:pStyle w:val="21"/>
        <w:spacing w:line="360" w:lineRule="exact"/>
        <w:ind w:firstLine="392" w:firstLineChars="196"/>
        <w:outlineLvl w:val="0"/>
        <w:rPr>
          <w:rFonts w:hint="default" w:ascii="宋体" w:hAnsi="宋体" w:eastAsia="宋体" w:cs="Times New Roman"/>
          <w:bCs/>
          <w:lang w:val="en-US" w:eastAsia="zh-CN"/>
        </w:rPr>
      </w:pPr>
      <w:r>
        <w:rPr>
          <w:rFonts w:hint="eastAsia" w:ascii="宋体" w:hAnsi="宋体" w:eastAsia="宋体" w:cs="Times New Roman"/>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1ECB79">
      <w:pPr>
        <w:pStyle w:val="21"/>
        <w:spacing w:line="360" w:lineRule="exact"/>
        <w:ind w:firstLine="394" w:firstLineChars="196"/>
        <w:outlineLvl w:val="0"/>
        <w:rPr>
          <w:rFonts w:hint="eastAsia" w:hAnsi="宋体"/>
          <w:b/>
          <w:lang w:eastAsia="zh-CN"/>
        </w:rPr>
      </w:pPr>
      <w:r>
        <w:rPr>
          <w:rFonts w:hint="eastAsia" w:hAnsi="宋体"/>
          <w:b/>
          <w:lang w:eastAsia="zh-CN"/>
        </w:rPr>
        <w:t>（</w:t>
      </w:r>
      <w:r>
        <w:rPr>
          <w:rFonts w:hint="eastAsia" w:hAnsi="宋体"/>
          <w:b/>
          <w:lang w:val="en-US" w:eastAsia="zh-CN"/>
        </w:rPr>
        <w:t>六</w:t>
      </w:r>
      <w:r>
        <w:rPr>
          <w:rFonts w:hint="eastAsia" w:hAnsi="宋体"/>
          <w:b/>
          <w:lang w:eastAsia="zh-CN"/>
        </w:rPr>
        <w:t>）对本国产品的支持政策</w:t>
      </w:r>
    </w:p>
    <w:p w14:paraId="5BA7CBAD">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政府采购活动中既有本国产品又有非本国产品参与竞争的，依法对本国产品给予价格评审优惠，对本国产品的报价给予20%的价格扣除，用扣除后的价格参与评审。</w:t>
      </w:r>
    </w:p>
    <w:p w14:paraId="30973D2E">
      <w:pPr>
        <w:pStyle w:val="21"/>
        <w:spacing w:line="360" w:lineRule="exact"/>
        <w:ind w:firstLine="392" w:firstLineChars="196"/>
        <w:outlineLvl w:val="0"/>
        <w:rPr>
          <w:rFonts w:hint="eastAsia" w:hAnsi="宋体"/>
          <w:b/>
        </w:rPr>
      </w:pPr>
      <w:r>
        <w:rPr>
          <w:rFonts w:hint="eastAsia" w:ascii="宋体" w:hAnsi="宋体" w:eastAsia="宋体" w:cs="Times New Roman"/>
          <w:bCs/>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70452DE5">
      <w:pPr>
        <w:pStyle w:val="21"/>
        <w:spacing w:line="360" w:lineRule="exact"/>
        <w:ind w:firstLine="394" w:firstLineChars="196"/>
        <w:outlineLvl w:val="0"/>
        <w:rPr>
          <w:rFonts w:hAnsi="宋体"/>
          <w:b/>
        </w:rPr>
      </w:pPr>
      <w:r>
        <w:rPr>
          <w:rFonts w:hint="eastAsia" w:hAnsi="宋体"/>
          <w:b/>
        </w:rPr>
        <w:t>二、评定方法</w:t>
      </w:r>
    </w:p>
    <w:p w14:paraId="68D15BFF">
      <w:pPr>
        <w:widowControl/>
        <w:spacing w:line="360" w:lineRule="exact"/>
        <w:ind w:firstLine="420" w:firstLineChars="200"/>
        <w:jc w:val="left"/>
        <w:outlineLvl w:val="0"/>
        <w:rPr>
          <w:rFonts w:ascii="宋体" w:hAnsi="宋体" w:cs="Courier New"/>
          <w:bCs/>
          <w:szCs w:val="21"/>
        </w:rPr>
      </w:pPr>
      <w:r>
        <w:rPr>
          <w:rFonts w:hint="eastAsia" w:ascii="宋体" w:hAnsi="宋体" w:cs="Courier New"/>
          <w:bCs/>
          <w:szCs w:val="21"/>
        </w:rPr>
        <w:t>（一）对进入详评的，采用百分制综合评分法。</w:t>
      </w:r>
    </w:p>
    <w:p w14:paraId="26403EA4">
      <w:pPr>
        <w:pStyle w:val="21"/>
        <w:spacing w:line="360" w:lineRule="exact"/>
        <w:ind w:firstLine="392" w:firstLineChars="196"/>
        <w:outlineLvl w:val="0"/>
        <w:rPr>
          <w:rFonts w:hAnsi="宋体"/>
          <w:bCs/>
        </w:rPr>
      </w:pPr>
      <w:r>
        <w:rPr>
          <w:rFonts w:hint="eastAsia" w:hAnsi="宋体"/>
          <w:bCs/>
        </w:rPr>
        <w:t>（二）计分办法（按四舍五入取至百分位）。</w:t>
      </w:r>
    </w:p>
    <w:p w14:paraId="7CFE54F8">
      <w:pPr>
        <w:pStyle w:val="148"/>
        <w:spacing w:line="360" w:lineRule="exact"/>
        <w:ind w:firstLine="420" w:firstLineChars="200"/>
        <w:rPr>
          <w:b/>
          <w:bCs/>
        </w:rPr>
      </w:pPr>
      <w:r>
        <w:rPr>
          <w:rFonts w:hint="eastAsia"/>
          <w:b/>
          <w:bCs/>
        </w:rPr>
        <w:t>1.价格分…………………………………………………………………………………………30分</w:t>
      </w:r>
    </w:p>
    <w:p w14:paraId="53949391">
      <w:pPr>
        <w:pStyle w:val="149"/>
        <w:adjustRightInd w:val="0"/>
        <w:snapToGrid w:val="0"/>
        <w:spacing w:line="36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符合《政府采购促进中小企业发展管理办法》（财库[2020]46号）规定条件且按该办法中规定的格式提供了《中小企业声明函》的小型和微型企业参与投标，对其最后报价给予10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14:paraId="35B1E258">
      <w:pPr>
        <w:pStyle w:val="149"/>
        <w:adjustRightInd w:val="0"/>
        <w:snapToGrid w:val="0"/>
        <w:spacing w:line="36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14:paraId="2B595936">
      <w:pPr>
        <w:pStyle w:val="149"/>
        <w:adjustRightInd w:val="0"/>
        <w:snapToGrid w:val="0"/>
        <w:spacing w:line="36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14:paraId="6690A216">
      <w:pPr>
        <w:pStyle w:val="149"/>
        <w:adjustRightInd w:val="0"/>
        <w:snapToGrid w:val="0"/>
        <w:spacing w:line="360" w:lineRule="exact"/>
        <w:ind w:firstLine="378" w:firstLineChars="180"/>
      </w:pPr>
      <w:r>
        <w:rPr>
          <w:rFonts w:hint="eastAsia"/>
        </w:rPr>
        <w:t>本项目为专门面向中小企业，故不享受价格扣除。</w:t>
      </w:r>
    </w:p>
    <w:p w14:paraId="7F5A6D59">
      <w:pPr>
        <w:pStyle w:val="149"/>
        <w:adjustRightInd w:val="0"/>
        <w:snapToGrid w:val="0"/>
        <w:spacing w:line="360" w:lineRule="exact"/>
        <w:ind w:firstLine="378" w:firstLineChars="180"/>
      </w:pPr>
      <w:r>
        <w:rPr>
          <w:rFonts w:hint="eastAsia"/>
        </w:rPr>
        <w:t>（2）以满足采购文件要求的最低评标价为30分。</w:t>
      </w:r>
    </w:p>
    <w:p w14:paraId="2A1EA1E6">
      <w:pPr>
        <w:pStyle w:val="149"/>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某投标人评标价（金额）×30分。</w:t>
      </w:r>
    </w:p>
    <w:p w14:paraId="507CBDF8">
      <w:pPr>
        <w:pStyle w:val="148"/>
        <w:spacing w:line="360" w:lineRule="exact"/>
        <w:ind w:firstLine="420" w:firstLineChars="200"/>
        <w:rPr>
          <w:rFonts w:hAnsi="宋体"/>
          <w:b/>
        </w:rPr>
      </w:pPr>
      <w:r>
        <w:rPr>
          <w:rFonts w:hint="eastAsia"/>
          <w:b/>
          <w:bCs/>
        </w:rPr>
        <w:t>2.技术分…………………………………………………………………………………………56分</w:t>
      </w:r>
    </w:p>
    <w:p w14:paraId="7406C970">
      <w:pPr>
        <w:pStyle w:val="149"/>
        <w:adjustRightInd w:val="0"/>
        <w:snapToGrid w:val="0"/>
        <w:spacing w:line="360" w:lineRule="exact"/>
        <w:ind w:firstLine="378" w:firstLineChars="180"/>
      </w:pPr>
      <w:r>
        <w:rPr>
          <w:rFonts w:hint="eastAsia"/>
        </w:rPr>
        <w:t>（1）一般技术参数要求响应得分（满分40分）</w:t>
      </w:r>
    </w:p>
    <w:p w14:paraId="5E1102EA">
      <w:pPr>
        <w:pStyle w:val="149"/>
        <w:adjustRightInd w:val="0"/>
        <w:snapToGrid w:val="0"/>
        <w:spacing w:line="360" w:lineRule="exact"/>
        <w:ind w:firstLine="378" w:firstLineChars="180"/>
        <w:rPr>
          <w:rFonts w:eastAsia="宋体"/>
        </w:rPr>
      </w:pPr>
      <w:r>
        <w:rPr>
          <w:rFonts w:hint="eastAsia" w:eastAsia="宋体"/>
        </w:rPr>
        <w:t>一般技术参数要求响应得分（共计36项），“仪器用途”“液相色谱部分”“质谱仪部分”“配套运行系统”“基本配置”等为技术参数要求的名称描述，不计入一般技术参数要求数量。</w:t>
      </w:r>
    </w:p>
    <w:p w14:paraId="341FDB58">
      <w:pPr>
        <w:pStyle w:val="149"/>
        <w:adjustRightInd w:val="0"/>
        <w:snapToGrid w:val="0"/>
        <w:spacing w:line="360" w:lineRule="exact"/>
        <w:ind w:firstLine="378" w:firstLineChars="180"/>
        <w:rPr>
          <w:rFonts w:eastAsia="宋体"/>
        </w:rPr>
      </w:pPr>
      <w:r>
        <w:rPr>
          <w:rFonts w:hint="eastAsia" w:eastAsia="宋体"/>
        </w:rPr>
        <w:t>一般技术参数满足</w:t>
      </w:r>
      <w:r>
        <w:rPr>
          <w:rFonts w:hint="eastAsia"/>
        </w:rPr>
        <w:t>采购需求</w:t>
      </w:r>
      <w:r>
        <w:rPr>
          <w:rFonts w:hint="eastAsia" w:eastAsia="宋体"/>
        </w:rPr>
        <w:t>的，每项</w:t>
      </w:r>
      <w:r>
        <w:rPr>
          <w:rFonts w:hint="eastAsia"/>
        </w:rPr>
        <w:t>得</w:t>
      </w:r>
      <w:r>
        <w:rPr>
          <w:rFonts w:hint="eastAsia" w:eastAsia="宋体"/>
        </w:rPr>
        <w:t>1.11分。</w:t>
      </w:r>
    </w:p>
    <w:p w14:paraId="0C5AC8C9">
      <w:pPr>
        <w:pStyle w:val="149"/>
        <w:adjustRightInd w:val="0"/>
        <w:snapToGrid w:val="0"/>
        <w:spacing w:line="360" w:lineRule="exact"/>
        <w:ind w:firstLine="378" w:firstLineChars="180"/>
      </w:pPr>
      <w:r>
        <w:rPr>
          <w:rFonts w:hint="eastAsia"/>
        </w:rPr>
        <w:t>注：一般技术参数要求是指技术参数要求中未标注“▲”、“★”的技术参数。</w:t>
      </w:r>
    </w:p>
    <w:p w14:paraId="33C79930">
      <w:pPr>
        <w:pStyle w:val="149"/>
        <w:adjustRightInd w:val="0"/>
        <w:snapToGrid w:val="0"/>
        <w:spacing w:line="360" w:lineRule="exact"/>
        <w:ind w:firstLine="378" w:firstLineChars="180"/>
      </w:pPr>
    </w:p>
    <w:p w14:paraId="2418D3BD">
      <w:pPr>
        <w:pStyle w:val="149"/>
        <w:adjustRightInd w:val="0"/>
        <w:snapToGrid w:val="0"/>
        <w:spacing w:line="360" w:lineRule="exact"/>
        <w:ind w:firstLine="378" w:firstLineChars="180"/>
      </w:pPr>
    </w:p>
    <w:p w14:paraId="503120A2">
      <w:pPr>
        <w:pStyle w:val="149"/>
        <w:adjustRightInd w:val="0"/>
        <w:snapToGrid w:val="0"/>
        <w:spacing w:line="360" w:lineRule="exact"/>
        <w:ind w:firstLine="378" w:firstLineChars="180"/>
      </w:pPr>
      <w:r>
        <w:rPr>
          <w:rFonts w:hint="eastAsia"/>
        </w:rPr>
        <w:t>（2）技术及项目实施方案分（满分9分）</w:t>
      </w:r>
    </w:p>
    <w:p w14:paraId="65F6CE11">
      <w:pPr>
        <w:pStyle w:val="149"/>
        <w:snapToGrid w:val="0"/>
        <w:spacing w:line="360" w:lineRule="exact"/>
        <w:ind w:firstLine="378" w:firstLineChars="180"/>
        <w:rPr>
          <w:rFonts w:eastAsia="宋体"/>
        </w:rPr>
      </w:pPr>
      <w:r>
        <w:rPr>
          <w:rFonts w:eastAsia="宋体"/>
        </w:rPr>
        <w:t>根据投标文件中投标人技术及项目实施方案内容独立评分。</w:t>
      </w:r>
    </w:p>
    <w:p w14:paraId="1B7F484D">
      <w:pPr>
        <w:pStyle w:val="149"/>
        <w:snapToGrid w:val="0"/>
        <w:spacing w:line="360" w:lineRule="exact"/>
        <w:ind w:firstLine="378" w:firstLineChars="180"/>
        <w:rPr>
          <w:rFonts w:eastAsia="宋体"/>
        </w:rPr>
      </w:pPr>
      <w:r>
        <w:rPr>
          <w:rFonts w:hint="eastAsia" w:eastAsia="宋体"/>
        </w:rPr>
        <w:t>一档（3分）：管理措施、具体实施流程、进度安排、质量保证措施等方案</w:t>
      </w:r>
      <w:r>
        <w:rPr>
          <w:rFonts w:eastAsia="宋体"/>
        </w:rPr>
        <w:t>内容齐全，符合基础条件</w:t>
      </w:r>
      <w:r>
        <w:rPr>
          <w:rFonts w:hint="eastAsia" w:eastAsia="宋体"/>
        </w:rPr>
        <w:t>的。</w:t>
      </w:r>
    </w:p>
    <w:p w14:paraId="354A4F8C">
      <w:pPr>
        <w:pStyle w:val="149"/>
        <w:snapToGrid w:val="0"/>
        <w:spacing w:line="360" w:lineRule="exact"/>
        <w:ind w:firstLine="378" w:firstLineChars="180"/>
        <w:rPr>
          <w:rFonts w:eastAsia="宋体"/>
        </w:rPr>
      </w:pPr>
      <w:r>
        <w:rPr>
          <w:rFonts w:hint="eastAsia" w:eastAsia="宋体"/>
        </w:rPr>
        <w:t>二档（6分）：管理措施、具体实施流程、进度安排、质量保证措施等方案内容齐全，</w:t>
      </w:r>
      <w:r>
        <w:rPr>
          <w:rFonts w:eastAsia="宋体"/>
        </w:rPr>
        <w:t>方案有可行性，</w:t>
      </w:r>
      <w:r>
        <w:rPr>
          <w:rFonts w:hint="eastAsia" w:eastAsia="宋体"/>
        </w:rPr>
        <w:t>无明显错误。</w:t>
      </w:r>
    </w:p>
    <w:p w14:paraId="737BA3B0">
      <w:pPr>
        <w:pStyle w:val="149"/>
        <w:snapToGrid w:val="0"/>
        <w:spacing w:line="360" w:lineRule="exact"/>
        <w:ind w:firstLine="378" w:firstLineChars="180"/>
        <w:rPr>
          <w:rFonts w:eastAsia="宋体"/>
        </w:rPr>
      </w:pPr>
      <w:r>
        <w:rPr>
          <w:rFonts w:hint="eastAsia" w:eastAsia="宋体"/>
        </w:rPr>
        <w:t>三档（9分）：管理措施、具体实施流程、进度安排、质量保证措施等方案内容齐全，方案有可行性</w:t>
      </w:r>
      <w:r>
        <w:rPr>
          <w:rFonts w:eastAsia="宋体"/>
        </w:rPr>
        <w:t>，</w:t>
      </w:r>
      <w:r>
        <w:rPr>
          <w:rFonts w:hint="eastAsia" w:eastAsia="宋体"/>
        </w:rPr>
        <w:t>无明显错误，有利于采购项目实施的内容或合理性建议的。</w:t>
      </w:r>
    </w:p>
    <w:p w14:paraId="486FDCC8">
      <w:pPr>
        <w:pStyle w:val="149"/>
        <w:adjustRightInd w:val="0"/>
        <w:snapToGrid w:val="0"/>
        <w:spacing w:line="360" w:lineRule="exact"/>
        <w:ind w:firstLine="379" w:firstLineChars="180"/>
        <w:rPr>
          <w:b/>
          <w:bCs/>
        </w:rPr>
      </w:pPr>
      <w:r>
        <w:rPr>
          <w:rFonts w:eastAsia="宋体" w:cs="Times New Roman"/>
          <w:b/>
          <w:bCs/>
        </w:rPr>
        <w:t>无技术及项目实施方案内容或不齐全的不得分。</w:t>
      </w:r>
    </w:p>
    <w:p w14:paraId="5F8B5AEA">
      <w:pPr>
        <w:pStyle w:val="149"/>
        <w:snapToGrid w:val="0"/>
        <w:spacing w:line="360" w:lineRule="exact"/>
        <w:ind w:firstLine="378" w:firstLineChars="180"/>
      </w:pPr>
      <w:r>
        <w:rPr>
          <w:rFonts w:hint="eastAsia"/>
        </w:rPr>
        <w:t>（3）技术人员分（满分4分）</w:t>
      </w:r>
    </w:p>
    <w:p w14:paraId="0C79A7EF">
      <w:pPr>
        <w:pStyle w:val="149"/>
        <w:snapToGrid w:val="0"/>
        <w:spacing w:line="360" w:lineRule="exact"/>
        <w:ind w:firstLine="378" w:firstLineChars="180"/>
        <w:rPr>
          <w:rFonts w:eastAsia="宋体" w:cs="Times New Roman"/>
        </w:rPr>
      </w:pPr>
      <w:r>
        <w:rPr>
          <w:rFonts w:hint="eastAsia" w:eastAsia="宋体" w:cs="Times New Roman"/>
        </w:rPr>
        <w:t xml:space="preserve">根据投标文件中投标人技术人员方案内容独立评分。   </w:t>
      </w:r>
    </w:p>
    <w:p w14:paraId="6EB18C2B">
      <w:pPr>
        <w:pStyle w:val="149"/>
        <w:snapToGrid w:val="0"/>
        <w:spacing w:line="360" w:lineRule="exact"/>
        <w:ind w:firstLine="378" w:firstLineChars="180"/>
        <w:rPr>
          <w:rFonts w:eastAsia="宋体" w:cs="Times New Roman"/>
        </w:rPr>
      </w:pPr>
      <w:r>
        <w:rPr>
          <w:rFonts w:hint="eastAsia" w:eastAsia="宋体" w:cs="Times New Roman"/>
        </w:rPr>
        <w:t xml:space="preserve">一档（1分）：技术人员投入计划，技术人员在安装调试过程提供技术支持和协助计划，拟派技术人员的经验介绍等方案内容齐全，符合基础条件的。 </w:t>
      </w:r>
    </w:p>
    <w:p w14:paraId="004D3572">
      <w:pPr>
        <w:pStyle w:val="149"/>
        <w:snapToGrid w:val="0"/>
        <w:spacing w:line="360" w:lineRule="exact"/>
        <w:ind w:firstLine="378" w:firstLineChars="180"/>
        <w:rPr>
          <w:rFonts w:eastAsia="宋体" w:cs="Times New Roman"/>
        </w:rPr>
      </w:pPr>
      <w:r>
        <w:rPr>
          <w:rFonts w:hint="eastAsia" w:eastAsia="宋体" w:cs="Times New Roman"/>
        </w:rPr>
        <w:t>二档（2分）：技术人员投入计划，有技术人员在安装调试过程提供技术支持和协助计划，拟派技术人员的经验介绍等方案内容齐全，有可行性，</w:t>
      </w:r>
      <w:r>
        <w:rPr>
          <w:rFonts w:hint="eastAsia" w:eastAsia="宋体"/>
        </w:rPr>
        <w:t>无明显错误的</w:t>
      </w:r>
      <w:r>
        <w:rPr>
          <w:rFonts w:hint="eastAsia" w:eastAsia="宋体" w:cs="Times New Roman"/>
        </w:rPr>
        <w:t xml:space="preserve">。 </w:t>
      </w:r>
    </w:p>
    <w:p w14:paraId="2A3E24C1">
      <w:pPr>
        <w:pStyle w:val="149"/>
        <w:snapToGrid w:val="0"/>
        <w:spacing w:line="360" w:lineRule="exact"/>
        <w:ind w:firstLine="378" w:firstLineChars="180"/>
        <w:rPr>
          <w:rFonts w:eastAsia="宋体" w:cs="Times New Roman"/>
        </w:rPr>
      </w:pPr>
      <w:r>
        <w:rPr>
          <w:rFonts w:hint="eastAsia" w:eastAsia="宋体" w:cs="Times New Roman"/>
        </w:rPr>
        <w:t>三档（4分）：技术人员投入计划，有技术人员在安装调试过程提供技术支持和协助计划，拟派技术人员的经验介绍等方案内容齐全，方案有具体措施，有可行性</w:t>
      </w:r>
      <w:r>
        <w:rPr>
          <w:rFonts w:hint="eastAsia" w:eastAsia="宋体"/>
        </w:rPr>
        <w:t>，无明显错误，有利于采购项目实施的内容或合理性建议的</w:t>
      </w:r>
      <w:r>
        <w:rPr>
          <w:rFonts w:hint="eastAsia" w:eastAsia="宋体" w:cs="Times New Roman"/>
        </w:rPr>
        <w:t>。</w:t>
      </w:r>
    </w:p>
    <w:p w14:paraId="5E3F1922">
      <w:pPr>
        <w:pStyle w:val="149"/>
        <w:adjustRightInd w:val="0"/>
        <w:snapToGrid w:val="0"/>
        <w:spacing w:line="360" w:lineRule="exact"/>
        <w:ind w:firstLine="379" w:firstLineChars="180"/>
      </w:pPr>
      <w:r>
        <w:rPr>
          <w:rFonts w:eastAsia="宋体" w:cs="Times New Roman"/>
          <w:b/>
          <w:bCs/>
        </w:rPr>
        <w:t>无技术人员方案或不齐全的不得分。</w:t>
      </w:r>
    </w:p>
    <w:p w14:paraId="1EFADD05">
      <w:pPr>
        <w:pStyle w:val="149"/>
        <w:adjustRightInd w:val="0"/>
        <w:snapToGrid w:val="0"/>
        <w:spacing w:line="360" w:lineRule="exact"/>
        <w:ind w:firstLine="378" w:firstLineChars="180"/>
      </w:pPr>
      <w:r>
        <w:rPr>
          <w:rFonts w:hint="eastAsia"/>
        </w:rPr>
        <w:t>（4）培训计划分（满分3分）</w:t>
      </w:r>
    </w:p>
    <w:p w14:paraId="4EE8A2E3">
      <w:pPr>
        <w:spacing w:line="360" w:lineRule="exact"/>
        <w:ind w:firstLine="420" w:firstLineChars="200"/>
        <w:rPr>
          <w:rFonts w:ascii="宋体" w:hAnsi="宋体" w:eastAsia="宋体"/>
          <w:kern w:val="0"/>
          <w:szCs w:val="21"/>
        </w:rPr>
      </w:pPr>
      <w:r>
        <w:rPr>
          <w:rFonts w:hint="eastAsia" w:ascii="宋体" w:hAnsi="宋体" w:eastAsia="宋体"/>
          <w:kern w:val="0"/>
          <w:szCs w:val="21"/>
        </w:rPr>
        <w:t xml:space="preserve">根据投标文件中投标人培训方案内容独立评分。  </w:t>
      </w:r>
    </w:p>
    <w:p w14:paraId="48C4C3F3">
      <w:pPr>
        <w:spacing w:line="360" w:lineRule="exact"/>
        <w:ind w:firstLine="420" w:firstLineChars="200"/>
        <w:rPr>
          <w:rFonts w:ascii="宋体" w:hAnsi="宋体" w:eastAsia="宋体"/>
          <w:kern w:val="0"/>
          <w:szCs w:val="21"/>
        </w:rPr>
      </w:pPr>
      <w:r>
        <w:rPr>
          <w:rFonts w:hint="eastAsia" w:ascii="宋体" w:hAnsi="宋体" w:eastAsia="宋体"/>
          <w:kern w:val="0"/>
          <w:szCs w:val="21"/>
        </w:rPr>
        <w:t>一档（1分）：培训方案有简单的培训计划安排，能满足基本要求。</w:t>
      </w:r>
    </w:p>
    <w:p w14:paraId="65A1E4BD">
      <w:pPr>
        <w:spacing w:line="360" w:lineRule="exact"/>
        <w:ind w:firstLine="420" w:firstLineChars="200"/>
        <w:rPr>
          <w:rFonts w:ascii="宋体" w:hAnsi="宋体" w:eastAsia="宋体"/>
          <w:kern w:val="0"/>
          <w:szCs w:val="21"/>
        </w:rPr>
      </w:pPr>
      <w:r>
        <w:rPr>
          <w:rFonts w:hint="eastAsia" w:ascii="宋体" w:hAnsi="宋体" w:eastAsia="宋体"/>
          <w:kern w:val="0"/>
          <w:szCs w:val="21"/>
        </w:rPr>
        <w:t>二档（3分）：培训方案应全面、详细，方案内容至少包含：拟派培训人员的安排及介绍、培训时间、规模人数、设备功能理论、简单故障排除等内容。</w:t>
      </w:r>
    </w:p>
    <w:p w14:paraId="6AA11489">
      <w:pPr>
        <w:pStyle w:val="149"/>
        <w:adjustRightInd w:val="0"/>
        <w:snapToGrid w:val="0"/>
        <w:spacing w:line="360" w:lineRule="exact"/>
        <w:ind w:firstLine="379" w:firstLineChars="180"/>
      </w:pPr>
      <w:r>
        <w:rPr>
          <w:rFonts w:eastAsia="宋体" w:cs="Times New Roman"/>
          <w:b/>
          <w:bCs/>
        </w:rPr>
        <w:t>未提供或有明显错误的不得分。</w:t>
      </w:r>
    </w:p>
    <w:p w14:paraId="6A11024E">
      <w:pPr>
        <w:pStyle w:val="148"/>
        <w:spacing w:line="360" w:lineRule="exact"/>
        <w:ind w:firstLine="420" w:firstLineChars="200"/>
        <w:rPr>
          <w:rFonts w:ascii="宋体" w:hAnsi="宋体"/>
        </w:rPr>
      </w:pPr>
      <w:r>
        <w:rPr>
          <w:rFonts w:hint="eastAsia"/>
          <w:b/>
          <w:bCs/>
        </w:rPr>
        <w:t>3.售后服务分……………………………………………………………………………………10分</w:t>
      </w:r>
    </w:p>
    <w:p w14:paraId="0E104BCA">
      <w:pPr>
        <w:pStyle w:val="149"/>
        <w:adjustRightInd w:val="0"/>
        <w:snapToGrid w:val="0"/>
        <w:spacing w:line="360" w:lineRule="exact"/>
        <w:ind w:firstLine="378" w:firstLineChars="180"/>
      </w:pPr>
      <w:r>
        <w:rPr>
          <w:rFonts w:hint="eastAsia"/>
        </w:rPr>
        <w:t>（1）售后服务承诺分（满分8分）</w:t>
      </w:r>
    </w:p>
    <w:p w14:paraId="14C6D5F4">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一档（4分）：售后服务方案仅满足招标文件基本要求。</w:t>
      </w:r>
    </w:p>
    <w:p w14:paraId="09BC2271">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二档（8分）：售后服务方案细致、合理、可行，能提供生产厂家售后服务承诺书原件，有详细的售后服务管理制度、售后服务流程、应急预案、年度保养计划、发生故障时提供备用机或其他替代解决的具体措施、质量保障方案。</w:t>
      </w:r>
    </w:p>
    <w:p w14:paraId="7997E0D1">
      <w:pPr>
        <w:spacing w:line="360" w:lineRule="exact"/>
        <w:ind w:firstLine="422" w:firstLineChars="200"/>
        <w:rPr>
          <w:rFonts w:ascii="宋体" w:hAnsi="宋体"/>
          <w:kern w:val="0"/>
          <w:szCs w:val="21"/>
        </w:rPr>
      </w:pPr>
      <w:r>
        <w:rPr>
          <w:rFonts w:hint="eastAsia" w:ascii="宋体" w:hAnsi="宋体" w:eastAsia="宋体" w:cs="Times New Roman"/>
          <w:b/>
          <w:bCs/>
          <w:kern w:val="0"/>
          <w:szCs w:val="21"/>
        </w:rPr>
        <w:t>未提供或有明显错误的不得分。</w:t>
      </w:r>
    </w:p>
    <w:p w14:paraId="1AA4646C">
      <w:pPr>
        <w:pStyle w:val="149"/>
        <w:adjustRightInd w:val="0"/>
        <w:snapToGrid w:val="0"/>
        <w:spacing w:line="360" w:lineRule="exact"/>
        <w:ind w:firstLine="378" w:firstLineChars="180"/>
      </w:pPr>
      <w:r>
        <w:rPr>
          <w:rFonts w:hint="eastAsia"/>
        </w:rPr>
        <w:t>（2）质保期（保修期）（满分2分）</w:t>
      </w:r>
    </w:p>
    <w:p w14:paraId="236A947B">
      <w:pPr>
        <w:pStyle w:val="149"/>
        <w:adjustRightInd w:val="0"/>
        <w:snapToGrid w:val="0"/>
        <w:spacing w:line="360" w:lineRule="exact"/>
        <w:ind w:firstLine="378" w:firstLineChars="180"/>
      </w:pPr>
      <w:r>
        <w:rPr>
          <w:rFonts w:hint="eastAsia" w:eastAsia="宋体"/>
        </w:rPr>
        <w:t>在满足基本质保期（保修期）（3年）的基础上，免费保修期每延长6个月得0.5分（以产品生产厂家承诺为准，投标文件中提供厂家证明文件复印件加盖投标单位公章），满分2分。</w:t>
      </w:r>
    </w:p>
    <w:p w14:paraId="5B2951D5">
      <w:pPr>
        <w:pStyle w:val="148"/>
        <w:spacing w:line="360" w:lineRule="exact"/>
        <w:ind w:firstLine="420" w:firstLineChars="200"/>
        <w:rPr>
          <w:rFonts w:ascii="宋体" w:hAnsi="宋体"/>
        </w:rPr>
      </w:pPr>
      <w:r>
        <w:rPr>
          <w:rFonts w:hint="eastAsia"/>
          <w:b/>
          <w:bCs/>
        </w:rPr>
        <w:t>4.信誉分…………………………………………………………………………………………3分</w:t>
      </w:r>
    </w:p>
    <w:p w14:paraId="7DFFE2E7">
      <w:pPr>
        <w:pStyle w:val="149"/>
        <w:adjustRightInd w:val="0"/>
        <w:snapToGrid w:val="0"/>
        <w:spacing w:line="360" w:lineRule="exact"/>
        <w:ind w:firstLine="378" w:firstLineChars="180"/>
      </w:pPr>
      <w:r>
        <w:rPr>
          <w:rFonts w:hint="eastAsia"/>
        </w:rPr>
        <w:t>信誉及业绩（满分3分）</w:t>
      </w:r>
    </w:p>
    <w:p w14:paraId="45DFE89D">
      <w:pPr>
        <w:spacing w:line="360" w:lineRule="exact"/>
        <w:ind w:firstLine="420" w:firstLineChars="200"/>
        <w:rPr>
          <w:rFonts w:ascii="宋体" w:hAnsi="宋体" w:eastAsia="宋体" w:cs="宋体"/>
          <w:szCs w:val="21"/>
        </w:rPr>
      </w:pPr>
      <w:r>
        <w:rPr>
          <w:rFonts w:hint="eastAsia" w:ascii="宋体" w:hAnsi="宋体" w:eastAsia="宋体" w:cs="宋体"/>
          <w:szCs w:val="21"/>
        </w:rPr>
        <w:t>1）投标人或所投产品制造商通过ISO9001系列国际质量体系认证、ISO13485医疗器械质量管理体系认证及ISO 14001环境管理体系认证的，每有1项得0.5分，满分1.5分。</w:t>
      </w:r>
    </w:p>
    <w:p w14:paraId="4A6325B0">
      <w:pPr>
        <w:spacing w:line="360" w:lineRule="exact"/>
        <w:ind w:firstLine="420" w:firstLineChars="200"/>
        <w:rPr>
          <w:rFonts w:ascii="宋体" w:hAnsi="宋体" w:eastAsia="宋体" w:cs="宋体"/>
          <w:szCs w:val="21"/>
        </w:rPr>
      </w:pPr>
      <w:r>
        <w:rPr>
          <w:rFonts w:hint="eastAsia" w:ascii="宋体" w:hAnsi="宋体" w:eastAsia="宋体" w:cs="宋体"/>
          <w:szCs w:val="21"/>
        </w:rPr>
        <w:t>注：投标文件中提供有效的证书复印件（或扫描件）并加盖投标人电子签章，非中文文本的请提供中文翻译文本，否则不予以计分。</w:t>
      </w:r>
    </w:p>
    <w:p w14:paraId="48787FA9">
      <w:pPr>
        <w:spacing w:line="360" w:lineRule="exact"/>
        <w:ind w:firstLine="420" w:firstLineChars="200"/>
        <w:rPr>
          <w:rFonts w:ascii="宋体" w:hAnsi="宋体" w:eastAsia="宋体" w:cs="宋体"/>
          <w:szCs w:val="21"/>
        </w:rPr>
      </w:pPr>
      <w:r>
        <w:rPr>
          <w:rFonts w:hint="eastAsia" w:ascii="宋体" w:hAnsi="宋体" w:eastAsia="宋体" w:cs="宋体"/>
          <w:szCs w:val="21"/>
        </w:rPr>
        <w:t>（2）投标人或所投产品制造商2022年1月1日至今同类项目（同类项目业绩指与采购标的产品相同类型设备的业绩）业绩，每有1项得0.5分，满分1.5分。</w:t>
      </w:r>
    </w:p>
    <w:p w14:paraId="627BE8D4">
      <w:pPr>
        <w:pStyle w:val="149"/>
        <w:adjustRightInd w:val="0"/>
        <w:snapToGrid w:val="0"/>
        <w:spacing w:line="360" w:lineRule="exact"/>
        <w:ind w:firstLine="590" w:firstLineChars="280"/>
        <w:rPr>
          <w:rFonts w:eastAsia="宋体" w:cs="宋体"/>
        </w:rPr>
      </w:pPr>
      <w:r>
        <w:rPr>
          <w:rFonts w:hint="eastAsia" w:eastAsia="宋体" w:cs="宋体"/>
          <w:b/>
        </w:rPr>
        <w:t>注：投标文件中提供有效的中标通知书或合同复印件（或扫描件）并加盖投标人电子签章，否则不予以计分。</w:t>
      </w:r>
    </w:p>
    <w:p w14:paraId="59B6565B">
      <w:pPr>
        <w:pStyle w:val="148"/>
        <w:spacing w:line="360" w:lineRule="exact"/>
        <w:ind w:firstLine="420" w:firstLineChars="200"/>
        <w:rPr>
          <w:rFonts w:ascii="宋体" w:hAnsi="宋体"/>
        </w:rPr>
      </w:pPr>
      <w:r>
        <w:rPr>
          <w:rFonts w:hint="eastAsia"/>
          <w:b/>
          <w:bCs/>
        </w:rPr>
        <w:t>5.政策功能分……………………………………………………………………………………1分</w:t>
      </w:r>
    </w:p>
    <w:p w14:paraId="5E0D1CC6">
      <w:pPr>
        <w:pStyle w:val="149"/>
        <w:adjustRightInd w:val="0"/>
        <w:snapToGrid w:val="0"/>
        <w:spacing w:line="360" w:lineRule="exact"/>
        <w:ind w:firstLine="378" w:firstLineChars="180"/>
      </w:pPr>
      <w:r>
        <w:rPr>
          <w:rFonts w:hint="eastAsia"/>
        </w:rPr>
        <w:t>节能、环保分（满分1分）</w:t>
      </w:r>
    </w:p>
    <w:p w14:paraId="4C0C26AD">
      <w:pPr>
        <w:widowControl/>
        <w:spacing w:line="360" w:lineRule="exact"/>
        <w:ind w:firstLine="420" w:firstLineChars="200"/>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rPr>
        <w:t>所投产品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14:paraId="6ACDFDAF">
      <w:pPr>
        <w:pStyle w:val="149"/>
        <w:adjustRightInd w:val="0"/>
        <w:snapToGrid w:val="0"/>
        <w:spacing w:line="360" w:lineRule="exact"/>
        <w:ind w:firstLine="378" w:firstLineChars="180"/>
        <w:rPr>
          <w:rFonts w:cs="宋体"/>
        </w:rPr>
      </w:pPr>
      <w:r>
        <w:rPr>
          <w:rFonts w:hint="eastAsia" w:eastAsia="宋体" w:cs="宋体"/>
        </w:rPr>
        <w:t>（2）</w:t>
      </w:r>
      <w:r>
        <w:rPr>
          <w:rFonts w:hint="eastAsia" w:cs="宋体"/>
        </w:rPr>
        <w:t>所投产品</w:t>
      </w:r>
      <w:r>
        <w:rPr>
          <w:rFonts w:hint="eastAsia"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14:paraId="1C7F8414">
      <w:pPr>
        <w:adjustRightInd w:val="0"/>
        <w:snapToGrid w:val="0"/>
        <w:spacing w:line="360" w:lineRule="exact"/>
        <w:jc w:val="left"/>
        <w:rPr>
          <w:rFonts w:hAnsi="宋体"/>
          <w:b/>
        </w:rPr>
      </w:pPr>
    </w:p>
    <w:p w14:paraId="4EF6053B">
      <w:pPr>
        <w:numPr>
          <w:ilvl w:val="0"/>
          <w:numId w:val="9"/>
        </w:numPr>
        <w:adjustRightInd w:val="0"/>
        <w:snapToGrid w:val="0"/>
        <w:spacing w:line="360" w:lineRule="exact"/>
        <w:jc w:val="left"/>
        <w:rPr>
          <w:rFonts w:hAnsi="宋体"/>
          <w:b/>
        </w:rPr>
      </w:pPr>
      <w:r>
        <w:rPr>
          <w:rFonts w:hint="eastAsia" w:hAnsi="宋体"/>
          <w:b/>
        </w:rPr>
        <w:t>总得分=1+ 2+ 3+ 4+ 5。</w:t>
      </w:r>
    </w:p>
    <w:p w14:paraId="207F1C80">
      <w:pPr>
        <w:pStyle w:val="144"/>
        <w:spacing w:line="360" w:lineRule="exact"/>
        <w:rPr>
          <w:lang w:val="zh-CN"/>
        </w:rPr>
      </w:pPr>
    </w:p>
    <w:bookmarkEnd w:id="139"/>
    <w:p w14:paraId="0F290ED6">
      <w:pPr>
        <w:spacing w:line="360" w:lineRule="exact"/>
        <w:ind w:firstLine="422" w:firstLineChars="200"/>
        <w:jc w:val="left"/>
        <w:rPr>
          <w:rFonts w:ascii="宋体" w:hAnsi="宋体" w:eastAsia="宋体" w:cs="宋体"/>
          <w:b/>
          <w:szCs w:val="21"/>
          <w:lang w:bidi="ar"/>
        </w:rPr>
      </w:pPr>
      <w:r>
        <w:rPr>
          <w:rFonts w:hint="eastAsia" w:ascii="宋体" w:hAnsi="宋体" w:eastAsia="宋体" w:cs="宋体"/>
          <w:b/>
          <w:szCs w:val="21"/>
          <w:lang w:bidi="ar"/>
        </w:rPr>
        <w:t>四、中标候选人推荐原则</w:t>
      </w:r>
    </w:p>
    <w:p w14:paraId="3220F8A9">
      <w:pPr>
        <w:widowControl/>
        <w:spacing w:line="360" w:lineRule="exact"/>
        <w:ind w:firstLine="525" w:firstLineChars="250"/>
        <w:jc w:val="left"/>
        <w:rPr>
          <w:rFonts w:ascii="宋体" w:hAnsi="宋体" w:eastAsia="宋体" w:cs="宋体"/>
          <w:bCs/>
          <w:kern w:val="0"/>
          <w:szCs w:val="21"/>
          <w:lang w:val="zh-CN"/>
        </w:rPr>
      </w:pPr>
      <w:r>
        <w:rPr>
          <w:rFonts w:hint="eastAsia" w:ascii="宋体" w:hAnsi="宋体" w:eastAsia="宋体" w:cs="宋体"/>
          <w:bCs/>
          <w:kern w:val="0"/>
          <w:szCs w:val="21"/>
          <w:lang w:val="zh-CN"/>
        </w:rPr>
        <w:t>（一）评标委员会将根据得分由高到低排列次序</w:t>
      </w:r>
      <w:r>
        <w:rPr>
          <w:rFonts w:hint="eastAsia" w:ascii="宋体" w:hAnsi="宋体" w:eastAsia="宋体" w:cs="宋体"/>
          <w:b/>
          <w:bCs/>
          <w:kern w:val="0"/>
          <w:szCs w:val="21"/>
          <w:lang w:val="zh-CN"/>
        </w:rPr>
        <w:t>（得分相同时，以投标报价由低到高顺序排列；得分相同且投标报价相同的，按技术指标优劣顺序排列）</w:t>
      </w:r>
      <w:r>
        <w:rPr>
          <w:rFonts w:hint="eastAsia" w:ascii="宋体" w:hAnsi="宋体" w:eastAsia="宋体" w:cs="宋体"/>
          <w:bCs/>
          <w:kern w:val="0"/>
          <w:szCs w:val="21"/>
          <w:lang w:val="zh-CN"/>
        </w:rPr>
        <w:t>并推荐中标候选供应商。招标人应当确定评审委员会推荐排名第一的中标候选人为中标人。</w:t>
      </w:r>
    </w:p>
    <w:p w14:paraId="029385FF">
      <w:pPr>
        <w:widowControl/>
        <w:spacing w:line="360" w:lineRule="exact"/>
        <w:ind w:firstLine="525" w:firstLineChars="250"/>
        <w:jc w:val="left"/>
        <w:rPr>
          <w:rFonts w:ascii="宋体" w:hAnsi="宋体" w:eastAsia="宋体" w:cs="宋体"/>
          <w:b/>
          <w:bCs/>
          <w:kern w:val="0"/>
          <w:szCs w:val="21"/>
          <w:lang w:val="zh-CN"/>
        </w:rPr>
      </w:pPr>
      <w:r>
        <w:rPr>
          <w:rFonts w:hint="eastAsia" w:ascii="宋体" w:hAnsi="宋体" w:eastAsia="宋体" w:cs="宋体"/>
          <w:bCs/>
          <w:kern w:val="0"/>
          <w:szCs w:val="21"/>
          <w:lang w:val="zh-CN"/>
        </w:rPr>
        <w:t>排名第一的中标候选人放弃中标</w:t>
      </w:r>
      <w:r>
        <w:rPr>
          <w:rFonts w:hint="eastAsia" w:ascii="宋体" w:hAnsi="宋体" w:eastAsia="宋体" w:cs="宋体"/>
          <w:kern w:val="0"/>
          <w:szCs w:val="21"/>
          <w:lang w:val="zh-CN"/>
        </w:rPr>
        <w:t>、或在规定限期内拒不签订合同</w:t>
      </w:r>
      <w:r>
        <w:rPr>
          <w:rFonts w:hint="eastAsia" w:ascii="宋体" w:hAnsi="宋体" w:eastAsia="宋体" w:cs="宋体"/>
          <w:bCs/>
          <w:kern w:val="0"/>
          <w:szCs w:val="21"/>
          <w:lang w:val="zh-CN"/>
        </w:rPr>
        <w:t>、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其余以此类推</w:t>
      </w:r>
      <w:r>
        <w:rPr>
          <w:rFonts w:hint="eastAsia" w:ascii="宋体" w:hAnsi="宋体" w:eastAsia="宋体" w:cs="宋体"/>
          <w:b/>
          <w:bCs/>
          <w:kern w:val="0"/>
          <w:szCs w:val="21"/>
          <w:lang w:val="zh-CN"/>
        </w:rPr>
        <w:t>。</w:t>
      </w:r>
    </w:p>
    <w:p w14:paraId="223F0228">
      <w:pPr>
        <w:widowControl/>
        <w:spacing w:line="360" w:lineRule="exact"/>
        <w:ind w:firstLine="525" w:firstLineChars="250"/>
        <w:rPr>
          <w:rFonts w:ascii="宋体" w:hAnsi="宋体" w:eastAsia="宋体" w:cs="宋体"/>
          <w:kern w:val="0"/>
          <w:szCs w:val="21"/>
          <w:lang w:val="zh-CN"/>
        </w:rPr>
      </w:pPr>
      <w:r>
        <w:rPr>
          <w:rFonts w:hint="eastAsia" w:ascii="宋体" w:hAnsi="宋体" w:eastAsia="宋体" w:cs="宋体"/>
          <w:bCs/>
          <w:kern w:val="0"/>
          <w:szCs w:val="21"/>
          <w:lang w:val="zh-CN"/>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ED47680">
      <w:pPr>
        <w:spacing w:line="360" w:lineRule="exact"/>
        <w:contextualSpacing/>
        <w:rPr>
          <w:rFonts w:ascii="宋体" w:hAnsi="宋体" w:eastAsia="宋体" w:cs="Times New Roman"/>
          <w:kern w:val="0"/>
          <w:szCs w:val="21"/>
          <w:lang w:val="zh-CN"/>
        </w:rPr>
      </w:pPr>
    </w:p>
    <w:p w14:paraId="038E5D5A">
      <w:pPr>
        <w:spacing w:before="120" w:beforeLines="50" w:after="120" w:afterLines="50" w:line="400" w:lineRule="exact"/>
        <w:rPr>
          <w:rFonts w:ascii="宋体" w:hAnsi="宋体" w:eastAsia="宋体" w:cs="Times New Roman"/>
          <w:b/>
          <w:szCs w:val="21"/>
        </w:rPr>
      </w:pPr>
    </w:p>
    <w:p w14:paraId="4D328C01">
      <w:pPr>
        <w:spacing w:before="120" w:beforeLines="50" w:after="120" w:afterLines="50" w:line="400" w:lineRule="exact"/>
        <w:rPr>
          <w:rFonts w:ascii="宋体" w:hAnsi="宋体" w:eastAsia="宋体" w:cs="Times New Roman"/>
          <w:b/>
          <w:sz w:val="24"/>
          <w:szCs w:val="24"/>
        </w:rPr>
      </w:pPr>
      <w:r>
        <w:rPr>
          <w:rFonts w:ascii="宋体" w:hAnsi="宋体" w:eastAsia="宋体" w:cs="Times New Roman"/>
          <w:b/>
          <w:sz w:val="24"/>
          <w:szCs w:val="24"/>
        </w:rPr>
        <w:br w:type="page"/>
      </w:r>
    </w:p>
    <w:p w14:paraId="16A9FBB9">
      <w:pPr>
        <w:snapToGrid w:val="0"/>
        <w:spacing w:line="360" w:lineRule="exact"/>
        <w:ind w:firstLine="649" w:firstLineChars="202"/>
        <w:jc w:val="center"/>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三、评标标准（分标2）</w:t>
      </w:r>
    </w:p>
    <w:p w14:paraId="2E523FE6">
      <w:pPr>
        <w:spacing w:line="360" w:lineRule="exact"/>
        <w:ind w:firstLine="422" w:firstLineChars="200"/>
        <w:rPr>
          <w:rFonts w:ascii="宋体" w:hAnsi="宋体" w:eastAsia="宋体"/>
          <w:b/>
          <w:szCs w:val="21"/>
        </w:rPr>
      </w:pPr>
      <w:r>
        <w:rPr>
          <w:rFonts w:ascii="宋体" w:hAnsi="宋体" w:eastAsia="宋体"/>
          <w:b/>
          <w:szCs w:val="21"/>
        </w:rPr>
        <w:t>一、评标原则</w:t>
      </w:r>
    </w:p>
    <w:p w14:paraId="68FE85F1">
      <w:pPr>
        <w:pStyle w:val="21"/>
        <w:spacing w:line="360" w:lineRule="exact"/>
        <w:ind w:firstLine="420" w:firstLineChars="200"/>
        <w:rPr>
          <w:rFonts w:hAnsi="宋体"/>
          <w:bCs/>
          <w:sz w:val="21"/>
        </w:rPr>
      </w:pPr>
      <w:r>
        <w:rPr>
          <w:rFonts w:hint="eastAsia" w:hAnsi="宋体"/>
          <w:bCs/>
          <w:sz w:val="21"/>
        </w:rPr>
        <w:t>（</w:t>
      </w:r>
      <w:r>
        <w:rPr>
          <w:rFonts w:hAnsi="宋体"/>
          <w:bCs/>
          <w:sz w:val="21"/>
        </w:rPr>
        <w:t>一</w:t>
      </w:r>
      <w:r>
        <w:rPr>
          <w:rFonts w:hint="eastAsia" w:hAnsi="宋体"/>
          <w:bCs/>
          <w:sz w:val="21"/>
        </w:rPr>
        <w:t>）</w:t>
      </w:r>
      <w:r>
        <w:rPr>
          <w:rFonts w:hAnsi="宋体"/>
          <w:bCs/>
          <w:sz w:val="21"/>
        </w:rPr>
        <w:t>评标依据：评委将以招标文件、投标文件为评标依据。</w:t>
      </w:r>
    </w:p>
    <w:p w14:paraId="4640CBB8">
      <w:pPr>
        <w:pStyle w:val="21"/>
        <w:spacing w:line="360" w:lineRule="exact"/>
        <w:ind w:firstLine="420" w:firstLineChars="200"/>
        <w:rPr>
          <w:rFonts w:hAnsi="宋体"/>
          <w:bCs/>
          <w:sz w:val="21"/>
        </w:rPr>
      </w:pPr>
      <w:r>
        <w:rPr>
          <w:rFonts w:hint="eastAsia" w:hAnsi="宋体"/>
          <w:bCs/>
          <w:sz w:val="21"/>
        </w:rPr>
        <w:t>（二）</w:t>
      </w:r>
      <w:r>
        <w:rPr>
          <w:rFonts w:hAnsi="宋体"/>
          <w:bCs/>
          <w:sz w:val="21"/>
        </w:rPr>
        <w:t>评标委员会构成：</w:t>
      </w:r>
      <w:r>
        <w:rPr>
          <w:rFonts w:hint="eastAsia" w:hAnsi="宋体"/>
          <w:bCs/>
          <w:sz w:val="21"/>
        </w:rPr>
        <w:t>本招标采购项目的评标委员会由招标人代表和有关技术、经济等方面的专家组成，</w:t>
      </w:r>
      <w:r>
        <w:rPr>
          <w:rFonts w:hAnsi="宋体"/>
          <w:bCs/>
          <w:sz w:val="21"/>
        </w:rPr>
        <w:t>技术、经济等方面的专家不少于成员总数的三分之二。</w:t>
      </w:r>
    </w:p>
    <w:p w14:paraId="488BA8F8">
      <w:pPr>
        <w:pStyle w:val="21"/>
        <w:spacing w:line="360" w:lineRule="exact"/>
        <w:ind w:firstLine="420" w:firstLineChars="200"/>
        <w:rPr>
          <w:rFonts w:hAnsi="宋体"/>
          <w:bCs/>
          <w:sz w:val="21"/>
        </w:rPr>
      </w:pPr>
      <w:r>
        <w:rPr>
          <w:rFonts w:hAnsi="宋体"/>
          <w:bCs/>
          <w:sz w:val="21"/>
        </w:rPr>
        <w:t>（</w:t>
      </w:r>
      <w:r>
        <w:rPr>
          <w:rFonts w:hint="eastAsia" w:hAnsi="宋体"/>
          <w:bCs/>
          <w:sz w:val="21"/>
        </w:rPr>
        <w:t>三</w:t>
      </w:r>
      <w:r>
        <w:rPr>
          <w:rFonts w:hAnsi="宋体"/>
          <w:bCs/>
          <w:sz w:val="21"/>
        </w:rPr>
        <w:t>）评标方式：以</w:t>
      </w:r>
      <w:r>
        <w:rPr>
          <w:rFonts w:hint="eastAsia" w:hAnsi="宋体"/>
          <w:bCs/>
          <w:sz w:val="21"/>
        </w:rPr>
        <w:t>不公开</w:t>
      </w:r>
      <w:r>
        <w:rPr>
          <w:rFonts w:hAnsi="宋体"/>
          <w:bCs/>
          <w:sz w:val="21"/>
        </w:rPr>
        <w:t>方式进行。</w:t>
      </w:r>
    </w:p>
    <w:p w14:paraId="1C0B3E08">
      <w:pPr>
        <w:spacing w:line="360" w:lineRule="exact"/>
        <w:ind w:firstLine="420" w:firstLineChars="200"/>
        <w:rPr>
          <w:rFonts w:ascii="宋体" w:hAnsi="宋体" w:eastAsia="宋体"/>
          <w:color w:val="000000"/>
          <w:szCs w:val="21"/>
        </w:rPr>
      </w:pPr>
      <w:r>
        <w:rPr>
          <w:rStyle w:val="141"/>
          <w:rFonts w:hint="default"/>
          <w:sz w:val="21"/>
          <w:szCs w:val="21"/>
        </w:rPr>
        <w:t>二、评定方法：</w:t>
      </w:r>
    </w:p>
    <w:p w14:paraId="3F145CDA">
      <w:pPr>
        <w:pStyle w:val="21"/>
        <w:spacing w:line="360" w:lineRule="exact"/>
        <w:ind w:firstLine="420" w:firstLineChars="200"/>
        <w:rPr>
          <w:rFonts w:hAnsi="宋体"/>
          <w:bCs/>
          <w:sz w:val="21"/>
        </w:rPr>
      </w:pPr>
      <w:r>
        <w:rPr>
          <w:rFonts w:hAnsi="宋体"/>
          <w:bCs/>
          <w:sz w:val="21"/>
        </w:rPr>
        <w:t>（一）对进入详评的，采用百分制综合评分法：是指完全满足招标文件实质性要求前提下，按照招标文件</w:t>
      </w:r>
    </w:p>
    <w:p w14:paraId="33B00EE6">
      <w:pPr>
        <w:pStyle w:val="21"/>
        <w:spacing w:line="360" w:lineRule="exact"/>
        <w:ind w:firstLine="420" w:firstLineChars="200"/>
        <w:rPr>
          <w:rFonts w:hAnsi="宋体"/>
          <w:bCs/>
          <w:sz w:val="21"/>
        </w:rPr>
      </w:pPr>
      <w:r>
        <w:rPr>
          <w:rFonts w:hAnsi="宋体"/>
          <w:bCs/>
          <w:sz w:val="21"/>
        </w:rPr>
        <w:t>规定的各项因素进行综合评审后，以评标总得分最高的投标人作为中标候选人或中标供应商的评标方法。</w:t>
      </w:r>
    </w:p>
    <w:p w14:paraId="47E56BE4">
      <w:pPr>
        <w:pStyle w:val="21"/>
        <w:spacing w:line="360" w:lineRule="exact"/>
        <w:ind w:firstLine="420" w:firstLineChars="200"/>
        <w:rPr>
          <w:rFonts w:hAnsi="宋体"/>
          <w:bCs/>
          <w:sz w:val="21"/>
        </w:rPr>
      </w:pPr>
      <w:r>
        <w:rPr>
          <w:rFonts w:hAnsi="宋体"/>
          <w:bCs/>
          <w:sz w:val="21"/>
        </w:rPr>
        <w:t>（二）计分办法（按四舍五入取至百分位） ：</w:t>
      </w:r>
    </w:p>
    <w:p w14:paraId="67CC579E">
      <w:pPr>
        <w:pStyle w:val="21"/>
        <w:spacing w:line="360" w:lineRule="exact"/>
        <w:ind w:firstLine="394" w:firstLineChars="196"/>
        <w:outlineLvl w:val="0"/>
        <w:rPr>
          <w:rFonts w:hAnsi="宋体"/>
          <w:b/>
        </w:rPr>
      </w:pPr>
      <w:r>
        <w:rPr>
          <w:rFonts w:hint="eastAsia" w:hAnsi="宋体"/>
          <w:b/>
        </w:rPr>
        <w:t>一、评标方法</w:t>
      </w:r>
    </w:p>
    <w:p w14:paraId="0B14F74A">
      <w:pPr>
        <w:pStyle w:val="21"/>
        <w:spacing w:line="360" w:lineRule="exact"/>
        <w:ind w:firstLine="392" w:firstLineChars="196"/>
        <w:outlineLvl w:val="0"/>
        <w:rPr>
          <w:rFonts w:hAnsi="宋体"/>
          <w:bCs/>
        </w:rPr>
      </w:pPr>
      <w:r>
        <w:rPr>
          <w:rFonts w:hint="eastAsia" w:hAnsi="宋体"/>
          <w:bCs/>
        </w:rPr>
        <w:t>（一）综合评分法，是指投标文件满足招标文件全部实质性要求，且按照评审因素的量化指标评审得分最高的投标人为中标候选人的评标方法。</w:t>
      </w:r>
    </w:p>
    <w:p w14:paraId="4C388B5B">
      <w:pPr>
        <w:pStyle w:val="21"/>
        <w:spacing w:line="360" w:lineRule="exact"/>
        <w:ind w:firstLine="392" w:firstLineChars="196"/>
        <w:outlineLvl w:val="0"/>
        <w:rPr>
          <w:rFonts w:hAnsi="宋体"/>
          <w:bCs/>
        </w:rPr>
      </w:pPr>
      <w:r>
        <w:rPr>
          <w:rFonts w:hint="eastAsia" w:hAnsi="宋体"/>
          <w:bCs/>
        </w:rPr>
        <w:t>（二）组建评标委员会</w:t>
      </w:r>
    </w:p>
    <w:p w14:paraId="289521CD">
      <w:pPr>
        <w:pStyle w:val="21"/>
        <w:spacing w:line="360" w:lineRule="exact"/>
        <w:ind w:firstLine="392" w:firstLineChars="196"/>
        <w:outlineLvl w:val="0"/>
        <w:rPr>
          <w:rFonts w:hAnsi="宋体"/>
          <w:bCs/>
        </w:rPr>
      </w:pPr>
      <w:r>
        <w:rPr>
          <w:rFonts w:hint="eastAsia" w:hAnsi="宋体"/>
          <w:bCs/>
        </w:rPr>
        <w:t>评标委员会由招标人代表和评审专家组成，成员人数见“投标人须知前附表”，其中评审专家不得少于成员总数的三分之二。参加过采购项目前期咨询论证的专家，不得参加该采购项目的评审活动。</w:t>
      </w:r>
    </w:p>
    <w:p w14:paraId="53E6A943">
      <w:pPr>
        <w:pStyle w:val="21"/>
        <w:spacing w:line="360" w:lineRule="exact"/>
        <w:ind w:firstLine="394" w:firstLineChars="196"/>
        <w:outlineLvl w:val="0"/>
        <w:rPr>
          <w:rFonts w:hAnsi="宋体"/>
          <w:bCs/>
        </w:rPr>
      </w:pPr>
      <w:r>
        <w:rPr>
          <w:rFonts w:hint="eastAsia" w:hAnsi="宋体"/>
          <w:b/>
        </w:rPr>
        <w:t>（三）评标程序</w:t>
      </w:r>
    </w:p>
    <w:p w14:paraId="0BD0C016">
      <w:pPr>
        <w:pStyle w:val="21"/>
        <w:spacing w:line="360" w:lineRule="exact"/>
        <w:ind w:firstLine="394" w:firstLineChars="196"/>
        <w:outlineLvl w:val="0"/>
        <w:rPr>
          <w:rFonts w:hAnsi="宋体"/>
          <w:b/>
        </w:rPr>
      </w:pPr>
      <w:r>
        <w:rPr>
          <w:rFonts w:hint="eastAsia" w:hAnsi="宋体"/>
          <w:b/>
        </w:rPr>
        <w:t>1 符合性审查</w:t>
      </w:r>
    </w:p>
    <w:p w14:paraId="32E06828">
      <w:pPr>
        <w:pStyle w:val="21"/>
        <w:spacing w:line="360" w:lineRule="exact"/>
        <w:ind w:firstLine="394" w:firstLineChars="196"/>
        <w:outlineLvl w:val="0"/>
        <w:rPr>
          <w:rFonts w:hAnsi="宋体"/>
          <w:b/>
        </w:rPr>
      </w:pPr>
      <w:r>
        <w:rPr>
          <w:rFonts w:hint="eastAsia" w:hAnsi="宋体"/>
          <w:b/>
        </w:rPr>
        <w:t>评标委员会应当对符合资格的投标人的投标文件进行投标报价、商务、技术等实质性要求符合性审查，以确定其是否满足招标文件的实质性要求。</w:t>
      </w:r>
    </w:p>
    <w:p w14:paraId="039188A4">
      <w:pPr>
        <w:pStyle w:val="21"/>
        <w:spacing w:line="360" w:lineRule="exact"/>
        <w:ind w:firstLine="394" w:firstLineChars="196"/>
        <w:outlineLvl w:val="0"/>
        <w:rPr>
          <w:rFonts w:hAnsi="宋体"/>
          <w:b/>
        </w:rPr>
      </w:pPr>
      <w:r>
        <w:rPr>
          <w:rFonts w:hint="eastAsia" w:hAnsi="宋体"/>
          <w:b/>
        </w:rPr>
        <w:t>2 符合性审查不通过而导致投标无效的情形</w:t>
      </w:r>
    </w:p>
    <w:p w14:paraId="530C1FF1">
      <w:pPr>
        <w:pStyle w:val="21"/>
        <w:spacing w:line="360" w:lineRule="exact"/>
        <w:ind w:firstLine="394" w:firstLineChars="196"/>
        <w:outlineLvl w:val="0"/>
        <w:rPr>
          <w:rFonts w:hAnsi="宋体"/>
          <w:b/>
        </w:rPr>
      </w:pPr>
      <w:r>
        <w:rPr>
          <w:rFonts w:hint="eastAsia" w:hAnsi="宋体"/>
          <w:b/>
        </w:rPr>
        <w:t>投标人的投标文件中存在对招标文件的任何实质性要求和条件的负偏离，其投标将被视为投标无效。</w:t>
      </w:r>
    </w:p>
    <w:p w14:paraId="520223CB">
      <w:pPr>
        <w:pStyle w:val="21"/>
        <w:spacing w:line="360" w:lineRule="exact"/>
        <w:ind w:firstLine="394" w:firstLineChars="196"/>
        <w:outlineLvl w:val="0"/>
        <w:rPr>
          <w:rFonts w:hAnsi="宋体"/>
          <w:b/>
        </w:rPr>
      </w:pPr>
      <w:r>
        <w:rPr>
          <w:rFonts w:hint="eastAsia" w:hAnsi="宋体"/>
          <w:b/>
        </w:rPr>
        <w:t>2.1 在报价评审时，如发现下列情形之一的，将被视为投标无效：</w:t>
      </w:r>
    </w:p>
    <w:p w14:paraId="69CFCA69">
      <w:pPr>
        <w:pStyle w:val="21"/>
        <w:spacing w:line="360" w:lineRule="exact"/>
        <w:ind w:firstLine="394" w:firstLineChars="196"/>
        <w:outlineLvl w:val="0"/>
        <w:rPr>
          <w:rFonts w:hAnsi="宋体"/>
          <w:b/>
        </w:rPr>
      </w:pPr>
      <w:r>
        <w:rPr>
          <w:rFonts w:hint="eastAsia" w:hAnsi="宋体"/>
          <w:b/>
        </w:rPr>
        <w:t xml:space="preserve">（1）投标文件未提供“投标人须知前附表”第 </w:t>
      </w:r>
      <w:r>
        <w:rPr>
          <w:rFonts w:hAnsi="宋体"/>
          <w:b/>
        </w:rPr>
        <w:t>8</w:t>
      </w:r>
      <w:r>
        <w:rPr>
          <w:rFonts w:hint="eastAsia" w:hAnsi="宋体"/>
          <w:b/>
        </w:rPr>
        <w:t>条规定中“必须提供”的文件资料的;</w:t>
      </w:r>
    </w:p>
    <w:p w14:paraId="1EBF4922">
      <w:pPr>
        <w:pStyle w:val="21"/>
        <w:spacing w:line="360" w:lineRule="exact"/>
        <w:ind w:firstLine="394" w:firstLineChars="196"/>
        <w:outlineLvl w:val="0"/>
        <w:rPr>
          <w:rFonts w:hAnsi="宋体"/>
          <w:b/>
        </w:rPr>
      </w:pPr>
      <w:r>
        <w:rPr>
          <w:rFonts w:hint="eastAsia" w:hAnsi="宋体"/>
          <w:b/>
        </w:rPr>
        <w:t>（2）未采用人民币报价或者未按照招标文件标明的币种报价的；</w:t>
      </w:r>
    </w:p>
    <w:p w14:paraId="2433DE5C">
      <w:pPr>
        <w:pStyle w:val="21"/>
        <w:spacing w:line="360" w:lineRule="exact"/>
        <w:ind w:firstLine="394" w:firstLineChars="196"/>
        <w:outlineLvl w:val="0"/>
        <w:rPr>
          <w:rFonts w:hAnsi="宋体"/>
          <w:b/>
        </w:rPr>
      </w:pPr>
      <w:r>
        <w:rPr>
          <w:rFonts w:hint="eastAsia" w:hAnsi="宋体"/>
          <w:b/>
        </w:rPr>
        <w:t>（3）报价超出招标文件规定最高限价，或者超出采购预算金额的；</w:t>
      </w:r>
    </w:p>
    <w:p w14:paraId="082C2E38">
      <w:pPr>
        <w:pStyle w:val="21"/>
        <w:spacing w:line="360" w:lineRule="exact"/>
        <w:ind w:firstLine="394" w:firstLineChars="196"/>
        <w:outlineLvl w:val="0"/>
        <w:rPr>
          <w:rFonts w:hAnsi="宋体"/>
          <w:b/>
        </w:rPr>
      </w:pPr>
      <w:r>
        <w:rPr>
          <w:rFonts w:hint="eastAsia" w:hAnsi="宋体"/>
          <w:b/>
        </w:rPr>
        <w:t>（4）投标人未就所投分标进行报价或存在漏项报价；投标人未就所投分标的单项内容作唯一报</w:t>
      </w:r>
    </w:p>
    <w:p w14:paraId="767BB2C1">
      <w:pPr>
        <w:pStyle w:val="21"/>
        <w:spacing w:line="360" w:lineRule="exact"/>
        <w:ind w:firstLine="394" w:firstLineChars="196"/>
        <w:outlineLvl w:val="0"/>
        <w:rPr>
          <w:rFonts w:hAnsi="宋体"/>
          <w:b/>
        </w:rPr>
      </w:pPr>
      <w:r>
        <w:rPr>
          <w:rFonts w:hint="eastAsia" w:hAnsi="宋体"/>
          <w:b/>
        </w:rPr>
        <w:t>价；投标人未就所投分标的全部内容作唯一总价报价；存在有选择、有条件报价的（招标文件允许有备选方案或其他约定的除外）；</w:t>
      </w:r>
    </w:p>
    <w:p w14:paraId="4D4EE14E">
      <w:pPr>
        <w:pStyle w:val="21"/>
        <w:spacing w:line="360" w:lineRule="exact"/>
        <w:ind w:firstLine="394" w:firstLineChars="196"/>
        <w:outlineLvl w:val="0"/>
        <w:rPr>
          <w:rFonts w:hAnsi="宋体"/>
          <w:b/>
        </w:rPr>
      </w:pPr>
      <w:r>
        <w:rPr>
          <w:rFonts w:hint="eastAsia" w:hAnsi="宋体"/>
          <w:b/>
        </w:rPr>
        <w:t>（5）修正后的报价，投标人不确认的；</w:t>
      </w:r>
    </w:p>
    <w:p w14:paraId="09E3B15A">
      <w:pPr>
        <w:pStyle w:val="21"/>
        <w:spacing w:line="360" w:lineRule="exact"/>
        <w:ind w:firstLine="394" w:firstLineChars="196"/>
        <w:outlineLvl w:val="0"/>
        <w:rPr>
          <w:rFonts w:hAnsi="宋体"/>
          <w:b/>
        </w:rPr>
      </w:pPr>
      <w:r>
        <w:rPr>
          <w:rFonts w:hint="eastAsia" w:hAnsi="宋体"/>
          <w:b/>
        </w:rPr>
        <w:t>2.2 在商务评审时，如发现下列情形之一的，将被视为投标无效：</w:t>
      </w:r>
    </w:p>
    <w:p w14:paraId="753C0AA1">
      <w:pPr>
        <w:pStyle w:val="21"/>
        <w:spacing w:line="360" w:lineRule="exact"/>
        <w:ind w:firstLine="394" w:firstLineChars="196"/>
        <w:outlineLvl w:val="0"/>
        <w:rPr>
          <w:rFonts w:hAnsi="宋体"/>
          <w:b/>
        </w:rPr>
      </w:pPr>
      <w:r>
        <w:rPr>
          <w:rFonts w:hint="eastAsia" w:hAnsi="宋体"/>
          <w:b/>
        </w:rPr>
        <w:t>（1）投标文件未按招标文件要求签署、盖章的；</w:t>
      </w:r>
    </w:p>
    <w:p w14:paraId="481BFD4A">
      <w:pPr>
        <w:pStyle w:val="21"/>
        <w:spacing w:line="360" w:lineRule="exact"/>
        <w:ind w:firstLine="394" w:firstLineChars="196"/>
        <w:outlineLvl w:val="0"/>
        <w:rPr>
          <w:rFonts w:hAnsi="宋体"/>
          <w:b/>
        </w:rPr>
      </w:pPr>
      <w:r>
        <w:rPr>
          <w:rFonts w:hint="eastAsia" w:hAnsi="宋体"/>
          <w:b/>
        </w:rPr>
        <w:t>（2）委托代理人未能出具有效身份证明或出具的身份证明与授权委托书中的信息不符的；</w:t>
      </w:r>
    </w:p>
    <w:p w14:paraId="0329BF64">
      <w:pPr>
        <w:pStyle w:val="21"/>
        <w:spacing w:line="360" w:lineRule="exact"/>
        <w:ind w:firstLine="394" w:firstLineChars="196"/>
        <w:outlineLvl w:val="0"/>
        <w:rPr>
          <w:rFonts w:hAnsi="宋体"/>
          <w:b/>
        </w:rPr>
      </w:pPr>
      <w:r>
        <w:rPr>
          <w:rFonts w:hint="eastAsia" w:hAnsi="宋体"/>
          <w:b/>
        </w:rPr>
        <w:t>（3）为无效投标保证金的或未按照招标文件的规定提交投标保证金的；</w:t>
      </w:r>
    </w:p>
    <w:p w14:paraId="5A87732D">
      <w:pPr>
        <w:pStyle w:val="21"/>
        <w:spacing w:line="360" w:lineRule="exact"/>
        <w:ind w:firstLine="394" w:firstLineChars="196"/>
        <w:outlineLvl w:val="0"/>
        <w:rPr>
          <w:rFonts w:hAnsi="宋体"/>
          <w:b/>
        </w:rPr>
      </w:pPr>
      <w:r>
        <w:rPr>
          <w:rFonts w:hint="eastAsia" w:hAnsi="宋体"/>
          <w:b/>
        </w:rPr>
        <w:t>（4）投标文件未提供“投标人须知前附表”第</w:t>
      </w:r>
      <w:r>
        <w:rPr>
          <w:rFonts w:hAnsi="宋体"/>
          <w:b/>
        </w:rPr>
        <w:t>8</w:t>
      </w:r>
      <w:r>
        <w:rPr>
          <w:rFonts w:hint="eastAsia" w:hAnsi="宋体"/>
          <w:b/>
        </w:rPr>
        <w:t xml:space="preserve"> 条规定中“必须提供”或者“委托时必须提供”的文件资料的;</w:t>
      </w:r>
    </w:p>
    <w:p w14:paraId="3BE68969">
      <w:pPr>
        <w:pStyle w:val="21"/>
        <w:spacing w:line="360" w:lineRule="exact"/>
        <w:ind w:firstLine="394" w:firstLineChars="196"/>
        <w:outlineLvl w:val="0"/>
        <w:rPr>
          <w:rFonts w:hAnsi="宋体"/>
          <w:b/>
        </w:rPr>
      </w:pPr>
      <w:r>
        <w:rPr>
          <w:rFonts w:hint="eastAsia" w:hAnsi="宋体"/>
          <w:b/>
        </w:rPr>
        <w:t>（5）投标有效期、项目完成时间（交货时间、服务完成时间或服务期等）、质保期、售后服务等招标文件中标“▲”的商务条款发生负偏离的；</w:t>
      </w:r>
    </w:p>
    <w:p w14:paraId="4098C982">
      <w:pPr>
        <w:pStyle w:val="21"/>
        <w:spacing w:line="360" w:lineRule="exact"/>
        <w:ind w:firstLine="394" w:firstLineChars="196"/>
        <w:outlineLvl w:val="0"/>
        <w:rPr>
          <w:rFonts w:hAnsi="宋体"/>
          <w:b/>
        </w:rPr>
      </w:pPr>
      <w:r>
        <w:rPr>
          <w:rFonts w:hint="eastAsia" w:hAnsi="宋体"/>
          <w:b/>
        </w:rPr>
        <w:t>（6）商务评审允许负偏离的项目数超过“投标人须知前附表”规定项数的（如有）。</w:t>
      </w:r>
    </w:p>
    <w:p w14:paraId="268364E0">
      <w:pPr>
        <w:pStyle w:val="21"/>
        <w:spacing w:line="360" w:lineRule="exact"/>
        <w:ind w:firstLine="394" w:firstLineChars="196"/>
        <w:outlineLvl w:val="0"/>
        <w:rPr>
          <w:rFonts w:hAnsi="宋体"/>
          <w:b/>
        </w:rPr>
      </w:pPr>
      <w:r>
        <w:rPr>
          <w:rFonts w:hint="eastAsia" w:hAnsi="宋体"/>
          <w:b/>
        </w:rPr>
        <w:t>（7）投标文件的实质性内容未使用中文表述、使用计量单位不符合招标文件要求的；</w:t>
      </w:r>
    </w:p>
    <w:p w14:paraId="0D884A0C">
      <w:pPr>
        <w:pStyle w:val="21"/>
        <w:spacing w:line="360" w:lineRule="exact"/>
        <w:ind w:firstLine="394" w:firstLineChars="196"/>
        <w:outlineLvl w:val="0"/>
        <w:rPr>
          <w:rFonts w:hAnsi="宋体"/>
          <w:b/>
        </w:rPr>
      </w:pPr>
      <w:r>
        <w:rPr>
          <w:rFonts w:hint="eastAsia" w:hAnsi="宋体"/>
          <w:b/>
        </w:rPr>
        <w:t>（8）投标文件中的文件资料因填写不齐全或者内容虚假或者出现其他情形而导致被评标委员会认定无效的；</w:t>
      </w:r>
    </w:p>
    <w:p w14:paraId="4C7BCF1E">
      <w:pPr>
        <w:pStyle w:val="21"/>
        <w:spacing w:line="360" w:lineRule="exact"/>
        <w:ind w:firstLine="394" w:firstLineChars="196"/>
        <w:outlineLvl w:val="0"/>
        <w:rPr>
          <w:rFonts w:hAnsi="宋体"/>
          <w:b/>
        </w:rPr>
      </w:pPr>
      <w:r>
        <w:rPr>
          <w:rFonts w:hint="eastAsia" w:hAnsi="宋体"/>
          <w:b/>
        </w:rPr>
        <w:t>（9）投标文件含有招标人不能接受的附加条件的；</w:t>
      </w:r>
    </w:p>
    <w:p w14:paraId="1B975DDD">
      <w:pPr>
        <w:pStyle w:val="21"/>
        <w:spacing w:line="360" w:lineRule="exact"/>
        <w:ind w:firstLine="394" w:firstLineChars="196"/>
        <w:outlineLvl w:val="0"/>
        <w:rPr>
          <w:rFonts w:hAnsi="宋体"/>
          <w:b/>
        </w:rPr>
      </w:pPr>
      <w:r>
        <w:rPr>
          <w:rFonts w:hint="eastAsia" w:hAnsi="宋体"/>
          <w:b/>
        </w:rPr>
        <w:t>（10）未响应招标文件实质性要求的；</w:t>
      </w:r>
    </w:p>
    <w:p w14:paraId="50B48A46">
      <w:pPr>
        <w:pStyle w:val="21"/>
        <w:spacing w:line="360" w:lineRule="exact"/>
        <w:ind w:firstLine="394" w:firstLineChars="196"/>
        <w:outlineLvl w:val="0"/>
        <w:rPr>
          <w:rFonts w:hAnsi="宋体"/>
          <w:b/>
        </w:rPr>
      </w:pPr>
      <w:r>
        <w:rPr>
          <w:rFonts w:hint="eastAsia" w:hAnsi="宋体"/>
          <w:b/>
        </w:rPr>
        <w:t>（1</w:t>
      </w:r>
      <w:r>
        <w:rPr>
          <w:rFonts w:hint="eastAsia" w:hAnsi="宋体"/>
          <w:b/>
          <w:lang w:val="en-US"/>
        </w:rPr>
        <w:t>1</w:t>
      </w:r>
      <w:r>
        <w:rPr>
          <w:rFonts w:hint="eastAsia" w:hAnsi="宋体"/>
          <w:b/>
        </w:rPr>
        <w:t>）法律、法规和招标文件规定的其他无效情形。</w:t>
      </w:r>
    </w:p>
    <w:p w14:paraId="7BD21AD8">
      <w:pPr>
        <w:pStyle w:val="21"/>
        <w:spacing w:line="360" w:lineRule="exact"/>
        <w:ind w:firstLine="394" w:firstLineChars="196"/>
        <w:outlineLvl w:val="0"/>
        <w:rPr>
          <w:rFonts w:hAnsi="宋体"/>
          <w:b/>
        </w:rPr>
      </w:pPr>
      <w:r>
        <w:rPr>
          <w:rFonts w:hint="eastAsia" w:hAnsi="宋体"/>
          <w:b/>
        </w:rPr>
        <w:t>2.3 在技术评审时，如发现下列情形之一的，将被视为投标无效：</w:t>
      </w:r>
    </w:p>
    <w:p w14:paraId="431AFB6F">
      <w:pPr>
        <w:pStyle w:val="21"/>
        <w:spacing w:line="360" w:lineRule="exact"/>
        <w:ind w:firstLine="394" w:firstLineChars="196"/>
        <w:outlineLvl w:val="0"/>
        <w:rPr>
          <w:rFonts w:hAnsi="宋体"/>
          <w:b/>
        </w:rPr>
      </w:pPr>
      <w:r>
        <w:rPr>
          <w:rFonts w:hint="eastAsia" w:hAnsi="宋体"/>
          <w:b/>
        </w:rPr>
        <w:t>（1）明显不满足招标文件要求的技术规格、安全、质量标准，或者与招标文件中标“▲”的技术指标、主要功能发生负偏离的；</w:t>
      </w:r>
    </w:p>
    <w:p w14:paraId="1A4799A7">
      <w:pPr>
        <w:pStyle w:val="21"/>
        <w:spacing w:line="360" w:lineRule="exact"/>
        <w:ind w:firstLine="394" w:firstLineChars="196"/>
        <w:outlineLvl w:val="0"/>
        <w:rPr>
          <w:rFonts w:hAnsi="宋体"/>
          <w:b/>
        </w:rPr>
      </w:pPr>
      <w:r>
        <w:rPr>
          <w:rFonts w:hint="eastAsia" w:hAnsi="宋体"/>
          <w:b/>
        </w:rPr>
        <w:t>（2）技术评审允许负偏离的项目数超过“投标人须知前附表”规定项数的；</w:t>
      </w:r>
    </w:p>
    <w:p w14:paraId="2B90034F">
      <w:pPr>
        <w:pStyle w:val="21"/>
        <w:spacing w:line="360" w:lineRule="exact"/>
        <w:ind w:firstLine="394" w:firstLineChars="196"/>
        <w:outlineLvl w:val="0"/>
        <w:rPr>
          <w:rFonts w:hAnsi="宋体"/>
          <w:b/>
        </w:rPr>
      </w:pPr>
      <w:r>
        <w:rPr>
          <w:rFonts w:hint="eastAsia" w:hAnsi="宋体"/>
          <w:b/>
        </w:rPr>
        <w:t>（3）投标文件未提供“投标人须知前附表”第</w:t>
      </w:r>
      <w:r>
        <w:rPr>
          <w:rFonts w:hAnsi="宋体"/>
          <w:b/>
        </w:rPr>
        <w:t>8</w:t>
      </w:r>
      <w:r>
        <w:rPr>
          <w:rFonts w:hint="eastAsia" w:hAnsi="宋体"/>
          <w:b/>
        </w:rPr>
        <w:t>条规定中“必须提供”的文件资料的;</w:t>
      </w:r>
    </w:p>
    <w:p w14:paraId="51EEDE5B">
      <w:pPr>
        <w:pStyle w:val="21"/>
        <w:spacing w:line="360" w:lineRule="exact"/>
        <w:ind w:firstLine="394" w:firstLineChars="196"/>
        <w:outlineLvl w:val="0"/>
        <w:rPr>
          <w:rFonts w:hAnsi="宋体"/>
          <w:b/>
        </w:rPr>
      </w:pPr>
      <w:r>
        <w:rPr>
          <w:rFonts w:hint="eastAsia" w:hAnsi="宋体"/>
          <w:b/>
        </w:rPr>
        <w:t>（4）虚假投标，或者出现其他情形而导致被评标委员会认定无效的；</w:t>
      </w:r>
    </w:p>
    <w:p w14:paraId="5D8CA87F">
      <w:pPr>
        <w:pStyle w:val="21"/>
        <w:spacing w:line="360" w:lineRule="exact"/>
        <w:ind w:firstLine="394" w:firstLineChars="196"/>
        <w:outlineLvl w:val="0"/>
        <w:rPr>
          <w:rFonts w:hAnsi="宋体"/>
          <w:b/>
        </w:rPr>
      </w:pPr>
      <w:r>
        <w:rPr>
          <w:rFonts w:hint="eastAsia" w:hAnsi="宋体"/>
          <w:b/>
        </w:rPr>
        <w:t>（5）投标技术方案不明确，招标文件未允许但存在一个或一个以上备选（替代）投标方案的。</w:t>
      </w:r>
    </w:p>
    <w:p w14:paraId="1C507995">
      <w:pPr>
        <w:pStyle w:val="21"/>
        <w:spacing w:line="360" w:lineRule="exact"/>
        <w:ind w:firstLine="392" w:firstLineChars="196"/>
        <w:outlineLvl w:val="0"/>
        <w:rPr>
          <w:rFonts w:hAnsi="宋体"/>
          <w:bCs/>
        </w:rPr>
      </w:pPr>
      <w:r>
        <w:rPr>
          <w:rFonts w:hint="eastAsia" w:hAnsi="宋体"/>
          <w:bCs/>
        </w:rPr>
        <w:t>3 澄清补正</w:t>
      </w:r>
    </w:p>
    <w:p w14:paraId="128B4FB2">
      <w:pPr>
        <w:pStyle w:val="21"/>
        <w:spacing w:line="360" w:lineRule="exact"/>
        <w:ind w:firstLine="392" w:firstLineChars="196"/>
        <w:outlineLvl w:val="0"/>
        <w:rPr>
          <w:rFonts w:hAnsi="宋体"/>
          <w:bCs/>
        </w:rPr>
      </w:pPr>
      <w:r>
        <w:rPr>
          <w:rFonts w:hint="eastAsia" w:hAnsi="宋体"/>
          <w:bCs/>
        </w:rPr>
        <w:t>对投标文件中含义不明确、同类问题表述不一致或者有明显文字和计算错误的内容，评标委员会应当以书面形式要求投标人在规定时间内作出必要的澄清、说明或者纠正。投标人的澄清、说明或者补正应当采用书面形式，并加盖公章，或者由法定代表人（经营者或自然人）或其授权的代表签字。投标人的澄清、说明或者补正不得超出投标文件的范围或者改变投标文件的实质性内容。</w:t>
      </w:r>
    </w:p>
    <w:p w14:paraId="44A31D86">
      <w:pPr>
        <w:pStyle w:val="21"/>
        <w:spacing w:line="360" w:lineRule="exact"/>
        <w:ind w:firstLine="392" w:firstLineChars="196"/>
        <w:outlineLvl w:val="0"/>
        <w:rPr>
          <w:rFonts w:hAnsi="宋体"/>
          <w:bCs/>
        </w:rPr>
      </w:pPr>
      <w:r>
        <w:rPr>
          <w:rFonts w:hint="eastAsia" w:hAnsi="宋体"/>
          <w:bCs/>
        </w:rPr>
        <w:t>4 比较与评价</w:t>
      </w:r>
    </w:p>
    <w:p w14:paraId="0A19C40B">
      <w:pPr>
        <w:pStyle w:val="21"/>
        <w:spacing w:line="360" w:lineRule="exact"/>
        <w:ind w:firstLine="392" w:firstLineChars="196"/>
        <w:outlineLvl w:val="0"/>
        <w:rPr>
          <w:rFonts w:hAnsi="宋体"/>
          <w:bCs/>
        </w:rPr>
      </w:pPr>
      <w:r>
        <w:rPr>
          <w:rFonts w:hint="eastAsia" w:hAnsi="宋体"/>
          <w:bCs/>
        </w:rPr>
        <w:t>（1）评标委员会按照招标文件中规定的评标方法和评标标准，对符合性审查合格的投标文件进行商务和技术评估，综合比较与评价。</w:t>
      </w:r>
    </w:p>
    <w:p w14:paraId="68CA1E7C">
      <w:pPr>
        <w:pStyle w:val="21"/>
        <w:spacing w:line="360" w:lineRule="exact"/>
        <w:ind w:firstLine="392" w:firstLineChars="196"/>
        <w:outlineLvl w:val="0"/>
        <w:rPr>
          <w:rFonts w:hAnsi="宋体"/>
          <w:bCs/>
        </w:rPr>
      </w:pPr>
      <w:r>
        <w:rPr>
          <w:rFonts w:hint="eastAsia" w:hAnsi="宋体"/>
          <w:bCs/>
        </w:rPr>
        <w:t>（2）评标委员会应当独立对每个投标人的投标文件进行评价，并汇总每个投标人的得分。</w:t>
      </w:r>
    </w:p>
    <w:p w14:paraId="78263B59">
      <w:pPr>
        <w:pStyle w:val="21"/>
        <w:spacing w:line="360" w:lineRule="exact"/>
        <w:ind w:firstLine="392" w:firstLineChars="196"/>
        <w:outlineLvl w:val="0"/>
        <w:rPr>
          <w:rFonts w:hAnsi="宋体"/>
          <w:bCs/>
        </w:rPr>
      </w:pPr>
      <w:r>
        <w:rPr>
          <w:rFonts w:hint="eastAsia" w:hAnsi="宋体"/>
          <w:bCs/>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FF6BE8F">
      <w:pPr>
        <w:pStyle w:val="21"/>
        <w:spacing w:line="360" w:lineRule="exact"/>
        <w:ind w:firstLine="392" w:firstLineChars="196"/>
        <w:outlineLvl w:val="0"/>
        <w:rPr>
          <w:rFonts w:hAnsi="宋体"/>
          <w:bCs/>
        </w:rPr>
      </w:pPr>
      <w:r>
        <w:rPr>
          <w:rFonts w:hint="eastAsia" w:hAnsi="宋体"/>
          <w:bCs/>
        </w:rPr>
        <w:t>（3）评标委员会按照招标文件中规定的评标方法和标准计算各投标人的报价得分。在计算过程中，不得去掉最高报价或最低报价。</w:t>
      </w:r>
    </w:p>
    <w:p w14:paraId="2CD2FAA2">
      <w:pPr>
        <w:pStyle w:val="21"/>
        <w:spacing w:line="360" w:lineRule="exact"/>
        <w:ind w:firstLine="392" w:firstLineChars="196"/>
        <w:outlineLvl w:val="0"/>
        <w:rPr>
          <w:rFonts w:hAnsi="宋体"/>
          <w:bCs/>
        </w:rPr>
      </w:pPr>
      <w:r>
        <w:rPr>
          <w:rFonts w:hint="eastAsia" w:hAnsi="宋体"/>
          <w:bCs/>
        </w:rPr>
        <w:t>（4）各投标人的得分为所有评委的有效评分的算术平均数。</w:t>
      </w:r>
    </w:p>
    <w:p w14:paraId="4D237D0A">
      <w:pPr>
        <w:pStyle w:val="21"/>
        <w:spacing w:line="360" w:lineRule="exact"/>
        <w:ind w:firstLine="392" w:firstLineChars="196"/>
        <w:outlineLvl w:val="0"/>
        <w:rPr>
          <w:rFonts w:hAnsi="宋体"/>
          <w:bCs/>
        </w:rPr>
      </w:pPr>
      <w:r>
        <w:rPr>
          <w:rFonts w:hint="eastAsia" w:hAnsi="宋体"/>
          <w:bCs/>
        </w:rPr>
        <w:t>（5）评标委员会按照招标文件中的规定推荐中标候选人。</w:t>
      </w:r>
    </w:p>
    <w:p w14:paraId="57A88D1F">
      <w:pPr>
        <w:pStyle w:val="21"/>
        <w:spacing w:line="360" w:lineRule="exact"/>
        <w:ind w:firstLine="392" w:firstLineChars="196"/>
        <w:outlineLvl w:val="0"/>
        <w:rPr>
          <w:rFonts w:hAnsi="宋体"/>
          <w:bCs/>
        </w:rPr>
      </w:pPr>
      <w:r>
        <w:rPr>
          <w:rFonts w:hint="eastAsia" w:hAnsi="宋体"/>
          <w:bCs/>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6B9F90DC">
      <w:pPr>
        <w:pStyle w:val="21"/>
        <w:spacing w:line="360" w:lineRule="exact"/>
        <w:ind w:firstLine="392" w:firstLineChars="196"/>
        <w:outlineLvl w:val="0"/>
        <w:rPr>
          <w:rFonts w:hAnsi="宋体"/>
          <w:bCs/>
        </w:rPr>
      </w:pPr>
      <w:r>
        <w:rPr>
          <w:rFonts w:hint="eastAsia" w:hAnsi="宋体"/>
          <w:bCs/>
        </w:rPr>
        <w:t>5 投标文件修正</w:t>
      </w:r>
    </w:p>
    <w:p w14:paraId="5CAC3BAF">
      <w:pPr>
        <w:pStyle w:val="21"/>
        <w:spacing w:line="360" w:lineRule="exact"/>
        <w:ind w:firstLine="392" w:firstLineChars="196"/>
        <w:outlineLvl w:val="0"/>
        <w:rPr>
          <w:rFonts w:hAnsi="宋体"/>
          <w:bCs/>
        </w:rPr>
      </w:pPr>
      <w:r>
        <w:rPr>
          <w:rFonts w:hint="eastAsia" w:hAnsi="宋体"/>
          <w:bCs/>
        </w:rPr>
        <w:t>5.1 投标文件报价出现前后不一致的，按照下列规定修正：</w:t>
      </w:r>
    </w:p>
    <w:p w14:paraId="260B58EE">
      <w:pPr>
        <w:pStyle w:val="21"/>
        <w:spacing w:line="360" w:lineRule="exact"/>
        <w:ind w:firstLine="392" w:firstLineChars="196"/>
        <w:outlineLvl w:val="0"/>
        <w:rPr>
          <w:rFonts w:hAnsi="宋体"/>
          <w:bCs/>
        </w:rPr>
      </w:pPr>
      <w:r>
        <w:rPr>
          <w:rFonts w:hint="eastAsia" w:hAnsi="宋体"/>
          <w:bCs/>
        </w:rPr>
        <w:t>（1）投标文件中开标一览表（报价表）内容与投标文件中相应内容不一致的，以开标一览表（报</w:t>
      </w:r>
    </w:p>
    <w:p w14:paraId="2A8A49C6">
      <w:pPr>
        <w:pStyle w:val="21"/>
        <w:spacing w:line="360" w:lineRule="exact"/>
        <w:outlineLvl w:val="0"/>
        <w:rPr>
          <w:rFonts w:hAnsi="宋体"/>
          <w:bCs/>
        </w:rPr>
      </w:pPr>
      <w:r>
        <w:rPr>
          <w:rFonts w:hint="eastAsia" w:hAnsi="宋体"/>
          <w:bCs/>
        </w:rPr>
        <w:t>价表）为准；</w:t>
      </w:r>
    </w:p>
    <w:p w14:paraId="7A3F6FD8">
      <w:pPr>
        <w:pStyle w:val="21"/>
        <w:spacing w:line="360" w:lineRule="exact"/>
        <w:ind w:firstLine="392" w:firstLineChars="196"/>
        <w:outlineLvl w:val="0"/>
        <w:rPr>
          <w:rFonts w:hAnsi="宋体"/>
          <w:bCs/>
        </w:rPr>
      </w:pPr>
      <w:r>
        <w:rPr>
          <w:rFonts w:hint="eastAsia" w:hAnsi="宋体"/>
          <w:bCs/>
        </w:rPr>
        <w:t>（2）大写金额和小写金额不一致的，以大写金额为准；</w:t>
      </w:r>
    </w:p>
    <w:p w14:paraId="177D523F">
      <w:pPr>
        <w:pStyle w:val="21"/>
        <w:spacing w:line="360" w:lineRule="exact"/>
        <w:ind w:firstLine="392" w:firstLineChars="196"/>
        <w:outlineLvl w:val="0"/>
        <w:rPr>
          <w:rFonts w:hAnsi="宋体"/>
          <w:bCs/>
        </w:rPr>
      </w:pPr>
      <w:r>
        <w:rPr>
          <w:rFonts w:hint="eastAsia" w:hAnsi="宋体"/>
          <w:bCs/>
        </w:rPr>
        <w:t>（3）单价金额小数点或者百分比有明显错位的，以开标一览表的总价为准，并修改单价；</w:t>
      </w:r>
    </w:p>
    <w:p w14:paraId="4803AC5E">
      <w:pPr>
        <w:pStyle w:val="21"/>
        <w:spacing w:line="360" w:lineRule="exact"/>
        <w:ind w:firstLine="392" w:firstLineChars="196"/>
        <w:outlineLvl w:val="0"/>
        <w:rPr>
          <w:rFonts w:hAnsi="宋体"/>
          <w:bCs/>
        </w:rPr>
      </w:pPr>
      <w:r>
        <w:rPr>
          <w:rFonts w:hint="eastAsia" w:hAnsi="宋体"/>
          <w:bCs/>
        </w:rPr>
        <w:t>（4）总价金额与按单价汇总金额不一致的，以单价金额计算结果为准。</w:t>
      </w:r>
    </w:p>
    <w:p w14:paraId="423A336F">
      <w:pPr>
        <w:pStyle w:val="21"/>
        <w:spacing w:line="360" w:lineRule="exact"/>
        <w:ind w:firstLine="392" w:firstLineChars="196"/>
        <w:outlineLvl w:val="0"/>
        <w:rPr>
          <w:rFonts w:hAnsi="宋体"/>
          <w:bCs/>
        </w:rPr>
      </w:pPr>
      <w:r>
        <w:rPr>
          <w:rFonts w:hint="eastAsia" w:hAnsi="宋体"/>
          <w:bCs/>
        </w:rPr>
        <w:t>同时出现两种以上不一致的，按照以上（1）-（4）规定的顺序修正。修正后的报价经投标人确认后产生约束力，投标人不确认的，其投标无效。</w:t>
      </w:r>
    </w:p>
    <w:p w14:paraId="0A786DA6">
      <w:pPr>
        <w:pStyle w:val="21"/>
        <w:spacing w:line="360" w:lineRule="exact"/>
        <w:ind w:firstLine="392" w:firstLineChars="196"/>
        <w:outlineLvl w:val="0"/>
        <w:rPr>
          <w:rFonts w:hAnsi="宋体"/>
          <w:bCs/>
        </w:rPr>
      </w:pPr>
      <w:r>
        <w:rPr>
          <w:rFonts w:hint="eastAsia" w:hAnsi="宋体"/>
          <w:bCs/>
        </w:rPr>
        <w:t>5.2 经投标人确认修正后的报价若超过采购预算金额，投标人的投标文件作无效投标处理。</w:t>
      </w:r>
    </w:p>
    <w:p w14:paraId="3CA4A566">
      <w:pPr>
        <w:pStyle w:val="21"/>
        <w:spacing w:line="360" w:lineRule="exact"/>
        <w:ind w:firstLine="392" w:firstLineChars="196"/>
        <w:outlineLvl w:val="0"/>
        <w:rPr>
          <w:rFonts w:hAnsi="宋体"/>
          <w:bCs/>
        </w:rPr>
      </w:pPr>
      <w:r>
        <w:rPr>
          <w:rFonts w:hint="eastAsia" w:hAnsi="宋体"/>
          <w:bCs/>
        </w:rPr>
        <w:t>5.3 经投标人确认修正后的报价作为签订合同的一个依据，并以此报价计算价格分。</w:t>
      </w:r>
    </w:p>
    <w:p w14:paraId="697610F1">
      <w:pPr>
        <w:pStyle w:val="21"/>
        <w:spacing w:line="360" w:lineRule="exact"/>
        <w:ind w:firstLine="392" w:firstLineChars="196"/>
        <w:outlineLvl w:val="0"/>
        <w:rPr>
          <w:rFonts w:hAnsi="宋体"/>
          <w:bCs/>
        </w:rPr>
      </w:pPr>
      <w:r>
        <w:rPr>
          <w:rFonts w:hint="eastAsia" w:hAnsi="宋体"/>
          <w:bCs/>
        </w:rPr>
        <w:t>6.评标过程的监控</w:t>
      </w:r>
    </w:p>
    <w:p w14:paraId="4ACEE7B2">
      <w:pPr>
        <w:pStyle w:val="21"/>
        <w:spacing w:line="360" w:lineRule="exact"/>
        <w:ind w:firstLine="394" w:firstLineChars="196"/>
        <w:outlineLvl w:val="0"/>
        <w:rPr>
          <w:rFonts w:hint="eastAsia" w:hAnsi="宋体"/>
          <w:b/>
        </w:rPr>
      </w:pPr>
      <w:r>
        <w:rPr>
          <w:rFonts w:hint="eastAsia" w:hAnsi="宋体"/>
          <w:b/>
        </w:rPr>
        <w:t>本项目评标过程实行全程录音、录像监控，投标人在评标过程中所进行的试图影响评标结果的不公正活动，可能导致其投标按无效处理。</w:t>
      </w:r>
    </w:p>
    <w:p w14:paraId="332B3976">
      <w:pPr>
        <w:pStyle w:val="21"/>
        <w:spacing w:line="360" w:lineRule="exact"/>
        <w:ind w:firstLine="394" w:firstLineChars="196"/>
        <w:outlineLvl w:val="0"/>
        <w:rPr>
          <w:rFonts w:hint="eastAsia" w:hAnsi="宋体"/>
          <w:b/>
          <w:lang w:val="en-US" w:eastAsia="zh-CN"/>
        </w:rPr>
      </w:pPr>
      <w:r>
        <w:rPr>
          <w:rFonts w:hint="eastAsia" w:hAnsi="宋体"/>
          <w:b/>
          <w:lang w:val="en-US" w:eastAsia="zh-CN"/>
        </w:rPr>
        <w:t>（四）政府采购评审中出现下列情形之一的，评审委员会应当启动异常低价投标（响应）审查程序：</w:t>
      </w:r>
    </w:p>
    <w:p w14:paraId="2EA2B305">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1.投标（响应）报价低于全部通过符合性审查供应商投标（响应）报价平均值50%的，即投标（应）报价&lt;全部通过符合性审查供应商投标（响应）报价平均值×50%；</w:t>
      </w:r>
    </w:p>
    <w:p w14:paraId="182923BA">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2.投标（响应）报价低于通过符合性审查的次低报价供应商投标（响应）报价50%的，即投标（响应）报价&lt;通过符合性审查的次低报价供应商投标（响应）报价×50%；</w:t>
      </w:r>
    </w:p>
    <w:p w14:paraId="312F094E">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3.投标（响应）报价低于采购项目最高限价45%的，即投标（响应）报价&lt;采购项目最高限价×45%；</w:t>
      </w:r>
    </w:p>
    <w:p w14:paraId="6544B1FC">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4.评审委员会基于专业判断，认为供应商报价过低，有可能影响产品质量或者不能诚信履约的其他情形。</w:t>
      </w:r>
    </w:p>
    <w:p w14:paraId="1096A6A7">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采购人可以结合具体项目实际情况，提高上述第1项至第3项中启动异常低价投标（响应）审查的数值标准，但是最高不得超过65%。</w:t>
      </w:r>
    </w:p>
    <w:p w14:paraId="370642B4">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相关法律法规对供应商报价有规定的，从其规定。</w:t>
      </w:r>
    </w:p>
    <w:p w14:paraId="39CA0BC4">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五）评审委员会启动异常低价投标（响应）审查后，属于前述第1项至第4项情形的，应当要求相关供应商在评审现场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59674C7C">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36BDC82">
      <w:pPr>
        <w:pStyle w:val="21"/>
        <w:spacing w:line="360" w:lineRule="exact"/>
        <w:ind w:firstLine="394" w:firstLineChars="196"/>
        <w:outlineLvl w:val="0"/>
        <w:rPr>
          <w:rFonts w:hint="eastAsia" w:hAnsi="宋体"/>
          <w:b/>
          <w:lang w:eastAsia="zh-CN"/>
        </w:rPr>
      </w:pPr>
      <w:r>
        <w:rPr>
          <w:rFonts w:hint="eastAsia" w:hAnsi="宋体"/>
          <w:b/>
          <w:lang w:eastAsia="zh-CN"/>
        </w:rPr>
        <w:t>（</w:t>
      </w:r>
      <w:r>
        <w:rPr>
          <w:rFonts w:hint="eastAsia" w:hAnsi="宋体"/>
          <w:b/>
          <w:lang w:val="en-US" w:eastAsia="zh-CN"/>
        </w:rPr>
        <w:t>六</w:t>
      </w:r>
      <w:r>
        <w:rPr>
          <w:rFonts w:hint="eastAsia" w:hAnsi="宋体"/>
          <w:b/>
          <w:lang w:eastAsia="zh-CN"/>
        </w:rPr>
        <w:t>）对本国产品的支持政策</w:t>
      </w:r>
    </w:p>
    <w:p w14:paraId="4F3F1105">
      <w:pPr>
        <w:pStyle w:val="21"/>
        <w:spacing w:line="360" w:lineRule="exact"/>
        <w:ind w:firstLine="392" w:firstLineChars="196"/>
        <w:outlineLvl w:val="0"/>
        <w:rPr>
          <w:rFonts w:hint="eastAsia" w:ascii="宋体" w:hAnsi="宋体" w:eastAsia="宋体" w:cs="Times New Roman"/>
          <w:bCs/>
          <w:lang w:val="en-US" w:eastAsia="zh-CN"/>
        </w:rPr>
      </w:pPr>
      <w:r>
        <w:rPr>
          <w:rFonts w:hint="eastAsia" w:ascii="宋体" w:hAnsi="宋体" w:eastAsia="宋体" w:cs="Times New Roman"/>
          <w:bCs/>
          <w:lang w:val="en-US" w:eastAsia="zh-CN"/>
        </w:rPr>
        <w:t>政府采购活动中既有本国产品又有非本国产品参与竞争的，依法对本国产品给予价格评审优惠，对本国产品的报价给予20%的价格扣除，用扣除后的价格参与评审。</w:t>
      </w:r>
    </w:p>
    <w:p w14:paraId="74FE8CEC">
      <w:pPr>
        <w:pStyle w:val="21"/>
        <w:spacing w:line="360" w:lineRule="exact"/>
        <w:ind w:firstLine="392" w:firstLineChars="196"/>
        <w:outlineLvl w:val="0"/>
        <w:rPr>
          <w:rFonts w:hint="eastAsia" w:hAnsi="宋体"/>
          <w:b/>
        </w:rPr>
      </w:pPr>
      <w:r>
        <w:rPr>
          <w:rFonts w:hint="eastAsia" w:ascii="宋体" w:hAnsi="宋体" w:eastAsia="宋体" w:cs="Times New Roman"/>
          <w:bCs/>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3936C73">
      <w:pPr>
        <w:pStyle w:val="21"/>
        <w:spacing w:line="360" w:lineRule="exact"/>
        <w:ind w:firstLine="394" w:firstLineChars="196"/>
        <w:outlineLvl w:val="0"/>
        <w:rPr>
          <w:rFonts w:hAnsi="宋体"/>
          <w:b/>
        </w:rPr>
      </w:pPr>
      <w:r>
        <w:rPr>
          <w:rFonts w:hint="eastAsia" w:hAnsi="宋体"/>
          <w:b/>
        </w:rPr>
        <w:t>二、评定方法</w:t>
      </w:r>
    </w:p>
    <w:p w14:paraId="2FCEE6AB">
      <w:pPr>
        <w:widowControl/>
        <w:spacing w:line="360" w:lineRule="exact"/>
        <w:ind w:firstLine="420" w:firstLineChars="200"/>
        <w:jc w:val="left"/>
        <w:outlineLvl w:val="0"/>
        <w:rPr>
          <w:rFonts w:ascii="宋体" w:hAnsi="宋体" w:cs="Courier New"/>
          <w:bCs/>
          <w:szCs w:val="21"/>
        </w:rPr>
      </w:pPr>
      <w:r>
        <w:rPr>
          <w:rFonts w:hint="eastAsia" w:ascii="宋体" w:hAnsi="宋体" w:cs="Courier New"/>
          <w:bCs/>
          <w:szCs w:val="21"/>
        </w:rPr>
        <w:t>（一）对进入详评的，采用百分制综合评分法。</w:t>
      </w:r>
    </w:p>
    <w:p w14:paraId="23948CD6">
      <w:pPr>
        <w:pStyle w:val="21"/>
        <w:spacing w:line="360" w:lineRule="exact"/>
        <w:ind w:firstLine="392" w:firstLineChars="196"/>
        <w:outlineLvl w:val="0"/>
        <w:rPr>
          <w:rFonts w:hAnsi="宋体"/>
          <w:bCs/>
        </w:rPr>
      </w:pPr>
      <w:r>
        <w:rPr>
          <w:rFonts w:hint="eastAsia" w:hAnsi="宋体"/>
          <w:bCs/>
        </w:rPr>
        <w:t>（二）计分办法（按四舍五入取至百分位）。</w:t>
      </w:r>
    </w:p>
    <w:p w14:paraId="0A40FFE8">
      <w:pPr>
        <w:pStyle w:val="148"/>
        <w:spacing w:line="360" w:lineRule="exact"/>
        <w:ind w:firstLine="420" w:firstLineChars="200"/>
        <w:rPr>
          <w:b/>
          <w:bCs/>
        </w:rPr>
      </w:pPr>
      <w:r>
        <w:rPr>
          <w:rFonts w:hint="eastAsia"/>
          <w:b/>
          <w:bCs/>
        </w:rPr>
        <w:t>1.价格分…………………………………………………………………………………………30分</w:t>
      </w:r>
    </w:p>
    <w:p w14:paraId="7DFF3D41">
      <w:pPr>
        <w:pStyle w:val="149"/>
        <w:adjustRightInd w:val="0"/>
        <w:snapToGrid w:val="0"/>
        <w:spacing w:line="360" w:lineRule="exact"/>
        <w:ind w:firstLine="378" w:firstLineChars="180"/>
      </w:pPr>
      <w:r>
        <w:rPr>
          <w:rFonts w:hint="eastAsia"/>
        </w:rPr>
        <w:t>（1）</w:t>
      </w:r>
      <w:r>
        <w:rPr>
          <w:rFonts w:hint="eastAsia" w:ascii="Times New Roman" w:hAnsi="Times New Roman"/>
          <w:bCs/>
        </w:rPr>
        <w:t>符合《政府采购促进中小企业发展管理办法》（财库[2020]46号）规定条件且按该办法中规定的格式提供了《中小企业声明函》的小型和微型企业参与投标，对其最后报价给予10</w:t>
      </w:r>
      <w:r>
        <w:rPr>
          <w:rFonts w:ascii="Times New Roman" w:hAnsi="Times New Roman"/>
          <w:bCs/>
        </w:rPr>
        <w:t>%</w:t>
      </w:r>
      <w:r>
        <w:rPr>
          <w:rFonts w:hint="eastAsia" w:ascii="Times New Roman" w:hAnsi="Times New Roman"/>
          <w:bCs/>
        </w:rPr>
        <w:t>的扣除，</w:t>
      </w:r>
      <w:r>
        <w:rPr>
          <w:rFonts w:hint="eastAsia"/>
        </w:rPr>
        <w:t>扣除后的价格为评标价，即评标价=投标价×（1-10%）；除上述情况外，评标价=投标价。</w:t>
      </w:r>
    </w:p>
    <w:p w14:paraId="2E9AE987">
      <w:pPr>
        <w:pStyle w:val="149"/>
        <w:adjustRightInd w:val="0"/>
        <w:snapToGrid w:val="0"/>
        <w:spacing w:line="360" w:lineRule="exact"/>
        <w:ind w:firstLine="378" w:firstLineChars="180"/>
      </w:pPr>
      <w:r>
        <w:t>投标产品生产企业或服务提供企业按《关于政府采购支持监狱企业发展有关问题的通知》</w:t>
      </w:r>
      <w:r>
        <w:rPr>
          <w:rFonts w:hint="eastAsia"/>
        </w:rPr>
        <w:t>（</w:t>
      </w:r>
      <w:r>
        <w:t>财库[2014]68号</w:t>
      </w:r>
      <w:r>
        <w:rPr>
          <w:rFonts w:hint="eastAsia"/>
        </w:rPr>
        <w:t>）</w:t>
      </w:r>
      <w:r>
        <w:t>认定为监狱企业的，在政府采购活动中，监狱企业视同小型、微型企业。投标人应当提供由省级以上监狱管理局、戒毒管理局</w:t>
      </w:r>
      <w:r>
        <w:rPr>
          <w:rFonts w:hint="eastAsia"/>
        </w:rPr>
        <w:t>（</w:t>
      </w:r>
      <w:r>
        <w:t>含新疆生产建设兵团</w:t>
      </w:r>
      <w:r>
        <w:rPr>
          <w:rFonts w:hint="eastAsia"/>
        </w:rPr>
        <w:t>）</w:t>
      </w:r>
      <w:r>
        <w:t>出具的投标产品生产企业或服务提供企业属于监狱企业的证明文件，不再提供《中小企业声明函》；</w:t>
      </w:r>
    </w:p>
    <w:p w14:paraId="047B69FE">
      <w:pPr>
        <w:pStyle w:val="149"/>
        <w:adjustRightInd w:val="0"/>
        <w:snapToGrid w:val="0"/>
        <w:spacing w:line="360" w:lineRule="exact"/>
        <w:ind w:firstLine="378" w:firstLineChars="180"/>
      </w:pPr>
      <w:r>
        <w:t>投标产品生产</w:t>
      </w:r>
      <w:r>
        <w:rPr>
          <w:rFonts w:hint="eastAsia"/>
        </w:rPr>
        <w:t>单位</w:t>
      </w:r>
      <w:r>
        <w:t>或服务提供</w:t>
      </w:r>
      <w:r>
        <w:rPr>
          <w:rFonts w:hint="eastAsia"/>
        </w:rPr>
        <w:t>单位按《关于促进残疾人就业政府采购政策的通知》（财库〔2017〕141号）认定为残疾人福利性单位的，在政府采购活动中，残疾人福利性单位视同小型、微型企业。</w:t>
      </w:r>
      <w:r>
        <w:t>投标人应当提供</w:t>
      </w:r>
      <w:r>
        <w:rPr>
          <w:rFonts w:hint="eastAsia"/>
        </w:rPr>
        <w:t>该通知规定的</w:t>
      </w:r>
      <w:r>
        <w:t>投标产品生产</w:t>
      </w:r>
      <w:r>
        <w:rPr>
          <w:rFonts w:hint="eastAsia"/>
        </w:rPr>
        <w:t>单位</w:t>
      </w:r>
      <w:r>
        <w:t>或服务提供</w:t>
      </w:r>
      <w:r>
        <w:rPr>
          <w:rFonts w:hint="eastAsia"/>
        </w:rPr>
        <w:t>单位属于残疾人福利性单位的《残疾人福利性单位声明函》，</w:t>
      </w:r>
      <w:r>
        <w:t>不再提供《中小企业声明函》</w:t>
      </w:r>
      <w:r>
        <w:rPr>
          <w:rFonts w:hint="eastAsia"/>
        </w:rPr>
        <w:t>。</w:t>
      </w:r>
    </w:p>
    <w:p w14:paraId="369F3F03">
      <w:pPr>
        <w:pStyle w:val="149"/>
        <w:adjustRightInd w:val="0"/>
        <w:snapToGrid w:val="0"/>
        <w:spacing w:line="360" w:lineRule="exact"/>
        <w:ind w:firstLine="378" w:firstLineChars="180"/>
      </w:pPr>
      <w:r>
        <w:rPr>
          <w:rFonts w:hint="eastAsia"/>
        </w:rPr>
        <w:t>（2）以满足采购文件要求的最低评标价为30分。</w:t>
      </w:r>
    </w:p>
    <w:p w14:paraId="79B5FF61">
      <w:pPr>
        <w:pStyle w:val="149"/>
        <w:adjustRightInd w:val="0"/>
        <w:snapToGrid w:val="0"/>
        <w:spacing w:line="360" w:lineRule="exact"/>
        <w:ind w:firstLine="378" w:firstLineChars="180"/>
      </w:pPr>
      <w:r>
        <w:rPr>
          <w:rFonts w:hint="eastAsia"/>
        </w:rPr>
        <w:t>（</w:t>
      </w:r>
      <w:r>
        <w:t>3</w:t>
      </w:r>
      <w:r>
        <w:rPr>
          <w:rFonts w:hint="eastAsia"/>
        </w:rPr>
        <w:t>）某投标人价格分</w:t>
      </w:r>
      <w:r>
        <w:t xml:space="preserve"> = </w:t>
      </w:r>
      <w:r>
        <w:rPr>
          <w:rFonts w:hint="eastAsia"/>
        </w:rPr>
        <w:t>投标人最低评标价（金额）</w:t>
      </w:r>
      <w:r>
        <w:t>/</w:t>
      </w:r>
      <w:r>
        <w:rPr>
          <w:rFonts w:hint="eastAsia"/>
        </w:rPr>
        <w:t>某投标人评标价（金额）×30分。</w:t>
      </w:r>
    </w:p>
    <w:p w14:paraId="1043852D">
      <w:pPr>
        <w:pStyle w:val="148"/>
        <w:spacing w:line="360" w:lineRule="exact"/>
        <w:ind w:firstLine="420" w:firstLineChars="200"/>
        <w:rPr>
          <w:rFonts w:hAnsi="宋体"/>
          <w:b/>
        </w:rPr>
      </w:pPr>
      <w:r>
        <w:rPr>
          <w:rFonts w:hint="eastAsia"/>
          <w:b/>
          <w:bCs/>
        </w:rPr>
        <w:t>2.技术分…………………………………………………………………………………………56分</w:t>
      </w:r>
    </w:p>
    <w:p w14:paraId="0C3B81D2">
      <w:pPr>
        <w:pStyle w:val="149"/>
        <w:adjustRightInd w:val="0"/>
        <w:snapToGrid w:val="0"/>
        <w:spacing w:line="360" w:lineRule="exact"/>
        <w:ind w:firstLine="378" w:firstLineChars="180"/>
      </w:pPr>
      <w:r>
        <w:rPr>
          <w:rFonts w:hint="eastAsia"/>
        </w:rPr>
        <w:t>（1）一般技术参数要求响应得分（满分40分）</w:t>
      </w:r>
    </w:p>
    <w:p w14:paraId="17036F61">
      <w:pPr>
        <w:pStyle w:val="149"/>
        <w:adjustRightInd w:val="0"/>
        <w:snapToGrid w:val="0"/>
        <w:spacing w:line="360" w:lineRule="exact"/>
        <w:ind w:firstLine="378" w:firstLineChars="180"/>
        <w:rPr>
          <w:rFonts w:eastAsia="宋体"/>
        </w:rPr>
      </w:pPr>
      <w:r>
        <w:rPr>
          <w:rFonts w:hint="eastAsia" w:eastAsia="宋体"/>
        </w:rPr>
        <w:t>一般技术参数要求响应得分（共计5项），“数据库”“质量分析器类型”“激光器”“高压自诊断系统”“检测通量”等为技术参数要求的名称描述，不计入一般技术参数要求数量。</w:t>
      </w:r>
    </w:p>
    <w:p w14:paraId="4E167FE9">
      <w:pPr>
        <w:pStyle w:val="149"/>
        <w:adjustRightInd w:val="0"/>
        <w:snapToGrid w:val="0"/>
        <w:spacing w:line="360" w:lineRule="exact"/>
        <w:ind w:firstLine="378" w:firstLineChars="180"/>
        <w:rPr>
          <w:rFonts w:eastAsia="宋体"/>
        </w:rPr>
      </w:pPr>
      <w:r>
        <w:rPr>
          <w:rFonts w:hint="eastAsia" w:eastAsia="宋体"/>
        </w:rPr>
        <w:t>一般技术参数满足</w:t>
      </w:r>
      <w:r>
        <w:rPr>
          <w:rFonts w:hint="eastAsia"/>
        </w:rPr>
        <w:t>采购需求</w:t>
      </w:r>
      <w:r>
        <w:rPr>
          <w:rFonts w:hint="eastAsia" w:eastAsia="宋体"/>
        </w:rPr>
        <w:t>的，每项</w:t>
      </w:r>
      <w:r>
        <w:rPr>
          <w:rFonts w:hint="eastAsia"/>
        </w:rPr>
        <w:t>得</w:t>
      </w:r>
      <w:r>
        <w:rPr>
          <w:rFonts w:hint="eastAsia" w:eastAsia="宋体"/>
        </w:rPr>
        <w:t>8分。（每项参数需提供相关证明材料（包括但不限于彩页、官网和功能截图等））</w:t>
      </w:r>
    </w:p>
    <w:p w14:paraId="1CD8C242">
      <w:pPr>
        <w:pStyle w:val="149"/>
        <w:adjustRightInd w:val="0"/>
        <w:snapToGrid w:val="0"/>
        <w:spacing w:line="360" w:lineRule="exact"/>
        <w:ind w:firstLine="378" w:firstLineChars="180"/>
        <w:rPr>
          <w:rFonts w:eastAsia="宋体"/>
        </w:rPr>
      </w:pPr>
    </w:p>
    <w:p w14:paraId="6A8E2D5D">
      <w:pPr>
        <w:pStyle w:val="149"/>
        <w:adjustRightInd w:val="0"/>
        <w:snapToGrid w:val="0"/>
        <w:spacing w:line="360" w:lineRule="exact"/>
        <w:ind w:firstLine="378" w:firstLineChars="180"/>
      </w:pPr>
      <w:r>
        <w:rPr>
          <w:rFonts w:hint="eastAsia"/>
        </w:rPr>
        <w:t>注：一般技术参数要求是指技术参数要求中未标注“▲”、“★”的技术参数。</w:t>
      </w:r>
    </w:p>
    <w:p w14:paraId="382CE146">
      <w:pPr>
        <w:pStyle w:val="149"/>
        <w:adjustRightInd w:val="0"/>
        <w:snapToGrid w:val="0"/>
        <w:spacing w:line="360" w:lineRule="exact"/>
        <w:ind w:firstLine="378" w:firstLineChars="180"/>
      </w:pPr>
      <w:r>
        <w:rPr>
          <w:rFonts w:hint="eastAsia"/>
        </w:rPr>
        <w:t>（2）技术及项目实施方案分（满分9分）</w:t>
      </w:r>
    </w:p>
    <w:p w14:paraId="00C2B954">
      <w:pPr>
        <w:pStyle w:val="149"/>
        <w:snapToGrid w:val="0"/>
        <w:spacing w:line="360" w:lineRule="exact"/>
        <w:ind w:firstLine="378" w:firstLineChars="180"/>
        <w:rPr>
          <w:rFonts w:eastAsia="宋体"/>
        </w:rPr>
      </w:pPr>
      <w:r>
        <w:rPr>
          <w:rFonts w:eastAsia="宋体"/>
        </w:rPr>
        <w:t>根据投标文件中投标人技术及项目实施方案内容独立评分。</w:t>
      </w:r>
    </w:p>
    <w:p w14:paraId="71D2AEA8">
      <w:pPr>
        <w:pStyle w:val="149"/>
        <w:snapToGrid w:val="0"/>
        <w:spacing w:line="360" w:lineRule="exact"/>
        <w:ind w:firstLine="378" w:firstLineChars="180"/>
        <w:rPr>
          <w:rFonts w:eastAsia="宋体"/>
        </w:rPr>
      </w:pPr>
      <w:r>
        <w:rPr>
          <w:rFonts w:hint="eastAsia" w:eastAsia="宋体"/>
        </w:rPr>
        <w:t>一档（3分）：管理措施、具体实施流程、进度安排、质量保证措施等方案</w:t>
      </w:r>
      <w:r>
        <w:rPr>
          <w:rFonts w:eastAsia="宋体"/>
        </w:rPr>
        <w:t>内容齐全，符合基础条件</w:t>
      </w:r>
      <w:r>
        <w:rPr>
          <w:rFonts w:hint="eastAsia" w:eastAsia="宋体"/>
        </w:rPr>
        <w:t>的。</w:t>
      </w:r>
    </w:p>
    <w:p w14:paraId="7625AA10">
      <w:pPr>
        <w:pStyle w:val="149"/>
        <w:snapToGrid w:val="0"/>
        <w:spacing w:line="360" w:lineRule="exact"/>
        <w:ind w:firstLine="378" w:firstLineChars="180"/>
        <w:rPr>
          <w:rFonts w:eastAsia="宋体"/>
        </w:rPr>
      </w:pPr>
      <w:r>
        <w:rPr>
          <w:rFonts w:hint="eastAsia" w:eastAsia="宋体"/>
        </w:rPr>
        <w:t>二档（6分）：管理措施、具体实施流程、进度安排、质量保证措施等方案内容齐全，</w:t>
      </w:r>
      <w:r>
        <w:rPr>
          <w:rFonts w:eastAsia="宋体"/>
        </w:rPr>
        <w:t>方案有可行性，</w:t>
      </w:r>
      <w:r>
        <w:rPr>
          <w:rFonts w:hint="eastAsia" w:eastAsia="宋体"/>
        </w:rPr>
        <w:t>无明显错误。</w:t>
      </w:r>
    </w:p>
    <w:p w14:paraId="5E0C4FDD">
      <w:pPr>
        <w:pStyle w:val="149"/>
        <w:snapToGrid w:val="0"/>
        <w:spacing w:line="360" w:lineRule="exact"/>
        <w:ind w:firstLine="378" w:firstLineChars="180"/>
        <w:rPr>
          <w:rFonts w:eastAsia="宋体"/>
        </w:rPr>
      </w:pPr>
      <w:r>
        <w:rPr>
          <w:rFonts w:hint="eastAsia" w:eastAsia="宋体"/>
        </w:rPr>
        <w:t>三档（9分）：管理措施、具体实施流程、进度安排、质量保证措施等方案内容齐全，方案有可行性</w:t>
      </w:r>
      <w:r>
        <w:rPr>
          <w:rFonts w:eastAsia="宋体"/>
        </w:rPr>
        <w:t>，</w:t>
      </w:r>
      <w:r>
        <w:rPr>
          <w:rFonts w:hint="eastAsia" w:eastAsia="宋体"/>
        </w:rPr>
        <w:t>无明显错误，有利于采购项目实施的内容或合理性建议的。</w:t>
      </w:r>
    </w:p>
    <w:p w14:paraId="784E8FC7">
      <w:pPr>
        <w:pStyle w:val="149"/>
        <w:adjustRightInd w:val="0"/>
        <w:snapToGrid w:val="0"/>
        <w:spacing w:line="360" w:lineRule="exact"/>
        <w:ind w:firstLine="379" w:firstLineChars="180"/>
        <w:rPr>
          <w:b/>
          <w:bCs/>
        </w:rPr>
      </w:pPr>
      <w:r>
        <w:rPr>
          <w:rFonts w:eastAsia="宋体" w:cs="Times New Roman"/>
          <w:b/>
          <w:bCs/>
        </w:rPr>
        <w:t>无技术及项目实施方案内容或不齐全的不得分。</w:t>
      </w:r>
    </w:p>
    <w:p w14:paraId="30CE0938">
      <w:pPr>
        <w:pStyle w:val="149"/>
        <w:snapToGrid w:val="0"/>
        <w:spacing w:line="360" w:lineRule="exact"/>
        <w:ind w:firstLine="378" w:firstLineChars="180"/>
      </w:pPr>
      <w:r>
        <w:rPr>
          <w:rFonts w:hint="eastAsia"/>
        </w:rPr>
        <w:t>（3）技术人员分（满分4分）</w:t>
      </w:r>
    </w:p>
    <w:p w14:paraId="5E787F4B">
      <w:pPr>
        <w:pStyle w:val="149"/>
        <w:snapToGrid w:val="0"/>
        <w:spacing w:line="360" w:lineRule="exact"/>
        <w:ind w:firstLine="378" w:firstLineChars="180"/>
        <w:rPr>
          <w:rFonts w:eastAsia="宋体" w:cs="Times New Roman"/>
        </w:rPr>
      </w:pPr>
      <w:r>
        <w:rPr>
          <w:rFonts w:hint="eastAsia" w:eastAsia="宋体" w:cs="Times New Roman"/>
        </w:rPr>
        <w:t xml:space="preserve">根据投标文件中投标人技术人员方案内容独立评分。   </w:t>
      </w:r>
    </w:p>
    <w:p w14:paraId="309BB4CB">
      <w:pPr>
        <w:pStyle w:val="149"/>
        <w:snapToGrid w:val="0"/>
        <w:spacing w:line="360" w:lineRule="exact"/>
        <w:ind w:firstLine="378" w:firstLineChars="180"/>
        <w:rPr>
          <w:rFonts w:eastAsia="宋体" w:cs="Times New Roman"/>
        </w:rPr>
      </w:pPr>
      <w:r>
        <w:rPr>
          <w:rFonts w:hint="eastAsia" w:eastAsia="宋体" w:cs="Times New Roman"/>
        </w:rPr>
        <w:t xml:space="preserve">一档（1分）：技术人员投入计划，技术人员在安装调试过程提供技术支持和协助计划，拟派技术人员的经验介绍等方案内容齐全，符合基础条件的。 </w:t>
      </w:r>
    </w:p>
    <w:p w14:paraId="15DC3590">
      <w:pPr>
        <w:pStyle w:val="149"/>
        <w:snapToGrid w:val="0"/>
        <w:spacing w:line="360" w:lineRule="exact"/>
        <w:ind w:firstLine="378" w:firstLineChars="180"/>
        <w:rPr>
          <w:rFonts w:eastAsia="宋体" w:cs="Times New Roman"/>
        </w:rPr>
      </w:pPr>
      <w:r>
        <w:rPr>
          <w:rFonts w:hint="eastAsia" w:eastAsia="宋体" w:cs="Times New Roman"/>
        </w:rPr>
        <w:t>二档（2分）：技术人员投入计划，有技术人员在安装调试过程提供技术支持和协助计划，拟派技术人员的经验介绍等方案内容齐全，有可行性，</w:t>
      </w:r>
      <w:r>
        <w:rPr>
          <w:rFonts w:hint="eastAsia" w:eastAsia="宋体"/>
        </w:rPr>
        <w:t>无明显错误的</w:t>
      </w:r>
      <w:r>
        <w:rPr>
          <w:rFonts w:hint="eastAsia" w:eastAsia="宋体" w:cs="Times New Roman"/>
        </w:rPr>
        <w:t xml:space="preserve">。 </w:t>
      </w:r>
    </w:p>
    <w:p w14:paraId="572ACE85">
      <w:pPr>
        <w:pStyle w:val="149"/>
        <w:snapToGrid w:val="0"/>
        <w:spacing w:line="360" w:lineRule="exact"/>
        <w:ind w:firstLine="378" w:firstLineChars="180"/>
        <w:rPr>
          <w:rFonts w:eastAsia="宋体" w:cs="Times New Roman"/>
        </w:rPr>
      </w:pPr>
      <w:r>
        <w:rPr>
          <w:rFonts w:hint="eastAsia" w:eastAsia="宋体" w:cs="Times New Roman"/>
        </w:rPr>
        <w:t>三档（4分）：技术人员投入计划，有技术人员在安装调试过程提供技术支持和协助计划，拟派技术人员的经验介绍等方案内容齐全，方案有具体措施，有可行性</w:t>
      </w:r>
      <w:r>
        <w:rPr>
          <w:rFonts w:hint="eastAsia" w:eastAsia="宋体"/>
        </w:rPr>
        <w:t>，无明显错误，有利于采购项目实施的内容或合理性建议的</w:t>
      </w:r>
      <w:r>
        <w:rPr>
          <w:rFonts w:hint="eastAsia" w:eastAsia="宋体" w:cs="Times New Roman"/>
        </w:rPr>
        <w:t>。</w:t>
      </w:r>
    </w:p>
    <w:p w14:paraId="1B8CC379">
      <w:pPr>
        <w:pStyle w:val="149"/>
        <w:adjustRightInd w:val="0"/>
        <w:snapToGrid w:val="0"/>
        <w:spacing w:line="360" w:lineRule="exact"/>
        <w:ind w:firstLine="379" w:firstLineChars="180"/>
      </w:pPr>
      <w:r>
        <w:rPr>
          <w:rFonts w:eastAsia="宋体" w:cs="Times New Roman"/>
          <w:b/>
          <w:bCs/>
        </w:rPr>
        <w:t>无技术人员方案或不齐全的不得分。</w:t>
      </w:r>
    </w:p>
    <w:p w14:paraId="28B1D606">
      <w:pPr>
        <w:pStyle w:val="149"/>
        <w:adjustRightInd w:val="0"/>
        <w:snapToGrid w:val="0"/>
        <w:spacing w:line="360" w:lineRule="exact"/>
        <w:ind w:firstLine="378" w:firstLineChars="180"/>
      </w:pPr>
      <w:r>
        <w:rPr>
          <w:rFonts w:hint="eastAsia"/>
        </w:rPr>
        <w:t>（4）培训计划分（满分3分）</w:t>
      </w:r>
    </w:p>
    <w:p w14:paraId="205B779F">
      <w:pPr>
        <w:spacing w:line="360" w:lineRule="exact"/>
        <w:ind w:firstLine="420" w:firstLineChars="200"/>
        <w:rPr>
          <w:rFonts w:ascii="宋体" w:hAnsi="宋体" w:eastAsia="宋体"/>
          <w:kern w:val="0"/>
          <w:szCs w:val="21"/>
        </w:rPr>
      </w:pPr>
      <w:r>
        <w:rPr>
          <w:rFonts w:hint="eastAsia" w:ascii="宋体" w:hAnsi="宋体" w:eastAsia="宋体"/>
          <w:kern w:val="0"/>
          <w:szCs w:val="21"/>
        </w:rPr>
        <w:t xml:space="preserve">根据投标文件中投标人培训方案内容独立评分。  </w:t>
      </w:r>
    </w:p>
    <w:p w14:paraId="76EF6E0C">
      <w:pPr>
        <w:spacing w:line="360" w:lineRule="exact"/>
        <w:ind w:firstLine="420" w:firstLineChars="200"/>
        <w:rPr>
          <w:rFonts w:ascii="宋体" w:hAnsi="宋体" w:eastAsia="宋体"/>
          <w:kern w:val="0"/>
          <w:szCs w:val="21"/>
        </w:rPr>
      </w:pPr>
      <w:r>
        <w:rPr>
          <w:rFonts w:hint="eastAsia" w:ascii="宋体" w:hAnsi="宋体" w:eastAsia="宋体"/>
          <w:kern w:val="0"/>
          <w:szCs w:val="21"/>
        </w:rPr>
        <w:t>一档（1分）：培训方案有简单的培训计划安排，能满足基本要求。</w:t>
      </w:r>
    </w:p>
    <w:p w14:paraId="13EB003F">
      <w:pPr>
        <w:spacing w:line="360" w:lineRule="exact"/>
        <w:ind w:firstLine="420" w:firstLineChars="200"/>
        <w:rPr>
          <w:rFonts w:ascii="宋体" w:hAnsi="宋体" w:eastAsia="宋体"/>
          <w:kern w:val="0"/>
          <w:szCs w:val="21"/>
        </w:rPr>
      </w:pPr>
      <w:r>
        <w:rPr>
          <w:rFonts w:hint="eastAsia" w:ascii="宋体" w:hAnsi="宋体" w:eastAsia="宋体"/>
          <w:kern w:val="0"/>
          <w:szCs w:val="21"/>
        </w:rPr>
        <w:t>二档（3分）：培训方案应全面、详细，方案内容至少包含：拟派培训人员的安排及介绍、培训时间、规模人数、设备功能理论、简单故障排除等内容。</w:t>
      </w:r>
    </w:p>
    <w:p w14:paraId="0C75FC58">
      <w:pPr>
        <w:pStyle w:val="149"/>
        <w:adjustRightInd w:val="0"/>
        <w:snapToGrid w:val="0"/>
        <w:spacing w:line="360" w:lineRule="exact"/>
        <w:ind w:firstLine="379" w:firstLineChars="180"/>
      </w:pPr>
      <w:r>
        <w:rPr>
          <w:rFonts w:eastAsia="宋体" w:cs="Times New Roman"/>
          <w:b/>
          <w:bCs/>
        </w:rPr>
        <w:t>未提供或有明显错误的不得分。</w:t>
      </w:r>
    </w:p>
    <w:p w14:paraId="71878BD1">
      <w:pPr>
        <w:pStyle w:val="148"/>
        <w:spacing w:line="360" w:lineRule="exact"/>
        <w:ind w:firstLine="420" w:firstLineChars="200"/>
        <w:rPr>
          <w:rFonts w:ascii="宋体" w:hAnsi="宋体"/>
        </w:rPr>
      </w:pPr>
      <w:r>
        <w:rPr>
          <w:rFonts w:hint="eastAsia"/>
          <w:b/>
          <w:bCs/>
        </w:rPr>
        <w:t>3.售后服务分……………………………………………………………………………………10分</w:t>
      </w:r>
    </w:p>
    <w:p w14:paraId="5F04C006">
      <w:pPr>
        <w:pStyle w:val="149"/>
        <w:adjustRightInd w:val="0"/>
        <w:snapToGrid w:val="0"/>
        <w:spacing w:line="360" w:lineRule="exact"/>
        <w:ind w:firstLine="378" w:firstLineChars="180"/>
      </w:pPr>
      <w:r>
        <w:rPr>
          <w:rFonts w:hint="eastAsia"/>
        </w:rPr>
        <w:t>（1）售后服务承诺分（满分8分）</w:t>
      </w:r>
    </w:p>
    <w:p w14:paraId="5D8FAEEE">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一档（4分）：售后服务方案仅满足招标文件基本要求。</w:t>
      </w:r>
    </w:p>
    <w:p w14:paraId="5EDC1A81">
      <w:pPr>
        <w:spacing w:line="360" w:lineRule="exact"/>
        <w:ind w:firstLine="420" w:firstLineChars="200"/>
        <w:rPr>
          <w:rFonts w:ascii="宋体" w:hAnsi="宋体" w:eastAsia="宋体" w:cs="Times New Roman"/>
          <w:kern w:val="0"/>
          <w:szCs w:val="21"/>
        </w:rPr>
      </w:pPr>
      <w:r>
        <w:rPr>
          <w:rFonts w:hint="eastAsia" w:ascii="宋体" w:hAnsi="宋体" w:eastAsia="宋体" w:cs="Times New Roman"/>
          <w:kern w:val="0"/>
          <w:szCs w:val="21"/>
        </w:rPr>
        <w:t>二档（8分）：售后服务方案细致、合理、可行，能提供生产厂家售后服务承诺书原件，有详细的售后服务管理制度、售后服务流程、应急预案、年度保养计划、发生故障时提供备用机或其他替代解决的具体措施、质量保障方案。</w:t>
      </w:r>
    </w:p>
    <w:p w14:paraId="1FB47242">
      <w:pPr>
        <w:spacing w:line="360" w:lineRule="exact"/>
        <w:ind w:firstLine="422" w:firstLineChars="200"/>
        <w:rPr>
          <w:rFonts w:ascii="宋体" w:hAnsi="宋体"/>
          <w:kern w:val="0"/>
          <w:szCs w:val="21"/>
        </w:rPr>
      </w:pPr>
      <w:r>
        <w:rPr>
          <w:rFonts w:hint="eastAsia" w:ascii="宋体" w:hAnsi="宋体" w:eastAsia="宋体" w:cs="Times New Roman"/>
          <w:b/>
          <w:bCs/>
          <w:kern w:val="0"/>
          <w:szCs w:val="21"/>
        </w:rPr>
        <w:t>未提供或有明显错误的不得分。</w:t>
      </w:r>
    </w:p>
    <w:p w14:paraId="387CB08B">
      <w:pPr>
        <w:pStyle w:val="149"/>
        <w:adjustRightInd w:val="0"/>
        <w:snapToGrid w:val="0"/>
        <w:spacing w:line="360" w:lineRule="exact"/>
        <w:ind w:firstLine="378" w:firstLineChars="180"/>
      </w:pPr>
      <w:r>
        <w:rPr>
          <w:rFonts w:hint="eastAsia"/>
        </w:rPr>
        <w:t>（2）质保期（保修期）（满分2分）</w:t>
      </w:r>
    </w:p>
    <w:p w14:paraId="2E226C5F">
      <w:pPr>
        <w:pStyle w:val="149"/>
        <w:adjustRightInd w:val="0"/>
        <w:snapToGrid w:val="0"/>
        <w:spacing w:line="360" w:lineRule="exact"/>
        <w:ind w:firstLine="378" w:firstLineChars="180"/>
      </w:pPr>
      <w:r>
        <w:rPr>
          <w:rFonts w:hint="eastAsia" w:eastAsia="宋体"/>
        </w:rPr>
        <w:t>在满足基本质保期（保修期）（3年）的基础上，免费保修期每延长6个月得0.5分（以产品生产厂家承诺为准，投标文件中提供厂家证明文件复印件加盖投标单位公章），满分2分。</w:t>
      </w:r>
    </w:p>
    <w:p w14:paraId="7B354B82">
      <w:pPr>
        <w:pStyle w:val="148"/>
        <w:spacing w:line="360" w:lineRule="exact"/>
        <w:ind w:firstLine="420" w:firstLineChars="200"/>
        <w:rPr>
          <w:rFonts w:ascii="宋体" w:hAnsi="宋体"/>
        </w:rPr>
      </w:pPr>
      <w:r>
        <w:rPr>
          <w:rFonts w:hint="eastAsia"/>
          <w:b/>
          <w:bCs/>
        </w:rPr>
        <w:t>4.信誉分…………………………………………………………………………………………3分</w:t>
      </w:r>
    </w:p>
    <w:p w14:paraId="1A0AFC17">
      <w:pPr>
        <w:pStyle w:val="149"/>
        <w:adjustRightInd w:val="0"/>
        <w:snapToGrid w:val="0"/>
        <w:spacing w:line="360" w:lineRule="exact"/>
        <w:ind w:firstLine="378" w:firstLineChars="180"/>
      </w:pPr>
      <w:r>
        <w:rPr>
          <w:rFonts w:hint="eastAsia"/>
        </w:rPr>
        <w:t>信誉及业绩（满分3分）</w:t>
      </w:r>
    </w:p>
    <w:p w14:paraId="0938BA14">
      <w:pPr>
        <w:spacing w:line="360" w:lineRule="exact"/>
        <w:ind w:firstLine="420" w:firstLineChars="200"/>
        <w:rPr>
          <w:rFonts w:ascii="宋体" w:hAnsi="宋体" w:eastAsia="宋体" w:cs="宋体"/>
          <w:szCs w:val="21"/>
        </w:rPr>
      </w:pPr>
      <w:r>
        <w:rPr>
          <w:rFonts w:hint="eastAsia" w:ascii="宋体" w:hAnsi="宋体" w:eastAsia="宋体" w:cs="宋体"/>
          <w:szCs w:val="21"/>
        </w:rPr>
        <w:t>1）投标人或所投产品制造商通过ISO9001系列国际质量体系认证、ISO13485医疗器械质量管理体系认证及ISO 14001环境管理体系认证的，每有1项得0.5分，满分1.5分。</w:t>
      </w:r>
    </w:p>
    <w:p w14:paraId="0F4265A1">
      <w:pPr>
        <w:spacing w:line="360" w:lineRule="exact"/>
        <w:ind w:firstLine="420" w:firstLineChars="200"/>
        <w:rPr>
          <w:rFonts w:ascii="宋体" w:hAnsi="宋体" w:eastAsia="宋体" w:cs="宋体"/>
          <w:szCs w:val="21"/>
        </w:rPr>
      </w:pPr>
      <w:r>
        <w:rPr>
          <w:rFonts w:hint="eastAsia" w:ascii="宋体" w:hAnsi="宋体" w:eastAsia="宋体" w:cs="宋体"/>
          <w:szCs w:val="21"/>
        </w:rPr>
        <w:t>注：投标文件中提供有效的证书复印件（或扫描件）并加盖投标人电子签章，非中文文本的请提供中文翻译文本，否则不予以计分。</w:t>
      </w:r>
    </w:p>
    <w:p w14:paraId="6952CE25">
      <w:pPr>
        <w:spacing w:line="360" w:lineRule="exact"/>
        <w:ind w:firstLine="420" w:firstLineChars="200"/>
        <w:rPr>
          <w:rFonts w:ascii="宋体" w:hAnsi="宋体" w:eastAsia="宋体" w:cs="宋体"/>
          <w:szCs w:val="21"/>
        </w:rPr>
      </w:pPr>
      <w:r>
        <w:rPr>
          <w:rFonts w:hint="eastAsia" w:ascii="宋体" w:hAnsi="宋体" w:eastAsia="宋体" w:cs="宋体"/>
          <w:szCs w:val="21"/>
        </w:rPr>
        <w:t>（2）投标人或所投产品制造商2022年1月1日至今同类项目（同类项目业绩指与采购标的产品相同类型设备的业绩）业绩，每有1项得0.5分，满分1.5分。</w:t>
      </w:r>
    </w:p>
    <w:p w14:paraId="00BFC9DE">
      <w:pPr>
        <w:pStyle w:val="149"/>
        <w:adjustRightInd w:val="0"/>
        <w:snapToGrid w:val="0"/>
        <w:spacing w:line="360" w:lineRule="exact"/>
        <w:ind w:firstLine="590" w:firstLineChars="280"/>
        <w:rPr>
          <w:rFonts w:eastAsia="宋体" w:cs="宋体"/>
        </w:rPr>
      </w:pPr>
      <w:r>
        <w:rPr>
          <w:rFonts w:hint="eastAsia" w:eastAsia="宋体" w:cs="宋体"/>
          <w:b/>
        </w:rPr>
        <w:t>注：投标文件中提供有效的中标通知书或合同复印件（或扫描件）并加盖投标人电子签章，否则不予以计分。</w:t>
      </w:r>
    </w:p>
    <w:p w14:paraId="34683F83">
      <w:pPr>
        <w:pStyle w:val="148"/>
        <w:spacing w:line="360" w:lineRule="exact"/>
        <w:ind w:firstLine="420" w:firstLineChars="200"/>
        <w:rPr>
          <w:rFonts w:ascii="宋体" w:hAnsi="宋体"/>
        </w:rPr>
      </w:pPr>
      <w:r>
        <w:rPr>
          <w:rFonts w:hint="eastAsia"/>
          <w:b/>
          <w:bCs/>
        </w:rPr>
        <w:t>5.政策功能分……………………………………………………………………………………1分</w:t>
      </w:r>
    </w:p>
    <w:p w14:paraId="79D07B41">
      <w:pPr>
        <w:pStyle w:val="149"/>
        <w:adjustRightInd w:val="0"/>
        <w:snapToGrid w:val="0"/>
        <w:spacing w:line="360" w:lineRule="exact"/>
        <w:ind w:firstLine="378" w:firstLineChars="180"/>
      </w:pPr>
      <w:r>
        <w:rPr>
          <w:rFonts w:hint="eastAsia"/>
        </w:rPr>
        <w:t>节能、环保分（满分1分）</w:t>
      </w:r>
    </w:p>
    <w:p w14:paraId="2B49907C">
      <w:pPr>
        <w:widowControl/>
        <w:spacing w:line="360" w:lineRule="exact"/>
        <w:ind w:firstLine="420" w:firstLineChars="200"/>
        <w:jc w:val="left"/>
        <w:rPr>
          <w:rFonts w:ascii="宋体" w:hAnsi="宋体" w:eastAsia="宋体" w:cs="宋体"/>
          <w:szCs w:val="21"/>
        </w:rPr>
      </w:pPr>
      <w:r>
        <w:rPr>
          <w:rFonts w:hint="eastAsia" w:ascii="宋体" w:hAnsi="宋体" w:eastAsia="宋体" w:cs="宋体"/>
          <w:szCs w:val="21"/>
        </w:rPr>
        <w:t>（1）</w:t>
      </w:r>
      <w:r>
        <w:rPr>
          <w:rFonts w:hint="eastAsia" w:ascii="宋体" w:hAnsi="宋体" w:cs="宋体"/>
          <w:szCs w:val="21"/>
        </w:rPr>
        <w:t>所投产品</w:t>
      </w:r>
      <w:r>
        <w:rPr>
          <w:rFonts w:hint="eastAsia" w:ascii="宋体" w:hAnsi="宋体" w:eastAsia="宋体" w:cs="宋体"/>
          <w:szCs w:val="21"/>
        </w:rPr>
        <w:t>属于财政部《节能产品政府采购品目清单》内优先采购的产品[投标文件中提供有效的认证证书复印件（或扫描件）及品目清单（标注出投标产品在品目清单中所属的品目），并加盖投标人电子签章]，得0.5分。</w:t>
      </w:r>
    </w:p>
    <w:p w14:paraId="410B9B61">
      <w:pPr>
        <w:pStyle w:val="149"/>
        <w:adjustRightInd w:val="0"/>
        <w:snapToGrid w:val="0"/>
        <w:spacing w:line="360" w:lineRule="exact"/>
        <w:ind w:firstLine="378" w:firstLineChars="180"/>
        <w:rPr>
          <w:rFonts w:cs="宋体"/>
        </w:rPr>
      </w:pPr>
      <w:r>
        <w:rPr>
          <w:rFonts w:hint="eastAsia" w:eastAsia="宋体" w:cs="宋体"/>
        </w:rPr>
        <w:t>（2）</w:t>
      </w:r>
      <w:r>
        <w:rPr>
          <w:rFonts w:hint="eastAsia" w:cs="宋体"/>
        </w:rPr>
        <w:t>所投产品</w:t>
      </w:r>
      <w:r>
        <w:rPr>
          <w:rFonts w:hint="eastAsia" w:eastAsia="宋体" w:cs="宋体"/>
        </w:rPr>
        <w:t>属于财政部《环境标志产品政府采购品目清单》内的产品[投标文件中提供有效的认证证书复印件（或扫描件）及品目清单（标注出投标产品在品目清单中所属的品目），并加盖投标人电子签章]，得0.5分。</w:t>
      </w:r>
    </w:p>
    <w:p w14:paraId="554C9827">
      <w:pPr>
        <w:adjustRightInd w:val="0"/>
        <w:snapToGrid w:val="0"/>
        <w:spacing w:line="360" w:lineRule="exact"/>
        <w:jc w:val="left"/>
        <w:rPr>
          <w:rFonts w:hAnsi="宋体"/>
          <w:b/>
        </w:rPr>
      </w:pPr>
    </w:p>
    <w:p w14:paraId="18683A43">
      <w:pPr>
        <w:numPr>
          <w:ilvl w:val="0"/>
          <w:numId w:val="9"/>
        </w:numPr>
        <w:adjustRightInd w:val="0"/>
        <w:snapToGrid w:val="0"/>
        <w:spacing w:line="360" w:lineRule="exact"/>
        <w:jc w:val="left"/>
        <w:rPr>
          <w:rFonts w:hAnsi="宋体"/>
          <w:b/>
        </w:rPr>
      </w:pPr>
      <w:r>
        <w:rPr>
          <w:rFonts w:hint="eastAsia" w:hAnsi="宋体"/>
          <w:b/>
        </w:rPr>
        <w:t>总得分=1+ 2+ 3+ 4+ 5。</w:t>
      </w:r>
    </w:p>
    <w:p w14:paraId="2BA4EA20">
      <w:pPr>
        <w:pStyle w:val="144"/>
        <w:spacing w:line="360" w:lineRule="exact"/>
        <w:rPr>
          <w:lang w:val="zh-CN"/>
        </w:rPr>
      </w:pPr>
    </w:p>
    <w:p w14:paraId="4D5DDB36">
      <w:pPr>
        <w:spacing w:line="360" w:lineRule="exact"/>
        <w:ind w:firstLine="422" w:firstLineChars="200"/>
        <w:jc w:val="left"/>
        <w:rPr>
          <w:rFonts w:ascii="宋体" w:hAnsi="宋体" w:eastAsia="宋体" w:cs="宋体"/>
          <w:b/>
          <w:szCs w:val="21"/>
          <w:lang w:bidi="ar"/>
        </w:rPr>
      </w:pPr>
      <w:r>
        <w:rPr>
          <w:rFonts w:hint="eastAsia" w:ascii="宋体" w:hAnsi="宋体" w:eastAsia="宋体" w:cs="宋体"/>
          <w:b/>
          <w:szCs w:val="21"/>
          <w:lang w:bidi="ar"/>
        </w:rPr>
        <w:t>四、中标候选人推荐原则</w:t>
      </w:r>
    </w:p>
    <w:p w14:paraId="124BC337">
      <w:pPr>
        <w:widowControl/>
        <w:spacing w:line="360" w:lineRule="exact"/>
        <w:ind w:firstLine="525" w:firstLineChars="250"/>
        <w:jc w:val="left"/>
        <w:rPr>
          <w:rFonts w:ascii="宋体" w:hAnsi="宋体" w:eastAsia="宋体" w:cs="宋体"/>
          <w:bCs/>
          <w:kern w:val="0"/>
          <w:szCs w:val="21"/>
          <w:lang w:val="zh-CN"/>
        </w:rPr>
      </w:pPr>
      <w:r>
        <w:rPr>
          <w:rFonts w:hint="eastAsia" w:ascii="宋体" w:hAnsi="宋体" w:eastAsia="宋体" w:cs="宋体"/>
          <w:bCs/>
          <w:kern w:val="0"/>
          <w:szCs w:val="21"/>
          <w:lang w:val="zh-CN"/>
        </w:rPr>
        <w:t>（一）评标委员会将根据得分由高到低排列次序</w:t>
      </w:r>
      <w:r>
        <w:rPr>
          <w:rFonts w:hint="eastAsia" w:ascii="宋体" w:hAnsi="宋体" w:eastAsia="宋体" w:cs="宋体"/>
          <w:b/>
          <w:bCs/>
          <w:kern w:val="0"/>
          <w:szCs w:val="21"/>
          <w:lang w:val="zh-CN"/>
        </w:rPr>
        <w:t>（得分相同时，以投标报价由低到高顺序排列；得分相同且投标报价相同的，按技术指标优劣顺序排列）</w:t>
      </w:r>
      <w:r>
        <w:rPr>
          <w:rFonts w:hint="eastAsia" w:ascii="宋体" w:hAnsi="宋体" w:eastAsia="宋体" w:cs="宋体"/>
          <w:bCs/>
          <w:kern w:val="0"/>
          <w:szCs w:val="21"/>
          <w:lang w:val="zh-CN"/>
        </w:rPr>
        <w:t>并推荐中标候选供应商。招标人应当确定评审委员会推荐排名第一的中标候选人为中标人。</w:t>
      </w:r>
    </w:p>
    <w:p w14:paraId="79A7EC4D">
      <w:pPr>
        <w:widowControl/>
        <w:spacing w:line="360" w:lineRule="exact"/>
        <w:ind w:firstLine="525" w:firstLineChars="250"/>
        <w:jc w:val="left"/>
        <w:rPr>
          <w:rFonts w:ascii="宋体" w:hAnsi="宋体" w:eastAsia="宋体" w:cs="宋体"/>
          <w:b/>
          <w:bCs/>
          <w:kern w:val="0"/>
          <w:szCs w:val="21"/>
          <w:lang w:val="zh-CN"/>
        </w:rPr>
      </w:pPr>
      <w:r>
        <w:rPr>
          <w:rFonts w:hint="eastAsia" w:ascii="宋体" w:hAnsi="宋体" w:eastAsia="宋体" w:cs="宋体"/>
          <w:bCs/>
          <w:kern w:val="0"/>
          <w:szCs w:val="21"/>
          <w:lang w:val="zh-CN"/>
        </w:rPr>
        <w:t>排名第一的中标候选人放弃中标</w:t>
      </w:r>
      <w:r>
        <w:rPr>
          <w:rFonts w:hint="eastAsia" w:ascii="宋体" w:hAnsi="宋体" w:eastAsia="宋体" w:cs="宋体"/>
          <w:kern w:val="0"/>
          <w:szCs w:val="21"/>
          <w:lang w:val="zh-CN"/>
        </w:rPr>
        <w:t>、或在规定限期内拒不签订合同</w:t>
      </w:r>
      <w:r>
        <w:rPr>
          <w:rFonts w:hint="eastAsia" w:ascii="宋体" w:hAnsi="宋体" w:eastAsia="宋体" w:cs="宋体"/>
          <w:bCs/>
          <w:kern w:val="0"/>
          <w:szCs w:val="21"/>
          <w:lang w:val="zh-CN"/>
        </w:rPr>
        <w:t>、因不可抗力提出不能履行合同，或者招标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其余以此类推</w:t>
      </w:r>
      <w:r>
        <w:rPr>
          <w:rFonts w:hint="eastAsia" w:ascii="宋体" w:hAnsi="宋体" w:eastAsia="宋体" w:cs="宋体"/>
          <w:b/>
          <w:bCs/>
          <w:kern w:val="0"/>
          <w:szCs w:val="21"/>
          <w:lang w:val="zh-CN"/>
        </w:rPr>
        <w:t>。</w:t>
      </w:r>
    </w:p>
    <w:p w14:paraId="4E58E981">
      <w:pPr>
        <w:widowControl/>
        <w:spacing w:line="360" w:lineRule="exact"/>
        <w:ind w:firstLine="525" w:firstLineChars="250"/>
        <w:rPr>
          <w:rFonts w:ascii="宋体" w:hAnsi="宋体" w:eastAsia="宋体" w:cs="宋体"/>
          <w:kern w:val="0"/>
          <w:szCs w:val="21"/>
          <w:lang w:val="zh-CN"/>
        </w:rPr>
      </w:pPr>
      <w:r>
        <w:rPr>
          <w:rFonts w:hint="eastAsia" w:ascii="宋体" w:hAnsi="宋体" w:eastAsia="宋体" w:cs="宋体"/>
          <w:bCs/>
          <w:kern w:val="0"/>
          <w:szCs w:val="21"/>
          <w:lang w:val="zh-CN"/>
        </w:rPr>
        <w:t>（二）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FC266DD">
      <w:pPr>
        <w:spacing w:line="360" w:lineRule="exact"/>
        <w:contextualSpacing/>
        <w:rPr>
          <w:rFonts w:ascii="宋体" w:hAnsi="宋体" w:eastAsia="宋体" w:cs="Times New Roman"/>
          <w:kern w:val="0"/>
          <w:szCs w:val="21"/>
          <w:lang w:val="zh-CN"/>
        </w:rPr>
      </w:pPr>
    </w:p>
    <w:p w14:paraId="6474022C">
      <w:pPr>
        <w:spacing w:before="120" w:beforeLines="50" w:after="120" w:afterLines="50" w:line="400" w:lineRule="exact"/>
        <w:rPr>
          <w:rFonts w:ascii="宋体" w:hAnsi="宋体" w:eastAsia="宋体" w:cs="Times New Roman"/>
          <w:b/>
          <w:sz w:val="24"/>
          <w:szCs w:val="24"/>
        </w:rPr>
      </w:pPr>
    </w:p>
    <w:p w14:paraId="604C3904">
      <w:pPr>
        <w:spacing w:before="120" w:beforeLines="50" w:after="120" w:afterLines="50" w:line="400" w:lineRule="exact"/>
        <w:rPr>
          <w:rFonts w:ascii="宋体" w:hAnsi="宋体" w:eastAsia="宋体" w:cs="Times New Roman"/>
          <w:b/>
          <w:sz w:val="24"/>
          <w:szCs w:val="24"/>
        </w:rPr>
      </w:pPr>
    </w:p>
    <w:p w14:paraId="72D0D254">
      <w:pPr>
        <w:spacing w:before="120" w:beforeLines="50" w:after="120" w:afterLines="50" w:line="400" w:lineRule="exact"/>
        <w:rPr>
          <w:rFonts w:ascii="宋体" w:hAnsi="宋体" w:eastAsia="宋体" w:cs="Times New Roman"/>
          <w:b/>
          <w:sz w:val="24"/>
          <w:szCs w:val="24"/>
        </w:rPr>
      </w:pPr>
    </w:p>
    <w:p w14:paraId="6C9A5BEB">
      <w:pPr>
        <w:spacing w:before="120" w:beforeLines="50" w:after="120" w:afterLines="50" w:line="400" w:lineRule="exact"/>
        <w:rPr>
          <w:rFonts w:ascii="宋体" w:hAnsi="宋体" w:eastAsia="宋体" w:cs="Times New Roman"/>
          <w:b/>
          <w:sz w:val="24"/>
          <w:szCs w:val="24"/>
        </w:rPr>
      </w:pPr>
    </w:p>
    <w:p w14:paraId="0A660125">
      <w:pPr>
        <w:spacing w:before="120" w:beforeLines="50" w:after="120" w:afterLines="50" w:line="400" w:lineRule="exact"/>
        <w:rPr>
          <w:rFonts w:ascii="宋体" w:hAnsi="宋体" w:eastAsia="宋体" w:cs="Times New Roman"/>
          <w:b/>
          <w:sz w:val="24"/>
          <w:szCs w:val="24"/>
        </w:rPr>
      </w:pPr>
    </w:p>
    <w:p w14:paraId="108195E5">
      <w:pPr>
        <w:spacing w:before="120" w:beforeLines="50" w:after="120" w:afterLines="50" w:line="400" w:lineRule="exact"/>
        <w:rPr>
          <w:rFonts w:ascii="宋体" w:hAnsi="宋体" w:eastAsia="宋体" w:cs="Times New Roman"/>
          <w:b/>
          <w:sz w:val="24"/>
          <w:szCs w:val="24"/>
        </w:rPr>
      </w:pPr>
    </w:p>
    <w:p w14:paraId="205F7677">
      <w:pPr>
        <w:spacing w:before="120" w:beforeLines="50" w:after="120" w:afterLines="50" w:line="400" w:lineRule="exact"/>
        <w:rPr>
          <w:rFonts w:ascii="宋体" w:hAnsi="宋体" w:eastAsia="宋体" w:cs="Times New Roman"/>
          <w:b/>
          <w:sz w:val="24"/>
          <w:szCs w:val="24"/>
        </w:rPr>
      </w:pPr>
    </w:p>
    <w:p w14:paraId="3D84BAAC">
      <w:pPr>
        <w:keepNext/>
        <w:keepLines/>
        <w:spacing w:before="340" w:after="330" w:line="578" w:lineRule="auto"/>
        <w:jc w:val="center"/>
        <w:outlineLvl w:val="0"/>
        <w:rPr>
          <w:rFonts w:ascii="Times New Roman" w:hAnsi="Times New Roman" w:eastAsia="宋体" w:cs="Times New Roman"/>
          <w:b/>
          <w:bCs/>
          <w:kern w:val="44"/>
          <w:sz w:val="44"/>
          <w:szCs w:val="44"/>
          <w:lang w:val="zh-CN"/>
        </w:rPr>
      </w:pPr>
      <w:bookmarkStart w:id="142" w:name="_Toc74323515"/>
      <w:r>
        <w:rPr>
          <w:rFonts w:hint="eastAsia" w:ascii="Times New Roman" w:hAnsi="Times New Roman" w:eastAsia="宋体" w:cs="Times New Roman"/>
          <w:b/>
          <w:bCs/>
          <w:kern w:val="44"/>
          <w:sz w:val="44"/>
          <w:szCs w:val="44"/>
          <w:lang w:val="zh-CN"/>
        </w:rPr>
        <w:t>第五章  拟签订的合同文本</w:t>
      </w:r>
      <w:bookmarkEnd w:id="142"/>
    </w:p>
    <w:p w14:paraId="3E9F37DA">
      <w:pPr>
        <w:snapToGrid w:val="0"/>
        <w:jc w:val="center"/>
        <w:rPr>
          <w:rFonts w:ascii="宋体" w:hAnsi="宋体" w:eastAsia="宋体" w:cs="Times New Roman"/>
          <w:bCs/>
          <w:sz w:val="32"/>
          <w:szCs w:val="32"/>
        </w:rPr>
      </w:pPr>
    </w:p>
    <w:p w14:paraId="629E468B">
      <w:pPr>
        <w:snapToGrid w:val="0"/>
        <w:jc w:val="center"/>
        <w:rPr>
          <w:rFonts w:ascii="宋体" w:hAnsi="宋体" w:eastAsia="宋体" w:cs="Times New Roman"/>
          <w:bCs/>
          <w:sz w:val="32"/>
          <w:szCs w:val="32"/>
        </w:rPr>
      </w:pPr>
    </w:p>
    <w:p w14:paraId="094C713A">
      <w:pPr>
        <w:snapToGrid w:val="0"/>
        <w:jc w:val="center"/>
        <w:rPr>
          <w:rFonts w:ascii="宋体" w:hAnsi="宋体" w:eastAsia="宋体" w:cs="Times New Roman"/>
          <w:bCs/>
          <w:sz w:val="32"/>
          <w:szCs w:val="32"/>
        </w:rPr>
      </w:pPr>
    </w:p>
    <w:p w14:paraId="623DBBA7">
      <w:pPr>
        <w:snapToGrid w:val="0"/>
        <w:jc w:val="center"/>
        <w:rPr>
          <w:rFonts w:ascii="宋体" w:hAnsi="宋体" w:eastAsia="宋体" w:cs="Times New Roman"/>
          <w:bCs/>
          <w:sz w:val="32"/>
          <w:szCs w:val="32"/>
        </w:rPr>
      </w:pPr>
    </w:p>
    <w:p w14:paraId="5B3AA2E4">
      <w:pPr>
        <w:snapToGrid w:val="0"/>
        <w:jc w:val="center"/>
        <w:rPr>
          <w:rFonts w:ascii="宋体" w:hAnsi="宋体" w:eastAsia="宋体" w:cs="Times New Roman"/>
          <w:bCs/>
          <w:sz w:val="32"/>
          <w:szCs w:val="32"/>
        </w:rPr>
      </w:pPr>
    </w:p>
    <w:p w14:paraId="0B08C2F5">
      <w:pPr>
        <w:snapToGrid w:val="0"/>
        <w:jc w:val="center"/>
        <w:rPr>
          <w:rFonts w:ascii="宋体" w:hAnsi="宋体" w:eastAsia="宋体" w:cs="Times New Roman"/>
          <w:bCs/>
          <w:sz w:val="32"/>
          <w:szCs w:val="32"/>
        </w:rPr>
      </w:pPr>
    </w:p>
    <w:p w14:paraId="4B0E262E">
      <w:pPr>
        <w:snapToGrid w:val="0"/>
        <w:jc w:val="center"/>
        <w:rPr>
          <w:rFonts w:ascii="宋体" w:hAnsi="宋体" w:eastAsia="宋体" w:cs="Times New Roman"/>
          <w:bCs/>
          <w:sz w:val="32"/>
          <w:szCs w:val="32"/>
        </w:rPr>
      </w:pPr>
    </w:p>
    <w:p w14:paraId="5F0A3B96">
      <w:pPr>
        <w:snapToGrid w:val="0"/>
        <w:jc w:val="center"/>
        <w:rPr>
          <w:rFonts w:ascii="宋体" w:hAnsi="宋体" w:eastAsia="宋体" w:cs="Times New Roman"/>
          <w:bCs/>
          <w:sz w:val="32"/>
          <w:szCs w:val="32"/>
        </w:rPr>
      </w:pPr>
    </w:p>
    <w:p w14:paraId="46DA6068">
      <w:pPr>
        <w:snapToGrid w:val="0"/>
        <w:jc w:val="center"/>
        <w:rPr>
          <w:rFonts w:ascii="宋体" w:hAnsi="宋体" w:eastAsia="宋体" w:cs="Times New Roman"/>
          <w:bCs/>
          <w:sz w:val="32"/>
          <w:szCs w:val="32"/>
        </w:rPr>
      </w:pPr>
    </w:p>
    <w:p w14:paraId="03F95809">
      <w:pPr>
        <w:snapToGrid w:val="0"/>
        <w:jc w:val="center"/>
        <w:rPr>
          <w:rFonts w:ascii="宋体" w:hAnsi="宋体" w:eastAsia="宋体" w:cs="Times New Roman"/>
          <w:bCs/>
          <w:sz w:val="32"/>
          <w:szCs w:val="32"/>
        </w:rPr>
      </w:pPr>
    </w:p>
    <w:p w14:paraId="0212D80E">
      <w:pPr>
        <w:snapToGrid w:val="0"/>
        <w:jc w:val="center"/>
        <w:rPr>
          <w:rFonts w:ascii="宋体" w:hAnsi="宋体" w:eastAsia="宋体" w:cs="Times New Roman"/>
          <w:bCs/>
          <w:sz w:val="32"/>
          <w:szCs w:val="32"/>
        </w:rPr>
      </w:pPr>
    </w:p>
    <w:p w14:paraId="7592CA8A">
      <w:pPr>
        <w:pStyle w:val="21"/>
        <w:spacing w:line="420" w:lineRule="exact"/>
        <w:rPr>
          <w:rFonts w:hAnsi="宋体"/>
        </w:rPr>
      </w:pPr>
      <w:r>
        <w:rPr>
          <w:rFonts w:hAnsi="宋体"/>
          <w:bCs/>
          <w:szCs w:val="24"/>
        </w:rPr>
        <w:br w:type="page"/>
      </w:r>
    </w:p>
    <w:p w14:paraId="2433491B">
      <w:pPr>
        <w:spacing w:line="300" w:lineRule="auto"/>
        <w:ind w:left="420" w:hanging="420"/>
        <w:jc w:val="center"/>
        <w:rPr>
          <w:rStyle w:val="147"/>
          <w:rFonts w:ascii="黑体" w:eastAsia="黑体"/>
          <w:b/>
          <w:bCs/>
          <w:color w:val="auto"/>
          <w:sz w:val="44"/>
          <w:szCs w:val="44"/>
          <w:u w:val="none"/>
        </w:rPr>
      </w:pPr>
      <w:r>
        <w:rPr>
          <w:rStyle w:val="147"/>
          <w:rFonts w:hint="eastAsia" w:ascii="黑体" w:hAnsi="黑体"/>
          <w:b/>
          <w:color w:val="auto"/>
          <w:sz w:val="44"/>
          <w:szCs w:val="44"/>
          <w:u w:val="none"/>
        </w:rPr>
        <w:t>采购</w:t>
      </w:r>
      <w:r>
        <w:rPr>
          <w:rStyle w:val="147"/>
          <w:rFonts w:hint="eastAsia" w:ascii="黑体" w:hAnsi="黑体"/>
          <w:b/>
          <w:bCs/>
          <w:color w:val="auto"/>
          <w:sz w:val="44"/>
          <w:szCs w:val="44"/>
          <w:u w:val="none"/>
        </w:rPr>
        <w:t>合同文本</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5"/>
      </w:tblGrid>
      <w:tr w14:paraId="3E7D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tcPr>
          <w:p w14:paraId="5E3F3F22">
            <w:pPr>
              <w:snapToGrid w:val="0"/>
              <w:spacing w:before="120" w:after="120"/>
              <w:jc w:val="center"/>
              <w:outlineLvl w:val="0"/>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合同主要条款格式</w:t>
            </w:r>
          </w:p>
          <w:p w14:paraId="2A9E8926">
            <w:pPr>
              <w:spacing w:line="360" w:lineRule="auto"/>
              <w:ind w:right="105"/>
              <w:jc w:val="left"/>
              <w:rPr>
                <w:rFonts w:ascii="宋体" w:hAnsi="宋体" w:cs="宋体"/>
                <w:b/>
                <w:bCs/>
                <w:szCs w:val="21"/>
              </w:rPr>
            </w:pPr>
            <w:r>
              <w:rPr>
                <w:rFonts w:hint="eastAsia" w:ascii="宋体" w:hAnsi="宋体" w:cs="宋体"/>
                <w:b/>
                <w:bCs/>
                <w:szCs w:val="21"/>
              </w:rPr>
              <w:t>项目编号：</w:t>
            </w:r>
          </w:p>
          <w:p w14:paraId="2F8DF279">
            <w:pPr>
              <w:wordWrap w:val="0"/>
              <w:spacing w:line="360" w:lineRule="auto"/>
              <w:jc w:val="left"/>
              <w:rPr>
                <w:rFonts w:ascii="宋体" w:hAnsi="宋体" w:cs="宋体"/>
                <w:b/>
                <w:bCs/>
                <w:szCs w:val="21"/>
              </w:rPr>
            </w:pPr>
            <w:r>
              <w:rPr>
                <w:rFonts w:hint="eastAsia" w:ascii="宋体" w:hAnsi="宋体" w:cs="宋体"/>
                <w:b/>
                <w:bCs/>
                <w:szCs w:val="21"/>
              </w:rPr>
              <w:t>项目名称：</w:t>
            </w:r>
          </w:p>
          <w:p w14:paraId="5B2D0C7C">
            <w:pPr>
              <w:spacing w:line="360" w:lineRule="auto"/>
              <w:rPr>
                <w:rFonts w:ascii="宋体" w:hAnsi="宋体" w:cs="宋体"/>
                <w:szCs w:val="21"/>
              </w:rPr>
            </w:pPr>
            <w:r>
              <w:rPr>
                <w:rFonts w:hint="eastAsia" w:ascii="宋体" w:hAnsi="宋体" w:cs="宋体"/>
                <w:szCs w:val="21"/>
              </w:rPr>
              <w:t xml:space="preserve">合同签订地点：广西梧州市 </w:t>
            </w:r>
          </w:p>
          <w:p w14:paraId="70D61E27">
            <w:pPr>
              <w:spacing w:line="360" w:lineRule="auto"/>
              <w:rPr>
                <w:rFonts w:ascii="宋体" w:hAnsi="宋体" w:cs="宋体"/>
                <w:szCs w:val="21"/>
              </w:rPr>
            </w:pPr>
            <w:r>
              <w:rPr>
                <w:rFonts w:hint="eastAsia" w:ascii="宋体" w:hAnsi="宋体" w:cs="宋体"/>
                <w:szCs w:val="21"/>
              </w:rPr>
              <w:t>合同签订日期：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57EA0DD5">
            <w:pPr>
              <w:spacing w:line="360" w:lineRule="auto"/>
              <w:rPr>
                <w:rFonts w:ascii="宋体" w:hAnsi="宋体" w:cs="宋体"/>
                <w:szCs w:val="21"/>
              </w:rPr>
            </w:pPr>
          </w:p>
          <w:p w14:paraId="0E6C3E10">
            <w:pPr>
              <w:spacing w:line="360" w:lineRule="auto"/>
              <w:rPr>
                <w:rFonts w:ascii="宋体" w:hAnsi="宋体" w:cs="宋体"/>
                <w:szCs w:val="21"/>
              </w:rPr>
            </w:pPr>
            <w:r>
              <w:rPr>
                <w:rFonts w:hint="eastAsia" w:ascii="宋体" w:hAnsi="宋体" w:cs="宋体"/>
                <w:szCs w:val="21"/>
              </w:rPr>
              <w:t>甲方（招标人）：</w:t>
            </w:r>
            <w:r>
              <w:rPr>
                <w:rFonts w:hint="eastAsia" w:ascii="宋体" w:hAnsi="宋体" w:cs="宋体"/>
                <w:szCs w:val="21"/>
                <w:u w:val="single"/>
              </w:rPr>
              <w:t xml:space="preserve"> 梧州市红十字会医院  </w:t>
            </w:r>
          </w:p>
          <w:p w14:paraId="01A339DD">
            <w:pPr>
              <w:spacing w:line="360" w:lineRule="auto"/>
              <w:rPr>
                <w:rFonts w:ascii="宋体" w:hAnsi="宋体" w:cs="宋体"/>
                <w:szCs w:val="21"/>
                <w:u w:val="single"/>
              </w:rPr>
            </w:pPr>
            <w:r>
              <w:rPr>
                <w:rFonts w:hint="eastAsia" w:ascii="宋体" w:hAnsi="宋体" w:cs="宋体"/>
                <w:szCs w:val="21"/>
              </w:rPr>
              <w:t>乙方（中标供应商）：</w:t>
            </w:r>
            <w:r>
              <w:rPr>
                <w:rFonts w:hint="eastAsia" w:ascii="宋体" w:hAnsi="宋体" w:cs="宋体"/>
                <w:szCs w:val="21"/>
                <w:u w:val="single"/>
              </w:rPr>
              <w:t xml:space="preserve">                   </w:t>
            </w:r>
          </w:p>
          <w:p w14:paraId="1DFE5BDD">
            <w:pPr>
              <w:spacing w:line="360" w:lineRule="auto"/>
              <w:ind w:firstLine="360"/>
              <w:rPr>
                <w:rFonts w:ascii="宋体" w:hAnsi="宋体" w:cs="宋体"/>
                <w:szCs w:val="21"/>
              </w:rPr>
            </w:pPr>
            <w:r>
              <w:rPr>
                <w:rFonts w:hint="eastAsia" w:ascii="宋体" w:hAnsi="宋体" w:cs="宋体"/>
                <w:szCs w:val="21"/>
              </w:rPr>
              <w:t>根据</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日中经国际招标集团有限公司签发的（</w:t>
            </w:r>
            <w:r>
              <w:rPr>
                <w:rFonts w:hint="eastAsia" w:ascii="宋体" w:hAnsi="宋体" w:cs="宋体"/>
                <w:szCs w:val="21"/>
                <w:u w:val="single"/>
              </w:rPr>
              <w:t>项目名称及项目编号</w:t>
            </w:r>
            <w:r>
              <w:rPr>
                <w:rFonts w:hint="eastAsia" w:ascii="宋体" w:hAnsi="宋体" w:cs="宋体"/>
                <w:szCs w:val="21"/>
              </w:rPr>
              <w:t>）中标通知书，甲方接受乙方对本项目的投标，甲、乙双方同意签署本合同（以下简称合同），中标通知书、招标文件及补充、投标文件及澄清为本合同不可分割的部分并与本合同具有同等效力。</w:t>
            </w:r>
          </w:p>
          <w:p w14:paraId="2E8192EB">
            <w:pPr>
              <w:spacing w:line="360" w:lineRule="auto"/>
              <w:rPr>
                <w:rFonts w:ascii="宋体" w:hAnsi="宋体" w:cs="宋体"/>
                <w:b/>
                <w:bCs/>
                <w:szCs w:val="21"/>
              </w:rPr>
            </w:pPr>
            <w:r>
              <w:rPr>
                <w:rFonts w:hint="eastAsia" w:ascii="宋体" w:hAnsi="宋体" w:cs="宋体"/>
                <w:b/>
                <w:bCs/>
                <w:szCs w:val="21"/>
              </w:rPr>
              <w:t>1.  采购内容</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3"/>
              <w:gridCol w:w="1761"/>
              <w:gridCol w:w="1759"/>
              <w:gridCol w:w="1733"/>
              <w:gridCol w:w="1733"/>
            </w:tblGrid>
            <w:tr w14:paraId="4115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6A63E33C">
                  <w:pPr>
                    <w:spacing w:line="360" w:lineRule="auto"/>
                    <w:jc w:val="center"/>
                    <w:rPr>
                      <w:rFonts w:ascii="宋体" w:hAnsi="宋体" w:cs="宋体"/>
                      <w:szCs w:val="21"/>
                    </w:rPr>
                  </w:pPr>
                  <w:r>
                    <w:rPr>
                      <w:rFonts w:hint="eastAsia" w:ascii="宋体" w:hAnsi="宋体" w:cs="宋体"/>
                      <w:szCs w:val="21"/>
                    </w:rPr>
                    <w:t>货物名称</w:t>
                  </w:r>
                </w:p>
              </w:tc>
              <w:tc>
                <w:tcPr>
                  <w:tcW w:w="1927" w:type="dxa"/>
                  <w:vAlign w:val="center"/>
                </w:tcPr>
                <w:p w14:paraId="5311ABBE">
                  <w:pPr>
                    <w:spacing w:line="360" w:lineRule="auto"/>
                    <w:jc w:val="center"/>
                    <w:rPr>
                      <w:rFonts w:ascii="宋体" w:hAnsi="宋体" w:cs="宋体"/>
                      <w:szCs w:val="21"/>
                    </w:rPr>
                  </w:pPr>
                  <w:r>
                    <w:rPr>
                      <w:rFonts w:hint="eastAsia" w:ascii="宋体" w:hAnsi="宋体" w:cs="宋体"/>
                      <w:szCs w:val="21"/>
                    </w:rPr>
                    <w:t>数量（单位）</w:t>
                  </w:r>
                </w:p>
              </w:tc>
              <w:tc>
                <w:tcPr>
                  <w:tcW w:w="1925" w:type="dxa"/>
                  <w:vAlign w:val="center"/>
                </w:tcPr>
                <w:p w14:paraId="62DD5464">
                  <w:pPr>
                    <w:jc w:val="center"/>
                    <w:rPr>
                      <w:rFonts w:ascii="宋体" w:hAnsi="宋体" w:cs="宋体"/>
                      <w:szCs w:val="21"/>
                    </w:rPr>
                  </w:pPr>
                  <w:r>
                    <w:rPr>
                      <w:rFonts w:hint="eastAsia" w:ascii="宋体" w:hAnsi="宋体" w:cs="宋体"/>
                      <w:szCs w:val="21"/>
                    </w:rPr>
                    <w:t>品牌、厂家、型号、规格</w:t>
                  </w:r>
                </w:p>
              </w:tc>
              <w:tc>
                <w:tcPr>
                  <w:tcW w:w="1925" w:type="dxa"/>
                  <w:vAlign w:val="center"/>
                </w:tcPr>
                <w:p w14:paraId="0BDBDBFA">
                  <w:pPr>
                    <w:spacing w:line="360" w:lineRule="auto"/>
                    <w:jc w:val="center"/>
                    <w:rPr>
                      <w:rFonts w:ascii="宋体" w:hAnsi="宋体" w:cs="宋体"/>
                      <w:szCs w:val="21"/>
                    </w:rPr>
                  </w:pPr>
                  <w:r>
                    <w:rPr>
                      <w:rFonts w:hint="eastAsia" w:ascii="宋体" w:hAnsi="宋体" w:cs="宋体"/>
                      <w:szCs w:val="21"/>
                    </w:rPr>
                    <w:t>技术参数</w:t>
                  </w:r>
                </w:p>
              </w:tc>
              <w:tc>
                <w:tcPr>
                  <w:tcW w:w="1925" w:type="dxa"/>
                  <w:vAlign w:val="center"/>
                </w:tcPr>
                <w:p w14:paraId="7C34AB22">
                  <w:pPr>
                    <w:spacing w:line="360" w:lineRule="auto"/>
                    <w:jc w:val="center"/>
                    <w:rPr>
                      <w:rFonts w:ascii="宋体" w:hAnsi="宋体" w:cs="宋体"/>
                      <w:szCs w:val="21"/>
                    </w:rPr>
                  </w:pPr>
                  <w:r>
                    <w:rPr>
                      <w:rFonts w:hint="eastAsia" w:ascii="宋体" w:hAnsi="宋体" w:cs="宋体"/>
                      <w:szCs w:val="21"/>
                    </w:rPr>
                    <w:t>金额</w:t>
                  </w:r>
                </w:p>
              </w:tc>
            </w:tr>
            <w:tr w14:paraId="5A22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vAlign w:val="center"/>
                </w:tcPr>
                <w:p w14:paraId="4F1BF055">
                  <w:pPr>
                    <w:spacing w:line="360" w:lineRule="auto"/>
                    <w:ind w:firstLine="480"/>
                    <w:jc w:val="center"/>
                    <w:rPr>
                      <w:rFonts w:ascii="宋体" w:hAnsi="宋体" w:cs="宋体"/>
                      <w:szCs w:val="21"/>
                    </w:rPr>
                  </w:pPr>
                </w:p>
              </w:tc>
              <w:tc>
                <w:tcPr>
                  <w:tcW w:w="1927" w:type="dxa"/>
                  <w:vAlign w:val="center"/>
                </w:tcPr>
                <w:p w14:paraId="242C006A">
                  <w:pPr>
                    <w:spacing w:line="360" w:lineRule="auto"/>
                    <w:jc w:val="center"/>
                    <w:rPr>
                      <w:rFonts w:ascii="宋体" w:hAnsi="宋体" w:cs="宋体"/>
                      <w:szCs w:val="21"/>
                    </w:rPr>
                  </w:pPr>
                </w:p>
              </w:tc>
              <w:tc>
                <w:tcPr>
                  <w:tcW w:w="1925" w:type="dxa"/>
                  <w:vAlign w:val="center"/>
                </w:tcPr>
                <w:p w14:paraId="72967F8E">
                  <w:pPr>
                    <w:spacing w:line="360" w:lineRule="auto"/>
                    <w:jc w:val="center"/>
                    <w:rPr>
                      <w:rFonts w:ascii="宋体" w:hAnsi="宋体" w:cs="宋体"/>
                      <w:szCs w:val="21"/>
                    </w:rPr>
                  </w:pPr>
                </w:p>
              </w:tc>
              <w:tc>
                <w:tcPr>
                  <w:tcW w:w="1925" w:type="dxa"/>
                  <w:vAlign w:val="center"/>
                </w:tcPr>
                <w:p w14:paraId="52B7E08C">
                  <w:pPr>
                    <w:spacing w:line="360" w:lineRule="auto"/>
                    <w:jc w:val="center"/>
                    <w:rPr>
                      <w:rFonts w:ascii="宋体" w:hAnsi="宋体" w:cs="宋体"/>
                      <w:szCs w:val="21"/>
                    </w:rPr>
                  </w:pPr>
                </w:p>
              </w:tc>
              <w:tc>
                <w:tcPr>
                  <w:tcW w:w="1925" w:type="dxa"/>
                  <w:vAlign w:val="center"/>
                </w:tcPr>
                <w:p w14:paraId="5904BD68">
                  <w:pPr>
                    <w:spacing w:line="360" w:lineRule="auto"/>
                    <w:ind w:firstLine="480"/>
                    <w:jc w:val="center"/>
                    <w:rPr>
                      <w:rFonts w:ascii="宋体" w:hAnsi="宋体" w:cs="宋体"/>
                      <w:szCs w:val="21"/>
                    </w:rPr>
                  </w:pPr>
                </w:p>
              </w:tc>
            </w:tr>
          </w:tbl>
          <w:p w14:paraId="395150F8">
            <w:pPr>
              <w:spacing w:line="360" w:lineRule="auto"/>
              <w:rPr>
                <w:rFonts w:ascii="宋体" w:hAnsi="宋体" w:cs="宋体"/>
                <w:b/>
                <w:bCs/>
                <w:szCs w:val="21"/>
              </w:rPr>
            </w:pPr>
            <w:r>
              <w:rPr>
                <w:rFonts w:hint="eastAsia" w:ascii="宋体" w:hAnsi="宋体" w:cs="宋体"/>
                <w:b/>
                <w:bCs/>
                <w:szCs w:val="21"/>
              </w:rPr>
              <w:t>2.  合同金额</w:t>
            </w:r>
          </w:p>
          <w:p w14:paraId="26D50ADF">
            <w:pPr>
              <w:spacing w:line="360" w:lineRule="auto"/>
              <w:ind w:left="2" w:firstLine="359" w:firstLineChars="171"/>
              <w:rPr>
                <w:rFonts w:ascii="宋体" w:hAnsi="宋体" w:eastAsia="宋体" w:cs="宋体"/>
                <w:szCs w:val="21"/>
              </w:rPr>
            </w:pPr>
            <w:r>
              <w:rPr>
                <w:rFonts w:hint="eastAsia" w:ascii="宋体" w:hAnsi="宋体" w:eastAsia="宋体" w:cs="宋体"/>
                <w:bCs/>
                <w:szCs w:val="21"/>
              </w:rPr>
              <w:t xml:space="preserve">2.1 </w:t>
            </w:r>
            <w:r>
              <w:rPr>
                <w:rFonts w:hint="eastAsia" w:ascii="宋体" w:hAnsi="宋体" w:cs="宋体"/>
                <w:bCs/>
                <w:szCs w:val="21"/>
              </w:rPr>
              <w:t>本合同金额</w:t>
            </w:r>
            <w:r>
              <w:rPr>
                <w:rFonts w:hint="eastAsia" w:ascii="宋体" w:hAnsi="宋体" w:cs="宋体"/>
                <w:szCs w:val="21"/>
              </w:rPr>
              <w:t>为人民币（大写）：</w:t>
            </w:r>
            <w:r>
              <w:rPr>
                <w:rFonts w:hint="eastAsia" w:ascii="宋体" w:hAnsi="宋体" w:cs="宋体"/>
                <w:szCs w:val="21"/>
                <w:u w:val="single"/>
              </w:rPr>
              <w:t xml:space="preserve">　　　　　　      </w:t>
            </w:r>
            <w:r>
              <w:rPr>
                <w:rFonts w:hint="eastAsia" w:ascii="宋体" w:hAnsi="宋体" w:cs="宋体"/>
                <w:szCs w:val="21"/>
              </w:rPr>
              <w:t>元（￥</w:t>
            </w:r>
            <w:r>
              <w:rPr>
                <w:rFonts w:hint="eastAsia" w:ascii="宋体" w:hAnsi="宋体" w:cs="宋体"/>
                <w:szCs w:val="21"/>
                <w:u w:val="single"/>
              </w:rPr>
              <w:t>　　　　　　</w:t>
            </w:r>
            <w:r>
              <w:rPr>
                <w:rFonts w:hint="eastAsia" w:ascii="宋体" w:hAnsi="宋体" w:cs="宋体"/>
                <w:szCs w:val="21"/>
              </w:rPr>
              <w:t>）。包含货物采购、制造、改造、包装、运输、劳务、管理、利润、税金、保险、协调、装卸、调试、培训、相关软硬件平台使用服务费、第三方检测验收费用（如有）、承诺售后服务期限内售后服务费用以及相关文件规定及合同包含的所有风险、责任等各项应有费用。</w:t>
            </w:r>
          </w:p>
          <w:p w14:paraId="1DF35283">
            <w:pPr>
              <w:tabs>
                <w:tab w:val="left" w:pos="5940"/>
              </w:tabs>
              <w:spacing w:line="360" w:lineRule="auto"/>
              <w:rPr>
                <w:rFonts w:ascii="宋体" w:hAnsi="宋体" w:cs="宋体"/>
                <w:b/>
                <w:bCs/>
                <w:szCs w:val="21"/>
              </w:rPr>
            </w:pPr>
            <w:r>
              <w:rPr>
                <w:rFonts w:hint="eastAsia" w:ascii="宋体" w:hAnsi="宋体" w:cs="宋体"/>
                <w:b/>
                <w:bCs/>
                <w:szCs w:val="21"/>
              </w:rPr>
              <w:t>3.  交货要求</w:t>
            </w:r>
          </w:p>
          <w:p w14:paraId="233F37CC">
            <w:pPr>
              <w:tabs>
                <w:tab w:val="left" w:pos="5220"/>
              </w:tabs>
              <w:spacing w:line="360" w:lineRule="auto"/>
              <w:ind w:firstLine="420"/>
              <w:rPr>
                <w:rFonts w:ascii="宋体" w:hAnsi="宋体" w:eastAsia="宋体" w:cs="宋体"/>
                <w:bCs/>
                <w:szCs w:val="21"/>
              </w:rPr>
            </w:pPr>
            <w:r>
              <w:rPr>
                <w:rFonts w:hint="eastAsia" w:ascii="宋体" w:hAnsi="宋体" w:eastAsia="宋体" w:cs="宋体"/>
                <w:bCs/>
                <w:szCs w:val="21"/>
              </w:rPr>
              <w:t>3.1 交货时间：合同签定之日起，中标供应商在30个日历日内向招标人交付全部货物。</w:t>
            </w:r>
          </w:p>
          <w:p w14:paraId="02B14878">
            <w:pPr>
              <w:spacing w:line="360" w:lineRule="auto"/>
              <w:ind w:firstLine="420"/>
              <w:rPr>
                <w:rFonts w:ascii="宋体" w:hAnsi="宋体" w:eastAsia="宋体" w:cs="宋体"/>
                <w:bCs/>
                <w:szCs w:val="21"/>
              </w:rPr>
            </w:pPr>
            <w:r>
              <w:rPr>
                <w:rFonts w:hint="eastAsia" w:ascii="宋体" w:hAnsi="宋体" w:eastAsia="宋体" w:cs="宋体"/>
                <w:bCs/>
                <w:szCs w:val="21"/>
              </w:rPr>
              <w:t>3.2 交货地点：</w:t>
            </w:r>
            <w:r>
              <w:rPr>
                <w:rFonts w:hint="eastAsia" w:ascii="宋体" w:hAnsi="宋体" w:eastAsia="宋体" w:cs="宋体"/>
                <w:szCs w:val="21"/>
              </w:rPr>
              <w:t>招标人指定地点</w:t>
            </w:r>
          </w:p>
          <w:p w14:paraId="5DE75A78">
            <w:pPr>
              <w:tabs>
                <w:tab w:val="left" w:pos="5220"/>
                <w:tab w:val="left" w:pos="6120"/>
              </w:tabs>
              <w:spacing w:line="360" w:lineRule="auto"/>
              <w:ind w:firstLine="420"/>
              <w:rPr>
                <w:rFonts w:ascii="宋体" w:hAnsi="宋体" w:eastAsia="宋体" w:cs="宋体"/>
                <w:bCs/>
                <w:szCs w:val="21"/>
              </w:rPr>
            </w:pPr>
            <w:r>
              <w:rPr>
                <w:rFonts w:hint="eastAsia" w:ascii="宋体" w:hAnsi="宋体" w:eastAsia="宋体" w:cs="宋体"/>
                <w:bCs/>
                <w:szCs w:val="21"/>
              </w:rPr>
              <w:t>3.3 交货方式：</w:t>
            </w:r>
            <w:r>
              <w:rPr>
                <w:rFonts w:hint="eastAsia" w:ascii="宋体" w:hAnsi="宋体" w:eastAsia="宋体" w:cs="宋体"/>
                <w:szCs w:val="21"/>
              </w:rPr>
              <w:t>现场安装调试</w:t>
            </w:r>
          </w:p>
          <w:p w14:paraId="35206C8D">
            <w:pPr>
              <w:spacing w:line="360" w:lineRule="auto"/>
              <w:ind w:firstLine="420"/>
              <w:rPr>
                <w:rFonts w:ascii="宋体" w:hAnsi="宋体" w:eastAsia="宋体" w:cs="宋体"/>
                <w:b/>
                <w:szCs w:val="21"/>
              </w:rPr>
            </w:pPr>
            <w:r>
              <w:rPr>
                <w:rFonts w:hint="eastAsia" w:ascii="宋体" w:hAnsi="宋体" w:eastAsia="宋体" w:cs="宋体"/>
                <w:bCs/>
                <w:szCs w:val="21"/>
              </w:rPr>
              <w:t xml:space="preserve">3.4 </w:t>
            </w:r>
            <w:r>
              <w:rPr>
                <w:rFonts w:hint="eastAsia" w:ascii="宋体" w:hAnsi="宋体" w:eastAsia="宋体" w:cs="宋体"/>
                <w:szCs w:val="21"/>
              </w:rPr>
              <w:t>乙方必须按响应文件承诺的技术参数、性能要求、质量标准等向甲方提供全新、完整、未经使用的货物。（生产日期在验收之日6个月内）</w:t>
            </w:r>
          </w:p>
          <w:p w14:paraId="2DEC023B">
            <w:pPr>
              <w:spacing w:line="360" w:lineRule="auto"/>
              <w:ind w:left="357" w:hanging="357" w:hangingChars="170"/>
              <w:rPr>
                <w:rFonts w:ascii="宋体" w:hAnsi="宋体" w:cs="宋体"/>
                <w:b/>
                <w:szCs w:val="21"/>
              </w:rPr>
            </w:pPr>
            <w:r>
              <w:rPr>
                <w:rFonts w:hint="eastAsia" w:ascii="宋体" w:hAnsi="宋体" w:cs="宋体"/>
                <w:b/>
                <w:bCs/>
                <w:szCs w:val="21"/>
              </w:rPr>
              <w:t>4.  履约保证金（不设定）</w:t>
            </w:r>
          </w:p>
          <w:p w14:paraId="1D1C8810">
            <w:pPr>
              <w:spacing w:line="360" w:lineRule="auto"/>
              <w:rPr>
                <w:rFonts w:ascii="宋体" w:hAnsi="宋体" w:cs="宋体"/>
                <w:b/>
                <w:bCs/>
                <w:szCs w:val="21"/>
              </w:rPr>
            </w:pPr>
            <w:r>
              <w:rPr>
                <w:rFonts w:hint="eastAsia" w:ascii="宋体" w:hAnsi="宋体" w:cs="宋体"/>
                <w:b/>
                <w:bCs/>
                <w:szCs w:val="21"/>
              </w:rPr>
              <w:t>5.  质量保证及售后服务</w:t>
            </w:r>
          </w:p>
          <w:p w14:paraId="12435688">
            <w:pPr>
              <w:spacing w:line="360" w:lineRule="auto"/>
              <w:ind w:left="2" w:firstLine="359" w:firstLineChars="171"/>
              <w:rPr>
                <w:rFonts w:ascii="宋体" w:hAnsi="宋体" w:cs="宋体"/>
                <w:szCs w:val="21"/>
              </w:rPr>
            </w:pPr>
            <w:r>
              <w:rPr>
                <w:rFonts w:hint="eastAsia" w:ascii="宋体" w:hAnsi="宋体" w:cs="宋体"/>
                <w:szCs w:val="21"/>
              </w:rPr>
              <w:t>5.1 质保期：自设备验收合格之日起</w:t>
            </w:r>
            <w:r>
              <w:rPr>
                <w:rFonts w:hint="eastAsia" w:ascii="宋体" w:hAnsi="宋体" w:cs="宋体"/>
                <w:szCs w:val="21"/>
                <w:u w:val="single"/>
              </w:rPr>
              <w:t xml:space="preserve">    </w:t>
            </w:r>
            <w:r>
              <w:rPr>
                <w:rFonts w:hint="eastAsia" w:ascii="宋体" w:hAnsi="宋体" w:cs="宋体"/>
                <w:szCs w:val="21"/>
              </w:rPr>
              <w:t>年。</w:t>
            </w:r>
          </w:p>
          <w:p w14:paraId="1BFA2657">
            <w:pPr>
              <w:spacing w:line="360" w:lineRule="auto"/>
              <w:ind w:left="19" w:leftChars="9" w:firstLine="340" w:firstLineChars="162"/>
              <w:rPr>
                <w:rFonts w:ascii="宋体" w:hAnsi="宋体" w:cs="宋体"/>
                <w:szCs w:val="21"/>
              </w:rPr>
            </w:pPr>
            <w:r>
              <w:rPr>
                <w:rFonts w:hint="eastAsia" w:ascii="宋体" w:hAnsi="宋体" w:cs="宋体"/>
                <w:szCs w:val="21"/>
              </w:rPr>
              <w:t>5.2 如乙方提供的货物在使用过程中发生质量问题，乙方接到甲方故障通知后应在</w:t>
            </w:r>
            <w:r>
              <w:rPr>
                <w:rFonts w:hint="eastAsia" w:ascii="宋体" w:hAnsi="宋体" w:cs="宋体"/>
                <w:szCs w:val="21"/>
                <w:u w:val="single"/>
              </w:rPr>
              <w:t xml:space="preserve"> 24 </w:t>
            </w:r>
            <w:r>
              <w:rPr>
                <w:rFonts w:hint="eastAsia" w:ascii="宋体" w:hAnsi="宋体" w:cs="宋体"/>
                <w:szCs w:val="21"/>
              </w:rPr>
              <w:t>小时内到达甲方指定现场，按国家及行业标准对故障进行及时处理。</w:t>
            </w:r>
          </w:p>
          <w:p w14:paraId="2C26A573">
            <w:pPr>
              <w:spacing w:line="360" w:lineRule="auto"/>
              <w:ind w:firstLine="359" w:firstLineChars="171"/>
              <w:rPr>
                <w:rFonts w:ascii="宋体" w:hAnsi="宋体" w:cs="宋体"/>
                <w:szCs w:val="21"/>
              </w:rPr>
            </w:pPr>
            <w:r>
              <w:rPr>
                <w:rFonts w:hint="eastAsia" w:ascii="宋体" w:hAnsi="宋体" w:cs="宋体"/>
                <w:szCs w:val="21"/>
              </w:rPr>
              <w:t>5.3 乙方提供的货物在质量保证期内因货物本身的质量问题发生故障，乙方应负责免费更换。对达不到技术要求者，根据实际情况，经双方协商，可按以下办法处理：</w:t>
            </w:r>
          </w:p>
          <w:p w14:paraId="6DF04914">
            <w:pPr>
              <w:spacing w:line="360" w:lineRule="auto"/>
              <w:ind w:firstLine="359" w:firstLineChars="171"/>
              <w:rPr>
                <w:rFonts w:ascii="宋体" w:hAnsi="宋体" w:cs="宋体"/>
                <w:szCs w:val="21"/>
              </w:rPr>
            </w:pPr>
            <w:r>
              <w:rPr>
                <w:rFonts w:hint="eastAsia" w:ascii="宋体" w:hAnsi="宋体" w:cs="宋体"/>
                <w:szCs w:val="21"/>
              </w:rPr>
              <w:t>（1）更换：由乙方承担所发生的全部费用；</w:t>
            </w:r>
          </w:p>
          <w:p w14:paraId="2D5B9B49">
            <w:pPr>
              <w:spacing w:line="360" w:lineRule="auto"/>
              <w:ind w:firstLine="359" w:firstLineChars="171"/>
              <w:rPr>
                <w:rFonts w:ascii="宋体" w:hAnsi="宋体" w:cs="宋体"/>
                <w:szCs w:val="21"/>
              </w:rPr>
            </w:pPr>
            <w:r>
              <w:rPr>
                <w:rFonts w:hint="eastAsia" w:ascii="宋体" w:hAnsi="宋体" w:cs="宋体"/>
                <w:szCs w:val="21"/>
              </w:rPr>
              <w:t>（2）贬值处理：由甲乙双方合议定价；</w:t>
            </w:r>
          </w:p>
          <w:p w14:paraId="5CFA741B">
            <w:pPr>
              <w:spacing w:line="360" w:lineRule="auto"/>
              <w:ind w:firstLine="359" w:firstLineChars="171"/>
              <w:rPr>
                <w:rFonts w:ascii="宋体" w:hAnsi="宋体" w:cs="宋体"/>
                <w:szCs w:val="21"/>
              </w:rPr>
            </w:pPr>
            <w:r>
              <w:rPr>
                <w:rFonts w:hint="eastAsia" w:ascii="宋体" w:hAnsi="宋体" w:cs="宋体"/>
                <w:szCs w:val="21"/>
              </w:rPr>
              <w:t>（3）退货处理：乙方应退还甲方支付的合同款，同时应承担与该货物相关的直接费用（运输、保险、检验、合同款利息及银行手续费等）。</w:t>
            </w:r>
          </w:p>
          <w:p w14:paraId="36785B3D">
            <w:pPr>
              <w:spacing w:line="360" w:lineRule="auto"/>
              <w:ind w:firstLine="418"/>
              <w:rPr>
                <w:rFonts w:ascii="宋体" w:hAnsi="宋体" w:cs="宋体"/>
                <w:szCs w:val="21"/>
              </w:rPr>
            </w:pPr>
            <w:r>
              <w:rPr>
                <w:rFonts w:hint="eastAsia" w:ascii="宋体" w:hAnsi="宋体" w:cs="宋体"/>
                <w:szCs w:val="21"/>
              </w:rPr>
              <w:t>5.4 在质量保证期内，乙方负责处理解决货物出现的质量及安全问题并承担一切费用，所有非故意性损坏以及正常使用范围内造成的损坏均要免费维修，因人为因素出现的故障不在免费保修范围内，但乙方也要积极帮助招标人修理，并提供优惠价格的配件和服务。</w:t>
            </w:r>
          </w:p>
          <w:p w14:paraId="697BE0BC">
            <w:pPr>
              <w:spacing w:line="360" w:lineRule="auto"/>
              <w:ind w:firstLine="418"/>
              <w:rPr>
                <w:rFonts w:ascii="宋体" w:hAnsi="宋体" w:cs="宋体"/>
                <w:szCs w:val="21"/>
              </w:rPr>
            </w:pPr>
            <w:r>
              <w:rPr>
                <w:rFonts w:hint="eastAsia" w:ascii="宋体" w:hAnsi="宋体" w:cs="宋体"/>
                <w:szCs w:val="21"/>
              </w:rPr>
              <w:t>5.5 超过质量保证期的货物，乙方提供终生维修、保养服务，维修时只收部件成本费。</w:t>
            </w:r>
          </w:p>
          <w:p w14:paraId="41EE5831">
            <w:pPr>
              <w:spacing w:line="360" w:lineRule="auto"/>
              <w:ind w:firstLine="418"/>
              <w:rPr>
                <w:rFonts w:ascii="宋体" w:hAnsi="宋体" w:cs="宋体"/>
                <w:szCs w:val="21"/>
              </w:rPr>
            </w:pPr>
            <w:r>
              <w:rPr>
                <w:rFonts w:hint="eastAsia" w:ascii="宋体" w:hAnsi="宋体" w:cs="宋体"/>
                <w:szCs w:val="21"/>
              </w:rPr>
              <w:t>5.6 乙方随时优惠提供备品备件，优惠提供产品更新、改造服务。</w:t>
            </w:r>
          </w:p>
          <w:p w14:paraId="2783FF0B">
            <w:pPr>
              <w:spacing w:line="360" w:lineRule="auto"/>
              <w:ind w:firstLine="418"/>
            </w:pPr>
            <w:r>
              <w:rPr>
                <w:rFonts w:hint="eastAsia" w:ascii="宋体" w:hAnsi="宋体" w:eastAsia="宋体" w:cs="宋体"/>
                <w:szCs w:val="21"/>
              </w:rPr>
              <w:t>5.7免费维护期结束后，如甲方如有维护服务需求，与乙方约定的维护服务费不超过本项目成交金额的5%。</w:t>
            </w:r>
          </w:p>
          <w:p w14:paraId="75DF102B">
            <w:pPr>
              <w:spacing w:line="360" w:lineRule="auto"/>
              <w:rPr>
                <w:rFonts w:ascii="宋体" w:hAnsi="宋体" w:cs="宋体"/>
                <w:b/>
                <w:bCs/>
                <w:szCs w:val="21"/>
              </w:rPr>
            </w:pPr>
            <w:r>
              <w:rPr>
                <w:rFonts w:hint="eastAsia" w:ascii="宋体" w:hAnsi="宋体" w:cs="宋体"/>
                <w:b/>
                <w:bCs/>
                <w:szCs w:val="21"/>
              </w:rPr>
              <w:t>6.  合同款支付</w:t>
            </w:r>
          </w:p>
          <w:p w14:paraId="22F52169">
            <w:pPr>
              <w:snapToGrid w:val="0"/>
              <w:spacing w:line="440" w:lineRule="exact"/>
              <w:rPr>
                <w:rFonts w:ascii="宋体" w:hAnsi="宋体" w:cs="宋体"/>
                <w:szCs w:val="21"/>
              </w:rPr>
            </w:pPr>
            <w:r>
              <w:rPr>
                <w:rFonts w:hint="eastAsia" w:ascii="宋体" w:hAnsi="宋体" w:cs="宋体"/>
                <w:szCs w:val="21"/>
              </w:rPr>
              <w:t>6.1付款方式：</w:t>
            </w:r>
          </w:p>
          <w:p w14:paraId="3D6E5D13">
            <w:pPr>
              <w:widowControl/>
              <w:spacing w:line="360" w:lineRule="auto"/>
              <w:jc w:val="left"/>
              <w:rPr>
                <w:rFonts w:ascii="宋体" w:hAnsi="宋体" w:cs="宋体"/>
                <w:b/>
                <w:szCs w:val="21"/>
              </w:rPr>
            </w:pPr>
            <w:r>
              <w:rPr>
                <w:rFonts w:hint="eastAsia" w:ascii="宋体" w:hAnsi="宋体" w:cs="宋体"/>
                <w:b/>
                <w:szCs w:val="21"/>
              </w:rPr>
              <w:t>本合同采用分期付款方式结算，甲方核对发票无误后支付当期合同款至乙方指定对公银行帐户。</w:t>
            </w:r>
          </w:p>
          <w:p w14:paraId="4D0474C2">
            <w:pPr>
              <w:widowControl/>
              <w:spacing w:line="360" w:lineRule="auto"/>
              <w:jc w:val="left"/>
              <w:rPr>
                <w:rFonts w:ascii="宋体" w:hAnsi="宋体" w:cs="宋体"/>
                <w:b/>
                <w:szCs w:val="21"/>
              </w:rPr>
            </w:pPr>
            <w:r>
              <w:rPr>
                <w:rFonts w:hint="eastAsia" w:ascii="宋体" w:hAnsi="宋体" w:cs="宋体"/>
                <w:b/>
                <w:szCs w:val="21"/>
              </w:rPr>
              <w:t>第一期：收到项目货物并经甲方验收合格入库后，通知乙方开具符合税法规定的全额增值税发票并提交请款函，经甲方审核确认无误后，10个工作日内支付至合同总额的90%。</w:t>
            </w:r>
          </w:p>
          <w:p w14:paraId="07D2CFE4">
            <w:pPr>
              <w:widowControl/>
              <w:spacing w:line="360" w:lineRule="auto"/>
              <w:jc w:val="left"/>
              <w:rPr>
                <w:rFonts w:ascii="宋体" w:hAnsi="宋体" w:cs="宋体"/>
                <w:b/>
                <w:szCs w:val="21"/>
              </w:rPr>
            </w:pPr>
            <w:r>
              <w:rPr>
                <w:rFonts w:hint="eastAsia" w:ascii="宋体" w:hAnsi="宋体" w:cs="宋体"/>
                <w:b/>
                <w:szCs w:val="21"/>
              </w:rPr>
              <w:t>第二笔款：余下10%合同款项在验收合格9个月后，乙方向甲方请款，甲方收到请款函后10个工作日内支付完毕。(不计利息)。</w:t>
            </w:r>
          </w:p>
          <w:p w14:paraId="543A9F21">
            <w:pPr>
              <w:widowControl/>
              <w:spacing w:line="360" w:lineRule="auto"/>
              <w:jc w:val="left"/>
              <w:rPr>
                <w:rFonts w:ascii="宋体" w:hAnsi="宋体" w:cs="宋体"/>
                <w:b/>
                <w:szCs w:val="21"/>
              </w:rPr>
            </w:pPr>
            <w:r>
              <w:rPr>
                <w:rFonts w:hint="eastAsia" w:ascii="宋体" w:hAnsi="宋体" w:cs="宋体"/>
                <w:b/>
                <w:szCs w:val="21"/>
              </w:rPr>
              <w:t>合同签署的乙方名称及发票开具单位与收款单位必须一致，在合同执行过程中，乙方不得以其他不正当理由要求调整发票开具单位或收款单位，否则视为乙方违约。</w:t>
            </w:r>
          </w:p>
          <w:p w14:paraId="33F8F764">
            <w:pPr>
              <w:widowControl/>
              <w:spacing w:line="360" w:lineRule="auto"/>
              <w:jc w:val="left"/>
              <w:rPr>
                <w:rFonts w:ascii="宋体" w:hAnsi="宋体" w:cs="宋体"/>
                <w:b/>
                <w:szCs w:val="21"/>
              </w:rPr>
            </w:pPr>
            <w:r>
              <w:rPr>
                <w:rFonts w:hint="eastAsia" w:ascii="宋体" w:hAnsi="宋体" w:cs="宋体"/>
                <w:b/>
                <w:bCs/>
                <w:szCs w:val="21"/>
              </w:rPr>
              <w:t>7.  产权</w:t>
            </w:r>
          </w:p>
          <w:p w14:paraId="58E0AD97">
            <w:pPr>
              <w:spacing w:line="360" w:lineRule="auto"/>
              <w:ind w:left="2" w:firstLine="359" w:firstLineChars="171"/>
              <w:rPr>
                <w:rFonts w:ascii="宋体" w:hAnsi="宋体" w:cs="宋体"/>
                <w:bCs/>
                <w:szCs w:val="21"/>
              </w:rPr>
            </w:pPr>
            <w:r>
              <w:rPr>
                <w:rFonts w:hint="eastAsia" w:ascii="宋体" w:hAnsi="宋体" w:cs="宋体"/>
                <w:szCs w:val="21"/>
              </w:rPr>
              <w:t>7.1 乙方保证所提供的货物或其任何一部分均不会侵犯任何第三方的专利权、商标权或著作权</w:t>
            </w:r>
            <w:r>
              <w:rPr>
                <w:rFonts w:hint="eastAsia" w:ascii="宋体" w:hAnsi="宋体" w:cs="宋体"/>
                <w:bCs/>
                <w:szCs w:val="21"/>
              </w:rPr>
              <w:t>。</w:t>
            </w:r>
          </w:p>
          <w:p w14:paraId="2D0C59E2">
            <w:pPr>
              <w:spacing w:line="360" w:lineRule="auto"/>
              <w:ind w:left="2" w:firstLine="359" w:firstLineChars="171"/>
              <w:rPr>
                <w:rFonts w:ascii="宋体" w:hAnsi="宋体" w:cs="宋体"/>
                <w:b/>
                <w:bCs/>
                <w:szCs w:val="21"/>
              </w:rPr>
            </w:pPr>
            <w:r>
              <w:rPr>
                <w:rFonts w:hint="eastAsia" w:ascii="宋体" w:hAnsi="宋体" w:cs="宋体"/>
                <w:szCs w:val="21"/>
              </w:rPr>
              <w:t>7.2 乙方保证所交付货物的所有权完全属于乙方且无任何抵押、查封等产权瑕疵。如乙方所交付货物有产权瑕疵的，视为乙方违约，按照本合同第11.3项的约定处理。但在已经全部支付完合同款后才发现有产权瑕疵的，乙方除了支付违约金还应负担甲方由此产生的一切损失。</w:t>
            </w:r>
          </w:p>
          <w:p w14:paraId="4C9262E6">
            <w:pPr>
              <w:spacing w:line="360" w:lineRule="auto"/>
              <w:rPr>
                <w:rFonts w:ascii="宋体" w:hAnsi="宋体" w:cs="宋体"/>
                <w:b/>
                <w:szCs w:val="21"/>
              </w:rPr>
            </w:pPr>
            <w:r>
              <w:rPr>
                <w:rFonts w:hint="eastAsia" w:ascii="宋体" w:hAnsi="宋体" w:cs="宋体"/>
                <w:b/>
                <w:bCs/>
                <w:szCs w:val="21"/>
              </w:rPr>
              <w:t>8.  技术资料</w:t>
            </w:r>
          </w:p>
          <w:p w14:paraId="2D709955">
            <w:pPr>
              <w:spacing w:line="360" w:lineRule="auto"/>
              <w:ind w:firstLine="420"/>
              <w:rPr>
                <w:rFonts w:ascii="宋体" w:hAnsi="宋体" w:cs="宋体"/>
                <w:szCs w:val="21"/>
              </w:rPr>
            </w:pPr>
            <w:r>
              <w:rPr>
                <w:rFonts w:hint="eastAsia" w:ascii="宋体" w:hAnsi="宋体" w:cs="宋体"/>
                <w:szCs w:val="21"/>
              </w:rPr>
              <w:t>8.1 甲方向乙方提供货物的有关技术资料。</w:t>
            </w:r>
          </w:p>
          <w:p w14:paraId="078F882F">
            <w:pPr>
              <w:spacing w:line="360" w:lineRule="auto"/>
              <w:ind w:firstLine="420"/>
              <w:rPr>
                <w:rFonts w:ascii="宋体" w:hAnsi="宋体" w:cs="宋体"/>
                <w:szCs w:val="21"/>
              </w:rPr>
            </w:pPr>
            <w:r>
              <w:rPr>
                <w:rFonts w:hint="eastAsia" w:ascii="宋体" w:hAnsi="宋体" w:cs="宋体"/>
                <w:szCs w:val="21"/>
              </w:rPr>
              <w:t>8.2 乙方应在采购文件规定的时间向甲方提供使用货物的有关技术资料。</w:t>
            </w:r>
          </w:p>
          <w:p w14:paraId="18693E9B">
            <w:pPr>
              <w:spacing w:line="360" w:lineRule="auto"/>
              <w:ind w:firstLine="420"/>
              <w:rPr>
                <w:rFonts w:ascii="宋体" w:hAnsi="宋体" w:cs="宋体"/>
                <w:szCs w:val="21"/>
              </w:rPr>
            </w:pPr>
            <w:r>
              <w:rPr>
                <w:rFonts w:hint="eastAsia" w:ascii="宋体" w:hAnsi="宋体" w:cs="宋体"/>
                <w:szCs w:val="21"/>
              </w:rPr>
              <w:t>8.3 没有甲方事先书面同意，乙方不得将甲方提供的有关合同或任何合同条文、规格、计划、图纸、样品或资料提供给与履行本合同无关的第三方。即使向与履行本合同有关的人员提供，也应注意保密并限于履行合同的必需范围。</w:t>
            </w:r>
          </w:p>
          <w:p w14:paraId="051C1CE6">
            <w:pPr>
              <w:spacing w:line="360" w:lineRule="auto"/>
              <w:rPr>
                <w:rFonts w:ascii="宋体" w:hAnsi="宋体" w:cs="宋体"/>
                <w:b/>
                <w:bCs/>
                <w:szCs w:val="21"/>
              </w:rPr>
            </w:pPr>
            <w:r>
              <w:rPr>
                <w:rFonts w:hint="eastAsia" w:ascii="宋体" w:hAnsi="宋体" w:cs="宋体"/>
                <w:b/>
                <w:bCs/>
                <w:szCs w:val="21"/>
              </w:rPr>
              <w:t>9.  货物包装、发运及运输</w:t>
            </w:r>
          </w:p>
          <w:p w14:paraId="5797ECE8">
            <w:pPr>
              <w:tabs>
                <w:tab w:val="left" w:pos="0"/>
              </w:tabs>
              <w:spacing w:line="360" w:lineRule="auto"/>
              <w:ind w:firstLine="420"/>
              <w:rPr>
                <w:rFonts w:ascii="宋体" w:hAnsi="宋体" w:cs="宋体"/>
                <w:szCs w:val="21"/>
              </w:rPr>
            </w:pPr>
            <w:r>
              <w:rPr>
                <w:rFonts w:hint="eastAsia" w:ascii="宋体" w:hAnsi="宋体" w:cs="宋体"/>
                <w:szCs w:val="21"/>
              </w:rPr>
              <w:t>9.1 乙方应在货物发运前对其进行满足运输距离、防潮、防震、防锈和防破损装卸等要求包装，以保证货物安全运达甲方指定地点。</w:t>
            </w:r>
          </w:p>
          <w:p w14:paraId="592D5948">
            <w:pPr>
              <w:tabs>
                <w:tab w:val="left" w:pos="0"/>
              </w:tabs>
              <w:spacing w:line="360" w:lineRule="auto"/>
              <w:ind w:firstLine="420"/>
              <w:rPr>
                <w:rFonts w:ascii="宋体" w:hAnsi="宋体" w:cs="宋体"/>
                <w:szCs w:val="21"/>
              </w:rPr>
            </w:pPr>
            <w:r>
              <w:rPr>
                <w:rFonts w:hint="eastAsia" w:ascii="宋体" w:hAnsi="宋体" w:cs="宋体"/>
                <w:szCs w:val="21"/>
              </w:rPr>
              <w:t>9.2 使用说明书、质量检验证明书、保修单据、随配附件和工具以及清单一并附于货物内。</w:t>
            </w:r>
          </w:p>
          <w:p w14:paraId="50F95997">
            <w:pPr>
              <w:tabs>
                <w:tab w:val="left" w:pos="0"/>
              </w:tabs>
              <w:spacing w:line="360" w:lineRule="auto"/>
              <w:ind w:firstLine="420"/>
              <w:rPr>
                <w:rFonts w:ascii="宋体" w:hAnsi="宋体" w:cs="宋体"/>
                <w:szCs w:val="21"/>
              </w:rPr>
            </w:pPr>
            <w:r>
              <w:rPr>
                <w:rFonts w:hint="eastAsia" w:ascii="宋体" w:hAnsi="宋体" w:cs="宋体"/>
                <w:szCs w:val="21"/>
              </w:rPr>
              <w:t>9.3 乙方在货物发运手续办理完毕后24小时内或货到甲方48小时前通知甲方，以准备接货。</w:t>
            </w:r>
          </w:p>
          <w:p w14:paraId="469631D8">
            <w:pPr>
              <w:tabs>
                <w:tab w:val="left" w:pos="0"/>
              </w:tabs>
              <w:spacing w:line="360" w:lineRule="auto"/>
              <w:ind w:firstLine="420"/>
              <w:rPr>
                <w:rFonts w:ascii="宋体" w:hAnsi="宋体" w:cs="宋体"/>
                <w:szCs w:val="21"/>
              </w:rPr>
            </w:pPr>
            <w:r>
              <w:rPr>
                <w:rFonts w:hint="eastAsia" w:ascii="宋体" w:hAnsi="宋体" w:cs="宋体"/>
                <w:szCs w:val="21"/>
              </w:rPr>
              <w:t>9.4 货物在交付甲方前发生的风险均由乙方负责。</w:t>
            </w:r>
          </w:p>
          <w:p w14:paraId="76448320">
            <w:pPr>
              <w:tabs>
                <w:tab w:val="left" w:pos="0"/>
              </w:tabs>
              <w:spacing w:line="360" w:lineRule="auto"/>
              <w:ind w:firstLine="420"/>
              <w:rPr>
                <w:rFonts w:ascii="宋体" w:hAnsi="宋体" w:cs="宋体"/>
                <w:szCs w:val="21"/>
              </w:rPr>
            </w:pPr>
            <w:r>
              <w:rPr>
                <w:rFonts w:hint="eastAsia" w:ascii="宋体" w:hAnsi="宋体" w:cs="宋体"/>
                <w:szCs w:val="21"/>
              </w:rPr>
              <w:t>9.5 货物在规定的交付期限内由乙方送达甲方指定的地点视为交付，乙方同时需通知甲方货物已送达。</w:t>
            </w:r>
          </w:p>
          <w:p w14:paraId="4A250BF4">
            <w:pPr>
              <w:spacing w:line="360" w:lineRule="auto"/>
              <w:rPr>
                <w:rFonts w:ascii="宋体" w:hAnsi="宋体" w:cs="宋体"/>
                <w:b/>
                <w:bCs/>
                <w:szCs w:val="21"/>
              </w:rPr>
            </w:pPr>
            <w:r>
              <w:rPr>
                <w:rFonts w:hint="eastAsia" w:ascii="宋体" w:hAnsi="宋体" w:cs="宋体"/>
                <w:b/>
                <w:bCs/>
                <w:szCs w:val="21"/>
              </w:rPr>
              <w:t>10.  调试和验收</w:t>
            </w:r>
          </w:p>
          <w:p w14:paraId="6ED38D4D">
            <w:pPr>
              <w:spacing w:line="360" w:lineRule="auto"/>
              <w:ind w:firstLine="359" w:firstLineChars="171"/>
              <w:rPr>
                <w:rFonts w:ascii="宋体" w:hAnsi="宋体" w:cs="宋体"/>
                <w:szCs w:val="21"/>
              </w:rPr>
            </w:pPr>
            <w:r>
              <w:rPr>
                <w:rFonts w:hint="eastAsia" w:ascii="宋体" w:hAnsi="宋体" w:cs="宋体"/>
                <w:szCs w:val="21"/>
              </w:rPr>
              <w:t>10.1 乙方将货物运达约定的交货地点后，甲乙双方应在五个工作日内对乙方提交的货物依据招标文件、投标文件要求和国家标准或行业标准进行现场初步验收。对外观、说明书符合要求的，给予签收；对不符合要求或有质量问题的货物不予签收，可立即要求退换，乙方不得拒绝和延误。</w:t>
            </w:r>
          </w:p>
          <w:p w14:paraId="7D6887E3">
            <w:pPr>
              <w:spacing w:line="360" w:lineRule="auto"/>
              <w:ind w:firstLine="359" w:firstLineChars="171"/>
              <w:rPr>
                <w:rFonts w:ascii="宋体" w:hAnsi="宋体" w:cs="宋体"/>
                <w:szCs w:val="21"/>
              </w:rPr>
            </w:pPr>
            <w:r>
              <w:rPr>
                <w:rFonts w:hint="eastAsia" w:ascii="宋体" w:hAnsi="宋体" w:cs="宋体"/>
                <w:szCs w:val="21"/>
              </w:rPr>
              <w:t>10.2 乙方交货前应对产品作出全面检查和对验收文件进行整理，并列出清单，作为甲方收货验收和使用的技术条件依据，检验的结果应随货物交甲方。</w:t>
            </w:r>
          </w:p>
          <w:p w14:paraId="5700E3FF">
            <w:pPr>
              <w:spacing w:line="360" w:lineRule="auto"/>
              <w:ind w:firstLine="359" w:firstLineChars="171"/>
              <w:rPr>
                <w:rFonts w:ascii="宋体" w:hAnsi="宋体" w:cs="宋体"/>
                <w:szCs w:val="21"/>
              </w:rPr>
            </w:pPr>
            <w:r>
              <w:rPr>
                <w:rFonts w:hint="eastAsia" w:ascii="宋体" w:hAnsi="宋体" w:cs="宋体"/>
                <w:szCs w:val="21"/>
              </w:rPr>
              <w:t>10.3 甲方对乙方提供的货物在使用前进行调试时，乙方需负责安装并培训甲方的使用操作人员，并协助甲方一起调试，直到符合技术要求，甲方才做最终验收。</w:t>
            </w:r>
          </w:p>
          <w:p w14:paraId="572EE189">
            <w:pPr>
              <w:spacing w:line="360" w:lineRule="auto"/>
              <w:ind w:firstLine="359" w:firstLineChars="171"/>
              <w:rPr>
                <w:rFonts w:ascii="宋体" w:hAnsi="宋体" w:cs="宋体"/>
                <w:szCs w:val="21"/>
              </w:rPr>
            </w:pPr>
            <w:r>
              <w:rPr>
                <w:rFonts w:hint="eastAsia" w:ascii="宋体" w:hAnsi="宋体" w:cs="宋体"/>
                <w:szCs w:val="21"/>
              </w:rPr>
              <w:t>10.4 验收时乙方必须在现场，验收完毕后作出验收结果报告。</w:t>
            </w:r>
          </w:p>
          <w:p w14:paraId="33E44564">
            <w:pPr>
              <w:spacing w:line="360" w:lineRule="auto"/>
              <w:ind w:firstLine="359" w:firstLineChars="171"/>
              <w:rPr>
                <w:rFonts w:ascii="宋体" w:hAnsi="宋体" w:cs="宋体"/>
                <w:szCs w:val="21"/>
              </w:rPr>
            </w:pPr>
            <w:r>
              <w:rPr>
                <w:rFonts w:hint="eastAsia" w:ascii="宋体" w:hAnsi="宋体" w:cs="宋体"/>
                <w:szCs w:val="21"/>
              </w:rPr>
              <w:t>10.5 对技术复杂的货物，甲方可请国家认可的专业检测机构参与验收，并由其出具质量检测报告，相关费用由乙方承担。</w:t>
            </w:r>
          </w:p>
          <w:p w14:paraId="71C5B0B9">
            <w:pPr>
              <w:spacing w:line="360" w:lineRule="auto"/>
              <w:rPr>
                <w:rFonts w:ascii="宋体" w:hAnsi="宋体" w:cs="宋体"/>
                <w:b/>
                <w:bCs/>
                <w:szCs w:val="21"/>
              </w:rPr>
            </w:pPr>
            <w:r>
              <w:rPr>
                <w:rFonts w:hint="eastAsia" w:ascii="宋体" w:hAnsi="宋体" w:cs="宋体"/>
                <w:b/>
                <w:bCs/>
                <w:szCs w:val="21"/>
              </w:rPr>
              <w:t>11.  违约责任</w:t>
            </w:r>
          </w:p>
          <w:p w14:paraId="64BAD90D">
            <w:pPr>
              <w:spacing w:line="360" w:lineRule="auto"/>
              <w:ind w:firstLine="418"/>
              <w:rPr>
                <w:rFonts w:ascii="宋体" w:hAnsi="宋体" w:cs="宋体"/>
                <w:szCs w:val="21"/>
              </w:rPr>
            </w:pPr>
            <w:r>
              <w:rPr>
                <w:rFonts w:hint="eastAsia" w:ascii="宋体" w:hAnsi="宋体" w:cs="宋体"/>
                <w:szCs w:val="21"/>
              </w:rPr>
              <w:t>11.1 甲方无正当理由拒收货物的，甲方向乙方偿付合同款总值的百分之五违约金。</w:t>
            </w:r>
          </w:p>
          <w:p w14:paraId="25737E96">
            <w:pPr>
              <w:spacing w:line="400" w:lineRule="exact"/>
              <w:ind w:firstLine="418"/>
              <w:rPr>
                <w:rFonts w:ascii="宋体" w:hAnsi="宋体" w:cs="宋体"/>
                <w:szCs w:val="21"/>
              </w:rPr>
            </w:pPr>
            <w:r>
              <w:rPr>
                <w:rFonts w:hint="eastAsia" w:ascii="宋体" w:hAnsi="宋体" w:cs="宋体"/>
                <w:szCs w:val="21"/>
              </w:rPr>
              <w:t>11.2 甲方无故逾期验收或办理合同款支付手续的，甲方应按逾期付款总额每日万分之五向乙方支付违约金。</w:t>
            </w:r>
          </w:p>
          <w:p w14:paraId="1AE3C75F">
            <w:pPr>
              <w:spacing w:line="400" w:lineRule="exact"/>
              <w:ind w:firstLine="418"/>
              <w:rPr>
                <w:rFonts w:ascii="宋体" w:hAnsi="宋体" w:cs="宋体"/>
                <w:szCs w:val="21"/>
              </w:rPr>
            </w:pPr>
            <w:r>
              <w:rPr>
                <w:rFonts w:hint="eastAsia" w:ascii="宋体" w:hAnsi="宋体" w:cs="宋体"/>
                <w:szCs w:val="21"/>
              </w:rPr>
              <w:t>11.3 乙方逾期交付货物的，乙方应按逾期交货总额每日万分之五向甲方支付违约金，由甲方从待付合同款中扣除。乙方逾期超过本合同约定交货日期十个工作日不能交货的，甲方可单方面解除本合同。乙方因逾期交货或因其他违约行为导致甲方解除合同的，乙方应向甲方支付合同总值百分之五的违约金，如造成甲方损失超过违约金的，超出部分由乙方继续承担赔偿责任。</w:t>
            </w:r>
          </w:p>
          <w:p w14:paraId="1EE5A94B">
            <w:pPr>
              <w:spacing w:line="400" w:lineRule="exact"/>
              <w:ind w:firstLine="418"/>
              <w:rPr>
                <w:rFonts w:ascii="宋体" w:hAnsi="宋体" w:cs="宋体"/>
                <w:szCs w:val="21"/>
              </w:rPr>
            </w:pPr>
            <w:r>
              <w:rPr>
                <w:rFonts w:hint="eastAsia" w:ascii="宋体" w:hAnsi="宋体" w:cs="宋体"/>
                <w:szCs w:val="21"/>
              </w:rPr>
              <w:t>11.4 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4276830B">
            <w:pPr>
              <w:spacing w:line="400" w:lineRule="exact"/>
              <w:rPr>
                <w:rFonts w:ascii="宋体" w:hAnsi="宋体" w:cs="宋体"/>
                <w:b/>
                <w:bCs/>
                <w:szCs w:val="21"/>
              </w:rPr>
            </w:pPr>
            <w:r>
              <w:rPr>
                <w:rFonts w:hint="eastAsia" w:ascii="宋体" w:hAnsi="宋体" w:cs="宋体"/>
                <w:b/>
                <w:bCs/>
                <w:szCs w:val="21"/>
              </w:rPr>
              <w:t>12.  不可抗力事件处理</w:t>
            </w:r>
          </w:p>
          <w:p w14:paraId="751D6CF2">
            <w:pPr>
              <w:spacing w:line="400" w:lineRule="exact"/>
              <w:ind w:firstLine="359" w:firstLineChars="171"/>
              <w:rPr>
                <w:rFonts w:ascii="宋体" w:hAnsi="宋体" w:cs="宋体"/>
                <w:szCs w:val="21"/>
              </w:rPr>
            </w:pPr>
            <w:r>
              <w:rPr>
                <w:rFonts w:hint="eastAsia" w:ascii="宋体" w:hAnsi="宋体" w:cs="宋体"/>
                <w:szCs w:val="21"/>
              </w:rPr>
              <w:t>12.1 在合同有效期内，任何一方因不可抗力事件导致不能履行合同，则合同履行期可延长，其延长期与不可抗力影响期相同。</w:t>
            </w:r>
          </w:p>
          <w:p w14:paraId="7F184D96">
            <w:pPr>
              <w:spacing w:line="400" w:lineRule="exact"/>
              <w:ind w:firstLine="359" w:firstLineChars="171"/>
              <w:rPr>
                <w:rFonts w:ascii="宋体" w:hAnsi="宋体" w:cs="宋体"/>
                <w:szCs w:val="21"/>
              </w:rPr>
            </w:pPr>
            <w:r>
              <w:rPr>
                <w:rFonts w:hint="eastAsia" w:ascii="宋体" w:hAnsi="宋体" w:cs="宋体"/>
                <w:szCs w:val="21"/>
              </w:rPr>
              <w:t>12.2 不可抗力事件发生后，应立即通知对方，并寄送有关权威机构出具的证明。</w:t>
            </w:r>
          </w:p>
          <w:p w14:paraId="2A06AAC1">
            <w:pPr>
              <w:spacing w:line="400" w:lineRule="exact"/>
              <w:ind w:firstLine="359" w:firstLineChars="171"/>
              <w:rPr>
                <w:rFonts w:ascii="宋体" w:hAnsi="宋体" w:cs="宋体"/>
                <w:szCs w:val="21"/>
              </w:rPr>
            </w:pPr>
            <w:r>
              <w:rPr>
                <w:rFonts w:hint="eastAsia" w:ascii="宋体" w:hAnsi="宋体" w:cs="宋体"/>
                <w:szCs w:val="21"/>
              </w:rPr>
              <w:t>12.3 不可抗力事件延续60天以上，双方应通过友好协商，确定是否继续履行合同。</w:t>
            </w:r>
          </w:p>
          <w:p w14:paraId="68DCE760">
            <w:pPr>
              <w:spacing w:line="400" w:lineRule="exact"/>
              <w:rPr>
                <w:rFonts w:ascii="宋体" w:hAnsi="宋体" w:cs="宋体"/>
                <w:b/>
                <w:bCs/>
                <w:szCs w:val="21"/>
              </w:rPr>
            </w:pPr>
            <w:r>
              <w:rPr>
                <w:rFonts w:hint="eastAsia" w:ascii="宋体" w:hAnsi="宋体" w:cs="宋体"/>
                <w:b/>
                <w:bCs/>
                <w:szCs w:val="21"/>
              </w:rPr>
              <w:t>13.  诉讼</w:t>
            </w:r>
          </w:p>
          <w:p w14:paraId="29816930">
            <w:pPr>
              <w:tabs>
                <w:tab w:val="left" w:pos="0"/>
              </w:tabs>
              <w:spacing w:line="400" w:lineRule="exact"/>
              <w:ind w:firstLine="359" w:firstLineChars="171"/>
              <w:rPr>
                <w:rFonts w:ascii="宋体" w:hAnsi="宋体" w:cs="宋体"/>
                <w:szCs w:val="21"/>
              </w:rPr>
            </w:pPr>
            <w:r>
              <w:rPr>
                <w:rFonts w:hint="eastAsia" w:ascii="宋体" w:hAnsi="宋体" w:cs="宋体"/>
                <w:szCs w:val="21"/>
              </w:rPr>
              <w:t>13.1 双方在执行合同中所发生的一切争议，应通过协商解决。如协商不成，可向合同签订地法院起诉，合同签订地在此约定为广西梧州市。</w:t>
            </w:r>
          </w:p>
          <w:p w14:paraId="1DB5FFC7">
            <w:pPr>
              <w:spacing w:line="400" w:lineRule="exact"/>
              <w:rPr>
                <w:rFonts w:ascii="宋体" w:hAnsi="宋体" w:cs="宋体"/>
                <w:b/>
                <w:bCs/>
                <w:szCs w:val="21"/>
              </w:rPr>
            </w:pPr>
            <w:r>
              <w:rPr>
                <w:rFonts w:hint="eastAsia" w:ascii="宋体" w:hAnsi="宋体" w:cs="宋体"/>
                <w:b/>
                <w:bCs/>
                <w:szCs w:val="21"/>
              </w:rPr>
              <w:t>14.  合同生效及其它</w:t>
            </w:r>
          </w:p>
          <w:p w14:paraId="283ABC8E">
            <w:pPr>
              <w:spacing w:line="400" w:lineRule="exact"/>
              <w:ind w:firstLine="420"/>
              <w:rPr>
                <w:rFonts w:ascii="宋体" w:hAnsi="宋体" w:cs="宋体"/>
                <w:szCs w:val="21"/>
              </w:rPr>
            </w:pPr>
            <w:r>
              <w:rPr>
                <w:rFonts w:hint="eastAsia" w:ascii="宋体" w:hAnsi="宋体" w:cs="宋体"/>
                <w:szCs w:val="21"/>
              </w:rPr>
              <w:t>14.1 合同经双方法定代表人或授权委托代理人签字并加盖单位公章后生效。</w:t>
            </w:r>
          </w:p>
          <w:p w14:paraId="687C8A7A">
            <w:pPr>
              <w:spacing w:line="400" w:lineRule="exact"/>
              <w:ind w:firstLine="420"/>
              <w:rPr>
                <w:rFonts w:ascii="宋体" w:hAnsi="宋体" w:cs="宋体"/>
                <w:szCs w:val="21"/>
              </w:rPr>
            </w:pPr>
            <w:r>
              <w:rPr>
                <w:rFonts w:hint="eastAsia" w:ascii="宋体" w:hAnsi="宋体" w:cs="宋体"/>
                <w:szCs w:val="21"/>
              </w:rPr>
              <w:t>14.2 合同执行中涉及采购资金和采购内容修改或补充的，须经市财政部门审批，并签书面补充协议报梧州市政府采购监督管理部门备案，方可作为主合同不可分割的一部分。</w:t>
            </w:r>
          </w:p>
          <w:p w14:paraId="5615B104">
            <w:pPr>
              <w:spacing w:line="400" w:lineRule="exact"/>
              <w:ind w:firstLine="420"/>
              <w:rPr>
                <w:rFonts w:ascii="宋体" w:hAnsi="宋体" w:cs="宋体"/>
                <w:szCs w:val="21"/>
              </w:rPr>
            </w:pPr>
            <w:r>
              <w:rPr>
                <w:rFonts w:hint="eastAsia" w:ascii="宋体" w:hAnsi="宋体" w:cs="宋体"/>
                <w:szCs w:val="21"/>
              </w:rPr>
              <w:t>14.3 本合同未尽事宜，遵照《中华人民共和国民法典》有关条文执行。</w:t>
            </w:r>
          </w:p>
          <w:p w14:paraId="5C816DF6">
            <w:pPr>
              <w:spacing w:line="400" w:lineRule="exact"/>
              <w:ind w:firstLine="420"/>
              <w:rPr>
                <w:rFonts w:ascii="宋体" w:hAnsi="宋体" w:cs="宋体"/>
                <w:szCs w:val="21"/>
              </w:rPr>
            </w:pPr>
            <w:r>
              <w:rPr>
                <w:rFonts w:hint="eastAsia" w:ascii="宋体" w:hAnsi="宋体" w:cs="宋体"/>
                <w:szCs w:val="21"/>
              </w:rPr>
              <w:t>14.4 本合同正本一式伍份，具有同等法律效力，甲方执三份，乙方执一份，采购代理机构执一份，招标人自合同签订之日起七个工作日内报梧州市政府采购监督管理部门备案。</w:t>
            </w:r>
          </w:p>
          <w:p w14:paraId="0C403171">
            <w:pPr>
              <w:spacing w:line="440" w:lineRule="exact"/>
              <w:rPr>
                <w:rFonts w:ascii="宋体" w:hAnsi="宋体" w:cs="宋体"/>
                <w:szCs w:val="21"/>
                <w:u w:val="single"/>
              </w:rPr>
            </w:pPr>
            <w:r>
              <w:rPr>
                <w:rFonts w:hint="eastAsia" w:ascii="宋体" w:hAnsi="宋体" w:cs="宋体"/>
                <w:szCs w:val="21"/>
              </w:rPr>
              <w:t>甲方：梧州市红十字会医院              乙方：</w:t>
            </w:r>
          </w:p>
          <w:p w14:paraId="21D49642">
            <w:pPr>
              <w:spacing w:line="440" w:lineRule="exact"/>
              <w:rPr>
                <w:rFonts w:ascii="宋体" w:hAnsi="宋体" w:cs="宋体"/>
                <w:szCs w:val="21"/>
              </w:rPr>
            </w:pPr>
            <w:r>
              <w:rPr>
                <w:rFonts w:hint="eastAsia" w:ascii="宋体" w:hAnsi="宋体" w:cs="宋体"/>
                <w:szCs w:val="21"/>
              </w:rPr>
              <w:t xml:space="preserve">地址：梧州市万秀区新兴一路3-1号      地址：  </w:t>
            </w:r>
          </w:p>
          <w:p w14:paraId="62EB1FD3">
            <w:pPr>
              <w:spacing w:line="440" w:lineRule="exact"/>
              <w:rPr>
                <w:rFonts w:ascii="宋体" w:hAnsi="宋体" w:cs="宋体"/>
                <w:szCs w:val="21"/>
              </w:rPr>
            </w:pPr>
            <w:r>
              <w:rPr>
                <w:rFonts w:hint="eastAsia" w:ascii="宋体" w:hAnsi="宋体" w:cs="宋体"/>
                <w:szCs w:val="21"/>
              </w:rPr>
              <w:t>法定代表人：                          法定代表人：</w:t>
            </w:r>
          </w:p>
          <w:p w14:paraId="01628663">
            <w:pPr>
              <w:spacing w:line="440" w:lineRule="exact"/>
              <w:rPr>
                <w:rFonts w:ascii="宋体" w:hAnsi="宋体" w:cs="宋体"/>
                <w:szCs w:val="21"/>
              </w:rPr>
            </w:pPr>
            <w:r>
              <w:rPr>
                <w:rFonts w:hint="eastAsia" w:ascii="宋体" w:hAnsi="宋体" w:cs="宋体"/>
                <w:szCs w:val="21"/>
              </w:rPr>
              <w:t>委托代理人：                          委托代理人：</w:t>
            </w:r>
          </w:p>
          <w:p w14:paraId="4CF09C5A">
            <w:pPr>
              <w:spacing w:line="440" w:lineRule="exact"/>
              <w:rPr>
                <w:rFonts w:ascii="宋体" w:hAnsi="宋体" w:cs="宋体"/>
                <w:szCs w:val="21"/>
              </w:rPr>
            </w:pPr>
            <w:r>
              <w:rPr>
                <w:rFonts w:hint="eastAsia" w:ascii="宋体" w:hAnsi="宋体" w:cs="宋体"/>
                <w:szCs w:val="21"/>
              </w:rPr>
              <w:t>电话：                                电话：</w:t>
            </w:r>
          </w:p>
          <w:p w14:paraId="74A8C693">
            <w:pPr>
              <w:spacing w:line="440" w:lineRule="exact"/>
              <w:rPr>
                <w:rFonts w:ascii="宋体" w:hAnsi="宋体" w:cs="宋体"/>
                <w:szCs w:val="21"/>
              </w:rPr>
            </w:pPr>
            <w:r>
              <w:rPr>
                <w:rFonts w:hint="eastAsia" w:ascii="宋体" w:hAnsi="宋体" w:cs="宋体"/>
                <w:szCs w:val="21"/>
              </w:rPr>
              <w:t xml:space="preserve">传真：                                传真：    </w:t>
            </w:r>
          </w:p>
          <w:p w14:paraId="7A29E88B">
            <w:pPr>
              <w:spacing w:line="440" w:lineRule="exact"/>
              <w:rPr>
                <w:rFonts w:ascii="宋体" w:hAnsi="宋体" w:cs="宋体"/>
                <w:szCs w:val="21"/>
                <w:u w:val="single"/>
              </w:rPr>
            </w:pPr>
            <w:r>
              <w:rPr>
                <w:rFonts w:hint="eastAsia" w:ascii="宋体" w:hAnsi="宋体" w:cs="宋体"/>
                <w:szCs w:val="21"/>
              </w:rPr>
              <w:t xml:space="preserve">                                      开户银行：</w:t>
            </w:r>
          </w:p>
          <w:p w14:paraId="4D16BFF4">
            <w:pPr>
              <w:spacing w:line="440" w:lineRule="exact"/>
              <w:rPr>
                <w:rFonts w:ascii="宋体" w:hAnsi="宋体" w:cs="宋体"/>
                <w:szCs w:val="21"/>
              </w:rPr>
            </w:pPr>
            <w:r>
              <w:rPr>
                <w:rFonts w:hint="eastAsia" w:ascii="宋体" w:hAnsi="宋体" w:cs="宋体"/>
                <w:szCs w:val="21"/>
              </w:rPr>
              <w:t xml:space="preserve">                                      开户名称：                                </w:t>
            </w:r>
          </w:p>
          <w:p w14:paraId="4FD52BDF">
            <w:pPr>
              <w:spacing w:line="440" w:lineRule="exact"/>
              <w:rPr>
                <w:rFonts w:ascii="宋体" w:hAnsi="宋体" w:cs="宋体"/>
                <w:szCs w:val="21"/>
              </w:rPr>
            </w:pPr>
            <w:r>
              <w:rPr>
                <w:rFonts w:hint="eastAsia" w:ascii="宋体" w:hAnsi="宋体" w:cs="宋体"/>
                <w:szCs w:val="21"/>
              </w:rPr>
              <w:t xml:space="preserve">                                      银行账号：</w:t>
            </w:r>
          </w:p>
          <w:p w14:paraId="7B7982C1">
            <w:pPr>
              <w:snapToGrid w:val="0"/>
              <w:spacing w:before="120" w:after="120"/>
              <w:jc w:val="center"/>
              <w:outlineLvl w:val="0"/>
              <w:rPr>
                <w:rFonts w:ascii="宋体" w:hAnsi="宋体" w:cs="宋体"/>
                <w:sz w:val="24"/>
              </w:rPr>
            </w:pPr>
          </w:p>
        </w:tc>
      </w:tr>
    </w:tbl>
    <w:p w14:paraId="5A2A1378">
      <w:pPr>
        <w:snapToGrid w:val="0"/>
        <w:spacing w:line="360" w:lineRule="exact"/>
        <w:jc w:val="center"/>
        <w:rPr>
          <w:rFonts w:ascii="宋体"/>
          <w:b/>
          <w:sz w:val="28"/>
          <w:szCs w:val="28"/>
        </w:rPr>
      </w:pPr>
      <w:r>
        <w:rPr>
          <w:rFonts w:hint="eastAsia" w:ascii="宋体"/>
          <w:b/>
          <w:sz w:val="28"/>
          <w:szCs w:val="28"/>
        </w:rPr>
        <w:t>合 同 附 件</w:t>
      </w:r>
    </w:p>
    <w:p w14:paraId="1AE83C9F">
      <w:pPr>
        <w:snapToGrid w:val="0"/>
        <w:spacing w:line="360" w:lineRule="exact"/>
        <w:jc w:val="center"/>
        <w:rPr>
          <w:rFonts w:ascii="宋体"/>
          <w:b/>
          <w:szCs w:val="21"/>
        </w:rPr>
      </w:pPr>
    </w:p>
    <w:tbl>
      <w:tblPr>
        <w:tblStyle w:val="37"/>
        <w:tblW w:w="5000" w:type="pct"/>
        <w:tblInd w:w="0" w:type="dxa"/>
        <w:tblLayout w:type="autofit"/>
        <w:tblCellMar>
          <w:top w:w="0" w:type="dxa"/>
          <w:left w:w="108" w:type="dxa"/>
          <w:bottom w:w="0" w:type="dxa"/>
          <w:right w:w="108" w:type="dxa"/>
        </w:tblCellMar>
      </w:tblPr>
      <w:tblGrid>
        <w:gridCol w:w="4523"/>
        <w:gridCol w:w="4422"/>
      </w:tblGrid>
      <w:tr w14:paraId="35BC0F27">
        <w:tblPrEx>
          <w:tblCellMar>
            <w:top w:w="0" w:type="dxa"/>
            <w:left w:w="108" w:type="dxa"/>
            <w:bottom w:w="0" w:type="dxa"/>
            <w:right w:w="108" w:type="dxa"/>
          </w:tblCellMar>
        </w:tblPrEx>
        <w:trPr>
          <w:trHeight w:val="2260" w:hRule="atLeast"/>
        </w:trPr>
        <w:tc>
          <w:tcPr>
            <w:tcW w:w="5000" w:type="pct"/>
            <w:gridSpan w:val="2"/>
            <w:tcBorders>
              <w:top w:val="single" w:color="auto" w:sz="4" w:space="0"/>
              <w:left w:val="single" w:color="auto" w:sz="4" w:space="0"/>
              <w:bottom w:val="nil"/>
              <w:right w:val="single" w:color="auto" w:sz="4" w:space="0"/>
            </w:tcBorders>
          </w:tcPr>
          <w:p w14:paraId="0B04C665">
            <w:pPr>
              <w:snapToGrid w:val="0"/>
              <w:spacing w:line="360" w:lineRule="exact"/>
              <w:rPr>
                <w:rFonts w:ascii="宋体"/>
                <w:b/>
                <w:szCs w:val="21"/>
              </w:rPr>
            </w:pPr>
            <w:r>
              <w:rPr>
                <w:rFonts w:hint="eastAsia" w:ascii="宋体"/>
                <w:b/>
                <w:szCs w:val="21"/>
              </w:rPr>
              <w:t>1、供应商承诺具体事项：</w:t>
            </w:r>
          </w:p>
        </w:tc>
      </w:tr>
      <w:tr w14:paraId="389B481D">
        <w:tblPrEx>
          <w:tblCellMar>
            <w:top w:w="0" w:type="dxa"/>
            <w:left w:w="108" w:type="dxa"/>
            <w:bottom w:w="0" w:type="dxa"/>
            <w:right w:w="108" w:type="dxa"/>
          </w:tblCellMar>
        </w:tblPrEx>
        <w:trPr>
          <w:trHeight w:val="2145" w:hRule="atLeast"/>
        </w:trPr>
        <w:tc>
          <w:tcPr>
            <w:tcW w:w="5000" w:type="pct"/>
            <w:gridSpan w:val="2"/>
            <w:tcBorders>
              <w:top w:val="single" w:color="auto" w:sz="4" w:space="0"/>
              <w:left w:val="single" w:color="auto" w:sz="4" w:space="0"/>
              <w:bottom w:val="nil"/>
              <w:right w:val="single" w:color="auto" w:sz="4" w:space="0"/>
            </w:tcBorders>
          </w:tcPr>
          <w:p w14:paraId="3312777A">
            <w:pPr>
              <w:snapToGrid w:val="0"/>
              <w:spacing w:line="360" w:lineRule="exact"/>
              <w:rPr>
                <w:rFonts w:ascii="宋体"/>
                <w:b/>
                <w:szCs w:val="21"/>
              </w:rPr>
            </w:pPr>
            <w:r>
              <w:rPr>
                <w:rFonts w:hint="eastAsia" w:ascii="宋体"/>
                <w:b/>
                <w:szCs w:val="21"/>
              </w:rPr>
              <w:t>2、售后服务具体事项：</w:t>
            </w:r>
          </w:p>
        </w:tc>
      </w:tr>
      <w:tr w14:paraId="252930FB">
        <w:tblPrEx>
          <w:tblCellMar>
            <w:top w:w="0" w:type="dxa"/>
            <w:left w:w="108" w:type="dxa"/>
            <w:bottom w:w="0" w:type="dxa"/>
            <w:right w:w="108" w:type="dxa"/>
          </w:tblCellMar>
        </w:tblPrEx>
        <w:trPr>
          <w:trHeight w:val="2062" w:hRule="atLeast"/>
        </w:trPr>
        <w:tc>
          <w:tcPr>
            <w:tcW w:w="5000" w:type="pct"/>
            <w:gridSpan w:val="2"/>
            <w:tcBorders>
              <w:top w:val="single" w:color="auto" w:sz="4" w:space="0"/>
              <w:left w:val="single" w:color="auto" w:sz="4" w:space="0"/>
              <w:bottom w:val="nil"/>
              <w:right w:val="single" w:color="auto" w:sz="4" w:space="0"/>
            </w:tcBorders>
          </w:tcPr>
          <w:p w14:paraId="0BAED0AD">
            <w:pPr>
              <w:snapToGrid w:val="0"/>
              <w:spacing w:line="360" w:lineRule="exact"/>
              <w:rPr>
                <w:rFonts w:ascii="宋体"/>
                <w:b/>
                <w:szCs w:val="21"/>
              </w:rPr>
            </w:pPr>
            <w:r>
              <w:rPr>
                <w:rFonts w:hint="eastAsia" w:ascii="宋体"/>
                <w:b/>
                <w:szCs w:val="21"/>
              </w:rPr>
              <w:t>3、其他具体事项：</w:t>
            </w:r>
          </w:p>
        </w:tc>
      </w:tr>
      <w:tr w14:paraId="1D6F97A8">
        <w:tblPrEx>
          <w:tblCellMar>
            <w:top w:w="0" w:type="dxa"/>
            <w:left w:w="108" w:type="dxa"/>
            <w:bottom w:w="0" w:type="dxa"/>
            <w:right w:w="108" w:type="dxa"/>
          </w:tblCellMar>
        </w:tblPrEx>
        <w:trPr>
          <w:trHeight w:val="3267" w:hRule="atLeast"/>
        </w:trPr>
        <w:tc>
          <w:tcPr>
            <w:tcW w:w="2528" w:type="pct"/>
            <w:tcBorders>
              <w:top w:val="single" w:color="auto" w:sz="4" w:space="0"/>
              <w:left w:val="single" w:color="auto" w:sz="4" w:space="0"/>
              <w:bottom w:val="single" w:color="auto" w:sz="4" w:space="0"/>
              <w:right w:val="single" w:color="auto" w:sz="4" w:space="0"/>
            </w:tcBorders>
            <w:vAlign w:val="center"/>
          </w:tcPr>
          <w:p w14:paraId="4145335F">
            <w:pPr>
              <w:snapToGrid w:val="0"/>
              <w:spacing w:line="360" w:lineRule="exact"/>
              <w:ind w:firstLine="420" w:firstLineChars="200"/>
              <w:rPr>
                <w:rFonts w:ascii="宋体"/>
                <w:b/>
                <w:szCs w:val="21"/>
              </w:rPr>
            </w:pPr>
            <w:r>
              <w:rPr>
                <w:rFonts w:hint="eastAsia" w:ascii="宋体"/>
                <w:b/>
                <w:szCs w:val="21"/>
              </w:rPr>
              <w:t>甲方（章）</w:t>
            </w:r>
          </w:p>
          <w:p w14:paraId="00CB052F">
            <w:pPr>
              <w:snapToGrid w:val="0"/>
              <w:spacing w:line="360" w:lineRule="exact"/>
              <w:ind w:firstLine="420" w:firstLineChars="200"/>
              <w:rPr>
                <w:rFonts w:ascii="宋体"/>
                <w:b/>
                <w:szCs w:val="21"/>
              </w:rPr>
            </w:pPr>
          </w:p>
          <w:p w14:paraId="24F4ECFD">
            <w:pPr>
              <w:snapToGrid w:val="0"/>
              <w:spacing w:line="360" w:lineRule="exact"/>
              <w:ind w:firstLine="420" w:firstLineChars="200"/>
              <w:rPr>
                <w:rFonts w:ascii="宋体"/>
                <w:b/>
                <w:szCs w:val="21"/>
              </w:rPr>
            </w:pPr>
          </w:p>
          <w:p w14:paraId="150D0683">
            <w:pPr>
              <w:snapToGrid w:val="0"/>
              <w:spacing w:line="360" w:lineRule="exact"/>
              <w:ind w:firstLine="420" w:firstLineChars="200"/>
              <w:rPr>
                <w:rFonts w:ascii="宋体"/>
                <w:b/>
                <w:szCs w:val="21"/>
              </w:rPr>
            </w:pPr>
          </w:p>
          <w:p w14:paraId="546403CB">
            <w:pPr>
              <w:snapToGrid w:val="0"/>
              <w:spacing w:line="360" w:lineRule="exact"/>
              <w:ind w:firstLine="420" w:firstLineChars="200"/>
              <w:rPr>
                <w:rFonts w:ascii="宋体"/>
                <w:b/>
                <w:szCs w:val="21"/>
              </w:rPr>
            </w:pPr>
          </w:p>
          <w:p w14:paraId="316BFD92">
            <w:pPr>
              <w:snapToGrid w:val="0"/>
              <w:spacing w:line="360" w:lineRule="exact"/>
              <w:ind w:firstLine="420" w:firstLineChars="200"/>
              <w:rPr>
                <w:rFonts w:ascii="宋体"/>
                <w:b/>
                <w:szCs w:val="21"/>
              </w:rPr>
            </w:pPr>
          </w:p>
          <w:p w14:paraId="4C4EC752">
            <w:pPr>
              <w:snapToGrid w:val="0"/>
              <w:spacing w:line="360" w:lineRule="exact"/>
              <w:ind w:firstLine="420" w:firstLineChars="200"/>
              <w:rPr>
                <w:rFonts w:ascii="宋体"/>
                <w:b/>
                <w:szCs w:val="21"/>
              </w:rPr>
            </w:pPr>
            <w:r>
              <w:rPr>
                <w:rFonts w:hint="eastAsia" w:ascii="宋体"/>
                <w:b/>
                <w:szCs w:val="21"/>
              </w:rPr>
              <w:t xml:space="preserve">                      年   月   日 </w:t>
            </w:r>
          </w:p>
        </w:tc>
        <w:tc>
          <w:tcPr>
            <w:tcW w:w="2471" w:type="pct"/>
            <w:tcBorders>
              <w:top w:val="single" w:color="auto" w:sz="4" w:space="0"/>
              <w:left w:val="single" w:color="auto" w:sz="4" w:space="0"/>
              <w:bottom w:val="single" w:color="auto" w:sz="4" w:space="0"/>
              <w:right w:val="single" w:color="auto" w:sz="4" w:space="0"/>
            </w:tcBorders>
            <w:vAlign w:val="center"/>
          </w:tcPr>
          <w:p w14:paraId="0D1DBDDB">
            <w:pPr>
              <w:snapToGrid w:val="0"/>
              <w:spacing w:line="360" w:lineRule="exact"/>
              <w:ind w:firstLine="420" w:firstLineChars="200"/>
              <w:rPr>
                <w:rFonts w:ascii="宋体"/>
                <w:b/>
                <w:szCs w:val="21"/>
              </w:rPr>
            </w:pPr>
            <w:r>
              <w:rPr>
                <w:rFonts w:hint="eastAsia" w:ascii="宋体"/>
                <w:b/>
                <w:szCs w:val="21"/>
              </w:rPr>
              <w:t>乙方（章）</w:t>
            </w:r>
          </w:p>
          <w:p w14:paraId="2C5E9DD9">
            <w:pPr>
              <w:snapToGrid w:val="0"/>
              <w:spacing w:line="360" w:lineRule="exact"/>
              <w:ind w:firstLine="420" w:firstLineChars="200"/>
              <w:rPr>
                <w:rFonts w:ascii="宋体"/>
                <w:b/>
                <w:szCs w:val="21"/>
              </w:rPr>
            </w:pPr>
          </w:p>
          <w:p w14:paraId="0F0C7489">
            <w:pPr>
              <w:snapToGrid w:val="0"/>
              <w:spacing w:line="360" w:lineRule="exact"/>
              <w:ind w:firstLine="420" w:firstLineChars="200"/>
              <w:rPr>
                <w:rFonts w:ascii="宋体"/>
                <w:b/>
                <w:szCs w:val="21"/>
              </w:rPr>
            </w:pPr>
          </w:p>
          <w:p w14:paraId="65965533">
            <w:pPr>
              <w:snapToGrid w:val="0"/>
              <w:spacing w:line="360" w:lineRule="exact"/>
              <w:ind w:firstLine="420" w:firstLineChars="200"/>
              <w:rPr>
                <w:rFonts w:ascii="宋体"/>
                <w:b/>
                <w:szCs w:val="21"/>
              </w:rPr>
            </w:pPr>
          </w:p>
          <w:p w14:paraId="3AACE321">
            <w:pPr>
              <w:snapToGrid w:val="0"/>
              <w:spacing w:line="360" w:lineRule="exact"/>
              <w:ind w:firstLine="420" w:firstLineChars="200"/>
              <w:rPr>
                <w:rFonts w:ascii="宋体"/>
                <w:b/>
                <w:szCs w:val="21"/>
              </w:rPr>
            </w:pPr>
          </w:p>
          <w:p w14:paraId="473081EF">
            <w:pPr>
              <w:snapToGrid w:val="0"/>
              <w:spacing w:line="360" w:lineRule="exact"/>
              <w:ind w:firstLine="420" w:firstLineChars="200"/>
              <w:rPr>
                <w:rFonts w:ascii="宋体"/>
                <w:b/>
                <w:szCs w:val="21"/>
              </w:rPr>
            </w:pPr>
          </w:p>
          <w:p w14:paraId="310F29C1">
            <w:pPr>
              <w:snapToGrid w:val="0"/>
              <w:spacing w:line="360" w:lineRule="exact"/>
              <w:ind w:firstLine="420" w:firstLineChars="200"/>
              <w:rPr>
                <w:rFonts w:ascii="宋体"/>
                <w:b/>
                <w:szCs w:val="21"/>
              </w:rPr>
            </w:pPr>
            <w:r>
              <w:rPr>
                <w:rFonts w:hint="eastAsia" w:ascii="宋体"/>
                <w:b/>
                <w:szCs w:val="21"/>
              </w:rPr>
              <w:t xml:space="preserve">                       年   月   日</w:t>
            </w:r>
          </w:p>
        </w:tc>
      </w:tr>
    </w:tbl>
    <w:p w14:paraId="6DEB3EA3">
      <w:pPr>
        <w:snapToGrid w:val="0"/>
        <w:jc w:val="center"/>
        <w:rPr>
          <w:rFonts w:ascii="宋体" w:hAnsi="宋体" w:eastAsia="宋体" w:cs="Times New Roman"/>
          <w:bCs/>
          <w:sz w:val="32"/>
          <w:szCs w:val="32"/>
        </w:rPr>
      </w:pPr>
      <w:r>
        <w:rPr>
          <w:rFonts w:hAnsi="宋体"/>
        </w:rPr>
        <w:br w:type="page"/>
      </w:r>
    </w:p>
    <w:p w14:paraId="3338C17A">
      <w:pPr>
        <w:rPr>
          <w:rFonts w:ascii="宋体" w:hAnsi="宋体"/>
          <w:szCs w:val="21"/>
        </w:rPr>
      </w:pPr>
      <w:r>
        <w:rPr>
          <w:rFonts w:hint="eastAsia" w:ascii="宋体" w:hAnsi="宋体"/>
          <w:szCs w:val="21"/>
        </w:rPr>
        <w:t>附件1：</w:t>
      </w:r>
    </w:p>
    <w:p w14:paraId="19ACEBFC">
      <w:pPr>
        <w:autoSpaceDE w:val="0"/>
        <w:autoSpaceDN w:val="0"/>
        <w:adjustRightInd w:val="0"/>
        <w:snapToGrid w:val="0"/>
        <w:ind w:firstLine="482"/>
        <w:jc w:val="center"/>
        <w:rPr>
          <w:rFonts w:ascii="华文中宋" w:hAnsi="华文中宋" w:eastAsia="华文中宋"/>
          <w:kern w:val="0"/>
          <w:sz w:val="40"/>
          <w:lang w:val="zh-CN"/>
        </w:rPr>
      </w:pPr>
      <w:r>
        <w:rPr>
          <w:rFonts w:hint="eastAsia" w:ascii="华文中宋" w:hAnsi="华文中宋" w:eastAsia="华文中宋"/>
          <w:kern w:val="0"/>
          <w:sz w:val="40"/>
          <w:lang w:val="zh-CN"/>
        </w:rPr>
        <w:t>项目采购</w:t>
      </w:r>
      <w:r>
        <w:rPr>
          <w:rFonts w:ascii="华文中宋" w:hAnsi="华文中宋" w:eastAsia="华文中宋"/>
          <w:kern w:val="0"/>
          <w:sz w:val="40"/>
          <w:lang w:val="zh-CN"/>
        </w:rPr>
        <w:t>廉洁承诺书</w:t>
      </w:r>
    </w:p>
    <w:p w14:paraId="10EA769D">
      <w:pPr>
        <w:autoSpaceDE w:val="0"/>
        <w:autoSpaceDN w:val="0"/>
        <w:adjustRightInd w:val="0"/>
        <w:snapToGrid w:val="0"/>
        <w:spacing w:line="400" w:lineRule="exact"/>
        <w:ind w:firstLine="482"/>
        <w:rPr>
          <w:rFonts w:ascii="宋体" w:hAnsi="宋体"/>
          <w:kern w:val="0"/>
          <w:szCs w:val="21"/>
          <w:lang w:val="zh-CN"/>
        </w:rPr>
      </w:pPr>
      <w:r>
        <w:rPr>
          <w:rFonts w:hint="eastAsia" w:ascii="宋体" w:hAnsi="宋体"/>
          <w:kern w:val="0"/>
          <w:szCs w:val="21"/>
          <w:lang w:val="zh-CN"/>
        </w:rPr>
        <w:t>为深入贯彻落实国家卫生健康委等部门《关于印发医疗机构工作人员廉洁从业九项准则的通知》（国卫医发〔2021〕37号）、《广西壮族自治区医疗卫生机构及其工作人员廉洁从业规定》（桂卫发[2020]11号）及《中华人民共和国政府采购法》等文件精神，进一步规范医疗机构项目（包括货物</w:t>
      </w:r>
      <w:r>
        <w:rPr>
          <w:rFonts w:ascii="宋体" w:hAnsi="宋体"/>
          <w:kern w:val="0"/>
          <w:szCs w:val="21"/>
          <w:lang w:val="zh-CN"/>
        </w:rPr>
        <w:t>、服务、工程</w:t>
      </w:r>
      <w:r>
        <w:rPr>
          <w:rFonts w:hint="eastAsia" w:ascii="宋体" w:hAnsi="宋体"/>
          <w:kern w:val="0"/>
          <w:szCs w:val="21"/>
          <w:lang w:val="zh-CN"/>
        </w:rPr>
        <w:t>等）采购行为，从源头上遏制和预防项目</w:t>
      </w:r>
      <w:r>
        <w:rPr>
          <w:rFonts w:ascii="宋体" w:hAnsi="宋体"/>
          <w:kern w:val="0"/>
          <w:szCs w:val="21"/>
          <w:lang w:val="zh-CN"/>
        </w:rPr>
        <w:t>采购</w:t>
      </w:r>
      <w:r>
        <w:rPr>
          <w:rFonts w:hint="eastAsia" w:ascii="宋体" w:hAnsi="宋体"/>
          <w:kern w:val="0"/>
          <w:szCs w:val="21"/>
          <w:lang w:val="zh-CN"/>
        </w:rPr>
        <w:t>贿赂行为，营造风清气正的购销环境，我公司及所属业务人员作出以下不向医院工作人员赠送“回扣”“红包”等廉洁承诺：</w:t>
      </w:r>
    </w:p>
    <w:p w14:paraId="29727427">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一、严格遵守国家的法律法规，依法依规处理项目采购业务，保证不进行违法乱纪活动，自觉接受执法执纪部门的监督检查。</w:t>
      </w:r>
    </w:p>
    <w:p w14:paraId="09572300">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二、保证严格按照民法典及项目采购合同约定履行。</w:t>
      </w:r>
    </w:p>
    <w:p w14:paraId="0CFA76B2">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三、在项目采购活动中，保证不以任何借口向医院及其工作人员（含工作人员的近亲属和其他关系人）给予回扣，主要包括以下内容：</w:t>
      </w:r>
    </w:p>
    <w:p w14:paraId="0AF5250D">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（一）以各种名义所送礼品、礼金、有价证券和支付凭证等财物；</w:t>
      </w:r>
    </w:p>
    <w:p w14:paraId="38DA3819">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（二）报销应当由医院及其工作人员与其近亲属和其他关系人支付的费用；</w:t>
      </w:r>
    </w:p>
    <w:p w14:paraId="3BD84DC4">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（三）向医院及其工作人员提供旅游、考察、宴请、健身、娱乐等活动；</w:t>
      </w:r>
    </w:p>
    <w:p w14:paraId="3B69C0ED">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（四）在医疗活动中向临床提供促销费、开单（药品、检验、耗材等）提成费、推介费等；</w:t>
      </w:r>
    </w:p>
    <w:p w14:paraId="500CA947">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（五）让医院及其工作人员进行以商业目的的处方统计或为其统计提供便利，获取药品、医用设备和医用耗材的用量信息，给予不正当利益的；</w:t>
      </w:r>
    </w:p>
    <w:p w14:paraId="512901F0">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（六）法律法规规定禁止的其他不正当行为。</w:t>
      </w:r>
    </w:p>
    <w:p w14:paraId="15CF6B9A">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四、保证不到住院部、门诊部、医技科室等推销产品、项目，不借故到医疗机构相关领导、部门负责人及相关工作人员家中访谈并提供任何好处费。</w:t>
      </w:r>
    </w:p>
    <w:p w14:paraId="4F0C2D0F">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五、维护正常的医疗秩序，保证不以宴请、到营业性娱乐场所娱乐活动、提供旅游等手段影响医疗机构工作人员的项目（包括货物、服务、工程等）采购选择权。</w:t>
      </w:r>
    </w:p>
    <w:p w14:paraId="4C32B686">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六、保证不以任何理由要求医院及其工作人员利用任何途径和方式统计医师个人及临床科室有关药品、耗材、后勤物资等的用量信息，或要求为营销人员统计提供便利。</w:t>
      </w:r>
    </w:p>
    <w:p w14:paraId="576D3B8E">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七、如有违反上述承诺，我们愿意接受按照《国家卫生计生委关于建立医药购销领域商业贿赂不良记录的规定》（国卫法制发（2013）50号）相关规定处理，以及执法执纪部门的其他处理。</w:t>
      </w:r>
    </w:p>
    <w:p w14:paraId="7EF2F156">
      <w:pPr>
        <w:autoSpaceDE w:val="0"/>
        <w:autoSpaceDN w:val="0"/>
        <w:adjustRightInd w:val="0"/>
        <w:snapToGrid w:val="0"/>
        <w:spacing w:line="400" w:lineRule="exact"/>
        <w:ind w:firstLine="567"/>
        <w:rPr>
          <w:rFonts w:ascii="宋体" w:hAnsi="宋体"/>
          <w:kern w:val="0"/>
          <w:szCs w:val="21"/>
          <w:lang w:val="zh-CN"/>
        </w:rPr>
      </w:pPr>
      <w:r>
        <w:rPr>
          <w:rFonts w:hint="eastAsia" w:ascii="宋体" w:hAnsi="宋体"/>
          <w:kern w:val="0"/>
          <w:szCs w:val="21"/>
          <w:lang w:val="zh-CN"/>
        </w:rPr>
        <w:t>八、本承诺书一式两份，我公司和医疗机构各执一份。</w:t>
      </w:r>
    </w:p>
    <w:p w14:paraId="117715FF">
      <w:pPr>
        <w:autoSpaceDE w:val="0"/>
        <w:autoSpaceDN w:val="0"/>
        <w:adjustRightInd w:val="0"/>
        <w:snapToGrid w:val="0"/>
        <w:spacing w:line="400" w:lineRule="exact"/>
        <w:ind w:firstLine="2835" w:firstLineChars="1350"/>
        <w:rPr>
          <w:rFonts w:ascii="宋体" w:hAnsi="宋体"/>
          <w:kern w:val="0"/>
          <w:szCs w:val="21"/>
          <w:lang w:val="zh-CN"/>
        </w:rPr>
      </w:pPr>
      <w:r>
        <w:rPr>
          <w:rFonts w:hint="eastAsia" w:ascii="宋体" w:hAnsi="宋体"/>
          <w:kern w:val="0"/>
          <w:szCs w:val="21"/>
          <w:lang w:val="zh-CN"/>
        </w:rPr>
        <w:t>公司名称（盖章）：</w:t>
      </w:r>
    </w:p>
    <w:p w14:paraId="606D9381">
      <w:pPr>
        <w:autoSpaceDE w:val="0"/>
        <w:autoSpaceDN w:val="0"/>
        <w:adjustRightInd w:val="0"/>
        <w:snapToGrid w:val="0"/>
        <w:spacing w:line="400" w:lineRule="exact"/>
        <w:ind w:firstLine="3465" w:firstLineChars="1650"/>
        <w:rPr>
          <w:rFonts w:ascii="宋体" w:hAnsi="宋体"/>
          <w:kern w:val="0"/>
          <w:szCs w:val="21"/>
          <w:lang w:val="zh-CN"/>
        </w:rPr>
      </w:pPr>
      <w:r>
        <w:rPr>
          <w:rFonts w:hint="eastAsia" w:ascii="宋体" w:hAnsi="宋体"/>
          <w:kern w:val="0"/>
          <w:szCs w:val="21"/>
          <w:lang w:val="zh-CN"/>
        </w:rPr>
        <w:t>法定代表人：</w:t>
      </w:r>
    </w:p>
    <w:p w14:paraId="0E164CE8">
      <w:pPr>
        <w:autoSpaceDE w:val="0"/>
        <w:autoSpaceDN w:val="0"/>
        <w:adjustRightInd w:val="0"/>
        <w:snapToGrid w:val="0"/>
        <w:spacing w:line="400" w:lineRule="exact"/>
        <w:ind w:firstLine="3465" w:firstLineChars="1650"/>
        <w:rPr>
          <w:rFonts w:ascii="宋体" w:hAnsi="宋体"/>
          <w:kern w:val="0"/>
          <w:szCs w:val="21"/>
          <w:lang w:val="zh-CN"/>
        </w:rPr>
      </w:pPr>
      <w:r>
        <w:rPr>
          <w:rFonts w:hint="eastAsia" w:ascii="宋体" w:hAnsi="宋体"/>
          <w:kern w:val="0"/>
          <w:szCs w:val="21"/>
          <w:lang w:val="zh-CN"/>
        </w:rPr>
        <w:t>经办人签名：</w:t>
      </w:r>
    </w:p>
    <w:p w14:paraId="3AD2F316">
      <w:pPr>
        <w:autoSpaceDE w:val="0"/>
        <w:autoSpaceDN w:val="0"/>
        <w:adjustRightInd w:val="0"/>
        <w:snapToGrid w:val="0"/>
        <w:spacing w:line="400" w:lineRule="exact"/>
        <w:ind w:firstLine="4095" w:firstLineChars="1950"/>
        <w:rPr>
          <w:rFonts w:ascii="宋体" w:hAnsi="宋体"/>
          <w:kern w:val="0"/>
          <w:szCs w:val="21"/>
          <w:lang w:val="zh-CN"/>
        </w:rPr>
      </w:pPr>
      <w:r>
        <w:rPr>
          <w:rFonts w:hint="eastAsia" w:ascii="宋体" w:hAnsi="宋体"/>
          <w:kern w:val="0"/>
          <w:szCs w:val="21"/>
          <w:lang w:val="zh-CN"/>
        </w:rPr>
        <w:t>日期：</w:t>
      </w:r>
    </w:p>
    <w:p w14:paraId="7F68C8E3">
      <w:pPr>
        <w:autoSpaceDE w:val="0"/>
        <w:autoSpaceDN w:val="0"/>
        <w:adjustRightInd w:val="0"/>
        <w:snapToGrid w:val="0"/>
        <w:jc w:val="left"/>
        <w:rPr>
          <w:rFonts w:ascii="宋体" w:hAnsi="宋体"/>
          <w:szCs w:val="21"/>
        </w:rPr>
      </w:pPr>
    </w:p>
    <w:p w14:paraId="5541FBB3">
      <w:pPr>
        <w:autoSpaceDE w:val="0"/>
        <w:autoSpaceDN w:val="0"/>
        <w:adjustRightInd w:val="0"/>
        <w:snapToGrid w:val="0"/>
        <w:jc w:val="left"/>
        <w:rPr>
          <w:rFonts w:ascii="宋体" w:hAnsi="宋体"/>
          <w:szCs w:val="21"/>
        </w:rPr>
      </w:pPr>
    </w:p>
    <w:p w14:paraId="292CE535">
      <w:pPr>
        <w:autoSpaceDE w:val="0"/>
        <w:autoSpaceDN w:val="0"/>
        <w:adjustRightInd w:val="0"/>
        <w:snapToGrid w:val="0"/>
        <w:jc w:val="left"/>
        <w:rPr>
          <w:rFonts w:ascii="宋体" w:hAnsi="宋体"/>
          <w:szCs w:val="21"/>
        </w:rPr>
      </w:pPr>
      <w:r>
        <w:rPr>
          <w:rFonts w:hint="eastAsia" w:ascii="宋体" w:hAnsi="宋体"/>
          <w:szCs w:val="21"/>
        </w:rPr>
        <w:t>附件</w:t>
      </w:r>
      <w:r>
        <w:rPr>
          <w:rFonts w:ascii="宋体" w:hAnsi="宋体"/>
          <w:szCs w:val="21"/>
        </w:rPr>
        <w:t>2</w:t>
      </w:r>
      <w:r>
        <w:rPr>
          <w:rFonts w:hint="eastAsia" w:ascii="宋体" w:hAnsi="宋体"/>
          <w:szCs w:val="21"/>
        </w:rPr>
        <w:t>：</w:t>
      </w:r>
    </w:p>
    <w:p w14:paraId="650841F1">
      <w:pPr>
        <w:spacing w:line="400" w:lineRule="exact"/>
        <w:jc w:val="center"/>
        <w:rPr>
          <w:rFonts w:ascii="方正小标宋简体" w:hAnsi="??" w:eastAsia="方正小标宋简体"/>
          <w:sz w:val="32"/>
          <w:szCs w:val="32"/>
        </w:rPr>
      </w:pPr>
      <w:r>
        <w:rPr>
          <w:rFonts w:hint="eastAsia" w:ascii="方正小标宋简体" w:hAnsi="??" w:eastAsia="方正小标宋简体"/>
          <w:sz w:val="32"/>
          <w:szCs w:val="32"/>
        </w:rPr>
        <w:t>广西壮族自治区医疗卫生机构</w:t>
      </w:r>
    </w:p>
    <w:p w14:paraId="61323BFA">
      <w:pPr>
        <w:spacing w:line="560" w:lineRule="exact"/>
        <w:jc w:val="center"/>
        <w:rPr>
          <w:rFonts w:ascii="方正小标宋简体" w:hAnsi="宋体" w:eastAsia="方正小标宋简体"/>
          <w:sz w:val="32"/>
          <w:szCs w:val="32"/>
        </w:rPr>
      </w:pPr>
      <w:r>
        <w:rPr>
          <w:rFonts w:hint="eastAsia" w:ascii="方正小标宋简体" w:hAnsi="??" w:eastAsia="方正小标宋简体"/>
          <w:sz w:val="32"/>
          <w:szCs w:val="32"/>
        </w:rPr>
        <w:t>项目</w:t>
      </w:r>
      <w:r>
        <w:rPr>
          <w:rFonts w:ascii="方正小标宋简体" w:hAnsi="??" w:eastAsia="方正小标宋简体"/>
          <w:sz w:val="32"/>
          <w:szCs w:val="32"/>
        </w:rPr>
        <w:t>采购</w:t>
      </w:r>
      <w:r>
        <w:rPr>
          <w:rFonts w:hint="eastAsia" w:ascii="方正小标宋简体" w:hAnsi="??" w:eastAsia="方正小标宋简体"/>
          <w:sz w:val="32"/>
          <w:szCs w:val="32"/>
        </w:rPr>
        <w:t>廉洁协议</w:t>
      </w:r>
    </w:p>
    <w:p w14:paraId="00A71783">
      <w:pPr>
        <w:spacing w:line="360" w:lineRule="exact"/>
        <w:ind w:firstLine="420" w:firstLineChars="200"/>
        <w:rPr>
          <w:rFonts w:ascii="宋体" w:hAnsi="宋体" w:eastAsia="宋体" w:cs="宋体"/>
          <w:szCs w:val="21"/>
          <w:u w:val="single"/>
        </w:rPr>
      </w:pPr>
      <w:r>
        <w:rPr>
          <w:rFonts w:hint="eastAsia" w:ascii="宋体" w:hAnsi="宋体" w:cs="宋体"/>
          <w:b/>
          <w:szCs w:val="21"/>
        </w:rPr>
        <w:t>甲方：</w:t>
      </w:r>
      <w:r>
        <w:rPr>
          <w:rFonts w:hint="eastAsia" w:ascii="宋体" w:hAnsi="宋体" w:cs="宋体"/>
          <w:szCs w:val="21"/>
        </w:rPr>
        <w:t>梧州市红十字会医院</w:t>
      </w:r>
    </w:p>
    <w:p w14:paraId="58B77D8F">
      <w:pPr>
        <w:spacing w:line="360" w:lineRule="exact"/>
        <w:ind w:firstLine="420" w:firstLineChars="200"/>
        <w:rPr>
          <w:rFonts w:ascii="宋体" w:hAnsi="宋体" w:cs="宋体"/>
          <w:szCs w:val="21"/>
        </w:rPr>
      </w:pPr>
      <w:r>
        <w:rPr>
          <w:rFonts w:hint="eastAsia" w:ascii="宋体" w:hAnsi="宋体" w:cs="宋体"/>
          <w:b/>
          <w:szCs w:val="21"/>
        </w:rPr>
        <w:t>乙方：</w:t>
      </w:r>
    </w:p>
    <w:p w14:paraId="68517DAE">
      <w:pPr>
        <w:spacing w:line="360" w:lineRule="exact"/>
        <w:ind w:firstLine="420" w:firstLineChars="200"/>
        <w:rPr>
          <w:rFonts w:ascii="宋体" w:hAnsi="宋体" w:cs="宋体"/>
          <w:szCs w:val="21"/>
        </w:rPr>
      </w:pPr>
      <w:r>
        <w:rPr>
          <w:rFonts w:hint="eastAsia" w:ascii="宋体" w:hAnsi="宋体" w:cs="宋体"/>
          <w:szCs w:val="21"/>
        </w:rPr>
        <w:t>为进一步加强医疗卫生行风建设，规范医疗卫生机构医药购销行为，有效防范商业贿赂行为，营造公平交易、诚实守信的购销环境，经甲、乙双方协商，同意签订本协议，并共同遵守：</w:t>
      </w:r>
    </w:p>
    <w:p w14:paraId="4D847D41">
      <w:pPr>
        <w:spacing w:line="360" w:lineRule="exact"/>
        <w:ind w:firstLine="420" w:firstLineChars="200"/>
        <w:rPr>
          <w:rFonts w:ascii="宋体" w:hAnsi="宋体" w:cs="宋体"/>
          <w:szCs w:val="21"/>
        </w:rPr>
      </w:pPr>
      <w:r>
        <w:rPr>
          <w:rFonts w:hint="eastAsia" w:ascii="宋体" w:hAnsi="宋体" w:cs="宋体"/>
          <w:szCs w:val="21"/>
        </w:rPr>
        <w:t>一、甲乙双方按照《中华人民共和国民法典》、《中华人民共和国政府采购法》及采购合同约定履行合同内容。</w:t>
      </w:r>
    </w:p>
    <w:p w14:paraId="4F4CED0E">
      <w:pPr>
        <w:spacing w:line="360" w:lineRule="exact"/>
        <w:ind w:firstLine="420" w:firstLineChars="200"/>
        <w:rPr>
          <w:rFonts w:ascii="宋体" w:hAnsi="宋体" w:cs="宋体"/>
          <w:szCs w:val="21"/>
        </w:rPr>
      </w:pPr>
      <w:r>
        <w:rPr>
          <w:rFonts w:hint="eastAsia" w:ascii="宋体" w:hAnsi="宋体" w:cs="宋体"/>
          <w:szCs w:val="21"/>
        </w:rPr>
        <w:t>二、甲方应当严格执行货物、服务、工程类采购合同验收、入库制度，对采购内容及发票进行查验，不得违反有关规定合同外采购、违价采购或从非规定渠道采购。</w:t>
      </w:r>
    </w:p>
    <w:p w14:paraId="40404CB6">
      <w:pPr>
        <w:spacing w:line="360" w:lineRule="exact"/>
        <w:ind w:firstLine="420" w:firstLineChars="200"/>
        <w:rPr>
          <w:rFonts w:ascii="宋体" w:hAnsi="宋体" w:cs="宋体"/>
          <w:szCs w:val="21"/>
        </w:rPr>
      </w:pPr>
      <w:r>
        <w:rPr>
          <w:rFonts w:hint="eastAsia" w:ascii="宋体"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和收受现金、有价证券、支付凭证和贵重礼品等。被迫接受乙方给予的钱物，应予退还，无法退还的，有责任如实向有关纪检监察部门反映情况。</w:t>
      </w:r>
    </w:p>
    <w:p w14:paraId="20919E75">
      <w:pPr>
        <w:spacing w:line="360" w:lineRule="exact"/>
        <w:ind w:firstLine="420" w:firstLineChars="200"/>
        <w:rPr>
          <w:rFonts w:ascii="宋体" w:hAnsi="宋体" w:cs="宋体"/>
          <w:szCs w:val="21"/>
        </w:rPr>
      </w:pPr>
      <w:r>
        <w:rPr>
          <w:rFonts w:hint="eastAsia" w:ascii="宋体" w:hAnsi="宋体" w:cs="宋体"/>
          <w:szCs w:val="21"/>
        </w:rPr>
        <w:t>四、乙方不得以回扣、宴请等方式影响甲方工作人员的采购工作，不得在学术活动中提供旅游、超标准支付食宿费用。</w:t>
      </w:r>
    </w:p>
    <w:p w14:paraId="4DC6FCE8">
      <w:pPr>
        <w:spacing w:line="360" w:lineRule="exact"/>
        <w:ind w:firstLine="420" w:firstLineChars="200"/>
        <w:rPr>
          <w:rFonts w:ascii="宋体" w:hAnsi="宋体" w:cs="宋体"/>
          <w:szCs w:val="21"/>
        </w:rPr>
      </w:pPr>
      <w:r>
        <w:rPr>
          <w:rFonts w:hint="eastAsia" w:ascii="宋体" w:hAnsi="宋体" w:cs="宋体"/>
          <w:szCs w:val="21"/>
        </w:rPr>
        <w:t>五、乙方不得以围标、相互串通投标，或者排挤其他投标人的公平竞争，损害招标人或者其他投标人的合法权益，严禁以他人名义投标或允许他人以自己的名义投标，不得提供虚假资料参与投标或以其他方式弄虚作假、骗取中标。甲方发现乙方违反规定者，按甲方有关管理规定，列入医院招投标不良行为黑名单。</w:t>
      </w:r>
    </w:p>
    <w:p w14:paraId="358CC32A">
      <w:pPr>
        <w:autoSpaceDE w:val="0"/>
        <w:autoSpaceDN w:val="0"/>
        <w:adjustRightInd w:val="0"/>
        <w:spacing w:line="360" w:lineRule="exact"/>
        <w:ind w:left="-141" w:leftChars="-67" w:right="-25" w:rightChars="-12" w:firstLine="420" w:firstLineChars="200"/>
        <w:rPr>
          <w:rFonts w:ascii="宋体" w:hAnsi="宋体" w:cs="宋体"/>
          <w:szCs w:val="21"/>
        </w:rPr>
      </w:pPr>
      <w:r>
        <w:rPr>
          <w:rFonts w:hint="eastAsia" w:ascii="宋体" w:hAnsi="宋体" w:cs="宋体"/>
          <w:szCs w:val="21"/>
        </w:rPr>
        <w:t>六、乙方指定</w:t>
      </w:r>
      <w:r>
        <w:rPr>
          <w:rFonts w:hint="eastAsia" w:ascii="宋体" w:hAnsi="宋体" w:cs="宋体"/>
          <w:szCs w:val="21"/>
          <w:u w:val="single"/>
        </w:rPr>
        <w:t xml:space="preserve">        </w:t>
      </w:r>
      <w:r>
        <w:rPr>
          <w:rFonts w:hint="eastAsia" w:ascii="宋体" w:hAnsi="宋体" w:cs="宋体"/>
          <w:szCs w:val="21"/>
        </w:rPr>
        <w:t>作为授权代表对接业务。授权代表必须在工作时间到甲方指定地点联系对接。不得借故到甲方相关领导、部门负责人及相关工作人员家中访谈并提供任何好处费，甲方发现乙方违反规定者，列入医院招投标不良行为黑名单。</w:t>
      </w:r>
    </w:p>
    <w:p w14:paraId="0C2FC238">
      <w:pPr>
        <w:spacing w:line="360" w:lineRule="exact"/>
        <w:ind w:firstLine="420" w:firstLineChars="200"/>
        <w:rPr>
          <w:rFonts w:ascii="宋体" w:hAnsi="宋体" w:cs="宋体"/>
          <w:szCs w:val="21"/>
        </w:rPr>
      </w:pPr>
      <w:r>
        <w:rPr>
          <w:rFonts w:hint="eastAsia" w:ascii="宋体" w:hAnsi="宋体" w:cs="宋体"/>
          <w:szCs w:val="21"/>
        </w:rPr>
        <w:t>七、乙方如违反本协议，一经发现，甲方有权终止购销合同，并向有关卫生健康行政部门报告。如乙方被列入商业贿赂不良记录，则严格按照《国家卫生计生委关于建立医药购销领域商业贿赂不良记录的规定》（国卫法制发〔2013〕50号）、《广西壮族自治区医药购销领域商业贿赂不良记录实施办法》（桂卫药政发〔2014〕2号）及《中华人民共和国政府采购法》等相关规定处理。</w:t>
      </w:r>
    </w:p>
    <w:p w14:paraId="1B4EC5CB">
      <w:pPr>
        <w:spacing w:line="360" w:lineRule="exact"/>
        <w:ind w:firstLine="420" w:firstLineChars="200"/>
        <w:rPr>
          <w:rFonts w:ascii="宋体" w:hAnsi="宋体" w:cs="宋体"/>
          <w:szCs w:val="21"/>
        </w:rPr>
      </w:pPr>
      <w:r>
        <w:rPr>
          <w:rFonts w:hint="eastAsia" w:ascii="宋体" w:hAnsi="宋体" w:cs="宋体"/>
          <w:szCs w:val="21"/>
        </w:rPr>
        <w:t>八、本协议作为项目采购合同的重要组成部分，与项目采购合同一并执行，具有同等的法律效力,从签订之日起生效。</w:t>
      </w:r>
    </w:p>
    <w:tbl>
      <w:tblPr>
        <w:tblStyle w:val="37"/>
        <w:tblW w:w="9555" w:type="dxa"/>
        <w:tblInd w:w="0" w:type="dxa"/>
        <w:tblLayout w:type="fixed"/>
        <w:tblCellMar>
          <w:top w:w="0" w:type="dxa"/>
          <w:left w:w="108" w:type="dxa"/>
          <w:bottom w:w="0" w:type="dxa"/>
          <w:right w:w="108" w:type="dxa"/>
        </w:tblCellMar>
      </w:tblPr>
      <w:tblGrid>
        <w:gridCol w:w="4625"/>
        <w:gridCol w:w="4930"/>
      </w:tblGrid>
      <w:tr w14:paraId="029CD65D">
        <w:tblPrEx>
          <w:tblCellMar>
            <w:top w:w="0" w:type="dxa"/>
            <w:left w:w="108" w:type="dxa"/>
            <w:bottom w:w="0" w:type="dxa"/>
            <w:right w:w="108" w:type="dxa"/>
          </w:tblCellMar>
        </w:tblPrEx>
        <w:trPr>
          <w:trHeight w:val="666" w:hRule="atLeast"/>
        </w:trPr>
        <w:tc>
          <w:tcPr>
            <w:tcW w:w="4625" w:type="dxa"/>
          </w:tcPr>
          <w:p w14:paraId="42556D1D">
            <w:pPr>
              <w:spacing w:line="320" w:lineRule="exact"/>
              <w:rPr>
                <w:rFonts w:ascii="宋体" w:hAnsi="宋体" w:eastAsia="宋体" w:cs="宋体"/>
                <w:bCs/>
                <w:szCs w:val="21"/>
              </w:rPr>
            </w:pPr>
            <w:r>
              <w:rPr>
                <w:rFonts w:hint="eastAsia" w:ascii="宋体" w:hAnsi="宋体" w:eastAsia="宋体" w:cs="宋体"/>
                <w:bCs/>
                <w:szCs w:val="21"/>
              </w:rPr>
              <w:t>甲方（盖章）：梧州市</w:t>
            </w:r>
            <w:r>
              <w:rPr>
                <w:rFonts w:hint="eastAsia" w:ascii="宋体" w:hAnsi="宋体" w:cs="宋体"/>
                <w:bCs/>
                <w:szCs w:val="21"/>
              </w:rPr>
              <w:t>红十字会医院</w:t>
            </w:r>
          </w:p>
        </w:tc>
        <w:tc>
          <w:tcPr>
            <w:tcW w:w="4930" w:type="dxa"/>
          </w:tcPr>
          <w:p w14:paraId="5C255A32">
            <w:pPr>
              <w:spacing w:line="320" w:lineRule="exact"/>
              <w:rPr>
                <w:rFonts w:ascii="宋体" w:hAnsi="宋体" w:eastAsia="宋体" w:cs="宋体"/>
                <w:bCs/>
                <w:szCs w:val="21"/>
              </w:rPr>
            </w:pPr>
            <w:r>
              <w:rPr>
                <w:rFonts w:hint="eastAsia" w:ascii="宋体" w:hAnsi="宋体" w:eastAsia="宋体" w:cs="宋体"/>
                <w:bCs/>
                <w:szCs w:val="21"/>
              </w:rPr>
              <w:t xml:space="preserve"> 乙方（盖章）：</w:t>
            </w:r>
          </w:p>
        </w:tc>
      </w:tr>
      <w:tr w14:paraId="56AA47DC">
        <w:tblPrEx>
          <w:tblCellMar>
            <w:top w:w="0" w:type="dxa"/>
            <w:left w:w="108" w:type="dxa"/>
            <w:bottom w:w="0" w:type="dxa"/>
            <w:right w:w="108" w:type="dxa"/>
          </w:tblCellMar>
        </w:tblPrEx>
        <w:trPr>
          <w:trHeight w:val="1123" w:hRule="atLeast"/>
        </w:trPr>
        <w:tc>
          <w:tcPr>
            <w:tcW w:w="4625" w:type="dxa"/>
          </w:tcPr>
          <w:p w14:paraId="3274AEE3">
            <w:pPr>
              <w:spacing w:line="320" w:lineRule="exact"/>
              <w:rPr>
                <w:rFonts w:ascii="宋体" w:hAnsi="宋体" w:eastAsia="宋体" w:cs="宋体"/>
                <w:bCs/>
                <w:szCs w:val="21"/>
              </w:rPr>
            </w:pPr>
            <w:r>
              <w:rPr>
                <w:rFonts w:hint="eastAsia" w:ascii="宋体" w:hAnsi="宋体" w:eastAsia="宋体" w:cs="宋体"/>
                <w:bCs/>
                <w:szCs w:val="21"/>
              </w:rPr>
              <w:t>法定代表人/负责人/授权</w:t>
            </w:r>
          </w:p>
          <w:p w14:paraId="305435AF">
            <w:pPr>
              <w:spacing w:line="320" w:lineRule="exact"/>
              <w:rPr>
                <w:rFonts w:ascii="宋体" w:hAnsi="宋体" w:eastAsia="宋体" w:cs="宋体"/>
                <w:bCs/>
                <w:szCs w:val="21"/>
              </w:rPr>
            </w:pPr>
            <w:r>
              <w:rPr>
                <w:rFonts w:hint="eastAsia" w:ascii="宋体" w:hAnsi="宋体" w:eastAsia="宋体" w:cs="宋体"/>
                <w:bCs/>
                <w:szCs w:val="21"/>
              </w:rPr>
              <w:t>代表签字或盖章：</w:t>
            </w:r>
          </w:p>
        </w:tc>
        <w:tc>
          <w:tcPr>
            <w:tcW w:w="4930" w:type="dxa"/>
          </w:tcPr>
          <w:p w14:paraId="4CB43435">
            <w:pPr>
              <w:spacing w:line="320" w:lineRule="exact"/>
              <w:rPr>
                <w:rFonts w:ascii="宋体" w:hAnsi="宋体" w:eastAsia="宋体" w:cs="宋体"/>
                <w:bCs/>
                <w:szCs w:val="21"/>
              </w:rPr>
            </w:pPr>
            <w:r>
              <w:rPr>
                <w:rFonts w:hint="eastAsia" w:ascii="宋体" w:hAnsi="宋体" w:eastAsia="宋体" w:cs="宋体"/>
                <w:bCs/>
                <w:szCs w:val="21"/>
              </w:rPr>
              <w:t>法定代表人/负责人/授权</w:t>
            </w:r>
          </w:p>
          <w:p w14:paraId="0DA1E9DF">
            <w:pPr>
              <w:spacing w:line="320" w:lineRule="exact"/>
              <w:rPr>
                <w:rFonts w:ascii="宋体" w:hAnsi="宋体" w:eastAsia="宋体" w:cs="宋体"/>
                <w:bCs/>
                <w:szCs w:val="21"/>
              </w:rPr>
            </w:pPr>
            <w:r>
              <w:rPr>
                <w:rFonts w:hint="eastAsia" w:ascii="宋体" w:hAnsi="宋体" w:eastAsia="宋体" w:cs="宋体"/>
                <w:bCs/>
                <w:szCs w:val="21"/>
              </w:rPr>
              <w:t>代表签字或盖章：</w:t>
            </w:r>
          </w:p>
        </w:tc>
      </w:tr>
      <w:tr w14:paraId="78BB6D8D">
        <w:tblPrEx>
          <w:tblCellMar>
            <w:top w:w="0" w:type="dxa"/>
            <w:left w:w="108" w:type="dxa"/>
            <w:bottom w:w="0" w:type="dxa"/>
            <w:right w:w="108" w:type="dxa"/>
          </w:tblCellMar>
        </w:tblPrEx>
        <w:trPr>
          <w:trHeight w:val="584" w:hRule="atLeast"/>
        </w:trPr>
        <w:tc>
          <w:tcPr>
            <w:tcW w:w="4625" w:type="dxa"/>
          </w:tcPr>
          <w:p w14:paraId="27DD6509">
            <w:pPr>
              <w:spacing w:line="320" w:lineRule="exact"/>
              <w:rPr>
                <w:rFonts w:ascii="宋体" w:hAnsi="宋体" w:eastAsia="宋体" w:cs="宋体"/>
                <w:bCs/>
                <w:szCs w:val="21"/>
              </w:rPr>
            </w:pPr>
            <w:r>
              <w:rPr>
                <w:rFonts w:hint="eastAsia" w:ascii="宋体" w:hAnsi="宋体" w:eastAsia="宋体" w:cs="宋体"/>
                <w:bCs/>
                <w:szCs w:val="21"/>
              </w:rPr>
              <w:t>年   月   日</w:t>
            </w:r>
          </w:p>
        </w:tc>
        <w:tc>
          <w:tcPr>
            <w:tcW w:w="4930" w:type="dxa"/>
          </w:tcPr>
          <w:p w14:paraId="4360640A">
            <w:pPr>
              <w:spacing w:line="320" w:lineRule="exact"/>
              <w:rPr>
                <w:rFonts w:ascii="宋体" w:hAnsi="宋体" w:eastAsia="宋体" w:cs="宋体"/>
                <w:bCs/>
                <w:szCs w:val="21"/>
              </w:rPr>
            </w:pPr>
            <w:r>
              <w:rPr>
                <w:rFonts w:hint="eastAsia" w:ascii="宋体" w:hAnsi="宋体" w:eastAsia="宋体" w:cs="宋体"/>
                <w:bCs/>
                <w:szCs w:val="21"/>
              </w:rPr>
              <w:t xml:space="preserve">          年   月   日</w:t>
            </w:r>
          </w:p>
        </w:tc>
      </w:tr>
    </w:tbl>
    <w:p w14:paraId="692FA087">
      <w:pPr>
        <w:keepNext/>
        <w:keepLines/>
        <w:spacing w:before="340" w:after="330" w:line="578" w:lineRule="auto"/>
        <w:jc w:val="center"/>
        <w:outlineLvl w:val="0"/>
        <w:rPr>
          <w:rFonts w:ascii="Times New Roman" w:hAnsi="Times New Roman" w:eastAsia="宋体" w:cs="Times New Roman"/>
          <w:b/>
          <w:bCs/>
          <w:kern w:val="44"/>
          <w:sz w:val="44"/>
          <w:szCs w:val="44"/>
          <w:lang w:val="zh-CN"/>
        </w:rPr>
      </w:pPr>
      <w:bookmarkStart w:id="143" w:name="_Toc74323516"/>
    </w:p>
    <w:p w14:paraId="7EC9BE1F">
      <w:pPr>
        <w:keepNext/>
        <w:keepLines/>
        <w:spacing w:before="340" w:after="330" w:line="578" w:lineRule="auto"/>
        <w:jc w:val="center"/>
        <w:outlineLvl w:val="0"/>
        <w:rPr>
          <w:rFonts w:ascii="Times New Roman" w:hAnsi="Times New Roman" w:eastAsia="宋体" w:cs="Times New Roman"/>
          <w:b/>
          <w:bCs/>
          <w:kern w:val="44"/>
          <w:sz w:val="44"/>
          <w:szCs w:val="44"/>
          <w:lang w:val="zh-CN"/>
        </w:rPr>
      </w:pPr>
      <w:r>
        <w:rPr>
          <w:rFonts w:hint="eastAsia" w:ascii="Times New Roman" w:hAnsi="Times New Roman" w:eastAsia="宋体" w:cs="Times New Roman"/>
          <w:b/>
          <w:bCs/>
          <w:kern w:val="44"/>
          <w:sz w:val="44"/>
          <w:szCs w:val="44"/>
          <w:lang w:val="zh-CN"/>
        </w:rPr>
        <w:t>第六章　投标文件格式</w:t>
      </w:r>
      <w:bookmarkEnd w:id="143"/>
    </w:p>
    <w:p w14:paraId="35376242">
      <w:pPr>
        <w:snapToGrid w:val="0"/>
        <w:spacing w:before="50" w:after="50"/>
        <w:outlineLvl w:val="1"/>
        <w:rPr>
          <w:rFonts w:ascii="宋体" w:hAnsi="宋体" w:eastAsia="宋体" w:cs="Times New Roman"/>
          <w:sz w:val="32"/>
          <w:szCs w:val="20"/>
        </w:rPr>
      </w:pPr>
    </w:p>
    <w:p w14:paraId="020C6878">
      <w:pPr>
        <w:snapToGrid w:val="0"/>
        <w:spacing w:before="50" w:after="50"/>
        <w:outlineLvl w:val="1"/>
        <w:rPr>
          <w:rFonts w:ascii="宋体" w:hAnsi="宋体" w:eastAsia="宋体" w:cs="Times New Roman"/>
          <w:sz w:val="32"/>
          <w:szCs w:val="20"/>
        </w:rPr>
      </w:pPr>
    </w:p>
    <w:p w14:paraId="5AB270BF">
      <w:pPr>
        <w:snapToGrid w:val="0"/>
        <w:spacing w:before="50" w:after="50"/>
        <w:outlineLvl w:val="1"/>
        <w:rPr>
          <w:rFonts w:ascii="宋体" w:hAnsi="宋体" w:eastAsia="宋体" w:cs="Times New Roman"/>
          <w:sz w:val="32"/>
          <w:szCs w:val="20"/>
        </w:rPr>
      </w:pPr>
    </w:p>
    <w:p w14:paraId="73B604C3">
      <w:pPr>
        <w:snapToGrid w:val="0"/>
        <w:spacing w:before="50" w:after="50"/>
        <w:outlineLvl w:val="1"/>
        <w:rPr>
          <w:rFonts w:ascii="宋体" w:hAnsi="宋体" w:eastAsia="宋体" w:cs="Times New Roman"/>
          <w:sz w:val="32"/>
          <w:szCs w:val="20"/>
        </w:rPr>
      </w:pPr>
    </w:p>
    <w:p w14:paraId="6C8E3B6C">
      <w:pPr>
        <w:snapToGrid w:val="0"/>
        <w:spacing w:before="50" w:after="50"/>
        <w:outlineLvl w:val="1"/>
        <w:rPr>
          <w:rFonts w:ascii="宋体" w:hAnsi="宋体" w:eastAsia="宋体" w:cs="Times New Roman"/>
          <w:sz w:val="32"/>
          <w:szCs w:val="20"/>
        </w:rPr>
      </w:pPr>
    </w:p>
    <w:p w14:paraId="7448FF4D">
      <w:pPr>
        <w:snapToGrid w:val="0"/>
        <w:spacing w:before="50" w:after="50"/>
        <w:outlineLvl w:val="1"/>
        <w:rPr>
          <w:rFonts w:ascii="宋体" w:hAnsi="宋体" w:eastAsia="宋体" w:cs="Times New Roman"/>
          <w:sz w:val="32"/>
          <w:szCs w:val="20"/>
        </w:rPr>
      </w:pPr>
    </w:p>
    <w:p w14:paraId="18E5AC91">
      <w:pPr>
        <w:snapToGrid w:val="0"/>
        <w:spacing w:before="50" w:after="50"/>
        <w:outlineLvl w:val="1"/>
        <w:rPr>
          <w:rFonts w:ascii="宋体" w:hAnsi="宋体" w:eastAsia="宋体" w:cs="Times New Roman"/>
          <w:sz w:val="32"/>
          <w:szCs w:val="20"/>
        </w:rPr>
      </w:pPr>
    </w:p>
    <w:p w14:paraId="144C62B5">
      <w:pPr>
        <w:snapToGrid w:val="0"/>
        <w:spacing w:before="50" w:after="50"/>
        <w:outlineLvl w:val="1"/>
        <w:rPr>
          <w:rFonts w:ascii="宋体" w:hAnsi="宋体" w:eastAsia="宋体" w:cs="Times New Roman"/>
          <w:sz w:val="32"/>
          <w:szCs w:val="20"/>
        </w:rPr>
      </w:pPr>
    </w:p>
    <w:p w14:paraId="38E8A741">
      <w:pPr>
        <w:snapToGrid w:val="0"/>
        <w:spacing w:before="50" w:after="50"/>
        <w:outlineLvl w:val="1"/>
        <w:rPr>
          <w:rFonts w:ascii="宋体" w:hAnsi="宋体" w:eastAsia="宋体" w:cs="Times New Roman"/>
          <w:sz w:val="32"/>
          <w:szCs w:val="20"/>
        </w:rPr>
      </w:pPr>
    </w:p>
    <w:p w14:paraId="486142E1">
      <w:pPr>
        <w:snapToGrid w:val="0"/>
        <w:spacing w:before="50" w:after="50"/>
        <w:outlineLvl w:val="1"/>
        <w:rPr>
          <w:rFonts w:ascii="宋体" w:hAnsi="宋体" w:eastAsia="宋体" w:cs="Times New Roman"/>
          <w:sz w:val="32"/>
          <w:szCs w:val="20"/>
        </w:rPr>
      </w:pPr>
    </w:p>
    <w:p w14:paraId="18586528">
      <w:pPr>
        <w:snapToGrid w:val="0"/>
        <w:spacing w:before="50" w:after="50"/>
        <w:outlineLvl w:val="1"/>
        <w:rPr>
          <w:rFonts w:ascii="宋体" w:hAnsi="宋体" w:eastAsia="宋体" w:cs="Times New Roman"/>
          <w:sz w:val="32"/>
          <w:szCs w:val="20"/>
        </w:rPr>
      </w:pPr>
    </w:p>
    <w:p w14:paraId="158E9BE0">
      <w:pPr>
        <w:snapToGrid w:val="0"/>
        <w:spacing w:before="50" w:after="50"/>
        <w:outlineLvl w:val="1"/>
        <w:rPr>
          <w:rFonts w:ascii="宋体" w:hAnsi="宋体" w:eastAsia="宋体" w:cs="Times New Roman"/>
          <w:sz w:val="32"/>
          <w:szCs w:val="20"/>
        </w:rPr>
      </w:pPr>
    </w:p>
    <w:p w14:paraId="1CF24159">
      <w:pPr>
        <w:rPr>
          <w:rFonts w:ascii="Times New Roman" w:hAnsi="Times New Roman" w:eastAsia="宋体" w:cs="Times New Roman"/>
          <w:b/>
          <w:sz w:val="28"/>
          <w:szCs w:val="28"/>
        </w:rPr>
      </w:pPr>
      <w:r>
        <w:rPr>
          <w:rFonts w:ascii="Times New Roman" w:hAnsi="Times New Roman" w:eastAsia="宋体" w:cs="Times New Roman"/>
          <w:sz w:val="32"/>
          <w:szCs w:val="20"/>
        </w:rPr>
        <w:br w:type="page"/>
      </w:r>
      <w:bookmarkStart w:id="144" w:name="_Toc254970697"/>
      <w:bookmarkStart w:id="145" w:name="_Toc19686835"/>
      <w:bookmarkStart w:id="146" w:name="_Toc254970556"/>
      <w:r>
        <w:rPr>
          <w:rFonts w:hint="eastAsia" w:ascii="Times New Roman" w:hAnsi="Times New Roman" w:eastAsia="宋体" w:cs="Times New Roman"/>
          <w:b/>
          <w:sz w:val="28"/>
          <w:szCs w:val="28"/>
        </w:rPr>
        <w:t>一、投标文件外层包装封面格式</w:t>
      </w:r>
      <w:bookmarkEnd w:id="144"/>
      <w:bookmarkEnd w:id="145"/>
      <w:bookmarkEnd w:id="146"/>
      <w:r>
        <w:rPr>
          <w:rFonts w:hint="eastAsia" w:ascii="Times New Roman" w:hAnsi="Times New Roman" w:eastAsia="宋体" w:cs="Times New Roman"/>
          <w:b/>
          <w:sz w:val="28"/>
          <w:szCs w:val="28"/>
        </w:rPr>
        <w:t xml:space="preserve"> </w:t>
      </w:r>
    </w:p>
    <w:p w14:paraId="7DC5D128">
      <w:pPr>
        <w:snapToGrid w:val="0"/>
        <w:spacing w:before="120" w:beforeLines="50" w:after="50"/>
        <w:rPr>
          <w:rFonts w:ascii="宋体" w:hAnsi="宋体" w:eastAsia="宋体" w:cs="Times New Roman"/>
          <w:sz w:val="24"/>
          <w:szCs w:val="20"/>
        </w:rPr>
      </w:pPr>
    </w:p>
    <w:p w14:paraId="756317EE">
      <w:pPr>
        <w:snapToGrid w:val="0"/>
        <w:spacing w:before="120" w:beforeLines="50" w:after="50"/>
        <w:jc w:val="center"/>
        <w:rPr>
          <w:rFonts w:ascii="宋体" w:hAnsi="宋体" w:eastAsia="宋体" w:cs="Times New Roman"/>
          <w:bCs/>
          <w:sz w:val="24"/>
          <w:szCs w:val="20"/>
        </w:rPr>
      </w:pPr>
    </w:p>
    <w:p w14:paraId="3B254239">
      <w:pPr>
        <w:snapToGrid w:val="0"/>
        <w:spacing w:before="120" w:beforeLines="50" w:after="50"/>
        <w:jc w:val="center"/>
        <w:rPr>
          <w:rFonts w:ascii="宋体" w:hAnsi="宋体" w:eastAsia="宋体" w:cs="Times New Roman"/>
          <w:b/>
          <w:sz w:val="32"/>
          <w:szCs w:val="32"/>
        </w:rPr>
      </w:pPr>
      <w:r>
        <w:rPr>
          <w:rFonts w:hint="eastAsia" w:ascii="宋体" w:hAnsi="宋体" w:eastAsia="宋体" w:cs="Times New Roman"/>
          <w:b/>
          <w:sz w:val="32"/>
          <w:szCs w:val="32"/>
        </w:rPr>
        <w:t>投 标 文 件</w:t>
      </w:r>
    </w:p>
    <w:p w14:paraId="668C058D">
      <w:pPr>
        <w:snapToGrid w:val="0"/>
        <w:spacing w:before="120" w:beforeLines="50" w:after="50"/>
        <w:rPr>
          <w:rFonts w:ascii="宋体" w:hAnsi="宋体" w:eastAsia="宋体" w:cs="Times New Roman"/>
          <w:bCs/>
          <w:sz w:val="24"/>
          <w:szCs w:val="20"/>
        </w:rPr>
      </w:pPr>
    </w:p>
    <w:p w14:paraId="52405F85">
      <w:pPr>
        <w:snapToGrid w:val="0"/>
        <w:spacing w:before="120" w:beforeLines="50" w:after="50"/>
        <w:rPr>
          <w:rFonts w:ascii="宋体" w:hAnsi="宋体" w:eastAsia="宋体" w:cs="Times New Roman"/>
          <w:bCs/>
          <w:sz w:val="24"/>
          <w:szCs w:val="24"/>
        </w:rPr>
      </w:pPr>
      <w:r>
        <w:rPr>
          <w:rFonts w:hint="eastAsia" w:ascii="宋体" w:hAnsi="宋体" w:eastAsia="宋体" w:cs="Times New Roman"/>
          <w:bCs/>
          <w:sz w:val="24"/>
          <w:szCs w:val="20"/>
        </w:rPr>
        <w:t xml:space="preserve">                               </w:t>
      </w:r>
      <w:r>
        <w:rPr>
          <w:rFonts w:hint="eastAsia" w:ascii="宋体" w:hAnsi="宋体" w:eastAsia="宋体" w:cs="Times New Roman"/>
          <w:bCs/>
          <w:sz w:val="24"/>
          <w:szCs w:val="24"/>
        </w:rPr>
        <w:t>分标（1/2）</w:t>
      </w:r>
    </w:p>
    <w:p w14:paraId="4029A157">
      <w:pPr>
        <w:snapToGrid w:val="0"/>
        <w:spacing w:before="120" w:beforeLines="50" w:after="50"/>
        <w:rPr>
          <w:rFonts w:ascii="宋体" w:hAnsi="宋体" w:eastAsia="宋体" w:cs="Times New Roman"/>
          <w:bCs/>
          <w:sz w:val="24"/>
          <w:szCs w:val="20"/>
        </w:rPr>
      </w:pPr>
    </w:p>
    <w:p w14:paraId="1B7876BD">
      <w:pPr>
        <w:snapToGrid w:val="0"/>
        <w:spacing w:before="120" w:beforeLines="50" w:after="50"/>
        <w:rPr>
          <w:rFonts w:ascii="宋体" w:hAnsi="宋体" w:eastAsia="宋体" w:cs="Times New Roman"/>
          <w:bCs/>
          <w:sz w:val="24"/>
          <w:szCs w:val="20"/>
        </w:rPr>
      </w:pPr>
    </w:p>
    <w:p w14:paraId="495FB5FE">
      <w:pPr>
        <w:snapToGrid w:val="0"/>
        <w:spacing w:before="120" w:beforeLines="50" w:after="50"/>
        <w:rPr>
          <w:rFonts w:ascii="宋体" w:hAnsi="宋体" w:eastAsia="宋体" w:cs="Times New Roman"/>
          <w:bCs/>
          <w:sz w:val="24"/>
          <w:szCs w:val="20"/>
        </w:rPr>
      </w:pPr>
    </w:p>
    <w:p w14:paraId="3DCB8FDA">
      <w:pPr>
        <w:snapToGrid w:val="0"/>
        <w:spacing w:before="120" w:beforeLines="50" w:after="50"/>
        <w:rPr>
          <w:rFonts w:ascii="宋体" w:hAnsi="宋体" w:eastAsia="宋体" w:cs="Times New Roman"/>
          <w:bCs/>
          <w:sz w:val="24"/>
          <w:szCs w:val="20"/>
        </w:rPr>
      </w:pPr>
    </w:p>
    <w:p w14:paraId="4C57FD0E">
      <w:pPr>
        <w:snapToGrid w:val="0"/>
        <w:spacing w:before="120" w:beforeLines="50" w:after="50"/>
        <w:ind w:firstLine="360" w:firstLineChars="150"/>
        <w:rPr>
          <w:rFonts w:ascii="宋体" w:hAnsi="宋体" w:eastAsia="宋体" w:cs="Times New Roman"/>
          <w:bCs/>
          <w:sz w:val="24"/>
          <w:szCs w:val="24"/>
        </w:rPr>
      </w:pPr>
      <w:r>
        <w:rPr>
          <w:rFonts w:hint="eastAsia" w:ascii="宋体" w:hAnsi="宋体" w:eastAsia="宋体" w:cs="Times New Roman"/>
          <w:bCs/>
          <w:sz w:val="24"/>
          <w:szCs w:val="24"/>
        </w:rPr>
        <w:t>项目名称：</w:t>
      </w:r>
    </w:p>
    <w:p w14:paraId="0CAD3976">
      <w:pPr>
        <w:snapToGrid w:val="0"/>
        <w:spacing w:before="120" w:beforeLines="50" w:after="50"/>
        <w:ind w:firstLine="360" w:firstLineChars="150"/>
        <w:rPr>
          <w:rFonts w:ascii="宋体" w:hAnsi="宋体" w:eastAsia="宋体" w:cs="Times New Roman"/>
          <w:bCs/>
          <w:sz w:val="24"/>
          <w:szCs w:val="20"/>
        </w:rPr>
      </w:pPr>
    </w:p>
    <w:p w14:paraId="2DD853A4">
      <w:pPr>
        <w:snapToGrid w:val="0"/>
        <w:spacing w:before="120" w:beforeLines="50" w:after="50"/>
        <w:ind w:firstLine="360" w:firstLineChars="150"/>
        <w:rPr>
          <w:rFonts w:ascii="宋体" w:hAnsi="宋体" w:eastAsia="宋体" w:cs="Times New Roman"/>
          <w:bCs/>
          <w:sz w:val="24"/>
          <w:szCs w:val="24"/>
        </w:rPr>
      </w:pPr>
      <w:r>
        <w:rPr>
          <w:rFonts w:hint="eastAsia" w:ascii="宋体" w:hAnsi="宋体" w:eastAsia="宋体" w:cs="Times New Roman"/>
          <w:bCs/>
          <w:sz w:val="24"/>
          <w:szCs w:val="24"/>
        </w:rPr>
        <w:t>项目编号：</w:t>
      </w:r>
    </w:p>
    <w:p w14:paraId="07DBE301">
      <w:pPr>
        <w:snapToGrid w:val="0"/>
        <w:spacing w:before="120" w:beforeLines="50" w:after="50"/>
        <w:ind w:firstLine="360" w:firstLineChars="150"/>
        <w:rPr>
          <w:rFonts w:ascii="宋体" w:hAnsi="宋体" w:eastAsia="宋体" w:cs="Times New Roman"/>
          <w:bCs/>
          <w:sz w:val="24"/>
          <w:szCs w:val="24"/>
        </w:rPr>
      </w:pPr>
    </w:p>
    <w:p w14:paraId="7DAAB958">
      <w:pPr>
        <w:snapToGrid w:val="0"/>
        <w:spacing w:before="120" w:beforeLines="50" w:after="50"/>
        <w:ind w:firstLine="360" w:firstLineChars="150"/>
        <w:rPr>
          <w:rFonts w:ascii="宋体" w:hAnsi="宋体" w:eastAsia="宋体" w:cs="Times New Roman"/>
          <w:bCs/>
          <w:sz w:val="24"/>
          <w:szCs w:val="20"/>
        </w:rPr>
      </w:pPr>
    </w:p>
    <w:p w14:paraId="042C7983">
      <w:pPr>
        <w:snapToGrid w:val="0"/>
        <w:spacing w:before="120" w:beforeLines="50" w:after="50"/>
        <w:ind w:firstLine="360" w:firstLineChars="150"/>
        <w:rPr>
          <w:rFonts w:ascii="宋体" w:hAnsi="宋体" w:eastAsia="宋体" w:cs="Times New Roman"/>
          <w:bCs/>
          <w:sz w:val="24"/>
          <w:szCs w:val="20"/>
        </w:rPr>
      </w:pPr>
      <w:r>
        <w:rPr>
          <w:rFonts w:hint="eastAsia" w:ascii="宋体" w:hAnsi="宋体" w:eastAsia="宋体" w:cs="Times New Roman"/>
          <w:bCs/>
          <w:sz w:val="24"/>
          <w:szCs w:val="20"/>
        </w:rPr>
        <w:t>投标人名称：</w:t>
      </w:r>
    </w:p>
    <w:p w14:paraId="77552338">
      <w:pPr>
        <w:snapToGrid w:val="0"/>
        <w:spacing w:before="120" w:beforeLines="50" w:after="50"/>
        <w:ind w:firstLine="360" w:firstLineChars="150"/>
        <w:rPr>
          <w:rFonts w:ascii="宋体" w:hAnsi="宋体" w:eastAsia="宋体" w:cs="Times New Roman"/>
          <w:bCs/>
          <w:sz w:val="24"/>
          <w:szCs w:val="20"/>
        </w:rPr>
      </w:pPr>
    </w:p>
    <w:p w14:paraId="3405A88D">
      <w:pPr>
        <w:snapToGrid w:val="0"/>
        <w:spacing w:before="120" w:beforeLines="50" w:after="50"/>
        <w:ind w:firstLine="360" w:firstLineChars="150"/>
        <w:rPr>
          <w:rFonts w:ascii="宋体" w:hAnsi="宋体" w:eastAsia="宋体" w:cs="Times New Roman"/>
          <w:bCs/>
          <w:sz w:val="24"/>
          <w:szCs w:val="20"/>
        </w:rPr>
      </w:pPr>
      <w:r>
        <w:rPr>
          <w:rFonts w:hint="eastAsia" w:ascii="宋体" w:hAnsi="宋体" w:eastAsia="宋体" w:cs="Times New Roman"/>
          <w:bCs/>
          <w:sz w:val="24"/>
          <w:szCs w:val="20"/>
        </w:rPr>
        <w:t>投标人地址：</w:t>
      </w:r>
    </w:p>
    <w:p w14:paraId="30323310">
      <w:pPr>
        <w:snapToGrid w:val="0"/>
        <w:spacing w:before="120" w:beforeLines="50" w:after="50"/>
        <w:ind w:firstLine="360" w:firstLineChars="150"/>
        <w:rPr>
          <w:rFonts w:ascii="宋体" w:hAnsi="宋体" w:eastAsia="宋体" w:cs="Times New Roman"/>
          <w:bCs/>
          <w:sz w:val="24"/>
          <w:szCs w:val="20"/>
        </w:rPr>
      </w:pPr>
    </w:p>
    <w:p w14:paraId="345A2C65">
      <w:pPr>
        <w:snapToGrid w:val="0"/>
        <w:spacing w:before="120" w:beforeLines="50" w:after="50"/>
        <w:ind w:firstLine="360" w:firstLineChars="150"/>
        <w:jc w:val="center"/>
        <w:rPr>
          <w:rFonts w:ascii="宋体" w:hAnsi="宋体" w:eastAsia="宋体" w:cs="Times New Roman"/>
          <w:bCs/>
          <w:sz w:val="24"/>
          <w:szCs w:val="24"/>
        </w:rPr>
      </w:pPr>
      <w:r>
        <w:rPr>
          <w:rFonts w:hint="eastAsia" w:ascii="宋体" w:hAnsi="宋体" w:eastAsia="宋体" w:cs="Times New Roman"/>
          <w:bCs/>
          <w:sz w:val="24"/>
          <w:szCs w:val="20"/>
        </w:rPr>
        <w:t>投标截止时间前不得启封</w:t>
      </w:r>
    </w:p>
    <w:p w14:paraId="19EC954E">
      <w:pPr>
        <w:snapToGrid w:val="0"/>
        <w:spacing w:before="120" w:beforeLines="50" w:after="50"/>
        <w:ind w:firstLine="4080" w:firstLineChars="1700"/>
        <w:rPr>
          <w:rFonts w:ascii="宋体" w:hAnsi="宋体" w:eastAsia="宋体" w:cs="Times New Roman"/>
          <w:bCs/>
          <w:sz w:val="24"/>
          <w:szCs w:val="20"/>
        </w:rPr>
      </w:pPr>
    </w:p>
    <w:p w14:paraId="7E5410A4">
      <w:pPr>
        <w:snapToGrid w:val="0"/>
        <w:spacing w:before="120" w:beforeLines="50" w:after="50"/>
        <w:ind w:firstLine="645"/>
        <w:jc w:val="left"/>
        <w:rPr>
          <w:rFonts w:ascii="宋体" w:hAnsi="宋体" w:eastAsia="宋体" w:cs="Times New Roman"/>
          <w:bCs/>
          <w:sz w:val="24"/>
          <w:szCs w:val="20"/>
        </w:rPr>
      </w:pPr>
      <w:r>
        <w:rPr>
          <w:rFonts w:hint="eastAsia" w:ascii="宋体" w:hAnsi="宋体" w:eastAsia="宋体" w:cs="Times New Roman"/>
          <w:bCs/>
          <w:sz w:val="24"/>
          <w:szCs w:val="24"/>
        </w:rPr>
        <w:t xml:space="preserve">                        年    月    日</w:t>
      </w:r>
    </w:p>
    <w:p w14:paraId="44C6AE6E">
      <w:pPr>
        <w:snapToGrid w:val="0"/>
        <w:spacing w:before="120" w:beforeLines="50" w:after="50"/>
        <w:jc w:val="center"/>
        <w:outlineLvl w:val="1"/>
        <w:rPr>
          <w:rFonts w:ascii="宋体" w:hAnsi="宋体" w:eastAsia="宋体" w:cs="Times New Roman"/>
          <w:szCs w:val="24"/>
        </w:rPr>
      </w:pPr>
    </w:p>
    <w:p w14:paraId="003621C7">
      <w:pPr>
        <w:snapToGrid w:val="0"/>
        <w:spacing w:before="120" w:beforeLines="50" w:after="50"/>
        <w:jc w:val="center"/>
        <w:outlineLvl w:val="1"/>
        <w:rPr>
          <w:rFonts w:ascii="宋体" w:hAnsi="宋体" w:eastAsia="宋体" w:cs="Times New Roman"/>
          <w:szCs w:val="24"/>
        </w:rPr>
      </w:pPr>
    </w:p>
    <w:p w14:paraId="0AC26C11">
      <w:pPr>
        <w:snapToGrid w:val="0"/>
        <w:spacing w:before="120" w:beforeLines="50" w:after="50"/>
        <w:jc w:val="center"/>
        <w:outlineLvl w:val="1"/>
        <w:rPr>
          <w:rFonts w:ascii="宋体" w:hAnsi="宋体" w:eastAsia="宋体" w:cs="Times New Roman"/>
          <w:szCs w:val="24"/>
        </w:rPr>
      </w:pPr>
    </w:p>
    <w:p w14:paraId="5530CA63">
      <w:pPr>
        <w:snapToGrid w:val="0"/>
        <w:spacing w:before="120" w:beforeLines="50" w:after="50"/>
        <w:outlineLvl w:val="1"/>
        <w:rPr>
          <w:rFonts w:ascii="宋体" w:hAnsi="宋体" w:eastAsia="宋体" w:cs="Times New Roman"/>
          <w:szCs w:val="24"/>
        </w:rPr>
      </w:pPr>
    </w:p>
    <w:p w14:paraId="01554921">
      <w:pPr>
        <w:snapToGrid w:val="0"/>
        <w:spacing w:before="120" w:beforeLines="50" w:after="50"/>
        <w:outlineLvl w:val="1"/>
        <w:rPr>
          <w:rFonts w:ascii="宋体" w:hAnsi="宋体" w:eastAsia="宋体" w:cs="Times New Roman"/>
          <w:szCs w:val="24"/>
        </w:rPr>
      </w:pPr>
    </w:p>
    <w:p w14:paraId="1CF7DE6F">
      <w:pPr>
        <w:snapToGrid w:val="0"/>
        <w:spacing w:before="120" w:beforeLines="50" w:after="50"/>
        <w:outlineLvl w:val="1"/>
        <w:rPr>
          <w:rFonts w:ascii="宋体" w:hAnsi="宋体" w:eastAsia="宋体" w:cs="Times New Roman"/>
          <w:szCs w:val="24"/>
        </w:rPr>
      </w:pPr>
    </w:p>
    <w:p w14:paraId="2353CB45">
      <w:pPr>
        <w:snapToGrid w:val="0"/>
        <w:spacing w:before="120" w:beforeLines="50" w:after="50"/>
        <w:outlineLvl w:val="1"/>
        <w:rPr>
          <w:rFonts w:ascii="宋体" w:hAnsi="宋体" w:eastAsia="宋体" w:cs="Times New Roman"/>
          <w:szCs w:val="24"/>
        </w:rPr>
      </w:pPr>
    </w:p>
    <w:p w14:paraId="47C4EC26">
      <w:pPr>
        <w:snapToGrid w:val="0"/>
        <w:spacing w:before="120" w:beforeLines="50" w:after="50"/>
        <w:outlineLvl w:val="1"/>
        <w:rPr>
          <w:rFonts w:ascii="宋体" w:hAnsi="宋体" w:eastAsia="宋体" w:cs="Times New Roman"/>
          <w:szCs w:val="24"/>
        </w:rPr>
      </w:pPr>
    </w:p>
    <w:p w14:paraId="20C4572C">
      <w:pPr>
        <w:snapToGrid w:val="0"/>
        <w:spacing w:before="120" w:beforeLines="50" w:after="50"/>
        <w:outlineLvl w:val="1"/>
        <w:rPr>
          <w:rFonts w:ascii="宋体" w:hAnsi="宋体" w:eastAsia="宋体" w:cs="Times New Roman"/>
          <w:szCs w:val="24"/>
        </w:rPr>
      </w:pPr>
    </w:p>
    <w:p w14:paraId="12D1021F">
      <w:pPr>
        <w:snapToGrid w:val="0"/>
        <w:spacing w:before="120" w:beforeLines="50" w:after="50"/>
        <w:outlineLvl w:val="1"/>
        <w:rPr>
          <w:rFonts w:ascii="宋体" w:hAnsi="宋体" w:eastAsia="宋体" w:cs="Times New Roman"/>
          <w:szCs w:val="24"/>
        </w:rPr>
      </w:pPr>
    </w:p>
    <w:p w14:paraId="51DCB4CE">
      <w:pPr>
        <w:snapToGrid w:val="0"/>
        <w:spacing w:before="120" w:beforeLines="50" w:after="50"/>
        <w:outlineLvl w:val="1"/>
        <w:rPr>
          <w:rFonts w:ascii="宋体" w:hAnsi="宋体" w:eastAsia="宋体" w:cs="Times New Roman"/>
          <w:szCs w:val="24"/>
        </w:rPr>
      </w:pPr>
    </w:p>
    <w:p w14:paraId="3E1170E4">
      <w:pPr>
        <w:rPr>
          <w:rFonts w:ascii="Times New Roman" w:hAnsi="Times New Roman" w:eastAsia="宋体" w:cs="Times New Roman"/>
          <w:b/>
          <w:sz w:val="28"/>
          <w:szCs w:val="28"/>
        </w:rPr>
      </w:pPr>
      <w:bookmarkStart w:id="147" w:name="_Toc19686836"/>
      <w:bookmarkStart w:id="148" w:name="_Toc254970557"/>
      <w:bookmarkStart w:id="149" w:name="_Toc254970698"/>
      <w:r>
        <w:rPr>
          <w:rFonts w:hint="eastAsia" w:ascii="Times New Roman" w:hAnsi="Times New Roman" w:eastAsia="宋体" w:cs="Times New Roman"/>
          <w:b/>
          <w:sz w:val="28"/>
          <w:szCs w:val="28"/>
        </w:rPr>
        <w:t>二、报价文件格式</w:t>
      </w:r>
      <w:bookmarkEnd w:id="147"/>
    </w:p>
    <w:p w14:paraId="43E90DB3">
      <w:pPr>
        <w:snapToGrid w:val="0"/>
        <w:spacing w:before="120" w:beforeLines="50" w:after="50" w:line="360" w:lineRule="auto"/>
        <w:ind w:left="142"/>
        <w:jc w:val="left"/>
        <w:rPr>
          <w:rFonts w:ascii="宋体" w:hAnsi="宋体" w:eastAsia="宋体" w:cs="Times New Roman"/>
          <w:sz w:val="24"/>
          <w:szCs w:val="20"/>
        </w:rPr>
      </w:pPr>
      <w:r>
        <w:rPr>
          <w:rFonts w:hint="eastAsia" w:ascii="宋体" w:hAnsi="宋体" w:eastAsia="宋体" w:cs="Times New Roman"/>
          <w:b/>
          <w:sz w:val="24"/>
          <w:szCs w:val="24"/>
        </w:rPr>
        <w:t xml:space="preserve">1. 报价文件封面格式： </w:t>
      </w:r>
    </w:p>
    <w:p w14:paraId="4B52E856">
      <w:pPr>
        <w:snapToGrid w:val="0"/>
        <w:spacing w:before="120" w:beforeLines="50" w:after="50" w:line="400" w:lineRule="exact"/>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正本</w:t>
      </w:r>
    </w:p>
    <w:p w14:paraId="23D75ADB">
      <w:pPr>
        <w:snapToGrid w:val="0"/>
        <w:spacing w:before="120" w:beforeLines="50" w:after="50" w:line="400" w:lineRule="exact"/>
        <w:jc w:val="center"/>
        <w:rPr>
          <w:rFonts w:ascii="宋体" w:hAnsi="宋体" w:eastAsia="宋体" w:cs="Times New Roman"/>
          <w:bCs/>
          <w:sz w:val="24"/>
          <w:szCs w:val="20"/>
        </w:rPr>
      </w:pPr>
    </w:p>
    <w:p w14:paraId="731B3004">
      <w:pPr>
        <w:snapToGrid w:val="0"/>
        <w:spacing w:before="120" w:beforeLines="50" w:after="50" w:line="400" w:lineRule="exact"/>
        <w:jc w:val="center"/>
        <w:rPr>
          <w:rFonts w:ascii="宋体" w:hAnsi="宋体" w:eastAsia="宋体" w:cs="Times New Roman"/>
          <w:b/>
          <w:bCs/>
          <w:sz w:val="32"/>
          <w:szCs w:val="32"/>
        </w:rPr>
      </w:pPr>
      <w:r>
        <w:rPr>
          <w:rFonts w:hint="eastAsia" w:ascii="宋体" w:hAnsi="宋体" w:eastAsia="宋体" w:cs="Times New Roman"/>
          <w:b/>
          <w:bCs/>
          <w:sz w:val="32"/>
          <w:szCs w:val="32"/>
        </w:rPr>
        <w:t>报价文件</w:t>
      </w:r>
    </w:p>
    <w:p w14:paraId="36B853BE">
      <w:pPr>
        <w:snapToGrid w:val="0"/>
        <w:spacing w:before="120" w:beforeLines="50" w:after="50" w:line="400" w:lineRule="exact"/>
        <w:rPr>
          <w:rFonts w:ascii="宋体" w:hAnsi="宋体" w:eastAsia="宋体" w:cs="Times New Roman"/>
          <w:bCs/>
          <w:sz w:val="24"/>
          <w:szCs w:val="20"/>
        </w:rPr>
      </w:pPr>
    </w:p>
    <w:p w14:paraId="33B794DD">
      <w:pPr>
        <w:snapToGrid w:val="0"/>
        <w:spacing w:before="120" w:beforeLines="50" w:after="50" w:line="400" w:lineRule="exact"/>
        <w:rPr>
          <w:rFonts w:ascii="宋体" w:hAnsi="宋体" w:eastAsia="宋体" w:cs="Times New Roman"/>
          <w:bCs/>
          <w:sz w:val="24"/>
          <w:szCs w:val="20"/>
        </w:rPr>
      </w:pPr>
    </w:p>
    <w:p w14:paraId="1859DAD2">
      <w:pPr>
        <w:snapToGrid w:val="0"/>
        <w:spacing w:before="120" w:beforeLines="50" w:after="50" w:line="400" w:lineRule="exact"/>
        <w:rPr>
          <w:rFonts w:ascii="宋体" w:hAnsi="宋体" w:eastAsia="宋体" w:cs="Times New Roman"/>
          <w:bCs/>
          <w:sz w:val="24"/>
          <w:szCs w:val="20"/>
        </w:rPr>
      </w:pPr>
    </w:p>
    <w:p w14:paraId="7560EAC0">
      <w:pPr>
        <w:snapToGrid w:val="0"/>
        <w:spacing w:before="120" w:beforeLines="50" w:after="50" w:line="400" w:lineRule="exact"/>
        <w:rPr>
          <w:rFonts w:ascii="宋体" w:hAnsi="宋体" w:eastAsia="宋体" w:cs="Times New Roman"/>
          <w:bCs/>
          <w:sz w:val="24"/>
          <w:szCs w:val="20"/>
        </w:rPr>
      </w:pPr>
    </w:p>
    <w:p w14:paraId="4D5023B1">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项目名称： </w:t>
      </w:r>
    </w:p>
    <w:p w14:paraId="3D7ACF6E">
      <w:pPr>
        <w:snapToGrid w:val="0"/>
        <w:spacing w:before="120" w:beforeLines="50" w:after="50" w:line="400" w:lineRule="exact"/>
        <w:ind w:firstLine="360" w:firstLineChars="150"/>
        <w:rPr>
          <w:rFonts w:ascii="宋体" w:hAnsi="宋体" w:eastAsia="宋体" w:cs="Times New Roman"/>
          <w:bCs/>
          <w:sz w:val="24"/>
          <w:szCs w:val="24"/>
        </w:rPr>
      </w:pPr>
    </w:p>
    <w:p w14:paraId="710073EF">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0AC3D577">
      <w:pPr>
        <w:snapToGrid w:val="0"/>
        <w:spacing w:before="120" w:beforeLines="50" w:after="50" w:line="400" w:lineRule="exact"/>
        <w:ind w:firstLine="360" w:firstLineChars="150"/>
        <w:rPr>
          <w:rFonts w:ascii="宋体" w:hAnsi="宋体" w:eastAsia="宋体" w:cs="Times New Roman"/>
          <w:bCs/>
          <w:sz w:val="24"/>
          <w:szCs w:val="24"/>
        </w:rPr>
      </w:pPr>
    </w:p>
    <w:p w14:paraId="0C6030BC">
      <w:pPr>
        <w:snapToGrid w:val="0"/>
        <w:spacing w:before="120" w:beforeLines="50" w:after="50" w:line="400" w:lineRule="exact"/>
        <w:ind w:firstLine="360" w:firstLineChars="150"/>
        <w:rPr>
          <w:rFonts w:ascii="宋体" w:hAnsi="宋体" w:eastAsia="宋体" w:cs="Times New Roman"/>
          <w:bCs/>
          <w:sz w:val="24"/>
          <w:szCs w:val="24"/>
        </w:rPr>
      </w:pPr>
    </w:p>
    <w:p w14:paraId="0A9E052B">
      <w:pPr>
        <w:spacing w:line="380" w:lineRule="exact"/>
        <w:rPr>
          <w:rFonts w:ascii="Times New Roman" w:hAnsi="Times New Roman" w:eastAsia="宋体" w:cs="Times New Roman"/>
          <w:kern w:val="0"/>
          <w:sz w:val="24"/>
          <w:szCs w:val="24"/>
        </w:rPr>
      </w:pPr>
    </w:p>
    <w:p w14:paraId="11129491">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77BFE2C4">
      <w:pPr>
        <w:snapToGrid w:val="0"/>
        <w:spacing w:before="120" w:beforeLines="50" w:after="50" w:line="400" w:lineRule="exact"/>
        <w:ind w:firstLine="360" w:firstLineChars="150"/>
        <w:rPr>
          <w:rFonts w:ascii="宋体" w:hAnsi="宋体" w:eastAsia="宋体" w:cs="Times New Roman"/>
          <w:bCs/>
          <w:sz w:val="24"/>
          <w:szCs w:val="24"/>
        </w:rPr>
      </w:pPr>
    </w:p>
    <w:p w14:paraId="3656D51D">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50D6D12D">
      <w:pPr>
        <w:snapToGrid w:val="0"/>
        <w:spacing w:before="50" w:after="50" w:line="400" w:lineRule="exact"/>
        <w:ind w:firstLine="960" w:firstLineChars="400"/>
        <w:rPr>
          <w:rFonts w:ascii="宋体" w:hAnsi="宋体" w:eastAsia="宋体" w:cs="Times New Roman"/>
          <w:bCs/>
          <w:sz w:val="24"/>
          <w:szCs w:val="24"/>
        </w:rPr>
      </w:pPr>
    </w:p>
    <w:p w14:paraId="1137EE91">
      <w:pPr>
        <w:snapToGrid w:val="0"/>
        <w:spacing w:before="120" w:beforeLines="50" w:after="50" w:line="400" w:lineRule="exact"/>
        <w:rPr>
          <w:rFonts w:ascii="宋体" w:hAnsi="宋体" w:eastAsia="宋体" w:cs="Times New Roman"/>
          <w:sz w:val="30"/>
          <w:szCs w:val="20"/>
        </w:rPr>
      </w:pPr>
      <w:r>
        <w:rPr>
          <w:rFonts w:hint="eastAsia" w:ascii="宋体" w:hAnsi="宋体" w:eastAsia="宋体" w:cs="Times New Roman"/>
          <w:sz w:val="24"/>
          <w:szCs w:val="24"/>
        </w:rPr>
        <w:t xml:space="preserve">                                   年  月  日</w:t>
      </w:r>
    </w:p>
    <w:p w14:paraId="72B4516D">
      <w:pPr>
        <w:snapToGrid w:val="0"/>
        <w:spacing w:before="120" w:beforeLines="50" w:after="50" w:line="360" w:lineRule="auto"/>
        <w:jc w:val="left"/>
        <w:rPr>
          <w:rFonts w:ascii="宋体" w:hAnsi="宋体" w:eastAsia="宋体" w:cs="Times New Roman"/>
          <w:sz w:val="24"/>
          <w:szCs w:val="20"/>
        </w:rPr>
      </w:pPr>
      <w:r>
        <w:rPr>
          <w:rFonts w:ascii="宋体" w:hAnsi="宋体" w:eastAsia="宋体" w:cs="Times New Roman"/>
          <w:b/>
          <w:sz w:val="24"/>
          <w:szCs w:val="24"/>
        </w:rPr>
        <w:br w:type="page"/>
      </w:r>
      <w:r>
        <w:rPr>
          <w:rFonts w:hint="eastAsia" w:ascii="宋体" w:hAnsi="宋体" w:eastAsia="宋体" w:cs="Times New Roman"/>
          <w:b/>
          <w:sz w:val="24"/>
          <w:szCs w:val="24"/>
        </w:rPr>
        <w:t>2.</w:t>
      </w:r>
      <w:r>
        <w:rPr>
          <w:rFonts w:hint="eastAsia" w:ascii="宋体" w:hAnsi="宋体" w:eastAsia="宋体" w:cs="Times New Roman"/>
          <w:b/>
          <w:bCs/>
          <w:sz w:val="24"/>
          <w:szCs w:val="24"/>
        </w:rPr>
        <w:t>报价文件目录</w:t>
      </w:r>
    </w:p>
    <w:p w14:paraId="5E9BC98F">
      <w:pPr>
        <w:snapToGrid w:val="0"/>
        <w:spacing w:before="50" w:after="120" w:afterLines="50" w:line="360" w:lineRule="auto"/>
        <w:jc w:val="left"/>
        <w:rPr>
          <w:rFonts w:ascii="宋体" w:hAnsi="宋体" w:eastAsia="宋体" w:cs="Times New Roman"/>
          <w:b/>
          <w:sz w:val="24"/>
          <w:szCs w:val="24"/>
        </w:rPr>
      </w:pPr>
      <w:r>
        <w:rPr>
          <w:rFonts w:hint="eastAsia" w:ascii="宋体" w:hAnsi="宋体" w:eastAsia="宋体" w:cs="Times New Roman"/>
          <w:szCs w:val="21"/>
        </w:rPr>
        <w:t>根据招标文件规定及投标人提供的材料自行编写目录。</w:t>
      </w:r>
    </w:p>
    <w:p w14:paraId="73853556">
      <w:pPr>
        <w:snapToGrid w:val="0"/>
        <w:spacing w:before="120" w:beforeLines="50" w:after="50"/>
        <w:jc w:val="left"/>
        <w:rPr>
          <w:rFonts w:ascii="宋体" w:hAnsi="宋体" w:eastAsia="宋体" w:cs="Times New Roman"/>
          <w:b/>
          <w:sz w:val="24"/>
          <w:szCs w:val="24"/>
        </w:rPr>
      </w:pPr>
      <w:r>
        <w:rPr>
          <w:rFonts w:hint="eastAsia" w:ascii="宋体" w:hAnsi="宋体" w:eastAsia="宋体" w:cs="Times New Roman"/>
          <w:b/>
          <w:sz w:val="24"/>
          <w:szCs w:val="24"/>
        </w:rPr>
        <w:t>3. 投标函格式：</w:t>
      </w:r>
    </w:p>
    <w:p w14:paraId="301D16B4">
      <w:pPr>
        <w:snapToGrid w:val="0"/>
        <w:spacing w:before="120" w:beforeLines="50" w:after="50" w:line="320" w:lineRule="exact"/>
        <w:jc w:val="center"/>
        <w:rPr>
          <w:rFonts w:ascii="宋体" w:hAnsi="宋体" w:eastAsia="宋体" w:cs="Times New Roman"/>
          <w:b/>
          <w:sz w:val="32"/>
          <w:szCs w:val="32"/>
        </w:rPr>
      </w:pPr>
      <w:r>
        <w:rPr>
          <w:rFonts w:hint="eastAsia" w:ascii="宋体" w:hAnsi="宋体" w:eastAsia="宋体" w:cs="Times New Roman"/>
          <w:b/>
          <w:sz w:val="32"/>
          <w:szCs w:val="32"/>
        </w:rPr>
        <w:t>投 标 函</w:t>
      </w:r>
    </w:p>
    <w:p w14:paraId="67173D60">
      <w:pPr>
        <w:snapToGrid w:val="0"/>
        <w:spacing w:before="120" w:beforeLines="50" w:after="50" w:line="320" w:lineRule="exact"/>
        <w:jc w:val="center"/>
        <w:rPr>
          <w:rFonts w:ascii="宋体" w:hAnsi="宋体" w:eastAsia="宋体" w:cs="Times New Roman"/>
          <w:b/>
          <w:sz w:val="24"/>
          <w:szCs w:val="20"/>
        </w:rPr>
      </w:pPr>
    </w:p>
    <w:p w14:paraId="7238823C">
      <w:pPr>
        <w:snapToGrid w:val="0"/>
        <w:spacing w:before="120" w:beforeLines="50" w:after="50" w:line="320" w:lineRule="exact"/>
        <w:jc w:val="center"/>
        <w:rPr>
          <w:rFonts w:ascii="宋体" w:hAnsi="宋体" w:eastAsia="宋体" w:cs="Times New Roman"/>
          <w:b/>
          <w:sz w:val="24"/>
          <w:szCs w:val="20"/>
        </w:rPr>
      </w:pPr>
    </w:p>
    <w:p w14:paraId="27CC089B">
      <w:pPr>
        <w:snapToGrid w:val="0"/>
        <w:spacing w:before="120" w:beforeLines="50" w:after="50" w:line="320" w:lineRule="exact"/>
        <w:jc w:val="center"/>
        <w:rPr>
          <w:rFonts w:ascii="宋体" w:hAnsi="宋体" w:eastAsia="宋体" w:cs="Times New Roman"/>
          <w:b/>
          <w:sz w:val="24"/>
          <w:szCs w:val="20"/>
        </w:rPr>
      </w:pPr>
    </w:p>
    <w:p w14:paraId="7A3502B2">
      <w:pPr>
        <w:snapToGrid w:val="0"/>
        <w:spacing w:line="360" w:lineRule="auto"/>
        <w:rPr>
          <w:rFonts w:ascii="宋体" w:hAnsi="宋体" w:eastAsia="宋体" w:cs="Times New Roman"/>
          <w:sz w:val="24"/>
          <w:szCs w:val="24"/>
        </w:rPr>
      </w:pPr>
      <w:r>
        <w:rPr>
          <w:rFonts w:hint="eastAsia" w:ascii="宋体" w:hAnsi="宋体" w:eastAsia="宋体" w:cs="Times New Roman"/>
          <w:sz w:val="24"/>
          <w:szCs w:val="24"/>
        </w:rPr>
        <w:t>致：</w:t>
      </w:r>
      <w:r>
        <w:rPr>
          <w:rFonts w:hint="eastAsia" w:ascii="宋体" w:hAnsi="宋体" w:eastAsia="宋体" w:cs="Times New Roman"/>
          <w:sz w:val="24"/>
          <w:szCs w:val="24"/>
          <w:u w:val="single"/>
        </w:rPr>
        <w:t>招标人名称</w:t>
      </w:r>
      <w:r>
        <w:rPr>
          <w:rFonts w:hint="eastAsia" w:ascii="宋体" w:hAnsi="宋体" w:eastAsia="宋体" w:cs="Times New Roman"/>
          <w:sz w:val="24"/>
          <w:szCs w:val="24"/>
        </w:rPr>
        <w:t>：</w:t>
      </w:r>
    </w:p>
    <w:p w14:paraId="60BF99B1">
      <w:pPr>
        <w:snapToGrid w:val="0"/>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根据贵方</w:t>
      </w:r>
      <w:r>
        <w:rPr>
          <w:rFonts w:hint="eastAsia" w:ascii="宋体" w:hAnsi="宋体" w:eastAsia="宋体" w:cs="Times New Roman"/>
          <w:sz w:val="24"/>
          <w:szCs w:val="24"/>
          <w:u w:val="single"/>
        </w:rPr>
        <w:t xml:space="preserve"> 项目名称</w:t>
      </w:r>
      <w:r>
        <w:rPr>
          <w:rFonts w:hint="eastAsia" w:ascii="宋体" w:hAnsi="宋体" w:eastAsia="宋体" w:cs="Times New Roman"/>
          <w:sz w:val="24"/>
          <w:szCs w:val="24"/>
        </w:rPr>
        <w:t>（项目编号：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）的招标公告，签字代表______</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（姓名）经正式授权并代表投标人</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（投标人名称）提交投标文件。</w:t>
      </w:r>
    </w:p>
    <w:p w14:paraId="0FF194FD">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据此函，我方宣布同意如下：</w:t>
      </w:r>
    </w:p>
    <w:p w14:paraId="4627E08F">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1.我方已详细审查全部“招标文件”，包括修改文件（如有的话）以及全部参考资料和有关附件，已经了解我方对于招标文件、采购过程、采购结果有依法进行询问、质疑、投诉的权利及相关渠道和要求。</w:t>
      </w:r>
    </w:p>
    <w:p w14:paraId="40A77D25">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2.我方在投标之前已经完全理解并接受招标文件的各项规定和要求，对招标文件的合理性、合法性不再有异议。</w:t>
      </w:r>
    </w:p>
    <w:p w14:paraId="4E70848C">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3.本投标有效期自投标截止之日起</w:t>
      </w:r>
      <w:r>
        <w:rPr>
          <w:rFonts w:ascii="宋体" w:hAnsi="宋体" w:eastAsia="宋体" w:cs="Times New Roman"/>
          <w:sz w:val="24"/>
          <w:szCs w:val="24"/>
          <w:u w:val="single"/>
        </w:rPr>
        <w:t xml:space="preserve">    </w:t>
      </w:r>
      <w:r>
        <w:rPr>
          <w:rFonts w:hint="eastAsia" w:ascii="宋体" w:hAnsi="宋体" w:eastAsia="宋体" w:cs="Times New Roman"/>
          <w:sz w:val="24"/>
          <w:szCs w:val="24"/>
        </w:rPr>
        <w:t>日。</w:t>
      </w:r>
    </w:p>
    <w:p w14:paraId="32E0DC32">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4.如中标，本投标文件至本项目合同履行完毕止均保持有效，我方将按“招标文件”及政府采购法律、法规的规定履行合同责任和义务。</w:t>
      </w:r>
    </w:p>
    <w:p w14:paraId="6DFCBA7C">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5.我方同意按照贵方要求提供与投标有关的一切数据或者资料。</w:t>
      </w:r>
    </w:p>
    <w:p w14:paraId="1AFA645C">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6.我方向贵方提交的所有投标文件、资料都是准确的和真实的。</w:t>
      </w:r>
    </w:p>
    <w:p w14:paraId="6DC78B27">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7.以上事项如有虚假或者隐瞒，我方愿意承担一切后果，并不再寻求任何旨在减轻或者免除法律责任的辩解。</w:t>
      </w:r>
    </w:p>
    <w:p w14:paraId="2776A5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8.根据</w:t>
      </w:r>
      <w:r>
        <w:rPr>
          <w:rFonts w:ascii="宋体" w:hAnsi="宋体" w:eastAsia="宋体" w:cs="Times New Roman"/>
          <w:sz w:val="24"/>
          <w:szCs w:val="24"/>
        </w:rPr>
        <w:t>《中华人民共和国政府采购法实施条例》第五十条要求对政府采购合同进行公告</w:t>
      </w:r>
      <w:r>
        <w:rPr>
          <w:rFonts w:hint="eastAsia" w:ascii="宋体" w:hAnsi="宋体" w:eastAsia="宋体" w:cs="Times New Roman"/>
          <w:sz w:val="24"/>
          <w:szCs w:val="24"/>
        </w:rPr>
        <w:t>，</w:t>
      </w:r>
      <w:r>
        <w:rPr>
          <w:rFonts w:ascii="宋体" w:hAnsi="宋体" w:eastAsia="宋体" w:cs="Times New Roman"/>
          <w:sz w:val="24"/>
          <w:szCs w:val="24"/>
        </w:rPr>
        <w:t>但政府采购合同中涉及国家秘密、商业秘密的内容除外。</w:t>
      </w:r>
      <w:r>
        <w:rPr>
          <w:rFonts w:hint="eastAsia" w:ascii="宋体" w:hAnsi="宋体" w:eastAsia="宋体" w:cs="Times New Roman"/>
          <w:sz w:val="24"/>
          <w:szCs w:val="24"/>
        </w:rPr>
        <w:t>我方就对本次投标文件进行注明如下：（两项内容中必须选择一项）</w:t>
      </w:r>
    </w:p>
    <w:p w14:paraId="128D36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□我方本次投标文件</w:t>
      </w:r>
      <w:r>
        <w:rPr>
          <w:rFonts w:ascii="宋体" w:hAnsi="宋体" w:eastAsia="宋体" w:cs="宋体"/>
          <w:kern w:val="0"/>
          <w:sz w:val="24"/>
          <w:szCs w:val="24"/>
        </w:rPr>
        <w:t>内容中</w:t>
      </w:r>
      <w:r>
        <w:rPr>
          <w:rFonts w:hint="eastAsia" w:ascii="宋体" w:hAnsi="宋体" w:eastAsia="宋体" w:cs="Times New Roman"/>
          <w:sz w:val="24"/>
          <w:szCs w:val="24"/>
        </w:rPr>
        <w:t>未</w:t>
      </w:r>
      <w:r>
        <w:rPr>
          <w:rFonts w:ascii="宋体" w:hAnsi="宋体" w:eastAsia="宋体" w:cs="宋体"/>
          <w:kern w:val="0"/>
          <w:sz w:val="24"/>
          <w:szCs w:val="24"/>
        </w:rPr>
        <w:t>涉及商业秘密</w:t>
      </w:r>
      <w:r>
        <w:rPr>
          <w:rFonts w:hint="eastAsia" w:ascii="宋体" w:hAnsi="宋体" w:eastAsia="宋体" w:cs="宋体"/>
          <w:kern w:val="0"/>
          <w:sz w:val="24"/>
          <w:szCs w:val="24"/>
        </w:rPr>
        <w:t>；</w:t>
      </w:r>
    </w:p>
    <w:p w14:paraId="53375F6A">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□我方本次投标文件</w:t>
      </w:r>
      <w:r>
        <w:rPr>
          <w:rFonts w:ascii="宋体" w:hAnsi="宋体" w:eastAsia="宋体" w:cs="宋体"/>
          <w:kern w:val="0"/>
          <w:sz w:val="24"/>
          <w:szCs w:val="24"/>
        </w:rPr>
        <w:t>涉及商业秘密</w:t>
      </w:r>
      <w:r>
        <w:rPr>
          <w:rFonts w:hint="eastAsia" w:ascii="宋体" w:hAnsi="宋体" w:eastAsia="宋体" w:cs="宋体"/>
          <w:kern w:val="0"/>
          <w:sz w:val="24"/>
          <w:szCs w:val="24"/>
        </w:rPr>
        <w:t>的</w:t>
      </w:r>
      <w:r>
        <w:rPr>
          <w:rFonts w:ascii="宋体" w:hAnsi="宋体" w:eastAsia="宋体" w:cs="宋体"/>
          <w:kern w:val="0"/>
          <w:sz w:val="24"/>
          <w:szCs w:val="24"/>
        </w:rPr>
        <w:t>内容</w:t>
      </w:r>
      <w:r>
        <w:rPr>
          <w:rFonts w:hint="eastAsia" w:ascii="宋体" w:hAnsi="宋体" w:eastAsia="宋体" w:cs="宋体"/>
          <w:kern w:val="0"/>
          <w:sz w:val="24"/>
          <w:szCs w:val="24"/>
        </w:rPr>
        <w:t>有：</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6237F76">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9.与本投标有关的一切正式往来信函请寄：</w:t>
      </w:r>
    </w:p>
    <w:p w14:paraId="79FF37CB">
      <w:pPr>
        <w:snapToGrid w:val="0"/>
        <w:spacing w:line="360" w:lineRule="auto"/>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地址：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邮编：</w:t>
      </w:r>
      <w:r>
        <w:rPr>
          <w:rFonts w:hint="eastAsia" w:ascii="宋体" w:hAnsi="宋体" w:eastAsia="宋体" w:cs="Times New Roman"/>
          <w:sz w:val="24"/>
          <w:szCs w:val="24"/>
          <w:u w:val="single"/>
        </w:rPr>
        <w:t xml:space="preserve">            </w:t>
      </w:r>
    </w:p>
    <w:p w14:paraId="713906CC">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电话：</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传真：</w:t>
      </w:r>
      <w:r>
        <w:rPr>
          <w:rFonts w:hint="eastAsia" w:ascii="宋体" w:hAnsi="宋体" w:eastAsia="宋体" w:cs="Times New Roman"/>
          <w:sz w:val="24"/>
          <w:szCs w:val="24"/>
          <w:u w:val="single"/>
        </w:rPr>
        <w:t xml:space="preserve">          </w:t>
      </w:r>
    </w:p>
    <w:p w14:paraId="47EE3B61">
      <w:pPr>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投标人名称:</w:t>
      </w:r>
      <w:r>
        <w:rPr>
          <w:rFonts w:hint="eastAsia" w:ascii="宋体" w:hAnsi="宋体" w:eastAsia="宋体" w:cs="Times New Roman"/>
          <w:sz w:val="24"/>
          <w:szCs w:val="24"/>
          <w:u w:val="single"/>
        </w:rPr>
        <w:t xml:space="preserve">                </w:t>
      </w:r>
    </w:p>
    <w:p w14:paraId="72CAB552">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开户银行：</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银行帐号：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5740EB76">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 xml:space="preserve">法定代表人或者委托代理人（签字）:___________ </w:t>
      </w:r>
    </w:p>
    <w:p w14:paraId="428EADDF">
      <w:pPr>
        <w:snapToGrid w:val="0"/>
        <w:spacing w:before="295" w:after="295" w:line="360" w:lineRule="auto"/>
        <w:jc w:val="center"/>
        <w:rPr>
          <w:rFonts w:ascii="宋体" w:hAnsi="宋体" w:eastAsia="宋体" w:cs="Times New Roman"/>
          <w:kern w:val="0"/>
          <w:sz w:val="24"/>
          <w:szCs w:val="24"/>
          <w:u w:val="single"/>
          <w:lang w:val="zh-CN"/>
        </w:rPr>
      </w:pPr>
      <w:r>
        <w:rPr>
          <w:rFonts w:hint="eastAsia" w:ascii="宋体" w:hAnsi="宋体" w:eastAsia="宋体" w:cs="Times New Roman"/>
          <w:kern w:val="0"/>
          <w:sz w:val="24"/>
          <w:szCs w:val="21"/>
          <w:lang w:val="zh-CN"/>
        </w:rPr>
        <w:t xml:space="preserve"> </w:t>
      </w:r>
      <w:r>
        <w:rPr>
          <w:rFonts w:ascii="宋体" w:hAnsi="宋体" w:eastAsia="宋体" w:cs="Times New Roman"/>
          <w:kern w:val="0"/>
          <w:sz w:val="24"/>
          <w:szCs w:val="21"/>
          <w:lang w:val="zh-CN"/>
        </w:rPr>
        <w:t xml:space="preserve">                                   </w:t>
      </w:r>
      <w:r>
        <w:rPr>
          <w:rFonts w:hint="eastAsia" w:ascii="宋体" w:hAnsi="宋体" w:eastAsia="宋体" w:cs="Times New Roman"/>
          <w:kern w:val="0"/>
          <w:sz w:val="24"/>
          <w:szCs w:val="21"/>
          <w:lang w:val="zh-CN"/>
        </w:rPr>
        <w:t>投标人（盖公章）：</w:t>
      </w:r>
    </w:p>
    <w:p w14:paraId="1CDFBE9D">
      <w:pPr>
        <w:snapToGrid w:val="0"/>
        <w:spacing w:before="295" w:after="295" w:line="360" w:lineRule="auto"/>
        <w:rPr>
          <w:rFonts w:ascii="宋体" w:hAnsi="宋体" w:eastAsia="宋体" w:cs="Times New Roman"/>
          <w:kern w:val="0"/>
          <w:sz w:val="24"/>
          <w:szCs w:val="21"/>
          <w:lang w:val="zh-CN"/>
        </w:rPr>
      </w:pPr>
      <w:r>
        <w:rPr>
          <w:rFonts w:hint="eastAsia" w:ascii="宋体" w:hAnsi="宋体" w:eastAsia="宋体" w:cs="Times New Roman"/>
          <w:kern w:val="0"/>
          <w:sz w:val="24"/>
          <w:szCs w:val="24"/>
          <w:lang w:val="zh-CN"/>
        </w:rPr>
        <w:t xml:space="preserve">                                                </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年</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月</w:t>
      </w:r>
      <w:r>
        <w:rPr>
          <w:rFonts w:hint="eastAsia" w:ascii="宋体" w:hAnsi="宋体" w:eastAsia="宋体" w:cs="Times New Roman"/>
          <w:kern w:val="0"/>
          <w:sz w:val="24"/>
          <w:szCs w:val="24"/>
          <w:u w:val="single"/>
          <w:lang w:val="zh-CN"/>
        </w:rPr>
        <w:t xml:space="preserve">     </w:t>
      </w:r>
      <w:r>
        <w:rPr>
          <w:rFonts w:hint="eastAsia" w:ascii="宋体" w:hAnsi="宋体" w:eastAsia="宋体" w:cs="Times New Roman"/>
          <w:kern w:val="0"/>
          <w:sz w:val="24"/>
          <w:szCs w:val="24"/>
          <w:lang w:val="zh-CN"/>
        </w:rPr>
        <w:t>日</w:t>
      </w:r>
    </w:p>
    <w:p w14:paraId="2191CF68">
      <w:pPr>
        <w:snapToGrid w:val="0"/>
        <w:spacing w:before="120" w:beforeLines="50" w:after="50"/>
        <w:jc w:val="left"/>
        <w:rPr>
          <w:rFonts w:ascii="宋体" w:hAnsi="宋体" w:eastAsia="宋体" w:cs="Times New Roman"/>
          <w:b/>
          <w:sz w:val="24"/>
          <w:szCs w:val="20"/>
        </w:rPr>
      </w:pPr>
      <w:r>
        <w:rPr>
          <w:rFonts w:ascii="Times New Roman" w:hAnsi="宋体" w:eastAsia="宋体" w:cs="Times New Roman"/>
          <w:szCs w:val="24"/>
          <w:u w:val="single"/>
        </w:rPr>
        <w:br w:type="page"/>
      </w:r>
      <w:r>
        <w:rPr>
          <w:rFonts w:hint="eastAsia" w:ascii="宋体" w:hAnsi="宋体" w:eastAsia="宋体" w:cs="Times New Roman"/>
          <w:b/>
          <w:sz w:val="24"/>
          <w:szCs w:val="24"/>
        </w:rPr>
        <w:t>4. 开标一览表</w:t>
      </w:r>
    </w:p>
    <w:p w14:paraId="0EA48F71">
      <w:pPr>
        <w:snapToGrid w:val="0"/>
        <w:spacing w:before="50" w:after="50"/>
        <w:jc w:val="center"/>
        <w:rPr>
          <w:rFonts w:ascii="宋体" w:hAnsi="宋体" w:eastAsia="宋体" w:cs="Times New Roman"/>
          <w:b/>
          <w:sz w:val="30"/>
          <w:szCs w:val="24"/>
        </w:rPr>
      </w:pPr>
      <w:r>
        <w:rPr>
          <w:rFonts w:hint="eastAsia" w:ascii="宋体" w:hAnsi="宋体" w:eastAsia="宋体" w:cs="Times New Roman"/>
          <w:b/>
          <w:sz w:val="30"/>
          <w:szCs w:val="24"/>
        </w:rPr>
        <w:t>开标一览表</w:t>
      </w:r>
    </w:p>
    <w:p w14:paraId="481DE7C0">
      <w:pPr>
        <w:snapToGrid w:val="0"/>
        <w:spacing w:before="50" w:after="50"/>
        <w:jc w:val="center"/>
        <w:rPr>
          <w:rFonts w:ascii="宋体" w:hAnsi="宋体" w:eastAsia="宋体" w:cs="Times New Roman"/>
          <w:b/>
          <w:sz w:val="30"/>
          <w:szCs w:val="20"/>
        </w:rPr>
      </w:pPr>
    </w:p>
    <w:p w14:paraId="3CE9008E">
      <w:pPr>
        <w:snapToGrid w:val="0"/>
        <w:spacing w:before="50" w:after="50" w:line="360" w:lineRule="auto"/>
        <w:rPr>
          <w:rFonts w:ascii="宋体" w:hAnsi="宋体" w:eastAsia="宋体" w:cs="Times New Roman"/>
          <w:sz w:val="24"/>
          <w:szCs w:val="24"/>
          <w:u w:val="single"/>
        </w:rPr>
      </w:pPr>
      <w:r>
        <w:rPr>
          <w:rFonts w:hint="eastAsia" w:ascii="宋体" w:hAnsi="宋体" w:eastAsia="宋体" w:cs="Times New Roman"/>
          <w:sz w:val="24"/>
          <w:szCs w:val="24"/>
        </w:rPr>
        <w:t>项目名称：</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r>
        <w:rPr>
          <w:rFonts w:hint="eastAsia" w:ascii="宋体" w:hAnsi="宋体" w:eastAsia="宋体" w:cs="Times New Roman"/>
          <w:sz w:val="24"/>
          <w:szCs w:val="24"/>
        </w:rPr>
        <w:t>项目编号：</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666CB27B">
      <w:pPr>
        <w:snapToGrid w:val="0"/>
        <w:spacing w:before="50" w:after="50" w:line="360" w:lineRule="auto"/>
        <w:rPr>
          <w:rFonts w:ascii="宋体" w:hAnsi="宋体" w:eastAsia="宋体" w:cs="Times New Roman"/>
          <w:sz w:val="24"/>
          <w:szCs w:val="24"/>
        </w:rPr>
      </w:pPr>
      <w:r>
        <w:rPr>
          <w:rFonts w:hint="eastAsia" w:ascii="宋体" w:hAnsi="宋体" w:eastAsia="宋体" w:cs="Times New Roman"/>
          <w:sz w:val="24"/>
          <w:szCs w:val="24"/>
        </w:rPr>
        <w:t>投标人名称：</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单位：元</w:t>
      </w:r>
    </w:p>
    <w:p w14:paraId="45B6FF29">
      <w:pPr>
        <w:snapToGrid w:val="0"/>
        <w:spacing w:before="50" w:after="50" w:line="360" w:lineRule="auto"/>
        <w:rPr>
          <w:rFonts w:ascii="宋体" w:hAnsi="宋体" w:eastAsia="宋体" w:cs="仿宋_GB2312"/>
          <w:sz w:val="24"/>
          <w:szCs w:val="24"/>
        </w:rPr>
      </w:pPr>
      <w:r>
        <w:rPr>
          <w:rFonts w:hint="eastAsia" w:ascii="宋体" w:hAnsi="宋体" w:eastAsia="宋体" w:cs="仿宋_GB2312"/>
          <w:sz w:val="24"/>
          <w:szCs w:val="24"/>
        </w:rPr>
        <w:t xml:space="preserve">                                           </w:t>
      </w:r>
    </w:p>
    <w:tbl>
      <w:tblPr>
        <w:tblStyle w:val="37"/>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75DE7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69CB3416">
            <w:pPr>
              <w:spacing w:line="360" w:lineRule="auto"/>
              <w:jc w:val="center"/>
              <w:rPr>
                <w:rFonts w:ascii="宋体" w:hAnsi="宋体" w:eastAsia="宋体" w:cs="仿宋_GB2312"/>
                <w:sz w:val="24"/>
                <w:szCs w:val="24"/>
              </w:rPr>
            </w:pPr>
            <w:r>
              <w:rPr>
                <w:rFonts w:ascii="宋体" w:hAnsi="宋体" w:eastAsia="宋体" w:cs="仿宋_GB2312"/>
                <w:sz w:val="24"/>
                <w:szCs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24C54BBB">
            <w:pPr>
              <w:spacing w:line="360" w:lineRule="auto"/>
              <w:jc w:val="center"/>
              <w:rPr>
                <w:rFonts w:ascii="宋体" w:hAnsi="宋体" w:eastAsia="宋体" w:cs="仿宋_GB2312"/>
                <w:sz w:val="24"/>
                <w:szCs w:val="24"/>
              </w:rPr>
            </w:pPr>
            <w:r>
              <w:rPr>
                <w:rFonts w:hint="eastAsia" w:ascii="宋体" w:hAnsi="宋体" w:eastAsia="宋体" w:cs="Times New Roman"/>
                <w:b/>
                <w:sz w:val="24"/>
                <w:szCs w:val="24"/>
              </w:rPr>
              <w:t>标的名称</w:t>
            </w:r>
          </w:p>
        </w:tc>
        <w:tc>
          <w:tcPr>
            <w:tcW w:w="1521" w:type="dxa"/>
            <w:tcBorders>
              <w:top w:val="single" w:color="auto" w:sz="4" w:space="0"/>
              <w:left w:val="single" w:color="auto" w:sz="4" w:space="0"/>
              <w:bottom w:val="single" w:color="auto" w:sz="4" w:space="0"/>
              <w:right w:val="single" w:color="auto" w:sz="4" w:space="0"/>
            </w:tcBorders>
            <w:vAlign w:val="center"/>
          </w:tcPr>
          <w:p w14:paraId="326B4888">
            <w:pPr>
              <w:spacing w:line="360" w:lineRule="auto"/>
              <w:jc w:val="center"/>
              <w:rPr>
                <w:rFonts w:ascii="宋体" w:hAnsi="宋体" w:eastAsia="宋体" w:cs="仿宋_GB2312"/>
                <w:sz w:val="24"/>
                <w:szCs w:val="24"/>
              </w:rPr>
            </w:pPr>
            <w:r>
              <w:rPr>
                <w:rFonts w:hint="eastAsia" w:ascii="宋体" w:hAnsi="宋体" w:eastAsia="宋体" w:cs="仿宋_GB2312"/>
                <w:sz w:val="24"/>
                <w:szCs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5D3DFE5A">
            <w:pPr>
              <w:spacing w:line="360" w:lineRule="auto"/>
              <w:jc w:val="center"/>
              <w:rPr>
                <w:rFonts w:ascii="宋体" w:hAnsi="宋体" w:eastAsia="宋体" w:cs="仿宋_GB2312"/>
                <w:sz w:val="24"/>
                <w:szCs w:val="24"/>
              </w:rPr>
            </w:pPr>
            <w:r>
              <w:rPr>
                <w:rFonts w:hint="eastAsia" w:ascii="宋体" w:hAnsi="宋体" w:eastAsia="宋体" w:cs="仿宋_GB2312"/>
                <w:sz w:val="24"/>
                <w:szCs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379EE5CC">
            <w:pPr>
              <w:spacing w:line="360" w:lineRule="auto"/>
              <w:jc w:val="center"/>
              <w:rPr>
                <w:rFonts w:ascii="宋体" w:hAnsi="宋体" w:eastAsia="宋体" w:cs="仿宋_GB2312"/>
                <w:sz w:val="24"/>
                <w:szCs w:val="24"/>
              </w:rPr>
            </w:pPr>
            <w:r>
              <w:rPr>
                <w:rFonts w:hint="eastAsia" w:ascii="宋体" w:hAnsi="宋体" w:eastAsia="宋体" w:cs="仿宋_GB2312"/>
                <w:sz w:val="24"/>
                <w:szCs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41599DB0">
            <w:pPr>
              <w:spacing w:line="360" w:lineRule="auto"/>
              <w:jc w:val="center"/>
              <w:rPr>
                <w:rFonts w:ascii="宋体" w:hAnsi="宋体" w:eastAsia="宋体" w:cs="仿宋_GB2312"/>
                <w:sz w:val="24"/>
                <w:szCs w:val="24"/>
              </w:rPr>
            </w:pPr>
            <w:r>
              <w:rPr>
                <w:rFonts w:ascii="宋体" w:hAnsi="宋体" w:eastAsia="宋体" w:cs="仿宋_GB2312"/>
                <w:sz w:val="24"/>
                <w:szCs w:val="24"/>
              </w:rPr>
              <w:t>备注</w:t>
            </w:r>
          </w:p>
        </w:tc>
      </w:tr>
      <w:tr w14:paraId="12319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209D8EE6">
            <w:pPr>
              <w:spacing w:line="360" w:lineRule="auto"/>
              <w:jc w:val="center"/>
              <w:rPr>
                <w:rFonts w:ascii="宋体" w:hAnsi="宋体" w:eastAsia="宋体" w:cs="仿宋_GB2312"/>
                <w:sz w:val="24"/>
                <w:szCs w:val="24"/>
              </w:rPr>
            </w:pPr>
            <w:r>
              <w:rPr>
                <w:rFonts w:ascii="宋体" w:hAnsi="宋体" w:eastAsia="宋体" w:cs="仿宋_GB2312"/>
                <w:sz w:val="24"/>
                <w:szCs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CF2B9DB">
            <w:pPr>
              <w:spacing w:line="360" w:lineRule="auto"/>
              <w:jc w:val="center"/>
              <w:rPr>
                <w:rFonts w:ascii="宋体" w:hAnsi="宋体" w:eastAsia="宋体" w:cs="仿宋_GB2312"/>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0FEC448C">
            <w:pPr>
              <w:spacing w:line="360" w:lineRule="auto"/>
              <w:rPr>
                <w:rFonts w:ascii="宋体" w:hAnsi="宋体" w:eastAsia="宋体" w:cs="仿宋_GB231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7C9787D9">
            <w:pPr>
              <w:spacing w:line="360" w:lineRule="auto"/>
              <w:rPr>
                <w:rFonts w:ascii="宋体" w:hAnsi="宋体" w:eastAsia="宋体" w:cs="仿宋_GB2312"/>
                <w:sz w:val="24"/>
                <w:szCs w:val="24"/>
              </w:rPr>
            </w:pPr>
          </w:p>
        </w:tc>
        <w:tc>
          <w:tcPr>
            <w:tcW w:w="1673" w:type="dxa"/>
            <w:tcBorders>
              <w:top w:val="single" w:color="auto" w:sz="4" w:space="0"/>
              <w:left w:val="single" w:color="auto" w:sz="4" w:space="0"/>
              <w:bottom w:val="single" w:color="auto" w:sz="4" w:space="0"/>
              <w:right w:val="single" w:color="auto" w:sz="4" w:space="0"/>
            </w:tcBorders>
          </w:tcPr>
          <w:p w14:paraId="7855209A">
            <w:pPr>
              <w:spacing w:line="360" w:lineRule="auto"/>
              <w:rPr>
                <w:rFonts w:ascii="宋体" w:hAnsi="宋体" w:eastAsia="宋体" w:cs="仿宋_GB2312"/>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66830575">
            <w:pPr>
              <w:spacing w:line="360" w:lineRule="auto"/>
              <w:rPr>
                <w:rFonts w:ascii="宋体" w:hAnsi="宋体" w:eastAsia="宋体" w:cs="仿宋_GB2312"/>
                <w:sz w:val="24"/>
                <w:szCs w:val="24"/>
              </w:rPr>
            </w:pPr>
          </w:p>
        </w:tc>
      </w:tr>
      <w:tr w14:paraId="1AF8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7562DB84">
            <w:pPr>
              <w:spacing w:line="360" w:lineRule="auto"/>
              <w:jc w:val="center"/>
              <w:rPr>
                <w:rFonts w:ascii="宋体" w:hAnsi="宋体" w:eastAsia="宋体" w:cs="仿宋_GB2312"/>
                <w:sz w:val="24"/>
                <w:szCs w:val="24"/>
              </w:rPr>
            </w:pPr>
            <w:r>
              <w:rPr>
                <w:rFonts w:hint="eastAsia" w:ascii="宋体" w:hAnsi="宋体" w:eastAsia="宋体" w:cs="仿宋_GB2312"/>
                <w:sz w:val="24"/>
                <w:szCs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47773C76">
            <w:pPr>
              <w:spacing w:line="360" w:lineRule="auto"/>
              <w:jc w:val="center"/>
              <w:rPr>
                <w:rFonts w:ascii="宋体" w:hAnsi="宋体" w:eastAsia="宋体" w:cs="仿宋_GB2312"/>
                <w:sz w:val="24"/>
                <w:szCs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4EA19E89">
            <w:pPr>
              <w:spacing w:line="360" w:lineRule="auto"/>
              <w:rPr>
                <w:rFonts w:ascii="宋体" w:hAnsi="宋体" w:eastAsia="宋体" w:cs="仿宋_GB231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2B63772F">
            <w:pPr>
              <w:spacing w:line="360" w:lineRule="auto"/>
              <w:rPr>
                <w:rFonts w:ascii="宋体" w:hAnsi="宋体" w:eastAsia="宋体" w:cs="仿宋_GB2312"/>
                <w:sz w:val="24"/>
                <w:szCs w:val="24"/>
              </w:rPr>
            </w:pPr>
          </w:p>
        </w:tc>
        <w:tc>
          <w:tcPr>
            <w:tcW w:w="1673" w:type="dxa"/>
            <w:tcBorders>
              <w:top w:val="single" w:color="auto" w:sz="4" w:space="0"/>
              <w:left w:val="single" w:color="auto" w:sz="4" w:space="0"/>
              <w:bottom w:val="single" w:color="auto" w:sz="4" w:space="0"/>
              <w:right w:val="single" w:color="auto" w:sz="4" w:space="0"/>
            </w:tcBorders>
          </w:tcPr>
          <w:p w14:paraId="543D4B2B">
            <w:pPr>
              <w:spacing w:line="360" w:lineRule="auto"/>
              <w:rPr>
                <w:rFonts w:ascii="宋体" w:hAnsi="宋体" w:eastAsia="宋体" w:cs="仿宋_GB2312"/>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70A2090D">
            <w:pPr>
              <w:spacing w:line="360" w:lineRule="auto"/>
              <w:rPr>
                <w:rFonts w:ascii="宋体" w:hAnsi="宋体" w:eastAsia="宋体" w:cs="仿宋_GB2312"/>
                <w:sz w:val="24"/>
                <w:szCs w:val="24"/>
              </w:rPr>
            </w:pPr>
          </w:p>
        </w:tc>
      </w:tr>
      <w:tr w14:paraId="2B8C2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right"/>
        </w:trPr>
        <w:tc>
          <w:tcPr>
            <w:tcW w:w="1012" w:type="dxa"/>
            <w:tcBorders>
              <w:top w:val="single" w:color="auto" w:sz="4" w:space="0"/>
              <w:left w:val="single" w:color="auto" w:sz="4" w:space="0"/>
              <w:bottom w:val="single" w:color="auto" w:sz="4" w:space="0"/>
              <w:right w:val="single" w:color="auto" w:sz="4" w:space="0"/>
            </w:tcBorders>
            <w:vAlign w:val="center"/>
          </w:tcPr>
          <w:p w14:paraId="1BE1536F">
            <w:pPr>
              <w:spacing w:line="360" w:lineRule="auto"/>
              <w:jc w:val="center"/>
              <w:rPr>
                <w:rFonts w:ascii="宋体" w:hAnsi="宋体" w:eastAsia="宋体" w:cs="仿宋_GB2312"/>
                <w:sz w:val="24"/>
                <w:szCs w:val="24"/>
              </w:rPr>
            </w:pPr>
            <w:r>
              <w:rPr>
                <w:rFonts w:hint="eastAsia" w:ascii="宋体" w:hAnsi="宋体" w:eastAsia="宋体" w:cs="Times New Roman"/>
                <w:b/>
                <w:sz w:val="24"/>
                <w:szCs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5A3AB105">
            <w:pPr>
              <w:spacing w:line="360" w:lineRule="auto"/>
              <w:jc w:val="center"/>
              <w:rPr>
                <w:rFonts w:ascii="宋体" w:hAnsi="宋体" w:eastAsia="宋体" w:cs="仿宋_GB2312"/>
                <w:sz w:val="24"/>
                <w:szCs w:val="24"/>
              </w:rPr>
            </w:pPr>
            <w:r>
              <w:rPr>
                <w:rFonts w:hint="eastAsia" w:ascii="宋体" w:hAnsi="宋体" w:eastAsia="宋体" w:cs="Times New Roman"/>
                <w:b/>
                <w:sz w:val="24"/>
                <w:szCs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1B95EDE8">
            <w:pPr>
              <w:spacing w:line="360" w:lineRule="auto"/>
              <w:rPr>
                <w:rFonts w:ascii="宋体" w:hAnsi="宋体" w:eastAsia="宋体" w:cs="仿宋_GB2312"/>
                <w:sz w:val="24"/>
                <w:szCs w:val="24"/>
              </w:rPr>
            </w:pPr>
          </w:p>
        </w:tc>
        <w:tc>
          <w:tcPr>
            <w:tcW w:w="1418" w:type="dxa"/>
            <w:tcBorders>
              <w:top w:val="single" w:color="auto" w:sz="4" w:space="0"/>
              <w:left w:val="single" w:color="auto" w:sz="4" w:space="0"/>
              <w:bottom w:val="single" w:color="auto" w:sz="4" w:space="0"/>
              <w:right w:val="single" w:color="auto" w:sz="4" w:space="0"/>
            </w:tcBorders>
          </w:tcPr>
          <w:p w14:paraId="5DF360F6">
            <w:pPr>
              <w:spacing w:line="360" w:lineRule="auto"/>
              <w:rPr>
                <w:rFonts w:ascii="宋体" w:hAnsi="宋体" w:eastAsia="宋体" w:cs="仿宋_GB2312"/>
                <w:sz w:val="24"/>
                <w:szCs w:val="24"/>
              </w:rPr>
            </w:pPr>
          </w:p>
        </w:tc>
        <w:tc>
          <w:tcPr>
            <w:tcW w:w="1673" w:type="dxa"/>
            <w:tcBorders>
              <w:top w:val="single" w:color="auto" w:sz="4" w:space="0"/>
              <w:left w:val="single" w:color="auto" w:sz="4" w:space="0"/>
              <w:bottom w:val="single" w:color="auto" w:sz="4" w:space="0"/>
              <w:right w:val="single" w:color="auto" w:sz="4" w:space="0"/>
            </w:tcBorders>
          </w:tcPr>
          <w:p w14:paraId="66435A04">
            <w:pPr>
              <w:spacing w:line="360" w:lineRule="auto"/>
              <w:rPr>
                <w:rFonts w:ascii="宋体" w:hAnsi="宋体" w:eastAsia="宋体" w:cs="仿宋_GB2312"/>
                <w:sz w:val="24"/>
                <w:szCs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55CE4741">
            <w:pPr>
              <w:spacing w:line="360" w:lineRule="auto"/>
              <w:rPr>
                <w:rFonts w:ascii="宋体" w:hAnsi="宋体" w:eastAsia="宋体" w:cs="仿宋_GB2312"/>
                <w:sz w:val="24"/>
                <w:szCs w:val="24"/>
              </w:rPr>
            </w:pPr>
          </w:p>
        </w:tc>
      </w:tr>
      <w:tr w14:paraId="42ED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250CD47F">
            <w:pPr>
              <w:snapToGrid w:val="0"/>
              <w:spacing w:before="50" w:after="50" w:line="360" w:lineRule="auto"/>
              <w:rPr>
                <w:rFonts w:ascii="宋体" w:hAnsi="宋体" w:eastAsia="宋体" w:cs="仿宋_GB2312"/>
                <w:sz w:val="24"/>
                <w:szCs w:val="24"/>
              </w:rPr>
            </w:pPr>
            <w:r>
              <w:rPr>
                <w:rFonts w:hint="eastAsia" w:ascii="宋体" w:hAnsi="宋体" w:eastAsia="宋体" w:cs="仿宋_GB2312"/>
                <w:sz w:val="24"/>
                <w:szCs w:val="24"/>
              </w:rPr>
              <w:t>合计金额大写：人民币</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r>
              <w:rPr>
                <w:rFonts w:hint="eastAsia" w:ascii="宋体" w:hAnsi="宋体" w:eastAsia="宋体" w:cs="仿宋_GB2312"/>
                <w:sz w:val="24"/>
                <w:szCs w:val="24"/>
                <w:u w:val="single"/>
              </w:rPr>
              <w:t xml:space="preserve">           </w:t>
            </w:r>
            <w:r>
              <w:rPr>
                <w:rFonts w:hint="eastAsia" w:ascii="宋体" w:hAnsi="宋体" w:eastAsia="宋体" w:cs="仿宋_GB2312"/>
                <w:sz w:val="24"/>
                <w:szCs w:val="24"/>
              </w:rPr>
              <w:t>）</w:t>
            </w:r>
          </w:p>
        </w:tc>
      </w:tr>
      <w:tr w14:paraId="478E2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right"/>
        </w:trPr>
        <w:tc>
          <w:tcPr>
            <w:tcW w:w="9520" w:type="dxa"/>
            <w:gridSpan w:val="6"/>
            <w:tcBorders>
              <w:top w:val="single" w:color="auto" w:sz="4" w:space="0"/>
              <w:left w:val="single" w:color="auto" w:sz="4" w:space="0"/>
              <w:bottom w:val="single" w:color="auto" w:sz="4" w:space="0"/>
              <w:right w:val="single" w:color="auto" w:sz="4" w:space="0"/>
            </w:tcBorders>
            <w:vAlign w:val="center"/>
          </w:tcPr>
          <w:p w14:paraId="63F2672A">
            <w:pPr>
              <w:snapToGrid w:val="0"/>
              <w:spacing w:before="50" w:after="50" w:line="360" w:lineRule="auto"/>
              <w:rPr>
                <w:rFonts w:ascii="宋体" w:hAnsi="宋体" w:eastAsia="宋体" w:cs="仿宋_GB2312"/>
                <w:sz w:val="24"/>
                <w:szCs w:val="24"/>
              </w:rPr>
            </w:pPr>
            <w:r>
              <w:rPr>
                <w:rFonts w:hint="eastAsia" w:ascii="宋体" w:hAnsi="宋体" w:eastAsia="宋体" w:cs="仿宋_GB2312"/>
                <w:sz w:val="24"/>
                <w:szCs w:val="24"/>
              </w:rPr>
              <w:t>交货期：</w:t>
            </w:r>
          </w:p>
        </w:tc>
      </w:tr>
    </w:tbl>
    <w:p w14:paraId="6304984E">
      <w:pPr>
        <w:snapToGrid w:val="0"/>
        <w:spacing w:before="50" w:after="50"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注: </w:t>
      </w:r>
    </w:p>
    <w:p w14:paraId="4EA8A38F">
      <w:pPr>
        <w:snapToGrid w:val="0"/>
        <w:spacing w:before="50" w:after="50"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1.投标人的开标一览表必须加盖投标人公章并由</w:t>
      </w:r>
      <w:r>
        <w:rPr>
          <w:rFonts w:ascii="宋体" w:hAnsi="宋体" w:eastAsia="宋体" w:cs="Times New Roman"/>
          <w:sz w:val="24"/>
          <w:szCs w:val="24"/>
        </w:rPr>
        <w:t>法定代表人或者委托代理人</w:t>
      </w:r>
      <w:r>
        <w:rPr>
          <w:rFonts w:hint="eastAsia" w:ascii="宋体" w:hAnsi="宋体" w:eastAsia="宋体" w:cs="Times New Roman"/>
          <w:sz w:val="24"/>
          <w:szCs w:val="24"/>
        </w:rPr>
        <w:t>签字，</w:t>
      </w:r>
      <w:r>
        <w:rPr>
          <w:rFonts w:hint="eastAsia" w:ascii="宋体" w:hAnsi="宋体" w:eastAsia="宋体" w:cs="Times New Roman"/>
          <w:b/>
          <w:sz w:val="24"/>
          <w:szCs w:val="24"/>
        </w:rPr>
        <w:t>否则其投标作无效标处理</w:t>
      </w:r>
      <w:r>
        <w:rPr>
          <w:rFonts w:hint="eastAsia" w:ascii="宋体" w:hAnsi="宋体" w:eastAsia="宋体" w:cs="Times New Roman"/>
          <w:sz w:val="24"/>
          <w:szCs w:val="24"/>
        </w:rPr>
        <w:t>。</w:t>
      </w:r>
    </w:p>
    <w:p w14:paraId="3EE9AF7F">
      <w:pPr>
        <w:snapToGrid w:val="0"/>
        <w:spacing w:before="50" w:after="50" w:line="360" w:lineRule="auto"/>
        <w:ind w:firstLine="480" w:firstLineChars="200"/>
        <w:jc w:val="left"/>
        <w:rPr>
          <w:rFonts w:ascii="宋体" w:hAnsi="宋体" w:eastAsia="宋体" w:cs="Times New Roman"/>
          <w:b/>
          <w:sz w:val="24"/>
          <w:szCs w:val="24"/>
        </w:rPr>
      </w:pPr>
      <w:r>
        <w:rPr>
          <w:rFonts w:hint="eastAsia" w:ascii="宋体" w:hAnsi="宋体" w:eastAsia="宋体" w:cs="Times New Roman"/>
          <w:bCs/>
          <w:sz w:val="24"/>
          <w:szCs w:val="24"/>
        </w:rPr>
        <w:t>2.</w:t>
      </w:r>
      <w:r>
        <w:rPr>
          <w:rFonts w:hint="eastAsia" w:ascii="宋体" w:hAnsi="宋体" w:eastAsia="宋体" w:cs="Times New Roman"/>
          <w:sz w:val="24"/>
          <w:szCs w:val="24"/>
        </w:rPr>
        <w:t>报价一经涂改，应在涂改处加盖投标人公章或者由法定代表人或者委托代理人签字或者盖章</w:t>
      </w:r>
      <w:r>
        <w:rPr>
          <w:rFonts w:hint="eastAsia" w:ascii="宋体" w:hAnsi="宋体" w:eastAsia="宋体" w:cs="Times New Roman"/>
          <w:b/>
          <w:sz w:val="24"/>
          <w:szCs w:val="24"/>
        </w:rPr>
        <w:t>，否则其投标作无效标处理。</w:t>
      </w:r>
    </w:p>
    <w:p w14:paraId="73B82722">
      <w:pPr>
        <w:snapToGrid w:val="0"/>
        <w:spacing w:before="50" w:after="50"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 投标报价包括项目实施所需的人工费、服务费、购买及制作标书费、税费及其他一切费用。</w:t>
      </w:r>
    </w:p>
    <w:p w14:paraId="3BA9EF6C">
      <w:pPr>
        <w:snapToGrid w:val="0"/>
        <w:spacing w:before="50" w:after="50" w:line="360" w:lineRule="auto"/>
        <w:ind w:left="-2" w:leftChars="-1" w:right="-817" w:rightChars="-389"/>
        <w:rPr>
          <w:rFonts w:ascii="宋体" w:hAnsi="宋体" w:eastAsia="宋体" w:cs="Times New Roman"/>
          <w:sz w:val="24"/>
          <w:szCs w:val="24"/>
        </w:rPr>
      </w:pPr>
    </w:p>
    <w:p w14:paraId="586189DC">
      <w:pPr>
        <w:snapToGrid w:val="0"/>
        <w:spacing w:before="50" w:after="50" w:line="360" w:lineRule="auto"/>
        <w:ind w:left="-2" w:leftChars="-1" w:right="-817" w:rightChars="-389"/>
        <w:rPr>
          <w:rFonts w:ascii="宋体" w:hAnsi="宋体" w:eastAsia="宋体" w:cs="Times New Roman"/>
          <w:sz w:val="24"/>
          <w:szCs w:val="24"/>
        </w:rPr>
      </w:pPr>
      <w:r>
        <w:rPr>
          <w:rFonts w:hint="eastAsia" w:ascii="宋体" w:hAnsi="宋体" w:eastAsia="宋体" w:cs="Times New Roman"/>
          <w:sz w:val="24"/>
          <w:szCs w:val="24"/>
        </w:rPr>
        <w:t xml:space="preserve">法定代表人或者委托代理人（签字）：                    </w:t>
      </w:r>
    </w:p>
    <w:p w14:paraId="3EE8A9D1">
      <w:pPr>
        <w:snapToGrid w:val="0"/>
        <w:spacing w:before="50" w:after="50" w:line="360" w:lineRule="auto"/>
        <w:ind w:left="-3" w:leftChars="-72" w:right="-817" w:rightChars="-389" w:hanging="148" w:hangingChars="62"/>
        <w:rPr>
          <w:rFonts w:ascii="宋体" w:hAnsi="宋体" w:eastAsia="宋体" w:cs="Times New Roman"/>
          <w:sz w:val="24"/>
          <w:szCs w:val="24"/>
        </w:rPr>
      </w:pPr>
      <w:r>
        <w:rPr>
          <w:rFonts w:hint="eastAsia" w:ascii="宋体" w:hAnsi="宋体" w:eastAsia="宋体" w:cs="Times New Roman"/>
          <w:sz w:val="24"/>
          <w:szCs w:val="24"/>
        </w:rPr>
        <w:t xml:space="preserve">  </w:t>
      </w:r>
    </w:p>
    <w:p w14:paraId="2D63EF8A">
      <w:pPr>
        <w:snapToGrid w:val="0"/>
        <w:spacing w:before="50" w:after="50" w:line="360" w:lineRule="auto"/>
        <w:ind w:left="-3" w:leftChars="-15" w:right="-817" w:rightChars="-389" w:hanging="28" w:hangingChars="12"/>
        <w:rPr>
          <w:rFonts w:ascii="宋体" w:hAnsi="宋体" w:eastAsia="宋体" w:cs="Times New Roman"/>
          <w:szCs w:val="21"/>
        </w:rPr>
      </w:pPr>
      <w:r>
        <w:rPr>
          <w:rFonts w:hint="eastAsia" w:ascii="宋体" w:hAnsi="宋体" w:eastAsia="宋体" w:cs="Times New Roman"/>
          <w:sz w:val="24"/>
          <w:szCs w:val="24"/>
        </w:rPr>
        <w:t>投标人（盖公章）：                                 日期：    年   月   日</w:t>
      </w:r>
    </w:p>
    <w:p w14:paraId="13EC7ECC">
      <w:pPr>
        <w:rPr>
          <w:rFonts w:ascii="宋体" w:hAnsi="宋体" w:eastAsia="宋体" w:cs="Times New Roman"/>
          <w:b/>
          <w:bCs/>
          <w:sz w:val="24"/>
          <w:szCs w:val="24"/>
        </w:rPr>
      </w:pPr>
    </w:p>
    <w:p w14:paraId="7365C29A">
      <w:pPr>
        <w:snapToGrid w:val="0"/>
        <w:spacing w:before="120" w:beforeLines="50" w:after="50" w:line="360" w:lineRule="exact"/>
        <w:rPr>
          <w:rFonts w:ascii="宋体" w:hAnsi="宋体" w:eastAsia="宋体" w:cs="Times New Roman"/>
          <w:b/>
          <w:sz w:val="24"/>
          <w:szCs w:val="24"/>
        </w:rPr>
      </w:pPr>
      <w:r>
        <w:rPr>
          <w:rFonts w:ascii="宋体" w:hAnsi="宋体" w:eastAsia="宋体" w:cs="Times New Roman"/>
          <w:b/>
          <w:bCs/>
          <w:sz w:val="24"/>
          <w:szCs w:val="24"/>
        </w:rPr>
        <w:br w:type="page"/>
      </w:r>
      <w:r>
        <w:rPr>
          <w:rFonts w:hint="eastAsia" w:ascii="宋体" w:hAnsi="宋体" w:eastAsia="宋体" w:cs="Times New Roman"/>
          <w:b/>
          <w:bCs/>
          <w:sz w:val="24"/>
          <w:szCs w:val="24"/>
        </w:rPr>
        <w:t>5.</w:t>
      </w:r>
      <w:r>
        <w:rPr>
          <w:rFonts w:hint="eastAsia" w:ascii="宋体" w:hAnsi="宋体" w:eastAsia="宋体" w:cs="Times New Roman"/>
          <w:b/>
          <w:sz w:val="24"/>
          <w:szCs w:val="24"/>
        </w:rPr>
        <w:t>投标报价明细表格式</w:t>
      </w:r>
    </w:p>
    <w:p w14:paraId="58CDD868">
      <w:pPr>
        <w:snapToGrid w:val="0"/>
        <w:spacing w:before="295" w:after="295" w:line="360" w:lineRule="exact"/>
        <w:ind w:firstLine="120" w:firstLineChars="50"/>
        <w:rPr>
          <w:rFonts w:ascii="宋体" w:hAnsi="宋体" w:eastAsia="宋体" w:cs="Courier New"/>
          <w:sz w:val="24"/>
          <w:szCs w:val="24"/>
        </w:rPr>
      </w:pPr>
      <w:r>
        <w:rPr>
          <w:rFonts w:hint="eastAsia" w:ascii="宋体" w:hAnsi="宋体" w:eastAsia="宋体" w:cs="Courier New"/>
          <w:sz w:val="24"/>
          <w:szCs w:val="24"/>
        </w:rPr>
        <w:t xml:space="preserve">                                                金额单位：人民币（元）</w:t>
      </w:r>
    </w:p>
    <w:tbl>
      <w:tblPr>
        <w:tblStyle w:val="37"/>
        <w:tblW w:w="0" w:type="auto"/>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260"/>
        <w:gridCol w:w="1260"/>
        <w:gridCol w:w="1080"/>
        <w:gridCol w:w="1080"/>
        <w:gridCol w:w="1620"/>
        <w:gridCol w:w="900"/>
        <w:gridCol w:w="1620"/>
      </w:tblGrid>
      <w:tr w14:paraId="7FE878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14:paraId="2E773180">
            <w:pPr>
              <w:tabs>
                <w:tab w:val="left" w:pos="1418"/>
              </w:tabs>
              <w:snapToGrid w:val="0"/>
              <w:spacing w:before="50" w:after="50" w:line="360" w:lineRule="exact"/>
              <w:jc w:val="center"/>
              <w:rPr>
                <w:rFonts w:ascii="宋体" w:hAnsi="宋体" w:eastAsia="宋体" w:cs="Times New Roman"/>
                <w:spacing w:val="20"/>
                <w:sz w:val="24"/>
                <w:szCs w:val="24"/>
              </w:rPr>
            </w:pPr>
            <w:r>
              <w:rPr>
                <w:rFonts w:hint="eastAsia" w:ascii="宋体" w:hAnsi="宋体" w:eastAsia="宋体" w:cs="Times New Roman"/>
                <w:sz w:val="24"/>
                <w:szCs w:val="24"/>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78D975E1">
            <w:pPr>
              <w:tabs>
                <w:tab w:val="left" w:pos="1418"/>
              </w:tabs>
              <w:snapToGrid w:val="0"/>
              <w:spacing w:before="50" w:after="50" w:line="360" w:lineRule="exact"/>
              <w:jc w:val="center"/>
              <w:rPr>
                <w:rFonts w:ascii="宋体" w:hAnsi="宋体" w:eastAsia="宋体" w:cs="Times New Roman"/>
                <w:sz w:val="24"/>
                <w:szCs w:val="24"/>
              </w:rPr>
            </w:pPr>
            <w:r>
              <w:rPr>
                <w:rFonts w:hint="eastAsia" w:ascii="宋体" w:hAnsi="宋体" w:eastAsia="宋体" w:cs="Times New Roman"/>
                <w:sz w:val="24"/>
                <w:szCs w:val="24"/>
              </w:rPr>
              <w:t>设备名称</w:t>
            </w:r>
          </w:p>
        </w:tc>
        <w:tc>
          <w:tcPr>
            <w:tcW w:w="1260" w:type="dxa"/>
            <w:tcBorders>
              <w:top w:val="single" w:color="auto" w:sz="4" w:space="0"/>
              <w:left w:val="single" w:color="auto" w:sz="4" w:space="0"/>
              <w:bottom w:val="single" w:color="auto" w:sz="4" w:space="0"/>
              <w:right w:val="single" w:color="auto" w:sz="4" w:space="0"/>
            </w:tcBorders>
            <w:vAlign w:val="center"/>
          </w:tcPr>
          <w:p w14:paraId="3EA9FB6A">
            <w:pPr>
              <w:snapToGrid w:val="0"/>
              <w:spacing w:before="50" w:after="50" w:line="360" w:lineRule="exact"/>
              <w:jc w:val="center"/>
              <w:rPr>
                <w:rFonts w:ascii="宋体" w:hAnsi="宋体" w:eastAsia="宋体" w:cs="Times New Roman"/>
                <w:b/>
                <w:sz w:val="24"/>
                <w:szCs w:val="24"/>
              </w:rPr>
            </w:pPr>
            <w:r>
              <w:rPr>
                <w:rFonts w:hint="eastAsia" w:ascii="宋体" w:hAnsi="宋体" w:eastAsia="宋体" w:cs="Times New Roman"/>
                <w:b/>
                <w:sz w:val="24"/>
                <w:szCs w:val="24"/>
              </w:rPr>
              <w:t>品牌</w:t>
            </w:r>
          </w:p>
        </w:tc>
        <w:tc>
          <w:tcPr>
            <w:tcW w:w="1080" w:type="dxa"/>
            <w:tcBorders>
              <w:top w:val="single" w:color="auto" w:sz="4" w:space="0"/>
              <w:left w:val="single" w:color="auto" w:sz="4" w:space="0"/>
              <w:bottom w:val="single" w:color="auto" w:sz="4" w:space="0"/>
              <w:right w:val="single" w:color="auto" w:sz="4" w:space="0"/>
            </w:tcBorders>
            <w:vAlign w:val="center"/>
          </w:tcPr>
          <w:p w14:paraId="1CDE7A6E">
            <w:pPr>
              <w:tabs>
                <w:tab w:val="left" w:pos="1418"/>
              </w:tabs>
              <w:snapToGrid w:val="0"/>
              <w:spacing w:before="50" w:after="50" w:line="260" w:lineRule="exact"/>
              <w:jc w:val="center"/>
              <w:rPr>
                <w:rFonts w:ascii="宋体" w:hAnsi="宋体" w:eastAsia="宋体" w:cs="Times New Roman"/>
                <w:sz w:val="24"/>
                <w:szCs w:val="24"/>
              </w:rPr>
            </w:pPr>
            <w:r>
              <w:rPr>
                <w:rFonts w:hint="eastAsia" w:ascii="宋体" w:hAnsi="宋体" w:eastAsia="宋体" w:cs="Times New Roman"/>
                <w:sz w:val="24"/>
                <w:szCs w:val="24"/>
              </w:rPr>
              <w:t>规格型号</w:t>
            </w:r>
          </w:p>
        </w:tc>
        <w:tc>
          <w:tcPr>
            <w:tcW w:w="1080" w:type="dxa"/>
            <w:tcBorders>
              <w:top w:val="single" w:color="auto" w:sz="4" w:space="0"/>
              <w:left w:val="single" w:color="auto" w:sz="4" w:space="0"/>
              <w:bottom w:val="single" w:color="auto" w:sz="4" w:space="0"/>
              <w:right w:val="single" w:color="auto" w:sz="4" w:space="0"/>
            </w:tcBorders>
            <w:vAlign w:val="center"/>
          </w:tcPr>
          <w:p w14:paraId="13AF099E">
            <w:pPr>
              <w:tabs>
                <w:tab w:val="left" w:pos="1418"/>
              </w:tabs>
              <w:snapToGrid w:val="0"/>
              <w:spacing w:before="50" w:after="50" w:line="260" w:lineRule="exact"/>
              <w:jc w:val="center"/>
              <w:rPr>
                <w:rFonts w:ascii="宋体" w:hAnsi="宋体" w:eastAsia="宋体" w:cs="Times New Roman"/>
                <w:sz w:val="24"/>
                <w:szCs w:val="24"/>
              </w:rPr>
            </w:pPr>
            <w:r>
              <w:rPr>
                <w:rFonts w:hint="eastAsia" w:ascii="宋体" w:hAnsi="宋体" w:eastAsia="宋体" w:cs="Times New Roman"/>
                <w:sz w:val="24"/>
                <w:szCs w:val="24"/>
              </w:rPr>
              <w:t>生产厂家</w:t>
            </w:r>
          </w:p>
        </w:tc>
        <w:tc>
          <w:tcPr>
            <w:tcW w:w="1620" w:type="dxa"/>
            <w:tcBorders>
              <w:top w:val="single" w:color="auto" w:sz="4" w:space="0"/>
              <w:left w:val="single" w:color="auto" w:sz="4" w:space="0"/>
              <w:bottom w:val="single" w:color="auto" w:sz="4" w:space="0"/>
              <w:right w:val="single" w:color="auto" w:sz="4" w:space="0"/>
            </w:tcBorders>
            <w:vAlign w:val="center"/>
          </w:tcPr>
          <w:p w14:paraId="3496B57A">
            <w:pPr>
              <w:tabs>
                <w:tab w:val="left" w:pos="1418"/>
              </w:tabs>
              <w:snapToGrid w:val="0"/>
              <w:spacing w:before="50" w:after="50" w:line="360" w:lineRule="exact"/>
              <w:jc w:val="center"/>
              <w:rPr>
                <w:rFonts w:ascii="宋体" w:hAnsi="宋体" w:eastAsia="宋体" w:cs="Times New Roman"/>
                <w:sz w:val="24"/>
                <w:szCs w:val="24"/>
              </w:rPr>
            </w:pPr>
            <w:r>
              <w:rPr>
                <w:rFonts w:hint="eastAsia" w:ascii="宋体" w:hAnsi="宋体" w:eastAsia="宋体" w:cs="Times New Roman"/>
                <w:sz w:val="24"/>
                <w:szCs w:val="24"/>
              </w:rPr>
              <w:t>单位及数量</w:t>
            </w:r>
          </w:p>
        </w:tc>
        <w:tc>
          <w:tcPr>
            <w:tcW w:w="900" w:type="dxa"/>
            <w:tcBorders>
              <w:top w:val="single" w:color="auto" w:sz="4" w:space="0"/>
              <w:left w:val="single" w:color="auto" w:sz="4" w:space="0"/>
              <w:bottom w:val="single" w:color="auto" w:sz="4" w:space="0"/>
              <w:right w:val="single" w:color="auto" w:sz="4" w:space="0"/>
            </w:tcBorders>
            <w:vAlign w:val="center"/>
          </w:tcPr>
          <w:p w14:paraId="5D0565DE">
            <w:pPr>
              <w:tabs>
                <w:tab w:val="left" w:pos="1418"/>
              </w:tabs>
              <w:snapToGrid w:val="0"/>
              <w:spacing w:before="50" w:after="50" w:line="360" w:lineRule="exact"/>
              <w:jc w:val="center"/>
              <w:rPr>
                <w:rFonts w:ascii="宋体" w:hAnsi="宋体" w:eastAsia="宋体" w:cs="Times New Roman"/>
                <w:sz w:val="24"/>
                <w:szCs w:val="24"/>
              </w:rPr>
            </w:pPr>
            <w:r>
              <w:rPr>
                <w:rFonts w:hint="eastAsia" w:ascii="宋体" w:hAnsi="宋体" w:eastAsia="宋体" w:cs="Times New Roman"/>
                <w:sz w:val="24"/>
                <w:szCs w:val="24"/>
              </w:rPr>
              <w:t>单价</w:t>
            </w:r>
          </w:p>
        </w:tc>
        <w:tc>
          <w:tcPr>
            <w:tcW w:w="1620" w:type="dxa"/>
            <w:tcBorders>
              <w:top w:val="single" w:color="auto" w:sz="4" w:space="0"/>
              <w:left w:val="single" w:color="auto" w:sz="4" w:space="0"/>
              <w:bottom w:val="single" w:color="auto" w:sz="4" w:space="0"/>
              <w:right w:val="single" w:color="auto" w:sz="4" w:space="0"/>
            </w:tcBorders>
            <w:vAlign w:val="center"/>
          </w:tcPr>
          <w:p w14:paraId="0754D219">
            <w:pPr>
              <w:tabs>
                <w:tab w:val="left" w:pos="1418"/>
              </w:tabs>
              <w:snapToGrid w:val="0"/>
              <w:spacing w:before="50" w:after="50" w:line="360" w:lineRule="exact"/>
              <w:jc w:val="center"/>
              <w:rPr>
                <w:rFonts w:ascii="宋体" w:hAnsi="宋体" w:eastAsia="宋体" w:cs="Times New Roman"/>
                <w:sz w:val="24"/>
                <w:szCs w:val="24"/>
              </w:rPr>
            </w:pPr>
            <w:r>
              <w:rPr>
                <w:rFonts w:hint="eastAsia" w:ascii="宋体" w:hAnsi="宋体" w:eastAsia="宋体" w:cs="Times New Roman"/>
                <w:sz w:val="24"/>
                <w:szCs w:val="24"/>
              </w:rPr>
              <w:t>金额</w:t>
            </w:r>
          </w:p>
        </w:tc>
      </w:tr>
      <w:tr w14:paraId="5354B8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0" w:type="dxa"/>
            <w:tcBorders>
              <w:top w:val="single" w:color="auto" w:sz="4" w:space="0"/>
              <w:left w:val="single" w:color="auto" w:sz="4" w:space="0"/>
              <w:bottom w:val="single" w:color="auto" w:sz="4" w:space="0"/>
              <w:right w:val="single" w:color="auto" w:sz="4" w:space="0"/>
            </w:tcBorders>
          </w:tcPr>
          <w:p w14:paraId="4FC2FC0A">
            <w:pPr>
              <w:tabs>
                <w:tab w:val="left" w:pos="1418"/>
              </w:tabs>
              <w:snapToGrid w:val="0"/>
              <w:spacing w:before="50" w:after="50" w:line="360" w:lineRule="exact"/>
              <w:jc w:val="center"/>
              <w:rPr>
                <w:rFonts w:ascii="宋体" w:hAnsi="宋体" w:eastAsia="宋体" w:cs="Times New Roman"/>
                <w:spacing w:val="2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4F8B207">
            <w:pPr>
              <w:snapToGrid w:val="0"/>
              <w:spacing w:before="50" w:after="50" w:line="360" w:lineRule="exact"/>
              <w:jc w:val="left"/>
              <w:rPr>
                <w:rFonts w:ascii="宋体" w:hAnsi="宋体" w:eastAsia="宋体" w:cs="Times New Roman"/>
                <w:bCs/>
                <w:sz w:val="24"/>
                <w:szCs w:val="24"/>
              </w:rPr>
            </w:pPr>
          </w:p>
        </w:tc>
        <w:tc>
          <w:tcPr>
            <w:tcW w:w="1260" w:type="dxa"/>
            <w:tcBorders>
              <w:top w:val="single" w:color="auto" w:sz="4" w:space="0"/>
              <w:left w:val="single" w:color="auto" w:sz="4" w:space="0"/>
              <w:bottom w:val="single" w:color="auto" w:sz="4" w:space="0"/>
              <w:right w:val="single" w:color="auto" w:sz="4" w:space="0"/>
            </w:tcBorders>
          </w:tcPr>
          <w:p w14:paraId="26FC0F36">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564C1F27">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16B6DD3E">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78A0DA4B">
            <w:pPr>
              <w:tabs>
                <w:tab w:val="left" w:pos="1418"/>
              </w:tabs>
              <w:snapToGrid w:val="0"/>
              <w:spacing w:before="50" w:after="50" w:line="360" w:lineRule="exact"/>
              <w:jc w:val="center"/>
              <w:rPr>
                <w:rFonts w:ascii="宋体" w:hAnsi="宋体" w:eastAsia="宋体" w:cs="Times New Roman"/>
                <w:spacing w:val="20"/>
                <w:sz w:val="24"/>
                <w:szCs w:val="24"/>
              </w:rPr>
            </w:pPr>
          </w:p>
        </w:tc>
        <w:tc>
          <w:tcPr>
            <w:tcW w:w="900" w:type="dxa"/>
            <w:tcBorders>
              <w:top w:val="single" w:color="auto" w:sz="4" w:space="0"/>
              <w:left w:val="single" w:color="auto" w:sz="4" w:space="0"/>
              <w:bottom w:val="single" w:color="auto" w:sz="4" w:space="0"/>
              <w:right w:val="single" w:color="auto" w:sz="4" w:space="0"/>
            </w:tcBorders>
          </w:tcPr>
          <w:p w14:paraId="46C52230">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4985BF93">
            <w:pPr>
              <w:tabs>
                <w:tab w:val="left" w:pos="1418"/>
              </w:tabs>
              <w:snapToGrid w:val="0"/>
              <w:spacing w:before="50" w:after="50" w:line="360" w:lineRule="exact"/>
              <w:jc w:val="center"/>
              <w:rPr>
                <w:rFonts w:ascii="宋体" w:hAnsi="宋体" w:eastAsia="宋体" w:cs="Times New Roman"/>
                <w:spacing w:val="20"/>
                <w:sz w:val="24"/>
                <w:szCs w:val="24"/>
              </w:rPr>
            </w:pPr>
          </w:p>
        </w:tc>
      </w:tr>
      <w:tr w14:paraId="08C31C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900" w:type="dxa"/>
            <w:tcBorders>
              <w:top w:val="single" w:color="auto" w:sz="4" w:space="0"/>
              <w:left w:val="single" w:color="auto" w:sz="4" w:space="0"/>
              <w:bottom w:val="single" w:color="auto" w:sz="4" w:space="0"/>
              <w:right w:val="single" w:color="auto" w:sz="4" w:space="0"/>
            </w:tcBorders>
          </w:tcPr>
          <w:p w14:paraId="7C174ADD">
            <w:pPr>
              <w:tabs>
                <w:tab w:val="left" w:pos="1418"/>
              </w:tabs>
              <w:snapToGrid w:val="0"/>
              <w:spacing w:before="50" w:after="50" w:line="360" w:lineRule="exact"/>
              <w:jc w:val="center"/>
              <w:rPr>
                <w:rFonts w:ascii="宋体" w:hAnsi="宋体" w:eastAsia="宋体" w:cs="Times New Roman"/>
                <w:spacing w:val="20"/>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434EEA88">
            <w:pPr>
              <w:snapToGrid w:val="0"/>
              <w:spacing w:before="50" w:after="50" w:line="360" w:lineRule="exact"/>
              <w:jc w:val="left"/>
              <w:rPr>
                <w:rFonts w:ascii="宋体" w:hAnsi="宋体" w:eastAsia="宋体" w:cs="Times New Roman"/>
                <w:bCs/>
                <w:sz w:val="24"/>
                <w:szCs w:val="24"/>
              </w:rPr>
            </w:pPr>
          </w:p>
        </w:tc>
        <w:tc>
          <w:tcPr>
            <w:tcW w:w="1260" w:type="dxa"/>
            <w:tcBorders>
              <w:top w:val="single" w:color="auto" w:sz="4" w:space="0"/>
              <w:left w:val="single" w:color="auto" w:sz="4" w:space="0"/>
              <w:bottom w:val="single" w:color="auto" w:sz="4" w:space="0"/>
              <w:right w:val="single" w:color="auto" w:sz="4" w:space="0"/>
            </w:tcBorders>
          </w:tcPr>
          <w:p w14:paraId="26B68E6B">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31F4F3F">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33B2D9D6">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186FF04F">
            <w:pPr>
              <w:tabs>
                <w:tab w:val="left" w:pos="1418"/>
              </w:tabs>
              <w:snapToGrid w:val="0"/>
              <w:spacing w:before="50" w:after="50" w:line="360" w:lineRule="exact"/>
              <w:jc w:val="center"/>
              <w:rPr>
                <w:rFonts w:ascii="宋体" w:hAnsi="宋体" w:eastAsia="宋体" w:cs="Times New Roman"/>
                <w:spacing w:val="20"/>
                <w:sz w:val="24"/>
                <w:szCs w:val="24"/>
              </w:rPr>
            </w:pPr>
          </w:p>
        </w:tc>
        <w:tc>
          <w:tcPr>
            <w:tcW w:w="900" w:type="dxa"/>
            <w:tcBorders>
              <w:top w:val="single" w:color="auto" w:sz="4" w:space="0"/>
              <w:left w:val="single" w:color="auto" w:sz="4" w:space="0"/>
              <w:bottom w:val="single" w:color="auto" w:sz="4" w:space="0"/>
              <w:right w:val="single" w:color="auto" w:sz="4" w:space="0"/>
            </w:tcBorders>
          </w:tcPr>
          <w:p w14:paraId="39794B7B">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79D1E49C">
            <w:pPr>
              <w:tabs>
                <w:tab w:val="left" w:pos="1418"/>
              </w:tabs>
              <w:snapToGrid w:val="0"/>
              <w:spacing w:before="50" w:after="50" w:line="360" w:lineRule="exact"/>
              <w:jc w:val="center"/>
              <w:rPr>
                <w:rFonts w:ascii="宋体" w:hAnsi="宋体" w:eastAsia="宋体" w:cs="Times New Roman"/>
                <w:spacing w:val="20"/>
                <w:sz w:val="24"/>
                <w:szCs w:val="24"/>
              </w:rPr>
            </w:pPr>
          </w:p>
        </w:tc>
      </w:tr>
      <w:tr w14:paraId="062BCD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900" w:type="dxa"/>
            <w:tcBorders>
              <w:top w:val="single" w:color="auto" w:sz="4" w:space="0"/>
              <w:left w:val="single" w:color="auto" w:sz="4" w:space="0"/>
              <w:bottom w:val="single" w:color="auto" w:sz="4" w:space="0"/>
              <w:right w:val="single" w:color="auto" w:sz="4" w:space="0"/>
            </w:tcBorders>
          </w:tcPr>
          <w:p w14:paraId="19AC3911">
            <w:pPr>
              <w:tabs>
                <w:tab w:val="left" w:pos="1418"/>
              </w:tabs>
              <w:snapToGrid w:val="0"/>
              <w:spacing w:before="50" w:after="50" w:line="360" w:lineRule="exact"/>
              <w:jc w:val="center"/>
              <w:rPr>
                <w:rFonts w:ascii="宋体" w:hAnsi="宋体" w:eastAsia="宋体" w:cs="Times New Roman"/>
                <w:spacing w:val="20"/>
                <w:sz w:val="24"/>
                <w:szCs w:val="24"/>
              </w:rPr>
            </w:pPr>
          </w:p>
        </w:tc>
        <w:tc>
          <w:tcPr>
            <w:tcW w:w="1260" w:type="dxa"/>
            <w:tcBorders>
              <w:top w:val="single" w:color="auto" w:sz="4" w:space="0"/>
              <w:left w:val="single" w:color="auto" w:sz="4" w:space="0"/>
              <w:bottom w:val="single" w:color="auto" w:sz="4" w:space="0"/>
              <w:right w:val="single" w:color="auto" w:sz="4" w:space="0"/>
            </w:tcBorders>
          </w:tcPr>
          <w:p w14:paraId="5A6B2974">
            <w:pPr>
              <w:tabs>
                <w:tab w:val="left" w:pos="1418"/>
              </w:tabs>
              <w:snapToGrid w:val="0"/>
              <w:spacing w:before="50" w:after="50" w:line="360" w:lineRule="exact"/>
              <w:jc w:val="center"/>
              <w:rPr>
                <w:rFonts w:ascii="宋体" w:hAnsi="宋体" w:eastAsia="宋体" w:cs="Times New Roman"/>
                <w:spacing w:val="20"/>
                <w:sz w:val="24"/>
                <w:szCs w:val="24"/>
              </w:rPr>
            </w:pPr>
            <w:r>
              <w:rPr>
                <w:rFonts w:hint="eastAsia" w:ascii="宋体" w:hAnsi="宋体" w:eastAsia="宋体" w:cs="Times New Roman"/>
                <w:spacing w:val="20"/>
                <w:sz w:val="24"/>
                <w:szCs w:val="24"/>
              </w:rPr>
              <w:t>……</w:t>
            </w:r>
          </w:p>
        </w:tc>
        <w:tc>
          <w:tcPr>
            <w:tcW w:w="1260" w:type="dxa"/>
            <w:tcBorders>
              <w:top w:val="single" w:color="auto" w:sz="4" w:space="0"/>
              <w:left w:val="single" w:color="auto" w:sz="4" w:space="0"/>
              <w:bottom w:val="single" w:color="auto" w:sz="4" w:space="0"/>
              <w:right w:val="single" w:color="auto" w:sz="4" w:space="0"/>
            </w:tcBorders>
          </w:tcPr>
          <w:p w14:paraId="6BE4048C">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3A79C58F">
            <w:pPr>
              <w:tabs>
                <w:tab w:val="left" w:pos="1418"/>
              </w:tabs>
              <w:snapToGrid w:val="0"/>
              <w:spacing w:before="50" w:after="50" w:line="360" w:lineRule="exact"/>
              <w:jc w:val="center"/>
              <w:rPr>
                <w:rFonts w:ascii="宋体" w:hAnsi="宋体" w:eastAsia="宋体" w:cs="Times New Roman"/>
                <w:spacing w:val="20"/>
                <w:sz w:val="24"/>
                <w:szCs w:val="24"/>
              </w:rPr>
            </w:pPr>
          </w:p>
        </w:tc>
        <w:tc>
          <w:tcPr>
            <w:tcW w:w="1080" w:type="dxa"/>
            <w:tcBorders>
              <w:top w:val="single" w:color="auto" w:sz="4" w:space="0"/>
              <w:left w:val="single" w:color="auto" w:sz="4" w:space="0"/>
              <w:bottom w:val="single" w:color="auto" w:sz="4" w:space="0"/>
              <w:right w:val="single" w:color="auto" w:sz="4" w:space="0"/>
            </w:tcBorders>
          </w:tcPr>
          <w:p w14:paraId="6A8A970C">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2BDDBC4E">
            <w:pPr>
              <w:tabs>
                <w:tab w:val="left" w:pos="1418"/>
              </w:tabs>
              <w:snapToGrid w:val="0"/>
              <w:spacing w:before="50" w:after="50" w:line="360" w:lineRule="exact"/>
              <w:jc w:val="center"/>
              <w:rPr>
                <w:rFonts w:ascii="宋体" w:hAnsi="宋体" w:eastAsia="宋体" w:cs="Times New Roman"/>
                <w:spacing w:val="20"/>
                <w:sz w:val="24"/>
                <w:szCs w:val="24"/>
              </w:rPr>
            </w:pPr>
          </w:p>
        </w:tc>
        <w:tc>
          <w:tcPr>
            <w:tcW w:w="900" w:type="dxa"/>
            <w:tcBorders>
              <w:top w:val="single" w:color="auto" w:sz="4" w:space="0"/>
              <w:left w:val="single" w:color="auto" w:sz="4" w:space="0"/>
              <w:bottom w:val="single" w:color="auto" w:sz="4" w:space="0"/>
              <w:right w:val="single" w:color="auto" w:sz="4" w:space="0"/>
            </w:tcBorders>
          </w:tcPr>
          <w:p w14:paraId="33831E88">
            <w:pPr>
              <w:tabs>
                <w:tab w:val="left" w:pos="1418"/>
              </w:tabs>
              <w:snapToGrid w:val="0"/>
              <w:spacing w:before="50" w:after="50" w:line="360" w:lineRule="exact"/>
              <w:jc w:val="center"/>
              <w:rPr>
                <w:rFonts w:ascii="宋体" w:hAnsi="宋体" w:eastAsia="宋体" w:cs="Times New Roman"/>
                <w:spacing w:val="20"/>
                <w:sz w:val="24"/>
                <w:szCs w:val="24"/>
              </w:rPr>
            </w:pPr>
          </w:p>
        </w:tc>
        <w:tc>
          <w:tcPr>
            <w:tcW w:w="1620" w:type="dxa"/>
            <w:tcBorders>
              <w:top w:val="single" w:color="auto" w:sz="4" w:space="0"/>
              <w:left w:val="single" w:color="auto" w:sz="4" w:space="0"/>
              <w:bottom w:val="single" w:color="auto" w:sz="4" w:space="0"/>
              <w:right w:val="single" w:color="auto" w:sz="4" w:space="0"/>
            </w:tcBorders>
          </w:tcPr>
          <w:p w14:paraId="38A9D489">
            <w:pPr>
              <w:tabs>
                <w:tab w:val="left" w:pos="1418"/>
              </w:tabs>
              <w:snapToGrid w:val="0"/>
              <w:spacing w:before="50" w:after="50" w:line="360" w:lineRule="exact"/>
              <w:jc w:val="center"/>
              <w:rPr>
                <w:rFonts w:ascii="宋体" w:hAnsi="宋体" w:eastAsia="宋体" w:cs="Times New Roman"/>
                <w:spacing w:val="20"/>
                <w:sz w:val="24"/>
                <w:szCs w:val="24"/>
              </w:rPr>
            </w:pPr>
          </w:p>
        </w:tc>
      </w:tr>
      <w:tr w14:paraId="1E774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100" w:type="dxa"/>
            <w:gridSpan w:val="7"/>
            <w:tcBorders>
              <w:top w:val="single" w:color="auto" w:sz="4" w:space="0"/>
              <w:left w:val="single" w:color="auto" w:sz="4" w:space="0"/>
              <w:bottom w:val="single" w:color="auto" w:sz="4" w:space="0"/>
              <w:right w:val="single" w:color="auto" w:sz="4" w:space="0"/>
            </w:tcBorders>
          </w:tcPr>
          <w:p w14:paraId="335E3AB5">
            <w:pPr>
              <w:tabs>
                <w:tab w:val="left" w:pos="1418"/>
              </w:tabs>
              <w:snapToGrid w:val="0"/>
              <w:spacing w:before="50" w:after="50" w:line="360" w:lineRule="exact"/>
              <w:rPr>
                <w:rFonts w:ascii="宋体" w:hAnsi="宋体" w:eastAsia="宋体" w:cs="Times New Roman"/>
                <w:spacing w:val="20"/>
                <w:sz w:val="24"/>
                <w:szCs w:val="24"/>
              </w:rPr>
            </w:pPr>
            <w:r>
              <w:rPr>
                <w:rFonts w:hint="eastAsia" w:ascii="Times New Roman" w:hAnsi="宋体" w:eastAsia="宋体" w:cs="Times New Roman"/>
                <w:sz w:val="24"/>
                <w:szCs w:val="24"/>
              </w:rPr>
              <w:t>本项目</w:t>
            </w:r>
            <w:r>
              <w:rPr>
                <w:rFonts w:hint="eastAsia" w:ascii="宋体" w:hAnsi="宋体" w:eastAsia="宋体" w:cs="Times New Roman"/>
                <w:sz w:val="24"/>
                <w:szCs w:val="24"/>
              </w:rPr>
              <w:t xml:space="preserve">合计金额大写：                                             </w:t>
            </w:r>
          </w:p>
        </w:tc>
        <w:tc>
          <w:tcPr>
            <w:tcW w:w="1620" w:type="dxa"/>
            <w:tcBorders>
              <w:top w:val="single" w:color="auto" w:sz="4" w:space="0"/>
              <w:left w:val="single" w:color="auto" w:sz="4" w:space="0"/>
              <w:bottom w:val="single" w:color="auto" w:sz="4" w:space="0"/>
              <w:right w:val="single" w:color="auto" w:sz="4" w:space="0"/>
            </w:tcBorders>
          </w:tcPr>
          <w:p w14:paraId="2E7367CD">
            <w:pPr>
              <w:tabs>
                <w:tab w:val="left" w:pos="1418"/>
              </w:tabs>
              <w:snapToGrid w:val="0"/>
              <w:spacing w:before="50" w:after="50" w:line="360" w:lineRule="exact"/>
              <w:rPr>
                <w:rFonts w:ascii="宋体" w:hAnsi="宋体" w:eastAsia="宋体" w:cs="Times New Roman"/>
                <w:spacing w:val="20"/>
                <w:sz w:val="24"/>
                <w:szCs w:val="24"/>
              </w:rPr>
            </w:pP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p>
        </w:tc>
      </w:tr>
    </w:tbl>
    <w:p w14:paraId="583F6701">
      <w:pPr>
        <w:tabs>
          <w:tab w:val="left" w:pos="1418"/>
        </w:tabs>
        <w:snapToGrid w:val="0"/>
        <w:spacing w:before="50" w:after="50" w:line="360" w:lineRule="exact"/>
        <w:ind w:left="1418" w:hanging="567"/>
        <w:jc w:val="center"/>
        <w:rPr>
          <w:rFonts w:ascii="宋体" w:hAnsi="宋体" w:eastAsia="宋体" w:cs="Times New Roman"/>
          <w:spacing w:val="20"/>
          <w:sz w:val="24"/>
          <w:szCs w:val="24"/>
          <w:u w:val="single"/>
        </w:rPr>
      </w:pPr>
    </w:p>
    <w:p w14:paraId="3E036BDF">
      <w:pPr>
        <w:tabs>
          <w:tab w:val="left" w:pos="1418"/>
        </w:tabs>
        <w:snapToGrid w:val="0"/>
        <w:spacing w:before="50" w:after="50" w:line="360" w:lineRule="exact"/>
        <w:ind w:left="1418" w:hanging="567"/>
        <w:jc w:val="center"/>
        <w:rPr>
          <w:rFonts w:ascii="宋体" w:hAnsi="宋体" w:eastAsia="宋体" w:cs="Times New Roman"/>
          <w:spacing w:val="20"/>
          <w:sz w:val="24"/>
          <w:szCs w:val="24"/>
          <w:u w:val="single"/>
        </w:rPr>
      </w:pPr>
    </w:p>
    <w:p w14:paraId="584501E1">
      <w:pPr>
        <w:tabs>
          <w:tab w:val="left" w:pos="1418"/>
        </w:tabs>
        <w:snapToGrid w:val="0"/>
        <w:spacing w:before="50" w:after="50" w:line="360" w:lineRule="exact"/>
        <w:ind w:left="1418" w:hanging="567"/>
        <w:jc w:val="center"/>
        <w:rPr>
          <w:rFonts w:ascii="宋体" w:hAnsi="宋体" w:eastAsia="宋体" w:cs="Times New Roman"/>
          <w:spacing w:val="20"/>
          <w:sz w:val="24"/>
          <w:szCs w:val="24"/>
          <w:u w:val="single"/>
        </w:rPr>
      </w:pPr>
    </w:p>
    <w:p w14:paraId="138BA748">
      <w:pPr>
        <w:snapToGrid w:val="0"/>
        <w:spacing w:before="50" w:after="50" w:line="360" w:lineRule="exact"/>
        <w:rPr>
          <w:rFonts w:ascii="宋体" w:hAnsi="宋体" w:eastAsia="宋体" w:cs="Times New Roman"/>
          <w:spacing w:val="20"/>
          <w:sz w:val="24"/>
          <w:szCs w:val="24"/>
          <w:u w:val="single"/>
        </w:rPr>
      </w:pPr>
      <w:r>
        <w:rPr>
          <w:rFonts w:hint="eastAsia" w:ascii="宋体" w:hAnsi="宋体" w:eastAsia="宋体" w:cs="Times New Roman"/>
          <w:sz w:val="24"/>
          <w:szCs w:val="24"/>
        </w:rPr>
        <w:t>法定代表人或委托代理人（签字）</w:t>
      </w:r>
      <w:r>
        <w:rPr>
          <w:rFonts w:hint="eastAsia" w:ascii="宋体" w:hAnsi="宋体" w:eastAsia="宋体" w:cs="Times New Roman"/>
          <w:spacing w:val="20"/>
          <w:sz w:val="24"/>
          <w:szCs w:val="24"/>
        </w:rPr>
        <w:t>：</w:t>
      </w:r>
      <w:r>
        <w:rPr>
          <w:rFonts w:hint="eastAsia" w:ascii="宋体" w:hAnsi="宋体" w:eastAsia="宋体" w:cs="Times New Roman"/>
          <w:spacing w:val="20"/>
          <w:sz w:val="24"/>
          <w:szCs w:val="24"/>
          <w:u w:val="single"/>
        </w:rPr>
        <w:t xml:space="preserve">          </w:t>
      </w:r>
    </w:p>
    <w:p w14:paraId="4C926326">
      <w:pPr>
        <w:rPr>
          <w:rFonts w:ascii="宋体" w:hAnsi="宋体" w:eastAsia="宋体" w:cs="Times New Roman"/>
          <w:b/>
          <w:bCs/>
          <w:sz w:val="24"/>
          <w:szCs w:val="24"/>
        </w:rPr>
      </w:pPr>
      <w:r>
        <w:rPr>
          <w:rFonts w:hint="eastAsia" w:ascii="宋体" w:hAnsi="宋体" w:eastAsia="宋体" w:cs="Times New Roman"/>
          <w:sz w:val="24"/>
          <w:szCs w:val="24"/>
        </w:rPr>
        <w:t>投标人（盖公章）：                                 日期：    年   月   日</w:t>
      </w:r>
    </w:p>
    <w:p w14:paraId="0E67F1D2">
      <w:pPr>
        <w:jc w:val="center"/>
        <w:rPr>
          <w:rFonts w:ascii="宋体" w:hAnsi="宋体" w:eastAsia="宋体" w:cs="Times New Roman"/>
          <w:b/>
          <w:bCs/>
          <w:sz w:val="24"/>
          <w:szCs w:val="24"/>
        </w:rPr>
      </w:pPr>
      <w:r>
        <w:rPr>
          <w:rFonts w:ascii="宋体" w:hAnsi="宋体" w:eastAsia="宋体" w:cs="Times New Roman"/>
          <w:b/>
          <w:bCs/>
          <w:sz w:val="24"/>
          <w:szCs w:val="24"/>
        </w:rPr>
        <w:br w:type="page"/>
      </w:r>
    </w:p>
    <w:p w14:paraId="360A90EC">
      <w:pPr>
        <w:jc w:val="center"/>
        <w:rPr>
          <w:rFonts w:ascii="宋体" w:hAnsi="宋体" w:eastAsia="宋体" w:cs="Times New Roman"/>
          <w:b/>
          <w:bCs/>
          <w:sz w:val="24"/>
          <w:szCs w:val="24"/>
        </w:rPr>
      </w:pPr>
    </w:p>
    <w:p w14:paraId="1A45F7AD">
      <w:pPr>
        <w:jc w:val="center"/>
        <w:rPr>
          <w:rFonts w:ascii="宋体" w:hAnsi="宋体" w:eastAsia="宋体" w:cs="Times New Roman"/>
          <w:b/>
          <w:bCs/>
          <w:sz w:val="24"/>
          <w:szCs w:val="24"/>
        </w:rPr>
      </w:pPr>
    </w:p>
    <w:p w14:paraId="78D748F6">
      <w:pPr>
        <w:rPr>
          <w:rFonts w:ascii="Times New Roman" w:hAnsi="Times New Roman" w:eastAsia="宋体" w:cs="Times New Roman"/>
          <w:b/>
          <w:sz w:val="28"/>
          <w:szCs w:val="28"/>
        </w:rPr>
      </w:pPr>
      <w:bookmarkStart w:id="150" w:name="_Toc19686837"/>
      <w:r>
        <w:rPr>
          <w:rFonts w:hint="eastAsia" w:ascii="Times New Roman" w:hAnsi="Times New Roman" w:eastAsia="宋体" w:cs="Times New Roman"/>
          <w:b/>
          <w:sz w:val="28"/>
          <w:szCs w:val="28"/>
        </w:rPr>
        <w:t>三、资格证明文件格式</w:t>
      </w:r>
      <w:bookmarkEnd w:id="148"/>
      <w:bookmarkEnd w:id="149"/>
      <w:bookmarkEnd w:id="150"/>
    </w:p>
    <w:p w14:paraId="2B426132">
      <w:pPr>
        <w:numPr>
          <w:ilvl w:val="2"/>
          <w:numId w:val="10"/>
        </w:numPr>
        <w:snapToGrid w:val="0"/>
        <w:spacing w:before="120" w:beforeLines="50" w:after="50" w:line="360" w:lineRule="auto"/>
        <w:jc w:val="left"/>
        <w:rPr>
          <w:rFonts w:ascii="宋体" w:hAnsi="宋体" w:eastAsia="宋体" w:cs="Times New Roman"/>
          <w:b/>
          <w:sz w:val="24"/>
          <w:szCs w:val="24"/>
        </w:rPr>
      </w:pPr>
      <w:r>
        <w:rPr>
          <w:rFonts w:hint="eastAsia" w:ascii="宋体" w:hAnsi="宋体" w:eastAsia="宋体" w:cs="Times New Roman"/>
          <w:b/>
          <w:sz w:val="24"/>
          <w:szCs w:val="24"/>
        </w:rPr>
        <w:t xml:space="preserve">资格证明文件封面格式： </w:t>
      </w:r>
    </w:p>
    <w:p w14:paraId="4A24ED04">
      <w:pPr>
        <w:snapToGrid w:val="0"/>
        <w:spacing w:before="120"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正本</w:t>
      </w:r>
    </w:p>
    <w:p w14:paraId="65AC15BE">
      <w:pPr>
        <w:snapToGrid w:val="0"/>
        <w:spacing w:before="120" w:beforeLines="50" w:after="50"/>
        <w:rPr>
          <w:rFonts w:ascii="宋体" w:hAnsi="宋体" w:eastAsia="宋体" w:cs="Times New Roman"/>
          <w:sz w:val="24"/>
          <w:szCs w:val="20"/>
        </w:rPr>
      </w:pPr>
    </w:p>
    <w:p w14:paraId="108E6D0E">
      <w:pPr>
        <w:snapToGrid w:val="0"/>
        <w:spacing w:before="120" w:beforeLines="50" w:after="50"/>
        <w:jc w:val="center"/>
        <w:rPr>
          <w:rFonts w:ascii="宋体" w:hAnsi="宋体" w:eastAsia="宋体" w:cs="Times New Roman"/>
          <w:b/>
          <w:sz w:val="24"/>
          <w:szCs w:val="20"/>
        </w:rPr>
      </w:pPr>
      <w:r>
        <w:rPr>
          <w:rFonts w:hint="eastAsia" w:ascii="宋体" w:hAnsi="宋体" w:eastAsia="宋体" w:cs="Times New Roman"/>
          <w:b/>
          <w:sz w:val="32"/>
          <w:szCs w:val="32"/>
        </w:rPr>
        <w:t>资格证明文件</w:t>
      </w:r>
    </w:p>
    <w:p w14:paraId="3BB4A2F6">
      <w:pPr>
        <w:snapToGrid w:val="0"/>
        <w:spacing w:before="120" w:beforeLines="50" w:after="50"/>
        <w:rPr>
          <w:rFonts w:ascii="宋体" w:hAnsi="宋体" w:eastAsia="宋体" w:cs="Times New Roman"/>
          <w:bCs/>
          <w:sz w:val="24"/>
          <w:szCs w:val="20"/>
        </w:rPr>
      </w:pPr>
    </w:p>
    <w:p w14:paraId="2C2983B9">
      <w:pPr>
        <w:snapToGrid w:val="0"/>
        <w:spacing w:before="120" w:beforeLines="50" w:after="50"/>
        <w:rPr>
          <w:rFonts w:ascii="宋体" w:hAnsi="宋体" w:eastAsia="宋体" w:cs="Times New Roman"/>
          <w:bCs/>
          <w:sz w:val="24"/>
          <w:szCs w:val="20"/>
        </w:rPr>
      </w:pPr>
    </w:p>
    <w:p w14:paraId="7372FA25">
      <w:pPr>
        <w:snapToGrid w:val="0"/>
        <w:spacing w:before="120" w:beforeLines="50" w:after="50"/>
        <w:rPr>
          <w:rFonts w:ascii="宋体" w:hAnsi="宋体" w:eastAsia="宋体" w:cs="Times New Roman"/>
          <w:bCs/>
          <w:sz w:val="24"/>
          <w:szCs w:val="20"/>
        </w:rPr>
      </w:pPr>
    </w:p>
    <w:p w14:paraId="51914806">
      <w:pPr>
        <w:snapToGrid w:val="0"/>
        <w:spacing w:before="120" w:beforeLines="50" w:after="50"/>
        <w:rPr>
          <w:rFonts w:ascii="宋体" w:hAnsi="宋体" w:eastAsia="宋体" w:cs="Times New Roman"/>
          <w:bCs/>
          <w:sz w:val="24"/>
          <w:szCs w:val="20"/>
        </w:rPr>
      </w:pPr>
    </w:p>
    <w:p w14:paraId="01D423A3">
      <w:pPr>
        <w:snapToGrid w:val="0"/>
        <w:spacing w:before="120" w:beforeLines="50" w:after="50"/>
        <w:rPr>
          <w:rFonts w:ascii="宋体" w:hAnsi="宋体" w:eastAsia="宋体" w:cs="Times New Roman"/>
          <w:bCs/>
          <w:sz w:val="24"/>
          <w:szCs w:val="20"/>
        </w:rPr>
      </w:pPr>
    </w:p>
    <w:p w14:paraId="2CF2C927">
      <w:pPr>
        <w:snapToGrid w:val="0"/>
        <w:spacing w:before="120" w:beforeLines="50" w:after="50"/>
        <w:rPr>
          <w:rFonts w:ascii="宋体" w:hAnsi="宋体" w:eastAsia="宋体" w:cs="Times New Roman"/>
          <w:bCs/>
          <w:sz w:val="24"/>
          <w:szCs w:val="20"/>
        </w:rPr>
      </w:pPr>
    </w:p>
    <w:p w14:paraId="57A55A4F">
      <w:pPr>
        <w:snapToGrid w:val="0"/>
        <w:spacing w:before="120" w:beforeLines="50" w:after="50"/>
        <w:rPr>
          <w:rFonts w:ascii="宋体" w:hAnsi="宋体" w:eastAsia="宋体" w:cs="Times New Roman"/>
          <w:bCs/>
          <w:sz w:val="24"/>
          <w:szCs w:val="20"/>
        </w:rPr>
      </w:pPr>
    </w:p>
    <w:p w14:paraId="45FCCE1F">
      <w:pPr>
        <w:snapToGrid w:val="0"/>
        <w:spacing w:before="120"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项目名称：</w:t>
      </w:r>
    </w:p>
    <w:p w14:paraId="3BD2DC65">
      <w:pPr>
        <w:snapToGrid w:val="0"/>
        <w:spacing w:before="120" w:beforeLines="50" w:after="50"/>
        <w:ind w:firstLine="540" w:firstLineChars="225"/>
        <w:rPr>
          <w:rFonts w:ascii="宋体" w:hAnsi="宋体" w:eastAsia="宋体" w:cs="Times New Roman"/>
          <w:bCs/>
          <w:sz w:val="24"/>
          <w:szCs w:val="20"/>
        </w:rPr>
      </w:pPr>
    </w:p>
    <w:p w14:paraId="694EF24B">
      <w:pPr>
        <w:snapToGrid w:val="0"/>
        <w:spacing w:before="120"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项目编号：</w:t>
      </w:r>
    </w:p>
    <w:p w14:paraId="084A75F6">
      <w:pPr>
        <w:snapToGrid w:val="0"/>
        <w:spacing w:before="120"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 </w:t>
      </w:r>
    </w:p>
    <w:p w14:paraId="6CA7B4DE">
      <w:pPr>
        <w:snapToGrid w:val="0"/>
        <w:spacing w:before="50" w:after="50"/>
        <w:ind w:firstLine="540" w:firstLineChars="225"/>
        <w:rPr>
          <w:rFonts w:ascii="宋体" w:hAnsi="宋体" w:eastAsia="宋体" w:cs="Times New Roman"/>
          <w:bCs/>
          <w:sz w:val="24"/>
          <w:szCs w:val="24"/>
        </w:rPr>
      </w:pPr>
    </w:p>
    <w:p w14:paraId="4B8DE05A">
      <w:pPr>
        <w:snapToGrid w:val="0"/>
        <w:spacing w:before="50" w:after="50"/>
        <w:ind w:firstLine="540" w:firstLineChars="225"/>
        <w:rPr>
          <w:rFonts w:ascii="宋体" w:hAnsi="宋体" w:eastAsia="宋体" w:cs="Times New Roman"/>
          <w:bCs/>
          <w:sz w:val="24"/>
          <w:szCs w:val="24"/>
        </w:rPr>
      </w:pPr>
    </w:p>
    <w:p w14:paraId="1D68D95E">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1C812227">
      <w:pPr>
        <w:snapToGrid w:val="0"/>
        <w:spacing w:before="50" w:after="50"/>
        <w:ind w:firstLine="540" w:firstLineChars="225"/>
        <w:rPr>
          <w:rFonts w:ascii="宋体" w:hAnsi="宋体" w:eastAsia="宋体" w:cs="Times New Roman"/>
          <w:bCs/>
          <w:sz w:val="24"/>
          <w:szCs w:val="24"/>
        </w:rPr>
      </w:pPr>
    </w:p>
    <w:p w14:paraId="2A74D77E">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投标人地址：</w:t>
      </w:r>
    </w:p>
    <w:p w14:paraId="1EA83162">
      <w:pPr>
        <w:snapToGrid w:val="0"/>
        <w:spacing w:before="50" w:after="50"/>
        <w:ind w:firstLine="540" w:firstLineChars="225"/>
        <w:rPr>
          <w:rFonts w:ascii="宋体" w:hAnsi="宋体" w:eastAsia="宋体" w:cs="Times New Roman"/>
          <w:bCs/>
          <w:sz w:val="24"/>
          <w:szCs w:val="24"/>
        </w:rPr>
      </w:pPr>
    </w:p>
    <w:p w14:paraId="293556E8">
      <w:pPr>
        <w:snapToGrid w:val="0"/>
        <w:spacing w:before="50" w:after="50"/>
        <w:ind w:firstLine="960" w:firstLineChars="400"/>
        <w:rPr>
          <w:rFonts w:ascii="宋体" w:hAnsi="宋体" w:eastAsia="宋体" w:cs="Times New Roman"/>
          <w:bCs/>
          <w:sz w:val="24"/>
          <w:szCs w:val="24"/>
        </w:rPr>
      </w:pPr>
    </w:p>
    <w:p w14:paraId="384DB709">
      <w:pPr>
        <w:snapToGrid w:val="0"/>
        <w:spacing w:before="120"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年  月  日</w:t>
      </w:r>
    </w:p>
    <w:p w14:paraId="1320E4F4">
      <w:pPr>
        <w:snapToGrid w:val="0"/>
        <w:spacing w:before="120" w:beforeLines="50" w:after="50"/>
        <w:rPr>
          <w:rFonts w:ascii="宋体" w:hAnsi="宋体" w:eastAsia="宋体" w:cs="Times New Roman"/>
          <w:sz w:val="24"/>
          <w:szCs w:val="20"/>
        </w:rPr>
      </w:pPr>
      <w:r>
        <w:rPr>
          <w:rFonts w:ascii="宋体" w:hAnsi="宋体" w:eastAsia="宋体" w:cs="Times New Roman"/>
          <w:sz w:val="24"/>
          <w:szCs w:val="20"/>
        </w:rPr>
        <w:t xml:space="preserve"> </w:t>
      </w:r>
    </w:p>
    <w:p w14:paraId="76655A1D">
      <w:pPr>
        <w:snapToGrid w:val="0"/>
        <w:spacing w:before="120" w:beforeLines="50" w:after="50"/>
        <w:rPr>
          <w:rFonts w:ascii="宋体" w:hAnsi="宋体" w:eastAsia="宋体" w:cs="Times New Roman"/>
          <w:sz w:val="24"/>
          <w:szCs w:val="20"/>
        </w:rPr>
      </w:pPr>
    </w:p>
    <w:p w14:paraId="1927AE29">
      <w:pPr>
        <w:numPr>
          <w:ilvl w:val="2"/>
          <w:numId w:val="10"/>
        </w:numPr>
        <w:snapToGrid w:val="0"/>
        <w:spacing w:before="120" w:beforeLines="50" w:after="50" w:line="360" w:lineRule="auto"/>
        <w:jc w:val="left"/>
        <w:rPr>
          <w:rFonts w:ascii="宋体" w:hAnsi="宋体" w:eastAsia="宋体" w:cs="Times New Roman"/>
          <w:sz w:val="24"/>
          <w:szCs w:val="20"/>
        </w:rPr>
      </w:pPr>
      <w:r>
        <w:rPr>
          <w:rFonts w:ascii="宋体" w:hAnsi="宋体" w:eastAsia="宋体" w:cs="Times New Roman"/>
          <w:b/>
          <w:bCs/>
          <w:sz w:val="24"/>
          <w:szCs w:val="24"/>
        </w:rPr>
        <w:br w:type="page"/>
      </w:r>
      <w:r>
        <w:rPr>
          <w:rFonts w:hint="eastAsia" w:ascii="宋体" w:hAnsi="宋体" w:eastAsia="宋体" w:cs="Times New Roman"/>
          <w:b/>
          <w:bCs/>
          <w:sz w:val="24"/>
          <w:szCs w:val="24"/>
        </w:rPr>
        <w:t>资格证明文件目录</w:t>
      </w:r>
    </w:p>
    <w:p w14:paraId="41E86293">
      <w:pPr>
        <w:snapToGrid w:val="0"/>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rPr>
        <w:t>根据招标文件规定及投标人提供的材料自行编写目录。</w:t>
      </w:r>
    </w:p>
    <w:p w14:paraId="3B9AF092">
      <w:pPr>
        <w:snapToGrid w:val="0"/>
        <w:spacing w:before="50" w:after="120" w:afterLines="50"/>
        <w:jc w:val="left"/>
        <w:rPr>
          <w:rFonts w:ascii="宋体" w:hAnsi="宋体" w:eastAsia="宋体" w:cs="Times New Roman"/>
          <w:sz w:val="24"/>
          <w:szCs w:val="24"/>
        </w:rPr>
      </w:pPr>
    </w:p>
    <w:p w14:paraId="0F91B261">
      <w:pPr>
        <w:snapToGrid w:val="0"/>
        <w:spacing w:before="50" w:after="120" w:afterLines="50"/>
        <w:jc w:val="left"/>
        <w:rPr>
          <w:rFonts w:ascii="宋体" w:hAnsi="宋体" w:eastAsia="宋体" w:cs="Times New Roman"/>
          <w:sz w:val="24"/>
          <w:szCs w:val="24"/>
        </w:rPr>
      </w:pPr>
    </w:p>
    <w:p w14:paraId="73735A9C">
      <w:pPr>
        <w:numPr>
          <w:ilvl w:val="2"/>
          <w:numId w:val="10"/>
        </w:numPr>
        <w:snapToGrid w:val="0"/>
        <w:spacing w:before="120" w:beforeLines="50" w:after="50"/>
        <w:jc w:val="left"/>
        <w:rPr>
          <w:rFonts w:ascii="宋体" w:hAnsi="宋体" w:eastAsia="宋体" w:cs="Times New Roman"/>
          <w:b/>
          <w:sz w:val="24"/>
          <w:szCs w:val="24"/>
        </w:rPr>
      </w:pPr>
      <w:r>
        <w:rPr>
          <w:rFonts w:ascii="宋体" w:hAnsi="宋体" w:eastAsia="宋体" w:cs="Times New Roman"/>
          <w:b/>
          <w:sz w:val="24"/>
          <w:szCs w:val="24"/>
        </w:rPr>
        <w:br w:type="page"/>
      </w:r>
      <w:r>
        <w:rPr>
          <w:rFonts w:hint="eastAsia" w:ascii="宋体" w:hAnsi="宋体" w:eastAsia="宋体" w:cs="Times New Roman"/>
          <w:b/>
          <w:sz w:val="28"/>
          <w:szCs w:val="28"/>
        </w:rPr>
        <w:t>投标人直接控股、管理关系信息表</w:t>
      </w:r>
    </w:p>
    <w:p w14:paraId="6E711F15">
      <w:pPr>
        <w:snapToGrid w:val="0"/>
        <w:spacing w:before="50" w:after="120" w:afterLines="50"/>
        <w:jc w:val="center"/>
        <w:rPr>
          <w:rFonts w:ascii="宋体" w:hAnsi="宋体" w:eastAsia="宋体" w:cs="Times New Roman"/>
          <w:b/>
          <w:sz w:val="28"/>
          <w:szCs w:val="28"/>
        </w:rPr>
      </w:pPr>
    </w:p>
    <w:p w14:paraId="29409263">
      <w:pPr>
        <w:snapToGrid w:val="0"/>
        <w:spacing w:before="50" w:after="120" w:afterLines="50" w:line="360" w:lineRule="auto"/>
        <w:jc w:val="center"/>
        <w:rPr>
          <w:rFonts w:ascii="宋体" w:hAnsi="宋体" w:eastAsia="宋体" w:cs="Times New Roman"/>
          <w:b/>
          <w:sz w:val="32"/>
          <w:szCs w:val="32"/>
        </w:rPr>
      </w:pPr>
      <w:r>
        <w:rPr>
          <w:rFonts w:hint="eastAsia" w:ascii="宋体" w:hAnsi="宋体" w:eastAsia="宋体" w:cs="Times New Roman"/>
          <w:b/>
          <w:sz w:val="32"/>
          <w:szCs w:val="32"/>
        </w:rPr>
        <w:t>投标人直接控股股东信息表</w:t>
      </w:r>
    </w:p>
    <w:tbl>
      <w:tblPr>
        <w:tblStyle w:val="37"/>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1B652395">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33120E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BEEDEEA">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28484B3B">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03CD8A8">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F1EF8FE">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4FF25A5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086F49">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7FE3FC6">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99D457">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B2CD63B">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9B2F60">
            <w:pPr>
              <w:spacing w:line="360" w:lineRule="auto"/>
              <w:jc w:val="center"/>
              <w:rPr>
                <w:rFonts w:ascii="宋体" w:hAnsi="宋体" w:eastAsia="宋体" w:cs="宋体"/>
                <w:kern w:val="0"/>
                <w:sz w:val="24"/>
                <w:szCs w:val="24"/>
              </w:rPr>
            </w:pPr>
          </w:p>
        </w:tc>
      </w:tr>
      <w:tr w14:paraId="3066E2E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74381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447958">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1F5ED1">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8CA3508">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0B89B8">
            <w:pPr>
              <w:spacing w:line="360" w:lineRule="auto"/>
              <w:jc w:val="center"/>
              <w:rPr>
                <w:rFonts w:ascii="宋体" w:hAnsi="宋体" w:eastAsia="宋体" w:cs="宋体"/>
                <w:kern w:val="0"/>
                <w:sz w:val="24"/>
                <w:szCs w:val="24"/>
              </w:rPr>
            </w:pPr>
          </w:p>
        </w:tc>
      </w:tr>
      <w:tr w14:paraId="4A9C2ED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58955D2">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E2EB1E">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748F77E">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0364228">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044EDA">
            <w:pPr>
              <w:spacing w:line="360" w:lineRule="auto"/>
              <w:jc w:val="center"/>
              <w:rPr>
                <w:rFonts w:ascii="宋体" w:hAnsi="宋体" w:eastAsia="宋体" w:cs="宋体"/>
                <w:kern w:val="0"/>
                <w:sz w:val="24"/>
                <w:szCs w:val="24"/>
              </w:rPr>
            </w:pPr>
          </w:p>
        </w:tc>
      </w:tr>
      <w:tr w14:paraId="1BE8E53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68A1B0">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A5183F">
            <w:pPr>
              <w:spacing w:line="360" w:lineRule="auto"/>
              <w:jc w:val="center"/>
              <w:rPr>
                <w:rFonts w:ascii="宋体" w:hAnsi="宋体" w:eastAsia="宋体" w:cs="宋体"/>
                <w:kern w:val="0"/>
                <w:sz w:val="24"/>
                <w:szCs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020BE4">
            <w:pPr>
              <w:spacing w:line="360" w:lineRule="auto"/>
              <w:jc w:val="center"/>
              <w:rPr>
                <w:rFonts w:ascii="宋体" w:hAnsi="宋体" w:eastAsia="宋体" w:cs="宋体"/>
                <w:kern w:val="0"/>
                <w:sz w:val="24"/>
                <w:szCs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6F1B1">
            <w:pPr>
              <w:spacing w:line="360" w:lineRule="auto"/>
              <w:jc w:val="center"/>
              <w:rPr>
                <w:rFonts w:ascii="宋体" w:hAnsi="宋体" w:eastAsia="宋体" w:cs="宋体"/>
                <w:kern w:val="0"/>
                <w:sz w:val="24"/>
                <w:szCs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8F396">
            <w:pPr>
              <w:spacing w:line="360" w:lineRule="auto"/>
              <w:jc w:val="center"/>
              <w:rPr>
                <w:rFonts w:ascii="宋体" w:hAnsi="宋体" w:eastAsia="宋体" w:cs="宋体"/>
                <w:kern w:val="0"/>
                <w:sz w:val="24"/>
                <w:szCs w:val="24"/>
              </w:rPr>
            </w:pPr>
          </w:p>
        </w:tc>
      </w:tr>
    </w:tbl>
    <w:p w14:paraId="015B8D03">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40A2B68C">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AABCB1E">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2.本表所指的控股关系仅限于直接控股关系，不包括间接的控股关系。公司实际控制人与公司之间的关系不属于本表所指的直接控股关系。</w:t>
      </w:r>
    </w:p>
    <w:p w14:paraId="4139CCF1">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3.供应商不存在直接控股股东的，则填“无”。</w:t>
      </w:r>
    </w:p>
    <w:p w14:paraId="6631D175">
      <w:pPr>
        <w:snapToGrid w:val="0"/>
        <w:spacing w:line="360" w:lineRule="auto"/>
        <w:jc w:val="left"/>
        <w:rPr>
          <w:rFonts w:ascii="宋体" w:hAnsi="宋体" w:eastAsia="宋体" w:cs="Times New Roman"/>
          <w:sz w:val="24"/>
          <w:szCs w:val="24"/>
        </w:rPr>
      </w:pPr>
    </w:p>
    <w:p w14:paraId="54082903">
      <w:pPr>
        <w:snapToGrid w:val="0"/>
        <w:spacing w:line="360" w:lineRule="auto"/>
        <w:jc w:val="left"/>
        <w:rPr>
          <w:rFonts w:ascii="宋体" w:hAnsi="宋体" w:eastAsia="宋体" w:cs="Times New Roman"/>
          <w:sz w:val="24"/>
          <w:szCs w:val="24"/>
        </w:rPr>
      </w:pPr>
    </w:p>
    <w:p w14:paraId="67982EDE">
      <w:pPr>
        <w:snapToGrid w:val="0"/>
        <w:spacing w:line="360" w:lineRule="auto"/>
        <w:jc w:val="left"/>
        <w:rPr>
          <w:rFonts w:ascii="宋体" w:hAnsi="宋体" w:eastAsia="宋体" w:cs="Times New Roman"/>
          <w:sz w:val="24"/>
          <w:szCs w:val="24"/>
        </w:rPr>
      </w:pPr>
    </w:p>
    <w:p w14:paraId="50907347">
      <w:pPr>
        <w:snapToGrid w:val="0"/>
        <w:spacing w:line="360" w:lineRule="auto"/>
        <w:jc w:val="left"/>
        <w:rPr>
          <w:rFonts w:ascii="宋体" w:hAnsi="宋体" w:eastAsia="宋体" w:cs="Times New Roman"/>
          <w:sz w:val="24"/>
          <w:szCs w:val="24"/>
        </w:rPr>
      </w:pPr>
    </w:p>
    <w:p w14:paraId="114984C4">
      <w:pPr>
        <w:snapToGrid w:val="0"/>
        <w:spacing w:line="360" w:lineRule="auto"/>
        <w:jc w:val="left"/>
        <w:rPr>
          <w:rFonts w:ascii="宋体" w:hAnsi="宋体" w:eastAsia="宋体" w:cs="Times New Roman"/>
          <w:sz w:val="24"/>
          <w:szCs w:val="24"/>
        </w:rPr>
      </w:pPr>
    </w:p>
    <w:p w14:paraId="0AC87300">
      <w:pPr>
        <w:snapToGrid w:val="0"/>
        <w:spacing w:before="120" w:beforeLines="50" w:line="360" w:lineRule="auto"/>
        <w:ind w:right="480" w:firstLine="3967" w:firstLineChars="1653"/>
        <w:rPr>
          <w:rFonts w:ascii="宋体" w:hAnsi="宋体" w:eastAsia="宋体" w:cs="Times New Roman"/>
          <w:sz w:val="24"/>
          <w:szCs w:val="24"/>
          <w:u w:val="single"/>
        </w:rPr>
      </w:pPr>
      <w:r>
        <w:rPr>
          <w:rFonts w:hint="eastAsia" w:ascii="宋体" w:hAnsi="宋体" w:eastAsia="宋体" w:cs="Times New Roman"/>
          <w:sz w:val="24"/>
          <w:szCs w:val="24"/>
        </w:rPr>
        <w:t>法定代表人或者委托代理人（签字）：</w:t>
      </w:r>
      <w:r>
        <w:rPr>
          <w:rFonts w:hint="eastAsia" w:ascii="宋体" w:hAnsi="宋体" w:eastAsia="宋体" w:cs="Times New Roman"/>
          <w:sz w:val="24"/>
          <w:szCs w:val="24"/>
          <w:u w:val="single"/>
        </w:rPr>
        <w:t xml:space="preserve">             </w:t>
      </w:r>
    </w:p>
    <w:p w14:paraId="59E06666">
      <w:pPr>
        <w:snapToGrid w:val="0"/>
        <w:spacing w:before="120" w:beforeLines="50" w:after="50" w:line="360" w:lineRule="auto"/>
        <w:ind w:right="480" w:firstLine="5520" w:firstLineChars="2300"/>
        <w:rPr>
          <w:rFonts w:ascii="宋体" w:hAnsi="宋体" w:eastAsia="宋体" w:cs="Times New Roman"/>
          <w:sz w:val="24"/>
          <w:szCs w:val="24"/>
          <w:u w:val="single"/>
        </w:rPr>
      </w:pPr>
      <w:r>
        <w:rPr>
          <w:rFonts w:hint="eastAsia" w:ascii="宋体" w:hAnsi="宋体" w:eastAsia="宋体" w:cs="Times New Roman"/>
          <w:sz w:val="24"/>
          <w:szCs w:val="24"/>
        </w:rPr>
        <w:t>投标人（盖公章）：</w:t>
      </w:r>
      <w:r>
        <w:rPr>
          <w:rFonts w:hint="eastAsia" w:ascii="宋体" w:hAnsi="宋体" w:eastAsia="宋体" w:cs="Times New Roman"/>
          <w:sz w:val="24"/>
          <w:szCs w:val="24"/>
          <w:u w:val="single"/>
        </w:rPr>
        <w:t xml:space="preserve">                 </w:t>
      </w:r>
    </w:p>
    <w:p w14:paraId="3B55CA8D">
      <w:pPr>
        <w:snapToGrid w:val="0"/>
        <w:spacing w:before="120" w:beforeLines="50" w:after="50" w:line="360" w:lineRule="auto"/>
        <w:ind w:right="480" w:firstLine="5520" w:firstLineChars="2300"/>
        <w:rPr>
          <w:rFonts w:ascii="宋体" w:hAnsi="宋体" w:eastAsia="宋体" w:cs="Times New Roman"/>
          <w:b/>
          <w:sz w:val="28"/>
          <w:szCs w:val="28"/>
        </w:rPr>
      </w:pPr>
      <w:r>
        <w:rPr>
          <w:rFonts w:hint="eastAsia" w:ascii="宋体" w:hAnsi="宋体" w:eastAsia="宋体" w:cs="Times New Roman"/>
          <w:sz w:val="24"/>
          <w:szCs w:val="24"/>
        </w:rPr>
        <w:t>年    月    日</w:t>
      </w:r>
      <w:r>
        <w:rPr>
          <w:rFonts w:ascii="宋体" w:hAnsi="宋体" w:eastAsia="宋体" w:cs="Times New Roman"/>
          <w:b/>
          <w:sz w:val="28"/>
          <w:szCs w:val="28"/>
        </w:rPr>
        <w:br w:type="page"/>
      </w:r>
    </w:p>
    <w:p w14:paraId="3ACB5760">
      <w:pPr>
        <w:snapToGrid w:val="0"/>
        <w:spacing w:line="360" w:lineRule="auto"/>
        <w:jc w:val="center"/>
        <w:rPr>
          <w:rFonts w:ascii="宋体" w:hAnsi="宋体" w:eastAsia="宋体" w:cs="Times New Roman"/>
          <w:sz w:val="32"/>
          <w:szCs w:val="32"/>
        </w:rPr>
      </w:pPr>
      <w:r>
        <w:rPr>
          <w:rFonts w:hint="eastAsia" w:ascii="宋体" w:hAnsi="宋体" w:eastAsia="宋体" w:cs="Times New Roman"/>
          <w:b/>
          <w:sz w:val="32"/>
          <w:szCs w:val="32"/>
        </w:rPr>
        <w:t>投标人直接管理关系信息表</w:t>
      </w:r>
    </w:p>
    <w:tbl>
      <w:tblPr>
        <w:tblStyle w:val="37"/>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09A4D8A8">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4620BC84">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351BA6FB">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731C0AAD">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FFFFFF" w:themeFill="background1"/>
            <w:tcMar>
              <w:top w:w="120" w:type="dxa"/>
              <w:left w:w="120" w:type="dxa"/>
              <w:bottom w:w="120" w:type="dxa"/>
              <w:right w:w="120" w:type="dxa"/>
            </w:tcMar>
            <w:vAlign w:val="center"/>
          </w:tcPr>
          <w:p w14:paraId="1EA6C9D6">
            <w:pPr>
              <w:spacing w:line="360"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备注</w:t>
            </w:r>
          </w:p>
        </w:tc>
      </w:tr>
      <w:tr w14:paraId="0AC29369">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492D18">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090148">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679800">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12F70F">
            <w:pPr>
              <w:spacing w:line="360" w:lineRule="auto"/>
              <w:jc w:val="center"/>
              <w:rPr>
                <w:rFonts w:ascii="宋体" w:hAnsi="宋体" w:eastAsia="宋体" w:cs="宋体"/>
                <w:kern w:val="0"/>
                <w:sz w:val="24"/>
                <w:szCs w:val="24"/>
              </w:rPr>
            </w:pPr>
          </w:p>
        </w:tc>
      </w:tr>
      <w:tr w14:paraId="4F519CB6">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B7A2E5">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EFA86">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448EB8">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EF0973">
            <w:pPr>
              <w:spacing w:line="360" w:lineRule="auto"/>
              <w:jc w:val="center"/>
              <w:rPr>
                <w:rFonts w:ascii="宋体" w:hAnsi="宋体" w:eastAsia="宋体" w:cs="宋体"/>
                <w:kern w:val="0"/>
                <w:sz w:val="24"/>
                <w:szCs w:val="24"/>
              </w:rPr>
            </w:pPr>
          </w:p>
        </w:tc>
      </w:tr>
      <w:tr w14:paraId="4D63932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67C584">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896B42">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31A9D2">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FD501B5">
            <w:pPr>
              <w:spacing w:line="360" w:lineRule="auto"/>
              <w:jc w:val="center"/>
              <w:rPr>
                <w:rFonts w:ascii="宋体" w:hAnsi="宋体" w:eastAsia="宋体" w:cs="宋体"/>
                <w:kern w:val="0"/>
                <w:sz w:val="24"/>
                <w:szCs w:val="24"/>
              </w:rPr>
            </w:pPr>
          </w:p>
        </w:tc>
      </w:tr>
      <w:tr w14:paraId="157EC6B2">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593015">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703B4F">
            <w:pPr>
              <w:spacing w:line="360" w:lineRule="auto"/>
              <w:jc w:val="center"/>
              <w:rPr>
                <w:rFonts w:ascii="宋体" w:hAnsi="宋体" w:eastAsia="宋体" w:cs="宋体"/>
                <w:kern w:val="0"/>
                <w:sz w:val="24"/>
                <w:szCs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C1FBCC">
            <w:pPr>
              <w:spacing w:line="360" w:lineRule="auto"/>
              <w:jc w:val="center"/>
              <w:rPr>
                <w:rFonts w:ascii="宋体" w:hAnsi="宋体" w:eastAsia="宋体" w:cs="宋体"/>
                <w:kern w:val="0"/>
                <w:sz w:val="24"/>
                <w:szCs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0D21BA">
            <w:pPr>
              <w:spacing w:line="360" w:lineRule="auto"/>
              <w:jc w:val="center"/>
              <w:rPr>
                <w:rFonts w:ascii="宋体" w:hAnsi="宋体" w:eastAsia="宋体" w:cs="宋体"/>
                <w:kern w:val="0"/>
                <w:sz w:val="24"/>
                <w:szCs w:val="24"/>
              </w:rPr>
            </w:pPr>
          </w:p>
        </w:tc>
      </w:tr>
    </w:tbl>
    <w:p w14:paraId="035543F4">
      <w:pPr>
        <w:snapToGrid w:val="0"/>
        <w:spacing w:line="360" w:lineRule="auto"/>
        <w:jc w:val="left"/>
        <w:rPr>
          <w:rFonts w:ascii="宋体" w:hAnsi="宋体" w:eastAsia="宋体" w:cs="Times New Roman"/>
          <w:sz w:val="24"/>
          <w:szCs w:val="24"/>
        </w:rPr>
      </w:pPr>
      <w:r>
        <w:rPr>
          <w:rFonts w:hint="eastAsia" w:ascii="宋体" w:hAnsi="宋体" w:eastAsia="宋体" w:cs="Times New Roman"/>
          <w:sz w:val="24"/>
          <w:szCs w:val="24"/>
        </w:rPr>
        <w:t>注：</w:t>
      </w:r>
    </w:p>
    <w:p w14:paraId="67E6DC48">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1.管理关系：是指不具有出资持股关系的其他单位之间存在的管理与被管理关系，如一些上下级关系的事业单位和团体组织。</w:t>
      </w:r>
    </w:p>
    <w:p w14:paraId="5E7C8DD9">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w:t>
      </w:r>
      <w:r>
        <w:rPr>
          <w:rFonts w:hint="eastAsia" w:ascii="宋体" w:hAnsi="宋体" w:eastAsia="宋体" w:cs="Times New Roman"/>
          <w:spacing w:val="-6"/>
          <w:sz w:val="24"/>
          <w:szCs w:val="24"/>
        </w:rPr>
        <w:t>本表所指的管理关系仅限于直接管理关系，不包括间接的管理关系。</w:t>
      </w:r>
    </w:p>
    <w:p w14:paraId="339AF974">
      <w:pPr>
        <w:snapToGrid w:val="0"/>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3.供应商不存在直接管理关系的，则填“无”。</w:t>
      </w:r>
    </w:p>
    <w:p w14:paraId="5BD8B521">
      <w:pPr>
        <w:snapToGrid w:val="0"/>
        <w:spacing w:line="360" w:lineRule="auto"/>
        <w:jc w:val="left"/>
        <w:rPr>
          <w:rFonts w:ascii="宋体" w:hAnsi="宋体" w:eastAsia="宋体" w:cs="Times New Roman"/>
          <w:sz w:val="24"/>
          <w:szCs w:val="24"/>
        </w:rPr>
      </w:pPr>
    </w:p>
    <w:p w14:paraId="670DC90A">
      <w:pPr>
        <w:snapToGrid w:val="0"/>
        <w:spacing w:line="360" w:lineRule="auto"/>
        <w:jc w:val="left"/>
        <w:rPr>
          <w:rFonts w:ascii="宋体" w:hAnsi="宋体" w:eastAsia="宋体" w:cs="Times New Roman"/>
          <w:sz w:val="24"/>
          <w:szCs w:val="24"/>
        </w:rPr>
      </w:pPr>
    </w:p>
    <w:p w14:paraId="534787F3">
      <w:pPr>
        <w:snapToGrid w:val="0"/>
        <w:spacing w:line="360" w:lineRule="auto"/>
        <w:jc w:val="left"/>
        <w:rPr>
          <w:rFonts w:ascii="宋体" w:hAnsi="宋体" w:eastAsia="宋体" w:cs="Times New Roman"/>
          <w:sz w:val="24"/>
          <w:szCs w:val="24"/>
        </w:rPr>
      </w:pPr>
    </w:p>
    <w:p w14:paraId="47E939FA">
      <w:pPr>
        <w:snapToGrid w:val="0"/>
        <w:spacing w:line="360" w:lineRule="auto"/>
        <w:jc w:val="left"/>
        <w:rPr>
          <w:rFonts w:ascii="Times New Roman" w:hAnsi="Times New Roman" w:eastAsia="宋体" w:cs="Times New Roman"/>
          <w:sz w:val="24"/>
          <w:szCs w:val="24"/>
        </w:rPr>
      </w:pPr>
    </w:p>
    <w:p w14:paraId="2F97331C">
      <w:pPr>
        <w:snapToGrid w:val="0"/>
        <w:spacing w:line="360" w:lineRule="auto"/>
        <w:jc w:val="left"/>
        <w:rPr>
          <w:rFonts w:ascii="Times New Roman" w:hAnsi="Times New Roman" w:eastAsia="宋体" w:cs="Times New Roman"/>
          <w:sz w:val="24"/>
          <w:szCs w:val="24"/>
        </w:rPr>
      </w:pPr>
    </w:p>
    <w:p w14:paraId="67CE2CCD">
      <w:pPr>
        <w:snapToGrid w:val="0"/>
        <w:spacing w:line="360" w:lineRule="auto"/>
        <w:jc w:val="left"/>
        <w:rPr>
          <w:rFonts w:ascii="Times New Roman" w:hAnsi="Times New Roman" w:eastAsia="宋体" w:cs="Times New Roman"/>
          <w:sz w:val="24"/>
          <w:szCs w:val="24"/>
        </w:rPr>
      </w:pPr>
    </w:p>
    <w:p w14:paraId="77C01626">
      <w:pPr>
        <w:snapToGrid w:val="0"/>
        <w:spacing w:line="360" w:lineRule="auto"/>
        <w:jc w:val="left"/>
        <w:rPr>
          <w:rFonts w:ascii="宋体" w:hAnsi="宋体" w:eastAsia="宋体" w:cs="Times New Roman"/>
          <w:sz w:val="24"/>
          <w:szCs w:val="24"/>
        </w:rPr>
      </w:pPr>
    </w:p>
    <w:p w14:paraId="75506595">
      <w:pPr>
        <w:snapToGrid w:val="0"/>
        <w:spacing w:before="120" w:beforeLines="50" w:line="360" w:lineRule="auto"/>
        <w:ind w:right="480" w:firstLine="3967" w:firstLineChars="1653"/>
        <w:rPr>
          <w:rFonts w:ascii="宋体" w:hAnsi="宋体" w:eastAsia="宋体" w:cs="Times New Roman"/>
          <w:sz w:val="24"/>
          <w:szCs w:val="24"/>
          <w:u w:val="single"/>
        </w:rPr>
      </w:pPr>
      <w:r>
        <w:rPr>
          <w:rFonts w:hint="eastAsia" w:ascii="宋体" w:hAnsi="宋体" w:eastAsia="宋体" w:cs="Times New Roman"/>
          <w:sz w:val="24"/>
          <w:szCs w:val="24"/>
        </w:rPr>
        <w:t>法定代表人或者委托代理人（签字）：</w:t>
      </w:r>
      <w:r>
        <w:rPr>
          <w:rFonts w:hint="eastAsia" w:ascii="宋体" w:hAnsi="宋体" w:eastAsia="宋体" w:cs="Times New Roman"/>
          <w:sz w:val="24"/>
          <w:szCs w:val="24"/>
          <w:u w:val="single"/>
        </w:rPr>
        <w:t xml:space="preserve">             </w:t>
      </w:r>
    </w:p>
    <w:p w14:paraId="008AEAF7">
      <w:pPr>
        <w:snapToGrid w:val="0"/>
        <w:spacing w:before="120" w:beforeLines="50" w:after="50" w:line="360" w:lineRule="auto"/>
        <w:ind w:right="480" w:firstLine="5520" w:firstLineChars="2300"/>
        <w:rPr>
          <w:rFonts w:ascii="宋体" w:hAnsi="宋体" w:eastAsia="宋体" w:cs="Times New Roman"/>
          <w:sz w:val="24"/>
          <w:szCs w:val="24"/>
        </w:rPr>
      </w:pPr>
      <w:r>
        <w:rPr>
          <w:rFonts w:hint="eastAsia" w:ascii="宋体" w:hAnsi="宋体" w:eastAsia="宋体" w:cs="Times New Roman"/>
          <w:sz w:val="24"/>
          <w:szCs w:val="24"/>
        </w:rPr>
        <w:t>投标人（盖公章）：</w:t>
      </w:r>
      <w:r>
        <w:rPr>
          <w:rFonts w:hint="eastAsia" w:ascii="宋体" w:hAnsi="宋体" w:eastAsia="宋体" w:cs="Times New Roman"/>
          <w:sz w:val="24"/>
          <w:szCs w:val="24"/>
          <w:u w:val="single"/>
        </w:rPr>
        <w:t xml:space="preserve">                 </w:t>
      </w:r>
    </w:p>
    <w:p w14:paraId="420F57DF">
      <w:pPr>
        <w:snapToGrid w:val="0"/>
        <w:spacing w:before="120" w:beforeLines="50" w:after="50" w:line="360" w:lineRule="auto"/>
        <w:ind w:right="480" w:firstLine="240" w:firstLineChars="100"/>
        <w:jc w:val="right"/>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6E858F42">
      <w:pPr>
        <w:snapToGrid w:val="0"/>
        <w:spacing w:before="50" w:after="120" w:afterLines="50"/>
        <w:jc w:val="left"/>
        <w:rPr>
          <w:rFonts w:ascii="宋体" w:hAnsi="宋体" w:eastAsia="宋体" w:cs="Times New Roman"/>
          <w:szCs w:val="21"/>
        </w:rPr>
      </w:pPr>
    </w:p>
    <w:p w14:paraId="4164772B">
      <w:pPr>
        <w:snapToGrid w:val="0"/>
        <w:spacing w:before="120" w:beforeLines="50" w:after="50"/>
        <w:jc w:val="left"/>
        <w:rPr>
          <w:rFonts w:ascii="宋体" w:hAnsi="宋体" w:eastAsia="宋体" w:cs="Times New Roman"/>
          <w:b/>
          <w:sz w:val="24"/>
          <w:szCs w:val="20"/>
        </w:rPr>
      </w:pPr>
    </w:p>
    <w:p w14:paraId="4679CA7F">
      <w:pPr>
        <w:numPr>
          <w:ilvl w:val="2"/>
          <w:numId w:val="10"/>
        </w:numPr>
        <w:snapToGrid w:val="0"/>
        <w:spacing w:before="120" w:beforeLines="50" w:after="50"/>
        <w:jc w:val="left"/>
        <w:rPr>
          <w:rFonts w:ascii="宋体" w:hAnsi="宋体" w:eastAsia="宋体" w:cs="Times New Roman"/>
          <w:b/>
          <w:sz w:val="24"/>
          <w:szCs w:val="20"/>
        </w:rPr>
      </w:pPr>
      <w:r>
        <w:rPr>
          <w:rFonts w:ascii="宋体" w:hAnsi="宋体" w:eastAsia="宋体" w:cs="Times New Roman"/>
          <w:b/>
          <w:sz w:val="24"/>
          <w:szCs w:val="24"/>
        </w:rPr>
        <w:br w:type="page"/>
      </w:r>
      <w:r>
        <w:rPr>
          <w:rFonts w:hint="eastAsia" w:ascii="宋体" w:hAnsi="宋体" w:eastAsia="宋体" w:cs="Times New Roman"/>
          <w:b/>
          <w:sz w:val="24"/>
          <w:szCs w:val="24"/>
        </w:rPr>
        <w:t>投标声明</w:t>
      </w:r>
    </w:p>
    <w:p w14:paraId="222A56C5">
      <w:pPr>
        <w:snapToGrid w:val="0"/>
        <w:spacing w:before="50" w:after="120" w:afterLines="50"/>
        <w:jc w:val="left"/>
        <w:rPr>
          <w:rFonts w:ascii="宋体" w:hAnsi="宋体" w:eastAsia="宋体" w:cs="Times New Roman"/>
          <w:szCs w:val="24"/>
        </w:rPr>
      </w:pPr>
    </w:p>
    <w:p w14:paraId="169C1777">
      <w:pPr>
        <w:snapToGrid w:val="0"/>
        <w:spacing w:before="50" w:after="120" w:afterLines="50"/>
        <w:jc w:val="center"/>
        <w:rPr>
          <w:rFonts w:ascii="宋体" w:hAnsi="宋体" w:eastAsia="宋体" w:cs="Times New Roman"/>
          <w:b/>
          <w:sz w:val="32"/>
          <w:szCs w:val="32"/>
        </w:rPr>
      </w:pPr>
      <w:r>
        <w:rPr>
          <w:rFonts w:hint="eastAsia" w:ascii="宋体" w:hAnsi="宋体" w:eastAsia="宋体" w:cs="Times New Roman"/>
          <w:b/>
          <w:sz w:val="32"/>
          <w:szCs w:val="32"/>
        </w:rPr>
        <w:t>投标声明</w:t>
      </w:r>
    </w:p>
    <w:p w14:paraId="565AA416">
      <w:pPr>
        <w:spacing w:line="360" w:lineRule="auto"/>
        <w:contextualSpacing/>
        <w:rPr>
          <w:rFonts w:ascii="宋体" w:hAnsi="宋体" w:eastAsia="宋体" w:cs="Times New Roman"/>
          <w:b/>
          <w:sz w:val="28"/>
          <w:szCs w:val="28"/>
        </w:rPr>
      </w:pPr>
    </w:p>
    <w:p w14:paraId="1A2EE097">
      <w:pPr>
        <w:snapToGrid w:val="0"/>
        <w:spacing w:before="120" w:beforeLines="50" w:after="50" w:line="340" w:lineRule="exact"/>
        <w:rPr>
          <w:rFonts w:ascii="宋体" w:hAnsi="宋体" w:eastAsia="宋体" w:cs="Times New Roman"/>
          <w:sz w:val="24"/>
          <w:szCs w:val="24"/>
        </w:rPr>
      </w:pPr>
      <w:r>
        <w:rPr>
          <w:rFonts w:hint="eastAsia" w:ascii="宋体" w:hAnsi="宋体" w:eastAsia="宋体" w:cs="Times New Roman"/>
          <w:sz w:val="24"/>
          <w:szCs w:val="24"/>
        </w:rPr>
        <w:t>致：_</w:t>
      </w:r>
      <w:r>
        <w:rPr>
          <w:rFonts w:hint="eastAsia" w:ascii="宋体" w:hAnsi="宋体" w:eastAsia="宋体" w:cs="Times New Roman"/>
          <w:sz w:val="24"/>
          <w:szCs w:val="24"/>
          <w:u w:val="single"/>
        </w:rPr>
        <w:t>中经国际招标集团有限公司</w:t>
      </w:r>
      <w:r>
        <w:rPr>
          <w:rFonts w:hint="eastAsia" w:ascii="宋体" w:hAnsi="宋体" w:eastAsia="宋体" w:cs="Times New Roman"/>
          <w:sz w:val="24"/>
          <w:szCs w:val="24"/>
        </w:rPr>
        <w:t>：</w:t>
      </w:r>
    </w:p>
    <w:p w14:paraId="462BCD25">
      <w:pPr>
        <w:snapToGrid w:val="0"/>
        <w:spacing w:before="120" w:beforeLines="50" w:after="50" w:line="340" w:lineRule="exact"/>
        <w:ind w:firstLine="720" w:firstLineChars="300"/>
        <w:rPr>
          <w:rFonts w:ascii="宋体" w:hAnsi="宋体" w:eastAsia="宋体" w:cs="Times New Roman"/>
          <w:sz w:val="24"/>
          <w:szCs w:val="24"/>
        </w:rPr>
      </w:pPr>
      <w:r>
        <w:rPr>
          <w:rFonts w:hint="eastAsia" w:ascii="宋体" w:hAnsi="宋体" w:eastAsia="宋体" w:cs="Times New Roman"/>
          <w:sz w:val="24"/>
          <w:szCs w:val="24"/>
        </w:rPr>
        <w:t>______</w:t>
      </w:r>
      <w:r>
        <w:rPr>
          <w:rFonts w:hint="eastAsia" w:ascii="宋体" w:hAnsi="宋体" w:eastAsia="宋体" w:cs="Times New Roman"/>
          <w:sz w:val="24"/>
          <w:szCs w:val="24"/>
          <w:u w:val="single"/>
        </w:rPr>
        <w:t>_     _</w:t>
      </w:r>
      <w:r>
        <w:rPr>
          <w:rFonts w:hint="eastAsia" w:ascii="宋体" w:hAnsi="宋体" w:eastAsia="宋体" w:cs="Times New Roman"/>
          <w:sz w:val="24"/>
          <w:szCs w:val="24"/>
        </w:rPr>
        <w:t>_（投标人名称）系中华人民共和国合法企业，经营地址</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14:paraId="0D0A2555">
      <w:pPr>
        <w:snapToGrid w:val="0"/>
        <w:spacing w:before="120" w:beforeLines="50" w:after="50" w:line="340" w:lineRule="exact"/>
        <w:ind w:firstLine="645"/>
        <w:rPr>
          <w:rFonts w:ascii="宋体" w:hAnsi="宋体" w:eastAsia="宋体" w:cs="Times New Roman"/>
          <w:sz w:val="24"/>
          <w:szCs w:val="24"/>
        </w:rPr>
      </w:pPr>
      <w:r>
        <w:rPr>
          <w:rFonts w:hint="eastAsia" w:ascii="宋体" w:hAnsi="宋体" w:eastAsia="宋体" w:cs="Times New Roman"/>
          <w:sz w:val="24"/>
          <w:szCs w:val="24"/>
        </w:rPr>
        <w:t>我___</w:t>
      </w:r>
      <w:r>
        <w:rPr>
          <w:rFonts w:hint="eastAsia" w:ascii="宋体" w:hAnsi="宋体" w:eastAsia="宋体" w:cs="Times New Roman"/>
          <w:sz w:val="24"/>
          <w:szCs w:val="24"/>
          <w:u w:val="single"/>
        </w:rPr>
        <w:t xml:space="preserve">    _</w:t>
      </w:r>
      <w:r>
        <w:rPr>
          <w:rFonts w:hint="eastAsia" w:ascii="宋体" w:hAnsi="宋体" w:eastAsia="宋体" w:cs="Times New Roman"/>
          <w:sz w:val="24"/>
          <w:szCs w:val="24"/>
        </w:rPr>
        <w:t>_（姓名）系______</w:t>
      </w:r>
      <w:r>
        <w:rPr>
          <w:rFonts w:hint="eastAsia" w:ascii="宋体" w:hAnsi="宋体" w:eastAsia="宋体" w:cs="Times New Roman"/>
          <w:sz w:val="24"/>
          <w:szCs w:val="24"/>
          <w:u w:val="single"/>
        </w:rPr>
        <w:t>_     _</w:t>
      </w:r>
      <w:r>
        <w:rPr>
          <w:rFonts w:hint="eastAsia" w:ascii="宋体" w:hAnsi="宋体" w:eastAsia="宋体" w:cs="Times New Roman"/>
          <w:sz w:val="24"/>
          <w:szCs w:val="24"/>
        </w:rPr>
        <w:t>_（投标人名称）的法定代表人(负责人)，我方愿意参加贵方组织的_____</w:t>
      </w:r>
      <w:r>
        <w:rPr>
          <w:rFonts w:hint="eastAsia" w:ascii="宋体" w:hAnsi="宋体" w:eastAsia="宋体" w:cs="Times New Roman"/>
          <w:sz w:val="24"/>
          <w:szCs w:val="24"/>
          <w:u w:val="single"/>
        </w:rPr>
        <w:t>_              _     _</w:t>
      </w:r>
      <w:r>
        <w:rPr>
          <w:rFonts w:hint="eastAsia" w:ascii="宋体" w:hAnsi="宋体" w:eastAsia="宋体" w:cs="Times New Roman"/>
          <w:sz w:val="24"/>
          <w:szCs w:val="24"/>
        </w:rPr>
        <w:t>_项目的投标，为便于贵方公正、择优地确定中标人及其投标产品和服务，我方就本次投标有关事项郑重声明如下：</w:t>
      </w:r>
    </w:p>
    <w:p w14:paraId="71E42219">
      <w:pPr>
        <w:snapToGrid w:val="0"/>
        <w:spacing w:line="3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1.我方向贵方提交的所有投标文件、资料都是准确的和真实的。</w:t>
      </w:r>
    </w:p>
    <w:p w14:paraId="664B40A2">
      <w:pPr>
        <w:snapToGrid w:val="0"/>
        <w:spacing w:before="120" w:beforeLines="50" w:line="3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2.我方不是招标人的附属机构；在获知本项目采购信息后，与招标人聘请的为此项目提供咨询服务的公司及其附属机构没有任何联系。</w:t>
      </w:r>
    </w:p>
    <w:p w14:paraId="1C358BCA">
      <w:pPr>
        <w:snapToGrid w:val="0"/>
        <w:spacing w:before="120" w:beforeLines="50" w:line="3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3.我方诚意提请贵方关注：近期有关该型号产品的生产、供货、售后服务以及性能等方面的重大决策和事项有：</w:t>
      </w:r>
    </w:p>
    <w:p w14:paraId="62D46C27">
      <w:pPr>
        <w:snapToGrid w:val="0"/>
        <w:spacing w:before="120" w:beforeLines="50" w:line="34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u w:val="single"/>
        </w:rPr>
        <w:t>　　　　　　　　　　　　　　　　　　　　　　　　　　　</w:t>
      </w:r>
    </w:p>
    <w:p w14:paraId="16008AFF">
      <w:pPr>
        <w:snapToGrid w:val="0"/>
        <w:spacing w:before="120" w:beforeLines="50" w:line="3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u w:val="single"/>
        </w:rPr>
        <w:t>　　　　　　　　　　　　　　　　　　　　　　　　　　　</w:t>
      </w:r>
    </w:p>
    <w:p w14:paraId="31AAF671">
      <w:pPr>
        <w:snapToGrid w:val="0"/>
        <w:spacing w:line="340" w:lineRule="exact"/>
        <w:ind w:left="660" w:leftChars="200" w:hanging="240" w:hangingChars="100"/>
        <w:rPr>
          <w:rFonts w:ascii="宋体" w:hAnsi="宋体" w:eastAsia="宋体" w:cs="Times New Roman"/>
          <w:b/>
          <w:sz w:val="24"/>
          <w:szCs w:val="24"/>
        </w:rPr>
      </w:pPr>
      <w:r>
        <w:rPr>
          <w:rFonts w:hint="eastAsia" w:ascii="宋体" w:hAnsi="宋体" w:eastAsia="宋体" w:cs="Times New Roman"/>
          <w:sz w:val="24"/>
          <w:szCs w:val="24"/>
        </w:rPr>
        <w:t>4.</w:t>
      </w:r>
      <w:r>
        <w:rPr>
          <w:rFonts w:hint="eastAsia" w:ascii="仿宋_GB2312" w:hAnsi="Times New Roman" w:eastAsia="仿宋_GB2312" w:cs="Times New Roman"/>
          <w:sz w:val="24"/>
          <w:szCs w:val="24"/>
        </w:rPr>
        <w:t xml:space="preserve"> </w:t>
      </w:r>
      <w:r>
        <w:rPr>
          <w:rFonts w:hint="eastAsia" w:ascii="宋体" w:hAnsi="宋体" w:eastAsia="宋体" w:cs="Times New Roman"/>
          <w:sz w:val="24"/>
          <w:szCs w:val="24"/>
        </w:rPr>
        <w:t>我方参加政府采购活动前三年内在经营活动中重大违法记录和不良信用记录情况：</w:t>
      </w:r>
    </w:p>
    <w:p w14:paraId="719F46B4">
      <w:pPr>
        <w:snapToGrid w:val="0"/>
        <w:spacing w:before="120" w:beforeLines="50" w:line="340" w:lineRule="exact"/>
        <w:ind w:firstLine="482" w:firstLineChars="200"/>
        <w:rPr>
          <w:rFonts w:ascii="宋体" w:hAnsi="宋体" w:eastAsia="宋体" w:cs="Times New Roman"/>
          <w:sz w:val="24"/>
          <w:szCs w:val="24"/>
          <w:u w:val="single"/>
        </w:rPr>
      </w:pPr>
      <w:r>
        <w:rPr>
          <w:rFonts w:hint="eastAsia" w:ascii="宋体" w:hAnsi="宋体" w:eastAsia="宋体" w:cs="Times New Roman"/>
          <w:b/>
          <w:sz w:val="24"/>
          <w:szCs w:val="24"/>
          <w:u w:val="single"/>
        </w:rPr>
        <w:t>　　　　　　</w:t>
      </w:r>
      <w:r>
        <w:rPr>
          <w:rFonts w:hint="eastAsia" w:ascii="宋体" w:hAnsi="宋体" w:eastAsia="宋体" w:cs="Times New Roman"/>
          <w:sz w:val="24"/>
          <w:szCs w:val="24"/>
          <w:u w:val="single"/>
        </w:rPr>
        <w:t>　　　　　　　　　　　　　　　　　　　　　</w:t>
      </w:r>
    </w:p>
    <w:p w14:paraId="48745B6C">
      <w:pPr>
        <w:snapToGrid w:val="0"/>
        <w:spacing w:before="120" w:beforeLines="50" w:line="3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5.以上事项如有虚假或隐瞒，我方愿意承担一切后果。</w:t>
      </w:r>
    </w:p>
    <w:p w14:paraId="59BC891C">
      <w:pPr>
        <w:snapToGrid w:val="0"/>
        <w:spacing w:before="120" w:beforeLines="50" w:line="340" w:lineRule="exact"/>
        <w:ind w:firstLine="4010" w:firstLineChars="1671"/>
        <w:rPr>
          <w:rFonts w:ascii="宋体" w:hAnsi="宋体" w:eastAsia="宋体" w:cs="Times New Roman"/>
          <w:sz w:val="24"/>
          <w:szCs w:val="24"/>
          <w:u w:val="single"/>
        </w:rPr>
      </w:pPr>
      <w:r>
        <w:rPr>
          <w:rFonts w:hint="eastAsia" w:ascii="宋体" w:hAnsi="宋体" w:eastAsia="宋体" w:cs="Times New Roman"/>
          <w:sz w:val="24"/>
          <w:szCs w:val="24"/>
        </w:rPr>
        <w:t>法定代表人(负责人) 或委托代理人签字：</w:t>
      </w:r>
      <w:r>
        <w:rPr>
          <w:rFonts w:hint="eastAsia" w:ascii="宋体" w:hAnsi="宋体" w:eastAsia="宋体" w:cs="Times New Roman"/>
          <w:sz w:val="24"/>
          <w:szCs w:val="24"/>
          <w:u w:val="single"/>
        </w:rPr>
        <w:t xml:space="preserve">             </w:t>
      </w:r>
    </w:p>
    <w:p w14:paraId="01C9FAFC">
      <w:pPr>
        <w:snapToGrid w:val="0"/>
        <w:spacing w:before="120" w:beforeLines="50" w:after="50" w:line="340" w:lineRule="exact"/>
        <w:ind w:firstLine="4080" w:firstLineChars="1700"/>
        <w:rPr>
          <w:rFonts w:ascii="宋体" w:hAnsi="宋体" w:eastAsia="宋体" w:cs="Times New Roman"/>
          <w:sz w:val="24"/>
          <w:szCs w:val="24"/>
        </w:rPr>
      </w:pPr>
      <w:r>
        <w:rPr>
          <w:rFonts w:hint="eastAsia" w:ascii="宋体" w:hAnsi="宋体" w:eastAsia="宋体" w:cs="Times New Roman"/>
          <w:sz w:val="24"/>
          <w:szCs w:val="24"/>
        </w:rPr>
        <w:t>投标人公章：</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32C85EA3">
      <w:pPr>
        <w:snapToGrid w:val="0"/>
        <w:spacing w:before="120" w:beforeLines="50" w:after="50" w:line="340" w:lineRule="exact"/>
        <w:ind w:firstLine="240" w:firstLineChars="100"/>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39FEE4F5">
      <w:pPr>
        <w:spacing w:line="400" w:lineRule="exact"/>
        <w:contextualSpacing/>
        <w:jc w:val="left"/>
        <w:rPr>
          <w:rFonts w:ascii="宋体" w:hAnsi="宋体" w:eastAsia="宋体" w:cs="Times New Roman"/>
          <w:sz w:val="24"/>
          <w:szCs w:val="24"/>
        </w:rPr>
      </w:pPr>
      <w:r>
        <w:rPr>
          <w:rFonts w:hint="eastAsia" w:ascii="宋体" w:hAnsi="宋体" w:eastAsia="宋体" w:cs="Times New Roman"/>
          <w:b/>
          <w:sz w:val="24"/>
          <w:szCs w:val="24"/>
        </w:rPr>
        <w:t>※重大违法记录，是指供应商因违法经营受到刑事处罚或者责令停产停业、吊销许可证或者执照、较大数额罚款等行政处罚。</w:t>
      </w:r>
    </w:p>
    <w:p w14:paraId="626032F7">
      <w:pPr>
        <w:spacing w:line="400" w:lineRule="exact"/>
        <w:contextualSpacing/>
        <w:jc w:val="left"/>
        <w:rPr>
          <w:rFonts w:ascii="宋体" w:hAnsi="宋体" w:eastAsia="宋体" w:cs="Times New Roman"/>
          <w:sz w:val="24"/>
          <w:szCs w:val="24"/>
        </w:rPr>
      </w:pPr>
    </w:p>
    <w:p w14:paraId="4A997D8E">
      <w:pPr>
        <w:rPr>
          <w:rFonts w:ascii="Times New Roman" w:hAnsi="Times New Roman" w:eastAsia="宋体" w:cs="Times New Roman"/>
          <w:b/>
          <w:sz w:val="28"/>
          <w:szCs w:val="28"/>
        </w:rPr>
      </w:pPr>
      <w:bookmarkStart w:id="151" w:name="_Toc19686838"/>
      <w:r>
        <w:rPr>
          <w:rFonts w:ascii="Times New Roman" w:hAnsi="Times New Roman" w:eastAsia="宋体" w:cs="Times New Roman"/>
          <w:b/>
          <w:sz w:val="28"/>
          <w:szCs w:val="28"/>
        </w:rPr>
        <w:br w:type="page"/>
      </w:r>
      <w:r>
        <w:rPr>
          <w:rFonts w:hint="eastAsia" w:ascii="Times New Roman" w:hAnsi="Times New Roman" w:eastAsia="宋体" w:cs="Times New Roman"/>
          <w:b/>
          <w:sz w:val="28"/>
          <w:szCs w:val="28"/>
        </w:rPr>
        <w:t>四、商务文件格式</w:t>
      </w:r>
      <w:bookmarkEnd w:id="151"/>
    </w:p>
    <w:p w14:paraId="07F7C450">
      <w:pPr>
        <w:snapToGrid w:val="0"/>
        <w:spacing w:before="120" w:beforeLines="50" w:after="50" w:line="360" w:lineRule="auto"/>
        <w:jc w:val="left"/>
        <w:rPr>
          <w:rFonts w:ascii="宋体" w:hAnsi="宋体" w:eastAsia="宋体" w:cs="Times New Roman"/>
          <w:b/>
          <w:sz w:val="24"/>
          <w:szCs w:val="24"/>
        </w:rPr>
      </w:pPr>
      <w:r>
        <w:rPr>
          <w:rFonts w:hint="eastAsia" w:ascii="宋体" w:hAnsi="宋体" w:eastAsia="宋体" w:cs="Times New Roman"/>
          <w:b/>
          <w:sz w:val="24"/>
          <w:szCs w:val="24"/>
        </w:rPr>
        <w:t xml:space="preserve">1.商务文件封面格式： </w:t>
      </w:r>
    </w:p>
    <w:p w14:paraId="1DCDBDC7">
      <w:pPr>
        <w:snapToGrid w:val="0"/>
        <w:spacing w:before="120" w:beforeLines="50" w:after="50"/>
        <w:rPr>
          <w:rFonts w:ascii="宋体" w:hAnsi="宋体" w:eastAsia="宋体" w:cs="Times New Roman"/>
          <w:bCs/>
          <w:sz w:val="32"/>
          <w:szCs w:val="20"/>
        </w:rPr>
      </w:pPr>
      <w:r>
        <w:rPr>
          <w:rFonts w:hint="eastAsia" w:ascii="宋体" w:hAnsi="宋体" w:eastAsia="宋体" w:cs="Times New Roman"/>
          <w:sz w:val="24"/>
          <w:szCs w:val="24"/>
        </w:rPr>
        <w:t xml:space="preserve">                                                    </w:t>
      </w:r>
      <w:r>
        <w:rPr>
          <w:rFonts w:hint="eastAsia" w:ascii="宋体" w:hAnsi="宋体" w:eastAsia="宋体" w:cs="Times New Roman"/>
          <w:bCs/>
          <w:szCs w:val="24"/>
        </w:rPr>
        <w:t>正本</w:t>
      </w:r>
    </w:p>
    <w:p w14:paraId="11D8279D">
      <w:pPr>
        <w:snapToGrid w:val="0"/>
        <w:spacing w:before="120" w:beforeLines="50" w:after="50"/>
        <w:rPr>
          <w:rFonts w:ascii="宋体" w:hAnsi="宋体" w:eastAsia="宋体" w:cs="Times New Roman"/>
          <w:sz w:val="24"/>
          <w:szCs w:val="20"/>
        </w:rPr>
      </w:pPr>
    </w:p>
    <w:p w14:paraId="2294284A">
      <w:pPr>
        <w:snapToGrid w:val="0"/>
        <w:spacing w:before="120" w:beforeLines="50" w:after="50"/>
        <w:jc w:val="center"/>
        <w:rPr>
          <w:rFonts w:ascii="宋体" w:hAnsi="宋体" w:eastAsia="宋体" w:cs="Times New Roman"/>
          <w:b/>
          <w:sz w:val="24"/>
          <w:szCs w:val="20"/>
        </w:rPr>
      </w:pPr>
      <w:r>
        <w:rPr>
          <w:rFonts w:hint="eastAsia" w:ascii="宋体" w:hAnsi="宋体" w:eastAsia="宋体" w:cs="Times New Roman"/>
          <w:b/>
          <w:sz w:val="32"/>
          <w:szCs w:val="32"/>
        </w:rPr>
        <w:t>商务文件</w:t>
      </w:r>
    </w:p>
    <w:p w14:paraId="2CCA2104">
      <w:pPr>
        <w:snapToGrid w:val="0"/>
        <w:spacing w:before="120" w:beforeLines="50" w:after="50"/>
        <w:rPr>
          <w:rFonts w:ascii="宋体" w:hAnsi="宋体" w:eastAsia="宋体" w:cs="Times New Roman"/>
          <w:bCs/>
          <w:sz w:val="24"/>
          <w:szCs w:val="20"/>
        </w:rPr>
      </w:pPr>
    </w:p>
    <w:p w14:paraId="229A6161">
      <w:pPr>
        <w:snapToGrid w:val="0"/>
        <w:spacing w:before="120"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项目名称：</w:t>
      </w:r>
    </w:p>
    <w:p w14:paraId="0AEDCA0C">
      <w:pPr>
        <w:snapToGrid w:val="0"/>
        <w:spacing w:before="120" w:beforeLines="50" w:after="50"/>
        <w:ind w:firstLine="540" w:firstLineChars="225"/>
        <w:rPr>
          <w:rFonts w:ascii="宋体" w:hAnsi="宋体" w:eastAsia="宋体" w:cs="Times New Roman"/>
          <w:bCs/>
          <w:sz w:val="24"/>
          <w:szCs w:val="20"/>
        </w:rPr>
      </w:pPr>
    </w:p>
    <w:p w14:paraId="6ACAC4CE">
      <w:pPr>
        <w:snapToGrid w:val="0"/>
        <w:spacing w:before="120" w:beforeLines="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项目编号：</w:t>
      </w:r>
    </w:p>
    <w:p w14:paraId="7C84592F">
      <w:pPr>
        <w:snapToGrid w:val="0"/>
        <w:spacing w:before="120" w:beforeLines="50" w:after="50"/>
        <w:ind w:firstLine="540" w:firstLineChars="225"/>
        <w:rPr>
          <w:rFonts w:ascii="宋体" w:hAnsi="宋体" w:eastAsia="宋体" w:cs="Times New Roman"/>
          <w:bCs/>
          <w:sz w:val="24"/>
          <w:szCs w:val="20"/>
        </w:rPr>
      </w:pPr>
      <w:r>
        <w:rPr>
          <w:rFonts w:hint="eastAsia" w:ascii="宋体" w:hAnsi="宋体" w:eastAsia="宋体" w:cs="Times New Roman"/>
          <w:bCs/>
          <w:sz w:val="24"/>
          <w:szCs w:val="24"/>
        </w:rPr>
        <w:t xml:space="preserve"> </w:t>
      </w:r>
    </w:p>
    <w:p w14:paraId="260236A6">
      <w:pPr>
        <w:snapToGrid w:val="0"/>
        <w:spacing w:before="120" w:beforeLines="50" w:after="50"/>
        <w:ind w:firstLine="540" w:firstLineChars="225"/>
        <w:rPr>
          <w:rFonts w:ascii="宋体" w:hAnsi="宋体" w:eastAsia="宋体" w:cs="Times New Roman"/>
          <w:bCs/>
          <w:sz w:val="24"/>
          <w:szCs w:val="20"/>
        </w:rPr>
      </w:pPr>
    </w:p>
    <w:p w14:paraId="764EACAB">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投标人名称：</w:t>
      </w:r>
    </w:p>
    <w:p w14:paraId="32A8B857">
      <w:pPr>
        <w:snapToGrid w:val="0"/>
        <w:spacing w:before="50" w:after="50"/>
        <w:ind w:firstLine="540" w:firstLineChars="225"/>
        <w:rPr>
          <w:rFonts w:ascii="宋体" w:hAnsi="宋体" w:eastAsia="宋体" w:cs="Times New Roman"/>
          <w:bCs/>
          <w:sz w:val="24"/>
          <w:szCs w:val="24"/>
        </w:rPr>
      </w:pPr>
    </w:p>
    <w:p w14:paraId="62A04699">
      <w:pPr>
        <w:snapToGrid w:val="0"/>
        <w:spacing w:before="50" w:after="50"/>
        <w:ind w:firstLine="540" w:firstLineChars="225"/>
        <w:rPr>
          <w:rFonts w:ascii="宋体" w:hAnsi="宋体" w:eastAsia="宋体" w:cs="Times New Roman"/>
          <w:bCs/>
          <w:sz w:val="24"/>
          <w:szCs w:val="24"/>
        </w:rPr>
      </w:pPr>
      <w:r>
        <w:rPr>
          <w:rFonts w:hint="eastAsia" w:ascii="宋体" w:hAnsi="宋体" w:eastAsia="宋体" w:cs="Times New Roman"/>
          <w:bCs/>
          <w:sz w:val="24"/>
          <w:szCs w:val="24"/>
        </w:rPr>
        <w:t>投标人地址：</w:t>
      </w:r>
    </w:p>
    <w:p w14:paraId="68A7E7F6">
      <w:pPr>
        <w:snapToGrid w:val="0"/>
        <w:spacing w:before="50" w:after="50"/>
        <w:ind w:firstLine="540" w:firstLineChars="225"/>
        <w:rPr>
          <w:rFonts w:ascii="宋体" w:hAnsi="宋体" w:eastAsia="宋体" w:cs="Times New Roman"/>
          <w:bCs/>
          <w:sz w:val="24"/>
          <w:szCs w:val="24"/>
        </w:rPr>
      </w:pPr>
    </w:p>
    <w:p w14:paraId="11C5729B">
      <w:pPr>
        <w:snapToGrid w:val="0"/>
        <w:spacing w:before="50" w:after="50"/>
        <w:ind w:firstLine="960" w:firstLineChars="400"/>
        <w:rPr>
          <w:rFonts w:ascii="宋体" w:hAnsi="宋体" w:eastAsia="宋体" w:cs="Times New Roman"/>
          <w:bCs/>
          <w:sz w:val="24"/>
          <w:szCs w:val="24"/>
        </w:rPr>
      </w:pPr>
    </w:p>
    <w:p w14:paraId="1DC18205">
      <w:pPr>
        <w:snapToGrid w:val="0"/>
        <w:spacing w:before="120" w:beforeLines="50" w:after="50"/>
        <w:ind w:firstLine="645"/>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4DBF2D43">
      <w:pPr>
        <w:snapToGrid w:val="0"/>
        <w:spacing w:before="120" w:beforeLines="50" w:after="50"/>
        <w:rPr>
          <w:rFonts w:ascii="宋体" w:hAnsi="宋体" w:eastAsia="宋体" w:cs="Times New Roman"/>
          <w:sz w:val="24"/>
          <w:szCs w:val="20"/>
        </w:rPr>
      </w:pPr>
      <w:r>
        <w:rPr>
          <w:rFonts w:ascii="宋体" w:hAnsi="宋体" w:eastAsia="宋体" w:cs="Times New Roman"/>
          <w:sz w:val="24"/>
          <w:szCs w:val="20"/>
        </w:rPr>
        <w:t xml:space="preserve"> </w:t>
      </w:r>
    </w:p>
    <w:p w14:paraId="69B24AB0">
      <w:pPr>
        <w:snapToGrid w:val="0"/>
        <w:spacing w:line="360" w:lineRule="auto"/>
        <w:jc w:val="left"/>
        <w:rPr>
          <w:rFonts w:ascii="宋体" w:hAnsi="宋体" w:eastAsia="宋体" w:cs="Times New Roman"/>
          <w:b/>
          <w:bCs/>
          <w:sz w:val="28"/>
          <w:szCs w:val="28"/>
        </w:rPr>
      </w:pPr>
      <w:r>
        <w:rPr>
          <w:rFonts w:ascii="宋体" w:hAnsi="宋体" w:eastAsia="宋体" w:cs="Times New Roman"/>
          <w:sz w:val="24"/>
          <w:szCs w:val="20"/>
        </w:rPr>
        <w:br w:type="page"/>
      </w:r>
      <w:r>
        <w:rPr>
          <w:rFonts w:hint="eastAsia" w:ascii="宋体" w:hAnsi="宋体" w:eastAsia="宋体" w:cs="Times New Roman"/>
          <w:b/>
          <w:bCs/>
          <w:sz w:val="28"/>
          <w:szCs w:val="28"/>
        </w:rPr>
        <w:t>2.商务文件目录</w:t>
      </w:r>
    </w:p>
    <w:p w14:paraId="00FF0D88">
      <w:pPr>
        <w:snapToGrid w:val="0"/>
        <w:spacing w:before="50" w:after="120" w:afterLines="50" w:line="360" w:lineRule="auto"/>
        <w:jc w:val="left"/>
        <w:rPr>
          <w:rFonts w:ascii="微软雅黑" w:hAnsi="微软雅黑" w:eastAsia="微软雅黑" w:cs="Times New Roman"/>
          <w:b/>
          <w:bCs/>
          <w:sz w:val="24"/>
          <w:szCs w:val="24"/>
        </w:rPr>
      </w:pPr>
      <w:r>
        <w:rPr>
          <w:rFonts w:hint="eastAsia" w:ascii="宋体" w:hAnsi="宋体" w:eastAsia="宋体" w:cs="Times New Roman"/>
          <w:szCs w:val="21"/>
        </w:rPr>
        <w:t>根据招标文件规定及投标人提供的材料自行编写目录。</w:t>
      </w:r>
    </w:p>
    <w:p w14:paraId="1337D896">
      <w:pPr>
        <w:snapToGrid w:val="0"/>
        <w:spacing w:before="50" w:after="120" w:afterLines="50"/>
        <w:jc w:val="left"/>
        <w:rPr>
          <w:rFonts w:ascii="宋体" w:hAnsi="宋体" w:eastAsia="宋体" w:cs="Times New Roman"/>
          <w:szCs w:val="24"/>
        </w:rPr>
      </w:pPr>
    </w:p>
    <w:p w14:paraId="4C235F79">
      <w:pPr>
        <w:snapToGrid w:val="0"/>
        <w:spacing w:before="120" w:beforeLines="50" w:after="50"/>
        <w:jc w:val="left"/>
        <w:rPr>
          <w:rFonts w:ascii="宋体" w:hAnsi="宋体" w:eastAsia="宋体" w:cs="Times New Roman"/>
          <w:b/>
          <w:sz w:val="24"/>
          <w:szCs w:val="24"/>
        </w:rPr>
      </w:pPr>
      <w:r>
        <w:rPr>
          <w:rFonts w:ascii="宋体" w:hAnsi="宋体" w:eastAsia="宋体" w:cs="Times New Roman"/>
          <w:b/>
          <w:sz w:val="24"/>
          <w:szCs w:val="24"/>
        </w:rPr>
        <w:br w:type="page"/>
      </w:r>
      <w:r>
        <w:rPr>
          <w:rFonts w:hint="eastAsia" w:ascii="宋体" w:hAnsi="宋体" w:eastAsia="宋体" w:cs="Times New Roman"/>
          <w:b/>
          <w:sz w:val="24"/>
          <w:szCs w:val="24"/>
        </w:rPr>
        <w:t>3.投标人参加本项目无围标串标行为的承诺</w:t>
      </w:r>
    </w:p>
    <w:p w14:paraId="1064F53E">
      <w:pPr>
        <w:snapToGrid w:val="0"/>
        <w:spacing w:before="120" w:beforeLines="50" w:after="50"/>
        <w:jc w:val="left"/>
        <w:rPr>
          <w:rFonts w:ascii="宋体" w:hAnsi="宋体" w:eastAsia="宋体" w:cs="Times New Roman"/>
          <w:b/>
          <w:sz w:val="24"/>
          <w:szCs w:val="24"/>
        </w:rPr>
      </w:pPr>
    </w:p>
    <w:p w14:paraId="43AA6632">
      <w:pPr>
        <w:snapToGrid w:val="0"/>
        <w:spacing w:before="120" w:beforeLines="50" w:after="50"/>
        <w:ind w:left="420"/>
        <w:jc w:val="center"/>
        <w:rPr>
          <w:rFonts w:ascii="宋体" w:hAnsi="宋体" w:eastAsia="宋体" w:cs="Times New Roman"/>
          <w:b/>
          <w:spacing w:val="-17"/>
          <w:sz w:val="32"/>
          <w:szCs w:val="32"/>
        </w:rPr>
      </w:pPr>
      <w:r>
        <w:rPr>
          <w:rFonts w:hint="eastAsia" w:ascii="方正小标宋简体" w:hAnsi="方正小标宋简体" w:eastAsia="方正小标宋简体" w:cs="方正小标宋简体"/>
          <w:bCs/>
          <w:spacing w:val="-17"/>
          <w:sz w:val="44"/>
          <w:szCs w:val="44"/>
        </w:rPr>
        <w:t>投标人参加本项目无围标串标行为的承诺函</w:t>
      </w:r>
    </w:p>
    <w:p w14:paraId="5AF91CF3">
      <w:pPr>
        <w:snapToGrid w:val="0"/>
        <w:spacing w:before="120" w:beforeLines="50" w:after="50"/>
        <w:rPr>
          <w:rFonts w:ascii="宋体" w:hAnsi="宋体" w:eastAsia="宋体" w:cs="Times New Roman"/>
          <w:b/>
          <w:sz w:val="24"/>
          <w:szCs w:val="24"/>
        </w:rPr>
      </w:pPr>
    </w:p>
    <w:p w14:paraId="42B82139">
      <w:pPr>
        <w:spacing w:line="400" w:lineRule="exact"/>
        <w:contextualSpacing/>
        <w:jc w:val="left"/>
        <w:rPr>
          <w:rFonts w:ascii="宋体" w:hAnsi="宋体" w:eastAsia="宋体" w:cs="Times New Roman"/>
          <w:b/>
          <w:sz w:val="24"/>
          <w:szCs w:val="24"/>
        </w:rPr>
      </w:pPr>
      <w:r>
        <w:rPr>
          <w:rFonts w:hint="eastAsia" w:ascii="宋体" w:hAnsi="宋体" w:eastAsia="宋体" w:cs="Times New Roman"/>
          <w:b/>
          <w:sz w:val="24"/>
          <w:szCs w:val="24"/>
        </w:rPr>
        <w:t>一、我方承诺无下列相互串通投标的情形：</w:t>
      </w:r>
    </w:p>
    <w:p w14:paraId="2743CF1F">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 xml:space="preserve">1.不同投标人的投标文件由同一单位或者个人编制； </w:t>
      </w:r>
    </w:p>
    <w:p w14:paraId="545FC236">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2.不同投标人委托同一单位或者个人办理投标事宜；</w:t>
      </w:r>
    </w:p>
    <w:p w14:paraId="641F583F">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3.不同的投标人的投标文件载明的项目管理员为同一个人；</w:t>
      </w:r>
    </w:p>
    <w:p w14:paraId="251946BD">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4.不同投标人的投标文件异常一致或者投标报价呈规律性差异；</w:t>
      </w:r>
    </w:p>
    <w:p w14:paraId="234CA146">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5.不同投标人的投标文件相互混装；</w:t>
      </w:r>
    </w:p>
    <w:p w14:paraId="3B695058">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6.不同投标人的投标保证金从同一单位或者个人账户转出。</w:t>
      </w:r>
    </w:p>
    <w:p w14:paraId="77BAC9A7">
      <w:pPr>
        <w:spacing w:line="400" w:lineRule="exact"/>
        <w:contextualSpacing/>
        <w:jc w:val="left"/>
        <w:rPr>
          <w:rFonts w:ascii="宋体" w:hAnsi="宋体" w:eastAsia="宋体" w:cs="Times New Roman"/>
          <w:sz w:val="24"/>
          <w:szCs w:val="24"/>
        </w:rPr>
      </w:pPr>
      <w:r>
        <w:rPr>
          <w:rFonts w:hint="eastAsia" w:ascii="宋体" w:hAnsi="宋体" w:eastAsia="宋体" w:cs="Times New Roman"/>
          <w:b/>
          <w:sz w:val="24"/>
          <w:szCs w:val="24"/>
        </w:rPr>
        <w:t>二、我方承诺无下列恶意串通的情形：</w:t>
      </w:r>
    </w:p>
    <w:p w14:paraId="205567CB">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1.投标人直接或者间接从招标人或者采购代理机构处获得其他投标人的相关信息并修改其投标文件或者投标文件；</w:t>
      </w:r>
    </w:p>
    <w:p w14:paraId="77F8DFA3">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2.投标人按照招标人或者采购代理机构的授意撤换、修改投标文件或者投标文件；</w:t>
      </w:r>
    </w:p>
    <w:p w14:paraId="31217C44">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3.投标人之间协商报价、技术方案等投标文件或者投标文件的实质性内容；</w:t>
      </w:r>
    </w:p>
    <w:p w14:paraId="11F96B87">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4.属于同一集团、协会、商会等组织成员的投标人按照该组织要求协同参加政府采购活动；</w:t>
      </w:r>
    </w:p>
    <w:p w14:paraId="73C3594D">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5.投标人之间事先约定一致抬高或者压低投标报价，或者在招标项目中事先约定轮流以高价位或者低价位中标，或者事先约定由某一特定投标人中标，然后再参加投标；</w:t>
      </w:r>
    </w:p>
    <w:p w14:paraId="6151A817">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6.投标人之间商定部分投标人放弃参加政府采购活动或者放弃中标；</w:t>
      </w:r>
    </w:p>
    <w:p w14:paraId="184EB5F2">
      <w:pPr>
        <w:spacing w:line="400" w:lineRule="exact"/>
        <w:ind w:firstLine="470" w:firstLineChars="196"/>
        <w:contextualSpacing/>
        <w:jc w:val="left"/>
        <w:rPr>
          <w:rFonts w:ascii="宋体" w:hAnsi="宋体" w:eastAsia="宋体" w:cs="Times New Roman"/>
          <w:sz w:val="24"/>
          <w:szCs w:val="24"/>
        </w:rPr>
      </w:pPr>
      <w:r>
        <w:rPr>
          <w:rFonts w:hint="eastAsia" w:ascii="宋体" w:hAnsi="宋体" w:eastAsia="宋体" w:cs="Times New Roman"/>
          <w:sz w:val="24"/>
          <w:szCs w:val="24"/>
        </w:rPr>
        <w:t>7.投标人与招标人或者采购代理机构之间、投标人相互之间，为谋求特定投标人中标或者排斥其他投标人的其他串通行为。</w:t>
      </w:r>
    </w:p>
    <w:p w14:paraId="561B20C2">
      <w:pPr>
        <w:spacing w:line="400" w:lineRule="exact"/>
        <w:ind w:firstLine="472" w:firstLineChars="196"/>
        <w:contextualSpacing/>
        <w:jc w:val="left"/>
        <w:rPr>
          <w:rFonts w:ascii="宋体" w:hAnsi="宋体" w:eastAsia="宋体" w:cs="Times New Roman"/>
          <w:b/>
          <w:sz w:val="24"/>
          <w:szCs w:val="24"/>
        </w:rPr>
      </w:pPr>
      <w:r>
        <w:rPr>
          <w:rFonts w:hint="eastAsia" w:ascii="宋体" w:hAnsi="宋体" w:eastAsia="宋体" w:cs="Times New Roman"/>
          <w:b/>
          <w:sz w:val="24"/>
          <w:szCs w:val="24"/>
        </w:rPr>
        <w:t>以上情形一经核查属实，我方愿意承担一切后果，并不再寻求任何旨在减轻或者免除法律责任的辩解。</w:t>
      </w:r>
    </w:p>
    <w:p w14:paraId="1FF697AB">
      <w:pPr>
        <w:spacing w:line="400" w:lineRule="exact"/>
        <w:ind w:firstLine="6840" w:firstLineChars="2850"/>
        <w:contextualSpacing/>
        <w:rPr>
          <w:rFonts w:ascii="宋体" w:hAnsi="宋体" w:eastAsia="宋体" w:cs="Times New Roman"/>
          <w:kern w:val="0"/>
          <w:sz w:val="24"/>
          <w:szCs w:val="24"/>
          <w:lang w:val="zh-CN"/>
        </w:rPr>
      </w:pPr>
    </w:p>
    <w:p w14:paraId="00D27D67">
      <w:pPr>
        <w:spacing w:line="400" w:lineRule="exact"/>
        <w:contextualSpacing/>
        <w:jc w:val="center"/>
        <w:rPr>
          <w:rFonts w:ascii="宋体" w:hAnsi="宋体" w:eastAsia="宋体" w:cs="Times New Roman"/>
          <w:kern w:val="0"/>
          <w:sz w:val="24"/>
          <w:szCs w:val="24"/>
          <w:lang w:val="zh-CN"/>
        </w:rPr>
      </w:pPr>
      <w:r>
        <w:rPr>
          <w:rFonts w:hint="eastAsia" w:ascii="宋体" w:hAnsi="宋体" w:eastAsia="宋体" w:cs="Times New Roman"/>
          <w:kern w:val="0"/>
          <w:sz w:val="24"/>
          <w:szCs w:val="24"/>
          <w:lang w:val="zh-CN"/>
        </w:rPr>
        <w:t xml:space="preserve"> </w:t>
      </w:r>
      <w:r>
        <w:rPr>
          <w:rFonts w:ascii="宋体" w:hAnsi="宋体" w:eastAsia="宋体" w:cs="Times New Roman"/>
          <w:kern w:val="0"/>
          <w:sz w:val="24"/>
          <w:szCs w:val="24"/>
          <w:lang w:val="zh-CN"/>
        </w:rPr>
        <w:t xml:space="preserve">                                   </w:t>
      </w:r>
      <w:r>
        <w:rPr>
          <w:rFonts w:hint="eastAsia" w:ascii="宋体" w:hAnsi="宋体" w:eastAsia="宋体" w:cs="Times New Roman"/>
          <w:kern w:val="0"/>
          <w:sz w:val="24"/>
          <w:szCs w:val="24"/>
          <w:lang w:val="zh-CN"/>
        </w:rPr>
        <w:t>投标人名称（公章）</w:t>
      </w:r>
    </w:p>
    <w:p w14:paraId="775E2EF4">
      <w:pPr>
        <w:spacing w:line="400" w:lineRule="exact"/>
        <w:contextualSpacing/>
        <w:rPr>
          <w:rFonts w:ascii="宋体" w:hAnsi="宋体" w:eastAsia="宋体" w:cs="Times New Roman"/>
          <w:kern w:val="0"/>
          <w:sz w:val="24"/>
          <w:szCs w:val="21"/>
          <w:lang w:val="zh-CN"/>
        </w:rPr>
      </w:pPr>
      <w:r>
        <w:rPr>
          <w:rFonts w:hint="eastAsia" w:ascii="宋体" w:hAnsi="宋体" w:eastAsia="宋体" w:cs="Times New Roman"/>
          <w:kern w:val="0"/>
          <w:sz w:val="24"/>
          <w:szCs w:val="21"/>
          <w:lang w:val="zh-CN"/>
        </w:rPr>
        <w:t xml:space="preserve">                                                </w:t>
      </w:r>
      <w:r>
        <w:rPr>
          <w:rFonts w:hint="eastAsia" w:ascii="宋体" w:hAnsi="宋体" w:eastAsia="宋体" w:cs="Times New Roman"/>
          <w:kern w:val="0"/>
          <w:sz w:val="24"/>
          <w:szCs w:val="21"/>
          <w:u w:val="single"/>
          <w:lang w:val="zh-CN"/>
        </w:rPr>
        <w:t xml:space="preserve">      </w:t>
      </w:r>
      <w:r>
        <w:rPr>
          <w:rFonts w:hint="eastAsia" w:ascii="宋体" w:hAnsi="宋体" w:eastAsia="宋体" w:cs="Times New Roman"/>
          <w:kern w:val="0"/>
          <w:sz w:val="24"/>
          <w:szCs w:val="21"/>
          <w:lang w:val="zh-CN"/>
        </w:rPr>
        <w:t>年</w:t>
      </w:r>
      <w:r>
        <w:rPr>
          <w:rFonts w:hint="eastAsia" w:ascii="宋体" w:hAnsi="宋体" w:eastAsia="宋体" w:cs="Times New Roman"/>
          <w:kern w:val="0"/>
          <w:sz w:val="24"/>
          <w:szCs w:val="21"/>
          <w:u w:val="single"/>
          <w:lang w:val="zh-CN"/>
        </w:rPr>
        <w:t xml:space="preserve">    </w:t>
      </w:r>
      <w:r>
        <w:rPr>
          <w:rFonts w:hint="eastAsia" w:ascii="宋体" w:hAnsi="宋体" w:eastAsia="宋体" w:cs="Times New Roman"/>
          <w:kern w:val="0"/>
          <w:sz w:val="24"/>
          <w:szCs w:val="21"/>
          <w:lang w:val="zh-CN"/>
        </w:rPr>
        <w:t>月</w:t>
      </w:r>
      <w:r>
        <w:rPr>
          <w:rFonts w:hint="eastAsia" w:ascii="宋体" w:hAnsi="宋体" w:eastAsia="宋体" w:cs="Times New Roman"/>
          <w:kern w:val="0"/>
          <w:sz w:val="24"/>
          <w:szCs w:val="21"/>
          <w:u w:val="single"/>
          <w:lang w:val="zh-CN"/>
        </w:rPr>
        <w:t xml:space="preserve">     </w:t>
      </w:r>
      <w:r>
        <w:rPr>
          <w:rFonts w:hint="eastAsia" w:ascii="宋体" w:hAnsi="宋体" w:eastAsia="宋体" w:cs="Times New Roman"/>
          <w:kern w:val="0"/>
          <w:sz w:val="24"/>
          <w:szCs w:val="21"/>
          <w:lang w:val="zh-CN"/>
        </w:rPr>
        <w:t>日</w:t>
      </w:r>
    </w:p>
    <w:p w14:paraId="7025971B">
      <w:pPr>
        <w:snapToGrid w:val="0"/>
        <w:spacing w:before="120" w:beforeLines="50" w:after="50"/>
        <w:ind w:firstLine="472" w:firstLineChars="196"/>
        <w:jc w:val="left"/>
        <w:rPr>
          <w:rFonts w:ascii="宋体" w:hAnsi="宋体" w:eastAsia="宋体" w:cs="Times New Roman"/>
          <w:b/>
          <w:sz w:val="24"/>
          <w:szCs w:val="24"/>
        </w:rPr>
      </w:pPr>
      <w:r>
        <w:rPr>
          <w:rFonts w:ascii="宋体" w:hAnsi="宋体" w:eastAsia="宋体" w:cs="Times New Roman"/>
          <w:b/>
          <w:sz w:val="24"/>
          <w:szCs w:val="24"/>
        </w:rPr>
        <w:br w:type="page"/>
      </w:r>
    </w:p>
    <w:p w14:paraId="54A10F91">
      <w:pPr>
        <w:spacing w:before="240" w:beforeLines="100" w:after="120" w:afterLines="50"/>
        <w:ind w:left="540"/>
        <w:jc w:val="left"/>
        <w:rPr>
          <w:rFonts w:ascii="宋体" w:hAnsi="宋体" w:eastAsia="宋体" w:cs="方正小标宋简体"/>
          <w:bCs/>
          <w:sz w:val="24"/>
          <w:szCs w:val="24"/>
        </w:rPr>
      </w:pPr>
    </w:p>
    <w:p w14:paraId="226EE540">
      <w:pPr>
        <w:spacing w:before="240" w:beforeLines="100" w:after="120" w:afterLines="50"/>
        <w:ind w:left="540"/>
        <w:jc w:val="left"/>
        <w:rPr>
          <w:rFonts w:ascii="宋体" w:hAnsi="宋体" w:eastAsia="宋体" w:cs="方正小标宋简体"/>
          <w:bCs/>
          <w:sz w:val="24"/>
          <w:szCs w:val="24"/>
        </w:rPr>
      </w:pPr>
    </w:p>
    <w:p w14:paraId="2FFEEE16">
      <w:pPr>
        <w:spacing w:before="240" w:beforeLines="100" w:after="120" w:afterLines="50"/>
        <w:ind w:left="540"/>
        <w:jc w:val="left"/>
        <w:rPr>
          <w:rFonts w:ascii="宋体" w:hAnsi="宋体" w:eastAsia="宋体" w:cs="方正小标宋简体"/>
          <w:bCs/>
          <w:sz w:val="24"/>
          <w:szCs w:val="24"/>
        </w:rPr>
      </w:pPr>
      <w:r>
        <w:rPr>
          <w:rFonts w:hint="eastAsia" w:ascii="宋体" w:hAnsi="宋体" w:eastAsia="宋体" w:cs="方正小标宋简体"/>
          <w:bCs/>
          <w:sz w:val="24"/>
          <w:szCs w:val="24"/>
        </w:rPr>
        <w:t>4.</w:t>
      </w:r>
      <w:r>
        <w:rPr>
          <w:rFonts w:hint="eastAsia" w:ascii="宋体" w:hAnsi="宋体" w:eastAsia="宋体" w:cs="Times New Roman"/>
          <w:b/>
          <w:sz w:val="24"/>
          <w:szCs w:val="24"/>
        </w:rPr>
        <w:t xml:space="preserve"> 法定代表人身份证明</w:t>
      </w:r>
    </w:p>
    <w:p w14:paraId="7778C9C5">
      <w:pPr>
        <w:spacing w:before="240" w:beforeLines="100" w:after="120" w:afterLines="50"/>
        <w:ind w:left="54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法定代表人身份证明</w:t>
      </w:r>
    </w:p>
    <w:p w14:paraId="5DC9D978">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投 标 人：</w:t>
      </w:r>
      <w:r>
        <w:rPr>
          <w:rFonts w:hint="eastAsia" w:ascii="宋体" w:hAnsi="宋体" w:eastAsia="宋体" w:cs="Times New Roman"/>
          <w:sz w:val="24"/>
          <w:szCs w:val="24"/>
          <w:u w:val="single"/>
        </w:rPr>
        <w:t xml:space="preserve">                                                        </w:t>
      </w:r>
    </w:p>
    <w:p w14:paraId="7D32FDF4">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地    址：</w:t>
      </w:r>
      <w:r>
        <w:rPr>
          <w:rFonts w:hint="eastAsia" w:ascii="宋体" w:hAnsi="宋体" w:eastAsia="宋体" w:cs="Times New Roman"/>
          <w:sz w:val="24"/>
          <w:szCs w:val="24"/>
          <w:u w:val="single"/>
        </w:rPr>
        <w:t xml:space="preserve">                                                        </w:t>
      </w:r>
    </w:p>
    <w:p w14:paraId="258666FE">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姓    名：</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性      别：</w:t>
      </w:r>
      <w:r>
        <w:rPr>
          <w:rFonts w:hint="eastAsia" w:ascii="宋体" w:hAnsi="宋体" w:eastAsia="宋体" w:cs="Times New Roman"/>
          <w:sz w:val="24"/>
          <w:szCs w:val="24"/>
          <w:u w:val="single"/>
        </w:rPr>
        <w:t xml:space="preserve">                </w:t>
      </w:r>
    </w:p>
    <w:p w14:paraId="4FB75453">
      <w:pPr>
        <w:spacing w:line="500" w:lineRule="exact"/>
        <w:ind w:left="540"/>
        <w:rPr>
          <w:rFonts w:ascii="宋体" w:hAnsi="宋体" w:eastAsia="宋体" w:cs="Times New Roman"/>
          <w:sz w:val="24"/>
          <w:szCs w:val="24"/>
          <w:u w:val="single"/>
        </w:rPr>
      </w:pPr>
      <w:r>
        <w:rPr>
          <w:rFonts w:hint="eastAsia" w:ascii="宋体" w:hAnsi="宋体" w:eastAsia="宋体" w:cs="Times New Roman"/>
          <w:sz w:val="24"/>
          <w:szCs w:val="24"/>
        </w:rPr>
        <w:t>年    龄：</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职      务：</w:t>
      </w:r>
      <w:r>
        <w:rPr>
          <w:rFonts w:hint="eastAsia" w:ascii="宋体" w:hAnsi="宋体" w:eastAsia="宋体" w:cs="Times New Roman"/>
          <w:sz w:val="24"/>
          <w:szCs w:val="24"/>
          <w:u w:val="single"/>
        </w:rPr>
        <w:t xml:space="preserve">                </w:t>
      </w:r>
    </w:p>
    <w:p w14:paraId="09B0D33F">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身份证</w:t>
      </w:r>
      <w:r>
        <w:rPr>
          <w:rFonts w:hint="eastAsia" w:ascii="Times New Roman" w:hAnsi="Times New Roman" w:eastAsia="宋体" w:cs="Times New Roman"/>
          <w:sz w:val="24"/>
          <w:szCs w:val="24"/>
        </w:rPr>
        <w:t>号码：</w:t>
      </w:r>
      <w:r>
        <w:rPr>
          <w:rFonts w:hint="eastAsia" w:ascii="Times New Roman" w:hAnsi="Times New Roman" w:eastAsia="宋体" w:cs="Times New Roman"/>
          <w:sz w:val="24"/>
          <w:szCs w:val="24"/>
          <w:u w:val="single"/>
        </w:rPr>
        <w:t xml:space="preserve">                                 </w:t>
      </w:r>
    </w:p>
    <w:p w14:paraId="4A7735CA">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系</w:t>
      </w:r>
      <w:r>
        <w:rPr>
          <w:rFonts w:hint="eastAsia" w:ascii="宋体" w:hAnsi="宋体" w:eastAsia="宋体" w:cs="Times New Roman"/>
          <w:sz w:val="24"/>
          <w:szCs w:val="24"/>
          <w:u w:val="single"/>
        </w:rPr>
        <w:t xml:space="preserve">            （投标人名称）              </w:t>
      </w:r>
      <w:r>
        <w:rPr>
          <w:rFonts w:hint="eastAsia" w:ascii="宋体" w:hAnsi="宋体" w:eastAsia="宋体" w:cs="Times New Roman"/>
          <w:sz w:val="24"/>
          <w:szCs w:val="24"/>
        </w:rPr>
        <w:t>的法定代表人。</w:t>
      </w:r>
    </w:p>
    <w:p w14:paraId="0C28AE7B">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特此证明。</w:t>
      </w:r>
    </w:p>
    <w:p w14:paraId="25558798">
      <w:pPr>
        <w:spacing w:line="500" w:lineRule="exact"/>
        <w:ind w:left="540"/>
        <w:rPr>
          <w:rFonts w:ascii="宋体" w:hAnsi="宋体" w:eastAsia="宋体" w:cs="Times New Roman"/>
          <w:sz w:val="24"/>
          <w:szCs w:val="24"/>
        </w:rPr>
      </w:pPr>
    </w:p>
    <w:p w14:paraId="5D1C9CB6">
      <w:pPr>
        <w:spacing w:line="500" w:lineRule="exact"/>
        <w:ind w:left="540"/>
        <w:rPr>
          <w:rFonts w:ascii="宋体" w:hAnsi="宋体" w:eastAsia="宋体" w:cs="Times New Roman"/>
          <w:sz w:val="24"/>
          <w:szCs w:val="24"/>
        </w:rPr>
      </w:pPr>
    </w:p>
    <w:p w14:paraId="14D4BC51">
      <w:pPr>
        <w:spacing w:line="500" w:lineRule="exact"/>
        <w:ind w:left="540"/>
        <w:rPr>
          <w:rFonts w:ascii="宋体" w:hAnsi="宋体" w:eastAsia="宋体" w:cs="Times New Roman"/>
          <w:sz w:val="24"/>
          <w:szCs w:val="24"/>
        </w:rPr>
      </w:pPr>
      <w:r>
        <w:rPr>
          <w:rFonts w:hint="eastAsia" w:ascii="宋体" w:hAnsi="宋体" w:eastAsia="宋体" w:cs="Times New Roman"/>
          <w:sz w:val="24"/>
          <w:szCs w:val="24"/>
        </w:rPr>
        <w:t>附件：法定代表人有效身份证正反面复印件</w:t>
      </w:r>
    </w:p>
    <w:p w14:paraId="26529A54">
      <w:pPr>
        <w:spacing w:line="500" w:lineRule="exact"/>
        <w:ind w:left="540"/>
        <w:rPr>
          <w:rFonts w:ascii="宋体" w:hAnsi="宋体" w:eastAsia="宋体" w:cs="Times New Roman"/>
          <w:sz w:val="24"/>
          <w:szCs w:val="24"/>
        </w:rPr>
      </w:pPr>
    </w:p>
    <w:p w14:paraId="1FEDA4EE">
      <w:pPr>
        <w:spacing w:line="500" w:lineRule="exact"/>
        <w:ind w:left="540"/>
        <w:jc w:val="right"/>
        <w:rPr>
          <w:rFonts w:ascii="宋体" w:hAnsi="宋体" w:eastAsia="宋体" w:cs="Times New Roman"/>
          <w:sz w:val="24"/>
          <w:szCs w:val="24"/>
        </w:rPr>
      </w:pPr>
      <w:r>
        <w:rPr>
          <w:rFonts w:hint="eastAsia" w:ascii="宋体" w:hAnsi="宋体" w:eastAsia="宋体" w:cs="Times New Roman"/>
          <w:sz w:val="24"/>
          <w:szCs w:val="24"/>
        </w:rPr>
        <w:t>投标人名称（公章）</w:t>
      </w:r>
    </w:p>
    <w:p w14:paraId="0F32C3E5">
      <w:pPr>
        <w:spacing w:line="500" w:lineRule="exact"/>
        <w:ind w:left="540"/>
        <w:jc w:val="right"/>
        <w:rPr>
          <w:rFonts w:ascii="宋体" w:hAnsi="宋体" w:eastAsia="宋体" w:cs="Times New Roman"/>
          <w:sz w:val="24"/>
          <w:szCs w:val="24"/>
        </w:rPr>
      </w:pPr>
    </w:p>
    <w:p w14:paraId="24AFA769">
      <w:pPr>
        <w:snapToGrid w:val="0"/>
        <w:spacing w:before="120" w:beforeLines="50" w:after="50"/>
        <w:ind w:left="540"/>
        <w:jc w:val="right"/>
        <w:rPr>
          <w:rFonts w:ascii="宋体" w:hAnsi="宋体" w:eastAsia="宋体" w:cs="Times New Roman"/>
          <w:sz w:val="24"/>
          <w:szCs w:val="24"/>
        </w:rPr>
      </w:pP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w:t>
      </w:r>
    </w:p>
    <w:p w14:paraId="5F5F56DF">
      <w:pPr>
        <w:snapToGrid w:val="0"/>
        <w:spacing w:before="120" w:beforeLines="50" w:after="50"/>
        <w:jc w:val="center"/>
        <w:rPr>
          <w:rFonts w:ascii="宋体" w:hAnsi="宋体" w:eastAsia="宋体" w:cs="Times New Roman"/>
          <w:b/>
          <w:sz w:val="24"/>
          <w:szCs w:val="24"/>
        </w:rPr>
      </w:pPr>
    </w:p>
    <w:p w14:paraId="2C01CDE1">
      <w:pPr>
        <w:snapToGrid w:val="0"/>
        <w:spacing w:before="120" w:beforeLines="50" w:after="50"/>
        <w:jc w:val="left"/>
        <w:rPr>
          <w:rFonts w:ascii="宋体" w:hAnsi="宋体" w:eastAsia="宋体" w:cs="Times New Roman"/>
          <w:b/>
          <w:sz w:val="24"/>
          <w:szCs w:val="20"/>
        </w:rPr>
      </w:pPr>
      <w:r>
        <w:rPr>
          <w:rFonts w:hint="eastAsia" w:ascii="宋体" w:hAnsi="宋体" w:eastAsia="宋体" w:cs="Times New Roman"/>
          <w:sz w:val="24"/>
          <w:szCs w:val="24"/>
        </w:rPr>
        <w:t>注：自然人投标的无需提供</w:t>
      </w:r>
    </w:p>
    <w:p w14:paraId="41EE07A1">
      <w:pPr>
        <w:snapToGrid w:val="0"/>
        <w:spacing w:before="120" w:beforeLines="50" w:after="50"/>
        <w:jc w:val="left"/>
        <w:rPr>
          <w:rFonts w:ascii="宋体" w:hAnsi="宋体" w:eastAsia="宋体" w:cs="Times New Roman"/>
          <w:b/>
          <w:sz w:val="24"/>
          <w:szCs w:val="20"/>
        </w:rPr>
      </w:pPr>
      <w:r>
        <w:rPr>
          <w:rFonts w:ascii="宋体" w:hAnsi="宋体" w:eastAsia="宋体" w:cs="Times New Roman"/>
          <w:b/>
          <w:sz w:val="24"/>
          <w:szCs w:val="24"/>
        </w:rPr>
        <w:br w:type="page"/>
      </w:r>
      <w:r>
        <w:rPr>
          <w:rFonts w:hint="eastAsia" w:ascii="宋体" w:hAnsi="宋体" w:eastAsia="宋体" w:cs="Times New Roman"/>
          <w:b/>
          <w:sz w:val="24"/>
          <w:szCs w:val="24"/>
        </w:rPr>
        <w:t>5.授权委托书格式</w:t>
      </w:r>
    </w:p>
    <w:p w14:paraId="4CB8C41B">
      <w:pPr>
        <w:snapToGrid w:val="0"/>
        <w:spacing w:before="120" w:beforeLines="50" w:after="50"/>
        <w:jc w:val="center"/>
        <w:rPr>
          <w:rFonts w:ascii="宋体" w:hAnsi="宋体" w:eastAsia="宋体" w:cs="Times New Roman"/>
          <w:b/>
          <w:sz w:val="44"/>
          <w:szCs w:val="44"/>
        </w:rPr>
      </w:pPr>
    </w:p>
    <w:p w14:paraId="127C2CF4">
      <w:pPr>
        <w:snapToGrid w:val="0"/>
        <w:spacing w:before="120"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授权委托书</w:t>
      </w:r>
    </w:p>
    <w:p w14:paraId="369B3B02">
      <w:pPr>
        <w:snapToGrid w:val="0"/>
        <w:spacing w:before="120" w:beforeLines="50" w:after="50"/>
        <w:jc w:val="center"/>
        <w:rPr>
          <w:rFonts w:ascii="宋体" w:hAnsi="宋体" w:eastAsia="宋体" w:cs="Times New Roman"/>
          <w:b/>
          <w:sz w:val="24"/>
          <w:szCs w:val="24"/>
        </w:rPr>
      </w:pPr>
      <w:r>
        <w:rPr>
          <w:rFonts w:hint="eastAsia" w:ascii="宋体" w:hAnsi="宋体" w:eastAsia="宋体" w:cs="Times New Roman"/>
          <w:b/>
          <w:sz w:val="32"/>
          <w:szCs w:val="32"/>
        </w:rPr>
        <w:t>（如有委托时）</w:t>
      </w:r>
    </w:p>
    <w:p w14:paraId="7CF1C381">
      <w:pPr>
        <w:snapToGrid w:val="0"/>
        <w:spacing w:before="120" w:beforeLines="50" w:after="50"/>
        <w:jc w:val="center"/>
        <w:rPr>
          <w:rFonts w:ascii="宋体" w:hAnsi="宋体" w:eastAsia="宋体" w:cs="Times New Roman"/>
          <w:b/>
          <w:sz w:val="24"/>
          <w:szCs w:val="24"/>
        </w:rPr>
      </w:pPr>
    </w:p>
    <w:p w14:paraId="2D60D55E">
      <w:pPr>
        <w:spacing w:line="360" w:lineRule="auto"/>
        <w:contextualSpacing/>
        <w:rPr>
          <w:rFonts w:ascii="宋体" w:hAnsi="宋体" w:eastAsia="宋体" w:cs="Times New Roman"/>
          <w:b/>
          <w:bCs/>
          <w:sz w:val="24"/>
          <w:szCs w:val="24"/>
        </w:rPr>
      </w:pPr>
      <w:r>
        <w:rPr>
          <w:rFonts w:hint="eastAsia" w:ascii="宋体" w:hAnsi="宋体" w:eastAsia="宋体" w:cs="Times New Roman"/>
          <w:bCs/>
          <w:sz w:val="24"/>
          <w:szCs w:val="24"/>
        </w:rPr>
        <w:t>致：</w:t>
      </w:r>
      <w:r>
        <w:rPr>
          <w:rFonts w:hint="eastAsia" w:ascii="宋体" w:hAnsi="宋体" w:eastAsia="宋体" w:cs="Times New Roman"/>
          <w:sz w:val="24"/>
          <w:szCs w:val="24"/>
          <w:u w:val="single"/>
        </w:rPr>
        <w:t>招标人名称</w:t>
      </w:r>
      <w:r>
        <w:rPr>
          <w:rFonts w:hint="eastAsia" w:ascii="宋体" w:hAnsi="宋体" w:eastAsia="宋体" w:cs="Times New Roman"/>
          <w:sz w:val="24"/>
          <w:szCs w:val="24"/>
        </w:rPr>
        <w:t>：</w:t>
      </w:r>
    </w:p>
    <w:p w14:paraId="3AC6A20A">
      <w:pPr>
        <w:spacing w:line="360" w:lineRule="auto"/>
        <w:ind w:firstLine="566" w:firstLineChars="236"/>
        <w:contextualSpacing/>
        <w:rPr>
          <w:rFonts w:ascii="宋体" w:hAnsi="宋体" w:eastAsia="宋体" w:cs="Times New Roman"/>
          <w:sz w:val="24"/>
          <w:szCs w:val="24"/>
        </w:rPr>
      </w:pPr>
      <w:r>
        <w:rPr>
          <w:rFonts w:hint="eastAsia" w:ascii="宋体" w:hAnsi="宋体" w:eastAsia="宋体" w:cs="Times New Roman"/>
          <w:sz w:val="24"/>
          <w:szCs w:val="24"/>
        </w:rPr>
        <w:t>我</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（姓名）系</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（投标人名称）的法定代表人，现授权委托</w:t>
      </w:r>
      <w:r>
        <w:rPr>
          <w:rFonts w:hint="eastAsia" w:ascii="宋体" w:hAnsi="宋体" w:eastAsia="宋体" w:cs="Times New Roman"/>
          <w:sz w:val="24"/>
          <w:szCs w:val="24"/>
          <w:u w:val="single"/>
        </w:rPr>
        <w:t xml:space="preserve">              （姓名）</w:t>
      </w:r>
      <w:r>
        <w:rPr>
          <w:rFonts w:hint="eastAsia" w:ascii="宋体" w:hAnsi="宋体" w:eastAsia="宋体" w:cs="Times New Roman"/>
          <w:sz w:val="24"/>
          <w:szCs w:val="24"/>
        </w:rPr>
        <w:t>以我方的名义参加</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项目的投标活动，并代表我方全权办理针对上述项目的所有采购程序和环节的具体事务和签署相关文件。</w:t>
      </w:r>
    </w:p>
    <w:p w14:paraId="2FFD3021">
      <w:pPr>
        <w:spacing w:line="360" w:lineRule="auto"/>
        <w:contextualSpacing/>
        <w:rPr>
          <w:rFonts w:ascii="宋体" w:hAnsi="宋体" w:eastAsia="宋体" w:cs="Times New Roman"/>
          <w:sz w:val="24"/>
          <w:szCs w:val="24"/>
        </w:rPr>
      </w:pPr>
      <w:r>
        <w:rPr>
          <w:rFonts w:hint="eastAsia" w:ascii="宋体" w:hAnsi="宋体" w:eastAsia="宋体" w:cs="Times New Roman"/>
          <w:sz w:val="24"/>
          <w:szCs w:val="24"/>
        </w:rPr>
        <w:t xml:space="preserve">    我方对委托代理人的签字事项负全部责任。</w:t>
      </w:r>
    </w:p>
    <w:p w14:paraId="0AF2CB9F">
      <w:pPr>
        <w:spacing w:line="360" w:lineRule="auto"/>
        <w:ind w:firstLine="480"/>
        <w:contextualSpacing/>
        <w:rPr>
          <w:rFonts w:ascii="宋体" w:hAnsi="宋体" w:eastAsia="宋体" w:cs="Times New Roman"/>
          <w:sz w:val="24"/>
          <w:szCs w:val="24"/>
        </w:rPr>
      </w:pPr>
      <w:r>
        <w:rPr>
          <w:rFonts w:hint="eastAsia" w:ascii="宋体" w:hAnsi="宋体" w:eastAsia="宋体" w:cs="Times New Roman"/>
          <w:sz w:val="24"/>
          <w:szCs w:val="24"/>
          <w:u w:val="single"/>
        </w:rPr>
        <w:t>本授权书自签署之日起生效，在撤销授权的书面通知以前，本授权书一直有效。委托代理人在授权书有效期内签署的所有文件不因授权的撤销而失效。</w:t>
      </w:r>
    </w:p>
    <w:p w14:paraId="20D29831">
      <w:pPr>
        <w:spacing w:line="360" w:lineRule="auto"/>
        <w:ind w:firstLine="480"/>
        <w:contextualSpacing/>
        <w:rPr>
          <w:rFonts w:ascii="宋体" w:hAnsi="宋体" w:eastAsia="宋体" w:cs="Times New Roman"/>
          <w:sz w:val="24"/>
          <w:szCs w:val="24"/>
        </w:rPr>
      </w:pPr>
      <w:r>
        <w:rPr>
          <w:rFonts w:hint="eastAsia" w:ascii="宋体" w:hAnsi="宋体" w:eastAsia="宋体" w:cs="Times New Roman"/>
          <w:sz w:val="24"/>
          <w:szCs w:val="24"/>
        </w:rPr>
        <w:t>委托代理人无转委托权，特此委托。</w:t>
      </w:r>
    </w:p>
    <w:p w14:paraId="0DA1AD91">
      <w:pPr>
        <w:spacing w:line="360" w:lineRule="auto"/>
        <w:ind w:firstLine="480"/>
        <w:contextualSpacing/>
        <w:rPr>
          <w:rFonts w:ascii="宋体" w:hAnsi="宋体" w:eastAsia="宋体" w:cs="Times New Roman"/>
          <w:sz w:val="24"/>
          <w:szCs w:val="24"/>
        </w:rPr>
      </w:pPr>
      <w:r>
        <w:rPr>
          <w:rFonts w:hint="eastAsia" w:ascii="宋体" w:hAnsi="宋体" w:eastAsia="宋体" w:cs="Times New Roman"/>
          <w:sz w:val="24"/>
          <w:szCs w:val="24"/>
        </w:rPr>
        <w:t>附：法定代表人身份证明及委托代理人有效身份证正反面复印件</w:t>
      </w:r>
    </w:p>
    <w:p w14:paraId="6FE788DD">
      <w:pPr>
        <w:spacing w:line="360" w:lineRule="auto"/>
        <w:contextualSpacing/>
        <w:rPr>
          <w:rFonts w:ascii="宋体" w:hAnsi="宋体" w:eastAsia="宋体" w:cs="Times New Roman"/>
          <w:sz w:val="24"/>
          <w:szCs w:val="24"/>
        </w:rPr>
      </w:pPr>
    </w:p>
    <w:p w14:paraId="6DE3C350">
      <w:pPr>
        <w:spacing w:line="360" w:lineRule="auto"/>
        <w:contextualSpacing/>
        <w:rPr>
          <w:rFonts w:ascii="宋体" w:hAnsi="宋体" w:eastAsia="宋体" w:cs="Times New Roman"/>
          <w:sz w:val="24"/>
          <w:szCs w:val="24"/>
          <w:u w:val="single"/>
        </w:rPr>
      </w:pPr>
      <w:r>
        <w:rPr>
          <w:rFonts w:hint="eastAsia" w:ascii="宋体" w:hAnsi="宋体" w:eastAsia="宋体" w:cs="Times New Roman"/>
          <w:sz w:val="24"/>
          <w:szCs w:val="24"/>
        </w:rPr>
        <w:t>委托代理人（签字）：</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法定代表人（签字或盖章）：</w:t>
      </w:r>
      <w:r>
        <w:rPr>
          <w:rFonts w:hint="eastAsia" w:ascii="宋体" w:hAnsi="宋体" w:eastAsia="宋体" w:cs="Times New Roman"/>
          <w:sz w:val="24"/>
          <w:szCs w:val="24"/>
          <w:u w:val="single"/>
        </w:rPr>
        <w:t xml:space="preserve">              </w:t>
      </w:r>
    </w:p>
    <w:p w14:paraId="0BDD9C1D">
      <w:pPr>
        <w:spacing w:line="360" w:lineRule="auto"/>
        <w:contextualSpacing/>
        <w:rPr>
          <w:rFonts w:ascii="宋体" w:hAnsi="宋体" w:eastAsia="宋体" w:cs="Times New Roman"/>
          <w:sz w:val="24"/>
          <w:szCs w:val="24"/>
        </w:rPr>
      </w:pPr>
      <w:r>
        <w:rPr>
          <w:rFonts w:hint="eastAsia" w:ascii="宋体" w:hAnsi="宋体" w:eastAsia="宋体" w:cs="Times New Roman"/>
          <w:sz w:val="24"/>
          <w:szCs w:val="24"/>
        </w:rPr>
        <w:t>委托代理人身份证号码：</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 xml:space="preserve"> </w:t>
      </w:r>
    </w:p>
    <w:p w14:paraId="388DE48D">
      <w:pPr>
        <w:spacing w:line="360" w:lineRule="auto"/>
        <w:contextualSpacing/>
        <w:jc w:val="center"/>
        <w:rPr>
          <w:rFonts w:ascii="宋体" w:hAnsi="宋体" w:eastAsia="宋体" w:cs="Times New Roman"/>
          <w:sz w:val="24"/>
          <w:szCs w:val="24"/>
        </w:rPr>
      </w:pPr>
      <w:r>
        <w:rPr>
          <w:rFonts w:hint="eastAsia" w:ascii="宋体" w:hAnsi="宋体" w:eastAsia="宋体" w:cs="Times New Roman"/>
          <w:sz w:val="24"/>
          <w:szCs w:val="24"/>
        </w:rPr>
        <w:t xml:space="preserve">                                                投标人（盖公章）：</w:t>
      </w:r>
    </w:p>
    <w:p w14:paraId="2FC2424D">
      <w:pPr>
        <w:spacing w:line="360" w:lineRule="auto"/>
        <w:contextualSpacing/>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665083AF">
      <w:pPr>
        <w:spacing w:line="360" w:lineRule="auto"/>
        <w:contextualSpacing/>
        <w:rPr>
          <w:rFonts w:ascii="宋体" w:hAnsi="宋体" w:eastAsia="宋体" w:cs="Times New Roman"/>
          <w:sz w:val="24"/>
          <w:szCs w:val="24"/>
        </w:rPr>
      </w:pPr>
    </w:p>
    <w:p w14:paraId="5B18BBE8">
      <w:pPr>
        <w:spacing w:line="360" w:lineRule="auto"/>
        <w:contextualSpacing/>
        <w:rPr>
          <w:rFonts w:ascii="宋体" w:hAnsi="宋体" w:eastAsia="宋体" w:cs="仿宋_GB2312"/>
          <w:spacing w:val="-17"/>
          <w:sz w:val="24"/>
          <w:szCs w:val="24"/>
        </w:rPr>
      </w:pPr>
      <w:r>
        <w:rPr>
          <w:rFonts w:hint="eastAsia" w:ascii="宋体" w:hAnsi="宋体" w:eastAsia="宋体" w:cs="仿宋_GB2312"/>
          <w:spacing w:val="-17"/>
          <w:sz w:val="24"/>
          <w:szCs w:val="24"/>
        </w:rPr>
        <w:t>注：1.</w:t>
      </w:r>
      <w:bookmarkStart w:id="152" w:name="_Hlk65851555"/>
      <w:r>
        <w:rPr>
          <w:rFonts w:hint="eastAsia" w:ascii="宋体" w:hAnsi="宋体" w:eastAsia="宋体" w:cs="仿宋_GB2312"/>
          <w:spacing w:val="-17"/>
          <w:sz w:val="24"/>
          <w:szCs w:val="24"/>
        </w:rPr>
        <w:t xml:space="preserve"> </w:t>
      </w:r>
      <w:bookmarkStart w:id="153" w:name="_Hlk65852380"/>
      <w:r>
        <w:rPr>
          <w:rFonts w:hint="eastAsia" w:ascii="宋体" w:hAnsi="宋体" w:eastAsia="宋体" w:cs="仿宋_GB2312"/>
          <w:spacing w:val="-17"/>
          <w:sz w:val="24"/>
          <w:szCs w:val="24"/>
        </w:rPr>
        <w:t>法定代表人必须在授权委托书上亲笔签字或盖章，</w:t>
      </w:r>
      <w:bookmarkEnd w:id="152"/>
      <w:r>
        <w:rPr>
          <w:rFonts w:hint="eastAsia" w:ascii="宋体" w:hAnsi="宋体" w:eastAsia="宋体" w:cs="仿宋_GB2312"/>
          <w:spacing w:val="-17"/>
          <w:sz w:val="24"/>
          <w:szCs w:val="24"/>
        </w:rPr>
        <w:t>委托代理人必须在授权委托书上亲笔签字，</w:t>
      </w:r>
      <w:r>
        <w:rPr>
          <w:rFonts w:hint="eastAsia" w:ascii="宋体" w:hAnsi="宋体" w:eastAsia="宋体" w:cs="仿宋_GB2312"/>
          <w:b/>
          <w:bCs/>
          <w:spacing w:val="-17"/>
          <w:sz w:val="24"/>
          <w:szCs w:val="24"/>
        </w:rPr>
        <w:t>否则按无效投标处理</w:t>
      </w:r>
      <w:r>
        <w:rPr>
          <w:rFonts w:hint="eastAsia" w:ascii="宋体" w:hAnsi="宋体" w:eastAsia="宋体" w:cs="仿宋_GB2312"/>
          <w:spacing w:val="-17"/>
          <w:sz w:val="24"/>
          <w:szCs w:val="24"/>
        </w:rPr>
        <w:t>；</w:t>
      </w:r>
      <w:bookmarkEnd w:id="153"/>
    </w:p>
    <w:p w14:paraId="643FAB6B">
      <w:pPr>
        <w:spacing w:line="360" w:lineRule="auto"/>
        <w:ind w:firstLine="412" w:firstLineChars="200"/>
        <w:contextualSpacing/>
        <w:jc w:val="left"/>
        <w:rPr>
          <w:rFonts w:ascii="宋体" w:hAnsi="宋体" w:eastAsia="宋体" w:cs="仿宋_GB2312"/>
          <w:spacing w:val="-17"/>
          <w:sz w:val="24"/>
          <w:szCs w:val="24"/>
        </w:rPr>
      </w:pPr>
      <w:r>
        <w:rPr>
          <w:rFonts w:hint="eastAsia" w:ascii="宋体" w:hAnsi="宋体" w:eastAsia="宋体" w:cs="仿宋_GB2312"/>
          <w:spacing w:val="-17"/>
          <w:sz w:val="24"/>
          <w:szCs w:val="24"/>
        </w:rPr>
        <w:t>2.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4C0569EA">
      <w:pPr>
        <w:spacing w:line="360" w:lineRule="auto"/>
        <w:ind w:firstLine="412" w:firstLineChars="200"/>
        <w:contextualSpacing/>
        <w:jc w:val="left"/>
        <w:rPr>
          <w:rFonts w:ascii="宋体" w:hAnsi="宋体" w:eastAsia="宋体" w:cs="Times New Roman"/>
          <w:spacing w:val="-17"/>
          <w:sz w:val="24"/>
          <w:szCs w:val="24"/>
        </w:rPr>
      </w:pPr>
      <w:bookmarkStart w:id="154" w:name="_Hlk65852305"/>
      <w:r>
        <w:rPr>
          <w:rFonts w:ascii="宋体" w:hAnsi="宋体" w:eastAsia="宋体" w:cs="仿宋_GB2312"/>
          <w:spacing w:val="-17"/>
          <w:sz w:val="24"/>
          <w:szCs w:val="24"/>
        </w:rPr>
        <w:t>3.</w:t>
      </w:r>
      <w:r>
        <w:rPr>
          <w:rFonts w:hint="eastAsia" w:ascii="宋体" w:hAnsi="宋体" w:eastAsia="宋体" w:cs="仿宋_GB2312"/>
          <w:spacing w:val="-17"/>
          <w:sz w:val="24"/>
          <w:szCs w:val="24"/>
        </w:rPr>
        <w:t>法人、其他组织投标时“我方”是指“我单位”，自然人投标时“我方”是指“本人”。</w:t>
      </w:r>
    </w:p>
    <w:bookmarkEnd w:id="154"/>
    <w:p w14:paraId="5EFF4B1B">
      <w:pPr>
        <w:snapToGrid w:val="0"/>
        <w:spacing w:before="120" w:beforeLines="50" w:after="50"/>
        <w:ind w:firstLine="566" w:firstLineChars="236"/>
        <w:jc w:val="center"/>
        <w:rPr>
          <w:rFonts w:ascii="宋体" w:hAnsi="宋体" w:eastAsia="宋体" w:cs="Times New Roman"/>
          <w:sz w:val="24"/>
          <w:szCs w:val="24"/>
        </w:rPr>
      </w:pPr>
      <w:r>
        <w:rPr>
          <w:rFonts w:ascii="宋体" w:hAnsi="宋体" w:eastAsia="宋体" w:cs="Times New Roman"/>
          <w:sz w:val="24"/>
          <w:szCs w:val="24"/>
        </w:rPr>
        <w:br w:type="page"/>
      </w:r>
    </w:p>
    <w:p w14:paraId="6E33AA0B">
      <w:pPr>
        <w:rPr>
          <w:rFonts w:ascii="宋体" w:hAnsi="宋体" w:eastAsia="宋体" w:cs="Times New Roman"/>
          <w:b/>
          <w:sz w:val="24"/>
          <w:szCs w:val="20"/>
        </w:rPr>
      </w:pPr>
      <w:r>
        <w:rPr>
          <w:rFonts w:hint="eastAsia" w:ascii="宋体" w:hAnsi="宋体" w:eastAsia="宋体" w:cs="Times New Roman"/>
          <w:b/>
          <w:sz w:val="24"/>
          <w:szCs w:val="24"/>
        </w:rPr>
        <w:t>6.商务条款偏离表格式</w:t>
      </w:r>
    </w:p>
    <w:p w14:paraId="1CED640B">
      <w:pPr>
        <w:snapToGrid w:val="0"/>
        <w:spacing w:before="50"/>
        <w:jc w:val="left"/>
        <w:rPr>
          <w:rFonts w:ascii="宋体" w:hAnsi="宋体" w:eastAsia="宋体" w:cs="Times New Roman"/>
          <w:sz w:val="24"/>
          <w:szCs w:val="24"/>
        </w:rPr>
      </w:pPr>
    </w:p>
    <w:p w14:paraId="5D8C2F86">
      <w:pPr>
        <w:snapToGrid w:val="0"/>
        <w:spacing w:before="50"/>
        <w:jc w:val="left"/>
        <w:rPr>
          <w:rFonts w:ascii="宋体" w:hAnsi="宋体" w:eastAsia="宋体" w:cs="Times New Roman"/>
          <w:sz w:val="24"/>
          <w:szCs w:val="24"/>
          <w:u w:val="single"/>
        </w:rPr>
      </w:pPr>
    </w:p>
    <w:tbl>
      <w:tblPr>
        <w:tblStyle w:val="3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0"/>
        <w:gridCol w:w="2977"/>
        <w:gridCol w:w="2126"/>
        <w:gridCol w:w="1468"/>
      </w:tblGrid>
      <w:tr w14:paraId="30414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0" w:type="dxa"/>
            <w:tcBorders>
              <w:top w:val="single" w:color="auto" w:sz="4" w:space="0"/>
              <w:left w:val="single" w:color="auto" w:sz="4" w:space="0"/>
              <w:bottom w:val="single" w:color="auto" w:sz="4" w:space="0"/>
              <w:right w:val="single" w:color="auto" w:sz="4" w:space="0"/>
            </w:tcBorders>
            <w:vAlign w:val="center"/>
          </w:tcPr>
          <w:p w14:paraId="2732C193">
            <w:pPr>
              <w:snapToGrid w:val="0"/>
              <w:spacing w:before="120" w:beforeLines="50"/>
              <w:jc w:val="center"/>
              <w:rPr>
                <w:rFonts w:ascii="宋体" w:hAnsi="宋体" w:eastAsia="宋体" w:cs="Times New Roman"/>
                <w:sz w:val="24"/>
                <w:szCs w:val="24"/>
              </w:rPr>
            </w:pPr>
            <w:bookmarkStart w:id="155" w:name="_Hlk98345412"/>
            <w:r>
              <w:rPr>
                <w:rFonts w:hint="eastAsia" w:ascii="宋体" w:hAnsi="宋体" w:eastAsia="宋体" w:cs="Times New Roman"/>
                <w:sz w:val="24"/>
                <w:szCs w:val="24"/>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1F41B5A8">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招标文件商务条款要求</w:t>
            </w:r>
          </w:p>
        </w:tc>
        <w:tc>
          <w:tcPr>
            <w:tcW w:w="2126" w:type="dxa"/>
            <w:tcBorders>
              <w:top w:val="single" w:color="auto" w:sz="4" w:space="0"/>
              <w:left w:val="single" w:color="auto" w:sz="4" w:space="0"/>
              <w:bottom w:val="single" w:color="auto" w:sz="4" w:space="0"/>
              <w:right w:val="single" w:color="auto" w:sz="4" w:space="0"/>
            </w:tcBorders>
            <w:vAlign w:val="center"/>
          </w:tcPr>
          <w:p w14:paraId="29460D3F">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投标人的承诺</w:t>
            </w:r>
          </w:p>
        </w:tc>
        <w:tc>
          <w:tcPr>
            <w:tcW w:w="1468" w:type="dxa"/>
            <w:tcBorders>
              <w:top w:val="single" w:color="auto" w:sz="4" w:space="0"/>
              <w:left w:val="single" w:color="auto" w:sz="4" w:space="0"/>
              <w:bottom w:val="single" w:color="auto" w:sz="4" w:space="0"/>
              <w:right w:val="single" w:color="auto" w:sz="4" w:space="0"/>
            </w:tcBorders>
            <w:vAlign w:val="center"/>
          </w:tcPr>
          <w:p w14:paraId="2D11104E">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偏离说明</w:t>
            </w:r>
          </w:p>
        </w:tc>
      </w:tr>
      <w:tr w14:paraId="0B62D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70" w:type="dxa"/>
            <w:tcBorders>
              <w:top w:val="single" w:color="auto" w:sz="4" w:space="0"/>
              <w:left w:val="single" w:color="auto" w:sz="4" w:space="0"/>
              <w:bottom w:val="single" w:color="auto" w:sz="4" w:space="0"/>
              <w:right w:val="single" w:color="auto" w:sz="4" w:space="0"/>
            </w:tcBorders>
            <w:vAlign w:val="center"/>
          </w:tcPr>
          <w:p w14:paraId="34647B1B">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5FA0DD0">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67FB2CEB">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08FF3969">
            <w:pPr>
              <w:snapToGrid w:val="0"/>
              <w:spacing w:before="120" w:beforeLines="50"/>
              <w:jc w:val="center"/>
              <w:rPr>
                <w:rFonts w:ascii="宋体" w:hAnsi="宋体" w:eastAsia="宋体" w:cs="Times New Roman"/>
                <w:sz w:val="24"/>
                <w:szCs w:val="24"/>
              </w:rPr>
            </w:pPr>
          </w:p>
        </w:tc>
      </w:tr>
      <w:tr w14:paraId="7A997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70" w:type="dxa"/>
            <w:tcBorders>
              <w:top w:val="single" w:color="auto" w:sz="4" w:space="0"/>
              <w:left w:val="single" w:color="auto" w:sz="4" w:space="0"/>
              <w:bottom w:val="single" w:color="auto" w:sz="4" w:space="0"/>
              <w:right w:val="single" w:color="auto" w:sz="4" w:space="0"/>
            </w:tcBorders>
            <w:vAlign w:val="center"/>
          </w:tcPr>
          <w:p w14:paraId="5D1B9B8C">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A1714E5">
            <w:pPr>
              <w:snapToGrid w:val="0"/>
              <w:spacing w:before="120" w:beforeLines="50"/>
              <w:jc w:val="center"/>
              <w:rPr>
                <w:rFonts w:ascii="宋体" w:hAnsi="宋体" w:eastAsia="宋体" w:cs="Times New Roman"/>
                <w:sz w:val="24"/>
                <w:szCs w:val="24"/>
                <w:u w:val="single"/>
              </w:rPr>
            </w:pPr>
          </w:p>
        </w:tc>
        <w:tc>
          <w:tcPr>
            <w:tcW w:w="2126" w:type="dxa"/>
            <w:tcBorders>
              <w:top w:val="single" w:color="auto" w:sz="4" w:space="0"/>
              <w:left w:val="single" w:color="auto" w:sz="4" w:space="0"/>
              <w:bottom w:val="single" w:color="auto" w:sz="4" w:space="0"/>
              <w:right w:val="single" w:color="auto" w:sz="4" w:space="0"/>
            </w:tcBorders>
            <w:vAlign w:val="center"/>
          </w:tcPr>
          <w:p w14:paraId="2DB12D64">
            <w:pPr>
              <w:snapToGrid w:val="0"/>
              <w:spacing w:before="120" w:beforeLines="50"/>
              <w:ind w:left="43"/>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3990AD44">
            <w:pPr>
              <w:snapToGrid w:val="0"/>
              <w:spacing w:before="120" w:beforeLines="50"/>
              <w:ind w:left="43"/>
              <w:jc w:val="center"/>
              <w:rPr>
                <w:rFonts w:ascii="宋体" w:hAnsi="宋体" w:eastAsia="宋体" w:cs="Times New Roman"/>
                <w:sz w:val="24"/>
                <w:szCs w:val="24"/>
              </w:rPr>
            </w:pPr>
          </w:p>
        </w:tc>
      </w:tr>
      <w:tr w14:paraId="602F81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0" w:type="dxa"/>
            <w:tcBorders>
              <w:top w:val="single" w:color="auto" w:sz="4" w:space="0"/>
              <w:left w:val="single" w:color="auto" w:sz="4" w:space="0"/>
              <w:bottom w:val="single" w:color="auto" w:sz="4" w:space="0"/>
              <w:right w:val="single" w:color="auto" w:sz="4" w:space="0"/>
            </w:tcBorders>
            <w:vAlign w:val="center"/>
          </w:tcPr>
          <w:p w14:paraId="7164C740">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71D138A">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C35B7CC">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55983CEE">
            <w:pPr>
              <w:snapToGrid w:val="0"/>
              <w:spacing w:before="120" w:beforeLines="50"/>
              <w:jc w:val="center"/>
              <w:rPr>
                <w:rFonts w:ascii="宋体" w:hAnsi="宋体" w:eastAsia="宋体" w:cs="Times New Roman"/>
                <w:sz w:val="24"/>
                <w:szCs w:val="24"/>
              </w:rPr>
            </w:pPr>
          </w:p>
        </w:tc>
      </w:tr>
      <w:tr w14:paraId="1F51D3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0" w:type="dxa"/>
            <w:tcBorders>
              <w:top w:val="single" w:color="auto" w:sz="4" w:space="0"/>
              <w:left w:val="single" w:color="auto" w:sz="4" w:space="0"/>
              <w:bottom w:val="single" w:color="auto" w:sz="4" w:space="0"/>
              <w:right w:val="single" w:color="auto" w:sz="4" w:space="0"/>
            </w:tcBorders>
            <w:vAlign w:val="center"/>
          </w:tcPr>
          <w:p w14:paraId="5C83C3E0">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09CC06E">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3C8EF563">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440D6E26">
            <w:pPr>
              <w:snapToGrid w:val="0"/>
              <w:spacing w:before="120" w:beforeLines="50"/>
              <w:jc w:val="center"/>
              <w:rPr>
                <w:rFonts w:ascii="宋体" w:hAnsi="宋体" w:eastAsia="宋体" w:cs="Times New Roman"/>
                <w:sz w:val="24"/>
                <w:szCs w:val="24"/>
              </w:rPr>
            </w:pPr>
          </w:p>
        </w:tc>
      </w:tr>
      <w:tr w14:paraId="763BD5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0" w:type="dxa"/>
            <w:tcBorders>
              <w:top w:val="single" w:color="auto" w:sz="4" w:space="0"/>
              <w:left w:val="single" w:color="auto" w:sz="4" w:space="0"/>
              <w:bottom w:val="single" w:color="auto" w:sz="4" w:space="0"/>
              <w:right w:val="single" w:color="auto" w:sz="4" w:space="0"/>
            </w:tcBorders>
            <w:vAlign w:val="center"/>
          </w:tcPr>
          <w:p w14:paraId="7CBB65E1">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2F2B1219">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021963B9">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1E2DCA96">
            <w:pPr>
              <w:snapToGrid w:val="0"/>
              <w:spacing w:before="120" w:beforeLines="50"/>
              <w:jc w:val="center"/>
              <w:rPr>
                <w:rFonts w:ascii="宋体" w:hAnsi="宋体" w:eastAsia="宋体" w:cs="Times New Roman"/>
                <w:sz w:val="24"/>
                <w:szCs w:val="24"/>
              </w:rPr>
            </w:pPr>
          </w:p>
        </w:tc>
      </w:tr>
      <w:tr w14:paraId="2C305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0" w:type="dxa"/>
            <w:tcBorders>
              <w:top w:val="single" w:color="auto" w:sz="4" w:space="0"/>
              <w:left w:val="single" w:color="auto" w:sz="4" w:space="0"/>
              <w:bottom w:val="single" w:color="auto" w:sz="4" w:space="0"/>
              <w:right w:val="single" w:color="auto" w:sz="4" w:space="0"/>
            </w:tcBorders>
            <w:vAlign w:val="center"/>
          </w:tcPr>
          <w:p w14:paraId="186C5024">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59057BF">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FFAE757">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7BC24E52">
            <w:pPr>
              <w:snapToGrid w:val="0"/>
              <w:spacing w:before="120" w:beforeLines="50"/>
              <w:jc w:val="center"/>
              <w:rPr>
                <w:rFonts w:ascii="宋体" w:hAnsi="宋体" w:eastAsia="宋体" w:cs="Times New Roman"/>
                <w:sz w:val="24"/>
                <w:szCs w:val="24"/>
              </w:rPr>
            </w:pPr>
          </w:p>
        </w:tc>
      </w:tr>
      <w:tr w14:paraId="27EBCA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vAlign w:val="center"/>
          </w:tcPr>
          <w:p w14:paraId="06DDFD51">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w:t>
            </w:r>
          </w:p>
        </w:tc>
        <w:tc>
          <w:tcPr>
            <w:tcW w:w="2977" w:type="dxa"/>
            <w:tcBorders>
              <w:top w:val="single" w:color="auto" w:sz="4" w:space="0"/>
              <w:left w:val="single" w:color="auto" w:sz="4" w:space="0"/>
              <w:bottom w:val="single" w:color="auto" w:sz="4" w:space="0"/>
              <w:right w:val="single" w:color="auto" w:sz="4" w:space="0"/>
            </w:tcBorders>
            <w:vAlign w:val="center"/>
          </w:tcPr>
          <w:p w14:paraId="148EE0FC">
            <w:pPr>
              <w:snapToGrid w:val="0"/>
              <w:spacing w:before="120" w:beforeLines="50"/>
              <w:jc w:val="center"/>
              <w:rPr>
                <w:rFonts w:ascii="宋体" w:hAnsi="宋体" w:eastAsia="宋体" w:cs="Times New Roman"/>
                <w:sz w:val="24"/>
                <w:szCs w:val="24"/>
              </w:rPr>
            </w:pPr>
          </w:p>
        </w:tc>
        <w:tc>
          <w:tcPr>
            <w:tcW w:w="2126" w:type="dxa"/>
            <w:tcBorders>
              <w:top w:val="single" w:color="auto" w:sz="4" w:space="0"/>
              <w:left w:val="single" w:color="auto" w:sz="4" w:space="0"/>
              <w:bottom w:val="single" w:color="auto" w:sz="4" w:space="0"/>
              <w:right w:val="single" w:color="auto" w:sz="4" w:space="0"/>
            </w:tcBorders>
            <w:vAlign w:val="center"/>
          </w:tcPr>
          <w:p w14:paraId="7BAFCECA">
            <w:pPr>
              <w:snapToGrid w:val="0"/>
              <w:spacing w:before="120" w:beforeLines="50"/>
              <w:jc w:val="center"/>
              <w:rPr>
                <w:rFonts w:ascii="宋体" w:hAnsi="宋体" w:eastAsia="宋体" w:cs="Times New Roman"/>
                <w:sz w:val="24"/>
                <w:szCs w:val="24"/>
              </w:rPr>
            </w:pPr>
          </w:p>
        </w:tc>
        <w:tc>
          <w:tcPr>
            <w:tcW w:w="1468" w:type="dxa"/>
            <w:tcBorders>
              <w:top w:val="single" w:color="auto" w:sz="4" w:space="0"/>
              <w:left w:val="single" w:color="auto" w:sz="4" w:space="0"/>
              <w:bottom w:val="single" w:color="auto" w:sz="4" w:space="0"/>
              <w:right w:val="single" w:color="auto" w:sz="4" w:space="0"/>
            </w:tcBorders>
            <w:vAlign w:val="center"/>
          </w:tcPr>
          <w:p w14:paraId="6D581E15">
            <w:pPr>
              <w:snapToGrid w:val="0"/>
              <w:spacing w:before="120" w:beforeLines="50"/>
              <w:jc w:val="center"/>
              <w:rPr>
                <w:rFonts w:ascii="宋体" w:hAnsi="宋体" w:eastAsia="宋体" w:cs="Times New Roman"/>
                <w:sz w:val="24"/>
                <w:szCs w:val="24"/>
              </w:rPr>
            </w:pPr>
          </w:p>
        </w:tc>
      </w:tr>
      <w:bookmarkEnd w:id="155"/>
    </w:tbl>
    <w:p w14:paraId="0DDF23C8">
      <w:pPr>
        <w:spacing w:line="500" w:lineRule="exact"/>
        <w:rPr>
          <w:rFonts w:ascii="宋体" w:hAnsi="宋体" w:eastAsia="宋体" w:cs="Times New Roman"/>
          <w:b/>
          <w:bCs/>
          <w:kern w:val="0"/>
          <w:sz w:val="24"/>
          <w:szCs w:val="24"/>
          <w:lang w:val="zh-CN"/>
        </w:rPr>
      </w:pPr>
      <w:r>
        <w:rPr>
          <w:rFonts w:hint="eastAsia" w:ascii="宋体" w:hAnsi="宋体" w:eastAsia="宋体" w:cs="Times New Roman"/>
          <w:b/>
          <w:bCs/>
          <w:kern w:val="0"/>
          <w:sz w:val="24"/>
          <w:szCs w:val="24"/>
          <w:lang w:val="zh-CN"/>
        </w:rPr>
        <w:t>注：</w:t>
      </w:r>
    </w:p>
    <w:p w14:paraId="4B6BE147">
      <w:pPr>
        <w:spacing w:line="520" w:lineRule="exact"/>
        <w:rPr>
          <w:rFonts w:ascii="仿宋_GB2312" w:hAnsi="仿宋_GB2312" w:eastAsia="仿宋_GB2312" w:cs="仿宋_GB2312"/>
          <w:kern w:val="0"/>
          <w:sz w:val="32"/>
          <w:szCs w:val="32"/>
          <w:lang w:val="zh-CN"/>
        </w:rPr>
      </w:pPr>
      <w:r>
        <w:rPr>
          <w:rFonts w:hint="eastAsia" w:ascii="宋体" w:hAnsi="宋体" w:eastAsia="宋体" w:cs="Times New Roman"/>
          <w:kern w:val="0"/>
          <w:sz w:val="24"/>
          <w:szCs w:val="24"/>
          <w:lang w:val="zh-CN"/>
        </w:rPr>
        <w:t>1. 说明：应对照招标文件“第二章 采购需求”中的“一、商务条款”逐条明确的响应，并作出偏离说明。</w:t>
      </w:r>
    </w:p>
    <w:p w14:paraId="12169C3F">
      <w:pPr>
        <w:spacing w:line="500" w:lineRule="exact"/>
        <w:rPr>
          <w:rFonts w:ascii="宋体" w:hAnsi="宋体" w:eastAsia="宋体" w:cs="Times New Roman"/>
          <w:kern w:val="0"/>
          <w:sz w:val="24"/>
          <w:szCs w:val="24"/>
          <w:lang w:val="zh-CN"/>
        </w:rPr>
      </w:pPr>
      <w:r>
        <w:rPr>
          <w:rFonts w:ascii="宋体" w:hAnsi="宋体" w:eastAsia="宋体" w:cs="Times New Roman"/>
          <w:kern w:val="0"/>
          <w:sz w:val="24"/>
          <w:szCs w:val="24"/>
          <w:lang w:val="zh-CN"/>
        </w:rPr>
        <w:t>2.</w:t>
      </w:r>
      <w:r>
        <w:rPr>
          <w:rFonts w:hint="eastAsia" w:ascii="宋体" w:hAnsi="宋体" w:eastAsia="宋体" w:cs="Times New Roman"/>
          <w:kern w:val="0"/>
          <w:sz w:val="24"/>
          <w:szCs w:val="24"/>
          <w:lang w:val="zh-CN"/>
        </w:rPr>
        <w:t>投标人应根据自身的承诺，对照招标文件要求在“偏离说明”中注明“</w:t>
      </w:r>
      <w:r>
        <w:rPr>
          <w:rFonts w:hint="eastAsia" w:ascii="宋体" w:hAnsi="宋体" w:eastAsia="宋体" w:cs="Times New Roman"/>
          <w:b/>
          <w:bCs/>
          <w:kern w:val="0"/>
          <w:sz w:val="24"/>
          <w:szCs w:val="24"/>
          <w:lang w:val="zh-CN"/>
        </w:rPr>
        <w:t>正偏离</w:t>
      </w:r>
      <w:r>
        <w:rPr>
          <w:rFonts w:hint="eastAsia" w:ascii="宋体" w:hAnsi="宋体" w:eastAsia="宋体" w:cs="Times New Roman"/>
          <w:kern w:val="0"/>
          <w:sz w:val="24"/>
          <w:szCs w:val="24"/>
          <w:lang w:val="zh-CN"/>
        </w:rPr>
        <w:t>”、“</w:t>
      </w:r>
      <w:r>
        <w:rPr>
          <w:rFonts w:hint="eastAsia" w:ascii="宋体" w:hAnsi="宋体" w:eastAsia="宋体" w:cs="Times New Roman"/>
          <w:b/>
          <w:bCs/>
          <w:kern w:val="0"/>
          <w:sz w:val="24"/>
          <w:szCs w:val="24"/>
          <w:lang w:val="zh-CN"/>
        </w:rPr>
        <w:t>负偏离</w:t>
      </w:r>
      <w:r>
        <w:rPr>
          <w:rFonts w:hint="eastAsia" w:ascii="宋体" w:hAnsi="宋体" w:eastAsia="宋体" w:cs="Times New Roman"/>
          <w:kern w:val="0"/>
          <w:sz w:val="24"/>
          <w:szCs w:val="24"/>
          <w:lang w:val="zh-CN"/>
        </w:rPr>
        <w:t>”或者“</w:t>
      </w:r>
      <w:r>
        <w:rPr>
          <w:rFonts w:hint="eastAsia" w:ascii="宋体" w:hAnsi="宋体" w:eastAsia="宋体" w:cs="Times New Roman"/>
          <w:b/>
          <w:bCs/>
          <w:kern w:val="0"/>
          <w:sz w:val="24"/>
          <w:szCs w:val="24"/>
          <w:lang w:val="zh-CN"/>
        </w:rPr>
        <w:t>无偏离</w:t>
      </w:r>
      <w:r>
        <w:rPr>
          <w:rFonts w:hint="eastAsia" w:ascii="宋体" w:hAnsi="宋体" w:eastAsia="宋体" w:cs="Times New Roman"/>
          <w:kern w:val="0"/>
          <w:sz w:val="24"/>
          <w:szCs w:val="24"/>
          <w:lang w:val="zh-CN"/>
        </w:rPr>
        <w:t>”。既不属于“</w:t>
      </w:r>
      <w:r>
        <w:rPr>
          <w:rFonts w:hint="eastAsia" w:ascii="宋体" w:hAnsi="宋体" w:eastAsia="宋体" w:cs="Times New Roman"/>
          <w:b/>
          <w:bCs/>
          <w:kern w:val="0"/>
          <w:sz w:val="24"/>
          <w:szCs w:val="24"/>
          <w:lang w:val="zh-CN"/>
        </w:rPr>
        <w:t>正偏离</w:t>
      </w:r>
      <w:r>
        <w:rPr>
          <w:rFonts w:hint="eastAsia" w:ascii="宋体" w:hAnsi="宋体" w:eastAsia="宋体" w:cs="Times New Roman"/>
          <w:kern w:val="0"/>
          <w:sz w:val="24"/>
          <w:szCs w:val="24"/>
          <w:lang w:val="zh-CN"/>
        </w:rPr>
        <w:t>”也不属于“</w:t>
      </w:r>
      <w:r>
        <w:rPr>
          <w:rFonts w:hint="eastAsia" w:ascii="宋体" w:hAnsi="宋体" w:eastAsia="宋体" w:cs="Times New Roman"/>
          <w:b/>
          <w:bCs/>
          <w:kern w:val="0"/>
          <w:sz w:val="24"/>
          <w:szCs w:val="24"/>
          <w:lang w:val="zh-CN"/>
        </w:rPr>
        <w:t>负偏离</w:t>
      </w:r>
      <w:r>
        <w:rPr>
          <w:rFonts w:hint="eastAsia" w:ascii="宋体" w:hAnsi="宋体" w:eastAsia="宋体" w:cs="Times New Roman"/>
          <w:kern w:val="0"/>
          <w:sz w:val="24"/>
          <w:szCs w:val="24"/>
          <w:lang w:val="zh-CN"/>
        </w:rPr>
        <w:t>”即为“</w:t>
      </w:r>
      <w:r>
        <w:rPr>
          <w:rFonts w:hint="eastAsia" w:ascii="宋体" w:hAnsi="宋体" w:eastAsia="宋体" w:cs="Times New Roman"/>
          <w:b/>
          <w:bCs/>
          <w:kern w:val="0"/>
          <w:sz w:val="24"/>
          <w:szCs w:val="24"/>
          <w:lang w:val="zh-CN"/>
        </w:rPr>
        <w:t>无偏离</w:t>
      </w:r>
      <w:r>
        <w:rPr>
          <w:rFonts w:hint="eastAsia" w:ascii="宋体" w:hAnsi="宋体" w:eastAsia="宋体" w:cs="Times New Roman"/>
          <w:kern w:val="0"/>
          <w:sz w:val="24"/>
          <w:szCs w:val="24"/>
          <w:lang w:val="zh-CN"/>
        </w:rPr>
        <w:t>”。</w:t>
      </w:r>
    </w:p>
    <w:p w14:paraId="49835915">
      <w:pPr>
        <w:snapToGrid w:val="0"/>
        <w:spacing w:before="50" w:after="50"/>
        <w:rPr>
          <w:rFonts w:ascii="宋体" w:hAnsi="宋体" w:eastAsia="宋体" w:cs="Times New Roman"/>
          <w:sz w:val="24"/>
          <w:szCs w:val="24"/>
        </w:rPr>
      </w:pPr>
    </w:p>
    <w:p w14:paraId="01BEF8C9">
      <w:pPr>
        <w:snapToGrid w:val="0"/>
        <w:spacing w:before="50" w:after="50"/>
        <w:rPr>
          <w:rFonts w:ascii="宋体" w:hAnsi="宋体" w:eastAsia="宋体" w:cs="Times New Roman"/>
          <w:sz w:val="24"/>
          <w:szCs w:val="24"/>
        </w:rPr>
      </w:pPr>
    </w:p>
    <w:p w14:paraId="5C8BD3E8">
      <w:pPr>
        <w:snapToGrid w:val="0"/>
        <w:spacing w:before="50" w:after="50"/>
        <w:rPr>
          <w:rFonts w:ascii="宋体" w:hAnsi="宋体" w:eastAsia="宋体" w:cs="Times New Roman"/>
          <w:spacing w:val="20"/>
          <w:sz w:val="24"/>
          <w:szCs w:val="24"/>
          <w:u w:val="single"/>
        </w:rPr>
      </w:pPr>
      <w:r>
        <w:rPr>
          <w:rFonts w:hint="eastAsia" w:ascii="宋体" w:hAnsi="宋体" w:eastAsia="宋体" w:cs="Times New Roman"/>
          <w:sz w:val="24"/>
          <w:szCs w:val="24"/>
        </w:rPr>
        <w:t>法定代表人或者委托代理人</w:t>
      </w:r>
      <w:r>
        <w:rPr>
          <w:rFonts w:hint="eastAsia" w:ascii="宋体" w:hAnsi="宋体" w:eastAsia="宋体" w:cs="Times New Roman"/>
          <w:spacing w:val="20"/>
          <w:sz w:val="24"/>
          <w:szCs w:val="24"/>
        </w:rPr>
        <w:t>（签字）：</w:t>
      </w:r>
      <w:r>
        <w:rPr>
          <w:rFonts w:hint="eastAsia" w:ascii="宋体" w:hAnsi="宋体" w:eastAsia="宋体" w:cs="Times New Roman"/>
          <w:spacing w:val="20"/>
          <w:sz w:val="24"/>
          <w:szCs w:val="24"/>
          <w:u w:val="single"/>
        </w:rPr>
        <w:t xml:space="preserve">        </w:t>
      </w:r>
    </w:p>
    <w:p w14:paraId="2918CEF5">
      <w:pPr>
        <w:snapToGrid w:val="0"/>
        <w:spacing w:before="120" w:beforeLines="50"/>
        <w:rPr>
          <w:rFonts w:ascii="宋体" w:hAnsi="宋体" w:eastAsia="宋体" w:cs="Times New Roman"/>
          <w:spacing w:val="20"/>
          <w:sz w:val="24"/>
          <w:szCs w:val="24"/>
        </w:rPr>
      </w:pPr>
      <w:r>
        <w:rPr>
          <w:rFonts w:hint="eastAsia" w:ascii="宋体" w:hAnsi="宋体" w:eastAsia="宋体" w:cs="Times New Roman"/>
          <w:spacing w:val="20"/>
          <w:sz w:val="24"/>
          <w:szCs w:val="24"/>
        </w:rPr>
        <w:t>投标人盖公章：</w:t>
      </w:r>
      <w:r>
        <w:rPr>
          <w:rFonts w:hint="eastAsia" w:ascii="宋体" w:hAnsi="宋体" w:eastAsia="宋体" w:cs="Times New Roman"/>
          <w:spacing w:val="20"/>
          <w:sz w:val="24"/>
          <w:szCs w:val="24"/>
          <w:u w:val="single"/>
        </w:rPr>
        <w:t xml:space="preserve">            </w:t>
      </w:r>
      <w:r>
        <w:rPr>
          <w:rFonts w:hint="eastAsia" w:ascii="宋体" w:hAnsi="宋体" w:eastAsia="宋体" w:cs="Times New Roman"/>
          <w:spacing w:val="20"/>
          <w:sz w:val="24"/>
          <w:szCs w:val="24"/>
        </w:rPr>
        <w:t xml:space="preserve">   </w:t>
      </w:r>
    </w:p>
    <w:p w14:paraId="3CE2E0E3">
      <w:pPr>
        <w:snapToGrid w:val="0"/>
        <w:spacing w:before="120" w:beforeLines="50"/>
        <w:rPr>
          <w:rFonts w:ascii="宋体" w:hAnsi="宋体" w:eastAsia="宋体" w:cs="Times New Roman"/>
          <w:sz w:val="24"/>
          <w:szCs w:val="20"/>
        </w:rPr>
      </w:pPr>
      <w:r>
        <w:rPr>
          <w:rFonts w:hint="eastAsia" w:ascii="宋体" w:hAnsi="宋体" w:eastAsia="宋体" w:cs="Times New Roman"/>
          <w:spacing w:val="20"/>
          <w:sz w:val="24"/>
          <w:szCs w:val="24"/>
        </w:rPr>
        <w:t>日  期：</w:t>
      </w:r>
      <w:r>
        <w:rPr>
          <w:rFonts w:hint="eastAsia" w:ascii="宋体" w:hAnsi="宋体" w:eastAsia="宋体" w:cs="Times New Roman"/>
          <w:spacing w:val="20"/>
          <w:sz w:val="24"/>
          <w:szCs w:val="24"/>
          <w:u w:val="single"/>
        </w:rPr>
        <w:t xml:space="preserve">         </w:t>
      </w:r>
    </w:p>
    <w:p w14:paraId="568A0D2D">
      <w:pPr>
        <w:snapToGrid w:val="0"/>
        <w:spacing w:before="120" w:beforeLines="50"/>
        <w:rPr>
          <w:rFonts w:ascii="宋体" w:hAnsi="宋体" w:eastAsia="宋体" w:cs="Times New Roman"/>
          <w:sz w:val="24"/>
          <w:szCs w:val="20"/>
        </w:rPr>
      </w:pPr>
    </w:p>
    <w:p w14:paraId="0B94FFDC">
      <w:pPr>
        <w:snapToGrid w:val="0"/>
        <w:spacing w:before="120" w:beforeLines="50" w:after="50"/>
        <w:jc w:val="left"/>
        <w:rPr>
          <w:rFonts w:ascii="宋体" w:hAnsi="宋体" w:eastAsia="宋体" w:cs="Times New Roman"/>
          <w:sz w:val="24"/>
          <w:szCs w:val="20"/>
        </w:rPr>
        <w:sectPr>
          <w:footerReference r:id="rId10" w:type="first"/>
          <w:headerReference r:id="rId7" w:type="default"/>
          <w:footerReference r:id="rId8" w:type="default"/>
          <w:footerReference r:id="rId9" w:type="even"/>
          <w:pgSz w:w="11910" w:h="16840"/>
          <w:pgMar w:top="1520" w:right="1503" w:bottom="278" w:left="1678" w:header="851" w:footer="992" w:gutter="0"/>
          <w:pgNumType w:fmt="decimal"/>
          <w:cols w:space="720" w:num="1"/>
          <w:docGrid w:linePitch="312" w:charSpace="0"/>
        </w:sectPr>
      </w:pPr>
    </w:p>
    <w:p w14:paraId="2211C8D7">
      <w:pPr>
        <w:rPr>
          <w:rFonts w:ascii="Times New Roman" w:hAnsi="Times New Roman" w:eastAsia="宋体" w:cs="Times New Roman"/>
          <w:b/>
          <w:sz w:val="28"/>
          <w:szCs w:val="28"/>
        </w:rPr>
      </w:pPr>
      <w:bookmarkStart w:id="156" w:name="_Toc19686839"/>
      <w:r>
        <w:rPr>
          <w:rFonts w:hint="eastAsia" w:ascii="Times New Roman" w:hAnsi="Times New Roman" w:eastAsia="宋体" w:cs="Times New Roman"/>
          <w:b/>
          <w:sz w:val="28"/>
          <w:szCs w:val="28"/>
        </w:rPr>
        <w:t>五、技术文件格式</w:t>
      </w:r>
      <w:bookmarkEnd w:id="156"/>
    </w:p>
    <w:p w14:paraId="36263BEC">
      <w:pPr>
        <w:snapToGrid w:val="0"/>
        <w:spacing w:before="120" w:beforeLines="50" w:after="50"/>
        <w:ind w:left="142"/>
        <w:jc w:val="left"/>
        <w:rPr>
          <w:rFonts w:ascii="宋体" w:hAnsi="宋体" w:eastAsia="宋体" w:cs="Times New Roman"/>
          <w:b/>
          <w:sz w:val="24"/>
          <w:szCs w:val="24"/>
        </w:rPr>
      </w:pPr>
      <w:r>
        <w:rPr>
          <w:rFonts w:hint="eastAsia" w:ascii="宋体" w:hAnsi="宋体" w:eastAsia="宋体" w:cs="Times New Roman"/>
          <w:b/>
          <w:sz w:val="24"/>
          <w:szCs w:val="24"/>
        </w:rPr>
        <w:t xml:space="preserve">1. 技术文件封面格式： </w:t>
      </w:r>
    </w:p>
    <w:p w14:paraId="190B1381">
      <w:pPr>
        <w:snapToGrid w:val="0"/>
        <w:spacing w:before="120" w:beforeLines="50" w:after="50"/>
        <w:rPr>
          <w:rFonts w:ascii="宋体" w:hAnsi="宋体" w:eastAsia="宋体" w:cs="Times New Roman"/>
          <w:b/>
          <w:bCs/>
          <w:sz w:val="32"/>
          <w:szCs w:val="20"/>
        </w:rPr>
      </w:pPr>
      <w:r>
        <w:rPr>
          <w:rFonts w:hint="eastAsia" w:ascii="宋体" w:hAnsi="宋体" w:eastAsia="宋体" w:cs="Times New Roman"/>
          <w:sz w:val="24"/>
          <w:szCs w:val="24"/>
        </w:rPr>
        <w:t xml:space="preserve">                                                    </w:t>
      </w:r>
      <w:r>
        <w:rPr>
          <w:rFonts w:hint="eastAsia" w:ascii="宋体" w:hAnsi="宋体" w:eastAsia="宋体" w:cs="Times New Roman"/>
          <w:b/>
          <w:bCs/>
          <w:szCs w:val="24"/>
        </w:rPr>
        <w:t>正本</w:t>
      </w:r>
    </w:p>
    <w:p w14:paraId="34088712">
      <w:pPr>
        <w:snapToGrid w:val="0"/>
        <w:spacing w:before="120" w:beforeLines="50" w:after="50"/>
        <w:rPr>
          <w:rFonts w:ascii="宋体" w:hAnsi="宋体" w:eastAsia="宋体" w:cs="Times New Roman"/>
          <w:sz w:val="24"/>
          <w:szCs w:val="20"/>
        </w:rPr>
      </w:pPr>
    </w:p>
    <w:p w14:paraId="3ABFB44A">
      <w:pPr>
        <w:snapToGrid w:val="0"/>
        <w:spacing w:before="120" w:beforeLines="50" w:after="50"/>
        <w:jc w:val="center"/>
        <w:rPr>
          <w:rFonts w:ascii="宋体" w:hAnsi="宋体" w:eastAsia="宋体" w:cs="Times New Roman"/>
          <w:b/>
          <w:bCs/>
          <w:sz w:val="32"/>
          <w:szCs w:val="32"/>
        </w:rPr>
      </w:pPr>
      <w:r>
        <w:rPr>
          <w:rFonts w:hint="eastAsia" w:ascii="宋体" w:hAnsi="宋体" w:eastAsia="宋体" w:cs="Times New Roman"/>
          <w:b/>
          <w:bCs/>
          <w:sz w:val="32"/>
          <w:szCs w:val="32"/>
        </w:rPr>
        <w:t>技术文件</w:t>
      </w:r>
    </w:p>
    <w:p w14:paraId="564A3532">
      <w:pPr>
        <w:snapToGrid w:val="0"/>
        <w:spacing w:before="120" w:beforeLines="50" w:after="50"/>
        <w:rPr>
          <w:rFonts w:ascii="宋体" w:hAnsi="宋体" w:eastAsia="宋体" w:cs="Times New Roman"/>
          <w:bCs/>
          <w:sz w:val="24"/>
          <w:szCs w:val="20"/>
        </w:rPr>
      </w:pPr>
    </w:p>
    <w:p w14:paraId="71040793">
      <w:pPr>
        <w:snapToGrid w:val="0"/>
        <w:spacing w:before="120" w:beforeLines="50" w:after="50" w:line="400" w:lineRule="exact"/>
        <w:ind w:firstLine="360" w:firstLineChars="150"/>
        <w:rPr>
          <w:rFonts w:ascii="宋体" w:hAnsi="宋体" w:eastAsia="宋体" w:cs="Times New Roman"/>
          <w:bCs/>
          <w:sz w:val="24"/>
          <w:szCs w:val="20"/>
        </w:rPr>
      </w:pPr>
      <w:r>
        <w:rPr>
          <w:rFonts w:hint="eastAsia" w:ascii="宋体" w:hAnsi="宋体" w:eastAsia="宋体" w:cs="Times New Roman"/>
          <w:bCs/>
          <w:sz w:val="24"/>
          <w:szCs w:val="24"/>
        </w:rPr>
        <w:t xml:space="preserve">项目名称： </w:t>
      </w:r>
    </w:p>
    <w:p w14:paraId="500C5693">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 xml:space="preserve">项目编号： </w:t>
      </w:r>
    </w:p>
    <w:p w14:paraId="318398DE">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投标人名称：</w:t>
      </w:r>
    </w:p>
    <w:p w14:paraId="21EBF195">
      <w:pPr>
        <w:snapToGrid w:val="0"/>
        <w:spacing w:before="120" w:beforeLines="50" w:after="50" w:line="400" w:lineRule="exact"/>
        <w:ind w:firstLine="360" w:firstLineChars="150"/>
        <w:rPr>
          <w:rFonts w:ascii="宋体" w:hAnsi="宋体" w:eastAsia="宋体" w:cs="Times New Roman"/>
          <w:bCs/>
          <w:sz w:val="24"/>
          <w:szCs w:val="24"/>
        </w:rPr>
      </w:pPr>
      <w:r>
        <w:rPr>
          <w:rFonts w:hint="eastAsia" w:ascii="宋体" w:hAnsi="宋体" w:eastAsia="宋体" w:cs="Times New Roman"/>
          <w:bCs/>
          <w:sz w:val="24"/>
          <w:szCs w:val="24"/>
        </w:rPr>
        <w:t>投标人地址：</w:t>
      </w:r>
    </w:p>
    <w:p w14:paraId="43259DBB">
      <w:pPr>
        <w:snapToGrid w:val="0"/>
        <w:spacing w:before="120" w:beforeLines="50" w:after="50"/>
        <w:ind w:firstLine="645"/>
        <w:jc w:val="center"/>
        <w:rPr>
          <w:rFonts w:ascii="宋体" w:hAnsi="宋体" w:eastAsia="宋体" w:cs="Times New Roman"/>
          <w:sz w:val="24"/>
          <w:szCs w:val="24"/>
        </w:rPr>
      </w:pPr>
      <w:r>
        <w:rPr>
          <w:rFonts w:hint="eastAsia" w:ascii="宋体" w:hAnsi="宋体" w:eastAsia="宋体" w:cs="Times New Roman"/>
          <w:sz w:val="24"/>
          <w:szCs w:val="24"/>
        </w:rPr>
        <w:t xml:space="preserve">                        年    月    日</w:t>
      </w:r>
    </w:p>
    <w:p w14:paraId="2D4CDA03">
      <w:pPr>
        <w:snapToGrid w:val="0"/>
        <w:spacing w:before="120" w:beforeLines="50" w:after="50"/>
        <w:ind w:firstLine="645"/>
        <w:jc w:val="center"/>
        <w:rPr>
          <w:rFonts w:ascii="宋体" w:hAnsi="宋体" w:eastAsia="宋体" w:cs="Times New Roman"/>
          <w:sz w:val="24"/>
          <w:szCs w:val="20"/>
        </w:rPr>
      </w:pPr>
    </w:p>
    <w:p w14:paraId="3E2E68F8">
      <w:pPr>
        <w:snapToGrid w:val="0"/>
        <w:spacing w:before="120" w:beforeLines="50" w:after="50"/>
        <w:ind w:left="142"/>
        <w:jc w:val="left"/>
        <w:rPr>
          <w:rFonts w:ascii="宋体" w:hAnsi="宋体" w:eastAsia="宋体" w:cs="Times New Roman"/>
          <w:b/>
          <w:bCs/>
          <w:sz w:val="24"/>
          <w:szCs w:val="24"/>
        </w:rPr>
      </w:pPr>
      <w:r>
        <w:rPr>
          <w:rFonts w:ascii="宋体" w:hAnsi="宋体" w:eastAsia="宋体" w:cs="Times New Roman"/>
          <w:b/>
          <w:bCs/>
          <w:sz w:val="24"/>
          <w:szCs w:val="24"/>
        </w:rPr>
        <w:br w:type="page"/>
      </w:r>
      <w:r>
        <w:rPr>
          <w:rFonts w:hint="eastAsia" w:ascii="宋体" w:hAnsi="宋体" w:eastAsia="宋体" w:cs="Times New Roman"/>
          <w:b/>
          <w:bCs/>
          <w:sz w:val="24"/>
          <w:szCs w:val="24"/>
        </w:rPr>
        <w:t>2.技术文件目录</w:t>
      </w:r>
    </w:p>
    <w:p w14:paraId="03804970">
      <w:pPr>
        <w:snapToGrid w:val="0"/>
        <w:spacing w:before="50" w:after="120" w:afterLines="50" w:line="280" w:lineRule="exact"/>
        <w:ind w:left="283" w:leftChars="135"/>
        <w:jc w:val="left"/>
        <w:rPr>
          <w:rFonts w:ascii="宋体" w:hAnsi="宋体" w:eastAsia="宋体" w:cs="Times New Roman"/>
          <w:sz w:val="24"/>
          <w:szCs w:val="20"/>
        </w:rPr>
      </w:pPr>
      <w:r>
        <w:rPr>
          <w:rFonts w:hint="eastAsia" w:ascii="宋体" w:hAnsi="宋体" w:eastAsia="宋体" w:cs="Times New Roman"/>
          <w:szCs w:val="21"/>
        </w:rPr>
        <w:t>根据招标文件规定及投标人提供的材料自行编写目录。</w:t>
      </w:r>
    </w:p>
    <w:p w14:paraId="6F1AAFDD">
      <w:pPr>
        <w:snapToGrid w:val="0"/>
        <w:spacing w:before="120" w:beforeLines="50" w:after="50"/>
        <w:ind w:firstLine="241" w:firstLineChars="100"/>
        <w:jc w:val="left"/>
        <w:rPr>
          <w:rFonts w:ascii="宋体" w:hAnsi="宋体" w:eastAsia="宋体" w:cs="Times New Roman"/>
          <w:b/>
          <w:sz w:val="24"/>
          <w:szCs w:val="24"/>
        </w:rPr>
      </w:pPr>
      <w:r>
        <w:rPr>
          <w:rFonts w:hint="eastAsia" w:ascii="宋体" w:hAnsi="宋体" w:eastAsia="宋体" w:cs="Times New Roman"/>
          <w:b/>
          <w:sz w:val="24"/>
          <w:szCs w:val="24"/>
        </w:rPr>
        <w:t>3.</w:t>
      </w:r>
      <w:r>
        <w:rPr>
          <w:rFonts w:hint="eastAsia"/>
        </w:rPr>
        <w:t xml:space="preserve"> </w:t>
      </w:r>
      <w:r>
        <w:rPr>
          <w:rFonts w:hint="eastAsia" w:ascii="宋体" w:hAnsi="宋体" w:eastAsia="宋体" w:cs="Times New Roman"/>
          <w:b/>
          <w:sz w:val="24"/>
          <w:szCs w:val="24"/>
        </w:rPr>
        <w:t>技术响应表表格式</w:t>
      </w:r>
    </w:p>
    <w:p w14:paraId="01BDA22F">
      <w:pPr>
        <w:snapToGrid w:val="0"/>
        <w:spacing w:before="120" w:beforeLines="50" w:after="50"/>
        <w:ind w:left="142"/>
        <w:jc w:val="left"/>
        <w:rPr>
          <w:rFonts w:ascii="宋体" w:hAnsi="宋体" w:eastAsia="宋体" w:cs="Times New Roman"/>
          <w:b/>
          <w:sz w:val="24"/>
          <w:szCs w:val="24"/>
        </w:rPr>
      </w:pPr>
    </w:p>
    <w:p w14:paraId="035D90BF">
      <w:pPr>
        <w:snapToGrid w:val="0"/>
        <w:spacing w:before="120" w:beforeLines="50" w:after="50"/>
        <w:ind w:left="142"/>
        <w:jc w:val="center"/>
        <w:rPr>
          <w:rFonts w:ascii="宋体" w:hAnsi="宋体" w:eastAsia="宋体" w:cs="Times New Roman"/>
          <w:b/>
          <w:sz w:val="32"/>
          <w:szCs w:val="32"/>
        </w:rPr>
      </w:pPr>
      <w:r>
        <w:rPr>
          <w:rFonts w:hint="eastAsia" w:ascii="宋体" w:hAnsi="宋体" w:eastAsia="宋体" w:cs="Times New Roman"/>
          <w:b/>
          <w:sz w:val="32"/>
          <w:szCs w:val="32"/>
        </w:rPr>
        <w:t>技术响应表</w:t>
      </w:r>
    </w:p>
    <w:tbl>
      <w:tblPr>
        <w:tblStyle w:val="37"/>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70"/>
        <w:gridCol w:w="2977"/>
        <w:gridCol w:w="2693"/>
        <w:gridCol w:w="901"/>
      </w:tblGrid>
      <w:tr w14:paraId="32F66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70" w:type="dxa"/>
            <w:tcBorders>
              <w:top w:val="single" w:color="auto" w:sz="4" w:space="0"/>
              <w:left w:val="single" w:color="auto" w:sz="4" w:space="0"/>
              <w:bottom w:val="single" w:color="auto" w:sz="4" w:space="0"/>
              <w:right w:val="single" w:color="auto" w:sz="4" w:space="0"/>
            </w:tcBorders>
            <w:vAlign w:val="center"/>
          </w:tcPr>
          <w:p w14:paraId="126B40D7">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项目</w:t>
            </w:r>
          </w:p>
        </w:tc>
        <w:tc>
          <w:tcPr>
            <w:tcW w:w="2977" w:type="dxa"/>
            <w:tcBorders>
              <w:top w:val="single" w:color="auto" w:sz="4" w:space="0"/>
              <w:left w:val="single" w:color="auto" w:sz="4" w:space="0"/>
              <w:bottom w:val="single" w:color="auto" w:sz="4" w:space="0"/>
              <w:right w:val="single" w:color="auto" w:sz="4" w:space="0"/>
            </w:tcBorders>
            <w:vAlign w:val="center"/>
          </w:tcPr>
          <w:p w14:paraId="660DF7D6">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招标文件技术参数要求</w:t>
            </w:r>
          </w:p>
        </w:tc>
        <w:tc>
          <w:tcPr>
            <w:tcW w:w="2693" w:type="dxa"/>
            <w:tcBorders>
              <w:top w:val="single" w:color="auto" w:sz="4" w:space="0"/>
              <w:left w:val="single" w:color="auto" w:sz="4" w:space="0"/>
              <w:bottom w:val="single" w:color="auto" w:sz="4" w:space="0"/>
              <w:right w:val="single" w:color="auto" w:sz="4" w:space="0"/>
            </w:tcBorders>
            <w:vAlign w:val="center"/>
          </w:tcPr>
          <w:p w14:paraId="4F532BE5">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投标人投标内容描述</w:t>
            </w:r>
          </w:p>
        </w:tc>
        <w:tc>
          <w:tcPr>
            <w:tcW w:w="901" w:type="dxa"/>
            <w:tcBorders>
              <w:top w:val="single" w:color="auto" w:sz="4" w:space="0"/>
              <w:left w:val="single" w:color="auto" w:sz="4" w:space="0"/>
              <w:bottom w:val="single" w:color="auto" w:sz="4" w:space="0"/>
              <w:right w:val="single" w:color="auto" w:sz="4" w:space="0"/>
            </w:tcBorders>
            <w:vAlign w:val="center"/>
          </w:tcPr>
          <w:p w14:paraId="308030FE">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偏离说明</w:t>
            </w:r>
          </w:p>
        </w:tc>
      </w:tr>
      <w:tr w14:paraId="60452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070" w:type="dxa"/>
            <w:tcBorders>
              <w:top w:val="single" w:color="auto" w:sz="4" w:space="0"/>
              <w:left w:val="single" w:color="auto" w:sz="4" w:space="0"/>
              <w:bottom w:val="single" w:color="auto" w:sz="4" w:space="0"/>
              <w:right w:val="single" w:color="auto" w:sz="4" w:space="0"/>
            </w:tcBorders>
            <w:vAlign w:val="center"/>
          </w:tcPr>
          <w:p w14:paraId="4BD8E3CA">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49567D48">
            <w:pPr>
              <w:snapToGrid w:val="0"/>
              <w:spacing w:before="120" w:beforeLines="50"/>
              <w:jc w:val="center"/>
              <w:rPr>
                <w:rFonts w:ascii="宋体" w:hAnsi="宋体" w:eastAsia="宋体" w:cs="Times New Roman"/>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26128D00">
            <w:pPr>
              <w:snapToGrid w:val="0"/>
              <w:spacing w:before="120" w:beforeLines="50"/>
              <w:jc w:val="center"/>
              <w:rPr>
                <w:rFonts w:ascii="宋体" w:hAnsi="宋体" w:eastAsia="宋体" w:cs="Times New Roman"/>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3A011F9D">
            <w:pPr>
              <w:snapToGrid w:val="0"/>
              <w:spacing w:before="120" w:beforeLines="50"/>
              <w:jc w:val="center"/>
              <w:rPr>
                <w:rFonts w:ascii="宋体" w:hAnsi="宋体" w:eastAsia="宋体" w:cs="Times New Roman"/>
                <w:sz w:val="24"/>
                <w:szCs w:val="24"/>
              </w:rPr>
            </w:pPr>
          </w:p>
        </w:tc>
      </w:tr>
      <w:tr w14:paraId="77994E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070" w:type="dxa"/>
            <w:tcBorders>
              <w:top w:val="single" w:color="auto" w:sz="4" w:space="0"/>
              <w:left w:val="single" w:color="auto" w:sz="4" w:space="0"/>
              <w:bottom w:val="single" w:color="auto" w:sz="4" w:space="0"/>
              <w:right w:val="single" w:color="auto" w:sz="4" w:space="0"/>
            </w:tcBorders>
            <w:vAlign w:val="center"/>
          </w:tcPr>
          <w:p w14:paraId="5E081E49">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6AF1F689">
            <w:pPr>
              <w:snapToGrid w:val="0"/>
              <w:spacing w:before="120" w:beforeLines="50"/>
              <w:jc w:val="center"/>
              <w:rPr>
                <w:rFonts w:ascii="宋体" w:hAnsi="宋体" w:eastAsia="宋体" w:cs="Times New Roman"/>
                <w:sz w:val="24"/>
                <w:szCs w:val="24"/>
                <w:u w:val="single"/>
              </w:rPr>
            </w:pPr>
          </w:p>
        </w:tc>
        <w:tc>
          <w:tcPr>
            <w:tcW w:w="2693" w:type="dxa"/>
            <w:tcBorders>
              <w:top w:val="single" w:color="auto" w:sz="4" w:space="0"/>
              <w:left w:val="single" w:color="auto" w:sz="4" w:space="0"/>
              <w:bottom w:val="single" w:color="auto" w:sz="4" w:space="0"/>
              <w:right w:val="single" w:color="auto" w:sz="4" w:space="0"/>
            </w:tcBorders>
            <w:vAlign w:val="center"/>
          </w:tcPr>
          <w:p w14:paraId="0091114D">
            <w:pPr>
              <w:snapToGrid w:val="0"/>
              <w:spacing w:before="120" w:beforeLines="50"/>
              <w:ind w:left="43"/>
              <w:jc w:val="center"/>
              <w:rPr>
                <w:rFonts w:ascii="宋体" w:hAnsi="宋体" w:eastAsia="宋体" w:cs="Times New Roman"/>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4EDB53CF">
            <w:pPr>
              <w:snapToGrid w:val="0"/>
              <w:spacing w:before="120" w:beforeLines="50"/>
              <w:ind w:left="43"/>
              <w:jc w:val="center"/>
              <w:rPr>
                <w:rFonts w:ascii="宋体" w:hAnsi="宋体" w:eastAsia="宋体" w:cs="Times New Roman"/>
                <w:sz w:val="24"/>
                <w:szCs w:val="24"/>
              </w:rPr>
            </w:pPr>
          </w:p>
        </w:tc>
      </w:tr>
      <w:tr w14:paraId="0978F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070" w:type="dxa"/>
            <w:tcBorders>
              <w:top w:val="single" w:color="auto" w:sz="4" w:space="0"/>
              <w:left w:val="single" w:color="auto" w:sz="4" w:space="0"/>
              <w:bottom w:val="single" w:color="auto" w:sz="4" w:space="0"/>
              <w:right w:val="single" w:color="auto" w:sz="4" w:space="0"/>
            </w:tcBorders>
            <w:vAlign w:val="center"/>
          </w:tcPr>
          <w:p w14:paraId="7FC40065">
            <w:pPr>
              <w:jc w:val="center"/>
              <w:rPr>
                <w:rFonts w:ascii="宋体" w:hAnsi="宋体" w:eastAsia="宋体" w:cs="Times New Roman"/>
                <w:sz w:val="24"/>
                <w:szCs w:val="24"/>
              </w:rPr>
            </w:pPr>
          </w:p>
        </w:tc>
        <w:tc>
          <w:tcPr>
            <w:tcW w:w="2977" w:type="dxa"/>
            <w:tcBorders>
              <w:top w:val="single" w:color="auto" w:sz="4" w:space="0"/>
              <w:left w:val="single" w:color="auto" w:sz="4" w:space="0"/>
              <w:bottom w:val="single" w:color="auto" w:sz="4" w:space="0"/>
              <w:right w:val="single" w:color="auto" w:sz="4" w:space="0"/>
            </w:tcBorders>
            <w:vAlign w:val="center"/>
          </w:tcPr>
          <w:p w14:paraId="06F82024">
            <w:pPr>
              <w:snapToGrid w:val="0"/>
              <w:spacing w:before="120" w:beforeLines="50"/>
              <w:jc w:val="center"/>
              <w:rPr>
                <w:rFonts w:ascii="宋体" w:hAnsi="宋体" w:eastAsia="宋体" w:cs="Times New Roman"/>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09E9832E">
            <w:pPr>
              <w:snapToGrid w:val="0"/>
              <w:spacing w:before="120" w:beforeLines="50"/>
              <w:jc w:val="center"/>
              <w:rPr>
                <w:rFonts w:ascii="宋体" w:hAnsi="宋体" w:eastAsia="宋体" w:cs="Times New Roman"/>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07A74169">
            <w:pPr>
              <w:snapToGrid w:val="0"/>
              <w:spacing w:before="120" w:beforeLines="50"/>
              <w:jc w:val="center"/>
              <w:rPr>
                <w:rFonts w:ascii="宋体" w:hAnsi="宋体" w:eastAsia="宋体" w:cs="Times New Roman"/>
                <w:sz w:val="24"/>
                <w:szCs w:val="24"/>
              </w:rPr>
            </w:pPr>
          </w:p>
        </w:tc>
      </w:tr>
      <w:tr w14:paraId="2EC0CD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70" w:type="dxa"/>
            <w:tcBorders>
              <w:top w:val="single" w:color="auto" w:sz="4" w:space="0"/>
              <w:left w:val="single" w:color="auto" w:sz="4" w:space="0"/>
              <w:bottom w:val="single" w:color="auto" w:sz="4" w:space="0"/>
              <w:right w:val="single" w:color="auto" w:sz="4" w:space="0"/>
            </w:tcBorders>
            <w:vAlign w:val="center"/>
          </w:tcPr>
          <w:p w14:paraId="0E516D12">
            <w:pPr>
              <w:snapToGrid w:val="0"/>
              <w:spacing w:before="120" w:beforeLines="50"/>
              <w:jc w:val="center"/>
              <w:rPr>
                <w:rFonts w:ascii="宋体" w:hAnsi="宋体" w:eastAsia="宋体" w:cs="Times New Roman"/>
                <w:sz w:val="24"/>
                <w:szCs w:val="24"/>
              </w:rPr>
            </w:pPr>
            <w:r>
              <w:rPr>
                <w:rFonts w:hint="eastAsia" w:ascii="宋体" w:hAnsi="宋体" w:eastAsia="宋体" w:cs="Times New Roman"/>
                <w:sz w:val="24"/>
                <w:szCs w:val="24"/>
              </w:rPr>
              <w:t>…</w:t>
            </w:r>
          </w:p>
        </w:tc>
        <w:tc>
          <w:tcPr>
            <w:tcW w:w="2977" w:type="dxa"/>
            <w:tcBorders>
              <w:top w:val="single" w:color="auto" w:sz="4" w:space="0"/>
              <w:left w:val="single" w:color="auto" w:sz="4" w:space="0"/>
              <w:bottom w:val="single" w:color="auto" w:sz="4" w:space="0"/>
              <w:right w:val="single" w:color="auto" w:sz="4" w:space="0"/>
            </w:tcBorders>
            <w:vAlign w:val="center"/>
          </w:tcPr>
          <w:p w14:paraId="00848E88">
            <w:pPr>
              <w:snapToGrid w:val="0"/>
              <w:spacing w:before="120" w:beforeLines="50"/>
              <w:jc w:val="center"/>
              <w:rPr>
                <w:rFonts w:ascii="宋体" w:hAnsi="宋体" w:eastAsia="宋体" w:cs="Times New Roman"/>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14:paraId="311D687E">
            <w:pPr>
              <w:snapToGrid w:val="0"/>
              <w:spacing w:before="120" w:beforeLines="50"/>
              <w:jc w:val="center"/>
              <w:rPr>
                <w:rFonts w:ascii="宋体" w:hAnsi="宋体" w:eastAsia="宋体" w:cs="Times New Roman"/>
                <w:sz w:val="24"/>
                <w:szCs w:val="24"/>
              </w:rPr>
            </w:pPr>
          </w:p>
        </w:tc>
        <w:tc>
          <w:tcPr>
            <w:tcW w:w="901" w:type="dxa"/>
            <w:tcBorders>
              <w:top w:val="single" w:color="auto" w:sz="4" w:space="0"/>
              <w:left w:val="single" w:color="auto" w:sz="4" w:space="0"/>
              <w:bottom w:val="single" w:color="auto" w:sz="4" w:space="0"/>
              <w:right w:val="single" w:color="auto" w:sz="4" w:space="0"/>
            </w:tcBorders>
            <w:vAlign w:val="center"/>
          </w:tcPr>
          <w:p w14:paraId="4067D5DE">
            <w:pPr>
              <w:snapToGrid w:val="0"/>
              <w:spacing w:before="120" w:beforeLines="50"/>
              <w:jc w:val="center"/>
              <w:rPr>
                <w:rFonts w:ascii="宋体" w:hAnsi="宋体" w:eastAsia="宋体" w:cs="Times New Roman"/>
                <w:sz w:val="24"/>
                <w:szCs w:val="24"/>
              </w:rPr>
            </w:pPr>
          </w:p>
        </w:tc>
      </w:tr>
    </w:tbl>
    <w:p w14:paraId="3D15E9DC">
      <w:pPr>
        <w:rPr>
          <w:rFonts w:ascii="宋体" w:hAnsi="Courier New" w:eastAsia="宋体" w:cs="Times New Roman"/>
          <w:kern w:val="0"/>
          <w:sz w:val="24"/>
          <w:szCs w:val="24"/>
          <w:highlight w:val="yellow"/>
        </w:rPr>
      </w:pPr>
    </w:p>
    <w:p w14:paraId="76367C31">
      <w:pPr>
        <w:snapToGrid w:val="0"/>
        <w:spacing w:before="50" w:after="120" w:afterLines="50"/>
        <w:jc w:val="left"/>
        <w:rPr>
          <w:rFonts w:ascii="宋体" w:hAnsi="宋体" w:eastAsia="宋体" w:cs="Times New Roman"/>
          <w:sz w:val="24"/>
          <w:szCs w:val="20"/>
        </w:rPr>
      </w:pPr>
    </w:p>
    <w:p w14:paraId="1FC83422">
      <w:pPr>
        <w:spacing w:line="360" w:lineRule="auto"/>
        <w:contextualSpacing/>
        <w:jc w:val="left"/>
        <w:rPr>
          <w:rFonts w:ascii="宋体" w:hAnsi="宋体" w:eastAsia="宋体" w:cs="Times New Roman"/>
          <w:sz w:val="24"/>
          <w:szCs w:val="20"/>
        </w:rPr>
      </w:pPr>
      <w:r>
        <w:rPr>
          <w:rFonts w:hint="eastAsia" w:ascii="宋体" w:hAnsi="宋体" w:eastAsia="宋体" w:cs="Times New Roman"/>
          <w:sz w:val="24"/>
          <w:szCs w:val="20"/>
        </w:rPr>
        <w:t>注：在填写时，如本表格不适合投标单位的实际情况，可根据本表格式自行制表填写。</w:t>
      </w:r>
    </w:p>
    <w:p w14:paraId="5091EED8">
      <w:pPr>
        <w:spacing w:line="360" w:lineRule="auto"/>
        <w:contextualSpacing/>
        <w:rPr>
          <w:rFonts w:ascii="宋体" w:hAnsi="宋体" w:eastAsia="宋体" w:cs="Times New Roman"/>
          <w:spacing w:val="20"/>
          <w:sz w:val="24"/>
          <w:szCs w:val="20"/>
          <w:u w:val="single"/>
        </w:rPr>
      </w:pPr>
      <w:r>
        <w:rPr>
          <w:rFonts w:hint="eastAsia" w:ascii="宋体" w:hAnsi="宋体" w:eastAsia="宋体" w:cs="Times New Roman"/>
          <w:sz w:val="24"/>
          <w:szCs w:val="24"/>
        </w:rPr>
        <w:t>法定代表人或者委托代理人</w:t>
      </w:r>
      <w:r>
        <w:rPr>
          <w:rFonts w:hint="eastAsia" w:ascii="宋体" w:hAnsi="宋体" w:eastAsia="宋体" w:cs="Times New Roman"/>
          <w:spacing w:val="20"/>
          <w:sz w:val="24"/>
          <w:szCs w:val="24"/>
        </w:rPr>
        <w:t>（签字）：</w:t>
      </w:r>
      <w:r>
        <w:rPr>
          <w:rFonts w:hint="eastAsia" w:ascii="宋体" w:hAnsi="宋体" w:eastAsia="宋体" w:cs="Times New Roman"/>
          <w:spacing w:val="20"/>
          <w:sz w:val="24"/>
          <w:szCs w:val="24"/>
          <w:u w:val="single"/>
        </w:rPr>
        <w:t xml:space="preserve">        </w:t>
      </w:r>
    </w:p>
    <w:p w14:paraId="1C07E97F">
      <w:pPr>
        <w:spacing w:line="360" w:lineRule="auto"/>
        <w:contextualSpacing/>
        <w:jc w:val="left"/>
        <w:rPr>
          <w:rFonts w:ascii="宋体" w:hAnsi="宋体" w:eastAsia="宋体" w:cs="Times New Roman"/>
          <w:sz w:val="24"/>
          <w:szCs w:val="20"/>
        </w:rPr>
      </w:pPr>
      <w:r>
        <w:rPr>
          <w:rFonts w:hint="eastAsia" w:ascii="宋体" w:hAnsi="宋体" w:eastAsia="宋体" w:cs="Times New Roman"/>
          <w:spacing w:val="20"/>
          <w:sz w:val="24"/>
          <w:szCs w:val="24"/>
        </w:rPr>
        <w:t>投标人（盖公章）：</w:t>
      </w:r>
      <w:r>
        <w:rPr>
          <w:rFonts w:hint="eastAsia" w:ascii="宋体" w:hAnsi="宋体" w:eastAsia="宋体" w:cs="Times New Roman"/>
          <w:spacing w:val="20"/>
          <w:sz w:val="24"/>
          <w:szCs w:val="24"/>
          <w:u w:val="single"/>
        </w:rPr>
        <w:t xml:space="preserve">            </w:t>
      </w:r>
      <w:r>
        <w:rPr>
          <w:rFonts w:hint="eastAsia" w:ascii="宋体" w:hAnsi="宋体" w:eastAsia="宋体" w:cs="Times New Roman"/>
          <w:spacing w:val="20"/>
          <w:sz w:val="24"/>
          <w:szCs w:val="24"/>
        </w:rPr>
        <w:t xml:space="preserve">              日 期：</w:t>
      </w:r>
      <w:r>
        <w:rPr>
          <w:rFonts w:hint="eastAsia" w:ascii="宋体" w:hAnsi="宋体" w:eastAsia="宋体" w:cs="Times New Roman"/>
          <w:spacing w:val="20"/>
          <w:sz w:val="24"/>
          <w:szCs w:val="24"/>
          <w:u w:val="single"/>
        </w:rPr>
        <w:t xml:space="preserve">         </w:t>
      </w:r>
    </w:p>
    <w:p w14:paraId="0C62CF9C">
      <w:pPr>
        <w:snapToGrid w:val="0"/>
        <w:spacing w:before="50" w:after="120" w:afterLines="50"/>
        <w:jc w:val="left"/>
        <w:rPr>
          <w:rFonts w:ascii="宋体" w:hAnsi="宋体" w:eastAsia="宋体" w:cs="Times New Roman"/>
          <w:sz w:val="24"/>
          <w:szCs w:val="20"/>
        </w:rPr>
      </w:pPr>
    </w:p>
    <w:p w14:paraId="6E265073">
      <w:pPr>
        <w:rPr>
          <w:rFonts w:ascii="Times New Roman" w:hAnsi="Times New Roman" w:eastAsia="宋体" w:cs="Times New Roman"/>
          <w:b/>
          <w:sz w:val="28"/>
          <w:szCs w:val="28"/>
        </w:rPr>
      </w:pPr>
      <w:r>
        <w:rPr>
          <w:rFonts w:ascii="宋体" w:hAnsi="宋体" w:eastAsia="宋体" w:cs="Times New Roman"/>
          <w:b/>
          <w:bCs/>
          <w:sz w:val="24"/>
          <w:szCs w:val="24"/>
        </w:rPr>
        <w:br w:type="page"/>
      </w:r>
      <w:bookmarkStart w:id="157" w:name="_Toc19686840"/>
      <w:r>
        <w:rPr>
          <w:rFonts w:hint="eastAsia" w:ascii="Times New Roman" w:hAnsi="Times New Roman" w:eastAsia="宋体" w:cs="Times New Roman"/>
          <w:b/>
          <w:sz w:val="28"/>
          <w:szCs w:val="28"/>
        </w:rPr>
        <w:t>六、其他文书、文件格式</w:t>
      </w:r>
      <w:bookmarkEnd w:id="157"/>
    </w:p>
    <w:p w14:paraId="3BD9E248">
      <w:pPr>
        <w:spacing w:before="120" w:beforeLines="50" w:after="120" w:afterLines="50" w:line="400" w:lineRule="exact"/>
        <w:rPr>
          <w:rFonts w:ascii="宋体" w:hAnsi="宋体" w:eastAsia="宋体" w:cs="Times New Roman"/>
          <w:sz w:val="24"/>
          <w:szCs w:val="24"/>
        </w:rPr>
      </w:pPr>
    </w:p>
    <w:p w14:paraId="0D8B77B2">
      <w:pPr>
        <w:snapToGrid w:val="0"/>
        <w:spacing w:before="120" w:beforeLines="50" w:after="50"/>
        <w:jc w:val="left"/>
        <w:rPr>
          <w:rFonts w:ascii="Times New Roman" w:hAnsi="Times New Roman" w:eastAsia="宋体" w:cs="Times New Roman"/>
          <w:szCs w:val="24"/>
        </w:rPr>
      </w:pPr>
      <w:r>
        <w:rPr>
          <w:rFonts w:hint="eastAsia" w:ascii="宋体" w:hAnsi="宋体" w:eastAsia="宋体" w:cs="Times New Roman"/>
          <w:b/>
          <w:sz w:val="24"/>
          <w:szCs w:val="24"/>
        </w:rPr>
        <w:t xml:space="preserve"> 1.中小企业声明函格式（如有）</w:t>
      </w:r>
    </w:p>
    <w:p w14:paraId="3AB7A150">
      <w:pPr>
        <w:rPr>
          <w:rFonts w:ascii="Times New Roman" w:hAnsi="Times New Roman" w:eastAsia="宋体" w:cs="Times New Roman"/>
          <w:szCs w:val="24"/>
          <w:highlight w:val="yellow"/>
        </w:rPr>
      </w:pPr>
    </w:p>
    <w:p w14:paraId="64C0CBD3">
      <w:pPr>
        <w:adjustRightInd w:val="0"/>
        <w:snapToGrid w:val="0"/>
        <w:spacing w:line="300" w:lineRule="auto"/>
        <w:jc w:val="center"/>
        <w:rPr>
          <w:rFonts w:ascii="方正小标宋简体" w:hAnsi="方正小标宋简体" w:eastAsia="方正小标宋简体" w:cs="方正小标宋简体"/>
          <w:bCs/>
          <w:sz w:val="44"/>
          <w:szCs w:val="44"/>
        </w:rPr>
      </w:pPr>
      <w:bookmarkStart w:id="158" w:name="_Toc71365383"/>
      <w:bookmarkStart w:id="159" w:name="_Toc71366061"/>
      <w:r>
        <w:rPr>
          <w:rFonts w:hint="eastAsia" w:ascii="方正小标宋简体" w:hAnsi="方正小标宋简体" w:eastAsia="方正小标宋简体" w:cs="方正小标宋简体"/>
          <w:bCs/>
          <w:sz w:val="44"/>
          <w:szCs w:val="44"/>
        </w:rPr>
        <w:t>中小企业声明函（货物）</w:t>
      </w:r>
      <w:bookmarkEnd w:id="158"/>
      <w:bookmarkEnd w:id="159"/>
    </w:p>
    <w:p w14:paraId="51A5F4AB">
      <w:pPr>
        <w:rPr>
          <w:rFonts w:ascii="Times New Roman" w:hAnsi="Times New Roman" w:eastAsia="宋体" w:cs="Times New Roman"/>
          <w:szCs w:val="24"/>
        </w:rPr>
      </w:pPr>
    </w:p>
    <w:p w14:paraId="12AA54D6">
      <w:pPr>
        <w:spacing w:line="360" w:lineRule="auto"/>
        <w:ind w:left="-426" w:right="142" w:firstLine="640"/>
        <w:contextualSpacing/>
        <w:rPr>
          <w:rFonts w:ascii="宋体" w:hAnsi="宋体" w:eastAsia="宋体" w:cs="Times New Roman"/>
          <w:sz w:val="24"/>
          <w:szCs w:val="24"/>
        </w:rPr>
      </w:pPr>
      <w:r>
        <w:rPr>
          <w:rFonts w:ascii="宋体" w:hAnsi="宋体" w:eastAsia="宋体" w:cs="Times New Roman"/>
          <w:sz w:val="24"/>
          <w:szCs w:val="24"/>
        </w:rPr>
        <w:t>本公司（联合体）郑重声明，本公司（联合体）参加</w:t>
      </w:r>
      <w:r>
        <w:rPr>
          <w:rFonts w:ascii="宋体" w:hAnsi="宋体" w:eastAsia="宋体" w:cs="Times New Roman"/>
          <w:sz w:val="24"/>
          <w:szCs w:val="24"/>
          <w:u w:val="single"/>
        </w:rPr>
        <w:t>（单位名称）</w:t>
      </w:r>
      <w:r>
        <w:rPr>
          <w:rFonts w:ascii="宋体" w:hAnsi="宋体" w:eastAsia="宋体" w:cs="Times New Roman"/>
          <w:sz w:val="24"/>
          <w:szCs w:val="24"/>
        </w:rPr>
        <w:t>的</w:t>
      </w:r>
      <w:r>
        <w:rPr>
          <w:rFonts w:ascii="宋体" w:hAnsi="宋体" w:eastAsia="宋体" w:cs="Times New Roman"/>
          <w:sz w:val="24"/>
          <w:szCs w:val="24"/>
          <w:u w:val="single"/>
        </w:rPr>
        <w:t>（项目名称）</w:t>
      </w:r>
      <w:r>
        <w:rPr>
          <w:rFonts w:ascii="宋体" w:hAnsi="宋体" w:eastAsia="宋体" w:cs="Times New Roman"/>
          <w:sz w:val="24"/>
          <w:szCs w:val="24"/>
        </w:rPr>
        <w:t>采购活动，提供的货物全部由符合政策要求的中小企业制造。相关企业（含联合体中的中小企业、签订分包意向协议的中小企业）的具体情况如下：</w:t>
      </w:r>
    </w:p>
    <w:p w14:paraId="07473B06">
      <w:pPr>
        <w:tabs>
          <w:tab w:val="left" w:pos="1384"/>
          <w:tab w:val="left" w:pos="4562"/>
          <w:tab w:val="left" w:pos="6803"/>
        </w:tabs>
        <w:spacing w:line="360" w:lineRule="auto"/>
        <w:ind w:left="-426" w:right="-58" w:firstLine="655"/>
        <w:contextualSpacing/>
        <w:rPr>
          <w:rFonts w:ascii="宋体" w:hAnsi="宋体" w:eastAsia="宋体" w:cs="Times New Roman"/>
          <w:sz w:val="24"/>
          <w:szCs w:val="24"/>
        </w:rPr>
      </w:pPr>
      <w:r>
        <w:rPr>
          <w:rFonts w:ascii="宋体" w:hAnsi="宋体" w:eastAsia="宋体" w:cs="Times New Roman"/>
          <w:sz w:val="24"/>
          <w:szCs w:val="24"/>
        </w:rPr>
        <w:t>1.</w:t>
      </w:r>
      <w:r>
        <w:rPr>
          <w:rFonts w:ascii="宋体" w:hAnsi="宋体" w:eastAsia="宋体" w:cs="Times New Roman"/>
          <w:sz w:val="24"/>
          <w:szCs w:val="24"/>
          <w:u w:val="single"/>
        </w:rPr>
        <w:t>（标的名称）</w:t>
      </w:r>
      <w:r>
        <w:rPr>
          <w:rFonts w:ascii="宋体" w:hAnsi="宋体" w:eastAsia="宋体" w:cs="Times New Roman"/>
          <w:sz w:val="24"/>
          <w:szCs w:val="24"/>
        </w:rPr>
        <w:t>，属于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行业；制造商为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人，营业收入为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万元，资产总额为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（中型企业、小型企业、微型企业）</w:t>
      </w:r>
      <w:r>
        <w:rPr>
          <w:rFonts w:ascii="宋体" w:hAnsi="宋体" w:eastAsia="宋体" w:cs="Times New Roman"/>
          <w:sz w:val="24"/>
          <w:szCs w:val="24"/>
        </w:rPr>
        <w:t>；</w:t>
      </w:r>
    </w:p>
    <w:p w14:paraId="0BA78DAF">
      <w:pPr>
        <w:tabs>
          <w:tab w:val="left" w:pos="1065"/>
          <w:tab w:val="left" w:pos="6477"/>
        </w:tabs>
        <w:spacing w:line="360" w:lineRule="auto"/>
        <w:ind w:left="-426" w:right="-58" w:firstLine="655"/>
        <w:contextualSpacing/>
        <w:rPr>
          <w:rFonts w:ascii="宋体" w:hAnsi="宋体" w:eastAsia="宋体" w:cs="Times New Roman"/>
          <w:sz w:val="24"/>
          <w:szCs w:val="24"/>
        </w:rPr>
      </w:pPr>
      <w:r>
        <w:rPr>
          <w:rFonts w:ascii="宋体" w:hAnsi="宋体" w:eastAsia="宋体" w:cs="Times New Roman"/>
          <w:sz w:val="24"/>
          <w:szCs w:val="24"/>
        </w:rPr>
        <w:t>2.</w:t>
      </w:r>
      <w:r>
        <w:rPr>
          <w:rFonts w:ascii="宋体" w:hAnsi="宋体" w:eastAsia="宋体" w:cs="Times New Roman"/>
          <w:sz w:val="24"/>
          <w:szCs w:val="24"/>
          <w:u w:val="single"/>
        </w:rPr>
        <w:t>（标的名称）</w:t>
      </w:r>
      <w:r>
        <w:rPr>
          <w:rFonts w:ascii="宋体" w:hAnsi="宋体" w:eastAsia="宋体" w:cs="Times New Roman"/>
          <w:sz w:val="24"/>
          <w:szCs w:val="24"/>
        </w:rPr>
        <w:t>，属于</w:t>
      </w:r>
      <w:r>
        <w:rPr>
          <w:rFonts w:ascii="宋体" w:hAnsi="宋体" w:eastAsia="宋体" w:cs="Times New Roman"/>
          <w:sz w:val="24"/>
          <w:szCs w:val="24"/>
          <w:u w:val="single"/>
        </w:rPr>
        <w:t>（采购文件中明确的所属行业）</w:t>
      </w:r>
      <w:r>
        <w:rPr>
          <w:rFonts w:ascii="宋体" w:hAnsi="宋体" w:eastAsia="宋体" w:cs="Times New Roman"/>
          <w:sz w:val="24"/>
          <w:szCs w:val="24"/>
        </w:rPr>
        <w:t>行业；制造商为</w:t>
      </w:r>
      <w:r>
        <w:rPr>
          <w:rFonts w:ascii="宋体" w:hAnsi="宋体" w:eastAsia="宋体" w:cs="Times New Roman"/>
          <w:sz w:val="24"/>
          <w:szCs w:val="24"/>
          <w:u w:val="single"/>
        </w:rPr>
        <w:t>（企业名称）</w:t>
      </w:r>
      <w:r>
        <w:rPr>
          <w:rFonts w:ascii="宋体" w:hAnsi="宋体" w:eastAsia="宋体" w:cs="Times New Roman"/>
          <w:sz w:val="24"/>
          <w:szCs w:val="24"/>
        </w:rPr>
        <w:t>，从业人员</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人，营业收入为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万元，资产总额为</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万元，属于</w:t>
      </w:r>
      <w:r>
        <w:rPr>
          <w:rFonts w:ascii="宋体" w:hAnsi="宋体" w:eastAsia="宋体" w:cs="Times New Roman"/>
          <w:sz w:val="24"/>
          <w:szCs w:val="24"/>
          <w:u w:val="single"/>
        </w:rPr>
        <w:t>（中型企业、小型企业、微型企业）</w:t>
      </w:r>
      <w:r>
        <w:rPr>
          <w:rFonts w:ascii="宋体" w:hAnsi="宋体" w:eastAsia="宋体" w:cs="Times New Roman"/>
          <w:sz w:val="24"/>
          <w:szCs w:val="24"/>
        </w:rPr>
        <w:t>；</w:t>
      </w:r>
    </w:p>
    <w:p w14:paraId="1F784105">
      <w:pPr>
        <w:spacing w:line="360" w:lineRule="auto"/>
        <w:ind w:left="142" w:right="142"/>
        <w:contextualSpacing/>
        <w:rPr>
          <w:rFonts w:ascii="宋体" w:hAnsi="宋体" w:eastAsia="宋体" w:cs="Times New Roman"/>
          <w:sz w:val="24"/>
          <w:szCs w:val="24"/>
        </w:rPr>
      </w:pPr>
      <w:r>
        <w:rPr>
          <w:rFonts w:ascii="宋体" w:hAnsi="宋体" w:eastAsia="宋体" w:cs="Times New Roman"/>
          <w:sz w:val="24"/>
          <w:szCs w:val="24"/>
        </w:rPr>
        <w:t xml:space="preserve">…… </w:t>
      </w:r>
    </w:p>
    <w:p w14:paraId="28632FFE">
      <w:pPr>
        <w:spacing w:line="360" w:lineRule="auto"/>
        <w:ind w:left="-405" w:leftChars="-193" w:right="142" w:firstLine="453" w:firstLineChars="189"/>
        <w:contextualSpacing/>
        <w:rPr>
          <w:rFonts w:ascii="宋体" w:hAnsi="宋体" w:eastAsia="宋体" w:cs="Times New Roman"/>
          <w:sz w:val="24"/>
          <w:szCs w:val="24"/>
        </w:rPr>
      </w:pPr>
      <w:r>
        <w:rPr>
          <w:rFonts w:ascii="宋体" w:hAnsi="宋体" w:eastAsia="宋体" w:cs="Times New Roman"/>
          <w:sz w:val="24"/>
          <w:szCs w:val="24"/>
        </w:rPr>
        <w:t>以上企业，不属于大企业的分支机构，不存在控股股东为大企业的情形，也不存在与大企业的负责人为同一人的情形。</w:t>
      </w:r>
    </w:p>
    <w:p w14:paraId="2EB8F44A">
      <w:pPr>
        <w:spacing w:before="34" w:line="500" w:lineRule="exact"/>
        <w:ind w:right="142" w:firstLine="480" w:firstLineChars="200"/>
        <w:rPr>
          <w:rFonts w:ascii="宋体" w:hAnsi="宋体" w:eastAsia="宋体" w:cs="Times New Roman"/>
          <w:kern w:val="0"/>
          <w:sz w:val="24"/>
          <w:szCs w:val="24"/>
          <w:lang w:val="zh-CN"/>
        </w:rPr>
      </w:pPr>
      <w:r>
        <w:rPr>
          <w:rFonts w:ascii="宋体" w:hAnsi="宋体" w:eastAsia="宋体" w:cs="Times New Roman"/>
          <w:sz w:val="24"/>
          <w:szCs w:val="24"/>
        </w:rPr>
        <w:t>本企业对上述声明内容的真实性负责。如有虚假，将依法承担相应责任。</w:t>
      </w:r>
      <w:r>
        <w:rPr>
          <w:rFonts w:ascii="宋体" w:hAnsi="宋体" w:eastAsia="宋体" w:cs="Times New Roman"/>
          <w:kern w:val="0"/>
          <w:sz w:val="24"/>
          <w:szCs w:val="24"/>
          <w:lang w:val="zh-CN"/>
        </w:rPr>
        <w:t>。</w:t>
      </w:r>
    </w:p>
    <w:p w14:paraId="7289C02C">
      <w:pPr>
        <w:spacing w:before="56" w:line="500" w:lineRule="exact"/>
        <w:ind w:left="3960" w:right="1808"/>
        <w:rPr>
          <w:rFonts w:ascii="宋体" w:hAnsi="宋体" w:eastAsia="宋体" w:cs="Times New Roman"/>
          <w:kern w:val="0"/>
          <w:sz w:val="24"/>
          <w:szCs w:val="24"/>
          <w:lang w:val="zh-CN"/>
        </w:rPr>
      </w:pPr>
      <w:r>
        <w:rPr>
          <w:rFonts w:ascii="宋体" w:hAnsi="宋体" w:eastAsia="宋体" w:cs="Times New Roman"/>
          <w:kern w:val="0"/>
          <w:sz w:val="24"/>
          <w:szCs w:val="24"/>
          <w:lang w:val="zh-CN"/>
        </w:rPr>
        <w:t xml:space="preserve">企业名称（章）： </w:t>
      </w:r>
    </w:p>
    <w:p w14:paraId="417466E6">
      <w:pPr>
        <w:spacing w:before="56" w:line="500" w:lineRule="exact"/>
        <w:ind w:left="3960" w:right="1808"/>
        <w:rPr>
          <w:rFonts w:ascii="宋体" w:hAnsi="宋体" w:eastAsia="宋体" w:cs="Times New Roman"/>
          <w:kern w:val="0"/>
          <w:sz w:val="24"/>
          <w:szCs w:val="24"/>
          <w:lang w:val="zh-CN"/>
        </w:rPr>
      </w:pPr>
      <w:r>
        <w:rPr>
          <w:rFonts w:ascii="宋体" w:hAnsi="宋体" w:eastAsia="宋体" w:cs="Times New Roman"/>
          <w:kern w:val="0"/>
          <w:sz w:val="24"/>
          <w:szCs w:val="24"/>
          <w:lang w:val="zh-CN"/>
        </w:rPr>
        <w:t>日 期：</w:t>
      </w:r>
    </w:p>
    <w:p w14:paraId="4F112ACA">
      <w:pPr>
        <w:rPr>
          <w:rFonts w:ascii="宋体" w:hAnsi="宋体" w:eastAsia="宋体" w:cs="Times New Roman"/>
          <w:sz w:val="24"/>
          <w:szCs w:val="24"/>
        </w:rPr>
      </w:pPr>
      <w:r>
        <w:rPr>
          <w:rFonts w:hint="eastAsia" w:ascii="宋体" w:hAnsi="宋体" w:eastAsia="宋体" w:cs="Times New Roman"/>
          <w:spacing w:val="6"/>
          <w:sz w:val="24"/>
          <w:szCs w:val="24"/>
        </w:rPr>
        <w:t xml:space="preserve"> </w:t>
      </w:r>
    </w:p>
    <w:p w14:paraId="77FE905A">
      <w:pPr>
        <w:rPr>
          <w:rFonts w:ascii="宋体" w:hAnsi="宋体" w:eastAsia="宋体" w:cs="Times New Roman"/>
          <w:b/>
          <w:sz w:val="24"/>
          <w:szCs w:val="24"/>
        </w:rPr>
      </w:pPr>
      <w:r>
        <w:rPr>
          <w:rFonts w:hint="eastAsia" w:ascii="宋体" w:hAnsi="宋体" w:eastAsia="宋体" w:cs="Times New Roman"/>
          <w:sz w:val="24"/>
          <w:szCs w:val="24"/>
        </w:rPr>
        <w:t>注：享受《政府采购促进中小企业发展管理办法》（财库〔2020〕46号）规定的中小企业扶持政策的，招标人、采购代理机构应当随中标结果公开中标供应商的《中小企业声明函》。从业人员、营业收入、资产总额填报上一年度数据，无上一年度数据的新成立企业可不填报。</w:t>
      </w:r>
      <w:r>
        <w:rPr>
          <w:rFonts w:ascii="Times New Roman" w:hAnsi="Times New Roman" w:eastAsia="宋体" w:cs="Times New Roman"/>
          <w:szCs w:val="24"/>
        </w:rPr>
        <w:br w:type="page"/>
      </w:r>
      <w:r>
        <w:rPr>
          <w:rFonts w:hint="eastAsia" w:ascii="宋体" w:hAnsi="宋体" w:eastAsia="宋体" w:cs="Times New Roman"/>
          <w:b/>
          <w:sz w:val="24"/>
          <w:szCs w:val="24"/>
        </w:rPr>
        <w:t>2.残疾人福利性单位声明函格式（如有）</w:t>
      </w:r>
    </w:p>
    <w:p w14:paraId="558704AA">
      <w:pPr>
        <w:spacing w:line="588" w:lineRule="exact"/>
        <w:jc w:val="center"/>
        <w:rPr>
          <w:rFonts w:ascii="仿宋_GB2312" w:hAnsi="Times New Roman" w:eastAsia="仿宋_GB2312" w:cs="Times New Roman"/>
          <w:b/>
          <w:spacing w:val="6"/>
          <w:sz w:val="32"/>
          <w:szCs w:val="32"/>
        </w:rPr>
      </w:pPr>
      <w:bookmarkStart w:id="160" w:name="OLE_LINK14"/>
      <w:bookmarkStart w:id="161" w:name="OLE_LINK13"/>
    </w:p>
    <w:p w14:paraId="03A28700">
      <w:pPr>
        <w:spacing w:line="588" w:lineRule="exact"/>
        <w:jc w:val="center"/>
        <w:rPr>
          <w:rFonts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残疾人福利性单位声明函</w:t>
      </w:r>
    </w:p>
    <w:bookmarkEnd w:id="160"/>
    <w:bookmarkEnd w:id="161"/>
    <w:p w14:paraId="2461E9F7">
      <w:pPr>
        <w:spacing w:line="588" w:lineRule="exact"/>
        <w:rPr>
          <w:rFonts w:ascii="仿宋_GB2312" w:hAnsi="Times New Roman" w:eastAsia="仿宋_GB2312" w:cs="Times New Roman"/>
          <w:b/>
          <w:spacing w:val="6"/>
          <w:sz w:val="30"/>
          <w:szCs w:val="30"/>
        </w:rPr>
      </w:pPr>
    </w:p>
    <w:p w14:paraId="34FEFE4A">
      <w:pPr>
        <w:spacing w:line="360" w:lineRule="auto"/>
        <w:ind w:firstLine="504" w:firstLineChars="200"/>
        <w:contextualSpacing/>
        <w:rPr>
          <w:rFonts w:ascii="宋体" w:hAnsi="宋体" w:eastAsia="宋体" w:cs="Times New Roman"/>
          <w:spacing w:val="6"/>
          <w:sz w:val="24"/>
          <w:szCs w:val="24"/>
        </w:rPr>
      </w:pPr>
      <w:r>
        <w:rPr>
          <w:rFonts w:hint="eastAsia" w:ascii="宋体" w:hAnsi="宋体" w:eastAsia="宋体" w:cs="Times New Roman"/>
          <w:spacing w:val="6"/>
          <w:sz w:val="24"/>
          <w:szCs w:val="24"/>
        </w:rPr>
        <w:t>本单位郑重声明，根据《财政部 民政部 中国残疾人联合会关于促进残疾人就业政府采购政策的通知》（财库</w:t>
      </w:r>
      <w:r>
        <w:rPr>
          <w:rFonts w:hint="eastAsia" w:ascii="宋体" w:hAnsi="宋体" w:eastAsia="宋体" w:cs="Times New Roman"/>
          <w:sz w:val="24"/>
          <w:szCs w:val="24"/>
        </w:rPr>
        <w:t>〔2017〕 141</w:t>
      </w:r>
      <w:r>
        <w:rPr>
          <w:rFonts w:hint="eastAsia" w:ascii="宋体" w:hAnsi="宋体" w:eastAsia="宋体" w:cs="Times New Roman"/>
          <w:spacing w:val="6"/>
          <w:sz w:val="24"/>
          <w:szCs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eastAsia="宋体" w:cs="Times New Roman"/>
          <w:spacing w:val="-6"/>
          <w:sz w:val="24"/>
          <w:szCs w:val="24"/>
        </w:rPr>
        <w:t>疾人福利性单位制造的货物（不包括使用非残疾人福利性单位注册商标的货物）。</w:t>
      </w:r>
    </w:p>
    <w:p w14:paraId="34DB9E54">
      <w:pPr>
        <w:spacing w:line="360" w:lineRule="auto"/>
        <w:ind w:firstLine="504" w:firstLineChars="200"/>
        <w:contextualSpacing/>
        <w:rPr>
          <w:rFonts w:ascii="宋体" w:hAnsi="宋体" w:eastAsia="宋体" w:cs="Times New Roman"/>
          <w:spacing w:val="6"/>
          <w:sz w:val="24"/>
          <w:szCs w:val="24"/>
        </w:rPr>
      </w:pPr>
      <w:r>
        <w:rPr>
          <w:rFonts w:hint="eastAsia" w:ascii="宋体" w:hAnsi="宋体" w:eastAsia="宋体" w:cs="Times New Roman"/>
          <w:spacing w:val="6"/>
          <w:sz w:val="24"/>
          <w:szCs w:val="24"/>
        </w:rPr>
        <w:t>本单位对上述声明的真实性负责。如有虚假，将依法承担相应责任。</w:t>
      </w:r>
    </w:p>
    <w:p w14:paraId="709BDB18">
      <w:pPr>
        <w:spacing w:line="360" w:lineRule="auto"/>
        <w:ind w:firstLine="504" w:firstLineChars="200"/>
        <w:contextualSpacing/>
        <w:rPr>
          <w:rFonts w:ascii="宋体" w:hAnsi="宋体" w:eastAsia="宋体" w:cs="Times New Roman"/>
          <w:spacing w:val="6"/>
          <w:sz w:val="24"/>
          <w:szCs w:val="24"/>
        </w:rPr>
      </w:pPr>
    </w:p>
    <w:p w14:paraId="5A14C406">
      <w:pPr>
        <w:spacing w:line="360" w:lineRule="auto"/>
        <w:ind w:firstLine="504" w:firstLineChars="200"/>
        <w:contextualSpacing/>
        <w:rPr>
          <w:rFonts w:ascii="宋体" w:hAnsi="宋体" w:eastAsia="宋体" w:cs="Times New Roman"/>
          <w:spacing w:val="6"/>
          <w:sz w:val="24"/>
          <w:szCs w:val="24"/>
        </w:rPr>
      </w:pPr>
    </w:p>
    <w:p w14:paraId="16133E62">
      <w:pPr>
        <w:tabs>
          <w:tab w:val="left" w:pos="4860"/>
        </w:tabs>
        <w:spacing w:line="360" w:lineRule="auto"/>
        <w:ind w:right="1560" w:firstLine="504" w:firstLineChars="200"/>
        <w:contextualSpacing/>
        <w:jc w:val="center"/>
        <w:rPr>
          <w:rFonts w:ascii="宋体" w:hAnsi="宋体" w:eastAsia="宋体" w:cs="Times New Roman"/>
          <w:spacing w:val="6"/>
          <w:sz w:val="24"/>
          <w:szCs w:val="24"/>
        </w:rPr>
      </w:pPr>
      <w:r>
        <w:rPr>
          <w:rFonts w:hint="eastAsia" w:ascii="宋体" w:hAnsi="宋体" w:eastAsia="宋体" w:cs="Times New Roman"/>
          <w:spacing w:val="6"/>
          <w:sz w:val="24"/>
          <w:szCs w:val="24"/>
        </w:rPr>
        <w:t>单位名称（盖公章）：</w:t>
      </w:r>
    </w:p>
    <w:p w14:paraId="5BAB7D31">
      <w:pPr>
        <w:tabs>
          <w:tab w:val="left" w:pos="4860"/>
        </w:tabs>
        <w:spacing w:line="360" w:lineRule="auto"/>
        <w:ind w:right="1560" w:firstLine="504" w:firstLineChars="200"/>
        <w:contextualSpacing/>
        <w:jc w:val="center"/>
        <w:rPr>
          <w:rFonts w:ascii="宋体" w:hAnsi="宋体" w:eastAsia="宋体" w:cs="Times New Roman"/>
          <w:spacing w:val="6"/>
          <w:sz w:val="24"/>
          <w:szCs w:val="24"/>
        </w:rPr>
      </w:pPr>
      <w:r>
        <w:rPr>
          <w:rFonts w:hint="eastAsia" w:ascii="宋体" w:hAnsi="宋体" w:eastAsia="宋体" w:cs="Times New Roman"/>
          <w:spacing w:val="6"/>
          <w:sz w:val="24"/>
          <w:szCs w:val="24"/>
        </w:rPr>
        <w:t>日  期：</w:t>
      </w:r>
    </w:p>
    <w:p w14:paraId="06B70EDB">
      <w:pPr>
        <w:spacing w:line="360" w:lineRule="auto"/>
        <w:contextualSpacing/>
        <w:rPr>
          <w:rFonts w:ascii="宋体" w:hAnsi="宋体" w:eastAsia="宋体" w:cs="Times New Roman"/>
          <w:sz w:val="24"/>
          <w:szCs w:val="24"/>
        </w:rPr>
      </w:pPr>
    </w:p>
    <w:p w14:paraId="153D3966">
      <w:pPr>
        <w:spacing w:line="360" w:lineRule="auto"/>
        <w:contextualSpacing/>
        <w:rPr>
          <w:rFonts w:ascii="宋体" w:hAnsi="宋体" w:eastAsia="宋体" w:cs="Times New Roman"/>
          <w:sz w:val="24"/>
          <w:szCs w:val="24"/>
        </w:rPr>
      </w:pPr>
    </w:p>
    <w:p w14:paraId="1C3F4F44">
      <w:pPr>
        <w:spacing w:line="360" w:lineRule="auto"/>
        <w:contextualSpacing/>
        <w:rPr>
          <w:rFonts w:ascii="宋体" w:hAnsi="宋体" w:eastAsia="宋体" w:cs="Times New Roman"/>
          <w:sz w:val="24"/>
          <w:szCs w:val="24"/>
        </w:rPr>
      </w:pPr>
    </w:p>
    <w:p w14:paraId="23C40970">
      <w:pPr>
        <w:spacing w:line="360" w:lineRule="auto"/>
        <w:contextualSpacing/>
        <w:rPr>
          <w:rFonts w:ascii="Times New Roman" w:hAnsi="宋体" w:eastAsia="宋体" w:cs="Times New Roman"/>
          <w:b/>
          <w:szCs w:val="24"/>
        </w:rPr>
      </w:pPr>
      <w:r>
        <w:rPr>
          <w:rFonts w:hint="eastAsia" w:ascii="宋体" w:hAnsi="宋体" w:eastAsia="宋体" w:cs="Times New Roman"/>
          <w:sz w:val="24"/>
          <w:szCs w:val="24"/>
        </w:rPr>
        <w:t>注：请根据自己的真实情况出具《残疾人福利性单位声明函》。依法享受中小企业优惠政策的，招标人或者采购代理机构在公告中标结果时，同时公告其《残疾人福利性单位声明函》，接受社会监督。</w:t>
      </w:r>
    </w:p>
    <w:p w14:paraId="6A90AF2E"/>
    <w:sectPr>
      <w:footerReference r:id="rId14" w:type="first"/>
      <w:headerReference r:id="rId11" w:type="default"/>
      <w:footerReference r:id="rId12" w:type="default"/>
      <w:footerReference r:id="rId13" w:type="even"/>
      <w:pgSz w:w="11910" w:h="16840"/>
      <w:pgMar w:top="1520" w:right="1503" w:bottom="278" w:left="167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E9C7E82-AE32-42B5-9343-D3C6C15F4FA3}"/>
  </w:font>
  <w:font w:name="Arial">
    <w:panose1 w:val="020B0604020202020204"/>
    <w:charset w:val="01"/>
    <w:family w:val="swiss"/>
    <w:pitch w:val="default"/>
    <w:sig w:usb0="E0002EFF" w:usb1="C000785B" w:usb2="00000009" w:usb3="00000000" w:csb0="400001FF" w:csb1="FFFF0000"/>
    <w:embedRegular r:id="rId2" w:fontKey="{2742FFE6-B294-4BFB-834C-5F0BD0A03D6A}"/>
  </w:font>
  <w:font w:name="黑体">
    <w:panose1 w:val="02010609060101010101"/>
    <w:charset w:val="86"/>
    <w:family w:val="auto"/>
    <w:pitch w:val="default"/>
    <w:sig w:usb0="800002BF" w:usb1="38CF7CFA" w:usb2="00000016" w:usb3="00000000" w:csb0="00040001" w:csb1="00000000"/>
    <w:embedRegular r:id="rId3" w:fontKey="{F20FF33E-9A3E-42C1-A019-56CD799BC72C}"/>
  </w:font>
  <w:font w:name="Courier New">
    <w:panose1 w:val="02070309020205020404"/>
    <w:charset w:val="01"/>
    <w:family w:val="modern"/>
    <w:pitch w:val="default"/>
    <w:sig w:usb0="E0002EFF" w:usb1="C0007843" w:usb2="00000009" w:usb3="00000000" w:csb0="400001FF" w:csb1="FFFF0000"/>
    <w:embedRegular r:id="rId4" w:fontKey="{77273B42-CB58-4ACE-95A2-621C4C66A6AE}"/>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5" w:fontKey="{1F7833A9-7F4B-4C24-B1EB-1E38C4EC3BD4}"/>
  </w:font>
  <w:font w:name="等线">
    <w:panose1 w:val="02010600030101010101"/>
    <w:charset w:val="86"/>
    <w:family w:val="auto"/>
    <w:pitch w:val="default"/>
    <w:sig w:usb0="A00002BF" w:usb1="38CF7CFA" w:usb2="00000016" w:usb3="00000000" w:csb0="0004000F" w:csb1="00000000"/>
    <w:embedRegular r:id="rId6" w:fontKey="{9DEE46AF-0640-4D49-B75E-1C35D0AB7703}"/>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7" w:fontKey="{56F362B6-7C71-4D7C-BFD5-1B59FAB1F0CA}"/>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8" w:fontKey="{1EB4DB45-F3AC-4CD4-862B-5BB1A4D0DC8D}"/>
  </w:font>
  <w:font w:name="Wingdings 2">
    <w:panose1 w:val="05020102010507070707"/>
    <w:charset w:val="02"/>
    <w:family w:val="roman"/>
    <w:pitch w:val="default"/>
    <w:sig w:usb0="00000000" w:usb1="00000000" w:usb2="00000000" w:usb3="00000000" w:csb0="80000000" w:csb1="00000000"/>
    <w:embedRegular r:id="rId9" w:fontKey="{83733F43-2DEF-428D-ADBB-4545A8B09A53}"/>
  </w:font>
  <w:font w:name="Helvetica">
    <w:altName w:val="Arial"/>
    <w:panose1 w:val="020B0604020202020204"/>
    <w:charset w:val="00"/>
    <w:family w:val="swiss"/>
    <w:pitch w:val="default"/>
    <w:sig w:usb0="00000000" w:usb1="00000000" w:usb2="00000009" w:usb3="00000000" w:csb0="000001FF" w:csb1="00000000"/>
    <w:embedRegular r:id="rId10" w:fontKey="{47875CA6-41DA-4EB0-BCD3-C8472BEB8934}"/>
  </w:font>
  <w:font w:name="华文中宋">
    <w:panose1 w:val="02010600040101010101"/>
    <w:charset w:val="86"/>
    <w:family w:val="auto"/>
    <w:pitch w:val="default"/>
    <w:sig w:usb0="00000287" w:usb1="080F0000" w:usb2="00000000" w:usb3="00000000" w:csb0="0004009F" w:csb1="DFD70000"/>
    <w:embedRegular r:id="rId11" w:fontKey="{AFA37636-9D01-4493-B83C-8A0ECE70A0A3}"/>
  </w:font>
  <w:font w:name="方正小标宋简体">
    <w:panose1 w:val="03000509000000000000"/>
    <w:charset w:val="86"/>
    <w:family w:val="script"/>
    <w:pitch w:val="default"/>
    <w:sig w:usb0="00000001" w:usb1="080E0000" w:usb2="00000000" w:usb3="00000000" w:csb0="00040000" w:csb1="00000000"/>
    <w:embedRegular r:id="rId12" w:fontKey="{383DEFE1-C808-4545-8589-5474F7BFE355}"/>
  </w:font>
  <w:font w:name="??">
    <w:altName w:val="Times New Roman"/>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embedRegular r:id="rId13" w:fontKey="{32AF66AE-A699-4674-AD07-1A5730321103}"/>
  </w:font>
  <w:font w:name="WPSEMBED1">
    <w:panose1 w:val="02010609030101010101"/>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9701B">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34E4">
    <w:pPr>
      <w:pStyle w:val="2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23CAF0">
                          <w:pPr>
                            <w:pStyle w:val="2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23CAF0">
                    <w:pPr>
                      <w:pStyle w:val="2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08E2">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EECD80">
                          <w:pPr>
                            <w:pStyle w:val="26"/>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EECD80">
                    <w:pPr>
                      <w:pStyle w:val="26"/>
                    </w:pPr>
                    <w:r>
                      <w:fldChar w:fldCharType="begin"/>
                    </w:r>
                    <w:r>
                      <w:instrText xml:space="preserve"> PAGE  \* MERGEFORMAT </w:instrText>
                    </w:r>
                    <w:r>
                      <w:fldChar w:fldCharType="separate"/>
                    </w:r>
                    <w:r>
                      <w:t>12</w:t>
                    </w:r>
                    <w:r>
                      <w:fldChar w:fldCharType="end"/>
                    </w:r>
                  </w:p>
                </w:txbxContent>
              </v:textbox>
            </v:shape>
          </w:pict>
        </mc:Fallback>
      </mc:AlternateContent>
    </w:r>
  </w:p>
  <w:p w14:paraId="3FE96DBC">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CDFFF">
    <w:pPr>
      <w:pStyle w:val="26"/>
      <w:framePr w:wrap="around" w:vAnchor="text" w:hAnchor="margin" w:xAlign="center" w:y="1"/>
      <w:rPr>
        <w:rStyle w:val="41"/>
      </w:rPr>
    </w:pPr>
    <w:r>
      <w:fldChar w:fldCharType="begin"/>
    </w:r>
    <w:r>
      <w:rPr>
        <w:rStyle w:val="41"/>
      </w:rPr>
      <w:instrText xml:space="preserve">PAGE  </w:instrText>
    </w:r>
    <w:r>
      <w:fldChar w:fldCharType="end"/>
    </w:r>
  </w:p>
  <w:p w14:paraId="324D704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362BC">
    <w:pPr>
      <w:pStyle w:val="26"/>
      <w:framePr w:wrap="around" w:vAnchor="text" w:hAnchor="margin" w:xAlign="right" w:y="1"/>
      <w:rPr>
        <w:rStyle w:val="41"/>
      </w:rPr>
    </w:pPr>
    <w:r>
      <w:fldChar w:fldCharType="begin"/>
    </w:r>
    <w:r>
      <w:rPr>
        <w:rStyle w:val="41"/>
      </w:rPr>
      <w:instrText xml:space="preserve">PAGE  </w:instrText>
    </w:r>
    <w:r>
      <w:fldChar w:fldCharType="separate"/>
    </w:r>
    <w:r>
      <w:rPr>
        <w:rStyle w:val="41"/>
      </w:rPr>
      <w:t>122</w:t>
    </w:r>
    <w:r>
      <w:fldChar w:fldCharType="end"/>
    </w:r>
  </w:p>
  <w:p w14:paraId="1C029C2E">
    <w:pPr>
      <w:pStyle w:val="26"/>
      <w:ind w:right="360"/>
      <w:jc w:val="both"/>
    </w:pPr>
    <w:r>
      <w:rPr>
        <w:rFonts w:hint="eastAsia"/>
      </w:rPr>
      <w:t>121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4B692">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328E5F">
                          <w:pPr>
                            <w:pStyle w:val="26"/>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4328E5F">
                    <w:pPr>
                      <w:pStyle w:val="26"/>
                    </w:pPr>
                    <w:r>
                      <w:fldChar w:fldCharType="begin"/>
                    </w:r>
                    <w:r>
                      <w:instrText xml:space="preserve"> PAGE  \* MERGEFORMAT </w:instrText>
                    </w:r>
                    <w:r>
                      <w:fldChar w:fldCharType="separate"/>
                    </w:r>
                    <w:r>
                      <w:t>84</w:t>
                    </w:r>
                    <w:r>
                      <w:fldChar w:fldCharType="end"/>
                    </w:r>
                  </w:p>
                </w:txbxContent>
              </v:textbox>
            </v:shape>
          </w:pict>
        </mc:Fallback>
      </mc:AlternateContent>
    </w:r>
  </w:p>
  <w:p w14:paraId="3EEC788E">
    <w:pPr>
      <w:pStyle w:val="2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F3D1E">
    <w:pPr>
      <w:pStyle w:val="26"/>
      <w:framePr w:wrap="around" w:vAnchor="text" w:hAnchor="margin" w:xAlign="center" w:y="1"/>
      <w:rPr>
        <w:rStyle w:val="41"/>
      </w:rPr>
    </w:pPr>
    <w:r>
      <w:fldChar w:fldCharType="begin"/>
    </w:r>
    <w:r>
      <w:rPr>
        <w:rStyle w:val="41"/>
      </w:rPr>
      <w:instrText xml:space="preserve">PAGE  </w:instrText>
    </w:r>
    <w:r>
      <w:fldChar w:fldCharType="end"/>
    </w:r>
  </w:p>
  <w:p w14:paraId="637C4201">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5EBE7">
    <w:pPr>
      <w:pStyle w:val="26"/>
      <w:ind w:right="360"/>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4164FE">
                          <w:pPr>
                            <w:pStyle w:val="26"/>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44164FE">
                    <w:pPr>
                      <w:pStyle w:val="26"/>
                    </w:pPr>
                    <w:r>
                      <w:fldChar w:fldCharType="begin"/>
                    </w:r>
                    <w:r>
                      <w:instrText xml:space="preserve"> PAGE  \* MERGEFORMAT </w:instrText>
                    </w:r>
                    <w:r>
                      <w:fldChar w:fldCharType="separate"/>
                    </w:r>
                    <w:r>
                      <w:t>81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13EBF">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15EB">
    <w:pPr>
      <w:pStyle w:val="2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E3F0">
    <w:pPr>
      <w:pStyle w:val="2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2FC47">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524B3D"/>
    <w:multiLevelType w:val="singleLevel"/>
    <w:tmpl w:val="92524B3D"/>
    <w:lvl w:ilvl="0" w:tentative="0">
      <w:start w:val="3"/>
      <w:numFmt w:val="chineseCounting"/>
      <w:suff w:val="nothing"/>
      <w:lvlText w:val="（%1）"/>
      <w:lvlJc w:val="left"/>
      <w:rPr>
        <w:rFonts w:hint="eastAsia"/>
      </w:rPr>
    </w:lvl>
  </w:abstractNum>
  <w:abstractNum w:abstractNumId="1">
    <w:nsid w:val="B144D58F"/>
    <w:multiLevelType w:val="singleLevel"/>
    <w:tmpl w:val="B144D58F"/>
    <w:lvl w:ilvl="0" w:tentative="0">
      <w:start w:val="6"/>
      <w:numFmt w:val="chineseCounting"/>
      <w:suff w:val="nothing"/>
      <w:lvlText w:val="%1、"/>
      <w:lvlJc w:val="left"/>
      <w:rPr>
        <w:rFonts w:hint="eastAsia"/>
      </w:rPr>
    </w:lvl>
  </w:abstractNum>
  <w:abstractNum w:abstractNumId="2">
    <w:nsid w:val="FFFFFF7E"/>
    <w:multiLevelType w:val="singleLevel"/>
    <w:tmpl w:val="FFFFFF7E"/>
    <w:lvl w:ilvl="0" w:tentative="0">
      <w:start w:val="1"/>
      <w:numFmt w:val="decimal"/>
      <w:pStyle w:val="19"/>
      <w:lvlText w:val="%1."/>
      <w:lvlJc w:val="left"/>
      <w:pPr>
        <w:tabs>
          <w:tab w:val="left" w:pos="1200"/>
        </w:tabs>
        <w:ind w:left="1200" w:hanging="360"/>
      </w:p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2405056"/>
    <w:multiLevelType w:val="multilevel"/>
    <w:tmpl w:val="42405056"/>
    <w:lvl w:ilvl="0" w:tentative="0">
      <w:start w:val="1"/>
      <w:numFmt w:val="decimal"/>
      <w:lvlText w:val="%1."/>
      <w:lvlJc w:val="left"/>
      <w:pPr>
        <w:ind w:left="773" w:hanging="360"/>
      </w:pPr>
      <w:rPr>
        <w:rFonts w:hint="default"/>
        <w:b/>
        <w:sz w:val="24"/>
        <w:szCs w:val="24"/>
      </w:rPr>
    </w:lvl>
    <w:lvl w:ilvl="1" w:tentative="0">
      <w:start w:val="1"/>
      <w:numFmt w:val="lowerLetter"/>
      <w:lvlText w:val="%2)"/>
      <w:lvlJc w:val="left"/>
      <w:pPr>
        <w:ind w:left="1253" w:hanging="420"/>
      </w:pPr>
    </w:lvl>
    <w:lvl w:ilvl="2" w:tentative="0">
      <w:start w:val="1"/>
      <w:numFmt w:val="lowerRoman"/>
      <w:lvlText w:val="%3."/>
      <w:lvlJc w:val="right"/>
      <w:pPr>
        <w:ind w:left="1673" w:hanging="420"/>
      </w:pPr>
    </w:lvl>
    <w:lvl w:ilvl="3" w:tentative="0">
      <w:start w:val="1"/>
      <w:numFmt w:val="decimal"/>
      <w:lvlText w:val="%4."/>
      <w:lvlJc w:val="left"/>
      <w:pPr>
        <w:ind w:left="2093" w:hanging="420"/>
      </w:pPr>
    </w:lvl>
    <w:lvl w:ilvl="4" w:tentative="0">
      <w:start w:val="1"/>
      <w:numFmt w:val="lowerLetter"/>
      <w:lvlText w:val="%5)"/>
      <w:lvlJc w:val="left"/>
      <w:pPr>
        <w:ind w:left="2513" w:hanging="420"/>
      </w:pPr>
    </w:lvl>
    <w:lvl w:ilvl="5" w:tentative="0">
      <w:start w:val="1"/>
      <w:numFmt w:val="lowerRoman"/>
      <w:lvlText w:val="%6."/>
      <w:lvlJc w:val="right"/>
      <w:pPr>
        <w:ind w:left="2933" w:hanging="420"/>
      </w:pPr>
    </w:lvl>
    <w:lvl w:ilvl="6" w:tentative="0">
      <w:start w:val="1"/>
      <w:numFmt w:val="decimal"/>
      <w:lvlText w:val="%7."/>
      <w:lvlJc w:val="left"/>
      <w:pPr>
        <w:ind w:left="3353" w:hanging="420"/>
      </w:pPr>
    </w:lvl>
    <w:lvl w:ilvl="7" w:tentative="0">
      <w:start w:val="1"/>
      <w:numFmt w:val="lowerLetter"/>
      <w:lvlText w:val="%8)"/>
      <w:lvlJc w:val="left"/>
      <w:pPr>
        <w:ind w:left="3773" w:hanging="420"/>
      </w:pPr>
    </w:lvl>
    <w:lvl w:ilvl="8" w:tentative="0">
      <w:start w:val="1"/>
      <w:numFmt w:val="lowerRoman"/>
      <w:lvlText w:val="%9."/>
      <w:lvlJc w:val="right"/>
      <w:pPr>
        <w:ind w:left="4193" w:hanging="420"/>
      </w:pPr>
    </w:lvl>
  </w:abstractNum>
  <w:abstractNum w:abstractNumId="5">
    <w:nsid w:val="4C601917"/>
    <w:multiLevelType w:val="singleLevel"/>
    <w:tmpl w:val="4C601917"/>
    <w:lvl w:ilvl="0" w:tentative="0">
      <w:start w:val="1"/>
      <w:numFmt w:val="decimal"/>
      <w:suff w:val="nothing"/>
      <w:lvlText w:val="（%1）"/>
      <w:lvlJc w:val="left"/>
    </w:lvl>
  </w:abstractNum>
  <w:abstractNum w:abstractNumId="6">
    <w:nsid w:val="5FABD14B"/>
    <w:multiLevelType w:val="singleLevel"/>
    <w:tmpl w:val="5FABD14B"/>
    <w:lvl w:ilvl="0" w:tentative="0">
      <w:start w:val="1"/>
      <w:numFmt w:val="decimal"/>
      <w:suff w:val="nothing"/>
      <w:lvlText w:val="（%1）"/>
      <w:lvlJc w:val="left"/>
    </w:lvl>
  </w:abstractNum>
  <w:abstractNum w:abstractNumId="7">
    <w:nsid w:val="6D299E24"/>
    <w:multiLevelType w:val="singleLevel"/>
    <w:tmpl w:val="6D299E24"/>
    <w:lvl w:ilvl="0" w:tentative="0">
      <w:start w:val="1"/>
      <w:numFmt w:val="decimal"/>
      <w:lvlText w:val="%1."/>
      <w:lvlJc w:val="left"/>
      <w:pPr>
        <w:tabs>
          <w:tab w:val="left" w:pos="312"/>
        </w:tabs>
      </w:pPr>
    </w:lvl>
  </w:abstractNum>
  <w:abstractNum w:abstractNumId="8">
    <w:nsid w:val="70BD51E6"/>
    <w:multiLevelType w:val="multilevel"/>
    <w:tmpl w:val="70BD51E6"/>
    <w:lvl w:ilvl="0" w:tentative="0">
      <w:start w:val="1"/>
      <w:numFmt w:val="decimal"/>
      <w:lvlText w:val="%1."/>
      <w:lvlJc w:val="left"/>
      <w:pPr>
        <w:ind w:left="840" w:hanging="420"/>
      </w:pPr>
      <w:rPr>
        <w:rFonts w:hint="default"/>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3"/>
  </w:num>
  <w:num w:numId="2">
    <w:abstractNumId w:val="2"/>
  </w:num>
  <w:num w:numId="3">
    <w:abstractNumId w:val="1"/>
  </w:num>
  <w:num w:numId="4">
    <w:abstractNumId w:val="7"/>
  </w:num>
  <w:num w:numId="5">
    <w:abstractNumId w:val="8"/>
  </w:num>
  <w:num w:numId="6">
    <w:abstractNumId w:val="4"/>
  </w:num>
  <w:num w:numId="7">
    <w:abstractNumId w:val="5"/>
  </w:num>
  <w:num w:numId="8">
    <w:abstractNumId w:val="6"/>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wZGZlZTg0OTgwMTg3ZDBjZmRhMGFhOThhOGVlOGEifQ=="/>
  </w:docVars>
  <w:rsids>
    <w:rsidRoot w:val="001D1E9C"/>
    <w:rsid w:val="00065435"/>
    <w:rsid w:val="0009128C"/>
    <w:rsid w:val="000C1D5C"/>
    <w:rsid w:val="000D1A6F"/>
    <w:rsid w:val="000D5361"/>
    <w:rsid w:val="000F00A1"/>
    <w:rsid w:val="00113148"/>
    <w:rsid w:val="00127F19"/>
    <w:rsid w:val="001452FB"/>
    <w:rsid w:val="00186F2B"/>
    <w:rsid w:val="00190E46"/>
    <w:rsid w:val="00192776"/>
    <w:rsid w:val="001B6FB7"/>
    <w:rsid w:val="001C34D8"/>
    <w:rsid w:val="001D1E9C"/>
    <w:rsid w:val="0021030B"/>
    <w:rsid w:val="0021588A"/>
    <w:rsid w:val="00222CF7"/>
    <w:rsid w:val="00243D07"/>
    <w:rsid w:val="0027398C"/>
    <w:rsid w:val="002A4B62"/>
    <w:rsid w:val="002B230B"/>
    <w:rsid w:val="002C7F3C"/>
    <w:rsid w:val="002D0708"/>
    <w:rsid w:val="0035198A"/>
    <w:rsid w:val="00351A07"/>
    <w:rsid w:val="00353F68"/>
    <w:rsid w:val="003D7318"/>
    <w:rsid w:val="004169A6"/>
    <w:rsid w:val="00423629"/>
    <w:rsid w:val="00426231"/>
    <w:rsid w:val="00455024"/>
    <w:rsid w:val="00455025"/>
    <w:rsid w:val="004636F5"/>
    <w:rsid w:val="0048082F"/>
    <w:rsid w:val="004A4D3E"/>
    <w:rsid w:val="004C1930"/>
    <w:rsid w:val="004C49CE"/>
    <w:rsid w:val="004C6F12"/>
    <w:rsid w:val="005305DB"/>
    <w:rsid w:val="00534563"/>
    <w:rsid w:val="005440D9"/>
    <w:rsid w:val="0057591D"/>
    <w:rsid w:val="005E10B2"/>
    <w:rsid w:val="005F6D8E"/>
    <w:rsid w:val="00625AC9"/>
    <w:rsid w:val="00635FB7"/>
    <w:rsid w:val="006450D5"/>
    <w:rsid w:val="00651C3F"/>
    <w:rsid w:val="00662C0A"/>
    <w:rsid w:val="00674242"/>
    <w:rsid w:val="0067740E"/>
    <w:rsid w:val="006969ED"/>
    <w:rsid w:val="006A2E8E"/>
    <w:rsid w:val="006B4621"/>
    <w:rsid w:val="006E4C5E"/>
    <w:rsid w:val="006F60B3"/>
    <w:rsid w:val="00717BE3"/>
    <w:rsid w:val="00726BB3"/>
    <w:rsid w:val="00726E6C"/>
    <w:rsid w:val="0075194C"/>
    <w:rsid w:val="00754354"/>
    <w:rsid w:val="00760AA9"/>
    <w:rsid w:val="00770AC6"/>
    <w:rsid w:val="00782683"/>
    <w:rsid w:val="007B2FB8"/>
    <w:rsid w:val="007B3119"/>
    <w:rsid w:val="007B6588"/>
    <w:rsid w:val="007D4F76"/>
    <w:rsid w:val="007E3E4D"/>
    <w:rsid w:val="008055CA"/>
    <w:rsid w:val="00807B54"/>
    <w:rsid w:val="00830575"/>
    <w:rsid w:val="00840BC0"/>
    <w:rsid w:val="00843D54"/>
    <w:rsid w:val="008832AA"/>
    <w:rsid w:val="00891EBD"/>
    <w:rsid w:val="008A16EF"/>
    <w:rsid w:val="009065DB"/>
    <w:rsid w:val="0091732E"/>
    <w:rsid w:val="009410DD"/>
    <w:rsid w:val="00961CEC"/>
    <w:rsid w:val="0097401A"/>
    <w:rsid w:val="00981CAA"/>
    <w:rsid w:val="0099062C"/>
    <w:rsid w:val="009935C6"/>
    <w:rsid w:val="0099404E"/>
    <w:rsid w:val="00997A3E"/>
    <w:rsid w:val="009B4E5D"/>
    <w:rsid w:val="009F2735"/>
    <w:rsid w:val="009F78F8"/>
    <w:rsid w:val="00A16CE8"/>
    <w:rsid w:val="00A17F9A"/>
    <w:rsid w:val="00A44809"/>
    <w:rsid w:val="00A4574E"/>
    <w:rsid w:val="00A556DE"/>
    <w:rsid w:val="00A677AB"/>
    <w:rsid w:val="00A837C6"/>
    <w:rsid w:val="00AA3501"/>
    <w:rsid w:val="00AA394B"/>
    <w:rsid w:val="00AC39AE"/>
    <w:rsid w:val="00AE7AFB"/>
    <w:rsid w:val="00B036AC"/>
    <w:rsid w:val="00B043CB"/>
    <w:rsid w:val="00B108A8"/>
    <w:rsid w:val="00B132A8"/>
    <w:rsid w:val="00B5732B"/>
    <w:rsid w:val="00B66CB8"/>
    <w:rsid w:val="00B77178"/>
    <w:rsid w:val="00B8090F"/>
    <w:rsid w:val="00BC1483"/>
    <w:rsid w:val="00BE4B65"/>
    <w:rsid w:val="00C33F09"/>
    <w:rsid w:val="00C542B1"/>
    <w:rsid w:val="00C6351E"/>
    <w:rsid w:val="00C85962"/>
    <w:rsid w:val="00C972FF"/>
    <w:rsid w:val="00CC33F2"/>
    <w:rsid w:val="00D02395"/>
    <w:rsid w:val="00D077BD"/>
    <w:rsid w:val="00D201A0"/>
    <w:rsid w:val="00D3052E"/>
    <w:rsid w:val="00D44BB9"/>
    <w:rsid w:val="00D51368"/>
    <w:rsid w:val="00D55E82"/>
    <w:rsid w:val="00D7121F"/>
    <w:rsid w:val="00D71BD4"/>
    <w:rsid w:val="00D7548E"/>
    <w:rsid w:val="00D8265F"/>
    <w:rsid w:val="00D84C29"/>
    <w:rsid w:val="00D951F0"/>
    <w:rsid w:val="00DD1649"/>
    <w:rsid w:val="00E43412"/>
    <w:rsid w:val="00E93F00"/>
    <w:rsid w:val="00EC219B"/>
    <w:rsid w:val="00EE4DC7"/>
    <w:rsid w:val="00EF7303"/>
    <w:rsid w:val="00F06E03"/>
    <w:rsid w:val="00F350C0"/>
    <w:rsid w:val="00F44118"/>
    <w:rsid w:val="00F534C8"/>
    <w:rsid w:val="00F74547"/>
    <w:rsid w:val="00F95FD4"/>
    <w:rsid w:val="00FC31E2"/>
    <w:rsid w:val="00FC79E1"/>
    <w:rsid w:val="01B3097E"/>
    <w:rsid w:val="01EB7E72"/>
    <w:rsid w:val="025A0035"/>
    <w:rsid w:val="033267EB"/>
    <w:rsid w:val="0362507C"/>
    <w:rsid w:val="05E732EC"/>
    <w:rsid w:val="066647AF"/>
    <w:rsid w:val="06A37C3B"/>
    <w:rsid w:val="08430582"/>
    <w:rsid w:val="0885633B"/>
    <w:rsid w:val="08E41D65"/>
    <w:rsid w:val="097148FC"/>
    <w:rsid w:val="0A337059"/>
    <w:rsid w:val="0A96708F"/>
    <w:rsid w:val="0D814026"/>
    <w:rsid w:val="0F7A2ADB"/>
    <w:rsid w:val="0F985657"/>
    <w:rsid w:val="10C63860"/>
    <w:rsid w:val="11A958FA"/>
    <w:rsid w:val="139452E1"/>
    <w:rsid w:val="148166BA"/>
    <w:rsid w:val="14A80E36"/>
    <w:rsid w:val="162B4B9C"/>
    <w:rsid w:val="17A32F8B"/>
    <w:rsid w:val="1AAD6471"/>
    <w:rsid w:val="1AB5530F"/>
    <w:rsid w:val="1B133F78"/>
    <w:rsid w:val="1B1464DA"/>
    <w:rsid w:val="1B4F5F60"/>
    <w:rsid w:val="1B6E2FE3"/>
    <w:rsid w:val="1DA70534"/>
    <w:rsid w:val="1DC87107"/>
    <w:rsid w:val="20110995"/>
    <w:rsid w:val="201D512F"/>
    <w:rsid w:val="21352D06"/>
    <w:rsid w:val="21354AB4"/>
    <w:rsid w:val="21D02A2F"/>
    <w:rsid w:val="21EB1616"/>
    <w:rsid w:val="25F5595C"/>
    <w:rsid w:val="26610446"/>
    <w:rsid w:val="2665408D"/>
    <w:rsid w:val="27B54ED1"/>
    <w:rsid w:val="29113F3D"/>
    <w:rsid w:val="29675F9B"/>
    <w:rsid w:val="2AB10A90"/>
    <w:rsid w:val="2B3D5BF4"/>
    <w:rsid w:val="2E206AEC"/>
    <w:rsid w:val="2F844B71"/>
    <w:rsid w:val="2FD858D0"/>
    <w:rsid w:val="2FEA4E9F"/>
    <w:rsid w:val="319C2EEC"/>
    <w:rsid w:val="31D200FD"/>
    <w:rsid w:val="32655E7C"/>
    <w:rsid w:val="32745D3A"/>
    <w:rsid w:val="36550B11"/>
    <w:rsid w:val="36C61CB8"/>
    <w:rsid w:val="36F323D2"/>
    <w:rsid w:val="375F6774"/>
    <w:rsid w:val="378325C5"/>
    <w:rsid w:val="37C52BDE"/>
    <w:rsid w:val="38786CAE"/>
    <w:rsid w:val="38A16FC1"/>
    <w:rsid w:val="38B36EDA"/>
    <w:rsid w:val="38F74A8F"/>
    <w:rsid w:val="3AFF17C2"/>
    <w:rsid w:val="3BFA097C"/>
    <w:rsid w:val="3C5C1637"/>
    <w:rsid w:val="3CC648C7"/>
    <w:rsid w:val="3DCE5F8D"/>
    <w:rsid w:val="4033417D"/>
    <w:rsid w:val="40864ED4"/>
    <w:rsid w:val="40893F95"/>
    <w:rsid w:val="41472661"/>
    <w:rsid w:val="416E14D8"/>
    <w:rsid w:val="427B0117"/>
    <w:rsid w:val="454964D0"/>
    <w:rsid w:val="45C53B11"/>
    <w:rsid w:val="46B50A37"/>
    <w:rsid w:val="47D22D7C"/>
    <w:rsid w:val="48474A35"/>
    <w:rsid w:val="484F781F"/>
    <w:rsid w:val="49755B0C"/>
    <w:rsid w:val="49861AA1"/>
    <w:rsid w:val="4AAB6C73"/>
    <w:rsid w:val="4B642058"/>
    <w:rsid w:val="4BD479C2"/>
    <w:rsid w:val="4C9E7102"/>
    <w:rsid w:val="4D42700E"/>
    <w:rsid w:val="4D636650"/>
    <w:rsid w:val="4DB32635"/>
    <w:rsid w:val="50DF4D77"/>
    <w:rsid w:val="52716B96"/>
    <w:rsid w:val="52F3217C"/>
    <w:rsid w:val="53065B65"/>
    <w:rsid w:val="538D0431"/>
    <w:rsid w:val="54EA382C"/>
    <w:rsid w:val="54FB77E7"/>
    <w:rsid w:val="553C395C"/>
    <w:rsid w:val="571E77BD"/>
    <w:rsid w:val="57574A7D"/>
    <w:rsid w:val="59201399"/>
    <w:rsid w:val="5A6F06B1"/>
    <w:rsid w:val="5B955B74"/>
    <w:rsid w:val="5BD76A6C"/>
    <w:rsid w:val="5C042129"/>
    <w:rsid w:val="5F230066"/>
    <w:rsid w:val="606243B5"/>
    <w:rsid w:val="60DF1D6B"/>
    <w:rsid w:val="61073070"/>
    <w:rsid w:val="616D381B"/>
    <w:rsid w:val="63104E6C"/>
    <w:rsid w:val="63BA45EF"/>
    <w:rsid w:val="64754700"/>
    <w:rsid w:val="64E35BA2"/>
    <w:rsid w:val="68817BAC"/>
    <w:rsid w:val="68866387"/>
    <w:rsid w:val="68A04FB4"/>
    <w:rsid w:val="692C5D69"/>
    <w:rsid w:val="69C153B0"/>
    <w:rsid w:val="6A193FC8"/>
    <w:rsid w:val="6AC01764"/>
    <w:rsid w:val="6BB72BFB"/>
    <w:rsid w:val="6DC03A96"/>
    <w:rsid w:val="6E843F52"/>
    <w:rsid w:val="6F9E1043"/>
    <w:rsid w:val="726F6CC7"/>
    <w:rsid w:val="733D66E3"/>
    <w:rsid w:val="73A01533"/>
    <w:rsid w:val="75085B35"/>
    <w:rsid w:val="75DD3070"/>
    <w:rsid w:val="76961B3B"/>
    <w:rsid w:val="76C058E1"/>
    <w:rsid w:val="78C25DA2"/>
    <w:rsid w:val="797671FC"/>
    <w:rsid w:val="7B020043"/>
    <w:rsid w:val="7BD1454E"/>
    <w:rsid w:val="7BF00E78"/>
    <w:rsid w:val="7F1E54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60"/>
    <w:qFormat/>
    <w:uiPriority w:val="0"/>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61"/>
    <w:qFormat/>
    <w:uiPriority w:val="0"/>
    <w:pPr>
      <w:keepNext/>
      <w:keepLines/>
      <w:spacing w:before="260" w:after="260" w:line="416" w:lineRule="auto"/>
      <w:outlineLvl w:val="1"/>
    </w:pPr>
    <w:rPr>
      <w:rFonts w:ascii="Arial" w:hAnsi="Arial" w:eastAsia="黑体" w:cs="Times New Roman"/>
      <w:b/>
      <w:bCs/>
      <w:kern w:val="0"/>
      <w:sz w:val="32"/>
      <w:szCs w:val="32"/>
      <w:lang w:val="zh-CN"/>
    </w:rPr>
  </w:style>
  <w:style w:type="paragraph" w:styleId="5">
    <w:name w:val="heading 3"/>
    <w:basedOn w:val="1"/>
    <w:next w:val="1"/>
    <w:link w:val="62"/>
    <w:qFormat/>
    <w:uiPriority w:val="0"/>
    <w:pPr>
      <w:keepNext/>
      <w:keepLines/>
      <w:spacing w:before="260" w:after="260" w:line="416" w:lineRule="auto"/>
      <w:outlineLvl w:val="2"/>
    </w:pPr>
    <w:rPr>
      <w:rFonts w:ascii="Times New Roman" w:hAnsi="Times New Roman" w:eastAsia="宋体" w:cs="Times New Roman"/>
      <w:b/>
      <w:bCs/>
      <w:kern w:val="0"/>
      <w:sz w:val="32"/>
      <w:szCs w:val="32"/>
      <w:lang w:val="zh-CN"/>
    </w:rPr>
  </w:style>
  <w:style w:type="paragraph" w:styleId="6">
    <w:name w:val="heading 4"/>
    <w:basedOn w:val="1"/>
    <w:next w:val="1"/>
    <w:link w:val="52"/>
    <w:qFormat/>
    <w:uiPriority w:val="0"/>
    <w:pPr>
      <w:keepNext/>
      <w:keepLines/>
      <w:spacing w:before="280" w:after="290" w:line="376" w:lineRule="auto"/>
      <w:outlineLvl w:val="3"/>
    </w:pPr>
    <w:rPr>
      <w:rFonts w:ascii="Cambria" w:hAnsi="Cambria" w:eastAsia="宋体" w:cs="Times New Roman"/>
      <w:b/>
      <w:bCs/>
      <w:sz w:val="28"/>
      <w:szCs w:val="28"/>
    </w:rPr>
  </w:style>
  <w:style w:type="paragraph" w:styleId="7">
    <w:name w:val="heading 5"/>
    <w:basedOn w:val="1"/>
    <w:next w:val="8"/>
    <w:link w:val="63"/>
    <w:qFormat/>
    <w:uiPriority w:val="0"/>
    <w:pPr>
      <w:keepNext/>
      <w:keepLines/>
      <w:numPr>
        <w:ilvl w:val="4"/>
        <w:numId w:val="1"/>
      </w:numPr>
      <w:spacing w:before="280" w:after="290" w:line="376" w:lineRule="auto"/>
      <w:outlineLvl w:val="4"/>
    </w:pPr>
    <w:rPr>
      <w:rFonts w:ascii="Times New Roman" w:hAnsi="Times New Roman" w:eastAsia="宋体" w:cs="Times New Roman"/>
      <w:b/>
      <w:sz w:val="28"/>
      <w:szCs w:val="24"/>
      <w:lang w:val="zh-CN"/>
    </w:rPr>
  </w:style>
  <w:style w:type="paragraph" w:styleId="9">
    <w:name w:val="heading 6"/>
    <w:basedOn w:val="1"/>
    <w:next w:val="8"/>
    <w:link w:val="64"/>
    <w:qFormat/>
    <w:uiPriority w:val="0"/>
    <w:pPr>
      <w:keepNext/>
      <w:keepLines/>
      <w:numPr>
        <w:ilvl w:val="5"/>
        <w:numId w:val="1"/>
      </w:numPr>
      <w:spacing w:before="240" w:after="64" w:line="320" w:lineRule="auto"/>
      <w:outlineLvl w:val="5"/>
    </w:pPr>
    <w:rPr>
      <w:rFonts w:ascii="Arial" w:hAnsi="Arial" w:eastAsia="黑体" w:cs="Times New Roman"/>
      <w:b/>
      <w:sz w:val="24"/>
      <w:szCs w:val="24"/>
      <w:lang w:val="zh-CN"/>
    </w:rPr>
  </w:style>
  <w:style w:type="paragraph" w:styleId="10">
    <w:name w:val="heading 7"/>
    <w:basedOn w:val="1"/>
    <w:next w:val="8"/>
    <w:link w:val="65"/>
    <w:qFormat/>
    <w:uiPriority w:val="0"/>
    <w:pPr>
      <w:keepNext/>
      <w:keepLines/>
      <w:numPr>
        <w:ilvl w:val="6"/>
        <w:numId w:val="1"/>
      </w:numPr>
      <w:spacing w:before="240" w:after="64" w:line="320" w:lineRule="auto"/>
      <w:outlineLvl w:val="6"/>
    </w:pPr>
    <w:rPr>
      <w:rFonts w:ascii="Times New Roman" w:hAnsi="Times New Roman" w:eastAsia="宋体" w:cs="Times New Roman"/>
      <w:b/>
      <w:sz w:val="24"/>
      <w:szCs w:val="24"/>
      <w:lang w:val="zh-CN"/>
    </w:rPr>
  </w:style>
  <w:style w:type="paragraph" w:styleId="11">
    <w:name w:val="heading 8"/>
    <w:basedOn w:val="1"/>
    <w:next w:val="8"/>
    <w:link w:val="66"/>
    <w:qFormat/>
    <w:uiPriority w:val="0"/>
    <w:pPr>
      <w:keepNext/>
      <w:keepLines/>
      <w:numPr>
        <w:ilvl w:val="7"/>
        <w:numId w:val="1"/>
      </w:numPr>
      <w:spacing w:before="240" w:after="64" w:line="320" w:lineRule="auto"/>
      <w:outlineLvl w:val="7"/>
    </w:pPr>
    <w:rPr>
      <w:rFonts w:ascii="Arial" w:hAnsi="Arial" w:eastAsia="黑体" w:cs="Times New Roman"/>
      <w:sz w:val="24"/>
      <w:szCs w:val="24"/>
      <w:lang w:val="zh-CN"/>
    </w:rPr>
  </w:style>
  <w:style w:type="paragraph" w:styleId="12">
    <w:name w:val="heading 9"/>
    <w:basedOn w:val="1"/>
    <w:next w:val="8"/>
    <w:link w:val="67"/>
    <w:qFormat/>
    <w:uiPriority w:val="0"/>
    <w:pPr>
      <w:keepNext/>
      <w:keepLines/>
      <w:numPr>
        <w:ilvl w:val="8"/>
        <w:numId w:val="1"/>
      </w:numPr>
      <w:spacing w:before="240" w:after="64" w:line="320" w:lineRule="auto"/>
      <w:outlineLvl w:val="8"/>
    </w:pPr>
    <w:rPr>
      <w:rFonts w:ascii="Arial" w:hAnsi="Arial" w:eastAsia="黑体" w:cs="Times New Roman"/>
      <w:szCs w:val="24"/>
      <w:lang w:val="zh-CN"/>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customStyle="1" w:styleId="2">
    <w:name w:val="样式 标题 2 + 宋体"/>
    <w:basedOn w:val="3"/>
    <w:qFormat/>
    <w:uiPriority w:val="99"/>
    <w:rPr>
      <w:rFonts w:ascii="宋体" w:hAnsi="宋体"/>
      <w:sz w:val="30"/>
    </w:rPr>
  </w:style>
  <w:style w:type="paragraph" w:styleId="8">
    <w:name w:val="Normal Indent"/>
    <w:basedOn w:val="1"/>
    <w:next w:val="1"/>
    <w:qFormat/>
    <w:uiPriority w:val="0"/>
    <w:pPr>
      <w:ind w:firstLine="420"/>
    </w:pPr>
    <w:rPr>
      <w:rFonts w:ascii="Times New Roman" w:hAnsi="Times New Roman" w:eastAsia="宋体" w:cs="Times New Roman"/>
      <w:szCs w:val="20"/>
    </w:rPr>
  </w:style>
  <w:style w:type="paragraph" w:styleId="13">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71"/>
    <w:unhideWhenUsed/>
    <w:qFormat/>
    <w:uiPriority w:val="99"/>
    <w:pPr>
      <w:jc w:val="left"/>
    </w:pPr>
    <w:rPr>
      <w:rFonts w:ascii="Times New Roman" w:hAnsi="Times New Roman" w:eastAsia="宋体" w:cs="Times New Roman"/>
      <w:szCs w:val="24"/>
      <w:lang w:val="zh-CN"/>
    </w:rPr>
  </w:style>
  <w:style w:type="paragraph" w:styleId="16">
    <w:name w:val="Body Text 3"/>
    <w:basedOn w:val="1"/>
    <w:link w:val="73"/>
    <w:qFormat/>
    <w:uiPriority w:val="0"/>
    <w:pPr>
      <w:spacing w:line="500" w:lineRule="exact"/>
    </w:pPr>
    <w:rPr>
      <w:rFonts w:ascii="Times New Roman" w:hAnsi="Times New Roman" w:eastAsia="宋体" w:cs="Times New Roman"/>
      <w:b/>
      <w:bCs/>
      <w:kern w:val="0"/>
      <w:sz w:val="24"/>
      <w:szCs w:val="24"/>
      <w:lang w:val="zh-CN"/>
    </w:rPr>
  </w:style>
  <w:style w:type="paragraph" w:styleId="17">
    <w:name w:val="Body Text"/>
    <w:basedOn w:val="1"/>
    <w:link w:val="59"/>
    <w:qFormat/>
    <w:uiPriority w:val="99"/>
    <w:pPr>
      <w:spacing w:line="380" w:lineRule="exact"/>
    </w:pPr>
    <w:rPr>
      <w:rFonts w:ascii="Times New Roman" w:hAnsi="Times New Roman" w:eastAsia="宋体" w:cs="Times New Roman"/>
      <w:kern w:val="0"/>
      <w:sz w:val="24"/>
      <w:szCs w:val="24"/>
      <w:lang w:val="zh-CN"/>
    </w:rPr>
  </w:style>
  <w:style w:type="paragraph" w:styleId="18">
    <w:name w:val="Body Text Indent"/>
    <w:basedOn w:val="1"/>
    <w:link w:val="75"/>
    <w:qFormat/>
    <w:uiPriority w:val="0"/>
    <w:pPr>
      <w:ind w:firstLine="830" w:firstLineChars="352"/>
    </w:pPr>
    <w:rPr>
      <w:rFonts w:ascii="仿宋_GB2312" w:hAnsi="Times New Roman" w:eastAsia="仿宋_GB2312" w:cs="Times New Roman"/>
      <w:kern w:val="0"/>
      <w:sz w:val="32"/>
      <w:szCs w:val="20"/>
      <w:lang w:val="zh-CN"/>
    </w:rPr>
  </w:style>
  <w:style w:type="paragraph" w:styleId="19">
    <w:name w:val="List Number 3"/>
    <w:basedOn w:val="1"/>
    <w:qFormat/>
    <w:uiPriority w:val="0"/>
    <w:pPr>
      <w:numPr>
        <w:ilvl w:val="0"/>
        <w:numId w:val="2"/>
      </w:numPr>
    </w:pPr>
    <w:rPr>
      <w:rFonts w:ascii="Times New Roman" w:hAnsi="Times New Roman" w:eastAsia="宋体" w:cs="Times New Roman"/>
      <w:szCs w:val="24"/>
    </w:rPr>
  </w:style>
  <w:style w:type="paragraph" w:styleId="20">
    <w:name w:val="List 2"/>
    <w:basedOn w:val="1"/>
    <w:qFormat/>
    <w:uiPriority w:val="0"/>
    <w:pPr>
      <w:ind w:left="100" w:leftChars="200" w:hanging="200" w:hangingChars="200"/>
    </w:pPr>
    <w:rPr>
      <w:rFonts w:ascii="Times New Roman" w:hAnsi="Times New Roman" w:eastAsia="宋体" w:cs="Times New Roman"/>
      <w:sz w:val="28"/>
      <w:szCs w:val="24"/>
    </w:rPr>
  </w:style>
  <w:style w:type="paragraph" w:styleId="21">
    <w:name w:val="Plain Text"/>
    <w:basedOn w:val="1"/>
    <w:link w:val="77"/>
    <w:qFormat/>
    <w:uiPriority w:val="0"/>
    <w:rPr>
      <w:rFonts w:ascii="宋体" w:hAnsi="Courier New" w:eastAsia="宋体" w:cs="Times New Roman"/>
      <w:kern w:val="0"/>
      <w:sz w:val="20"/>
      <w:szCs w:val="21"/>
      <w:lang w:val="zh-CN"/>
    </w:rPr>
  </w:style>
  <w:style w:type="paragraph" w:styleId="22">
    <w:name w:val="Date"/>
    <w:basedOn w:val="1"/>
    <w:next w:val="1"/>
    <w:link w:val="79"/>
    <w:qFormat/>
    <w:uiPriority w:val="0"/>
    <w:pPr>
      <w:ind w:left="100" w:leftChars="2500"/>
    </w:pPr>
    <w:rPr>
      <w:rFonts w:ascii="宋体" w:hAnsi="Courier New" w:eastAsia="宋体" w:cs="Times New Roman"/>
      <w:kern w:val="0"/>
      <w:sz w:val="20"/>
      <w:szCs w:val="21"/>
      <w:lang w:val="zh-CN"/>
    </w:rPr>
  </w:style>
  <w:style w:type="paragraph" w:styleId="23">
    <w:name w:val="Body Text Indent 2"/>
    <w:basedOn w:val="1"/>
    <w:link w:val="81"/>
    <w:qFormat/>
    <w:uiPriority w:val="0"/>
    <w:pPr>
      <w:ind w:firstLine="630"/>
    </w:pPr>
    <w:rPr>
      <w:rFonts w:ascii="Times New Roman" w:hAnsi="Times New Roman" w:eastAsia="宋体" w:cs="Times New Roman"/>
      <w:kern w:val="0"/>
      <w:sz w:val="32"/>
      <w:szCs w:val="20"/>
      <w:lang w:val="zh-CN"/>
    </w:rPr>
  </w:style>
  <w:style w:type="paragraph" w:styleId="24">
    <w:name w:val="endnote text"/>
    <w:basedOn w:val="1"/>
    <w:link w:val="83"/>
    <w:unhideWhenUsed/>
    <w:qFormat/>
    <w:uiPriority w:val="99"/>
    <w:pPr>
      <w:snapToGrid w:val="0"/>
      <w:jc w:val="left"/>
    </w:pPr>
    <w:rPr>
      <w:rFonts w:ascii="Times New Roman" w:hAnsi="Times New Roman" w:eastAsia="宋体" w:cs="Times New Roman"/>
      <w:szCs w:val="24"/>
      <w:lang w:val="zh-CN"/>
    </w:rPr>
  </w:style>
  <w:style w:type="paragraph" w:styleId="25">
    <w:name w:val="Balloon Text"/>
    <w:basedOn w:val="1"/>
    <w:link w:val="85"/>
    <w:qFormat/>
    <w:uiPriority w:val="99"/>
    <w:rPr>
      <w:rFonts w:ascii="Times New Roman" w:hAnsi="Times New Roman" w:eastAsia="宋体" w:cs="Times New Roman"/>
      <w:kern w:val="0"/>
      <w:sz w:val="18"/>
      <w:szCs w:val="18"/>
      <w:lang w:val="zh-CN"/>
    </w:rPr>
  </w:style>
  <w:style w:type="paragraph" w:styleId="26">
    <w:name w:val="footer"/>
    <w:basedOn w:val="1"/>
    <w:link w:val="48"/>
    <w:unhideWhenUsed/>
    <w:qFormat/>
    <w:uiPriority w:val="99"/>
    <w:pPr>
      <w:tabs>
        <w:tab w:val="center" w:pos="4153"/>
        <w:tab w:val="right" w:pos="8306"/>
      </w:tabs>
      <w:snapToGrid w:val="0"/>
      <w:jc w:val="left"/>
    </w:pPr>
    <w:rPr>
      <w:sz w:val="18"/>
      <w:szCs w:val="18"/>
    </w:rPr>
  </w:style>
  <w:style w:type="paragraph" w:styleId="2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List"/>
    <w:basedOn w:val="1"/>
    <w:qFormat/>
    <w:uiPriority w:val="0"/>
    <w:pPr>
      <w:ind w:left="200" w:hanging="200" w:hangingChars="200"/>
    </w:pPr>
    <w:rPr>
      <w:rFonts w:ascii="Times New Roman" w:hAnsi="Times New Roman" w:eastAsia="宋体" w:cs="Times New Roman"/>
      <w:sz w:val="28"/>
      <w:szCs w:val="24"/>
    </w:rPr>
  </w:style>
  <w:style w:type="paragraph" w:styleId="29">
    <w:name w:val="footnote text"/>
    <w:basedOn w:val="1"/>
    <w:link w:val="89"/>
    <w:unhideWhenUsed/>
    <w:qFormat/>
    <w:uiPriority w:val="99"/>
    <w:pPr>
      <w:snapToGrid w:val="0"/>
      <w:jc w:val="left"/>
    </w:pPr>
    <w:rPr>
      <w:rFonts w:ascii="Times New Roman" w:hAnsi="Times New Roman" w:eastAsia="宋体" w:cs="Times New Roman"/>
      <w:sz w:val="18"/>
      <w:szCs w:val="18"/>
      <w:lang w:val="zh-CN"/>
    </w:rPr>
  </w:style>
  <w:style w:type="paragraph" w:styleId="30">
    <w:name w:val="Body Text Indent 3"/>
    <w:basedOn w:val="1"/>
    <w:link w:val="91"/>
    <w:qFormat/>
    <w:uiPriority w:val="0"/>
    <w:pPr>
      <w:spacing w:after="120"/>
      <w:ind w:left="420" w:leftChars="200"/>
    </w:pPr>
    <w:rPr>
      <w:rFonts w:ascii="Times New Roman" w:hAnsi="Times New Roman" w:eastAsia="宋体" w:cs="Times New Roman"/>
      <w:kern w:val="0"/>
      <w:sz w:val="16"/>
      <w:szCs w:val="16"/>
      <w:lang w:val="zh-CN"/>
    </w:rPr>
  </w:style>
  <w:style w:type="paragraph" w:styleId="31">
    <w:name w:val="Body Text 2"/>
    <w:basedOn w:val="1"/>
    <w:link w:val="93"/>
    <w:qFormat/>
    <w:uiPriority w:val="0"/>
    <w:pPr>
      <w:spacing w:after="120" w:line="480" w:lineRule="auto"/>
    </w:pPr>
    <w:rPr>
      <w:rFonts w:ascii="Times New Roman" w:hAnsi="Times New Roman" w:eastAsia="宋体" w:cs="Times New Roman"/>
      <w:kern w:val="0"/>
      <w:sz w:val="20"/>
      <w:szCs w:val="24"/>
      <w:lang w:val="zh-CN"/>
    </w:rPr>
  </w:style>
  <w:style w:type="paragraph" w:styleId="32">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3">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eastAsia="宋体" w:cs="Times New Roman"/>
      <w:b/>
      <w:szCs w:val="20"/>
    </w:rPr>
  </w:style>
  <w:style w:type="paragraph" w:styleId="35">
    <w:name w:val="Title"/>
    <w:basedOn w:val="1"/>
    <w:next w:val="1"/>
    <w:link w:val="95"/>
    <w:qFormat/>
    <w:uiPriority w:val="10"/>
    <w:pPr>
      <w:spacing w:before="240" w:after="60"/>
      <w:jc w:val="center"/>
      <w:outlineLvl w:val="0"/>
    </w:pPr>
    <w:rPr>
      <w:rFonts w:ascii="Cambria" w:hAnsi="Cambria" w:eastAsia="宋体" w:cs="Times New Roman"/>
      <w:b/>
      <w:bCs/>
      <w:sz w:val="32"/>
      <w:szCs w:val="32"/>
      <w:lang w:val="zh-CN"/>
    </w:rPr>
  </w:style>
  <w:style w:type="paragraph" w:styleId="36">
    <w:name w:val="annotation subject"/>
    <w:basedOn w:val="15"/>
    <w:next w:val="15"/>
    <w:link w:val="97"/>
    <w:unhideWhenUsed/>
    <w:qFormat/>
    <w:uiPriority w:val="99"/>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endnote reference"/>
    <w:unhideWhenUsed/>
    <w:qFormat/>
    <w:uiPriority w:val="99"/>
    <w:rPr>
      <w:vertAlign w:val="superscript"/>
    </w:rPr>
  </w:style>
  <w:style w:type="character" w:styleId="41">
    <w:name w:val="page number"/>
    <w:qFormat/>
    <w:uiPriority w:val="0"/>
  </w:style>
  <w:style w:type="character" w:styleId="42">
    <w:name w:val="FollowedHyperlink"/>
    <w:basedOn w:val="39"/>
    <w:semiHidden/>
    <w:unhideWhenUsed/>
    <w:qFormat/>
    <w:uiPriority w:val="99"/>
    <w:rPr>
      <w:color w:val="954F72" w:themeColor="followedHyperlink"/>
      <w:u w:val="single"/>
      <w14:textFill>
        <w14:solidFill>
          <w14:schemeClr w14:val="folHlink"/>
        </w14:solidFill>
      </w14:textFill>
    </w:rPr>
  </w:style>
  <w:style w:type="character" w:styleId="43">
    <w:name w:val="Emphasis"/>
    <w:basedOn w:val="39"/>
    <w:qFormat/>
    <w:uiPriority w:val="0"/>
    <w:rPr>
      <w:i/>
    </w:rPr>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character" w:styleId="46">
    <w:name w:val="footnote reference"/>
    <w:unhideWhenUsed/>
    <w:qFormat/>
    <w:uiPriority w:val="99"/>
    <w:rPr>
      <w:vertAlign w:val="superscript"/>
    </w:rPr>
  </w:style>
  <w:style w:type="character" w:customStyle="1" w:styleId="47">
    <w:name w:val="页眉 Char1"/>
    <w:basedOn w:val="39"/>
    <w:link w:val="27"/>
    <w:qFormat/>
    <w:uiPriority w:val="99"/>
    <w:rPr>
      <w:sz w:val="18"/>
      <w:szCs w:val="18"/>
    </w:rPr>
  </w:style>
  <w:style w:type="character" w:customStyle="1" w:styleId="48">
    <w:name w:val="页脚 Char1"/>
    <w:basedOn w:val="39"/>
    <w:link w:val="26"/>
    <w:qFormat/>
    <w:uiPriority w:val="99"/>
    <w:rPr>
      <w:sz w:val="18"/>
      <w:szCs w:val="18"/>
    </w:rPr>
  </w:style>
  <w:style w:type="character" w:customStyle="1" w:styleId="49">
    <w:name w:val="标题 1 字符"/>
    <w:basedOn w:val="39"/>
    <w:qFormat/>
    <w:uiPriority w:val="9"/>
    <w:rPr>
      <w:b/>
      <w:bCs/>
      <w:kern w:val="44"/>
      <w:sz w:val="44"/>
      <w:szCs w:val="44"/>
    </w:rPr>
  </w:style>
  <w:style w:type="character" w:customStyle="1" w:styleId="50">
    <w:name w:val="标题 2 字符"/>
    <w:basedOn w:val="39"/>
    <w:semiHidden/>
    <w:qFormat/>
    <w:uiPriority w:val="9"/>
    <w:rPr>
      <w:rFonts w:asciiTheme="majorHAnsi" w:hAnsiTheme="majorHAnsi" w:eastAsiaTheme="majorEastAsia" w:cstheme="majorBidi"/>
      <w:b/>
      <w:bCs/>
      <w:sz w:val="32"/>
      <w:szCs w:val="32"/>
    </w:rPr>
  </w:style>
  <w:style w:type="character" w:customStyle="1" w:styleId="51">
    <w:name w:val="标题 3 字符"/>
    <w:basedOn w:val="39"/>
    <w:semiHidden/>
    <w:qFormat/>
    <w:uiPriority w:val="9"/>
    <w:rPr>
      <w:b/>
      <w:bCs/>
      <w:sz w:val="32"/>
      <w:szCs w:val="32"/>
    </w:rPr>
  </w:style>
  <w:style w:type="character" w:customStyle="1" w:styleId="52">
    <w:name w:val="标题 4 Char"/>
    <w:basedOn w:val="39"/>
    <w:link w:val="6"/>
    <w:qFormat/>
    <w:uiPriority w:val="0"/>
    <w:rPr>
      <w:rFonts w:ascii="Cambria" w:hAnsi="Cambria" w:eastAsia="宋体" w:cs="Times New Roman"/>
      <w:b/>
      <w:bCs/>
      <w:sz w:val="28"/>
      <w:szCs w:val="28"/>
    </w:rPr>
  </w:style>
  <w:style w:type="character" w:customStyle="1" w:styleId="53">
    <w:name w:val="标题 5 字符"/>
    <w:basedOn w:val="39"/>
    <w:qFormat/>
    <w:uiPriority w:val="0"/>
    <w:rPr>
      <w:b/>
      <w:bCs/>
      <w:sz w:val="28"/>
      <w:szCs w:val="28"/>
    </w:rPr>
  </w:style>
  <w:style w:type="character" w:customStyle="1" w:styleId="54">
    <w:name w:val="标题 6 字符"/>
    <w:basedOn w:val="39"/>
    <w:semiHidden/>
    <w:qFormat/>
    <w:uiPriority w:val="9"/>
    <w:rPr>
      <w:rFonts w:asciiTheme="majorHAnsi" w:hAnsiTheme="majorHAnsi" w:eastAsiaTheme="majorEastAsia" w:cstheme="majorBidi"/>
      <w:b/>
      <w:bCs/>
      <w:sz w:val="24"/>
      <w:szCs w:val="24"/>
    </w:rPr>
  </w:style>
  <w:style w:type="character" w:customStyle="1" w:styleId="55">
    <w:name w:val="标题 7 字符"/>
    <w:basedOn w:val="39"/>
    <w:semiHidden/>
    <w:qFormat/>
    <w:uiPriority w:val="9"/>
    <w:rPr>
      <w:b/>
      <w:bCs/>
      <w:sz w:val="24"/>
      <w:szCs w:val="24"/>
    </w:rPr>
  </w:style>
  <w:style w:type="character" w:customStyle="1" w:styleId="56">
    <w:name w:val="标题 8 字符"/>
    <w:basedOn w:val="39"/>
    <w:semiHidden/>
    <w:qFormat/>
    <w:uiPriority w:val="9"/>
    <w:rPr>
      <w:rFonts w:asciiTheme="majorHAnsi" w:hAnsiTheme="majorHAnsi" w:eastAsiaTheme="majorEastAsia" w:cstheme="majorBidi"/>
      <w:sz w:val="24"/>
      <w:szCs w:val="24"/>
    </w:rPr>
  </w:style>
  <w:style w:type="character" w:customStyle="1" w:styleId="57">
    <w:name w:val="标题 9 字符"/>
    <w:basedOn w:val="39"/>
    <w:semiHidden/>
    <w:qFormat/>
    <w:uiPriority w:val="9"/>
    <w:rPr>
      <w:rFonts w:asciiTheme="majorHAnsi" w:hAnsiTheme="majorHAnsi" w:eastAsiaTheme="majorEastAsia" w:cstheme="majorBidi"/>
      <w:szCs w:val="21"/>
    </w:rPr>
  </w:style>
  <w:style w:type="character" w:customStyle="1" w:styleId="58">
    <w:name w:val="正文文本 字符"/>
    <w:basedOn w:val="39"/>
    <w:semiHidden/>
    <w:qFormat/>
    <w:uiPriority w:val="99"/>
  </w:style>
  <w:style w:type="character" w:customStyle="1" w:styleId="59">
    <w:name w:val="正文文本 Char"/>
    <w:link w:val="17"/>
    <w:qFormat/>
    <w:uiPriority w:val="99"/>
    <w:rPr>
      <w:rFonts w:ascii="Times New Roman" w:hAnsi="Times New Roman" w:eastAsia="宋体" w:cs="Times New Roman"/>
      <w:kern w:val="0"/>
      <w:sz w:val="24"/>
      <w:szCs w:val="24"/>
      <w:lang w:val="zh-CN" w:eastAsia="zh-CN"/>
    </w:rPr>
  </w:style>
  <w:style w:type="character" w:customStyle="1" w:styleId="60">
    <w:name w:val="标题 1 Char"/>
    <w:link w:val="4"/>
    <w:qFormat/>
    <w:uiPriority w:val="0"/>
    <w:rPr>
      <w:rFonts w:ascii="Times New Roman" w:hAnsi="Times New Roman" w:eastAsia="宋体" w:cs="Times New Roman"/>
      <w:b/>
      <w:bCs/>
      <w:kern w:val="44"/>
      <w:sz w:val="44"/>
      <w:szCs w:val="44"/>
      <w:lang w:val="zh-CN" w:eastAsia="zh-CN"/>
    </w:rPr>
  </w:style>
  <w:style w:type="character" w:customStyle="1" w:styleId="61">
    <w:name w:val="标题 2 Char"/>
    <w:link w:val="3"/>
    <w:qFormat/>
    <w:uiPriority w:val="0"/>
    <w:rPr>
      <w:rFonts w:ascii="Arial" w:hAnsi="Arial" w:eastAsia="黑体" w:cs="Times New Roman"/>
      <w:b/>
      <w:bCs/>
      <w:kern w:val="0"/>
      <w:sz w:val="32"/>
      <w:szCs w:val="32"/>
      <w:lang w:val="zh-CN" w:eastAsia="zh-CN"/>
    </w:rPr>
  </w:style>
  <w:style w:type="character" w:customStyle="1" w:styleId="62">
    <w:name w:val="标题 3 Char"/>
    <w:link w:val="5"/>
    <w:qFormat/>
    <w:uiPriority w:val="0"/>
    <w:rPr>
      <w:rFonts w:ascii="Times New Roman" w:hAnsi="Times New Roman" w:eastAsia="宋体" w:cs="Times New Roman"/>
      <w:b/>
      <w:bCs/>
      <w:kern w:val="0"/>
      <w:sz w:val="32"/>
      <w:szCs w:val="32"/>
      <w:lang w:val="zh-CN" w:eastAsia="zh-CN"/>
    </w:rPr>
  </w:style>
  <w:style w:type="character" w:customStyle="1" w:styleId="63">
    <w:name w:val="标题 5 Char2"/>
    <w:link w:val="7"/>
    <w:qFormat/>
    <w:uiPriority w:val="0"/>
    <w:rPr>
      <w:rFonts w:ascii="Times New Roman" w:hAnsi="Times New Roman" w:eastAsia="宋体" w:cs="Times New Roman"/>
      <w:b/>
      <w:sz w:val="28"/>
      <w:szCs w:val="24"/>
      <w:lang w:val="zh-CN" w:eastAsia="zh-CN"/>
    </w:rPr>
  </w:style>
  <w:style w:type="character" w:customStyle="1" w:styleId="64">
    <w:name w:val="标题 6 Char"/>
    <w:link w:val="9"/>
    <w:qFormat/>
    <w:uiPriority w:val="0"/>
    <w:rPr>
      <w:rFonts w:ascii="Arial" w:hAnsi="Arial" w:eastAsia="黑体" w:cs="Times New Roman"/>
      <w:b/>
      <w:sz w:val="24"/>
      <w:szCs w:val="24"/>
      <w:lang w:val="zh-CN" w:eastAsia="zh-CN"/>
    </w:rPr>
  </w:style>
  <w:style w:type="character" w:customStyle="1" w:styleId="65">
    <w:name w:val="标题 7 Char"/>
    <w:link w:val="10"/>
    <w:qFormat/>
    <w:uiPriority w:val="0"/>
    <w:rPr>
      <w:rFonts w:ascii="Times New Roman" w:hAnsi="Times New Roman" w:eastAsia="宋体" w:cs="Times New Roman"/>
      <w:b/>
      <w:sz w:val="24"/>
      <w:szCs w:val="24"/>
      <w:lang w:val="zh-CN" w:eastAsia="zh-CN"/>
    </w:rPr>
  </w:style>
  <w:style w:type="character" w:customStyle="1" w:styleId="66">
    <w:name w:val="标题 8 Char"/>
    <w:link w:val="11"/>
    <w:qFormat/>
    <w:uiPriority w:val="0"/>
    <w:rPr>
      <w:rFonts w:ascii="Arial" w:hAnsi="Arial" w:eastAsia="黑体" w:cs="Times New Roman"/>
      <w:sz w:val="24"/>
      <w:szCs w:val="24"/>
      <w:lang w:val="zh-CN" w:eastAsia="zh-CN"/>
    </w:rPr>
  </w:style>
  <w:style w:type="character" w:customStyle="1" w:styleId="67">
    <w:name w:val="标题 9 Char"/>
    <w:link w:val="12"/>
    <w:qFormat/>
    <w:uiPriority w:val="0"/>
    <w:rPr>
      <w:rFonts w:ascii="Arial" w:hAnsi="Arial" w:eastAsia="黑体" w:cs="Times New Roman"/>
      <w:szCs w:val="24"/>
      <w:lang w:val="zh-CN" w:eastAsia="zh-CN"/>
    </w:rPr>
  </w:style>
  <w:style w:type="paragraph" w:customStyle="1" w:styleId="68">
    <w:name w:val="1"/>
    <w:basedOn w:val="1"/>
    <w:next w:val="69"/>
    <w:qFormat/>
    <w:uiPriority w:val="34"/>
    <w:pPr>
      <w:ind w:firstLine="420" w:firstLineChars="200"/>
    </w:pPr>
    <w:rPr>
      <w:rFonts w:ascii="Times New Roman" w:hAnsi="Times New Roman" w:eastAsia="宋体" w:cs="Times New Roman"/>
      <w:szCs w:val="24"/>
    </w:rPr>
  </w:style>
  <w:style w:type="paragraph" w:styleId="69">
    <w:name w:val="List Paragraph"/>
    <w:basedOn w:val="1"/>
    <w:qFormat/>
    <w:uiPriority w:val="0"/>
    <w:pPr>
      <w:ind w:firstLine="420" w:firstLineChars="200"/>
    </w:pPr>
  </w:style>
  <w:style w:type="character" w:customStyle="1" w:styleId="70">
    <w:name w:val="批注文字 字符"/>
    <w:basedOn w:val="39"/>
    <w:qFormat/>
    <w:uiPriority w:val="99"/>
  </w:style>
  <w:style w:type="character" w:customStyle="1" w:styleId="71">
    <w:name w:val="批注文字 Char2"/>
    <w:link w:val="15"/>
    <w:qFormat/>
    <w:uiPriority w:val="0"/>
    <w:rPr>
      <w:rFonts w:ascii="Times New Roman" w:hAnsi="Times New Roman" w:eastAsia="宋体" w:cs="Times New Roman"/>
      <w:szCs w:val="24"/>
      <w:lang w:val="zh-CN" w:eastAsia="zh-CN"/>
    </w:rPr>
  </w:style>
  <w:style w:type="character" w:customStyle="1" w:styleId="72">
    <w:name w:val="正文文本 3 字符"/>
    <w:basedOn w:val="39"/>
    <w:semiHidden/>
    <w:qFormat/>
    <w:uiPriority w:val="99"/>
    <w:rPr>
      <w:sz w:val="16"/>
      <w:szCs w:val="16"/>
    </w:rPr>
  </w:style>
  <w:style w:type="character" w:customStyle="1" w:styleId="73">
    <w:name w:val="正文文本 3 Char"/>
    <w:link w:val="16"/>
    <w:qFormat/>
    <w:uiPriority w:val="0"/>
    <w:rPr>
      <w:rFonts w:ascii="Times New Roman" w:hAnsi="Times New Roman" w:eastAsia="宋体" w:cs="Times New Roman"/>
      <w:b/>
      <w:bCs/>
      <w:kern w:val="0"/>
      <w:sz w:val="24"/>
      <w:szCs w:val="24"/>
      <w:lang w:val="zh-CN" w:eastAsia="zh-CN"/>
    </w:rPr>
  </w:style>
  <w:style w:type="character" w:customStyle="1" w:styleId="74">
    <w:name w:val="正文文本缩进 字符"/>
    <w:basedOn w:val="39"/>
    <w:qFormat/>
    <w:uiPriority w:val="0"/>
  </w:style>
  <w:style w:type="character" w:customStyle="1" w:styleId="75">
    <w:name w:val="正文文本缩进 Char"/>
    <w:link w:val="18"/>
    <w:qFormat/>
    <w:uiPriority w:val="0"/>
    <w:rPr>
      <w:rFonts w:ascii="仿宋_GB2312" w:hAnsi="Times New Roman" w:eastAsia="仿宋_GB2312" w:cs="Times New Roman"/>
      <w:kern w:val="0"/>
      <w:sz w:val="32"/>
      <w:szCs w:val="20"/>
      <w:lang w:val="zh-CN" w:eastAsia="zh-CN"/>
    </w:rPr>
  </w:style>
  <w:style w:type="character" w:customStyle="1" w:styleId="76">
    <w:name w:val="纯文本 字符"/>
    <w:basedOn w:val="39"/>
    <w:qFormat/>
    <w:uiPriority w:val="0"/>
    <w:rPr>
      <w:rFonts w:hAnsi="Courier New" w:cs="Courier New" w:asciiTheme="minorEastAsia"/>
    </w:rPr>
  </w:style>
  <w:style w:type="character" w:customStyle="1" w:styleId="77">
    <w:name w:val="纯文本 Char2"/>
    <w:link w:val="21"/>
    <w:qFormat/>
    <w:uiPriority w:val="0"/>
    <w:rPr>
      <w:rFonts w:ascii="宋体" w:hAnsi="Courier New" w:eastAsia="宋体" w:cs="Times New Roman"/>
      <w:kern w:val="0"/>
      <w:sz w:val="20"/>
      <w:szCs w:val="21"/>
      <w:lang w:val="zh-CN" w:eastAsia="zh-CN"/>
    </w:rPr>
  </w:style>
  <w:style w:type="character" w:customStyle="1" w:styleId="78">
    <w:name w:val="日期 字符"/>
    <w:basedOn w:val="39"/>
    <w:semiHidden/>
    <w:qFormat/>
    <w:uiPriority w:val="99"/>
  </w:style>
  <w:style w:type="character" w:customStyle="1" w:styleId="79">
    <w:name w:val="日期 Char"/>
    <w:link w:val="22"/>
    <w:qFormat/>
    <w:uiPriority w:val="0"/>
    <w:rPr>
      <w:rFonts w:ascii="宋体" w:hAnsi="Courier New" w:eastAsia="宋体" w:cs="Times New Roman"/>
      <w:kern w:val="0"/>
      <w:sz w:val="20"/>
      <w:szCs w:val="21"/>
      <w:lang w:val="zh-CN" w:eastAsia="zh-CN"/>
    </w:rPr>
  </w:style>
  <w:style w:type="character" w:customStyle="1" w:styleId="80">
    <w:name w:val="正文文本缩进 2 字符"/>
    <w:basedOn w:val="39"/>
    <w:semiHidden/>
    <w:qFormat/>
    <w:uiPriority w:val="99"/>
  </w:style>
  <w:style w:type="character" w:customStyle="1" w:styleId="81">
    <w:name w:val="正文文本缩进 2 Char"/>
    <w:link w:val="23"/>
    <w:qFormat/>
    <w:uiPriority w:val="0"/>
    <w:rPr>
      <w:rFonts w:ascii="Times New Roman" w:hAnsi="Times New Roman" w:eastAsia="宋体" w:cs="Times New Roman"/>
      <w:kern w:val="0"/>
      <w:sz w:val="32"/>
      <w:szCs w:val="20"/>
      <w:lang w:val="zh-CN" w:eastAsia="zh-CN"/>
    </w:rPr>
  </w:style>
  <w:style w:type="character" w:customStyle="1" w:styleId="82">
    <w:name w:val="尾注文本 字符"/>
    <w:basedOn w:val="39"/>
    <w:semiHidden/>
    <w:qFormat/>
    <w:uiPriority w:val="99"/>
  </w:style>
  <w:style w:type="character" w:customStyle="1" w:styleId="83">
    <w:name w:val="尾注文本 Char"/>
    <w:link w:val="24"/>
    <w:qFormat/>
    <w:uiPriority w:val="99"/>
    <w:rPr>
      <w:rFonts w:ascii="Times New Roman" w:hAnsi="Times New Roman" w:eastAsia="宋体" w:cs="Times New Roman"/>
      <w:szCs w:val="24"/>
      <w:lang w:val="zh-CN" w:eastAsia="zh-CN"/>
    </w:rPr>
  </w:style>
  <w:style w:type="character" w:customStyle="1" w:styleId="84">
    <w:name w:val="批注框文本 字符"/>
    <w:basedOn w:val="39"/>
    <w:qFormat/>
    <w:uiPriority w:val="99"/>
    <w:rPr>
      <w:sz w:val="18"/>
      <w:szCs w:val="18"/>
    </w:rPr>
  </w:style>
  <w:style w:type="character" w:customStyle="1" w:styleId="85">
    <w:name w:val="批注框文本 Char"/>
    <w:link w:val="25"/>
    <w:qFormat/>
    <w:uiPriority w:val="99"/>
    <w:rPr>
      <w:rFonts w:ascii="Times New Roman" w:hAnsi="Times New Roman" w:eastAsia="宋体" w:cs="Times New Roman"/>
      <w:kern w:val="0"/>
      <w:sz w:val="18"/>
      <w:szCs w:val="18"/>
      <w:lang w:val="zh-CN" w:eastAsia="zh-CN"/>
    </w:rPr>
  </w:style>
  <w:style w:type="character" w:customStyle="1" w:styleId="86">
    <w:name w:val="页脚 Char"/>
    <w:qFormat/>
    <w:uiPriority w:val="99"/>
    <w:rPr>
      <w:sz w:val="18"/>
      <w:szCs w:val="18"/>
    </w:rPr>
  </w:style>
  <w:style w:type="character" w:customStyle="1" w:styleId="87">
    <w:name w:val="页眉 Char"/>
    <w:qFormat/>
    <w:uiPriority w:val="99"/>
    <w:rPr>
      <w:rFonts w:ascii="Times New Roman" w:hAnsi="Times New Roman"/>
      <w:kern w:val="2"/>
      <w:sz w:val="18"/>
      <w:szCs w:val="18"/>
    </w:rPr>
  </w:style>
  <w:style w:type="character" w:customStyle="1" w:styleId="88">
    <w:name w:val="脚注文本 字符"/>
    <w:basedOn w:val="39"/>
    <w:semiHidden/>
    <w:qFormat/>
    <w:uiPriority w:val="99"/>
    <w:rPr>
      <w:sz w:val="18"/>
      <w:szCs w:val="18"/>
    </w:rPr>
  </w:style>
  <w:style w:type="character" w:customStyle="1" w:styleId="89">
    <w:name w:val="脚注文本 Char"/>
    <w:link w:val="29"/>
    <w:qFormat/>
    <w:uiPriority w:val="99"/>
    <w:rPr>
      <w:rFonts w:ascii="Times New Roman" w:hAnsi="Times New Roman" w:eastAsia="宋体" w:cs="Times New Roman"/>
      <w:sz w:val="18"/>
      <w:szCs w:val="18"/>
      <w:lang w:val="zh-CN" w:eastAsia="zh-CN"/>
    </w:rPr>
  </w:style>
  <w:style w:type="character" w:customStyle="1" w:styleId="90">
    <w:name w:val="正文文本缩进 3 字符"/>
    <w:basedOn w:val="39"/>
    <w:semiHidden/>
    <w:qFormat/>
    <w:uiPriority w:val="99"/>
    <w:rPr>
      <w:sz w:val="16"/>
      <w:szCs w:val="16"/>
    </w:rPr>
  </w:style>
  <w:style w:type="character" w:customStyle="1" w:styleId="91">
    <w:name w:val="正文文本缩进 3 Char"/>
    <w:link w:val="30"/>
    <w:qFormat/>
    <w:uiPriority w:val="0"/>
    <w:rPr>
      <w:rFonts w:ascii="Times New Roman" w:hAnsi="Times New Roman" w:eastAsia="宋体" w:cs="Times New Roman"/>
      <w:kern w:val="0"/>
      <w:sz w:val="16"/>
      <w:szCs w:val="16"/>
      <w:lang w:val="zh-CN" w:eastAsia="zh-CN"/>
    </w:rPr>
  </w:style>
  <w:style w:type="character" w:customStyle="1" w:styleId="92">
    <w:name w:val="正文文本 2 字符"/>
    <w:basedOn w:val="39"/>
    <w:semiHidden/>
    <w:qFormat/>
    <w:uiPriority w:val="99"/>
  </w:style>
  <w:style w:type="character" w:customStyle="1" w:styleId="93">
    <w:name w:val="正文文本 2 Char"/>
    <w:link w:val="31"/>
    <w:qFormat/>
    <w:uiPriority w:val="0"/>
    <w:rPr>
      <w:rFonts w:ascii="Times New Roman" w:hAnsi="Times New Roman" w:eastAsia="宋体" w:cs="Times New Roman"/>
      <w:kern w:val="0"/>
      <w:sz w:val="20"/>
      <w:szCs w:val="24"/>
      <w:lang w:val="zh-CN" w:eastAsia="zh-CN"/>
    </w:rPr>
  </w:style>
  <w:style w:type="character" w:customStyle="1" w:styleId="94">
    <w:name w:val="标题 字符"/>
    <w:basedOn w:val="39"/>
    <w:qFormat/>
    <w:uiPriority w:val="10"/>
    <w:rPr>
      <w:rFonts w:asciiTheme="majorHAnsi" w:hAnsiTheme="majorHAnsi" w:eastAsiaTheme="majorEastAsia" w:cstheme="majorBidi"/>
      <w:b/>
      <w:bCs/>
      <w:sz w:val="32"/>
      <w:szCs w:val="32"/>
    </w:rPr>
  </w:style>
  <w:style w:type="character" w:customStyle="1" w:styleId="95">
    <w:name w:val="标题 Char"/>
    <w:link w:val="35"/>
    <w:qFormat/>
    <w:uiPriority w:val="10"/>
    <w:rPr>
      <w:rFonts w:ascii="Cambria" w:hAnsi="Cambria" w:eastAsia="宋体" w:cs="Times New Roman"/>
      <w:b/>
      <w:bCs/>
      <w:sz w:val="32"/>
      <w:szCs w:val="32"/>
      <w:lang w:val="zh-CN" w:eastAsia="zh-CN"/>
    </w:rPr>
  </w:style>
  <w:style w:type="character" w:customStyle="1" w:styleId="96">
    <w:name w:val="批注主题 字符"/>
    <w:basedOn w:val="70"/>
    <w:semiHidden/>
    <w:qFormat/>
    <w:uiPriority w:val="99"/>
    <w:rPr>
      <w:b/>
      <w:bCs/>
    </w:rPr>
  </w:style>
  <w:style w:type="character" w:customStyle="1" w:styleId="97">
    <w:name w:val="批注主题 Char"/>
    <w:link w:val="36"/>
    <w:qFormat/>
    <w:uiPriority w:val="99"/>
    <w:rPr>
      <w:rFonts w:ascii="Times New Roman" w:hAnsi="Times New Roman" w:eastAsia="宋体" w:cs="Times New Roman"/>
      <w:b/>
      <w:bCs/>
      <w:szCs w:val="24"/>
      <w:lang w:val="zh-CN" w:eastAsia="zh-CN"/>
    </w:rPr>
  </w:style>
  <w:style w:type="character" w:customStyle="1" w:styleId="98">
    <w:name w:val="批注文字 Char"/>
    <w:qFormat/>
    <w:uiPriority w:val="99"/>
    <w:rPr>
      <w:rFonts w:ascii="Times New Roman" w:hAnsi="Times New Roman"/>
      <w:kern w:val="2"/>
      <w:sz w:val="21"/>
      <w:szCs w:val="24"/>
    </w:rPr>
  </w:style>
  <w:style w:type="character" w:customStyle="1" w:styleId="99">
    <w:name w:val="纯文本 Char1"/>
    <w:qFormat/>
    <w:uiPriority w:val="0"/>
    <w:rPr>
      <w:rFonts w:ascii="宋体" w:hAnsi="Courier New" w:eastAsia="宋体" w:cs="Courier New"/>
      <w:szCs w:val="21"/>
    </w:rPr>
  </w:style>
  <w:style w:type="character" w:customStyle="1" w:styleId="100">
    <w:name w:val="textcontents"/>
    <w:qFormat/>
    <w:uiPriority w:val="0"/>
  </w:style>
  <w:style w:type="character" w:customStyle="1" w:styleId="101">
    <w:name w:val="标题 5 Char"/>
    <w:qFormat/>
    <w:uiPriority w:val="0"/>
    <w:rPr>
      <w:b/>
      <w:kern w:val="2"/>
      <w:sz w:val="28"/>
      <w:szCs w:val="24"/>
    </w:rPr>
  </w:style>
  <w:style w:type="character" w:customStyle="1" w:styleId="102">
    <w:name w:val="headline-content4"/>
    <w:qFormat/>
    <w:uiPriority w:val="0"/>
  </w:style>
  <w:style w:type="character" w:customStyle="1" w:styleId="103">
    <w:name w:val="apple-style-span"/>
    <w:qFormat/>
    <w:uiPriority w:val="0"/>
  </w:style>
  <w:style w:type="character" w:customStyle="1" w:styleId="104">
    <w:name w:val="批注文字 字符2"/>
    <w:qFormat/>
    <w:uiPriority w:val="0"/>
    <w:rPr>
      <w:rFonts w:ascii="Times New Roman" w:hAnsi="Times New Roman"/>
      <w:kern w:val="2"/>
      <w:sz w:val="21"/>
      <w:szCs w:val="24"/>
    </w:rPr>
  </w:style>
  <w:style w:type="character" w:customStyle="1" w:styleId="105">
    <w:name w:val="纯文本 Char"/>
    <w:qFormat/>
    <w:uiPriority w:val="99"/>
    <w:rPr>
      <w:rFonts w:ascii="宋体" w:hAnsi="Courier New" w:eastAsia="宋体" w:cs="Courier New"/>
      <w:szCs w:val="21"/>
    </w:rPr>
  </w:style>
  <w:style w:type="character" w:customStyle="1" w:styleId="106">
    <w:name w:val="纯文本 字符1"/>
    <w:qFormat/>
    <w:uiPriority w:val="0"/>
    <w:rPr>
      <w:rFonts w:ascii="宋体" w:hAnsi="Courier New"/>
    </w:rPr>
  </w:style>
  <w:style w:type="character" w:customStyle="1" w:styleId="107">
    <w:name w:val="批注文字 Char1"/>
    <w:semiHidden/>
    <w:qFormat/>
    <w:locked/>
    <w:uiPriority w:val="0"/>
    <w:rPr>
      <w:rFonts w:ascii="Times New Roman" w:hAnsi="Times New Roman"/>
      <w:kern w:val="2"/>
      <w:sz w:val="21"/>
      <w:szCs w:val="24"/>
    </w:rPr>
  </w:style>
  <w:style w:type="character" w:customStyle="1" w:styleId="10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kern w:val="2"/>
      <w:sz w:val="21"/>
      <w:lang w:val="en-US" w:eastAsia="zh-CN" w:bidi="ar-SA"/>
    </w:rPr>
  </w:style>
  <w:style w:type="character" w:customStyle="1" w:styleId="111">
    <w:name w:val="标题 5 Char1"/>
    <w:qFormat/>
    <w:uiPriority w:val="0"/>
    <w:rPr>
      <w:b/>
      <w:kern w:val="2"/>
      <w:sz w:val="28"/>
      <w:szCs w:val="24"/>
    </w:rPr>
  </w:style>
  <w:style w:type="paragraph" w:customStyle="1" w:styleId="112">
    <w:name w:val="样式 首行缩进:  2 字符"/>
    <w:basedOn w:val="1"/>
    <w:qFormat/>
    <w:uiPriority w:val="0"/>
    <w:pPr>
      <w:spacing w:line="400" w:lineRule="exact"/>
      <w:ind w:firstLine="200" w:firstLineChars="200"/>
    </w:pPr>
    <w:rPr>
      <w:rFonts w:ascii="Times New Roman" w:hAnsi="Times New Roman" w:eastAsia="宋体" w:cs="宋体"/>
      <w:sz w:val="24"/>
      <w:szCs w:val="24"/>
    </w:rPr>
  </w:style>
  <w:style w:type="paragraph" w:customStyle="1" w:styleId="113">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4">
    <w:name w:val="正文段"/>
    <w:basedOn w:val="1"/>
    <w:qFormat/>
    <w:uiPriority w:val="0"/>
    <w:pPr>
      <w:widowControl/>
      <w:snapToGrid w:val="0"/>
      <w:spacing w:after="50" w:afterLines="50"/>
      <w:ind w:firstLine="200" w:firstLineChars="200"/>
    </w:pPr>
    <w:rPr>
      <w:rFonts w:ascii="Times New Roman" w:hAnsi="Times New Roman" w:eastAsia="宋体" w:cs="Times New Roman"/>
      <w:kern w:val="0"/>
      <w:sz w:val="24"/>
      <w:szCs w:val="20"/>
    </w:rPr>
  </w:style>
  <w:style w:type="paragraph" w:customStyle="1" w:styleId="115">
    <w:name w:val="Char1"/>
    <w:basedOn w:val="1"/>
    <w:qFormat/>
    <w:uiPriority w:val="0"/>
    <w:rPr>
      <w:rFonts w:ascii="Times New Roman" w:hAnsi="Times New Roman" w:eastAsia="宋体" w:cs="Times New Roman"/>
      <w:szCs w:val="21"/>
    </w:rPr>
  </w:style>
  <w:style w:type="paragraph" w:customStyle="1" w:styleId="116">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117">
    <w:name w:val="纯文本1"/>
    <w:basedOn w:val="1"/>
    <w:qFormat/>
    <w:uiPriority w:val="0"/>
    <w:rPr>
      <w:rFonts w:ascii="宋体" w:hAnsi="Courier New" w:eastAsia="宋体" w:cs="Century"/>
      <w:szCs w:val="21"/>
    </w:rPr>
  </w:style>
  <w:style w:type="paragraph" w:customStyle="1" w:styleId="118">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119">
    <w:name w:val="表格"/>
    <w:basedOn w:val="1"/>
    <w:qFormat/>
    <w:uiPriority w:val="0"/>
    <w:pPr>
      <w:spacing w:line="400" w:lineRule="exact"/>
    </w:pPr>
    <w:rPr>
      <w:rFonts w:ascii="Times New Roman" w:hAnsi="Times New Roman" w:eastAsia="宋体" w:cs="Times New Roman"/>
      <w:sz w:val="24"/>
      <w:szCs w:val="24"/>
    </w:rPr>
  </w:style>
  <w:style w:type="paragraph" w:customStyle="1" w:styleId="120">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Table Paragraph"/>
    <w:basedOn w:val="1"/>
    <w:qFormat/>
    <w:uiPriority w:val="1"/>
    <w:pPr>
      <w:jc w:val="left"/>
    </w:pPr>
    <w:rPr>
      <w:rFonts w:ascii="Calibri" w:hAnsi="Calibri" w:eastAsia="宋体" w:cs="Times New Roman"/>
      <w:kern w:val="0"/>
      <w:sz w:val="22"/>
      <w:lang w:eastAsia="en-US"/>
    </w:rPr>
  </w:style>
  <w:style w:type="paragraph" w:customStyle="1" w:styleId="123">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4">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table" w:customStyle="1" w:styleId="125">
    <w:name w:val="Table Normal1"/>
    <w:semiHidden/>
    <w:qFormat/>
    <w:uiPriority w:val="2"/>
    <w:pPr>
      <w:widowControl w:val="0"/>
    </w:pPr>
    <w:rPr>
      <w:rFonts w:ascii="Calibri" w:hAnsi="Calibri" w:eastAsia="Times New Roman"/>
      <w:sz w:val="22"/>
      <w:lang w:eastAsia="en-US"/>
    </w:rPr>
    <w:tblPr>
      <w:tblCellMar>
        <w:top w:w="0" w:type="dxa"/>
        <w:left w:w="0" w:type="dxa"/>
        <w:bottom w:w="0" w:type="dxa"/>
        <w:right w:w="0" w:type="dxa"/>
      </w:tblCellMar>
    </w:tblPr>
  </w:style>
  <w:style w:type="character" w:customStyle="1" w:styleId="126">
    <w:name w:val="纯文本 Char3"/>
    <w:qFormat/>
    <w:uiPriority w:val="99"/>
    <w:rPr>
      <w:rFonts w:ascii="宋体" w:hAnsi="Courier New" w:eastAsia="宋体" w:cs="Courier New"/>
      <w:kern w:val="2"/>
      <w:sz w:val="21"/>
      <w:szCs w:val="21"/>
      <w:lang w:val="en-US" w:eastAsia="zh-CN" w:bidi="ar-SA"/>
    </w:rPr>
  </w:style>
  <w:style w:type="character" w:customStyle="1" w:styleId="127">
    <w:name w:val="列出段落 Char"/>
    <w:link w:val="128"/>
    <w:qFormat/>
    <w:locked/>
    <w:uiPriority w:val="0"/>
    <w:rPr>
      <w:szCs w:val="24"/>
    </w:rPr>
  </w:style>
  <w:style w:type="paragraph" w:customStyle="1" w:styleId="128">
    <w:name w:val="列表段落1"/>
    <w:basedOn w:val="1"/>
    <w:link w:val="127"/>
    <w:qFormat/>
    <w:uiPriority w:val="0"/>
    <w:pPr>
      <w:ind w:firstLine="420" w:firstLineChars="200"/>
    </w:pPr>
    <w:rPr>
      <w:szCs w:val="24"/>
    </w:rPr>
  </w:style>
  <w:style w:type="character" w:customStyle="1" w:styleId="129">
    <w:name w:val="普通文字 Char Char3"/>
    <w:qFormat/>
    <w:uiPriority w:val="0"/>
    <w:rPr>
      <w:rFonts w:ascii="宋体" w:eastAsia="宋体"/>
      <w:szCs w:val="21"/>
      <w:lang w:bidi="ar-SA"/>
    </w:rPr>
  </w:style>
  <w:style w:type="character" w:customStyle="1" w:styleId="130">
    <w:name w:val="apple-converted-space"/>
    <w:qFormat/>
    <w:uiPriority w:val="0"/>
  </w:style>
  <w:style w:type="character" w:customStyle="1" w:styleId="131">
    <w:name w:val="font21"/>
    <w:qFormat/>
    <w:uiPriority w:val="0"/>
    <w:rPr>
      <w:rFonts w:hint="eastAsia" w:ascii="宋体" w:hAnsi="宋体" w:eastAsia="宋体" w:cs="宋体"/>
      <w:color w:val="000000"/>
      <w:sz w:val="20"/>
      <w:szCs w:val="20"/>
      <w:u w:val="none"/>
    </w:rPr>
  </w:style>
  <w:style w:type="paragraph" w:customStyle="1" w:styleId="132">
    <w:name w:val="Normal_0_1"/>
    <w:qFormat/>
    <w:uiPriority w:val="0"/>
    <w:rPr>
      <w:rFonts w:ascii="Times New Roman" w:hAnsi="Times New Roman" w:eastAsia="Times New Roman" w:cs="Times New Roman"/>
      <w:sz w:val="24"/>
      <w:szCs w:val="24"/>
      <w:lang w:val="en-US" w:eastAsia="zh-CN" w:bidi="ar-SA"/>
    </w:rPr>
  </w:style>
  <w:style w:type="character" w:customStyle="1" w:styleId="133">
    <w:name w:val="font01"/>
    <w:basedOn w:val="39"/>
    <w:qFormat/>
    <w:uiPriority w:val="0"/>
    <w:rPr>
      <w:rFonts w:hint="eastAsia" w:ascii="宋体" w:hAnsi="宋体" w:eastAsia="宋体" w:cs="宋体"/>
      <w:color w:val="000000"/>
      <w:sz w:val="22"/>
      <w:szCs w:val="22"/>
      <w:u w:val="none"/>
    </w:rPr>
  </w:style>
  <w:style w:type="character" w:customStyle="1" w:styleId="134">
    <w:name w:val="font31"/>
    <w:basedOn w:val="39"/>
    <w:qFormat/>
    <w:uiPriority w:val="0"/>
    <w:rPr>
      <w:rFonts w:hint="eastAsia" w:ascii="宋体" w:hAnsi="宋体" w:eastAsia="宋体" w:cs="宋体"/>
      <w:color w:val="FF0000"/>
      <w:sz w:val="22"/>
      <w:szCs w:val="22"/>
      <w:u w:val="none"/>
    </w:rPr>
  </w:style>
  <w:style w:type="paragraph" w:customStyle="1" w:styleId="135">
    <w:name w:val="修订1"/>
    <w:hidden/>
    <w:unhideWhenUsed/>
    <w:qFormat/>
    <w:uiPriority w:val="99"/>
    <w:rPr>
      <w:rFonts w:ascii="Times New Roman" w:hAnsi="Times New Roman" w:eastAsia="宋体" w:cs="Times New Roman"/>
      <w:kern w:val="2"/>
      <w:sz w:val="21"/>
      <w:szCs w:val="24"/>
      <w:lang w:val="en-US" w:eastAsia="zh-CN" w:bidi="ar-SA"/>
    </w:rPr>
  </w:style>
  <w:style w:type="table" w:customStyle="1" w:styleId="136">
    <w:name w:val="网格型1"/>
    <w:basedOn w:val="37"/>
    <w:qFormat/>
    <w:uiPriority w:val="5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37">
    <w:name w:val="纯文本11"/>
    <w:basedOn w:val="1"/>
    <w:qFormat/>
    <w:uiPriority w:val="0"/>
    <w:rPr>
      <w:rFonts w:ascii="宋体" w:hAnsi="Courier New" w:eastAsia="宋体" w:cs="Times New Roman"/>
      <w:szCs w:val="24"/>
    </w:rPr>
  </w:style>
  <w:style w:type="paragraph" w:customStyle="1" w:styleId="138">
    <w:name w:val="正文-2字符首行缩进"/>
    <w:basedOn w:val="1"/>
    <w:link w:val="139"/>
    <w:qFormat/>
    <w:uiPriority w:val="0"/>
    <w:pPr>
      <w:widowControl/>
      <w:spacing w:line="360" w:lineRule="auto"/>
      <w:ind w:firstLine="200" w:firstLineChars="200"/>
    </w:pPr>
    <w:rPr>
      <w:rFonts w:ascii="仿宋_GB2312" w:hAnsi="Calibri" w:eastAsia="仿宋_GB2312" w:cs="Times New Roman"/>
      <w:kern w:val="0"/>
      <w:sz w:val="28"/>
    </w:rPr>
  </w:style>
  <w:style w:type="character" w:customStyle="1" w:styleId="139">
    <w:name w:val="正文-2字符首行缩进 Char"/>
    <w:link w:val="138"/>
    <w:qFormat/>
    <w:uiPriority w:val="0"/>
    <w:rPr>
      <w:rFonts w:ascii="仿宋_GB2312" w:hAnsi="Calibri" w:eastAsia="仿宋_GB2312" w:cs="Times New Roman"/>
      <w:kern w:val="0"/>
      <w:sz w:val="28"/>
    </w:rPr>
  </w:style>
  <w:style w:type="paragraph" w:customStyle="1" w:styleId="140">
    <w:name w:val="列出段落1"/>
    <w:basedOn w:val="1"/>
    <w:qFormat/>
    <w:uiPriority w:val="34"/>
    <w:pPr>
      <w:ind w:firstLine="420" w:firstLineChars="200"/>
    </w:pPr>
    <w:rPr>
      <w:rFonts w:ascii="等线" w:hAnsi="等线" w:eastAsia="等线" w:cs="Times New Roman"/>
    </w:rPr>
  </w:style>
  <w:style w:type="character" w:customStyle="1" w:styleId="141">
    <w:name w:val="fontstyle01"/>
    <w:qFormat/>
    <w:uiPriority w:val="0"/>
    <w:rPr>
      <w:rFonts w:hint="eastAsia" w:ascii="宋体" w:hAnsi="宋体" w:eastAsia="宋体"/>
      <w:color w:val="000000"/>
      <w:sz w:val="22"/>
      <w:szCs w:val="22"/>
    </w:rPr>
  </w:style>
  <w:style w:type="table" w:customStyle="1" w:styleId="142">
    <w:name w:val="网格型2"/>
    <w:basedOn w:val="3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43">
    <w:name w:val="HTML 预设格式 Char"/>
    <w:basedOn w:val="39"/>
    <w:link w:val="32"/>
    <w:qFormat/>
    <w:uiPriority w:val="0"/>
    <w:rPr>
      <w:rFonts w:ascii="黑体" w:hAnsi="Courier New" w:eastAsia="黑体" w:cs="Courier New"/>
    </w:rPr>
  </w:style>
  <w:style w:type="paragraph" w:customStyle="1" w:styleId="14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5">
    <w:name w:val="bookmark-item uuid-1588129635457 code-23007 addword single-line-text-input-box-cls readonly"/>
    <w:qFormat/>
    <w:uiPriority w:val="0"/>
  </w:style>
  <w:style w:type="character" w:customStyle="1" w:styleId="146">
    <w:name w:val="bookmark-item uuid-1589194982864 code-31006 addword multi-line-text-input-box-cls"/>
    <w:basedOn w:val="39"/>
    <w:qFormat/>
    <w:uiPriority w:val="0"/>
  </w:style>
  <w:style w:type="character" w:customStyle="1" w:styleId="147">
    <w:name w:val="15"/>
    <w:qFormat/>
    <w:uiPriority w:val="0"/>
    <w:rPr>
      <w:rFonts w:hint="default" w:ascii="Times New Roman" w:hAnsi="Times New Roman" w:cs="Times New Roman"/>
      <w:color w:val="0000FF"/>
      <w:u w:val="single"/>
    </w:rPr>
  </w:style>
  <w:style w:type="paragraph" w:customStyle="1" w:styleId="148">
    <w:name w:val="p0"/>
    <w:basedOn w:val="1"/>
    <w:qFormat/>
    <w:uiPriority w:val="0"/>
    <w:pPr>
      <w:widowControl/>
    </w:pPr>
    <w:rPr>
      <w:kern w:val="0"/>
      <w:szCs w:val="21"/>
    </w:rPr>
  </w:style>
  <w:style w:type="paragraph" w:customStyle="1" w:styleId="149">
    <w:name w:val="p15"/>
    <w:basedOn w:val="1"/>
    <w:qFormat/>
    <w:uiPriority w:val="99"/>
    <w:pPr>
      <w:widowControl/>
    </w:pPr>
    <w:rPr>
      <w:rFonts w:ascii="宋体" w:hAnsi="宋体"/>
      <w:kern w:val="0"/>
      <w:szCs w:val="21"/>
    </w:rPr>
  </w:style>
  <w:style w:type="character" w:customStyle="1" w:styleId="150">
    <w:name w:val="17"/>
    <w:qFormat/>
    <w:uiPriority w:val="0"/>
    <w:rPr>
      <w:rFonts w:hint="default" w:ascii="Times New Roman" w:hAnsi="Times New Roman" w:eastAsia="宋体" w:cs="Times New Roman"/>
      <w:color w:val="CC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86</Pages>
  <Words>5114</Words>
  <Characters>6264</Characters>
  <Lines>417</Lines>
  <Paragraphs>117</Paragraphs>
  <TotalTime>0</TotalTime>
  <ScaleCrop>false</ScaleCrop>
  <LinksUpToDate>false</LinksUpToDate>
  <CharactersWithSpaces>6486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2026-03-18T08:50:00Z</dcterms:created>
  <dc:creator>中经 梁</dc:creator>
  <cp:lastModifiedBy>宇宙超人</cp:lastModifiedBy>
  <cp:lastPrinted>2026-03-19T01:54:00Z</cp:lastPrinted>
  <dcterms:modified xsi:type="dcterms:W3CDTF">2026-03-19T03:10:29Z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098DDF8BDCA6479E842256BE5EAF4ED5_13</vt:lpwstr>
  </property>
  <property fmtid="{D5CDD505-2E9C-101B-9397-08002B2CF9AE}" pid="4" name="MSIP_Label_97735299-2a7d-4f7d-99cc-db352b8b5a9b_Enabled">
    <vt:lpwstr>True</vt:lpwstr>
  </property>
  <property fmtid="{D5CDD505-2E9C-101B-9397-08002B2CF9AE}" pid="5" name="MSIP_Label_97735299-2a7d-4f7d-99cc-db352b8b5a9b_SiteId">
    <vt:lpwstr>15d1bef2-0a6a-46f9-be4c-023279325e51</vt:lpwstr>
  </property>
  <property fmtid="{D5CDD505-2E9C-101B-9397-08002B2CF9AE}" pid="6" name="MSIP_Label_97735299-2a7d-4f7d-99cc-db352b8b5a9b_Owner">
    <vt:lpwstr>peter.yang@bbraun.com</vt:lpwstr>
  </property>
  <property fmtid="{D5CDD505-2E9C-101B-9397-08002B2CF9AE}" pid="7" name="MSIP_Label_97735299-2a7d-4f7d-99cc-db352b8b5a9b_SetDate">
    <vt:lpwstr>2022-03-18T04:20:47.7982555Z</vt:lpwstr>
  </property>
  <property fmtid="{D5CDD505-2E9C-101B-9397-08002B2CF9AE}" pid="8" name="MSIP_Label_97735299-2a7d-4f7d-99cc-db352b8b5a9b_Name">
    <vt:lpwstr>Confidential</vt:lpwstr>
  </property>
  <property fmtid="{D5CDD505-2E9C-101B-9397-08002B2CF9AE}" pid="9" name="MSIP_Label_97735299-2a7d-4f7d-99cc-db352b8b5a9b_Application">
    <vt:lpwstr>Microsoft Azure Information Protection</vt:lpwstr>
  </property>
  <property fmtid="{D5CDD505-2E9C-101B-9397-08002B2CF9AE}" pid="10" name="MSIP_Label_97735299-2a7d-4f7d-99cc-db352b8b5a9b_ActionId">
    <vt:lpwstr>df38d089-e70c-42af-8b59-a36dc0cf594e</vt:lpwstr>
  </property>
  <property fmtid="{D5CDD505-2E9C-101B-9397-08002B2CF9AE}" pid="11" name="MSIP_Label_97735299-2a7d-4f7d-99cc-db352b8b5a9b_Extended_MSFT_Method">
    <vt:lpwstr>Automatic</vt:lpwstr>
  </property>
  <property fmtid="{D5CDD505-2E9C-101B-9397-08002B2CF9AE}" pid="12" name="MSIP_Label_fd058493-e43f-432e-b8cc-adb7daa46640_Enabled">
    <vt:lpwstr>True</vt:lpwstr>
  </property>
  <property fmtid="{D5CDD505-2E9C-101B-9397-08002B2CF9AE}" pid="13" name="MSIP_Label_fd058493-e43f-432e-b8cc-adb7daa46640_SiteId">
    <vt:lpwstr>15d1bef2-0a6a-46f9-be4c-023279325e51</vt:lpwstr>
  </property>
  <property fmtid="{D5CDD505-2E9C-101B-9397-08002B2CF9AE}" pid="14" name="MSIP_Label_fd058493-e43f-432e-b8cc-adb7daa46640_Owner">
    <vt:lpwstr>peter.yang@bbraun.com</vt:lpwstr>
  </property>
  <property fmtid="{D5CDD505-2E9C-101B-9397-08002B2CF9AE}" pid="15" name="MSIP_Label_fd058493-e43f-432e-b8cc-adb7daa46640_SetDate">
    <vt:lpwstr>2022-03-18T04:20:47.7982555Z</vt:lpwstr>
  </property>
  <property fmtid="{D5CDD505-2E9C-101B-9397-08002B2CF9AE}" pid="16" name="MSIP_Label_fd058493-e43f-432e-b8cc-adb7daa46640_Name">
    <vt:lpwstr>Unprotected</vt:lpwstr>
  </property>
  <property fmtid="{D5CDD505-2E9C-101B-9397-08002B2CF9AE}" pid="17" name="MSIP_Label_fd058493-e43f-432e-b8cc-adb7daa46640_Application">
    <vt:lpwstr>Microsoft Azure Information Protection</vt:lpwstr>
  </property>
  <property fmtid="{D5CDD505-2E9C-101B-9397-08002B2CF9AE}" pid="18" name="MSIP_Label_fd058493-e43f-432e-b8cc-adb7daa46640_ActionId">
    <vt:lpwstr>df38d089-e70c-42af-8b59-a36dc0cf594e</vt:lpwstr>
  </property>
  <property fmtid="{D5CDD505-2E9C-101B-9397-08002B2CF9AE}" pid="19" name="MSIP_Label_fd058493-e43f-432e-b8cc-adb7daa46640_Parent">
    <vt:lpwstr>97735299-2a7d-4f7d-99cc-db352b8b5a9b</vt:lpwstr>
  </property>
  <property fmtid="{D5CDD505-2E9C-101B-9397-08002B2CF9AE}" pid="20" name="MSIP_Label_fd058493-e43f-432e-b8cc-adb7daa46640_Extended_MSFT_Method">
    <vt:lpwstr>Automatic</vt:lpwstr>
  </property>
  <property fmtid="{D5CDD505-2E9C-101B-9397-08002B2CF9AE}" pid="21" name="Sensitivity">
    <vt:lpwstr>Confidential Unprotected</vt:lpwstr>
  </property>
  <property fmtid="{D5CDD505-2E9C-101B-9397-08002B2CF9AE}" pid="22" name="KSOTemplateDocerSaveRecord">
    <vt:lpwstr>eyJoZGlkIjoiOGNkZGU1ZTRlM2ZkYjRjMDMyZDk0NDgwMWQzNWRmZjAiLCJ1c2VySWQiOiIxMDUyMTkzNjI1In0=</vt:lpwstr>
  </property>
</Properties>
</file>