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BDD7A3">
      <w:pPr>
        <w:pStyle w:val="21"/>
        <w:spacing w:line="320" w:lineRule="exact"/>
        <w:ind w:firstLine="5670"/>
        <w:jc w:val="right"/>
        <w:rPr>
          <w:rFonts w:hAnsi="宋体"/>
          <w:color w:val="000000" w:themeColor="text1"/>
          <w14:textFill>
            <w14:solidFill>
              <w14:schemeClr w14:val="tx1"/>
            </w14:solidFill>
          </w14:textFill>
        </w:rPr>
      </w:pPr>
    </w:p>
    <w:p w14:paraId="4218B93B">
      <w:pPr>
        <w:jc w:val="center"/>
        <w:outlineLvl w:val="0"/>
        <w:rPr>
          <w:rFonts w:ascii="宋体" w:hAnsi="宋体" w:cs="宋体"/>
          <w:color w:val="000000" w:themeColor="text1"/>
          <w:sz w:val="52"/>
          <w14:textFill>
            <w14:solidFill>
              <w14:schemeClr w14:val="tx1"/>
            </w14:solidFill>
          </w14:textFill>
        </w:rPr>
      </w:pPr>
      <w:bookmarkStart w:id="0" w:name="_Toc4557"/>
      <w:bookmarkStart w:id="1" w:name="_Toc23012"/>
    </w:p>
    <w:p w14:paraId="42388FD9">
      <w:pPr>
        <w:jc w:val="center"/>
        <w:outlineLvl w:val="0"/>
        <w:rPr>
          <w:rFonts w:ascii="宋体" w:hAnsi="宋体" w:cs="宋体"/>
          <w:color w:val="000000" w:themeColor="text1"/>
          <w:sz w:val="84"/>
          <w14:textFill>
            <w14:solidFill>
              <w14:schemeClr w14:val="tx1"/>
            </w14:solidFill>
          </w14:textFill>
        </w:rPr>
      </w:pPr>
      <w:r>
        <w:rPr>
          <w:rFonts w:hint="eastAsia" w:ascii="宋体" w:hAnsi="宋体" w:cs="宋体"/>
          <w:color w:val="000000" w:themeColor="text1"/>
          <w:sz w:val="52"/>
          <w14:textFill>
            <w14:solidFill>
              <w14:schemeClr w14:val="tx1"/>
            </w14:solidFill>
          </w14:textFill>
        </w:rPr>
        <w:t>广西德元工程项目管理有限责任公司</w:t>
      </w:r>
      <w:r>
        <w:rPr>
          <w:rFonts w:hint="eastAsia" w:ascii="宋体" w:hAnsi="宋体" w:cs="宋体"/>
          <w:color w:val="000000" w:themeColor="text1"/>
          <w:sz w:val="52"/>
          <w14:textFill>
            <w14:solidFill>
              <w14:schemeClr w14:val="tx1"/>
            </w14:solidFill>
          </w14:textFill>
        </w:rPr>
        <w:cr/>
      </w:r>
      <w:bookmarkEnd w:id="0"/>
      <w:bookmarkEnd w:id="1"/>
      <w:r>
        <w:rPr>
          <w:rFonts w:hint="eastAsia" w:ascii="宋体" w:hAnsi="宋体" w:cs="宋体"/>
          <w:color w:val="000000" w:themeColor="text1"/>
          <w:sz w:val="84"/>
          <w14:textFill>
            <w14:solidFill>
              <w14:schemeClr w14:val="tx1"/>
            </w14:solidFill>
          </w14:textFill>
        </w:rPr>
        <w:tab/>
      </w:r>
    </w:p>
    <w:p w14:paraId="1AB0BD4C">
      <w:pPr>
        <w:jc w:val="center"/>
        <w:rPr>
          <w:rFonts w:ascii="宋体" w:hAnsi="宋体" w:cs="宋体"/>
          <w:color w:val="000000" w:themeColor="text1"/>
          <w:sz w:val="52"/>
          <w:szCs w:val="52"/>
          <w14:textFill>
            <w14:solidFill>
              <w14:schemeClr w14:val="tx1"/>
            </w14:solidFill>
          </w14:textFill>
        </w:rPr>
      </w:pPr>
      <w:r>
        <w:rPr>
          <w:rFonts w:hint="eastAsia" w:ascii="宋体" w:hAnsi="宋体" w:cs="宋体"/>
          <w:color w:val="000000" w:themeColor="text1"/>
          <w:sz w:val="52"/>
          <w:szCs w:val="52"/>
          <w14:textFill>
            <w14:solidFill>
              <w14:schemeClr w14:val="tx1"/>
            </w14:solidFill>
          </w14:textFill>
        </w:rPr>
        <w:t>竞争性谈判文件</w:t>
      </w:r>
    </w:p>
    <w:p w14:paraId="0A044731">
      <w:pPr>
        <w:pStyle w:val="21"/>
        <w:rPr>
          <w:rFonts w:hAnsi="宋体" w:cs="宋体"/>
          <w:b/>
          <w:color w:val="000000" w:themeColor="text1"/>
          <w:sz w:val="21"/>
          <w:szCs w:val="21"/>
          <w14:textFill>
            <w14:solidFill>
              <w14:schemeClr w14:val="tx1"/>
            </w14:solidFill>
          </w14:textFill>
        </w:rPr>
      </w:pPr>
    </w:p>
    <w:p w14:paraId="59584AB6">
      <w:pPr>
        <w:pStyle w:val="21"/>
        <w:rPr>
          <w:rFonts w:hAnsi="宋体" w:cs="宋体"/>
          <w:b/>
          <w:color w:val="000000" w:themeColor="text1"/>
          <w:sz w:val="21"/>
          <w:szCs w:val="21"/>
          <w14:textFill>
            <w14:solidFill>
              <w14:schemeClr w14:val="tx1"/>
            </w14:solidFill>
          </w14:textFill>
        </w:rPr>
      </w:pPr>
    </w:p>
    <w:p w14:paraId="3E3DAAD5">
      <w:pPr>
        <w:pStyle w:val="21"/>
        <w:rPr>
          <w:rFonts w:hAnsi="宋体" w:cs="宋体"/>
          <w:b/>
          <w:color w:val="000000" w:themeColor="text1"/>
          <w:sz w:val="21"/>
          <w:szCs w:val="21"/>
          <w14:textFill>
            <w14:solidFill>
              <w14:schemeClr w14:val="tx1"/>
            </w14:solidFill>
          </w14:textFill>
        </w:rPr>
      </w:pPr>
    </w:p>
    <w:p w14:paraId="7954400F">
      <w:pPr>
        <w:pStyle w:val="21"/>
        <w:rPr>
          <w:rFonts w:hAnsi="宋体" w:cs="宋体"/>
          <w:b/>
          <w:color w:val="000000" w:themeColor="text1"/>
          <w:sz w:val="21"/>
          <w:szCs w:val="21"/>
          <w14:textFill>
            <w14:solidFill>
              <w14:schemeClr w14:val="tx1"/>
            </w14:solidFill>
          </w14:textFill>
        </w:rPr>
      </w:pPr>
    </w:p>
    <w:p w14:paraId="6002BC36">
      <w:pPr>
        <w:pStyle w:val="21"/>
        <w:rPr>
          <w:rFonts w:hAnsi="宋体" w:cs="宋体"/>
          <w:b/>
          <w:color w:val="000000" w:themeColor="text1"/>
          <w:sz w:val="21"/>
          <w:szCs w:val="21"/>
          <w14:textFill>
            <w14:solidFill>
              <w14:schemeClr w14:val="tx1"/>
            </w14:solidFill>
          </w14:textFill>
        </w:rPr>
      </w:pPr>
    </w:p>
    <w:p w14:paraId="035E0CAA">
      <w:pPr>
        <w:ind w:left="2202" w:leftChars="284" w:right="913" w:hanging="1606" w:hangingChars="5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项目名称：2025年紧急照明维修材料采购 </w:t>
      </w:r>
    </w:p>
    <w:p w14:paraId="4D195EB8">
      <w:pPr>
        <w:ind w:right="913" w:firstLine="643" w:firstLineChars="200"/>
        <w:rPr>
          <w:rFonts w:ascii="宋体" w:hAnsi="宋体" w:cs="宋体"/>
          <w:b/>
          <w:color w:val="000000" w:themeColor="text1"/>
          <w:sz w:val="32"/>
          <w:szCs w:val="32"/>
          <w14:textFill>
            <w14:solidFill>
              <w14:schemeClr w14:val="tx1"/>
            </w14:solidFill>
          </w14:textFill>
        </w:rPr>
      </w:pPr>
    </w:p>
    <w:p w14:paraId="7B737301">
      <w:pPr>
        <w:ind w:right="913" w:firstLine="643" w:firstLineChars="200"/>
        <w:rPr>
          <w:rFonts w:ascii="宋体" w:hAnsi="宋体" w:cs="宋体"/>
          <w:b/>
          <w:color w:val="000000" w:themeColor="text1"/>
          <w:sz w:val="32"/>
          <w:szCs w:val="32"/>
          <w14:textFill>
            <w14:solidFill>
              <w14:schemeClr w14:val="tx1"/>
            </w14:solidFill>
          </w14:textFill>
        </w:rPr>
      </w:pPr>
    </w:p>
    <w:p w14:paraId="4AC9E27B">
      <w:pPr>
        <w:ind w:right="913" w:firstLine="643" w:firstLineChars="200"/>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r>
        <w:rPr>
          <w:rFonts w:hint="eastAsia" w:ascii="宋体" w:hAnsi="宋体" w:cs="宋体"/>
          <w:b/>
          <w:color w:val="000000" w:themeColor="text1"/>
          <w:sz w:val="32"/>
          <w:szCs w:val="32"/>
          <w:lang w:eastAsia="zh-CN"/>
          <w14:textFill>
            <w14:solidFill>
              <w14:schemeClr w14:val="tx1"/>
            </w14:solidFill>
          </w14:textFill>
        </w:rPr>
        <w:t>LZZC2026-J1-990004-GXDY</w:t>
      </w:r>
    </w:p>
    <w:p w14:paraId="52B227D2">
      <w:pPr>
        <w:ind w:right="-1" w:firstLine="643" w:firstLineChars="2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w:t>
      </w:r>
    </w:p>
    <w:p w14:paraId="5586611D">
      <w:pPr>
        <w:ind w:right="-1" w:firstLine="643" w:firstLineChars="2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w:t>
      </w:r>
    </w:p>
    <w:p w14:paraId="1EAB827D">
      <w:pPr>
        <w:ind w:right="-1" w:firstLine="643" w:firstLineChars="200"/>
        <w:outlineLvl w:val="0"/>
        <w:rPr>
          <w:rFonts w:ascii="宋体" w:hAnsi="宋体" w:cs="宋体"/>
          <w:b/>
          <w:color w:val="000000" w:themeColor="text1"/>
          <w:sz w:val="32"/>
          <w:szCs w:val="32"/>
          <w14:textFill>
            <w14:solidFill>
              <w14:schemeClr w14:val="tx1"/>
            </w14:solidFill>
          </w14:textFill>
        </w:rPr>
      </w:pPr>
      <w:bookmarkStart w:id="2" w:name="_Toc19780"/>
      <w:bookmarkStart w:id="3" w:name="_Toc29159"/>
      <w:r>
        <w:rPr>
          <w:rFonts w:hint="eastAsia" w:ascii="宋体" w:hAnsi="宋体" w:cs="宋体"/>
          <w:b/>
          <w:color w:val="000000" w:themeColor="text1"/>
          <w:sz w:val="32"/>
          <w:szCs w:val="32"/>
          <w14:textFill>
            <w14:solidFill>
              <w14:schemeClr w14:val="tx1"/>
            </w14:solidFill>
          </w14:textFill>
        </w:rPr>
        <w:t>采购人：</w:t>
      </w:r>
      <w:bookmarkEnd w:id="2"/>
      <w:bookmarkEnd w:id="3"/>
      <w:r>
        <w:rPr>
          <w:rFonts w:hint="eastAsia" w:ascii="宋体" w:hAnsi="宋体" w:cs="宋体"/>
          <w:b/>
          <w:color w:val="000000" w:themeColor="text1"/>
          <w:sz w:val="32"/>
          <w:szCs w:val="32"/>
          <w14:textFill>
            <w14:solidFill>
              <w14:schemeClr w14:val="tx1"/>
            </w14:solidFill>
          </w14:textFill>
        </w:rPr>
        <w:t>柳州市城市照明管理处</w:t>
      </w:r>
    </w:p>
    <w:p w14:paraId="354BA09F">
      <w:pPr>
        <w:spacing w:line="560" w:lineRule="exact"/>
        <w:ind w:firstLine="643" w:firstLineChars="200"/>
        <w:jc w:val="center"/>
        <w:rPr>
          <w:rFonts w:ascii="宋体" w:hAnsi="宋体" w:cs="宋体"/>
          <w:b/>
          <w:color w:val="000000" w:themeColor="text1"/>
          <w:sz w:val="32"/>
          <w:szCs w:val="32"/>
          <w14:textFill>
            <w14:solidFill>
              <w14:schemeClr w14:val="tx1"/>
            </w14:solidFill>
          </w14:textFill>
        </w:rPr>
      </w:pPr>
    </w:p>
    <w:p w14:paraId="735C2215">
      <w:pPr>
        <w:spacing w:line="560" w:lineRule="exact"/>
        <w:ind w:firstLine="643" w:firstLineChars="200"/>
        <w:jc w:val="center"/>
        <w:rPr>
          <w:rFonts w:ascii="宋体" w:hAnsi="宋体" w:cs="宋体"/>
          <w:b/>
          <w:color w:val="000000" w:themeColor="text1"/>
          <w:sz w:val="32"/>
          <w:szCs w:val="32"/>
          <w14:textFill>
            <w14:solidFill>
              <w14:schemeClr w14:val="tx1"/>
            </w14:solidFill>
          </w14:textFill>
        </w:rPr>
      </w:pPr>
    </w:p>
    <w:p w14:paraId="3449FF98">
      <w:pPr>
        <w:ind w:right="-1" w:firstLine="643" w:firstLineChars="2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采购代理机构：广西德元工程项目管理有限责任公司</w:t>
      </w:r>
    </w:p>
    <w:p w14:paraId="64A7CAF8">
      <w:pPr>
        <w:jc w:val="center"/>
        <w:rPr>
          <w:rFonts w:ascii="宋体" w:hAnsi="宋体" w:cs="宋体"/>
          <w:b/>
          <w:color w:val="000000" w:themeColor="text1"/>
          <w:sz w:val="32"/>
          <w:szCs w:val="32"/>
          <w14:textFill>
            <w14:solidFill>
              <w14:schemeClr w14:val="tx1"/>
            </w14:solidFill>
          </w14:textFill>
        </w:rPr>
      </w:pPr>
    </w:p>
    <w:p w14:paraId="4505EE0A">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2026年1月</w:t>
      </w:r>
    </w:p>
    <w:p w14:paraId="3AFD8088">
      <w:pPr>
        <w:pStyle w:val="21"/>
        <w:snapToGrid w:val="0"/>
        <w:spacing w:line="360" w:lineRule="auto"/>
        <w:jc w:val="center"/>
        <w:rPr>
          <w:rFonts w:hAnsi="宋体" w:cs="Adobe 黑体 Std R"/>
          <w:color w:val="000000" w:themeColor="text1"/>
          <w:sz w:val="44"/>
          <w:szCs w:val="24"/>
          <w14:textFill>
            <w14:solidFill>
              <w14:schemeClr w14:val="tx1"/>
            </w14:solidFill>
          </w14:textFill>
        </w:rPr>
      </w:pPr>
      <w:r>
        <w:rPr>
          <w:rFonts w:hAnsi="宋体" w:cs="Adobe 黑体 Std R"/>
          <w:color w:val="000000" w:themeColor="text1"/>
          <w:sz w:val="44"/>
          <w:szCs w:val="24"/>
          <w14:textFill>
            <w14:solidFill>
              <w14:schemeClr w14:val="tx1"/>
            </w14:solidFill>
          </w14:textFill>
        </w:rPr>
        <w:br w:type="page"/>
      </w:r>
      <w:r>
        <w:rPr>
          <w:rFonts w:hint="eastAsia" w:hAnsi="宋体" w:cs="Adobe 黑体 Std R"/>
          <w:color w:val="000000" w:themeColor="text1"/>
          <w:sz w:val="44"/>
          <w:szCs w:val="24"/>
          <w14:textFill>
            <w14:solidFill>
              <w14:schemeClr w14:val="tx1"/>
            </w14:solidFill>
          </w14:textFill>
        </w:rPr>
        <w:t>目  录</w:t>
      </w:r>
    </w:p>
    <w:p w14:paraId="1F77B451">
      <w:pPr>
        <w:pStyle w:val="29"/>
        <w:tabs>
          <w:tab w:val="right" w:leader="dot" w:pos="9638"/>
        </w:tabs>
        <w:rPr>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TOC \o "1-3" \h \z \u </w:instrText>
      </w:r>
      <w:r>
        <w:rPr>
          <w:rFonts w:ascii="宋体" w:hAnsi="宋体"/>
          <w:b/>
          <w:color w:val="000000" w:themeColor="text1"/>
          <w:sz w:val="28"/>
          <w:szCs w:val="28"/>
          <w14:textFill>
            <w14:solidFill>
              <w14:schemeClr w14:val="tx1"/>
            </w14:solidFill>
          </w14:textFill>
        </w:rPr>
        <w:fldChar w:fldCharType="separate"/>
      </w:r>
      <w:r>
        <w:fldChar w:fldCharType="begin"/>
      </w:r>
      <w:r>
        <w:instrText xml:space="preserve"> HYPERLINK \l "_Toc8698" </w:instrText>
      </w:r>
      <w:r>
        <w:fldChar w:fldCharType="separate"/>
      </w:r>
      <w:r>
        <w:rPr>
          <w:rFonts w:hint="eastAsia" w:ascii="宋体" w:hAnsi="宋体"/>
          <w:color w:val="000000" w:themeColor="text1"/>
          <w:sz w:val="28"/>
          <w:szCs w:val="28"/>
          <w14:textFill>
            <w14:solidFill>
              <w14:schemeClr w14:val="tx1"/>
            </w14:solidFill>
          </w14:textFill>
        </w:rPr>
        <w:t>第一章竞争性谈判公告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_Toc8698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57A4D009">
      <w:pPr>
        <w:pStyle w:val="29"/>
        <w:tabs>
          <w:tab w:val="right" w:leader="dot" w:pos="9638"/>
        </w:tabs>
        <w:rPr>
          <w:color w:val="000000" w:themeColor="text1"/>
          <w:sz w:val="28"/>
          <w:szCs w:val="28"/>
          <w14:textFill>
            <w14:solidFill>
              <w14:schemeClr w14:val="tx1"/>
            </w14:solidFill>
          </w14:textFill>
        </w:rPr>
      </w:pPr>
      <w:r>
        <w:fldChar w:fldCharType="begin"/>
      </w:r>
      <w:r>
        <w:instrText xml:space="preserve"> HYPERLINK \l "_Toc13853" </w:instrText>
      </w:r>
      <w:r>
        <w:fldChar w:fldCharType="separate"/>
      </w:r>
      <w:r>
        <w:rPr>
          <w:rFonts w:hint="eastAsia" w:ascii="宋体" w:hAnsi="宋体"/>
          <w:bCs/>
          <w:color w:val="000000" w:themeColor="text1"/>
          <w:sz w:val="28"/>
          <w:szCs w:val="28"/>
          <w14:textFill>
            <w14:solidFill>
              <w14:schemeClr w14:val="tx1"/>
            </w14:solidFill>
          </w14:textFill>
        </w:rPr>
        <w:t>第二章 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_Toc13853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BE8DD29">
      <w:pPr>
        <w:pStyle w:val="29"/>
        <w:tabs>
          <w:tab w:val="right" w:leader="dot" w:pos="9638"/>
        </w:tabs>
        <w:rPr>
          <w:color w:val="000000" w:themeColor="text1"/>
          <w:sz w:val="28"/>
          <w:szCs w:val="28"/>
          <w14:textFill>
            <w14:solidFill>
              <w14:schemeClr w14:val="tx1"/>
            </w14:solidFill>
          </w14:textFill>
        </w:rPr>
      </w:pPr>
      <w:r>
        <w:fldChar w:fldCharType="begin"/>
      </w:r>
      <w:r>
        <w:instrText xml:space="preserve"> HYPERLINK \l "_Toc9868" </w:instrText>
      </w:r>
      <w:r>
        <w:fldChar w:fldCharType="separate"/>
      </w:r>
      <w:r>
        <w:rPr>
          <w:rFonts w:hint="eastAsia" w:ascii="宋体" w:hAnsi="宋体"/>
          <w:color w:val="000000" w:themeColor="text1"/>
          <w:sz w:val="28"/>
          <w:szCs w:val="28"/>
          <w14:textFill>
            <w14:solidFill>
              <w14:schemeClr w14:val="tx1"/>
            </w14:solidFill>
          </w14:textFill>
        </w:rPr>
        <w:t>第三章  采购需求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_Toc9868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7CFEDD54">
      <w:pPr>
        <w:pStyle w:val="29"/>
        <w:tabs>
          <w:tab w:val="right" w:leader="dot" w:pos="9638"/>
        </w:tabs>
        <w:rPr>
          <w:color w:val="000000" w:themeColor="text1"/>
          <w:sz w:val="28"/>
          <w:szCs w:val="28"/>
          <w14:textFill>
            <w14:solidFill>
              <w14:schemeClr w14:val="tx1"/>
            </w14:solidFill>
          </w14:textFill>
        </w:rPr>
      </w:pPr>
      <w:r>
        <w:fldChar w:fldCharType="begin"/>
      </w:r>
      <w:r>
        <w:instrText xml:space="preserve"> HYPERLINK \l "_Toc8893" </w:instrText>
      </w:r>
      <w:r>
        <w:fldChar w:fldCharType="separate"/>
      </w:r>
      <w:r>
        <w:rPr>
          <w:rFonts w:hint="eastAsia" w:ascii="宋体" w:hAnsi="宋体"/>
          <w:color w:val="000000" w:themeColor="text1"/>
          <w:sz w:val="28"/>
          <w:szCs w:val="28"/>
          <w14:textFill>
            <w14:solidFill>
              <w14:schemeClr w14:val="tx1"/>
            </w14:solidFill>
          </w14:textFill>
        </w:rPr>
        <w:t>第四章 响应文件格式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_Toc8893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14AD040">
      <w:pPr>
        <w:pStyle w:val="29"/>
        <w:tabs>
          <w:tab w:val="right" w:leader="dot" w:pos="9638"/>
        </w:tabs>
        <w:rPr>
          <w:color w:val="000000" w:themeColor="text1"/>
          <w:sz w:val="28"/>
          <w:szCs w:val="28"/>
          <w14:textFill>
            <w14:solidFill>
              <w14:schemeClr w14:val="tx1"/>
            </w14:solidFill>
          </w14:textFill>
        </w:rPr>
      </w:pPr>
      <w:r>
        <w:fldChar w:fldCharType="begin"/>
      </w:r>
      <w:r>
        <w:instrText xml:space="preserve"> HYPERLINK \l "_Toc19961" </w:instrText>
      </w:r>
      <w:r>
        <w:fldChar w:fldCharType="separate"/>
      </w:r>
      <w:r>
        <w:rPr>
          <w:rFonts w:hint="eastAsia" w:ascii="宋体" w:hAnsi="宋体"/>
          <w:color w:val="000000" w:themeColor="text1"/>
          <w:sz w:val="28"/>
          <w:szCs w:val="28"/>
          <w14:textFill>
            <w14:solidFill>
              <w14:schemeClr w14:val="tx1"/>
            </w14:solidFill>
          </w14:textFill>
        </w:rPr>
        <w:t>第五章 合同主要（基本条款）</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_Toc19961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F2C3119">
      <w:pPr>
        <w:pStyle w:val="29"/>
        <w:tabs>
          <w:tab w:val="right" w:leader="dot" w:pos="9638"/>
        </w:tabs>
        <w:rPr>
          <w:color w:val="000000" w:themeColor="text1"/>
          <w:sz w:val="28"/>
          <w:szCs w:val="28"/>
          <w14:textFill>
            <w14:solidFill>
              <w14:schemeClr w14:val="tx1"/>
            </w14:solidFill>
          </w14:textFill>
        </w:rPr>
      </w:pPr>
      <w:r>
        <w:fldChar w:fldCharType="begin"/>
      </w:r>
      <w:r>
        <w:instrText xml:space="preserve"> HYPERLINK \l "_Toc4437" </w:instrText>
      </w:r>
      <w:r>
        <w:fldChar w:fldCharType="separate"/>
      </w:r>
      <w:r>
        <w:rPr>
          <w:rFonts w:hint="eastAsia" w:ascii="宋体" w:hAnsi="宋体"/>
          <w:color w:val="000000" w:themeColor="text1"/>
          <w:sz w:val="28"/>
          <w:szCs w:val="28"/>
          <w14:textFill>
            <w14:solidFill>
              <w14:schemeClr w14:val="tx1"/>
            </w14:solidFill>
          </w14:textFill>
        </w:rPr>
        <w:t>第六章 评审办法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_Toc4437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39E69C5">
      <w:pP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fldChar w:fldCharType="end"/>
      </w:r>
    </w:p>
    <w:p w14:paraId="4882E53E">
      <w:pPr>
        <w:pStyle w:val="21"/>
        <w:snapToGrid w:val="0"/>
        <w:spacing w:line="360" w:lineRule="auto"/>
        <w:jc w:val="center"/>
        <w:rPr>
          <w:rFonts w:hAnsi="宋体" w:cs="Adobe 黑体 Std R"/>
          <w:color w:val="000000" w:themeColor="text1"/>
          <w:sz w:val="44"/>
          <w:szCs w:val="24"/>
          <w14:textFill>
            <w14:solidFill>
              <w14:schemeClr w14:val="tx1"/>
            </w14:solidFill>
          </w14:textFill>
        </w:rPr>
      </w:pPr>
    </w:p>
    <w:p w14:paraId="5907A8B7">
      <w:pPr>
        <w:ind w:left="-2"/>
        <w:jc w:val="left"/>
        <w:rPr>
          <w:rFonts w:ascii="宋体" w:hAnsi="宋体" w:cs="Adobe 黑体 Std R"/>
          <w:color w:val="000000" w:themeColor="text1"/>
          <w:sz w:val="32"/>
          <w14:textFill>
            <w14:solidFill>
              <w14:schemeClr w14:val="tx1"/>
            </w14:solidFill>
          </w14:textFill>
        </w:rPr>
      </w:pPr>
    </w:p>
    <w:p w14:paraId="03E8A28A">
      <w:pPr>
        <w:jc w:val="center"/>
        <w:rPr>
          <w:rFonts w:ascii="宋体" w:hAnsi="宋体"/>
          <w:b/>
          <w:color w:val="000000" w:themeColor="text1"/>
          <w:sz w:val="32"/>
          <w14:textFill>
            <w14:solidFill>
              <w14:schemeClr w14:val="tx1"/>
            </w14:solidFill>
          </w14:textFill>
        </w:rPr>
      </w:pPr>
    </w:p>
    <w:p w14:paraId="7AC83478">
      <w:pPr>
        <w:jc w:val="center"/>
        <w:rPr>
          <w:rFonts w:ascii="宋体" w:hAnsi="宋体"/>
          <w:b/>
          <w:color w:val="000000" w:themeColor="text1"/>
          <w:sz w:val="32"/>
          <w14:textFill>
            <w14:solidFill>
              <w14:schemeClr w14:val="tx1"/>
            </w14:solidFill>
          </w14:textFill>
        </w:rPr>
      </w:pPr>
    </w:p>
    <w:p w14:paraId="73BCD424">
      <w:pPr>
        <w:jc w:val="center"/>
        <w:rPr>
          <w:rFonts w:ascii="宋体" w:hAnsi="宋体"/>
          <w:b/>
          <w:color w:val="000000" w:themeColor="text1"/>
          <w:sz w:val="32"/>
          <w14:textFill>
            <w14:solidFill>
              <w14:schemeClr w14:val="tx1"/>
            </w14:solidFill>
          </w14:textFill>
        </w:rPr>
      </w:pPr>
    </w:p>
    <w:p w14:paraId="63111DB6">
      <w:pPr>
        <w:jc w:val="center"/>
        <w:rPr>
          <w:rFonts w:ascii="宋体" w:hAnsi="宋体"/>
          <w:b/>
          <w:color w:val="000000" w:themeColor="text1"/>
          <w:sz w:val="32"/>
          <w14:textFill>
            <w14:solidFill>
              <w14:schemeClr w14:val="tx1"/>
            </w14:solidFill>
          </w14:textFill>
        </w:rPr>
      </w:pPr>
    </w:p>
    <w:p w14:paraId="3FA4BBB5">
      <w:pPr>
        <w:jc w:val="center"/>
        <w:rPr>
          <w:rFonts w:ascii="宋体" w:hAnsi="宋体"/>
          <w:b/>
          <w:color w:val="000000" w:themeColor="text1"/>
          <w:sz w:val="32"/>
          <w14:textFill>
            <w14:solidFill>
              <w14:schemeClr w14:val="tx1"/>
            </w14:solidFill>
          </w14:textFill>
        </w:rPr>
      </w:pPr>
    </w:p>
    <w:p w14:paraId="6A2AEA66">
      <w:pPr>
        <w:jc w:val="center"/>
        <w:rPr>
          <w:rFonts w:ascii="宋体" w:hAnsi="宋体"/>
          <w:b/>
          <w:color w:val="000000" w:themeColor="text1"/>
          <w:sz w:val="32"/>
          <w14:textFill>
            <w14:solidFill>
              <w14:schemeClr w14:val="tx1"/>
            </w14:solidFill>
          </w14:textFill>
        </w:rPr>
      </w:pPr>
    </w:p>
    <w:p w14:paraId="49779824">
      <w:pPr>
        <w:jc w:val="center"/>
        <w:rPr>
          <w:rFonts w:ascii="宋体" w:hAnsi="宋体"/>
          <w:b/>
          <w:color w:val="000000" w:themeColor="text1"/>
          <w:sz w:val="32"/>
          <w14:textFill>
            <w14:solidFill>
              <w14:schemeClr w14:val="tx1"/>
            </w14:solidFill>
          </w14:textFill>
        </w:rPr>
      </w:pPr>
    </w:p>
    <w:p w14:paraId="32570876">
      <w:pPr>
        <w:jc w:val="center"/>
        <w:rPr>
          <w:rFonts w:ascii="宋体" w:hAnsi="宋体"/>
          <w:b/>
          <w:color w:val="000000" w:themeColor="text1"/>
          <w:sz w:val="32"/>
          <w14:textFill>
            <w14:solidFill>
              <w14:schemeClr w14:val="tx1"/>
            </w14:solidFill>
          </w14:textFill>
        </w:rPr>
      </w:pPr>
    </w:p>
    <w:p w14:paraId="28695AD4">
      <w:pPr>
        <w:jc w:val="center"/>
        <w:rPr>
          <w:rFonts w:ascii="宋体" w:hAnsi="宋体"/>
          <w:b/>
          <w:color w:val="000000" w:themeColor="text1"/>
          <w:sz w:val="32"/>
          <w14:textFill>
            <w14:solidFill>
              <w14:schemeClr w14:val="tx1"/>
            </w14:solidFill>
          </w14:textFill>
        </w:rPr>
      </w:pPr>
    </w:p>
    <w:p w14:paraId="3787BD99">
      <w:pPr>
        <w:jc w:val="center"/>
        <w:rPr>
          <w:rFonts w:ascii="宋体" w:hAnsi="宋体"/>
          <w:b/>
          <w:color w:val="000000" w:themeColor="text1"/>
          <w:sz w:val="32"/>
          <w14:textFill>
            <w14:solidFill>
              <w14:schemeClr w14:val="tx1"/>
            </w14:solidFill>
          </w14:textFill>
        </w:rPr>
      </w:pPr>
    </w:p>
    <w:p w14:paraId="16E7E6DB">
      <w:pPr>
        <w:jc w:val="center"/>
        <w:rPr>
          <w:rFonts w:ascii="宋体" w:hAnsi="宋体"/>
          <w:b/>
          <w:color w:val="000000" w:themeColor="text1"/>
          <w:sz w:val="32"/>
          <w14:textFill>
            <w14:solidFill>
              <w14:schemeClr w14:val="tx1"/>
            </w14:solidFill>
          </w14:textFill>
        </w:rPr>
      </w:pPr>
    </w:p>
    <w:p w14:paraId="09D4FD6C">
      <w:pPr>
        <w:pStyle w:val="5"/>
        <w:spacing w:line="360" w:lineRule="exact"/>
        <w:rPr>
          <w:rFonts w:ascii="宋体" w:hAnsi="宋体"/>
          <w:color w:val="000000" w:themeColor="text1"/>
          <w:sz w:val="24"/>
          <w14:textFill>
            <w14:solidFill>
              <w14:schemeClr w14:val="tx1"/>
            </w14:solidFill>
          </w14:textFill>
        </w:rPr>
      </w:pPr>
      <w:bookmarkStart w:id="4" w:name="_Toc8698"/>
      <w:r>
        <w:rPr>
          <w:rFonts w:hint="eastAsia" w:ascii="宋体" w:hAnsi="宋体"/>
          <w:color w:val="000000" w:themeColor="text1"/>
          <w14:textFill>
            <w14:solidFill>
              <w14:schemeClr w14:val="tx1"/>
            </w14:solidFill>
          </w14:textFill>
        </w:rPr>
        <w:t>第一章</w:t>
      </w:r>
      <w:r>
        <w:rPr>
          <w:rFonts w:hint="eastAsia" w:ascii="宋体" w:hAnsi="宋体"/>
          <w:color w:val="000000" w:themeColor="text1"/>
          <w:szCs w:val="32"/>
          <w14:textFill>
            <w14:solidFill>
              <w14:schemeClr w14:val="tx1"/>
            </w14:solidFill>
          </w14:textFill>
        </w:rPr>
        <w:t>竞争性谈判公告</w:t>
      </w:r>
      <w:bookmarkEnd w:id="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868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854" w:type="dxa"/>
          </w:tcPr>
          <w:p w14:paraId="7E0BDA65">
            <w:pPr>
              <w:pStyle w:val="34"/>
              <w:widowControl/>
              <w:spacing w:beforeAutospacing="0" w:afterAutospacing="0" w:line="360" w:lineRule="exac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项目概况</w:t>
            </w:r>
          </w:p>
          <w:p w14:paraId="010D01F5">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2025年紧急照明维修材料采购采购项目的潜在供应商应在广西政府采购云平台（https://www.gcy.zfcg.gxzf.gov.cn/）获取采购文件，并于2026年1月</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cs="宋体"/>
                <w:color w:val="000000" w:themeColor="text1"/>
                <w:sz w:val="21"/>
                <w:szCs w:val="21"/>
                <w14:textFill>
                  <w14:solidFill>
                    <w14:schemeClr w14:val="tx1"/>
                  </w14:solidFill>
                </w14:textFill>
              </w:rPr>
              <w:t>日 09:20（北京时间）前提交响应文件。</w:t>
            </w:r>
          </w:p>
        </w:tc>
      </w:tr>
    </w:tbl>
    <w:p w14:paraId="6D2E5495">
      <w:pPr>
        <w:pStyle w:val="34"/>
        <w:widowControl/>
        <w:spacing w:beforeAutospacing="0" w:afterAutospacing="0" w:line="360" w:lineRule="exac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Style w:val="40"/>
          <w:rFonts w:hint="eastAsia" w:ascii="宋体" w:hAnsi="宋体" w:cs="宋体"/>
          <w:color w:val="000000" w:themeColor="text1"/>
          <w:sz w:val="21"/>
          <w:szCs w:val="21"/>
          <w14:textFill>
            <w14:solidFill>
              <w14:schemeClr w14:val="tx1"/>
            </w14:solidFill>
          </w14:textFill>
        </w:rPr>
        <w:t>一、项目基本情况</w:t>
      </w:r>
      <w:r>
        <w:rPr>
          <w:rFonts w:hint="eastAsia" w:ascii="宋体" w:hAnsi="宋体" w:cs="宋体"/>
          <w:color w:val="000000" w:themeColor="text1"/>
          <w:sz w:val="21"/>
          <w:szCs w:val="21"/>
          <w14:textFill>
            <w14:solidFill>
              <w14:schemeClr w14:val="tx1"/>
            </w14:solidFill>
          </w14:textFill>
        </w:rPr>
        <w:t>                                            </w:t>
      </w:r>
    </w:p>
    <w:p w14:paraId="7193668F">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项目编号：</w:t>
      </w:r>
      <w:r>
        <w:rPr>
          <w:rFonts w:hint="eastAsia" w:ascii="宋体" w:hAnsi="宋体" w:cs="宋体"/>
          <w:color w:val="000000" w:themeColor="text1"/>
          <w:sz w:val="21"/>
          <w:szCs w:val="21"/>
          <w:lang w:eastAsia="zh-CN"/>
          <w14:textFill>
            <w14:solidFill>
              <w14:schemeClr w14:val="tx1"/>
            </w14:solidFill>
          </w14:textFill>
        </w:rPr>
        <w:t>LZZC2026-J1-990004-GXDY</w:t>
      </w:r>
      <w:r>
        <w:rPr>
          <w:rFonts w:hint="eastAsia" w:ascii="宋体" w:hAnsi="宋体" w:cs="宋体"/>
          <w:color w:val="000000" w:themeColor="text1"/>
          <w:sz w:val="21"/>
          <w:szCs w:val="21"/>
          <w14:textFill>
            <w14:solidFill>
              <w14:schemeClr w14:val="tx1"/>
            </w14:solidFill>
          </w14:textFill>
        </w:rPr>
        <w:t> </w:t>
      </w:r>
    </w:p>
    <w:p w14:paraId="5A05CB4E">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项目名称：2025年紧急照明维修材料采购 </w:t>
      </w:r>
    </w:p>
    <w:p w14:paraId="02F9FE32">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采购方式：竞争性谈判 </w:t>
      </w:r>
    </w:p>
    <w:p w14:paraId="271972E8">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预算总金额（元）：901050 </w:t>
      </w:r>
    </w:p>
    <w:p w14:paraId="4284BB62">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采购需求：</w:t>
      </w:r>
    </w:p>
    <w:p w14:paraId="33F314D4">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标项一</w:t>
      </w:r>
    </w:p>
    <w:p w14:paraId="283F49A5">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标项名称:分标1</w:t>
      </w:r>
    </w:p>
    <w:p w14:paraId="4D96601D">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数量:不限</w:t>
      </w:r>
    </w:p>
    <w:p w14:paraId="4B4A2311">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预算金额（元）:362700</w:t>
      </w:r>
    </w:p>
    <w:p w14:paraId="68539CD9">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简要规格描述或项目基本概况介绍、用途：2025年紧急照明维修材料采购一项，具体内容见竞争性谈判文件第三章《采购需求》。</w:t>
      </w:r>
    </w:p>
    <w:p w14:paraId="72E8B415">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最高限价（如有）：362442  </w:t>
      </w:r>
    </w:p>
    <w:p w14:paraId="7EAFFB35">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合同履约期限：自签订合同之日起一年。本项目非一次性供货，按采购人实际需求分批供应。</w:t>
      </w:r>
    </w:p>
    <w:p w14:paraId="045C0FC4">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本项目（否）接受联合体投标</w:t>
      </w:r>
    </w:p>
    <w:p w14:paraId="640295FB">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备注：本项目为线上电子招标项目，采用远程异地评标，有意向参与本项目的供应商应当做好参与全流程电子招投标交易的充分准备。</w:t>
      </w:r>
    </w:p>
    <w:p w14:paraId="2B2615EB">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标项二</w:t>
      </w:r>
    </w:p>
    <w:p w14:paraId="14337D0B">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标项名称:分标2</w:t>
      </w:r>
    </w:p>
    <w:p w14:paraId="2860DF43">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数量:不限</w:t>
      </w:r>
    </w:p>
    <w:p w14:paraId="1D0024EB">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预算金额（元）:175800</w:t>
      </w:r>
    </w:p>
    <w:p w14:paraId="23A90683">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简要规格描述或项目基本概况介绍、用途：2025年紧急照明维修材料采购一项，具体内容见竞争性谈判文件第三章《采购需求》。</w:t>
      </w:r>
    </w:p>
    <w:p w14:paraId="06DE6835">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最高限价（如有）：175800  </w:t>
      </w:r>
    </w:p>
    <w:p w14:paraId="37218755">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合同履约期限：自签订合同之日起一年。本项目非一次性供货，按采购人实际需求分批供应。</w:t>
      </w:r>
    </w:p>
    <w:p w14:paraId="0C7F569A">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本项目（否）接受联合体投标</w:t>
      </w:r>
    </w:p>
    <w:p w14:paraId="7305B429">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备注：本项目为线上电子招标项目，采用远程异地评标，有意向参与本项目的供应商应当做好参与全流程电子招投标交易的充分准备。</w:t>
      </w:r>
    </w:p>
    <w:p w14:paraId="11FBD521">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标项三</w:t>
      </w:r>
    </w:p>
    <w:p w14:paraId="2CC7D2C8">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标项名称:分标3</w:t>
      </w:r>
    </w:p>
    <w:p w14:paraId="0C8FA76B">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数量:不限</w:t>
      </w:r>
    </w:p>
    <w:p w14:paraId="74B0B743">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预算金额（元）:362550</w:t>
      </w:r>
    </w:p>
    <w:p w14:paraId="65CBA660">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简要规格描述或项目基本概况介绍、用途：2025年紧急照明维修材料采购一项，具体内容见竞争性谈判文件第三章《采购需求》。</w:t>
      </w:r>
    </w:p>
    <w:p w14:paraId="6C67E762">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最高限价（如有）：362550  </w:t>
      </w:r>
    </w:p>
    <w:p w14:paraId="5FA7368A">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合同履约期限：自签订合同之日起一年。本项目非一次性供货，按采购人实际需求分批供应。</w:t>
      </w:r>
    </w:p>
    <w:p w14:paraId="125DB2C7">
      <w:pPr>
        <w:pStyle w:val="34"/>
        <w:widowControl/>
        <w:spacing w:beforeAutospacing="0" w:afterAutospacing="0" w:line="3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本项目（否）接受联合体投标</w:t>
      </w:r>
    </w:p>
    <w:p w14:paraId="7BD60615">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备注：本项目为线上电子招标项目，采用远程异地评标，有意向参与本项目的供应商应当做好参与全流程电子招投标交易的充分准备。</w:t>
      </w:r>
    </w:p>
    <w:p w14:paraId="703ADDC7">
      <w:pPr>
        <w:pStyle w:val="34"/>
        <w:widowControl/>
        <w:spacing w:beforeAutospacing="0" w:afterAutospacing="0" w:line="360" w:lineRule="exact"/>
        <w:ind w:firstLine="422" w:firstLineChars="200"/>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二、申请人的资格要求：</w:t>
      </w:r>
    </w:p>
    <w:p w14:paraId="610FCFA0">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1.满足《中华人民共和国政府采购法》第二十二条规定；</w:t>
      </w:r>
    </w:p>
    <w:p w14:paraId="4C568276">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2.落实政府采购政策需满足的资格要求：分标1、2、3：</w:t>
      </w:r>
      <w:r>
        <w:rPr>
          <w:rFonts w:hint="eastAsia" w:hAnsi="宋体"/>
          <w:color w:val="000000" w:themeColor="text1"/>
          <w:kern w:val="2"/>
          <w:sz w:val="21"/>
          <w:szCs w:val="21"/>
          <w14:textFill>
            <w14:solidFill>
              <w14:schemeClr w14:val="tx1"/>
            </w14:solidFill>
          </w14:textFill>
        </w:rPr>
        <w:t>本项目专门面向小微企业，投标货物生产商须为《关于印发中小企业划型标准规定的通知》（工信部联企业〔2011〕300号）规定的</w:t>
      </w:r>
      <w:r>
        <w:rPr>
          <w:rFonts w:hint="eastAsia" w:hAnsi="宋体"/>
          <w:color w:val="000000" w:themeColor="text1"/>
          <w:kern w:val="2"/>
          <w:sz w:val="21"/>
          <w:szCs w:val="21"/>
          <w:lang w:eastAsia="zh-CN"/>
          <w14:textFill>
            <w14:solidFill>
              <w14:schemeClr w14:val="tx1"/>
            </w14:solidFill>
          </w14:textFill>
        </w:rPr>
        <w:t>工</w:t>
      </w:r>
      <w:r>
        <w:rPr>
          <w:rFonts w:hint="eastAsia" w:hAnsi="宋体"/>
          <w:color w:val="000000" w:themeColor="text1"/>
          <w:kern w:val="2"/>
          <w:sz w:val="21"/>
          <w:szCs w:val="21"/>
          <w14:textFill>
            <w14:solidFill>
              <w14:schemeClr w14:val="tx1"/>
            </w14:solidFill>
          </w14:textFill>
        </w:rPr>
        <w:t>业的</w:t>
      </w:r>
      <w:r>
        <w:rPr>
          <w:rFonts w:hint="eastAsia" w:hAnsi="宋体"/>
          <w:color w:val="000000" w:themeColor="text1"/>
          <w:kern w:val="2"/>
          <w:sz w:val="21"/>
          <w:szCs w:val="21"/>
          <w:lang w:eastAsia="zh-CN"/>
          <w14:textFill>
            <w14:solidFill>
              <w14:schemeClr w14:val="tx1"/>
            </w14:solidFill>
          </w14:textFill>
        </w:rPr>
        <w:t>小微</w:t>
      </w:r>
      <w:r>
        <w:rPr>
          <w:rFonts w:hint="eastAsia" w:hAnsi="宋体"/>
          <w:color w:val="000000" w:themeColor="text1"/>
          <w:kern w:val="2"/>
          <w:sz w:val="21"/>
          <w:szCs w:val="21"/>
          <w14:textFill>
            <w14:solidFill>
              <w14:schemeClr w14:val="tx1"/>
            </w14:solidFill>
          </w14:textFill>
        </w:rPr>
        <w:t>企业，或者是《关于政府采购支持监狱企业发展有关问题的通知》(财库[2014]68号)规定的监狱企业，或者是《关于促进残疾人就业政府采购政策的通知》（财库〔2017〕141号）规定的残疾人福利性企业。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cs="宋体"/>
          <w:color w:val="000000" w:themeColor="text1"/>
          <w:sz w:val="21"/>
          <w:szCs w:val="21"/>
          <w14:textFill>
            <w14:solidFill>
              <w14:schemeClr w14:val="tx1"/>
            </w14:solidFill>
          </w14:textFill>
        </w:rPr>
        <w:t> </w:t>
      </w:r>
    </w:p>
    <w:p w14:paraId="2DEDF8B1">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3.本项目的特定资格要求：无 </w:t>
      </w:r>
    </w:p>
    <w:p w14:paraId="7814AE10">
      <w:pPr>
        <w:pStyle w:val="34"/>
        <w:widowControl/>
        <w:spacing w:beforeAutospacing="0" w:afterAutospacing="0" w:line="360" w:lineRule="exact"/>
        <w:ind w:firstLine="422" w:firstLineChars="200"/>
        <w:jc w:val="both"/>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三、获取采购文件</w:t>
      </w:r>
    </w:p>
    <w:p w14:paraId="53212CEA">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时间：2026年1月</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cs="宋体"/>
          <w:color w:val="000000" w:themeColor="text1"/>
          <w:sz w:val="21"/>
          <w:szCs w:val="21"/>
          <w14:textFill>
            <w14:solidFill>
              <w14:schemeClr w14:val="tx1"/>
            </w14:solidFill>
          </w14:textFill>
        </w:rPr>
        <w:t>日至2026年1月</w:t>
      </w:r>
      <w:r>
        <w:rPr>
          <w:rFonts w:hint="eastAsia" w:ascii="宋体" w:hAnsi="宋体" w:cs="宋体"/>
          <w:color w:val="000000" w:themeColor="text1"/>
          <w:sz w:val="21"/>
          <w:szCs w:val="21"/>
          <w:lang w:val="en-US" w:eastAsia="zh-CN"/>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日，每天上午08:30至12:00，下午14:30至17:30（北京时间，法定节假日除外）</w:t>
      </w:r>
    </w:p>
    <w:p w14:paraId="69DF2757">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地点（网址）：</w:t>
      </w:r>
      <w:bookmarkStart w:id="5" w:name="OLE_LINK7"/>
      <w:r>
        <w:rPr>
          <w:rFonts w:hint="eastAsia" w:ascii="宋体" w:hAnsi="宋体" w:cs="宋体"/>
          <w:color w:val="000000" w:themeColor="text1"/>
          <w:sz w:val="21"/>
          <w:szCs w:val="21"/>
          <w14:textFill>
            <w14:solidFill>
              <w14:schemeClr w14:val="tx1"/>
            </w14:solidFill>
          </w14:textFill>
        </w:rPr>
        <w:t>广西政府采购云平台（https://www.gcy.zfcg.gxzf.gov.cn/）</w:t>
      </w:r>
      <w:bookmarkEnd w:id="5"/>
      <w:r>
        <w:rPr>
          <w:rFonts w:hint="eastAsia" w:ascii="宋体" w:hAnsi="宋体" w:cs="宋体"/>
          <w:color w:val="000000" w:themeColor="text1"/>
          <w:sz w:val="21"/>
          <w:szCs w:val="21"/>
          <w14:textFill>
            <w14:solidFill>
              <w14:schemeClr w14:val="tx1"/>
            </w14:solidFill>
          </w14:textFill>
        </w:rPr>
        <w:t>  </w:t>
      </w:r>
    </w:p>
    <w:p w14:paraId="0446C369">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方式：</w:t>
      </w:r>
      <w:bookmarkStart w:id="6" w:name="OLE_LINK8"/>
      <w:r>
        <w:rPr>
          <w:rFonts w:hint="eastAsia" w:ascii="宋体" w:hAnsi="宋体" w:cs="宋体"/>
          <w:color w:val="000000" w:themeColor="text1"/>
          <w:sz w:val="21"/>
          <w:szCs w:val="21"/>
          <w14:textFill>
            <w14:solidFill>
              <w14:schemeClr w14:val="tx1"/>
            </w14:solidFill>
          </w14:textFill>
        </w:rPr>
        <w:t>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平台，应进行“申请获取竞争性谈判文件”操作，否则，有可能导致无法在线编制响应文件并参与竞标，其不利后果由供应商自行承担。</w:t>
      </w:r>
      <w:bookmarkEnd w:id="6"/>
      <w:r>
        <w:rPr>
          <w:rFonts w:hint="eastAsia" w:ascii="宋体" w:hAnsi="宋体" w:cs="宋体"/>
          <w:color w:val="000000" w:themeColor="text1"/>
          <w:sz w:val="21"/>
          <w:szCs w:val="21"/>
          <w14:textFill>
            <w14:solidFill>
              <w14:schemeClr w14:val="tx1"/>
            </w14:solidFill>
          </w14:textFill>
        </w:rPr>
        <w:t>  </w:t>
      </w:r>
    </w:p>
    <w:p w14:paraId="418CEA26">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售价（元）：0 </w:t>
      </w:r>
    </w:p>
    <w:p w14:paraId="2E3996C4">
      <w:pPr>
        <w:pStyle w:val="34"/>
        <w:widowControl/>
        <w:spacing w:beforeAutospacing="0" w:afterAutospacing="0" w:line="360" w:lineRule="exact"/>
        <w:ind w:firstLine="422" w:firstLineChars="200"/>
        <w:jc w:val="both"/>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四、响应文件提交</w:t>
      </w:r>
    </w:p>
    <w:p w14:paraId="48713962">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截止时间：2026年1月</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cs="宋体"/>
          <w:color w:val="000000" w:themeColor="text1"/>
          <w:sz w:val="21"/>
          <w:szCs w:val="21"/>
          <w14:textFill>
            <w14:solidFill>
              <w14:schemeClr w14:val="tx1"/>
            </w14:solidFill>
          </w14:textFill>
        </w:rPr>
        <w:t>日 09:20（北京时间）</w:t>
      </w:r>
    </w:p>
    <w:p w14:paraId="47869C1C">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地点（网址）：请登录广西政府采购云平台投标客户端投标 </w:t>
      </w:r>
    </w:p>
    <w:p w14:paraId="3E912ADB">
      <w:pPr>
        <w:pStyle w:val="34"/>
        <w:widowControl/>
        <w:spacing w:beforeAutospacing="0" w:afterAutospacing="0" w:line="360" w:lineRule="exact"/>
        <w:ind w:firstLine="422" w:firstLineChars="200"/>
        <w:jc w:val="both"/>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五、响应文件开启</w:t>
      </w:r>
      <w:r>
        <w:rPr>
          <w:rFonts w:hint="eastAsia" w:ascii="宋体" w:hAnsi="宋体" w:cs="宋体"/>
          <w:color w:val="000000" w:themeColor="text1"/>
          <w:sz w:val="21"/>
          <w:szCs w:val="21"/>
          <w14:textFill>
            <w14:solidFill>
              <w14:schemeClr w14:val="tx1"/>
            </w14:solidFill>
          </w14:textFill>
        </w:rPr>
        <w:t> </w:t>
      </w:r>
    </w:p>
    <w:p w14:paraId="6B383725">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开启时间：2026年1月</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cs="宋体"/>
          <w:color w:val="000000" w:themeColor="text1"/>
          <w:sz w:val="21"/>
          <w:szCs w:val="21"/>
          <w14:textFill>
            <w14:solidFill>
              <w14:schemeClr w14:val="tx1"/>
            </w14:solidFill>
          </w14:textFill>
        </w:rPr>
        <w:t>日 09:20（北京时间）</w:t>
      </w:r>
    </w:p>
    <w:p w14:paraId="0A1180F1">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地点：广西政府采购云平台（https://www.gcy.zfcg.gxzf.gov.cn/） </w:t>
      </w:r>
    </w:p>
    <w:p w14:paraId="282C53F9">
      <w:pPr>
        <w:pStyle w:val="34"/>
        <w:widowControl/>
        <w:spacing w:beforeAutospacing="0" w:afterAutospacing="0" w:line="360" w:lineRule="exact"/>
        <w:ind w:firstLine="422" w:firstLineChars="200"/>
        <w:jc w:val="both"/>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六、公告期限</w:t>
      </w:r>
      <w:r>
        <w:rPr>
          <w:rFonts w:hint="eastAsia" w:ascii="宋体" w:hAnsi="宋体" w:cs="宋体"/>
          <w:color w:val="000000" w:themeColor="text1"/>
          <w:sz w:val="21"/>
          <w:szCs w:val="21"/>
          <w14:textFill>
            <w14:solidFill>
              <w14:schemeClr w14:val="tx1"/>
            </w14:solidFill>
          </w14:textFill>
        </w:rPr>
        <w:t> </w:t>
      </w:r>
    </w:p>
    <w:p w14:paraId="7868EFA0">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自本公告发布之日起3个工作日。</w:t>
      </w:r>
    </w:p>
    <w:p w14:paraId="333A0333">
      <w:pPr>
        <w:pStyle w:val="34"/>
        <w:widowControl/>
        <w:spacing w:beforeAutospacing="0" w:afterAutospacing="0" w:line="360" w:lineRule="exact"/>
        <w:ind w:firstLine="422" w:firstLineChars="200"/>
        <w:jc w:val="both"/>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七、其他补充事宜</w:t>
      </w:r>
      <w:r>
        <w:rPr>
          <w:rFonts w:hint="eastAsia" w:ascii="宋体" w:hAnsi="宋体" w:cs="宋体"/>
          <w:color w:val="000000" w:themeColor="text1"/>
          <w:sz w:val="21"/>
          <w:szCs w:val="21"/>
          <w14:textFill>
            <w14:solidFill>
              <w14:schemeClr w14:val="tx1"/>
            </w14:solidFill>
          </w14:textFill>
        </w:rPr>
        <w:t> </w:t>
      </w:r>
    </w:p>
    <w:p w14:paraId="7642FB61">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1.本项目需要落实的政府采购政策：</w:t>
      </w:r>
    </w:p>
    <w:p w14:paraId="69F9804D">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（1）政府采购促进中小企业发展。</w:t>
      </w:r>
    </w:p>
    <w:p w14:paraId="68C892D7">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（2）政府采购促进残疾人就业政策。</w:t>
      </w:r>
    </w:p>
    <w:p w14:paraId="5DA2A8DE">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（3）政府采购支持监狱企业发展。</w:t>
      </w:r>
    </w:p>
    <w:p w14:paraId="42070C54">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（4）政府采购支持采用本国产品的政策。</w:t>
      </w:r>
    </w:p>
    <w:p w14:paraId="70926E44">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（5）强制采购节能产品；优先采购节能产品、环境标志产品。</w:t>
      </w:r>
    </w:p>
    <w:p w14:paraId="67B2FF97">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10AC897B">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FFCEC40">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4.公告发布媒介：http://zfcg.gxzf.gov.cn（广西壮族自治区政府采购网）</w:t>
      </w:r>
    </w:p>
    <w:p w14:paraId="15286A37">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http://www.zfcg.lzscz.liuzhou.gov.cn (柳州市政府采购网)</w:t>
      </w:r>
    </w:p>
    <w:p w14:paraId="3A44C22B">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5.“广西政府采购云平台”平台电子投标相关事宜：</w:t>
      </w:r>
    </w:p>
    <w:p w14:paraId="227BC435">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响应文件提交方式：本项目为全流程电子化项目，通过“广西政府采购云平台”（https://www.gcy.zfcg.gxzf.gov.cn/）实行在线电子投标，并按照本项目竞争性谈判文件和“广西政府采购云平台”的要求编制、加密后在投标截止时间前通过网络上传至“广西政府采购云平台”。</w:t>
      </w:r>
    </w:p>
    <w:p w14:paraId="34EBACDC">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若对项目采购电子交易系统操作有疑问，可登陆广西政府采购云平台（https://www.gcy.zfcg.gxzf.gov.cn/），点击右侧咨询小采，获取采小蜜智能服务管家帮助，或拨打广西政府采购云平台服务热线95763获取热线服务帮助。  </w:t>
      </w:r>
    </w:p>
    <w:p w14:paraId="2B7445FD">
      <w:pPr>
        <w:pStyle w:val="34"/>
        <w:widowControl/>
        <w:spacing w:beforeAutospacing="0" w:afterAutospacing="0" w:line="360" w:lineRule="exact"/>
        <w:ind w:firstLine="422" w:firstLineChars="200"/>
        <w:rPr>
          <w:rFonts w:ascii="宋体" w:hAnsi="宋体" w:cs="宋体"/>
          <w:color w:val="000000" w:themeColor="text1"/>
          <w:sz w:val="21"/>
          <w:szCs w:val="21"/>
          <w14:textFill>
            <w14:solidFill>
              <w14:schemeClr w14:val="tx1"/>
            </w14:solidFill>
          </w14:textFill>
        </w:rPr>
      </w:pPr>
      <w:r>
        <w:rPr>
          <w:rStyle w:val="40"/>
          <w:rFonts w:hint="eastAsia" w:ascii="宋体" w:hAnsi="宋体" w:cs="宋体"/>
          <w:color w:val="000000" w:themeColor="text1"/>
          <w:sz w:val="21"/>
          <w:szCs w:val="21"/>
          <w14:textFill>
            <w14:solidFill>
              <w14:schemeClr w14:val="tx1"/>
            </w14:solidFill>
          </w14:textFill>
        </w:rPr>
        <w:t>八、凡对本次招标提出询问，请按以下方式联系</w:t>
      </w:r>
    </w:p>
    <w:p w14:paraId="6ACAB6A4">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1.采购人信息 </w:t>
      </w:r>
    </w:p>
    <w:p w14:paraId="7CDDA131">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名    称：柳州市城市照明管理处 </w:t>
      </w:r>
    </w:p>
    <w:p w14:paraId="25B9421F">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    址：柳州市柳南区航三路1号 </w:t>
      </w:r>
    </w:p>
    <w:p w14:paraId="18EE4B52">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项目联系人：</w:t>
      </w:r>
      <w:bookmarkStart w:id="7" w:name="OLE_LINK11"/>
      <w:r>
        <w:rPr>
          <w:rFonts w:hint="eastAsia" w:ascii="宋体" w:hAnsi="宋体" w:cs="宋体"/>
          <w:color w:val="000000" w:themeColor="text1"/>
          <w:sz w:val="21"/>
          <w:szCs w:val="21"/>
          <w14:textFill>
            <w14:solidFill>
              <w14:schemeClr w14:val="tx1"/>
            </w14:solidFill>
          </w14:textFill>
        </w:rPr>
        <w:t>邹雯</w:t>
      </w:r>
      <w:bookmarkEnd w:id="7"/>
      <w:r>
        <w:rPr>
          <w:rFonts w:hint="eastAsia" w:ascii="宋体" w:hAnsi="宋体" w:cs="宋体"/>
          <w:color w:val="000000" w:themeColor="text1"/>
          <w:sz w:val="21"/>
          <w:szCs w:val="21"/>
          <w14:textFill>
            <w14:solidFill>
              <w14:schemeClr w14:val="tx1"/>
            </w14:solidFill>
          </w14:textFill>
        </w:rPr>
        <w:t> </w:t>
      </w:r>
    </w:p>
    <w:p w14:paraId="33E22671">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项目联系方式：</w:t>
      </w:r>
      <w:bookmarkStart w:id="8" w:name="OLE_LINK12"/>
      <w:r>
        <w:rPr>
          <w:rFonts w:hint="eastAsia" w:ascii="宋体" w:hAnsi="宋体" w:cs="宋体"/>
          <w:color w:val="000000" w:themeColor="text1"/>
          <w:sz w:val="21"/>
          <w:szCs w:val="21"/>
          <w14:textFill>
            <w14:solidFill>
              <w14:schemeClr w14:val="tx1"/>
            </w14:solidFill>
          </w14:textFill>
        </w:rPr>
        <w:t>0772-3233904</w:t>
      </w:r>
      <w:bookmarkEnd w:id="8"/>
      <w:r>
        <w:rPr>
          <w:rFonts w:hint="eastAsia" w:ascii="宋体" w:hAnsi="宋体" w:cs="宋体"/>
          <w:color w:val="000000" w:themeColor="text1"/>
          <w:sz w:val="21"/>
          <w:szCs w:val="21"/>
          <w14:textFill>
            <w14:solidFill>
              <w14:schemeClr w14:val="tx1"/>
            </w14:solidFill>
          </w14:textFill>
        </w:rPr>
        <w:t> </w:t>
      </w:r>
    </w:p>
    <w:p w14:paraId="4C7EE33C">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2.采购代理机构信息</w:t>
      </w:r>
    </w:p>
    <w:p w14:paraId="30A3EA35">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名    称：广西德元工程项目管理有限责任公司 </w:t>
      </w:r>
    </w:p>
    <w:p w14:paraId="6FE7FA79">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    址：柳州市跃进路19号天元金都1-</w:t>
      </w:r>
      <w:r>
        <w:rPr>
          <w:rFonts w:hint="eastAsia" w:ascii="宋体" w:hAnsi="宋体" w:cs="宋体"/>
          <w:color w:val="000000" w:themeColor="text1"/>
          <w:sz w:val="21"/>
          <w:szCs w:val="21"/>
          <w:lang w:val="en-US" w:eastAsia="zh-CN"/>
          <w14:textFill>
            <w14:solidFill>
              <w14:schemeClr w14:val="tx1"/>
            </w14:solidFill>
          </w14:textFill>
        </w:rPr>
        <w:t>411</w:t>
      </w:r>
      <w:r>
        <w:rPr>
          <w:rFonts w:hint="eastAsia" w:ascii="宋体" w:hAnsi="宋体" w:cs="宋体"/>
          <w:color w:val="000000" w:themeColor="text1"/>
          <w:sz w:val="21"/>
          <w:szCs w:val="21"/>
          <w14:textFill>
            <w14:solidFill>
              <w14:schemeClr w14:val="tx1"/>
            </w14:solidFill>
          </w14:textFill>
        </w:rPr>
        <w:t>室 </w:t>
      </w:r>
    </w:p>
    <w:p w14:paraId="2371AEA3">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项目联系人（询问）：李</w:t>
      </w:r>
      <w:bookmarkStart w:id="9" w:name="OLE_LINK9"/>
      <w:r>
        <w:rPr>
          <w:rFonts w:hint="eastAsia" w:ascii="宋体" w:hAnsi="宋体" w:cs="宋体"/>
          <w:color w:val="000000" w:themeColor="text1"/>
          <w:sz w:val="21"/>
          <w:szCs w:val="21"/>
          <w14:textFill>
            <w14:solidFill>
              <w14:schemeClr w14:val="tx1"/>
            </w14:solidFill>
          </w14:textFill>
        </w:rPr>
        <w:t>元明、刘倩</w:t>
      </w:r>
      <w:bookmarkEnd w:id="9"/>
      <w:r>
        <w:rPr>
          <w:rFonts w:hint="eastAsia" w:ascii="宋体" w:hAnsi="宋体" w:cs="宋体"/>
          <w:color w:val="000000" w:themeColor="text1"/>
          <w:sz w:val="21"/>
          <w:szCs w:val="21"/>
          <w14:textFill>
            <w14:solidFill>
              <w14:schemeClr w14:val="tx1"/>
            </w14:solidFill>
          </w14:textFill>
        </w:rPr>
        <w:t> </w:t>
      </w:r>
    </w:p>
    <w:p w14:paraId="2E385C4F">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项目联系方式（询问）：</w:t>
      </w:r>
      <w:bookmarkStart w:id="10" w:name="OLE_LINK10"/>
      <w:r>
        <w:rPr>
          <w:rFonts w:hint="eastAsia" w:ascii="宋体" w:hAnsi="宋体" w:cs="宋体"/>
          <w:color w:val="000000" w:themeColor="text1"/>
          <w:sz w:val="21"/>
          <w:szCs w:val="21"/>
          <w14:textFill>
            <w14:solidFill>
              <w14:schemeClr w14:val="tx1"/>
            </w14:solidFill>
          </w14:textFill>
        </w:rPr>
        <w:t>0772-2805114</w:t>
      </w:r>
      <w:bookmarkEnd w:id="10"/>
      <w:r>
        <w:rPr>
          <w:rFonts w:hint="eastAsia" w:ascii="宋体" w:hAnsi="宋体" w:cs="宋体"/>
          <w:color w:val="000000" w:themeColor="text1"/>
          <w:sz w:val="21"/>
          <w:szCs w:val="21"/>
          <w14:textFill>
            <w14:solidFill>
              <w14:schemeClr w14:val="tx1"/>
            </w14:solidFill>
          </w14:textFill>
        </w:rPr>
        <w:t> </w:t>
      </w:r>
    </w:p>
    <w:p w14:paraId="1BF49814">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4589CEEF">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7174BE39">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7FDAF954">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76493BE9">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05947B3B">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4566C37E">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7F670409">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535BFB5F">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793E6FEA">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61ECE3DF">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2C624A10">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65D9BE6E">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02339220">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64F71A25">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6962902B">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229583E1">
      <w:pPr>
        <w:pStyle w:val="34"/>
        <w:widowControl/>
        <w:spacing w:beforeAutospacing="0" w:afterAutospacing="0" w:line="360" w:lineRule="exact"/>
        <w:ind w:firstLine="420" w:firstLineChars="200"/>
        <w:rPr>
          <w:rFonts w:ascii="宋体" w:hAnsi="宋体" w:cs="宋体"/>
          <w:color w:val="000000" w:themeColor="text1"/>
          <w:sz w:val="21"/>
          <w:szCs w:val="21"/>
          <w14:textFill>
            <w14:solidFill>
              <w14:schemeClr w14:val="tx1"/>
            </w14:solidFill>
          </w14:textFill>
        </w:rPr>
      </w:pPr>
    </w:p>
    <w:p w14:paraId="2435E0C0">
      <w:pPr>
        <w:spacing w:line="360" w:lineRule="exact"/>
        <w:jc w:val="center"/>
        <w:outlineLvl w:val="0"/>
        <w:rPr>
          <w:rFonts w:ascii="宋体" w:hAnsi="宋体"/>
          <w:b/>
          <w:bCs/>
          <w:color w:val="000000" w:themeColor="text1"/>
          <w:sz w:val="32"/>
          <w:szCs w:val="32"/>
          <w14:textFill>
            <w14:solidFill>
              <w14:schemeClr w14:val="tx1"/>
            </w14:solidFill>
          </w14:textFill>
        </w:rPr>
      </w:pPr>
      <w:bookmarkStart w:id="11" w:name="_Toc13853"/>
      <w:bookmarkStart w:id="48" w:name="_GoBack"/>
      <w:bookmarkEnd w:id="48"/>
      <w:r>
        <w:rPr>
          <w:rFonts w:hint="eastAsia" w:ascii="宋体" w:hAnsi="宋体"/>
          <w:b/>
          <w:bCs/>
          <w:color w:val="000000" w:themeColor="text1"/>
          <w:sz w:val="32"/>
          <w:szCs w:val="32"/>
          <w14:textFill>
            <w14:solidFill>
              <w14:schemeClr w14:val="tx1"/>
            </w14:solidFill>
          </w14:textFill>
        </w:rPr>
        <w:t>第二章 供应商须知</w:t>
      </w:r>
      <w:bookmarkEnd w:id="11"/>
    </w:p>
    <w:tbl>
      <w:tblPr>
        <w:tblStyle w:val="3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07"/>
      </w:tblGrid>
      <w:tr w14:paraId="2CC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6" w:type="dxa"/>
            <w:vAlign w:val="center"/>
          </w:tcPr>
          <w:p w14:paraId="3C989FF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8907" w:type="dxa"/>
            <w:vAlign w:val="center"/>
          </w:tcPr>
          <w:p w14:paraId="1400B572">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E7C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083A0E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907" w:type="dxa"/>
            <w:vAlign w:val="center"/>
          </w:tcPr>
          <w:p w14:paraId="645248D8">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2025年紧急照明维修材料采购</w:t>
            </w:r>
          </w:p>
        </w:tc>
      </w:tr>
      <w:tr w14:paraId="6BB8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7198C9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8907" w:type="dxa"/>
            <w:vAlign w:val="center"/>
          </w:tcPr>
          <w:p w14:paraId="23E0B049">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供应商资格要求：</w:t>
            </w:r>
          </w:p>
          <w:p w14:paraId="54063CE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7BCF4695">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w:t>
            </w:r>
            <w:r>
              <w:rPr>
                <w:rFonts w:hint="eastAsia" w:hAnsi="宋体"/>
                <w:color w:val="000000" w:themeColor="text1"/>
                <w:kern w:val="2"/>
                <w:sz w:val="21"/>
                <w:szCs w:val="21"/>
                <w14:textFill>
                  <w14:solidFill>
                    <w14:schemeClr w14:val="tx1"/>
                  </w14:solidFill>
                </w14:textFill>
              </w:rPr>
              <w:t>本项目专门面向小微企业，投标货物生产商须为《关于印发中小企业划型标准规定的通知》（工信部联企业〔2011〕300号）规定的</w:t>
            </w:r>
            <w:r>
              <w:rPr>
                <w:rFonts w:hint="eastAsia" w:hAnsi="宋体"/>
                <w:color w:val="000000" w:themeColor="text1"/>
                <w:kern w:val="2"/>
                <w:sz w:val="21"/>
                <w:szCs w:val="21"/>
                <w:lang w:eastAsia="zh-CN"/>
                <w14:textFill>
                  <w14:solidFill>
                    <w14:schemeClr w14:val="tx1"/>
                  </w14:solidFill>
                </w14:textFill>
              </w:rPr>
              <w:t>工</w:t>
            </w:r>
            <w:r>
              <w:rPr>
                <w:rFonts w:hint="eastAsia" w:hAnsi="宋体"/>
                <w:color w:val="000000" w:themeColor="text1"/>
                <w:kern w:val="2"/>
                <w:sz w:val="21"/>
                <w:szCs w:val="21"/>
                <w14:textFill>
                  <w14:solidFill>
                    <w14:schemeClr w14:val="tx1"/>
                  </w14:solidFill>
                </w14:textFill>
              </w:rPr>
              <w:t>业的</w:t>
            </w:r>
            <w:r>
              <w:rPr>
                <w:rFonts w:hint="eastAsia" w:hAnsi="宋体"/>
                <w:color w:val="000000" w:themeColor="text1"/>
                <w:kern w:val="2"/>
                <w:sz w:val="21"/>
                <w:szCs w:val="21"/>
                <w:lang w:eastAsia="zh-CN"/>
                <w14:textFill>
                  <w14:solidFill>
                    <w14:schemeClr w14:val="tx1"/>
                  </w14:solidFill>
                </w14:textFill>
              </w:rPr>
              <w:t>小微</w:t>
            </w:r>
            <w:r>
              <w:rPr>
                <w:rFonts w:hint="eastAsia" w:hAnsi="宋体"/>
                <w:color w:val="000000" w:themeColor="text1"/>
                <w:kern w:val="2"/>
                <w:sz w:val="21"/>
                <w:szCs w:val="21"/>
                <w14:textFill>
                  <w14:solidFill>
                    <w14:schemeClr w14:val="tx1"/>
                  </w14:solidFill>
                </w14:textFill>
              </w:rPr>
              <w:t>企业，或者是《关于政府采购支持监狱企业发展有关问题的通知》(财库[2014]68号)规定的监狱企业，或者是《关于促进残疾人就业政府采购政策的通知》（财库〔2017〕141号）规定的残疾人福利性企业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cs="宋体"/>
                <w:color w:val="000000" w:themeColor="text1"/>
                <w:szCs w:val="21"/>
                <w14:textFill>
                  <w14:solidFill>
                    <w14:schemeClr w14:val="tx1"/>
                  </w14:solidFill>
                </w14:textFill>
              </w:rPr>
              <w:t>；  </w:t>
            </w:r>
          </w:p>
          <w:p w14:paraId="08385FD4">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3.本项目的特定资格要求：无。 </w:t>
            </w:r>
          </w:p>
          <w:p w14:paraId="6FE13AAE">
            <w:pPr>
              <w:pStyle w:val="21"/>
              <w:spacing w:line="360" w:lineRule="exact"/>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34B024DF">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5790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6EA7BF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8907" w:type="dxa"/>
            <w:vAlign w:val="center"/>
          </w:tcPr>
          <w:p w14:paraId="3C56260A">
            <w:pPr>
              <w:pStyle w:val="21"/>
              <w:spacing w:line="360" w:lineRule="exact"/>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☑本项目</w:t>
            </w:r>
            <w:r>
              <w:rPr>
                <w:rFonts w:hint="eastAsia" w:hAnsi="宋体" w:cs="宋体"/>
                <w:color w:val="000000" w:themeColor="text1"/>
                <w:kern w:val="2"/>
                <w:sz w:val="21"/>
                <w:szCs w:val="21"/>
                <w14:textFill>
                  <w14:solidFill>
                    <w14:schemeClr w14:val="tx1"/>
                  </w14:solidFill>
                </w14:textFill>
              </w:rPr>
              <w:t>不收取竞标保</w:t>
            </w:r>
            <w:r>
              <w:rPr>
                <w:rFonts w:hint="eastAsia" w:hAnsi="宋体" w:cs="宋体"/>
                <w:color w:val="000000" w:themeColor="text1"/>
                <w:sz w:val="21"/>
                <w:szCs w:val="21"/>
                <w14:textFill>
                  <w14:solidFill>
                    <w14:schemeClr w14:val="tx1"/>
                  </w14:solidFill>
                </w14:textFill>
              </w:rPr>
              <w:t xml:space="preserve">证金。 </w:t>
            </w:r>
          </w:p>
          <w:p w14:paraId="41DBFFD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□本项目收取</w:t>
            </w:r>
            <w:r>
              <w:rPr>
                <w:rFonts w:hint="eastAsia" w:ascii="宋体" w:hAnsi="宋体" w:cs="宋体"/>
                <w:color w:val="000000" w:themeColor="text1"/>
                <w:szCs w:val="21"/>
                <w14:textFill>
                  <w14:solidFill>
                    <w14:schemeClr w14:val="tx1"/>
                  </w14:solidFill>
                </w14:textFill>
              </w:rPr>
              <w:t>竞标</w:t>
            </w:r>
            <w:r>
              <w:rPr>
                <w:rFonts w:hint="eastAsia" w:hAnsi="宋体" w:cs="宋体"/>
                <w:color w:val="000000" w:themeColor="text1"/>
                <w:szCs w:val="21"/>
                <w14:textFill>
                  <w14:solidFill>
                    <w14:schemeClr w14:val="tx1"/>
                  </w14:solidFill>
                </w14:textFill>
              </w:rPr>
              <w:t>保证金，具体规定如下：</w:t>
            </w:r>
          </w:p>
          <w:p w14:paraId="0E2DE784">
            <w:pPr>
              <w:spacing w:line="360" w:lineRule="exact"/>
              <w:ind w:firstLine="420" w:firstLineChars="200"/>
              <w:rPr>
                <w:rFonts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竞标保证金为：人民币零元整（￥0.00元）</w:t>
            </w:r>
            <w:r>
              <w:rPr>
                <w:rFonts w:hint="eastAsia" w:hAnsi="宋体" w:cs="Arial"/>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须足额交纳，不得少于规定金额交纳，否则响应无效。</w:t>
            </w:r>
            <w:r>
              <w:rPr>
                <w:rFonts w:hint="eastAsia" w:hAnsi="宋体" w:cs="宋体"/>
                <w:color w:val="000000" w:themeColor="text1"/>
                <w:szCs w:val="21"/>
                <w14:textFill>
                  <w14:solidFill>
                    <w14:schemeClr w14:val="tx1"/>
                  </w14:solidFill>
                </w14:textFill>
              </w:rPr>
              <w:t>竞标</w:t>
            </w:r>
            <w:r>
              <w:rPr>
                <w:rFonts w:hint="eastAsia" w:hAnsi="宋体"/>
                <w:color w:val="000000" w:themeColor="text1"/>
                <w:szCs w:val="21"/>
                <w14:textFill>
                  <w14:solidFill>
                    <w14:schemeClr w14:val="tx1"/>
                  </w14:solidFill>
                </w14:textFill>
              </w:rPr>
              <w:t>保证金应在响应文件有效期内保持有效。</w:t>
            </w:r>
          </w:p>
          <w:p w14:paraId="0BD5F82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竞标</w:t>
            </w:r>
            <w:r>
              <w:rPr>
                <w:rFonts w:hint="eastAsia" w:hAnsi="宋体"/>
                <w:color w:val="000000" w:themeColor="text1"/>
                <w:szCs w:val="21"/>
                <w14:textFill>
                  <w14:solidFill>
                    <w14:schemeClr w14:val="tx1"/>
                  </w14:solidFill>
                </w14:textFill>
              </w:rPr>
              <w:t>保证金的交纳方式：转账、电汇、网上银行、支票、汇票、本票或者银行、保险机构出具的保函，禁止采用现钞方式。采用转账、电汇、网上银行方式的，在首次提交响应文件截止时间前交至</w:t>
            </w:r>
            <w:r>
              <w:rPr>
                <w:rFonts w:hint="eastAsia" w:hAnsi="宋体" w:cs="Arial"/>
                <w:color w:val="000000" w:themeColor="text1"/>
                <w:szCs w:val="21"/>
                <w:u w:val="single"/>
                <w14:textFill>
                  <w14:solidFill>
                    <w14:schemeClr w14:val="tx1"/>
                  </w14:solidFill>
                </w14:textFill>
              </w:rPr>
              <w:t>广西德元工程项目管理有限责任公司</w:t>
            </w:r>
            <w:r>
              <w:rPr>
                <w:rFonts w:hint="eastAsia" w:hAnsi="宋体" w:cs="Arial"/>
                <w:color w:val="000000" w:themeColor="text1"/>
                <w:szCs w:val="21"/>
                <w14:textFill>
                  <w14:solidFill>
                    <w14:schemeClr w14:val="tx1"/>
                  </w14:solidFill>
                </w14:textFill>
              </w:rPr>
              <w:t>（收款单位名称），开户银行：</w:t>
            </w:r>
            <w:r>
              <w:rPr>
                <w:rFonts w:hint="eastAsia" w:hAnsi="宋体" w:cs="Arial"/>
                <w:color w:val="000000" w:themeColor="text1"/>
                <w:szCs w:val="21"/>
                <w:u w:val="single"/>
                <w14:textFill>
                  <w14:solidFill>
                    <w14:schemeClr w14:val="tx1"/>
                  </w14:solidFill>
                </w14:textFill>
              </w:rPr>
              <w:t>柳州银行北站支行营业部</w:t>
            </w:r>
            <w:r>
              <w:rPr>
                <w:rFonts w:hint="eastAsia" w:hAnsi="宋体" w:cs="Arial"/>
                <w:color w:val="000000" w:themeColor="text1"/>
                <w:szCs w:val="21"/>
                <w14:textFill>
                  <w14:solidFill>
                    <w14:schemeClr w14:val="tx1"/>
                  </w14:solidFill>
                </w14:textFill>
              </w:rPr>
              <w:t>，银行账号：</w:t>
            </w:r>
            <w:r>
              <w:rPr>
                <w:rFonts w:hAnsi="宋体" w:cs="Arial"/>
                <w:color w:val="000000" w:themeColor="text1"/>
                <w:szCs w:val="21"/>
                <w:u w:val="single"/>
                <w14:textFill>
                  <w14:solidFill>
                    <w14:schemeClr w14:val="tx1"/>
                  </w14:solidFill>
                </w14:textFill>
              </w:rPr>
              <w:t>707002011010900000108</w:t>
            </w:r>
            <w:r>
              <w:rPr>
                <w:rFonts w:hint="eastAsia" w:hAnsi="宋体" w:cs="Arial"/>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采用支票、汇票、本票或者保函等方式的，在首次提交响应文件截止时间前，供应商应当递交单独密封的支票、汇票、本票或者保函原件，</w:t>
            </w:r>
            <w:r>
              <w:rPr>
                <w:rFonts w:hint="eastAsia" w:hAnsi="宋体"/>
                <w:b/>
                <w:bCs/>
                <w:color w:val="000000" w:themeColor="text1"/>
                <w:szCs w:val="21"/>
                <w14:textFill>
                  <w14:solidFill>
                    <w14:schemeClr w14:val="tx1"/>
                  </w14:solidFill>
                </w14:textFill>
              </w:rPr>
              <w:t>否则视为无效竞标保证金。</w:t>
            </w:r>
            <w:r>
              <w:rPr>
                <w:rFonts w:hint="eastAsia" w:hAnsi="宋体"/>
                <w:color w:val="000000" w:themeColor="text1"/>
                <w:szCs w:val="21"/>
                <w14:textFill>
                  <w14:solidFill>
                    <w14:schemeClr w14:val="tx1"/>
                  </w14:solidFill>
                </w14:textFill>
              </w:rPr>
              <w:t>原件递交的形式可以是在线下开标现场（柳州市公共资源交易中心对应开标室）递交密封好的原件（原件放入一个密封袋中，并在封口处加盖供应商公章或委托代理人签字，以示密封，在封套上标记“项目名称（项目编号）竞标保证金”字样）；若广西德元工程项目管理有限责任公司在保证金规定递交时间内没有收到上述原件的，</w:t>
            </w:r>
            <w:r>
              <w:rPr>
                <w:rFonts w:hint="eastAsia" w:hAnsi="宋体"/>
                <w:b/>
                <w:color w:val="000000" w:themeColor="text1"/>
                <w:szCs w:val="21"/>
                <w14:textFill>
                  <w14:solidFill>
                    <w14:schemeClr w14:val="tx1"/>
                  </w14:solidFill>
                </w14:textFill>
              </w:rPr>
              <w:t>其响应无效</w:t>
            </w:r>
            <w:r>
              <w:rPr>
                <w:rFonts w:hint="eastAsia" w:hAnsi="宋体"/>
                <w:color w:val="000000" w:themeColor="text1"/>
                <w:szCs w:val="21"/>
                <w14:textFill>
                  <w14:solidFill>
                    <w14:schemeClr w14:val="tx1"/>
                  </w14:solidFill>
                </w14:textFill>
              </w:rPr>
              <w:t>；因此供应商无论采用现场或者是邮寄递交上述原件时应充分考虑到达时间，以免影响竞标。</w:t>
            </w:r>
          </w:p>
        </w:tc>
      </w:tr>
      <w:tr w14:paraId="71BF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6A73DB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907" w:type="dxa"/>
            <w:vAlign w:val="center"/>
          </w:tcPr>
          <w:p w14:paraId="5AAC5D7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现场考察或答疑会：</w:t>
            </w:r>
          </w:p>
          <w:p w14:paraId="50AC498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□组织。集中考察时间：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，集中考察地点：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F23D1CC">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不组织。供应商自行考察现场。</w:t>
            </w:r>
          </w:p>
        </w:tc>
      </w:tr>
      <w:tr w14:paraId="690C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DC6FFC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8907" w:type="dxa"/>
            <w:vAlign w:val="center"/>
          </w:tcPr>
          <w:p w14:paraId="6B61FEA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是否需要演示：</w:t>
            </w:r>
          </w:p>
          <w:p w14:paraId="319BF03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不需演示。</w:t>
            </w:r>
          </w:p>
          <w:p w14:paraId="3EA05F0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需要演示</w:t>
            </w:r>
          </w:p>
          <w:p w14:paraId="6577BD6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演示时间：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2E97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B9C439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8907" w:type="dxa"/>
            <w:vAlign w:val="center"/>
          </w:tcPr>
          <w:p w14:paraId="4AF4339A">
            <w:pPr>
              <w:spacing w:line="360" w:lineRule="exact"/>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联合体竞标：</w:t>
            </w:r>
          </w:p>
          <w:p w14:paraId="133E1BC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接受联合体竞标。</w:t>
            </w:r>
          </w:p>
          <w:p w14:paraId="3FF16AD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不接受联合体竞标</w:t>
            </w:r>
          </w:p>
        </w:tc>
      </w:tr>
      <w:tr w14:paraId="1EB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16CA27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8907" w:type="dxa"/>
            <w:vAlign w:val="center"/>
          </w:tcPr>
          <w:p w14:paraId="065D6805">
            <w:pPr>
              <w:spacing w:line="360" w:lineRule="exact"/>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是否允许分包：</w:t>
            </w:r>
          </w:p>
          <w:p w14:paraId="7DFAA66D">
            <w:pPr>
              <w:spacing w:line="360" w:lineRule="exact"/>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☑不允许分包</w:t>
            </w:r>
          </w:p>
          <w:p w14:paraId="20EEA292">
            <w:pPr>
              <w:spacing w:line="360" w:lineRule="exact"/>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□允许分包</w:t>
            </w:r>
          </w:p>
          <w:p w14:paraId="5DA5BF5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分包内容：</w:t>
            </w:r>
            <w:r>
              <w:rPr>
                <w:rFonts w:hint="eastAsia" w:ascii="宋体" w:hAnsi="Calibri" w:cs="宋体"/>
                <w:color w:val="000000" w:themeColor="text1"/>
                <w:kern w:val="0"/>
                <w:szCs w:val="21"/>
                <w:u w:val="single"/>
                <w14:textFill>
                  <w14:solidFill>
                    <w14:schemeClr w14:val="tx1"/>
                  </w14:solidFill>
                </w14:textFill>
              </w:rPr>
              <w:t xml:space="preserve">                       </w:t>
            </w:r>
            <w:r>
              <w:rPr>
                <w:rFonts w:hint="eastAsia" w:ascii="宋体" w:hAnsi="Calibri" w:cs="宋体"/>
                <w:color w:val="000000" w:themeColor="text1"/>
                <w:kern w:val="0"/>
                <w:szCs w:val="21"/>
                <w14:textFill>
                  <w14:solidFill>
                    <w14:schemeClr w14:val="tx1"/>
                  </w14:solidFill>
                </w14:textFill>
              </w:rPr>
              <w:t>。</w:t>
            </w:r>
          </w:p>
        </w:tc>
      </w:tr>
      <w:tr w14:paraId="35E9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6" w:type="dxa"/>
            <w:vAlign w:val="center"/>
          </w:tcPr>
          <w:p w14:paraId="00F235F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8907" w:type="dxa"/>
            <w:vAlign w:val="center"/>
          </w:tcPr>
          <w:p w14:paraId="307789A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响应文件组成：资格文件、商务和技术文件、报价文件。</w:t>
            </w:r>
          </w:p>
        </w:tc>
      </w:tr>
      <w:tr w14:paraId="0047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6760CB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8907" w:type="dxa"/>
            <w:vAlign w:val="center"/>
          </w:tcPr>
          <w:p w14:paraId="1D277AC1">
            <w:pPr>
              <w:spacing w:line="360" w:lineRule="exact"/>
              <w:ind w:firstLine="420" w:firstLineChars="200"/>
              <w:rPr>
                <w:rFonts w:hAnsi="宋体" w:cs="Arial"/>
                <w:color w:val="000000" w:themeColor="text1"/>
                <w:szCs w:val="21"/>
                <w14:textFill>
                  <w14:solidFill>
                    <w14:schemeClr w14:val="tx1"/>
                  </w14:solidFill>
                </w14:textFill>
              </w:rPr>
            </w:pPr>
            <w:r>
              <w:rPr>
                <w:rFonts w:hint="eastAsia" w:hAnsi="宋体" w:cs="Arial"/>
                <w:color w:val="000000" w:themeColor="text1"/>
                <w:szCs w:val="21"/>
                <w14:textFill>
                  <w14:solidFill>
                    <w14:schemeClr w14:val="tx1"/>
                  </w14:solidFill>
                </w14:textFill>
              </w:rPr>
              <w:t>最高限价：</w:t>
            </w:r>
          </w:p>
          <w:p w14:paraId="2D1B9404">
            <w:pPr>
              <w:spacing w:line="360" w:lineRule="exact"/>
              <w:ind w:firstLine="420" w:firstLineChars="200"/>
              <w:rPr>
                <w:rFonts w:hAnsi="宋体" w:cs="Arial"/>
                <w:color w:val="000000" w:themeColor="text1"/>
                <w:szCs w:val="21"/>
                <w14:textFill>
                  <w14:solidFill>
                    <w14:schemeClr w14:val="tx1"/>
                  </w14:solidFill>
                </w14:textFill>
              </w:rPr>
            </w:pPr>
            <w:r>
              <w:rPr>
                <w:rFonts w:hint="eastAsia" w:hAnsi="宋体" w:cs="Arial"/>
                <w:color w:val="000000" w:themeColor="text1"/>
                <w:szCs w:val="21"/>
                <w14:textFill>
                  <w14:solidFill>
                    <w14:schemeClr w14:val="tx1"/>
                  </w14:solidFill>
                </w14:textFill>
              </w:rPr>
              <w:t>分标1：人民币叁拾陆万贰仟肆佰肆拾贰元整（¥362442.00），</w:t>
            </w:r>
          </w:p>
          <w:p w14:paraId="08204D7D">
            <w:pPr>
              <w:spacing w:line="360" w:lineRule="exact"/>
              <w:ind w:firstLine="420" w:firstLineChars="200"/>
              <w:rPr>
                <w:rFonts w:hAnsi="宋体" w:cs="Arial"/>
                <w:color w:val="000000" w:themeColor="text1"/>
                <w:szCs w:val="21"/>
                <w14:textFill>
                  <w14:solidFill>
                    <w14:schemeClr w14:val="tx1"/>
                  </w14:solidFill>
                </w14:textFill>
              </w:rPr>
            </w:pPr>
            <w:r>
              <w:rPr>
                <w:rFonts w:hint="eastAsia" w:hAnsi="宋体" w:cs="Arial"/>
                <w:color w:val="000000" w:themeColor="text1"/>
                <w:szCs w:val="21"/>
                <w14:textFill>
                  <w14:solidFill>
                    <w14:schemeClr w14:val="tx1"/>
                  </w14:solidFill>
                </w14:textFill>
              </w:rPr>
              <w:t>分标2：人民币壹拾柒万伍仟捌佰元整（¥175800.00）</w:t>
            </w:r>
          </w:p>
          <w:p w14:paraId="08BCEACE">
            <w:pPr>
              <w:spacing w:line="360" w:lineRule="exact"/>
              <w:ind w:firstLine="420" w:firstLineChars="200"/>
              <w:rPr>
                <w:rFonts w:hAnsi="宋体" w:cs="Arial"/>
                <w:color w:val="000000" w:themeColor="text1"/>
                <w:szCs w:val="21"/>
                <w14:textFill>
                  <w14:solidFill>
                    <w14:schemeClr w14:val="tx1"/>
                  </w14:solidFill>
                </w14:textFill>
              </w:rPr>
            </w:pPr>
            <w:r>
              <w:rPr>
                <w:rFonts w:hint="eastAsia" w:hAnsi="宋体" w:cs="Arial"/>
                <w:color w:val="000000" w:themeColor="text1"/>
                <w:szCs w:val="21"/>
                <w14:textFill>
                  <w14:solidFill>
                    <w14:schemeClr w14:val="tx1"/>
                  </w14:solidFill>
                </w14:textFill>
              </w:rPr>
              <w:t>分标3：人民币叁拾陆万贰仟伍佰伍拾元整（¥362550.00）。</w:t>
            </w:r>
          </w:p>
          <w:p w14:paraId="6E91A457">
            <w:pPr>
              <w:spacing w:line="360" w:lineRule="exact"/>
              <w:ind w:firstLine="420" w:firstLineChars="200"/>
              <w:rPr>
                <w:rFonts w:hAnsi="宋体" w:cs="Arial"/>
                <w:b/>
                <w:bCs/>
                <w:color w:val="000000" w:themeColor="text1"/>
                <w:szCs w:val="21"/>
                <w:highlight w:val="none"/>
                <w14:textFill>
                  <w14:solidFill>
                    <w14:schemeClr w14:val="tx1"/>
                  </w14:solidFill>
                </w14:textFill>
              </w:rPr>
            </w:pPr>
            <w:r>
              <w:rPr>
                <w:rFonts w:hint="eastAsia" w:hAnsi="宋体" w:cs="Arial"/>
                <w:color w:val="000000" w:themeColor="text1"/>
                <w:szCs w:val="21"/>
                <w:highlight w:val="none"/>
                <w14:textFill>
                  <w14:solidFill>
                    <w14:schemeClr w14:val="tx1"/>
                  </w14:solidFill>
                </w14:textFill>
              </w:rPr>
              <w:t>响应文件报价须小于等于最高限价，否则响应无效；</w:t>
            </w:r>
            <w:r>
              <w:rPr>
                <w:rFonts w:hint="eastAsia" w:hAnsi="宋体" w:cs="Arial"/>
                <w:b/>
                <w:bCs/>
                <w:color w:val="000000" w:themeColor="text1"/>
                <w:szCs w:val="21"/>
                <w:highlight w:val="none"/>
                <w14:textFill>
                  <w14:solidFill>
                    <w14:schemeClr w14:val="tx1"/>
                  </w14:solidFill>
                </w14:textFill>
              </w:rPr>
              <w:t>投标人的单项货物报价不得高于预算控制单价，否则视为投标无效。</w:t>
            </w:r>
          </w:p>
          <w:p w14:paraId="6D9D3158">
            <w:pPr>
              <w:spacing w:line="360" w:lineRule="exact"/>
              <w:ind w:firstLine="422" w:firstLineChars="200"/>
              <w:rPr>
                <w:rFonts w:hAnsi="宋体" w:cs="Arial"/>
                <w:b/>
                <w:bCs/>
                <w:color w:val="000000" w:themeColor="text1"/>
                <w:szCs w:val="21"/>
                <w:highlight w:val="none"/>
                <w14:textFill>
                  <w14:solidFill>
                    <w14:schemeClr w14:val="tx1"/>
                  </w14:solidFill>
                </w14:textFill>
              </w:rPr>
            </w:pPr>
            <w:r>
              <w:rPr>
                <w:rFonts w:hint="eastAsia" w:hAnsi="宋体" w:cs="Arial"/>
                <w:b/>
                <w:bCs/>
                <w:color w:val="000000" w:themeColor="text1"/>
                <w:szCs w:val="21"/>
                <w:highlight w:val="none"/>
                <w14:textFill>
                  <w14:solidFill>
                    <w14:schemeClr w14:val="tx1"/>
                  </w14:solidFill>
                </w14:textFill>
              </w:rPr>
              <w:t>（1）分批供货，每批次货款根据双方确认的批次的供货数量进行结算；</w:t>
            </w:r>
          </w:p>
          <w:p w14:paraId="36C0224D">
            <w:pPr>
              <w:spacing w:line="360" w:lineRule="exact"/>
              <w:ind w:firstLine="422" w:firstLineChars="200"/>
              <w:rPr>
                <w:rFonts w:hAnsi="宋体" w:cs="Arial"/>
                <w:b/>
                <w:bCs/>
                <w:color w:val="000000" w:themeColor="text1"/>
                <w:szCs w:val="21"/>
                <w:highlight w:val="none"/>
                <w14:textFill>
                  <w14:solidFill>
                    <w14:schemeClr w14:val="tx1"/>
                  </w14:solidFill>
                </w14:textFill>
              </w:rPr>
            </w:pPr>
            <w:r>
              <w:rPr>
                <w:rFonts w:hint="eastAsia" w:hAnsi="宋体" w:cs="Arial"/>
                <w:b/>
                <w:bCs/>
                <w:color w:val="000000" w:themeColor="text1"/>
                <w:szCs w:val="21"/>
                <w:highlight w:val="none"/>
                <w14:textFill>
                  <w14:solidFill>
                    <w14:schemeClr w14:val="tx1"/>
                  </w14:solidFill>
                </w14:textFill>
              </w:rPr>
              <w:t>（2）按</w:t>
            </w:r>
            <w:r>
              <w:rPr>
                <w:rFonts w:hint="eastAsia" w:hAnsi="宋体" w:cs="Arial"/>
                <w:b/>
                <w:bCs/>
                <w:color w:val="000000" w:themeColor="text1"/>
                <w:szCs w:val="21"/>
                <w:highlight w:val="none"/>
                <w:lang w:eastAsia="zh-CN"/>
                <w14:textFill>
                  <w14:solidFill>
                    <w14:schemeClr w14:val="tx1"/>
                  </w14:solidFill>
                </w14:textFill>
              </w:rPr>
              <w:t>批次</w:t>
            </w:r>
            <w:r>
              <w:rPr>
                <w:rFonts w:hint="eastAsia" w:hAnsi="宋体" w:cs="Arial"/>
                <w:b/>
                <w:bCs/>
                <w:color w:val="000000" w:themeColor="text1"/>
                <w:szCs w:val="21"/>
                <w:highlight w:val="none"/>
                <w14:textFill>
                  <w14:solidFill>
                    <w14:schemeClr w14:val="tx1"/>
                  </w14:solidFill>
                </w14:textFill>
              </w:rPr>
              <w:t>结算，采购人在收到中标人上</w:t>
            </w:r>
            <w:r>
              <w:rPr>
                <w:rFonts w:hint="eastAsia" w:hAnsi="宋体" w:cs="Arial"/>
                <w:b/>
                <w:bCs/>
                <w:color w:val="000000" w:themeColor="text1"/>
                <w:szCs w:val="21"/>
                <w:highlight w:val="none"/>
                <w:lang w:eastAsia="zh-CN"/>
                <w14:textFill>
                  <w14:solidFill>
                    <w14:schemeClr w14:val="tx1"/>
                  </w14:solidFill>
                </w14:textFill>
              </w:rPr>
              <w:t>批次货物且验收合格正常使用十五个工作日并收到</w:t>
            </w:r>
            <w:r>
              <w:rPr>
                <w:rFonts w:hint="eastAsia" w:hAnsi="宋体" w:cs="Arial"/>
                <w:b/>
                <w:bCs/>
                <w:color w:val="000000" w:themeColor="text1"/>
                <w:szCs w:val="21"/>
                <w:highlight w:val="none"/>
                <w14:textFill>
                  <w14:solidFill>
                    <w14:schemeClr w14:val="tx1"/>
                  </w14:solidFill>
                </w14:textFill>
              </w:rPr>
              <w:t>全额发票</w:t>
            </w:r>
            <w:r>
              <w:rPr>
                <w:rFonts w:hint="eastAsia" w:hAnsi="宋体" w:cs="Arial"/>
                <w:b/>
                <w:bCs/>
                <w:color w:val="000000" w:themeColor="text1"/>
                <w:szCs w:val="21"/>
                <w:highlight w:val="none"/>
                <w:lang w:eastAsia="zh-CN"/>
                <w14:textFill>
                  <w14:solidFill>
                    <w14:schemeClr w14:val="tx1"/>
                  </w14:solidFill>
                </w14:textFill>
              </w:rPr>
              <w:t>后</w:t>
            </w:r>
            <w:r>
              <w:rPr>
                <w:rFonts w:hint="eastAsia" w:hAnsi="宋体" w:cs="Arial"/>
                <w:b/>
                <w:bCs/>
                <w:color w:val="000000" w:themeColor="text1"/>
                <w:szCs w:val="21"/>
                <w:highlight w:val="none"/>
                <w:lang w:val="en-US" w:eastAsia="zh-CN"/>
                <w14:textFill>
                  <w14:solidFill>
                    <w14:schemeClr w14:val="tx1"/>
                  </w14:solidFill>
                </w14:textFill>
              </w:rPr>
              <w:t>2</w:t>
            </w:r>
            <w:r>
              <w:rPr>
                <w:rFonts w:hint="eastAsia" w:hAnsi="宋体" w:cs="Arial"/>
                <w:b/>
                <w:bCs/>
                <w:color w:val="000000" w:themeColor="text1"/>
                <w:szCs w:val="21"/>
                <w:highlight w:val="none"/>
                <w14:textFill>
                  <w14:solidFill>
                    <w14:schemeClr w14:val="tx1"/>
                  </w14:solidFill>
                </w14:textFill>
              </w:rPr>
              <w:t>个月内向中标人一次付清</w:t>
            </w:r>
            <w:r>
              <w:rPr>
                <w:rFonts w:hint="eastAsia" w:hAnsi="宋体" w:cs="Arial"/>
                <w:b/>
                <w:bCs/>
                <w:color w:val="000000" w:themeColor="text1"/>
                <w:szCs w:val="21"/>
                <w:highlight w:val="none"/>
                <w:lang w:eastAsia="zh-CN"/>
                <w14:textFill>
                  <w14:solidFill>
                    <w14:schemeClr w14:val="tx1"/>
                  </w14:solidFill>
                </w14:textFill>
              </w:rPr>
              <w:t>该批次</w:t>
            </w:r>
            <w:r>
              <w:rPr>
                <w:rFonts w:hint="eastAsia" w:hAnsi="宋体" w:cs="Arial"/>
                <w:b/>
                <w:bCs/>
                <w:color w:val="000000" w:themeColor="text1"/>
                <w:szCs w:val="21"/>
                <w:highlight w:val="none"/>
                <w14:textFill>
                  <w14:solidFill>
                    <w14:schemeClr w14:val="tx1"/>
                  </w14:solidFill>
                </w14:textFill>
              </w:rPr>
              <w:t>货物的全部货款。</w:t>
            </w:r>
          </w:p>
          <w:p w14:paraId="5BDE7526">
            <w:pPr>
              <w:spacing w:line="360" w:lineRule="exact"/>
              <w:ind w:firstLine="422" w:firstLineChars="200"/>
            </w:pPr>
            <w:r>
              <w:rPr>
                <w:rFonts w:hint="eastAsia" w:hAnsi="宋体" w:cs="Arial"/>
                <w:b/>
                <w:bCs/>
                <w:color w:val="000000" w:themeColor="text1"/>
                <w:szCs w:val="21"/>
                <w14:textFill>
                  <w14:solidFill>
                    <w14:schemeClr w14:val="tx1"/>
                  </w14:solidFill>
                </w14:textFill>
              </w:rPr>
              <w:t>合同期限内实际采购金额按采购人实际采购量据实结算，中标供应商不得因实际采购量与中标数量不一致提出异议。</w:t>
            </w:r>
          </w:p>
        </w:tc>
      </w:tr>
      <w:tr w14:paraId="5A0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CACAAB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8907" w:type="dxa"/>
            <w:vAlign w:val="center"/>
          </w:tcPr>
          <w:p w14:paraId="78DA1A05">
            <w:pPr>
              <w:spacing w:line="360" w:lineRule="exact"/>
              <w:ind w:firstLine="420" w:firstLineChars="200"/>
              <w:rPr>
                <w:rFonts w:hAnsi="宋体" w:cs="Arial"/>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竞标</w:t>
            </w:r>
            <w:r>
              <w:rPr>
                <w:rFonts w:hint="eastAsia" w:ascii="宋体" w:hAnsi="宋体"/>
                <w:color w:val="000000" w:themeColor="text1"/>
                <w:szCs w:val="21"/>
                <w14:textFill>
                  <w14:solidFill>
                    <w14:schemeClr w14:val="tx1"/>
                  </w14:solidFill>
                </w14:textFill>
              </w:rPr>
              <w:t>报价及费用：1、本项目竞标应以人民币报价；2、不论竞标结果如何，供应商均应自行承担所有与竞标有关的全部费用；</w:t>
            </w:r>
            <w:r>
              <w:rPr>
                <w:rFonts w:hint="eastAsia" w:ascii="宋体" w:hAnsi="宋体" w:cs="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%向成交供应商收取。</w:t>
            </w:r>
            <w:r>
              <w:rPr>
                <w:rFonts w:hint="eastAsia" w:ascii="宋体" w:hAnsi="宋体" w:cs="宋体"/>
                <w:color w:val="000000" w:themeColor="text1"/>
                <w:szCs w:val="21"/>
                <w14:textFill>
                  <w14:solidFill>
                    <w14:schemeClr w14:val="tx1"/>
                  </w14:solidFill>
                </w14:textFill>
              </w:rPr>
              <w:t>成交</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在领取成交通知书时，一次性向采购代理机构支付。</w:t>
            </w:r>
          </w:p>
        </w:tc>
      </w:tr>
      <w:tr w14:paraId="1B6D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0324AC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8907" w:type="dxa"/>
            <w:vAlign w:val="center"/>
          </w:tcPr>
          <w:p w14:paraId="1E51B4D2">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提交响应文件截止时间：2026年1月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日09时20分（北京时间）</w:t>
            </w:r>
          </w:p>
          <w:p w14:paraId="0E9BA0B6">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投标地点（网址）：登录广西政府采购云平台（www.gcy.zfcg.gxzf.gov.cn）在线提交。</w:t>
            </w:r>
          </w:p>
          <w:p w14:paraId="64F9F626">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开标时间：2026年1月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日09时20分</w:t>
            </w:r>
          </w:p>
          <w:p w14:paraId="07B53BCF">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开标地点：广西政府采购云平台（https://www.gcy.zfcg.gxzf.gov.cn/）。</w:t>
            </w:r>
          </w:p>
          <w:p w14:paraId="621247A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CA 证书在线解密：供应商投标时，需携带制作响应文件时用来加密的有效数字证书（CA 认证）登录广西政府采购云平台电子开标大厅现场按规定时间对加密的响应文件进行解密，否则后果自负。</w:t>
            </w:r>
          </w:p>
          <w:p w14:paraId="6F503255">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4DE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4D288A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8907" w:type="dxa"/>
            <w:vAlign w:val="center"/>
          </w:tcPr>
          <w:p w14:paraId="3AE0EA1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w:t>
            </w:r>
          </w:p>
          <w:p w14:paraId="7B81B159">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时间：2026年1月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日09时20分（北京时间）开标后</w:t>
            </w:r>
          </w:p>
          <w:p w14:paraId="1FF8089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地点：广西政府采购云平台（https://www.gcy.zfcg.gxzf.gov.cn/）</w:t>
            </w:r>
          </w:p>
          <w:p w14:paraId="60B56006">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谈判时间及地点：</w:t>
            </w:r>
          </w:p>
          <w:p w14:paraId="02E972DB">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谈判时间：2026年1月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日09时20分截标后为与供应商谈判时间，具体时间由采购代理机构另行通知。</w:t>
            </w:r>
          </w:p>
          <w:p w14:paraId="3084753A">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地点：广西政府采购云平台（https://www.gcy.zfcg.gxzf.gov.cn/）</w:t>
            </w:r>
          </w:p>
        </w:tc>
      </w:tr>
      <w:tr w14:paraId="70F5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ACCDD9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8907" w:type="dxa"/>
            <w:vAlign w:val="center"/>
          </w:tcPr>
          <w:p w14:paraId="339C1F77">
            <w:pPr>
              <w:autoSpaceDE w:val="0"/>
              <w:autoSpaceDN w:val="0"/>
              <w:adjustRightInd w:val="0"/>
              <w:spacing w:line="360" w:lineRule="exact"/>
              <w:ind w:firstLine="420" w:firstLineChars="200"/>
              <w:jc w:val="left"/>
              <w:rPr>
                <w:rFonts w:ascii="宋体" w:hAnsi="Calibri"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w:t>
            </w:r>
            <w:r>
              <w:rPr>
                <w:rFonts w:hint="eastAsia" w:ascii="宋体" w:hAnsi="Calibri" w:cs="宋体"/>
                <w:color w:val="000000" w:themeColor="text1"/>
                <w:kern w:val="0"/>
                <w:szCs w:val="21"/>
                <w14:textFill>
                  <w14:solidFill>
                    <w14:schemeClr w14:val="tx1"/>
                  </w14:solidFill>
                </w14:textFill>
              </w:rPr>
              <w:t>的顺序：</w:t>
            </w:r>
          </w:p>
          <w:p w14:paraId="6DDC38A5">
            <w:pPr>
              <w:autoSpaceDE w:val="0"/>
              <w:autoSpaceDN w:val="0"/>
              <w:adjustRightInd w:val="0"/>
              <w:spacing w:line="360" w:lineRule="exact"/>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系统自动提取的顺序。</w:t>
            </w:r>
          </w:p>
          <w:p w14:paraId="6DD861F2">
            <w:pPr>
              <w:autoSpaceDE w:val="0"/>
              <w:autoSpaceDN w:val="0"/>
              <w:adjustRightIn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参与谈判前，供应商法定代表人或者委托代理人必须通过电脑摄像头向谈判小组出示本人有效证件原件</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有效证件可以是身份证（含临时身份证明）、机动车驾驶证、社会保障卡或者护照的其中一项</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，若参与谈判的委托代理人不是响应文件中授权的委托代理人时，必须同时出示有效的法定代表人授权委托书原件。如无法核实谈判对象有效身份证明的，谈判小组将拒绝其谈判。</w:t>
            </w:r>
          </w:p>
        </w:tc>
      </w:tr>
      <w:tr w14:paraId="7692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66695D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8907" w:type="dxa"/>
            <w:vAlign w:val="center"/>
          </w:tcPr>
          <w:p w14:paraId="42516815">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发布媒体：http://zfcg.gxzf.gov.cn（广西壮族自治区政府采购网）http://www.zfcg.lzscz.liuzhou.gov.cn (柳州市政府采购网)。</w:t>
            </w:r>
          </w:p>
        </w:tc>
      </w:tr>
      <w:tr w14:paraId="7169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8E4A21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8907" w:type="dxa"/>
            <w:vAlign w:val="center"/>
          </w:tcPr>
          <w:p w14:paraId="34608B8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成交公告及成交通知书：成交</w:t>
            </w:r>
            <w:r>
              <w:rPr>
                <w:rFonts w:hint="eastAsia" w:hAnsi="宋体"/>
                <w:color w:val="000000" w:themeColor="text1"/>
                <w:szCs w:val="21"/>
                <w14:textFill>
                  <w14:solidFill>
                    <w14:schemeClr w14:val="tx1"/>
                  </w14:solidFill>
                </w14:textFill>
              </w:rPr>
              <w:t>供应商确定后，采购代理机构或采购人须在“信用中国”网站（</w:t>
            </w:r>
            <w:r>
              <w:rPr>
                <w:rFonts w:hAnsi="宋体"/>
                <w:color w:val="000000" w:themeColor="text1"/>
                <w:szCs w:val="21"/>
                <w14:textFill>
                  <w14:solidFill>
                    <w14:schemeClr w14:val="tx1"/>
                  </w14:solidFill>
                </w14:textFill>
              </w:rPr>
              <w:t>www.creditchina.gov.cn</w:t>
            </w:r>
            <w:r>
              <w:rPr>
                <w:rFonts w:hint="eastAsia" w:hAnsi="宋体"/>
                <w:color w:val="000000" w:themeColor="text1"/>
                <w:szCs w:val="21"/>
                <w14:textFill>
                  <w14:solidFill>
                    <w14:schemeClr w14:val="tx1"/>
                  </w14:solidFill>
                </w14:textFill>
              </w:rPr>
              <w:t>）和中国政府采购网（</w:t>
            </w:r>
            <w:r>
              <w:rPr>
                <w:rFonts w:hAnsi="宋体"/>
                <w:color w:val="000000" w:themeColor="text1"/>
                <w:szCs w:val="21"/>
                <w14:textFill>
                  <w14:solidFill>
                    <w14:schemeClr w14:val="tx1"/>
                  </w14:solidFill>
                </w14:textFill>
              </w:rPr>
              <w:t>http://www.ccgp.gov.cn/</w:t>
            </w:r>
            <w:r>
              <w:rPr>
                <w:rFonts w:hint="eastAsia" w:hAnsi="宋体"/>
                <w:color w:val="000000" w:themeColor="text1"/>
                <w:szCs w:val="21"/>
                <w14:textFill>
                  <w14:solidFill>
                    <w14:schemeClr w14:val="tx1"/>
                  </w14:solidFill>
                </w14:textFill>
              </w:rPr>
              <w:t>）查询中标供应商主体信用记录，如其未被列入失信被执行人、重大税收违法案件当事人名单、政府采购严重违法失信行为记录名单，则采购代理机构在中国政府采购网、广西政府采购网发布成交公告</w:t>
            </w:r>
            <w:r>
              <w:rPr>
                <w:rFonts w:hint="eastAsia"/>
                <w:color w:val="000000" w:themeColor="text1"/>
                <w:szCs w:val="21"/>
                <w14:textFill>
                  <w14:solidFill>
                    <w14:schemeClr w14:val="tx1"/>
                  </w14:solidFill>
                </w14:textFill>
              </w:rPr>
              <w:t>同时</w:t>
            </w:r>
            <w:r>
              <w:rPr>
                <w:rFonts w:hint="eastAsia" w:hAnsi="宋体"/>
                <w:color w:val="000000" w:themeColor="text1"/>
                <w:szCs w:val="21"/>
                <w14:textFill>
                  <w14:solidFill>
                    <w14:schemeClr w14:val="tx1"/>
                  </w14:solidFill>
                </w14:textFill>
              </w:rPr>
              <w:t>向成交供应商发出成交通知书；如其被列入失信被执行人、重大税收违法案件当事人名单、政府采购严重违法失信行为记录名单，则取消其中标资格，</w:t>
            </w:r>
            <w:r>
              <w:rPr>
                <w:rFonts w:hint="eastAsia"/>
                <w:color w:val="000000" w:themeColor="text1"/>
                <w:szCs w:val="21"/>
                <w14:textFill>
                  <w14:solidFill>
                    <w14:schemeClr w14:val="tx1"/>
                  </w14:solidFill>
                </w14:textFill>
              </w:rPr>
              <w:t>并确定排名第二的中标候选人为中标人。排名第二的中标候选人因前款规定的同样原因被取消中标资格的，采购人可以确定排名第三的中标候选人为中标人。以上信息查询记录及相关证据与竞争性谈判文件一并保存。</w:t>
            </w:r>
          </w:p>
        </w:tc>
      </w:tr>
      <w:tr w14:paraId="2FD4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6" w:type="dxa"/>
            <w:vAlign w:val="center"/>
          </w:tcPr>
          <w:p w14:paraId="39F00E3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8907" w:type="dxa"/>
            <w:vAlign w:val="center"/>
          </w:tcPr>
          <w:p w14:paraId="133DBF4B">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签订合同时间：</w:t>
            </w:r>
            <w:r>
              <w:rPr>
                <w:rFonts w:hint="eastAsia" w:ascii="宋体" w:hAnsi="宋体" w:cs="宋体"/>
                <w:color w:val="000000" w:themeColor="text1"/>
                <w:szCs w:val="21"/>
                <w14:textFill>
                  <w14:solidFill>
                    <w14:schemeClr w14:val="tx1"/>
                  </w14:solidFill>
                </w14:textFill>
              </w:rPr>
              <w:t>成交通知书发出之日起二十五日内</w:t>
            </w:r>
            <w:r>
              <w:rPr>
                <w:rFonts w:hint="eastAsia" w:ascii="宋体" w:hAnsi="宋体"/>
                <w:color w:val="000000" w:themeColor="text1"/>
                <w:szCs w:val="21"/>
                <w14:textFill>
                  <w14:solidFill>
                    <w14:schemeClr w14:val="tx1"/>
                  </w14:solidFill>
                </w14:textFill>
              </w:rPr>
              <w:t>。</w:t>
            </w:r>
          </w:p>
        </w:tc>
      </w:tr>
      <w:tr w14:paraId="015D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FCF8014">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8907" w:type="dxa"/>
            <w:vAlign w:val="center"/>
          </w:tcPr>
          <w:p w14:paraId="7037B167">
            <w:pPr>
              <w:spacing w:line="360" w:lineRule="exact"/>
              <w:ind w:firstLine="420" w:firstLineChars="200"/>
              <w:rPr>
                <w:rFonts w:ascii="宋体" w:hAnsi="宋体"/>
                <w:color w:val="000000" w:themeColor="text1"/>
                <w:szCs w:val="21"/>
                <w14:textFill>
                  <w14:solidFill>
                    <w14:schemeClr w14:val="tx1"/>
                  </w14:solidFill>
                </w14:textFill>
              </w:rPr>
            </w:pPr>
            <w:r>
              <w:rPr>
                <w:rFonts w:hint="eastAsia" w:hAnsi="宋体" w:cs="Courier New"/>
                <w:color w:val="000000" w:themeColor="text1"/>
                <w:szCs w:val="21"/>
                <w14:textFill>
                  <w14:solidFill>
                    <w14:schemeClr w14:val="tx1"/>
                  </w14:solidFill>
                </w14:textFill>
              </w:rPr>
              <w:t>政府采购合同公告：根据《中华人民共和国政府采购法实施条例》第五十条规定，采购人应当自政府采购合同签订之日起</w:t>
            </w:r>
            <w:r>
              <w:rPr>
                <w:rFonts w:hAnsi="宋体" w:cs="Courier New"/>
                <w:color w:val="000000" w:themeColor="text1"/>
                <w:szCs w:val="21"/>
                <w14:textFill>
                  <w14:solidFill>
                    <w14:schemeClr w14:val="tx1"/>
                  </w14:solidFill>
                </w14:textFill>
              </w:rPr>
              <w:t>2</w:t>
            </w:r>
            <w:r>
              <w:rPr>
                <w:rFonts w:hint="eastAsia" w:hAnsi="宋体" w:cs="Courier New"/>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67A8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079AE62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8907" w:type="dxa"/>
            <w:vAlign w:val="center"/>
          </w:tcPr>
          <w:p w14:paraId="4E405617">
            <w:pPr>
              <w:autoSpaceDE w:val="0"/>
              <w:autoSpaceDN w:val="0"/>
              <w:spacing w:line="360" w:lineRule="exact"/>
              <w:ind w:firstLine="420" w:firstLineChars="200"/>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p w14:paraId="23D4AC2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不需要提交。</w:t>
            </w:r>
          </w:p>
          <w:p w14:paraId="5AB5B59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需要提交：</w:t>
            </w:r>
          </w:p>
          <w:p w14:paraId="75B290F5">
            <w:pPr>
              <w:autoSpaceDE w:val="0"/>
              <w:autoSpaceDN w:val="0"/>
              <w:snapToGrid w:val="0"/>
              <w:spacing w:line="360" w:lineRule="exact"/>
              <w:ind w:firstLine="422"/>
              <w:textAlignment w:val="bottom"/>
              <w:rPr>
                <w:rFonts w:ascii="宋体" w:hAnsi="宋体"/>
                <w:szCs w:val="21"/>
              </w:rPr>
            </w:pPr>
            <w:r>
              <w:rPr>
                <w:rFonts w:hint="eastAsia" w:ascii="宋体" w:hAnsi="宋体"/>
                <w:szCs w:val="21"/>
              </w:rPr>
              <w:t>在签订合同前提交合同金额的%做为履约保证金。</w:t>
            </w:r>
          </w:p>
          <w:p w14:paraId="608EE490">
            <w:pPr>
              <w:autoSpaceDE w:val="0"/>
              <w:autoSpaceDN w:val="0"/>
              <w:snapToGrid w:val="0"/>
              <w:spacing w:line="360" w:lineRule="exact"/>
              <w:ind w:firstLine="422"/>
              <w:textAlignment w:val="bottom"/>
              <w:rPr>
                <w:rFonts w:ascii="宋体" w:hAnsi="宋体"/>
                <w:szCs w:val="21"/>
              </w:rPr>
            </w:pPr>
            <w:r>
              <w:rPr>
                <w:rFonts w:hint="eastAsia" w:ascii="宋体" w:hAnsi="宋体"/>
                <w:szCs w:val="21"/>
              </w:rPr>
              <w:t>递交账户：</w:t>
            </w:r>
          </w:p>
          <w:p w14:paraId="66A0393E">
            <w:pPr>
              <w:autoSpaceDE w:val="0"/>
              <w:autoSpaceDN w:val="0"/>
              <w:snapToGrid w:val="0"/>
              <w:spacing w:line="360" w:lineRule="exact"/>
              <w:ind w:firstLine="422"/>
              <w:textAlignment w:val="bottom"/>
              <w:rPr>
                <w:rFonts w:hAnsi="宋体" w:cs="Arial"/>
              </w:rPr>
            </w:pPr>
            <w:r>
              <w:rPr>
                <w:rFonts w:hint="eastAsia" w:hAnsi="宋体" w:cs="Arial"/>
              </w:rPr>
              <w:t>开户银行：</w:t>
            </w:r>
          </w:p>
          <w:p w14:paraId="324D823B">
            <w:pPr>
              <w:spacing w:line="360" w:lineRule="exact"/>
              <w:ind w:firstLine="420" w:firstLineChars="200"/>
              <w:rPr>
                <w:rFonts w:hAnsi="宋体" w:cs="Courier New"/>
                <w:color w:val="000000" w:themeColor="text1"/>
                <w:szCs w:val="21"/>
                <w14:textFill>
                  <w14:solidFill>
                    <w14:schemeClr w14:val="tx1"/>
                  </w14:solidFill>
                </w14:textFill>
              </w:rPr>
            </w:pPr>
            <w:r>
              <w:rPr>
                <w:rFonts w:hint="eastAsia" w:hAnsi="宋体" w:cs="Arial"/>
              </w:rPr>
              <w:t>银行账号：</w:t>
            </w:r>
          </w:p>
        </w:tc>
      </w:tr>
      <w:tr w14:paraId="574C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vAlign w:val="center"/>
          </w:tcPr>
          <w:p w14:paraId="2184591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8907" w:type="dxa"/>
            <w:vAlign w:val="center"/>
          </w:tcPr>
          <w:p w14:paraId="700F41FA">
            <w:pPr>
              <w:spacing w:line="360" w:lineRule="exact"/>
              <w:ind w:firstLine="420" w:firstLineChars="200"/>
              <w:rPr>
                <w:rFonts w:hAnsi="宋体" w:cs="Courier New"/>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响应文件有效期：提交首次响应文件截止之日起60天内。</w:t>
            </w:r>
          </w:p>
        </w:tc>
      </w:tr>
      <w:tr w14:paraId="4933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6" w:type="dxa"/>
            <w:vAlign w:val="center"/>
          </w:tcPr>
          <w:p w14:paraId="2EB03EC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8907" w:type="dxa"/>
            <w:vAlign w:val="center"/>
          </w:tcPr>
          <w:p w14:paraId="5DE73498">
            <w:pPr>
              <w:autoSpaceDE w:val="0"/>
              <w:autoSpaceDN w:val="0"/>
              <w:spacing w:line="360" w:lineRule="exact"/>
              <w:ind w:firstLine="420" w:firstLineChars="200"/>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采购资金来源：</w:t>
            </w:r>
            <w:r>
              <w:rPr>
                <w:rFonts w:hint="eastAsia" w:ascii="Microsoft JhengHei" w:hAnsi="Microsoft JhengHei" w:eastAsia="Microsoft JhengHei"/>
                <w:b/>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预算资金、预算外资金、其他资金</w:t>
            </w:r>
          </w:p>
        </w:tc>
      </w:tr>
      <w:tr w14:paraId="7BBB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5F9F295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8907" w:type="dxa"/>
            <w:vAlign w:val="center"/>
          </w:tcPr>
          <w:p w14:paraId="33CFC68B">
            <w:pPr>
              <w:autoSpaceDE w:val="0"/>
              <w:autoSpaceDN w:val="0"/>
              <w:spacing w:line="360" w:lineRule="exact"/>
              <w:ind w:firstLine="420" w:firstLineChars="200"/>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付款方式：</w:t>
            </w:r>
            <w:r>
              <w:rPr>
                <w:rFonts w:hint="eastAsia"/>
                <w:color w:val="000000" w:themeColor="text1"/>
                <w:szCs w:val="21"/>
                <w14:textFill>
                  <w14:solidFill>
                    <w14:schemeClr w14:val="tx1"/>
                  </w14:solidFill>
                </w14:textFill>
              </w:rPr>
              <w:t>国库集中支付或采购专户支付、</w:t>
            </w:r>
            <w:r>
              <w:rPr>
                <w:rFonts w:hint="eastAsia" w:ascii="Microsoft JhengHei" w:hAnsi="Microsoft JhengHei" w:eastAsia="Microsoft JhengHei"/>
                <w:b/>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采购人自行支付</w:t>
            </w:r>
          </w:p>
        </w:tc>
      </w:tr>
      <w:tr w14:paraId="49D2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6" w:type="dxa"/>
            <w:vAlign w:val="center"/>
          </w:tcPr>
          <w:p w14:paraId="5A45CBD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c>
          <w:tcPr>
            <w:tcW w:w="8907" w:type="dxa"/>
            <w:vAlign w:val="center"/>
          </w:tcPr>
          <w:p w14:paraId="62DCC5C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解释：本竞争性谈判文件的解释权属于采购单位。</w:t>
            </w:r>
          </w:p>
        </w:tc>
      </w:tr>
      <w:tr w14:paraId="1A4E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70F63A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8907" w:type="dxa"/>
            <w:vAlign w:val="center"/>
          </w:tcPr>
          <w:p w14:paraId="678DC96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注意事项：</w:t>
            </w:r>
          </w:p>
          <w:p w14:paraId="2B5CCBF4">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为全流程电子化采购项目，通过广西政府采购云平台（www.gcy.zfcg.gxzf.gov.cn）实行在线电子竞标，供应商应按照本项目竞争性谈判文件和广西政府采购云平台的要求编制、加密后在提交响应文件截止时间前通过网络上传至广西政府采购云平台，</w:t>
            </w:r>
            <w:r>
              <w:rPr>
                <w:rFonts w:hint="eastAsia" w:ascii="宋体" w:hAnsi="宋体" w:cs="宋体"/>
                <w:b/>
                <w:bCs/>
                <w:color w:val="000000" w:themeColor="text1"/>
                <w:szCs w:val="21"/>
                <w14:textFill>
                  <w14:solidFill>
                    <w14:schemeClr w14:val="tx1"/>
                  </w14:solidFill>
                </w14:textFill>
              </w:rPr>
              <w:t>供应商在广西政府采购云平台提交电子响应文件时，请填写参加远程采购活动经办人联系方式。</w:t>
            </w:r>
            <w:r>
              <w:rPr>
                <w:rFonts w:hint="eastAsia" w:ascii="宋体" w:hAnsi="宋体" w:cs="宋体"/>
                <w:color w:val="000000" w:themeColor="text1"/>
                <w:szCs w:val="21"/>
                <w14:textFill>
                  <w14:solidFill>
                    <w14:schemeClr w14:val="tx1"/>
                  </w14:solidFill>
                </w14:textFill>
              </w:rPr>
              <w:t>供应商登录广西政府采购云平台，依次进入“服务中心-项目采购-操作流程-电子招投标-政府采购项目电子交易管理操作指南-供应商”查看电子竞标具体操作流程。</w:t>
            </w:r>
          </w:p>
          <w:p w14:paraId="7E7C09E0">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63FEECF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0602FD0C">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CF29931">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（4）供应商需要在具备有摄像头及语音功能且互联网网络状况良好的电脑登录广西政府采购云平台远程开标大厅参与本次谈判，否则后果自负。</w:t>
            </w:r>
          </w:p>
          <w:p w14:paraId="040785C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本项目为电子标项目，不要求参与竞标的供应商到达现场，但竞标供应商应派法定代表人或委托代理人在线准时出席电子标评审，随时关注项目谈判进度，在谈判过程中对谈判小组发出的谈判内容于规定的时间内进行确认回复。</w:t>
            </w:r>
          </w:p>
          <w:p w14:paraId="5A0D7D6D">
            <w:pPr>
              <w:autoSpaceDE w:val="0"/>
              <w:autoSpaceDN w:val="0"/>
              <w:spacing w:line="360" w:lineRule="exact"/>
              <w:ind w:firstLine="420" w:firstLineChars="200"/>
              <w:textAlignment w:val="bottom"/>
              <w:rPr>
                <w:rFonts w:hAnsi="宋体" w:cs="Courier New"/>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08D0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26" w:type="dxa"/>
            <w:vAlign w:val="center"/>
          </w:tcPr>
          <w:p w14:paraId="018330E1">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p>
        </w:tc>
        <w:tc>
          <w:tcPr>
            <w:tcW w:w="8907" w:type="dxa"/>
            <w:vAlign w:val="center"/>
          </w:tcPr>
          <w:p w14:paraId="5B77560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电子响应文件的制作、加密：</w:t>
            </w:r>
          </w:p>
          <w:p w14:paraId="46448AC2">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1、供应商制作电子响应文件前，应登陆“广西政府采购云平台”平台进行“申请获取竞争性谈判文件”操作，否则，有可能导致无法在线编制响应文件并参与竞标，其不利后果由供应商自行承担。</w:t>
            </w:r>
          </w:p>
          <w:p w14:paraId="34F99804">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下载或获取竞争性谈判文件后，登录“广西政府采购云平台电子投标客户端”，按照本竞争性谈判文件规定的响应文件格式、顺序以及“广西政府采购云平台”平台的要求，通过“广西政府采购云平台电子投标客户端”编制电子响应文件。</w:t>
            </w:r>
          </w:p>
          <w:p w14:paraId="29DC1D90">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63D659E4">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1DA56919">
            <w:pPr>
              <w:spacing w:line="360" w:lineRule="exact"/>
              <w:ind w:firstLine="420" w:firstLineChars="200"/>
              <w:rPr>
                <w:rFonts w:hAnsi="宋体" w:cs="Courier New"/>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5、供应商编制、生成电子响应文件后应当加密响应文件。供应商未按规定编制并加密的响应文件，“广西政府采购云平台”平台将予以拒收。</w:t>
            </w:r>
          </w:p>
        </w:tc>
      </w:tr>
      <w:tr w14:paraId="47F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9A6B7B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8907" w:type="dxa"/>
            <w:vAlign w:val="center"/>
          </w:tcPr>
          <w:p w14:paraId="6DB1DFC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供应商公章及签字：</w:t>
            </w:r>
          </w:p>
          <w:p w14:paraId="32DE4E26">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1、本竞争性谈判文件中描述供应商的“公章”是指供应商通过指定电子化政府采购平台办理数字证书（CA认证证书）获得的以法定主体行为名称制作的电子印章。</w:t>
            </w:r>
          </w:p>
          <w:p w14:paraId="3B37C6C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2、本竞争性谈判文件中要求供应商对其电子响应文件的相关内容加盖公章的，均指采用CA证书签章。</w:t>
            </w:r>
          </w:p>
          <w:p w14:paraId="424313C3">
            <w:pPr>
              <w:spacing w:line="360" w:lineRule="exact"/>
              <w:ind w:firstLine="420" w:firstLineChars="200"/>
              <w:rPr>
                <w:rFonts w:hAnsi="宋体" w:cs="Courier New"/>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竞争性谈判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0D66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7BDCBD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w:t>
            </w:r>
          </w:p>
        </w:tc>
        <w:tc>
          <w:tcPr>
            <w:tcW w:w="8907" w:type="dxa"/>
            <w:vAlign w:val="center"/>
          </w:tcPr>
          <w:p w14:paraId="229BE96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响应文件的解密：</w:t>
            </w:r>
          </w:p>
          <w:p w14:paraId="18217169">
            <w:pPr>
              <w:spacing w:line="360" w:lineRule="exact"/>
              <w:ind w:firstLine="420" w:firstLineChars="200"/>
              <w:rPr>
                <w:rFonts w:hAnsi="宋体" w:cs="Courier New"/>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将在“竞争性谈判公告”规定的时间通过电子交易平台组织响应文件开启，采购机构依托电子交易平台发起开始解密指令，供应商的法定代表人或其委托代理人须携带加密时所用的CA锁按平台提示和竞争性谈判文件的规定登录到“广西政府采购云平台”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详见本章30.电子交易活动的中止。)</w:t>
            </w:r>
          </w:p>
        </w:tc>
      </w:tr>
    </w:tbl>
    <w:p w14:paraId="6188D880">
      <w:pPr>
        <w:spacing w:line="360" w:lineRule="exact"/>
        <w:rPr>
          <w:rFonts w:ascii="宋体" w:hAnsi="宋体"/>
          <w:b/>
          <w:color w:val="000000" w:themeColor="text1"/>
          <w:szCs w:val="21"/>
          <w14:textFill>
            <w14:solidFill>
              <w14:schemeClr w14:val="tx1"/>
            </w14:solidFill>
          </w14:textFill>
        </w:rPr>
      </w:pPr>
    </w:p>
    <w:p w14:paraId="7A82CD77">
      <w:pPr>
        <w:pStyle w:val="21"/>
        <w:spacing w:line="360" w:lineRule="exact"/>
        <w:jc w:val="center"/>
        <w:rPr>
          <w:rFonts w:hAnsi="宋体"/>
          <w:b/>
          <w:color w:val="000000" w:themeColor="text1"/>
          <w:sz w:val="21"/>
          <w:szCs w:val="21"/>
          <w14:textFill>
            <w14:solidFill>
              <w14:schemeClr w14:val="tx1"/>
            </w14:solidFill>
          </w14:textFill>
        </w:rPr>
      </w:pPr>
      <w:r>
        <w:rPr>
          <w:rFonts w:hAnsi="宋体"/>
          <w:b/>
          <w:color w:val="000000" w:themeColor="text1"/>
          <w:sz w:val="32"/>
          <w14:textFill>
            <w14:solidFill>
              <w14:schemeClr w14:val="tx1"/>
            </w14:solidFill>
          </w14:textFill>
        </w:rPr>
        <w:br w:type="page"/>
      </w:r>
      <w:r>
        <w:rPr>
          <w:rFonts w:hint="eastAsia" w:hAnsi="宋体"/>
          <w:b/>
          <w:color w:val="000000" w:themeColor="text1"/>
          <w:sz w:val="30"/>
          <w:szCs w:val="30"/>
          <w14:textFill>
            <w14:solidFill>
              <w14:schemeClr w14:val="tx1"/>
            </w14:solidFill>
          </w14:textFill>
        </w:rPr>
        <w:t>供应商须知正文</w:t>
      </w:r>
    </w:p>
    <w:p w14:paraId="339B607F">
      <w:pPr>
        <w:pStyle w:val="21"/>
        <w:spacing w:line="360" w:lineRule="exact"/>
        <w:ind w:firstLine="422" w:firstLineChars="200"/>
        <w:rPr>
          <w:rFonts w:hAnsi="宋体" w:cs="Adobe 宋体 Std L"/>
          <w:b/>
          <w:color w:val="000000" w:themeColor="text1"/>
          <w:sz w:val="21"/>
          <w:szCs w:val="21"/>
          <w14:textFill>
            <w14:solidFill>
              <w14:schemeClr w14:val="tx1"/>
            </w14:solidFill>
          </w14:textFill>
        </w:rPr>
      </w:pPr>
      <w:r>
        <w:rPr>
          <w:rFonts w:hint="eastAsia" w:hAnsi="宋体" w:cs="Adobe 宋体 Std L"/>
          <w:b/>
          <w:color w:val="000000" w:themeColor="text1"/>
          <w:sz w:val="21"/>
          <w:szCs w:val="21"/>
          <w14:textFill>
            <w14:solidFill>
              <w14:schemeClr w14:val="tx1"/>
            </w14:solidFill>
          </w14:textFill>
        </w:rPr>
        <w:t>一、总　则</w:t>
      </w:r>
    </w:p>
    <w:p w14:paraId="234FE6A3">
      <w:pPr>
        <w:spacing w:line="360" w:lineRule="exact"/>
        <w:ind w:firstLine="422" w:firstLineChars="200"/>
        <w:rPr>
          <w:rFonts w:ascii="宋体" w:hAnsi="宋体" w:cs="Adobe 宋体 Std L"/>
          <w:bCs/>
          <w:color w:val="000000" w:themeColor="text1"/>
          <w:szCs w:val="21"/>
          <w14:textFill>
            <w14:solidFill>
              <w14:schemeClr w14:val="tx1"/>
            </w14:solidFill>
          </w14:textFill>
        </w:rPr>
      </w:pPr>
      <w:r>
        <w:rPr>
          <w:rFonts w:hint="eastAsia" w:hAnsi="宋体" w:cs="Adobe 宋体 Std L"/>
          <w:b/>
          <w:bCs/>
          <w:color w:val="000000" w:themeColor="text1"/>
          <w:szCs w:val="21"/>
          <w14:textFill>
            <w14:solidFill>
              <w14:schemeClr w14:val="tx1"/>
            </w14:solidFill>
          </w14:textFill>
        </w:rPr>
        <w:t>1. 适用范</w:t>
      </w:r>
      <w:r>
        <w:rPr>
          <w:rFonts w:hint="eastAsia" w:ascii="宋体" w:hAnsi="宋体" w:cs="Adobe 宋体 Std L"/>
          <w:b/>
          <w:bCs/>
          <w:color w:val="000000" w:themeColor="text1"/>
          <w:szCs w:val="21"/>
          <w14:textFill>
            <w14:solidFill>
              <w14:schemeClr w14:val="tx1"/>
            </w14:solidFill>
          </w14:textFill>
        </w:rPr>
        <w:t>围</w:t>
      </w:r>
      <w:r>
        <w:rPr>
          <w:rFonts w:hint="eastAsia" w:ascii="宋体" w:hAnsi="宋体" w:cs="Adobe 宋体 Std L"/>
          <w:bCs/>
          <w:color w:val="000000" w:themeColor="text1"/>
          <w:szCs w:val="21"/>
          <w14:textFill>
            <w14:solidFill>
              <w14:schemeClr w14:val="tx1"/>
            </w14:solidFill>
          </w14:textFill>
        </w:rPr>
        <w:t>：本竞争性谈判文件（以下简称谈判文件）适用于本项目的所有采购程序和环节（法律、法规另有规定的，从其规定）。</w:t>
      </w:r>
    </w:p>
    <w:p w14:paraId="4F99C5C4">
      <w:pPr>
        <w:spacing w:line="360" w:lineRule="exact"/>
        <w:ind w:firstLine="422"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2. 定义</w:t>
      </w:r>
    </w:p>
    <w:p w14:paraId="7428A094">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2.1“采购人”：</w:t>
      </w:r>
      <w:r>
        <w:rPr>
          <w:rFonts w:hint="eastAsia" w:ascii="宋体" w:hAnsi="宋体" w:cs="Adobe 宋体 Std L"/>
          <w:color w:val="000000" w:themeColor="text1"/>
          <w:szCs w:val="21"/>
          <w14:textFill>
            <w14:solidFill>
              <w14:schemeClr w14:val="tx1"/>
            </w14:solidFill>
          </w14:textFill>
        </w:rPr>
        <w:t>详见竞争性谈判公告</w:t>
      </w:r>
      <w:r>
        <w:rPr>
          <w:rFonts w:hint="eastAsia" w:ascii="宋体" w:hAnsi="宋体" w:cs="Adobe 宋体 Std L"/>
          <w:bCs/>
          <w:color w:val="000000" w:themeColor="text1"/>
          <w:szCs w:val="21"/>
          <w14:textFill>
            <w14:solidFill>
              <w14:schemeClr w14:val="tx1"/>
            </w14:solidFill>
          </w14:textFill>
        </w:rPr>
        <w:t>。</w:t>
      </w:r>
    </w:p>
    <w:p w14:paraId="39BFE43F">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2.2“采购代理机构”是指：广西德元工程项目管理有限责任公司。</w:t>
      </w:r>
    </w:p>
    <w:p w14:paraId="7DFC86CC">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2.3“供应商”是指响应本谈判文件要求，参加谈判的法人、其他组织或者自然人。如果该供应商在本次谈判中成交，即为“成交供应商”。</w:t>
      </w:r>
      <w:r>
        <w:rPr>
          <w:rFonts w:hint="eastAsia" w:ascii="宋体" w:hAnsi="宋体"/>
          <w:color w:val="000000" w:themeColor="text1"/>
          <w:szCs w:val="21"/>
          <w14:textFill>
            <w14:solidFill>
              <w14:schemeClr w14:val="tx1"/>
            </w14:solidFill>
          </w14:textFill>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74709399">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2.4“货物”是指各种形态和种类的物品，包括原材料、燃料、设备、产品等。</w:t>
      </w:r>
    </w:p>
    <w:p w14:paraId="0CE60643">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2.5“服务”是指除货物和工程以外的其他政府采购对象。</w:t>
      </w:r>
    </w:p>
    <w:p w14:paraId="7532BA6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r>
        <w:rPr>
          <w:rFonts w:hint="eastAsia" w:ascii="宋体" w:hAnsi="宋体"/>
          <w:color w:val="000000" w:themeColor="text1"/>
          <w:szCs w:val="21"/>
          <w14:textFill>
            <w14:solidFill>
              <w14:schemeClr w14:val="tx1"/>
            </w14:solidFill>
          </w14:textFill>
        </w:rPr>
        <w:t>“书面形式”包括是指合同书、信件和数据电文（包括电报、电传、传真、电子数据交换和电子邮件）等可以有形地表现所载内容的形式。</w:t>
      </w:r>
    </w:p>
    <w:p w14:paraId="480073E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2.7“响应文件”是指：供应商根据本谈判文件要求，编制包含报价、技术和服务等所有内容的文件。</w:t>
      </w:r>
    </w:p>
    <w:p w14:paraId="72DF3A7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2.8“▲”系指实质性要求条款。</w:t>
      </w:r>
    </w:p>
    <w:p w14:paraId="2D82FCB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2.9“签字/签名”是指：指应商通过指定电子化政府采购平台办理数字证书（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认证证书）获得的以供应商法定代表人（负责人、自然人）或者委托代理人姓名制作的个人电子印章或手写签字。没有办理个人</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证书的，可以为手写签字的形式。</w:t>
      </w:r>
    </w:p>
    <w:p w14:paraId="6B4543D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14:paraId="4023CEF5">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2.11本谈判文件所称的“以上”“以下”“以内”“届满”，包括本数；所称的“不满”“超过”“以外”，不包括本数；如谈判文件另有特殊规定的从其规定。 </w:t>
      </w:r>
    </w:p>
    <w:p w14:paraId="76163160">
      <w:pPr>
        <w:spacing w:line="360" w:lineRule="exact"/>
        <w:ind w:firstLine="422"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3. 供应商资格</w:t>
      </w:r>
    </w:p>
    <w:p w14:paraId="4AAEE7D6">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3.1供应商资格：详见</w:t>
      </w:r>
      <w:r>
        <w:rPr>
          <w:rFonts w:hint="eastAsia" w:ascii="宋体" w:hAnsi="宋体" w:cs="宋体"/>
          <w:color w:val="000000" w:themeColor="text1"/>
          <w:szCs w:val="21"/>
          <w14:textFill>
            <w14:solidFill>
              <w14:schemeClr w14:val="tx1"/>
            </w14:solidFill>
          </w14:textFill>
        </w:rPr>
        <w:t>供应商须知前附表。</w:t>
      </w:r>
    </w:p>
    <w:p w14:paraId="55C7AABA">
      <w:pPr>
        <w:spacing w:line="360" w:lineRule="exact"/>
        <w:ind w:firstLine="420"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4.</w:t>
      </w:r>
      <w:r>
        <w:rPr>
          <w:rFonts w:hint="eastAsia" w:ascii="宋体" w:hAnsi="宋体" w:cs="Adobe 宋体 Std L"/>
          <w:b/>
          <w:bCs/>
          <w:color w:val="000000" w:themeColor="text1"/>
          <w:szCs w:val="21"/>
          <w14:textFill>
            <w14:solidFill>
              <w14:schemeClr w14:val="tx1"/>
            </w14:solidFill>
          </w14:textFill>
        </w:rPr>
        <w:t>谈判费用</w:t>
      </w:r>
    </w:p>
    <w:p w14:paraId="5DECEFCA">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4.1供应商应自行承担所有与编写和提交响应文件有关的费用，不论谈判结果如何，采购人和采购代理机构在任何情况下无义务和责任承担此类费用。</w:t>
      </w:r>
    </w:p>
    <w:p w14:paraId="5C7E937B">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 联合体竞标</w:t>
      </w:r>
    </w:p>
    <w:p w14:paraId="534E8FA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5.1本项目是否接受联合体竞标，详见“供应商须知前附表”。</w:t>
      </w:r>
    </w:p>
    <w:p w14:paraId="269B785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5.2联合体要求（联合体竞标时应满足下列要求）：</w:t>
      </w:r>
    </w:p>
    <w:p w14:paraId="44292E9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（1）两个以上供应商可以组成一个竞标联合体，以一个供应商的身份共同参加投标，联合体供应商的名称应统一按“XXX公司与XXX公司的联合体”的规则填写。</w:t>
      </w:r>
    </w:p>
    <w:p w14:paraId="5B79582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（2）以联合体形式参加投标的，联合体各方均应当符合“具有独立承担民事责任的能力”的条件。 本项目有特殊要求规定供应商特定条件的，联合体各方中至少应当有一方符合谈判文件规定的特定条件。</w:t>
      </w:r>
    </w:p>
    <w:p w14:paraId="143C583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14:paraId="60F6E5A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（4）以联合体形式参加政府采购活动的，联合体各方不得再单独参加或者与其他供应商另外组成联合体参加同一合同项下的政府采购活动，否则与之相关的响应文件作废。</w:t>
      </w:r>
    </w:p>
    <w:p w14:paraId="3399D3C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479D0F1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（6）联合体投标业绩、履约能力按照联合体各方其中较高的一方认定并计算（谈判文件另有规定的除外）。</w:t>
      </w:r>
    </w:p>
    <w:p w14:paraId="0784BE3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（7）联合体各方均应按照谈判文件的规定提交资格证明文件。</w:t>
      </w:r>
    </w:p>
    <w:p w14:paraId="2883E2F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（工程项目为 1%—2%）的扣除，用扣除后的价格参加评审。组成联合体的小微企业与联合体内其他企业、分包企业之间存在直接控股、管理关系的，不享受价格扣除优惠政策。</w:t>
      </w:r>
    </w:p>
    <w:p w14:paraId="334460E7">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6. 分包与转包 </w:t>
      </w:r>
    </w:p>
    <w:p w14:paraId="4D84BA1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14:paraId="695A537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492BBF8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6.3本项目不允许转包。</w:t>
      </w:r>
    </w:p>
    <w:p w14:paraId="40264A27">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 特别说明</w:t>
      </w:r>
    </w:p>
    <w:p w14:paraId="43B40C9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4A68B2E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（1）提供相同品牌产品且通过资格审查、符合性审查的不同供应商参加单一产品的同一合同项下的政府采购活动的。</w:t>
      </w:r>
    </w:p>
    <w:p w14:paraId="35145FA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（2）非单一产品采购项目中，多家供应商提供的核心产品品牌相同的，视为提供相同品牌产品。核心产品的名称应当在谈判文件中载明。</w:t>
      </w:r>
    </w:p>
    <w:p w14:paraId="0DC2BD9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7.2供应商投标所使用的资格、信誉、荣誉、业绩与企业认证必须为本供应商所拥有。</w:t>
      </w:r>
    </w:p>
    <w:p w14:paraId="66B929D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7.3供应商应仔细阅读谈判文件的所有内容，按照谈判文件的要求提交响应文件，并对所提供的全部资料的真实性承担法律责任。</w:t>
      </w:r>
    </w:p>
    <w:p w14:paraId="490A994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1026726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7.5在政府采购活动中，采购人员及相关人员与供应商有下列利害关系之一的，应当回避：</w:t>
      </w:r>
    </w:p>
    <w:p w14:paraId="1F261C1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（1）参加采购活动前3年内与供应商存在劳动关系；</w:t>
      </w:r>
    </w:p>
    <w:p w14:paraId="5BB29DE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（2）参加采购活动前3年内担任供应商的董事、监事；</w:t>
      </w:r>
    </w:p>
    <w:p w14:paraId="73A0057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（3）参加采购活动前3年内是供应商的控股股东或者实际控制人；</w:t>
      </w:r>
    </w:p>
    <w:p w14:paraId="2BE0D96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（4）与供应商的法定代表人或者负责人有夫妻、直系血亲、三代以内旁系血亲或者近姻亲关系；</w:t>
      </w:r>
    </w:p>
    <w:p w14:paraId="43435D2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（5）与供应商有其他可能影响政府采购活动公平、公正进行的关系。</w:t>
      </w:r>
    </w:p>
    <w:p w14:paraId="0675375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1FF03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7.6有下列情形之一的视为供应商相互串通投标，其投标无效：</w:t>
      </w:r>
    </w:p>
    <w:p w14:paraId="60D96EF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（1）不同供应商的响应文件由同一单位或者个人编制； </w:t>
      </w:r>
    </w:p>
    <w:p w14:paraId="56474E5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（2）不同供应商委托同一单位或者个人办理投标事宜；</w:t>
      </w:r>
    </w:p>
    <w:p w14:paraId="1BE2679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（3）不同供应商的响应文件载明的项目管理成员或者联系人员为同一人；</w:t>
      </w:r>
    </w:p>
    <w:p w14:paraId="2880865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（4）不同供应商的响应文件异常一致或投标报价呈规律性差异；</w:t>
      </w:r>
    </w:p>
    <w:p w14:paraId="3F0FFEA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（5）不同供应商的响应文件相互混装；</w:t>
      </w:r>
    </w:p>
    <w:p w14:paraId="5E2DC38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（6）不同供应商的投标保证金从同一单位或者个人账户转出。</w:t>
      </w:r>
    </w:p>
    <w:p w14:paraId="7FFDBEA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7.7供应商有下列情形之一的，属于恶意串通行为：</w:t>
      </w:r>
    </w:p>
    <w:p w14:paraId="3D0B135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（1）供应商直接或者间接从采购人或者采购代理机构处获得其他供应商的相关信息并修改其响应文件或者响应文件：</w:t>
      </w:r>
    </w:p>
    <w:p w14:paraId="4BA4CB3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（2）供应商按照采购人或者采购代理机构的授意撤换、修改响应文件或者响应文件；</w:t>
      </w:r>
    </w:p>
    <w:p w14:paraId="18F4A38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（3）供应商之间协商报价、技术方案等响应文件或者响应文件的实质性内容；</w:t>
      </w:r>
    </w:p>
    <w:p w14:paraId="1D6F842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（4）属于同一集团、协会、商会等组织成员的供应商按照该组织要求协同参加政府采购活动；</w:t>
      </w:r>
    </w:p>
    <w:p w14:paraId="20B0DE3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0F12893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（6）供应商之间商定部分供应商放弃参加政府采购活动或者放弃中标；</w:t>
      </w:r>
    </w:p>
    <w:p w14:paraId="4AEF69B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（7）供应商与采购人或者采购代理机构之间、供应商相互之间，为谋求特定供应商中标或者排斥其他供应商的其他串通行为。</w:t>
      </w:r>
    </w:p>
    <w:p w14:paraId="4EAE6CF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7.8关联供应商不得参加同一合同项下政府采购活动，否则响应文件将被视为无效：</w:t>
      </w:r>
    </w:p>
    <w:p w14:paraId="408DA3D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（1）单位负责人为同一人或者存在直接控股、管理关系的不同的供应商，不得参加同一合同项下的政府采购活动；</w:t>
      </w:r>
    </w:p>
    <w:p w14:paraId="77BD33B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（2）生产厂商授权给供应商后自己不得参加同一合同项下的政府采购活动；生产厂商对同一品牌同一型号的货物，仅能委托一个代理商参加投标。</w:t>
      </w:r>
    </w:p>
    <w:p w14:paraId="24C3E4D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017FE8">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8.质疑和投诉</w:t>
      </w:r>
    </w:p>
    <w:p w14:paraId="2550A02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0C46EEF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14:paraId="0F7EB1C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8.3质疑和投诉书面要求</w:t>
      </w:r>
    </w:p>
    <w:p w14:paraId="0333051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质疑人或投诉人提供的书面材料（如材料中有外文资料须同时附上中文译本）至少包括以下内容：</w:t>
      </w:r>
    </w:p>
    <w:p w14:paraId="368E5C2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（1）质疑人或投诉人的姓名或者名称、地址、邮编、联系人及联系电话；</w:t>
      </w:r>
    </w:p>
    <w:p w14:paraId="2352BC9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（2）质疑项目的名称、编号；</w:t>
      </w:r>
    </w:p>
    <w:p w14:paraId="44DF575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（3）具体、明确的质疑事项和与质疑事项相关的请求；</w:t>
      </w:r>
    </w:p>
    <w:p w14:paraId="603ADA1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（4）事实依据；</w:t>
      </w:r>
    </w:p>
    <w:p w14:paraId="4D0AF0F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（5）必要的法律依据；</w:t>
      </w:r>
    </w:p>
    <w:p w14:paraId="1D3FFEE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（6）质疑人或投诉人的签章及质疑或投诉时间；</w:t>
      </w:r>
    </w:p>
    <w:p w14:paraId="6870B02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（7）质疑或投诉的书面材料须提供法定代表人签名和加盖单位公章的原件。</w:t>
      </w:r>
    </w:p>
    <w:p w14:paraId="6748000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（8）质疑人须一次性提出针对同一采购程序环节的质疑。</w:t>
      </w:r>
    </w:p>
    <w:p w14:paraId="5C47F1C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D429B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未持有有效授权委托书的代理人提交的质疑函或不在法定质疑期内提交的质疑函，将不予受理。</w:t>
      </w:r>
    </w:p>
    <w:p w14:paraId="61FFCD70">
      <w:pPr>
        <w:spacing w:line="360" w:lineRule="exact"/>
        <w:ind w:firstLine="420" w:firstLineChars="200"/>
        <w:rPr>
          <w:rFonts w:ascii="宋体" w:hAnsi="宋体" w:cs="Adobe 宋体 Std L"/>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8.4接受质疑函的联系方式等详见谈判公告中采购人、采购代理机构的联系方式。</w:t>
      </w:r>
    </w:p>
    <w:p w14:paraId="005D8C07">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二、谈判文件</w:t>
      </w:r>
    </w:p>
    <w:p w14:paraId="29AA80A2">
      <w:pPr>
        <w:spacing w:line="360" w:lineRule="exact"/>
        <w:ind w:left="420" w:left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9.竞争性谈判文件的组成</w:t>
      </w:r>
    </w:p>
    <w:p w14:paraId="09D74A9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（1）谈判公告；</w:t>
      </w:r>
    </w:p>
    <w:p w14:paraId="204AE75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（2）供应商须知；</w:t>
      </w:r>
    </w:p>
    <w:p w14:paraId="2C9129F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（3）采购需求；</w:t>
      </w:r>
    </w:p>
    <w:p w14:paraId="2B86320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（4）评审办法和定标标准；</w:t>
      </w:r>
    </w:p>
    <w:p w14:paraId="05E2E4A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（5）响应文件格式；</w:t>
      </w:r>
    </w:p>
    <w:p w14:paraId="13D6210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（6）合同主要条款；</w:t>
      </w:r>
    </w:p>
    <w:p w14:paraId="7973B18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（7）其他资料。</w:t>
      </w:r>
    </w:p>
    <w:p w14:paraId="0123E602">
      <w:pPr>
        <w:spacing w:line="360" w:lineRule="exact"/>
        <w:ind w:left="420" w:left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 供应商的风险</w:t>
      </w:r>
    </w:p>
    <w:p w14:paraId="1ACD91E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10.1供应商没有按照谈判文件要求提供全部资料，或者供应商没有对谈判文件在各方面作出实质性响应是供应商的风险，并可能导致其投标被拒绝。</w:t>
      </w:r>
    </w:p>
    <w:p w14:paraId="677E5EFB">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11.谈判文件的澄清或修改</w:t>
      </w:r>
    </w:p>
    <w:p w14:paraId="73FD587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11.1供应商应认真</w:t>
      </w:r>
      <w:r>
        <w:rPr>
          <w:rFonts w:hint="eastAsia" w:hAnsi="宋体"/>
          <w:bCs/>
          <w:color w:val="000000" w:themeColor="text1"/>
          <w:szCs w:val="21"/>
          <w14:textFill>
            <w14:solidFill>
              <w14:schemeClr w14:val="tx1"/>
            </w14:solidFill>
          </w14:textFill>
        </w:rPr>
        <w:t>阅读本谈判文件，发现</w:t>
      </w:r>
      <w:r>
        <w:rPr>
          <w:rFonts w:hint="eastAsia" w:hAnsi="宋体"/>
          <w:color w:val="000000" w:themeColor="text1"/>
          <w:szCs w:val="21"/>
          <w14:textFill>
            <w14:solidFill>
              <w14:schemeClr w14:val="tx1"/>
            </w14:solidFill>
          </w14:textFill>
        </w:rPr>
        <w:t>谈判文件表述不清晰、存在歧视性、排他性或者其他违法内容的，应以书面形式要求招标采购单位作出书面解释、澄清</w:t>
      </w:r>
      <w:r>
        <w:rPr>
          <w:rFonts w:hint="eastAsia" w:ascii="宋体" w:hAnsi="宋体"/>
          <w:color w:val="000000" w:themeColor="text1"/>
          <w:szCs w:val="21"/>
          <w14:textFill>
            <w14:solidFill>
              <w14:schemeClr w14:val="tx1"/>
            </w14:solidFill>
          </w14:textFill>
        </w:rPr>
        <w:t>，否则，由此产生的后果由供应商负责。</w:t>
      </w:r>
    </w:p>
    <w:p w14:paraId="17E5BB8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11.2任何要求澄清谈判文件的供应商，均应在首次响应文件递交截止日期前的正常工作时间以书面形式通知采购人或采购代理机构，采购人或采购代理机构将以书面形式予以答复。</w:t>
      </w:r>
    </w:p>
    <w:p w14:paraId="54145C4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14:paraId="6B5583C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11.4采购人可视具体情况，延长响应文件递交截止时间和开标时间，并在“供应商须知前附表”规定的发布媒体上发布变更公告。</w:t>
      </w:r>
    </w:p>
    <w:p w14:paraId="08300DF1">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12.现场考察或答疑会</w:t>
      </w:r>
    </w:p>
    <w:p w14:paraId="2573D21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12.1采购人可以视采购项目的具体情况，按须知前附表的规定组织供应商进行现场考察或召开谈判前答疑会，但不得单独或分别组织只有一个供应商参加的现场考察和答疑会。</w:t>
      </w:r>
    </w:p>
    <w:p w14:paraId="61BA92C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12.2供应商考察现场或参加答疑会发生的费用自理。</w:t>
      </w:r>
    </w:p>
    <w:p w14:paraId="300609E5">
      <w:pPr>
        <w:spacing w:line="360" w:lineRule="exact"/>
        <w:ind w:firstLine="420" w:firstLineChars="200"/>
        <w:rPr>
          <w:rFonts w:ascii="宋体" w:hAnsi="宋体" w:cs="Adobe 宋体 Std L"/>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12.3供应商自行负责在考察现场或参加答疑会中所发生的人员伤亡和财产损失。</w:t>
      </w:r>
    </w:p>
    <w:p w14:paraId="3C181570">
      <w:pPr>
        <w:spacing w:line="360" w:lineRule="exact"/>
        <w:ind w:firstLine="422" w:firstLineChars="200"/>
        <w:rPr>
          <w:rFonts w:ascii="宋体" w:hAnsi="宋体" w:cs="Adobe 宋体 Std L"/>
          <w:b/>
          <w:color w:val="000000" w:themeColor="text1"/>
          <w:szCs w:val="21"/>
          <w14:textFill>
            <w14:solidFill>
              <w14:schemeClr w14:val="tx1"/>
            </w14:solidFill>
          </w14:textFill>
        </w:rPr>
      </w:pPr>
      <w:r>
        <w:rPr>
          <w:rFonts w:hint="eastAsia" w:ascii="宋体" w:hAnsi="宋体" w:cs="Adobe 宋体 Std L"/>
          <w:b/>
          <w:color w:val="000000" w:themeColor="text1"/>
          <w:szCs w:val="21"/>
          <w14:textFill>
            <w14:solidFill>
              <w14:schemeClr w14:val="tx1"/>
            </w14:solidFill>
          </w14:textFill>
        </w:rPr>
        <w:t>三、响应文件的编制</w:t>
      </w:r>
    </w:p>
    <w:p w14:paraId="261A560A">
      <w:pPr>
        <w:spacing w:line="360" w:lineRule="exact"/>
        <w:ind w:firstLine="422"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 xml:space="preserve">13. </w:t>
      </w:r>
      <w:r>
        <w:rPr>
          <w:rFonts w:hint="eastAsia" w:ascii="宋体" w:hAnsi="宋体" w:cs="宋体"/>
          <w:b/>
          <w:color w:val="000000" w:themeColor="text1"/>
          <w:szCs w:val="21"/>
          <w14:textFill>
            <w14:solidFill>
              <w14:schemeClr w14:val="tx1"/>
            </w14:solidFill>
          </w14:textFill>
        </w:rPr>
        <w:t>响应文件的组成</w:t>
      </w:r>
    </w:p>
    <w:p w14:paraId="3F73A7D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响应文件由资格证明文件、商务和技术文件、报价文件组成。</w:t>
      </w:r>
    </w:p>
    <w:p w14:paraId="0B288049">
      <w:pPr>
        <w:spacing w:line="360" w:lineRule="exact"/>
        <w:ind w:firstLine="422"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13.1资格证明文件（以下文件标注“▲”的必须提供，否则投标无效，其他可根据实际情况提供）</w:t>
      </w:r>
    </w:p>
    <w:p w14:paraId="4493EE35">
      <w:pPr>
        <w:pStyle w:val="21"/>
        <w:spacing w:line="360" w:lineRule="exact"/>
        <w:ind w:firstLine="405"/>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▲注：以下各项属于均要加盖供应商电子公章。联合体投标时，第2-6项资格证明文件联合体各方均必须分别提供，联合体各方分别盖章和签字，否则响应文件按无效响应处理。</w:t>
      </w:r>
    </w:p>
    <w:p w14:paraId="2EDDF85B">
      <w:pPr>
        <w:spacing w:line="360" w:lineRule="exact"/>
        <w:ind w:firstLine="413" w:firstLineChars="196"/>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（1）谈判声明书(按第四章要求格式填写)；</w:t>
      </w:r>
    </w:p>
    <w:p w14:paraId="32B673DA">
      <w:pPr>
        <w:spacing w:line="360" w:lineRule="exact"/>
        <w:ind w:firstLine="411" w:firstLineChars="196"/>
        <w:jc w:val="left"/>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▲（2）投标供应商</w:t>
      </w:r>
      <w:r>
        <w:rPr>
          <w:rFonts w:hint="eastAsia" w:hAnsi="宋体"/>
          <w:color w:val="000000" w:themeColor="text1"/>
          <w:szCs w:val="21"/>
          <w14:textFill>
            <w14:solidFill>
              <w14:schemeClr w14:val="tx1"/>
            </w14:solidFill>
          </w14:textFill>
        </w:rPr>
        <w:t>合法的主体资格证明（如营业执照、事业单位法人证书、执业许可证、个体工商户营业执照、自然人身份证等）复印件</w:t>
      </w:r>
      <w:r>
        <w:rPr>
          <w:rFonts w:hint="eastAsia" w:ascii="宋体" w:hAnsi="宋体"/>
          <w:bCs/>
          <w:color w:val="000000" w:themeColor="text1"/>
          <w:szCs w:val="21"/>
          <w14:textFill>
            <w14:solidFill>
              <w14:schemeClr w14:val="tx1"/>
            </w14:solidFill>
          </w14:textFill>
        </w:rPr>
        <w:t>；</w:t>
      </w:r>
    </w:p>
    <w:p w14:paraId="735DF7DB">
      <w:pPr>
        <w:spacing w:line="360" w:lineRule="exact"/>
        <w:ind w:firstLine="411" w:firstLineChars="196"/>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政府采购供应商资格信用承诺函(按第四章要求格式填写)；</w:t>
      </w:r>
    </w:p>
    <w:p w14:paraId="494C1A6A">
      <w:pPr>
        <w:spacing w:line="360" w:lineRule="exact"/>
        <w:ind w:firstLine="411" w:firstLineChars="196"/>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▲（4）参加政府采购活动前三年内在经营活动中没有重大违法记录和不良信用记录的书面声明书（格式自拟）； </w:t>
      </w:r>
    </w:p>
    <w:p w14:paraId="520D6368">
      <w:pPr>
        <w:spacing w:line="360" w:lineRule="exact"/>
        <w:ind w:firstLine="411" w:firstLineChars="196"/>
        <w:jc w:val="left"/>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供应商如为分支机构投标的，须提供其总公司</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营业执照</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副本复印件和总公司对供应商参与本项目投标的授权书原件；</w:t>
      </w:r>
    </w:p>
    <w:p w14:paraId="2333DCC2">
      <w:pPr>
        <w:spacing w:line="360" w:lineRule="exact"/>
        <w:ind w:firstLine="411" w:firstLineChars="196"/>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▲（6）供应商直接控股、管理关系信息表(按第四章要求格式填写)；</w:t>
      </w:r>
    </w:p>
    <w:p w14:paraId="6D57F738">
      <w:pPr>
        <w:snapToGrid w:val="0"/>
        <w:spacing w:line="360" w:lineRule="exact"/>
        <w:ind w:firstLine="411" w:firstLineChars="196"/>
        <w:jc w:val="left"/>
        <w:rPr>
          <w:rFonts w:ascii="宋体" w:hAnsi="宋体"/>
          <w:szCs w:val="21"/>
        </w:rPr>
      </w:pPr>
      <w:r>
        <w:rPr>
          <w:rFonts w:hint="eastAsia" w:ascii="宋体" w:hAnsi="宋体"/>
          <w:szCs w:val="21"/>
        </w:rPr>
        <w:t>▲（7）中小企业声明函（按第四章要求的格式提供）；</w:t>
      </w:r>
    </w:p>
    <w:p w14:paraId="08421C53">
      <w:pPr>
        <w:snapToGrid w:val="0"/>
        <w:spacing w:line="360" w:lineRule="exact"/>
        <w:ind w:firstLine="411" w:firstLineChars="196"/>
        <w:jc w:val="left"/>
        <w:rPr>
          <w:rFonts w:ascii="宋体" w:hAnsi="宋体"/>
          <w:szCs w:val="21"/>
        </w:rPr>
      </w:pPr>
      <w:r>
        <w:rPr>
          <w:rFonts w:hint="eastAsia" w:ascii="宋体" w:hAnsi="宋体"/>
          <w:szCs w:val="21"/>
        </w:rPr>
        <w:t>▲（8）监狱企业由省级以上监狱管理局、戒毒管理局（含新疆生产建设兵团）出具的属于监狱企业的证明文件；</w:t>
      </w:r>
    </w:p>
    <w:p w14:paraId="550476C0">
      <w:pPr>
        <w:snapToGrid w:val="0"/>
        <w:spacing w:line="360" w:lineRule="exact"/>
        <w:ind w:firstLine="411" w:firstLineChars="196"/>
        <w:jc w:val="left"/>
        <w:rPr>
          <w:rFonts w:ascii="宋体" w:hAnsi="宋体"/>
          <w:szCs w:val="21"/>
        </w:rPr>
      </w:pPr>
      <w:r>
        <w:rPr>
          <w:rFonts w:hint="eastAsia" w:ascii="宋体" w:hAnsi="宋体"/>
          <w:szCs w:val="21"/>
        </w:rPr>
        <w:t>▲（9）残疾人福利性单位声明函（投标人如为残疾人福利性单位的请按第四章要求的格式提供）；</w:t>
      </w:r>
    </w:p>
    <w:p w14:paraId="6E6FDEC8">
      <w:pPr>
        <w:snapToGrid w:val="0"/>
        <w:spacing w:line="360" w:lineRule="exact"/>
        <w:ind w:firstLine="413" w:firstLineChars="196"/>
        <w:jc w:val="left"/>
        <w:rPr>
          <w:rFonts w:ascii="宋体" w:hAnsi="宋体"/>
          <w:b/>
          <w:bCs/>
          <w:color w:val="000000" w:themeColor="text1"/>
          <w:szCs w:val="21"/>
          <w14:textFill>
            <w14:solidFill>
              <w14:schemeClr w14:val="tx1"/>
            </w14:solidFill>
          </w14:textFill>
        </w:rPr>
      </w:pPr>
      <w:r>
        <w:rPr>
          <w:rFonts w:hint="eastAsia" w:ascii="宋体" w:hAnsi="宋体"/>
          <w:b/>
          <w:bCs/>
          <w:szCs w:val="21"/>
        </w:rPr>
        <w:t>注：因为本项目专门面向小微企业，（7）、（8）、（9）须提供其中任意一项，如未提供按无效投标处理。</w:t>
      </w:r>
    </w:p>
    <w:p w14:paraId="69176FE0">
      <w:pPr>
        <w:spacing w:line="360" w:lineRule="exact"/>
        <w:ind w:firstLine="411" w:firstLineChars="196"/>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（10）联合体协议书；（联合体投标时必须提供，否则投标无效）</w:t>
      </w:r>
    </w:p>
    <w:p w14:paraId="7150C784">
      <w:pPr>
        <w:spacing w:line="360" w:lineRule="exact"/>
        <w:ind w:firstLine="411" w:firstLineChars="196"/>
        <w:jc w:val="left"/>
        <w:rPr>
          <w:rFonts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（11）特定资格</w:t>
      </w:r>
      <w:r>
        <w:rPr>
          <w:rFonts w:hint="eastAsia" w:hAnsi="宋体"/>
          <w:color w:val="000000" w:themeColor="text1"/>
          <w:szCs w:val="21"/>
          <w14:textFill>
            <w14:solidFill>
              <w14:schemeClr w14:val="tx1"/>
            </w14:solidFill>
          </w14:textFill>
        </w:rPr>
        <w:t>条件</w:t>
      </w:r>
      <w:r>
        <w:rPr>
          <w:rFonts w:hint="eastAsia" w:ascii="宋体" w:hAnsi="宋体"/>
          <w:bCs/>
          <w:color w:val="000000" w:themeColor="text1"/>
          <w:szCs w:val="21"/>
          <w14:textFill>
            <w14:solidFill>
              <w14:schemeClr w14:val="tx1"/>
            </w14:solidFill>
          </w14:textFill>
        </w:rPr>
        <w:t>：无</w:t>
      </w:r>
    </w:p>
    <w:p w14:paraId="2E5AE63B">
      <w:pPr>
        <w:spacing w:line="360" w:lineRule="exact"/>
        <w:ind w:firstLine="422"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13.2商务和技术文件（以下文件标注“▲”的必须提供，“第三章《采购需求》”要求“必须提供”的必须提供，其他可根据实际情况提供，第（1）、（2）项由法定代表人签名，否则其投标无效）</w:t>
      </w:r>
    </w:p>
    <w:p w14:paraId="6B418790">
      <w:pPr>
        <w:spacing w:line="360" w:lineRule="exact"/>
        <w:ind w:firstLine="422" w:firstLineChars="20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▲注：以下标注“▲”均要加盖供应商单位电子公章，否则其投标无效。</w:t>
      </w:r>
    </w:p>
    <w:p w14:paraId="5A3663D8">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▲（1）法定代表人身份证明书(按第四章要求格式填写)； </w:t>
      </w:r>
    </w:p>
    <w:p w14:paraId="4F849A93">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▲（2）法定代表人授权委托书及被授权委托人身份证复印件(委托代理时，按第四章要求格式填写)；</w:t>
      </w:r>
    </w:p>
    <w:p w14:paraId="2A043B1C">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（3）供应商情况介绍（格式自拟）；</w:t>
      </w:r>
    </w:p>
    <w:p w14:paraId="4E05EE57">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▲（4）商务响应表(按第四章要求格式填写)；</w:t>
      </w:r>
    </w:p>
    <w:p w14:paraId="100164E6">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▲（5）技术响应表(按第四章要求格式填写，附“第三章采购需求”中要求提供的相关材料)；</w:t>
      </w:r>
    </w:p>
    <w:p w14:paraId="5B068FB4">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）售后服务方案及承诺书(按第四章要求格式填写)；</w:t>
      </w:r>
    </w:p>
    <w:p w14:paraId="38B462A0">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）代理服务费承诺书(按第四章要求格式填写)；</w:t>
      </w:r>
    </w:p>
    <w:p w14:paraId="17B76FAC">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）供应商同类项目业绩一览表(按第四章要求格式填写)；</w:t>
      </w:r>
    </w:p>
    <w:p w14:paraId="0E30DFDB">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）供应商对本项目的合理化建议和改进措施（格式自拟）；</w:t>
      </w:r>
    </w:p>
    <w:p w14:paraId="71C47DA6">
      <w:pPr>
        <w:snapToGrid w:val="0"/>
        <w:spacing w:line="360" w:lineRule="exact"/>
        <w:ind w:firstLine="411" w:firstLineChars="196"/>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）供应商认为需要提供的其他证明材料。（供应商根据“第三章 采购需求”及“第六章 评标方法及评标标准”提供有关证明材料）。</w:t>
      </w:r>
    </w:p>
    <w:p w14:paraId="4B5D5458">
      <w:pPr>
        <w:spacing w:line="360" w:lineRule="exact"/>
        <w:ind w:firstLine="422" w:firstLineChars="200"/>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13.3报价文件（以下文件标注“▲”的必须提供，要求“必须提供”的必须提供，其他可根据实际情况提供）</w:t>
      </w:r>
    </w:p>
    <w:p w14:paraId="3E3F3908">
      <w:pPr>
        <w:spacing w:line="360" w:lineRule="exact"/>
        <w:ind w:firstLine="422" w:firstLineChars="20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▲注：以下标注“▲”均要加盖供应商单位电子公章</w:t>
      </w:r>
      <w:r>
        <w:rPr>
          <w:rFonts w:hint="eastAsia" w:ascii="宋体" w:hAnsi="宋体"/>
          <w:b/>
          <w:bCs/>
          <w:color w:val="000000" w:themeColor="text1"/>
          <w:szCs w:val="21"/>
          <w14:textFill>
            <w14:solidFill>
              <w14:schemeClr w14:val="tx1"/>
            </w14:solidFill>
          </w14:textFill>
        </w:rPr>
        <w:t>或</w:t>
      </w:r>
      <w:r>
        <w:rPr>
          <w:rFonts w:hint="eastAsia" w:hAnsi="宋体" w:cs="Courier New"/>
          <w:b/>
          <w:color w:val="000000" w:themeColor="text1"/>
          <w:szCs w:val="21"/>
          <w14:textFill>
            <w14:solidFill>
              <w14:schemeClr w14:val="tx1"/>
            </w14:solidFill>
          </w14:textFill>
        </w:rPr>
        <w:t>自然人加盖手指指印</w:t>
      </w:r>
      <w:r>
        <w:rPr>
          <w:rFonts w:hint="eastAsia" w:ascii="宋体" w:hAnsi="宋体"/>
          <w:b/>
          <w:color w:val="000000" w:themeColor="text1"/>
          <w:szCs w:val="21"/>
          <w14:textFill>
            <w14:solidFill>
              <w14:schemeClr w14:val="tx1"/>
            </w14:solidFill>
          </w14:textFill>
        </w:rPr>
        <w:t>，否则其投标无效。</w:t>
      </w:r>
    </w:p>
    <w:p w14:paraId="68E4625D">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▲（1）竞标函（按第四章要求格式填写）；</w:t>
      </w:r>
    </w:p>
    <w:p w14:paraId="162AA741">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▲（2）报价表 (按第四章要求格式填写) ； </w:t>
      </w:r>
    </w:p>
    <w:p w14:paraId="16E08A38">
      <w:pPr>
        <w:snapToGrid w:val="0"/>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（3）供应商针对报价需要说明的其他文件和说明（如有，格式自拟） </w:t>
      </w:r>
    </w:p>
    <w:p w14:paraId="359F44CE">
      <w:pPr>
        <w:spacing w:line="360" w:lineRule="exact"/>
        <w:ind w:firstLine="422" w:firstLineChars="200"/>
        <w:jc w:val="left"/>
        <w:rPr>
          <w:rFonts w:ascii="宋体" w:hAnsi="宋体"/>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注：若</w:t>
      </w:r>
      <w:r>
        <w:rPr>
          <w:rFonts w:hint="eastAsia" w:hAnsi="宋体"/>
          <w:b/>
          <w:bCs/>
          <w:color w:val="000000" w:themeColor="text1"/>
          <w:szCs w:val="21"/>
          <w14:textFill>
            <w14:solidFill>
              <w14:schemeClr w14:val="tx1"/>
            </w14:solidFill>
          </w14:textFill>
        </w:rPr>
        <w:t>谈判</w:t>
      </w:r>
      <w:r>
        <w:rPr>
          <w:rFonts w:hint="eastAsia" w:ascii="宋体" w:hAnsi="宋体" w:cs="Courier New"/>
          <w:b/>
          <w:bCs/>
          <w:color w:val="000000" w:themeColor="text1"/>
          <w:szCs w:val="21"/>
          <w14:textFill>
            <w14:solidFill>
              <w14:schemeClr w14:val="tx1"/>
            </w14:solidFill>
          </w14:textFill>
        </w:rPr>
        <w:t>文件中有专门标注的某关联点，并要求供应商在电子投标系统中作出响应的，如供应商未对关联点进行响应或者在响应文件其它内容进行描述，造成电子评审不能查询的责任由供应商自行承担。</w:t>
      </w:r>
    </w:p>
    <w:p w14:paraId="3EABE12E">
      <w:pPr>
        <w:pStyle w:val="21"/>
        <w:spacing w:line="360" w:lineRule="exact"/>
        <w:ind w:firstLine="422" w:firstLineChars="200"/>
        <w:rPr>
          <w:rFonts w:hAnsi="宋体" w:cs="Adobe 宋体 Std L"/>
          <w:b/>
          <w:bCs/>
          <w:color w:val="000000" w:themeColor="text1"/>
          <w:sz w:val="21"/>
          <w:szCs w:val="21"/>
          <w14:textFill>
            <w14:solidFill>
              <w14:schemeClr w14:val="tx1"/>
            </w14:solidFill>
          </w14:textFill>
        </w:rPr>
      </w:pPr>
      <w:r>
        <w:rPr>
          <w:rFonts w:hint="eastAsia" w:hAnsi="宋体" w:cs="Adobe 宋体 Std L"/>
          <w:b/>
          <w:bCs/>
          <w:color w:val="000000" w:themeColor="text1"/>
          <w:sz w:val="21"/>
          <w:szCs w:val="21"/>
          <w14:textFill>
            <w14:solidFill>
              <w14:schemeClr w14:val="tx1"/>
            </w14:solidFill>
          </w14:textFill>
        </w:rPr>
        <w:t>14. 响应文件的语言及计量</w:t>
      </w:r>
    </w:p>
    <w:p w14:paraId="76B3D10E">
      <w:pPr>
        <w:pStyle w:val="21"/>
        <w:spacing w:line="360" w:lineRule="exact"/>
        <w:ind w:firstLine="420" w:firstLineChars="200"/>
        <w:rPr>
          <w:rFonts w:hAnsi="宋体" w:cs="Adobe 宋体 Std L"/>
          <w:bCs/>
          <w:color w:val="000000" w:themeColor="text1"/>
          <w:sz w:val="21"/>
          <w:szCs w:val="21"/>
          <w14:textFill>
            <w14:solidFill>
              <w14:schemeClr w14:val="tx1"/>
            </w14:solidFill>
          </w14:textFill>
        </w:rPr>
      </w:pPr>
      <w:r>
        <w:rPr>
          <w:rFonts w:hint="eastAsia" w:hAnsi="宋体" w:cs="Adobe 宋体 Std L"/>
          <w:bCs/>
          <w:color w:val="000000" w:themeColor="text1"/>
          <w:sz w:val="21"/>
          <w:szCs w:val="21"/>
          <w14:textFill>
            <w14:solidFill>
              <w14:schemeClr w14:val="tx1"/>
            </w14:solidFill>
          </w14:textFill>
        </w:rPr>
        <w:t>14.1响应文件以及竞标方与招标方就有关竞标事宜的所有来往函电，均应以中文汉语书写。除签名、盖章、专用名称等特殊情形外，以中文汉语以外的文字表述的响应文件视同未提供。</w:t>
      </w:r>
    </w:p>
    <w:p w14:paraId="66607838">
      <w:pPr>
        <w:pStyle w:val="21"/>
        <w:spacing w:line="360" w:lineRule="exact"/>
        <w:ind w:firstLine="420" w:firstLineChars="200"/>
        <w:rPr>
          <w:rFonts w:hAnsi="宋体" w:cs="Adobe 宋体 Std L"/>
          <w:bCs/>
          <w:color w:val="000000" w:themeColor="text1"/>
          <w:sz w:val="21"/>
          <w:szCs w:val="21"/>
          <w14:textFill>
            <w14:solidFill>
              <w14:schemeClr w14:val="tx1"/>
            </w14:solidFill>
          </w14:textFill>
        </w:rPr>
      </w:pPr>
      <w:r>
        <w:rPr>
          <w:rFonts w:hint="eastAsia" w:hAnsi="宋体" w:cs="Adobe 宋体 Std L"/>
          <w:bCs/>
          <w:color w:val="000000" w:themeColor="text1"/>
          <w:sz w:val="21"/>
          <w:szCs w:val="21"/>
          <w14:textFill>
            <w14:solidFill>
              <w14:schemeClr w14:val="tx1"/>
            </w14:solidFill>
          </w14:textFill>
        </w:rPr>
        <w:t>14.2竞标计量单位，谈判文件已有明确规定的，使用谈判文件规定的计量单位；谈判文件没有规定的，应采用中华人民共和国法定计量单位（货币单位：人民币元），否则视同未响应。</w:t>
      </w:r>
    </w:p>
    <w:p w14:paraId="68E75CAB">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15、响应文件报价要求</w:t>
      </w:r>
    </w:p>
    <w:p w14:paraId="3EE70FA9">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15.1本项目最高限价详见须知前附表。响应文件</w:t>
      </w:r>
      <w:r>
        <w:rPr>
          <w:rFonts w:hint="eastAsia" w:hAnsi="宋体" w:cs="Arial"/>
          <w:color w:val="000000" w:themeColor="text1"/>
          <w:szCs w:val="21"/>
          <w14:textFill>
            <w14:solidFill>
              <w14:schemeClr w14:val="tx1"/>
            </w14:solidFill>
          </w14:textFill>
        </w:rPr>
        <w:t>报价须小于等于最高限价，否则响应无效。</w:t>
      </w:r>
    </w:p>
    <w:p w14:paraId="4833231F">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15.2对于本谈判文件中未列明，而供应商认为必需的费用也需列入总报价。在合同实施时，采购人将不予支付成交供应商没有列入的项目费用，并认为此项目的费用已包括在总报价中。</w:t>
      </w:r>
    </w:p>
    <w:p w14:paraId="6B36FE73">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14:paraId="28294502">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15.4供应商应就第三章《采购需求》中的全部服务内容作完整唯一报价。</w:t>
      </w:r>
    </w:p>
    <w:p w14:paraId="1712E5FE">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15.5</w:t>
      </w:r>
      <w:r>
        <w:rPr>
          <w:rFonts w:hint="eastAsia" w:ascii="宋体" w:hAnsi="宋体"/>
          <w:color w:val="000000" w:themeColor="text1"/>
          <w:szCs w:val="21"/>
          <w14:textFill>
            <w14:solidFill>
              <w14:schemeClr w14:val="tx1"/>
            </w14:solidFill>
          </w14:textFill>
        </w:rPr>
        <w:t>响应文件只允许有一个报价，有选择的或有条件的报价将不予接受（谈判文件另有规定的除外）。</w:t>
      </w:r>
    </w:p>
    <w:p w14:paraId="738B23B4">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w:t>
      </w:r>
      <w:r>
        <w:rPr>
          <w:rFonts w:hint="eastAsia" w:hAnsi="宋体"/>
          <w:color w:val="000000" w:themeColor="text1"/>
          <w:szCs w:val="21"/>
          <w14:textFill>
            <w14:solidFill>
              <w14:schemeClr w14:val="tx1"/>
            </w14:solidFill>
          </w14:textFill>
        </w:rPr>
        <w:t>对不同文字文本竞争性谈判响应文件的解释发生异议的，以中文文本为准。除上述原因以外，如果因供应商原因引起的报价失误，并在谈判时被接受，其后果由供应商自负。</w:t>
      </w:r>
    </w:p>
    <w:p w14:paraId="5B589E03">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16、响应文件有效期</w:t>
      </w:r>
    </w:p>
    <w:p w14:paraId="07C098AE">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16.1响应文件有效期：详见供应商须知前附表。有效期不足的响应文件将被拒绝。</w:t>
      </w:r>
    </w:p>
    <w:p w14:paraId="759479E9">
      <w:pPr>
        <w:pStyle w:val="21"/>
        <w:spacing w:line="360" w:lineRule="exact"/>
        <w:ind w:firstLine="420" w:firstLineChars="20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16.2在特殊情况下，采购人可与供应商协商延长响应文件的有效期，这种要求和答复均以书面形式进行。</w:t>
      </w:r>
    </w:p>
    <w:p w14:paraId="6E9517C9">
      <w:pPr>
        <w:pStyle w:val="21"/>
        <w:spacing w:line="360" w:lineRule="exact"/>
        <w:ind w:firstLine="420" w:firstLineChars="20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 xml:space="preserve">16.3供应商可拒绝接受延长有效期要求而不会导致竞标保证金被没收。同意延长有效期的供应商需要相应延长竞标保证金的有效期，但不能修改响应文件其它内容。 </w:t>
      </w:r>
    </w:p>
    <w:p w14:paraId="0FFBC243">
      <w:pPr>
        <w:pStyle w:val="21"/>
        <w:spacing w:line="360" w:lineRule="exact"/>
        <w:ind w:firstLine="420" w:firstLineChars="200"/>
        <w:jc w:val="left"/>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16.4供应商的响应文件自开标之日起至合同履行完毕止均应保持有效。</w:t>
      </w:r>
    </w:p>
    <w:p w14:paraId="6FACB6BB">
      <w:pPr>
        <w:pStyle w:val="21"/>
        <w:spacing w:line="360" w:lineRule="exact"/>
        <w:ind w:firstLine="422" w:firstLineChars="200"/>
        <w:jc w:val="left"/>
        <w:rPr>
          <w:rFonts w:hAnsi="宋体" w:cs="宋体"/>
          <w:color w:val="000000" w:themeColor="text1"/>
          <w:kern w:val="2"/>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17、竞标保证金</w:t>
      </w:r>
    </w:p>
    <w:p w14:paraId="1D5F6B19">
      <w:pPr>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17.1竞标保证金金额：详见供应商须知前附表。竞标保证金应在响应文件有效期内保持有效。</w:t>
      </w:r>
    </w:p>
    <w:p w14:paraId="054AD8BF">
      <w:pPr>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17.2供应商须按规定于竞标截止前足额提交竞标保证金，</w:t>
      </w:r>
      <w:r>
        <w:rPr>
          <w:rFonts w:hint="eastAsia" w:ascii="宋体" w:hAnsi="宋体"/>
          <w:b/>
          <w:color w:val="000000" w:themeColor="text1"/>
          <w:kern w:val="0"/>
          <w:szCs w:val="21"/>
          <w14:textFill>
            <w14:solidFill>
              <w14:schemeClr w14:val="tx1"/>
            </w14:solidFill>
          </w14:textFill>
        </w:rPr>
        <w:t>否则，其响应无效。</w:t>
      </w:r>
    </w:p>
    <w:p w14:paraId="2E791108">
      <w:pPr>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17.3竞标保证金交纳形式：</w:t>
      </w:r>
      <w:r>
        <w:rPr>
          <w:rFonts w:hint="eastAsia" w:hAnsi="宋体"/>
          <w:color w:val="000000" w:themeColor="text1"/>
          <w:szCs w:val="21"/>
          <w14:textFill>
            <w14:solidFill>
              <w14:schemeClr w14:val="tx1"/>
            </w14:solidFill>
          </w14:textFill>
        </w:rPr>
        <w:t>转账、电汇、网上银行、支票、汇票、本票或者银行、保险机构出具的保函，禁止采用现钞方式。</w:t>
      </w:r>
    </w:p>
    <w:p w14:paraId="660260F3">
      <w:pPr>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hAnsi="宋体"/>
          <w:color w:val="000000" w:themeColor="text1"/>
          <w:szCs w:val="21"/>
          <w14:textFill>
            <w14:solidFill>
              <w14:schemeClr w14:val="tx1"/>
            </w14:solidFill>
          </w14:textFill>
        </w:rPr>
        <w:t>采用转账、电汇、网上银行方式的，在首次提交响应文件截止时间前交至</w:t>
      </w:r>
      <w:r>
        <w:rPr>
          <w:rFonts w:hint="eastAsia" w:hAnsi="宋体" w:cs="Arial"/>
          <w:color w:val="000000" w:themeColor="text1"/>
          <w:szCs w:val="21"/>
          <w14:textFill>
            <w14:solidFill>
              <w14:schemeClr w14:val="tx1"/>
            </w14:solidFill>
          </w14:textFill>
        </w:rPr>
        <w:t>广西德元工程项目管理有限责任公司（收款单位名称），开户银行：柳州银行北站支行营业部，银行账号：</w:t>
      </w:r>
      <w:r>
        <w:rPr>
          <w:rFonts w:hAnsi="宋体" w:cs="Arial"/>
          <w:color w:val="000000" w:themeColor="text1"/>
          <w:szCs w:val="21"/>
          <w14:textFill>
            <w14:solidFill>
              <w14:schemeClr w14:val="tx1"/>
            </w14:solidFill>
          </w14:textFill>
        </w:rPr>
        <w:t>707002011010900000108</w:t>
      </w:r>
      <w:r>
        <w:rPr>
          <w:rFonts w:hint="eastAsia" w:ascii="宋体" w:hAnsi="宋体"/>
          <w:color w:val="000000" w:themeColor="text1"/>
          <w:kern w:val="0"/>
          <w:szCs w:val="21"/>
          <w14:textFill>
            <w14:solidFill>
              <w14:schemeClr w14:val="tx1"/>
            </w14:solidFill>
          </w14:textFill>
        </w:rPr>
        <w:t>。</w:t>
      </w:r>
    </w:p>
    <w:p w14:paraId="74955588">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用转账、电汇、网上银行方式的，由供应商按上条中明确的全称、帐号、开户行，在保证金规定递交时间内转入（汇入）广西德元工程项目管理有限责任公司保证金专户上，并将银行转账底单的复印件作为竞标保证金提交凭证，放置于响应文件中，</w:t>
      </w:r>
      <w:r>
        <w:rPr>
          <w:rFonts w:hint="eastAsia" w:hAnsi="宋体"/>
          <w:b/>
          <w:color w:val="000000" w:themeColor="text1"/>
          <w:sz w:val="21"/>
          <w:szCs w:val="21"/>
          <w14:textFill>
            <w14:solidFill>
              <w14:schemeClr w14:val="tx1"/>
            </w14:solidFill>
          </w14:textFill>
        </w:rPr>
        <w:t>否则其响应无效</w:t>
      </w:r>
      <w:r>
        <w:rPr>
          <w:rFonts w:hint="eastAsia" w:hAnsi="宋体"/>
          <w:color w:val="000000" w:themeColor="text1"/>
          <w:sz w:val="21"/>
          <w:szCs w:val="21"/>
          <w14:textFill>
            <w14:solidFill>
              <w14:schemeClr w14:val="tx1"/>
            </w14:solidFill>
          </w14:textFill>
        </w:rPr>
        <w:t>。若广西德元工程项目管理有限责任公司保证金专户在保证金规定递交时间内没有收到供应商足额交纳的竞标保证金，</w:t>
      </w:r>
      <w:r>
        <w:rPr>
          <w:rFonts w:hint="eastAsia" w:hAnsi="宋体"/>
          <w:b/>
          <w:color w:val="000000" w:themeColor="text1"/>
          <w:sz w:val="21"/>
          <w:szCs w:val="21"/>
          <w14:textFill>
            <w14:solidFill>
              <w14:schemeClr w14:val="tx1"/>
            </w14:solidFill>
          </w14:textFill>
        </w:rPr>
        <w:t>其响应无效</w:t>
      </w:r>
      <w:r>
        <w:rPr>
          <w:rFonts w:hint="eastAsia" w:hAnsi="宋体"/>
          <w:color w:val="000000" w:themeColor="text1"/>
          <w:sz w:val="21"/>
          <w:szCs w:val="21"/>
          <w14:textFill>
            <w14:solidFill>
              <w14:schemeClr w14:val="tx1"/>
            </w14:solidFill>
          </w14:textFill>
        </w:rPr>
        <w:t>；因此供应商在缴纳竞标保证金时应充分考虑保证金到达本公司保证金专户上的时间，以免影响竞标。办理竞标保证金手续时，请务必在银行进帐单的用途或空白栏上注明招标项目名称或采购编号</w:t>
      </w:r>
      <w:r>
        <w:rPr>
          <w:rFonts w:hint="eastAsia" w:hAnsi="宋体"/>
          <w:b/>
          <w:color w:val="000000" w:themeColor="text1"/>
          <w:sz w:val="21"/>
          <w:szCs w:val="21"/>
          <w14:textFill>
            <w14:solidFill>
              <w14:schemeClr w14:val="tx1"/>
            </w14:solidFill>
          </w14:textFill>
        </w:rPr>
        <w:t>，如遇受字符限制的情况，项目名称可简写。</w:t>
      </w:r>
    </w:p>
    <w:p w14:paraId="78FF3EA8">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采用支票、汇票、本票或银行、保险机构出具的保函交纳方式的，供应商应将支票、汇票、本票或银行、保险机构出具的保函的复印件作为竞标保证金提交凭证，放置于响应文件中</w:t>
      </w:r>
      <w:r>
        <w:rPr>
          <w:rFonts w:hint="eastAsia" w:hAnsi="宋体"/>
          <w:b/>
          <w:color w:val="000000" w:themeColor="text1"/>
          <w:sz w:val="21"/>
          <w:szCs w:val="21"/>
          <w14:textFill>
            <w14:solidFill>
              <w14:schemeClr w14:val="tx1"/>
            </w14:solidFill>
          </w14:textFill>
        </w:rPr>
        <w:t>，否则其响应无效</w:t>
      </w:r>
      <w:r>
        <w:rPr>
          <w:rFonts w:hint="eastAsia" w:hAnsi="宋体"/>
          <w:color w:val="000000" w:themeColor="text1"/>
          <w:sz w:val="21"/>
          <w:szCs w:val="21"/>
          <w14:textFill>
            <w14:solidFill>
              <w14:schemeClr w14:val="tx1"/>
            </w14:solidFill>
          </w14:textFill>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竞标保证金”字样），也可以以邮寄方式递交原件（邮寄地址及收件人详见谈判公告采购代理机构信息）；若广西德元工程项目管理有限责任公司在保证金规定递交时间内没有收到上述原件的，</w:t>
      </w:r>
      <w:r>
        <w:rPr>
          <w:rFonts w:hint="eastAsia" w:hAnsi="宋体"/>
          <w:b/>
          <w:color w:val="000000" w:themeColor="text1"/>
          <w:sz w:val="21"/>
          <w:szCs w:val="21"/>
          <w14:textFill>
            <w14:solidFill>
              <w14:schemeClr w14:val="tx1"/>
            </w14:solidFill>
          </w14:textFill>
        </w:rPr>
        <w:t>其响应无效</w:t>
      </w:r>
      <w:r>
        <w:rPr>
          <w:rFonts w:hint="eastAsia" w:hAnsi="宋体"/>
          <w:color w:val="000000" w:themeColor="text1"/>
          <w:sz w:val="21"/>
          <w:szCs w:val="21"/>
          <w14:textFill>
            <w14:solidFill>
              <w14:schemeClr w14:val="tx1"/>
            </w14:solidFill>
          </w14:textFill>
        </w:rPr>
        <w:t>；因此供应商无论采用现场或者是邮寄递交上述原件时应充分考虑到达时间，以免影响竞标。</w:t>
      </w:r>
    </w:p>
    <w:p w14:paraId="2EF24EF2">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17.4</w:t>
      </w:r>
      <w:r>
        <w:rPr>
          <w:rFonts w:hint="eastAsia" w:hAnsi="宋体"/>
          <w:b/>
          <w:color w:val="000000" w:themeColor="text1"/>
          <w:spacing w:val="-2"/>
          <w:sz w:val="21"/>
          <w:szCs w:val="21"/>
          <w14:textFill>
            <w14:solidFill>
              <w14:schemeClr w14:val="tx1"/>
            </w14:solidFill>
          </w14:textFill>
        </w:rPr>
        <w:t>首次提交响应文件截止时间后提交的，或未足额交纳的，或保函额度不足的，视为无效竞标保证金</w:t>
      </w:r>
      <w:r>
        <w:rPr>
          <w:rFonts w:hint="eastAsia" w:hAnsi="宋体"/>
          <w:b/>
          <w:color w:val="000000" w:themeColor="text1"/>
          <w:sz w:val="21"/>
          <w:szCs w:val="21"/>
          <w14:textFill>
            <w14:solidFill>
              <w14:schemeClr w14:val="tx1"/>
            </w14:solidFill>
          </w14:textFill>
        </w:rPr>
        <w:t>。</w:t>
      </w:r>
    </w:p>
    <w:p w14:paraId="1B67F1F7">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17.5</w:t>
      </w:r>
      <w:r>
        <w:rPr>
          <w:rFonts w:hint="eastAsia" w:hAnsi="宋体"/>
          <w:b/>
          <w:color w:val="000000" w:themeColor="text1"/>
          <w:sz w:val="21"/>
          <w:szCs w:val="21"/>
          <w14:textFill>
            <w14:solidFill>
              <w14:schemeClr w14:val="tx1"/>
            </w14:solidFill>
          </w14:textFill>
        </w:rPr>
        <w:t>供应商采用现钞方式或从个人账户（个体工商户及自然人竞标除外）转出的竞标保证金，视为无效竞标保证金。</w:t>
      </w:r>
    </w:p>
    <w:p w14:paraId="62940FF1">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17.6</w:t>
      </w:r>
      <w:r>
        <w:rPr>
          <w:rFonts w:hint="eastAsia" w:hAnsi="宋体"/>
          <w:b/>
          <w:color w:val="000000" w:themeColor="text1"/>
          <w:sz w:val="21"/>
          <w:szCs w:val="21"/>
          <w14:textFill>
            <w14:solidFill>
              <w14:schemeClr w14:val="tx1"/>
            </w14:solidFill>
          </w14:textFill>
        </w:rPr>
        <w:t>支票、汇票、本票出现背书情形，或者有条件支付的，或者支票、汇票、本票无效的，视为无效竞标保证金。</w:t>
      </w:r>
    </w:p>
    <w:p w14:paraId="2BE1E158">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17.7</w:t>
      </w:r>
      <w:r>
        <w:rPr>
          <w:rFonts w:hint="eastAsia" w:hAnsi="宋体"/>
          <w:b/>
          <w:color w:val="000000" w:themeColor="text1"/>
          <w:sz w:val="21"/>
          <w:szCs w:val="21"/>
          <w14:textFill>
            <w14:solidFill>
              <w14:schemeClr w14:val="tx1"/>
            </w14:solidFill>
          </w14:textFill>
        </w:rPr>
        <w:t>保函有效期低于响应文件有效期的，视为无效竞标保证金。</w:t>
      </w:r>
    </w:p>
    <w:p w14:paraId="0238F21A">
      <w:pPr>
        <w:pStyle w:val="21"/>
        <w:spacing w:line="360" w:lineRule="exact"/>
        <w:ind w:firstLine="420" w:firstLineChars="200"/>
        <w:rPr>
          <w:rFonts w:hAnsi="宋体"/>
          <w:b/>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17.8</w:t>
      </w:r>
      <w:r>
        <w:rPr>
          <w:rFonts w:hint="eastAsia" w:hAnsi="宋体"/>
          <w:b/>
          <w:color w:val="000000" w:themeColor="text1"/>
          <w:sz w:val="21"/>
          <w:szCs w:val="21"/>
          <w14:textFill>
            <w14:solidFill>
              <w14:schemeClr w14:val="tx1"/>
            </w14:solidFill>
          </w14:textFill>
        </w:rPr>
        <w:t>竞标保证金采用金融机构、担保机构出具的保函为有条件保函的，视为无效竞标保证金。</w:t>
      </w:r>
    </w:p>
    <w:p w14:paraId="2820FD00">
      <w:pPr>
        <w:pStyle w:val="21"/>
        <w:spacing w:line="36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17.9竞标保证金的退还</w:t>
      </w:r>
    </w:p>
    <w:p w14:paraId="73FDF92E">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）未成交人的竞标保证金自成交通知书发出之日起4个工作日内退还，退还方式如下：</w:t>
      </w:r>
    </w:p>
    <w:p w14:paraId="4EF58BFB">
      <w:pPr>
        <w:spacing w:line="360" w:lineRule="exact"/>
        <w:ind w:firstLine="630" w:firstLineChars="3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①采用银行转账方式的，以转账方式退回到供应商银行账户。</w:t>
      </w:r>
    </w:p>
    <w:p w14:paraId="078DCB56">
      <w:pPr>
        <w:spacing w:line="360" w:lineRule="exact"/>
        <w:ind w:firstLine="630" w:firstLineChars="3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②采用支票、汇票或本票方式的，以转账方式退回到供应商银行账户或由供应商代表持相关授权证明材料至采购人或采购代理机构办理支票、汇票或本票原件退还手续。</w:t>
      </w:r>
      <w:r>
        <w:rPr>
          <w:rFonts w:hAnsi="宋体"/>
          <w:color w:val="000000" w:themeColor="text1"/>
          <w:szCs w:val="21"/>
          <w14:textFill>
            <w14:solidFill>
              <w14:schemeClr w14:val="tx1"/>
            </w14:solidFill>
          </w14:textFill>
        </w:rPr>
        <w:t xml:space="preserve"> </w:t>
      </w:r>
    </w:p>
    <w:p w14:paraId="2019ADAE">
      <w:pPr>
        <w:spacing w:line="360" w:lineRule="exact"/>
        <w:ind w:firstLine="630" w:firstLineChars="3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r>
        <w:rPr>
          <w:rFonts w:hAnsi="宋体"/>
          <w:color w:val="000000" w:themeColor="text1"/>
          <w:szCs w:val="21"/>
          <w14:textFill>
            <w14:solidFill>
              <w14:schemeClr w14:val="tx1"/>
            </w14:solidFill>
          </w14:textFill>
        </w:rPr>
        <w:t xml:space="preserve"> </w:t>
      </w:r>
    </w:p>
    <w:p w14:paraId="6E256A13">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（2）成交人应在合同签订之日起2个工作日内向采购代理机构提供</w:t>
      </w:r>
      <w:r>
        <w:rPr>
          <w:rFonts w:hint="eastAsia" w:hAnsi="宋体"/>
          <w:color w:val="000000" w:themeColor="text1"/>
          <w:szCs w:val="21"/>
          <w:u w:val="single"/>
          <w14:textFill>
            <w14:solidFill>
              <w14:schemeClr w14:val="tx1"/>
            </w14:solidFill>
          </w14:textFill>
        </w:rPr>
        <w:t xml:space="preserve"> 壹 </w:t>
      </w:r>
      <w:r>
        <w:rPr>
          <w:rFonts w:hint="eastAsia" w:hAnsi="宋体"/>
          <w:color w:val="000000" w:themeColor="text1"/>
          <w:szCs w:val="21"/>
          <w14:textFill>
            <w14:solidFill>
              <w14:schemeClr w14:val="tx1"/>
            </w14:solidFill>
          </w14:textFill>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43D07E9E">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（3）竞标保证金不计息。</w:t>
      </w:r>
    </w:p>
    <w:p w14:paraId="6381A8C0">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17.10</w:t>
      </w:r>
      <w:r>
        <w:rPr>
          <w:rFonts w:hint="eastAsia" w:hAnsi="宋体"/>
          <w:color w:val="000000" w:themeColor="text1"/>
          <w:szCs w:val="21"/>
          <w14:textFill>
            <w14:solidFill>
              <w14:schemeClr w14:val="tx1"/>
            </w14:solidFill>
          </w14:textFill>
        </w:rPr>
        <w:t>供应商有下列情形之一的，竞标保证金将不予退还：</w:t>
      </w:r>
    </w:p>
    <w:p w14:paraId="20E05BB6">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）供应商在响应文件有效期内撤回响应文件的；</w:t>
      </w:r>
    </w:p>
    <w:p w14:paraId="44E9792B">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）未按规定提交履约保证金的；</w:t>
      </w:r>
    </w:p>
    <w:p w14:paraId="5032EC18">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）供应商在竞标过程中弄虚作假，提供虚假材料的；</w:t>
      </w:r>
    </w:p>
    <w:p w14:paraId="48D5EFB2">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）成交人无正当理由不与采购人签订合同的；</w:t>
      </w:r>
    </w:p>
    <w:p w14:paraId="2B000847">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）将成交项目转让给他人或者在响应文件中未说明且未经招标采购单位同意，将成交项目分包给他人的；</w:t>
      </w:r>
    </w:p>
    <w:p w14:paraId="34B9BAB9">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）拒绝履行合同义务的；</w:t>
      </w:r>
    </w:p>
    <w:p w14:paraId="7FD29F9A">
      <w:pPr>
        <w:spacing w:line="360" w:lineRule="exact"/>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7</w:t>
      </w:r>
      <w:r>
        <w:rPr>
          <w:rFonts w:hint="eastAsia" w:hAnsi="宋体"/>
          <w:color w:val="000000" w:themeColor="text1"/>
          <w:szCs w:val="21"/>
          <w14:textFill>
            <w14:solidFill>
              <w14:schemeClr w14:val="tx1"/>
            </w14:solidFill>
          </w14:textFill>
        </w:rPr>
        <w:t>）其他严重扰乱招竞标程序的；</w:t>
      </w:r>
    </w:p>
    <w:p w14:paraId="533AC54A">
      <w:pPr>
        <w:spacing w:line="360" w:lineRule="exact"/>
        <w:ind w:firstLine="422" w:firstLineChars="200"/>
        <w:jc w:val="left"/>
        <w:rPr>
          <w:rFonts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18、</w:t>
      </w:r>
      <w:bookmarkStart w:id="12" w:name="_Toc254970683"/>
      <w:bookmarkStart w:id="13" w:name="_Toc254970542"/>
      <w:r>
        <w:rPr>
          <w:rFonts w:hint="eastAsia" w:ascii="宋体" w:hAnsi="宋体" w:cs="宋体"/>
          <w:b/>
          <w:color w:val="000000" w:themeColor="text1"/>
          <w:szCs w:val="21"/>
          <w14:textFill>
            <w14:solidFill>
              <w14:schemeClr w14:val="tx1"/>
            </w14:solidFill>
          </w14:textFill>
        </w:rPr>
        <w:t>响应文件的</w:t>
      </w:r>
      <w:bookmarkEnd w:id="12"/>
      <w:bookmarkEnd w:id="13"/>
      <w:r>
        <w:rPr>
          <w:rFonts w:hint="eastAsia" w:ascii="宋体" w:hAnsi="宋体" w:cs="宋体"/>
          <w:b/>
          <w:color w:val="000000" w:themeColor="text1"/>
          <w:szCs w:val="21"/>
          <w14:textFill>
            <w14:solidFill>
              <w14:schemeClr w14:val="tx1"/>
            </w14:solidFill>
          </w14:textFill>
        </w:rPr>
        <w:t>编制</w:t>
      </w:r>
    </w:p>
    <w:p w14:paraId="5AF18FB9">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18.1供应商应按本性谈判文件规定的格式和顺序编制、装订响应文件并标注页码，响应文件内容不完整、编排混乱导致响应文件被误读、漏读或者查找不到相关内容的，所引起的后果由供应商负责。</w:t>
      </w:r>
    </w:p>
    <w:p w14:paraId="4BF0F492">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18.2响应文件应按资格证明、报价分别编制，商务技术文件合并编制，本谈判只接受电子版响应文件。</w:t>
      </w:r>
    </w:p>
    <w:p w14:paraId="32EF3AF3">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Calibri" w:cs="宋体"/>
          <w:color w:val="000000" w:themeColor="text1"/>
          <w:kern w:val="0"/>
          <w:szCs w:val="21"/>
          <w14:textFill>
            <w14:solidFill>
              <w14:schemeClr w14:val="tx1"/>
            </w14:solidFill>
          </w14:textFill>
        </w:rPr>
        <w:t>骑缝盖</w:t>
      </w:r>
      <w:r>
        <w:rPr>
          <w:rFonts w:hint="eastAsia" w:ascii="宋体" w:hAnsi="宋体" w:cs="宋体"/>
          <w:color w:val="000000" w:themeColor="text1"/>
          <w:szCs w:val="21"/>
          <w14:textFill>
            <w14:solidFill>
              <w14:schemeClr w14:val="tx1"/>
            </w14:solidFill>
          </w14:textFill>
        </w:rPr>
        <w:t>公章不视为在规定位置盖章。</w:t>
      </w:r>
    </w:p>
    <w:p w14:paraId="339C372C">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1FED6E5A">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18.5</w:t>
      </w:r>
      <w:r>
        <w:rPr>
          <w:rFonts w:hint="eastAsia" w:ascii="宋体" w:hAnsi="Calibri" w:cs="宋体"/>
          <w:color w:val="000000" w:themeColor="text1"/>
          <w:kern w:val="0"/>
          <w:szCs w:val="21"/>
          <w14:textFill>
            <w14:solidFill>
              <w14:schemeClr w14:val="tx1"/>
            </w14:solidFill>
          </w14:textFill>
        </w:rPr>
        <w:t>响应文件应避免涂改、行间插字或者删除，否则其响应文件按无效响应处理。</w:t>
      </w:r>
    </w:p>
    <w:p w14:paraId="017CE509">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18.6供应商进行电子交易应安装客户端软件—“广西政府采购云平台客户端”，并按照谈判文件和电子交易平台的要求编制并加密响应文件。供应商未按规定加密的响应文件，电子交易平台将拒收并提示。</w:t>
      </w:r>
    </w:p>
    <w:p w14:paraId="7A3F20F2">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18.7使用“广西政府采购云平台客户端”需要提前申领CA数字证书，申领流程见该项目采购公告附件。</w:t>
      </w:r>
    </w:p>
    <w:p w14:paraId="4AEA282D">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18.8为确保网上操作合法、有效和安全，供应商应当在响应文件提交截止时间前完成在“政府采购云平台”的身份认证，确保在电子交易过程中能够对相关数据电文进行加密和使用电子签名。</w:t>
      </w:r>
    </w:p>
    <w:p w14:paraId="7DB5BBC4">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19.响应文件的递交</w:t>
      </w:r>
    </w:p>
    <w:p w14:paraId="15DC446C">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19.1</w:t>
      </w:r>
      <w:r>
        <w:rPr>
          <w:rFonts w:hint="eastAsia" w:hAnsi="宋体"/>
          <w:color w:val="000000" w:themeColor="text1"/>
          <w:szCs w:val="21"/>
          <w14:textFill>
            <w14:solidFill>
              <w14:schemeClr w14:val="tx1"/>
            </w14:solidFill>
          </w14:textFill>
        </w:rPr>
        <w:t>供应商必须在“供应商须知前附表”规定的响应文件接收时间和地点提交电子版响应文件。电子响应文件应在制作完成后，在提交截止时间前通过有效数字证书（</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认证锁）进行电子签章、加密，然后通过网络将加密的电子响应文件递交至“广西政府采购云平台”。</w:t>
      </w:r>
    </w:p>
    <w:p w14:paraId="6418660B">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19.2</w:t>
      </w:r>
      <w:r>
        <w:rPr>
          <w:rFonts w:hint="eastAsia" w:hAnsi="宋体"/>
          <w:color w:val="000000" w:themeColor="text1"/>
          <w:szCs w:val="21"/>
          <w14:textFill>
            <w14:solidFill>
              <w14:schemeClr w14:val="tx1"/>
            </w14:solidFill>
          </w14:textFill>
        </w:rPr>
        <w:t>未在规定时间内提交或者未按照谈判文件要求密封或者标记的电子响应文件，“广西政府采购云平台”将拒收。</w:t>
      </w:r>
    </w:p>
    <w:p w14:paraId="302A0DA2">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19.3</w:t>
      </w:r>
      <w:r>
        <w:rPr>
          <w:rFonts w:hint="eastAsia" w:hAnsi="宋体"/>
          <w:color w:val="000000" w:themeColor="text1"/>
          <w:szCs w:val="21"/>
          <w14:textFill>
            <w14:solidFill>
              <w14:schemeClr w14:val="tx1"/>
            </w14:solidFill>
          </w14:textFill>
        </w:rPr>
        <w:t>电子版响应文件提交方式见“谈判公告”中“四、提交响应文件截止时间、开标时间和地点”。</w:t>
      </w:r>
    </w:p>
    <w:p w14:paraId="1218D80A">
      <w:pPr>
        <w:spacing w:line="360" w:lineRule="exact"/>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20.响应文件的补充、修改、撤回与退回</w:t>
      </w:r>
    </w:p>
    <w:p w14:paraId="504CB7AE">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20.1</w:t>
      </w:r>
      <w:r>
        <w:rPr>
          <w:rFonts w:hint="eastAsia" w:hAnsi="宋体"/>
          <w:color w:val="000000" w:themeColor="text1"/>
          <w:szCs w:val="21"/>
          <w14:textFill>
            <w14:solidFill>
              <w14:schemeClr w14:val="tx1"/>
            </w14:solidFill>
          </w14:textFill>
        </w:rPr>
        <w:t>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012B634F">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20.2 </w:t>
      </w:r>
      <w:r>
        <w:rPr>
          <w:rFonts w:hint="eastAsia" w:hAnsi="宋体"/>
          <w:color w:val="000000" w:themeColor="text1"/>
          <w:szCs w:val="21"/>
          <w14:textFill>
            <w14:solidFill>
              <w14:schemeClr w14:val="tx1"/>
            </w14:solidFill>
          </w14:textFill>
        </w:rPr>
        <w:t>“广西政府采购云平台”平台收到响应文件，将妥善保存并即时向供应商发出确认回执通知。在提交响应文件截止时间前，除供应商补充、修改或者撤回响应文件外，任何单位和个人不得解密或提取响应文件。</w:t>
      </w:r>
    </w:p>
    <w:p w14:paraId="2C9D28F2">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20.3</w:t>
      </w:r>
      <w:r>
        <w:rPr>
          <w:rFonts w:hint="eastAsia" w:hAnsi="宋体"/>
          <w:color w:val="000000" w:themeColor="text1"/>
          <w:szCs w:val="21"/>
          <w14:textFill>
            <w14:solidFill>
              <w14:schemeClr w14:val="tx1"/>
            </w14:solidFill>
          </w14:textFill>
        </w:rPr>
        <w:t>在提交响应文件截止时间止提交电子版响应文件的供应商不足</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家时，电子版响应文件由代理机构在“广西政府采购云平台”平台操作退回，除此之外采购人和采购代理机构对已提交的响应文件概不退回。</w:t>
      </w:r>
    </w:p>
    <w:p w14:paraId="3A99D3CD">
      <w:pPr>
        <w:spacing w:line="360" w:lineRule="exact"/>
        <w:ind w:firstLine="422" w:firstLineChars="200"/>
        <w:jc w:val="left"/>
        <w:rPr>
          <w:rFonts w:ascii="宋体" w:hAnsi="宋体" w:cs="Adobe 宋体 Std L"/>
          <w:b/>
          <w:bCs/>
          <w:color w:val="000000" w:themeColor="text1"/>
          <w:szCs w:val="21"/>
          <w14:textFill>
            <w14:solidFill>
              <w14:schemeClr w14:val="tx1"/>
            </w14:solidFill>
          </w14:textFill>
        </w:rPr>
      </w:pPr>
      <w:r>
        <w:rPr>
          <w:rFonts w:hint="eastAsia" w:ascii="宋体" w:hAnsi="宋体" w:cs="Adobe 宋体 Std L"/>
          <w:b/>
          <w:bCs/>
          <w:color w:val="000000" w:themeColor="text1"/>
          <w:szCs w:val="21"/>
          <w14:textFill>
            <w14:solidFill>
              <w14:schemeClr w14:val="tx1"/>
            </w14:solidFill>
          </w14:textFill>
        </w:rPr>
        <w:t>四、评审及谈判</w:t>
      </w:r>
    </w:p>
    <w:p w14:paraId="131E89F0">
      <w:pPr>
        <w:pStyle w:val="21"/>
        <w:spacing w:line="360" w:lineRule="exact"/>
        <w:ind w:firstLine="422" w:firstLineChars="200"/>
        <w:rPr>
          <w:rFonts w:hAnsi="宋体" w:cs="Adobe 宋体 Std L"/>
          <w:b/>
          <w:bCs/>
          <w:color w:val="000000" w:themeColor="text1"/>
          <w:kern w:val="2"/>
          <w:sz w:val="21"/>
          <w:szCs w:val="21"/>
          <w14:textFill>
            <w14:solidFill>
              <w14:schemeClr w14:val="tx1"/>
            </w14:solidFill>
          </w14:textFill>
        </w:rPr>
      </w:pPr>
      <w:r>
        <w:rPr>
          <w:rFonts w:hint="eastAsia" w:hAnsi="宋体" w:cs="Adobe 宋体 Std L"/>
          <w:b/>
          <w:bCs/>
          <w:color w:val="000000" w:themeColor="text1"/>
          <w:kern w:val="2"/>
          <w:sz w:val="21"/>
          <w:szCs w:val="21"/>
          <w14:textFill>
            <w14:solidFill>
              <w14:schemeClr w14:val="tx1"/>
            </w14:solidFill>
          </w14:textFill>
        </w:rPr>
        <w:t>21.谈判小组</w:t>
      </w:r>
    </w:p>
    <w:p w14:paraId="4A2FDC53">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Adobe 宋体 Std L"/>
          <w:bCs/>
          <w:color w:val="000000" w:themeColor="text1"/>
          <w:szCs w:val="21"/>
          <w14:textFill>
            <w14:solidFill>
              <w14:schemeClr w14:val="tx1"/>
            </w14:solidFill>
          </w14:textFill>
        </w:rPr>
        <w:t>21.1竞争性谈判小组由采购人代表和评审专家共三人以上的单数组成。其中评审专家人数不少于谈判小组成员总数的2/3。</w:t>
      </w:r>
      <w:r>
        <w:rPr>
          <w:rFonts w:hint="eastAsia" w:ascii="宋体" w:hAnsi="宋体" w:cs="宋体"/>
          <w:color w:val="000000" w:themeColor="text1"/>
          <w:szCs w:val="21"/>
          <w14:textFill>
            <w14:solidFill>
              <w14:schemeClr w14:val="tx1"/>
            </w14:solidFill>
          </w14:textFill>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D625C2A">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7853294">
      <w:pPr>
        <w:spacing w:line="360" w:lineRule="exact"/>
        <w:ind w:firstLine="422" w:firstLineChars="200"/>
        <w:jc w:val="left"/>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22.</w:t>
      </w:r>
      <w:r>
        <w:rPr>
          <w:rFonts w:hint="eastAsia" w:hAnsi="宋体"/>
          <w:b/>
          <w:color w:val="000000" w:themeColor="text1"/>
          <w:szCs w:val="21"/>
          <w14:textFill>
            <w14:solidFill>
              <w14:schemeClr w14:val="tx1"/>
            </w14:solidFill>
          </w14:textFill>
        </w:rPr>
        <w:t>首次响应文件的开启</w:t>
      </w:r>
    </w:p>
    <w:p w14:paraId="2B86A58B">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22.1</w:t>
      </w:r>
      <w:r>
        <w:rPr>
          <w:rFonts w:hint="eastAsia" w:hAnsi="宋体"/>
          <w:color w:val="000000" w:themeColor="text1"/>
          <w:szCs w:val="21"/>
          <w14:textFill>
            <w14:solidFill>
              <w14:schemeClr w14:val="tx1"/>
            </w14:solidFill>
          </w14:textFill>
        </w:rPr>
        <w:t>首次响应文件由谈判小组或者采购代理机构在“供应商须知前附表”规定的时间开启。</w:t>
      </w:r>
    </w:p>
    <w:p w14:paraId="4A6ED63D">
      <w:pPr>
        <w:spacing w:line="360" w:lineRule="exact"/>
        <w:ind w:firstLine="422" w:firstLineChars="200"/>
        <w:jc w:val="left"/>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 xml:space="preserve">23. </w:t>
      </w:r>
      <w:r>
        <w:rPr>
          <w:rFonts w:hint="eastAsia" w:hAnsi="宋体"/>
          <w:b/>
          <w:color w:val="000000" w:themeColor="text1"/>
          <w:szCs w:val="21"/>
          <w14:textFill>
            <w14:solidFill>
              <w14:schemeClr w14:val="tx1"/>
            </w14:solidFill>
          </w14:textFill>
        </w:rPr>
        <w:t>响应文件解密</w:t>
      </w:r>
    </w:p>
    <w:p w14:paraId="09492799">
      <w:pPr>
        <w:spacing w:line="360" w:lineRule="exact"/>
        <w:ind w:firstLine="420" w:firstLineChars="200"/>
        <w:jc w:val="left"/>
        <w:rPr>
          <w:rFonts w:hAnsi="宋体"/>
          <w:bCs/>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23.1</w:t>
      </w:r>
      <w:r>
        <w:rPr>
          <w:rFonts w:hint="eastAsia" w:hAnsi="宋体"/>
          <w:color w:val="000000" w:themeColor="text1"/>
          <w:szCs w:val="21"/>
          <w14:textFill>
            <w14:solidFill>
              <w14:schemeClr w14:val="tx1"/>
            </w14:solidFill>
          </w14:textFill>
        </w:rPr>
        <w:t>采购代理机构将在“供应商须知前附表”规定的时间通过电子交易平台组织响应文件开启采购机构依托电子交易平台发起开始解密指令，供应商的法定代表人或其委托代理人须携带加密时所用的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锁按平台提示和谈判文件的规定登录到“广西政府采购云平台”平台电子开标大厅签到并在发起解密指令之时起</w:t>
      </w:r>
      <w:r>
        <w:rPr>
          <w:rFonts w:hAnsi="宋体"/>
          <w:color w:val="000000" w:themeColor="text1"/>
          <w:szCs w:val="21"/>
          <w14:textFill>
            <w14:solidFill>
              <w14:schemeClr w14:val="tx1"/>
            </w14:solidFill>
          </w14:textFill>
        </w:rPr>
        <w:t>30</w:t>
      </w:r>
      <w:r>
        <w:rPr>
          <w:rFonts w:hint="eastAsia" w:hAnsi="宋体"/>
          <w:color w:val="000000" w:themeColor="text1"/>
          <w:szCs w:val="21"/>
          <w14:textFill>
            <w14:solidFill>
              <w14:schemeClr w14:val="tx1"/>
            </w14:solidFill>
          </w14:textFill>
        </w:rPr>
        <w:t>分钟内完成对电子响应文件在线解密。发起解密指令之时起</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分钟内供应商还未进行解密的，代理机构通知供应商，</w:t>
      </w:r>
      <w:r>
        <w:rPr>
          <w:rFonts w:hint="eastAsia" w:hAnsi="宋体"/>
          <w:bCs/>
          <w:color w:val="000000" w:themeColor="text1"/>
          <w:szCs w:val="21"/>
          <w14:textFill>
            <w14:solidFill>
              <w14:schemeClr w14:val="tx1"/>
            </w14:solidFill>
          </w14:textFill>
        </w:rPr>
        <w:t>通知后，</w:t>
      </w:r>
      <w:r>
        <w:rPr>
          <w:rFonts w:hint="eastAsia" w:hAnsi="宋体"/>
          <w:color w:val="000000" w:themeColor="text1"/>
          <w:szCs w:val="21"/>
          <w14:textFill>
            <w14:solidFill>
              <w14:schemeClr w14:val="tx1"/>
            </w14:solidFill>
          </w14:textFill>
        </w:rPr>
        <w:t>响应</w:t>
      </w:r>
      <w:r>
        <w:rPr>
          <w:rFonts w:hint="eastAsia" w:hAnsi="宋体"/>
          <w:bCs/>
          <w:color w:val="000000" w:themeColor="text1"/>
          <w:szCs w:val="21"/>
          <w14:textFill>
            <w14:solidFill>
              <w14:schemeClr w14:val="tx1"/>
            </w14:solidFill>
          </w14:textFill>
        </w:rPr>
        <w:t>文件仍未按时解密，或者</w:t>
      </w:r>
      <w:r>
        <w:rPr>
          <w:rFonts w:hint="eastAsia" w:hAnsi="宋体"/>
          <w:color w:val="000000" w:themeColor="text1"/>
          <w:szCs w:val="21"/>
          <w14:textFill>
            <w14:solidFill>
              <w14:schemeClr w14:val="tx1"/>
            </w14:solidFill>
          </w14:textFill>
        </w:rPr>
        <w:t>供应商</w:t>
      </w:r>
      <w:r>
        <w:rPr>
          <w:rFonts w:hint="eastAsia" w:hAnsi="宋体"/>
          <w:bCs/>
          <w:color w:val="000000" w:themeColor="text1"/>
          <w:szCs w:val="21"/>
          <w14:textFill>
            <w14:solidFill>
              <w14:schemeClr w14:val="tx1"/>
            </w14:solidFill>
          </w14:textFill>
        </w:rPr>
        <w:t>没预留联系方式或预留联系方式无效，</w:t>
      </w:r>
      <w:r>
        <w:rPr>
          <w:rFonts w:hint="eastAsia" w:hAnsi="宋体"/>
          <w:color w:val="000000" w:themeColor="text1"/>
          <w:szCs w:val="21"/>
          <w14:textFill>
            <w14:solidFill>
              <w14:schemeClr w14:val="tx1"/>
            </w14:solidFill>
          </w14:textFill>
        </w:rPr>
        <w:t>非代理机构原因导致代理机构无法联系到供应商进行解密的</w:t>
      </w:r>
      <w:r>
        <w:rPr>
          <w:rFonts w:hint="eastAsia" w:hAnsi="宋体"/>
          <w:bCs/>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视为响应文件无效</w:t>
      </w:r>
      <w:r>
        <w:rPr>
          <w:rFonts w:hint="eastAsia" w:hAnsi="宋体"/>
          <w:bCs/>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（解密异常情况处理：详见本章</w:t>
      </w:r>
      <w:r>
        <w:rPr>
          <w:rFonts w:hAnsi="宋体"/>
          <w:color w:val="000000" w:themeColor="text1"/>
          <w:szCs w:val="21"/>
          <w14:textFill>
            <w14:solidFill>
              <w14:schemeClr w14:val="tx1"/>
            </w14:solidFill>
          </w14:textFill>
        </w:rPr>
        <w:t>30.</w:t>
      </w:r>
      <w:r>
        <w:rPr>
          <w:rFonts w:hint="eastAsia" w:hAnsi="宋体"/>
          <w:color w:val="000000" w:themeColor="text1"/>
          <w:szCs w:val="21"/>
          <w14:textFill>
            <w14:solidFill>
              <w14:schemeClr w14:val="tx1"/>
            </w14:solidFill>
          </w14:textFill>
        </w:rPr>
        <w:t>电子交易活动的中止。）</w:t>
      </w:r>
    </w:p>
    <w:p w14:paraId="259BE0C0">
      <w:pPr>
        <w:spacing w:line="360" w:lineRule="exact"/>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23.2</w:t>
      </w:r>
      <w:r>
        <w:rPr>
          <w:rFonts w:hint="eastAsia" w:hAnsi="宋体"/>
          <w:color w:val="000000" w:themeColor="text1"/>
          <w:szCs w:val="21"/>
          <w14:textFill>
            <w14:solidFill>
              <w14:schemeClr w14:val="tx1"/>
            </w14:solidFill>
          </w14:textFill>
        </w:rPr>
        <w:t>如供应商成功解密响应文件，但未在“广西政府采购云平台”电子开标大厅参加谈判的，视同认可谈判过程和结果，由此产生的后果由供应商自行负责。参与谈判的供应商不足</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家的，不得谈判。</w:t>
      </w:r>
    </w:p>
    <w:p w14:paraId="26AB2C4D">
      <w:pPr>
        <w:spacing w:line="360" w:lineRule="exact"/>
        <w:ind w:firstLine="422" w:firstLineChars="200"/>
        <w:jc w:val="left"/>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24.</w:t>
      </w:r>
      <w:r>
        <w:rPr>
          <w:rFonts w:hint="eastAsia" w:hAnsi="宋体"/>
          <w:b/>
          <w:color w:val="000000" w:themeColor="text1"/>
          <w:szCs w:val="21"/>
          <w14:textFill>
            <w14:solidFill>
              <w14:schemeClr w14:val="tx1"/>
            </w14:solidFill>
          </w14:textFill>
        </w:rPr>
        <w:t>评审程序</w:t>
      </w:r>
    </w:p>
    <w:p w14:paraId="6FF204C2">
      <w:pPr>
        <w:spacing w:line="360" w:lineRule="exact"/>
        <w:ind w:firstLine="420" w:firstLineChars="200"/>
        <w:jc w:val="left"/>
        <w:rPr>
          <w:rFonts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hAnsi="宋体"/>
          <w:color w:val="000000" w:themeColor="text1"/>
          <w:szCs w:val="21"/>
          <w14:textFill>
            <w14:solidFill>
              <w14:schemeClr w14:val="tx1"/>
            </w14:solidFill>
          </w14:textFill>
        </w:rPr>
        <w:t>谈判小组按照“第六章</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评审方法和评审标准”规定的方法、评审因素、标准和程序对响应文件进行评审。</w:t>
      </w:r>
    </w:p>
    <w:p w14:paraId="4DE0DA4A">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w:t>
      </w:r>
      <w:r>
        <w:rPr>
          <w:rFonts w:hint="eastAsia" w:ascii="宋体" w:hAnsi="宋体" w:cs="宋体"/>
          <w:bCs/>
          <w:color w:val="000000" w:themeColor="text1"/>
          <w:szCs w:val="21"/>
          <w14:textFill>
            <w14:solidFill>
              <w14:schemeClr w14:val="tx1"/>
            </w14:solidFill>
          </w14:textFill>
        </w:rPr>
        <w:t>资格审查</w:t>
      </w:r>
    </w:p>
    <w:p w14:paraId="16A0E24E">
      <w:pPr>
        <w:spacing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响应文件开启后，谈判小组依法对供应商的资格文件进行审查</w:t>
      </w:r>
      <w:r>
        <w:rPr>
          <w:rFonts w:hint="eastAsia" w:ascii="宋体" w:hAnsi="宋体" w:cs="宋体"/>
          <w:color w:val="000000" w:themeColor="text1"/>
          <w:spacing w:val="-2"/>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在资格审查时，如发现下列情形之一的，响应文件将被视为无效：</w:t>
      </w:r>
    </w:p>
    <w:p w14:paraId="405CBE56">
      <w:pPr>
        <w:spacing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（1）不具备谈判文件中规定的资格要求的；（注：其中信用查询由谈判小组于资格审查时</w:t>
      </w:r>
      <w:r>
        <w:rPr>
          <w:rFonts w:hint="eastAsia" w:ascii="宋体" w:hAnsi="宋体" w:cs="宋体"/>
          <w:color w:val="000000" w:themeColor="text1"/>
          <w:szCs w:val="21"/>
          <w14:textFill>
            <w14:solidFill>
              <w14:schemeClr w14:val="tx1"/>
            </w14:solidFill>
          </w14:textFill>
        </w:rPr>
        <w:t>在“信用中国”网站和“中国政府采购网”</w:t>
      </w:r>
      <w:r>
        <w:rPr>
          <w:rFonts w:hint="eastAsia" w:ascii="宋体" w:hAnsi="宋体"/>
          <w:bCs/>
          <w:color w:val="000000" w:themeColor="text1"/>
          <w:szCs w:val="21"/>
          <w14:textFill>
            <w14:solidFill>
              <w14:schemeClr w14:val="tx1"/>
            </w14:solidFill>
          </w14:textFill>
        </w:rPr>
        <w:t>对供应商进行信用查询，联合体成员存在不良信用记录的视同联合体存在不良信用记录。）</w:t>
      </w:r>
    </w:p>
    <w:p w14:paraId="63BA1242">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（2）未提供谈判文件中“13.响应文件的组成13.1资格证明文件”要求必须提供的资料的；</w:t>
      </w:r>
    </w:p>
    <w:p w14:paraId="57D15E80">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（3）法律、法规和谈判文件规定的其他无效情形。</w:t>
      </w:r>
    </w:p>
    <w:p w14:paraId="3B9B462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通过资格审查的合格供应商不足3家的，不得进入符合性审查环节，采购人或者采购代理机构应当重新开展采购活动。</w:t>
      </w:r>
    </w:p>
    <w:p w14:paraId="32CF898E">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24.3符合性审查</w:t>
      </w:r>
    </w:p>
    <w:p w14:paraId="168B4D89">
      <w:pPr>
        <w:widowControl/>
        <w:spacing w:line="360" w:lineRule="exact"/>
        <w:ind w:firstLine="420" w:firstLineChars="200"/>
        <w:jc w:val="left"/>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谈判小组依法对供应商的符合性进行审查</w:t>
      </w:r>
      <w:r>
        <w:rPr>
          <w:rFonts w:hint="eastAsia" w:ascii="宋体" w:hAnsi="宋体" w:cs="宋体"/>
          <w:color w:val="000000" w:themeColor="text1"/>
          <w:spacing w:val="-2"/>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在符合性审查时，如发现下列情形之一的，响应文件将被视为无效：</w:t>
      </w:r>
    </w:p>
    <w:p w14:paraId="52125044">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未按照竞争性谈判文件的规定足额交纳投标保证金的</w:t>
      </w:r>
      <w:r>
        <w:rPr>
          <w:rFonts w:hint="eastAsia" w:ascii="宋体" w:hAnsi="宋体"/>
          <w:bCs/>
          <w:color w:val="000000" w:themeColor="text1"/>
          <w:szCs w:val="21"/>
          <w14:textFill>
            <w14:solidFill>
              <w14:schemeClr w14:val="tx1"/>
            </w14:solidFill>
          </w14:textFill>
        </w:rPr>
        <w:t>；</w:t>
      </w:r>
    </w:p>
    <w:p w14:paraId="4CD34349">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（2）响应文件未按谈判文件要求签署、盖章的；</w:t>
      </w:r>
    </w:p>
    <w:p w14:paraId="6BA8AC8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（3）投标代表人未能出具身份证明或与法定代表人授权委托人身份不符的；</w:t>
      </w:r>
    </w:p>
    <w:p w14:paraId="0AE5732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（4）响应文件的实质性内容未使用中文表述、意思表述不明确、前后矛盾或者使用计量单位不符合谈判文件要求的（经评标委员会认定并允许其当场更正的笔误除外）</w:t>
      </w:r>
    </w:p>
    <w:p w14:paraId="489CA310">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（5）响应文件有效期、服务期或交货期、质保期等商务条款不能满足招标文件要求的；</w:t>
      </w:r>
    </w:p>
    <w:p w14:paraId="18B70775">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（6）未实质性响应谈判文件要求或者响应文件有采购人不能接受的附加条件的。</w:t>
      </w:r>
    </w:p>
    <w:p w14:paraId="274397C6">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（7）未提供谈判文件中“13.响应文件的组成13.2商务和技术文件”要求必须提供的资料的；</w:t>
      </w:r>
    </w:p>
    <w:p w14:paraId="0317C340">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（8）未提供或未如实提供投标货物的技术参数，或者响应文件标明的响应或偏离与事实不符或虚假投标的；</w:t>
      </w:r>
    </w:p>
    <w:p w14:paraId="768E4A07">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（9）明显不符合招标文件要求的规格型号、质量标准和采购需求的，或者与招标文件中标“▲”的技术指标、主要功能项目发生实质性偏离的；</w:t>
      </w:r>
    </w:p>
    <w:p w14:paraId="275E933C">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（10）允许偏离的技术、性能指标或者辅助功能项目发生负偏离达 </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 xml:space="preserve"> 项（含</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项）以上的；</w:t>
      </w:r>
    </w:p>
    <w:p w14:paraId="0A1EDB04">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（11）技术方案不明确，存在一个或一个以上备选（替代）竞标方案的。</w:t>
      </w:r>
    </w:p>
    <w:p w14:paraId="4B514668">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（12）未提供谈判文件中“13.响应文件的组成13.3报价文件”要求必须提供的资料的；</w:t>
      </w:r>
    </w:p>
    <w:p w14:paraId="385B2692">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（13）报价超过招标文件中规定的预算金额或者最高限价</w:t>
      </w:r>
      <w:r>
        <w:rPr>
          <w:rFonts w:hint="eastAsia" w:ascii="宋体" w:hAnsi="宋体"/>
          <w:bCs/>
          <w:color w:val="000000" w:themeColor="text1"/>
          <w:szCs w:val="21"/>
          <w:lang w:eastAsia="zh-CN"/>
          <w14:textFill>
            <w14:solidFill>
              <w14:schemeClr w14:val="tx1"/>
            </w14:solidFill>
          </w14:textFill>
        </w:rPr>
        <w:t>或</w:t>
      </w:r>
      <w:r>
        <w:rPr>
          <w:rFonts w:hint="eastAsia" w:ascii="宋体" w:hAnsi="宋体"/>
          <w:bCs/>
          <w:color w:val="000000" w:themeColor="text1"/>
          <w:szCs w:val="21"/>
          <w14:textFill>
            <w14:solidFill>
              <w14:schemeClr w14:val="tx1"/>
            </w14:solidFill>
          </w14:textFill>
        </w:rPr>
        <w:t>预算控制单价的；</w:t>
      </w:r>
    </w:p>
    <w:p w14:paraId="2671F011">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（14）未采用人民币报价或者未按照招标文件标明的币种报价的；</w:t>
      </w:r>
    </w:p>
    <w:p w14:paraId="4FFA9266">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（15）竞标报价具有选择性，或者云平台中开标记录表的报价与响应文件承诺的优惠（折扣）价格不一致的；</w:t>
      </w:r>
    </w:p>
    <w:p w14:paraId="4D5345DE">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（16）法律、法规和招标文件规定的其他无效情形。</w:t>
      </w:r>
    </w:p>
    <w:p w14:paraId="3F6FE80D">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（17）出现恶意竞争低于成本价的情形</w:t>
      </w:r>
    </w:p>
    <w:p w14:paraId="28A44C8D">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82CECA4">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通过符合性审查的合格供应商不足3家的，不得进入谈判环节，应当重新开展采购活动。</w:t>
      </w:r>
    </w:p>
    <w:p w14:paraId="762ECBF6">
      <w:pPr>
        <w:spacing w:line="360" w:lineRule="exact"/>
        <w:ind w:firstLine="422" w:firstLineChars="200"/>
        <w:jc w:val="left"/>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25.</w:t>
      </w:r>
      <w:r>
        <w:rPr>
          <w:rFonts w:hint="eastAsia" w:hAnsi="宋体"/>
          <w:b/>
          <w:color w:val="000000" w:themeColor="text1"/>
          <w:szCs w:val="21"/>
          <w14:textFill>
            <w14:solidFill>
              <w14:schemeClr w14:val="tx1"/>
            </w14:solidFill>
          </w14:textFill>
        </w:rPr>
        <w:t>谈判程序</w:t>
      </w:r>
    </w:p>
    <w:p w14:paraId="65C264D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b/>
          <w:color w:val="000000" w:themeColor="text1"/>
          <w:szCs w:val="21"/>
          <w14:textFill>
            <w14:solidFill>
              <w14:schemeClr w14:val="tx1"/>
            </w14:solidFill>
          </w14:textFill>
        </w:rPr>
        <w:t>其响应文件按无效响应处理。</w:t>
      </w:r>
    </w:p>
    <w:p w14:paraId="558D3AB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77A516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25.3对谈判文件作出的实质性变动是谈判文件的有效组成部分，由谈判小组及时以电子澄清函形式同时通知所有参加谈判的供应商。</w:t>
      </w:r>
    </w:p>
    <w:p w14:paraId="0624468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66DFA4F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25.5谈判中，谈判的任何一方不得透露与谈判有关的其他供应商的技术资料、价格和其他信息。</w:t>
      </w:r>
    </w:p>
    <w:p w14:paraId="1605934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25.6谈判小组应对谈判过程和重要谈判内容进行记录，作为评标报告一部分，谈判小组在记录上签字确认。</w:t>
      </w:r>
    </w:p>
    <w:p w14:paraId="4FCAF96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25.7谈判过程中重新提交的响应文件，供应商可以在开启前补充、修改。</w:t>
      </w:r>
    </w:p>
    <w:p w14:paraId="73A8C92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25.8对谈判过程提交的响应文件进行有效性、完整性和响应程度审查，通过审查的合格供应商不足3家的，采购人或者采购代理机构应当重新开展采购活动。</w:t>
      </w:r>
    </w:p>
    <w:p w14:paraId="39A8FBCC">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26.最后报价</w:t>
      </w:r>
    </w:p>
    <w:p w14:paraId="702B79B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cs="宋体"/>
          <w:color w:val="000000" w:themeColor="text1"/>
          <w:kern w:val="0"/>
          <w:szCs w:val="21"/>
          <w14:textFill>
            <w14:solidFill>
              <w14:schemeClr w14:val="tx1"/>
            </w14:solidFill>
          </w14:textFill>
        </w:rPr>
        <w:t>继续参加谈判的供应商</w:t>
      </w:r>
      <w:r>
        <w:rPr>
          <w:rFonts w:hint="eastAsia" w:ascii="宋体" w:hAnsi="宋体"/>
          <w:color w:val="000000" w:themeColor="text1"/>
          <w:szCs w:val="21"/>
          <w14:textFill>
            <w14:solidFill>
              <w14:schemeClr w14:val="tx1"/>
            </w14:solidFill>
          </w14:textFill>
        </w:rPr>
        <w:t>作最后报价</w:t>
      </w:r>
      <w:r>
        <w:rPr>
          <w:rFonts w:hint="eastAsia" w:ascii="宋体" w:hAnsi="宋体"/>
          <w:b/>
          <w:color w:val="000000" w:themeColor="text1"/>
          <w:szCs w:val="21"/>
          <w14:textFill>
            <w14:solidFill>
              <w14:schemeClr w14:val="tx1"/>
            </w14:solidFill>
          </w14:textFill>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000000" w:themeColor="text1"/>
          <w:kern w:val="0"/>
          <w:szCs w:val="21"/>
          <w14:textFill>
            <w14:solidFill>
              <w14:schemeClr w14:val="tx1"/>
            </w14:solidFill>
          </w14:textFill>
        </w:rPr>
        <w:t>后递交</w:t>
      </w:r>
      <w:r>
        <w:rPr>
          <w:rFonts w:hint="eastAsia" w:ascii="宋体" w:hAnsi="宋体"/>
          <w:b/>
          <w:color w:val="000000" w:themeColor="text1"/>
          <w:szCs w:val="21"/>
          <w14:textFill>
            <w14:solidFill>
              <w14:schemeClr w14:val="tx1"/>
            </w14:solidFill>
          </w14:textFill>
        </w:rPr>
        <w:t>。</w:t>
      </w:r>
    </w:p>
    <w:p w14:paraId="5D99F90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密封提交最后报价。</w:t>
      </w:r>
    </w:p>
    <w:p w14:paraId="20F03CD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26.3 最后报价是供应商响应文件的有效组成部分。</w:t>
      </w:r>
    </w:p>
    <w:p w14:paraId="327FA9D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26.4已经提交响应文件的供应商，在提交最后报价之前，可以根据谈判情况退出谈判，退出谈判的供应商的响应文件按无效响应处理。</w:t>
      </w:r>
    </w:p>
    <w:p w14:paraId="4AFC4F6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26.5供应商未在规定时间内提交最后报价的，视同</w:t>
      </w:r>
      <w:r>
        <w:rPr>
          <w:rFonts w:hint="eastAsia" w:ascii="宋体" w:cs="宋体"/>
          <w:b/>
          <w:color w:val="000000" w:themeColor="text1"/>
          <w:kern w:val="0"/>
          <w:szCs w:val="21"/>
          <w14:textFill>
            <w14:solidFill>
              <w14:schemeClr w14:val="tx1"/>
            </w14:solidFill>
          </w14:textFill>
        </w:rPr>
        <w:t>放弃报价权利退出谈判</w:t>
      </w:r>
      <w:r>
        <w:rPr>
          <w:rFonts w:hint="eastAsia" w:ascii="宋体" w:hAnsi="宋体"/>
          <w:color w:val="000000" w:themeColor="text1"/>
          <w:szCs w:val="21"/>
          <w14:textFill>
            <w14:solidFill>
              <w14:schemeClr w14:val="tx1"/>
            </w14:solidFill>
          </w14:textFill>
        </w:rPr>
        <w:t>。</w:t>
      </w:r>
    </w:p>
    <w:p w14:paraId="04A951E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26.6谈判小组收齐项目或某一分标最后报价后统一开启，谈判小组对最后报价进行有效性、完整性和响应程度的审查。</w:t>
      </w:r>
    </w:p>
    <w:p w14:paraId="7C0BA46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26.7最终响应文件的报价出现前后不一致的，按照本章第29.1条的规定修正。</w:t>
      </w:r>
    </w:p>
    <w:p w14:paraId="455E07D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26.8修正后的最终报价出现下列情形的，按无效响应处理：</w:t>
      </w:r>
    </w:p>
    <w:p w14:paraId="06D18E6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（1）供应商不确认的（全流程电子化评标采取在线确认）；</w:t>
      </w:r>
    </w:p>
    <w:p w14:paraId="4408D0C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（2）经供应商确认修正后的响应报价（包含首次报价、最后报价）超过所竞标分标规定的采购预算金额或者最高限价的（如本项目公布了最高限价）；</w:t>
      </w:r>
    </w:p>
    <w:p w14:paraId="63AE80E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（3）经供应商确认修正后的响应报价（包含首次报价、最后报价）超过分项采购预算金额或者最高限价的（如本项目公布了最高限价）。</w:t>
      </w:r>
    </w:p>
    <w:p w14:paraId="2AF0174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26.9经供应商确认修正后的最后报价作为评审及签订合同的依据。</w:t>
      </w:r>
    </w:p>
    <w:p w14:paraId="5CA00C1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26.10供应商出现最后报价按无效响应处理或者响应文件按无效处理时，谈判小组应当告知有关供应商。</w:t>
      </w:r>
    </w:p>
    <w:p w14:paraId="4C1B07F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26.11最后报价结束后，谈判小组不得再与供应商进行任何形式的商谈。</w:t>
      </w:r>
    </w:p>
    <w:p w14:paraId="00E167B4">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27. 最后报价政府采购政策性扣除</w:t>
      </w:r>
    </w:p>
    <w:p w14:paraId="1B25820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14:paraId="0E62F79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27.2谈判小组从质量和服务均能满足竞争性谈判文件实质性响应要求的供应商中，按照最后评审价由低到高的顺序提出3名以上成交候选人；</w:t>
      </w:r>
      <w:r>
        <w:rPr>
          <w:rFonts w:hint="eastAsia" w:ascii="宋体" w:hAnsi="宋体"/>
          <w:color w:val="000000" w:themeColor="text1"/>
          <w14:textFill>
            <w14:solidFill>
              <w14:schemeClr w14:val="tx1"/>
            </w14:solidFill>
          </w14:textFill>
        </w:rPr>
        <w:t>最后评审报价相同时，依次最后竞标报价低优先、</w:t>
      </w:r>
      <w:r>
        <w:rPr>
          <w:rFonts w:hint="eastAsia" w:ascii="宋体" w:hAnsi="宋体" w:cs="宋体"/>
          <w:color w:val="000000" w:themeColor="text1"/>
          <w:szCs w:val="21"/>
          <w14:textFill>
            <w14:solidFill>
              <w14:schemeClr w14:val="tx1"/>
            </w14:solidFill>
          </w14:textFill>
        </w:rPr>
        <w:t>依次按节能环保产品累计金额高的优先、</w:t>
      </w:r>
      <w:r>
        <w:rPr>
          <w:rFonts w:hint="eastAsia" w:ascii="宋体" w:hAnsi="宋体" w:cs="宋体"/>
          <w:color w:val="000000" w:themeColor="text1"/>
          <w14:textFill>
            <w14:solidFill>
              <w14:schemeClr w14:val="tx1"/>
            </w14:solidFill>
          </w14:textFill>
        </w:rPr>
        <w:t>环境标志产品优先、</w:t>
      </w:r>
      <w:r>
        <w:rPr>
          <w:rFonts w:hint="eastAsia" w:ascii="宋体" w:hAnsi="宋体"/>
          <w:color w:val="000000" w:themeColor="text1"/>
          <w14:textFill>
            <w14:solidFill>
              <w14:schemeClr w14:val="tx1"/>
            </w14:solidFill>
          </w14:textFill>
        </w:rPr>
        <w:t>关键技术指标高优先、质量保证期长优先、</w:t>
      </w:r>
      <w:r>
        <w:rPr>
          <w:rFonts w:hint="eastAsia" w:ascii="宋体" w:hAnsi="宋体"/>
          <w:bCs/>
          <w:color w:val="000000" w:themeColor="text1"/>
          <w14:textFill>
            <w14:solidFill>
              <w14:schemeClr w14:val="tx1"/>
            </w14:solidFill>
          </w14:textFill>
        </w:rPr>
        <w:t>交货期</w:t>
      </w:r>
      <w:r>
        <w:rPr>
          <w:rFonts w:hint="eastAsia" w:ascii="宋体" w:hAnsi="宋体"/>
          <w:color w:val="000000" w:themeColor="text1"/>
          <w14:textFill>
            <w14:solidFill>
              <w14:schemeClr w14:val="tx1"/>
            </w14:solidFill>
          </w14:textFill>
        </w:rPr>
        <w:t>短优先、故障处理时间短优先的顺序排列</w:t>
      </w:r>
      <w:r>
        <w:rPr>
          <w:rFonts w:hint="eastAsia" w:ascii="宋体" w:hAnsi="宋体"/>
          <w:color w:val="000000" w:themeColor="text1"/>
          <w:szCs w:val="21"/>
          <w14:textFill>
            <w14:solidFill>
              <w14:schemeClr w14:val="tx1"/>
            </w14:solidFill>
          </w14:textFill>
        </w:rPr>
        <w:t>成交候选人，并编写评审报告。最后报价是供应商竞争性谈判响应文件的有效组成部分。</w:t>
      </w:r>
    </w:p>
    <w:p w14:paraId="116A70A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0626532">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28.澄清问题的形式</w:t>
      </w:r>
    </w:p>
    <w:p w14:paraId="17470A8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28.1对于响应文件中含义不明确、同类问题表述不一致或者有明显文字和计算错误的内容，评标委员会应在“广西政府采购云平台”平台发布电子澄清函，要求供应商在规定时间内作出必要的澄清、说明或者补正。供应商在“广西政府采购云平台”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66ACDCB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6ABFDE35">
      <w:pPr>
        <w:widowControl/>
        <w:tabs>
          <w:tab w:val="left" w:pos="540"/>
        </w:tabs>
        <w:spacing w:line="360" w:lineRule="exact"/>
        <w:ind w:firstLine="422" w:firstLineChars="20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29.错误修正</w:t>
      </w:r>
    </w:p>
    <w:p w14:paraId="07C7BCE2">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29.1竞争性谈判响应文件如果出现计算或表达上的错误，修正错误的原则如下：</w:t>
      </w:r>
    </w:p>
    <w:p w14:paraId="6204A9E6">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（1）响应文件中开标一览表（报价表）内容与响应文件中相应内容不一致的，以开标一览表（报价表）为准；</w:t>
      </w:r>
    </w:p>
    <w:p w14:paraId="68C0E3C7">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（2）大写金额和小写金额不一致的，以大写金额为准；</w:t>
      </w:r>
    </w:p>
    <w:p w14:paraId="5C73CECE">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（3）单价金额小数点或者百分比有明显错位的，以开标一览表的总价为准，并修改单价；</w:t>
      </w:r>
    </w:p>
    <w:p w14:paraId="4D2DA72E">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（4）总价金额与按单价汇总金额不一致的，以单价金额计算结果为准。</w:t>
      </w:r>
    </w:p>
    <w:p w14:paraId="059E669D">
      <w:pPr>
        <w:widowControl/>
        <w:tabs>
          <w:tab w:val="left" w:pos="540"/>
        </w:tabs>
        <w:spacing w:line="360" w:lineRule="exact"/>
        <w:ind w:firstLine="422" w:firstLineChars="200"/>
        <w:jc w:val="left"/>
        <w:rPr>
          <w:rFonts w:ascii="宋体"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同时出现两种以上不一致的，按照前款规定的顺序修正。修正后的报价经供应商确认并加盖公章或者由法定代表人或其授权的代表签字后产生约束力，供应商不确认的，其竞标无效。</w:t>
      </w:r>
    </w:p>
    <w:p w14:paraId="0472F770">
      <w:pPr>
        <w:widowControl/>
        <w:tabs>
          <w:tab w:val="left" w:pos="540"/>
        </w:tabs>
        <w:spacing w:line="36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29.2经供应商确认修正后的首次及最后报价若超过采购预算金额，供应商的响应文件作无效处理。</w:t>
      </w:r>
    </w:p>
    <w:p w14:paraId="1133EB06">
      <w:pPr>
        <w:widowControl/>
        <w:tabs>
          <w:tab w:val="left" w:pos="540"/>
        </w:tabs>
        <w:spacing w:line="36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29.3经供应商确认修正后的最后报价作为评审及签订合同的依据。</w:t>
      </w:r>
    </w:p>
    <w:p w14:paraId="70ACE3E4">
      <w:pPr>
        <w:widowControl/>
        <w:spacing w:line="360" w:lineRule="exact"/>
        <w:ind w:firstLine="422" w:firstLineChars="200"/>
        <w:jc w:val="left"/>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30.电子交易活动的中止</w:t>
      </w:r>
    </w:p>
    <w:p w14:paraId="4DD61778">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30.1采购过程中出现以下情形，导致电子交易平台无法正常运行，或者无法保证电子交易的公平、公正和安全时，采购机构可中止电子交易活动：</w:t>
      </w:r>
    </w:p>
    <w:p w14:paraId="273380E2">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（1）电子交易平台发生故障而无法登录访问的；</w:t>
      </w:r>
    </w:p>
    <w:p w14:paraId="2652A2C9">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（2）电子交易平台应用或数据库出现错误，不能进行正常操作的；</w:t>
      </w:r>
    </w:p>
    <w:p w14:paraId="21DF74CB">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（3）电子交易平台发现严重安全漏洞，有潜在泄密危险的；</w:t>
      </w:r>
    </w:p>
    <w:p w14:paraId="77D24A2E">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（4）病毒发作导致不能进行正常操作的；</w:t>
      </w:r>
    </w:p>
    <w:p w14:paraId="0D4249A2">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（5）其他无法保证电子交易的公平、公正和安全的情况。</w:t>
      </w:r>
    </w:p>
    <w:p w14:paraId="50763FD0">
      <w:pPr>
        <w:widowControl/>
        <w:spacing w:line="360" w:lineRule="exact"/>
        <w:ind w:firstLine="420" w:firstLineChars="200"/>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C9B7170">
      <w:pPr>
        <w:widowControl/>
        <w:tabs>
          <w:tab w:val="left" w:pos="540"/>
        </w:tabs>
        <w:spacing w:line="360" w:lineRule="exact"/>
        <w:ind w:firstLine="422" w:firstLineChars="20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31.评委表决</w:t>
      </w:r>
    </w:p>
    <w:p w14:paraId="6CB5A9DB">
      <w:pPr>
        <w:widowControl/>
        <w:tabs>
          <w:tab w:val="left" w:pos="540"/>
        </w:tabs>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31.1在评标过程中出现法律法规和谈判文件均没有明确规定的情形时，由谈判小组现场协商解决，协商不一致的，由全体评委投票表决，以得票率二分之一以上专家的意见为准。</w:t>
      </w:r>
    </w:p>
    <w:p w14:paraId="1BF85425">
      <w:pPr>
        <w:widowControl/>
        <w:tabs>
          <w:tab w:val="left" w:pos="540"/>
        </w:tabs>
        <w:spacing w:line="360" w:lineRule="exact"/>
        <w:ind w:firstLine="422" w:firstLineChars="20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32.评审过程的监控</w:t>
      </w:r>
    </w:p>
    <w:p w14:paraId="00A5B63D">
      <w:pPr>
        <w:widowControl/>
        <w:tabs>
          <w:tab w:val="left" w:pos="540"/>
        </w:tabs>
        <w:spacing w:line="360" w:lineRule="exact"/>
        <w:ind w:firstLine="420" w:firstLineChars="200"/>
        <w:jc w:val="left"/>
        <w:rPr>
          <w:rFonts w:ascii="宋体"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32.1</w:t>
      </w:r>
      <w:r>
        <w:rPr>
          <w:rFonts w:hint="eastAsia" w:hAnsi="宋体"/>
          <w:color w:val="000000" w:themeColor="text1"/>
          <w:szCs w:val="21"/>
          <w14:textFill>
            <w14:solidFill>
              <w14:schemeClr w14:val="tx1"/>
            </w14:solidFill>
          </w14:textFill>
        </w:rPr>
        <w:t>本项目电子评标过程实行网上留痕、全程录音、录像监控，</w:t>
      </w:r>
      <w:r>
        <w:rPr>
          <w:rFonts w:hint="eastAsia" w:hAnsi="宋体" w:cs="宋体"/>
          <w:color w:val="000000" w:themeColor="text1"/>
          <w:szCs w:val="21"/>
          <w14:textFill>
            <w14:solidFill>
              <w14:schemeClr w14:val="tx1"/>
            </w14:solidFill>
          </w14:textFill>
        </w:rPr>
        <w:t>供应商在评审过程中所进行的试图影响评审结果的不公正活动，可能导致其竞争性谈判被拒绝。</w:t>
      </w:r>
    </w:p>
    <w:p w14:paraId="31C708EF">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五、成交及合同</w:t>
      </w:r>
    </w:p>
    <w:p w14:paraId="6F64DFBA">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33.确定成交供应商</w:t>
      </w:r>
    </w:p>
    <w:p w14:paraId="65FD8824">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33.1 </w:t>
      </w:r>
      <w:r>
        <w:rPr>
          <w:rFonts w:hint="eastAsia" w:ascii="宋体" w:hAnsi="宋体" w:cs="宋体"/>
          <w:color w:val="000000" w:themeColor="text1"/>
          <w:kern w:val="0"/>
          <w:szCs w:val="21"/>
          <w14:textFill>
            <w14:solidFill>
              <w14:schemeClr w14:val="tx1"/>
            </w14:solidFill>
          </w14:textFill>
        </w:rPr>
        <w:t>根据以下原则确定成交供应商：</w:t>
      </w:r>
      <w:r>
        <w:rPr>
          <w:rFonts w:hint="eastAsia" w:hAnsi="宋体" w:cs="宋体"/>
          <w:color w:val="000000" w:themeColor="text1"/>
          <w:kern w:val="0"/>
          <w:szCs w:val="21"/>
          <w14:textFill>
            <w14:solidFill>
              <w14:schemeClr w14:val="tx1"/>
            </w14:solidFill>
          </w14:textFill>
        </w:rPr>
        <w:t>响应文件满足谈判文件全部实质性要求，且评审报价最低的供应商为成交供应商。</w:t>
      </w:r>
    </w:p>
    <w:p w14:paraId="29707FAF">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33.2采购代理机构将在评标结束后两个工作日内将评标报告送采购人，采购人在五个工作日内按照评标报告中推荐的成交候选人顺序确定成交人。采购人也可以事先授权谈判小组直接确定成交人。</w:t>
      </w:r>
    </w:p>
    <w:p w14:paraId="7C96A78C">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33.3成交供应商确定后二个工作日内，</w:t>
      </w:r>
      <w:r>
        <w:rPr>
          <w:rFonts w:hint="eastAsia" w:hAnsi="宋体"/>
          <w:color w:val="000000" w:themeColor="text1"/>
          <w:szCs w:val="21"/>
          <w14:textFill>
            <w14:solidFill>
              <w14:schemeClr w14:val="tx1"/>
            </w14:solidFill>
          </w14:textFill>
        </w:rPr>
        <w:t>采购代理机构或采购人</w:t>
      </w:r>
      <w:r>
        <w:rPr>
          <w:rFonts w:hint="eastAsia" w:cs="宋体"/>
          <w:color w:val="000000" w:themeColor="text1"/>
          <w:kern w:val="0"/>
          <w:szCs w:val="21"/>
          <w14:textFill>
            <w14:solidFill>
              <w14:schemeClr w14:val="tx1"/>
            </w14:solidFill>
          </w14:textFill>
        </w:rPr>
        <w:t>应当对成交人信用进行核实</w:t>
      </w:r>
      <w:r>
        <w:rPr>
          <w:rFonts w:hint="eastAsia" w:hAnsi="宋体"/>
          <w:color w:val="000000" w:themeColor="text1"/>
          <w:szCs w:val="21"/>
          <w14:textFill>
            <w14:solidFill>
              <w14:schemeClr w14:val="tx1"/>
            </w14:solidFill>
          </w14:textFill>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color w:val="000000" w:themeColor="text1"/>
          <w:spacing w:val="-3"/>
          <w:szCs w:val="21"/>
          <w14:textFill>
            <w14:solidFill>
              <w14:schemeClr w14:val="tx1"/>
            </w14:solidFill>
          </w14:textFill>
        </w:rPr>
        <w:t>并确定排名第二的中标候选人为中标人。排名第二的中标候选人因前款规定的同样原因被取消中标资格的，采购人可以确定排名第三的中标候选人为中标人。以上信息查询记录</w:t>
      </w:r>
      <w:r>
        <w:rPr>
          <w:rFonts w:hint="eastAsia"/>
          <w:color w:val="000000" w:themeColor="text1"/>
          <w:szCs w:val="21"/>
          <w14:textFill>
            <w14:solidFill>
              <w14:schemeClr w14:val="tx1"/>
            </w14:solidFill>
          </w14:textFill>
        </w:rPr>
        <w:t>及相关证据与谈判文件一并保存。</w:t>
      </w:r>
    </w:p>
    <w:p w14:paraId="109891FF">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33.4</w:t>
      </w:r>
      <w:r>
        <w:rPr>
          <w:rFonts w:hint="eastAsia" w:hAnsi="宋体"/>
          <w:color w:val="000000" w:themeColor="text1"/>
          <w:szCs w:val="21"/>
          <w14:textFill>
            <w14:solidFill>
              <w14:schemeClr w14:val="tx1"/>
            </w14:solidFill>
          </w14:textFill>
        </w:rPr>
        <w:t>在发布成交公告的同时，采购代理机构向成交供应商</w:t>
      </w:r>
      <w:r>
        <w:rPr>
          <w:rFonts w:hint="eastAsia" w:cs="宋体"/>
          <w:color w:val="000000" w:themeColor="text1"/>
          <w:kern w:val="0"/>
          <w:szCs w:val="21"/>
          <w14:textFill>
            <w14:solidFill>
              <w14:schemeClr w14:val="tx1"/>
            </w14:solidFill>
          </w14:textFill>
        </w:rPr>
        <w:t>通过“广西政府采购云平台”平台发出电子</w:t>
      </w:r>
      <w:r>
        <w:rPr>
          <w:rFonts w:hint="eastAsia" w:hAnsi="宋体"/>
          <w:color w:val="000000" w:themeColor="text1"/>
          <w:szCs w:val="21"/>
          <w14:textFill>
            <w14:solidFill>
              <w14:schemeClr w14:val="tx1"/>
            </w14:solidFill>
          </w14:textFill>
        </w:rPr>
        <w:t>成交通知书。</w:t>
      </w:r>
    </w:p>
    <w:p w14:paraId="7C24766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33.5供应商认为竞争性谈判文件、招标过程和成交结果使自己的权益受到损害的，可以在知道或者应知其权益受到损害之日起七个工作日内，以书面形式向招标采购单位提出质疑，并及时索要书面回执。</w:t>
      </w:r>
    </w:p>
    <w:p w14:paraId="20EFE773">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33.6采购代理机构应当按照有关规定就采购人委托授权范围内的事项在收到供应商的书面质疑后七个工作日内做出答复，但答复的内容不得涉及商业秘密。</w:t>
      </w:r>
    </w:p>
    <w:p w14:paraId="6407E353">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34.签订合同</w:t>
      </w:r>
    </w:p>
    <w:p w14:paraId="1D79B8BB">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cs="宋体"/>
          <w:color w:val="000000" w:themeColor="text1"/>
          <w:kern w:val="0"/>
          <w:szCs w:val="21"/>
          <w14:textFill>
            <w14:solidFill>
              <w14:schemeClr w14:val="tx1"/>
            </w14:solidFill>
          </w14:textFill>
        </w:rPr>
        <w:t>电子采购合同需要供应商通过有效</w:t>
      </w:r>
      <w:r>
        <w:rPr>
          <w:rFonts w:cs="宋体"/>
          <w:color w:val="000000" w:themeColor="text1"/>
          <w:kern w:val="0"/>
          <w:szCs w:val="21"/>
          <w14:textFill>
            <w14:solidFill>
              <w14:schemeClr w14:val="tx1"/>
            </w14:solidFill>
          </w14:textFill>
        </w:rPr>
        <w:t>CA</w:t>
      </w:r>
      <w:r>
        <w:rPr>
          <w:rFonts w:hint="eastAsia" w:cs="宋体"/>
          <w:color w:val="000000" w:themeColor="text1"/>
          <w:kern w:val="0"/>
          <w:szCs w:val="21"/>
          <w14:textFill>
            <w14:solidFill>
              <w14:schemeClr w14:val="tx1"/>
            </w14:solidFill>
          </w14:textFill>
        </w:rPr>
        <w:t>证书进行电子签名与签章。</w:t>
      </w:r>
    </w:p>
    <w:p w14:paraId="2F22FF8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6282900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34.3如成交人不按成交通知书的规定签订合同，则按成交人违约处理，采购代理机构将没收成交人投标的全部竞标保证金并上缴同级财政国库。</w:t>
      </w:r>
    </w:p>
    <w:p w14:paraId="347EAB5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4981C170">
      <w:pPr>
        <w:spacing w:line="360" w:lineRule="exact"/>
        <w:ind w:firstLine="420" w:firstLineChars="200"/>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34.5政府采</w:t>
      </w:r>
      <w:r>
        <w:rPr>
          <w:rFonts w:hint="eastAsia" w:hAnsi="宋体"/>
          <w:color w:val="000000" w:themeColor="text1"/>
          <w:szCs w:val="21"/>
          <w14:textFill>
            <w14:solidFill>
              <w14:schemeClr w14:val="tx1"/>
            </w14:solidFill>
          </w14:textFill>
        </w:rPr>
        <w:t>购合同公告：采购人或者受托采购代理机构应当自政府采购合同签订之日起</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个工作日内，将政府采购合同在“广西政府采购网”（</w:t>
      </w:r>
      <w:r>
        <w:rPr>
          <w:rFonts w:hAnsi="宋体"/>
          <w:color w:val="000000" w:themeColor="text1"/>
          <w:szCs w:val="21"/>
          <w14:textFill>
            <w14:solidFill>
              <w14:schemeClr w14:val="tx1"/>
            </w14:solidFill>
          </w14:textFill>
        </w:rPr>
        <w:t>http://zfcg.gxzf.gov.cn</w:t>
      </w:r>
      <w:r>
        <w:rPr>
          <w:rFonts w:hint="eastAsia" w:hAnsi="宋体"/>
          <w:color w:val="000000" w:themeColor="text1"/>
          <w:szCs w:val="21"/>
          <w14:textFill>
            <w14:solidFill>
              <w14:schemeClr w14:val="tx1"/>
            </w14:solidFill>
          </w14:textFill>
        </w:rPr>
        <w:t>）上发布公告，但政府采购合同中涉及国家秘密、商业秘密的内容除外。因此请各供应商应在响应文件中注明投标内容中涉及商业秘密的部分，未注明的视为响应文件中不涉及商业秘密。</w:t>
      </w:r>
    </w:p>
    <w:p w14:paraId="08EF5EF4">
      <w:pPr>
        <w:pStyle w:val="21"/>
        <w:spacing w:line="360" w:lineRule="exact"/>
        <w:ind w:firstLine="310" w:firstLineChars="147"/>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34.6履约保证金</w:t>
      </w:r>
    </w:p>
    <w:p w14:paraId="234CE842">
      <w:pPr>
        <w:spacing w:line="360" w:lineRule="exact"/>
        <w:ind w:firstLine="283" w:firstLineChars="135"/>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34.6.1履约保证金金额：详见供应商须知前附</w:t>
      </w:r>
      <w:r>
        <w:rPr>
          <w:rFonts w:hint="eastAsia" w:ascii="宋体" w:hAnsi="宋体"/>
          <w:color w:val="000000" w:themeColor="text1"/>
          <w:szCs w:val="21"/>
          <w14:textFill>
            <w14:solidFill>
              <w14:schemeClr w14:val="tx1"/>
            </w14:solidFill>
          </w14:textFill>
        </w:rPr>
        <w:t>表</w:t>
      </w:r>
      <w:r>
        <w:rPr>
          <w:rFonts w:ascii="宋体" w:hAnsi="宋体"/>
          <w:color w:val="000000" w:themeColor="text1"/>
          <w:kern w:val="0"/>
          <w:szCs w:val="21"/>
          <w14:textFill>
            <w14:solidFill>
              <w14:schemeClr w14:val="tx1"/>
            </w14:solidFill>
          </w14:textFill>
        </w:rPr>
        <w:t>。</w:t>
      </w:r>
    </w:p>
    <w:p w14:paraId="6C973ACF">
      <w:pPr>
        <w:spacing w:line="360" w:lineRule="exact"/>
        <w:ind w:firstLine="283" w:firstLineChars="135"/>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34.6.2履约保证金递交时间：详见供应商须知前附</w:t>
      </w:r>
      <w:r>
        <w:rPr>
          <w:rFonts w:hint="eastAsia" w:ascii="宋体" w:hAnsi="宋体"/>
          <w:color w:val="000000" w:themeColor="text1"/>
          <w:szCs w:val="21"/>
          <w14:textFill>
            <w14:solidFill>
              <w14:schemeClr w14:val="tx1"/>
            </w14:solidFill>
          </w14:textFill>
        </w:rPr>
        <w:t>表，未在规定时间内足额缴纳履约保证金的，不予签订合同</w:t>
      </w:r>
      <w:r>
        <w:rPr>
          <w:rFonts w:ascii="宋体" w:hAnsi="宋体"/>
          <w:color w:val="000000" w:themeColor="text1"/>
          <w:kern w:val="0"/>
          <w:szCs w:val="21"/>
          <w14:textFill>
            <w14:solidFill>
              <w14:schemeClr w14:val="tx1"/>
            </w14:solidFill>
          </w14:textFill>
        </w:rPr>
        <w:t>。</w:t>
      </w:r>
    </w:p>
    <w:p w14:paraId="7FC99D49">
      <w:pPr>
        <w:pStyle w:val="21"/>
        <w:spacing w:line="360" w:lineRule="exact"/>
        <w:ind w:firstLine="283" w:firstLineChars="135"/>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34.6.3在履约保证金退还日期前，若中标供应商的开户名称、开户银行、帐号有变动的，请以书面形式通知保证金收取单位，否则由此产生的后果由中标供应商自负。</w:t>
      </w:r>
    </w:p>
    <w:p w14:paraId="3B7D198E">
      <w:pPr>
        <w:spacing w:line="360" w:lineRule="exact"/>
        <w:ind w:firstLine="422" w:firstLineChars="200"/>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六、验收</w:t>
      </w:r>
    </w:p>
    <w:p w14:paraId="25DC613E">
      <w:pPr>
        <w:spacing w:line="360" w:lineRule="exact"/>
        <w:ind w:firstLine="422" w:firstLineChars="200"/>
        <w:rPr>
          <w:rFonts w:hAnsi="宋体"/>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35.</w:t>
      </w:r>
      <w:r>
        <w:rPr>
          <w:rFonts w:hint="eastAsia" w:hAnsi="宋体"/>
          <w:b/>
          <w:bCs/>
          <w:color w:val="000000" w:themeColor="text1"/>
          <w:szCs w:val="21"/>
          <w14:textFill>
            <w14:solidFill>
              <w14:schemeClr w14:val="tx1"/>
            </w14:solidFill>
          </w14:textFill>
        </w:rPr>
        <w:t>验收</w:t>
      </w:r>
    </w:p>
    <w:p w14:paraId="4DC766B9">
      <w:pPr>
        <w:spacing w:line="36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35.1</w:t>
      </w:r>
      <w:r>
        <w:rPr>
          <w:rFonts w:hint="eastAsia" w:hAnsi="宋体"/>
          <w:bCs/>
          <w:color w:val="000000" w:themeColor="text1"/>
          <w:szCs w:val="21"/>
          <w14:textFill>
            <w14:solidFill>
              <w14:schemeClr w14:val="tx1"/>
            </w14:solidFill>
          </w14:textFill>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E34421D">
      <w:pPr>
        <w:spacing w:line="36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35.2</w:t>
      </w:r>
      <w:r>
        <w:rPr>
          <w:rFonts w:hint="eastAsia" w:hAnsi="宋体"/>
          <w:bCs/>
          <w:color w:val="000000" w:themeColor="text1"/>
          <w:szCs w:val="21"/>
          <w14:textFill>
            <w14:solidFill>
              <w14:schemeClr w14:val="tx1"/>
            </w14:solidFill>
          </w14:textFill>
        </w:rPr>
        <w:t>采购人可以邀请参加本项目的其他供应商或者第三方机构参与验收。参与验收的供应商或者第三方机构的意见作为验收书的参考资料一并存档。</w:t>
      </w:r>
    </w:p>
    <w:p w14:paraId="1FB72FEE">
      <w:pPr>
        <w:spacing w:line="36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35.3</w:t>
      </w:r>
      <w:r>
        <w:rPr>
          <w:rFonts w:hint="eastAsia" w:hAnsi="宋体"/>
          <w:bCs/>
          <w:color w:val="000000" w:themeColor="text1"/>
          <w:szCs w:val="21"/>
          <w14:textFill>
            <w14:solidFill>
              <w14:schemeClr w14:val="tx1"/>
            </w14:solidFill>
          </w14:textFill>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A7BB288">
      <w:pPr>
        <w:spacing w:line="36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35.4</w:t>
      </w:r>
      <w:r>
        <w:rPr>
          <w:rFonts w:hint="eastAsia" w:hAnsi="宋体"/>
          <w:bCs/>
          <w:color w:val="000000" w:themeColor="text1"/>
          <w:szCs w:val="21"/>
          <w14:textFill>
            <w14:solidFill>
              <w14:schemeClr w14:val="tx1"/>
            </w14:solidFill>
          </w14:textFill>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BB89E89">
      <w:pPr>
        <w:spacing w:line="360" w:lineRule="exact"/>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35.5</w:t>
      </w:r>
      <w:r>
        <w:rPr>
          <w:rFonts w:hint="eastAsia" w:hAnsi="宋体"/>
          <w:bCs/>
          <w:color w:val="000000" w:themeColor="text1"/>
          <w:szCs w:val="21"/>
          <w14:textFill>
            <w14:solidFill>
              <w14:schemeClr w14:val="tx1"/>
            </w14:solidFill>
          </w14:textFill>
        </w:rPr>
        <w:t>项目验收完毕，成交供应商将壹份《广西壮族自治区政府采购项目合同验收书》（格式详见附件）送采购代理机构存档。</w:t>
      </w:r>
    </w:p>
    <w:p w14:paraId="7BBA62C4">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七、其他事项</w:t>
      </w:r>
    </w:p>
    <w:p w14:paraId="39BB1B87">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36. 需要补充的其他内容</w:t>
      </w:r>
    </w:p>
    <w:p w14:paraId="00D2014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36.1本谈判文件解释规则详见“供应商须知前附表”。</w:t>
      </w:r>
    </w:p>
    <w:p w14:paraId="515D0C8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37.2其他事项详见“供应商须知前附表”。</w:t>
      </w:r>
    </w:p>
    <w:p w14:paraId="1592F3AE">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37.</w:t>
      </w:r>
      <w:r>
        <w:rPr>
          <w:rFonts w:hint="eastAsia" w:ascii="宋体" w:hAnsi="宋体"/>
          <w:b/>
          <w:color w:val="000000" w:themeColor="text1"/>
          <w:szCs w:val="21"/>
          <w14:textFill>
            <w14:solidFill>
              <w14:schemeClr w14:val="tx1"/>
            </w14:solidFill>
          </w14:textFill>
        </w:rPr>
        <w:t xml:space="preserve"> 成交服务费</w:t>
      </w:r>
    </w:p>
    <w:p w14:paraId="2FEE05D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37.1成交服务费：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%向成交供应商收取。</w:t>
      </w:r>
      <w:r>
        <w:rPr>
          <w:rFonts w:hint="eastAsia" w:ascii="宋体" w:hAnsi="宋体" w:cs="宋体"/>
          <w:color w:val="000000" w:themeColor="text1"/>
          <w:szCs w:val="21"/>
          <w14:textFill>
            <w14:solidFill>
              <w14:schemeClr w14:val="tx1"/>
            </w14:solidFill>
          </w14:textFill>
        </w:rPr>
        <w:t>成交</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在领取成交通知书时，一次性向采购代理机构支付</w:t>
      </w:r>
      <w:r>
        <w:rPr>
          <w:rFonts w:hint="eastAsia" w:hAnsi="宋体"/>
          <w:color w:val="000000" w:themeColor="text1"/>
          <w:szCs w:val="21"/>
          <w14:textFill>
            <w14:solidFill>
              <w14:schemeClr w14:val="tx1"/>
            </w14:solidFill>
          </w14:textFill>
        </w:rPr>
        <w:t>。</w:t>
      </w:r>
    </w:p>
    <w:p w14:paraId="7018A57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37.2成交服务费收费标准：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247F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630F29D5">
            <w:pPr>
              <w:spacing w:line="360" w:lineRule="exact"/>
              <w:ind w:firstLine="420" w:firstLineChars="200"/>
              <w:jc w:val="center"/>
              <w:rPr>
                <w:rFonts w:ascii="宋体" w:hAnsi="宋体" w:cs="宋体"/>
                <w:b/>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1016000" cy="895985"/>
                      <wp:effectExtent l="3175" t="3810" r="17145" b="14605"/>
                      <wp:wrapNone/>
                      <wp:docPr id="3" name="直线 20"/>
                      <wp:cNvGraphicFramePr/>
                      <a:graphic xmlns:a="http://schemas.openxmlformats.org/drawingml/2006/main">
                        <a:graphicData uri="http://schemas.microsoft.com/office/word/2010/wordprocessingShape">
                          <wps:wsp>
                            <wps:cNvCnPr/>
                            <wps:spPr>
                              <a:xfrm flipH="1" flipV="1">
                                <a:off x="0" y="0"/>
                                <a:ext cx="1016000" cy="8959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flip:x y;margin-left:36pt;margin-top:-0.5pt;height:70.55pt;width:80pt;z-index:251661312;mso-width-relative:page;mso-height-relative:page;" filled="f" stroked="t" coordsize="21600,21600" o:gfxdata="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STPA0gAAAAkBAAAPAAAAAAAAAAEAIAAAACIAAABkcnMvZG93bnJldi54bWxQSwECFAAUAAAA&#10;CACHTuJAKfCL1fQBAAD3AwAADgAAAAAAAAABACAAAAAhAQAAZHJzL2Uyb0RvYy54bWxQSwUGAAAA&#10;AAYABgBZAQAAhwUAAAAA&#10;">
                      <v:fill on="f" focussize="0,0"/>
                      <v:stroke color="#000000" joinstyle="round"/>
                      <v:imagedata o:title=""/>
                      <o:lock v:ext="edit" aspectratio="f"/>
                    </v:line>
                  </w:pict>
                </mc:Fallback>
              </mc:AlternateContent>
            </w:r>
            <w:r>
              <w:rPr>
                <w:rFonts w:hint="eastAsia" w:ascii="宋体" w:hAnsi="宋体" w:cs="宋体"/>
                <w:b/>
                <w:color w:val="000000" w:themeColor="text1"/>
                <w:szCs w:val="21"/>
                <w14:textFill>
                  <w14:solidFill>
                    <w14:schemeClr w14:val="tx1"/>
                  </w14:solidFill>
                </w14:textFill>
              </w:rPr>
              <w:t>费率</w:t>
            </w:r>
            <w:r>
              <w:rPr>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R037VAAAACQEAAA8A&#10;AAAAAAAAAQAgAAAAIgAAAGRycy9kb3ducmV2LnhtbFBLAQIUABQAAAAIAIdO4kCpcURx4QEAAN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cs="宋体"/>
                <w:b/>
                <w:color w:val="000000" w:themeColor="text1"/>
                <w:szCs w:val="21"/>
                <w14:textFill>
                  <w14:solidFill>
                    <w14:schemeClr w14:val="tx1"/>
                  </w14:solidFill>
                </w14:textFill>
              </w:rPr>
              <w:t xml:space="preserve">    服务类型</w:t>
            </w:r>
          </w:p>
          <w:p w14:paraId="50CB8574">
            <w:pPr>
              <w:spacing w:line="360" w:lineRule="exact"/>
              <w:ind w:firstLine="420" w:firstLineChars="200"/>
              <w:jc w:val="center"/>
              <w:rPr>
                <w:rFonts w:ascii="宋体" w:hAnsi="宋体" w:cs="宋体"/>
                <w:b/>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74930</wp:posOffset>
                      </wp:positionV>
                      <wp:extent cx="1555115" cy="553720"/>
                      <wp:effectExtent l="1905" t="4445" r="12700" b="5715"/>
                      <wp:wrapNone/>
                      <wp:docPr id="2" name="直线 19"/>
                      <wp:cNvGraphicFramePr/>
                      <a:graphic xmlns:a="http://schemas.openxmlformats.org/drawingml/2006/main">
                        <a:graphicData uri="http://schemas.microsoft.com/office/word/2010/wordprocessingShape">
                          <wps:wsp>
                            <wps:cNvCnPr/>
                            <wps:spPr>
                              <a:xfrm flipH="1" flipV="1">
                                <a:off x="0" y="0"/>
                                <a:ext cx="1555115" cy="5537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flip:x y;margin-left:-9pt;margin-top:5.9pt;height:43.6pt;width:122.45pt;z-index:251660288;mso-width-relative:page;mso-height-relative:page;" filled="f" stroked="t" coordsize="21600,21600" o:gfxdata="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TXcOLUAAAACQEAAA8AAAAAAAAAAQAgAAAAIgAAAGRycy9kb3ducmV2LnhtbFBLAQIU&#10;ABQAAAAIAIdO4kBi39fc9wEAAPcDAAAOAAAAAAAAAAEAIAAAACMBAABkcnMvZTJvRG9jLnhtbFBL&#10;BQYAAAAABgAGAFkBAACMBQAAAAA=&#10;">
                      <v:fill on="f" focussize="0,0"/>
                      <v:stroke color="#000000" joinstyle="round"/>
                      <v:imagedata o:title=""/>
                      <o:lock v:ext="edit" aspectratio="f"/>
                    </v:line>
                  </w:pict>
                </mc:Fallback>
              </mc:AlternateContent>
            </w:r>
          </w:p>
          <w:p w14:paraId="498384FA">
            <w:pPr>
              <w:spacing w:line="360" w:lineRule="exact"/>
              <w:ind w:firstLine="422" w:firstLineChars="200"/>
              <w:rPr>
                <w:rFonts w:ascii="宋体" w:hAnsi="宋体" w:cs="宋体"/>
                <w:b/>
                <w:color w:val="000000" w:themeColor="text1"/>
                <w:szCs w:val="21"/>
                <w14:textFill>
                  <w14:solidFill>
                    <w14:schemeClr w14:val="tx1"/>
                  </w14:solidFill>
                </w14:textFill>
              </w:rPr>
            </w:pPr>
          </w:p>
          <w:p w14:paraId="2286F659">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0493F10E">
            <w:pPr>
              <w:spacing w:line="360" w:lineRule="exact"/>
              <w:ind w:firstLine="422" w:firstLineChars="20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6D6D69FF">
            <w:pPr>
              <w:spacing w:line="360" w:lineRule="exact"/>
              <w:ind w:firstLine="422" w:firstLineChars="20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14:paraId="181CADA8">
            <w:pPr>
              <w:spacing w:line="360" w:lineRule="exact"/>
              <w:ind w:firstLine="422" w:firstLineChars="20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工程招标</w:t>
            </w:r>
          </w:p>
        </w:tc>
      </w:tr>
      <w:tr w14:paraId="046E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7AE07495">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100以下</w:t>
            </w:r>
          </w:p>
        </w:tc>
        <w:tc>
          <w:tcPr>
            <w:tcW w:w="1980" w:type="dxa"/>
            <w:tcBorders>
              <w:top w:val="single" w:color="auto" w:sz="4" w:space="0"/>
              <w:left w:val="single" w:color="auto" w:sz="4" w:space="0"/>
              <w:bottom w:val="single" w:color="auto" w:sz="4" w:space="0"/>
              <w:right w:val="single" w:color="auto" w:sz="4" w:space="0"/>
            </w:tcBorders>
            <w:vAlign w:val="center"/>
          </w:tcPr>
          <w:p w14:paraId="5D125C93">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1.5%</w:t>
            </w:r>
          </w:p>
        </w:tc>
        <w:tc>
          <w:tcPr>
            <w:tcW w:w="1980" w:type="dxa"/>
            <w:tcBorders>
              <w:top w:val="single" w:color="auto" w:sz="4" w:space="0"/>
              <w:left w:val="single" w:color="auto" w:sz="4" w:space="0"/>
              <w:bottom w:val="single" w:color="auto" w:sz="4" w:space="0"/>
              <w:right w:val="single" w:color="auto" w:sz="4" w:space="0"/>
            </w:tcBorders>
            <w:vAlign w:val="center"/>
          </w:tcPr>
          <w:p w14:paraId="38B475CA">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1.5%</w:t>
            </w:r>
          </w:p>
        </w:tc>
        <w:tc>
          <w:tcPr>
            <w:tcW w:w="2700" w:type="dxa"/>
            <w:tcBorders>
              <w:top w:val="single" w:color="auto" w:sz="4" w:space="0"/>
              <w:left w:val="single" w:color="auto" w:sz="4" w:space="0"/>
              <w:bottom w:val="single" w:color="auto" w:sz="4" w:space="0"/>
              <w:right w:val="single" w:color="auto" w:sz="4" w:space="0"/>
            </w:tcBorders>
            <w:vAlign w:val="center"/>
          </w:tcPr>
          <w:p w14:paraId="2085A92C">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w:t>
            </w:r>
          </w:p>
        </w:tc>
      </w:tr>
      <w:tr w14:paraId="306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DD863E1">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100-500</w:t>
            </w:r>
          </w:p>
        </w:tc>
        <w:tc>
          <w:tcPr>
            <w:tcW w:w="1980" w:type="dxa"/>
            <w:tcBorders>
              <w:top w:val="single" w:color="auto" w:sz="4" w:space="0"/>
              <w:left w:val="single" w:color="auto" w:sz="4" w:space="0"/>
              <w:bottom w:val="single" w:color="auto" w:sz="4" w:space="0"/>
              <w:right w:val="single" w:color="auto" w:sz="4" w:space="0"/>
            </w:tcBorders>
            <w:vAlign w:val="center"/>
          </w:tcPr>
          <w:p w14:paraId="029ADC3D">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1.1%</w:t>
            </w:r>
          </w:p>
        </w:tc>
        <w:tc>
          <w:tcPr>
            <w:tcW w:w="1980" w:type="dxa"/>
            <w:tcBorders>
              <w:top w:val="single" w:color="auto" w:sz="4" w:space="0"/>
              <w:left w:val="single" w:color="auto" w:sz="4" w:space="0"/>
              <w:bottom w:val="single" w:color="auto" w:sz="4" w:space="0"/>
              <w:right w:val="single" w:color="auto" w:sz="4" w:space="0"/>
            </w:tcBorders>
            <w:vAlign w:val="center"/>
          </w:tcPr>
          <w:p w14:paraId="00CA5CD1">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0.8%</w:t>
            </w:r>
          </w:p>
        </w:tc>
        <w:tc>
          <w:tcPr>
            <w:tcW w:w="2700" w:type="dxa"/>
            <w:tcBorders>
              <w:top w:val="single" w:color="auto" w:sz="4" w:space="0"/>
              <w:left w:val="single" w:color="auto" w:sz="4" w:space="0"/>
              <w:bottom w:val="single" w:color="auto" w:sz="4" w:space="0"/>
              <w:right w:val="single" w:color="auto" w:sz="4" w:space="0"/>
            </w:tcBorders>
            <w:vAlign w:val="center"/>
          </w:tcPr>
          <w:p w14:paraId="5701E0D0">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0.7%</w:t>
            </w:r>
          </w:p>
        </w:tc>
      </w:tr>
      <w:tr w14:paraId="6521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7C596C38">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500-1000</w:t>
            </w:r>
          </w:p>
        </w:tc>
        <w:tc>
          <w:tcPr>
            <w:tcW w:w="1980" w:type="dxa"/>
            <w:tcBorders>
              <w:top w:val="single" w:color="auto" w:sz="4" w:space="0"/>
              <w:left w:val="single" w:color="auto" w:sz="4" w:space="0"/>
              <w:bottom w:val="single" w:color="auto" w:sz="4" w:space="0"/>
              <w:right w:val="single" w:color="auto" w:sz="4" w:space="0"/>
            </w:tcBorders>
            <w:vAlign w:val="center"/>
          </w:tcPr>
          <w:p w14:paraId="7A474BDB">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0.8%</w:t>
            </w:r>
          </w:p>
        </w:tc>
        <w:tc>
          <w:tcPr>
            <w:tcW w:w="1980" w:type="dxa"/>
            <w:tcBorders>
              <w:top w:val="single" w:color="auto" w:sz="4" w:space="0"/>
              <w:left w:val="single" w:color="auto" w:sz="4" w:space="0"/>
              <w:bottom w:val="single" w:color="auto" w:sz="4" w:space="0"/>
              <w:right w:val="single" w:color="auto" w:sz="4" w:space="0"/>
            </w:tcBorders>
            <w:vAlign w:val="center"/>
          </w:tcPr>
          <w:p w14:paraId="3C72C283">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0.45%</w:t>
            </w:r>
          </w:p>
        </w:tc>
        <w:tc>
          <w:tcPr>
            <w:tcW w:w="2700" w:type="dxa"/>
            <w:tcBorders>
              <w:top w:val="single" w:color="auto" w:sz="4" w:space="0"/>
              <w:left w:val="single" w:color="auto" w:sz="4" w:space="0"/>
              <w:bottom w:val="single" w:color="auto" w:sz="4" w:space="0"/>
              <w:right w:val="single" w:color="auto" w:sz="4" w:space="0"/>
            </w:tcBorders>
            <w:vAlign w:val="center"/>
          </w:tcPr>
          <w:p w14:paraId="72B094C0">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0.55%</w:t>
            </w:r>
          </w:p>
        </w:tc>
      </w:tr>
      <w:tr w14:paraId="3859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77679615">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1000-5000</w:t>
            </w:r>
          </w:p>
        </w:tc>
        <w:tc>
          <w:tcPr>
            <w:tcW w:w="1980" w:type="dxa"/>
            <w:tcBorders>
              <w:top w:val="single" w:color="auto" w:sz="4" w:space="0"/>
              <w:left w:val="single" w:color="auto" w:sz="4" w:space="0"/>
              <w:bottom w:val="single" w:color="auto" w:sz="4" w:space="0"/>
              <w:right w:val="single" w:color="auto" w:sz="4" w:space="0"/>
            </w:tcBorders>
            <w:vAlign w:val="center"/>
          </w:tcPr>
          <w:p w14:paraId="136CBE1F">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0.5%</w:t>
            </w:r>
          </w:p>
        </w:tc>
        <w:tc>
          <w:tcPr>
            <w:tcW w:w="1980" w:type="dxa"/>
            <w:tcBorders>
              <w:top w:val="single" w:color="auto" w:sz="4" w:space="0"/>
              <w:left w:val="single" w:color="auto" w:sz="4" w:space="0"/>
              <w:bottom w:val="single" w:color="auto" w:sz="4" w:space="0"/>
              <w:right w:val="single" w:color="auto" w:sz="4" w:space="0"/>
            </w:tcBorders>
            <w:vAlign w:val="center"/>
          </w:tcPr>
          <w:p w14:paraId="07726504">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0.25%</w:t>
            </w:r>
          </w:p>
        </w:tc>
        <w:tc>
          <w:tcPr>
            <w:tcW w:w="2700" w:type="dxa"/>
            <w:tcBorders>
              <w:top w:val="single" w:color="auto" w:sz="4" w:space="0"/>
              <w:left w:val="single" w:color="auto" w:sz="4" w:space="0"/>
              <w:bottom w:val="single" w:color="auto" w:sz="4" w:space="0"/>
              <w:right w:val="single" w:color="auto" w:sz="4" w:space="0"/>
            </w:tcBorders>
            <w:vAlign w:val="center"/>
          </w:tcPr>
          <w:p w14:paraId="3933A137">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0.35%</w:t>
            </w:r>
          </w:p>
        </w:tc>
      </w:tr>
      <w:tr w14:paraId="2C0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0B05E372">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5000-10000</w:t>
            </w:r>
          </w:p>
        </w:tc>
        <w:tc>
          <w:tcPr>
            <w:tcW w:w="1980" w:type="dxa"/>
            <w:tcBorders>
              <w:top w:val="single" w:color="auto" w:sz="4" w:space="0"/>
              <w:left w:val="single" w:color="auto" w:sz="4" w:space="0"/>
              <w:bottom w:val="single" w:color="auto" w:sz="4" w:space="0"/>
              <w:right w:val="single" w:color="auto" w:sz="4" w:space="0"/>
            </w:tcBorders>
            <w:vAlign w:val="center"/>
          </w:tcPr>
          <w:p w14:paraId="4E0A24EA">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0.25%</w:t>
            </w:r>
          </w:p>
        </w:tc>
        <w:tc>
          <w:tcPr>
            <w:tcW w:w="1980" w:type="dxa"/>
            <w:tcBorders>
              <w:top w:val="single" w:color="auto" w:sz="4" w:space="0"/>
              <w:left w:val="single" w:color="auto" w:sz="4" w:space="0"/>
              <w:bottom w:val="single" w:color="auto" w:sz="4" w:space="0"/>
              <w:right w:val="single" w:color="auto" w:sz="4" w:space="0"/>
            </w:tcBorders>
            <w:vAlign w:val="center"/>
          </w:tcPr>
          <w:p w14:paraId="7E0F7E92">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0.1%</w:t>
            </w:r>
          </w:p>
        </w:tc>
        <w:tc>
          <w:tcPr>
            <w:tcW w:w="2700" w:type="dxa"/>
            <w:tcBorders>
              <w:top w:val="single" w:color="auto" w:sz="4" w:space="0"/>
              <w:left w:val="single" w:color="auto" w:sz="4" w:space="0"/>
              <w:bottom w:val="single" w:color="auto" w:sz="4" w:space="0"/>
              <w:right w:val="single" w:color="auto" w:sz="4" w:space="0"/>
            </w:tcBorders>
            <w:vAlign w:val="center"/>
          </w:tcPr>
          <w:p w14:paraId="40CE11EE">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0.2%</w:t>
            </w:r>
          </w:p>
        </w:tc>
      </w:tr>
      <w:tr w14:paraId="6B00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744CBEBE">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14:paraId="319D572E">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3089BC1A">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0.05%</w:t>
            </w:r>
          </w:p>
        </w:tc>
        <w:tc>
          <w:tcPr>
            <w:tcW w:w="2700" w:type="dxa"/>
            <w:tcBorders>
              <w:top w:val="single" w:color="auto" w:sz="4" w:space="0"/>
              <w:left w:val="single" w:color="auto" w:sz="4" w:space="0"/>
              <w:bottom w:val="single" w:color="auto" w:sz="4" w:space="0"/>
              <w:right w:val="single" w:color="auto" w:sz="4" w:space="0"/>
            </w:tcBorders>
            <w:vAlign w:val="center"/>
          </w:tcPr>
          <w:p w14:paraId="1020D40D">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0.05%</w:t>
            </w:r>
          </w:p>
        </w:tc>
      </w:tr>
      <w:tr w14:paraId="28B5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2F9F912F">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1000000以上</w:t>
            </w:r>
          </w:p>
        </w:tc>
        <w:tc>
          <w:tcPr>
            <w:tcW w:w="1980" w:type="dxa"/>
            <w:tcBorders>
              <w:top w:val="single" w:color="auto" w:sz="4" w:space="0"/>
              <w:left w:val="single" w:color="auto" w:sz="4" w:space="0"/>
              <w:bottom w:val="single" w:color="auto" w:sz="4" w:space="0"/>
              <w:right w:val="single" w:color="auto" w:sz="4" w:space="0"/>
            </w:tcBorders>
            <w:vAlign w:val="center"/>
          </w:tcPr>
          <w:p w14:paraId="7D7572A1">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0.01%</w:t>
            </w:r>
          </w:p>
        </w:tc>
        <w:tc>
          <w:tcPr>
            <w:tcW w:w="1980" w:type="dxa"/>
            <w:tcBorders>
              <w:top w:val="single" w:color="auto" w:sz="4" w:space="0"/>
              <w:left w:val="single" w:color="auto" w:sz="4" w:space="0"/>
              <w:bottom w:val="single" w:color="auto" w:sz="4" w:space="0"/>
              <w:right w:val="single" w:color="auto" w:sz="4" w:space="0"/>
            </w:tcBorders>
            <w:vAlign w:val="center"/>
          </w:tcPr>
          <w:p w14:paraId="7A60E4F0">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0.01%</w:t>
            </w:r>
          </w:p>
        </w:tc>
        <w:tc>
          <w:tcPr>
            <w:tcW w:w="2700" w:type="dxa"/>
            <w:tcBorders>
              <w:top w:val="single" w:color="auto" w:sz="4" w:space="0"/>
              <w:left w:val="single" w:color="auto" w:sz="4" w:space="0"/>
              <w:bottom w:val="single" w:color="auto" w:sz="4" w:space="0"/>
              <w:right w:val="single" w:color="auto" w:sz="4" w:space="0"/>
            </w:tcBorders>
            <w:vAlign w:val="center"/>
          </w:tcPr>
          <w:p w14:paraId="3D95B3BA">
            <w:pPr>
              <w:pStyle w:val="21"/>
              <w:spacing w:line="360" w:lineRule="exact"/>
              <w:ind w:firstLine="420" w:firstLineChars="20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0.01%</w:t>
            </w:r>
          </w:p>
        </w:tc>
      </w:tr>
    </w:tbl>
    <w:p w14:paraId="35E83B32">
      <w:pPr>
        <w:pStyle w:val="21"/>
        <w:spacing w:line="360" w:lineRule="exact"/>
        <w:ind w:firstLine="420" w:firstLineChars="200"/>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注：招标代理服务费收费按差额定率累进法计算。</w:t>
      </w:r>
    </w:p>
    <w:p w14:paraId="754FD905">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38.供应商信用查询相关规定</w:t>
      </w:r>
    </w:p>
    <w:p w14:paraId="52454F1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38.1信用查询渠道：“信用中国”网站（www.creditchina.gov.cn）、中国政府采购网（www.ccgp.gov.cn）；</w:t>
      </w:r>
    </w:p>
    <w:p w14:paraId="053DCC2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38.2信用查询截止时点：资格审查时。</w:t>
      </w:r>
    </w:p>
    <w:p w14:paraId="09D67ED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38.3信用信息查询记录：“列入失信被执行人”、“ 重大税收违法案件当事人名单”、“政府采购严重违法失信行为记录名单”。</w:t>
      </w:r>
    </w:p>
    <w:p w14:paraId="4758432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38.4信用信息的使用规则：如供应商被列入“列入失信被执行人”、 “ 重大税收违法案件当事人名单”、“政府采购严重违法失信行为记录名单”等名单内的，将按照信用信息使用规则处理。</w:t>
      </w:r>
    </w:p>
    <w:p w14:paraId="17254911">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39.关于中小企业的相关规定</w:t>
      </w:r>
    </w:p>
    <w:p w14:paraId="4E02047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F1AF3A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6BB3E2F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39.3在货物采购项目中，供应商提供的货物既有中小企业制造货物，也有大型企业制造货物的，不享受中小企业扶持政策。</w:t>
      </w:r>
    </w:p>
    <w:p w14:paraId="445994E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39.4以联合体形式参加政府采购活动，联合体各方均为中小企业的，联合体视同中小企业。其中，联合体各方均为小微企业的，联合体视同小微企业。</w:t>
      </w:r>
    </w:p>
    <w:p w14:paraId="04810E6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554C45E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39.5享受中小企业扶持政策获得政府采购合同的，小微企业不得将合同分包给大中型企业，中型企业不得将合同分包给大型企业。</w:t>
      </w:r>
    </w:p>
    <w:p w14:paraId="4EE8E95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69DA91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21770951">
      <w:pPr>
        <w:widowControl/>
        <w:spacing w:line="36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000000" w:themeColor="text1"/>
          <w:kern w:val="0"/>
          <w:szCs w:val="21"/>
          <w14:textFill>
            <w14:solidFill>
              <w14:schemeClr w14:val="tx1"/>
            </w14:solidFill>
          </w14:textFill>
        </w:rPr>
        <w:t xml:space="preserve"> </w:t>
      </w:r>
    </w:p>
    <w:p w14:paraId="3D3A716E">
      <w:pPr>
        <w:spacing w:line="360" w:lineRule="exact"/>
        <w:ind w:firstLine="420" w:firstLineChars="200"/>
        <w:rPr>
          <w:rFonts w:ascii="宋体" w:hAnsi="宋体" w:cs="Adobe 宋体 Std L"/>
          <w:color w:val="000000" w:themeColor="text1"/>
          <w:szCs w:val="21"/>
          <w14:textFill>
            <w14:solidFill>
              <w14:schemeClr w14:val="tx1"/>
            </w14:solidFill>
          </w14:textFill>
        </w:rPr>
      </w:pPr>
    </w:p>
    <w:p w14:paraId="1FF5F656">
      <w:pPr>
        <w:spacing w:line="360" w:lineRule="exact"/>
        <w:ind w:firstLine="420" w:firstLineChars="200"/>
        <w:rPr>
          <w:rFonts w:hint="eastAsia" w:ascii="宋体" w:hAnsi="宋体"/>
          <w:color w:val="000000" w:themeColor="text1"/>
          <w:szCs w:val="21"/>
          <w14:textFill>
            <w14:solidFill>
              <w14:schemeClr w14:val="tx1"/>
            </w14:solidFill>
          </w14:textFill>
        </w:rPr>
      </w:pPr>
    </w:p>
    <w:p w14:paraId="5CF9CB77">
      <w:pPr>
        <w:spacing w:line="360" w:lineRule="exact"/>
        <w:ind w:firstLine="420" w:firstLineChars="200"/>
        <w:rPr>
          <w:rFonts w:hint="eastAsia" w:ascii="宋体" w:hAnsi="宋体"/>
          <w:color w:val="000000" w:themeColor="text1"/>
          <w:szCs w:val="21"/>
          <w14:textFill>
            <w14:solidFill>
              <w14:schemeClr w14:val="tx1"/>
            </w14:solidFill>
          </w14:textFill>
        </w:rPr>
      </w:pPr>
    </w:p>
    <w:p w14:paraId="5626A494">
      <w:pPr>
        <w:spacing w:line="360" w:lineRule="exact"/>
        <w:ind w:firstLine="420" w:firstLineChars="200"/>
        <w:rPr>
          <w:rFonts w:hint="eastAsia" w:ascii="宋体" w:hAnsi="宋体"/>
          <w:color w:val="000000" w:themeColor="text1"/>
          <w:szCs w:val="21"/>
          <w14:textFill>
            <w14:solidFill>
              <w14:schemeClr w14:val="tx1"/>
            </w14:solidFill>
          </w14:textFill>
        </w:rPr>
      </w:pPr>
    </w:p>
    <w:p w14:paraId="37BF44BF">
      <w:pPr>
        <w:spacing w:line="360" w:lineRule="exact"/>
        <w:ind w:firstLine="420" w:firstLineChars="200"/>
        <w:rPr>
          <w:rFonts w:hint="eastAsia" w:ascii="宋体" w:hAnsi="宋体"/>
          <w:color w:val="000000" w:themeColor="text1"/>
          <w:szCs w:val="21"/>
          <w14:textFill>
            <w14:solidFill>
              <w14:schemeClr w14:val="tx1"/>
            </w14:solidFill>
          </w14:textFill>
        </w:rPr>
      </w:pPr>
    </w:p>
    <w:p w14:paraId="7F79B47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附件1：</w:t>
      </w:r>
    </w:p>
    <w:p w14:paraId="31919399">
      <w:pPr>
        <w:widowControl/>
        <w:shd w:val="clear" w:color="auto" w:fill="FFFFFF"/>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广西壮族自治区政府采购项目</w:t>
      </w:r>
      <w:r>
        <w:rPr>
          <w:rFonts w:hint="eastAsia" w:ascii="宋体" w:hAnsi="宋体" w:cs="宋体"/>
          <w:b/>
          <w:color w:val="000000" w:themeColor="text1"/>
          <w:kern w:val="0"/>
          <w:szCs w:val="21"/>
          <w14:textFill>
            <w14:solidFill>
              <w14:schemeClr w14:val="tx1"/>
            </w14:solidFill>
          </w14:textFill>
        </w:rPr>
        <w:t>合同验收书（格式）</w:t>
      </w:r>
    </w:p>
    <w:p w14:paraId="1EBF4F04">
      <w:pPr>
        <w:widowControl/>
        <w:shd w:val="clear" w:color="auto" w:fill="FFFFFF"/>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根据政府采购项目（</w:t>
      </w:r>
      <w:r>
        <w:rPr>
          <w:rFonts w:hint="eastAsia" w:ascii="宋体" w:hAnsi="宋体" w:cs="宋体"/>
          <w:color w:val="000000" w:themeColor="text1"/>
          <w:kern w:val="0"/>
          <w:szCs w:val="21"/>
          <w:u w:val="single"/>
          <w14:textFill>
            <w14:solidFill>
              <w14:schemeClr w14:val="tx1"/>
            </w14:solidFill>
          </w14:textFill>
        </w:rPr>
        <w:t>采购合同编号：</w:t>
      </w:r>
      <w:r>
        <w:rPr>
          <w:rFonts w:hint="eastAsia" w:ascii="宋体" w:hAnsi="宋体" w:cs="宋体"/>
          <w:color w:val="000000" w:themeColor="text1"/>
          <w:kern w:val="0"/>
          <w:szCs w:val="21"/>
          <w:u w:val="single"/>
          <w14:textFill>
            <w14:solidFill>
              <w14:schemeClr w14:val="tx1"/>
            </w14:solidFill>
          </w14:textFill>
        </w:rPr>
        <w:softHyphen/>
      </w:r>
      <w:r>
        <w:rPr>
          <w:rFonts w:hint="eastAsia" w:ascii="宋体" w:hAnsi="宋体" w:cs="宋体"/>
          <w:color w:val="000000" w:themeColor="text1"/>
          <w:kern w:val="0"/>
          <w:szCs w:val="21"/>
          <w:u w:val="single"/>
          <w14:textFill>
            <w14:solidFill>
              <w14:schemeClr w14:val="tx1"/>
            </w14:solidFill>
          </w14:textFill>
        </w:rPr>
        <w:t>   </w:t>
      </w:r>
      <w:r>
        <w:rPr>
          <w:rFonts w:hint="eastAsia" w:ascii="宋体" w:hAnsi="宋体" w:cs="宋体"/>
          <w:color w:val="000000" w:themeColor="text1"/>
          <w:kern w:val="0"/>
          <w:szCs w:val="21"/>
          <w14:textFill>
            <w14:solidFill>
              <w14:schemeClr w14:val="tx1"/>
            </w14:solidFill>
          </w14:textFill>
        </w:rPr>
        <w:t>）的约定，我单位对（</w:t>
      </w:r>
      <w:r>
        <w:rPr>
          <w:rFonts w:hint="eastAsia" w:ascii="宋体" w:hAnsi="宋体" w:cs="宋体"/>
          <w:color w:val="000000" w:themeColor="text1"/>
          <w:kern w:val="0"/>
          <w:szCs w:val="21"/>
          <w:u w:val="single"/>
          <w14:textFill>
            <w14:solidFill>
              <w14:schemeClr w14:val="tx1"/>
            </w14:solidFill>
          </w14:textFill>
        </w:rPr>
        <w:t> 项目名称  </w:t>
      </w:r>
      <w:r>
        <w:rPr>
          <w:rFonts w:hint="eastAsia" w:ascii="宋体" w:hAnsi="宋体" w:cs="仿宋"/>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）政府采购项目中标（或成交）供应商（</w:t>
      </w:r>
      <w:r>
        <w:rPr>
          <w:rFonts w:hint="eastAsia" w:ascii="宋体" w:hAnsi="宋体" w:cs="宋体"/>
          <w:color w:val="000000" w:themeColor="text1"/>
          <w:kern w:val="0"/>
          <w:szCs w:val="21"/>
          <w:u w:val="single"/>
          <w14:textFill>
            <w14:solidFill>
              <w14:schemeClr w14:val="tx1"/>
            </w14:solidFill>
          </w14:textFill>
        </w:rPr>
        <w:t>           </w:t>
      </w:r>
      <w:r>
        <w:rPr>
          <w:rFonts w:hint="eastAsia" w:ascii="宋体" w:hAnsi="宋体" w:cs="仿宋"/>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公司名称             </w:t>
      </w:r>
      <w:r>
        <w:rPr>
          <w:rFonts w:hint="eastAsia" w:ascii="宋体" w:hAnsi="宋体" w:cs="仿宋"/>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）提供的货物（或工程、服务）进行了验收，验收情况如下：</w:t>
      </w:r>
    </w:p>
    <w:tbl>
      <w:tblPr>
        <w:tblStyle w:val="37"/>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3274D860">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3EAAECDF">
            <w:pPr>
              <w:widowControl/>
              <w:spacing w:line="360" w:lineRule="exact"/>
              <w:ind w:firstLine="5"/>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验收方式：</w:t>
            </w:r>
          </w:p>
        </w:tc>
        <w:tc>
          <w:tcPr>
            <w:tcW w:w="6257" w:type="dxa"/>
            <w:gridSpan w:val="5"/>
            <w:tcBorders>
              <w:top w:val="single" w:color="auto" w:sz="8" w:space="0"/>
              <w:left w:val="nil"/>
              <w:bottom w:val="single" w:color="auto" w:sz="8" w:space="0"/>
              <w:right w:val="single" w:color="auto" w:sz="8" w:space="0"/>
            </w:tcBorders>
            <w:vAlign w:val="center"/>
          </w:tcPr>
          <w:p w14:paraId="2C5DA18C">
            <w:pPr>
              <w:widowControl/>
              <w:spacing w:line="360" w:lineRule="exact"/>
              <w:ind w:firstLine="48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□自行验收        □委托验收</w:t>
            </w:r>
          </w:p>
        </w:tc>
      </w:tr>
      <w:tr w14:paraId="5020F6D1">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280782F4">
            <w:pPr>
              <w:widowControl/>
              <w:spacing w:line="360" w:lineRule="exac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2163" w:type="dxa"/>
            <w:tcBorders>
              <w:top w:val="nil"/>
              <w:left w:val="nil"/>
              <w:bottom w:val="single" w:color="auto" w:sz="8" w:space="0"/>
              <w:right w:val="single" w:color="auto" w:sz="8" w:space="0"/>
            </w:tcBorders>
            <w:vAlign w:val="center"/>
          </w:tcPr>
          <w:p w14:paraId="19403563">
            <w:pPr>
              <w:widowControl/>
              <w:spacing w:line="360" w:lineRule="exac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 称</w:t>
            </w:r>
          </w:p>
        </w:tc>
        <w:tc>
          <w:tcPr>
            <w:tcW w:w="3539" w:type="dxa"/>
            <w:gridSpan w:val="2"/>
            <w:tcBorders>
              <w:top w:val="nil"/>
              <w:left w:val="nil"/>
              <w:bottom w:val="single" w:color="auto" w:sz="8" w:space="0"/>
              <w:right w:val="single" w:color="auto" w:sz="8" w:space="0"/>
            </w:tcBorders>
            <w:vAlign w:val="center"/>
          </w:tcPr>
          <w:p w14:paraId="053147D1">
            <w:pPr>
              <w:widowControl/>
              <w:spacing w:line="360" w:lineRule="exac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21829612">
            <w:pPr>
              <w:widowControl/>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数量</w:t>
            </w:r>
          </w:p>
        </w:tc>
        <w:tc>
          <w:tcPr>
            <w:tcW w:w="1656" w:type="dxa"/>
            <w:tcBorders>
              <w:top w:val="nil"/>
              <w:left w:val="nil"/>
              <w:bottom w:val="single" w:color="auto" w:sz="8" w:space="0"/>
              <w:right w:val="single" w:color="auto" w:sz="8" w:space="0"/>
            </w:tcBorders>
            <w:vAlign w:val="center"/>
          </w:tcPr>
          <w:p w14:paraId="603F6AF0">
            <w:pPr>
              <w:widowControl/>
              <w:spacing w:line="360" w:lineRule="exact"/>
              <w:ind w:firstLine="2"/>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 额</w:t>
            </w:r>
          </w:p>
        </w:tc>
      </w:tr>
      <w:tr w14:paraId="012D6FBD">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D9B887A">
            <w:pPr>
              <w:widowControl/>
              <w:spacing w:line="360" w:lineRule="exact"/>
              <w:ind w:firstLine="5"/>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163" w:type="dxa"/>
            <w:tcBorders>
              <w:top w:val="nil"/>
              <w:left w:val="nil"/>
              <w:bottom w:val="single" w:color="auto" w:sz="8" w:space="0"/>
              <w:right w:val="single" w:color="auto" w:sz="8" w:space="0"/>
            </w:tcBorders>
            <w:vAlign w:val="center"/>
          </w:tcPr>
          <w:p w14:paraId="4553A415">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3539" w:type="dxa"/>
            <w:gridSpan w:val="2"/>
            <w:tcBorders>
              <w:top w:val="nil"/>
              <w:left w:val="nil"/>
              <w:bottom w:val="single" w:color="auto" w:sz="8" w:space="0"/>
              <w:right w:val="single" w:color="auto" w:sz="8" w:space="0"/>
            </w:tcBorders>
            <w:vAlign w:val="center"/>
          </w:tcPr>
          <w:p w14:paraId="45B3B04F">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062" w:type="dxa"/>
            <w:gridSpan w:val="2"/>
            <w:tcBorders>
              <w:top w:val="nil"/>
              <w:left w:val="nil"/>
              <w:bottom w:val="single" w:color="auto" w:sz="8" w:space="0"/>
              <w:right w:val="single" w:color="auto" w:sz="8" w:space="0"/>
            </w:tcBorders>
            <w:vAlign w:val="center"/>
          </w:tcPr>
          <w:p w14:paraId="5619E352">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56" w:type="dxa"/>
            <w:tcBorders>
              <w:top w:val="nil"/>
              <w:left w:val="nil"/>
              <w:bottom w:val="single" w:color="auto" w:sz="8" w:space="0"/>
              <w:right w:val="single" w:color="auto" w:sz="8" w:space="0"/>
            </w:tcBorders>
            <w:vAlign w:val="center"/>
          </w:tcPr>
          <w:p w14:paraId="011ACA8D">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A96F0A3">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6371FEA">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163" w:type="dxa"/>
            <w:tcBorders>
              <w:top w:val="nil"/>
              <w:left w:val="nil"/>
              <w:bottom w:val="single" w:color="auto" w:sz="8" w:space="0"/>
              <w:right w:val="single" w:color="auto" w:sz="8" w:space="0"/>
            </w:tcBorders>
            <w:vAlign w:val="center"/>
          </w:tcPr>
          <w:p w14:paraId="20D5A498">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3539" w:type="dxa"/>
            <w:gridSpan w:val="2"/>
            <w:tcBorders>
              <w:top w:val="nil"/>
              <w:left w:val="nil"/>
              <w:bottom w:val="single" w:color="auto" w:sz="8" w:space="0"/>
              <w:right w:val="single" w:color="auto" w:sz="8" w:space="0"/>
            </w:tcBorders>
            <w:vAlign w:val="center"/>
          </w:tcPr>
          <w:p w14:paraId="7908380A">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062" w:type="dxa"/>
            <w:gridSpan w:val="2"/>
            <w:tcBorders>
              <w:top w:val="nil"/>
              <w:left w:val="nil"/>
              <w:bottom w:val="single" w:color="auto" w:sz="8" w:space="0"/>
              <w:right w:val="single" w:color="auto" w:sz="8" w:space="0"/>
            </w:tcBorders>
            <w:vAlign w:val="center"/>
          </w:tcPr>
          <w:p w14:paraId="1D31F844">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56" w:type="dxa"/>
            <w:tcBorders>
              <w:top w:val="nil"/>
              <w:left w:val="nil"/>
              <w:bottom w:val="single" w:color="auto" w:sz="8" w:space="0"/>
              <w:right w:val="single" w:color="auto" w:sz="8" w:space="0"/>
            </w:tcBorders>
            <w:vAlign w:val="center"/>
          </w:tcPr>
          <w:p w14:paraId="71B74F12">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CB35878">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159089E">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163" w:type="dxa"/>
            <w:tcBorders>
              <w:top w:val="nil"/>
              <w:left w:val="nil"/>
              <w:bottom w:val="single" w:color="auto" w:sz="8" w:space="0"/>
              <w:right w:val="single" w:color="auto" w:sz="8" w:space="0"/>
            </w:tcBorders>
            <w:vAlign w:val="center"/>
          </w:tcPr>
          <w:p w14:paraId="5D7FF5A4">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3539" w:type="dxa"/>
            <w:gridSpan w:val="2"/>
            <w:tcBorders>
              <w:top w:val="nil"/>
              <w:left w:val="nil"/>
              <w:bottom w:val="single" w:color="auto" w:sz="8" w:space="0"/>
              <w:right w:val="single" w:color="auto" w:sz="8" w:space="0"/>
            </w:tcBorders>
            <w:vAlign w:val="center"/>
          </w:tcPr>
          <w:p w14:paraId="490EF480">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062" w:type="dxa"/>
            <w:gridSpan w:val="2"/>
            <w:tcBorders>
              <w:top w:val="nil"/>
              <w:left w:val="nil"/>
              <w:bottom w:val="single" w:color="auto" w:sz="8" w:space="0"/>
              <w:right w:val="single" w:color="auto" w:sz="8" w:space="0"/>
            </w:tcBorders>
            <w:vAlign w:val="center"/>
          </w:tcPr>
          <w:p w14:paraId="1AFE2CF3">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56" w:type="dxa"/>
            <w:tcBorders>
              <w:top w:val="nil"/>
              <w:left w:val="nil"/>
              <w:bottom w:val="single" w:color="auto" w:sz="8" w:space="0"/>
              <w:right w:val="single" w:color="auto" w:sz="8" w:space="0"/>
            </w:tcBorders>
            <w:vAlign w:val="center"/>
          </w:tcPr>
          <w:p w14:paraId="516C4D42">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E01DFCF">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6DC477B7">
            <w:pPr>
              <w:widowControl/>
              <w:spacing w:line="360" w:lineRule="exact"/>
              <w:ind w:firstLine="5"/>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       计</w:t>
            </w:r>
          </w:p>
        </w:tc>
        <w:tc>
          <w:tcPr>
            <w:tcW w:w="1062" w:type="dxa"/>
            <w:gridSpan w:val="2"/>
            <w:tcBorders>
              <w:top w:val="nil"/>
              <w:left w:val="nil"/>
              <w:bottom w:val="single" w:color="auto" w:sz="8" w:space="0"/>
              <w:right w:val="single" w:color="auto" w:sz="8" w:space="0"/>
            </w:tcBorders>
            <w:vAlign w:val="center"/>
          </w:tcPr>
          <w:p w14:paraId="19EE00D3">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656" w:type="dxa"/>
            <w:tcBorders>
              <w:top w:val="nil"/>
              <w:left w:val="nil"/>
              <w:bottom w:val="single" w:color="auto" w:sz="8" w:space="0"/>
              <w:right w:val="single" w:color="auto" w:sz="8" w:space="0"/>
            </w:tcBorders>
            <w:vAlign w:val="center"/>
          </w:tcPr>
          <w:p w14:paraId="34CD80B8">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E8A54A1">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15C46EE3">
            <w:pPr>
              <w:widowControl/>
              <w:spacing w:line="360" w:lineRule="exact"/>
              <w:ind w:firstLine="2"/>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合计大写金额：  仟   佰   拾   万   仟   佰   拾   元</w:t>
            </w:r>
          </w:p>
        </w:tc>
      </w:tr>
      <w:tr w14:paraId="52ABC94E">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38501C36">
            <w:pPr>
              <w:widowControl/>
              <w:spacing w:line="360" w:lineRule="exact"/>
              <w:ind w:firstLine="2"/>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实际供货日期</w:t>
            </w:r>
          </w:p>
        </w:tc>
        <w:tc>
          <w:tcPr>
            <w:tcW w:w="3054" w:type="dxa"/>
            <w:gridSpan w:val="2"/>
            <w:tcBorders>
              <w:top w:val="nil"/>
              <w:left w:val="nil"/>
              <w:bottom w:val="single" w:color="auto" w:sz="8" w:space="0"/>
              <w:right w:val="single" w:color="auto" w:sz="8" w:space="0"/>
            </w:tcBorders>
            <w:vAlign w:val="center"/>
          </w:tcPr>
          <w:p w14:paraId="45E12814">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867" w:type="dxa"/>
            <w:gridSpan w:val="2"/>
            <w:tcBorders>
              <w:top w:val="nil"/>
              <w:left w:val="nil"/>
              <w:bottom w:val="single" w:color="auto" w:sz="8" w:space="0"/>
              <w:right w:val="single" w:color="auto" w:sz="8" w:space="0"/>
            </w:tcBorders>
            <w:vAlign w:val="center"/>
          </w:tcPr>
          <w:p w14:paraId="4BA91204">
            <w:pPr>
              <w:widowControl/>
              <w:spacing w:line="360" w:lineRule="exact"/>
              <w:ind w:firstLine="46"/>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合同交货验收日期</w:t>
            </w:r>
          </w:p>
        </w:tc>
        <w:tc>
          <w:tcPr>
            <w:tcW w:w="2499" w:type="dxa"/>
            <w:gridSpan w:val="2"/>
            <w:tcBorders>
              <w:top w:val="nil"/>
              <w:left w:val="nil"/>
              <w:bottom w:val="single" w:color="auto" w:sz="8" w:space="0"/>
              <w:right w:val="single" w:color="auto" w:sz="8" w:space="0"/>
            </w:tcBorders>
            <w:vAlign w:val="center"/>
          </w:tcPr>
          <w:p w14:paraId="2E1E3B65">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8021C2C">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21AEB893">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3054" w:type="dxa"/>
            <w:gridSpan w:val="2"/>
            <w:tcBorders>
              <w:top w:val="nil"/>
              <w:left w:val="nil"/>
              <w:bottom w:val="single" w:color="auto" w:sz="8" w:space="0"/>
              <w:right w:val="single" w:color="auto" w:sz="8" w:space="0"/>
            </w:tcBorders>
            <w:vAlign w:val="center"/>
          </w:tcPr>
          <w:p w14:paraId="4892E56B">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867" w:type="dxa"/>
            <w:gridSpan w:val="2"/>
            <w:tcBorders>
              <w:top w:val="nil"/>
              <w:left w:val="nil"/>
              <w:bottom w:val="single" w:color="auto" w:sz="8" w:space="0"/>
              <w:right w:val="single" w:color="auto" w:sz="8" w:space="0"/>
            </w:tcBorders>
            <w:vAlign w:val="center"/>
          </w:tcPr>
          <w:p w14:paraId="4555DEC2">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2499" w:type="dxa"/>
            <w:gridSpan w:val="2"/>
            <w:tcBorders>
              <w:top w:val="nil"/>
              <w:left w:val="nil"/>
              <w:bottom w:val="single" w:color="auto" w:sz="8" w:space="0"/>
              <w:right w:val="single" w:color="auto" w:sz="8" w:space="0"/>
            </w:tcBorders>
            <w:vAlign w:val="center"/>
          </w:tcPr>
          <w:p w14:paraId="7870C5BF">
            <w:pPr>
              <w:widowControl/>
              <w:spacing w:line="360" w:lineRule="exac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01DA7A53">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892381">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26C6C1B5">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按采购合同、竞争性谈判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E2E4B2D">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764D45">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验收小组意见</w:t>
            </w:r>
          </w:p>
        </w:tc>
        <w:tc>
          <w:tcPr>
            <w:tcW w:w="8420" w:type="dxa"/>
            <w:gridSpan w:val="6"/>
            <w:tcBorders>
              <w:top w:val="nil"/>
              <w:left w:val="nil"/>
              <w:bottom w:val="single" w:color="auto" w:sz="8" w:space="0"/>
              <w:right w:val="single" w:color="auto" w:sz="8" w:space="0"/>
            </w:tcBorders>
            <w:vAlign w:val="center"/>
          </w:tcPr>
          <w:p w14:paraId="409F76BE">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验收结论性意见：</w:t>
            </w:r>
          </w:p>
          <w:p w14:paraId="5BDFDFD9">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36E34DF">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4447BDC0">
            <w:pPr>
              <w:widowControl/>
              <w:spacing w:line="360" w:lineRule="exact"/>
              <w:jc w:val="left"/>
              <w:rPr>
                <w:rFonts w:ascii="宋体" w:hAnsi="宋体" w:cs="宋体"/>
                <w:color w:val="000000" w:themeColor="text1"/>
                <w:kern w:val="0"/>
                <w:szCs w:val="21"/>
                <w14:textFill>
                  <w14:solidFill>
                    <w14:schemeClr w14:val="tx1"/>
                  </w14:solidFill>
                </w14:textFill>
              </w:rPr>
            </w:pPr>
          </w:p>
        </w:tc>
        <w:tc>
          <w:tcPr>
            <w:tcW w:w="8420" w:type="dxa"/>
            <w:gridSpan w:val="6"/>
            <w:tcBorders>
              <w:top w:val="nil"/>
              <w:left w:val="nil"/>
              <w:bottom w:val="single" w:color="auto" w:sz="8" w:space="0"/>
              <w:right w:val="single" w:color="auto" w:sz="8" w:space="0"/>
            </w:tcBorders>
            <w:vAlign w:val="center"/>
          </w:tcPr>
          <w:p w14:paraId="484042C4">
            <w:pPr>
              <w:widowControl/>
              <w:spacing w:line="360" w:lineRule="exact"/>
              <w:ind w:firstLine="96"/>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有异议的意见和说明理由：</w:t>
            </w:r>
          </w:p>
          <w:p w14:paraId="1C7CED9D">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签字：</w:t>
            </w:r>
          </w:p>
        </w:tc>
      </w:tr>
      <w:tr w14:paraId="30CDD5E1">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017915">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验收小组成员签字：</w:t>
            </w:r>
          </w:p>
        </w:tc>
      </w:tr>
      <w:tr w14:paraId="2F9B8795">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8522C22">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监督人员或其他相关人员签字：</w:t>
            </w:r>
          </w:p>
          <w:p w14:paraId="5C25AD60">
            <w:pPr>
              <w:widowControl/>
              <w:spacing w:line="360" w:lineRule="exact"/>
              <w:ind w:firstLine="74"/>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或受邀机构的意见（盖章）：</w:t>
            </w:r>
          </w:p>
        </w:tc>
      </w:tr>
      <w:tr w14:paraId="7570DF9E">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B88967">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中标或者成交供应商负责人签字或盖章：</w:t>
            </w:r>
          </w:p>
          <w:p w14:paraId="6F24D5CA">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022EE17C">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采购人或受托机构的意见（盖章）：</w:t>
            </w:r>
          </w:p>
          <w:p w14:paraId="0B6AB2BE">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             年   月   日</w:t>
            </w:r>
          </w:p>
        </w:tc>
      </w:tr>
    </w:tbl>
    <w:p w14:paraId="2DB20EA3">
      <w:pPr>
        <w:tabs>
          <w:tab w:val="left" w:pos="2835"/>
        </w:tabs>
        <w:spacing w:line="360" w:lineRule="exact"/>
        <w:rPr>
          <w:rFonts w:ascii="宋体" w:hAnsi="宋体"/>
          <w:color w:val="000000" w:themeColor="text1"/>
          <w:szCs w:val="21"/>
          <w14:textFill>
            <w14:solidFill>
              <w14:schemeClr w14:val="tx1"/>
            </w14:solidFill>
          </w14:textFill>
        </w:rPr>
      </w:pPr>
    </w:p>
    <w:p w14:paraId="2F7F4708">
      <w:pPr>
        <w:pStyle w:val="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14" w:name="_Toc9868"/>
      <w:r>
        <w:rPr>
          <w:rFonts w:hint="eastAsia" w:ascii="宋体" w:hAnsi="宋体"/>
          <w:color w:val="000000" w:themeColor="text1"/>
          <w14:textFill>
            <w14:solidFill>
              <w14:schemeClr w14:val="tx1"/>
            </w14:solidFill>
          </w14:textFill>
        </w:rPr>
        <w:t>第三章  采购需求</w:t>
      </w:r>
      <w:bookmarkEnd w:id="14"/>
      <w:bookmarkStart w:id="15" w:name="_Toc83636396"/>
      <w:bookmarkStart w:id="16" w:name="_Toc78604590"/>
      <w:bookmarkStart w:id="17" w:name="_Toc37670349"/>
      <w:bookmarkStart w:id="18" w:name="_Toc49329249"/>
    </w:p>
    <w:bookmarkEnd w:id="15"/>
    <w:bookmarkEnd w:id="16"/>
    <w:bookmarkEnd w:id="17"/>
    <w:bookmarkEnd w:id="18"/>
    <w:p w14:paraId="53C342DF">
      <w:pPr>
        <w:spacing w:line="360" w:lineRule="exact"/>
        <w:ind w:firstLine="422" w:firstLineChars="200"/>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说明：</w:t>
      </w:r>
    </w:p>
    <w:p w14:paraId="32B5224C">
      <w:pPr>
        <w:spacing w:line="360" w:lineRule="exact"/>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一、本一览表中的品牌、型号技术参数及其性能（配置）仅起参考作用，供应商可选用其他产品替代，但这些替代的产品要实质上相当于或优于参考品牌型号及其技术参数性能（配置）要求。</w:t>
      </w:r>
    </w:p>
    <w:p w14:paraId="66DAC613">
      <w:pPr>
        <w:spacing w:line="360" w:lineRule="exact"/>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二、本一览表中参考品牌、型号及技术参数性能（配置）不明确或有误的，或供应商选用其他产品替代的，须说明品牌型号和详细的技术参数性能（配置）同时填写投标明细表和技术响应表。</w:t>
      </w:r>
    </w:p>
    <w:p w14:paraId="3EB981B7">
      <w:pPr>
        <w:spacing w:line="360" w:lineRule="exact"/>
        <w:ind w:firstLine="420" w:firstLineChars="200"/>
        <w:rPr>
          <w:rFonts w:ascii="宋体" w:hAnsi="宋体" w:cs="宋体"/>
          <w:color w:val="000000" w:themeColor="text1"/>
          <w14:textFill>
            <w14:solidFill>
              <w14:schemeClr w14:val="tx1"/>
            </w14:solidFill>
          </w14:textFill>
        </w:rPr>
      </w:pPr>
      <w:bookmarkStart w:id="19" w:name="_Toc519523657"/>
      <w:bookmarkStart w:id="20" w:name="_Toc511133381"/>
      <w:r>
        <w:rPr>
          <w:rFonts w:hint="eastAsia" w:ascii="宋体" w:hAnsi="宋体" w:cs="宋体"/>
          <w:color w:val="000000" w:themeColor="text1"/>
          <w14:textFill>
            <w14:solidFill>
              <w14:schemeClr w14:val="tx1"/>
            </w14:solidFill>
          </w14:textFill>
        </w:rPr>
        <w:t>三、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19"/>
      <w:bookmarkEnd w:id="20"/>
    </w:p>
    <w:p w14:paraId="6C57AE58">
      <w:pPr>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▲四、根据财办库（2008）248号文件有关规定，本项目不允许进口产品（即通过中国海关报关验放进入中国境内且产自关境外的产品）参加投标，如有此类产品参与投标的做无效标处理。</w:t>
      </w:r>
    </w:p>
    <w:p w14:paraId="17144D7C">
      <w:pPr>
        <w:widowControl/>
        <w:spacing w:line="360" w:lineRule="exact"/>
        <w:ind w:firstLine="420" w:firstLineChars="2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14:textFill>
            <w14:solidFill>
              <w14:schemeClr w14:val="tx1"/>
            </w14:solidFill>
          </w14:textFill>
        </w:rPr>
        <w:t>▲五、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w:t>
      </w:r>
      <w:r>
        <w:rPr>
          <w:rFonts w:hint="eastAsia" w:ascii="宋体" w:hAnsi="宋体" w:cs="宋体"/>
          <w:bCs/>
          <w:color w:val="000000" w:themeColor="text1"/>
          <w:kern w:val="0"/>
          <w:sz w:val="24"/>
          <w14:textFill>
            <w14:solidFill>
              <w14:schemeClr w14:val="tx1"/>
            </w14:solidFill>
          </w14:textFill>
        </w:rPr>
        <w:t xml:space="preserve"> </w:t>
      </w:r>
    </w:p>
    <w:p w14:paraId="17F5D292">
      <w:pPr>
        <w:widowControl/>
        <w:spacing w:line="360" w:lineRule="exact"/>
        <w:ind w:firstLine="422" w:firstLineChars="200"/>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w:t>
      </w:r>
      <w:r>
        <w:rPr>
          <w:rFonts w:hint="eastAsia" w:ascii="宋体" w:hAnsi="宋体" w:cs="宋体"/>
          <w:b/>
        </w:rPr>
        <w:t>本一览表中带“▲”的技术参数及其性能（配置）为必须满足的项目，供应商必须提供相当于或优于这些技术参数性能（配置）要求。本一览表中不带“▲”的技术参数为可负偏离的项目，但偏离超过</w:t>
      </w:r>
      <w:r>
        <w:rPr>
          <w:rFonts w:hint="eastAsia" w:ascii="宋体" w:hAnsi="宋体" w:cs="宋体"/>
          <w:b/>
          <w:highlight w:val="none"/>
          <w:u w:val="single"/>
          <w:lang w:val="en-US" w:eastAsia="zh-CN"/>
        </w:rPr>
        <w:t>2</w:t>
      </w:r>
      <w:r>
        <w:rPr>
          <w:rFonts w:hint="eastAsia" w:ascii="宋体" w:hAnsi="宋体" w:cs="宋体"/>
          <w:b/>
          <w:highlight w:val="none"/>
        </w:rPr>
        <w:t>项（含</w:t>
      </w:r>
      <w:r>
        <w:rPr>
          <w:rFonts w:hint="eastAsia" w:ascii="宋体" w:hAnsi="宋体" w:cs="宋体"/>
          <w:b/>
          <w:highlight w:val="none"/>
          <w:u w:val="single"/>
          <w:lang w:val="en-US" w:eastAsia="zh-CN"/>
        </w:rPr>
        <w:t>2</w:t>
      </w:r>
      <w:r>
        <w:rPr>
          <w:rFonts w:hint="eastAsia" w:ascii="宋体" w:hAnsi="宋体" w:cs="宋体"/>
          <w:b/>
        </w:rPr>
        <w:t>项）以上的响应文件将被视为无效。</w:t>
      </w:r>
    </w:p>
    <w:p w14:paraId="42ECABFB">
      <w:pPr>
        <w:widowControl/>
        <w:spacing w:line="360" w:lineRule="exact"/>
        <w:ind w:firstLine="42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七、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21062432">
      <w:pPr>
        <w:widowControl/>
        <w:spacing w:line="360" w:lineRule="exact"/>
        <w:ind w:firstLine="42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非单一产品采购项目中，多家供应商提供的核心产品(具体核心产品以“◆”标注)品牌相同的，视为提供相同品牌产品。</w:t>
      </w:r>
    </w:p>
    <w:p w14:paraId="54A3C620">
      <w:pPr>
        <w:spacing w:line="360" w:lineRule="exact"/>
        <w:ind w:firstLine="211" w:firstLineChars="1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八、本项目所属行业：</w:t>
      </w:r>
      <w:r>
        <w:rPr>
          <w:rFonts w:hint="eastAsia" w:ascii="宋体" w:hAnsi="宋体" w:cs="宋体"/>
          <w:b/>
          <w:color w:val="000000" w:themeColor="text1"/>
          <w:u w:val="single"/>
          <w14:textFill>
            <w14:solidFill>
              <w14:schemeClr w14:val="tx1"/>
            </w14:solidFill>
          </w14:textFill>
        </w:rPr>
        <w:t xml:space="preserve">  工业  </w:t>
      </w:r>
      <w:r>
        <w:rPr>
          <w:rFonts w:hint="eastAsia" w:ascii="宋体" w:hAnsi="宋体" w:cs="宋体"/>
          <w:b/>
          <w:color w:val="000000" w:themeColor="text1"/>
          <w14:textFill>
            <w14:solidFill>
              <w14:schemeClr w14:val="tx1"/>
            </w14:solidFill>
          </w14:textFill>
        </w:rPr>
        <w:t>，划分依据：《关于印发中小企业划型标准规定的通知》（工信部联企业[2011]300号）。</w:t>
      </w:r>
    </w:p>
    <w:tbl>
      <w:tblPr>
        <w:tblStyle w:val="3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
        <w:gridCol w:w="1194"/>
        <w:gridCol w:w="680"/>
        <w:gridCol w:w="890"/>
        <w:gridCol w:w="1071"/>
        <w:gridCol w:w="5593"/>
      </w:tblGrid>
      <w:tr w14:paraId="7D5A6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vAlign w:val="center"/>
          </w:tcPr>
          <w:p w14:paraId="07BB39DD">
            <w:pPr>
              <w:pStyle w:val="47"/>
              <w:ind w:firstLine="0"/>
              <w:jc w:val="center"/>
              <w:rPr>
                <w:color w:val="000000" w:themeColor="text1"/>
                <w14:textFill>
                  <w14:solidFill>
                    <w14:schemeClr w14:val="tx1"/>
                  </w14:solidFill>
                </w14:textFill>
              </w:rPr>
            </w:pPr>
            <w:r>
              <w:rPr>
                <w:rFonts w:hint="eastAsia"/>
                <w:b/>
                <w:bCs/>
                <w:color w:val="000000" w:themeColor="text1"/>
                <w:sz w:val="28"/>
                <w:szCs w:val="28"/>
                <w14:textFill>
                  <w14:solidFill>
                    <w14:schemeClr w14:val="tx1"/>
                  </w14:solidFill>
                </w14:textFill>
              </w:rPr>
              <w:t>分标1</w:t>
            </w:r>
          </w:p>
        </w:tc>
      </w:tr>
      <w:tr w14:paraId="002B1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2CA6032D">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194" w:type="dxa"/>
            <w:vAlign w:val="center"/>
          </w:tcPr>
          <w:p w14:paraId="4ED1DCE6">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货物名称</w:t>
            </w:r>
          </w:p>
        </w:tc>
        <w:tc>
          <w:tcPr>
            <w:tcW w:w="680" w:type="dxa"/>
            <w:vAlign w:val="center"/>
          </w:tcPr>
          <w:p w14:paraId="42C3C02D">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890" w:type="dxa"/>
            <w:vAlign w:val="center"/>
          </w:tcPr>
          <w:p w14:paraId="1ED07207">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c>
          <w:tcPr>
            <w:tcW w:w="1071" w:type="dxa"/>
            <w:vAlign w:val="center"/>
          </w:tcPr>
          <w:p w14:paraId="7146EEF4">
            <w:pPr>
              <w:pStyle w:val="47"/>
              <w:ind w:firstLine="0"/>
              <w:jc w:val="center"/>
              <w:rPr>
                <w:rFonts w:ascii="宋体" w:hAnsi="宋体" w:cs="宋体"/>
                <w:color w:val="000000" w:themeColor="text1"/>
                <w14:textFill>
                  <w14:solidFill>
                    <w14:schemeClr w14:val="tx1"/>
                  </w14:solidFill>
                </w14:textFill>
              </w:rPr>
            </w:pPr>
            <w:bookmarkStart w:id="21" w:name="OLE_LINK1"/>
            <w:r>
              <w:rPr>
                <w:rFonts w:hint="eastAsia" w:ascii="宋体" w:hAnsi="宋体" w:cs="宋体"/>
                <w:b/>
                <w:bCs/>
                <w:color w:val="000000" w:themeColor="text1"/>
                <w14:textFill>
                  <w14:solidFill>
                    <w14:schemeClr w14:val="tx1"/>
                  </w14:solidFill>
                </w14:textFill>
              </w:rPr>
              <w:t>预算控制单价</w:t>
            </w:r>
            <w:bookmarkEnd w:id="21"/>
            <w:r>
              <w:rPr>
                <w:rFonts w:hint="eastAsia" w:ascii="宋体" w:hAnsi="宋体" w:cs="宋体"/>
                <w:b/>
                <w:bCs/>
                <w:color w:val="000000" w:themeColor="text1"/>
                <w14:textFill>
                  <w14:solidFill>
                    <w14:schemeClr w14:val="tx1"/>
                  </w14:solidFill>
                </w14:textFill>
              </w:rPr>
              <w:t>（元）</w:t>
            </w:r>
          </w:p>
        </w:tc>
        <w:tc>
          <w:tcPr>
            <w:tcW w:w="5593" w:type="dxa"/>
            <w:vAlign w:val="center"/>
          </w:tcPr>
          <w:p w14:paraId="1E0CBBE7">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技术指标要求</w:t>
            </w:r>
          </w:p>
        </w:tc>
      </w:tr>
      <w:tr w14:paraId="7B9CED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53F10468">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194" w:type="dxa"/>
            <w:vAlign w:val="center"/>
          </w:tcPr>
          <w:p w14:paraId="7A0006CE">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LED灯具200W</w:t>
            </w:r>
          </w:p>
        </w:tc>
        <w:tc>
          <w:tcPr>
            <w:tcW w:w="680" w:type="dxa"/>
            <w:vAlign w:val="center"/>
          </w:tcPr>
          <w:p w14:paraId="387530E2">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890" w:type="dxa"/>
            <w:vAlign w:val="center"/>
          </w:tcPr>
          <w:p w14:paraId="347E013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140</w:t>
            </w:r>
          </w:p>
        </w:tc>
        <w:tc>
          <w:tcPr>
            <w:tcW w:w="1071" w:type="dxa"/>
            <w:vAlign w:val="center"/>
          </w:tcPr>
          <w:p w14:paraId="7AF3E92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730</w:t>
            </w:r>
          </w:p>
        </w:tc>
        <w:tc>
          <w:tcPr>
            <w:tcW w:w="5593" w:type="dxa"/>
            <w:vMerge w:val="restart"/>
            <w:vAlign w:val="center"/>
          </w:tcPr>
          <w:p w14:paraId="22315AE4">
            <w:pPr>
              <w:rPr>
                <w:rFonts w:ascii="宋体" w:hAnsi="宋体" w:cs="宋体"/>
                <w:szCs w:val="21"/>
              </w:rPr>
            </w:pPr>
            <w:r>
              <w:rPr>
                <w:rFonts w:hint="eastAsia" w:ascii="宋体" w:hAnsi="宋体" w:cs="宋体"/>
                <w:szCs w:val="21"/>
              </w:rPr>
              <w:t>一、 灯具设计标准</w:t>
            </w:r>
          </w:p>
          <w:p w14:paraId="01254287">
            <w:pPr>
              <w:rPr>
                <w:rFonts w:ascii="宋体" w:hAnsi="宋体" w:cs="宋体"/>
                <w:szCs w:val="21"/>
              </w:rPr>
            </w:pPr>
            <w:r>
              <w:rPr>
                <w:rFonts w:hint="eastAsia" w:ascii="宋体" w:hAnsi="宋体" w:cs="宋体"/>
                <w:szCs w:val="21"/>
              </w:rPr>
              <w:t>需执行现行的国家相关标准、行业标准、地方标准或者其他标准、规范（包括但不限于）：</w:t>
            </w:r>
          </w:p>
          <w:p w14:paraId="0D6545E8">
            <w:pPr>
              <w:rPr>
                <w:rFonts w:ascii="宋体" w:hAnsi="宋体" w:cs="宋体"/>
                <w:szCs w:val="21"/>
              </w:rPr>
            </w:pPr>
            <w:r>
              <w:rPr>
                <w:rFonts w:hint="eastAsia" w:ascii="宋体" w:hAnsi="宋体" w:cs="宋体"/>
                <w:szCs w:val="21"/>
              </w:rPr>
              <w:t>1.1、GB/T34446 《固定式通用LED 灯具性能要求》；</w:t>
            </w:r>
          </w:p>
          <w:p w14:paraId="3E7BAECC">
            <w:pPr>
              <w:rPr>
                <w:rFonts w:ascii="宋体" w:hAnsi="宋体" w:cs="宋体"/>
                <w:szCs w:val="21"/>
              </w:rPr>
            </w:pPr>
            <w:r>
              <w:rPr>
                <w:rFonts w:hint="eastAsia" w:ascii="宋体" w:hAnsi="宋体" w:cs="宋体"/>
                <w:szCs w:val="21"/>
              </w:rPr>
              <w:t>1.2、GB/T 35269 《LED照明应用与接口要求 非集成式LED模块的道路灯具》</w:t>
            </w:r>
          </w:p>
          <w:p w14:paraId="1549C1F9">
            <w:pPr>
              <w:rPr>
                <w:rFonts w:ascii="宋体" w:hAnsi="宋体" w:cs="宋体"/>
                <w:szCs w:val="21"/>
              </w:rPr>
            </w:pPr>
            <w:r>
              <w:rPr>
                <w:rFonts w:hint="eastAsia" w:ascii="宋体" w:hAnsi="宋体" w:cs="宋体"/>
                <w:szCs w:val="21"/>
              </w:rPr>
              <w:t>1.3、GB/T 34846 《LED道路/隧道照明专用模块规格和接口技术要求》</w:t>
            </w:r>
          </w:p>
          <w:p w14:paraId="658F4AFB">
            <w:pPr>
              <w:rPr>
                <w:rFonts w:ascii="宋体" w:hAnsi="宋体" w:cs="宋体"/>
                <w:szCs w:val="21"/>
              </w:rPr>
            </w:pPr>
            <w:r>
              <w:rPr>
                <w:rFonts w:hint="eastAsia" w:ascii="宋体" w:hAnsi="宋体" w:cs="宋体"/>
                <w:szCs w:val="21"/>
              </w:rPr>
              <w:t>1.4、GB/T 24825 《LED模块用直流或交流电子控制装置 性能要求》</w:t>
            </w:r>
          </w:p>
          <w:p w14:paraId="505A58E0">
            <w:pPr>
              <w:rPr>
                <w:rFonts w:ascii="宋体" w:hAnsi="宋体" w:cs="宋体"/>
                <w:szCs w:val="21"/>
              </w:rPr>
            </w:pPr>
            <w:r>
              <w:rPr>
                <w:rFonts w:hint="eastAsia" w:ascii="宋体" w:hAnsi="宋体" w:cs="宋体"/>
                <w:szCs w:val="21"/>
              </w:rPr>
              <w:t>1.5、GB/T 31832 《LED城市道路照明应用技术要求》；</w:t>
            </w:r>
          </w:p>
          <w:p w14:paraId="746A02A8">
            <w:pPr>
              <w:rPr>
                <w:rFonts w:ascii="宋体" w:hAnsi="宋体" w:cs="宋体"/>
                <w:szCs w:val="21"/>
              </w:rPr>
            </w:pPr>
            <w:r>
              <w:rPr>
                <w:rFonts w:hint="eastAsia" w:ascii="宋体" w:hAnsi="宋体" w:cs="宋体"/>
                <w:szCs w:val="21"/>
              </w:rPr>
              <w:t>1.6、GB 24819 《普通用LED照明模块安全要求》；</w:t>
            </w:r>
          </w:p>
          <w:p w14:paraId="005CE777">
            <w:pPr>
              <w:rPr>
                <w:rFonts w:ascii="宋体" w:hAnsi="宋体" w:cs="宋体"/>
                <w:szCs w:val="21"/>
              </w:rPr>
            </w:pPr>
            <w:r>
              <w:rPr>
                <w:rFonts w:hint="eastAsia" w:ascii="宋体" w:hAnsi="宋体" w:cs="宋体"/>
                <w:szCs w:val="21"/>
              </w:rPr>
              <w:t>1.7、GB 7000.5 《道路与街道照明灯具的安全要求》；</w:t>
            </w:r>
          </w:p>
          <w:p w14:paraId="659CD03F">
            <w:pPr>
              <w:rPr>
                <w:rFonts w:ascii="宋体" w:hAnsi="宋体" w:cs="宋体"/>
                <w:szCs w:val="21"/>
              </w:rPr>
            </w:pPr>
            <w:r>
              <w:rPr>
                <w:rFonts w:hint="eastAsia" w:ascii="宋体" w:hAnsi="宋体" w:cs="宋体"/>
                <w:szCs w:val="21"/>
              </w:rPr>
              <w:t>1.8、GB 7000.1 《灯具 第1部分：一般要求与试验》；</w:t>
            </w:r>
          </w:p>
          <w:p w14:paraId="094338BE">
            <w:pPr>
              <w:rPr>
                <w:rFonts w:ascii="宋体" w:hAnsi="宋体" w:cs="宋体"/>
                <w:szCs w:val="21"/>
              </w:rPr>
            </w:pPr>
            <w:r>
              <w:rPr>
                <w:rFonts w:hint="eastAsia" w:ascii="宋体" w:hAnsi="宋体" w:cs="宋体"/>
                <w:szCs w:val="21"/>
              </w:rPr>
              <w:t>1.9、GB 7000.201 《灯具第2-1 部分：特殊要求 固定式通用灯具 》；</w:t>
            </w:r>
          </w:p>
          <w:p w14:paraId="006BCBE2">
            <w:pPr>
              <w:rPr>
                <w:rFonts w:ascii="宋体" w:hAnsi="宋体" w:cs="宋体"/>
                <w:szCs w:val="21"/>
              </w:rPr>
            </w:pPr>
            <w:r>
              <w:rPr>
                <w:rFonts w:hint="eastAsia" w:ascii="宋体" w:hAnsi="宋体" w:cs="宋体"/>
                <w:szCs w:val="21"/>
              </w:rPr>
              <w:t>1.10、GB 7000.203 《灯具第2-3 部分：特殊要求 道路与街路照明灯具》；</w:t>
            </w:r>
          </w:p>
          <w:p w14:paraId="5FCF33EA">
            <w:pPr>
              <w:rPr>
                <w:rFonts w:ascii="宋体" w:hAnsi="宋体" w:cs="宋体"/>
                <w:szCs w:val="21"/>
              </w:rPr>
            </w:pPr>
            <w:r>
              <w:rPr>
                <w:rFonts w:hint="eastAsia" w:ascii="宋体" w:hAnsi="宋体" w:cs="宋体"/>
                <w:szCs w:val="21"/>
              </w:rPr>
              <w:t>1.11、GB 17743《电气照明和类似设备的无线电骚扰特性的限值和测量方法》；</w:t>
            </w:r>
          </w:p>
          <w:p w14:paraId="7C52986C">
            <w:pPr>
              <w:rPr>
                <w:rFonts w:ascii="宋体" w:hAnsi="宋体" w:cs="宋体"/>
                <w:szCs w:val="21"/>
              </w:rPr>
            </w:pPr>
            <w:r>
              <w:rPr>
                <w:rFonts w:hint="eastAsia" w:ascii="宋体" w:hAnsi="宋体" w:cs="宋体"/>
                <w:szCs w:val="21"/>
              </w:rPr>
              <w:t>1.12、GB 17625.1《电磁兼容限值谐波电流发射限值（设备每相输入电流≤16A》</w:t>
            </w:r>
          </w:p>
          <w:p w14:paraId="02522C5D">
            <w:pPr>
              <w:rPr>
                <w:rFonts w:ascii="宋体" w:hAnsi="宋体" w:cs="宋体"/>
                <w:szCs w:val="21"/>
              </w:rPr>
            </w:pPr>
            <w:r>
              <w:rPr>
                <w:rFonts w:hint="eastAsia" w:ascii="宋体" w:hAnsi="宋体" w:cs="宋体"/>
                <w:szCs w:val="21"/>
              </w:rPr>
              <w:t>1.13、GB/T 4208 《外壳防护等级（IP 代码）》；</w:t>
            </w:r>
          </w:p>
          <w:p w14:paraId="67BA8A73">
            <w:pPr>
              <w:rPr>
                <w:rFonts w:ascii="宋体" w:hAnsi="宋体" w:cs="宋体"/>
                <w:szCs w:val="21"/>
              </w:rPr>
            </w:pPr>
            <w:r>
              <w:rPr>
                <w:rFonts w:hint="eastAsia" w:ascii="宋体" w:hAnsi="宋体" w:cs="宋体"/>
                <w:szCs w:val="21"/>
              </w:rPr>
              <w:t>1.14、QB/T3741 《灯具电镀、化学覆盖层》。</w:t>
            </w:r>
          </w:p>
          <w:p w14:paraId="0DB8E7E3">
            <w:pPr>
              <w:rPr>
                <w:rFonts w:ascii="宋体" w:hAnsi="宋体" w:cs="宋体"/>
                <w:szCs w:val="21"/>
              </w:rPr>
            </w:pPr>
            <w:r>
              <w:rPr>
                <w:rFonts w:hint="eastAsia" w:ascii="宋体" w:hAnsi="宋体" w:cs="宋体"/>
                <w:szCs w:val="21"/>
              </w:rPr>
              <w:t>二、质量要求</w:t>
            </w:r>
          </w:p>
          <w:p w14:paraId="082501B0">
            <w:pPr>
              <w:rPr>
                <w:rFonts w:ascii="宋体" w:hAnsi="宋体" w:cs="宋体"/>
                <w:szCs w:val="21"/>
              </w:rPr>
            </w:pPr>
            <w:r>
              <w:rPr>
                <w:rFonts w:hint="eastAsia" w:ascii="宋体" w:hAnsi="宋体" w:cs="宋体"/>
                <w:szCs w:val="21"/>
              </w:rPr>
              <w:t>中标人应确保供货的所有灯具物资均符合技术标准，采购人可自行组织检测或委托具备相应资质的第三方检验机构进行抽检。检测内容包含但不限于：中标人在灯具到货后开箱检验及分批次抽检、灯具安装完成后对道路照明质量的现场检测，中标人应根据采购人要求无偿提供配合人员和其他必要条件。</w:t>
            </w:r>
          </w:p>
          <w:p w14:paraId="1C818646">
            <w:pPr>
              <w:rPr>
                <w:rFonts w:ascii="宋体" w:hAnsi="宋体" w:cs="宋体"/>
                <w:szCs w:val="21"/>
              </w:rPr>
            </w:pPr>
            <w:r>
              <w:rPr>
                <w:rFonts w:hint="eastAsia" w:ascii="宋体" w:hAnsi="宋体" w:cs="宋体"/>
                <w:szCs w:val="21"/>
              </w:rPr>
              <w:t>采购人自行组织检测或第三方检验机构抽检时，如抽检的合同货物不符合合同要求，采购人可按照合同约定或国家相关规定，扩大抽检范围，并根据检测结果及合同相关约定，要求中标人采取重新生产、修理、更换、向第三方采购可替代货物等补救措施或单方解除合同，同时所有检测、运输等相关费用由中标人承担。</w:t>
            </w:r>
          </w:p>
          <w:p w14:paraId="373B47C0">
            <w:pPr>
              <w:rPr>
                <w:rFonts w:ascii="宋体" w:hAnsi="宋体" w:cs="宋体"/>
                <w:szCs w:val="21"/>
              </w:rPr>
            </w:pPr>
            <w:r>
              <w:rPr>
                <w:rFonts w:hint="eastAsia" w:ascii="宋体" w:hAnsi="宋体" w:cs="宋体"/>
                <w:szCs w:val="21"/>
              </w:rPr>
              <w:t>三、LED灯具技术要求</w:t>
            </w:r>
          </w:p>
          <w:p w14:paraId="6032F511">
            <w:pPr>
              <w:rPr>
                <w:rFonts w:ascii="宋体" w:hAnsi="宋体" w:cs="宋体"/>
                <w:szCs w:val="21"/>
              </w:rPr>
            </w:pPr>
            <w:r>
              <w:rPr>
                <w:rFonts w:hint="eastAsia" w:ascii="宋体" w:hAnsi="宋体" w:cs="宋体"/>
                <w:szCs w:val="21"/>
              </w:rPr>
              <w:t>3.1 LED模块化设计</w:t>
            </w:r>
          </w:p>
          <w:p w14:paraId="33DB0558">
            <w:pPr>
              <w:rPr>
                <w:rFonts w:ascii="宋体" w:hAnsi="宋体" w:cs="宋体"/>
                <w:szCs w:val="21"/>
              </w:rPr>
            </w:pPr>
            <w:r>
              <w:rPr>
                <w:rFonts w:hint="eastAsia" w:ascii="宋体" w:hAnsi="宋体" w:cs="宋体"/>
                <w:szCs w:val="21"/>
              </w:rPr>
              <w:t>3.1.1 为确保平替气体放电灯后节能有效果、照度不降低，模组化LED路灯基本要求具体如下表。</w:t>
            </w:r>
          </w:p>
          <w:tbl>
            <w:tblPr>
              <w:tblStyle w:val="13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63"/>
              <w:gridCol w:w="1402"/>
              <w:gridCol w:w="1352"/>
              <w:gridCol w:w="1353"/>
            </w:tblGrid>
            <w:tr w14:paraId="0799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176" w:type="pct"/>
                </w:tcPr>
                <w:p w14:paraId="7F08D0D9">
                  <w:pPr>
                    <w:rPr>
                      <w:rFonts w:ascii="宋体" w:hAnsi="宋体" w:cs="宋体"/>
                      <w:szCs w:val="21"/>
                    </w:rPr>
                  </w:pPr>
                  <w:r>
                    <w:rPr>
                      <w:rFonts w:hint="eastAsia" w:ascii="宋体" w:hAnsi="宋体" w:cs="宋体"/>
                      <w:szCs w:val="21"/>
                    </w:rPr>
                    <w:t>路灯型号</w:t>
                  </w:r>
                </w:p>
              </w:tc>
              <w:tc>
                <w:tcPr>
                  <w:tcW w:w="1305" w:type="pct"/>
                </w:tcPr>
                <w:p w14:paraId="77D99465">
                  <w:pPr>
                    <w:rPr>
                      <w:rFonts w:ascii="宋体" w:hAnsi="宋体" w:cs="宋体"/>
                      <w:szCs w:val="21"/>
                    </w:rPr>
                  </w:pPr>
                  <w:r>
                    <w:rPr>
                      <w:rFonts w:hint="eastAsia" w:ascii="宋体" w:hAnsi="宋体" w:cs="宋体"/>
                      <w:szCs w:val="21"/>
                    </w:rPr>
                    <w:t>50W LED路灯</w:t>
                  </w:r>
                </w:p>
              </w:tc>
              <w:tc>
                <w:tcPr>
                  <w:tcW w:w="1258" w:type="pct"/>
                </w:tcPr>
                <w:p w14:paraId="06647CEE">
                  <w:pPr>
                    <w:rPr>
                      <w:rFonts w:ascii="宋体" w:hAnsi="宋体" w:cs="宋体"/>
                      <w:szCs w:val="21"/>
                    </w:rPr>
                  </w:pPr>
                  <w:r>
                    <w:rPr>
                      <w:rFonts w:hint="eastAsia" w:ascii="宋体" w:hAnsi="宋体" w:cs="宋体"/>
                      <w:szCs w:val="21"/>
                    </w:rPr>
                    <w:t>150W LED路灯</w:t>
                  </w:r>
                </w:p>
              </w:tc>
              <w:tc>
                <w:tcPr>
                  <w:tcW w:w="1259" w:type="pct"/>
                </w:tcPr>
                <w:p w14:paraId="401E2EAE">
                  <w:pPr>
                    <w:rPr>
                      <w:rFonts w:ascii="宋体" w:hAnsi="宋体" w:cs="宋体"/>
                      <w:szCs w:val="21"/>
                    </w:rPr>
                  </w:pPr>
                  <w:r>
                    <w:rPr>
                      <w:rFonts w:hint="eastAsia" w:ascii="宋体" w:hAnsi="宋体" w:cs="宋体"/>
                      <w:szCs w:val="21"/>
                    </w:rPr>
                    <w:t>200W LED路灯</w:t>
                  </w:r>
                </w:p>
              </w:tc>
            </w:tr>
            <w:tr w14:paraId="2CBC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50456799">
                  <w:pPr>
                    <w:rPr>
                      <w:rFonts w:ascii="宋体" w:hAnsi="宋体" w:cs="宋体"/>
                      <w:szCs w:val="21"/>
                    </w:rPr>
                  </w:pPr>
                  <w:r>
                    <w:rPr>
                      <w:rFonts w:hint="eastAsia" w:ascii="宋体" w:hAnsi="宋体" w:cs="宋体"/>
                      <w:szCs w:val="21"/>
                    </w:rPr>
                    <w:t>模组化LED 光源功率（W）</w:t>
                  </w:r>
                </w:p>
              </w:tc>
              <w:tc>
                <w:tcPr>
                  <w:tcW w:w="1305" w:type="pct"/>
                  <w:vAlign w:val="center"/>
                </w:tcPr>
                <w:p w14:paraId="231CA565">
                  <w:pPr>
                    <w:rPr>
                      <w:rFonts w:ascii="宋体" w:hAnsi="宋体" w:cs="宋体"/>
                      <w:szCs w:val="21"/>
                    </w:rPr>
                  </w:pPr>
                </w:p>
                <w:p w14:paraId="091FC6A5">
                  <w:pPr>
                    <w:rPr>
                      <w:rFonts w:ascii="宋体" w:hAnsi="宋体" w:cs="宋体"/>
                      <w:szCs w:val="21"/>
                    </w:rPr>
                  </w:pPr>
                  <w:r>
                    <w:rPr>
                      <w:rFonts w:hint="eastAsia" w:ascii="宋体" w:hAnsi="宋体" w:cs="宋体"/>
                      <w:szCs w:val="21"/>
                    </w:rPr>
                    <w:t>50</w:t>
                  </w:r>
                </w:p>
              </w:tc>
              <w:tc>
                <w:tcPr>
                  <w:tcW w:w="1258" w:type="pct"/>
                  <w:vAlign w:val="center"/>
                </w:tcPr>
                <w:p w14:paraId="3FB53A8C">
                  <w:pPr>
                    <w:rPr>
                      <w:rFonts w:ascii="宋体" w:hAnsi="宋体" w:cs="宋体"/>
                      <w:szCs w:val="21"/>
                    </w:rPr>
                  </w:pPr>
                </w:p>
                <w:p w14:paraId="75FB5BDA">
                  <w:pPr>
                    <w:rPr>
                      <w:rFonts w:ascii="宋体" w:hAnsi="宋体" w:cs="宋体"/>
                      <w:szCs w:val="21"/>
                    </w:rPr>
                  </w:pPr>
                  <w:r>
                    <w:rPr>
                      <w:rFonts w:hint="eastAsia" w:ascii="宋体" w:hAnsi="宋体" w:cs="宋体"/>
                      <w:szCs w:val="21"/>
                    </w:rPr>
                    <w:t>150</w:t>
                  </w:r>
                </w:p>
              </w:tc>
              <w:tc>
                <w:tcPr>
                  <w:tcW w:w="1259" w:type="pct"/>
                  <w:vAlign w:val="center"/>
                </w:tcPr>
                <w:p w14:paraId="205516B6">
                  <w:pPr>
                    <w:rPr>
                      <w:rFonts w:ascii="宋体" w:hAnsi="宋体" w:cs="宋体"/>
                      <w:szCs w:val="21"/>
                    </w:rPr>
                  </w:pPr>
                </w:p>
                <w:p w14:paraId="166EEBBD">
                  <w:pPr>
                    <w:rPr>
                      <w:rFonts w:ascii="宋体" w:hAnsi="宋体" w:cs="宋体"/>
                      <w:szCs w:val="21"/>
                    </w:rPr>
                  </w:pPr>
                  <w:r>
                    <w:rPr>
                      <w:rFonts w:hint="eastAsia" w:ascii="宋体" w:hAnsi="宋体" w:cs="宋体"/>
                      <w:szCs w:val="21"/>
                    </w:rPr>
                    <w:t>200</w:t>
                  </w:r>
                </w:p>
              </w:tc>
            </w:tr>
            <w:tr w14:paraId="68DBC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046D8985">
                  <w:pPr>
                    <w:rPr>
                      <w:rFonts w:ascii="宋体" w:hAnsi="宋体" w:cs="宋体"/>
                      <w:szCs w:val="21"/>
                    </w:rPr>
                  </w:pPr>
                  <w:r>
                    <w:rPr>
                      <w:rFonts w:hint="eastAsia" w:ascii="宋体" w:hAnsi="宋体" w:cs="宋体"/>
                      <w:szCs w:val="21"/>
                    </w:rPr>
                    <w:t>单个LED模块额定电流及功率</w:t>
                  </w:r>
                </w:p>
              </w:tc>
              <w:tc>
                <w:tcPr>
                  <w:tcW w:w="1305" w:type="pct"/>
                  <w:vAlign w:val="center"/>
                </w:tcPr>
                <w:p w14:paraId="2CF9A783">
                  <w:pPr>
                    <w:rPr>
                      <w:rFonts w:ascii="宋体" w:hAnsi="宋体" w:cs="宋体"/>
                      <w:szCs w:val="21"/>
                    </w:rPr>
                  </w:pPr>
                  <w:r>
                    <w:rPr>
                      <w:rFonts w:hint="eastAsia" w:ascii="宋体" w:hAnsi="宋体" w:cs="宋体"/>
                      <w:szCs w:val="21"/>
                    </w:rPr>
                    <w:t>1050mA，50W</w:t>
                  </w:r>
                </w:p>
              </w:tc>
              <w:tc>
                <w:tcPr>
                  <w:tcW w:w="1258" w:type="pct"/>
                  <w:vAlign w:val="center"/>
                </w:tcPr>
                <w:p w14:paraId="0B00EE87">
                  <w:pPr>
                    <w:rPr>
                      <w:rFonts w:ascii="宋体" w:hAnsi="宋体" w:cs="宋体"/>
                      <w:szCs w:val="21"/>
                    </w:rPr>
                  </w:pPr>
                  <w:r>
                    <w:rPr>
                      <w:rFonts w:hint="eastAsia" w:ascii="宋体" w:hAnsi="宋体" w:cs="宋体"/>
                      <w:szCs w:val="21"/>
                    </w:rPr>
                    <w:t>1050mA，50W</w:t>
                  </w:r>
                </w:p>
              </w:tc>
              <w:tc>
                <w:tcPr>
                  <w:tcW w:w="1259" w:type="pct"/>
                  <w:vAlign w:val="center"/>
                </w:tcPr>
                <w:p w14:paraId="6DA7B6C8">
                  <w:pPr>
                    <w:rPr>
                      <w:rFonts w:ascii="宋体" w:hAnsi="宋体" w:cs="宋体"/>
                      <w:szCs w:val="21"/>
                    </w:rPr>
                  </w:pPr>
                  <w:r>
                    <w:rPr>
                      <w:rFonts w:hint="eastAsia" w:ascii="宋体" w:hAnsi="宋体" w:cs="宋体"/>
                      <w:szCs w:val="21"/>
                    </w:rPr>
                    <w:t>1050mA，50W</w:t>
                  </w:r>
                </w:p>
              </w:tc>
            </w:tr>
            <w:tr w14:paraId="76A9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4C2EC12E">
                  <w:pPr>
                    <w:rPr>
                      <w:rFonts w:ascii="宋体" w:hAnsi="宋体" w:cs="宋体"/>
                      <w:szCs w:val="21"/>
                    </w:rPr>
                  </w:pPr>
                  <w:r>
                    <w:rPr>
                      <w:rFonts w:hint="eastAsia" w:ascii="宋体" w:hAnsi="宋体" w:cs="宋体"/>
                      <w:szCs w:val="21"/>
                    </w:rPr>
                    <w:t>LED 路灯整灯光效</w:t>
                  </w:r>
                </w:p>
              </w:tc>
              <w:tc>
                <w:tcPr>
                  <w:tcW w:w="1305" w:type="pct"/>
                  <w:vAlign w:val="center"/>
                </w:tcPr>
                <w:p w14:paraId="7B91A303">
                  <w:pPr>
                    <w:rPr>
                      <w:rFonts w:ascii="宋体" w:hAnsi="宋体" w:cs="宋体"/>
                      <w:szCs w:val="21"/>
                    </w:rPr>
                  </w:pPr>
                  <w:r>
                    <w:rPr>
                      <w:rFonts w:hint="eastAsia" w:ascii="宋体" w:hAnsi="宋体" w:cs="宋体"/>
                      <w:szCs w:val="21"/>
                    </w:rPr>
                    <w:t>≥170 lm/W</w:t>
                  </w:r>
                </w:p>
              </w:tc>
              <w:tc>
                <w:tcPr>
                  <w:tcW w:w="1258" w:type="pct"/>
                  <w:vAlign w:val="center"/>
                </w:tcPr>
                <w:p w14:paraId="640CF97D">
                  <w:pPr>
                    <w:rPr>
                      <w:rFonts w:ascii="宋体" w:hAnsi="宋体" w:cs="宋体"/>
                      <w:szCs w:val="21"/>
                    </w:rPr>
                  </w:pPr>
                  <w:r>
                    <w:rPr>
                      <w:rFonts w:hint="eastAsia" w:ascii="宋体" w:hAnsi="宋体" w:cs="宋体"/>
                      <w:szCs w:val="21"/>
                    </w:rPr>
                    <w:t>≥170 lm/W</w:t>
                  </w:r>
                </w:p>
              </w:tc>
              <w:tc>
                <w:tcPr>
                  <w:tcW w:w="1259" w:type="pct"/>
                  <w:vAlign w:val="center"/>
                </w:tcPr>
                <w:p w14:paraId="71327570">
                  <w:pPr>
                    <w:rPr>
                      <w:rFonts w:ascii="宋体" w:hAnsi="宋体" w:cs="宋体"/>
                      <w:szCs w:val="21"/>
                    </w:rPr>
                  </w:pPr>
                  <w:r>
                    <w:rPr>
                      <w:rFonts w:hint="eastAsia" w:ascii="宋体" w:hAnsi="宋体" w:cs="宋体"/>
                      <w:szCs w:val="21"/>
                    </w:rPr>
                    <w:t>≥170 lm/W</w:t>
                  </w:r>
                </w:p>
              </w:tc>
            </w:tr>
            <w:tr w14:paraId="4FF7A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0CB14FFD">
                  <w:pPr>
                    <w:rPr>
                      <w:rFonts w:ascii="宋体" w:hAnsi="宋体" w:cs="宋体"/>
                      <w:szCs w:val="21"/>
                    </w:rPr>
                  </w:pPr>
                  <w:r>
                    <w:rPr>
                      <w:rFonts w:hint="eastAsia" w:ascii="宋体" w:hAnsi="宋体" w:cs="宋体"/>
                      <w:szCs w:val="21"/>
                    </w:rPr>
                    <w:t>色温值（K）</w:t>
                  </w:r>
                </w:p>
              </w:tc>
              <w:tc>
                <w:tcPr>
                  <w:tcW w:w="1305" w:type="pct"/>
                  <w:vAlign w:val="center"/>
                </w:tcPr>
                <w:p w14:paraId="6DEA4F89">
                  <w:pPr>
                    <w:rPr>
                      <w:rFonts w:ascii="宋体" w:hAnsi="宋体" w:cs="宋体"/>
                      <w:szCs w:val="21"/>
                    </w:rPr>
                  </w:pPr>
                  <w:r>
                    <w:rPr>
                      <w:rFonts w:hint="eastAsia" w:ascii="宋体" w:hAnsi="宋体" w:cs="宋体"/>
                      <w:szCs w:val="21"/>
                    </w:rPr>
                    <w:t>3500±100</w:t>
                  </w:r>
                </w:p>
              </w:tc>
              <w:tc>
                <w:tcPr>
                  <w:tcW w:w="1258" w:type="pct"/>
                  <w:vAlign w:val="center"/>
                </w:tcPr>
                <w:p w14:paraId="56E1299B">
                  <w:pPr>
                    <w:rPr>
                      <w:rFonts w:ascii="宋体" w:hAnsi="宋体" w:cs="宋体"/>
                      <w:szCs w:val="21"/>
                    </w:rPr>
                  </w:pPr>
                  <w:r>
                    <w:rPr>
                      <w:rFonts w:hint="eastAsia" w:ascii="宋体" w:hAnsi="宋体" w:cs="宋体"/>
                      <w:szCs w:val="21"/>
                    </w:rPr>
                    <w:t>3500±100</w:t>
                  </w:r>
                </w:p>
              </w:tc>
              <w:tc>
                <w:tcPr>
                  <w:tcW w:w="1259" w:type="pct"/>
                  <w:vAlign w:val="center"/>
                </w:tcPr>
                <w:p w14:paraId="06EE1343">
                  <w:pPr>
                    <w:rPr>
                      <w:rFonts w:ascii="宋体" w:hAnsi="宋体" w:cs="宋体"/>
                      <w:szCs w:val="21"/>
                    </w:rPr>
                  </w:pPr>
                  <w:r>
                    <w:rPr>
                      <w:rFonts w:hint="eastAsia" w:ascii="宋体" w:hAnsi="宋体" w:cs="宋体"/>
                      <w:szCs w:val="21"/>
                    </w:rPr>
                    <w:t>3500±100</w:t>
                  </w:r>
                </w:p>
              </w:tc>
            </w:tr>
            <w:tr w14:paraId="24DE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1B6A4D00">
                  <w:pPr>
                    <w:rPr>
                      <w:rFonts w:ascii="宋体" w:hAnsi="宋体" w:cs="宋体"/>
                      <w:szCs w:val="21"/>
                    </w:rPr>
                  </w:pPr>
                  <w:r>
                    <w:rPr>
                      <w:rFonts w:hint="eastAsia" w:ascii="宋体" w:hAnsi="宋体" w:cs="宋体"/>
                      <w:szCs w:val="21"/>
                    </w:rPr>
                    <w:t>显色指数</w:t>
                  </w:r>
                </w:p>
              </w:tc>
              <w:tc>
                <w:tcPr>
                  <w:tcW w:w="1305" w:type="pct"/>
                  <w:vAlign w:val="center"/>
                </w:tcPr>
                <w:p w14:paraId="051C2C5A">
                  <w:pPr>
                    <w:rPr>
                      <w:rFonts w:ascii="宋体" w:hAnsi="宋体" w:cs="宋体"/>
                      <w:szCs w:val="21"/>
                    </w:rPr>
                  </w:pPr>
                  <w:r>
                    <w:rPr>
                      <w:rFonts w:hint="eastAsia" w:ascii="宋体" w:hAnsi="宋体" w:cs="宋体"/>
                      <w:szCs w:val="21"/>
                    </w:rPr>
                    <w:t>≥70</w:t>
                  </w:r>
                </w:p>
              </w:tc>
              <w:tc>
                <w:tcPr>
                  <w:tcW w:w="1258" w:type="pct"/>
                  <w:vAlign w:val="center"/>
                </w:tcPr>
                <w:p w14:paraId="49F131B0">
                  <w:pPr>
                    <w:rPr>
                      <w:rFonts w:ascii="宋体" w:hAnsi="宋体" w:cs="宋体"/>
                      <w:szCs w:val="21"/>
                    </w:rPr>
                  </w:pPr>
                  <w:r>
                    <w:rPr>
                      <w:rFonts w:hint="eastAsia" w:ascii="宋体" w:hAnsi="宋体" w:cs="宋体"/>
                      <w:szCs w:val="21"/>
                    </w:rPr>
                    <w:t>≥70</w:t>
                  </w:r>
                </w:p>
              </w:tc>
              <w:tc>
                <w:tcPr>
                  <w:tcW w:w="1259" w:type="pct"/>
                  <w:vAlign w:val="center"/>
                </w:tcPr>
                <w:p w14:paraId="43694F54">
                  <w:pPr>
                    <w:rPr>
                      <w:rFonts w:ascii="宋体" w:hAnsi="宋体" w:cs="宋体"/>
                      <w:szCs w:val="21"/>
                    </w:rPr>
                  </w:pPr>
                  <w:r>
                    <w:rPr>
                      <w:rFonts w:hint="eastAsia" w:ascii="宋体" w:hAnsi="宋体" w:cs="宋体"/>
                      <w:szCs w:val="21"/>
                    </w:rPr>
                    <w:t>≥70</w:t>
                  </w:r>
                </w:p>
              </w:tc>
            </w:tr>
            <w:tr w14:paraId="32194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0FCD04FD">
                  <w:pPr>
                    <w:rPr>
                      <w:rFonts w:ascii="宋体" w:hAnsi="宋体" w:cs="宋体"/>
                      <w:szCs w:val="21"/>
                    </w:rPr>
                  </w:pPr>
                  <w:r>
                    <w:rPr>
                      <w:rFonts w:hint="eastAsia" w:ascii="宋体" w:hAnsi="宋体" w:cs="宋体"/>
                      <w:szCs w:val="21"/>
                    </w:rPr>
                    <w:t>驱动电源类型及功率</w:t>
                  </w:r>
                </w:p>
              </w:tc>
              <w:tc>
                <w:tcPr>
                  <w:tcW w:w="1305" w:type="pct"/>
                  <w:vAlign w:val="center"/>
                </w:tcPr>
                <w:p w14:paraId="4004C13C">
                  <w:pPr>
                    <w:rPr>
                      <w:rFonts w:ascii="宋体" w:hAnsi="宋体" w:cs="宋体"/>
                      <w:szCs w:val="21"/>
                    </w:rPr>
                  </w:pPr>
                  <w:r>
                    <w:rPr>
                      <w:rFonts w:hint="eastAsia" w:ascii="宋体" w:hAnsi="宋体" w:cs="宋体"/>
                      <w:szCs w:val="21"/>
                    </w:rPr>
                    <w:t>≥50W，</w:t>
                  </w:r>
                </w:p>
                <w:p w14:paraId="73763DCC">
                  <w:pPr>
                    <w:rPr>
                      <w:rFonts w:ascii="宋体" w:hAnsi="宋体" w:cs="宋体"/>
                      <w:szCs w:val="21"/>
                    </w:rPr>
                  </w:pPr>
                  <w:r>
                    <w:rPr>
                      <w:rFonts w:hint="eastAsia" w:ascii="宋体" w:hAnsi="宋体" w:cs="宋体"/>
                      <w:szCs w:val="21"/>
                    </w:rPr>
                    <w:t>恒流1050mA</w:t>
                  </w:r>
                </w:p>
              </w:tc>
              <w:tc>
                <w:tcPr>
                  <w:tcW w:w="1258" w:type="pct"/>
                  <w:vAlign w:val="center"/>
                </w:tcPr>
                <w:p w14:paraId="653AA07D">
                  <w:pPr>
                    <w:rPr>
                      <w:rFonts w:ascii="宋体" w:hAnsi="宋体" w:cs="宋体"/>
                      <w:szCs w:val="21"/>
                    </w:rPr>
                  </w:pPr>
                  <w:r>
                    <w:rPr>
                      <w:rFonts w:hint="eastAsia" w:ascii="宋体" w:hAnsi="宋体" w:cs="宋体"/>
                      <w:szCs w:val="21"/>
                    </w:rPr>
                    <w:t>≥150W，</w:t>
                  </w:r>
                </w:p>
                <w:p w14:paraId="134A478F">
                  <w:pPr>
                    <w:rPr>
                      <w:rFonts w:ascii="宋体" w:hAnsi="宋体" w:cs="宋体"/>
                      <w:szCs w:val="21"/>
                    </w:rPr>
                  </w:pPr>
                  <w:r>
                    <w:rPr>
                      <w:rFonts w:hint="eastAsia" w:ascii="宋体" w:hAnsi="宋体" w:cs="宋体"/>
                      <w:szCs w:val="21"/>
                    </w:rPr>
                    <w:t>恒流1050mA</w:t>
                  </w:r>
                </w:p>
              </w:tc>
              <w:tc>
                <w:tcPr>
                  <w:tcW w:w="1259" w:type="pct"/>
                  <w:vAlign w:val="center"/>
                </w:tcPr>
                <w:p w14:paraId="5D5201CD">
                  <w:pPr>
                    <w:rPr>
                      <w:rFonts w:ascii="宋体" w:hAnsi="宋体" w:cs="宋体"/>
                      <w:szCs w:val="21"/>
                    </w:rPr>
                  </w:pPr>
                  <w:r>
                    <w:rPr>
                      <w:rFonts w:hint="eastAsia" w:ascii="宋体" w:hAnsi="宋体" w:cs="宋体"/>
                      <w:szCs w:val="21"/>
                    </w:rPr>
                    <w:t>≥200W，</w:t>
                  </w:r>
                </w:p>
                <w:p w14:paraId="5DBCED61">
                  <w:pPr>
                    <w:rPr>
                      <w:rFonts w:ascii="宋体" w:hAnsi="宋体" w:cs="宋体"/>
                      <w:szCs w:val="21"/>
                    </w:rPr>
                  </w:pPr>
                  <w:r>
                    <w:rPr>
                      <w:rFonts w:hint="eastAsia" w:ascii="宋体" w:hAnsi="宋体" w:cs="宋体"/>
                      <w:szCs w:val="21"/>
                    </w:rPr>
                    <w:t>恒流1050mA</w:t>
                  </w:r>
                </w:p>
              </w:tc>
            </w:tr>
            <w:tr w14:paraId="09DC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56F83072">
                  <w:pPr>
                    <w:rPr>
                      <w:rFonts w:ascii="宋体" w:hAnsi="宋体" w:cs="宋体"/>
                      <w:szCs w:val="21"/>
                    </w:rPr>
                  </w:pPr>
                  <w:r>
                    <w:rPr>
                      <w:rFonts w:hint="eastAsia" w:ascii="宋体" w:hAnsi="宋体" w:cs="宋体"/>
                      <w:szCs w:val="21"/>
                    </w:rPr>
                    <w:t>颗粒、封装要求</w:t>
                  </w:r>
                </w:p>
              </w:tc>
              <w:tc>
                <w:tcPr>
                  <w:tcW w:w="1305" w:type="pct"/>
                  <w:vAlign w:val="center"/>
                </w:tcPr>
                <w:p w14:paraId="0CEA26F8">
                  <w:pPr>
                    <w:rPr>
                      <w:rFonts w:ascii="宋体" w:hAnsi="宋体" w:cs="宋体"/>
                      <w:szCs w:val="21"/>
                    </w:rPr>
                  </w:pPr>
                  <w:r>
                    <w:rPr>
                      <w:rFonts w:hint="eastAsia" w:ascii="宋体" w:hAnsi="宋体" w:cs="宋体"/>
                      <w:szCs w:val="21"/>
                    </w:rPr>
                    <w:t>5050 封装</w:t>
                  </w:r>
                </w:p>
              </w:tc>
              <w:tc>
                <w:tcPr>
                  <w:tcW w:w="1258" w:type="pct"/>
                  <w:vAlign w:val="center"/>
                </w:tcPr>
                <w:p w14:paraId="52A12C01">
                  <w:pPr>
                    <w:rPr>
                      <w:rFonts w:ascii="宋体" w:hAnsi="宋体" w:cs="宋体"/>
                      <w:szCs w:val="21"/>
                    </w:rPr>
                  </w:pPr>
                  <w:r>
                    <w:rPr>
                      <w:rFonts w:hint="eastAsia" w:ascii="宋体" w:hAnsi="宋体" w:cs="宋体"/>
                      <w:szCs w:val="21"/>
                    </w:rPr>
                    <w:t>5050 封装</w:t>
                  </w:r>
                </w:p>
              </w:tc>
              <w:tc>
                <w:tcPr>
                  <w:tcW w:w="1259" w:type="pct"/>
                  <w:vAlign w:val="center"/>
                </w:tcPr>
                <w:p w14:paraId="46B277A1">
                  <w:pPr>
                    <w:rPr>
                      <w:rFonts w:ascii="宋体" w:hAnsi="宋体" w:cs="宋体"/>
                      <w:szCs w:val="21"/>
                    </w:rPr>
                  </w:pPr>
                  <w:r>
                    <w:rPr>
                      <w:rFonts w:hint="eastAsia" w:ascii="宋体" w:hAnsi="宋体" w:cs="宋体"/>
                      <w:szCs w:val="21"/>
                    </w:rPr>
                    <w:t>5050 封装</w:t>
                  </w:r>
                </w:p>
              </w:tc>
            </w:tr>
            <w:tr w14:paraId="683A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76" w:type="pct"/>
                  <w:vAlign w:val="center"/>
                </w:tcPr>
                <w:p w14:paraId="109D94DD">
                  <w:pPr>
                    <w:rPr>
                      <w:rFonts w:ascii="宋体" w:hAnsi="宋体" w:cs="宋体"/>
                      <w:szCs w:val="21"/>
                    </w:rPr>
                  </w:pPr>
                  <w:r>
                    <w:rPr>
                      <w:rFonts w:hint="eastAsia" w:ascii="宋体" w:hAnsi="宋体" w:cs="宋体"/>
                      <w:szCs w:val="21"/>
                    </w:rPr>
                    <w:t>整灯净重(KG)（不允许有配重块）</w:t>
                  </w:r>
                </w:p>
              </w:tc>
              <w:tc>
                <w:tcPr>
                  <w:tcW w:w="1305" w:type="pct"/>
                  <w:vAlign w:val="center"/>
                </w:tcPr>
                <w:p w14:paraId="35558357">
                  <w:pPr>
                    <w:rPr>
                      <w:rFonts w:ascii="宋体" w:hAnsi="宋体" w:cs="宋体"/>
                      <w:szCs w:val="21"/>
                    </w:rPr>
                  </w:pPr>
                  <w:r>
                    <w:rPr>
                      <w:rFonts w:hint="eastAsia" w:ascii="宋体" w:hAnsi="宋体" w:cs="宋体"/>
                      <w:szCs w:val="21"/>
                    </w:rPr>
                    <w:t>≥3.2</w:t>
                  </w:r>
                </w:p>
                <w:p w14:paraId="6BCDCED5">
                  <w:pPr>
                    <w:rPr>
                      <w:rFonts w:ascii="宋体" w:hAnsi="宋体" w:cs="宋体"/>
                      <w:szCs w:val="21"/>
                    </w:rPr>
                  </w:pPr>
                </w:p>
              </w:tc>
              <w:tc>
                <w:tcPr>
                  <w:tcW w:w="1258" w:type="pct"/>
                  <w:vAlign w:val="center"/>
                </w:tcPr>
                <w:p w14:paraId="03740129">
                  <w:pPr>
                    <w:rPr>
                      <w:rFonts w:ascii="宋体" w:hAnsi="宋体" w:cs="宋体"/>
                      <w:szCs w:val="21"/>
                    </w:rPr>
                  </w:pPr>
                  <w:r>
                    <w:rPr>
                      <w:rFonts w:hint="eastAsia" w:ascii="宋体" w:hAnsi="宋体" w:cs="宋体"/>
                      <w:szCs w:val="21"/>
                    </w:rPr>
                    <w:t>≥4.8</w:t>
                  </w:r>
                </w:p>
                <w:p w14:paraId="58E2AB57">
                  <w:pPr>
                    <w:rPr>
                      <w:rFonts w:ascii="宋体" w:hAnsi="宋体" w:cs="宋体"/>
                      <w:szCs w:val="21"/>
                    </w:rPr>
                  </w:pPr>
                </w:p>
              </w:tc>
              <w:tc>
                <w:tcPr>
                  <w:tcW w:w="1259" w:type="pct"/>
                  <w:vAlign w:val="center"/>
                </w:tcPr>
                <w:p w14:paraId="37E43EA8">
                  <w:pPr>
                    <w:rPr>
                      <w:rFonts w:ascii="宋体" w:hAnsi="宋体" w:cs="宋体"/>
                      <w:szCs w:val="21"/>
                    </w:rPr>
                  </w:pPr>
                  <w:r>
                    <w:rPr>
                      <w:rFonts w:hint="eastAsia" w:ascii="宋体" w:hAnsi="宋体" w:cs="宋体"/>
                      <w:szCs w:val="21"/>
                    </w:rPr>
                    <w:t>≥5.6</w:t>
                  </w:r>
                </w:p>
                <w:p w14:paraId="1A4FFADA">
                  <w:pPr>
                    <w:rPr>
                      <w:rFonts w:ascii="宋体" w:hAnsi="宋体" w:cs="宋体"/>
                      <w:szCs w:val="21"/>
                    </w:rPr>
                  </w:pPr>
                </w:p>
              </w:tc>
            </w:tr>
          </w:tbl>
          <w:p w14:paraId="02F8B92B">
            <w:pPr>
              <w:rPr>
                <w:rFonts w:ascii="宋体" w:hAnsi="宋体" w:cs="宋体"/>
                <w:b/>
                <w:bCs/>
                <w:szCs w:val="21"/>
              </w:rPr>
            </w:pPr>
            <w:r>
              <w:rPr>
                <w:rFonts w:hint="eastAsia" w:ascii="宋体" w:hAnsi="宋体" w:cs="宋体"/>
                <w:szCs w:val="21"/>
              </w:rPr>
              <w:t>注：</w:t>
            </w:r>
            <w:r>
              <w:rPr>
                <w:rFonts w:hint="eastAsia" w:ascii="宋体" w:hAnsi="宋体" w:cs="宋体"/>
                <w:b/>
                <w:bCs w:val="0"/>
                <w:highlight w:val="none"/>
              </w:rPr>
              <w:t>▲</w:t>
            </w:r>
            <w:r>
              <w:rPr>
                <w:rFonts w:hint="eastAsia" w:ascii="宋体" w:hAnsi="宋体" w:cs="宋体"/>
                <w:b/>
                <w:bCs w:val="0"/>
                <w:szCs w:val="21"/>
                <w:highlight w:val="none"/>
              </w:rPr>
              <w:t>为方便高空安全维修作业，LED灯具内部需配瓷插熔断器或者开盖断电功能。整灯重量允许5%内的负偏差，灯具整体要求质保5年。</w:t>
            </w:r>
          </w:p>
          <w:p w14:paraId="74F61A25">
            <w:pPr>
              <w:rPr>
                <w:rFonts w:ascii="宋体" w:hAnsi="宋体" w:cs="宋体"/>
                <w:szCs w:val="21"/>
              </w:rPr>
            </w:pPr>
            <w:r>
              <w:rPr>
                <w:rFonts w:hint="eastAsia" w:ascii="宋体" w:hAnsi="宋体" w:cs="宋体"/>
                <w:szCs w:val="21"/>
              </w:rPr>
              <w:t>3.1.2  LED灯具结构中，灯体为LED模块提供支撑与连接固定，LED模块通过安装檐与灯体进行安装固定，在满足照度及亮度要求的前提下，一个LED灯具可包括一个或多个LED模块，LED模块间连接方式为串联。LED模块必须包含光源、光学器件、散热器及接插件。</w:t>
            </w:r>
          </w:p>
          <w:p w14:paraId="750A85A9">
            <w:pPr>
              <w:rPr>
                <w:rFonts w:ascii="宋体" w:hAnsi="宋体" w:cs="宋体"/>
                <w:b/>
                <w:bCs/>
                <w:szCs w:val="21"/>
                <w:highlight w:val="none"/>
              </w:rPr>
            </w:pPr>
            <w:r>
              <w:rPr>
                <w:rFonts w:hint="eastAsia" w:ascii="宋体" w:hAnsi="宋体" w:cs="宋体"/>
                <w:b/>
                <w:bCs/>
                <w:szCs w:val="21"/>
                <w:highlight w:val="none"/>
              </w:rPr>
              <w:t xml:space="preserve">3.1.3 </w:t>
            </w:r>
            <w:r>
              <w:rPr>
                <w:rFonts w:hint="eastAsia" w:ascii="宋体" w:hAnsi="宋体" w:cs="宋体"/>
                <w:b/>
                <w:bCs/>
                <w:highlight w:val="none"/>
              </w:rPr>
              <w:t>▲</w:t>
            </w:r>
            <w:r>
              <w:rPr>
                <w:rFonts w:hint="eastAsia" w:ascii="宋体" w:hAnsi="宋体" w:cs="宋体"/>
                <w:b/>
                <w:bCs/>
                <w:szCs w:val="21"/>
                <w:highlight w:val="none"/>
              </w:rPr>
              <w:t xml:space="preserve"> LED模块结构和机械互换：除了须满足整灯层面的常规安全与性能标准外，从终端应用的实际场景出发，采用模块化结构的LED模块，模组接口应符合GB/T35269或GB/T34846标准，能与符合该标准的其它模块互换。采用透镜进行二次配光，透镜出光率＞90%。LED模块尺寸需符合GB/T35269中A型LED模块尺寸要求（300mm×70mm），模块上散热片应由铝型材或压铸铝（或铝合金）制作，散热片突起高度不超60mm，模块可简易工具拆换。LED灯体结构尺寸需符合GB/T35269中A型LED灯体结构尺寸要求，LED灯体给模块提供的空间高度应不小于60mm。</w:t>
            </w:r>
          </w:p>
          <w:p w14:paraId="23236409">
            <w:pPr>
              <w:rPr>
                <w:rFonts w:ascii="宋体" w:hAnsi="宋体" w:cs="宋体"/>
                <w:b/>
                <w:bCs/>
                <w:szCs w:val="21"/>
                <w:highlight w:val="none"/>
              </w:rPr>
            </w:pPr>
            <w:r>
              <w:rPr>
                <w:rFonts w:hint="eastAsia" w:ascii="宋体" w:hAnsi="宋体" w:cs="宋体"/>
                <w:b/>
                <w:bCs/>
                <w:szCs w:val="21"/>
                <w:highlight w:val="none"/>
              </w:rPr>
              <w:t xml:space="preserve">3.1.4 </w:t>
            </w:r>
            <w:r>
              <w:rPr>
                <w:rFonts w:hint="eastAsia" w:ascii="宋体" w:hAnsi="宋体" w:cs="宋体"/>
                <w:b/>
                <w:bCs/>
                <w:highlight w:val="none"/>
              </w:rPr>
              <w:t>▲</w:t>
            </w:r>
            <w:r>
              <w:rPr>
                <w:rFonts w:hint="eastAsia" w:ascii="宋体" w:hAnsi="宋体" w:cs="宋体"/>
                <w:b/>
                <w:bCs/>
                <w:szCs w:val="21"/>
                <w:highlight w:val="none"/>
              </w:rPr>
              <w:t>灯具在额定工作条件下的实测功率与标称功率的允许偏差为 10%，灯具光源整体封装后光衰每年应小于4%。</w:t>
            </w:r>
          </w:p>
          <w:p w14:paraId="2033997F">
            <w:pPr>
              <w:rPr>
                <w:rFonts w:ascii="宋体" w:hAnsi="宋体" w:cs="宋体"/>
                <w:szCs w:val="21"/>
              </w:rPr>
            </w:pPr>
            <w:r>
              <w:rPr>
                <w:rFonts w:hint="eastAsia" w:ascii="宋体" w:hAnsi="宋体" w:cs="宋体"/>
                <w:szCs w:val="21"/>
              </w:rPr>
              <w:t>3.2 灯具外壳性能</w:t>
            </w:r>
          </w:p>
          <w:p w14:paraId="18936606">
            <w:pPr>
              <w:rPr>
                <w:rFonts w:ascii="宋体" w:hAnsi="宋体" w:cs="宋体"/>
                <w:szCs w:val="21"/>
              </w:rPr>
            </w:pPr>
            <w:r>
              <w:rPr>
                <w:rFonts w:hint="eastAsia" w:ascii="宋体" w:hAnsi="宋体" w:cs="宋体"/>
                <w:szCs w:val="21"/>
              </w:rPr>
              <w:t>3.2.1 灯具外壳采用优质高压铸铝（或铝合金）压铸一次成型制成（不允许采用拼接型或通过型材组装式的灯具式样），灯具外壳厚度≥2mm，表面粉末静电喷涂处理，具有良好的耐气候性能，表面应能承受机械压力和盐雾、汽车废气及清洗剂的腐蚀，涂层在灯具质保期内不褪色、不剥落。</w:t>
            </w:r>
          </w:p>
          <w:p w14:paraId="6AC0A730">
            <w:pPr>
              <w:rPr>
                <w:rFonts w:ascii="宋体" w:hAnsi="宋体" w:cs="宋体"/>
                <w:szCs w:val="21"/>
              </w:rPr>
            </w:pPr>
            <w:r>
              <w:rPr>
                <w:rFonts w:hint="eastAsia" w:ascii="宋体" w:hAnsi="宋体" w:cs="宋体"/>
                <w:szCs w:val="21"/>
              </w:rPr>
              <w:t>3.2.2 灯具外壳采用掀盖模式，并设支架或钢丝绳，方便检修。灯具外壳设计有水槽、底部有渗水孔。</w:t>
            </w:r>
          </w:p>
          <w:p w14:paraId="3963D3CB">
            <w:pPr>
              <w:rPr>
                <w:rFonts w:ascii="宋体" w:hAnsi="宋体" w:cs="宋体"/>
                <w:szCs w:val="21"/>
              </w:rPr>
            </w:pPr>
            <w:r>
              <w:rPr>
                <w:rFonts w:hint="eastAsia" w:ascii="宋体" w:hAnsi="宋体" w:cs="宋体"/>
                <w:szCs w:val="21"/>
              </w:rPr>
              <w:t>3.2.3 灯具独立电源腔结构设计，电源腔和光源腔应防水隔离，互不影响便于维护，灯具必须配备防坠落装置。</w:t>
            </w:r>
          </w:p>
          <w:p w14:paraId="01D143B0">
            <w:pPr>
              <w:rPr>
                <w:rFonts w:ascii="宋体" w:hAnsi="宋体" w:cs="宋体"/>
                <w:szCs w:val="21"/>
              </w:rPr>
            </w:pPr>
            <w:r>
              <w:rPr>
                <w:rFonts w:hint="eastAsia" w:ascii="宋体" w:hAnsi="宋体" w:cs="宋体"/>
                <w:szCs w:val="21"/>
              </w:rPr>
              <w:t>3.2.4 LED 路灯系统各部件壳表面应光洁、平整，不应有划伤、裂纹、变形等缺陷。</w:t>
            </w:r>
          </w:p>
          <w:p w14:paraId="3184716F">
            <w:pPr>
              <w:rPr>
                <w:rFonts w:ascii="宋体" w:hAnsi="宋体" w:cs="宋体"/>
                <w:szCs w:val="21"/>
              </w:rPr>
            </w:pPr>
            <w:r>
              <w:rPr>
                <w:rFonts w:hint="eastAsia" w:ascii="宋体" w:hAnsi="宋体" w:cs="宋体"/>
                <w:szCs w:val="21"/>
              </w:rPr>
              <w:t>3.2.5 灯具接口尺寸在签订合同时根据具体安装道路灯臂情况确定（灯臂管径参考范围在Φ50～Φ70之间）。</w:t>
            </w:r>
          </w:p>
          <w:p w14:paraId="6DD30ADC">
            <w:pPr>
              <w:rPr>
                <w:rFonts w:ascii="宋体" w:hAnsi="宋体" w:cs="宋体"/>
                <w:szCs w:val="21"/>
              </w:rPr>
            </w:pPr>
            <w:r>
              <w:rPr>
                <w:rFonts w:hint="eastAsia" w:ascii="宋体" w:hAnsi="宋体" w:cs="宋体"/>
                <w:szCs w:val="21"/>
              </w:rPr>
              <w:t>3.3 LED 路灯性能技术要求</w:t>
            </w:r>
          </w:p>
          <w:p w14:paraId="2D597A3D">
            <w:pPr>
              <w:rPr>
                <w:rFonts w:ascii="宋体" w:hAnsi="宋体" w:cs="宋体"/>
                <w:szCs w:val="21"/>
              </w:rPr>
            </w:pPr>
            <w:r>
              <w:rPr>
                <w:rFonts w:hint="eastAsia" w:ascii="宋体" w:hAnsi="宋体" w:cs="宋体"/>
                <w:szCs w:val="21"/>
              </w:rPr>
              <w:t>3.3.1产品尺寸采用行业主流:5050封装的大功率灯珠，LED灯珠工作时,1W≤单颗功率≤3W。要求选用低热阻、散热良好、耐高温、抗高压的封装及高折射率、抗劣化封装材料（如 硅胶、硅酮树脂、高透光的玻璃等合成材料）,提高出光效率和降低热阻，保证功率型LED 工作的稳定性、可靠性及高效性。</w:t>
            </w:r>
          </w:p>
          <w:p w14:paraId="5C4CCF68">
            <w:pPr>
              <w:rPr>
                <w:rFonts w:ascii="宋体" w:hAnsi="宋体" w:cs="宋体"/>
                <w:szCs w:val="21"/>
              </w:rPr>
            </w:pPr>
            <w:r>
              <w:rPr>
                <w:rFonts w:hint="eastAsia" w:ascii="宋体" w:hAnsi="宋体" w:cs="宋体"/>
                <w:szCs w:val="21"/>
              </w:rPr>
              <w:t>3.3.2 频闪效应可视度应符合GB 55016-2021的有关规范，其数值小于1（SVM＜1）。</w:t>
            </w:r>
          </w:p>
          <w:p w14:paraId="2CC2AFBA">
            <w:pPr>
              <w:rPr>
                <w:rFonts w:ascii="宋体" w:hAnsi="宋体" w:cs="宋体"/>
                <w:szCs w:val="21"/>
              </w:rPr>
            </w:pPr>
            <w:r>
              <w:rPr>
                <w:rFonts w:hint="eastAsia" w:ascii="宋体" w:hAnsi="宋体" w:cs="宋体"/>
                <w:szCs w:val="21"/>
              </w:rPr>
              <w:t>3.3.3 灯具配光设计应有防眩光技术措施，应用后满足《城市道路照明设计标准》 的相关要求。</w:t>
            </w:r>
          </w:p>
          <w:p w14:paraId="5DB273D8">
            <w:pPr>
              <w:rPr>
                <w:rFonts w:ascii="宋体" w:hAnsi="宋体" w:cs="宋体"/>
                <w:szCs w:val="21"/>
              </w:rPr>
            </w:pPr>
            <w:r>
              <w:rPr>
                <w:rFonts w:hint="eastAsia" w:ascii="宋体" w:hAnsi="宋体" w:cs="宋体"/>
                <w:szCs w:val="21"/>
              </w:rPr>
              <w:t xml:space="preserve">3.3.4 </w:t>
            </w:r>
            <w:r>
              <w:rPr>
                <w:rFonts w:hint="eastAsia" w:ascii="宋体" w:hAnsi="宋体" w:cs="宋体"/>
                <w:b/>
              </w:rPr>
              <w:t>▲</w:t>
            </w:r>
            <w:r>
              <w:rPr>
                <w:rFonts w:hint="eastAsia" w:ascii="宋体" w:hAnsi="宋体" w:cs="宋体"/>
                <w:b/>
                <w:bCs/>
                <w:szCs w:val="21"/>
                <w:highlight w:val="none"/>
              </w:rPr>
              <w:t>灯具的驱动电源寿命应大于30000小时，光源及其他部分使用寿命应大于50000小时（</w:t>
            </w:r>
            <w:r>
              <w:rPr>
                <w:rFonts w:hint="eastAsia" w:ascii="宋体" w:hAnsi="宋体" w:cs="宋体"/>
                <w:b/>
                <w:bCs/>
                <w:szCs w:val="21"/>
                <w:highlight w:val="none"/>
                <w:lang w:eastAsia="zh-CN"/>
              </w:rPr>
              <w:t>竞标文件中</w:t>
            </w:r>
            <w:r>
              <w:rPr>
                <w:rFonts w:hint="eastAsia" w:ascii="宋体" w:hAnsi="宋体" w:cs="宋体"/>
                <w:b/>
                <w:bCs/>
                <w:szCs w:val="21"/>
                <w:highlight w:val="none"/>
              </w:rPr>
              <w:t>须提供驱动电源及光源检测报告），质保期5年内均应履行以坏换新的无偿服务。</w:t>
            </w:r>
          </w:p>
          <w:p w14:paraId="76DCACC1">
            <w:pPr>
              <w:rPr>
                <w:rFonts w:ascii="宋体" w:hAnsi="宋体" w:cs="宋体"/>
                <w:szCs w:val="21"/>
              </w:rPr>
            </w:pPr>
            <w:r>
              <w:rPr>
                <w:rFonts w:hint="eastAsia" w:ascii="宋体" w:hAnsi="宋体" w:cs="宋体"/>
                <w:szCs w:val="21"/>
              </w:rPr>
              <w:t>3.3.5 电源应集成具有抗雷击浪涌或电网浪涌保护功能，共模浪涌电压不应低于 10kV，差模抗浪涌电压不低于 6KV。</w:t>
            </w:r>
          </w:p>
          <w:p w14:paraId="040B973E">
            <w:pPr>
              <w:rPr>
                <w:rFonts w:ascii="宋体" w:hAnsi="宋体" w:cs="宋体"/>
                <w:szCs w:val="21"/>
              </w:rPr>
            </w:pPr>
            <w:r>
              <w:rPr>
                <w:rFonts w:hint="eastAsia" w:ascii="宋体" w:hAnsi="宋体" w:cs="宋体"/>
                <w:szCs w:val="21"/>
              </w:rPr>
              <w:t>3.3.6 产品在温度-30～45℃环境温度范围内能可靠的工作。</w:t>
            </w:r>
          </w:p>
          <w:p w14:paraId="4D91DC5E">
            <w:pPr>
              <w:rPr>
                <w:rFonts w:ascii="宋体" w:hAnsi="宋体" w:cs="宋体"/>
                <w:szCs w:val="21"/>
              </w:rPr>
            </w:pPr>
            <w:r>
              <w:rPr>
                <w:rFonts w:hint="eastAsia" w:ascii="宋体" w:hAnsi="宋体" w:cs="宋体"/>
                <w:szCs w:val="21"/>
              </w:rPr>
              <w:t>3.3.7 产品在湿度 10～90%范围内能可靠的工作。</w:t>
            </w:r>
          </w:p>
          <w:p w14:paraId="582BFA0E">
            <w:pPr>
              <w:rPr>
                <w:rFonts w:ascii="宋体" w:hAnsi="宋体" w:cs="宋体"/>
                <w:szCs w:val="21"/>
              </w:rPr>
            </w:pPr>
            <w:r>
              <w:rPr>
                <w:rFonts w:hint="eastAsia" w:ascii="宋体" w:hAnsi="宋体" w:cs="宋体"/>
                <w:szCs w:val="21"/>
              </w:rPr>
              <w:t>3.3.8 电源驱动输入电压为：电压范围 AC180V～240V，额定电压220V/50Hz。</w:t>
            </w:r>
          </w:p>
          <w:p w14:paraId="02EC38AD">
            <w:pPr>
              <w:rPr>
                <w:rFonts w:ascii="宋体" w:hAnsi="宋体" w:cs="宋体"/>
                <w:szCs w:val="21"/>
              </w:rPr>
            </w:pPr>
            <w:r>
              <w:rPr>
                <w:rFonts w:hint="eastAsia" w:ascii="宋体" w:hAnsi="宋体" w:cs="宋体"/>
                <w:szCs w:val="21"/>
              </w:rPr>
              <w:t>3.3.9 模组化光源能够匹配驱动电源的电压、电流、和对应功率。</w:t>
            </w:r>
          </w:p>
          <w:p w14:paraId="08A4374D">
            <w:pPr>
              <w:rPr>
                <w:rFonts w:ascii="宋体" w:hAnsi="宋体" w:cs="宋体"/>
                <w:szCs w:val="21"/>
              </w:rPr>
            </w:pPr>
            <w:r>
              <w:rPr>
                <w:rFonts w:hint="eastAsia" w:ascii="宋体" w:hAnsi="宋体" w:cs="宋体"/>
                <w:szCs w:val="21"/>
              </w:rPr>
              <w:t>3.3.10 灯具抗冲击等级不低于 IK08。</w:t>
            </w:r>
          </w:p>
          <w:p w14:paraId="50C099D5">
            <w:pPr>
              <w:rPr>
                <w:rFonts w:ascii="宋体" w:hAnsi="宋体" w:cs="宋体"/>
                <w:szCs w:val="21"/>
              </w:rPr>
            </w:pPr>
            <w:r>
              <w:rPr>
                <w:rFonts w:hint="eastAsia" w:ascii="宋体" w:hAnsi="宋体" w:cs="宋体"/>
                <w:szCs w:val="21"/>
              </w:rPr>
              <w:t>3.3.11 防触电保护类别：I 类。</w:t>
            </w:r>
          </w:p>
          <w:p w14:paraId="226B20E1">
            <w:pPr>
              <w:rPr>
                <w:rFonts w:ascii="宋体" w:hAnsi="宋体" w:cs="宋体"/>
                <w:szCs w:val="21"/>
              </w:rPr>
            </w:pPr>
            <w:r>
              <w:rPr>
                <w:rFonts w:hint="eastAsia" w:ascii="宋体" w:hAnsi="宋体" w:cs="宋体"/>
                <w:szCs w:val="21"/>
              </w:rPr>
              <w:t>3.3.12 接线方式：单相三线制。</w:t>
            </w:r>
          </w:p>
          <w:p w14:paraId="355D8149">
            <w:pPr>
              <w:rPr>
                <w:rFonts w:ascii="宋体" w:hAnsi="宋体" w:cs="宋体"/>
                <w:szCs w:val="21"/>
              </w:rPr>
            </w:pPr>
            <w:r>
              <w:rPr>
                <w:rFonts w:hint="eastAsia" w:ascii="宋体" w:hAnsi="宋体" w:cs="宋体"/>
                <w:szCs w:val="21"/>
              </w:rPr>
              <w:t>3.3.13 灯具的功率因数应≥0.95。</w:t>
            </w:r>
          </w:p>
          <w:p w14:paraId="4E1A6B7B">
            <w:pPr>
              <w:rPr>
                <w:rFonts w:ascii="宋体" w:hAnsi="宋体" w:cs="宋体"/>
                <w:szCs w:val="21"/>
              </w:rPr>
            </w:pPr>
            <w:r>
              <w:rPr>
                <w:rFonts w:hint="eastAsia" w:ascii="宋体" w:hAnsi="宋体" w:cs="宋体"/>
                <w:szCs w:val="21"/>
              </w:rPr>
              <w:t>3.3.14 灯具 IP 防护等级要求：模组化灯具综合考虑外观、防雨、散热等要求，灯具整体IP 等级不低于 IP66，电源与灯具的连接为防水接头连接方式，连接线防护等级：IP68。</w:t>
            </w:r>
          </w:p>
          <w:p w14:paraId="6AAC10C5">
            <w:pPr>
              <w:rPr>
                <w:rFonts w:ascii="宋体" w:hAnsi="宋体" w:cs="宋体"/>
                <w:szCs w:val="21"/>
              </w:rPr>
            </w:pPr>
            <w:r>
              <w:rPr>
                <w:rFonts w:hint="eastAsia" w:ascii="宋体" w:hAnsi="宋体" w:cs="宋体"/>
                <w:szCs w:val="21"/>
              </w:rPr>
              <w:t>3.3.15 LED 灯具驱动电源需采用成熟且具有高可靠性的产品</w:t>
            </w:r>
            <w:r>
              <w:rPr>
                <w:rFonts w:hint="eastAsia" w:ascii="宋体" w:hAnsi="宋体" w:cs="宋体"/>
                <w:b/>
                <w:bCs/>
                <w:szCs w:val="21"/>
                <w:highlight w:val="none"/>
              </w:rPr>
              <w:t>，</w:t>
            </w:r>
            <w:r>
              <w:rPr>
                <w:rFonts w:hint="eastAsia" w:ascii="宋体" w:hAnsi="宋体" w:cs="宋体"/>
                <w:b/>
                <w:bCs/>
                <w:highlight w:val="none"/>
              </w:rPr>
              <w:t>▲</w:t>
            </w:r>
            <w:r>
              <w:rPr>
                <w:rFonts w:hint="eastAsia" w:ascii="宋体" w:hAnsi="宋体" w:cs="宋体"/>
                <w:b/>
                <w:bCs/>
                <w:szCs w:val="21"/>
                <w:highlight w:val="none"/>
              </w:rPr>
              <w:t>产品要求有 3C 认证。</w:t>
            </w:r>
            <w:r>
              <w:rPr>
                <w:rFonts w:hint="eastAsia" w:ascii="宋体" w:hAnsi="宋体" w:cs="宋体"/>
                <w:szCs w:val="21"/>
              </w:rPr>
              <w:t>驱动电源必须满足输出稳定的要求，具有防止过电压、过电流、过热、反向电压等综合自保护措施，LED芯片须采用恒流模式驱动。驱动电源还应满足以下要求：</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151"/>
              <w:gridCol w:w="1256"/>
              <w:gridCol w:w="1461"/>
              <w:gridCol w:w="918"/>
            </w:tblGrid>
            <w:tr w14:paraId="0F11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Align w:val="center"/>
                </w:tcPr>
                <w:p w14:paraId="2CC1A467">
                  <w:pPr>
                    <w:rPr>
                      <w:rFonts w:ascii="宋体" w:hAnsi="宋体" w:cs="宋体"/>
                      <w:szCs w:val="21"/>
                    </w:rPr>
                  </w:pPr>
                  <w:r>
                    <w:rPr>
                      <w:rFonts w:hint="eastAsia" w:ascii="宋体" w:hAnsi="宋体" w:cs="宋体"/>
                      <w:szCs w:val="21"/>
                    </w:rPr>
                    <w:t>序号</w:t>
                  </w:r>
                </w:p>
              </w:tc>
              <w:tc>
                <w:tcPr>
                  <w:tcW w:w="0" w:type="auto"/>
                  <w:vAlign w:val="center"/>
                </w:tcPr>
                <w:p w14:paraId="0DBAE793">
                  <w:pPr>
                    <w:rPr>
                      <w:rFonts w:ascii="宋体" w:hAnsi="宋体" w:cs="宋体"/>
                      <w:szCs w:val="21"/>
                    </w:rPr>
                  </w:pPr>
                  <w:r>
                    <w:rPr>
                      <w:rFonts w:hint="eastAsia" w:ascii="宋体" w:hAnsi="宋体" w:cs="宋体"/>
                      <w:szCs w:val="21"/>
                    </w:rPr>
                    <w:t>灯具功率(W)</w:t>
                  </w:r>
                </w:p>
              </w:tc>
              <w:tc>
                <w:tcPr>
                  <w:tcW w:w="0" w:type="auto"/>
                  <w:vAlign w:val="center"/>
                </w:tcPr>
                <w:p w14:paraId="1CBB5371">
                  <w:pPr>
                    <w:rPr>
                      <w:rFonts w:ascii="宋体" w:hAnsi="宋体" w:cs="宋体"/>
                      <w:szCs w:val="21"/>
                    </w:rPr>
                  </w:pPr>
                  <w:r>
                    <w:rPr>
                      <w:rFonts w:hint="eastAsia" w:ascii="宋体" w:hAnsi="宋体" w:cs="宋体"/>
                      <w:szCs w:val="21"/>
                    </w:rPr>
                    <w:t>输出电流(mA)</w:t>
                  </w:r>
                </w:p>
              </w:tc>
              <w:tc>
                <w:tcPr>
                  <w:tcW w:w="0" w:type="auto"/>
                  <w:vAlign w:val="center"/>
                </w:tcPr>
                <w:p w14:paraId="747C4520">
                  <w:pPr>
                    <w:rPr>
                      <w:rFonts w:ascii="宋体" w:hAnsi="宋体" w:cs="宋体"/>
                      <w:szCs w:val="21"/>
                    </w:rPr>
                  </w:pPr>
                  <w:r>
                    <w:rPr>
                      <w:rFonts w:hint="eastAsia" w:ascii="宋体" w:hAnsi="宋体" w:cs="宋体"/>
                      <w:szCs w:val="21"/>
                    </w:rPr>
                    <w:t>最大输出电压(V)</w:t>
                  </w:r>
                </w:p>
              </w:tc>
              <w:tc>
                <w:tcPr>
                  <w:tcW w:w="0" w:type="auto"/>
                  <w:vAlign w:val="center"/>
                </w:tcPr>
                <w:p w14:paraId="4DE7BF7D">
                  <w:pPr>
                    <w:rPr>
                      <w:rFonts w:ascii="宋体" w:hAnsi="宋体" w:cs="宋体"/>
                      <w:szCs w:val="21"/>
                    </w:rPr>
                  </w:pPr>
                  <w:r>
                    <w:rPr>
                      <w:rFonts w:hint="eastAsia" w:ascii="宋体" w:hAnsi="宋体" w:cs="宋体"/>
                      <w:szCs w:val="21"/>
                    </w:rPr>
                    <w:t>电源效率</w:t>
                  </w:r>
                </w:p>
              </w:tc>
            </w:tr>
            <w:tr w14:paraId="4F88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Align w:val="center"/>
                </w:tcPr>
                <w:p w14:paraId="4868A58A">
                  <w:pPr>
                    <w:rPr>
                      <w:rFonts w:ascii="宋体" w:hAnsi="宋体" w:cs="宋体"/>
                      <w:szCs w:val="21"/>
                    </w:rPr>
                  </w:pPr>
                  <w:r>
                    <w:rPr>
                      <w:rFonts w:hint="eastAsia" w:ascii="宋体" w:hAnsi="宋体" w:cs="宋体"/>
                      <w:szCs w:val="21"/>
                    </w:rPr>
                    <w:t>1</w:t>
                  </w:r>
                </w:p>
              </w:tc>
              <w:tc>
                <w:tcPr>
                  <w:tcW w:w="0" w:type="auto"/>
                  <w:vAlign w:val="center"/>
                </w:tcPr>
                <w:p w14:paraId="0FDB3447">
                  <w:pPr>
                    <w:rPr>
                      <w:rFonts w:ascii="宋体" w:hAnsi="宋体" w:cs="宋体"/>
                      <w:szCs w:val="21"/>
                    </w:rPr>
                  </w:pPr>
                  <w:r>
                    <w:rPr>
                      <w:rFonts w:hint="eastAsia" w:ascii="宋体" w:hAnsi="宋体" w:cs="宋体"/>
                      <w:szCs w:val="21"/>
                    </w:rPr>
                    <w:t>50</w:t>
                  </w:r>
                </w:p>
              </w:tc>
              <w:tc>
                <w:tcPr>
                  <w:tcW w:w="0" w:type="auto"/>
                  <w:vAlign w:val="center"/>
                </w:tcPr>
                <w:p w14:paraId="3560B1B2">
                  <w:pPr>
                    <w:rPr>
                      <w:rFonts w:ascii="宋体" w:hAnsi="宋体" w:cs="宋体"/>
                      <w:szCs w:val="21"/>
                    </w:rPr>
                  </w:pPr>
                  <w:r>
                    <w:rPr>
                      <w:rFonts w:hint="eastAsia" w:ascii="宋体" w:hAnsi="宋体" w:cs="宋体"/>
                      <w:szCs w:val="21"/>
                    </w:rPr>
                    <w:t>1050</w:t>
                  </w:r>
                </w:p>
              </w:tc>
              <w:tc>
                <w:tcPr>
                  <w:tcW w:w="0" w:type="auto"/>
                  <w:vAlign w:val="center"/>
                </w:tcPr>
                <w:p w14:paraId="432532DE">
                  <w:pPr>
                    <w:rPr>
                      <w:rFonts w:ascii="宋体" w:hAnsi="宋体" w:cs="宋体"/>
                      <w:szCs w:val="21"/>
                    </w:rPr>
                  </w:pPr>
                  <w:r>
                    <w:rPr>
                      <w:rFonts w:hint="eastAsia" w:ascii="宋体" w:hAnsi="宋体" w:cs="宋体"/>
                      <w:szCs w:val="21"/>
                    </w:rPr>
                    <w:t>≥61</w:t>
                  </w:r>
                </w:p>
              </w:tc>
              <w:tc>
                <w:tcPr>
                  <w:tcW w:w="0" w:type="auto"/>
                  <w:vAlign w:val="center"/>
                </w:tcPr>
                <w:p w14:paraId="625A5257">
                  <w:pPr>
                    <w:rPr>
                      <w:rFonts w:ascii="宋体" w:hAnsi="宋体" w:cs="宋体"/>
                      <w:szCs w:val="21"/>
                    </w:rPr>
                  </w:pPr>
                  <w:r>
                    <w:rPr>
                      <w:rFonts w:hint="eastAsia" w:ascii="宋体" w:hAnsi="宋体" w:cs="宋体"/>
                      <w:szCs w:val="21"/>
                    </w:rPr>
                    <w:t>≥88%</w:t>
                  </w:r>
                </w:p>
              </w:tc>
            </w:tr>
            <w:tr w14:paraId="0667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Align w:val="center"/>
                </w:tcPr>
                <w:p w14:paraId="05D4A2CE">
                  <w:pPr>
                    <w:rPr>
                      <w:rFonts w:ascii="宋体" w:hAnsi="宋体" w:cs="宋体"/>
                      <w:szCs w:val="21"/>
                    </w:rPr>
                  </w:pPr>
                  <w:r>
                    <w:rPr>
                      <w:rFonts w:hint="eastAsia" w:ascii="宋体" w:hAnsi="宋体" w:cs="宋体"/>
                      <w:szCs w:val="21"/>
                    </w:rPr>
                    <w:t>2</w:t>
                  </w:r>
                </w:p>
              </w:tc>
              <w:tc>
                <w:tcPr>
                  <w:tcW w:w="0" w:type="auto"/>
                  <w:vAlign w:val="center"/>
                </w:tcPr>
                <w:p w14:paraId="75F320C0">
                  <w:pPr>
                    <w:rPr>
                      <w:rFonts w:ascii="宋体" w:hAnsi="宋体" w:cs="宋体"/>
                      <w:szCs w:val="21"/>
                    </w:rPr>
                  </w:pPr>
                  <w:r>
                    <w:rPr>
                      <w:rFonts w:hint="eastAsia" w:ascii="宋体" w:hAnsi="宋体" w:cs="宋体"/>
                      <w:szCs w:val="21"/>
                    </w:rPr>
                    <w:t>150</w:t>
                  </w:r>
                </w:p>
              </w:tc>
              <w:tc>
                <w:tcPr>
                  <w:tcW w:w="0" w:type="auto"/>
                  <w:vAlign w:val="center"/>
                </w:tcPr>
                <w:p w14:paraId="55AE6B2C">
                  <w:pPr>
                    <w:rPr>
                      <w:rFonts w:ascii="宋体" w:hAnsi="宋体" w:cs="宋体"/>
                      <w:szCs w:val="21"/>
                    </w:rPr>
                  </w:pPr>
                  <w:r>
                    <w:rPr>
                      <w:rFonts w:hint="eastAsia" w:ascii="宋体" w:hAnsi="宋体" w:cs="宋体"/>
                      <w:szCs w:val="21"/>
                    </w:rPr>
                    <w:t>1050</w:t>
                  </w:r>
                </w:p>
              </w:tc>
              <w:tc>
                <w:tcPr>
                  <w:tcW w:w="0" w:type="auto"/>
                  <w:vAlign w:val="center"/>
                </w:tcPr>
                <w:p w14:paraId="3A6D8225">
                  <w:pPr>
                    <w:rPr>
                      <w:rFonts w:ascii="宋体" w:hAnsi="宋体" w:cs="宋体"/>
                      <w:szCs w:val="21"/>
                    </w:rPr>
                  </w:pPr>
                  <w:r>
                    <w:rPr>
                      <w:rFonts w:hint="eastAsia" w:ascii="宋体" w:hAnsi="宋体" w:cs="宋体"/>
                      <w:szCs w:val="21"/>
                    </w:rPr>
                    <w:t>≥183</w:t>
                  </w:r>
                </w:p>
              </w:tc>
              <w:tc>
                <w:tcPr>
                  <w:tcW w:w="0" w:type="auto"/>
                  <w:vAlign w:val="center"/>
                </w:tcPr>
                <w:p w14:paraId="01D29172">
                  <w:pPr>
                    <w:rPr>
                      <w:rFonts w:ascii="宋体" w:hAnsi="宋体" w:cs="宋体"/>
                      <w:szCs w:val="21"/>
                    </w:rPr>
                  </w:pPr>
                  <w:r>
                    <w:rPr>
                      <w:rFonts w:hint="eastAsia" w:ascii="宋体" w:hAnsi="宋体" w:cs="宋体"/>
                      <w:szCs w:val="21"/>
                    </w:rPr>
                    <w:t>≥90%</w:t>
                  </w:r>
                </w:p>
              </w:tc>
            </w:tr>
            <w:tr w14:paraId="61B2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Align w:val="center"/>
                </w:tcPr>
                <w:p w14:paraId="38930C36">
                  <w:pPr>
                    <w:rPr>
                      <w:rFonts w:ascii="宋体" w:hAnsi="宋体" w:cs="宋体"/>
                      <w:szCs w:val="21"/>
                    </w:rPr>
                  </w:pPr>
                  <w:r>
                    <w:rPr>
                      <w:rFonts w:hint="eastAsia" w:ascii="宋体" w:hAnsi="宋体" w:cs="宋体"/>
                      <w:szCs w:val="21"/>
                    </w:rPr>
                    <w:t>3</w:t>
                  </w:r>
                </w:p>
              </w:tc>
              <w:tc>
                <w:tcPr>
                  <w:tcW w:w="0" w:type="auto"/>
                  <w:vAlign w:val="center"/>
                </w:tcPr>
                <w:p w14:paraId="27EC3EA3">
                  <w:pPr>
                    <w:rPr>
                      <w:rFonts w:ascii="宋体" w:hAnsi="宋体" w:cs="宋体"/>
                      <w:szCs w:val="21"/>
                    </w:rPr>
                  </w:pPr>
                  <w:r>
                    <w:rPr>
                      <w:rFonts w:hint="eastAsia" w:ascii="宋体" w:hAnsi="宋体" w:cs="宋体"/>
                      <w:szCs w:val="21"/>
                    </w:rPr>
                    <w:t>200</w:t>
                  </w:r>
                </w:p>
              </w:tc>
              <w:tc>
                <w:tcPr>
                  <w:tcW w:w="0" w:type="auto"/>
                  <w:vAlign w:val="center"/>
                </w:tcPr>
                <w:p w14:paraId="2CE8654A">
                  <w:pPr>
                    <w:rPr>
                      <w:rFonts w:ascii="宋体" w:hAnsi="宋体" w:cs="宋体"/>
                      <w:szCs w:val="21"/>
                    </w:rPr>
                  </w:pPr>
                  <w:r>
                    <w:rPr>
                      <w:rFonts w:hint="eastAsia" w:ascii="宋体" w:hAnsi="宋体" w:cs="宋体"/>
                      <w:szCs w:val="21"/>
                    </w:rPr>
                    <w:t>1050</w:t>
                  </w:r>
                </w:p>
              </w:tc>
              <w:tc>
                <w:tcPr>
                  <w:tcW w:w="0" w:type="auto"/>
                  <w:vAlign w:val="center"/>
                </w:tcPr>
                <w:p w14:paraId="769DD485">
                  <w:pPr>
                    <w:rPr>
                      <w:rFonts w:ascii="宋体" w:hAnsi="宋体" w:cs="宋体"/>
                      <w:szCs w:val="21"/>
                    </w:rPr>
                  </w:pPr>
                  <w:r>
                    <w:rPr>
                      <w:rFonts w:hint="eastAsia" w:ascii="宋体" w:hAnsi="宋体" w:cs="宋体"/>
                      <w:szCs w:val="21"/>
                    </w:rPr>
                    <w:t>≥244</w:t>
                  </w:r>
                </w:p>
              </w:tc>
              <w:tc>
                <w:tcPr>
                  <w:tcW w:w="0" w:type="auto"/>
                  <w:vAlign w:val="center"/>
                </w:tcPr>
                <w:p w14:paraId="570B2E0A">
                  <w:pPr>
                    <w:rPr>
                      <w:rFonts w:ascii="宋体" w:hAnsi="宋体" w:cs="宋体"/>
                      <w:szCs w:val="21"/>
                    </w:rPr>
                  </w:pPr>
                  <w:r>
                    <w:rPr>
                      <w:rFonts w:hint="eastAsia" w:ascii="宋体" w:hAnsi="宋体" w:cs="宋体"/>
                      <w:szCs w:val="21"/>
                    </w:rPr>
                    <w:t>≥90%</w:t>
                  </w:r>
                </w:p>
              </w:tc>
            </w:tr>
          </w:tbl>
          <w:p w14:paraId="78212720">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rPr>
              <w:t>3.3.16 LED灯具的爬电距离应符合GB7000.1《灯具 第一部分：一般要求与试验》 中的有关要求。</w:t>
            </w:r>
          </w:p>
        </w:tc>
      </w:tr>
      <w:tr w14:paraId="161BC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5313B321">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194" w:type="dxa"/>
            <w:vAlign w:val="center"/>
          </w:tcPr>
          <w:p w14:paraId="7E73E9DF">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LED灯具150W</w:t>
            </w:r>
          </w:p>
        </w:tc>
        <w:tc>
          <w:tcPr>
            <w:tcW w:w="680" w:type="dxa"/>
            <w:vAlign w:val="center"/>
          </w:tcPr>
          <w:p w14:paraId="2FB7D191">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890" w:type="dxa"/>
            <w:vAlign w:val="center"/>
          </w:tcPr>
          <w:p w14:paraId="4FA1336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200</w:t>
            </w:r>
          </w:p>
        </w:tc>
        <w:tc>
          <w:tcPr>
            <w:tcW w:w="1071" w:type="dxa"/>
            <w:vAlign w:val="center"/>
          </w:tcPr>
          <w:p w14:paraId="688B1D4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665</w:t>
            </w:r>
          </w:p>
        </w:tc>
        <w:tc>
          <w:tcPr>
            <w:tcW w:w="5593" w:type="dxa"/>
            <w:vMerge w:val="continue"/>
            <w:vAlign w:val="center"/>
          </w:tcPr>
          <w:p w14:paraId="008B7802">
            <w:pPr>
              <w:pStyle w:val="47"/>
              <w:ind w:firstLine="0"/>
              <w:jc w:val="center"/>
              <w:rPr>
                <w:rFonts w:ascii="宋体" w:hAnsi="宋体" w:cs="宋体"/>
                <w:color w:val="000000" w:themeColor="text1"/>
                <w14:textFill>
                  <w14:solidFill>
                    <w14:schemeClr w14:val="tx1"/>
                  </w14:solidFill>
                </w14:textFill>
              </w:rPr>
            </w:pPr>
          </w:p>
        </w:tc>
      </w:tr>
      <w:tr w14:paraId="6FFB0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27E8AF84">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194" w:type="dxa"/>
            <w:vAlign w:val="center"/>
          </w:tcPr>
          <w:p w14:paraId="375AC95D">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LED灯具50W</w:t>
            </w:r>
          </w:p>
        </w:tc>
        <w:tc>
          <w:tcPr>
            <w:tcW w:w="680" w:type="dxa"/>
            <w:vAlign w:val="center"/>
          </w:tcPr>
          <w:p w14:paraId="080594B1">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890" w:type="dxa"/>
            <w:vAlign w:val="center"/>
          </w:tcPr>
          <w:p w14:paraId="0E7F40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300</w:t>
            </w:r>
          </w:p>
        </w:tc>
        <w:tc>
          <w:tcPr>
            <w:tcW w:w="1071" w:type="dxa"/>
            <w:vAlign w:val="center"/>
          </w:tcPr>
          <w:p w14:paraId="1CFCD6A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425</w:t>
            </w:r>
          </w:p>
        </w:tc>
        <w:tc>
          <w:tcPr>
            <w:tcW w:w="5593" w:type="dxa"/>
            <w:vMerge w:val="continue"/>
            <w:vAlign w:val="center"/>
          </w:tcPr>
          <w:p w14:paraId="5A83ED43">
            <w:pPr>
              <w:pStyle w:val="47"/>
              <w:ind w:firstLine="0"/>
              <w:jc w:val="center"/>
              <w:rPr>
                <w:rFonts w:ascii="宋体" w:hAnsi="宋体" w:cs="宋体"/>
                <w:color w:val="000000" w:themeColor="text1"/>
                <w14:textFill>
                  <w14:solidFill>
                    <w14:schemeClr w14:val="tx1"/>
                  </w14:solidFill>
                </w14:textFill>
              </w:rPr>
            </w:pPr>
          </w:p>
        </w:tc>
      </w:tr>
      <w:tr w14:paraId="6DD568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vAlign w:val="center"/>
          </w:tcPr>
          <w:p w14:paraId="19FB3863">
            <w:pPr>
              <w:pStyle w:val="47"/>
              <w:ind w:firstLine="0"/>
              <w:jc w:val="center"/>
              <w:rPr>
                <w:color w:val="000000" w:themeColor="text1"/>
                <w14:textFill>
                  <w14:solidFill>
                    <w14:schemeClr w14:val="tx1"/>
                  </w14:solidFill>
                </w14:textFill>
              </w:rPr>
            </w:pPr>
            <w:r>
              <w:rPr>
                <w:rFonts w:hint="eastAsia"/>
                <w:b/>
                <w:bCs/>
                <w:color w:val="000000" w:themeColor="text1"/>
                <w:sz w:val="28"/>
                <w:szCs w:val="28"/>
                <w14:textFill>
                  <w14:solidFill>
                    <w14:schemeClr w14:val="tx1"/>
                  </w14:solidFill>
                </w14:textFill>
              </w:rPr>
              <w:t>分标2</w:t>
            </w:r>
          </w:p>
        </w:tc>
      </w:tr>
      <w:tr w14:paraId="4EC9C3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4D52A5ED">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194" w:type="dxa"/>
            <w:vAlign w:val="center"/>
          </w:tcPr>
          <w:p w14:paraId="493BA928">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货物名称</w:t>
            </w:r>
          </w:p>
        </w:tc>
        <w:tc>
          <w:tcPr>
            <w:tcW w:w="680" w:type="dxa"/>
            <w:vAlign w:val="center"/>
          </w:tcPr>
          <w:p w14:paraId="1563751E">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890" w:type="dxa"/>
            <w:vAlign w:val="center"/>
          </w:tcPr>
          <w:p w14:paraId="28C69804">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c>
          <w:tcPr>
            <w:tcW w:w="1071" w:type="dxa"/>
            <w:vAlign w:val="center"/>
          </w:tcPr>
          <w:p w14:paraId="1C9B4EE7">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预算控制单价（元）</w:t>
            </w:r>
          </w:p>
        </w:tc>
        <w:tc>
          <w:tcPr>
            <w:tcW w:w="5593" w:type="dxa"/>
            <w:vAlign w:val="center"/>
          </w:tcPr>
          <w:p w14:paraId="4FF8B2C8">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技术指标要求</w:t>
            </w:r>
          </w:p>
        </w:tc>
      </w:tr>
      <w:tr w14:paraId="45A2B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0A75BFC2">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194" w:type="dxa"/>
            <w:vAlign w:val="center"/>
          </w:tcPr>
          <w:p w14:paraId="0A04DFF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铝合金电缆</w:t>
            </w:r>
          </w:p>
        </w:tc>
        <w:tc>
          <w:tcPr>
            <w:tcW w:w="680" w:type="dxa"/>
            <w:vAlign w:val="center"/>
          </w:tcPr>
          <w:p w14:paraId="34EA661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米</w:t>
            </w:r>
          </w:p>
        </w:tc>
        <w:tc>
          <w:tcPr>
            <w:tcW w:w="890" w:type="dxa"/>
            <w:vAlign w:val="center"/>
          </w:tcPr>
          <w:p w14:paraId="60F7B23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4000</w:t>
            </w:r>
          </w:p>
        </w:tc>
        <w:tc>
          <w:tcPr>
            <w:tcW w:w="1071" w:type="dxa"/>
            <w:vAlign w:val="center"/>
          </w:tcPr>
          <w:p w14:paraId="208B623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23.5</w:t>
            </w:r>
          </w:p>
        </w:tc>
        <w:tc>
          <w:tcPr>
            <w:tcW w:w="5593" w:type="dxa"/>
            <w:vAlign w:val="center"/>
          </w:tcPr>
          <w:p w14:paraId="3D43AB07">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规格型号：YJLHV5*25</w:t>
            </w:r>
          </w:p>
          <w:p w14:paraId="74D640B0">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1、绝缘厚度：0.9mm，护套厚度：1.8mm</w:t>
            </w:r>
          </w:p>
          <w:p w14:paraId="1F31C6F4">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2、20℃时导体直流最大电阻（（Ω/km）：0.868,70℃时最小绝缘电阻（/MΩ·km）：0.0043</w:t>
            </w:r>
          </w:p>
          <w:p w14:paraId="7BFC45AB">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3、电压等级：0.6/1KV，试验电压：3.5KV</w:t>
            </w:r>
          </w:p>
          <w:p w14:paraId="57F34B77">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b/>
              </w:rPr>
              <w:t>▲</w:t>
            </w:r>
            <w:r>
              <w:rPr>
                <w:rFonts w:hint="eastAsia" w:ascii="宋体" w:hAnsi="宋体" w:cs="宋体"/>
                <w:color w:val="000000" w:themeColor="text1"/>
                <w:spacing w:val="-1"/>
                <w14:textFill>
                  <w14:solidFill>
                    <w14:schemeClr w14:val="tx1"/>
                  </w14:solidFill>
                </w14:textFill>
              </w:rPr>
              <w:t xml:space="preserve">4、电缆弯曲半径：≧15（D+d）      </w:t>
            </w:r>
          </w:p>
          <w:p w14:paraId="06E12C73">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①D为电缆外径</w:t>
            </w:r>
          </w:p>
          <w:p w14:paraId="5F33949F">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②d为导体外径</w:t>
            </w:r>
          </w:p>
          <w:p w14:paraId="45DD03FA">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5、电缆的正常运行工作温度：≤70℃</w:t>
            </w:r>
          </w:p>
          <w:p w14:paraId="71870C1B">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6、短路时：</w:t>
            </w:r>
          </w:p>
          <w:p w14:paraId="6F5E36F4">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①最长持续时间不超过5s</w:t>
            </w:r>
          </w:p>
          <w:p w14:paraId="3829604B">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②导体最高温度160℃</w:t>
            </w:r>
          </w:p>
          <w:p w14:paraId="4187F606">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7、电缆敷设后经受直流电压：3.5kv/15min不击穿</w:t>
            </w:r>
          </w:p>
          <w:p w14:paraId="543A38B4">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8、执行标准:NB/T42051-2015</w:t>
            </w:r>
          </w:p>
          <w:p w14:paraId="5CE799D3">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9、必须装盘，盘直径不大于1.7米</w:t>
            </w:r>
          </w:p>
        </w:tc>
      </w:tr>
      <w:tr w14:paraId="1F522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4183DCE9">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194" w:type="dxa"/>
            <w:vAlign w:val="center"/>
          </w:tcPr>
          <w:p w14:paraId="5FE59C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铝合金电缆</w:t>
            </w:r>
          </w:p>
        </w:tc>
        <w:tc>
          <w:tcPr>
            <w:tcW w:w="680" w:type="dxa"/>
            <w:vAlign w:val="center"/>
          </w:tcPr>
          <w:p w14:paraId="1931B85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米</w:t>
            </w:r>
          </w:p>
        </w:tc>
        <w:tc>
          <w:tcPr>
            <w:tcW w:w="890" w:type="dxa"/>
            <w:vAlign w:val="center"/>
          </w:tcPr>
          <w:p w14:paraId="7FFF71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2000</w:t>
            </w:r>
          </w:p>
        </w:tc>
        <w:tc>
          <w:tcPr>
            <w:tcW w:w="1071" w:type="dxa"/>
            <w:vAlign w:val="center"/>
          </w:tcPr>
          <w:p w14:paraId="29A7263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29</w:t>
            </w:r>
          </w:p>
        </w:tc>
        <w:tc>
          <w:tcPr>
            <w:tcW w:w="5593" w:type="dxa"/>
            <w:vAlign w:val="center"/>
          </w:tcPr>
          <w:p w14:paraId="15D8C3B1">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规格型号：YJLHV5*35</w:t>
            </w:r>
          </w:p>
          <w:p w14:paraId="41E3EE23">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1、绝缘厚度：标称值：0.9/0.7mm，最薄点0.71/0.53mm；</w:t>
            </w:r>
          </w:p>
          <w:p w14:paraId="4AA11E60">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2、20℃时导体直流最大电阻（（Ω/km）：0.868；</w:t>
            </w:r>
          </w:p>
          <w:p w14:paraId="714C893C">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3、试验电压：3.5/5kV，不击穿</w:t>
            </w:r>
          </w:p>
          <w:p w14:paraId="69EAFBC6">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b/>
              </w:rPr>
              <w:t>▲</w:t>
            </w:r>
            <w:r>
              <w:rPr>
                <w:rFonts w:hint="eastAsia" w:ascii="宋体" w:hAnsi="宋体" w:cs="宋体"/>
                <w:color w:val="000000" w:themeColor="text1"/>
                <w:spacing w:val="-1"/>
                <w14:textFill>
                  <w14:solidFill>
                    <w14:schemeClr w14:val="tx1"/>
                  </w14:solidFill>
                </w14:textFill>
              </w:rPr>
              <w:t>4、电缆弯曲半径：≧15D，D为电缆外径；</w:t>
            </w:r>
          </w:p>
          <w:p w14:paraId="20D02D54">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5、电缆的正常运行工作温度：90℃</w:t>
            </w:r>
          </w:p>
          <w:p w14:paraId="3490889E">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6、短路时：</w:t>
            </w:r>
          </w:p>
          <w:p w14:paraId="069C0A38">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①最长持续时间不超过5s</w:t>
            </w:r>
          </w:p>
          <w:p w14:paraId="08CAE4C9">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②导体最高温度160℃</w:t>
            </w:r>
          </w:p>
          <w:p w14:paraId="57F3DD29">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7、执行标准：GB/T 12706.1-2020</w:t>
            </w:r>
          </w:p>
          <w:p w14:paraId="59C2EBE9">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8、必须装盘，盘直径不大于1.7米</w:t>
            </w:r>
          </w:p>
        </w:tc>
      </w:tr>
      <w:tr w14:paraId="15769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5135B741">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194" w:type="dxa"/>
            <w:vAlign w:val="center"/>
          </w:tcPr>
          <w:p w14:paraId="43A9C8B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铜芯线</w:t>
            </w:r>
          </w:p>
        </w:tc>
        <w:tc>
          <w:tcPr>
            <w:tcW w:w="680" w:type="dxa"/>
            <w:vAlign w:val="center"/>
          </w:tcPr>
          <w:p w14:paraId="25EE969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米</w:t>
            </w:r>
          </w:p>
        </w:tc>
        <w:tc>
          <w:tcPr>
            <w:tcW w:w="890" w:type="dxa"/>
            <w:vAlign w:val="center"/>
          </w:tcPr>
          <w:p w14:paraId="6F105CD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500</w:t>
            </w:r>
          </w:p>
        </w:tc>
        <w:tc>
          <w:tcPr>
            <w:tcW w:w="1071" w:type="dxa"/>
            <w:vAlign w:val="center"/>
          </w:tcPr>
          <w:p w14:paraId="554EEDE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14</w:t>
            </w:r>
          </w:p>
        </w:tc>
        <w:tc>
          <w:tcPr>
            <w:tcW w:w="5593" w:type="dxa"/>
            <w:vAlign w:val="center"/>
          </w:tcPr>
          <w:p w14:paraId="610B703B">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规格型号：BV-16</w:t>
            </w:r>
          </w:p>
          <w:p w14:paraId="24310E5A">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1、绝缘厚度：1.0mm</w:t>
            </w:r>
          </w:p>
          <w:p w14:paraId="62DA3621">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2、20℃时导体直流电阻（（Ω/km）：1.15,70℃时最小绝缘电阻（/MΩ·km）：0.0064</w:t>
            </w:r>
          </w:p>
          <w:p w14:paraId="60384250">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3、电压等级：450/750kV，试验电压：2.5kV</w:t>
            </w:r>
          </w:p>
          <w:p w14:paraId="3BFBFD31">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4、电缆弯曲半径：≧12（D+d）</w:t>
            </w:r>
          </w:p>
          <w:p w14:paraId="494D6E76">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5、电缆的正常运行工作温度：≤70℃</w:t>
            </w:r>
          </w:p>
          <w:p w14:paraId="6D51EB14">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6、短路时：</w:t>
            </w:r>
          </w:p>
          <w:p w14:paraId="4F91FBA3">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①最长持续时间不超过5s</w:t>
            </w:r>
          </w:p>
          <w:p w14:paraId="79616CE9">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②导体最高温度160℃</w:t>
            </w:r>
          </w:p>
          <w:p w14:paraId="3636E061">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7、电缆敷设后经受直流电压：2.5kv/5min不击穿</w:t>
            </w:r>
          </w:p>
          <w:p w14:paraId="5A0E078E">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8、执行标准:GB/T5023-2008</w:t>
            </w:r>
          </w:p>
          <w:p w14:paraId="28CF1FEC">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9、包装要求请提前与采购人联系。</w:t>
            </w:r>
          </w:p>
        </w:tc>
      </w:tr>
      <w:tr w14:paraId="43A5E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1E7431FA">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194" w:type="dxa"/>
            <w:vAlign w:val="center"/>
          </w:tcPr>
          <w:p w14:paraId="3EC6C3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铝芯线</w:t>
            </w:r>
          </w:p>
        </w:tc>
        <w:tc>
          <w:tcPr>
            <w:tcW w:w="680" w:type="dxa"/>
            <w:vAlign w:val="center"/>
          </w:tcPr>
          <w:p w14:paraId="24AB0E7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米</w:t>
            </w:r>
          </w:p>
        </w:tc>
        <w:tc>
          <w:tcPr>
            <w:tcW w:w="890" w:type="dxa"/>
            <w:vAlign w:val="center"/>
          </w:tcPr>
          <w:p w14:paraId="3A98A84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4000</w:t>
            </w:r>
          </w:p>
        </w:tc>
        <w:tc>
          <w:tcPr>
            <w:tcW w:w="1071" w:type="dxa"/>
            <w:vAlign w:val="center"/>
          </w:tcPr>
          <w:p w14:paraId="742F044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4.2</w:t>
            </w:r>
          </w:p>
        </w:tc>
        <w:tc>
          <w:tcPr>
            <w:tcW w:w="5593" w:type="dxa"/>
            <w:vAlign w:val="center"/>
          </w:tcPr>
          <w:p w14:paraId="66CDB09B">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规格型号：BLV-35</w:t>
            </w:r>
          </w:p>
          <w:p w14:paraId="777E76AA">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1、绝缘厚度：1.2mm</w:t>
            </w:r>
          </w:p>
          <w:p w14:paraId="6A0A823E">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2、20℃时导体直流电阻（（Ω/km）：0.868,70℃时最小绝缘电阻（/MΩ·km）：0.0043</w:t>
            </w:r>
          </w:p>
          <w:p w14:paraId="62CC1629">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3、电压等级：450/750V，试验电压：2.5KV</w:t>
            </w:r>
          </w:p>
          <w:p w14:paraId="2294B678">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 xml:space="preserve">4、电缆弯曲半径：≧15（D+d）      </w:t>
            </w:r>
          </w:p>
          <w:p w14:paraId="39BCAF4A">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①D为电缆外径</w:t>
            </w:r>
          </w:p>
          <w:p w14:paraId="2524BEA0">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②d为导体外径</w:t>
            </w:r>
          </w:p>
          <w:p w14:paraId="6D28660C">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5、电缆的正常运行工作温度：≤70℃</w:t>
            </w:r>
          </w:p>
          <w:p w14:paraId="4F0E7807">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6、短路时：</w:t>
            </w:r>
          </w:p>
          <w:p w14:paraId="2F2366D5">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①最长持续时间不超过5s</w:t>
            </w:r>
          </w:p>
          <w:p w14:paraId="2861B42A">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②导体最高温度160℃</w:t>
            </w:r>
          </w:p>
          <w:p w14:paraId="5D7E40A7">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7、电缆敷设后经受直流电压：2000V5Min  无击穿</w:t>
            </w:r>
          </w:p>
          <w:p w14:paraId="3AA23159">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8、执行标准:JB/T8734-2012</w:t>
            </w:r>
          </w:p>
          <w:p w14:paraId="3B70990D">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9、电缆近值重量（kg/km)：140</w:t>
            </w:r>
          </w:p>
          <w:p w14:paraId="2ADFFDB6">
            <w:pPr>
              <w:pStyle w:val="47"/>
              <w:ind w:firstLine="0"/>
              <w:jc w:val="left"/>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10、电缆颜色：四色均分</w:t>
            </w:r>
          </w:p>
        </w:tc>
      </w:tr>
      <w:tr w14:paraId="7B1CC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vAlign w:val="center"/>
          </w:tcPr>
          <w:p w14:paraId="64B404D6">
            <w:pPr>
              <w:pStyle w:val="47"/>
              <w:ind w:firstLine="0"/>
              <w:jc w:val="center"/>
              <w:rPr>
                <w:color w:val="000000" w:themeColor="text1"/>
                <w14:textFill>
                  <w14:solidFill>
                    <w14:schemeClr w14:val="tx1"/>
                  </w14:solidFill>
                </w14:textFill>
              </w:rPr>
            </w:pPr>
            <w:r>
              <w:rPr>
                <w:rFonts w:hint="eastAsia"/>
                <w:b/>
                <w:bCs/>
                <w:color w:val="000000" w:themeColor="text1"/>
                <w:sz w:val="28"/>
                <w:szCs w:val="28"/>
                <w14:textFill>
                  <w14:solidFill>
                    <w14:schemeClr w14:val="tx1"/>
                  </w14:solidFill>
                </w14:textFill>
              </w:rPr>
              <w:t>分标3</w:t>
            </w:r>
          </w:p>
        </w:tc>
      </w:tr>
      <w:tr w14:paraId="14C51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59FE6BC0">
            <w:pPr>
              <w:pStyle w:val="47"/>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194" w:type="dxa"/>
            <w:vAlign w:val="center"/>
          </w:tcPr>
          <w:p w14:paraId="1CC1BB19">
            <w:pPr>
              <w:pStyle w:val="47"/>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货物名称</w:t>
            </w:r>
          </w:p>
        </w:tc>
        <w:tc>
          <w:tcPr>
            <w:tcW w:w="680" w:type="dxa"/>
            <w:vAlign w:val="center"/>
          </w:tcPr>
          <w:p w14:paraId="4BE59DD2">
            <w:pPr>
              <w:pStyle w:val="47"/>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890" w:type="dxa"/>
            <w:vAlign w:val="center"/>
          </w:tcPr>
          <w:p w14:paraId="143548DA">
            <w:pPr>
              <w:pStyle w:val="47"/>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71" w:type="dxa"/>
            <w:vAlign w:val="center"/>
          </w:tcPr>
          <w:p w14:paraId="33077C3B">
            <w:pPr>
              <w:pStyle w:val="47"/>
              <w:ind w:firstLine="0"/>
              <w:jc w:val="center"/>
              <w:rPr>
                <w:color w:val="000000" w:themeColor="text1"/>
                <w14:textFill>
                  <w14:solidFill>
                    <w14:schemeClr w14:val="tx1"/>
                  </w14:solidFill>
                </w14:textFill>
              </w:rPr>
            </w:pPr>
            <w:r>
              <w:rPr>
                <w:rFonts w:hint="eastAsia" w:hAnsi="宋体" w:cs="Arial"/>
                <w:b/>
                <w:bCs/>
                <w:color w:val="000000" w:themeColor="text1"/>
                <w14:textFill>
                  <w14:solidFill>
                    <w14:schemeClr w14:val="tx1"/>
                  </w14:solidFill>
                </w14:textFill>
              </w:rPr>
              <w:t>预算控制单价（元）</w:t>
            </w:r>
          </w:p>
        </w:tc>
        <w:tc>
          <w:tcPr>
            <w:tcW w:w="5593" w:type="dxa"/>
            <w:vAlign w:val="center"/>
          </w:tcPr>
          <w:p w14:paraId="4C71B85F">
            <w:pPr>
              <w:pStyle w:val="47"/>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技术指标要求</w:t>
            </w:r>
          </w:p>
        </w:tc>
      </w:tr>
      <w:tr w14:paraId="7F18E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122D7310">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194" w:type="dxa"/>
            <w:vAlign w:val="center"/>
          </w:tcPr>
          <w:p w14:paraId="34062CD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钠灯镇流器（铜芯）</w:t>
            </w:r>
          </w:p>
        </w:tc>
        <w:tc>
          <w:tcPr>
            <w:tcW w:w="680" w:type="dxa"/>
            <w:vAlign w:val="center"/>
          </w:tcPr>
          <w:p w14:paraId="1070FE4B">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个</w:t>
            </w:r>
          </w:p>
        </w:tc>
        <w:tc>
          <w:tcPr>
            <w:tcW w:w="890" w:type="dxa"/>
            <w:vAlign w:val="center"/>
          </w:tcPr>
          <w:p w14:paraId="4114B66C">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750</w:t>
            </w:r>
          </w:p>
        </w:tc>
        <w:tc>
          <w:tcPr>
            <w:tcW w:w="1071" w:type="dxa"/>
            <w:vAlign w:val="center"/>
          </w:tcPr>
          <w:p w14:paraId="6CFA3B2F">
            <w:pPr>
              <w:widowControl/>
              <w:jc w:val="center"/>
              <w:textAlignment w:val="center"/>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kern w:val="0"/>
                <w:szCs w:val="21"/>
              </w:rPr>
              <w:t xml:space="preserve">132.00 </w:t>
            </w:r>
          </w:p>
        </w:tc>
        <w:tc>
          <w:tcPr>
            <w:tcW w:w="5593" w:type="dxa"/>
          </w:tcPr>
          <w:p w14:paraId="6F3E0029">
            <w:pPr>
              <w:jc w:val="left"/>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规格型号：NG150W</w:t>
            </w:r>
          </w:p>
          <w:p w14:paraId="5FEE0A4F">
            <w:pPr>
              <w:pStyle w:val="10"/>
              <w:ind w:firstLine="0"/>
              <w:jc w:val="left"/>
              <w:rPr>
                <w:rFonts w:ascii="宋体" w:hAnsi="宋体" w:cs="宋体"/>
                <w:sz w:val="21"/>
                <w:szCs w:val="21"/>
              </w:rPr>
            </w:pPr>
            <w:r>
              <w:rPr>
                <w:rFonts w:hint="eastAsia" w:ascii="宋体" w:hAnsi="宋体" w:cs="宋体"/>
                <w:sz w:val="21"/>
                <w:szCs w:val="21"/>
              </w:rPr>
              <w:t>1、额定电压（V/Hz）：220/50</w:t>
            </w:r>
          </w:p>
          <w:p w14:paraId="197617E1">
            <w:pPr>
              <w:pStyle w:val="10"/>
              <w:ind w:firstLine="0"/>
              <w:jc w:val="left"/>
              <w:rPr>
                <w:rFonts w:ascii="宋体" w:hAnsi="宋体" w:cs="宋体"/>
                <w:sz w:val="21"/>
                <w:szCs w:val="21"/>
              </w:rPr>
            </w:pPr>
            <w:r>
              <w:rPr>
                <w:rFonts w:hint="eastAsia" w:ascii="宋体" w:hAnsi="宋体" w:cs="宋体"/>
                <w:sz w:val="21"/>
                <w:szCs w:val="21"/>
              </w:rPr>
              <w:t>2、补偿前：①工作电流（A）：1.80 ②功率因素：0.40</w:t>
            </w:r>
          </w:p>
          <w:p w14:paraId="5B92F6F3">
            <w:pPr>
              <w:pStyle w:val="10"/>
              <w:ind w:firstLine="0"/>
              <w:jc w:val="left"/>
              <w:rPr>
                <w:rFonts w:ascii="宋体" w:hAnsi="宋体" w:cs="宋体"/>
                <w:sz w:val="21"/>
                <w:szCs w:val="21"/>
              </w:rPr>
            </w:pPr>
            <w:r>
              <w:rPr>
                <w:rFonts w:hint="eastAsia" w:ascii="宋体" w:hAnsi="宋体" w:cs="宋体"/>
                <w:sz w:val="21"/>
                <w:szCs w:val="21"/>
              </w:rPr>
              <w:t>3、补偿后：①补偿电容(uF/V)：18/250 ②启动电流(A):0.85</w:t>
            </w:r>
          </w:p>
          <w:p w14:paraId="2C902B81">
            <w:pPr>
              <w:pStyle w:val="10"/>
              <w:ind w:firstLine="0"/>
              <w:jc w:val="left"/>
              <w:rPr>
                <w:rFonts w:ascii="宋体" w:hAnsi="宋体" w:cs="宋体"/>
                <w:sz w:val="21"/>
                <w:szCs w:val="21"/>
              </w:rPr>
            </w:pPr>
            <w:r>
              <w:rPr>
                <w:rFonts w:hint="eastAsia" w:ascii="宋体" w:hAnsi="宋体" w:cs="宋体"/>
                <w:sz w:val="21"/>
                <w:szCs w:val="21"/>
              </w:rPr>
              <w:t>③工作电流（A）：0.85</w:t>
            </w:r>
          </w:p>
          <w:p w14:paraId="6C23AB9E">
            <w:pPr>
              <w:pStyle w:val="10"/>
              <w:ind w:firstLine="0"/>
              <w:jc w:val="left"/>
              <w:rPr>
                <w:rFonts w:ascii="宋体" w:hAnsi="宋体" w:cs="宋体"/>
                <w:sz w:val="21"/>
                <w:szCs w:val="21"/>
              </w:rPr>
            </w:pPr>
            <w:r>
              <w:rPr>
                <w:rFonts w:hint="eastAsia" w:ascii="宋体" w:hAnsi="宋体" w:cs="宋体"/>
                <w:sz w:val="21"/>
                <w:szCs w:val="21"/>
              </w:rPr>
              <w:t xml:space="preserve">4、功耗(W)：16.3                                                                                               </w:t>
            </w:r>
          </w:p>
          <w:p w14:paraId="33366D49">
            <w:pPr>
              <w:pStyle w:val="10"/>
              <w:ind w:firstLine="0"/>
              <w:jc w:val="left"/>
              <w:rPr>
                <w:rFonts w:ascii="宋体" w:hAnsi="宋体" w:cs="宋体"/>
                <w:sz w:val="21"/>
                <w:szCs w:val="21"/>
              </w:rPr>
            </w:pPr>
            <w:r>
              <w:rPr>
                <w:rFonts w:hint="eastAsia" w:ascii="宋体" w:hAnsi="宋体" w:cs="宋体"/>
                <w:sz w:val="21"/>
                <w:szCs w:val="21"/>
              </w:rPr>
              <w:t xml:space="preserve">5、Tw=130 温升（℃）：70    </w:t>
            </w:r>
          </w:p>
          <w:p w14:paraId="618322CC">
            <w:pPr>
              <w:pStyle w:val="10"/>
              <w:ind w:firstLine="0"/>
              <w:jc w:val="left"/>
              <w:rPr>
                <w:rFonts w:ascii="宋体" w:hAnsi="宋体" w:cs="宋体"/>
                <w:sz w:val="21"/>
                <w:szCs w:val="21"/>
              </w:rPr>
            </w:pPr>
            <w:r>
              <w:rPr>
                <w:rFonts w:hint="eastAsia" w:ascii="宋体" w:hAnsi="宋体" w:cs="宋体"/>
                <w:sz w:val="21"/>
                <w:szCs w:val="21"/>
              </w:rPr>
              <w:t xml:space="preserve">6、全铜芯线圈 </w:t>
            </w:r>
          </w:p>
        </w:tc>
      </w:tr>
      <w:tr w14:paraId="24408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25A043C4">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194" w:type="dxa"/>
            <w:vAlign w:val="center"/>
          </w:tcPr>
          <w:p w14:paraId="049E059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钠灯镇流器（铜芯）</w:t>
            </w:r>
          </w:p>
        </w:tc>
        <w:tc>
          <w:tcPr>
            <w:tcW w:w="680" w:type="dxa"/>
            <w:vAlign w:val="center"/>
          </w:tcPr>
          <w:p w14:paraId="2FE8F407">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个</w:t>
            </w:r>
          </w:p>
        </w:tc>
        <w:tc>
          <w:tcPr>
            <w:tcW w:w="890" w:type="dxa"/>
            <w:vAlign w:val="center"/>
          </w:tcPr>
          <w:p w14:paraId="786BF454">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750</w:t>
            </w:r>
          </w:p>
        </w:tc>
        <w:tc>
          <w:tcPr>
            <w:tcW w:w="1071" w:type="dxa"/>
            <w:vAlign w:val="center"/>
          </w:tcPr>
          <w:p w14:paraId="6C91666D">
            <w:pPr>
              <w:widowControl/>
              <w:jc w:val="center"/>
              <w:textAlignment w:val="center"/>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kern w:val="0"/>
                <w:szCs w:val="21"/>
              </w:rPr>
              <w:t xml:space="preserve">145.00 </w:t>
            </w:r>
          </w:p>
        </w:tc>
        <w:tc>
          <w:tcPr>
            <w:tcW w:w="5593" w:type="dxa"/>
          </w:tcPr>
          <w:p w14:paraId="79D18F86">
            <w:pPr>
              <w:pStyle w:val="10"/>
              <w:ind w:firstLine="0"/>
              <w:jc w:val="left"/>
              <w:rPr>
                <w:rFonts w:ascii="宋体" w:hAnsi="宋体" w:cs="宋体"/>
                <w:sz w:val="21"/>
                <w:szCs w:val="21"/>
              </w:rPr>
            </w:pPr>
            <w:r>
              <w:rPr>
                <w:rFonts w:hint="eastAsia" w:ascii="宋体" w:hAnsi="宋体" w:cs="宋体"/>
                <w:sz w:val="21"/>
                <w:szCs w:val="21"/>
              </w:rPr>
              <w:t>规格型号：NG250W</w:t>
            </w:r>
          </w:p>
          <w:p w14:paraId="1FED7D3B">
            <w:pPr>
              <w:pStyle w:val="10"/>
              <w:ind w:firstLine="0"/>
              <w:jc w:val="left"/>
              <w:rPr>
                <w:rFonts w:ascii="宋体" w:hAnsi="宋体" w:cs="宋体"/>
                <w:sz w:val="21"/>
                <w:szCs w:val="21"/>
              </w:rPr>
            </w:pPr>
            <w:r>
              <w:rPr>
                <w:rFonts w:hint="eastAsia" w:ascii="宋体" w:hAnsi="宋体" w:cs="宋体"/>
                <w:sz w:val="21"/>
                <w:szCs w:val="21"/>
              </w:rPr>
              <w:t>1、额定电压（V/Hz）：220/50</w:t>
            </w:r>
          </w:p>
          <w:p w14:paraId="21ACA6EA">
            <w:pPr>
              <w:pStyle w:val="10"/>
              <w:ind w:firstLine="0"/>
              <w:jc w:val="left"/>
              <w:rPr>
                <w:rFonts w:ascii="宋体" w:hAnsi="宋体" w:cs="宋体"/>
                <w:sz w:val="21"/>
                <w:szCs w:val="21"/>
              </w:rPr>
            </w:pPr>
            <w:r>
              <w:rPr>
                <w:rFonts w:hint="eastAsia" w:ascii="宋体" w:hAnsi="宋体" w:cs="宋体"/>
                <w:sz w:val="21"/>
                <w:szCs w:val="21"/>
              </w:rPr>
              <w:t>2、补偿前：①工作电流（A）：3.00 ②功率因素：0.45</w:t>
            </w:r>
          </w:p>
          <w:p w14:paraId="66224172">
            <w:pPr>
              <w:pStyle w:val="10"/>
              <w:ind w:firstLine="0"/>
              <w:jc w:val="left"/>
              <w:rPr>
                <w:rFonts w:ascii="宋体" w:hAnsi="宋体" w:cs="宋体"/>
                <w:sz w:val="21"/>
                <w:szCs w:val="21"/>
              </w:rPr>
            </w:pPr>
            <w:r>
              <w:rPr>
                <w:rFonts w:hint="eastAsia" w:ascii="宋体" w:hAnsi="宋体" w:cs="宋体"/>
                <w:sz w:val="21"/>
                <w:szCs w:val="21"/>
              </w:rPr>
              <w:t>3、补偿后：①补偿电容(uF/V)：32/250  ②启动电流(A):1.4</w:t>
            </w:r>
          </w:p>
          <w:p w14:paraId="0B897AAA">
            <w:pPr>
              <w:pStyle w:val="10"/>
              <w:ind w:firstLine="0"/>
              <w:jc w:val="left"/>
              <w:rPr>
                <w:rFonts w:ascii="宋体" w:hAnsi="宋体" w:cs="宋体"/>
                <w:sz w:val="21"/>
                <w:szCs w:val="21"/>
              </w:rPr>
            </w:pPr>
            <w:r>
              <w:rPr>
                <w:rFonts w:hint="eastAsia" w:ascii="宋体" w:hAnsi="宋体" w:cs="宋体"/>
                <w:sz w:val="21"/>
                <w:szCs w:val="21"/>
              </w:rPr>
              <w:t>③工作电流（A）：1.4</w:t>
            </w:r>
          </w:p>
          <w:p w14:paraId="768013A0">
            <w:pPr>
              <w:pStyle w:val="10"/>
              <w:ind w:firstLine="0"/>
              <w:jc w:val="left"/>
              <w:rPr>
                <w:rFonts w:ascii="宋体" w:hAnsi="宋体" w:cs="宋体"/>
                <w:sz w:val="21"/>
                <w:szCs w:val="21"/>
              </w:rPr>
            </w:pPr>
            <w:r>
              <w:rPr>
                <w:rFonts w:hint="eastAsia" w:ascii="宋体" w:hAnsi="宋体" w:cs="宋体"/>
                <w:sz w:val="21"/>
                <w:szCs w:val="21"/>
              </w:rPr>
              <w:t xml:space="preserve">4、功耗(W)：22.2                                                                                 </w:t>
            </w:r>
          </w:p>
          <w:p w14:paraId="4476779E">
            <w:pPr>
              <w:pStyle w:val="10"/>
              <w:ind w:firstLine="0"/>
              <w:jc w:val="left"/>
              <w:rPr>
                <w:rFonts w:ascii="宋体" w:hAnsi="宋体" w:cs="宋体"/>
                <w:sz w:val="21"/>
                <w:szCs w:val="21"/>
              </w:rPr>
            </w:pPr>
            <w:r>
              <w:rPr>
                <w:rFonts w:hint="eastAsia" w:ascii="宋体" w:hAnsi="宋体" w:cs="宋体"/>
                <w:sz w:val="21"/>
                <w:szCs w:val="21"/>
              </w:rPr>
              <w:t xml:space="preserve">5、Tw=130 温升（℃）：70 </w:t>
            </w:r>
          </w:p>
          <w:p w14:paraId="6B672EC9">
            <w:pPr>
              <w:pStyle w:val="10"/>
              <w:ind w:firstLine="0"/>
              <w:jc w:val="left"/>
              <w:rPr>
                <w:rFonts w:ascii="宋体" w:hAnsi="宋体" w:cs="宋体"/>
                <w:sz w:val="21"/>
                <w:szCs w:val="21"/>
              </w:rPr>
            </w:pPr>
            <w:r>
              <w:rPr>
                <w:rFonts w:hint="eastAsia" w:ascii="宋体" w:hAnsi="宋体" w:cs="宋体"/>
                <w:sz w:val="21"/>
                <w:szCs w:val="21"/>
              </w:rPr>
              <w:t>6、全铜芯线圈</w:t>
            </w:r>
          </w:p>
        </w:tc>
      </w:tr>
      <w:tr w14:paraId="768EC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2C8E3EC4">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194" w:type="dxa"/>
            <w:vAlign w:val="center"/>
          </w:tcPr>
          <w:p w14:paraId="6593FEB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钠灯灯泡</w:t>
            </w:r>
          </w:p>
        </w:tc>
        <w:tc>
          <w:tcPr>
            <w:tcW w:w="680" w:type="dxa"/>
            <w:vAlign w:val="center"/>
          </w:tcPr>
          <w:p w14:paraId="7640CF4D">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个</w:t>
            </w:r>
          </w:p>
        </w:tc>
        <w:tc>
          <w:tcPr>
            <w:tcW w:w="890" w:type="dxa"/>
            <w:vAlign w:val="center"/>
          </w:tcPr>
          <w:p w14:paraId="6F6FF1F9">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900</w:t>
            </w:r>
          </w:p>
        </w:tc>
        <w:tc>
          <w:tcPr>
            <w:tcW w:w="1071" w:type="dxa"/>
            <w:vAlign w:val="center"/>
          </w:tcPr>
          <w:p w14:paraId="1EEF7779">
            <w:pPr>
              <w:widowControl/>
              <w:jc w:val="center"/>
              <w:textAlignment w:val="center"/>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kern w:val="0"/>
                <w:szCs w:val="21"/>
              </w:rPr>
              <w:t xml:space="preserve">57.00 </w:t>
            </w:r>
          </w:p>
        </w:tc>
        <w:tc>
          <w:tcPr>
            <w:tcW w:w="5593" w:type="dxa"/>
          </w:tcPr>
          <w:p w14:paraId="2E45BCC8">
            <w:pPr>
              <w:pStyle w:val="10"/>
              <w:ind w:firstLine="0"/>
              <w:jc w:val="left"/>
              <w:rPr>
                <w:rFonts w:ascii="宋体" w:hAnsi="宋体" w:cs="宋体"/>
                <w:sz w:val="21"/>
                <w:szCs w:val="21"/>
              </w:rPr>
            </w:pPr>
            <w:r>
              <w:rPr>
                <w:rFonts w:hint="eastAsia" w:ascii="宋体" w:hAnsi="宋体" w:cs="宋体"/>
                <w:sz w:val="21"/>
                <w:szCs w:val="21"/>
              </w:rPr>
              <w:t>规格型号：NG150W</w:t>
            </w:r>
          </w:p>
          <w:p w14:paraId="4B1A9B3E">
            <w:pPr>
              <w:pStyle w:val="10"/>
              <w:ind w:firstLine="0"/>
              <w:jc w:val="left"/>
              <w:rPr>
                <w:rFonts w:ascii="宋体" w:hAnsi="宋体" w:cs="宋体"/>
                <w:sz w:val="21"/>
                <w:szCs w:val="21"/>
              </w:rPr>
            </w:pPr>
            <w:r>
              <w:rPr>
                <w:rFonts w:hint="eastAsia" w:ascii="宋体" w:hAnsi="宋体" w:cs="宋体"/>
                <w:sz w:val="21"/>
                <w:szCs w:val="21"/>
              </w:rPr>
              <w:t xml:space="preserve">1、灯头型号：E40        </w:t>
            </w:r>
          </w:p>
          <w:p w14:paraId="13937A24">
            <w:pPr>
              <w:pStyle w:val="10"/>
              <w:ind w:firstLine="0"/>
              <w:jc w:val="left"/>
              <w:rPr>
                <w:rFonts w:ascii="宋体" w:hAnsi="宋体" w:cs="宋体"/>
                <w:sz w:val="21"/>
                <w:szCs w:val="21"/>
              </w:rPr>
            </w:pPr>
            <w:r>
              <w:rPr>
                <w:rFonts w:hint="eastAsia" w:ascii="宋体" w:hAnsi="宋体" w:cs="宋体"/>
                <w:sz w:val="21"/>
                <w:szCs w:val="21"/>
              </w:rPr>
              <w:t>2、色温(K)：2000</w:t>
            </w:r>
          </w:p>
          <w:p w14:paraId="169C51B1">
            <w:pPr>
              <w:pStyle w:val="10"/>
              <w:ind w:firstLine="0"/>
              <w:jc w:val="left"/>
              <w:rPr>
                <w:rFonts w:ascii="宋体" w:hAnsi="宋体" w:cs="宋体"/>
                <w:sz w:val="21"/>
                <w:szCs w:val="21"/>
              </w:rPr>
            </w:pPr>
            <w:r>
              <w:rPr>
                <w:rFonts w:hint="eastAsia" w:ascii="宋体" w:hAnsi="宋体" w:cs="宋体"/>
                <w:sz w:val="21"/>
                <w:szCs w:val="21"/>
              </w:rPr>
              <w:t xml:space="preserve">3、显色指数(Ra)：20     </w:t>
            </w:r>
          </w:p>
          <w:p w14:paraId="75569858">
            <w:pPr>
              <w:pStyle w:val="10"/>
              <w:ind w:firstLine="0"/>
              <w:jc w:val="left"/>
              <w:rPr>
                <w:rFonts w:ascii="宋体" w:hAnsi="宋体" w:cs="宋体"/>
                <w:sz w:val="21"/>
                <w:szCs w:val="21"/>
              </w:rPr>
            </w:pPr>
            <w:r>
              <w:rPr>
                <w:rFonts w:hint="eastAsia" w:ascii="宋体" w:hAnsi="宋体" w:cs="宋体"/>
                <w:sz w:val="21"/>
                <w:szCs w:val="21"/>
              </w:rPr>
              <w:t>4、光通量(lm)：1600</w:t>
            </w:r>
          </w:p>
          <w:p w14:paraId="370E2AF3">
            <w:pPr>
              <w:pStyle w:val="10"/>
              <w:ind w:firstLine="0"/>
              <w:jc w:val="left"/>
              <w:rPr>
                <w:rFonts w:ascii="宋体" w:hAnsi="宋体" w:cs="宋体"/>
                <w:sz w:val="21"/>
                <w:szCs w:val="21"/>
              </w:rPr>
            </w:pPr>
            <w:r>
              <w:rPr>
                <w:rFonts w:hint="eastAsia" w:ascii="宋体" w:hAnsi="宋体" w:cs="宋体"/>
                <w:sz w:val="21"/>
                <w:szCs w:val="21"/>
              </w:rPr>
              <w:t xml:space="preserve">5、平均寿命（h）28000   </w:t>
            </w:r>
          </w:p>
          <w:p w14:paraId="3A901CFE">
            <w:pPr>
              <w:pStyle w:val="10"/>
              <w:ind w:firstLine="0"/>
              <w:jc w:val="left"/>
              <w:rPr>
                <w:rFonts w:ascii="宋体" w:hAnsi="宋体" w:cs="宋体"/>
                <w:sz w:val="21"/>
                <w:szCs w:val="21"/>
              </w:rPr>
            </w:pPr>
            <w:r>
              <w:rPr>
                <w:rFonts w:hint="eastAsia" w:ascii="宋体" w:hAnsi="宋体" w:cs="宋体"/>
                <w:sz w:val="21"/>
                <w:szCs w:val="21"/>
              </w:rPr>
              <w:t>6、最高启动电压（V）198</w:t>
            </w:r>
          </w:p>
          <w:p w14:paraId="6181A928">
            <w:pPr>
              <w:pStyle w:val="10"/>
              <w:ind w:firstLine="0"/>
              <w:jc w:val="left"/>
              <w:rPr>
                <w:rFonts w:ascii="宋体" w:hAnsi="宋体" w:cs="宋体"/>
                <w:sz w:val="21"/>
                <w:szCs w:val="21"/>
              </w:rPr>
            </w:pPr>
            <w:r>
              <w:rPr>
                <w:rFonts w:hint="eastAsia" w:ascii="宋体" w:hAnsi="宋体" w:cs="宋体"/>
                <w:sz w:val="21"/>
                <w:szCs w:val="21"/>
              </w:rPr>
              <w:t xml:space="preserve">7、灯头允许最高温度（℃）250 </w:t>
            </w:r>
          </w:p>
          <w:p w14:paraId="29FF13D3">
            <w:pPr>
              <w:pStyle w:val="10"/>
              <w:ind w:firstLine="0"/>
              <w:jc w:val="left"/>
              <w:rPr>
                <w:rFonts w:ascii="宋体" w:hAnsi="宋体" w:cs="宋体"/>
                <w:sz w:val="21"/>
                <w:szCs w:val="21"/>
              </w:rPr>
            </w:pPr>
            <w:r>
              <w:rPr>
                <w:rFonts w:hint="eastAsia" w:ascii="宋体" w:hAnsi="宋体" w:cs="宋体"/>
                <w:sz w:val="21"/>
                <w:szCs w:val="21"/>
              </w:rPr>
              <w:t xml:space="preserve">8、玻壳允许最高温度（℃）450 </w:t>
            </w:r>
          </w:p>
          <w:p w14:paraId="2EDAE902">
            <w:pPr>
              <w:pStyle w:val="10"/>
              <w:ind w:firstLine="0"/>
              <w:jc w:val="left"/>
              <w:rPr>
                <w:rFonts w:ascii="宋体" w:hAnsi="宋体" w:cs="宋体"/>
                <w:sz w:val="21"/>
                <w:szCs w:val="21"/>
              </w:rPr>
            </w:pPr>
            <w:r>
              <w:rPr>
                <w:rFonts w:hint="eastAsia" w:ascii="宋体" w:hAnsi="宋体" w:cs="宋体"/>
                <w:sz w:val="21"/>
                <w:szCs w:val="21"/>
              </w:rPr>
              <w:t xml:space="preserve">9、全长（mm）210    </w:t>
            </w:r>
          </w:p>
          <w:p w14:paraId="09F5918C">
            <w:pPr>
              <w:pStyle w:val="10"/>
              <w:ind w:firstLine="0"/>
              <w:jc w:val="left"/>
              <w:rPr>
                <w:rFonts w:ascii="宋体" w:hAnsi="宋体" w:cs="宋体"/>
                <w:sz w:val="21"/>
                <w:szCs w:val="21"/>
              </w:rPr>
            </w:pPr>
            <w:r>
              <w:rPr>
                <w:rFonts w:hint="eastAsia" w:ascii="宋体" w:hAnsi="宋体" w:cs="宋体"/>
                <w:sz w:val="21"/>
                <w:szCs w:val="21"/>
              </w:rPr>
              <w:t>10、直径（mm）47</w:t>
            </w:r>
          </w:p>
        </w:tc>
      </w:tr>
      <w:tr w14:paraId="011BC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3D7DFF69">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194" w:type="dxa"/>
            <w:vAlign w:val="center"/>
          </w:tcPr>
          <w:p w14:paraId="07496BC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钠灯灯泡</w:t>
            </w:r>
          </w:p>
        </w:tc>
        <w:tc>
          <w:tcPr>
            <w:tcW w:w="680" w:type="dxa"/>
            <w:vAlign w:val="center"/>
          </w:tcPr>
          <w:p w14:paraId="55A75D9B">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个</w:t>
            </w:r>
          </w:p>
        </w:tc>
        <w:tc>
          <w:tcPr>
            <w:tcW w:w="890" w:type="dxa"/>
            <w:vAlign w:val="center"/>
          </w:tcPr>
          <w:p w14:paraId="5D6BD094">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900</w:t>
            </w:r>
          </w:p>
        </w:tc>
        <w:tc>
          <w:tcPr>
            <w:tcW w:w="1071" w:type="dxa"/>
            <w:vAlign w:val="center"/>
          </w:tcPr>
          <w:p w14:paraId="2D2C805A">
            <w:pPr>
              <w:widowControl/>
              <w:jc w:val="center"/>
              <w:textAlignment w:val="center"/>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kern w:val="0"/>
                <w:szCs w:val="21"/>
              </w:rPr>
              <w:t xml:space="preserve">65.00 </w:t>
            </w:r>
          </w:p>
        </w:tc>
        <w:tc>
          <w:tcPr>
            <w:tcW w:w="5593" w:type="dxa"/>
          </w:tcPr>
          <w:p w14:paraId="3705464A">
            <w:pPr>
              <w:pStyle w:val="10"/>
              <w:ind w:firstLine="0"/>
              <w:jc w:val="left"/>
              <w:rPr>
                <w:rFonts w:ascii="宋体" w:hAnsi="宋体" w:cs="宋体"/>
                <w:sz w:val="21"/>
                <w:szCs w:val="21"/>
              </w:rPr>
            </w:pPr>
            <w:r>
              <w:rPr>
                <w:rFonts w:hint="eastAsia" w:ascii="宋体" w:hAnsi="宋体" w:cs="宋体"/>
                <w:sz w:val="21"/>
                <w:szCs w:val="21"/>
              </w:rPr>
              <w:t>规格型号：NG250W</w:t>
            </w:r>
          </w:p>
          <w:p w14:paraId="34E62C2E">
            <w:pPr>
              <w:pStyle w:val="10"/>
              <w:ind w:firstLine="0"/>
              <w:jc w:val="left"/>
              <w:rPr>
                <w:rFonts w:ascii="宋体" w:hAnsi="宋体" w:cs="宋体"/>
                <w:sz w:val="21"/>
                <w:szCs w:val="21"/>
              </w:rPr>
            </w:pPr>
            <w:r>
              <w:rPr>
                <w:rFonts w:hint="eastAsia" w:ascii="宋体" w:hAnsi="宋体" w:cs="宋体"/>
                <w:sz w:val="21"/>
                <w:szCs w:val="21"/>
              </w:rPr>
              <w:t xml:space="preserve">1、灯头型号：E40     </w:t>
            </w:r>
          </w:p>
          <w:p w14:paraId="22DA719A">
            <w:pPr>
              <w:pStyle w:val="10"/>
              <w:ind w:firstLine="0"/>
              <w:jc w:val="left"/>
              <w:rPr>
                <w:rFonts w:ascii="宋体" w:hAnsi="宋体" w:cs="宋体"/>
                <w:sz w:val="21"/>
                <w:szCs w:val="21"/>
              </w:rPr>
            </w:pPr>
            <w:r>
              <w:rPr>
                <w:rFonts w:hint="eastAsia" w:ascii="宋体" w:hAnsi="宋体" w:cs="宋体"/>
                <w:sz w:val="21"/>
                <w:szCs w:val="21"/>
              </w:rPr>
              <w:t>2、色温(K)：2000</w:t>
            </w:r>
          </w:p>
          <w:p w14:paraId="52301219">
            <w:pPr>
              <w:pStyle w:val="10"/>
              <w:ind w:firstLine="0"/>
              <w:jc w:val="left"/>
              <w:rPr>
                <w:rFonts w:ascii="宋体" w:hAnsi="宋体" w:cs="宋体"/>
                <w:sz w:val="21"/>
                <w:szCs w:val="21"/>
              </w:rPr>
            </w:pPr>
            <w:r>
              <w:rPr>
                <w:rFonts w:hint="eastAsia" w:ascii="宋体" w:hAnsi="宋体" w:cs="宋体"/>
                <w:sz w:val="21"/>
                <w:szCs w:val="21"/>
              </w:rPr>
              <w:t xml:space="preserve">3、显色指数(Ra)：20   </w:t>
            </w:r>
          </w:p>
          <w:p w14:paraId="6381F213">
            <w:pPr>
              <w:pStyle w:val="10"/>
              <w:ind w:firstLine="0"/>
              <w:jc w:val="left"/>
              <w:rPr>
                <w:rFonts w:ascii="宋体" w:hAnsi="宋体" w:cs="宋体"/>
                <w:sz w:val="21"/>
                <w:szCs w:val="21"/>
              </w:rPr>
            </w:pPr>
            <w:r>
              <w:rPr>
                <w:rFonts w:hint="eastAsia" w:ascii="宋体" w:hAnsi="宋体" w:cs="宋体"/>
                <w:sz w:val="21"/>
                <w:szCs w:val="21"/>
              </w:rPr>
              <w:t>4、光通量(lm)：28000</w:t>
            </w:r>
          </w:p>
          <w:p w14:paraId="2031E827">
            <w:pPr>
              <w:pStyle w:val="10"/>
              <w:ind w:firstLine="0"/>
              <w:jc w:val="left"/>
              <w:rPr>
                <w:rFonts w:ascii="宋体" w:hAnsi="宋体" w:cs="宋体"/>
                <w:sz w:val="21"/>
                <w:szCs w:val="21"/>
              </w:rPr>
            </w:pPr>
            <w:r>
              <w:rPr>
                <w:rFonts w:hint="eastAsia" w:ascii="宋体" w:hAnsi="宋体" w:cs="宋体"/>
                <w:sz w:val="21"/>
                <w:szCs w:val="21"/>
              </w:rPr>
              <w:t xml:space="preserve">5、光效(lm/W)：90     </w:t>
            </w:r>
          </w:p>
          <w:p w14:paraId="17C48C20">
            <w:pPr>
              <w:pStyle w:val="10"/>
              <w:ind w:firstLine="0"/>
              <w:jc w:val="left"/>
              <w:rPr>
                <w:rFonts w:ascii="宋体" w:hAnsi="宋体" w:cs="宋体"/>
                <w:sz w:val="21"/>
                <w:szCs w:val="21"/>
              </w:rPr>
            </w:pPr>
            <w:r>
              <w:rPr>
                <w:rFonts w:hint="eastAsia" w:ascii="宋体" w:hAnsi="宋体" w:cs="宋体"/>
                <w:sz w:val="21"/>
                <w:szCs w:val="21"/>
              </w:rPr>
              <w:t>6、平均寿命（h）28000</w:t>
            </w:r>
          </w:p>
          <w:p w14:paraId="1B8283B2">
            <w:pPr>
              <w:pStyle w:val="10"/>
              <w:ind w:firstLine="0"/>
              <w:jc w:val="left"/>
              <w:rPr>
                <w:rFonts w:ascii="宋体" w:hAnsi="宋体" w:cs="宋体"/>
                <w:sz w:val="21"/>
                <w:szCs w:val="21"/>
              </w:rPr>
            </w:pPr>
            <w:r>
              <w:rPr>
                <w:rFonts w:hint="eastAsia" w:ascii="宋体" w:hAnsi="宋体" w:cs="宋体"/>
                <w:sz w:val="21"/>
                <w:szCs w:val="21"/>
              </w:rPr>
              <w:t xml:space="preserve">7、最高启动电压（V）198   </w:t>
            </w:r>
          </w:p>
          <w:p w14:paraId="0269B35F">
            <w:pPr>
              <w:pStyle w:val="10"/>
              <w:ind w:firstLine="0"/>
              <w:jc w:val="left"/>
              <w:rPr>
                <w:rFonts w:ascii="宋体" w:hAnsi="宋体" w:cs="宋体"/>
                <w:sz w:val="21"/>
                <w:szCs w:val="21"/>
              </w:rPr>
            </w:pPr>
            <w:r>
              <w:rPr>
                <w:rFonts w:hint="eastAsia" w:ascii="宋体" w:hAnsi="宋体" w:cs="宋体"/>
                <w:sz w:val="21"/>
                <w:szCs w:val="21"/>
              </w:rPr>
              <w:t>8、灯头允许最高温度（℃）250</w:t>
            </w:r>
          </w:p>
          <w:p w14:paraId="4EA73650">
            <w:pPr>
              <w:pStyle w:val="10"/>
              <w:ind w:firstLine="0"/>
              <w:jc w:val="left"/>
              <w:rPr>
                <w:rFonts w:ascii="宋体" w:hAnsi="宋体" w:cs="宋体"/>
                <w:sz w:val="21"/>
                <w:szCs w:val="21"/>
              </w:rPr>
            </w:pPr>
            <w:r>
              <w:rPr>
                <w:rFonts w:hint="eastAsia" w:ascii="宋体" w:hAnsi="宋体" w:cs="宋体"/>
                <w:sz w:val="21"/>
                <w:szCs w:val="21"/>
              </w:rPr>
              <w:t xml:space="preserve">9、玻壳允许最高温度（℃）450   </w:t>
            </w:r>
          </w:p>
          <w:p w14:paraId="6231E560">
            <w:pPr>
              <w:pStyle w:val="10"/>
              <w:ind w:firstLine="0"/>
              <w:jc w:val="left"/>
              <w:rPr>
                <w:rFonts w:ascii="宋体" w:hAnsi="宋体" w:cs="宋体"/>
                <w:sz w:val="21"/>
                <w:szCs w:val="21"/>
              </w:rPr>
            </w:pPr>
            <w:r>
              <w:rPr>
                <w:rFonts w:hint="eastAsia" w:ascii="宋体" w:hAnsi="宋体" w:cs="宋体"/>
                <w:sz w:val="21"/>
                <w:szCs w:val="21"/>
              </w:rPr>
              <w:t xml:space="preserve">10、全长（mm）21011、直径（mm）47         </w:t>
            </w:r>
          </w:p>
        </w:tc>
      </w:tr>
      <w:tr w14:paraId="1114B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63FDDE9A">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194" w:type="dxa"/>
            <w:vAlign w:val="center"/>
          </w:tcPr>
          <w:p w14:paraId="16566421">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钠灯灯泡</w:t>
            </w:r>
          </w:p>
        </w:tc>
        <w:tc>
          <w:tcPr>
            <w:tcW w:w="680" w:type="dxa"/>
            <w:vAlign w:val="center"/>
          </w:tcPr>
          <w:p w14:paraId="7E926857">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个</w:t>
            </w:r>
          </w:p>
        </w:tc>
        <w:tc>
          <w:tcPr>
            <w:tcW w:w="890" w:type="dxa"/>
            <w:vAlign w:val="center"/>
          </w:tcPr>
          <w:p w14:paraId="27F8ABD8">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300</w:t>
            </w:r>
          </w:p>
        </w:tc>
        <w:tc>
          <w:tcPr>
            <w:tcW w:w="1071" w:type="dxa"/>
            <w:vAlign w:val="center"/>
          </w:tcPr>
          <w:p w14:paraId="5EB8E104">
            <w:pPr>
              <w:widowControl/>
              <w:jc w:val="center"/>
              <w:textAlignment w:val="center"/>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kern w:val="0"/>
                <w:szCs w:val="21"/>
              </w:rPr>
              <w:t xml:space="preserve">70.00 </w:t>
            </w:r>
          </w:p>
        </w:tc>
        <w:tc>
          <w:tcPr>
            <w:tcW w:w="5593" w:type="dxa"/>
          </w:tcPr>
          <w:p w14:paraId="758D3FD6">
            <w:pPr>
              <w:pStyle w:val="10"/>
              <w:ind w:firstLine="0"/>
              <w:jc w:val="left"/>
              <w:rPr>
                <w:rFonts w:ascii="宋体" w:hAnsi="宋体" w:cs="宋体"/>
                <w:sz w:val="21"/>
                <w:szCs w:val="21"/>
              </w:rPr>
            </w:pPr>
            <w:r>
              <w:rPr>
                <w:rFonts w:hint="eastAsia" w:ascii="宋体" w:hAnsi="宋体" w:cs="宋体"/>
                <w:sz w:val="21"/>
                <w:szCs w:val="21"/>
              </w:rPr>
              <w:t>规格型号：NG400W</w:t>
            </w:r>
          </w:p>
          <w:p w14:paraId="5B57E2FB">
            <w:pPr>
              <w:pStyle w:val="10"/>
              <w:ind w:firstLine="0"/>
              <w:jc w:val="left"/>
              <w:rPr>
                <w:rFonts w:ascii="宋体" w:hAnsi="宋体" w:cs="宋体"/>
                <w:sz w:val="21"/>
                <w:szCs w:val="21"/>
              </w:rPr>
            </w:pPr>
            <w:r>
              <w:rPr>
                <w:rFonts w:hint="eastAsia" w:ascii="宋体" w:hAnsi="宋体" w:cs="宋体"/>
                <w:sz w:val="21"/>
                <w:szCs w:val="21"/>
              </w:rPr>
              <w:t xml:space="preserve">1、灯头型号：E40      </w:t>
            </w:r>
          </w:p>
          <w:p w14:paraId="4A97AD69">
            <w:pPr>
              <w:pStyle w:val="10"/>
              <w:ind w:firstLine="0"/>
              <w:jc w:val="left"/>
              <w:rPr>
                <w:rFonts w:ascii="宋体" w:hAnsi="宋体" w:cs="宋体"/>
                <w:sz w:val="21"/>
                <w:szCs w:val="21"/>
              </w:rPr>
            </w:pPr>
            <w:r>
              <w:rPr>
                <w:rFonts w:hint="eastAsia" w:ascii="宋体" w:hAnsi="宋体" w:cs="宋体"/>
                <w:sz w:val="21"/>
                <w:szCs w:val="21"/>
              </w:rPr>
              <w:t>2、色温(K)：2000</w:t>
            </w:r>
          </w:p>
          <w:p w14:paraId="44F5C073">
            <w:pPr>
              <w:pStyle w:val="10"/>
              <w:ind w:firstLine="0"/>
              <w:jc w:val="left"/>
              <w:rPr>
                <w:rFonts w:ascii="宋体" w:hAnsi="宋体" w:cs="宋体"/>
                <w:sz w:val="21"/>
                <w:szCs w:val="21"/>
              </w:rPr>
            </w:pPr>
            <w:r>
              <w:rPr>
                <w:rFonts w:hint="eastAsia" w:ascii="宋体" w:hAnsi="宋体" w:cs="宋体"/>
                <w:sz w:val="21"/>
                <w:szCs w:val="21"/>
              </w:rPr>
              <w:t xml:space="preserve">3、显色指数(Ra)：25   </w:t>
            </w:r>
          </w:p>
          <w:p w14:paraId="448F29A8">
            <w:pPr>
              <w:pStyle w:val="10"/>
              <w:ind w:firstLine="0"/>
              <w:jc w:val="left"/>
              <w:rPr>
                <w:rFonts w:ascii="宋体" w:hAnsi="宋体" w:cs="宋体"/>
                <w:sz w:val="21"/>
                <w:szCs w:val="21"/>
              </w:rPr>
            </w:pPr>
            <w:r>
              <w:rPr>
                <w:rFonts w:hint="eastAsia" w:ascii="宋体" w:hAnsi="宋体" w:cs="宋体"/>
                <w:sz w:val="21"/>
                <w:szCs w:val="21"/>
              </w:rPr>
              <w:t>4、光通量(lm)：48000</w:t>
            </w:r>
          </w:p>
          <w:p w14:paraId="33794DAB">
            <w:pPr>
              <w:pStyle w:val="10"/>
              <w:ind w:firstLine="0"/>
              <w:jc w:val="left"/>
              <w:rPr>
                <w:rFonts w:ascii="宋体" w:hAnsi="宋体" w:cs="宋体"/>
                <w:sz w:val="21"/>
                <w:szCs w:val="21"/>
              </w:rPr>
            </w:pPr>
            <w:r>
              <w:rPr>
                <w:rFonts w:hint="eastAsia" w:ascii="宋体" w:hAnsi="宋体" w:cs="宋体"/>
                <w:sz w:val="21"/>
                <w:szCs w:val="21"/>
              </w:rPr>
              <w:t xml:space="preserve">5、光效(lm/W)：103    </w:t>
            </w:r>
          </w:p>
          <w:p w14:paraId="03820D7C">
            <w:pPr>
              <w:pStyle w:val="10"/>
              <w:ind w:firstLine="0"/>
              <w:jc w:val="left"/>
              <w:rPr>
                <w:rFonts w:ascii="宋体" w:hAnsi="宋体" w:cs="宋体"/>
                <w:sz w:val="21"/>
                <w:szCs w:val="21"/>
              </w:rPr>
            </w:pPr>
            <w:r>
              <w:rPr>
                <w:rFonts w:hint="eastAsia" w:ascii="宋体" w:hAnsi="宋体" w:cs="宋体"/>
                <w:sz w:val="21"/>
                <w:szCs w:val="21"/>
              </w:rPr>
              <w:t>6、平均寿命（h）28000</w:t>
            </w:r>
          </w:p>
          <w:p w14:paraId="644E8F1F">
            <w:pPr>
              <w:pStyle w:val="10"/>
              <w:ind w:firstLine="0"/>
              <w:jc w:val="left"/>
              <w:rPr>
                <w:rFonts w:ascii="宋体" w:hAnsi="宋体" w:cs="宋体"/>
                <w:sz w:val="21"/>
                <w:szCs w:val="21"/>
              </w:rPr>
            </w:pPr>
            <w:r>
              <w:rPr>
                <w:rFonts w:hint="eastAsia" w:ascii="宋体" w:hAnsi="宋体" w:cs="宋体"/>
                <w:sz w:val="21"/>
                <w:szCs w:val="21"/>
              </w:rPr>
              <w:t xml:space="preserve">7、最高启动电压（V）198   </w:t>
            </w:r>
          </w:p>
          <w:p w14:paraId="4E89CCA7">
            <w:pPr>
              <w:pStyle w:val="10"/>
              <w:ind w:firstLine="0"/>
              <w:jc w:val="left"/>
              <w:rPr>
                <w:rFonts w:ascii="宋体" w:hAnsi="宋体" w:cs="宋体"/>
                <w:sz w:val="21"/>
                <w:szCs w:val="21"/>
              </w:rPr>
            </w:pPr>
            <w:r>
              <w:rPr>
                <w:rFonts w:hint="eastAsia" w:ascii="宋体" w:hAnsi="宋体" w:cs="宋体"/>
                <w:sz w:val="21"/>
                <w:szCs w:val="21"/>
              </w:rPr>
              <w:t>8、灯头允许最高温度（℃）250</w:t>
            </w:r>
          </w:p>
          <w:p w14:paraId="0AC504C1">
            <w:pPr>
              <w:pStyle w:val="10"/>
              <w:ind w:firstLine="0"/>
              <w:jc w:val="left"/>
              <w:rPr>
                <w:rFonts w:ascii="宋体" w:hAnsi="宋体" w:cs="宋体"/>
                <w:sz w:val="21"/>
                <w:szCs w:val="21"/>
              </w:rPr>
            </w:pPr>
            <w:r>
              <w:rPr>
                <w:rFonts w:hint="eastAsia" w:ascii="宋体" w:hAnsi="宋体" w:cs="宋体"/>
                <w:sz w:val="21"/>
                <w:szCs w:val="21"/>
              </w:rPr>
              <w:t xml:space="preserve">9、玻壳允许最高温度（℃）450   </w:t>
            </w:r>
          </w:p>
          <w:p w14:paraId="0A4024BE">
            <w:pPr>
              <w:pStyle w:val="10"/>
              <w:ind w:firstLine="0"/>
              <w:jc w:val="left"/>
              <w:rPr>
                <w:rFonts w:ascii="宋体" w:hAnsi="宋体" w:cs="宋体"/>
                <w:sz w:val="21"/>
                <w:szCs w:val="21"/>
              </w:rPr>
            </w:pPr>
            <w:r>
              <w:rPr>
                <w:rFonts w:hint="eastAsia" w:ascii="宋体" w:hAnsi="宋体" w:cs="宋体"/>
                <w:sz w:val="21"/>
                <w:szCs w:val="21"/>
              </w:rPr>
              <w:t>10、全长（mm）210</w:t>
            </w:r>
          </w:p>
          <w:p w14:paraId="76BF6413">
            <w:pPr>
              <w:pStyle w:val="10"/>
              <w:ind w:firstLine="0"/>
              <w:jc w:val="left"/>
              <w:rPr>
                <w:rFonts w:ascii="宋体" w:hAnsi="宋体" w:cs="宋体"/>
                <w:sz w:val="21"/>
                <w:szCs w:val="21"/>
              </w:rPr>
            </w:pPr>
            <w:r>
              <w:rPr>
                <w:rFonts w:hint="eastAsia" w:ascii="宋体" w:hAnsi="宋体" w:cs="宋体"/>
                <w:sz w:val="21"/>
                <w:szCs w:val="21"/>
              </w:rPr>
              <w:t xml:space="preserve">11、直径（mm）47         </w:t>
            </w:r>
          </w:p>
        </w:tc>
      </w:tr>
      <w:tr w14:paraId="18CC2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02DFB571">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194" w:type="dxa"/>
            <w:vAlign w:val="center"/>
          </w:tcPr>
          <w:p w14:paraId="3C76A7B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rPr>
              <w:t>触发器</w:t>
            </w:r>
          </w:p>
        </w:tc>
        <w:tc>
          <w:tcPr>
            <w:tcW w:w="680" w:type="dxa"/>
            <w:vAlign w:val="center"/>
          </w:tcPr>
          <w:p w14:paraId="4432C435">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个</w:t>
            </w:r>
          </w:p>
        </w:tc>
        <w:tc>
          <w:tcPr>
            <w:tcW w:w="890" w:type="dxa"/>
            <w:vAlign w:val="center"/>
          </w:tcPr>
          <w:p w14:paraId="3C5BA787">
            <w:pPr>
              <w:widowControl/>
              <w:jc w:val="center"/>
              <w:textAlignment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kern w:val="0"/>
                <w:szCs w:val="21"/>
              </w:rPr>
              <w:t>1200</w:t>
            </w:r>
          </w:p>
        </w:tc>
        <w:tc>
          <w:tcPr>
            <w:tcW w:w="1071" w:type="dxa"/>
            <w:vAlign w:val="center"/>
          </w:tcPr>
          <w:p w14:paraId="4FC30270">
            <w:pPr>
              <w:widowControl/>
              <w:jc w:val="center"/>
              <w:textAlignment w:val="center"/>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kern w:val="0"/>
                <w:szCs w:val="21"/>
              </w:rPr>
              <w:t xml:space="preserve">20.00 </w:t>
            </w:r>
          </w:p>
        </w:tc>
        <w:tc>
          <w:tcPr>
            <w:tcW w:w="5593" w:type="dxa"/>
          </w:tcPr>
          <w:p w14:paraId="220B49A6">
            <w:pPr>
              <w:jc w:val="left"/>
              <w:rPr>
                <w:rFonts w:ascii="宋体" w:hAnsi="宋体" w:cs="宋体"/>
                <w:color w:val="000000" w:themeColor="text1"/>
                <w:spacing w:val="-1"/>
                <w:szCs w:val="21"/>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规格型号：CD-2A</w:t>
            </w:r>
          </w:p>
        </w:tc>
      </w:tr>
      <w:tr w14:paraId="764FA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0" w:type="dxa"/>
            <w:gridSpan w:val="2"/>
          </w:tcPr>
          <w:p w14:paraId="2C223AF0">
            <w:pPr>
              <w:pStyle w:val="47"/>
              <w:ind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质量标准</w:t>
            </w:r>
          </w:p>
        </w:tc>
        <w:tc>
          <w:tcPr>
            <w:tcW w:w="8234" w:type="dxa"/>
            <w:gridSpan w:val="4"/>
          </w:tcPr>
          <w:p w14:paraId="2882FD07">
            <w:pPr>
              <w:pStyle w:val="47"/>
              <w:ind w:firstLine="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达到国家标准、行业标准。</w:t>
            </w:r>
          </w:p>
        </w:tc>
      </w:tr>
    </w:tbl>
    <w:tbl>
      <w:tblPr>
        <w:tblStyle w:val="37"/>
        <w:tblpPr w:leftFromText="180" w:rightFromText="180" w:vertAnchor="text" w:horzAnchor="margin" w:tblpXSpec="center" w:tblpY="1"/>
        <w:tblW w:w="9885" w:type="dxa"/>
        <w:jc w:val="center"/>
        <w:tblLayout w:type="fixed"/>
        <w:tblCellMar>
          <w:top w:w="0" w:type="dxa"/>
          <w:left w:w="108" w:type="dxa"/>
          <w:bottom w:w="0" w:type="dxa"/>
          <w:right w:w="108" w:type="dxa"/>
        </w:tblCellMar>
      </w:tblPr>
      <w:tblGrid>
        <w:gridCol w:w="1583"/>
        <w:gridCol w:w="8302"/>
      </w:tblGrid>
      <w:tr w14:paraId="2E76FDF6">
        <w:trPr>
          <w:trHeight w:val="551" w:hRule="atLeast"/>
          <w:jc w:val="center"/>
        </w:trPr>
        <w:tc>
          <w:tcPr>
            <w:tcW w:w="9885" w:type="dxa"/>
            <w:gridSpan w:val="2"/>
            <w:tcBorders>
              <w:top w:val="single" w:color="auto" w:sz="4" w:space="0"/>
              <w:left w:val="single" w:color="auto" w:sz="4" w:space="0"/>
              <w:bottom w:val="single" w:color="auto" w:sz="4" w:space="0"/>
              <w:right w:val="single" w:color="auto" w:sz="4" w:space="0"/>
            </w:tcBorders>
            <w:vAlign w:val="center"/>
          </w:tcPr>
          <w:p w14:paraId="11CEE4EA">
            <w:pPr>
              <w:widowControl/>
              <w:spacing w:line="380" w:lineRule="exac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二、商务要求表</w:t>
            </w:r>
          </w:p>
        </w:tc>
      </w:tr>
      <w:tr w14:paraId="7E252C34">
        <w:tblPrEx>
          <w:tblCellMar>
            <w:top w:w="0" w:type="dxa"/>
            <w:left w:w="108" w:type="dxa"/>
            <w:bottom w:w="0" w:type="dxa"/>
            <w:right w:w="108" w:type="dxa"/>
          </w:tblCellMar>
        </w:tblPrEx>
        <w:trPr>
          <w:trHeight w:val="1169"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759748AA">
            <w:pPr>
              <w:widowControl/>
              <w:spacing w:line="38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基本要求</w:t>
            </w:r>
          </w:p>
        </w:tc>
        <w:tc>
          <w:tcPr>
            <w:tcW w:w="8302" w:type="dxa"/>
            <w:tcBorders>
              <w:top w:val="single" w:color="auto" w:sz="4" w:space="0"/>
              <w:left w:val="nil"/>
              <w:bottom w:val="single" w:color="auto" w:sz="4" w:space="0"/>
              <w:right w:val="single" w:color="000000" w:sz="4" w:space="0"/>
            </w:tcBorders>
            <w:vAlign w:val="center"/>
          </w:tcPr>
          <w:p w14:paraId="41E489AB">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42694BE1">
            <w:pPr>
              <w:spacing w:line="276" w:lineRule="auto"/>
              <w:rPr>
                <w:rFonts w:ascii="宋体" w:hAnsi="宋体" w:cs="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3C924FCF">
            <w:pPr>
              <w:spacing w:line="320" w:lineRule="exact"/>
              <w:rPr>
                <w:rFonts w:ascii="宋体" w:hAnsi="宋体" w:cs="宋体"/>
                <w:b/>
                <w:bCs/>
                <w:color w:val="000000" w:themeColor="text1"/>
                <w:kern w:val="0"/>
                <w:szCs w:val="21"/>
                <w14:textFill>
                  <w14:solidFill>
                    <w14:schemeClr w14:val="tx1"/>
                  </w14:solidFill>
                </w14:textFill>
              </w:rPr>
            </w:pPr>
            <w:r>
              <w:rPr>
                <w:rFonts w:hint="eastAsia" w:ascii="宋体" w:hAnsi="宋体"/>
                <w:b/>
                <w:bCs/>
                <w:szCs w:val="21"/>
              </w:rPr>
              <w:t>3、</w:t>
            </w:r>
            <w:r>
              <w:rPr>
                <w:rStyle w:val="140"/>
                <w:rFonts w:hint="eastAsia" w:ascii="宋体" w:hAnsi="宋体"/>
                <w:b/>
                <w:bCs/>
              </w:rPr>
              <w:t>本项目非一次性供货，而是根据采购人实际需求分批供应。</w:t>
            </w:r>
            <w:r>
              <w:rPr>
                <w:rFonts w:hint="eastAsia" w:ascii="宋体" w:hAnsi="宋体"/>
                <w:b/>
                <w:bCs/>
                <w:szCs w:val="21"/>
              </w:rPr>
              <w:t>合同期限内实际采购金额按采购人实际采购量据实结算，中标供应商不得因实际采购量与中标数量不一致提出异议。</w:t>
            </w:r>
            <w:r>
              <w:rPr>
                <w:rStyle w:val="140"/>
                <w:rFonts w:hint="eastAsia" w:ascii="宋体" w:hAnsi="宋体"/>
                <w:b/>
                <w:bCs/>
              </w:rPr>
              <w:t>投标人须慎重考虑风险因素，谨慎报价。</w:t>
            </w:r>
          </w:p>
          <w:p w14:paraId="19AF06AB">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52FFA9AA">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5、供应商应列明详细的产品及相关产品及部件名称、品牌、材质、型号规格、产地和生产厂家及提供完整的技术文件。</w:t>
            </w:r>
          </w:p>
          <w:p w14:paraId="5481386D">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6、响应文件应正确反映投标产品的技术水平和科技含量，投标产品如包括必备的随机附件及零配件、易损易耗备品备件和专用工具，投标供应商应提供其清单。</w:t>
            </w:r>
          </w:p>
          <w:p w14:paraId="430BDBF7">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7、投标产品满足现场安装、开机调试的全部要求，包装要求便于产品的安装就位。</w:t>
            </w:r>
          </w:p>
          <w:p w14:paraId="03C0D822">
            <w:pPr>
              <w:spacing w:line="276" w:lineRule="auto"/>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8、供应商在投标截止日前可对本项目的现场和其周围环境自行进行考察和检查，以获取有关编制响应文件和签署实施合同所需的各种资料；供应商自行承担现场考察的责任和风险、考察现场的所有费用。</w:t>
            </w:r>
          </w:p>
        </w:tc>
      </w:tr>
      <w:tr w14:paraId="53C6D106">
        <w:tblPrEx>
          <w:tblCellMar>
            <w:top w:w="0" w:type="dxa"/>
            <w:left w:w="108" w:type="dxa"/>
            <w:bottom w:w="0" w:type="dxa"/>
            <w:right w:w="108" w:type="dxa"/>
          </w:tblCellMar>
        </w:tblPrEx>
        <w:trPr>
          <w:trHeight w:val="1169"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5B564CA7">
            <w:pPr>
              <w:widowControl/>
              <w:spacing w:line="38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合同期限</w:t>
            </w:r>
          </w:p>
        </w:tc>
        <w:tc>
          <w:tcPr>
            <w:tcW w:w="8302" w:type="dxa"/>
            <w:tcBorders>
              <w:top w:val="single" w:color="auto" w:sz="4" w:space="0"/>
              <w:left w:val="nil"/>
              <w:bottom w:val="single" w:color="auto" w:sz="4" w:space="0"/>
              <w:right w:val="single" w:color="000000" w:sz="4" w:space="0"/>
            </w:tcBorders>
            <w:vAlign w:val="center"/>
          </w:tcPr>
          <w:p w14:paraId="1DCED102">
            <w:pPr>
              <w:spacing w:line="276" w:lineRule="auto"/>
              <w:rPr>
                <w:rFonts w:hAnsi="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自签订合同之日起一年。</w:t>
            </w:r>
          </w:p>
        </w:tc>
      </w:tr>
      <w:tr w14:paraId="7AE59CE7">
        <w:tblPrEx>
          <w:tblCellMar>
            <w:top w:w="0" w:type="dxa"/>
            <w:left w:w="108" w:type="dxa"/>
            <w:bottom w:w="0" w:type="dxa"/>
            <w:right w:w="108" w:type="dxa"/>
          </w:tblCellMar>
        </w:tblPrEx>
        <w:trPr>
          <w:trHeight w:val="1169"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1386FEFA">
            <w:pPr>
              <w:widowControl/>
              <w:spacing w:line="36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szCs w:val="21"/>
                <w:highlight w:val="none"/>
              </w:rPr>
              <w:t>▲交货时间及地点</w:t>
            </w:r>
          </w:p>
        </w:tc>
        <w:tc>
          <w:tcPr>
            <w:tcW w:w="8302" w:type="dxa"/>
            <w:tcBorders>
              <w:top w:val="single" w:color="auto" w:sz="4" w:space="0"/>
              <w:left w:val="nil"/>
              <w:bottom w:val="single" w:color="auto" w:sz="4" w:space="0"/>
              <w:right w:val="single" w:color="000000" w:sz="4" w:space="0"/>
            </w:tcBorders>
            <w:vAlign w:val="center"/>
          </w:tcPr>
          <w:p w14:paraId="0471D732">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1、交货时间：自招标人向中标人发出交货书面通知之日起</w:t>
            </w:r>
            <w:r>
              <w:rPr>
                <w:rFonts w:hint="eastAsia" w:ascii="宋体" w:hAnsi="宋体" w:cs="宋体"/>
                <w:szCs w:val="21"/>
                <w:highlight w:val="none"/>
                <w:lang w:eastAsia="zh-CN"/>
              </w:rPr>
              <w:t>分标（</w:t>
            </w:r>
            <w:r>
              <w:rPr>
                <w:rFonts w:hint="eastAsia" w:ascii="宋体" w:hAnsi="宋体" w:cs="宋体"/>
                <w:szCs w:val="21"/>
                <w:highlight w:val="none"/>
                <w:lang w:val="en-US" w:eastAsia="zh-CN"/>
              </w:rPr>
              <w:t>1）</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 xml:space="preserve"> </w:t>
            </w:r>
            <w:r>
              <w:rPr>
                <w:rFonts w:hint="eastAsia" w:ascii="宋体" w:hAnsi="宋体" w:cs="宋体"/>
                <w:szCs w:val="21"/>
                <w:highlight w:val="none"/>
              </w:rPr>
              <w:t>天内交货</w:t>
            </w:r>
            <w:r>
              <w:rPr>
                <w:rFonts w:hint="eastAsia" w:ascii="宋体" w:hAnsi="宋体" w:cs="宋体"/>
                <w:szCs w:val="21"/>
                <w:highlight w:val="none"/>
                <w:lang w:eastAsia="zh-CN"/>
              </w:rPr>
              <w:t>、分标（</w:t>
            </w:r>
            <w:r>
              <w:rPr>
                <w:rFonts w:hint="eastAsia" w:ascii="宋体" w:hAnsi="宋体" w:cs="宋体"/>
                <w:szCs w:val="21"/>
                <w:highlight w:val="none"/>
                <w:lang w:val="en-US" w:eastAsia="zh-CN"/>
              </w:rPr>
              <w:t>2）</w:t>
            </w:r>
            <w:r>
              <w:rPr>
                <w:rFonts w:hint="eastAsia" w:ascii="宋体" w:hAnsi="宋体" w:cs="宋体"/>
                <w:szCs w:val="21"/>
                <w:highlight w:val="none"/>
                <w:u w:val="single"/>
                <w:lang w:val="en-US" w:eastAsia="zh-CN"/>
              </w:rPr>
              <w:t>15</w:t>
            </w:r>
            <w:r>
              <w:rPr>
                <w:rFonts w:hint="eastAsia" w:ascii="宋体" w:hAnsi="宋体" w:cs="宋体"/>
                <w:szCs w:val="21"/>
                <w:highlight w:val="none"/>
                <w:lang w:val="en-US" w:eastAsia="zh-CN"/>
              </w:rPr>
              <w:t>天内交货、分标（3）</w:t>
            </w:r>
            <w:r>
              <w:rPr>
                <w:rFonts w:hint="eastAsia" w:ascii="宋体" w:hAnsi="宋体" w:cs="宋体"/>
                <w:szCs w:val="21"/>
                <w:highlight w:val="none"/>
                <w:u w:val="single"/>
                <w:lang w:val="en-US" w:eastAsia="zh-CN"/>
              </w:rPr>
              <w:t>10</w:t>
            </w:r>
            <w:r>
              <w:rPr>
                <w:rFonts w:hint="eastAsia" w:ascii="宋体" w:hAnsi="宋体" w:cs="宋体"/>
                <w:szCs w:val="21"/>
                <w:highlight w:val="none"/>
                <w:lang w:val="en-US" w:eastAsia="zh-CN"/>
              </w:rPr>
              <w:t>天内交货</w:t>
            </w:r>
            <w:r>
              <w:rPr>
                <w:rFonts w:hint="eastAsia" w:ascii="宋体" w:hAnsi="宋体" w:cs="宋体"/>
                <w:szCs w:val="21"/>
                <w:highlight w:val="none"/>
              </w:rPr>
              <w:t>（不定期供货，按照招标人订购明细表数量分批交货，每次发货的运费等所有费用投标人应充分考虑并报入本次投标报价中，招标人将不再另行支付）。</w:t>
            </w:r>
          </w:p>
          <w:p w14:paraId="41AB672D">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2、交付地点：</w:t>
            </w:r>
            <w:r>
              <w:rPr>
                <w:rFonts w:hint="eastAsia" w:ascii="宋体" w:hAnsi="宋体" w:cs="宋体"/>
                <w:szCs w:val="21"/>
                <w:highlight w:val="none"/>
                <w:u w:val="single"/>
              </w:rPr>
              <w:t xml:space="preserve">   柳州市   </w:t>
            </w:r>
            <w:r>
              <w:rPr>
                <w:rFonts w:hint="eastAsia" w:ascii="宋体" w:hAnsi="宋体" w:cs="宋体"/>
                <w:szCs w:val="21"/>
                <w:highlight w:val="none"/>
              </w:rPr>
              <w:t>（招标人指定地点）。</w:t>
            </w:r>
          </w:p>
          <w:p w14:paraId="0E487576">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3、中标人每次供货必须提供相关供货清单（包括货物名称、数量、单价、金额等信息），以便采购人结算货款。中标人供货不符合要求的，采购人有权立即退货。中标人应按采购人的要求及时补货，具体交货时间以约定为准。</w:t>
            </w:r>
          </w:p>
        </w:tc>
      </w:tr>
      <w:tr w14:paraId="0E9CC610">
        <w:tblPrEx>
          <w:tblCellMar>
            <w:top w:w="0" w:type="dxa"/>
            <w:left w:w="108" w:type="dxa"/>
            <w:bottom w:w="0" w:type="dxa"/>
            <w:right w:w="108" w:type="dxa"/>
          </w:tblCellMar>
        </w:tblPrEx>
        <w:trPr>
          <w:trHeight w:val="1085"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2B4C76B0">
            <w:pPr>
              <w:widowControl/>
              <w:spacing w:line="38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▲安装、调试、验收、培训等技术服务要求</w:t>
            </w:r>
          </w:p>
        </w:tc>
        <w:tc>
          <w:tcPr>
            <w:tcW w:w="8302" w:type="dxa"/>
            <w:tcBorders>
              <w:top w:val="single" w:color="auto" w:sz="4" w:space="0"/>
              <w:left w:val="nil"/>
              <w:bottom w:val="single" w:color="auto" w:sz="4" w:space="0"/>
              <w:right w:val="single" w:color="000000" w:sz="4" w:space="0"/>
            </w:tcBorders>
            <w:vAlign w:val="center"/>
          </w:tcPr>
          <w:p w14:paraId="4499A8C6">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1、中标人配合全部成套设备、配套部件及材料的现场安装、调试直至验收合格投入正常运转。</w:t>
            </w:r>
          </w:p>
          <w:p w14:paraId="17F1B336">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2、安装调试过程中，中标人应派专业技术人员对安装进行同步指导，向招标人提交相关试验数据和报告，设备主要部件、原材料、原始资料和检查纪录等材料，并负责全套设备的调试运行，直至达到验收要求。</w:t>
            </w:r>
          </w:p>
          <w:p w14:paraId="08A14D08">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3、安装调试必须严格按照国家有关安装工程技术标准规范及安全规程进行施工及安装。中标人自负安装人身、设备安全责任。</w:t>
            </w:r>
          </w:p>
          <w:p w14:paraId="00AD2B82">
            <w:pPr>
              <w:widowControl/>
              <w:spacing w:line="360" w:lineRule="exact"/>
              <w:jc w:val="left"/>
              <w:textAlignment w:val="center"/>
              <w:rPr>
                <w:rFonts w:ascii="宋体" w:hAnsi="宋体" w:cs="宋体"/>
                <w:b/>
                <w:bCs/>
                <w:szCs w:val="21"/>
                <w:highlight w:val="none"/>
              </w:rPr>
            </w:pPr>
            <w:r>
              <w:rPr>
                <w:rFonts w:hint="eastAsia" w:ascii="宋体" w:hAnsi="宋体" w:cs="宋体"/>
                <w:szCs w:val="21"/>
                <w:highlight w:val="none"/>
              </w:rPr>
              <w:t>4、</w:t>
            </w:r>
            <w:r>
              <w:rPr>
                <w:rFonts w:hint="eastAsia" w:ascii="宋体" w:hAnsi="宋体" w:cs="宋体"/>
                <w:b/>
                <w:bCs/>
                <w:szCs w:val="21"/>
                <w:highlight w:val="none"/>
              </w:rPr>
              <w:t>中标人在交货验收时必须按招标</w:t>
            </w:r>
            <w:r>
              <w:rPr>
                <w:rFonts w:hint="eastAsia" w:ascii="宋体" w:hAnsi="宋体" w:cs="宋体"/>
                <w:b/>
                <w:bCs/>
                <w:szCs w:val="21"/>
                <w:highlight w:val="none"/>
                <w:lang w:eastAsia="zh-CN"/>
              </w:rPr>
              <w:t>文件及响应文件</w:t>
            </w:r>
            <w:r>
              <w:rPr>
                <w:rFonts w:hint="eastAsia" w:ascii="宋体" w:hAnsi="宋体" w:cs="宋体"/>
                <w:b/>
                <w:bCs/>
                <w:szCs w:val="21"/>
                <w:highlight w:val="none"/>
              </w:rPr>
              <w:t>提供相应的检测报告。</w:t>
            </w:r>
          </w:p>
          <w:p w14:paraId="1A231E4C">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5、所有产品均严格按签订的采购合同、投标人响应和承诺的技术参数及性能和国家有关标准进行验收，验收时，由招标人、投标人及招标人邀请的行业专家（业主如有需要邀请的）共同进行验收，招标人有权委托有资质的质检部门对货物进行抽检，检验的费用由投标人承担；对不符合要求的产品，招标人有权拒绝验收，由此产生的一切后果，均由投标人承担。由此造成的不能按时、按质、按量完成项目要求的，将按照招标投标法相关法规、招标文件规定及投标文件承诺的事项进行处罚。</w:t>
            </w:r>
          </w:p>
          <w:p w14:paraId="345C16C6">
            <w:pPr>
              <w:widowControl/>
              <w:spacing w:line="360" w:lineRule="exact"/>
              <w:jc w:val="left"/>
              <w:textAlignment w:val="center"/>
              <w:rPr>
                <w:rFonts w:ascii="宋体" w:hAnsi="宋体" w:cs="宋体"/>
                <w:szCs w:val="21"/>
                <w:highlight w:val="none"/>
              </w:rPr>
            </w:pPr>
            <w:r>
              <w:rPr>
                <w:rFonts w:hint="eastAsia" w:ascii="宋体" w:hAnsi="宋体" w:cs="宋体"/>
                <w:szCs w:val="21"/>
                <w:highlight w:val="none"/>
              </w:rPr>
              <w:t>6、现场培训：中标人应根据招标人的需求提供现场技术培训，对招标人技术人员进行操作、维修、保养等技术的培训指导，至能独立操作，简单故障排除。</w:t>
            </w:r>
          </w:p>
          <w:p w14:paraId="2BA1D8C7">
            <w:pPr>
              <w:spacing w:line="276" w:lineRule="auto"/>
              <w:rPr>
                <w:rFonts w:ascii="宋体" w:hAnsi="宋体"/>
                <w:color w:val="000000" w:themeColor="text1"/>
                <w:szCs w:val="21"/>
                <w14:textFill>
                  <w14:solidFill>
                    <w14:schemeClr w14:val="tx1"/>
                  </w14:solidFill>
                </w14:textFill>
              </w:rPr>
            </w:pPr>
            <w:r>
              <w:rPr>
                <w:rFonts w:hint="eastAsia" w:ascii="宋体" w:hAnsi="宋体" w:cs="宋体"/>
                <w:szCs w:val="21"/>
                <w:highlight w:val="none"/>
              </w:rPr>
              <w:t>7、提供招标人指定时间、地点的短期培训。</w:t>
            </w:r>
          </w:p>
        </w:tc>
      </w:tr>
      <w:tr w14:paraId="229AEABD">
        <w:tblPrEx>
          <w:tblCellMar>
            <w:top w:w="0" w:type="dxa"/>
            <w:left w:w="108" w:type="dxa"/>
            <w:bottom w:w="0" w:type="dxa"/>
            <w:right w:w="108" w:type="dxa"/>
          </w:tblCellMar>
        </w:tblPrEx>
        <w:trPr>
          <w:trHeight w:val="90"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21F6BA55">
            <w:pPr>
              <w:widowControl/>
              <w:spacing w:line="38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▲免费质保期</w:t>
            </w:r>
          </w:p>
        </w:tc>
        <w:tc>
          <w:tcPr>
            <w:tcW w:w="8302" w:type="dxa"/>
            <w:tcBorders>
              <w:top w:val="single" w:color="auto" w:sz="4" w:space="0"/>
              <w:left w:val="nil"/>
              <w:bottom w:val="single" w:color="auto" w:sz="4" w:space="0"/>
              <w:right w:val="single" w:color="000000" w:sz="4" w:space="0"/>
            </w:tcBorders>
            <w:vAlign w:val="center"/>
          </w:tcPr>
          <w:p w14:paraId="23B0DE8B">
            <w:pPr>
              <w:pStyle w:val="21"/>
              <w:snapToGrid w:val="0"/>
              <w:spacing w:line="38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highlight w:val="none"/>
                <w:lang w:eastAsia="zh-CN"/>
                <w14:textFill>
                  <w14:solidFill>
                    <w14:schemeClr w14:val="tx1"/>
                  </w14:solidFill>
                </w14:textFill>
              </w:rPr>
              <w:t>分标</w:t>
            </w:r>
            <w:r>
              <w:rPr>
                <w:rFonts w:hint="eastAsia" w:hAnsi="宋体"/>
                <w:color w:val="000000" w:themeColor="text1"/>
                <w:kern w:val="2"/>
                <w:sz w:val="21"/>
                <w:szCs w:val="21"/>
                <w:highlight w:val="none"/>
                <w:lang w:val="en-US" w:eastAsia="zh-CN"/>
                <w14:textFill>
                  <w14:solidFill>
                    <w14:schemeClr w14:val="tx1"/>
                  </w14:solidFill>
                </w14:textFill>
              </w:rPr>
              <w:t>1质保期按“技术指标要求”中要求的最低质保期5年（或中标响应人承诺更高于该质保期的，承诺5年以下的投标无效）；分标2和分标3</w:t>
            </w:r>
            <w:r>
              <w:rPr>
                <w:rFonts w:hint="eastAsia" w:hAnsi="宋体"/>
                <w:color w:val="000000" w:themeColor="text1"/>
                <w:kern w:val="2"/>
                <w:sz w:val="21"/>
                <w:szCs w:val="21"/>
                <w:highlight w:val="none"/>
                <w14:textFill>
                  <w14:solidFill>
                    <w14:schemeClr w14:val="tx1"/>
                  </w14:solidFill>
                </w14:textFill>
              </w:rPr>
              <w:t>所有产品免费质保期不少于</w:t>
            </w:r>
            <w:r>
              <w:rPr>
                <w:rFonts w:hint="eastAsia" w:hAnsi="宋体"/>
                <w:color w:val="000000" w:themeColor="text1"/>
                <w:kern w:val="2"/>
                <w:sz w:val="21"/>
                <w:szCs w:val="21"/>
                <w:highlight w:val="none"/>
                <w:lang w:val="en-US" w:eastAsia="zh-CN"/>
                <w14:textFill>
                  <w14:solidFill>
                    <w14:schemeClr w14:val="tx1"/>
                  </w14:solidFill>
                </w14:textFill>
              </w:rPr>
              <w:t>2</w:t>
            </w:r>
            <w:r>
              <w:rPr>
                <w:rFonts w:hint="eastAsia" w:hAnsi="宋体"/>
                <w:color w:val="000000" w:themeColor="text1"/>
                <w:kern w:val="2"/>
                <w:sz w:val="21"/>
                <w:szCs w:val="21"/>
                <w:highlight w:val="none"/>
                <w14:textFill>
                  <w14:solidFill>
                    <w14:schemeClr w14:val="tx1"/>
                  </w14:solidFill>
                </w14:textFill>
              </w:rPr>
              <w:t>年，(质保期必须</w:t>
            </w:r>
            <w:r>
              <w:rPr>
                <w:rFonts w:hint="eastAsia" w:hAnsi="宋体"/>
                <w:color w:val="000000" w:themeColor="text1"/>
                <w:kern w:val="2"/>
                <w:sz w:val="21"/>
                <w:szCs w:val="21"/>
                <w:highlight w:val="none"/>
                <w:lang w:val="en-US" w:eastAsia="zh-CN"/>
                <w14:textFill>
                  <w14:solidFill>
                    <w14:schemeClr w14:val="tx1"/>
                  </w14:solidFill>
                </w14:textFill>
              </w:rPr>
              <w:t>2</w:t>
            </w:r>
            <w:r>
              <w:rPr>
                <w:rFonts w:hint="eastAsia" w:hAnsi="宋体"/>
                <w:color w:val="000000" w:themeColor="text1"/>
                <w:kern w:val="2"/>
                <w:sz w:val="21"/>
                <w:szCs w:val="21"/>
                <w:highlight w:val="none"/>
                <w14:textFill>
                  <w14:solidFill>
                    <w14:schemeClr w14:val="tx1"/>
                  </w14:solidFill>
                </w14:textFill>
              </w:rPr>
              <w:t>年或以上，承诺</w:t>
            </w:r>
            <w:r>
              <w:rPr>
                <w:rFonts w:hint="eastAsia" w:hAnsi="宋体"/>
                <w:color w:val="000000" w:themeColor="text1"/>
                <w:kern w:val="2"/>
                <w:sz w:val="21"/>
                <w:szCs w:val="21"/>
                <w:highlight w:val="none"/>
                <w:lang w:val="en-US" w:eastAsia="zh-CN"/>
                <w14:textFill>
                  <w14:solidFill>
                    <w14:schemeClr w14:val="tx1"/>
                  </w14:solidFill>
                </w14:textFill>
              </w:rPr>
              <w:t>2</w:t>
            </w:r>
            <w:r>
              <w:rPr>
                <w:rFonts w:hint="eastAsia" w:hAnsi="宋体"/>
                <w:color w:val="000000" w:themeColor="text1"/>
                <w:kern w:val="2"/>
                <w:sz w:val="21"/>
                <w:szCs w:val="21"/>
                <w:highlight w:val="none"/>
                <w14:textFill>
                  <w14:solidFill>
                    <w14:schemeClr w14:val="tx1"/>
                  </w14:solidFill>
                </w14:textFill>
              </w:rPr>
              <w:t>年以下的投标无效)。</w:t>
            </w:r>
            <w:r>
              <w:rPr>
                <w:rFonts w:hint="eastAsia" w:hAnsi="宋体"/>
                <w:color w:val="000000" w:themeColor="text1"/>
                <w:kern w:val="2"/>
                <w:sz w:val="21"/>
                <w:szCs w:val="21"/>
                <w14:textFill>
                  <w14:solidFill>
                    <w14:schemeClr w14:val="tx1"/>
                  </w14:solidFill>
                </w14:textFill>
              </w:rPr>
              <w:t>保修期内维修及更换（原厂）配件费包含在投标价格中。(各项货物另有要求的，依照其《采购需求》的要求执行)，质保期自交货并验收合格之日起计，保修期内上门维修免收维修费和元器件费，并提供终身维修服务。按照国家有关产品“三包”规定执行。</w:t>
            </w:r>
          </w:p>
        </w:tc>
      </w:tr>
      <w:tr w14:paraId="45B6DF52">
        <w:tblPrEx>
          <w:tblCellMar>
            <w:top w:w="0" w:type="dxa"/>
            <w:left w:w="108" w:type="dxa"/>
            <w:bottom w:w="0" w:type="dxa"/>
            <w:right w:w="108" w:type="dxa"/>
          </w:tblCellMar>
        </w:tblPrEx>
        <w:trPr>
          <w:trHeight w:val="444"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52CE1DF5">
            <w:pPr>
              <w:widowControl/>
              <w:spacing w:line="38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olor w:val="000000" w:themeColor="text1"/>
                <w:szCs w:val="21"/>
                <w14:textFill>
                  <w14:solidFill>
                    <w14:schemeClr w14:val="tx1"/>
                  </w14:solidFill>
                </w14:textFill>
              </w:rPr>
              <w:t>售后服务保障或维修响应时间要求</w:t>
            </w:r>
          </w:p>
        </w:tc>
        <w:tc>
          <w:tcPr>
            <w:tcW w:w="8302" w:type="dxa"/>
            <w:tcBorders>
              <w:top w:val="single" w:color="auto" w:sz="4" w:space="0"/>
              <w:left w:val="nil"/>
              <w:bottom w:val="single" w:color="auto" w:sz="4" w:space="0"/>
              <w:right w:val="single" w:color="000000" w:sz="4" w:space="0"/>
            </w:tcBorders>
            <w:vAlign w:val="center"/>
          </w:tcPr>
          <w:p w14:paraId="53B1E998">
            <w:pPr>
              <w:pStyle w:val="21"/>
              <w:widowControl/>
              <w:spacing w:line="38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1、自采购人收到成交供应商提供的产品之日起7日内，采购人可以无理由退货，15日内可以无理由换货。更换后的货物质保期应重新计算。</w:t>
            </w:r>
          </w:p>
          <w:p w14:paraId="23288BEE">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接到售后服务呼叫后，响应时间要求24小时以内，上门时间要求在72小时以内派工程技术人员到达现场服务，及时排除故障，确保设备正常工作。如在12小时内不能完成维修，应提供相同品牌、型号、性能的设备替代或升级型设备替代，以保证用户正常使用。对于常见故障和需要更换小型零部件的，须在5个工作日内解决；对于需要更换大型零部件的，须在3周内解决设备问题。成交供应商负责处理解决货物出现的质量及安全问题并承担一切费用，所有非故意性损坏以及正常使用范围内造成的损坏均要免费维修，因人为因素出现的故障不在免费保修范围内，但成交供应商也要积极帮助采购人修理，并提供优惠价格的配件和服务。</w:t>
            </w:r>
          </w:p>
        </w:tc>
      </w:tr>
      <w:tr w14:paraId="293A9592">
        <w:tblPrEx>
          <w:tblCellMar>
            <w:top w:w="0" w:type="dxa"/>
            <w:left w:w="108" w:type="dxa"/>
            <w:bottom w:w="0" w:type="dxa"/>
            <w:right w:w="108" w:type="dxa"/>
          </w:tblCellMar>
        </w:tblPrEx>
        <w:trPr>
          <w:trHeight w:val="856"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2EE91701">
            <w:pPr>
              <w:widowControl/>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付款条件</w:t>
            </w:r>
          </w:p>
        </w:tc>
        <w:tc>
          <w:tcPr>
            <w:tcW w:w="8302" w:type="dxa"/>
            <w:tcBorders>
              <w:top w:val="single" w:color="auto" w:sz="4" w:space="0"/>
              <w:left w:val="nil"/>
              <w:bottom w:val="single" w:color="auto" w:sz="4" w:space="0"/>
              <w:right w:val="single" w:color="000000" w:sz="4" w:space="0"/>
            </w:tcBorders>
            <w:vAlign w:val="center"/>
          </w:tcPr>
          <w:p w14:paraId="52896566">
            <w:pPr>
              <w:spacing w:line="276" w:lineRule="auto"/>
              <w:rPr>
                <w:rFonts w:ascii="宋体" w:hAnsi="宋体" w:cs="宋体"/>
                <w:b/>
                <w:bCs/>
                <w:color w:val="000000" w:themeColor="text1"/>
                <w:kern w:val="0"/>
                <w:szCs w:val="21"/>
                <w14:textFill>
                  <w14:solidFill>
                    <w14:schemeClr w14:val="tx1"/>
                  </w14:solidFill>
                </w14:textFill>
              </w:rPr>
            </w:pPr>
            <w:bookmarkStart w:id="22" w:name="OLE_LINK2"/>
            <w:r>
              <w:rPr>
                <w:rFonts w:hint="eastAsia" w:ascii="宋体" w:hAnsi="宋体"/>
                <w:color w:val="000000" w:themeColor="text1"/>
                <w:szCs w:val="21"/>
                <w14:textFill>
                  <w14:solidFill>
                    <w14:schemeClr w14:val="tx1"/>
                  </w14:solidFill>
                </w14:textFill>
              </w:rPr>
              <w:t>本</w:t>
            </w:r>
            <w:r>
              <w:rPr>
                <w:rFonts w:hint="eastAsia" w:ascii="宋体" w:hAnsi="宋体"/>
                <w:color w:val="000000" w:themeColor="text1"/>
                <w:szCs w:val="21"/>
                <w:highlight w:val="none"/>
                <w14:textFill>
                  <w14:solidFill>
                    <w14:schemeClr w14:val="tx1"/>
                  </w14:solidFill>
                </w14:textFill>
              </w:rPr>
              <w:t>项目无预付款</w:t>
            </w:r>
            <w:r>
              <w:rPr>
                <w:rFonts w:hint="eastAsia" w:ascii="宋体" w:hAnsi="宋体" w:eastAsia="宋体"/>
                <w:color w:val="000000" w:themeColor="text1"/>
                <w:szCs w:val="21"/>
                <w:highlight w:val="none"/>
                <w14:textFill>
                  <w14:solidFill>
                    <w14:schemeClr w14:val="tx1"/>
                  </w14:solidFill>
                </w14:textFill>
              </w:rPr>
              <w:t>，按</w:t>
            </w:r>
            <w:r>
              <w:rPr>
                <w:rFonts w:hint="eastAsia" w:ascii="宋体" w:hAnsi="宋体" w:eastAsia="宋体"/>
                <w:color w:val="000000" w:themeColor="text1"/>
                <w:szCs w:val="21"/>
                <w:highlight w:val="none"/>
                <w:lang w:eastAsia="zh-CN"/>
                <w14:textFill>
                  <w14:solidFill>
                    <w14:schemeClr w14:val="tx1"/>
                  </w14:solidFill>
                </w14:textFill>
              </w:rPr>
              <w:t>批次</w:t>
            </w:r>
            <w:r>
              <w:rPr>
                <w:rFonts w:hint="eastAsia" w:ascii="宋体" w:hAnsi="宋体" w:eastAsia="宋体"/>
                <w:color w:val="000000" w:themeColor="text1"/>
                <w:szCs w:val="21"/>
                <w:highlight w:val="none"/>
                <w14:textFill>
                  <w14:solidFill>
                    <w14:schemeClr w14:val="tx1"/>
                  </w14:solidFill>
                </w14:textFill>
              </w:rPr>
              <w:t>结算，采购人在收到中标人上</w:t>
            </w:r>
            <w:r>
              <w:rPr>
                <w:rFonts w:hint="eastAsia" w:ascii="宋体" w:hAnsi="宋体" w:eastAsia="宋体"/>
                <w:color w:val="000000" w:themeColor="text1"/>
                <w:szCs w:val="21"/>
                <w:highlight w:val="none"/>
                <w:lang w:eastAsia="zh-CN"/>
                <w14:textFill>
                  <w14:solidFill>
                    <w14:schemeClr w14:val="tx1"/>
                  </w14:solidFill>
                </w14:textFill>
              </w:rPr>
              <w:t>批次货物且验收合格正常使用十五个工作日并收到</w:t>
            </w:r>
            <w:r>
              <w:rPr>
                <w:rFonts w:hint="eastAsia" w:ascii="宋体" w:hAnsi="宋体" w:eastAsia="宋体"/>
                <w:color w:val="000000" w:themeColor="text1"/>
                <w:szCs w:val="21"/>
                <w:highlight w:val="none"/>
                <w14:textFill>
                  <w14:solidFill>
                    <w14:schemeClr w14:val="tx1"/>
                  </w14:solidFill>
                </w14:textFill>
              </w:rPr>
              <w:t>全额发票</w:t>
            </w:r>
            <w:r>
              <w:rPr>
                <w:rFonts w:hint="eastAsia" w:ascii="宋体" w:hAnsi="宋体" w:eastAsia="宋体"/>
                <w:color w:val="000000" w:themeColor="text1"/>
                <w:szCs w:val="21"/>
                <w:highlight w:val="none"/>
                <w:lang w:eastAsia="zh-CN"/>
                <w14:textFill>
                  <w14:solidFill>
                    <w14:schemeClr w14:val="tx1"/>
                  </w14:solidFill>
                </w14:textFill>
              </w:rPr>
              <w:t>后</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个月内向中标人一次付清</w:t>
            </w:r>
            <w:r>
              <w:rPr>
                <w:rFonts w:hint="eastAsia" w:ascii="宋体" w:hAnsi="宋体" w:eastAsia="宋体"/>
                <w:color w:val="000000" w:themeColor="text1"/>
                <w:szCs w:val="21"/>
                <w:highlight w:val="none"/>
                <w:lang w:eastAsia="zh-CN"/>
                <w14:textFill>
                  <w14:solidFill>
                    <w14:schemeClr w14:val="tx1"/>
                  </w14:solidFill>
                </w14:textFill>
              </w:rPr>
              <w:t>该批次</w:t>
            </w:r>
            <w:r>
              <w:rPr>
                <w:rFonts w:hint="eastAsia" w:ascii="宋体" w:hAnsi="宋体" w:eastAsia="宋体"/>
                <w:color w:val="000000" w:themeColor="text1"/>
                <w:szCs w:val="21"/>
                <w:highlight w:val="none"/>
                <w14:textFill>
                  <w14:solidFill>
                    <w14:schemeClr w14:val="tx1"/>
                  </w14:solidFill>
                </w14:textFill>
              </w:rPr>
              <w:t>货物的全部货款。</w:t>
            </w:r>
            <w:bookmarkEnd w:id="22"/>
          </w:p>
        </w:tc>
      </w:tr>
      <w:tr w14:paraId="50C959BD">
        <w:tblPrEx>
          <w:tblCellMar>
            <w:top w:w="0" w:type="dxa"/>
            <w:left w:w="108" w:type="dxa"/>
            <w:bottom w:w="0" w:type="dxa"/>
            <w:right w:w="108" w:type="dxa"/>
          </w:tblCellMar>
        </w:tblPrEx>
        <w:trPr>
          <w:trHeight w:val="856"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2EA8A43A">
            <w:pPr>
              <w:widowControl/>
              <w:spacing w:line="380" w:lineRule="exact"/>
              <w:jc w:val="center"/>
              <w:rPr>
                <w:rFonts w:ascii="宋体" w:hAnsi="宋体" w:cs="宋体"/>
                <w:color w:val="000000" w:themeColor="text1"/>
                <w:kern w:val="0"/>
                <w:sz w:val="20"/>
                <w:szCs w:val="20"/>
                <w14:textFill>
                  <w14:solidFill>
                    <w14:schemeClr w14:val="tx1"/>
                  </w14:solidFill>
                </w14:textFill>
              </w:rPr>
            </w:pPr>
            <w:r>
              <w:rPr>
                <w:rFonts w:hint="eastAsia"/>
              </w:rPr>
              <w:t>中小企业说明</w:t>
            </w:r>
          </w:p>
        </w:tc>
        <w:tc>
          <w:tcPr>
            <w:tcW w:w="8302" w:type="dxa"/>
            <w:tcBorders>
              <w:top w:val="single" w:color="auto" w:sz="4" w:space="0"/>
              <w:left w:val="nil"/>
              <w:bottom w:val="single" w:color="auto" w:sz="4" w:space="0"/>
              <w:right w:val="single" w:color="000000" w:sz="4" w:space="0"/>
            </w:tcBorders>
            <w:vAlign w:val="center"/>
          </w:tcPr>
          <w:p w14:paraId="3A2B9FDA">
            <w:pPr>
              <w:spacing w:line="276" w:lineRule="auto"/>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本项目所属行业：</w:t>
            </w:r>
            <w:r>
              <w:rPr>
                <w:rFonts w:hint="eastAsia" w:ascii="宋体" w:hAnsi="宋体" w:cs="宋体"/>
                <w:b/>
                <w:color w:val="000000" w:themeColor="text1"/>
                <w:u w:val="single"/>
                <w14:textFill>
                  <w14:solidFill>
                    <w14:schemeClr w14:val="tx1"/>
                  </w14:solidFill>
                </w14:textFill>
              </w:rPr>
              <w:t xml:space="preserve">  工业  </w:t>
            </w:r>
            <w:r>
              <w:rPr>
                <w:rFonts w:hint="eastAsia" w:ascii="宋体" w:hAnsi="宋体" w:cs="宋体"/>
                <w:b/>
                <w:color w:val="000000" w:themeColor="text1"/>
                <w14:textFill>
                  <w14:solidFill>
                    <w14:schemeClr w14:val="tx1"/>
                  </w14:solidFill>
                </w14:textFill>
              </w:rPr>
              <w:t>，划分依据：《关于印发中小企业划型标准规定的通知》（工信部联企业[2011]300号）。</w:t>
            </w:r>
          </w:p>
          <w:p w14:paraId="2F2ACB94">
            <w:pPr>
              <w:widowControl/>
              <w:spacing w:line="380" w:lineRule="exact"/>
              <w:rPr>
                <w:b/>
                <w:bCs/>
              </w:rPr>
            </w:pPr>
            <w:r>
              <w:rPr>
                <w:rFonts w:hint="eastAsia"/>
                <w:b/>
                <w:bCs/>
              </w:rPr>
              <w:t>本项目为货物采购项目，货物须由</w:t>
            </w:r>
            <w:r>
              <w:rPr>
                <w:rFonts w:hint="eastAsia"/>
                <w:b/>
                <w:bCs/>
                <w:lang w:eastAsia="zh-CN"/>
              </w:rPr>
              <w:t>小微</w:t>
            </w:r>
            <w:r>
              <w:rPr>
                <w:rFonts w:hint="eastAsia"/>
                <w:b/>
                <w:bCs/>
              </w:rPr>
              <w:t>企业制造，即货物由中小企业生产且使用该</w:t>
            </w:r>
            <w:r>
              <w:rPr>
                <w:rFonts w:hint="eastAsia"/>
                <w:b/>
                <w:bCs/>
                <w:lang w:eastAsia="zh-CN"/>
              </w:rPr>
              <w:t>小微哦</w:t>
            </w:r>
            <w:r>
              <w:rPr>
                <w:rFonts w:hint="eastAsia"/>
                <w:b/>
                <w:bCs/>
              </w:rPr>
              <w:t>企业商号或者注册商标。</w:t>
            </w:r>
          </w:p>
          <w:p w14:paraId="76CED2BB">
            <w:pPr>
              <w:spacing w:line="276" w:lineRule="auto"/>
              <w:rPr>
                <w:rFonts w:ascii="宋体" w:hAnsi="宋体" w:cs="宋体"/>
                <w:b/>
                <w:color w:val="000000" w:themeColor="text1"/>
                <w14:textFill>
                  <w14:solidFill>
                    <w14:schemeClr w14:val="tx1"/>
                  </w14:solidFill>
                </w14:textFill>
              </w:rPr>
            </w:pPr>
            <w:r>
              <w:rPr>
                <w:rFonts w:hint="eastAsia"/>
                <w:b/>
                <w:bCs/>
              </w:rPr>
              <w:t>在本项目的货物采购中，供应商提供的货物既有中小企业制造货物，也有大型企业制造货物的，不享受中小企业扶持政策。</w:t>
            </w:r>
          </w:p>
        </w:tc>
      </w:tr>
    </w:tbl>
    <w:p w14:paraId="674FBEE6">
      <w:pPr>
        <w:spacing w:line="360" w:lineRule="exact"/>
        <w:ind w:firstLine="420" w:firstLineChars="200"/>
        <w:rPr>
          <w:rFonts w:ascii="宋体" w:hAnsi="宋体" w:cs="宋体"/>
          <w:color w:val="000000" w:themeColor="text1"/>
          <w:szCs w:val="21"/>
          <w14:textFill>
            <w14:solidFill>
              <w14:schemeClr w14:val="tx1"/>
            </w14:solidFill>
          </w14:textFill>
        </w:rPr>
      </w:pPr>
    </w:p>
    <w:p w14:paraId="5FDC727E">
      <w:pPr>
        <w:pStyle w:val="2"/>
        <w:rPr>
          <w:rFonts w:ascii="宋体" w:hAnsi="宋体" w:cs="宋体"/>
          <w:color w:val="000000" w:themeColor="text1"/>
          <w:szCs w:val="21"/>
          <w14:textFill>
            <w14:solidFill>
              <w14:schemeClr w14:val="tx1"/>
            </w14:solidFill>
          </w14:textFill>
        </w:rPr>
      </w:pPr>
    </w:p>
    <w:p w14:paraId="60FEECFF">
      <w:pPr>
        <w:rPr>
          <w:rFonts w:ascii="宋体" w:hAnsi="宋体" w:cs="宋体"/>
          <w:color w:val="000000" w:themeColor="text1"/>
          <w:szCs w:val="21"/>
          <w14:textFill>
            <w14:solidFill>
              <w14:schemeClr w14:val="tx1"/>
            </w14:solidFill>
          </w14:textFill>
        </w:rPr>
      </w:pPr>
    </w:p>
    <w:p w14:paraId="2A9F640D">
      <w:pPr>
        <w:pStyle w:val="2"/>
        <w:rPr>
          <w:rFonts w:ascii="宋体" w:hAnsi="宋体" w:cs="宋体"/>
          <w:color w:val="000000" w:themeColor="text1"/>
          <w:szCs w:val="21"/>
          <w14:textFill>
            <w14:solidFill>
              <w14:schemeClr w14:val="tx1"/>
            </w14:solidFill>
          </w14:textFill>
        </w:rPr>
      </w:pPr>
    </w:p>
    <w:p w14:paraId="1996C391">
      <w:pPr>
        <w:rPr>
          <w:rFonts w:ascii="宋体" w:hAnsi="宋体" w:cs="宋体"/>
          <w:color w:val="000000" w:themeColor="text1"/>
          <w:szCs w:val="21"/>
          <w14:textFill>
            <w14:solidFill>
              <w14:schemeClr w14:val="tx1"/>
            </w14:solidFill>
          </w14:textFill>
        </w:rPr>
      </w:pPr>
    </w:p>
    <w:p w14:paraId="41803F5E">
      <w:pPr>
        <w:pStyle w:val="2"/>
        <w:rPr>
          <w:rFonts w:ascii="宋体" w:hAnsi="宋体" w:cs="宋体"/>
          <w:color w:val="000000" w:themeColor="text1"/>
          <w:szCs w:val="21"/>
          <w14:textFill>
            <w14:solidFill>
              <w14:schemeClr w14:val="tx1"/>
            </w14:solidFill>
          </w14:textFill>
        </w:rPr>
      </w:pPr>
    </w:p>
    <w:p w14:paraId="45C2ADCE">
      <w:pPr>
        <w:rPr>
          <w:rFonts w:ascii="宋体" w:hAnsi="宋体" w:cs="宋体"/>
          <w:color w:val="000000" w:themeColor="text1"/>
          <w:szCs w:val="21"/>
          <w14:textFill>
            <w14:solidFill>
              <w14:schemeClr w14:val="tx1"/>
            </w14:solidFill>
          </w14:textFill>
        </w:rPr>
      </w:pPr>
    </w:p>
    <w:p w14:paraId="4198A27F">
      <w:pPr>
        <w:pStyle w:val="2"/>
        <w:rPr>
          <w:rFonts w:ascii="宋体" w:hAnsi="宋体" w:cs="宋体"/>
          <w:color w:val="000000" w:themeColor="text1"/>
          <w:szCs w:val="21"/>
          <w14:textFill>
            <w14:solidFill>
              <w14:schemeClr w14:val="tx1"/>
            </w14:solidFill>
          </w14:textFill>
        </w:rPr>
      </w:pPr>
    </w:p>
    <w:p w14:paraId="0E5C18BD">
      <w:pPr>
        <w:rPr>
          <w:rFonts w:ascii="宋体" w:hAnsi="宋体" w:cs="宋体"/>
          <w:color w:val="000000" w:themeColor="text1"/>
          <w:szCs w:val="21"/>
          <w14:textFill>
            <w14:solidFill>
              <w14:schemeClr w14:val="tx1"/>
            </w14:solidFill>
          </w14:textFill>
        </w:rPr>
      </w:pPr>
    </w:p>
    <w:p w14:paraId="7EBBB572">
      <w:pPr>
        <w:pStyle w:val="2"/>
        <w:rPr>
          <w:rFonts w:ascii="宋体" w:hAnsi="宋体" w:cs="宋体"/>
          <w:color w:val="000000" w:themeColor="text1"/>
          <w:szCs w:val="21"/>
          <w14:textFill>
            <w14:solidFill>
              <w14:schemeClr w14:val="tx1"/>
            </w14:solidFill>
          </w14:textFill>
        </w:rPr>
      </w:pPr>
    </w:p>
    <w:p w14:paraId="67BB99AE">
      <w:pPr>
        <w:rPr>
          <w:rFonts w:ascii="宋体" w:hAnsi="宋体" w:cs="宋体"/>
          <w:color w:val="000000" w:themeColor="text1"/>
          <w:szCs w:val="21"/>
          <w14:textFill>
            <w14:solidFill>
              <w14:schemeClr w14:val="tx1"/>
            </w14:solidFill>
          </w14:textFill>
        </w:rPr>
      </w:pPr>
    </w:p>
    <w:p w14:paraId="777F8C69">
      <w:pPr>
        <w:pStyle w:val="2"/>
        <w:rPr>
          <w:rFonts w:ascii="宋体" w:hAnsi="宋体" w:cs="宋体"/>
          <w:color w:val="000000" w:themeColor="text1"/>
          <w:szCs w:val="21"/>
          <w14:textFill>
            <w14:solidFill>
              <w14:schemeClr w14:val="tx1"/>
            </w14:solidFill>
          </w14:textFill>
        </w:rPr>
      </w:pPr>
    </w:p>
    <w:p w14:paraId="65E9F9B7">
      <w:pPr>
        <w:rPr>
          <w:rFonts w:ascii="宋体" w:hAnsi="宋体" w:cs="宋体"/>
          <w:color w:val="000000" w:themeColor="text1"/>
          <w:szCs w:val="21"/>
          <w14:textFill>
            <w14:solidFill>
              <w14:schemeClr w14:val="tx1"/>
            </w14:solidFill>
          </w14:textFill>
        </w:rPr>
      </w:pPr>
    </w:p>
    <w:p w14:paraId="08589652">
      <w:pPr>
        <w:pStyle w:val="2"/>
        <w:rPr>
          <w:rFonts w:ascii="宋体" w:hAnsi="宋体" w:cs="宋体"/>
          <w:color w:val="000000" w:themeColor="text1"/>
          <w:szCs w:val="21"/>
          <w14:textFill>
            <w14:solidFill>
              <w14:schemeClr w14:val="tx1"/>
            </w14:solidFill>
          </w14:textFill>
        </w:rPr>
      </w:pPr>
    </w:p>
    <w:p w14:paraId="0F6BA084">
      <w:pPr>
        <w:rPr>
          <w:rFonts w:ascii="宋体" w:hAnsi="宋体" w:cs="宋体"/>
          <w:color w:val="000000" w:themeColor="text1"/>
          <w:szCs w:val="21"/>
          <w14:textFill>
            <w14:solidFill>
              <w14:schemeClr w14:val="tx1"/>
            </w14:solidFill>
          </w14:textFill>
        </w:rPr>
      </w:pPr>
    </w:p>
    <w:p w14:paraId="2743491C">
      <w:pPr>
        <w:pStyle w:val="2"/>
        <w:rPr>
          <w:rFonts w:ascii="宋体" w:hAnsi="宋体" w:cs="宋体"/>
          <w:color w:val="000000" w:themeColor="text1"/>
          <w:szCs w:val="21"/>
          <w14:textFill>
            <w14:solidFill>
              <w14:schemeClr w14:val="tx1"/>
            </w14:solidFill>
          </w14:textFill>
        </w:rPr>
      </w:pPr>
    </w:p>
    <w:p w14:paraId="4687BB1A">
      <w:pPr>
        <w:rPr>
          <w:rFonts w:ascii="宋体" w:hAnsi="宋体" w:cs="宋体"/>
          <w:color w:val="000000" w:themeColor="text1"/>
          <w:szCs w:val="21"/>
          <w14:textFill>
            <w14:solidFill>
              <w14:schemeClr w14:val="tx1"/>
            </w14:solidFill>
          </w14:textFill>
        </w:rPr>
      </w:pPr>
    </w:p>
    <w:p w14:paraId="0E104AC7">
      <w:pPr>
        <w:pStyle w:val="2"/>
        <w:rPr>
          <w:rFonts w:ascii="宋体" w:hAnsi="宋体" w:cs="宋体"/>
          <w:color w:val="000000" w:themeColor="text1"/>
          <w:szCs w:val="21"/>
          <w14:textFill>
            <w14:solidFill>
              <w14:schemeClr w14:val="tx1"/>
            </w14:solidFill>
          </w14:textFill>
        </w:rPr>
      </w:pPr>
    </w:p>
    <w:p w14:paraId="146719B3">
      <w:pPr>
        <w:pStyle w:val="19"/>
        <w:rPr>
          <w:rFonts w:hint="eastAsia" w:ascii="微软雅黑" w:hAnsi="微软雅黑" w:eastAsia="微软雅黑" w:cs="微软雅黑"/>
          <w:color w:val="000000" w:themeColor="text1"/>
          <w:sz w:val="28"/>
          <w:szCs w:val="28"/>
          <w14:textFill>
            <w14:solidFill>
              <w14:schemeClr w14:val="tx1"/>
            </w14:solidFill>
          </w14:textFill>
        </w:rPr>
      </w:pPr>
    </w:p>
    <w:p w14:paraId="6BED5B66">
      <w:pPr>
        <w:pStyle w:val="19"/>
        <w:rPr>
          <w:rFonts w:hint="eastAsia" w:ascii="微软雅黑" w:hAnsi="微软雅黑" w:eastAsia="微软雅黑" w:cs="微软雅黑"/>
          <w:color w:val="000000" w:themeColor="text1"/>
          <w:sz w:val="28"/>
          <w:szCs w:val="28"/>
          <w14:textFill>
            <w14:solidFill>
              <w14:schemeClr w14:val="tx1"/>
            </w14:solidFill>
          </w14:textFill>
        </w:rPr>
      </w:pPr>
    </w:p>
    <w:p w14:paraId="3DDAE3FC">
      <w:pPr>
        <w:pStyle w:val="19"/>
        <w:rPr>
          <w:rFonts w:ascii="Arial Unicode MS" w:hAnsi="Arial Unicode MS" w:eastAsia="Arial Unicode MS" w:cs="Arial Unicode MS"/>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附件</w:t>
      </w:r>
      <w:r>
        <w:rPr>
          <w:rFonts w:hint="eastAsia" w:ascii="Arial Unicode MS" w:hAnsi="Arial Unicode MS" w:eastAsia="Arial Unicode MS" w:cs="Arial Unicode MS"/>
          <w:color w:val="000000" w:themeColor="text1"/>
          <w:sz w:val="28"/>
          <w:szCs w:val="28"/>
          <w14:textFill>
            <w14:solidFill>
              <w14:schemeClr w14:val="tx1"/>
            </w14:solidFill>
          </w14:textFill>
        </w:rPr>
        <w:t>1</w:t>
      </w:r>
      <w:r>
        <w:rPr>
          <w:rFonts w:hint="eastAsia" w:ascii="微软雅黑" w:hAnsi="微软雅黑" w:eastAsia="微软雅黑" w:cs="微软雅黑"/>
          <w:color w:val="000000" w:themeColor="text1"/>
          <w:sz w:val="28"/>
          <w:szCs w:val="28"/>
          <w14:textFill>
            <w14:solidFill>
              <w14:schemeClr w14:val="tx1"/>
            </w14:solidFill>
          </w14:textFill>
        </w:rPr>
        <w:t>：</w:t>
      </w:r>
    </w:p>
    <w:p w14:paraId="1C19D0B4">
      <w:pPr>
        <w:spacing w:line="528" w:lineRule="exact"/>
        <w:ind w:left="1871"/>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节能产品政府采购品目清单</w:t>
      </w:r>
    </w:p>
    <w:tbl>
      <w:tblPr>
        <w:tblStyle w:val="37"/>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3705A75C">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151FD47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0CC9DD4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4540" w:type="dxa"/>
            <w:tcBorders>
              <w:top w:val="single" w:color="000000" w:sz="8" w:space="0"/>
              <w:left w:val="nil"/>
              <w:bottom w:val="single" w:color="000000" w:sz="8" w:space="0"/>
              <w:right w:val="single" w:color="000000" w:sz="8" w:space="0"/>
            </w:tcBorders>
            <w:noWrap/>
            <w:vAlign w:val="center"/>
          </w:tcPr>
          <w:p w14:paraId="0406C68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依据的标准</w:t>
            </w:r>
          </w:p>
        </w:tc>
      </w:tr>
      <w:tr w14:paraId="28397B01">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677A793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0B30C1B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A020101计算机设备</w:t>
            </w:r>
          </w:p>
        </w:tc>
        <w:tc>
          <w:tcPr>
            <w:tcW w:w="1320" w:type="dxa"/>
            <w:tcBorders>
              <w:top w:val="nil"/>
              <w:left w:val="nil"/>
              <w:bottom w:val="single" w:color="000000" w:sz="8" w:space="0"/>
              <w:right w:val="single" w:color="000000" w:sz="8" w:space="0"/>
            </w:tcBorders>
            <w:noWrap/>
            <w:vAlign w:val="center"/>
          </w:tcPr>
          <w:p w14:paraId="22F3BD3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★A02010104台式计算机</w:t>
            </w:r>
          </w:p>
        </w:tc>
        <w:tc>
          <w:tcPr>
            <w:tcW w:w="1620" w:type="dxa"/>
            <w:tcBorders>
              <w:top w:val="nil"/>
              <w:left w:val="nil"/>
              <w:bottom w:val="single" w:color="000000" w:sz="8" w:space="0"/>
              <w:right w:val="single" w:color="000000" w:sz="8" w:space="0"/>
            </w:tcBorders>
            <w:noWrap/>
            <w:vAlign w:val="center"/>
          </w:tcPr>
          <w:p w14:paraId="794A1B1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32A4512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《微型计算机能效限定值及能效等级》（GB28380）</w:t>
            </w:r>
          </w:p>
        </w:tc>
      </w:tr>
      <w:tr w14:paraId="4464CAB2">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B344C43">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85A5312">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47C5D1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★A02010105便携式计算机</w:t>
            </w:r>
          </w:p>
        </w:tc>
        <w:tc>
          <w:tcPr>
            <w:tcW w:w="1620" w:type="dxa"/>
            <w:tcBorders>
              <w:top w:val="nil"/>
              <w:left w:val="nil"/>
              <w:bottom w:val="single" w:color="000000" w:sz="8" w:space="0"/>
              <w:right w:val="single" w:color="000000" w:sz="8" w:space="0"/>
            </w:tcBorders>
            <w:noWrap/>
            <w:vAlign w:val="center"/>
          </w:tcPr>
          <w:p w14:paraId="7115FED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2AC5D62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《微型计算机能效限定值及能效等级》（GB28380）</w:t>
            </w:r>
          </w:p>
        </w:tc>
      </w:tr>
      <w:tr w14:paraId="3AA6D8D0">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7ED23C2">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E554024">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6012EFA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★A02010107平板式微型计算机</w:t>
            </w:r>
          </w:p>
        </w:tc>
        <w:tc>
          <w:tcPr>
            <w:tcW w:w="1620" w:type="dxa"/>
            <w:tcBorders>
              <w:top w:val="nil"/>
              <w:left w:val="nil"/>
              <w:bottom w:val="single" w:color="000000" w:sz="8" w:space="0"/>
              <w:right w:val="single" w:color="000000" w:sz="8" w:space="0"/>
            </w:tcBorders>
            <w:noWrap/>
            <w:vAlign w:val="center"/>
          </w:tcPr>
          <w:p w14:paraId="2C5CDE8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76B51DAB">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《微型计算机能效限定值及能效等级》（GB28380）</w:t>
            </w:r>
          </w:p>
        </w:tc>
      </w:tr>
      <w:tr w14:paraId="30DEF42A">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1926C03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331A4D5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750E7FE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A02010601打印设备</w:t>
            </w:r>
          </w:p>
        </w:tc>
        <w:tc>
          <w:tcPr>
            <w:tcW w:w="1620" w:type="dxa"/>
            <w:tcBorders>
              <w:top w:val="nil"/>
              <w:left w:val="nil"/>
              <w:bottom w:val="single" w:color="000000" w:sz="8" w:space="0"/>
              <w:right w:val="single" w:color="000000" w:sz="8" w:space="0"/>
            </w:tcBorders>
            <w:noWrap/>
            <w:vAlign w:val="center"/>
          </w:tcPr>
          <w:p w14:paraId="72B931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A0201060101喷墨打印机</w:t>
            </w:r>
          </w:p>
        </w:tc>
        <w:tc>
          <w:tcPr>
            <w:tcW w:w="4540" w:type="dxa"/>
            <w:tcBorders>
              <w:top w:val="nil"/>
              <w:left w:val="nil"/>
              <w:bottom w:val="single" w:color="000000" w:sz="8" w:space="0"/>
              <w:right w:val="single" w:color="000000" w:sz="8" w:space="0"/>
            </w:tcBorders>
            <w:noWrap/>
            <w:vAlign w:val="center"/>
          </w:tcPr>
          <w:p w14:paraId="541929D2">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2CCF39E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395E1AF">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13942F0">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DC1E065">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0EB2641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★A0201060102激光打印机</w:t>
            </w:r>
          </w:p>
        </w:tc>
        <w:tc>
          <w:tcPr>
            <w:tcW w:w="4540" w:type="dxa"/>
            <w:tcBorders>
              <w:top w:val="nil"/>
              <w:left w:val="nil"/>
              <w:bottom w:val="single" w:color="000000" w:sz="8" w:space="0"/>
              <w:right w:val="single" w:color="000000" w:sz="8" w:space="0"/>
            </w:tcBorders>
            <w:noWrap/>
            <w:vAlign w:val="center"/>
          </w:tcPr>
          <w:p w14:paraId="3E5E3D6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1C95819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B5A07FB">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96BD0D7">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B7BDDA9">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53A4514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★A0201060104针式打印机</w:t>
            </w:r>
          </w:p>
        </w:tc>
        <w:tc>
          <w:tcPr>
            <w:tcW w:w="4540" w:type="dxa"/>
            <w:tcBorders>
              <w:top w:val="nil"/>
              <w:left w:val="nil"/>
              <w:bottom w:val="single" w:color="000000" w:sz="8" w:space="0"/>
              <w:right w:val="single" w:color="000000" w:sz="8" w:space="0"/>
            </w:tcBorders>
            <w:noWrap/>
            <w:vAlign w:val="center"/>
          </w:tcPr>
          <w:p w14:paraId="68A3AB7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32F6414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6728DC6">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1AEBFEC">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7A6CCF0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A02010604显示设备</w:t>
            </w:r>
          </w:p>
        </w:tc>
        <w:tc>
          <w:tcPr>
            <w:tcW w:w="1620" w:type="dxa"/>
            <w:tcBorders>
              <w:top w:val="nil"/>
              <w:left w:val="nil"/>
              <w:bottom w:val="single" w:color="000000" w:sz="8" w:space="0"/>
              <w:right w:val="single" w:color="000000" w:sz="8" w:space="0"/>
            </w:tcBorders>
            <w:noWrap/>
            <w:vAlign w:val="center"/>
          </w:tcPr>
          <w:p w14:paraId="077CD27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★A0201060401液晶显示器</w:t>
            </w:r>
          </w:p>
        </w:tc>
        <w:tc>
          <w:tcPr>
            <w:tcW w:w="4540" w:type="dxa"/>
            <w:tcBorders>
              <w:top w:val="nil"/>
              <w:left w:val="nil"/>
              <w:bottom w:val="single" w:color="000000" w:sz="8" w:space="0"/>
              <w:right w:val="single" w:color="000000" w:sz="8" w:space="0"/>
            </w:tcBorders>
            <w:noWrap/>
            <w:vAlign w:val="center"/>
          </w:tcPr>
          <w:p w14:paraId="228FDCF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《计算机显示器能效限定值及能效等级》（GB21520）</w:t>
            </w:r>
          </w:p>
        </w:tc>
      </w:tr>
      <w:tr w14:paraId="42BABB87">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3B36024">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51CD9FE">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7A87B99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A02010609图形图像输入设备</w:t>
            </w:r>
          </w:p>
        </w:tc>
        <w:tc>
          <w:tcPr>
            <w:tcW w:w="1620" w:type="dxa"/>
            <w:tcBorders>
              <w:top w:val="nil"/>
              <w:left w:val="nil"/>
              <w:bottom w:val="single" w:color="000000" w:sz="8" w:space="0"/>
              <w:right w:val="single" w:color="000000" w:sz="8" w:space="0"/>
            </w:tcBorders>
            <w:noWrap/>
            <w:vAlign w:val="center"/>
          </w:tcPr>
          <w:p w14:paraId="59BCD7F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A0201060901扫描仪</w:t>
            </w:r>
          </w:p>
        </w:tc>
        <w:tc>
          <w:tcPr>
            <w:tcW w:w="4540" w:type="dxa"/>
            <w:tcBorders>
              <w:top w:val="nil"/>
              <w:left w:val="nil"/>
              <w:bottom w:val="single" w:color="000000" w:sz="8" w:space="0"/>
              <w:right w:val="single" w:color="000000" w:sz="8" w:space="0"/>
            </w:tcBorders>
            <w:noWrap/>
            <w:vAlign w:val="center"/>
          </w:tcPr>
          <w:p w14:paraId="7A77774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22D2C63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9B1F5D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080" w:type="dxa"/>
            <w:tcBorders>
              <w:top w:val="nil"/>
              <w:left w:val="nil"/>
              <w:bottom w:val="single" w:color="000000" w:sz="8" w:space="0"/>
              <w:right w:val="single" w:color="000000" w:sz="8" w:space="0"/>
            </w:tcBorders>
            <w:noWrap/>
            <w:vAlign w:val="center"/>
          </w:tcPr>
          <w:p w14:paraId="2DC9FA8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A020202投影仪</w:t>
            </w:r>
          </w:p>
        </w:tc>
        <w:tc>
          <w:tcPr>
            <w:tcW w:w="1320" w:type="dxa"/>
            <w:tcBorders>
              <w:top w:val="nil"/>
              <w:left w:val="nil"/>
              <w:bottom w:val="single" w:color="000000" w:sz="8" w:space="0"/>
              <w:right w:val="single" w:color="000000" w:sz="8" w:space="0"/>
            </w:tcBorders>
            <w:noWrap/>
            <w:vAlign w:val="center"/>
          </w:tcPr>
          <w:p w14:paraId="4E20CCC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noWrap/>
            <w:vAlign w:val="center"/>
          </w:tcPr>
          <w:p w14:paraId="18ABC40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73E1780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《投影机能效限定值及能效等级》（GB32028）</w:t>
            </w:r>
          </w:p>
        </w:tc>
      </w:tr>
      <w:tr w14:paraId="24B22DEC">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5C8D92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080" w:type="dxa"/>
            <w:tcBorders>
              <w:top w:val="nil"/>
              <w:left w:val="nil"/>
              <w:bottom w:val="single" w:color="000000" w:sz="8" w:space="0"/>
              <w:right w:val="single" w:color="000000" w:sz="8" w:space="0"/>
            </w:tcBorders>
            <w:noWrap/>
            <w:vAlign w:val="center"/>
          </w:tcPr>
          <w:p w14:paraId="51E936D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A020204多功能一体机</w:t>
            </w:r>
          </w:p>
        </w:tc>
        <w:tc>
          <w:tcPr>
            <w:tcW w:w="1320" w:type="dxa"/>
            <w:tcBorders>
              <w:top w:val="nil"/>
              <w:left w:val="nil"/>
              <w:bottom w:val="single" w:color="000000" w:sz="8" w:space="0"/>
              <w:right w:val="single" w:color="000000" w:sz="8" w:space="0"/>
            </w:tcBorders>
            <w:noWrap/>
            <w:vAlign w:val="center"/>
          </w:tcPr>
          <w:p w14:paraId="067A109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noWrap/>
            <w:vAlign w:val="center"/>
          </w:tcPr>
          <w:p w14:paraId="669DA3B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32CA751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04618C4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6EC62D5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080" w:type="dxa"/>
            <w:tcBorders>
              <w:top w:val="nil"/>
              <w:left w:val="nil"/>
              <w:bottom w:val="single" w:color="000000" w:sz="8" w:space="0"/>
              <w:right w:val="single" w:color="000000" w:sz="8" w:space="0"/>
            </w:tcBorders>
            <w:noWrap/>
            <w:vAlign w:val="center"/>
          </w:tcPr>
          <w:p w14:paraId="77AD102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A020519泵</w:t>
            </w:r>
          </w:p>
        </w:tc>
        <w:tc>
          <w:tcPr>
            <w:tcW w:w="1320" w:type="dxa"/>
            <w:tcBorders>
              <w:top w:val="nil"/>
              <w:left w:val="nil"/>
              <w:bottom w:val="single" w:color="000000" w:sz="8" w:space="0"/>
              <w:right w:val="single" w:color="000000" w:sz="8" w:space="0"/>
            </w:tcBorders>
            <w:noWrap/>
            <w:vAlign w:val="center"/>
          </w:tcPr>
          <w:p w14:paraId="682BD20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A02051901离心泵</w:t>
            </w:r>
          </w:p>
        </w:tc>
        <w:tc>
          <w:tcPr>
            <w:tcW w:w="1620" w:type="dxa"/>
            <w:tcBorders>
              <w:top w:val="nil"/>
              <w:left w:val="nil"/>
              <w:bottom w:val="single" w:color="000000" w:sz="8" w:space="0"/>
              <w:right w:val="single" w:color="000000" w:sz="8" w:space="0"/>
            </w:tcBorders>
            <w:noWrap/>
            <w:vAlign w:val="center"/>
          </w:tcPr>
          <w:p w14:paraId="58F6D1D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219EB7E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《清水离心泵能效限定值及节能评价值》（GB19762）</w:t>
            </w:r>
          </w:p>
        </w:tc>
      </w:tr>
      <w:tr w14:paraId="4ABAC08F">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3656154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70D52D6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2B3E1A9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★A02052301制冷压缩机</w:t>
            </w:r>
          </w:p>
        </w:tc>
        <w:tc>
          <w:tcPr>
            <w:tcW w:w="1620" w:type="dxa"/>
            <w:tcBorders>
              <w:top w:val="nil"/>
              <w:left w:val="nil"/>
              <w:bottom w:val="single" w:color="000000" w:sz="8" w:space="0"/>
              <w:right w:val="single" w:color="000000" w:sz="8" w:space="0"/>
            </w:tcBorders>
            <w:noWrap/>
            <w:vAlign w:val="center"/>
          </w:tcPr>
          <w:p w14:paraId="0D1F21B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冷水机组</w:t>
            </w:r>
          </w:p>
        </w:tc>
        <w:tc>
          <w:tcPr>
            <w:tcW w:w="4540" w:type="dxa"/>
            <w:tcBorders>
              <w:top w:val="nil"/>
              <w:left w:val="nil"/>
              <w:bottom w:val="single" w:color="000000" w:sz="8" w:space="0"/>
              <w:right w:val="single" w:color="000000" w:sz="8" w:space="0"/>
            </w:tcBorders>
            <w:noWrap/>
            <w:vAlign w:val="center"/>
          </w:tcPr>
          <w:p w14:paraId="5051160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《冷水机组能效限定值及能效等级》（GB19577），《低环境温度空气源热泵（冷水）机组能效限定值及能效等级》（GB37480）</w:t>
            </w:r>
          </w:p>
        </w:tc>
      </w:tr>
      <w:tr w14:paraId="07F3A040">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3A78AA4">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75FFB85">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7EA47D4">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7175FAC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水源热泵机组</w:t>
            </w:r>
          </w:p>
        </w:tc>
        <w:tc>
          <w:tcPr>
            <w:tcW w:w="4540" w:type="dxa"/>
            <w:tcBorders>
              <w:top w:val="nil"/>
              <w:left w:val="nil"/>
              <w:bottom w:val="single" w:color="000000" w:sz="8" w:space="0"/>
              <w:right w:val="single" w:color="000000" w:sz="8" w:space="0"/>
            </w:tcBorders>
            <w:noWrap/>
            <w:vAlign w:val="center"/>
          </w:tcPr>
          <w:p w14:paraId="65DF75A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《水（地）源热泵机组能效限定值及能效等级》（GB30721）</w:t>
            </w:r>
          </w:p>
        </w:tc>
      </w:tr>
      <w:tr w14:paraId="778443F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D198ACC">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2853875">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C4F10B2">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56C6483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溴化锂吸收式冷水机组</w:t>
            </w:r>
          </w:p>
        </w:tc>
        <w:tc>
          <w:tcPr>
            <w:tcW w:w="4540" w:type="dxa"/>
            <w:tcBorders>
              <w:top w:val="nil"/>
              <w:left w:val="nil"/>
              <w:bottom w:val="single" w:color="000000" w:sz="8" w:space="0"/>
              <w:right w:val="single" w:color="000000" w:sz="8" w:space="0"/>
            </w:tcBorders>
            <w:noWrap/>
            <w:vAlign w:val="center"/>
          </w:tcPr>
          <w:p w14:paraId="0A418DE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《溴化锂吸收式冷水机组能效限定值及能效等级》（GB29540）</w:t>
            </w:r>
          </w:p>
        </w:tc>
      </w:tr>
      <w:tr w14:paraId="08C833FE">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332B110">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140C07A">
            <w:pPr>
              <w:widowControl/>
              <w:jc w:val="left"/>
              <w:rPr>
                <w:rFonts w:ascii="宋体" w:hAnsi="宋体" w:cs="宋体"/>
                <w:color w:val="000000" w:themeColor="text1"/>
                <w:kern w:val="0"/>
                <w:sz w:val="20"/>
                <w:szCs w:val="20"/>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4623E97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★A02052305空调机组</w:t>
            </w:r>
          </w:p>
        </w:tc>
        <w:tc>
          <w:tcPr>
            <w:tcW w:w="1620" w:type="dxa"/>
            <w:tcBorders>
              <w:top w:val="nil"/>
              <w:left w:val="nil"/>
              <w:bottom w:val="single" w:color="000000" w:sz="8" w:space="0"/>
              <w:right w:val="single" w:color="000000" w:sz="8" w:space="0"/>
            </w:tcBorders>
            <w:noWrap/>
            <w:vAlign w:val="center"/>
          </w:tcPr>
          <w:p w14:paraId="2AE2E8F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多联式空调（热泵）机组(制冷量&gt;14000W)</w:t>
            </w:r>
          </w:p>
        </w:tc>
        <w:tc>
          <w:tcPr>
            <w:tcW w:w="4540" w:type="dxa"/>
            <w:tcBorders>
              <w:top w:val="nil"/>
              <w:left w:val="nil"/>
              <w:bottom w:val="single" w:color="000000" w:sz="8" w:space="0"/>
              <w:right w:val="single" w:color="000000" w:sz="8" w:space="0"/>
            </w:tcBorders>
            <w:noWrap/>
            <w:vAlign w:val="center"/>
          </w:tcPr>
          <w:p w14:paraId="655C72C2">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《多联式空调（热泵）机组能效限定值及能源效率等级》（GB21454）</w:t>
            </w:r>
          </w:p>
        </w:tc>
      </w:tr>
      <w:tr w14:paraId="6C72EB60">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FCAB323">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6A757E2">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ACBC01B">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35B427F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单元式空气调节机(制冷量&gt;14000W</w:t>
            </w:r>
          </w:p>
        </w:tc>
        <w:tc>
          <w:tcPr>
            <w:tcW w:w="4540" w:type="dxa"/>
            <w:tcBorders>
              <w:top w:val="nil"/>
              <w:left w:val="nil"/>
              <w:bottom w:val="single" w:color="000000" w:sz="8" w:space="0"/>
              <w:right w:val="single" w:color="000000" w:sz="8" w:space="0"/>
            </w:tcBorders>
            <w:noWrap/>
            <w:vAlign w:val="center"/>
          </w:tcPr>
          <w:p w14:paraId="7F08944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《单元式空气调节机能效限定值及能效等级》（GB19576）《风管送风式空调机组能效限定值及能效等级》（GB37479）</w:t>
            </w:r>
          </w:p>
        </w:tc>
      </w:tr>
      <w:tr w14:paraId="635E8737">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7380512">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4945E31">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19EFF0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★A02052309专用制冷、空调设备</w:t>
            </w:r>
          </w:p>
        </w:tc>
        <w:tc>
          <w:tcPr>
            <w:tcW w:w="1620" w:type="dxa"/>
            <w:tcBorders>
              <w:top w:val="nil"/>
              <w:left w:val="nil"/>
              <w:bottom w:val="single" w:color="000000" w:sz="8" w:space="0"/>
              <w:right w:val="single" w:color="000000" w:sz="8" w:space="0"/>
            </w:tcBorders>
            <w:noWrap/>
            <w:vAlign w:val="center"/>
          </w:tcPr>
          <w:p w14:paraId="69045E0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机房空调</w:t>
            </w:r>
          </w:p>
        </w:tc>
        <w:tc>
          <w:tcPr>
            <w:tcW w:w="4540" w:type="dxa"/>
            <w:tcBorders>
              <w:top w:val="nil"/>
              <w:left w:val="nil"/>
              <w:bottom w:val="single" w:color="000000" w:sz="8" w:space="0"/>
              <w:right w:val="single" w:color="000000" w:sz="8" w:space="0"/>
            </w:tcBorders>
            <w:noWrap/>
            <w:vAlign w:val="center"/>
          </w:tcPr>
          <w:p w14:paraId="76426BC9">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《单元式空气调节机能效限定值及能效等级》（GB19576）</w:t>
            </w:r>
          </w:p>
        </w:tc>
      </w:tr>
      <w:tr w14:paraId="16D8908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EB8E10A">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9BDEE76">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66C037D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A02052399其他制冷空调设备</w:t>
            </w:r>
          </w:p>
        </w:tc>
        <w:tc>
          <w:tcPr>
            <w:tcW w:w="1620" w:type="dxa"/>
            <w:tcBorders>
              <w:top w:val="nil"/>
              <w:left w:val="nil"/>
              <w:bottom w:val="single" w:color="000000" w:sz="8" w:space="0"/>
              <w:right w:val="single" w:color="000000" w:sz="8" w:space="0"/>
            </w:tcBorders>
            <w:noWrap/>
            <w:vAlign w:val="center"/>
          </w:tcPr>
          <w:p w14:paraId="3643A10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冷却塔</w:t>
            </w:r>
          </w:p>
        </w:tc>
        <w:tc>
          <w:tcPr>
            <w:tcW w:w="4540" w:type="dxa"/>
            <w:tcBorders>
              <w:top w:val="nil"/>
              <w:left w:val="nil"/>
              <w:bottom w:val="single" w:color="000000" w:sz="8" w:space="0"/>
              <w:right w:val="single" w:color="000000" w:sz="8" w:space="0"/>
            </w:tcBorders>
            <w:noWrap/>
            <w:vAlign w:val="center"/>
          </w:tcPr>
          <w:p w14:paraId="74471A0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《机械通风冷却塔第1部分：中小型开式冷却塔》（GB/T7190.1）；《机械通风冷却塔第2部分：大型开式冷却塔》（GB/T7190.2）</w:t>
            </w:r>
          </w:p>
        </w:tc>
      </w:tr>
      <w:tr w14:paraId="1745804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F73538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1080" w:type="dxa"/>
            <w:tcBorders>
              <w:top w:val="nil"/>
              <w:left w:val="nil"/>
              <w:bottom w:val="single" w:color="000000" w:sz="8" w:space="0"/>
              <w:right w:val="single" w:color="000000" w:sz="8" w:space="0"/>
            </w:tcBorders>
            <w:noWrap/>
            <w:vAlign w:val="center"/>
          </w:tcPr>
          <w:p w14:paraId="0904372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A020601电机</w:t>
            </w:r>
          </w:p>
        </w:tc>
        <w:tc>
          <w:tcPr>
            <w:tcW w:w="1320" w:type="dxa"/>
            <w:tcBorders>
              <w:top w:val="nil"/>
              <w:left w:val="nil"/>
              <w:bottom w:val="single" w:color="000000" w:sz="8" w:space="0"/>
              <w:right w:val="single" w:color="000000" w:sz="8" w:space="0"/>
            </w:tcBorders>
            <w:noWrap/>
            <w:vAlign w:val="center"/>
          </w:tcPr>
          <w:p w14:paraId="4375D5D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noWrap/>
            <w:vAlign w:val="center"/>
          </w:tcPr>
          <w:p w14:paraId="38D73A7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682BC3C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《中小型三相异步电动机能效限定值及能效等级》（GB18613）</w:t>
            </w:r>
          </w:p>
        </w:tc>
      </w:tr>
      <w:tr w14:paraId="48930145">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DCE042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080" w:type="dxa"/>
            <w:tcBorders>
              <w:top w:val="nil"/>
              <w:left w:val="nil"/>
              <w:bottom w:val="single" w:color="000000" w:sz="8" w:space="0"/>
              <w:right w:val="single" w:color="000000" w:sz="8" w:space="0"/>
            </w:tcBorders>
            <w:noWrap/>
            <w:vAlign w:val="center"/>
          </w:tcPr>
          <w:p w14:paraId="304DCD8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A020602变压器</w:t>
            </w:r>
          </w:p>
        </w:tc>
        <w:tc>
          <w:tcPr>
            <w:tcW w:w="1320" w:type="dxa"/>
            <w:tcBorders>
              <w:top w:val="nil"/>
              <w:left w:val="nil"/>
              <w:bottom w:val="single" w:color="000000" w:sz="8" w:space="0"/>
              <w:right w:val="single" w:color="000000" w:sz="8" w:space="0"/>
            </w:tcBorders>
            <w:noWrap/>
            <w:vAlign w:val="center"/>
          </w:tcPr>
          <w:p w14:paraId="39C3C9A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配电变压器</w:t>
            </w:r>
          </w:p>
        </w:tc>
        <w:tc>
          <w:tcPr>
            <w:tcW w:w="1620" w:type="dxa"/>
            <w:tcBorders>
              <w:top w:val="nil"/>
              <w:left w:val="nil"/>
              <w:bottom w:val="single" w:color="000000" w:sz="8" w:space="0"/>
              <w:right w:val="single" w:color="000000" w:sz="8" w:space="0"/>
            </w:tcBorders>
            <w:noWrap/>
            <w:vAlign w:val="center"/>
          </w:tcPr>
          <w:p w14:paraId="287121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58BB87E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《三相配电变压器能效限定值及能效等级》（GB20052）</w:t>
            </w:r>
          </w:p>
        </w:tc>
      </w:tr>
      <w:tr w14:paraId="782D1A5B">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B89CF0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080" w:type="dxa"/>
            <w:tcBorders>
              <w:top w:val="nil"/>
              <w:left w:val="nil"/>
              <w:bottom w:val="single" w:color="000000" w:sz="8" w:space="0"/>
              <w:right w:val="single" w:color="000000" w:sz="8" w:space="0"/>
            </w:tcBorders>
            <w:noWrap/>
            <w:vAlign w:val="center"/>
          </w:tcPr>
          <w:p w14:paraId="68D2131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★A020609镇流器</w:t>
            </w:r>
          </w:p>
        </w:tc>
        <w:tc>
          <w:tcPr>
            <w:tcW w:w="1320" w:type="dxa"/>
            <w:tcBorders>
              <w:top w:val="nil"/>
              <w:left w:val="nil"/>
              <w:bottom w:val="single" w:color="000000" w:sz="8" w:space="0"/>
              <w:right w:val="single" w:color="000000" w:sz="8" w:space="0"/>
            </w:tcBorders>
            <w:noWrap/>
            <w:vAlign w:val="center"/>
          </w:tcPr>
          <w:p w14:paraId="57883D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管型荧光灯镇流器</w:t>
            </w:r>
          </w:p>
        </w:tc>
        <w:tc>
          <w:tcPr>
            <w:tcW w:w="1620" w:type="dxa"/>
            <w:tcBorders>
              <w:top w:val="nil"/>
              <w:left w:val="nil"/>
              <w:bottom w:val="single" w:color="000000" w:sz="8" w:space="0"/>
              <w:right w:val="single" w:color="000000" w:sz="8" w:space="0"/>
            </w:tcBorders>
            <w:noWrap/>
            <w:vAlign w:val="center"/>
          </w:tcPr>
          <w:p w14:paraId="242C44D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2E5759E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《管形荧光灯镇流器能效限定值及能效等级》（GB17896）</w:t>
            </w:r>
          </w:p>
        </w:tc>
      </w:tr>
      <w:tr w14:paraId="6E87B12B">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189CA61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62EC04B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A020618生活用电器</w:t>
            </w:r>
          </w:p>
        </w:tc>
        <w:tc>
          <w:tcPr>
            <w:tcW w:w="1320" w:type="dxa"/>
            <w:tcBorders>
              <w:top w:val="nil"/>
              <w:left w:val="nil"/>
              <w:bottom w:val="single" w:color="000000" w:sz="8" w:space="0"/>
              <w:right w:val="single" w:color="000000" w:sz="8" w:space="0"/>
            </w:tcBorders>
            <w:noWrap/>
            <w:vAlign w:val="center"/>
          </w:tcPr>
          <w:p w14:paraId="5B156F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A0206180101电冰箱</w:t>
            </w:r>
          </w:p>
        </w:tc>
        <w:tc>
          <w:tcPr>
            <w:tcW w:w="1620" w:type="dxa"/>
            <w:tcBorders>
              <w:top w:val="nil"/>
              <w:left w:val="nil"/>
              <w:bottom w:val="single" w:color="000000" w:sz="8" w:space="0"/>
              <w:right w:val="single" w:color="000000" w:sz="8" w:space="0"/>
            </w:tcBorders>
            <w:noWrap/>
            <w:vAlign w:val="center"/>
          </w:tcPr>
          <w:p w14:paraId="4630106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55D81A3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《家用电冰箱耗电量限定值及能效等级》（GB 12021.2）</w:t>
            </w:r>
          </w:p>
        </w:tc>
      </w:tr>
      <w:tr w14:paraId="7CE3A283">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6FA760B">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9FBF06D">
            <w:pPr>
              <w:widowControl/>
              <w:jc w:val="left"/>
              <w:rPr>
                <w:rFonts w:ascii="宋体" w:hAnsi="宋体" w:cs="宋体"/>
                <w:color w:val="000000" w:themeColor="text1"/>
                <w:kern w:val="0"/>
                <w:sz w:val="20"/>
                <w:szCs w:val="20"/>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3B31E5C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★A0206180203空调机</w:t>
            </w:r>
          </w:p>
        </w:tc>
        <w:tc>
          <w:tcPr>
            <w:tcW w:w="1620" w:type="dxa"/>
            <w:tcBorders>
              <w:top w:val="nil"/>
              <w:left w:val="nil"/>
              <w:bottom w:val="single" w:color="000000" w:sz="8" w:space="0"/>
              <w:right w:val="single" w:color="000000" w:sz="8" w:space="0"/>
            </w:tcBorders>
            <w:noWrap/>
            <w:vAlign w:val="center"/>
          </w:tcPr>
          <w:p w14:paraId="024981C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房间空气调节器</w:t>
            </w:r>
          </w:p>
        </w:tc>
        <w:tc>
          <w:tcPr>
            <w:tcW w:w="4540" w:type="dxa"/>
            <w:tcBorders>
              <w:top w:val="nil"/>
              <w:left w:val="nil"/>
              <w:bottom w:val="single" w:color="000000" w:sz="8" w:space="0"/>
              <w:right w:val="single" w:color="000000" w:sz="8" w:space="0"/>
            </w:tcBorders>
            <w:noWrap/>
            <w:vAlign w:val="center"/>
          </w:tcPr>
          <w:p w14:paraId="41FB95B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24F8DC6C">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632DAC1">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D06AF1D">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08F4B29">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55C1E5E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多联式空调（热泵）机组（制冷量≤ 14000W）</w:t>
            </w:r>
          </w:p>
        </w:tc>
        <w:tc>
          <w:tcPr>
            <w:tcW w:w="4540" w:type="dxa"/>
            <w:tcBorders>
              <w:top w:val="nil"/>
              <w:left w:val="nil"/>
              <w:bottom w:val="single" w:color="000000" w:sz="8" w:space="0"/>
              <w:right w:val="single" w:color="000000" w:sz="8" w:space="0"/>
            </w:tcBorders>
            <w:noWrap/>
            <w:vAlign w:val="center"/>
          </w:tcPr>
          <w:p w14:paraId="131307B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《多联式空调（热泵）机组能效限定值及能源效率等级》（GB21454）</w:t>
            </w:r>
          </w:p>
        </w:tc>
      </w:tr>
      <w:tr w14:paraId="6DD2EE48">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E9B0948">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75F1A79">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DA04B1F">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6FDB9C4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单元式空气调节机(制冷量≤14000W)</w:t>
            </w:r>
          </w:p>
        </w:tc>
        <w:tc>
          <w:tcPr>
            <w:tcW w:w="4540" w:type="dxa"/>
            <w:tcBorders>
              <w:top w:val="nil"/>
              <w:left w:val="nil"/>
              <w:bottom w:val="single" w:color="000000" w:sz="8" w:space="0"/>
              <w:right w:val="single" w:color="000000" w:sz="8" w:space="0"/>
            </w:tcBorders>
            <w:noWrap/>
            <w:vAlign w:val="center"/>
          </w:tcPr>
          <w:p w14:paraId="6112F30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《单元式空气调节机能效限定值及能源效率等级》（GB19576）《风管送风式空调机组能效限定值及能效等级》（GB37479）</w:t>
            </w:r>
          </w:p>
        </w:tc>
      </w:tr>
      <w:tr w14:paraId="2FE72391">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6CCB664">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485082B">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noWrap/>
            <w:vAlign w:val="center"/>
          </w:tcPr>
          <w:p w14:paraId="36F42A4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A0206180301洗衣机</w:t>
            </w:r>
          </w:p>
        </w:tc>
        <w:tc>
          <w:tcPr>
            <w:tcW w:w="1620" w:type="dxa"/>
            <w:tcBorders>
              <w:top w:val="nil"/>
              <w:left w:val="nil"/>
              <w:bottom w:val="single" w:color="000000" w:sz="8" w:space="0"/>
              <w:right w:val="single" w:color="000000" w:sz="8" w:space="0"/>
            </w:tcBorders>
            <w:noWrap/>
            <w:vAlign w:val="center"/>
          </w:tcPr>
          <w:p w14:paraId="48DE863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351983D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《电动洗衣机能效水效限定值及等级》（GB12021.4）</w:t>
            </w:r>
          </w:p>
        </w:tc>
      </w:tr>
      <w:tr w14:paraId="316E620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46F9DD9">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AF64FB1">
            <w:pPr>
              <w:widowControl/>
              <w:jc w:val="left"/>
              <w:rPr>
                <w:rFonts w:ascii="宋体" w:hAnsi="宋体" w:cs="宋体"/>
                <w:color w:val="000000" w:themeColor="text1"/>
                <w:kern w:val="0"/>
                <w:sz w:val="20"/>
                <w:szCs w:val="20"/>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7DB6AB7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A02061808热水器</w:t>
            </w:r>
          </w:p>
        </w:tc>
        <w:tc>
          <w:tcPr>
            <w:tcW w:w="1620" w:type="dxa"/>
            <w:tcBorders>
              <w:top w:val="nil"/>
              <w:left w:val="nil"/>
              <w:bottom w:val="single" w:color="000000" w:sz="8" w:space="0"/>
              <w:right w:val="single" w:color="000000" w:sz="8" w:space="0"/>
            </w:tcBorders>
            <w:noWrap/>
            <w:vAlign w:val="center"/>
          </w:tcPr>
          <w:p w14:paraId="43838D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★电热水器</w:t>
            </w:r>
          </w:p>
        </w:tc>
        <w:tc>
          <w:tcPr>
            <w:tcW w:w="4540" w:type="dxa"/>
            <w:tcBorders>
              <w:top w:val="nil"/>
              <w:left w:val="nil"/>
              <w:bottom w:val="single" w:color="000000" w:sz="8" w:space="0"/>
              <w:right w:val="single" w:color="000000" w:sz="8" w:space="0"/>
            </w:tcBorders>
            <w:noWrap/>
            <w:vAlign w:val="center"/>
          </w:tcPr>
          <w:p w14:paraId="4687D475">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《储水式电热水器能效限定值及能效等级》（GB21519）</w:t>
            </w:r>
          </w:p>
        </w:tc>
      </w:tr>
      <w:tr w14:paraId="3233A399">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473EDA6">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C2D222C">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ADD690F">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194173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燃气热水器</w:t>
            </w:r>
          </w:p>
        </w:tc>
        <w:tc>
          <w:tcPr>
            <w:tcW w:w="4540" w:type="dxa"/>
            <w:tcBorders>
              <w:top w:val="nil"/>
              <w:left w:val="nil"/>
              <w:bottom w:val="single" w:color="000000" w:sz="8" w:space="0"/>
              <w:right w:val="single" w:color="000000" w:sz="8" w:space="0"/>
            </w:tcBorders>
            <w:noWrap/>
            <w:vAlign w:val="center"/>
          </w:tcPr>
          <w:p w14:paraId="72309E8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《家用燃气快速热水器和燃气采暖热水炉能效限定值及能效等级》（GB20665）</w:t>
            </w:r>
          </w:p>
        </w:tc>
      </w:tr>
      <w:tr w14:paraId="4B6E2D79">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061DD71">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3A4B571">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7815114">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017073B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热泵热水器</w:t>
            </w:r>
          </w:p>
        </w:tc>
        <w:tc>
          <w:tcPr>
            <w:tcW w:w="4540" w:type="dxa"/>
            <w:tcBorders>
              <w:top w:val="nil"/>
              <w:left w:val="nil"/>
              <w:bottom w:val="single" w:color="000000" w:sz="8" w:space="0"/>
              <w:right w:val="single" w:color="000000" w:sz="8" w:space="0"/>
            </w:tcBorders>
            <w:noWrap/>
            <w:vAlign w:val="center"/>
          </w:tcPr>
          <w:p w14:paraId="67F5267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《热泵热水机（器）能效限定值及能效等级》（GB29541）</w:t>
            </w:r>
          </w:p>
        </w:tc>
      </w:tr>
      <w:tr w14:paraId="0F95CE99">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964E3BC">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C67510C">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C281A1B">
            <w:pPr>
              <w:widowControl/>
              <w:jc w:val="left"/>
              <w:rPr>
                <w:rFonts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noWrap/>
            <w:vAlign w:val="center"/>
          </w:tcPr>
          <w:p w14:paraId="7E75D61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太阳能热水系统</w:t>
            </w:r>
          </w:p>
        </w:tc>
        <w:tc>
          <w:tcPr>
            <w:tcW w:w="4540" w:type="dxa"/>
            <w:tcBorders>
              <w:top w:val="nil"/>
              <w:left w:val="nil"/>
              <w:bottom w:val="single" w:color="000000" w:sz="8" w:space="0"/>
              <w:right w:val="single" w:color="000000" w:sz="8" w:space="0"/>
            </w:tcBorders>
            <w:noWrap/>
            <w:vAlign w:val="center"/>
          </w:tcPr>
          <w:p w14:paraId="395A43BA">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《家用太阳能热水系统能效限定值及能效等级》（GB26969）</w:t>
            </w:r>
          </w:p>
        </w:tc>
      </w:tr>
      <w:tr w14:paraId="2050F1EA">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2D1EAAE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03B32A2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A020619照明设备</w:t>
            </w:r>
          </w:p>
        </w:tc>
        <w:tc>
          <w:tcPr>
            <w:tcW w:w="1320" w:type="dxa"/>
            <w:tcBorders>
              <w:top w:val="nil"/>
              <w:left w:val="nil"/>
              <w:bottom w:val="single" w:color="auto" w:sz="8" w:space="0"/>
              <w:right w:val="single" w:color="auto" w:sz="8" w:space="0"/>
            </w:tcBorders>
            <w:noWrap/>
            <w:vAlign w:val="center"/>
          </w:tcPr>
          <w:p w14:paraId="7D5E12C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★普通照明用双端荧光灯</w:t>
            </w:r>
          </w:p>
        </w:tc>
        <w:tc>
          <w:tcPr>
            <w:tcW w:w="1620" w:type="dxa"/>
            <w:tcBorders>
              <w:top w:val="nil"/>
              <w:left w:val="nil"/>
              <w:bottom w:val="single" w:color="auto" w:sz="8" w:space="0"/>
              <w:right w:val="single" w:color="auto" w:sz="8" w:space="0"/>
            </w:tcBorders>
            <w:noWrap/>
            <w:vAlign w:val="center"/>
          </w:tcPr>
          <w:p w14:paraId="496877E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5D320EF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《普通照明用双端荧光灯能效限定值及能效等级》（GB19043）</w:t>
            </w:r>
          </w:p>
        </w:tc>
      </w:tr>
      <w:tr w14:paraId="7EDFF13D">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D7C8637">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auto" w:sz="8" w:space="0"/>
              <w:bottom w:val="single" w:color="auto" w:sz="8" w:space="0"/>
              <w:right w:val="single" w:color="auto" w:sz="8" w:space="0"/>
            </w:tcBorders>
            <w:vAlign w:val="center"/>
          </w:tcPr>
          <w:p w14:paraId="1B6C251C">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auto" w:sz="8" w:space="0"/>
              <w:right w:val="single" w:color="auto" w:sz="8" w:space="0"/>
            </w:tcBorders>
            <w:noWrap/>
            <w:vAlign w:val="center"/>
          </w:tcPr>
          <w:p w14:paraId="585F480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LED道路/隧道照明产品</w:t>
            </w:r>
          </w:p>
        </w:tc>
        <w:tc>
          <w:tcPr>
            <w:tcW w:w="1620" w:type="dxa"/>
            <w:tcBorders>
              <w:top w:val="nil"/>
              <w:left w:val="nil"/>
              <w:bottom w:val="single" w:color="auto" w:sz="8" w:space="0"/>
              <w:right w:val="single" w:color="auto" w:sz="8" w:space="0"/>
            </w:tcBorders>
            <w:noWrap/>
            <w:vAlign w:val="center"/>
          </w:tcPr>
          <w:p w14:paraId="72BC0BE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09694BE2">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《道路和隧道照明用LED灯具能效限定值及能效等级》（GB37478）</w:t>
            </w:r>
          </w:p>
        </w:tc>
      </w:tr>
      <w:tr w14:paraId="3087F7D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8856FCB">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auto" w:sz="8" w:space="0"/>
              <w:bottom w:val="single" w:color="auto" w:sz="8" w:space="0"/>
              <w:right w:val="single" w:color="auto" w:sz="8" w:space="0"/>
            </w:tcBorders>
            <w:vAlign w:val="center"/>
          </w:tcPr>
          <w:p w14:paraId="2D1B4637">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auto" w:sz="8" w:space="0"/>
              <w:right w:val="single" w:color="auto" w:sz="8" w:space="0"/>
            </w:tcBorders>
            <w:noWrap/>
            <w:vAlign w:val="center"/>
          </w:tcPr>
          <w:p w14:paraId="62800C7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LED筒灯</w:t>
            </w:r>
          </w:p>
        </w:tc>
        <w:tc>
          <w:tcPr>
            <w:tcW w:w="1620" w:type="dxa"/>
            <w:tcBorders>
              <w:top w:val="nil"/>
              <w:left w:val="nil"/>
              <w:bottom w:val="single" w:color="auto" w:sz="8" w:space="0"/>
              <w:right w:val="single" w:color="auto" w:sz="8" w:space="0"/>
            </w:tcBorders>
            <w:noWrap/>
            <w:vAlign w:val="center"/>
          </w:tcPr>
          <w:p w14:paraId="11C6DFB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7DF0161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《室内照明用LED产品能效限定值及能效等级》（GB30255）</w:t>
            </w:r>
          </w:p>
        </w:tc>
      </w:tr>
      <w:tr w14:paraId="00BC14F8">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D06C452">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auto" w:sz="8" w:space="0"/>
              <w:bottom w:val="single" w:color="auto" w:sz="8" w:space="0"/>
              <w:right w:val="single" w:color="auto" w:sz="8" w:space="0"/>
            </w:tcBorders>
            <w:vAlign w:val="center"/>
          </w:tcPr>
          <w:p w14:paraId="207DA787">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auto" w:sz="8" w:space="0"/>
              <w:right w:val="single" w:color="auto" w:sz="8" w:space="0"/>
            </w:tcBorders>
            <w:noWrap/>
            <w:vAlign w:val="center"/>
          </w:tcPr>
          <w:p w14:paraId="46D15C9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普通照明用非定向自镇流LED灯</w:t>
            </w:r>
          </w:p>
        </w:tc>
        <w:tc>
          <w:tcPr>
            <w:tcW w:w="1620" w:type="dxa"/>
            <w:tcBorders>
              <w:top w:val="nil"/>
              <w:left w:val="nil"/>
              <w:bottom w:val="single" w:color="auto" w:sz="8" w:space="0"/>
              <w:right w:val="single" w:color="auto" w:sz="8" w:space="0"/>
            </w:tcBorders>
            <w:noWrap/>
            <w:vAlign w:val="center"/>
          </w:tcPr>
          <w:p w14:paraId="485C665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2FA067C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《室内照明用LED产品能效限定值及能效等级》（GB30255）</w:t>
            </w:r>
          </w:p>
        </w:tc>
      </w:tr>
      <w:tr w14:paraId="6366A8CB">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3C16A5B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1080" w:type="dxa"/>
            <w:tcBorders>
              <w:top w:val="nil"/>
              <w:left w:val="nil"/>
              <w:bottom w:val="single" w:color="auto" w:sz="8" w:space="0"/>
              <w:right w:val="single" w:color="auto" w:sz="8" w:space="0"/>
            </w:tcBorders>
            <w:noWrap/>
            <w:vAlign w:val="center"/>
          </w:tcPr>
          <w:p w14:paraId="0F4269E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★A020910电视设备</w:t>
            </w:r>
          </w:p>
        </w:tc>
        <w:tc>
          <w:tcPr>
            <w:tcW w:w="1320" w:type="dxa"/>
            <w:tcBorders>
              <w:top w:val="nil"/>
              <w:left w:val="nil"/>
              <w:bottom w:val="single" w:color="auto" w:sz="8" w:space="0"/>
              <w:right w:val="single" w:color="auto" w:sz="8" w:space="0"/>
            </w:tcBorders>
            <w:noWrap/>
            <w:vAlign w:val="center"/>
          </w:tcPr>
          <w:p w14:paraId="41A13AF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A02091001普通电视设备（电视机）</w:t>
            </w:r>
          </w:p>
        </w:tc>
        <w:tc>
          <w:tcPr>
            <w:tcW w:w="1620" w:type="dxa"/>
            <w:tcBorders>
              <w:top w:val="nil"/>
              <w:left w:val="nil"/>
              <w:bottom w:val="single" w:color="auto" w:sz="8" w:space="0"/>
              <w:right w:val="single" w:color="auto" w:sz="8" w:space="0"/>
            </w:tcBorders>
            <w:noWrap/>
            <w:vAlign w:val="center"/>
          </w:tcPr>
          <w:p w14:paraId="151364B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72F01C5A">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《平板电视能效限定值及能效等级》（GB24850）</w:t>
            </w:r>
          </w:p>
        </w:tc>
      </w:tr>
      <w:tr w14:paraId="2819C4AF">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467442E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1080" w:type="dxa"/>
            <w:tcBorders>
              <w:top w:val="nil"/>
              <w:left w:val="nil"/>
              <w:bottom w:val="single" w:color="auto" w:sz="8" w:space="0"/>
              <w:right w:val="single" w:color="auto" w:sz="8" w:space="0"/>
            </w:tcBorders>
            <w:noWrap/>
            <w:vAlign w:val="center"/>
          </w:tcPr>
          <w:p w14:paraId="6E5EE03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★A020911视频设备</w:t>
            </w:r>
          </w:p>
        </w:tc>
        <w:tc>
          <w:tcPr>
            <w:tcW w:w="1320" w:type="dxa"/>
            <w:tcBorders>
              <w:top w:val="nil"/>
              <w:left w:val="nil"/>
              <w:bottom w:val="single" w:color="auto" w:sz="8" w:space="0"/>
              <w:right w:val="single" w:color="auto" w:sz="8" w:space="0"/>
            </w:tcBorders>
            <w:noWrap/>
            <w:vAlign w:val="center"/>
          </w:tcPr>
          <w:p w14:paraId="6C60605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A02091107视频监控设备</w:t>
            </w:r>
          </w:p>
        </w:tc>
        <w:tc>
          <w:tcPr>
            <w:tcW w:w="1620" w:type="dxa"/>
            <w:tcBorders>
              <w:top w:val="nil"/>
              <w:left w:val="nil"/>
              <w:bottom w:val="single" w:color="auto" w:sz="8" w:space="0"/>
              <w:right w:val="single" w:color="auto" w:sz="8" w:space="0"/>
            </w:tcBorders>
            <w:noWrap/>
            <w:vAlign w:val="center"/>
          </w:tcPr>
          <w:p w14:paraId="14D7BB5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监视器</w:t>
            </w:r>
          </w:p>
        </w:tc>
        <w:tc>
          <w:tcPr>
            <w:tcW w:w="4540" w:type="dxa"/>
            <w:tcBorders>
              <w:top w:val="nil"/>
              <w:left w:val="nil"/>
              <w:bottom w:val="single" w:color="auto" w:sz="8" w:space="0"/>
              <w:right w:val="single" w:color="auto" w:sz="8" w:space="0"/>
            </w:tcBorders>
            <w:noWrap/>
            <w:vAlign w:val="center"/>
          </w:tcPr>
          <w:p w14:paraId="4645504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3D7F054">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01FA693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080" w:type="dxa"/>
            <w:tcBorders>
              <w:top w:val="nil"/>
              <w:left w:val="nil"/>
              <w:bottom w:val="single" w:color="auto" w:sz="8" w:space="0"/>
              <w:right w:val="single" w:color="auto" w:sz="8" w:space="0"/>
            </w:tcBorders>
            <w:noWrap/>
            <w:vAlign w:val="center"/>
          </w:tcPr>
          <w:p w14:paraId="522DD70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A031210饮食炊事机械</w:t>
            </w:r>
          </w:p>
        </w:tc>
        <w:tc>
          <w:tcPr>
            <w:tcW w:w="1320" w:type="dxa"/>
            <w:tcBorders>
              <w:top w:val="nil"/>
              <w:left w:val="nil"/>
              <w:bottom w:val="single" w:color="auto" w:sz="8" w:space="0"/>
              <w:right w:val="single" w:color="auto" w:sz="8" w:space="0"/>
            </w:tcBorders>
            <w:noWrap/>
            <w:vAlign w:val="center"/>
          </w:tcPr>
          <w:p w14:paraId="08041CD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商用燃气灶具</w:t>
            </w:r>
          </w:p>
        </w:tc>
        <w:tc>
          <w:tcPr>
            <w:tcW w:w="1620" w:type="dxa"/>
            <w:tcBorders>
              <w:top w:val="nil"/>
              <w:left w:val="nil"/>
              <w:bottom w:val="single" w:color="auto" w:sz="8" w:space="0"/>
              <w:right w:val="single" w:color="auto" w:sz="8" w:space="0"/>
            </w:tcBorders>
            <w:noWrap/>
            <w:vAlign w:val="center"/>
          </w:tcPr>
          <w:p w14:paraId="007146E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4D4A261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《商用燃气灶具能效限定值及能效等级》（GB30531）</w:t>
            </w:r>
          </w:p>
        </w:tc>
      </w:tr>
      <w:tr w14:paraId="06D3B4FB">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76F01E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67EC049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★A060805便器</w:t>
            </w:r>
          </w:p>
        </w:tc>
        <w:tc>
          <w:tcPr>
            <w:tcW w:w="1320" w:type="dxa"/>
            <w:tcBorders>
              <w:top w:val="nil"/>
              <w:left w:val="nil"/>
              <w:bottom w:val="single" w:color="auto" w:sz="8" w:space="0"/>
              <w:right w:val="single" w:color="auto" w:sz="8" w:space="0"/>
            </w:tcBorders>
            <w:noWrap/>
            <w:vAlign w:val="center"/>
          </w:tcPr>
          <w:p w14:paraId="06AC1DE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坐便器</w:t>
            </w:r>
          </w:p>
        </w:tc>
        <w:tc>
          <w:tcPr>
            <w:tcW w:w="1620" w:type="dxa"/>
            <w:tcBorders>
              <w:top w:val="nil"/>
              <w:left w:val="nil"/>
              <w:bottom w:val="single" w:color="auto" w:sz="8" w:space="0"/>
              <w:right w:val="single" w:color="auto" w:sz="8" w:space="0"/>
            </w:tcBorders>
            <w:noWrap/>
            <w:vAlign w:val="center"/>
          </w:tcPr>
          <w:p w14:paraId="67017B0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00177A21">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《坐便器水效限定值及水效等级》（GB25502）</w:t>
            </w:r>
          </w:p>
        </w:tc>
      </w:tr>
      <w:tr w14:paraId="0745361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F55E509">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6BCB052F">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auto" w:sz="8" w:space="0"/>
              <w:right w:val="single" w:color="auto" w:sz="8" w:space="0"/>
            </w:tcBorders>
            <w:noWrap/>
            <w:vAlign w:val="center"/>
          </w:tcPr>
          <w:p w14:paraId="1F84316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蹲便器</w:t>
            </w:r>
          </w:p>
        </w:tc>
        <w:tc>
          <w:tcPr>
            <w:tcW w:w="1620" w:type="dxa"/>
            <w:tcBorders>
              <w:top w:val="nil"/>
              <w:left w:val="nil"/>
              <w:bottom w:val="single" w:color="auto" w:sz="8" w:space="0"/>
              <w:right w:val="single" w:color="auto" w:sz="8" w:space="0"/>
            </w:tcBorders>
            <w:noWrap/>
            <w:vAlign w:val="center"/>
          </w:tcPr>
          <w:p w14:paraId="694D59F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389E275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《蹲便器用水效率限定值及用水效率等级》（GB30717）</w:t>
            </w:r>
          </w:p>
        </w:tc>
      </w:tr>
      <w:tr w14:paraId="36AE694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7B77CD0">
            <w:pPr>
              <w:widowControl/>
              <w:jc w:val="left"/>
              <w:rPr>
                <w:rFonts w:ascii="宋体" w:hAnsi="宋体" w:cs="宋体"/>
                <w:color w:val="000000" w:themeColor="text1"/>
                <w:kern w:val="0"/>
                <w:sz w:val="20"/>
                <w:szCs w:val="20"/>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718AC20A">
            <w:pPr>
              <w:widowControl/>
              <w:jc w:val="left"/>
              <w:rPr>
                <w:rFonts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auto" w:sz="8" w:space="0"/>
              <w:right w:val="single" w:color="auto" w:sz="8" w:space="0"/>
            </w:tcBorders>
            <w:noWrap/>
            <w:vAlign w:val="center"/>
          </w:tcPr>
          <w:p w14:paraId="649ABB8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小便器</w:t>
            </w:r>
          </w:p>
        </w:tc>
        <w:tc>
          <w:tcPr>
            <w:tcW w:w="1620" w:type="dxa"/>
            <w:tcBorders>
              <w:top w:val="nil"/>
              <w:left w:val="nil"/>
              <w:bottom w:val="single" w:color="auto" w:sz="8" w:space="0"/>
              <w:right w:val="single" w:color="auto" w:sz="8" w:space="0"/>
            </w:tcBorders>
            <w:noWrap/>
            <w:vAlign w:val="center"/>
          </w:tcPr>
          <w:p w14:paraId="5B86C65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auto" w:sz="8" w:space="0"/>
              <w:right w:val="single" w:color="auto" w:sz="8" w:space="0"/>
            </w:tcBorders>
            <w:noWrap/>
            <w:vAlign w:val="center"/>
          </w:tcPr>
          <w:p w14:paraId="2AB5748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《小便器用水效率限定值及用水效率等级》（GB28377）</w:t>
            </w:r>
          </w:p>
        </w:tc>
      </w:tr>
      <w:tr w14:paraId="6E2C2D6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E854FC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1080" w:type="dxa"/>
            <w:tcBorders>
              <w:top w:val="nil"/>
              <w:left w:val="nil"/>
              <w:bottom w:val="single" w:color="000000" w:sz="8" w:space="0"/>
              <w:right w:val="single" w:color="000000" w:sz="8" w:space="0"/>
            </w:tcBorders>
            <w:noWrap/>
            <w:vAlign w:val="center"/>
          </w:tcPr>
          <w:p w14:paraId="5A59C16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★A060806水嘴</w:t>
            </w:r>
          </w:p>
        </w:tc>
        <w:tc>
          <w:tcPr>
            <w:tcW w:w="1320" w:type="dxa"/>
            <w:tcBorders>
              <w:top w:val="nil"/>
              <w:left w:val="nil"/>
              <w:bottom w:val="single" w:color="000000" w:sz="8" w:space="0"/>
              <w:right w:val="single" w:color="000000" w:sz="8" w:space="0"/>
            </w:tcBorders>
            <w:noWrap/>
            <w:vAlign w:val="center"/>
          </w:tcPr>
          <w:p w14:paraId="49A2EE3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noWrap/>
            <w:vAlign w:val="center"/>
          </w:tcPr>
          <w:p w14:paraId="2E477D5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0BB54BB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《水嘴用水效率限定值及用水效率等级》（GB 25501）</w:t>
            </w:r>
          </w:p>
        </w:tc>
      </w:tr>
      <w:tr w14:paraId="6453B96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7EF828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17</w:t>
            </w:r>
          </w:p>
        </w:tc>
        <w:tc>
          <w:tcPr>
            <w:tcW w:w="1080" w:type="dxa"/>
            <w:tcBorders>
              <w:top w:val="nil"/>
              <w:left w:val="nil"/>
              <w:bottom w:val="single" w:color="000000" w:sz="8" w:space="0"/>
              <w:right w:val="single" w:color="000000" w:sz="8" w:space="0"/>
            </w:tcBorders>
            <w:noWrap/>
            <w:vAlign w:val="center"/>
          </w:tcPr>
          <w:p w14:paraId="05D448B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A060807便器冲洗阀</w:t>
            </w:r>
          </w:p>
        </w:tc>
        <w:tc>
          <w:tcPr>
            <w:tcW w:w="1320" w:type="dxa"/>
            <w:tcBorders>
              <w:top w:val="nil"/>
              <w:left w:val="nil"/>
              <w:bottom w:val="single" w:color="000000" w:sz="8" w:space="0"/>
              <w:right w:val="single" w:color="000000" w:sz="8" w:space="0"/>
            </w:tcBorders>
            <w:noWrap/>
            <w:vAlign w:val="center"/>
          </w:tcPr>
          <w:p w14:paraId="6A2784E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noWrap/>
            <w:vAlign w:val="center"/>
          </w:tcPr>
          <w:p w14:paraId="373E1A6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5A74F4D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《便器冲洗阀用水效率限定值及用水效率等级》（GB28379）</w:t>
            </w:r>
          </w:p>
        </w:tc>
      </w:tr>
      <w:tr w14:paraId="29FD8152">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2B03D92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1080" w:type="dxa"/>
            <w:tcBorders>
              <w:top w:val="nil"/>
              <w:left w:val="nil"/>
              <w:bottom w:val="single" w:color="000000" w:sz="8" w:space="0"/>
              <w:right w:val="single" w:color="000000" w:sz="8" w:space="0"/>
            </w:tcBorders>
            <w:noWrap/>
            <w:vAlign w:val="center"/>
          </w:tcPr>
          <w:p w14:paraId="115E6F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A060810淋浴器</w:t>
            </w:r>
          </w:p>
        </w:tc>
        <w:tc>
          <w:tcPr>
            <w:tcW w:w="1320" w:type="dxa"/>
            <w:tcBorders>
              <w:top w:val="nil"/>
              <w:left w:val="nil"/>
              <w:bottom w:val="single" w:color="000000" w:sz="8" w:space="0"/>
              <w:right w:val="single" w:color="000000" w:sz="8" w:space="0"/>
            </w:tcBorders>
            <w:noWrap/>
            <w:vAlign w:val="center"/>
          </w:tcPr>
          <w:p w14:paraId="56FC72C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noWrap/>
            <w:vAlign w:val="center"/>
          </w:tcPr>
          <w:p w14:paraId="72EBF06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noWrap/>
            <w:vAlign w:val="center"/>
          </w:tcPr>
          <w:p w14:paraId="26EC2BDA">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《淋浴器用水效率限定值及用水效率等级》（GB28378）</w:t>
            </w:r>
          </w:p>
        </w:tc>
      </w:tr>
    </w:tbl>
    <w:p w14:paraId="15BF3B2E">
      <w:pPr>
        <w:widowControl/>
        <w:rPr>
          <w:rFonts w:ascii="宋体" w:hAnsi="宋体" w:cs="宋体"/>
          <w:color w:val="000000" w:themeColor="text1"/>
          <w:sz w:val="20"/>
          <w:szCs w:val="20"/>
          <w14:textFill>
            <w14:solidFill>
              <w14:schemeClr w14:val="tx1"/>
            </w14:solidFill>
          </w14:textFill>
        </w:rPr>
      </w:pPr>
    </w:p>
    <w:p w14:paraId="631CF054">
      <w:pPr>
        <w:pStyle w:val="19"/>
        <w:spacing w:after="0" w:line="360" w:lineRule="exact"/>
        <w:rPr>
          <w:rFonts w:hAnsi="宋体"/>
          <w:color w:val="000000" w:themeColor="text1"/>
          <w:sz w:val="21"/>
          <w:szCs w:val="21"/>
          <w14:textFill>
            <w14:solidFill>
              <w14:schemeClr w14:val="tx1"/>
            </w14:solidFill>
          </w14:textFill>
        </w:rPr>
      </w:pPr>
      <w:r>
        <w:rPr>
          <w:rFonts w:hint="eastAsia"/>
          <w:color w:val="000000" w:themeColor="text1"/>
          <w:spacing w:val="-3"/>
          <w:sz w:val="21"/>
          <w:szCs w:val="21"/>
          <w14:textFill>
            <w14:solidFill>
              <w14:schemeClr w14:val="tx1"/>
            </w14:solidFill>
          </w14:textFill>
        </w:rPr>
        <w:t>注：</w:t>
      </w:r>
      <w:r>
        <w:rPr>
          <w:color w:val="000000" w:themeColor="text1"/>
          <w:spacing w:val="-3"/>
          <w:sz w:val="21"/>
          <w:szCs w:val="21"/>
          <w14:textFill>
            <w14:solidFill>
              <w14:schemeClr w14:val="tx1"/>
            </w14:solidFill>
          </w14:textFill>
        </w:rPr>
        <w:t>1.</w:t>
      </w:r>
      <w:r>
        <w:rPr>
          <w:rFonts w:hint="eastAsia"/>
          <w:color w:val="000000" w:themeColor="text1"/>
          <w:spacing w:val="-3"/>
          <w:sz w:val="21"/>
          <w:szCs w:val="21"/>
          <w14:textFill>
            <w14:solidFill>
              <w14:schemeClr w14:val="tx1"/>
            </w14:solidFill>
          </w14:textFill>
        </w:rPr>
        <w:t>节能产品认证应依据相关国家标准的最新版本，依据国家标准中二级能效（水效）</w:t>
      </w:r>
      <w:r>
        <w:rPr>
          <w:rFonts w:hint="eastAsia"/>
          <w:color w:val="000000" w:themeColor="text1"/>
          <w:sz w:val="21"/>
          <w:szCs w:val="21"/>
          <w14:textFill>
            <w14:solidFill>
              <w14:schemeClr w14:val="tx1"/>
            </w14:solidFill>
          </w14:textFill>
        </w:rPr>
        <w:t>指标。</w:t>
      </w:r>
    </w:p>
    <w:p w14:paraId="4B6BF980">
      <w:pPr>
        <w:spacing w:line="360" w:lineRule="exact"/>
        <w:ind w:firstLine="420" w:firstLineChars="200"/>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以</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标注的为政府强制采购产品。</w:t>
      </w:r>
      <w:r>
        <w:rPr>
          <w:rFonts w:hAnsi="宋体"/>
          <w:color w:val="000000" w:themeColor="text1"/>
          <w14:textFill>
            <w14:solidFill>
              <w14:schemeClr w14:val="tx1"/>
            </w14:solidFill>
          </w14:textFill>
        </w:rPr>
        <w:br w:type="page"/>
      </w:r>
    </w:p>
    <w:p w14:paraId="6B874269">
      <w:pPr>
        <w:pStyle w:val="19"/>
        <w:spacing w:line="360" w:lineRule="auto"/>
        <w:rPr>
          <w:rFonts w:ascii="Arial Unicode MS" w:hAnsi="Arial Unicode MS" w:eastAsia="Arial Unicode MS" w:cs="Arial Unicode MS"/>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附件</w:t>
      </w:r>
      <w:r>
        <w:rPr>
          <w:rFonts w:hint="eastAsia" w:ascii="Arial Unicode MS" w:hAnsi="Arial Unicode MS" w:eastAsia="Arial Unicode MS" w:cs="Arial Unicode MS"/>
          <w:color w:val="000000" w:themeColor="text1"/>
          <w:sz w:val="28"/>
          <w:szCs w:val="28"/>
          <w14:textFill>
            <w14:solidFill>
              <w14:schemeClr w14:val="tx1"/>
            </w14:solidFill>
          </w14:textFill>
        </w:rPr>
        <w:t>2</w:t>
      </w:r>
      <w:r>
        <w:rPr>
          <w:rFonts w:hint="eastAsia" w:ascii="微软雅黑" w:hAnsi="微软雅黑" w:eastAsia="微软雅黑" w:cs="微软雅黑"/>
          <w:color w:val="000000" w:themeColor="text1"/>
          <w:sz w:val="28"/>
          <w:szCs w:val="28"/>
          <w14:textFill>
            <w14:solidFill>
              <w14:schemeClr w14:val="tx1"/>
            </w14:solidFill>
          </w14:textFill>
        </w:rPr>
        <w:t>：</w:t>
      </w:r>
    </w:p>
    <w:p w14:paraId="1FA83F60">
      <w:pPr>
        <w:spacing w:line="528" w:lineRule="exact"/>
        <w:jc w:val="center"/>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中小微企业划型标准</w:t>
      </w:r>
    </w:p>
    <w:tbl>
      <w:tblPr>
        <w:tblStyle w:val="37"/>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3AA7BA62">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20554B3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行业名称</w:t>
            </w:r>
          </w:p>
        </w:tc>
        <w:tc>
          <w:tcPr>
            <w:tcW w:w="1383" w:type="dxa"/>
            <w:tcBorders>
              <w:top w:val="single" w:color="auto" w:sz="4" w:space="0"/>
              <w:left w:val="nil"/>
              <w:bottom w:val="single" w:color="auto" w:sz="4" w:space="0"/>
              <w:right w:val="single" w:color="auto" w:sz="4" w:space="0"/>
            </w:tcBorders>
            <w:noWrap/>
            <w:vAlign w:val="center"/>
          </w:tcPr>
          <w:p w14:paraId="1E880A1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指标名称</w:t>
            </w:r>
          </w:p>
        </w:tc>
        <w:tc>
          <w:tcPr>
            <w:tcW w:w="865" w:type="dxa"/>
            <w:tcBorders>
              <w:top w:val="single" w:color="auto" w:sz="4" w:space="0"/>
              <w:left w:val="nil"/>
              <w:bottom w:val="single" w:color="auto" w:sz="4" w:space="0"/>
              <w:right w:val="single" w:color="auto" w:sz="4" w:space="0"/>
            </w:tcBorders>
            <w:noWrap/>
            <w:vAlign w:val="center"/>
          </w:tcPr>
          <w:p w14:paraId="63F46E2E">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计量单位</w:t>
            </w:r>
          </w:p>
        </w:tc>
        <w:tc>
          <w:tcPr>
            <w:tcW w:w="2097" w:type="dxa"/>
            <w:tcBorders>
              <w:top w:val="single" w:color="auto" w:sz="4" w:space="0"/>
              <w:left w:val="nil"/>
              <w:bottom w:val="single" w:color="auto" w:sz="4" w:space="0"/>
              <w:right w:val="single" w:color="auto" w:sz="4" w:space="0"/>
            </w:tcBorders>
            <w:noWrap/>
            <w:vAlign w:val="center"/>
          </w:tcPr>
          <w:p w14:paraId="37F0EE6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中型</w:t>
            </w:r>
          </w:p>
        </w:tc>
        <w:tc>
          <w:tcPr>
            <w:tcW w:w="2105" w:type="dxa"/>
            <w:tcBorders>
              <w:top w:val="single" w:color="auto" w:sz="4" w:space="0"/>
              <w:left w:val="nil"/>
              <w:bottom w:val="single" w:color="auto" w:sz="4" w:space="0"/>
              <w:right w:val="single" w:color="auto" w:sz="4" w:space="0"/>
            </w:tcBorders>
            <w:noWrap/>
            <w:vAlign w:val="center"/>
          </w:tcPr>
          <w:p w14:paraId="2F788A8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小型</w:t>
            </w:r>
          </w:p>
        </w:tc>
        <w:tc>
          <w:tcPr>
            <w:tcW w:w="1361" w:type="dxa"/>
            <w:tcBorders>
              <w:top w:val="single" w:color="auto" w:sz="4" w:space="0"/>
              <w:left w:val="nil"/>
              <w:bottom w:val="single" w:color="auto" w:sz="4" w:space="0"/>
              <w:right w:val="single" w:color="auto" w:sz="4" w:space="0"/>
            </w:tcBorders>
            <w:noWrap/>
            <w:vAlign w:val="center"/>
          </w:tcPr>
          <w:p w14:paraId="3185AA8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微型</w:t>
            </w:r>
          </w:p>
        </w:tc>
      </w:tr>
      <w:tr w14:paraId="21A2725D">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5C6A956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农、林、牧、渔</w:t>
            </w:r>
          </w:p>
        </w:tc>
        <w:tc>
          <w:tcPr>
            <w:tcW w:w="1383" w:type="dxa"/>
            <w:tcBorders>
              <w:top w:val="nil"/>
              <w:left w:val="nil"/>
              <w:bottom w:val="single" w:color="auto" w:sz="4" w:space="0"/>
              <w:right w:val="single" w:color="auto" w:sz="4" w:space="0"/>
            </w:tcBorders>
            <w:noWrap/>
            <w:vAlign w:val="center"/>
          </w:tcPr>
          <w:p w14:paraId="247CD86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11F2231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3D61512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500≤Y＜20000</w:t>
            </w:r>
          </w:p>
        </w:tc>
        <w:tc>
          <w:tcPr>
            <w:tcW w:w="2105" w:type="dxa"/>
            <w:tcBorders>
              <w:top w:val="nil"/>
              <w:left w:val="nil"/>
              <w:bottom w:val="single" w:color="auto" w:sz="4" w:space="0"/>
              <w:right w:val="single" w:color="auto" w:sz="4" w:space="0"/>
            </w:tcBorders>
            <w:noWrap/>
            <w:vAlign w:val="center"/>
          </w:tcPr>
          <w:p w14:paraId="477260B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50≤Y＜500</w:t>
            </w:r>
          </w:p>
        </w:tc>
        <w:tc>
          <w:tcPr>
            <w:tcW w:w="1361" w:type="dxa"/>
            <w:tcBorders>
              <w:top w:val="nil"/>
              <w:left w:val="nil"/>
              <w:bottom w:val="single" w:color="auto" w:sz="4" w:space="0"/>
              <w:right w:val="single" w:color="auto" w:sz="4" w:space="0"/>
            </w:tcBorders>
            <w:noWrap/>
            <w:vAlign w:val="center"/>
          </w:tcPr>
          <w:p w14:paraId="400BAC3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Y＜50</w:t>
            </w:r>
          </w:p>
        </w:tc>
      </w:tr>
      <w:tr w14:paraId="4EDFB24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0E7331E">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工业</w:t>
            </w:r>
          </w:p>
        </w:tc>
        <w:tc>
          <w:tcPr>
            <w:tcW w:w="1383" w:type="dxa"/>
            <w:tcBorders>
              <w:top w:val="nil"/>
              <w:left w:val="nil"/>
              <w:bottom w:val="single" w:color="auto" w:sz="4" w:space="0"/>
              <w:right w:val="single" w:color="auto" w:sz="4" w:space="0"/>
            </w:tcBorders>
            <w:noWrap/>
            <w:vAlign w:val="center"/>
          </w:tcPr>
          <w:p w14:paraId="786DA57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5E1D00F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003DFD2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300≤X＜1000</w:t>
            </w:r>
          </w:p>
        </w:tc>
        <w:tc>
          <w:tcPr>
            <w:tcW w:w="2105" w:type="dxa"/>
            <w:tcBorders>
              <w:top w:val="nil"/>
              <w:left w:val="nil"/>
              <w:bottom w:val="single" w:color="auto" w:sz="4" w:space="0"/>
              <w:right w:val="single" w:color="auto" w:sz="4" w:space="0"/>
            </w:tcBorders>
            <w:noWrap/>
            <w:vAlign w:val="center"/>
          </w:tcPr>
          <w:p w14:paraId="474ED11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20≤X＜300</w:t>
            </w:r>
          </w:p>
        </w:tc>
        <w:tc>
          <w:tcPr>
            <w:tcW w:w="1361" w:type="dxa"/>
            <w:tcBorders>
              <w:top w:val="nil"/>
              <w:left w:val="nil"/>
              <w:bottom w:val="single" w:color="auto" w:sz="4" w:space="0"/>
              <w:right w:val="single" w:color="auto" w:sz="4" w:space="0"/>
            </w:tcBorders>
            <w:noWrap/>
            <w:vAlign w:val="center"/>
          </w:tcPr>
          <w:p w14:paraId="524863B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X＜20</w:t>
            </w:r>
          </w:p>
        </w:tc>
      </w:tr>
      <w:tr w14:paraId="28C3583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05842F9">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5AC9878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1000024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29758D2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2000≤Y＜40000</w:t>
            </w:r>
          </w:p>
        </w:tc>
        <w:tc>
          <w:tcPr>
            <w:tcW w:w="2105" w:type="dxa"/>
            <w:tcBorders>
              <w:top w:val="nil"/>
              <w:left w:val="nil"/>
              <w:bottom w:val="single" w:color="auto" w:sz="4" w:space="0"/>
              <w:right w:val="single" w:color="auto" w:sz="4" w:space="0"/>
            </w:tcBorders>
            <w:noWrap/>
            <w:vAlign w:val="center"/>
          </w:tcPr>
          <w:p w14:paraId="159419D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300≤Y＜2000</w:t>
            </w:r>
          </w:p>
        </w:tc>
        <w:tc>
          <w:tcPr>
            <w:tcW w:w="1361" w:type="dxa"/>
            <w:tcBorders>
              <w:top w:val="nil"/>
              <w:left w:val="nil"/>
              <w:bottom w:val="single" w:color="auto" w:sz="4" w:space="0"/>
              <w:right w:val="single" w:color="auto" w:sz="4" w:space="0"/>
            </w:tcBorders>
            <w:noWrap/>
            <w:vAlign w:val="center"/>
          </w:tcPr>
          <w:p w14:paraId="679A410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Y＜300</w:t>
            </w:r>
          </w:p>
        </w:tc>
      </w:tr>
      <w:tr w14:paraId="0FB063B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4E227C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建筑业</w:t>
            </w:r>
          </w:p>
        </w:tc>
        <w:tc>
          <w:tcPr>
            <w:tcW w:w="1383" w:type="dxa"/>
            <w:tcBorders>
              <w:top w:val="nil"/>
              <w:left w:val="nil"/>
              <w:bottom w:val="single" w:color="auto" w:sz="4" w:space="0"/>
              <w:right w:val="single" w:color="auto" w:sz="4" w:space="0"/>
            </w:tcBorders>
            <w:noWrap/>
            <w:vAlign w:val="center"/>
          </w:tcPr>
          <w:p w14:paraId="69E3E42C">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26ADB56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6CBB2DF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6000≤Y＜80000</w:t>
            </w:r>
          </w:p>
        </w:tc>
        <w:tc>
          <w:tcPr>
            <w:tcW w:w="2105" w:type="dxa"/>
            <w:tcBorders>
              <w:top w:val="nil"/>
              <w:left w:val="nil"/>
              <w:bottom w:val="single" w:color="auto" w:sz="4" w:space="0"/>
              <w:right w:val="single" w:color="auto" w:sz="4" w:space="0"/>
            </w:tcBorders>
            <w:noWrap/>
            <w:vAlign w:val="center"/>
          </w:tcPr>
          <w:p w14:paraId="64A2716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300≤Y＜6000</w:t>
            </w:r>
          </w:p>
        </w:tc>
        <w:tc>
          <w:tcPr>
            <w:tcW w:w="1361" w:type="dxa"/>
            <w:tcBorders>
              <w:top w:val="nil"/>
              <w:left w:val="nil"/>
              <w:bottom w:val="single" w:color="auto" w:sz="4" w:space="0"/>
              <w:right w:val="single" w:color="auto" w:sz="4" w:space="0"/>
            </w:tcBorders>
            <w:noWrap/>
            <w:vAlign w:val="center"/>
          </w:tcPr>
          <w:p w14:paraId="4F71CF0C">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Y＜300</w:t>
            </w:r>
          </w:p>
        </w:tc>
      </w:tr>
      <w:tr w14:paraId="4964F5C9">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C8F0119">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4B03E70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资产总额（Z）</w:t>
            </w:r>
          </w:p>
        </w:tc>
        <w:tc>
          <w:tcPr>
            <w:tcW w:w="865" w:type="dxa"/>
            <w:tcBorders>
              <w:top w:val="nil"/>
              <w:left w:val="nil"/>
              <w:bottom w:val="single" w:color="auto" w:sz="4" w:space="0"/>
              <w:right w:val="single" w:color="auto" w:sz="4" w:space="0"/>
            </w:tcBorders>
            <w:noWrap/>
            <w:vAlign w:val="center"/>
          </w:tcPr>
          <w:p w14:paraId="10E98CA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28C6286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5000≤Z＜80000</w:t>
            </w:r>
          </w:p>
        </w:tc>
        <w:tc>
          <w:tcPr>
            <w:tcW w:w="2105" w:type="dxa"/>
            <w:tcBorders>
              <w:top w:val="nil"/>
              <w:left w:val="nil"/>
              <w:bottom w:val="single" w:color="auto" w:sz="4" w:space="0"/>
              <w:right w:val="single" w:color="auto" w:sz="4" w:space="0"/>
            </w:tcBorders>
            <w:noWrap/>
            <w:vAlign w:val="center"/>
          </w:tcPr>
          <w:p w14:paraId="1EBE654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300≤Z＜5000</w:t>
            </w:r>
          </w:p>
        </w:tc>
        <w:tc>
          <w:tcPr>
            <w:tcW w:w="1361" w:type="dxa"/>
            <w:tcBorders>
              <w:top w:val="nil"/>
              <w:left w:val="nil"/>
              <w:bottom w:val="single" w:color="auto" w:sz="4" w:space="0"/>
              <w:right w:val="single" w:color="auto" w:sz="4" w:space="0"/>
            </w:tcBorders>
            <w:noWrap/>
            <w:vAlign w:val="center"/>
          </w:tcPr>
          <w:p w14:paraId="4C7EB6E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Z＜300</w:t>
            </w:r>
          </w:p>
        </w:tc>
      </w:tr>
      <w:tr w14:paraId="5261B84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27C149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批发业</w:t>
            </w:r>
          </w:p>
        </w:tc>
        <w:tc>
          <w:tcPr>
            <w:tcW w:w="1383" w:type="dxa"/>
            <w:tcBorders>
              <w:top w:val="nil"/>
              <w:left w:val="nil"/>
              <w:bottom w:val="single" w:color="auto" w:sz="4" w:space="0"/>
              <w:right w:val="single" w:color="auto" w:sz="4" w:space="0"/>
            </w:tcBorders>
            <w:noWrap/>
            <w:vAlign w:val="center"/>
          </w:tcPr>
          <w:p w14:paraId="002E3A3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4097E9F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3FB3E09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20≤X＜200</w:t>
            </w:r>
          </w:p>
        </w:tc>
        <w:tc>
          <w:tcPr>
            <w:tcW w:w="2105" w:type="dxa"/>
            <w:tcBorders>
              <w:top w:val="nil"/>
              <w:left w:val="nil"/>
              <w:bottom w:val="single" w:color="auto" w:sz="4" w:space="0"/>
              <w:right w:val="single" w:color="auto" w:sz="4" w:space="0"/>
            </w:tcBorders>
            <w:noWrap/>
            <w:vAlign w:val="center"/>
          </w:tcPr>
          <w:p w14:paraId="0E90BA4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5≤X＜20</w:t>
            </w:r>
          </w:p>
        </w:tc>
        <w:tc>
          <w:tcPr>
            <w:tcW w:w="1361" w:type="dxa"/>
            <w:tcBorders>
              <w:top w:val="nil"/>
              <w:left w:val="nil"/>
              <w:bottom w:val="single" w:color="auto" w:sz="4" w:space="0"/>
              <w:right w:val="single" w:color="auto" w:sz="4" w:space="0"/>
            </w:tcBorders>
            <w:noWrap/>
            <w:vAlign w:val="center"/>
          </w:tcPr>
          <w:p w14:paraId="328853A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X＜5</w:t>
            </w:r>
          </w:p>
        </w:tc>
      </w:tr>
      <w:tr w14:paraId="713CD9A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94EDFC0">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77770FFE">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624D187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618723C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5000≤Y＜40000</w:t>
            </w:r>
          </w:p>
        </w:tc>
        <w:tc>
          <w:tcPr>
            <w:tcW w:w="2105" w:type="dxa"/>
            <w:tcBorders>
              <w:top w:val="nil"/>
              <w:left w:val="nil"/>
              <w:bottom w:val="single" w:color="auto" w:sz="4" w:space="0"/>
              <w:right w:val="single" w:color="auto" w:sz="4" w:space="0"/>
            </w:tcBorders>
            <w:noWrap/>
            <w:vAlign w:val="center"/>
          </w:tcPr>
          <w:p w14:paraId="28F0737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1000≤Y＜5000</w:t>
            </w:r>
          </w:p>
        </w:tc>
        <w:tc>
          <w:tcPr>
            <w:tcW w:w="1361" w:type="dxa"/>
            <w:tcBorders>
              <w:top w:val="nil"/>
              <w:left w:val="nil"/>
              <w:bottom w:val="single" w:color="auto" w:sz="4" w:space="0"/>
              <w:right w:val="single" w:color="auto" w:sz="4" w:space="0"/>
            </w:tcBorders>
            <w:noWrap/>
            <w:vAlign w:val="center"/>
          </w:tcPr>
          <w:p w14:paraId="067F15B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Y＜1000</w:t>
            </w:r>
          </w:p>
        </w:tc>
      </w:tr>
      <w:tr w14:paraId="537EE476">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8E4CF6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零售业</w:t>
            </w:r>
          </w:p>
        </w:tc>
        <w:tc>
          <w:tcPr>
            <w:tcW w:w="1383" w:type="dxa"/>
            <w:tcBorders>
              <w:top w:val="nil"/>
              <w:left w:val="nil"/>
              <w:bottom w:val="single" w:color="auto" w:sz="4" w:space="0"/>
              <w:right w:val="single" w:color="auto" w:sz="4" w:space="0"/>
            </w:tcBorders>
            <w:noWrap/>
            <w:vAlign w:val="center"/>
          </w:tcPr>
          <w:p w14:paraId="4165DDE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3AE8FAA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3E65E39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50≤X＜300</w:t>
            </w:r>
          </w:p>
        </w:tc>
        <w:tc>
          <w:tcPr>
            <w:tcW w:w="2105" w:type="dxa"/>
            <w:tcBorders>
              <w:top w:val="nil"/>
              <w:left w:val="nil"/>
              <w:bottom w:val="single" w:color="auto" w:sz="4" w:space="0"/>
              <w:right w:val="single" w:color="auto" w:sz="4" w:space="0"/>
            </w:tcBorders>
            <w:noWrap/>
            <w:vAlign w:val="center"/>
          </w:tcPr>
          <w:p w14:paraId="356B10E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10≤X＜50</w:t>
            </w:r>
          </w:p>
        </w:tc>
        <w:tc>
          <w:tcPr>
            <w:tcW w:w="1361" w:type="dxa"/>
            <w:tcBorders>
              <w:top w:val="nil"/>
              <w:left w:val="nil"/>
              <w:bottom w:val="single" w:color="auto" w:sz="4" w:space="0"/>
              <w:right w:val="single" w:color="auto" w:sz="4" w:space="0"/>
            </w:tcBorders>
            <w:noWrap/>
            <w:vAlign w:val="center"/>
          </w:tcPr>
          <w:p w14:paraId="28E75A1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r w14:paraId="52D8306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85718CD">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03FF626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274E36A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1D031A3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500≤Y＜20000</w:t>
            </w:r>
          </w:p>
        </w:tc>
        <w:tc>
          <w:tcPr>
            <w:tcW w:w="2105" w:type="dxa"/>
            <w:tcBorders>
              <w:top w:val="nil"/>
              <w:left w:val="nil"/>
              <w:bottom w:val="single" w:color="auto" w:sz="4" w:space="0"/>
              <w:right w:val="single" w:color="auto" w:sz="4" w:space="0"/>
            </w:tcBorders>
            <w:noWrap/>
            <w:vAlign w:val="center"/>
          </w:tcPr>
          <w:p w14:paraId="28ECAA0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100≤Y＜500</w:t>
            </w:r>
          </w:p>
        </w:tc>
        <w:tc>
          <w:tcPr>
            <w:tcW w:w="1361" w:type="dxa"/>
            <w:tcBorders>
              <w:top w:val="nil"/>
              <w:left w:val="nil"/>
              <w:bottom w:val="single" w:color="auto" w:sz="4" w:space="0"/>
              <w:right w:val="single" w:color="auto" w:sz="4" w:space="0"/>
            </w:tcBorders>
            <w:noWrap/>
            <w:vAlign w:val="center"/>
          </w:tcPr>
          <w:p w14:paraId="5269C73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003753E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A6E635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交通运输业</w:t>
            </w:r>
          </w:p>
        </w:tc>
        <w:tc>
          <w:tcPr>
            <w:tcW w:w="1383" w:type="dxa"/>
            <w:tcBorders>
              <w:top w:val="nil"/>
              <w:left w:val="nil"/>
              <w:bottom w:val="single" w:color="auto" w:sz="4" w:space="0"/>
              <w:right w:val="single" w:color="auto" w:sz="4" w:space="0"/>
            </w:tcBorders>
            <w:noWrap/>
            <w:vAlign w:val="center"/>
          </w:tcPr>
          <w:p w14:paraId="5F4FF72E">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75D323F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16D0E96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300≤X＜1000</w:t>
            </w:r>
          </w:p>
        </w:tc>
        <w:tc>
          <w:tcPr>
            <w:tcW w:w="2105" w:type="dxa"/>
            <w:tcBorders>
              <w:top w:val="nil"/>
              <w:left w:val="nil"/>
              <w:bottom w:val="single" w:color="auto" w:sz="4" w:space="0"/>
              <w:right w:val="single" w:color="auto" w:sz="4" w:space="0"/>
            </w:tcBorders>
            <w:noWrap/>
            <w:vAlign w:val="center"/>
          </w:tcPr>
          <w:p w14:paraId="08BF289C">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20≤X＜300</w:t>
            </w:r>
          </w:p>
        </w:tc>
        <w:tc>
          <w:tcPr>
            <w:tcW w:w="1361" w:type="dxa"/>
            <w:tcBorders>
              <w:top w:val="nil"/>
              <w:left w:val="nil"/>
              <w:bottom w:val="single" w:color="auto" w:sz="4" w:space="0"/>
              <w:right w:val="single" w:color="auto" w:sz="4" w:space="0"/>
            </w:tcBorders>
            <w:noWrap/>
            <w:vAlign w:val="center"/>
          </w:tcPr>
          <w:p w14:paraId="1C65270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X＜20</w:t>
            </w:r>
          </w:p>
        </w:tc>
      </w:tr>
      <w:tr w14:paraId="5D17DAAE">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549588D">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0087FAD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5527E07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4092B8D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3000≤Y＜30000</w:t>
            </w:r>
          </w:p>
        </w:tc>
        <w:tc>
          <w:tcPr>
            <w:tcW w:w="2105" w:type="dxa"/>
            <w:tcBorders>
              <w:top w:val="nil"/>
              <w:left w:val="nil"/>
              <w:bottom w:val="single" w:color="auto" w:sz="4" w:space="0"/>
              <w:right w:val="single" w:color="auto" w:sz="4" w:space="0"/>
            </w:tcBorders>
            <w:noWrap/>
            <w:vAlign w:val="center"/>
          </w:tcPr>
          <w:p w14:paraId="66D118F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200≤Y＜3000</w:t>
            </w:r>
          </w:p>
        </w:tc>
        <w:tc>
          <w:tcPr>
            <w:tcW w:w="1361" w:type="dxa"/>
            <w:tcBorders>
              <w:top w:val="nil"/>
              <w:left w:val="nil"/>
              <w:bottom w:val="single" w:color="auto" w:sz="4" w:space="0"/>
              <w:right w:val="single" w:color="auto" w:sz="4" w:space="0"/>
            </w:tcBorders>
            <w:noWrap/>
            <w:vAlign w:val="center"/>
          </w:tcPr>
          <w:p w14:paraId="7A5965FE">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Y＜200</w:t>
            </w:r>
          </w:p>
        </w:tc>
      </w:tr>
      <w:tr w14:paraId="7DAF72A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9D358C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仓储业</w:t>
            </w:r>
          </w:p>
        </w:tc>
        <w:tc>
          <w:tcPr>
            <w:tcW w:w="1383" w:type="dxa"/>
            <w:tcBorders>
              <w:top w:val="nil"/>
              <w:left w:val="nil"/>
              <w:bottom w:val="single" w:color="auto" w:sz="4" w:space="0"/>
              <w:right w:val="single" w:color="auto" w:sz="4" w:space="0"/>
            </w:tcBorders>
            <w:noWrap/>
            <w:vAlign w:val="center"/>
          </w:tcPr>
          <w:p w14:paraId="62FF3D2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29E4BAE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121B8A7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100≤X＜200</w:t>
            </w:r>
          </w:p>
        </w:tc>
        <w:tc>
          <w:tcPr>
            <w:tcW w:w="2105" w:type="dxa"/>
            <w:tcBorders>
              <w:top w:val="nil"/>
              <w:left w:val="nil"/>
              <w:bottom w:val="single" w:color="auto" w:sz="4" w:space="0"/>
              <w:right w:val="single" w:color="auto" w:sz="4" w:space="0"/>
            </w:tcBorders>
            <w:noWrap/>
            <w:vAlign w:val="center"/>
          </w:tcPr>
          <w:p w14:paraId="09ACBEF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20≤X＜100</w:t>
            </w:r>
          </w:p>
        </w:tc>
        <w:tc>
          <w:tcPr>
            <w:tcW w:w="1361" w:type="dxa"/>
            <w:tcBorders>
              <w:top w:val="nil"/>
              <w:left w:val="nil"/>
              <w:bottom w:val="single" w:color="auto" w:sz="4" w:space="0"/>
              <w:right w:val="single" w:color="auto" w:sz="4" w:space="0"/>
            </w:tcBorders>
            <w:noWrap/>
            <w:vAlign w:val="center"/>
          </w:tcPr>
          <w:p w14:paraId="5773805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X＜20</w:t>
            </w:r>
          </w:p>
        </w:tc>
      </w:tr>
      <w:tr w14:paraId="0566805D">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1C87E32">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516C98B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4800DD7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2477637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1000≤Y＜30000</w:t>
            </w:r>
          </w:p>
        </w:tc>
        <w:tc>
          <w:tcPr>
            <w:tcW w:w="2105" w:type="dxa"/>
            <w:tcBorders>
              <w:top w:val="nil"/>
              <w:left w:val="nil"/>
              <w:bottom w:val="single" w:color="auto" w:sz="4" w:space="0"/>
              <w:right w:val="single" w:color="auto" w:sz="4" w:space="0"/>
            </w:tcBorders>
            <w:noWrap/>
            <w:vAlign w:val="center"/>
          </w:tcPr>
          <w:p w14:paraId="19958C0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100≤Y＜1000</w:t>
            </w:r>
          </w:p>
        </w:tc>
        <w:tc>
          <w:tcPr>
            <w:tcW w:w="1361" w:type="dxa"/>
            <w:tcBorders>
              <w:top w:val="nil"/>
              <w:left w:val="nil"/>
              <w:bottom w:val="single" w:color="auto" w:sz="4" w:space="0"/>
              <w:right w:val="single" w:color="auto" w:sz="4" w:space="0"/>
            </w:tcBorders>
            <w:noWrap/>
            <w:vAlign w:val="center"/>
          </w:tcPr>
          <w:p w14:paraId="45FBF51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3776492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E5327A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邮政业</w:t>
            </w:r>
          </w:p>
        </w:tc>
        <w:tc>
          <w:tcPr>
            <w:tcW w:w="1383" w:type="dxa"/>
            <w:tcBorders>
              <w:top w:val="nil"/>
              <w:left w:val="nil"/>
              <w:bottom w:val="single" w:color="auto" w:sz="4" w:space="0"/>
              <w:right w:val="single" w:color="auto" w:sz="4" w:space="0"/>
            </w:tcBorders>
            <w:noWrap/>
            <w:vAlign w:val="center"/>
          </w:tcPr>
          <w:p w14:paraId="014C58D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2212CCD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413BD35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300≤X＜1000</w:t>
            </w:r>
          </w:p>
        </w:tc>
        <w:tc>
          <w:tcPr>
            <w:tcW w:w="2105" w:type="dxa"/>
            <w:tcBorders>
              <w:top w:val="nil"/>
              <w:left w:val="nil"/>
              <w:bottom w:val="single" w:color="auto" w:sz="4" w:space="0"/>
              <w:right w:val="single" w:color="auto" w:sz="4" w:space="0"/>
            </w:tcBorders>
            <w:noWrap/>
            <w:vAlign w:val="center"/>
          </w:tcPr>
          <w:p w14:paraId="6C2416E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20≤X＜300</w:t>
            </w:r>
          </w:p>
        </w:tc>
        <w:tc>
          <w:tcPr>
            <w:tcW w:w="1361" w:type="dxa"/>
            <w:tcBorders>
              <w:top w:val="nil"/>
              <w:left w:val="nil"/>
              <w:bottom w:val="single" w:color="auto" w:sz="4" w:space="0"/>
              <w:right w:val="single" w:color="auto" w:sz="4" w:space="0"/>
            </w:tcBorders>
            <w:noWrap/>
            <w:vAlign w:val="center"/>
          </w:tcPr>
          <w:p w14:paraId="5404309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X＜20</w:t>
            </w:r>
          </w:p>
        </w:tc>
      </w:tr>
      <w:tr w14:paraId="17380F19">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0B3FBC7">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2BD1879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127F4F9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7C93312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2000≤Y＜30000</w:t>
            </w:r>
          </w:p>
        </w:tc>
        <w:tc>
          <w:tcPr>
            <w:tcW w:w="2105" w:type="dxa"/>
            <w:tcBorders>
              <w:top w:val="nil"/>
              <w:left w:val="nil"/>
              <w:bottom w:val="single" w:color="auto" w:sz="4" w:space="0"/>
              <w:right w:val="single" w:color="auto" w:sz="4" w:space="0"/>
            </w:tcBorders>
            <w:noWrap/>
            <w:vAlign w:val="center"/>
          </w:tcPr>
          <w:p w14:paraId="672B346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100≤Y＜2000</w:t>
            </w:r>
          </w:p>
        </w:tc>
        <w:tc>
          <w:tcPr>
            <w:tcW w:w="1361" w:type="dxa"/>
            <w:tcBorders>
              <w:top w:val="nil"/>
              <w:left w:val="nil"/>
              <w:bottom w:val="single" w:color="auto" w:sz="4" w:space="0"/>
              <w:right w:val="single" w:color="auto" w:sz="4" w:space="0"/>
            </w:tcBorders>
            <w:noWrap/>
            <w:vAlign w:val="center"/>
          </w:tcPr>
          <w:p w14:paraId="2D14E49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6B1413F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C8652C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住宿业</w:t>
            </w:r>
          </w:p>
        </w:tc>
        <w:tc>
          <w:tcPr>
            <w:tcW w:w="1383" w:type="dxa"/>
            <w:tcBorders>
              <w:top w:val="nil"/>
              <w:left w:val="nil"/>
              <w:bottom w:val="single" w:color="auto" w:sz="4" w:space="0"/>
              <w:right w:val="single" w:color="auto" w:sz="4" w:space="0"/>
            </w:tcBorders>
            <w:noWrap/>
            <w:vAlign w:val="center"/>
          </w:tcPr>
          <w:p w14:paraId="3045083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2EB91E0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70CAF3B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100≤X＜300</w:t>
            </w:r>
          </w:p>
        </w:tc>
        <w:tc>
          <w:tcPr>
            <w:tcW w:w="2105" w:type="dxa"/>
            <w:tcBorders>
              <w:top w:val="nil"/>
              <w:left w:val="nil"/>
              <w:bottom w:val="single" w:color="auto" w:sz="4" w:space="0"/>
              <w:right w:val="single" w:color="auto" w:sz="4" w:space="0"/>
            </w:tcBorders>
            <w:noWrap/>
            <w:vAlign w:val="center"/>
          </w:tcPr>
          <w:p w14:paraId="0070CBA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10≤X＜100</w:t>
            </w:r>
          </w:p>
        </w:tc>
        <w:tc>
          <w:tcPr>
            <w:tcW w:w="1361" w:type="dxa"/>
            <w:tcBorders>
              <w:top w:val="nil"/>
              <w:left w:val="nil"/>
              <w:bottom w:val="single" w:color="auto" w:sz="4" w:space="0"/>
              <w:right w:val="single" w:color="auto" w:sz="4" w:space="0"/>
            </w:tcBorders>
            <w:noWrap/>
            <w:vAlign w:val="center"/>
          </w:tcPr>
          <w:p w14:paraId="4CFB996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r w14:paraId="675C922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23C10EF">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6257B5FC">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2C2B641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61A2C62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2000≤Y＜10000</w:t>
            </w:r>
          </w:p>
        </w:tc>
        <w:tc>
          <w:tcPr>
            <w:tcW w:w="2105" w:type="dxa"/>
            <w:tcBorders>
              <w:top w:val="nil"/>
              <w:left w:val="nil"/>
              <w:bottom w:val="single" w:color="auto" w:sz="4" w:space="0"/>
              <w:right w:val="single" w:color="auto" w:sz="4" w:space="0"/>
            </w:tcBorders>
            <w:noWrap/>
            <w:vAlign w:val="center"/>
          </w:tcPr>
          <w:p w14:paraId="75572C1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100≤Y＜2000</w:t>
            </w:r>
          </w:p>
        </w:tc>
        <w:tc>
          <w:tcPr>
            <w:tcW w:w="1361" w:type="dxa"/>
            <w:tcBorders>
              <w:top w:val="nil"/>
              <w:left w:val="nil"/>
              <w:bottom w:val="single" w:color="auto" w:sz="4" w:space="0"/>
              <w:right w:val="single" w:color="auto" w:sz="4" w:space="0"/>
            </w:tcBorders>
            <w:noWrap/>
            <w:vAlign w:val="center"/>
          </w:tcPr>
          <w:p w14:paraId="7431045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1021440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70A194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餐饮业</w:t>
            </w:r>
          </w:p>
        </w:tc>
        <w:tc>
          <w:tcPr>
            <w:tcW w:w="1383" w:type="dxa"/>
            <w:tcBorders>
              <w:top w:val="nil"/>
              <w:left w:val="nil"/>
              <w:bottom w:val="single" w:color="auto" w:sz="4" w:space="0"/>
              <w:right w:val="single" w:color="auto" w:sz="4" w:space="0"/>
            </w:tcBorders>
            <w:noWrap/>
            <w:vAlign w:val="center"/>
          </w:tcPr>
          <w:p w14:paraId="7538014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4E945A4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705A952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100≤X＜300</w:t>
            </w:r>
          </w:p>
        </w:tc>
        <w:tc>
          <w:tcPr>
            <w:tcW w:w="2105" w:type="dxa"/>
            <w:tcBorders>
              <w:top w:val="nil"/>
              <w:left w:val="nil"/>
              <w:bottom w:val="single" w:color="auto" w:sz="4" w:space="0"/>
              <w:right w:val="single" w:color="auto" w:sz="4" w:space="0"/>
            </w:tcBorders>
            <w:noWrap/>
            <w:vAlign w:val="center"/>
          </w:tcPr>
          <w:p w14:paraId="65A92B4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10≤X＜100</w:t>
            </w:r>
          </w:p>
        </w:tc>
        <w:tc>
          <w:tcPr>
            <w:tcW w:w="1361" w:type="dxa"/>
            <w:tcBorders>
              <w:top w:val="nil"/>
              <w:left w:val="nil"/>
              <w:bottom w:val="single" w:color="auto" w:sz="4" w:space="0"/>
              <w:right w:val="single" w:color="auto" w:sz="4" w:space="0"/>
            </w:tcBorders>
            <w:noWrap/>
            <w:vAlign w:val="center"/>
          </w:tcPr>
          <w:p w14:paraId="3E226D7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r w14:paraId="12034D4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146593B">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3E53C75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368B076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5DC8100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2000≤Y＜10000</w:t>
            </w:r>
          </w:p>
        </w:tc>
        <w:tc>
          <w:tcPr>
            <w:tcW w:w="2105" w:type="dxa"/>
            <w:tcBorders>
              <w:top w:val="nil"/>
              <w:left w:val="nil"/>
              <w:bottom w:val="single" w:color="auto" w:sz="4" w:space="0"/>
              <w:right w:val="single" w:color="auto" w:sz="4" w:space="0"/>
            </w:tcBorders>
            <w:noWrap/>
            <w:vAlign w:val="center"/>
          </w:tcPr>
          <w:p w14:paraId="2D0EA6E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100≤Y＜2000</w:t>
            </w:r>
          </w:p>
        </w:tc>
        <w:tc>
          <w:tcPr>
            <w:tcW w:w="1361" w:type="dxa"/>
            <w:tcBorders>
              <w:top w:val="nil"/>
              <w:left w:val="nil"/>
              <w:bottom w:val="single" w:color="auto" w:sz="4" w:space="0"/>
              <w:right w:val="single" w:color="auto" w:sz="4" w:space="0"/>
            </w:tcBorders>
            <w:noWrap/>
            <w:vAlign w:val="center"/>
          </w:tcPr>
          <w:p w14:paraId="5E0904DC">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095D105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7BB497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信息传输业</w:t>
            </w:r>
          </w:p>
        </w:tc>
        <w:tc>
          <w:tcPr>
            <w:tcW w:w="1383" w:type="dxa"/>
            <w:tcBorders>
              <w:top w:val="nil"/>
              <w:left w:val="nil"/>
              <w:bottom w:val="single" w:color="auto" w:sz="4" w:space="0"/>
              <w:right w:val="single" w:color="auto" w:sz="4" w:space="0"/>
            </w:tcBorders>
            <w:noWrap/>
            <w:vAlign w:val="center"/>
          </w:tcPr>
          <w:p w14:paraId="417904B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2EE8C00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04369AF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100≤X＜2000</w:t>
            </w:r>
          </w:p>
        </w:tc>
        <w:tc>
          <w:tcPr>
            <w:tcW w:w="2105" w:type="dxa"/>
            <w:tcBorders>
              <w:top w:val="nil"/>
              <w:left w:val="nil"/>
              <w:bottom w:val="single" w:color="auto" w:sz="4" w:space="0"/>
              <w:right w:val="single" w:color="auto" w:sz="4" w:space="0"/>
            </w:tcBorders>
            <w:noWrap/>
            <w:vAlign w:val="center"/>
          </w:tcPr>
          <w:p w14:paraId="305B9BD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10≤X＜100</w:t>
            </w:r>
          </w:p>
        </w:tc>
        <w:tc>
          <w:tcPr>
            <w:tcW w:w="1361" w:type="dxa"/>
            <w:tcBorders>
              <w:top w:val="nil"/>
              <w:left w:val="nil"/>
              <w:bottom w:val="single" w:color="auto" w:sz="4" w:space="0"/>
              <w:right w:val="single" w:color="auto" w:sz="4" w:space="0"/>
            </w:tcBorders>
            <w:noWrap/>
            <w:vAlign w:val="center"/>
          </w:tcPr>
          <w:p w14:paraId="38C0035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r w14:paraId="7C92B3E2">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15B5B15">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6DB1FAC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60FC3CA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1AC9674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1000≤Y＜100000</w:t>
            </w:r>
          </w:p>
        </w:tc>
        <w:tc>
          <w:tcPr>
            <w:tcW w:w="2105" w:type="dxa"/>
            <w:tcBorders>
              <w:top w:val="nil"/>
              <w:left w:val="nil"/>
              <w:bottom w:val="single" w:color="auto" w:sz="4" w:space="0"/>
              <w:right w:val="single" w:color="auto" w:sz="4" w:space="0"/>
            </w:tcBorders>
            <w:noWrap/>
            <w:vAlign w:val="center"/>
          </w:tcPr>
          <w:p w14:paraId="6C7F593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100≤Y＜1000</w:t>
            </w:r>
          </w:p>
        </w:tc>
        <w:tc>
          <w:tcPr>
            <w:tcW w:w="1361" w:type="dxa"/>
            <w:tcBorders>
              <w:top w:val="nil"/>
              <w:left w:val="nil"/>
              <w:bottom w:val="single" w:color="auto" w:sz="4" w:space="0"/>
              <w:right w:val="single" w:color="auto" w:sz="4" w:space="0"/>
            </w:tcBorders>
            <w:noWrap/>
            <w:vAlign w:val="center"/>
          </w:tcPr>
          <w:p w14:paraId="28666E4C">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1423072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24BDBF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软件和信息技术服务业</w:t>
            </w:r>
          </w:p>
        </w:tc>
        <w:tc>
          <w:tcPr>
            <w:tcW w:w="1383" w:type="dxa"/>
            <w:tcBorders>
              <w:top w:val="nil"/>
              <w:left w:val="nil"/>
              <w:bottom w:val="single" w:color="auto" w:sz="4" w:space="0"/>
              <w:right w:val="single" w:color="auto" w:sz="4" w:space="0"/>
            </w:tcBorders>
            <w:noWrap/>
            <w:vAlign w:val="center"/>
          </w:tcPr>
          <w:p w14:paraId="59AD611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29E87A3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33D43F1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100≤X＜300</w:t>
            </w:r>
          </w:p>
        </w:tc>
        <w:tc>
          <w:tcPr>
            <w:tcW w:w="2105" w:type="dxa"/>
            <w:tcBorders>
              <w:top w:val="nil"/>
              <w:left w:val="nil"/>
              <w:bottom w:val="single" w:color="auto" w:sz="4" w:space="0"/>
              <w:right w:val="single" w:color="auto" w:sz="4" w:space="0"/>
            </w:tcBorders>
            <w:noWrap/>
            <w:vAlign w:val="center"/>
          </w:tcPr>
          <w:p w14:paraId="28F54D2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10≤X＜100</w:t>
            </w:r>
          </w:p>
        </w:tc>
        <w:tc>
          <w:tcPr>
            <w:tcW w:w="1361" w:type="dxa"/>
            <w:tcBorders>
              <w:top w:val="nil"/>
              <w:left w:val="nil"/>
              <w:bottom w:val="single" w:color="auto" w:sz="4" w:space="0"/>
              <w:right w:val="single" w:color="auto" w:sz="4" w:space="0"/>
            </w:tcBorders>
            <w:noWrap/>
            <w:vAlign w:val="center"/>
          </w:tcPr>
          <w:p w14:paraId="3B03F0C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r w14:paraId="27B454E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9E03E33">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7136B2C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4A5510B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552D60B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1000≤Y＜10000</w:t>
            </w:r>
          </w:p>
        </w:tc>
        <w:tc>
          <w:tcPr>
            <w:tcW w:w="2105" w:type="dxa"/>
            <w:tcBorders>
              <w:top w:val="nil"/>
              <w:left w:val="nil"/>
              <w:bottom w:val="single" w:color="auto" w:sz="4" w:space="0"/>
              <w:right w:val="single" w:color="auto" w:sz="4" w:space="0"/>
            </w:tcBorders>
            <w:noWrap/>
            <w:vAlign w:val="center"/>
          </w:tcPr>
          <w:p w14:paraId="45EEB20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50≤Y＜1000</w:t>
            </w:r>
          </w:p>
        </w:tc>
        <w:tc>
          <w:tcPr>
            <w:tcW w:w="1361" w:type="dxa"/>
            <w:tcBorders>
              <w:top w:val="nil"/>
              <w:left w:val="nil"/>
              <w:bottom w:val="single" w:color="auto" w:sz="4" w:space="0"/>
              <w:right w:val="single" w:color="auto" w:sz="4" w:space="0"/>
            </w:tcBorders>
            <w:noWrap/>
            <w:vAlign w:val="center"/>
          </w:tcPr>
          <w:p w14:paraId="11E399A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Y＜50</w:t>
            </w:r>
          </w:p>
        </w:tc>
      </w:tr>
      <w:tr w14:paraId="52689EE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123EAF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房地产开发经营</w:t>
            </w:r>
          </w:p>
        </w:tc>
        <w:tc>
          <w:tcPr>
            <w:tcW w:w="1383" w:type="dxa"/>
            <w:tcBorders>
              <w:top w:val="nil"/>
              <w:left w:val="nil"/>
              <w:bottom w:val="single" w:color="auto" w:sz="4" w:space="0"/>
              <w:right w:val="single" w:color="auto" w:sz="4" w:space="0"/>
            </w:tcBorders>
            <w:noWrap/>
            <w:vAlign w:val="center"/>
          </w:tcPr>
          <w:p w14:paraId="0D574F4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1E35DFA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2D818013">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1000≤Y＜200000</w:t>
            </w:r>
          </w:p>
        </w:tc>
        <w:tc>
          <w:tcPr>
            <w:tcW w:w="2105" w:type="dxa"/>
            <w:tcBorders>
              <w:top w:val="nil"/>
              <w:left w:val="nil"/>
              <w:bottom w:val="single" w:color="auto" w:sz="4" w:space="0"/>
              <w:right w:val="single" w:color="auto" w:sz="4" w:space="0"/>
            </w:tcBorders>
            <w:noWrap/>
            <w:vAlign w:val="center"/>
          </w:tcPr>
          <w:p w14:paraId="3029A01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100≤X＜1000</w:t>
            </w:r>
          </w:p>
        </w:tc>
        <w:tc>
          <w:tcPr>
            <w:tcW w:w="1361" w:type="dxa"/>
            <w:tcBorders>
              <w:top w:val="nil"/>
              <w:left w:val="nil"/>
              <w:bottom w:val="single" w:color="auto" w:sz="4" w:space="0"/>
              <w:right w:val="single" w:color="auto" w:sz="4" w:space="0"/>
            </w:tcBorders>
            <w:noWrap/>
            <w:vAlign w:val="center"/>
          </w:tcPr>
          <w:p w14:paraId="2E49D64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X＜100</w:t>
            </w:r>
          </w:p>
        </w:tc>
      </w:tr>
      <w:tr w14:paraId="6669F89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092F522">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52698BC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资产总额（Z）</w:t>
            </w:r>
          </w:p>
        </w:tc>
        <w:tc>
          <w:tcPr>
            <w:tcW w:w="865" w:type="dxa"/>
            <w:tcBorders>
              <w:top w:val="nil"/>
              <w:left w:val="nil"/>
              <w:bottom w:val="single" w:color="auto" w:sz="4" w:space="0"/>
              <w:right w:val="single" w:color="auto" w:sz="4" w:space="0"/>
            </w:tcBorders>
            <w:noWrap/>
            <w:vAlign w:val="center"/>
          </w:tcPr>
          <w:p w14:paraId="5194FDB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5D76263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5000≤Z＜10000</w:t>
            </w:r>
          </w:p>
        </w:tc>
        <w:tc>
          <w:tcPr>
            <w:tcW w:w="2105" w:type="dxa"/>
            <w:tcBorders>
              <w:top w:val="nil"/>
              <w:left w:val="nil"/>
              <w:bottom w:val="single" w:color="auto" w:sz="4" w:space="0"/>
              <w:right w:val="single" w:color="auto" w:sz="4" w:space="0"/>
            </w:tcBorders>
            <w:noWrap/>
            <w:vAlign w:val="center"/>
          </w:tcPr>
          <w:p w14:paraId="2C91DEC7">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2000≤Y＜5000</w:t>
            </w:r>
          </w:p>
        </w:tc>
        <w:tc>
          <w:tcPr>
            <w:tcW w:w="1361" w:type="dxa"/>
            <w:tcBorders>
              <w:top w:val="nil"/>
              <w:left w:val="nil"/>
              <w:bottom w:val="single" w:color="auto" w:sz="4" w:space="0"/>
              <w:right w:val="single" w:color="auto" w:sz="4" w:space="0"/>
            </w:tcBorders>
            <w:noWrap/>
            <w:vAlign w:val="center"/>
          </w:tcPr>
          <w:p w14:paraId="75B34C3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Y＜2000</w:t>
            </w:r>
          </w:p>
        </w:tc>
      </w:tr>
      <w:tr w14:paraId="2070878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3D331E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物业管理</w:t>
            </w:r>
          </w:p>
        </w:tc>
        <w:tc>
          <w:tcPr>
            <w:tcW w:w="1383" w:type="dxa"/>
            <w:tcBorders>
              <w:top w:val="nil"/>
              <w:left w:val="nil"/>
              <w:bottom w:val="single" w:color="auto" w:sz="4" w:space="0"/>
              <w:right w:val="single" w:color="auto" w:sz="4" w:space="0"/>
            </w:tcBorders>
            <w:noWrap/>
            <w:vAlign w:val="center"/>
          </w:tcPr>
          <w:p w14:paraId="6C4828C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07E5F4A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1AC9235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300≤X＜1000</w:t>
            </w:r>
          </w:p>
        </w:tc>
        <w:tc>
          <w:tcPr>
            <w:tcW w:w="2105" w:type="dxa"/>
            <w:tcBorders>
              <w:top w:val="nil"/>
              <w:left w:val="nil"/>
              <w:bottom w:val="single" w:color="auto" w:sz="4" w:space="0"/>
              <w:right w:val="single" w:color="auto" w:sz="4" w:space="0"/>
            </w:tcBorders>
            <w:noWrap/>
            <w:vAlign w:val="center"/>
          </w:tcPr>
          <w:p w14:paraId="1D8B02E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100≤X＜300</w:t>
            </w:r>
          </w:p>
        </w:tc>
        <w:tc>
          <w:tcPr>
            <w:tcW w:w="1361" w:type="dxa"/>
            <w:tcBorders>
              <w:top w:val="nil"/>
              <w:left w:val="nil"/>
              <w:bottom w:val="single" w:color="auto" w:sz="4" w:space="0"/>
              <w:right w:val="single" w:color="auto" w:sz="4" w:space="0"/>
            </w:tcBorders>
            <w:noWrap/>
            <w:vAlign w:val="center"/>
          </w:tcPr>
          <w:p w14:paraId="609B173F">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X＜100</w:t>
            </w:r>
          </w:p>
        </w:tc>
      </w:tr>
      <w:tr w14:paraId="3FF2304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19AE3B3">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567782D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营业收入（Y）</w:t>
            </w:r>
          </w:p>
        </w:tc>
        <w:tc>
          <w:tcPr>
            <w:tcW w:w="865" w:type="dxa"/>
            <w:tcBorders>
              <w:top w:val="nil"/>
              <w:left w:val="nil"/>
              <w:bottom w:val="single" w:color="auto" w:sz="4" w:space="0"/>
              <w:right w:val="single" w:color="auto" w:sz="4" w:space="0"/>
            </w:tcBorders>
            <w:noWrap/>
            <w:vAlign w:val="center"/>
          </w:tcPr>
          <w:p w14:paraId="760428C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74EB452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1000≤Y＜5000</w:t>
            </w:r>
          </w:p>
        </w:tc>
        <w:tc>
          <w:tcPr>
            <w:tcW w:w="2105" w:type="dxa"/>
            <w:tcBorders>
              <w:top w:val="nil"/>
              <w:left w:val="nil"/>
              <w:bottom w:val="single" w:color="auto" w:sz="4" w:space="0"/>
              <w:right w:val="single" w:color="auto" w:sz="4" w:space="0"/>
            </w:tcBorders>
            <w:noWrap/>
            <w:vAlign w:val="center"/>
          </w:tcPr>
          <w:p w14:paraId="51BAE5D1">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500≤Y＜1000</w:t>
            </w:r>
          </w:p>
        </w:tc>
        <w:tc>
          <w:tcPr>
            <w:tcW w:w="1361" w:type="dxa"/>
            <w:tcBorders>
              <w:top w:val="nil"/>
              <w:left w:val="nil"/>
              <w:bottom w:val="single" w:color="auto" w:sz="4" w:space="0"/>
              <w:right w:val="single" w:color="auto" w:sz="4" w:space="0"/>
            </w:tcBorders>
            <w:noWrap/>
            <w:vAlign w:val="center"/>
          </w:tcPr>
          <w:p w14:paraId="53DC36F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Y＜500</w:t>
            </w:r>
          </w:p>
        </w:tc>
      </w:tr>
      <w:tr w14:paraId="34198182">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2BFD19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租赁和商务服务业</w:t>
            </w:r>
          </w:p>
        </w:tc>
        <w:tc>
          <w:tcPr>
            <w:tcW w:w="1383" w:type="dxa"/>
            <w:tcBorders>
              <w:top w:val="nil"/>
              <w:left w:val="nil"/>
              <w:bottom w:val="single" w:color="auto" w:sz="4" w:space="0"/>
              <w:right w:val="single" w:color="auto" w:sz="4" w:space="0"/>
            </w:tcBorders>
            <w:noWrap/>
            <w:vAlign w:val="center"/>
          </w:tcPr>
          <w:p w14:paraId="7BB7235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7D4EBB4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3A74E002">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100≤X＜300</w:t>
            </w:r>
          </w:p>
        </w:tc>
        <w:tc>
          <w:tcPr>
            <w:tcW w:w="2105" w:type="dxa"/>
            <w:tcBorders>
              <w:top w:val="nil"/>
              <w:left w:val="nil"/>
              <w:bottom w:val="single" w:color="auto" w:sz="4" w:space="0"/>
              <w:right w:val="single" w:color="auto" w:sz="4" w:space="0"/>
            </w:tcBorders>
            <w:noWrap/>
            <w:vAlign w:val="center"/>
          </w:tcPr>
          <w:p w14:paraId="4ED7F5A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10≤X＜100</w:t>
            </w:r>
          </w:p>
        </w:tc>
        <w:tc>
          <w:tcPr>
            <w:tcW w:w="1361" w:type="dxa"/>
            <w:tcBorders>
              <w:top w:val="nil"/>
              <w:left w:val="nil"/>
              <w:bottom w:val="single" w:color="auto" w:sz="4" w:space="0"/>
              <w:right w:val="single" w:color="auto" w:sz="4" w:space="0"/>
            </w:tcBorders>
            <w:noWrap/>
            <w:vAlign w:val="center"/>
          </w:tcPr>
          <w:p w14:paraId="1BC5DC44">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r w14:paraId="034D0C4D">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6C9F93B">
            <w:pPr>
              <w:pStyle w:val="34"/>
              <w:widowControl/>
              <w:spacing w:line="360" w:lineRule="exact"/>
              <w:jc w:val="center"/>
              <w:rPr>
                <w:rFonts w:ascii="宋体" w:hAnsi="宋体" w:cs="宋体"/>
                <w:color w:val="000000" w:themeColor="text1"/>
                <w:sz w:val="21"/>
                <w:szCs w:val="21"/>
                <w14:textFill>
                  <w14:solidFill>
                    <w14:schemeClr w14:val="tx1"/>
                  </w14:solidFill>
                </w14:textFill>
              </w:rPr>
            </w:pPr>
          </w:p>
        </w:tc>
        <w:tc>
          <w:tcPr>
            <w:tcW w:w="1383" w:type="dxa"/>
            <w:tcBorders>
              <w:top w:val="nil"/>
              <w:left w:val="nil"/>
              <w:bottom w:val="single" w:color="auto" w:sz="4" w:space="0"/>
              <w:right w:val="single" w:color="auto" w:sz="4" w:space="0"/>
            </w:tcBorders>
            <w:noWrap/>
            <w:vAlign w:val="center"/>
          </w:tcPr>
          <w:p w14:paraId="0A2BFFC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资产总额（Z）</w:t>
            </w:r>
          </w:p>
        </w:tc>
        <w:tc>
          <w:tcPr>
            <w:tcW w:w="865" w:type="dxa"/>
            <w:tcBorders>
              <w:top w:val="nil"/>
              <w:left w:val="nil"/>
              <w:bottom w:val="single" w:color="auto" w:sz="4" w:space="0"/>
              <w:right w:val="single" w:color="auto" w:sz="4" w:space="0"/>
            </w:tcBorders>
            <w:noWrap/>
            <w:vAlign w:val="center"/>
          </w:tcPr>
          <w:p w14:paraId="1F0C4F0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万元</w:t>
            </w:r>
          </w:p>
        </w:tc>
        <w:tc>
          <w:tcPr>
            <w:tcW w:w="2097" w:type="dxa"/>
            <w:tcBorders>
              <w:top w:val="nil"/>
              <w:left w:val="nil"/>
              <w:bottom w:val="single" w:color="auto" w:sz="4" w:space="0"/>
              <w:right w:val="single" w:color="auto" w:sz="4" w:space="0"/>
            </w:tcBorders>
            <w:noWrap/>
            <w:vAlign w:val="center"/>
          </w:tcPr>
          <w:p w14:paraId="4C7AB6BB">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8000≤Z＜120000</w:t>
            </w:r>
          </w:p>
        </w:tc>
        <w:tc>
          <w:tcPr>
            <w:tcW w:w="2105" w:type="dxa"/>
            <w:tcBorders>
              <w:top w:val="nil"/>
              <w:left w:val="nil"/>
              <w:bottom w:val="single" w:color="auto" w:sz="4" w:space="0"/>
              <w:right w:val="single" w:color="auto" w:sz="4" w:space="0"/>
            </w:tcBorders>
            <w:noWrap/>
            <w:vAlign w:val="center"/>
          </w:tcPr>
          <w:p w14:paraId="23F2E276">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100≤Z＜8000</w:t>
            </w:r>
          </w:p>
        </w:tc>
        <w:tc>
          <w:tcPr>
            <w:tcW w:w="1361" w:type="dxa"/>
            <w:tcBorders>
              <w:top w:val="nil"/>
              <w:left w:val="nil"/>
              <w:bottom w:val="single" w:color="auto" w:sz="4" w:space="0"/>
              <w:right w:val="single" w:color="auto" w:sz="4" w:space="0"/>
            </w:tcBorders>
            <w:noWrap/>
            <w:vAlign w:val="center"/>
          </w:tcPr>
          <w:p w14:paraId="35EC575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Y＜100</w:t>
            </w:r>
          </w:p>
        </w:tc>
      </w:tr>
      <w:tr w14:paraId="1D211090">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3EA251C0">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其他未列明行业</w:t>
            </w:r>
          </w:p>
        </w:tc>
        <w:tc>
          <w:tcPr>
            <w:tcW w:w="1383" w:type="dxa"/>
            <w:tcBorders>
              <w:top w:val="nil"/>
              <w:left w:val="nil"/>
              <w:bottom w:val="single" w:color="auto" w:sz="4" w:space="0"/>
              <w:right w:val="single" w:color="auto" w:sz="4" w:space="0"/>
            </w:tcBorders>
            <w:noWrap/>
            <w:vAlign w:val="center"/>
          </w:tcPr>
          <w:p w14:paraId="4FACB7FD">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从业人员（X）</w:t>
            </w:r>
          </w:p>
        </w:tc>
        <w:tc>
          <w:tcPr>
            <w:tcW w:w="865" w:type="dxa"/>
            <w:tcBorders>
              <w:top w:val="nil"/>
              <w:left w:val="nil"/>
              <w:bottom w:val="single" w:color="auto" w:sz="4" w:space="0"/>
              <w:right w:val="single" w:color="auto" w:sz="4" w:space="0"/>
            </w:tcBorders>
            <w:noWrap/>
            <w:vAlign w:val="center"/>
          </w:tcPr>
          <w:p w14:paraId="052F4F68">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w:t>
            </w:r>
          </w:p>
        </w:tc>
        <w:tc>
          <w:tcPr>
            <w:tcW w:w="2097" w:type="dxa"/>
            <w:tcBorders>
              <w:top w:val="nil"/>
              <w:left w:val="nil"/>
              <w:bottom w:val="single" w:color="auto" w:sz="4" w:space="0"/>
              <w:right w:val="single" w:color="auto" w:sz="4" w:space="0"/>
            </w:tcBorders>
            <w:noWrap/>
            <w:vAlign w:val="center"/>
          </w:tcPr>
          <w:p w14:paraId="43653845">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100≤X＜300</w:t>
            </w:r>
          </w:p>
        </w:tc>
        <w:tc>
          <w:tcPr>
            <w:tcW w:w="2105" w:type="dxa"/>
            <w:tcBorders>
              <w:top w:val="nil"/>
              <w:left w:val="nil"/>
              <w:bottom w:val="single" w:color="auto" w:sz="4" w:space="0"/>
              <w:right w:val="single" w:color="auto" w:sz="4" w:space="0"/>
            </w:tcBorders>
            <w:noWrap/>
            <w:vAlign w:val="center"/>
          </w:tcPr>
          <w:p w14:paraId="42C0FEC9">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10≤X＜100</w:t>
            </w:r>
          </w:p>
        </w:tc>
        <w:tc>
          <w:tcPr>
            <w:tcW w:w="1361" w:type="dxa"/>
            <w:tcBorders>
              <w:top w:val="nil"/>
              <w:left w:val="nil"/>
              <w:bottom w:val="single" w:color="auto" w:sz="4" w:space="0"/>
              <w:right w:val="single" w:color="auto" w:sz="4" w:space="0"/>
            </w:tcBorders>
            <w:noWrap/>
            <w:vAlign w:val="center"/>
          </w:tcPr>
          <w:p w14:paraId="41EB1D9A">
            <w:pPr>
              <w:pStyle w:val="34"/>
              <w:widowControl/>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X＜10</w:t>
            </w:r>
          </w:p>
        </w:tc>
      </w:tr>
    </w:tbl>
    <w:p w14:paraId="093B2263">
      <w:pPr>
        <w:spacing w:line="360" w:lineRule="auto"/>
        <w:ind w:firstLine="525" w:firstLineChars="25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2EFD893">
      <w:pPr>
        <w:pStyle w:val="5"/>
        <w:rPr>
          <w:rFonts w:ascii="宋体" w:hAnsi="宋体"/>
          <w:color w:val="000000" w:themeColor="text1"/>
          <w14:textFill>
            <w14:solidFill>
              <w14:schemeClr w14:val="tx1"/>
            </w14:solidFill>
          </w14:textFill>
        </w:rPr>
      </w:pPr>
      <w:bookmarkStart w:id="23" w:name="_Toc8893"/>
      <w:r>
        <w:rPr>
          <w:rFonts w:hint="eastAsia" w:ascii="宋体" w:hAnsi="宋体"/>
          <w:color w:val="000000" w:themeColor="text1"/>
          <w14:textFill>
            <w14:solidFill>
              <w14:schemeClr w14:val="tx1"/>
            </w14:solidFill>
          </w14:textFill>
        </w:rPr>
        <w:t>第四章 响应文件格式</w:t>
      </w:r>
      <w:bookmarkEnd w:id="23"/>
    </w:p>
    <w:p w14:paraId="3BE5A7AE">
      <w:pPr>
        <w:snapToGrid w:val="0"/>
        <w:spacing w:beforeLines="50" w:after="50"/>
        <w:rPr>
          <w:rFonts w:ascii="宋体" w:hAnsi="宋体" w:cs="宋体"/>
          <w:b/>
          <w:bCs/>
          <w:color w:val="000000" w:themeColor="text1"/>
          <w:szCs w:val="21"/>
          <w14:textFill>
            <w14:solidFill>
              <w14:schemeClr w14:val="tx1"/>
            </w14:solidFill>
          </w14:textFill>
        </w:rPr>
      </w:pPr>
      <w:bookmarkStart w:id="24" w:name="_Toc455646389"/>
      <w:r>
        <w:rPr>
          <w:rFonts w:hint="eastAsia" w:ascii="宋体" w:hAnsi="宋体" w:cs="宋体"/>
          <w:b/>
          <w:bCs/>
          <w:color w:val="000000" w:themeColor="text1"/>
          <w:szCs w:val="21"/>
          <w14:textFill>
            <w14:solidFill>
              <w14:schemeClr w14:val="tx1"/>
            </w14:solidFill>
          </w14:textFill>
        </w:rPr>
        <w:t>一、响应文件袋外层包装封面格式</w:t>
      </w:r>
    </w:p>
    <w:p w14:paraId="3043B74B">
      <w:pPr>
        <w:snapToGrid w:val="0"/>
        <w:spacing w:beforeLines="50" w:after="5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1.所有文件（资格证明文件、商务和技术文件、报价文件）的外装封面格式：</w:t>
      </w:r>
    </w:p>
    <w:p w14:paraId="0D665B02">
      <w:pPr>
        <w:snapToGrid w:val="0"/>
        <w:spacing w:beforeLines="50" w:after="50"/>
        <w:jc w:val="center"/>
        <w:rPr>
          <w:rFonts w:ascii="宋体" w:hAnsi="宋体" w:cs="宋体"/>
          <w:bCs/>
          <w:color w:val="000000" w:themeColor="text1"/>
          <w:szCs w:val="21"/>
          <w14:textFill>
            <w14:solidFill>
              <w14:schemeClr w14:val="tx1"/>
            </w14:solidFill>
          </w14:textFill>
        </w:rPr>
      </w:pPr>
    </w:p>
    <w:p w14:paraId="7DF89D27">
      <w:pPr>
        <w:snapToGrid w:val="0"/>
        <w:spacing w:beforeLines="50" w:after="50"/>
        <w:jc w:val="center"/>
        <w:rPr>
          <w:rFonts w:ascii="宋体" w:hAnsi="宋体" w:cs="宋体"/>
          <w:bCs/>
          <w:color w:val="000000" w:themeColor="text1"/>
          <w:szCs w:val="21"/>
          <w14:textFill>
            <w14:solidFill>
              <w14:schemeClr w14:val="tx1"/>
            </w14:solidFill>
          </w14:textFill>
        </w:rPr>
      </w:pPr>
    </w:p>
    <w:p w14:paraId="687D3987">
      <w:pPr>
        <w:snapToGrid w:val="0"/>
        <w:spacing w:beforeLines="50" w:after="50"/>
        <w:jc w:val="center"/>
        <w:rPr>
          <w:rFonts w:ascii="宋体" w:hAnsi="宋体" w:cs="宋体"/>
          <w:bCs/>
          <w:color w:val="000000" w:themeColor="text1"/>
          <w:szCs w:val="21"/>
          <w14:textFill>
            <w14:solidFill>
              <w14:schemeClr w14:val="tx1"/>
            </w14:solidFill>
          </w14:textFill>
        </w:rPr>
      </w:pPr>
    </w:p>
    <w:p w14:paraId="4FAC0235">
      <w:pPr>
        <w:snapToGrid w:val="0"/>
        <w:spacing w:beforeLines="50" w:after="50"/>
        <w:jc w:val="center"/>
        <w:rPr>
          <w:rFonts w:ascii="宋体" w:hAnsi="宋体" w:cs="宋体"/>
          <w:b/>
          <w:bCs/>
          <w:color w:val="000000" w:themeColor="text1"/>
          <w:sz w:val="52"/>
          <w:szCs w:val="52"/>
          <w14:textFill>
            <w14:solidFill>
              <w14:schemeClr w14:val="tx1"/>
            </w14:solidFill>
          </w14:textFill>
        </w:rPr>
      </w:pPr>
      <w:r>
        <w:rPr>
          <w:rFonts w:hint="eastAsia" w:ascii="宋体" w:hAnsi="宋体" w:cs="宋体"/>
          <w:b/>
          <w:bCs/>
          <w:color w:val="000000" w:themeColor="text1"/>
          <w:sz w:val="52"/>
          <w:szCs w:val="52"/>
          <w14:textFill>
            <w14:solidFill>
              <w14:schemeClr w14:val="tx1"/>
            </w14:solidFill>
          </w14:textFill>
        </w:rPr>
        <w:t>响  应 文 件 袋</w:t>
      </w:r>
    </w:p>
    <w:p w14:paraId="29004494">
      <w:pPr>
        <w:snapToGrid w:val="0"/>
        <w:spacing w:beforeLines="50" w:after="50"/>
        <w:jc w:val="center"/>
        <w:rPr>
          <w:rFonts w:ascii="宋体" w:hAnsi="宋体" w:cs="宋体"/>
          <w:bCs/>
          <w:color w:val="000000" w:themeColor="text1"/>
          <w:sz w:val="52"/>
          <w:szCs w:val="52"/>
          <w14:textFill>
            <w14:solidFill>
              <w14:schemeClr w14:val="tx1"/>
            </w14:solidFill>
          </w14:textFill>
        </w:rPr>
      </w:pPr>
    </w:p>
    <w:p w14:paraId="23483BF9">
      <w:pPr>
        <w:snapToGrid w:val="0"/>
        <w:spacing w:beforeLines="50" w:after="50"/>
        <w:jc w:val="center"/>
        <w:rPr>
          <w:rFonts w:ascii="宋体" w:hAnsi="宋体" w:cs="宋体"/>
          <w:bCs/>
          <w:color w:val="000000" w:themeColor="text1"/>
          <w:sz w:val="52"/>
          <w:szCs w:val="52"/>
          <w14:textFill>
            <w14:solidFill>
              <w14:schemeClr w14:val="tx1"/>
            </w14:solidFill>
          </w14:textFill>
        </w:rPr>
      </w:pPr>
    </w:p>
    <w:p w14:paraId="40488B56">
      <w:pPr>
        <w:snapToGrid w:val="0"/>
        <w:spacing w:beforeLines="50" w:after="50"/>
        <w:rPr>
          <w:rFonts w:ascii="宋体" w:hAnsi="宋体" w:cs="宋体"/>
          <w:bCs/>
          <w:color w:val="000000" w:themeColor="text1"/>
          <w:szCs w:val="21"/>
          <w14:textFill>
            <w14:solidFill>
              <w14:schemeClr w14:val="tx1"/>
            </w14:solidFill>
          </w14:textFill>
        </w:rPr>
      </w:pPr>
    </w:p>
    <w:p w14:paraId="3D0733AF">
      <w:pPr>
        <w:snapToGrid w:val="0"/>
        <w:spacing w:beforeLines="50" w:after="50"/>
        <w:ind w:firstLine="450" w:firstLineChars="15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项目名称：</w:t>
      </w:r>
    </w:p>
    <w:p w14:paraId="730C41D6">
      <w:pPr>
        <w:snapToGrid w:val="0"/>
        <w:spacing w:beforeLines="50" w:after="50"/>
        <w:ind w:firstLine="450" w:firstLineChars="150"/>
        <w:rPr>
          <w:rFonts w:ascii="宋体" w:hAnsi="宋体" w:cs="宋体"/>
          <w:bCs/>
          <w:color w:val="000000" w:themeColor="text1"/>
          <w:sz w:val="30"/>
          <w:szCs w:val="30"/>
          <w14:textFill>
            <w14:solidFill>
              <w14:schemeClr w14:val="tx1"/>
            </w14:solidFill>
          </w14:textFill>
        </w:rPr>
      </w:pPr>
    </w:p>
    <w:p w14:paraId="3088E6F2">
      <w:pPr>
        <w:snapToGrid w:val="0"/>
        <w:spacing w:beforeLines="50" w:after="50"/>
        <w:ind w:firstLine="450" w:firstLineChars="15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 xml:space="preserve">项目编号： </w:t>
      </w:r>
    </w:p>
    <w:p w14:paraId="46DF246C">
      <w:pPr>
        <w:snapToGrid w:val="0"/>
        <w:spacing w:beforeLines="50" w:after="50"/>
        <w:ind w:firstLine="450" w:firstLineChars="150"/>
        <w:rPr>
          <w:rFonts w:ascii="宋体" w:hAnsi="宋体" w:cs="宋体"/>
          <w:bCs/>
          <w:color w:val="000000" w:themeColor="text1"/>
          <w:sz w:val="30"/>
          <w:szCs w:val="30"/>
          <w14:textFill>
            <w14:solidFill>
              <w14:schemeClr w14:val="tx1"/>
            </w14:solidFill>
          </w14:textFill>
        </w:rPr>
      </w:pPr>
    </w:p>
    <w:p w14:paraId="4752E89B">
      <w:pPr>
        <w:pStyle w:val="10"/>
        <w:snapToGrid w:val="0"/>
        <w:spacing w:before="50" w:after="50" w:line="360" w:lineRule="auto"/>
        <w:ind w:firstLine="450" w:firstLineChars="15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标    项：（如有则填写，无分标时填写“无”或者留空）</w:t>
      </w:r>
    </w:p>
    <w:p w14:paraId="618DFF7F">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p>
    <w:p w14:paraId="6BCEC752">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供应商名称：</w:t>
      </w:r>
      <w:r>
        <w:rPr>
          <w:rFonts w:hint="eastAsia" w:ascii="宋体" w:hAnsi="宋体" w:cs="宋体"/>
          <w:bCs/>
          <w:color w:val="000000" w:themeColor="text1"/>
          <w:sz w:val="30"/>
          <w:szCs w:val="30"/>
          <w:u w:val="single"/>
          <w14:textFill>
            <w14:solidFill>
              <w14:schemeClr w14:val="tx1"/>
            </w14:solidFill>
          </w14:textFill>
        </w:rPr>
        <w:t xml:space="preserve">             全称           </w:t>
      </w:r>
      <w:r>
        <w:rPr>
          <w:rFonts w:hint="eastAsia" w:ascii="宋体" w:hAnsi="宋体" w:cs="宋体"/>
          <w:bCs/>
          <w:color w:val="000000" w:themeColor="text1"/>
          <w:sz w:val="30"/>
          <w:szCs w:val="30"/>
          <w14:textFill>
            <w14:solidFill>
              <w14:schemeClr w14:val="tx1"/>
            </w14:solidFill>
          </w14:textFill>
        </w:rPr>
        <w:t>（加盖单位电子公章）</w:t>
      </w:r>
    </w:p>
    <w:p w14:paraId="4449BF07">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p>
    <w:p w14:paraId="30E1FB82">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供应商地址：</w:t>
      </w:r>
      <w:r>
        <w:rPr>
          <w:rFonts w:hint="eastAsia" w:ascii="宋体" w:hAnsi="宋体" w:cs="宋体"/>
          <w:bCs/>
          <w:color w:val="000000" w:themeColor="text1"/>
          <w:sz w:val="30"/>
          <w:szCs w:val="30"/>
          <w:u w:val="single"/>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 xml:space="preserve">   </w:t>
      </w:r>
    </w:p>
    <w:p w14:paraId="07D62B0B">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p>
    <w:p w14:paraId="47931A60">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p>
    <w:p w14:paraId="4582D26E">
      <w:pPr>
        <w:pStyle w:val="10"/>
        <w:snapToGrid w:val="0"/>
        <w:spacing w:before="50" w:after="50"/>
        <w:ind w:firstLine="360" w:firstLineChars="150"/>
        <w:rPr>
          <w:rFonts w:ascii="宋体" w:hAnsi="宋体" w:cs="宋体"/>
          <w:bCs/>
          <w:color w:val="000000" w:themeColor="text1"/>
          <w:sz w:val="30"/>
          <w:szCs w:val="30"/>
          <w14:textFill>
            <w14:solidFill>
              <w14:schemeClr w14:val="tx1"/>
            </w14:solidFill>
          </w14:textFill>
        </w:rPr>
      </w:pPr>
      <w:r>
        <w:rPr>
          <w:rFonts w:hint="eastAsia" w:ascii="宋体" w:hAnsi="宋体"/>
          <w:bCs/>
          <w:color w:val="000000" w:themeColor="text1"/>
          <w:sz w:val="24"/>
          <w14:textFill>
            <w14:solidFill>
              <w14:schemeClr w14:val="tx1"/>
            </w14:solidFill>
          </w14:textFill>
        </w:rPr>
        <w:t>在首次响应文件提交截止时间之前不得解密</w:t>
      </w:r>
    </w:p>
    <w:p w14:paraId="4F155161">
      <w:pPr>
        <w:pStyle w:val="10"/>
        <w:snapToGrid w:val="0"/>
        <w:spacing w:before="50" w:after="50"/>
        <w:ind w:firstLine="450" w:firstLineChars="150"/>
        <w:rPr>
          <w:rFonts w:ascii="宋体" w:hAnsi="宋体" w:cs="宋体"/>
          <w:bCs/>
          <w:color w:val="000000" w:themeColor="text1"/>
          <w:sz w:val="30"/>
          <w:szCs w:val="30"/>
          <w14:textFill>
            <w14:solidFill>
              <w14:schemeClr w14:val="tx1"/>
            </w14:solidFill>
          </w14:textFill>
        </w:rPr>
      </w:pPr>
    </w:p>
    <w:p w14:paraId="76BFF3F8">
      <w:pPr>
        <w:pStyle w:val="10"/>
        <w:snapToGrid w:val="0"/>
        <w:spacing w:before="50" w:after="50"/>
        <w:ind w:firstLine="0"/>
        <w:rPr>
          <w:rFonts w:ascii="宋体" w:hAnsi="宋体" w:cs="宋体"/>
          <w:bCs/>
          <w:color w:val="000000" w:themeColor="text1"/>
          <w:sz w:val="30"/>
          <w:szCs w:val="30"/>
          <w14:textFill>
            <w14:solidFill>
              <w14:schemeClr w14:val="tx1"/>
            </w14:solidFill>
          </w14:textFill>
        </w:rPr>
      </w:pPr>
    </w:p>
    <w:p w14:paraId="1CFDC5DD">
      <w:pPr>
        <w:pStyle w:val="10"/>
        <w:snapToGrid w:val="0"/>
        <w:spacing w:before="50" w:after="50"/>
        <w:ind w:firstLine="450" w:firstLineChars="150"/>
        <w:jc w:val="center"/>
        <w:rPr>
          <w:rFonts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 xml:space="preserve">                          年    月    日</w:t>
      </w:r>
    </w:p>
    <w:p w14:paraId="2994FC75">
      <w:pPr>
        <w:snapToGrid w:val="0"/>
        <w:spacing w:beforeLines="50" w:after="50"/>
        <w:outlineLvl w:val="1"/>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br w:type="page"/>
      </w:r>
      <w:bookmarkEnd w:id="24"/>
      <w:bookmarkStart w:id="25" w:name="_Toc1763"/>
      <w:r>
        <w:rPr>
          <w:rFonts w:hint="eastAsia" w:ascii="宋体" w:hAnsi="宋体" w:cs="宋体"/>
          <w:b/>
          <w:bCs/>
          <w:color w:val="000000" w:themeColor="text1"/>
          <w:szCs w:val="21"/>
          <w14:textFill>
            <w14:solidFill>
              <w14:schemeClr w14:val="tx1"/>
            </w14:solidFill>
          </w14:textFill>
        </w:rPr>
        <w:t>二、响应文件格式</w:t>
      </w:r>
      <w:bookmarkEnd w:id="25"/>
    </w:p>
    <w:p w14:paraId="03394F8A">
      <w:pPr>
        <w:snapToGrid w:val="0"/>
        <w:spacing w:beforeLines="50" w:after="50"/>
        <w:rPr>
          <w:rFonts w:ascii="宋体" w:hAnsi="宋体" w:cs="宋体"/>
          <w:b/>
          <w:bCs/>
          <w:color w:val="000000" w:themeColor="text1"/>
          <w:szCs w:val="21"/>
          <w14:textFill>
            <w14:solidFill>
              <w14:schemeClr w14:val="tx1"/>
            </w14:solidFill>
          </w14:textFill>
        </w:rPr>
      </w:pPr>
    </w:p>
    <w:p w14:paraId="66CEB834">
      <w:pPr>
        <w:snapToGrid w:val="0"/>
        <w:spacing w:beforeLines="50" w:after="5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1、资格证明文件格式：</w:t>
      </w:r>
    </w:p>
    <w:p w14:paraId="373C2E54">
      <w:pPr>
        <w:spacing w:line="240" w:lineRule="atLeast"/>
        <w:jc w:val="center"/>
        <w:rPr>
          <w:rFonts w:ascii="宋体" w:hAnsi="宋体" w:cs="宋体"/>
          <w:b/>
          <w:color w:val="000000" w:themeColor="text1"/>
          <w:sz w:val="32"/>
          <w:szCs w:val="32"/>
          <w14:textFill>
            <w14:solidFill>
              <w14:schemeClr w14:val="tx1"/>
            </w14:solidFill>
          </w14:textFill>
        </w:rPr>
      </w:pPr>
    </w:p>
    <w:p w14:paraId="7B02D034">
      <w:pPr>
        <w:spacing w:line="240" w:lineRule="atLeast"/>
        <w:jc w:val="center"/>
        <w:rPr>
          <w:rFonts w:ascii="宋体" w:hAnsi="宋体" w:cs="宋体"/>
          <w:b/>
          <w:color w:val="000000" w:themeColor="text1"/>
          <w:sz w:val="32"/>
          <w:szCs w:val="32"/>
          <w14:textFill>
            <w14:solidFill>
              <w14:schemeClr w14:val="tx1"/>
            </w14:solidFill>
          </w14:textFill>
        </w:rPr>
      </w:pPr>
    </w:p>
    <w:p w14:paraId="7AFB1AD4">
      <w:pPr>
        <w:snapToGrid w:val="0"/>
        <w:spacing w:beforeLines="50" w:after="50" w:line="280" w:lineRule="exact"/>
        <w:ind w:firstLine="8" w:firstLineChars="3"/>
        <w:jc w:val="righ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电子响应文件</w:t>
      </w:r>
    </w:p>
    <w:p w14:paraId="0AF03930">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392649FD">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2F9E43D7">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19F3E04D">
      <w:pPr>
        <w:snapToGrid w:val="0"/>
        <w:spacing w:beforeLines="50" w:after="50"/>
        <w:ind w:firstLine="13" w:firstLineChars="3"/>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响应文件</w:t>
      </w:r>
    </w:p>
    <w:p w14:paraId="50297822">
      <w:pPr>
        <w:snapToGrid w:val="0"/>
        <w:spacing w:beforeLines="50" w:after="50"/>
        <w:ind w:firstLine="9" w:firstLineChars="3"/>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（资格证明文件）</w:t>
      </w:r>
    </w:p>
    <w:p w14:paraId="0F1A2D48">
      <w:pPr>
        <w:snapToGrid w:val="0"/>
        <w:spacing w:beforeLines="50" w:after="50"/>
        <w:rPr>
          <w:rFonts w:ascii="宋体" w:hAnsi="宋体" w:cs="宋体"/>
          <w:bCs/>
          <w:color w:val="000000" w:themeColor="text1"/>
          <w:szCs w:val="21"/>
          <w14:textFill>
            <w14:solidFill>
              <w14:schemeClr w14:val="tx1"/>
            </w14:solidFill>
          </w14:textFill>
        </w:rPr>
      </w:pPr>
    </w:p>
    <w:p w14:paraId="3DDAE64B">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项目名称：</w:t>
      </w:r>
    </w:p>
    <w:p w14:paraId="314E061E">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5BF3B8EC">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项目编号：</w:t>
      </w:r>
    </w:p>
    <w:p w14:paraId="469D045A">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 xml:space="preserve"> </w:t>
      </w:r>
    </w:p>
    <w:p w14:paraId="030B13BE">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标    项：（如有则填写，无分标时填写“无”或者留空）</w:t>
      </w:r>
    </w:p>
    <w:p w14:paraId="05AE23F4">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662D8115">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供应商名称：</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（加盖单位电子公章）</w:t>
      </w:r>
    </w:p>
    <w:p w14:paraId="7DBA3587">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p>
    <w:p w14:paraId="1EF12D1E">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供应商地址：</w:t>
      </w:r>
    </w:p>
    <w:p w14:paraId="2CA3E94F">
      <w:pPr>
        <w:pStyle w:val="10"/>
        <w:snapToGrid w:val="0"/>
        <w:spacing w:before="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2433E1A3">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5912D461">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6358C05C">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2890443A">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3FCA702C">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年   月   日</w:t>
      </w:r>
    </w:p>
    <w:p w14:paraId="2EF29F96">
      <w:pPr>
        <w:snapToGrid w:val="0"/>
        <w:spacing w:before="50" w:after="50"/>
        <w:rPr>
          <w:rFonts w:ascii="宋体" w:hAnsi="宋体" w:cs="宋体"/>
          <w:b/>
          <w:color w:val="000000" w:themeColor="text1"/>
          <w:szCs w:val="21"/>
          <w14:textFill>
            <w14:solidFill>
              <w14:schemeClr w14:val="tx1"/>
            </w14:solidFill>
          </w14:textFill>
        </w:rPr>
      </w:pPr>
    </w:p>
    <w:p w14:paraId="6FE9AE1B">
      <w:pPr>
        <w:snapToGrid w:val="0"/>
        <w:spacing w:beforeLines="50" w:after="50" w:line="33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14:paraId="5FF00329">
      <w:pPr>
        <w:snapToGrid w:val="0"/>
        <w:spacing w:beforeLines="50" w:after="50" w:line="330" w:lineRule="exact"/>
        <w:jc w:val="center"/>
        <w:rPr>
          <w:rFonts w:ascii="宋体" w:hAnsi="宋体" w:cs="宋体"/>
          <w:b/>
          <w:color w:val="000000" w:themeColor="text1"/>
          <w:szCs w:val="21"/>
          <w14:textFill>
            <w14:solidFill>
              <w14:schemeClr w14:val="tx1"/>
            </w14:solidFill>
          </w14:textFill>
        </w:rPr>
      </w:pPr>
    </w:p>
    <w:p w14:paraId="7999B625">
      <w:pPr>
        <w:snapToGrid w:val="0"/>
        <w:spacing w:beforeLines="50" w:after="50" w:line="33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目录</w:t>
      </w:r>
    </w:p>
    <w:p w14:paraId="100282E4">
      <w:pPr>
        <w:tabs>
          <w:tab w:val="left" w:pos="2625"/>
        </w:tabs>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(供应商需根据响应文件自行编制目录及页码)</w:t>
      </w:r>
    </w:p>
    <w:p w14:paraId="72A0FA30">
      <w:pPr>
        <w:widowControl/>
        <w:spacing w:line="360" w:lineRule="exact"/>
        <w:rPr>
          <w:rFonts w:ascii="宋体" w:hAnsi="宋体"/>
          <w:b/>
          <w:bCs/>
          <w:color w:val="000000" w:themeColor="text1"/>
          <w:sz w:val="24"/>
          <w14:textFill>
            <w14:solidFill>
              <w14:schemeClr w14:val="tx1"/>
            </w14:solidFill>
          </w14:textFill>
        </w:rPr>
      </w:pPr>
    </w:p>
    <w:p w14:paraId="1D433406">
      <w:pPr>
        <w:tabs>
          <w:tab w:val="left" w:pos="2625"/>
        </w:tabs>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一、谈判声明书格式</w:t>
      </w:r>
    </w:p>
    <w:p w14:paraId="6B7C5589">
      <w:pPr>
        <w:spacing w:line="320" w:lineRule="exact"/>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谈判声明书</w:t>
      </w:r>
    </w:p>
    <w:p w14:paraId="07B1EFCB">
      <w:pPr>
        <w:pStyle w:val="21"/>
        <w:spacing w:line="360" w:lineRule="exact"/>
        <w:rPr>
          <w:rFonts w:hAnsi="宋体" w:cs="宋体"/>
          <w:color w:val="000000" w:themeColor="text1"/>
          <w:sz w:val="21"/>
          <w:szCs w:val="21"/>
          <w14:textFill>
            <w14:solidFill>
              <w14:schemeClr w14:val="tx1"/>
            </w14:solidFill>
          </w14:textFill>
        </w:rPr>
      </w:pPr>
      <w:r>
        <w:rPr>
          <w:rFonts w:hint="eastAsia" w:hAnsi="宋体"/>
          <w:color w:val="000000" w:themeColor="text1"/>
          <w:sz w:val="21"/>
          <w14:textFill>
            <w14:solidFill>
              <w14:schemeClr w14:val="tx1"/>
            </w14:solidFill>
          </w14:textFill>
        </w:rPr>
        <w:t>致：</w:t>
      </w:r>
      <w:r>
        <w:rPr>
          <w:rFonts w:hint="eastAsia" w:hAnsi="宋体"/>
          <w:color w:val="000000" w:themeColor="text1"/>
          <w:sz w:val="21"/>
          <w:u w:val="single"/>
          <w14:textFill>
            <w14:solidFill>
              <w14:schemeClr w14:val="tx1"/>
            </w14:solidFill>
          </w14:textFill>
        </w:rPr>
        <w:t xml:space="preserve">              </w:t>
      </w:r>
      <w:r>
        <w:rPr>
          <w:rFonts w:hint="eastAsia" w:hAnsi="宋体"/>
          <w:color w:val="000000" w:themeColor="text1"/>
          <w:sz w:val="21"/>
          <w14:textFill>
            <w14:solidFill>
              <w14:schemeClr w14:val="tx1"/>
            </w14:solidFill>
          </w14:textFill>
        </w:rPr>
        <w:t>（采购人单位名称）：</w:t>
      </w:r>
    </w:p>
    <w:p w14:paraId="6061AFDB">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我方愿意参加贵方组织的</w:t>
      </w:r>
      <w:r>
        <w:rPr>
          <w:rFonts w:hint="eastAsia" w:ascii="宋体" w:hAnsi="宋体" w:cs="宋体"/>
          <w:color w:val="000000" w:themeColor="text1"/>
          <w:szCs w:val="21"/>
          <w:u w:val="single"/>
          <w14:textFill>
            <w14:solidFill>
              <w14:schemeClr w14:val="tx1"/>
            </w14:solidFill>
          </w14:textFill>
        </w:rPr>
        <w:t xml:space="preserve">   （项目名称）  </w:t>
      </w:r>
      <w:r>
        <w:rPr>
          <w:rFonts w:hint="eastAsia" w:ascii="宋体" w:hAnsi="宋体" w:cs="宋体"/>
          <w:color w:val="000000" w:themeColor="text1"/>
          <w:szCs w:val="21"/>
          <w14:textFill>
            <w14:solidFill>
              <w14:schemeClr w14:val="tx1"/>
            </w14:solidFill>
          </w14:textFill>
        </w:rPr>
        <w:t>项目的竞标，为便于贵方公正、择优地确定成交供应商及其竞标产品和服务，我方就本次竞标有关事项郑重声明如下：</w:t>
      </w:r>
    </w:p>
    <w:p w14:paraId="300F0DF8">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1.我方向贵方提交的所有响应文件、资料都是准确的和真实的。</w:t>
      </w:r>
    </w:p>
    <w:p w14:paraId="386EA7B8">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B70F097">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3.在此，我方宣布同意如下：</w:t>
      </w:r>
    </w:p>
    <w:p w14:paraId="1AB279F5">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（1）将按谈判文件的约定履行合同责任和义务；</w:t>
      </w:r>
    </w:p>
    <w:p w14:paraId="1BB553A2">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（2）已详细审查全部谈判文件，包括澄清或者更正公告（如有）；</w:t>
      </w:r>
    </w:p>
    <w:p w14:paraId="257C0E8D">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（3）同意提供按照贵方可能要求的与谈判有关的一切数据或者资料；</w:t>
      </w:r>
    </w:p>
    <w:p w14:paraId="6C396759">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（4）响应谈判文件规定的响应文件有效期。</w:t>
      </w:r>
    </w:p>
    <w:p w14:paraId="5875E2A4">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4.我方承诺符合《中华人民共和国政府采购法》第二十二条规定：</w:t>
      </w:r>
    </w:p>
    <w:p w14:paraId="12E3B707">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（1）具有独立承担民事责任的能力；</w:t>
      </w:r>
    </w:p>
    <w:p w14:paraId="0CEAE8CC">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（2）具有良好的商业信誉和健全的财务会计制度；</w:t>
      </w:r>
    </w:p>
    <w:p w14:paraId="2D406068">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（3）具有履行合同所必需的设备和专业技术能力；</w:t>
      </w:r>
    </w:p>
    <w:p w14:paraId="65A14525">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（4）有依法缴纳税收和社会保障资金的良好记录；</w:t>
      </w:r>
    </w:p>
    <w:p w14:paraId="66B2D92D">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（5）参加政府采购活动前三年内，在经营活动中没有重大违法记录；</w:t>
      </w:r>
    </w:p>
    <w:p w14:paraId="3999C288">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（6）法律、行政法规规定的其他条件。</w:t>
      </w:r>
    </w:p>
    <w:p w14:paraId="4A533F46">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B25C2D">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B5EBD32">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□我方本次响应文件内容中未涉及商业秘密；</w:t>
      </w:r>
    </w:p>
    <w:p w14:paraId="32FCE878">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□我方本次响应文件涉及商业秘密的内容有： </w:t>
      </w:r>
    </w:p>
    <w:p w14:paraId="7DCA0373">
      <w:pPr>
        <w:snapToGrid w:val="0"/>
        <w:spacing w:before="50" w:after="5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7.以上事项如有虚假或者隐瞒，我方愿意承担一切后果，并不再寻求任何旨在减轻或者免除法律责任的辩解。</w:t>
      </w:r>
    </w:p>
    <w:p w14:paraId="64B92141">
      <w:pPr>
        <w:pStyle w:val="21"/>
        <w:jc w:val="righ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14:textFill>
            <w14:solidFill>
              <w14:schemeClr w14:val="tx1"/>
            </w14:solidFill>
          </w14:textFill>
        </w:rPr>
        <w:t>供应商名称（电子签章）：</w:t>
      </w:r>
    </w:p>
    <w:p w14:paraId="483026C8">
      <w:pPr>
        <w:snapToGrid w:val="0"/>
        <w:spacing w:before="50" w:after="50"/>
        <w:ind w:left="-6" w:leftChars="-3" w:right="-817" w:rightChars="-389" w:firstLine="6720" w:firstLineChars="3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5086529B">
      <w:pPr>
        <w:ind w:firstLine="363" w:firstLineChars="202"/>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说明：</w:t>
      </w:r>
    </w:p>
    <w:p w14:paraId="09B0CBBD">
      <w:pPr>
        <w:ind w:firstLine="363" w:firstLineChars="202"/>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供应商可以自行通过</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“信用中国”（</w:t>
      </w:r>
      <w:r>
        <w:rPr>
          <w:color w:val="000000" w:themeColor="text1"/>
          <w:sz w:val="18"/>
          <w:szCs w:val="18"/>
          <w14:textFill>
            <w14:solidFill>
              <w14:schemeClr w14:val="tx1"/>
            </w14:solidFill>
          </w14:textFill>
        </w:rPr>
        <w:t>www.creditchina.gov.cn</w:t>
      </w:r>
      <w:r>
        <w:rPr>
          <w:rFonts w:hint="eastAsia"/>
          <w:color w:val="000000" w:themeColor="text1"/>
          <w:sz w:val="18"/>
          <w:szCs w:val="18"/>
          <w14:textFill>
            <w14:solidFill>
              <w14:schemeClr w14:val="tx1"/>
            </w14:solidFill>
          </w14:textFill>
        </w:rPr>
        <w:t>）和“中国政府采购网”网站（</w:t>
      </w:r>
      <w:r>
        <w:rPr>
          <w:color w:val="000000" w:themeColor="text1"/>
          <w:sz w:val="18"/>
          <w:szCs w:val="18"/>
          <w14:textFill>
            <w14:solidFill>
              <w14:schemeClr w14:val="tx1"/>
            </w14:solidFill>
          </w14:textFill>
        </w:rPr>
        <w:t>www.ccgp.gov.cn</w:t>
      </w:r>
      <w:r>
        <w:rPr>
          <w:rFonts w:hint="eastAsia"/>
          <w:color w:val="000000" w:themeColor="text1"/>
          <w:sz w:val="18"/>
          <w:szCs w:val="18"/>
          <w14:textFill>
            <w14:solidFill>
              <w14:schemeClr w14:val="tx1"/>
            </w14:solidFill>
          </w14:textFill>
        </w:rPr>
        <w:t>）查询供应商相关主体的信用记录。查询时间为本项目投标截止时间前</w:t>
      </w: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日至投标截止时间中任意一天。在资格审查阶段经谈判小组查询，对列入失信被执行人、重大税收违法案件当事人名单、政府采购严重违法失信行为记录名单的供应商，将被拒绝参与本项目政府采购活动。</w:t>
      </w:r>
    </w:p>
    <w:p w14:paraId="6B88FBDC">
      <w:pPr>
        <w:ind w:firstLine="363" w:firstLineChars="202"/>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4650ED0">
      <w:pPr>
        <w:ind w:firstLine="363" w:firstLineChars="202"/>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如为联合体投标，盖章处须加盖联合体各方公章，否则投标无效。</w:t>
      </w:r>
    </w:p>
    <w:p w14:paraId="78C7A88B">
      <w:pPr>
        <w:ind w:firstLine="363" w:firstLineChars="202"/>
        <w:rPr>
          <w:color w:val="000000" w:themeColor="text1"/>
          <w:sz w:val="18"/>
          <w:szCs w:val="18"/>
          <w14:textFill>
            <w14:solidFill>
              <w14:schemeClr w14:val="tx1"/>
            </w14:solidFill>
          </w14:textFill>
        </w:rPr>
      </w:pPr>
    </w:p>
    <w:p w14:paraId="23893273">
      <w:pPr>
        <w:ind w:firstLine="363" w:firstLineChars="202"/>
        <w:rPr>
          <w:color w:val="000000" w:themeColor="text1"/>
          <w:sz w:val="18"/>
          <w:szCs w:val="18"/>
          <w14:textFill>
            <w14:solidFill>
              <w14:schemeClr w14:val="tx1"/>
            </w14:solidFill>
          </w14:textFill>
        </w:rPr>
      </w:pPr>
    </w:p>
    <w:p w14:paraId="552D27DB">
      <w:pPr>
        <w:ind w:firstLine="363" w:firstLineChars="202"/>
        <w:rPr>
          <w:color w:val="000000" w:themeColor="text1"/>
          <w:sz w:val="18"/>
          <w:szCs w:val="18"/>
          <w14:textFill>
            <w14:solidFill>
              <w14:schemeClr w14:val="tx1"/>
            </w14:solidFill>
          </w14:textFill>
        </w:rPr>
      </w:pPr>
    </w:p>
    <w:p w14:paraId="49F9E46B">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二、政府采购供应商资格信用承诺函格式</w:t>
      </w:r>
    </w:p>
    <w:p w14:paraId="3A6F2603">
      <w:pPr>
        <w:autoSpaceDE w:val="0"/>
        <w:autoSpaceDN w:val="0"/>
        <w:adjustRightInd w:val="0"/>
        <w:spacing w:line="400" w:lineRule="exact"/>
        <w:jc w:val="left"/>
        <w:rPr>
          <w:rFonts w:ascii="宋体" w:hAnsi="宋体" w:cs="宋体"/>
          <w:b/>
          <w:bCs/>
          <w:color w:val="000000" w:themeColor="text1"/>
          <w:szCs w:val="21"/>
          <w14:textFill>
            <w14:solidFill>
              <w14:schemeClr w14:val="tx1"/>
            </w14:solidFill>
          </w14:textFill>
        </w:rPr>
      </w:pPr>
    </w:p>
    <w:p w14:paraId="573EA85C">
      <w:pPr>
        <w:autoSpaceDE w:val="0"/>
        <w:autoSpaceDN w:val="0"/>
        <w:adjustRightInd w:val="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政府采购供应商资格信用承诺函</w:t>
      </w:r>
    </w:p>
    <w:p w14:paraId="175C967C">
      <w:pPr>
        <w:pStyle w:val="31"/>
        <w:rPr>
          <w:rFonts w:ascii="宋体" w:hAnsi="宋体" w:cs="宋体"/>
          <w:color w:val="000000" w:themeColor="text1"/>
          <w:sz w:val="21"/>
          <w:szCs w:val="21"/>
          <w14:textFill>
            <w14:solidFill>
              <w14:schemeClr w14:val="tx1"/>
            </w14:solidFill>
          </w14:textFill>
        </w:rPr>
      </w:pPr>
    </w:p>
    <w:p w14:paraId="1D10C9D4">
      <w:pPr>
        <w:autoSpaceDE w:val="0"/>
        <w:autoSpaceDN w:val="0"/>
        <w:adjustRightInd w:val="0"/>
        <w:spacing w:line="400" w:lineRule="exac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致：</w:t>
      </w:r>
      <w:r>
        <w:rPr>
          <w:rFonts w:hint="eastAsia" w:ascii="宋体" w:hAnsi="宋体" w:cs="宋体"/>
          <w:color w:val="000000" w:themeColor="text1"/>
          <w:spacing w:val="6"/>
          <w:szCs w:val="21"/>
          <w:u w:val="single"/>
          <w14:textFill>
            <w14:solidFill>
              <w14:schemeClr w14:val="tx1"/>
            </w14:solidFill>
          </w14:textFill>
        </w:rPr>
        <w:t>（采购人名称）、（代理机构名称）</w:t>
      </w:r>
      <w:r>
        <w:rPr>
          <w:rFonts w:hint="eastAsia" w:ascii="宋体" w:hAnsi="宋体" w:cs="宋体"/>
          <w:color w:val="000000" w:themeColor="text1"/>
          <w:spacing w:val="6"/>
          <w:szCs w:val="21"/>
          <w14:textFill>
            <w14:solidFill>
              <w14:schemeClr w14:val="tx1"/>
            </w14:solidFill>
          </w14:textFill>
        </w:rPr>
        <w:t>：</w:t>
      </w:r>
    </w:p>
    <w:p w14:paraId="40C3DCFF">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我方自愿参加</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项目（项目编号：</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 xml:space="preserve">）的政府采购活动，并郑重承诺我方符合《中华人民共和国政府采购法》第二十二条规定的条件： </w:t>
      </w:r>
    </w:p>
    <w:p w14:paraId="7DA3D930">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（一）具有独立承担民事责任的能力； </w:t>
      </w:r>
    </w:p>
    <w:p w14:paraId="05F68E23">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（二）具有良好的商业信誉和健全的财务会计制度； </w:t>
      </w:r>
    </w:p>
    <w:p w14:paraId="1F94DC80">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（三）具有履行合同所必需的设备和专业技术能力； </w:t>
      </w:r>
    </w:p>
    <w:p w14:paraId="79144312">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（四）有依法缴纳税收和社会保障资金的良好记录； </w:t>
      </w:r>
    </w:p>
    <w:p w14:paraId="543E2551">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（五）参加政府采购活动前三年内，在经营活动中没有重大违法记录； </w:t>
      </w:r>
    </w:p>
    <w:p w14:paraId="44529C57">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（六）法律、行政法规规定的其他条件。 </w:t>
      </w:r>
    </w:p>
    <w:p w14:paraId="5F81F4CF">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我方保证上述承诺事项的真实性，如有弄虚作假或其他违法违规行为，愿意承担一切法律责任，并承担因此所造成的一切损失。 </w:t>
      </w:r>
    </w:p>
    <w:p w14:paraId="1BB78ED4">
      <w:pPr>
        <w:autoSpaceDE w:val="0"/>
        <w:autoSpaceDN w:val="0"/>
        <w:adjustRightInd w:val="0"/>
        <w:spacing w:line="400" w:lineRule="exact"/>
        <w:ind w:firstLine="640"/>
        <w:rPr>
          <w:rFonts w:ascii="宋体" w:hAnsi="宋体" w:cs="宋体"/>
          <w:color w:val="000000" w:themeColor="text1"/>
          <w:spacing w:val="6"/>
          <w:szCs w:val="21"/>
          <w14:textFill>
            <w14:solidFill>
              <w14:schemeClr w14:val="tx1"/>
            </w14:solidFill>
          </w14:textFill>
        </w:rPr>
      </w:pPr>
      <w:r>
        <w:rPr>
          <w:rFonts w:hint="eastAsia" w:ascii="宋体" w:hAnsi="宋体" w:cs="宋体"/>
          <w:b/>
          <w:bCs/>
          <w:color w:val="000000" w:themeColor="text1"/>
          <w:spacing w:val="6"/>
          <w:szCs w:val="21"/>
          <w14:textFill>
            <w14:solidFill>
              <w14:schemeClr w14:val="tx1"/>
            </w14:solidFill>
          </w14:textFill>
        </w:rPr>
        <w:t>特此声明！</w:t>
      </w:r>
      <w:r>
        <w:rPr>
          <w:rFonts w:hint="eastAsia" w:ascii="宋体" w:hAnsi="宋体" w:cs="宋体"/>
          <w:color w:val="000000" w:themeColor="text1"/>
          <w:spacing w:val="6"/>
          <w:szCs w:val="21"/>
          <w14:textFill>
            <w14:solidFill>
              <w14:schemeClr w14:val="tx1"/>
            </w14:solidFill>
          </w14:textFill>
        </w:rPr>
        <w:t xml:space="preserve"> </w:t>
      </w:r>
    </w:p>
    <w:p w14:paraId="2ED44F67">
      <w:pPr>
        <w:pStyle w:val="2"/>
        <w:spacing w:line="400" w:lineRule="exact"/>
        <w:ind w:firstLine="444"/>
        <w:rPr>
          <w:rFonts w:ascii="宋体" w:hAnsi="宋体" w:cs="宋体"/>
          <w:color w:val="000000" w:themeColor="text1"/>
          <w:spacing w:val="6"/>
          <w:szCs w:val="21"/>
          <w14:textFill>
            <w14:solidFill>
              <w14:schemeClr w14:val="tx1"/>
            </w14:solidFill>
          </w14:textFill>
        </w:rPr>
      </w:pPr>
    </w:p>
    <w:p w14:paraId="1787BF08">
      <w:pPr>
        <w:spacing w:line="400" w:lineRule="exact"/>
        <w:rPr>
          <w:rFonts w:ascii="宋体" w:hAnsi="宋体" w:cs="宋体"/>
          <w:color w:val="000000" w:themeColor="text1"/>
          <w:szCs w:val="21"/>
          <w14:textFill>
            <w14:solidFill>
              <w14:schemeClr w14:val="tx1"/>
            </w14:solidFill>
          </w14:textFill>
        </w:rPr>
      </w:pPr>
    </w:p>
    <w:p w14:paraId="5300870B">
      <w:pPr>
        <w:spacing w:line="400" w:lineRule="exact"/>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法定代表人或委托代理人</w:t>
      </w:r>
      <w:r>
        <w:rPr>
          <w:rFonts w:hint="eastAsia" w:ascii="宋体" w:hAnsi="宋体" w:cs="宋体"/>
          <w:b/>
          <w:bCs/>
          <w:color w:val="000000" w:themeColor="text1"/>
          <w:szCs w:val="21"/>
          <w14:textFill>
            <w14:solidFill>
              <w14:schemeClr w14:val="tx1"/>
            </w14:solidFill>
          </w14:textFill>
        </w:rPr>
        <w:t>（签字）：</w:t>
      </w:r>
      <w:r>
        <w:rPr>
          <w:rFonts w:hint="eastAsia" w:ascii="宋体" w:hAnsi="宋体" w:cs="宋体"/>
          <w:color w:val="000000" w:themeColor="text1"/>
          <w:szCs w:val="21"/>
          <w:u w:val="single"/>
          <w14:textFill>
            <w14:solidFill>
              <w14:schemeClr w14:val="tx1"/>
            </w14:solidFill>
          </w14:textFill>
        </w:rPr>
        <w:t xml:space="preserve">                  </w:t>
      </w:r>
    </w:p>
    <w:p w14:paraId="12A77614">
      <w:pPr>
        <w:spacing w:line="400" w:lineRule="exact"/>
        <w:jc w:val="center"/>
        <w:rPr>
          <w:rFonts w:ascii="宋体" w:hAnsi="宋体" w:cs="宋体"/>
          <w:color w:val="000000" w:themeColor="text1"/>
          <w:szCs w:val="21"/>
          <w:u w:val="single"/>
          <w14:textFill>
            <w14:solidFill>
              <w14:schemeClr w14:val="tx1"/>
            </w14:solidFill>
          </w14:textFill>
        </w:rPr>
      </w:pPr>
    </w:p>
    <w:p w14:paraId="132B7967">
      <w:pPr>
        <w:pStyle w:val="21"/>
        <w:spacing w:line="400" w:lineRule="exact"/>
        <w:ind w:firstLine="3570" w:firstLineChars="17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政府采购供应商</w:t>
      </w:r>
      <w:r>
        <w:rPr>
          <w:rFonts w:hint="eastAsia" w:hAnsi="宋体" w:cs="宋体"/>
          <w:b/>
          <w:bCs/>
          <w:color w:val="000000" w:themeColor="text1"/>
          <w:sz w:val="21"/>
          <w14:textFill>
            <w14:solidFill>
              <w14:schemeClr w14:val="tx1"/>
            </w14:solidFill>
          </w14:textFill>
        </w:rPr>
        <w:t>（CA电子签章）</w:t>
      </w:r>
      <w:r>
        <w:rPr>
          <w:rFonts w:hint="eastAsia" w:hAnsi="宋体" w:cs="宋体"/>
          <w:color w:val="000000" w:themeColor="text1"/>
          <w:sz w:val="21"/>
          <w14:textFill>
            <w14:solidFill>
              <w14:schemeClr w14:val="tx1"/>
            </w14:solidFill>
          </w14:textFill>
        </w:rPr>
        <w:t>：</w:t>
      </w:r>
      <w:r>
        <w:rPr>
          <w:rFonts w:hint="eastAsia" w:hAnsi="宋体" w:cs="宋体"/>
          <w:color w:val="000000" w:themeColor="text1"/>
          <w:sz w:val="21"/>
          <w:u w:val="single"/>
          <w14:textFill>
            <w14:solidFill>
              <w14:schemeClr w14:val="tx1"/>
            </w14:solidFill>
          </w14:textFill>
        </w:rPr>
        <w:t xml:space="preserve">                </w:t>
      </w:r>
    </w:p>
    <w:p w14:paraId="3CAC25E2">
      <w:pPr>
        <w:pStyle w:val="21"/>
        <w:spacing w:line="400" w:lineRule="exact"/>
        <w:rPr>
          <w:rFonts w:hAnsi="宋体" w:cs="宋体"/>
          <w:color w:val="000000" w:themeColor="text1"/>
          <w:sz w:val="21"/>
          <w14:textFill>
            <w14:solidFill>
              <w14:schemeClr w14:val="tx1"/>
            </w14:solidFill>
          </w14:textFill>
        </w:rPr>
      </w:pPr>
    </w:p>
    <w:p w14:paraId="338F5618">
      <w:pPr>
        <w:pStyle w:val="21"/>
        <w:spacing w:line="400" w:lineRule="exact"/>
        <w:jc w:val="right"/>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日期：       年   月   日</w:t>
      </w:r>
    </w:p>
    <w:p w14:paraId="62B7AC0A">
      <w:pPr>
        <w:snapToGrid w:val="0"/>
        <w:spacing w:beforeLines="50" w:after="50" w:line="400" w:lineRule="exact"/>
        <w:rPr>
          <w:rFonts w:ascii="宋体" w:hAnsi="宋体" w:cs="宋体"/>
          <w:b/>
          <w:color w:val="000000" w:themeColor="text1"/>
          <w14:textFill>
            <w14:solidFill>
              <w14:schemeClr w14:val="tx1"/>
            </w14:solidFill>
          </w14:textFill>
        </w:rPr>
      </w:pPr>
    </w:p>
    <w:p w14:paraId="7B936666">
      <w:pPr>
        <w:snapToGrid w:val="0"/>
        <w:spacing w:beforeLines="50" w:after="50" w:line="400" w:lineRule="exact"/>
        <w:rPr>
          <w:rFonts w:ascii="宋体" w:hAnsi="宋体" w:cs="宋体"/>
          <w:b/>
          <w:color w:val="000000" w:themeColor="text1"/>
          <w14:textFill>
            <w14:solidFill>
              <w14:schemeClr w14:val="tx1"/>
            </w14:solidFill>
          </w14:textFill>
        </w:rPr>
      </w:pPr>
    </w:p>
    <w:p w14:paraId="79F8EB0D">
      <w:pPr>
        <w:snapToGrid w:val="0"/>
        <w:spacing w:beforeLines="50" w:after="50" w:line="400" w:lineRule="exact"/>
        <w:rPr>
          <w:rFonts w:ascii="宋体" w:hAnsi="宋体" w:cs="宋体"/>
          <w:b/>
          <w:color w:val="000000" w:themeColor="text1"/>
          <w14:textFill>
            <w14:solidFill>
              <w14:schemeClr w14:val="tx1"/>
            </w14:solidFill>
          </w14:textFill>
        </w:rPr>
      </w:pPr>
    </w:p>
    <w:p w14:paraId="37EA0462">
      <w:pPr>
        <w:snapToGrid w:val="0"/>
        <w:spacing w:beforeLines="50" w:after="50" w:line="400" w:lineRule="exact"/>
        <w:rPr>
          <w:rFonts w:ascii="宋体" w:hAnsi="宋体" w:cs="宋体"/>
          <w:b/>
          <w:color w:val="000000" w:themeColor="text1"/>
          <w14:textFill>
            <w14:solidFill>
              <w14:schemeClr w14:val="tx1"/>
            </w14:solidFill>
          </w14:textFill>
        </w:rPr>
      </w:pPr>
    </w:p>
    <w:p w14:paraId="7AC1AFDC">
      <w:pPr>
        <w:snapToGrid w:val="0"/>
        <w:spacing w:beforeLines="50" w:after="50" w:line="400" w:lineRule="exact"/>
        <w:rPr>
          <w:rFonts w:ascii="宋体" w:hAnsi="宋体" w:cs="宋体"/>
          <w:b/>
          <w:color w:val="000000" w:themeColor="text1"/>
          <w14:textFill>
            <w14:solidFill>
              <w14:schemeClr w14:val="tx1"/>
            </w14:solidFill>
          </w14:textFill>
        </w:rPr>
      </w:pPr>
    </w:p>
    <w:p w14:paraId="2EFA7F63">
      <w:pPr>
        <w:snapToGrid w:val="0"/>
        <w:spacing w:beforeLines="50" w:after="50" w:line="400" w:lineRule="exact"/>
        <w:rPr>
          <w:rFonts w:ascii="宋体" w:hAnsi="宋体" w:cs="宋体"/>
          <w:b/>
          <w:color w:val="000000" w:themeColor="text1"/>
          <w14:textFill>
            <w14:solidFill>
              <w14:schemeClr w14:val="tx1"/>
            </w14:solidFill>
          </w14:textFill>
        </w:rPr>
      </w:pPr>
    </w:p>
    <w:p w14:paraId="75F0D696">
      <w:pPr>
        <w:snapToGrid w:val="0"/>
        <w:spacing w:beforeLines="50" w:after="50" w:line="400" w:lineRule="exact"/>
        <w:rPr>
          <w:rFonts w:ascii="宋体" w:hAnsi="宋体" w:cs="宋体"/>
          <w:b/>
          <w:color w:val="000000" w:themeColor="text1"/>
          <w14:textFill>
            <w14:solidFill>
              <w14:schemeClr w14:val="tx1"/>
            </w14:solidFill>
          </w14:textFill>
        </w:rPr>
      </w:pPr>
    </w:p>
    <w:p w14:paraId="64FAB458">
      <w:pPr>
        <w:snapToGrid w:val="0"/>
        <w:spacing w:beforeLines="50" w:after="50" w:line="400" w:lineRule="exact"/>
        <w:rPr>
          <w:rFonts w:ascii="宋体" w:hAnsi="宋体" w:cs="宋体"/>
          <w:b/>
          <w:color w:val="000000" w:themeColor="text1"/>
          <w14:textFill>
            <w14:solidFill>
              <w14:schemeClr w14:val="tx1"/>
            </w14:solidFill>
          </w14:textFill>
        </w:rPr>
      </w:pPr>
    </w:p>
    <w:p w14:paraId="6EB3C201">
      <w:pPr>
        <w:snapToGrid w:val="0"/>
        <w:spacing w:beforeLines="50" w:after="50" w:line="400" w:lineRule="exact"/>
        <w:rPr>
          <w:rFonts w:ascii="宋体" w:hAnsi="宋体" w:cs="宋体"/>
          <w:b/>
          <w:color w:val="000000" w:themeColor="text1"/>
          <w14:textFill>
            <w14:solidFill>
              <w14:schemeClr w14:val="tx1"/>
            </w14:solidFill>
          </w14:textFill>
        </w:rPr>
      </w:pPr>
    </w:p>
    <w:p w14:paraId="7EB1688E">
      <w:pPr>
        <w:snapToGrid w:val="0"/>
        <w:spacing w:beforeLines="50" w:after="50" w:line="400" w:lineRule="exact"/>
        <w:rPr>
          <w:rFonts w:ascii="宋体" w:hAnsi="宋体"/>
          <w:b/>
          <w:bCs/>
          <w:color w:val="000000" w:themeColor="text1"/>
          <w:sz w:val="24"/>
          <w14:textFill>
            <w14:solidFill>
              <w14:schemeClr w14:val="tx1"/>
            </w14:solidFill>
          </w14:textFill>
        </w:rPr>
      </w:pPr>
      <w:r>
        <w:rPr>
          <w:rFonts w:hint="eastAsia" w:ascii="宋体" w:hAnsi="宋体" w:cs="宋体"/>
          <w:b/>
          <w:color w:val="000000" w:themeColor="text1"/>
          <w14:textFill>
            <w14:solidFill>
              <w14:schemeClr w14:val="tx1"/>
            </w14:solidFill>
          </w14:textFill>
        </w:rPr>
        <w:t>三、供应商直接控股、管理关系信息表格式</w:t>
      </w:r>
    </w:p>
    <w:p w14:paraId="10CBE871">
      <w:pPr>
        <w:snapToGrid w:val="0"/>
        <w:spacing w:before="50" w:afterLines="5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供应商直接控股股东信息表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5AA4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15C760">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EB8363">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503D27">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C64514">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1DB644">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6079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D53912">
            <w:pPr>
              <w:widowControl/>
              <w:wordWrap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C50EC2">
            <w:pPr>
              <w:widowControl/>
              <w:wordWrap w:val="0"/>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E60889">
            <w:pPr>
              <w:widowControl/>
              <w:wordWrap w:val="0"/>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7432EE">
            <w:pPr>
              <w:widowControl/>
              <w:wordWrap w:val="0"/>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CA8663">
            <w:pPr>
              <w:widowControl/>
              <w:wordWrap w:val="0"/>
              <w:spacing w:line="360" w:lineRule="auto"/>
              <w:jc w:val="center"/>
              <w:rPr>
                <w:rFonts w:ascii="宋体" w:hAnsi="宋体"/>
                <w:color w:val="000000" w:themeColor="text1"/>
                <w:szCs w:val="21"/>
                <w14:textFill>
                  <w14:solidFill>
                    <w14:schemeClr w14:val="tx1"/>
                  </w14:solidFill>
                </w14:textFill>
              </w:rPr>
            </w:pPr>
          </w:p>
        </w:tc>
      </w:tr>
      <w:tr w14:paraId="3711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89E83B">
            <w:pPr>
              <w:widowControl/>
              <w:wordWrap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C68DE8">
            <w:pPr>
              <w:widowControl/>
              <w:wordWrap w:val="0"/>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B80E9A">
            <w:pPr>
              <w:widowControl/>
              <w:wordWrap w:val="0"/>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CE4BAE">
            <w:pPr>
              <w:widowControl/>
              <w:wordWrap w:val="0"/>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23F80F">
            <w:pPr>
              <w:widowControl/>
              <w:wordWrap w:val="0"/>
              <w:spacing w:line="360" w:lineRule="auto"/>
              <w:jc w:val="center"/>
              <w:rPr>
                <w:rFonts w:ascii="宋体" w:hAnsi="宋体"/>
                <w:color w:val="000000" w:themeColor="text1"/>
                <w:szCs w:val="21"/>
                <w14:textFill>
                  <w14:solidFill>
                    <w14:schemeClr w14:val="tx1"/>
                  </w14:solidFill>
                </w14:textFill>
              </w:rPr>
            </w:pPr>
          </w:p>
        </w:tc>
      </w:tr>
      <w:tr w14:paraId="6C26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5C05DE">
            <w:pPr>
              <w:widowControl/>
              <w:wordWrap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6B06DA">
            <w:pPr>
              <w:widowControl/>
              <w:wordWrap w:val="0"/>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927BCF">
            <w:pPr>
              <w:widowControl/>
              <w:wordWrap w:val="0"/>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F3DC96">
            <w:pPr>
              <w:widowControl/>
              <w:wordWrap w:val="0"/>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78AC00">
            <w:pPr>
              <w:widowControl/>
              <w:wordWrap w:val="0"/>
              <w:spacing w:line="360" w:lineRule="auto"/>
              <w:jc w:val="center"/>
              <w:rPr>
                <w:rFonts w:ascii="宋体" w:hAnsi="宋体"/>
                <w:color w:val="000000" w:themeColor="text1"/>
                <w:szCs w:val="21"/>
                <w14:textFill>
                  <w14:solidFill>
                    <w14:schemeClr w14:val="tx1"/>
                  </w14:solidFill>
                </w14:textFill>
              </w:rPr>
            </w:pPr>
          </w:p>
        </w:tc>
      </w:tr>
    </w:tbl>
    <w:p w14:paraId="765375D8">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26487657">
      <w:pPr>
        <w:snapToGrid w:val="0"/>
        <w:spacing w:line="360" w:lineRule="auto"/>
        <w:ind w:firstLine="424" w:firstLineChars="20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44AD9B">
      <w:pPr>
        <w:snapToGrid w:val="0"/>
        <w:spacing w:line="360" w:lineRule="auto"/>
        <w:ind w:firstLine="424" w:firstLineChars="20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1BD75AAB">
      <w:pPr>
        <w:snapToGrid w:val="0"/>
        <w:spacing w:before="50" w:afterLines="50"/>
        <w:jc w:val="center"/>
        <w:rPr>
          <w:rFonts w:ascii="宋体" w:hAnsi="宋体"/>
          <w:color w:val="000000" w:themeColor="text1"/>
          <w:szCs w:val="21"/>
          <w14:textFill>
            <w14:solidFill>
              <w14:schemeClr w14:val="tx1"/>
            </w14:solidFill>
          </w14:textFill>
        </w:rPr>
      </w:pPr>
    </w:p>
    <w:p w14:paraId="5AC1F2C9">
      <w:pPr>
        <w:snapToGrid w:val="0"/>
        <w:spacing w:before="50" w:afterLines="50"/>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 w:val="24"/>
          <w14:textFill>
            <w14:solidFill>
              <w14:schemeClr w14:val="tx1"/>
            </w14:solidFill>
          </w14:textFill>
        </w:rPr>
        <w:t>供应商直接管理关系信息表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0FD0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1FBF22">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A7A22D">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E05A62">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505B77">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4F4C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7B3CDF">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0767DA">
            <w:pPr>
              <w:widowControl/>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FC4A80">
            <w:pPr>
              <w:widowControl/>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4A4721">
            <w:pPr>
              <w:widowControl/>
              <w:spacing w:line="360" w:lineRule="auto"/>
              <w:jc w:val="center"/>
              <w:rPr>
                <w:rFonts w:ascii="宋体" w:hAnsi="宋体"/>
                <w:color w:val="000000" w:themeColor="text1"/>
                <w:szCs w:val="21"/>
                <w14:textFill>
                  <w14:solidFill>
                    <w14:schemeClr w14:val="tx1"/>
                  </w14:solidFill>
                </w14:textFill>
              </w:rPr>
            </w:pPr>
          </w:p>
        </w:tc>
      </w:tr>
      <w:tr w14:paraId="5E9B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7F830A">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B24B16">
            <w:pPr>
              <w:widowControl/>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B16646">
            <w:pPr>
              <w:widowControl/>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F32193">
            <w:pPr>
              <w:widowControl/>
              <w:spacing w:line="360" w:lineRule="auto"/>
              <w:jc w:val="center"/>
              <w:rPr>
                <w:rFonts w:ascii="宋体" w:hAnsi="宋体"/>
                <w:color w:val="000000" w:themeColor="text1"/>
                <w:szCs w:val="21"/>
                <w14:textFill>
                  <w14:solidFill>
                    <w14:schemeClr w14:val="tx1"/>
                  </w14:solidFill>
                </w14:textFill>
              </w:rPr>
            </w:pPr>
          </w:p>
        </w:tc>
      </w:tr>
      <w:tr w14:paraId="4882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62C1AB">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10E931">
            <w:pPr>
              <w:widowControl/>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FC49D0">
            <w:pPr>
              <w:widowControl/>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3D94F7">
            <w:pPr>
              <w:widowControl/>
              <w:spacing w:line="360" w:lineRule="auto"/>
              <w:jc w:val="center"/>
              <w:rPr>
                <w:rFonts w:ascii="宋体" w:hAnsi="宋体"/>
                <w:color w:val="000000" w:themeColor="text1"/>
                <w:szCs w:val="21"/>
                <w14:textFill>
                  <w14:solidFill>
                    <w14:schemeClr w14:val="tx1"/>
                  </w14:solidFill>
                </w14:textFill>
              </w:rPr>
            </w:pPr>
          </w:p>
        </w:tc>
      </w:tr>
    </w:tbl>
    <w:p w14:paraId="6B49431C">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39D986D3">
      <w:pPr>
        <w:snapToGrid w:val="0"/>
        <w:spacing w:line="360" w:lineRule="auto"/>
        <w:ind w:firstLine="424" w:firstLineChars="20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1EE0B913">
      <w:pPr>
        <w:snapToGrid w:val="0"/>
        <w:spacing w:line="360" w:lineRule="auto"/>
        <w:ind w:firstLine="424" w:firstLineChars="20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2.本表所指的管理关系仅限于直接管理关系，不包括间接的管理关系。</w:t>
      </w:r>
    </w:p>
    <w:p w14:paraId="5843F0F8">
      <w:pPr>
        <w:pStyle w:val="21"/>
        <w:tabs>
          <w:tab w:val="left" w:pos="5529"/>
        </w:tabs>
        <w:wordWrap w:val="0"/>
        <w:ind w:firstLine="3240" w:firstLineChars="1620"/>
        <w:rPr>
          <w:rFonts w:hAnsi="宋体"/>
          <w:color w:val="000000" w:themeColor="text1"/>
          <w:szCs w:val="21"/>
          <w14:textFill>
            <w14:solidFill>
              <w14:schemeClr w14:val="tx1"/>
            </w14:solidFill>
          </w14:textFill>
        </w:rPr>
      </w:pPr>
    </w:p>
    <w:p w14:paraId="0DCEBC7C">
      <w:pPr>
        <w:pStyle w:val="21"/>
        <w:tabs>
          <w:tab w:val="left" w:pos="5529"/>
        </w:tabs>
        <w:wordWrap w:val="0"/>
        <w:ind w:firstLine="3240" w:firstLineChars="1620"/>
        <w:rPr>
          <w:rFonts w:hAnsi="宋体"/>
          <w:color w:val="000000" w:themeColor="text1"/>
          <w14:textFill>
            <w14:solidFill>
              <w14:schemeClr w14:val="tx1"/>
            </w14:solidFill>
          </w14:textFill>
        </w:rPr>
      </w:pPr>
    </w:p>
    <w:p w14:paraId="285FC1CE">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6047EE1A">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4DEA912D">
      <w:pPr>
        <w:snapToGrid w:val="0"/>
        <w:spacing w:before="50" w:after="50"/>
        <w:ind w:left="-6" w:leftChars="-3" w:right="-817" w:rightChars="-389" w:firstLine="6720" w:firstLineChars="3200"/>
        <w:rPr>
          <w:rFonts w:ascii="宋体" w:hAnsi="宋体" w:cs="宋体"/>
          <w:color w:val="000000" w:themeColor="text1"/>
          <w:szCs w:val="21"/>
          <w14:textFill>
            <w14:solidFill>
              <w14:schemeClr w14:val="tx1"/>
            </w14:solidFill>
          </w14:textFill>
        </w:rPr>
      </w:pPr>
    </w:p>
    <w:p w14:paraId="398D9722">
      <w:pPr>
        <w:snapToGrid w:val="0"/>
        <w:spacing w:beforeLines="50" w:after="50"/>
        <w:rPr>
          <w:rFonts w:ascii="宋体" w:hAnsi="宋体" w:cs="宋体"/>
          <w:b/>
          <w:bCs/>
          <w:color w:val="000000" w:themeColor="text1"/>
          <w:szCs w:val="21"/>
          <w14:textFill>
            <w14:solidFill>
              <w14:schemeClr w14:val="tx1"/>
            </w14:solidFill>
          </w14:textFill>
        </w:rPr>
      </w:pPr>
    </w:p>
    <w:p w14:paraId="5BEDB48B">
      <w:pPr>
        <w:snapToGrid w:val="0"/>
        <w:spacing w:beforeLines="50" w:after="50"/>
        <w:rPr>
          <w:rFonts w:ascii="宋体" w:hAnsi="宋体" w:cs="宋体"/>
          <w:b/>
          <w:bCs/>
          <w:color w:val="000000" w:themeColor="text1"/>
          <w:szCs w:val="21"/>
          <w14:textFill>
            <w14:solidFill>
              <w14:schemeClr w14:val="tx1"/>
            </w14:solidFill>
          </w14:textFill>
        </w:rPr>
      </w:pPr>
    </w:p>
    <w:p w14:paraId="4E2DF2B6">
      <w:pPr>
        <w:spacing w:line="36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四、中小企业声明函格式</w:t>
      </w:r>
    </w:p>
    <w:p w14:paraId="107EC138">
      <w:pPr>
        <w:spacing w:line="360" w:lineRule="exact"/>
        <w:jc w:val="center"/>
        <w:rPr>
          <w:rFonts w:ascii="宋体" w:hAnsi="宋体"/>
          <w:b/>
          <w:sz w:val="24"/>
        </w:rPr>
      </w:pPr>
      <w:r>
        <w:rPr>
          <w:rFonts w:hint="eastAsia" w:ascii="宋体" w:hAnsi="宋体"/>
          <w:b/>
          <w:sz w:val="24"/>
        </w:rPr>
        <w:t>中小企业声明函</w:t>
      </w:r>
    </w:p>
    <w:p w14:paraId="4A2F12ED">
      <w:pPr>
        <w:spacing w:line="360" w:lineRule="exact"/>
        <w:ind w:firstLine="480" w:firstLineChars="200"/>
        <w:rPr>
          <w:rFonts w:ascii="宋体" w:hAnsi="宋体"/>
          <w:sz w:val="24"/>
        </w:rPr>
      </w:pPr>
      <w:r>
        <w:rPr>
          <w:rFonts w:hint="eastAsia" w:ascii="宋体" w:hAnsi="宋体"/>
          <w:sz w:val="24"/>
        </w:rPr>
        <w:t>说明：</w:t>
      </w:r>
    </w:p>
    <w:p w14:paraId="143C97EB">
      <w:pPr>
        <w:spacing w:line="360" w:lineRule="exact"/>
        <w:ind w:firstLine="480" w:firstLineChars="200"/>
        <w:rPr>
          <w:rFonts w:ascii="宋体" w:hAnsi="宋体"/>
          <w:sz w:val="24"/>
        </w:rPr>
      </w:pPr>
      <w:r>
        <w:rPr>
          <w:rFonts w:hint="eastAsia" w:ascii="宋体" w:hAnsi="宋体"/>
          <w:sz w:val="24"/>
        </w:rPr>
        <w:t>1.本声明函主要供参加政府采购活动的中小企业填写，非中小企业无需填写。</w:t>
      </w:r>
    </w:p>
    <w:p w14:paraId="488CE3A0">
      <w:pPr>
        <w:spacing w:line="360" w:lineRule="exact"/>
        <w:ind w:firstLine="480" w:firstLineChars="200"/>
        <w:rPr>
          <w:rFonts w:ascii="宋体" w:hAnsi="宋体"/>
          <w:sz w:val="24"/>
        </w:rPr>
      </w:pPr>
      <w:r>
        <w:rPr>
          <w:rFonts w:hint="eastAsia" w:ascii="宋体" w:hAnsi="宋体"/>
          <w:sz w:val="24"/>
        </w:rPr>
        <w:t>2.小型、微型企业提供中型企业提供的货物的，视同为中型企业。</w:t>
      </w:r>
    </w:p>
    <w:p w14:paraId="4A501707">
      <w:pPr>
        <w:spacing w:line="360" w:lineRule="exact"/>
        <w:ind w:firstLine="480" w:firstLineChars="200"/>
        <w:rPr>
          <w:rFonts w:ascii="宋体" w:hAnsi="宋体"/>
          <w:sz w:val="24"/>
        </w:rPr>
      </w:pPr>
    </w:p>
    <w:p w14:paraId="6E4A73DE">
      <w:pPr>
        <w:spacing w:line="360" w:lineRule="exact"/>
        <w:ind w:firstLine="480" w:firstLineChars="200"/>
        <w:rPr>
          <w:rFonts w:ascii="宋体" w:hAnsi="宋体"/>
          <w:sz w:val="24"/>
        </w:rPr>
      </w:pPr>
    </w:p>
    <w:p w14:paraId="30BADA90">
      <w:pPr>
        <w:spacing w:line="360" w:lineRule="exact"/>
        <w:ind w:firstLine="480" w:firstLineChars="200"/>
        <w:rPr>
          <w:rFonts w:ascii="宋体" w:hAnsi="宋体"/>
          <w:sz w:val="24"/>
        </w:rPr>
      </w:pPr>
      <w:r>
        <w:rPr>
          <w:rFonts w:hint="eastAsia" w:ascii="宋体" w:hAnsi="宋体"/>
          <w:sz w:val="24"/>
        </w:rPr>
        <w:t>本公司（联合体）郑重声明，根据《政府采购促进中小企业发展管理办法》（财库﹝</w:t>
      </w:r>
      <w:r>
        <w:rPr>
          <w:rFonts w:ascii="宋体" w:hAnsi="宋体"/>
          <w:sz w:val="24"/>
        </w:rPr>
        <w:t>2020</w:t>
      </w:r>
      <w:r>
        <w:rPr>
          <w:rFonts w:hint="eastAsia" w:ascii="宋体" w:hAnsi="宋体"/>
          <w:sz w:val="24"/>
        </w:rPr>
        <w:t>﹞</w:t>
      </w:r>
      <w:r>
        <w:rPr>
          <w:rFonts w:ascii="宋体" w:hAnsi="宋体"/>
          <w:sz w:val="24"/>
        </w:rPr>
        <w:t>46</w:t>
      </w:r>
      <w:r>
        <w:rPr>
          <w:rFonts w:hint="eastAsia" w:ascii="宋体" w:hAnsi="宋体"/>
          <w:sz w:val="24"/>
        </w:rPr>
        <w:t>号）的规定，本公司（联合体）参加</w:t>
      </w:r>
      <w:r>
        <w:rPr>
          <w:rFonts w:hint="eastAsia" w:ascii="宋体" w:hAnsi="宋体"/>
          <w:sz w:val="24"/>
          <w:u w:val="single"/>
        </w:rPr>
        <w:t xml:space="preserve">    （单位名称）   </w:t>
      </w:r>
      <w:r>
        <w:rPr>
          <w:rFonts w:hint="eastAsia" w:ascii="宋体" w:hAnsi="宋体"/>
          <w:sz w:val="24"/>
        </w:rPr>
        <w:t>的</w:t>
      </w:r>
      <w:r>
        <w:rPr>
          <w:rFonts w:hint="eastAsia" w:ascii="宋体" w:hAnsi="宋体"/>
          <w:sz w:val="24"/>
          <w:u w:val="single"/>
        </w:rPr>
        <w:t xml:space="preserve">   （项目名称）   </w:t>
      </w:r>
      <w:r>
        <w:rPr>
          <w:rFonts w:hint="eastAsia" w:ascii="宋体" w:hAnsi="宋体"/>
          <w:sz w:val="24"/>
        </w:rPr>
        <w:t>采购活动，提供的货物全部由符合政策要求的中小企业制造。相关企业（含联合体中的中小企业、签订分包意向协议的中小企业）的具体情况如下：</w:t>
      </w:r>
    </w:p>
    <w:p w14:paraId="1EA40714">
      <w:pPr>
        <w:spacing w:line="360" w:lineRule="exact"/>
        <w:ind w:firstLine="480" w:firstLineChars="200"/>
        <w:rPr>
          <w:rFonts w:ascii="宋体" w:hAnsi="宋体"/>
          <w:sz w:val="24"/>
        </w:rPr>
      </w:pPr>
      <w:r>
        <w:rPr>
          <w:rFonts w:ascii="宋体" w:hAnsi="宋体"/>
          <w:sz w:val="24"/>
        </w:rPr>
        <w:t>1.</w:t>
      </w:r>
      <w:r>
        <w:rPr>
          <w:rFonts w:hint="eastAsia" w:ascii="宋体" w:hAnsi="宋体"/>
          <w:sz w:val="24"/>
          <w:u w:val="single"/>
        </w:rPr>
        <w:t xml:space="preserve">   （标的名称）  </w:t>
      </w:r>
      <w:r>
        <w:rPr>
          <w:rFonts w:hint="eastAsia" w:ascii="宋体" w:hAnsi="宋体"/>
          <w:sz w:val="24"/>
        </w:rPr>
        <w:t>，属于</w:t>
      </w:r>
      <w:r>
        <w:rPr>
          <w:rFonts w:hint="eastAsia" w:ascii="宋体" w:hAnsi="宋体"/>
          <w:sz w:val="24"/>
          <w:u w:val="single"/>
        </w:rPr>
        <w:t xml:space="preserve"> （采购文件中明确的所属行业） </w:t>
      </w:r>
      <w:r>
        <w:rPr>
          <w:rFonts w:hint="eastAsia" w:ascii="宋体" w:hAnsi="宋体"/>
          <w:sz w:val="24"/>
        </w:rPr>
        <w:t>行业；制造商为</w:t>
      </w:r>
      <w:r>
        <w:rPr>
          <w:rFonts w:hint="eastAsia" w:ascii="宋体" w:hAnsi="宋体"/>
          <w:sz w:val="24"/>
          <w:u w:val="single"/>
        </w:rPr>
        <w:t xml:space="preserve"> （企业名称） </w:t>
      </w:r>
      <w:r>
        <w:rPr>
          <w:rFonts w:hint="eastAsia" w:ascii="宋体" w:hAnsi="宋体"/>
          <w:sz w:val="24"/>
        </w:rPr>
        <w:t>，从业人员人，营业收入为万元，资产总额为万元，属于</w:t>
      </w:r>
      <w:r>
        <w:rPr>
          <w:rFonts w:hint="eastAsia" w:ascii="宋体" w:hAnsi="宋体"/>
          <w:sz w:val="24"/>
          <w:u w:val="single"/>
        </w:rPr>
        <w:t>（中型企业、小型企业、微型企业）</w:t>
      </w:r>
      <w:r>
        <w:rPr>
          <w:rFonts w:hint="eastAsia" w:ascii="宋体" w:hAnsi="宋体"/>
          <w:sz w:val="24"/>
        </w:rPr>
        <w:t>；</w:t>
      </w:r>
    </w:p>
    <w:p w14:paraId="0EBAD9BD">
      <w:pPr>
        <w:spacing w:line="360" w:lineRule="exact"/>
        <w:ind w:firstLine="480" w:firstLineChars="200"/>
        <w:rPr>
          <w:rFonts w:ascii="宋体" w:hAnsi="宋体"/>
          <w:sz w:val="24"/>
        </w:rPr>
      </w:pPr>
      <w:r>
        <w:rPr>
          <w:rFonts w:ascii="宋体" w:hAnsi="宋体"/>
          <w:sz w:val="24"/>
        </w:rPr>
        <w:t>2.</w:t>
      </w:r>
      <w:r>
        <w:rPr>
          <w:rFonts w:hint="eastAsia" w:ascii="宋体" w:hAnsi="宋体"/>
          <w:sz w:val="24"/>
          <w:u w:val="single"/>
        </w:rPr>
        <w:t xml:space="preserve">   （标的名称）  </w:t>
      </w:r>
      <w:r>
        <w:rPr>
          <w:rFonts w:hint="eastAsia" w:ascii="宋体" w:hAnsi="宋体"/>
          <w:sz w:val="24"/>
        </w:rPr>
        <w:t>，属于</w:t>
      </w:r>
      <w:r>
        <w:rPr>
          <w:rFonts w:hint="eastAsia" w:ascii="宋体" w:hAnsi="宋体"/>
          <w:sz w:val="24"/>
          <w:u w:val="single"/>
        </w:rPr>
        <w:t xml:space="preserve"> （采购文件中明确的所属行业） </w:t>
      </w:r>
      <w:r>
        <w:rPr>
          <w:rFonts w:hint="eastAsia" w:ascii="宋体" w:hAnsi="宋体"/>
          <w:sz w:val="24"/>
        </w:rPr>
        <w:t>行业；制造商为</w:t>
      </w:r>
      <w:r>
        <w:rPr>
          <w:rFonts w:hint="eastAsia" w:ascii="宋体" w:hAnsi="宋体"/>
          <w:sz w:val="24"/>
          <w:u w:val="single"/>
        </w:rPr>
        <w:t xml:space="preserve"> （企业名称） </w:t>
      </w:r>
      <w:r>
        <w:rPr>
          <w:rFonts w:hint="eastAsia" w:ascii="宋体" w:hAnsi="宋体"/>
          <w:sz w:val="24"/>
        </w:rPr>
        <w:t>，从业人员人，营业收入为万元，资产总额为万元，属于</w:t>
      </w:r>
      <w:r>
        <w:rPr>
          <w:rFonts w:hint="eastAsia" w:ascii="宋体" w:hAnsi="宋体"/>
          <w:sz w:val="24"/>
          <w:u w:val="single"/>
        </w:rPr>
        <w:t>（中型企业、小型企业、微型企业）</w:t>
      </w:r>
      <w:r>
        <w:rPr>
          <w:rFonts w:hint="eastAsia" w:ascii="宋体" w:hAnsi="宋体"/>
          <w:sz w:val="24"/>
        </w:rPr>
        <w:t>；</w:t>
      </w:r>
    </w:p>
    <w:p w14:paraId="44291719">
      <w:pPr>
        <w:spacing w:line="360" w:lineRule="exact"/>
        <w:ind w:firstLine="480" w:firstLineChars="200"/>
        <w:rPr>
          <w:rFonts w:ascii="宋体" w:hAnsi="宋体"/>
          <w:sz w:val="24"/>
        </w:rPr>
      </w:pPr>
      <w:r>
        <w:rPr>
          <w:rFonts w:hint="eastAsia" w:ascii="宋体" w:hAnsi="宋体"/>
          <w:sz w:val="24"/>
        </w:rPr>
        <w:t>……</w:t>
      </w:r>
    </w:p>
    <w:p w14:paraId="5AFFC0A7">
      <w:pPr>
        <w:spacing w:line="360" w:lineRule="exact"/>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33C5B237">
      <w:pPr>
        <w:spacing w:line="360" w:lineRule="exact"/>
        <w:ind w:firstLine="480" w:firstLineChars="200"/>
        <w:rPr>
          <w:rFonts w:ascii="宋体" w:hAnsi="宋体"/>
          <w:sz w:val="24"/>
        </w:rPr>
      </w:pPr>
      <w:r>
        <w:rPr>
          <w:rFonts w:hint="eastAsia" w:ascii="宋体" w:hAnsi="宋体"/>
          <w:sz w:val="24"/>
        </w:rPr>
        <w:t>本企业对上述声明内容的真实性负责。如有虚假，将依法承担相应责任。</w:t>
      </w:r>
    </w:p>
    <w:p w14:paraId="3B0DF45C">
      <w:pPr>
        <w:spacing w:line="360" w:lineRule="exact"/>
        <w:ind w:firstLine="3600" w:firstLineChars="1500"/>
        <w:rPr>
          <w:rFonts w:ascii="宋体" w:hAnsi="宋体"/>
          <w:sz w:val="24"/>
        </w:rPr>
      </w:pPr>
    </w:p>
    <w:p w14:paraId="06287227">
      <w:pPr>
        <w:spacing w:line="360" w:lineRule="auto"/>
        <w:ind w:firstLine="3928" w:firstLineChars="1637"/>
        <w:rPr>
          <w:rFonts w:ascii="宋体" w:hAnsi="宋体" w:cs="宋体"/>
          <w:sz w:val="24"/>
          <w:u w:val="single"/>
        </w:rPr>
      </w:pPr>
      <w:r>
        <w:rPr>
          <w:rFonts w:hint="eastAsia" w:ascii="宋体" w:hAnsi="宋体" w:cs="宋体"/>
          <w:sz w:val="24"/>
        </w:rPr>
        <w:t>法定代表人或被授权人（签字）：</w:t>
      </w:r>
      <w:r>
        <w:rPr>
          <w:rFonts w:hint="eastAsia" w:ascii="宋体" w:hAnsi="宋体" w:cs="宋体"/>
          <w:sz w:val="24"/>
          <w:u w:val="single"/>
        </w:rPr>
        <w:t xml:space="preserve"> </w:t>
      </w:r>
    </w:p>
    <w:p w14:paraId="184A7849">
      <w:pPr>
        <w:spacing w:line="360" w:lineRule="auto"/>
        <w:ind w:firstLine="570"/>
        <w:rPr>
          <w:rFonts w:ascii="宋体" w:hAnsi="宋体" w:cs="宋体"/>
          <w:sz w:val="24"/>
          <w:u w:val="single"/>
        </w:rPr>
      </w:pPr>
      <w:r>
        <w:rPr>
          <w:rFonts w:hint="eastAsia" w:ascii="宋体" w:hAnsi="宋体" w:cs="宋体"/>
          <w:sz w:val="24"/>
        </w:rPr>
        <w:t xml:space="preserve">                            </w:t>
      </w:r>
      <w:r>
        <w:rPr>
          <w:rFonts w:ascii="宋体" w:hAnsi="宋体"/>
          <w:sz w:val="24"/>
        </w:rPr>
        <w:t>投标人</w:t>
      </w:r>
      <w:r>
        <w:rPr>
          <w:rFonts w:hint="eastAsia" w:ascii="宋体" w:hAnsi="宋体"/>
          <w:sz w:val="24"/>
        </w:rPr>
        <w:t>（</w:t>
      </w:r>
      <w:r>
        <w:rPr>
          <w:rFonts w:hint="eastAsia" w:ascii="宋体" w:hAnsi="宋体"/>
          <w:b/>
          <w:bCs/>
          <w:sz w:val="24"/>
        </w:rPr>
        <w:t>公章</w:t>
      </w:r>
      <w:r>
        <w:rPr>
          <w:rFonts w:hint="eastAsia" w:ascii="宋体" w:hAnsi="宋体"/>
          <w:sz w:val="24"/>
        </w:rPr>
        <w:t>）</w:t>
      </w:r>
      <w:r>
        <w:rPr>
          <w:rFonts w:hint="eastAsia" w:ascii="宋体" w:hAnsi="宋体" w:cs="宋体"/>
          <w:sz w:val="24"/>
        </w:rPr>
        <w:t>：</w:t>
      </w:r>
      <w:r>
        <w:rPr>
          <w:rFonts w:hint="eastAsia" w:ascii="宋体" w:hAnsi="宋体" w:cs="宋体"/>
          <w:sz w:val="24"/>
          <w:u w:val="single"/>
        </w:rPr>
        <w:t xml:space="preserve">         </w:t>
      </w:r>
    </w:p>
    <w:p w14:paraId="1146BB5D">
      <w:pPr>
        <w:spacing w:line="400" w:lineRule="exact"/>
        <w:rPr>
          <w:rFonts w:ascii="宋体" w:hAnsi="宋体" w:cs="宋体"/>
          <w:sz w:val="24"/>
        </w:rPr>
      </w:pPr>
    </w:p>
    <w:p w14:paraId="31B9ABC9">
      <w:pPr>
        <w:spacing w:line="400" w:lineRule="exact"/>
        <w:rPr>
          <w:rFonts w:ascii="宋体" w:hAnsi="宋体" w:cs="宋体"/>
          <w:sz w:val="24"/>
        </w:rPr>
      </w:pPr>
      <w:r>
        <w:rPr>
          <w:rFonts w:hint="eastAsia" w:ascii="宋体" w:hAnsi="宋体" w:cs="宋体"/>
          <w:sz w:val="24"/>
        </w:rPr>
        <w:t xml:space="preserve">                                                                 年   月   日</w:t>
      </w:r>
    </w:p>
    <w:p w14:paraId="1C243230">
      <w:pPr>
        <w:spacing w:line="360" w:lineRule="exact"/>
        <w:ind w:firstLine="480" w:firstLineChars="200"/>
        <w:rPr>
          <w:rFonts w:ascii="宋体" w:hAnsi="宋体"/>
          <w:sz w:val="24"/>
        </w:rPr>
      </w:pPr>
    </w:p>
    <w:p w14:paraId="398B200F">
      <w:pPr>
        <w:spacing w:line="360" w:lineRule="exact"/>
        <w:ind w:firstLine="480" w:firstLineChars="200"/>
        <w:rPr>
          <w:rFonts w:ascii="宋体" w:hAnsi="宋体"/>
          <w:sz w:val="24"/>
        </w:rPr>
      </w:pPr>
    </w:p>
    <w:p w14:paraId="103B01FF">
      <w:pPr>
        <w:spacing w:line="360" w:lineRule="exact"/>
        <w:ind w:firstLine="480" w:firstLineChars="200"/>
        <w:rPr>
          <w:rFonts w:ascii="宋体" w:hAnsi="宋体"/>
          <w:sz w:val="24"/>
        </w:rPr>
      </w:pPr>
    </w:p>
    <w:p w14:paraId="6BE77C02">
      <w:pPr>
        <w:spacing w:line="360" w:lineRule="exact"/>
        <w:ind w:firstLine="480" w:firstLineChars="200"/>
        <w:rPr>
          <w:rFonts w:ascii="宋体" w:hAnsi="宋体"/>
          <w:sz w:val="24"/>
        </w:rPr>
      </w:pPr>
      <w:r>
        <w:rPr>
          <w:rFonts w:hint="eastAsia" w:ascii="宋体" w:hAnsi="宋体"/>
          <w:sz w:val="24"/>
        </w:rPr>
        <w:t>注：</w:t>
      </w:r>
    </w:p>
    <w:p w14:paraId="22057A2D">
      <w:pPr>
        <w:spacing w:line="360" w:lineRule="exact"/>
        <w:ind w:firstLine="480" w:firstLineChars="200"/>
        <w:rPr>
          <w:rFonts w:ascii="宋体" w:hAnsi="宋体"/>
          <w:sz w:val="24"/>
        </w:rPr>
      </w:pPr>
      <w:r>
        <w:rPr>
          <w:rFonts w:hint="eastAsia" w:ascii="宋体" w:hAnsi="宋体"/>
          <w:sz w:val="24"/>
        </w:rPr>
        <w:t>1.从业人员、营业收入、资产总额填报上一年度数据，无上一年度数据的新成立企业可不填报。</w:t>
      </w:r>
    </w:p>
    <w:p w14:paraId="17FD6EA7">
      <w:pPr>
        <w:spacing w:line="360" w:lineRule="exact"/>
        <w:ind w:firstLine="480" w:firstLineChars="200"/>
        <w:rPr>
          <w:rFonts w:ascii="宋体" w:hAnsi="宋体"/>
          <w:sz w:val="24"/>
        </w:rPr>
      </w:pPr>
      <w:r>
        <w:rPr>
          <w:rFonts w:hint="eastAsia" w:ascii="宋体" w:hAnsi="宋体"/>
          <w:sz w:val="24"/>
        </w:rPr>
        <w:t>2.请根据自己的真实情况出具《中小企业声明函》。依法享受中小企业优惠政策的，采购人或者采购代理机构在公告中标结果时，同时公告其《中小企业声明函》，接受社会监督。</w:t>
      </w:r>
    </w:p>
    <w:p w14:paraId="1CA83E38">
      <w:pPr>
        <w:snapToGrid w:val="0"/>
        <w:spacing w:before="50" w:after="50" w:line="240" w:lineRule="exact"/>
        <w:ind w:firstLine="360" w:firstLineChars="200"/>
        <w:jc w:val="left"/>
        <w:rPr>
          <w:rFonts w:ascii="宋体" w:hAnsi="宋体"/>
          <w:sz w:val="18"/>
          <w:szCs w:val="18"/>
        </w:rPr>
      </w:pPr>
    </w:p>
    <w:p w14:paraId="5842DB93">
      <w:pPr>
        <w:snapToGrid w:val="0"/>
        <w:spacing w:before="50" w:after="50" w:line="240" w:lineRule="exact"/>
        <w:ind w:firstLine="360" w:firstLineChars="200"/>
        <w:jc w:val="left"/>
        <w:rPr>
          <w:rFonts w:ascii="宋体" w:hAnsi="宋体"/>
          <w:sz w:val="18"/>
          <w:szCs w:val="18"/>
        </w:rPr>
      </w:pPr>
    </w:p>
    <w:p w14:paraId="0C001402">
      <w:pPr>
        <w:snapToGrid w:val="0"/>
        <w:spacing w:before="50" w:after="50" w:line="240" w:lineRule="exact"/>
        <w:jc w:val="left"/>
        <w:rPr>
          <w:rFonts w:ascii="宋体" w:hAnsi="宋体"/>
          <w:sz w:val="18"/>
          <w:szCs w:val="18"/>
        </w:rPr>
      </w:pPr>
    </w:p>
    <w:p w14:paraId="4EC39E60">
      <w:pPr>
        <w:snapToGrid w:val="0"/>
        <w:spacing w:before="50" w:after="50" w:line="240" w:lineRule="exact"/>
        <w:jc w:val="left"/>
        <w:rPr>
          <w:rFonts w:ascii="宋体" w:hAnsi="宋体"/>
          <w:sz w:val="18"/>
          <w:szCs w:val="18"/>
        </w:rPr>
      </w:pPr>
    </w:p>
    <w:p w14:paraId="17B9832C">
      <w:pPr>
        <w:tabs>
          <w:tab w:val="left" w:pos="4860"/>
        </w:tabs>
        <w:spacing w:line="360" w:lineRule="exact"/>
        <w:ind w:right="1560" w:firstLine="420" w:firstLineChars="200"/>
        <w:jc w:val="center"/>
        <w:rPr>
          <w:rFonts w:ascii="宋体" w:hAnsi="宋体"/>
          <w:szCs w:val="21"/>
        </w:rPr>
      </w:pPr>
    </w:p>
    <w:p w14:paraId="15633906">
      <w:pPr>
        <w:spacing w:line="588" w:lineRule="exact"/>
        <w:jc w:val="left"/>
        <w:rPr>
          <w:rFonts w:ascii="仿宋_GB2312" w:eastAsia="仿宋_GB2312"/>
          <w:b/>
          <w:spacing w:val="6"/>
          <w:sz w:val="32"/>
          <w:szCs w:val="32"/>
        </w:rPr>
      </w:pPr>
      <w:r>
        <w:rPr>
          <w:rFonts w:hint="eastAsia" w:ascii="宋体" w:hAnsi="宋体"/>
          <w:b/>
          <w:sz w:val="24"/>
          <w:szCs w:val="20"/>
        </w:rPr>
        <w:t>残疾人福利性单位声明函格式</w:t>
      </w:r>
    </w:p>
    <w:p w14:paraId="252BB1FE">
      <w:pPr>
        <w:spacing w:line="588" w:lineRule="exact"/>
        <w:jc w:val="center"/>
        <w:rPr>
          <w:rFonts w:ascii="宋体" w:hAnsi="宋体"/>
          <w:b/>
          <w:sz w:val="24"/>
        </w:rPr>
      </w:pPr>
      <w:r>
        <w:rPr>
          <w:rFonts w:hint="eastAsia" w:ascii="宋体" w:hAnsi="宋体"/>
          <w:b/>
          <w:sz w:val="24"/>
        </w:rPr>
        <w:t>残疾人福利性单位声明函</w:t>
      </w:r>
    </w:p>
    <w:p w14:paraId="22611A49">
      <w:pPr>
        <w:spacing w:line="360" w:lineRule="exact"/>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40B601">
      <w:pPr>
        <w:spacing w:line="360" w:lineRule="exact"/>
        <w:ind w:firstLine="480" w:firstLineChars="200"/>
        <w:rPr>
          <w:rFonts w:ascii="宋体" w:hAnsi="宋体"/>
          <w:sz w:val="24"/>
        </w:rPr>
      </w:pPr>
      <w:r>
        <w:rPr>
          <w:rFonts w:hint="eastAsia" w:ascii="宋体" w:hAnsi="宋体"/>
          <w:sz w:val="24"/>
        </w:rPr>
        <w:t>本单位对上述声明的真实性负责。如有虚假，将依法承担相应责任。</w:t>
      </w:r>
    </w:p>
    <w:p w14:paraId="072351EC">
      <w:pPr>
        <w:spacing w:line="360" w:lineRule="exact"/>
        <w:ind w:firstLine="480" w:firstLineChars="200"/>
        <w:rPr>
          <w:rFonts w:ascii="宋体" w:hAnsi="宋体"/>
          <w:sz w:val="24"/>
        </w:rPr>
      </w:pPr>
    </w:p>
    <w:p w14:paraId="0663FEB0">
      <w:pPr>
        <w:spacing w:line="360" w:lineRule="exact"/>
        <w:ind w:firstLine="480" w:firstLineChars="200"/>
        <w:rPr>
          <w:rFonts w:ascii="宋体" w:hAnsi="宋体"/>
          <w:sz w:val="24"/>
        </w:rPr>
      </w:pPr>
    </w:p>
    <w:p w14:paraId="7321B444">
      <w:pPr>
        <w:spacing w:line="360" w:lineRule="auto"/>
        <w:ind w:firstLine="3928" w:firstLineChars="1637"/>
        <w:rPr>
          <w:rFonts w:ascii="宋体" w:hAnsi="宋体" w:cs="宋体"/>
          <w:sz w:val="24"/>
          <w:u w:val="single"/>
        </w:rPr>
      </w:pPr>
      <w:r>
        <w:rPr>
          <w:rFonts w:hint="eastAsia" w:ascii="宋体" w:hAnsi="宋体" w:cs="宋体"/>
          <w:sz w:val="24"/>
        </w:rPr>
        <w:t>法定代表人或被授权人（签字）：</w:t>
      </w:r>
      <w:r>
        <w:rPr>
          <w:rFonts w:hint="eastAsia" w:ascii="宋体" w:hAnsi="宋体" w:cs="宋体"/>
          <w:sz w:val="24"/>
          <w:u w:val="single"/>
        </w:rPr>
        <w:t xml:space="preserve"> </w:t>
      </w:r>
    </w:p>
    <w:p w14:paraId="7D234B2E">
      <w:pPr>
        <w:spacing w:line="360" w:lineRule="auto"/>
        <w:ind w:firstLine="570"/>
        <w:rPr>
          <w:rFonts w:ascii="宋体" w:hAnsi="宋体" w:cs="宋体"/>
          <w:sz w:val="24"/>
          <w:u w:val="single"/>
        </w:rPr>
      </w:pPr>
      <w:r>
        <w:rPr>
          <w:rFonts w:hint="eastAsia" w:ascii="宋体" w:hAnsi="宋体" w:cs="宋体"/>
          <w:sz w:val="24"/>
        </w:rPr>
        <w:t xml:space="preserve">                            </w:t>
      </w:r>
      <w:r>
        <w:rPr>
          <w:rFonts w:ascii="宋体" w:hAnsi="宋体"/>
          <w:sz w:val="24"/>
        </w:rPr>
        <w:t>投标人</w:t>
      </w:r>
      <w:r>
        <w:rPr>
          <w:rFonts w:hint="eastAsia" w:ascii="宋体" w:hAnsi="宋体"/>
          <w:sz w:val="24"/>
        </w:rPr>
        <w:t>（</w:t>
      </w:r>
      <w:r>
        <w:rPr>
          <w:rFonts w:hint="eastAsia" w:ascii="宋体" w:hAnsi="宋体"/>
          <w:b/>
          <w:bCs/>
          <w:sz w:val="24"/>
        </w:rPr>
        <w:t>公章</w:t>
      </w:r>
      <w:r>
        <w:rPr>
          <w:rFonts w:hint="eastAsia" w:ascii="宋体" w:hAnsi="宋体"/>
          <w:sz w:val="24"/>
        </w:rPr>
        <w:t>）</w:t>
      </w:r>
      <w:r>
        <w:rPr>
          <w:rFonts w:hint="eastAsia" w:ascii="宋体" w:hAnsi="宋体" w:cs="宋体"/>
          <w:sz w:val="24"/>
        </w:rPr>
        <w:t>：</w:t>
      </w:r>
      <w:r>
        <w:rPr>
          <w:rFonts w:hint="eastAsia" w:ascii="宋体" w:hAnsi="宋体" w:cs="宋体"/>
          <w:sz w:val="24"/>
          <w:u w:val="single"/>
        </w:rPr>
        <w:t xml:space="preserve">         </w:t>
      </w:r>
    </w:p>
    <w:p w14:paraId="2B27D0AC">
      <w:pPr>
        <w:spacing w:line="360" w:lineRule="auto"/>
        <w:ind w:firstLine="570"/>
        <w:rPr>
          <w:rFonts w:ascii="宋体" w:hAnsi="宋体" w:cs="宋体"/>
          <w:sz w:val="24"/>
        </w:rPr>
      </w:pPr>
      <w:r>
        <w:rPr>
          <w:rFonts w:hint="eastAsia" w:ascii="宋体" w:hAnsi="宋体" w:cs="宋体"/>
          <w:sz w:val="24"/>
          <w:u w:val="single"/>
        </w:rPr>
        <w:t xml:space="preserve">    </w:t>
      </w:r>
    </w:p>
    <w:p w14:paraId="6EEDB42A">
      <w:pPr>
        <w:spacing w:line="400" w:lineRule="exact"/>
        <w:rPr>
          <w:rFonts w:ascii="宋体" w:hAnsi="宋体" w:cs="宋体"/>
          <w:sz w:val="24"/>
        </w:rPr>
      </w:pPr>
      <w:r>
        <w:rPr>
          <w:rFonts w:hint="eastAsia" w:ascii="宋体" w:hAnsi="宋体" w:cs="宋体"/>
          <w:sz w:val="24"/>
        </w:rPr>
        <w:t xml:space="preserve">                                                                 年   月   日</w:t>
      </w:r>
    </w:p>
    <w:p w14:paraId="70781B73">
      <w:pPr>
        <w:spacing w:line="360" w:lineRule="exact"/>
        <w:ind w:firstLine="480" w:firstLineChars="200"/>
        <w:rPr>
          <w:rFonts w:ascii="宋体" w:hAnsi="宋体"/>
          <w:sz w:val="24"/>
        </w:rPr>
      </w:pPr>
    </w:p>
    <w:p w14:paraId="665E3425">
      <w:pPr>
        <w:snapToGrid w:val="0"/>
        <w:spacing w:beforeLines="50" w:after="50"/>
        <w:rPr>
          <w:rFonts w:ascii="宋体" w:hAnsi="宋体" w:cs="宋体"/>
          <w:b/>
          <w:bCs/>
          <w:color w:val="000000" w:themeColor="text1"/>
          <w:szCs w:val="21"/>
          <w14:textFill>
            <w14:solidFill>
              <w14:schemeClr w14:val="tx1"/>
            </w14:solidFill>
          </w14:textFill>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9BB31FC">
      <w:pPr>
        <w:snapToGrid w:val="0"/>
        <w:spacing w:beforeLines="50" w:after="50"/>
        <w:rPr>
          <w:rFonts w:ascii="宋体" w:hAnsi="宋体" w:cs="宋体"/>
          <w:b/>
          <w:bCs/>
          <w:color w:val="000000" w:themeColor="text1"/>
          <w:szCs w:val="21"/>
          <w14:textFill>
            <w14:solidFill>
              <w14:schemeClr w14:val="tx1"/>
            </w14:solidFill>
          </w14:textFill>
        </w:rPr>
      </w:pPr>
    </w:p>
    <w:p w14:paraId="24111EA0">
      <w:pPr>
        <w:snapToGrid w:val="0"/>
        <w:spacing w:beforeLines="50" w:after="50"/>
        <w:rPr>
          <w:rFonts w:ascii="宋体" w:hAnsi="宋体" w:cs="宋体"/>
          <w:b/>
          <w:bCs/>
          <w:color w:val="000000" w:themeColor="text1"/>
          <w:szCs w:val="21"/>
          <w14:textFill>
            <w14:solidFill>
              <w14:schemeClr w14:val="tx1"/>
            </w14:solidFill>
          </w14:textFill>
        </w:rPr>
      </w:pPr>
    </w:p>
    <w:p w14:paraId="39A4818B">
      <w:pPr>
        <w:snapToGrid w:val="0"/>
        <w:spacing w:beforeLines="50" w:after="50"/>
        <w:rPr>
          <w:rFonts w:ascii="宋体" w:hAnsi="宋体" w:cs="宋体"/>
          <w:b/>
          <w:bCs/>
          <w:color w:val="000000" w:themeColor="text1"/>
          <w:szCs w:val="21"/>
          <w14:textFill>
            <w14:solidFill>
              <w14:schemeClr w14:val="tx1"/>
            </w14:solidFill>
          </w14:textFill>
        </w:rPr>
      </w:pPr>
    </w:p>
    <w:p w14:paraId="437F40C2">
      <w:pPr>
        <w:snapToGrid w:val="0"/>
        <w:spacing w:beforeLines="50" w:after="50"/>
        <w:rPr>
          <w:rFonts w:ascii="宋体" w:hAnsi="宋体" w:cs="宋体"/>
          <w:b/>
          <w:bCs/>
          <w:color w:val="000000" w:themeColor="text1"/>
          <w:szCs w:val="21"/>
          <w14:textFill>
            <w14:solidFill>
              <w14:schemeClr w14:val="tx1"/>
            </w14:solidFill>
          </w14:textFill>
        </w:rPr>
      </w:pPr>
    </w:p>
    <w:p w14:paraId="057179FF">
      <w:pPr>
        <w:snapToGrid w:val="0"/>
        <w:spacing w:beforeLines="50" w:after="50"/>
        <w:rPr>
          <w:rFonts w:ascii="宋体" w:hAnsi="宋体" w:cs="宋体"/>
          <w:b/>
          <w:bCs/>
          <w:color w:val="000000" w:themeColor="text1"/>
          <w:szCs w:val="21"/>
          <w14:textFill>
            <w14:solidFill>
              <w14:schemeClr w14:val="tx1"/>
            </w14:solidFill>
          </w14:textFill>
        </w:rPr>
      </w:pPr>
    </w:p>
    <w:p w14:paraId="05C5DC1A">
      <w:pPr>
        <w:snapToGrid w:val="0"/>
        <w:spacing w:beforeLines="50" w:after="50"/>
        <w:rPr>
          <w:rFonts w:ascii="宋体" w:hAnsi="宋体" w:cs="宋体"/>
          <w:b/>
          <w:bCs/>
          <w:color w:val="000000" w:themeColor="text1"/>
          <w:szCs w:val="21"/>
          <w14:textFill>
            <w14:solidFill>
              <w14:schemeClr w14:val="tx1"/>
            </w14:solidFill>
          </w14:textFill>
        </w:rPr>
      </w:pPr>
    </w:p>
    <w:p w14:paraId="0355E531">
      <w:pPr>
        <w:snapToGrid w:val="0"/>
        <w:spacing w:beforeLines="50" w:after="50"/>
        <w:rPr>
          <w:rFonts w:ascii="宋体" w:hAnsi="宋体" w:cs="宋体"/>
          <w:b/>
          <w:bCs/>
          <w:color w:val="000000" w:themeColor="text1"/>
          <w:szCs w:val="21"/>
          <w14:textFill>
            <w14:solidFill>
              <w14:schemeClr w14:val="tx1"/>
            </w14:solidFill>
          </w14:textFill>
        </w:rPr>
      </w:pPr>
    </w:p>
    <w:p w14:paraId="126849BC">
      <w:pPr>
        <w:snapToGrid w:val="0"/>
        <w:spacing w:beforeLines="50" w:after="50"/>
        <w:rPr>
          <w:rFonts w:ascii="宋体" w:hAnsi="宋体" w:cs="宋体"/>
          <w:b/>
          <w:bCs/>
          <w:color w:val="000000" w:themeColor="text1"/>
          <w:szCs w:val="21"/>
          <w14:textFill>
            <w14:solidFill>
              <w14:schemeClr w14:val="tx1"/>
            </w14:solidFill>
          </w14:textFill>
        </w:rPr>
      </w:pPr>
    </w:p>
    <w:p w14:paraId="3A7AB027">
      <w:pPr>
        <w:snapToGrid w:val="0"/>
        <w:spacing w:beforeLines="50" w:after="50"/>
        <w:rPr>
          <w:rFonts w:ascii="宋体" w:hAnsi="宋体" w:cs="宋体"/>
          <w:b/>
          <w:bCs/>
          <w:color w:val="000000" w:themeColor="text1"/>
          <w:szCs w:val="21"/>
          <w14:textFill>
            <w14:solidFill>
              <w14:schemeClr w14:val="tx1"/>
            </w14:solidFill>
          </w14:textFill>
        </w:rPr>
      </w:pPr>
    </w:p>
    <w:p w14:paraId="2BAA0376">
      <w:pPr>
        <w:snapToGrid w:val="0"/>
        <w:spacing w:beforeLines="50" w:after="50"/>
        <w:rPr>
          <w:rFonts w:ascii="宋体" w:hAnsi="宋体" w:cs="宋体"/>
          <w:b/>
          <w:bCs/>
          <w:color w:val="000000" w:themeColor="text1"/>
          <w:szCs w:val="21"/>
          <w14:textFill>
            <w14:solidFill>
              <w14:schemeClr w14:val="tx1"/>
            </w14:solidFill>
          </w14:textFill>
        </w:rPr>
      </w:pPr>
    </w:p>
    <w:p w14:paraId="3DDED51E">
      <w:pPr>
        <w:snapToGrid w:val="0"/>
        <w:spacing w:beforeLines="50" w:after="50"/>
        <w:rPr>
          <w:rFonts w:ascii="宋体" w:hAnsi="宋体" w:cs="宋体"/>
          <w:b/>
          <w:bCs/>
          <w:color w:val="000000" w:themeColor="text1"/>
          <w:szCs w:val="21"/>
          <w14:textFill>
            <w14:solidFill>
              <w14:schemeClr w14:val="tx1"/>
            </w14:solidFill>
          </w14:textFill>
        </w:rPr>
      </w:pPr>
    </w:p>
    <w:p w14:paraId="45A1D824">
      <w:pPr>
        <w:snapToGrid w:val="0"/>
        <w:spacing w:beforeLines="50" w:after="50"/>
        <w:rPr>
          <w:rFonts w:ascii="宋体" w:hAnsi="宋体" w:cs="宋体"/>
          <w:b/>
          <w:bCs/>
          <w:color w:val="000000" w:themeColor="text1"/>
          <w:szCs w:val="21"/>
          <w14:textFill>
            <w14:solidFill>
              <w14:schemeClr w14:val="tx1"/>
            </w14:solidFill>
          </w14:textFill>
        </w:rPr>
      </w:pPr>
    </w:p>
    <w:p w14:paraId="46EF7E21">
      <w:pPr>
        <w:snapToGrid w:val="0"/>
        <w:spacing w:beforeLines="50" w:after="50"/>
        <w:rPr>
          <w:rFonts w:ascii="宋体" w:hAnsi="宋体" w:cs="宋体"/>
          <w:b/>
          <w:bCs/>
          <w:color w:val="000000" w:themeColor="text1"/>
          <w:szCs w:val="21"/>
          <w14:textFill>
            <w14:solidFill>
              <w14:schemeClr w14:val="tx1"/>
            </w14:solidFill>
          </w14:textFill>
        </w:rPr>
      </w:pPr>
    </w:p>
    <w:p w14:paraId="603C7E17">
      <w:pPr>
        <w:snapToGrid w:val="0"/>
        <w:spacing w:beforeLines="50" w:after="50"/>
        <w:rPr>
          <w:rFonts w:ascii="宋体" w:hAnsi="宋体" w:cs="宋体"/>
          <w:b/>
          <w:bCs/>
          <w:color w:val="000000" w:themeColor="text1"/>
          <w:szCs w:val="21"/>
          <w14:textFill>
            <w14:solidFill>
              <w14:schemeClr w14:val="tx1"/>
            </w14:solidFill>
          </w14:textFill>
        </w:rPr>
      </w:pPr>
    </w:p>
    <w:p w14:paraId="29B8F5AE">
      <w:pPr>
        <w:snapToGrid w:val="0"/>
        <w:spacing w:beforeLines="50" w:after="50"/>
        <w:rPr>
          <w:rFonts w:ascii="宋体" w:hAnsi="宋体" w:cs="宋体"/>
          <w:b/>
          <w:bCs/>
          <w:color w:val="000000" w:themeColor="text1"/>
          <w:szCs w:val="21"/>
          <w14:textFill>
            <w14:solidFill>
              <w14:schemeClr w14:val="tx1"/>
            </w14:solidFill>
          </w14:textFill>
        </w:rPr>
      </w:pPr>
    </w:p>
    <w:p w14:paraId="48661544">
      <w:pPr>
        <w:snapToGrid w:val="0"/>
        <w:spacing w:beforeLines="50" w:after="50"/>
        <w:rPr>
          <w:rFonts w:ascii="宋体" w:hAnsi="宋体" w:cs="宋体"/>
          <w:b/>
          <w:bCs/>
          <w:color w:val="000000" w:themeColor="text1"/>
          <w:szCs w:val="21"/>
          <w14:textFill>
            <w14:solidFill>
              <w14:schemeClr w14:val="tx1"/>
            </w14:solidFill>
          </w14:textFill>
        </w:rPr>
      </w:pPr>
    </w:p>
    <w:p w14:paraId="06A9146C">
      <w:pPr>
        <w:snapToGrid w:val="0"/>
        <w:spacing w:beforeLines="50" w:after="5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2、商务和技术文件格式：</w:t>
      </w:r>
    </w:p>
    <w:p w14:paraId="1F08E2FA">
      <w:pPr>
        <w:snapToGrid w:val="0"/>
        <w:spacing w:beforeLines="50" w:after="50" w:line="280" w:lineRule="exact"/>
        <w:ind w:firstLine="8" w:firstLineChars="3"/>
        <w:jc w:val="righ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电子响应文件</w:t>
      </w:r>
    </w:p>
    <w:p w14:paraId="6C956A96">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15E16079">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0540EFAA">
      <w:pPr>
        <w:snapToGrid w:val="0"/>
        <w:spacing w:beforeLines="50" w:after="50"/>
        <w:ind w:firstLine="13" w:firstLineChars="3"/>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响应文件</w:t>
      </w:r>
    </w:p>
    <w:p w14:paraId="04636F98">
      <w:pPr>
        <w:snapToGrid w:val="0"/>
        <w:spacing w:beforeLines="50" w:after="50"/>
        <w:ind w:firstLine="9" w:firstLineChars="3"/>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（商务和技术文件）</w:t>
      </w:r>
    </w:p>
    <w:p w14:paraId="3679FAD2">
      <w:pPr>
        <w:snapToGrid w:val="0"/>
        <w:spacing w:beforeLines="50" w:after="50"/>
        <w:rPr>
          <w:rFonts w:ascii="宋体" w:hAnsi="宋体" w:cs="宋体"/>
          <w:bCs/>
          <w:color w:val="000000" w:themeColor="text1"/>
          <w:szCs w:val="21"/>
          <w14:textFill>
            <w14:solidFill>
              <w14:schemeClr w14:val="tx1"/>
            </w14:solidFill>
          </w14:textFill>
        </w:rPr>
      </w:pPr>
    </w:p>
    <w:p w14:paraId="73590599">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项目名称：</w:t>
      </w:r>
    </w:p>
    <w:p w14:paraId="0AAB3669">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153EA93F">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项目编号：</w:t>
      </w:r>
    </w:p>
    <w:p w14:paraId="11BCD7A5">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 xml:space="preserve"> </w:t>
      </w:r>
    </w:p>
    <w:p w14:paraId="5A77CF71">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标    项：（如有则填写，无分标时填写“无”或者留空）</w:t>
      </w:r>
    </w:p>
    <w:p w14:paraId="1721DABE">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26F82E54">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供应商名称：</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（加盖单位电子公章）</w:t>
      </w:r>
    </w:p>
    <w:p w14:paraId="41BE36A7">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p>
    <w:p w14:paraId="1D706ADD">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供应商地址：</w:t>
      </w:r>
    </w:p>
    <w:p w14:paraId="67CFCE07">
      <w:pPr>
        <w:pStyle w:val="10"/>
        <w:snapToGrid w:val="0"/>
        <w:spacing w:before="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4AD49CED">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0529111A">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3F50747A">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年   月   日</w:t>
      </w:r>
    </w:p>
    <w:p w14:paraId="4F3474FE">
      <w:pPr>
        <w:snapToGrid w:val="0"/>
        <w:spacing w:before="50" w:after="50"/>
        <w:rPr>
          <w:rFonts w:ascii="宋体" w:hAnsi="宋体" w:cs="宋体"/>
          <w:b/>
          <w:color w:val="000000" w:themeColor="text1"/>
          <w:szCs w:val="21"/>
          <w14:textFill>
            <w14:solidFill>
              <w14:schemeClr w14:val="tx1"/>
            </w14:solidFill>
          </w14:textFill>
        </w:rPr>
      </w:pPr>
    </w:p>
    <w:p w14:paraId="7DAEA751">
      <w:pPr>
        <w:snapToGrid w:val="0"/>
        <w:spacing w:beforeLines="50" w:after="50" w:line="33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14:paraId="55ABA278">
      <w:pPr>
        <w:snapToGrid w:val="0"/>
        <w:spacing w:beforeLines="50" w:after="50" w:line="330" w:lineRule="exact"/>
        <w:jc w:val="center"/>
        <w:rPr>
          <w:rFonts w:ascii="宋体" w:hAnsi="宋体" w:cs="宋体"/>
          <w:b/>
          <w:color w:val="000000" w:themeColor="text1"/>
          <w:szCs w:val="21"/>
          <w14:textFill>
            <w14:solidFill>
              <w14:schemeClr w14:val="tx1"/>
            </w14:solidFill>
          </w14:textFill>
        </w:rPr>
      </w:pPr>
    </w:p>
    <w:p w14:paraId="571041A2">
      <w:pPr>
        <w:snapToGrid w:val="0"/>
        <w:spacing w:beforeLines="50" w:after="50" w:line="33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目录</w:t>
      </w:r>
    </w:p>
    <w:p w14:paraId="12D2BAD0">
      <w:pPr>
        <w:snapToGrid w:val="0"/>
        <w:spacing w:beforeLines="50" w:after="50" w:line="330" w:lineRule="exact"/>
        <w:jc w:val="center"/>
        <w:rPr>
          <w:rFonts w:ascii="宋体" w:hAnsi="宋体" w:cs="宋体"/>
          <w:color w:val="000000" w:themeColor="text1"/>
          <w:sz w:val="28"/>
          <w:szCs w:val="28"/>
          <w14:textFill>
            <w14:solidFill>
              <w14:schemeClr w14:val="tx1"/>
            </w14:solidFill>
          </w14:textFill>
        </w:rPr>
      </w:pPr>
    </w:p>
    <w:p w14:paraId="1D2072DD">
      <w:pPr>
        <w:tabs>
          <w:tab w:val="left" w:pos="2625"/>
        </w:tabs>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(供应商需根据响应文件自行编制目录及页码)</w:t>
      </w:r>
    </w:p>
    <w:p w14:paraId="30A9E924">
      <w:pPr>
        <w:spacing w:line="320" w:lineRule="exact"/>
        <w:rPr>
          <w:rFonts w:ascii="宋体" w:hAnsi="宋体"/>
          <w:color w:val="000000" w:themeColor="text1"/>
          <w:szCs w:val="21"/>
          <w14:textFill>
            <w14:solidFill>
              <w14:schemeClr w14:val="tx1"/>
            </w14:solidFill>
          </w14:textFill>
        </w:rPr>
      </w:pPr>
    </w:p>
    <w:p w14:paraId="7DD7FAC8">
      <w:pPr>
        <w:spacing w:line="320" w:lineRule="exact"/>
        <w:rPr>
          <w:rFonts w:ascii="宋体" w:hAnsi="宋体"/>
          <w:color w:val="000000" w:themeColor="text1"/>
          <w:szCs w:val="21"/>
          <w14:textFill>
            <w14:solidFill>
              <w14:schemeClr w14:val="tx1"/>
            </w14:solidFill>
          </w14:textFill>
        </w:rPr>
      </w:pPr>
    </w:p>
    <w:p w14:paraId="28F2B460">
      <w:pPr>
        <w:spacing w:line="320" w:lineRule="exact"/>
        <w:rPr>
          <w:rFonts w:ascii="宋体" w:hAnsi="宋体"/>
          <w:color w:val="000000" w:themeColor="text1"/>
          <w:szCs w:val="21"/>
          <w14:textFill>
            <w14:solidFill>
              <w14:schemeClr w14:val="tx1"/>
            </w14:solidFill>
          </w14:textFill>
        </w:rPr>
      </w:pPr>
    </w:p>
    <w:p w14:paraId="3A16F244">
      <w:pPr>
        <w:spacing w:line="320" w:lineRule="exact"/>
        <w:rPr>
          <w:rFonts w:ascii="宋体" w:hAnsi="宋体"/>
          <w:color w:val="000000" w:themeColor="text1"/>
          <w:szCs w:val="21"/>
          <w14:textFill>
            <w14:solidFill>
              <w14:schemeClr w14:val="tx1"/>
            </w14:solidFill>
          </w14:textFill>
        </w:rPr>
      </w:pPr>
    </w:p>
    <w:p w14:paraId="263CBC8E">
      <w:pPr>
        <w:spacing w:line="320" w:lineRule="exact"/>
        <w:rPr>
          <w:rFonts w:ascii="宋体" w:hAnsi="宋体"/>
          <w:color w:val="000000" w:themeColor="text1"/>
          <w:szCs w:val="21"/>
          <w14:textFill>
            <w14:solidFill>
              <w14:schemeClr w14:val="tx1"/>
            </w14:solidFill>
          </w14:textFill>
        </w:rPr>
      </w:pPr>
    </w:p>
    <w:p w14:paraId="187C629B">
      <w:pPr>
        <w:spacing w:line="320" w:lineRule="exact"/>
        <w:rPr>
          <w:rFonts w:ascii="宋体" w:hAnsi="宋体"/>
          <w:color w:val="000000" w:themeColor="text1"/>
          <w:szCs w:val="21"/>
          <w14:textFill>
            <w14:solidFill>
              <w14:schemeClr w14:val="tx1"/>
            </w14:solidFill>
          </w14:textFill>
        </w:rPr>
      </w:pPr>
    </w:p>
    <w:p w14:paraId="3F242730">
      <w:pPr>
        <w:spacing w:line="320" w:lineRule="exact"/>
        <w:rPr>
          <w:rFonts w:ascii="宋体" w:hAnsi="宋体"/>
          <w:color w:val="000000" w:themeColor="text1"/>
          <w:szCs w:val="21"/>
          <w14:textFill>
            <w14:solidFill>
              <w14:schemeClr w14:val="tx1"/>
            </w14:solidFill>
          </w14:textFill>
        </w:rPr>
      </w:pPr>
    </w:p>
    <w:p w14:paraId="45C70160">
      <w:pPr>
        <w:spacing w:line="320" w:lineRule="exact"/>
        <w:rPr>
          <w:rFonts w:ascii="宋体" w:hAnsi="宋体"/>
          <w:color w:val="000000" w:themeColor="text1"/>
          <w:szCs w:val="21"/>
          <w14:textFill>
            <w14:solidFill>
              <w14:schemeClr w14:val="tx1"/>
            </w14:solidFill>
          </w14:textFill>
        </w:rPr>
      </w:pPr>
    </w:p>
    <w:p w14:paraId="1CAF5C59">
      <w:pPr>
        <w:spacing w:line="320" w:lineRule="exact"/>
        <w:rPr>
          <w:rFonts w:ascii="宋体" w:hAnsi="宋体"/>
          <w:color w:val="000000" w:themeColor="text1"/>
          <w:szCs w:val="21"/>
          <w14:textFill>
            <w14:solidFill>
              <w14:schemeClr w14:val="tx1"/>
            </w14:solidFill>
          </w14:textFill>
        </w:rPr>
      </w:pPr>
    </w:p>
    <w:p w14:paraId="67849D30">
      <w:pPr>
        <w:spacing w:line="320" w:lineRule="exact"/>
        <w:rPr>
          <w:rFonts w:ascii="宋体" w:hAnsi="宋体"/>
          <w:color w:val="000000" w:themeColor="text1"/>
          <w:szCs w:val="21"/>
          <w14:textFill>
            <w14:solidFill>
              <w14:schemeClr w14:val="tx1"/>
            </w14:solidFill>
          </w14:textFill>
        </w:rPr>
      </w:pPr>
    </w:p>
    <w:p w14:paraId="67C8AFD2">
      <w:pPr>
        <w:spacing w:line="320" w:lineRule="exact"/>
        <w:rPr>
          <w:rFonts w:ascii="宋体" w:hAnsi="宋体"/>
          <w:color w:val="000000" w:themeColor="text1"/>
          <w:szCs w:val="21"/>
          <w14:textFill>
            <w14:solidFill>
              <w14:schemeClr w14:val="tx1"/>
            </w14:solidFill>
          </w14:textFill>
        </w:rPr>
      </w:pPr>
    </w:p>
    <w:p w14:paraId="319D4810">
      <w:pPr>
        <w:spacing w:line="320" w:lineRule="exact"/>
        <w:rPr>
          <w:rFonts w:ascii="宋体" w:hAnsi="宋体"/>
          <w:color w:val="000000" w:themeColor="text1"/>
          <w:szCs w:val="21"/>
          <w14:textFill>
            <w14:solidFill>
              <w14:schemeClr w14:val="tx1"/>
            </w14:solidFill>
          </w14:textFill>
        </w:rPr>
      </w:pPr>
    </w:p>
    <w:p w14:paraId="014C4769">
      <w:pPr>
        <w:spacing w:line="320" w:lineRule="exact"/>
        <w:rPr>
          <w:rFonts w:ascii="宋体" w:hAnsi="宋体"/>
          <w:color w:val="000000" w:themeColor="text1"/>
          <w:szCs w:val="21"/>
          <w14:textFill>
            <w14:solidFill>
              <w14:schemeClr w14:val="tx1"/>
            </w14:solidFill>
          </w14:textFill>
        </w:rPr>
      </w:pPr>
    </w:p>
    <w:p w14:paraId="7D5A32E0">
      <w:pPr>
        <w:spacing w:line="320" w:lineRule="exact"/>
        <w:rPr>
          <w:rFonts w:ascii="宋体" w:hAnsi="宋体"/>
          <w:color w:val="000000" w:themeColor="text1"/>
          <w:szCs w:val="21"/>
          <w14:textFill>
            <w14:solidFill>
              <w14:schemeClr w14:val="tx1"/>
            </w14:solidFill>
          </w14:textFill>
        </w:rPr>
      </w:pPr>
    </w:p>
    <w:p w14:paraId="2158E2C7">
      <w:pPr>
        <w:spacing w:line="320" w:lineRule="exact"/>
        <w:rPr>
          <w:rFonts w:ascii="宋体" w:hAnsi="宋体"/>
          <w:color w:val="000000" w:themeColor="text1"/>
          <w:szCs w:val="21"/>
          <w14:textFill>
            <w14:solidFill>
              <w14:schemeClr w14:val="tx1"/>
            </w14:solidFill>
          </w14:textFill>
        </w:rPr>
      </w:pPr>
    </w:p>
    <w:p w14:paraId="25A3645A">
      <w:pPr>
        <w:spacing w:line="320" w:lineRule="exact"/>
        <w:rPr>
          <w:rFonts w:ascii="宋体" w:hAnsi="宋体"/>
          <w:color w:val="000000" w:themeColor="text1"/>
          <w:szCs w:val="21"/>
          <w14:textFill>
            <w14:solidFill>
              <w14:schemeClr w14:val="tx1"/>
            </w14:solidFill>
          </w14:textFill>
        </w:rPr>
      </w:pPr>
    </w:p>
    <w:p w14:paraId="4557689C">
      <w:pPr>
        <w:spacing w:line="320" w:lineRule="exact"/>
        <w:rPr>
          <w:rFonts w:ascii="宋体" w:hAnsi="宋体"/>
          <w:color w:val="000000" w:themeColor="text1"/>
          <w:szCs w:val="21"/>
          <w14:textFill>
            <w14:solidFill>
              <w14:schemeClr w14:val="tx1"/>
            </w14:solidFill>
          </w14:textFill>
        </w:rPr>
      </w:pPr>
    </w:p>
    <w:p w14:paraId="0F7FEB5B">
      <w:pPr>
        <w:spacing w:line="320" w:lineRule="exact"/>
        <w:rPr>
          <w:rFonts w:ascii="宋体" w:hAnsi="宋体"/>
          <w:color w:val="000000" w:themeColor="text1"/>
          <w:szCs w:val="21"/>
          <w14:textFill>
            <w14:solidFill>
              <w14:schemeClr w14:val="tx1"/>
            </w14:solidFill>
          </w14:textFill>
        </w:rPr>
      </w:pPr>
    </w:p>
    <w:p w14:paraId="24E09F06">
      <w:pPr>
        <w:spacing w:line="320" w:lineRule="exact"/>
        <w:rPr>
          <w:rFonts w:ascii="宋体" w:hAnsi="宋体"/>
          <w:color w:val="000000" w:themeColor="text1"/>
          <w:szCs w:val="21"/>
          <w14:textFill>
            <w14:solidFill>
              <w14:schemeClr w14:val="tx1"/>
            </w14:solidFill>
          </w14:textFill>
        </w:rPr>
      </w:pPr>
    </w:p>
    <w:p w14:paraId="14420DE1">
      <w:pPr>
        <w:spacing w:line="320" w:lineRule="exact"/>
        <w:rPr>
          <w:rFonts w:ascii="宋体" w:hAnsi="宋体"/>
          <w:color w:val="000000" w:themeColor="text1"/>
          <w:szCs w:val="21"/>
          <w14:textFill>
            <w14:solidFill>
              <w14:schemeClr w14:val="tx1"/>
            </w14:solidFill>
          </w14:textFill>
        </w:rPr>
      </w:pPr>
    </w:p>
    <w:p w14:paraId="6F7703B4">
      <w:pPr>
        <w:spacing w:line="320" w:lineRule="exact"/>
        <w:rPr>
          <w:rFonts w:ascii="宋体" w:hAnsi="宋体"/>
          <w:color w:val="000000" w:themeColor="text1"/>
          <w:szCs w:val="21"/>
          <w14:textFill>
            <w14:solidFill>
              <w14:schemeClr w14:val="tx1"/>
            </w14:solidFill>
          </w14:textFill>
        </w:rPr>
      </w:pPr>
    </w:p>
    <w:p w14:paraId="26FD21F0">
      <w:pPr>
        <w:spacing w:line="320" w:lineRule="exact"/>
        <w:rPr>
          <w:rFonts w:ascii="宋体" w:hAnsi="宋体"/>
          <w:color w:val="000000" w:themeColor="text1"/>
          <w:szCs w:val="21"/>
          <w14:textFill>
            <w14:solidFill>
              <w14:schemeClr w14:val="tx1"/>
            </w14:solidFill>
          </w14:textFill>
        </w:rPr>
      </w:pPr>
    </w:p>
    <w:p w14:paraId="1C26E56B">
      <w:pPr>
        <w:pStyle w:val="2"/>
        <w:rPr>
          <w:rFonts w:ascii="宋体" w:hAnsi="宋体"/>
          <w:color w:val="000000" w:themeColor="text1"/>
          <w:szCs w:val="21"/>
          <w14:textFill>
            <w14:solidFill>
              <w14:schemeClr w14:val="tx1"/>
            </w14:solidFill>
          </w14:textFill>
        </w:rPr>
      </w:pPr>
    </w:p>
    <w:p w14:paraId="46061E58">
      <w:pPr>
        <w:pStyle w:val="2"/>
        <w:rPr>
          <w:rFonts w:ascii="宋体" w:hAnsi="宋体"/>
          <w:color w:val="000000" w:themeColor="text1"/>
          <w:szCs w:val="21"/>
          <w14:textFill>
            <w14:solidFill>
              <w14:schemeClr w14:val="tx1"/>
            </w14:solidFill>
          </w14:textFill>
        </w:rPr>
      </w:pPr>
    </w:p>
    <w:p w14:paraId="5B430434">
      <w:pPr>
        <w:pStyle w:val="2"/>
        <w:rPr>
          <w:rFonts w:ascii="宋体" w:hAnsi="宋体"/>
          <w:color w:val="000000" w:themeColor="text1"/>
          <w:szCs w:val="21"/>
          <w14:textFill>
            <w14:solidFill>
              <w14:schemeClr w14:val="tx1"/>
            </w14:solidFill>
          </w14:textFill>
        </w:rPr>
      </w:pPr>
    </w:p>
    <w:p w14:paraId="6FB646FF">
      <w:pPr>
        <w:pStyle w:val="2"/>
        <w:rPr>
          <w:rFonts w:ascii="宋体" w:hAnsi="宋体"/>
          <w:color w:val="000000" w:themeColor="text1"/>
          <w:szCs w:val="21"/>
          <w14:textFill>
            <w14:solidFill>
              <w14:schemeClr w14:val="tx1"/>
            </w14:solidFill>
          </w14:textFill>
        </w:rPr>
      </w:pPr>
    </w:p>
    <w:p w14:paraId="74A9BF2F">
      <w:pPr>
        <w:pStyle w:val="2"/>
        <w:rPr>
          <w:rFonts w:ascii="宋体" w:hAnsi="宋体"/>
          <w:color w:val="000000" w:themeColor="text1"/>
          <w:szCs w:val="21"/>
          <w14:textFill>
            <w14:solidFill>
              <w14:schemeClr w14:val="tx1"/>
            </w14:solidFill>
          </w14:textFill>
        </w:rPr>
      </w:pPr>
    </w:p>
    <w:p w14:paraId="07C7AF9D">
      <w:pPr>
        <w:pStyle w:val="2"/>
        <w:rPr>
          <w:rFonts w:ascii="宋体" w:hAnsi="宋体"/>
          <w:color w:val="000000" w:themeColor="text1"/>
          <w:szCs w:val="21"/>
          <w14:textFill>
            <w14:solidFill>
              <w14:schemeClr w14:val="tx1"/>
            </w14:solidFill>
          </w14:textFill>
        </w:rPr>
      </w:pPr>
    </w:p>
    <w:p w14:paraId="1C383648">
      <w:pPr>
        <w:pStyle w:val="2"/>
        <w:rPr>
          <w:rFonts w:ascii="宋体" w:hAnsi="宋体"/>
          <w:color w:val="000000" w:themeColor="text1"/>
          <w:szCs w:val="21"/>
          <w14:textFill>
            <w14:solidFill>
              <w14:schemeClr w14:val="tx1"/>
            </w14:solidFill>
          </w14:textFill>
        </w:rPr>
      </w:pPr>
    </w:p>
    <w:p w14:paraId="047FBAB7">
      <w:pPr>
        <w:pStyle w:val="2"/>
        <w:rPr>
          <w:rFonts w:ascii="宋体" w:hAnsi="宋体"/>
          <w:color w:val="000000" w:themeColor="text1"/>
          <w:szCs w:val="21"/>
          <w14:textFill>
            <w14:solidFill>
              <w14:schemeClr w14:val="tx1"/>
            </w14:solidFill>
          </w14:textFill>
        </w:rPr>
      </w:pPr>
    </w:p>
    <w:p w14:paraId="37B2F499">
      <w:pPr>
        <w:pStyle w:val="2"/>
        <w:rPr>
          <w:rFonts w:ascii="宋体" w:hAnsi="宋体"/>
          <w:color w:val="000000" w:themeColor="text1"/>
          <w:szCs w:val="21"/>
          <w14:textFill>
            <w14:solidFill>
              <w14:schemeClr w14:val="tx1"/>
            </w14:solidFill>
          </w14:textFill>
        </w:rPr>
      </w:pPr>
    </w:p>
    <w:p w14:paraId="0337848C">
      <w:pPr>
        <w:pStyle w:val="2"/>
        <w:rPr>
          <w:rFonts w:ascii="宋体" w:hAnsi="宋体"/>
          <w:color w:val="000000" w:themeColor="text1"/>
          <w:szCs w:val="21"/>
          <w14:textFill>
            <w14:solidFill>
              <w14:schemeClr w14:val="tx1"/>
            </w14:solidFill>
          </w14:textFill>
        </w:rPr>
      </w:pPr>
    </w:p>
    <w:p w14:paraId="4F6A4657">
      <w:pPr>
        <w:spacing w:line="320" w:lineRule="exact"/>
        <w:rPr>
          <w:rFonts w:ascii="宋体" w:hAnsi="宋体"/>
          <w:color w:val="000000" w:themeColor="text1"/>
          <w:szCs w:val="21"/>
          <w14:textFill>
            <w14:solidFill>
              <w14:schemeClr w14:val="tx1"/>
            </w14:solidFill>
          </w14:textFill>
        </w:rPr>
      </w:pPr>
    </w:p>
    <w:p w14:paraId="46FBBA6B">
      <w:pPr>
        <w:spacing w:line="320" w:lineRule="exact"/>
        <w:rPr>
          <w:rFonts w:ascii="宋体" w:hAnsi="宋体"/>
          <w:color w:val="000000" w:themeColor="text1"/>
          <w:szCs w:val="21"/>
          <w14:textFill>
            <w14:solidFill>
              <w14:schemeClr w14:val="tx1"/>
            </w14:solidFill>
          </w14:textFill>
        </w:rPr>
      </w:pPr>
    </w:p>
    <w:p w14:paraId="60D8B6BE">
      <w:pPr>
        <w:spacing w:line="320" w:lineRule="exact"/>
        <w:rPr>
          <w:rFonts w:ascii="宋体" w:hAnsi="宋体"/>
          <w:color w:val="000000" w:themeColor="text1"/>
          <w:szCs w:val="21"/>
          <w14:textFill>
            <w14:solidFill>
              <w14:schemeClr w14:val="tx1"/>
            </w14:solidFill>
          </w14:textFill>
        </w:rPr>
      </w:pPr>
    </w:p>
    <w:p w14:paraId="49A6D020">
      <w:pPr>
        <w:spacing w:line="320" w:lineRule="exact"/>
        <w:rPr>
          <w:rFonts w:ascii="宋体" w:hAnsi="宋体"/>
          <w:color w:val="000000" w:themeColor="text1"/>
          <w:szCs w:val="21"/>
          <w14:textFill>
            <w14:solidFill>
              <w14:schemeClr w14:val="tx1"/>
            </w14:solidFill>
          </w14:textFill>
        </w:rPr>
      </w:pPr>
    </w:p>
    <w:p w14:paraId="784D60D4">
      <w:pPr>
        <w:spacing w:line="320" w:lineRule="exact"/>
        <w:rPr>
          <w:rFonts w:ascii="宋体" w:hAnsi="宋体"/>
          <w:color w:val="000000" w:themeColor="text1"/>
          <w:szCs w:val="21"/>
          <w14:textFill>
            <w14:solidFill>
              <w14:schemeClr w14:val="tx1"/>
            </w14:solidFill>
          </w14:textFill>
        </w:rPr>
      </w:pPr>
    </w:p>
    <w:p w14:paraId="2EF63F2F">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一、法定代表人身份证明书格式</w:t>
      </w:r>
    </w:p>
    <w:p w14:paraId="37D60B7E">
      <w:pPr>
        <w:pStyle w:val="21"/>
        <w:ind w:left="-10" w:firstLine="10" w:firstLineChars="3"/>
        <w:jc w:val="center"/>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法定代表人身份证明书</w:t>
      </w:r>
    </w:p>
    <w:p w14:paraId="6130064D">
      <w:pPr>
        <w:pStyle w:val="21"/>
        <w:ind w:left="-10" w:firstLine="13" w:firstLineChars="3"/>
        <w:jc w:val="center"/>
        <w:rPr>
          <w:rFonts w:hAnsi="宋体" w:cs="宋体"/>
          <w:b/>
          <w:color w:val="000000" w:themeColor="text1"/>
          <w:sz w:val="44"/>
          <w14:textFill>
            <w14:solidFill>
              <w14:schemeClr w14:val="tx1"/>
            </w14:solidFill>
          </w14:textFill>
        </w:rPr>
      </w:pPr>
    </w:p>
    <w:p w14:paraId="7BF7856C">
      <w:pPr>
        <w:pStyle w:val="21"/>
        <w:ind w:firstLine="277"/>
        <w:rPr>
          <w:rFonts w:hAnsi="宋体" w:cs="宋体"/>
          <w:color w:val="000000" w:themeColor="text1"/>
          <w:sz w:val="21"/>
          <w:u w:val="single"/>
          <w14:textFill>
            <w14:solidFill>
              <w14:schemeClr w14:val="tx1"/>
            </w14:solidFill>
          </w14:textFill>
        </w:rPr>
      </w:pPr>
      <w:r>
        <w:rPr>
          <w:rFonts w:hint="eastAsia" w:hAnsi="宋体" w:cs="宋体"/>
          <w:color w:val="000000" w:themeColor="text1"/>
          <w:sz w:val="21"/>
          <w14:textFill>
            <w14:solidFill>
              <w14:schemeClr w14:val="tx1"/>
            </w14:solidFill>
          </w14:textFill>
        </w:rPr>
        <w:t>单位名称：</w:t>
      </w:r>
      <w:r>
        <w:rPr>
          <w:rFonts w:hint="eastAsia" w:hAnsi="宋体" w:cs="宋体"/>
          <w:color w:val="000000" w:themeColor="text1"/>
          <w:sz w:val="21"/>
          <w:u w:val="single"/>
          <w14:textFill>
            <w14:solidFill>
              <w14:schemeClr w14:val="tx1"/>
            </w14:solidFill>
          </w14:textFill>
        </w:rPr>
        <w:t xml:space="preserve">                         </w:t>
      </w:r>
    </w:p>
    <w:p w14:paraId="30ACAB4E">
      <w:pPr>
        <w:pStyle w:val="21"/>
        <w:ind w:firstLine="277"/>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单位性质：</w:t>
      </w:r>
      <w:r>
        <w:rPr>
          <w:rFonts w:hint="eastAsia" w:hAnsi="宋体" w:cs="宋体"/>
          <w:color w:val="000000" w:themeColor="text1"/>
          <w:sz w:val="21"/>
          <w:u w:val="single"/>
          <w14:textFill>
            <w14:solidFill>
              <w14:schemeClr w14:val="tx1"/>
            </w14:solidFill>
          </w14:textFill>
        </w:rPr>
        <w:t xml:space="preserve">                         </w:t>
      </w:r>
    </w:p>
    <w:p w14:paraId="2D7C312F">
      <w:pPr>
        <w:pStyle w:val="21"/>
        <w:ind w:firstLine="277"/>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地    址：</w:t>
      </w:r>
      <w:r>
        <w:rPr>
          <w:rFonts w:hint="eastAsia" w:hAnsi="宋体" w:cs="宋体"/>
          <w:color w:val="000000" w:themeColor="text1"/>
          <w:sz w:val="21"/>
          <w:u w:val="single"/>
          <w14:textFill>
            <w14:solidFill>
              <w14:schemeClr w14:val="tx1"/>
            </w14:solidFill>
          </w14:textFill>
        </w:rPr>
        <w:t xml:space="preserve">                         </w:t>
      </w:r>
    </w:p>
    <w:p w14:paraId="5B6A3018">
      <w:pPr>
        <w:pStyle w:val="21"/>
        <w:ind w:firstLine="277"/>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成立时间：</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年</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月</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日</w:t>
      </w:r>
    </w:p>
    <w:p w14:paraId="1480528F">
      <w:pPr>
        <w:pStyle w:val="21"/>
        <w:ind w:firstLine="277"/>
        <w:rPr>
          <w:rFonts w:hAnsi="宋体" w:cs="宋体"/>
          <w:color w:val="000000" w:themeColor="text1"/>
          <w:sz w:val="21"/>
          <w:u w:val="single"/>
          <w14:textFill>
            <w14:solidFill>
              <w14:schemeClr w14:val="tx1"/>
            </w14:solidFill>
          </w14:textFill>
        </w:rPr>
      </w:pPr>
      <w:r>
        <w:rPr>
          <w:rFonts w:hint="eastAsia" w:hAnsi="宋体" w:cs="宋体"/>
          <w:color w:val="000000" w:themeColor="text1"/>
          <w:sz w:val="21"/>
          <w14:textFill>
            <w14:solidFill>
              <w14:schemeClr w14:val="tx1"/>
            </w14:solidFill>
          </w14:textFill>
        </w:rPr>
        <w:t>经营期限：</w:t>
      </w:r>
      <w:r>
        <w:rPr>
          <w:rFonts w:hint="eastAsia" w:hAnsi="宋体" w:cs="宋体"/>
          <w:color w:val="000000" w:themeColor="text1"/>
          <w:sz w:val="21"/>
          <w:u w:val="single"/>
          <w14:textFill>
            <w14:solidFill>
              <w14:schemeClr w14:val="tx1"/>
            </w14:solidFill>
          </w14:textFill>
        </w:rPr>
        <w:t xml:space="preserve">                          </w:t>
      </w:r>
    </w:p>
    <w:p w14:paraId="7F8B6568">
      <w:pPr>
        <w:pStyle w:val="21"/>
        <w:ind w:firstLine="277"/>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姓名：</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性别：</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年龄：</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职务：</w:t>
      </w:r>
      <w:r>
        <w:rPr>
          <w:rFonts w:hint="eastAsia" w:hAnsi="宋体" w:cs="宋体"/>
          <w:color w:val="000000" w:themeColor="text1"/>
          <w:sz w:val="21"/>
          <w:u w:val="single"/>
          <w14:textFill>
            <w14:solidFill>
              <w14:schemeClr w14:val="tx1"/>
            </w14:solidFill>
          </w14:textFill>
        </w:rPr>
        <w:t xml:space="preserve">       </w:t>
      </w:r>
    </w:p>
    <w:p w14:paraId="6EAFF70F">
      <w:pPr>
        <w:pStyle w:val="21"/>
        <w:ind w:firstLine="277"/>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系</w:t>
      </w:r>
      <w:r>
        <w:rPr>
          <w:rFonts w:hint="eastAsia" w:hAnsi="宋体" w:cs="宋体"/>
          <w:color w:val="000000" w:themeColor="text1"/>
          <w:sz w:val="21"/>
          <w:u w:val="single"/>
          <w14:textFill>
            <w14:solidFill>
              <w14:schemeClr w14:val="tx1"/>
            </w14:solidFill>
          </w14:textFill>
        </w:rPr>
        <w:t xml:space="preserve">     （供应商单位名称）  </w:t>
      </w:r>
      <w:r>
        <w:rPr>
          <w:rFonts w:hint="eastAsia" w:hAnsi="宋体" w:cs="宋体"/>
          <w:color w:val="000000" w:themeColor="text1"/>
          <w:sz w:val="21"/>
          <w14:textFill>
            <w14:solidFill>
              <w14:schemeClr w14:val="tx1"/>
            </w14:solidFill>
          </w14:textFill>
        </w:rPr>
        <w:t>的法定代表人。</w:t>
      </w:r>
    </w:p>
    <w:p w14:paraId="558CFF5A">
      <w:pPr>
        <w:pStyle w:val="21"/>
        <w:ind w:firstLine="277"/>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特此证明。</w:t>
      </w:r>
    </w:p>
    <w:p w14:paraId="38518610">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331F2A21">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349762B2">
      <w:pPr>
        <w:pStyle w:val="21"/>
        <w:spacing w:line="360" w:lineRule="exact"/>
        <w:rPr>
          <w:rFonts w:hAnsi="宋体" w:cs="宋体"/>
          <w:color w:val="000000" w:themeColor="text1"/>
          <w:szCs w:val="21"/>
          <w14:textFill>
            <w14:solidFill>
              <w14:schemeClr w14:val="tx1"/>
            </w14:solidFill>
          </w14:textFill>
        </w:rPr>
      </w:pPr>
      <w:r>
        <w:rPr>
          <w:rFonts w:hint="eastAsia" w:hAnsi="宋体" w:cs="宋体"/>
          <w:color w:val="000000" w:themeColor="text1"/>
          <w14:textFill>
            <w14:solidFill>
              <w14:schemeClr w14:val="tx1"/>
            </w14:solidFill>
          </w14:textFill>
        </w:rPr>
        <w:t xml:space="preserve">                                                                                                                                                                                        </w:t>
      </w:r>
    </w:p>
    <w:p w14:paraId="257BC0FD">
      <w:pPr>
        <w:pStyle w:val="21"/>
        <w:spacing w:line="480" w:lineRule="exact"/>
        <w:rPr>
          <w:rFonts w:hAnsi="宋体" w:cs="宋体"/>
          <w:color w:val="000000" w:themeColor="text1"/>
          <w14:textFill>
            <w14:solidFill>
              <w14:schemeClr w14:val="tx1"/>
            </w14:solidFill>
          </w14:textFill>
        </w:rPr>
      </w:pPr>
      <w:r>
        <w:rPr>
          <w:rFonts w:cs="Courier New"/>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029460"/>
                <wp:effectExtent l="5080" t="4445" r="16510" b="8255"/>
                <wp:wrapNone/>
                <wp:docPr id="6"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64DFBF"/>
                          <w:p w14:paraId="04673852"/>
                          <w:p w14:paraId="16C800B9"/>
                          <w:p w14:paraId="0FDFFC76"/>
                          <w:p w14:paraId="20B15FAA">
                            <w:pPr>
                              <w:jc w:val="center"/>
                            </w:pPr>
                            <w:r>
                              <w:rPr>
                                <w:rFonts w:hint="eastAsia"/>
                              </w:rPr>
                              <w:t>法定代表人第二代居民身份证复印件</w:t>
                            </w:r>
                          </w:p>
                          <w:p w14:paraId="6FB8D3E5">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4384;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xyeZ7WAAAACAEAAA8AAAAAAAAAAQAgAAAAIgAA&#10;AGRycy9kb3ducmV2LnhtbFBLAQIUABQAAAAIAIdO4kCHlueHCgIAADgEAAAOAAAAAAAAAAEAIAAA&#10;ACUBAABkcnMvZTJvRG9jLnhtbFBLBQYAAAAABgAGAFkBAAChBQAAAAA=&#10;">
                <v:fill on="t" focussize="0,0"/>
                <v:stroke color="#000000" joinstyle="miter"/>
                <v:imagedata o:title=""/>
                <o:lock v:ext="edit" aspectratio="f"/>
                <v:textbox>
                  <w:txbxContent>
                    <w:p w14:paraId="6564DFBF"/>
                    <w:p w14:paraId="04673852"/>
                    <w:p w14:paraId="16C800B9"/>
                    <w:p w14:paraId="0FDFFC76"/>
                    <w:p w14:paraId="20B15FAA">
                      <w:pPr>
                        <w:jc w:val="center"/>
                      </w:pPr>
                      <w:r>
                        <w:rPr>
                          <w:rFonts w:hint="eastAsia"/>
                        </w:rPr>
                        <w:t>法定代表人第二代居民身份证复印件</w:t>
                      </w:r>
                    </w:p>
                    <w:p w14:paraId="6FB8D3E5">
                      <w:pPr>
                        <w:jc w:val="center"/>
                        <w:rPr>
                          <w:b/>
                        </w:rPr>
                      </w:pPr>
                      <w:r>
                        <w:rPr>
                          <w:rFonts w:hint="eastAsia"/>
                          <w:b/>
                        </w:rPr>
                        <w:t>（正面）</w:t>
                      </w:r>
                    </w:p>
                  </w:txbxContent>
                </v:textbox>
              </v:rect>
            </w:pict>
          </mc:Fallback>
        </mc:AlternateContent>
      </w:r>
      <w:r>
        <w:rPr>
          <w:rFonts w:cs="Courier New"/>
          <w:color w:val="000000" w:themeColor="text1"/>
          <w14:textFill>
            <w14:solidFill>
              <w14:schemeClr w14:val="tx1"/>
            </w14:solidFill>
          </w14:textFill>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5080"/>
                <wp:wrapTopAndBottom/>
                <wp:docPr id="4"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Lda30rlAQAA3QMA&#10;AA4AAAAAAAAAAQAgAAAAHwEAAGRycy9lMm9Eb2MueG1sUEsFBgAAAAAGAAYAWQEAAHYFAAAAAA==&#10;">
                <v:fill on="f" focussize="0,0"/>
                <v:stroke color="#000000" joinstyle="round"/>
                <v:imagedata o:title=""/>
                <o:lock v:ext="edit" aspectratio="f"/>
                <w10:wrap type="topAndBottom"/>
              </v:line>
            </w:pict>
          </mc:Fallback>
        </mc:AlternateContent>
      </w:r>
      <w:r>
        <w:rPr>
          <w:rFonts w:hint="eastAsia" w:hAnsi="宋体" w:cs="宋体"/>
          <w:color w:val="000000" w:themeColor="text1"/>
          <w14:textFill>
            <w14:solidFill>
              <w14:schemeClr w14:val="tx1"/>
            </w14:solidFill>
          </w14:textFill>
        </w:rPr>
        <w:t xml:space="preserve">  </w:t>
      </w:r>
    </w:p>
    <w:p w14:paraId="740B78BB">
      <w:pPr>
        <w:pStyle w:val="21"/>
        <w:spacing w:line="480" w:lineRule="exact"/>
        <w:rPr>
          <w:rFonts w:hAnsi="宋体" w:cs="宋体"/>
          <w:color w:val="000000" w:themeColor="text1"/>
          <w14:textFill>
            <w14:solidFill>
              <w14:schemeClr w14:val="tx1"/>
            </w14:solidFill>
          </w14:textFill>
        </w:rPr>
      </w:pPr>
    </w:p>
    <w:p w14:paraId="666957CD">
      <w:pPr>
        <w:pStyle w:val="21"/>
        <w:spacing w:line="480" w:lineRule="exact"/>
        <w:rPr>
          <w:rFonts w:hAnsi="宋体" w:cs="宋体"/>
          <w:color w:val="000000" w:themeColor="text1"/>
          <w14:textFill>
            <w14:solidFill>
              <w14:schemeClr w14:val="tx1"/>
            </w14:solidFill>
          </w14:textFill>
        </w:rPr>
      </w:pPr>
    </w:p>
    <w:p w14:paraId="1FD6E841">
      <w:pPr>
        <w:pStyle w:val="21"/>
        <w:spacing w:line="480" w:lineRule="exact"/>
        <w:rPr>
          <w:rFonts w:hAnsi="宋体" w:cs="宋体"/>
          <w:color w:val="000000" w:themeColor="text1"/>
          <w14:textFill>
            <w14:solidFill>
              <w14:schemeClr w14:val="tx1"/>
            </w14:solidFill>
          </w14:textFill>
        </w:rPr>
      </w:pPr>
    </w:p>
    <w:p w14:paraId="61EF6997">
      <w:pPr>
        <w:pStyle w:val="21"/>
        <w:spacing w:line="480" w:lineRule="exact"/>
        <w:rPr>
          <w:rFonts w:hAnsi="宋体" w:cs="宋体"/>
          <w:color w:val="000000" w:themeColor="text1"/>
          <w14:textFill>
            <w14:solidFill>
              <w14:schemeClr w14:val="tx1"/>
            </w14:solidFill>
          </w14:textFill>
        </w:rPr>
      </w:pPr>
    </w:p>
    <w:p w14:paraId="273D56AE">
      <w:pPr>
        <w:pStyle w:val="21"/>
        <w:spacing w:line="240" w:lineRule="atLeast"/>
        <w:ind w:firstLine="6000" w:firstLineChars="3000"/>
        <w:rPr>
          <w:rFonts w:hAnsi="宋体" w:cs="宋体"/>
          <w:color w:val="000000" w:themeColor="text1"/>
          <w14:textFill>
            <w14:solidFill>
              <w14:schemeClr w14:val="tx1"/>
            </w14:solidFill>
          </w14:textFill>
        </w:rPr>
      </w:pPr>
    </w:p>
    <w:p w14:paraId="1810732C">
      <w:pPr>
        <w:pStyle w:val="21"/>
        <w:spacing w:line="480" w:lineRule="exact"/>
        <w:rPr>
          <w:rFonts w:hAnsi="宋体" w:cs="宋体"/>
          <w:color w:val="000000" w:themeColor="text1"/>
          <w14:textFill>
            <w14:solidFill>
              <w14:schemeClr w14:val="tx1"/>
            </w14:solidFill>
          </w14:textFill>
        </w:rPr>
      </w:pPr>
    </w:p>
    <w:p w14:paraId="076DE27F">
      <w:pPr>
        <w:pStyle w:val="21"/>
        <w:spacing w:line="240" w:lineRule="exact"/>
        <w:rPr>
          <w:rFonts w:hAnsi="宋体" w:cs="宋体"/>
          <w:color w:val="000000" w:themeColor="text1"/>
          <w14:textFill>
            <w14:solidFill>
              <w14:schemeClr w14:val="tx1"/>
            </w14:solidFill>
          </w14:textFill>
        </w:rPr>
      </w:pPr>
    </w:p>
    <w:p w14:paraId="344DBCE2">
      <w:pPr>
        <w:pStyle w:val="21"/>
        <w:spacing w:line="240" w:lineRule="exact"/>
        <w:rPr>
          <w:rFonts w:hAnsi="宋体" w:cs="宋体"/>
          <w:color w:val="000000" w:themeColor="text1"/>
          <w14:textFill>
            <w14:solidFill>
              <w14:schemeClr w14:val="tx1"/>
            </w14:solidFill>
          </w14:textFill>
        </w:rPr>
      </w:pPr>
      <w:r>
        <w:rPr>
          <w:rFonts w:cs="Courier New"/>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39770" cy="2160270"/>
                <wp:effectExtent l="4445" t="4445" r="17145" b="14605"/>
                <wp:wrapNone/>
                <wp:docPr id="5"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FB9BB5"/>
                          <w:p w14:paraId="73002E2A"/>
                          <w:p w14:paraId="155FCB79"/>
                          <w:p w14:paraId="277236BA"/>
                          <w:p w14:paraId="64F13C90">
                            <w:pPr>
                              <w:jc w:val="center"/>
                            </w:pPr>
                            <w:r>
                              <w:rPr>
                                <w:rFonts w:hint="eastAsia"/>
                              </w:rPr>
                              <w:t>法定代表人第二代居民身份证复印件</w:t>
                            </w:r>
                          </w:p>
                          <w:p w14:paraId="7E95C899">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3360;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5a9cAAAAJAQAADwAAAAAAAAABACAAAAAiAAAAZHJz&#10;L2Rvd25yZXYueG1sUEsBAhQAFAAAAAgAh07iQDcDvkQFAgAAOAQAAA4AAAAAAAAAAQAgAAAAJgEA&#10;AGRycy9lMm9Eb2MueG1sUEsFBgAAAAAGAAYAWQEAAJ0FAAAAAA==&#10;">
                <v:fill on="t" focussize="0,0"/>
                <v:stroke color="#000000" joinstyle="miter"/>
                <v:imagedata o:title=""/>
                <o:lock v:ext="edit" aspectratio="f"/>
                <v:textbox>
                  <w:txbxContent>
                    <w:p w14:paraId="41FB9BB5"/>
                    <w:p w14:paraId="73002E2A"/>
                    <w:p w14:paraId="155FCB79"/>
                    <w:p w14:paraId="277236BA"/>
                    <w:p w14:paraId="64F13C90">
                      <w:pPr>
                        <w:jc w:val="center"/>
                      </w:pPr>
                      <w:r>
                        <w:rPr>
                          <w:rFonts w:hint="eastAsia"/>
                        </w:rPr>
                        <w:t>法定代表人第二代居民身份证复印件</w:t>
                      </w:r>
                    </w:p>
                    <w:p w14:paraId="7E95C899">
                      <w:pPr>
                        <w:jc w:val="center"/>
                        <w:rPr>
                          <w:b/>
                        </w:rPr>
                      </w:pPr>
                      <w:r>
                        <w:rPr>
                          <w:rFonts w:hint="eastAsia"/>
                          <w:b/>
                        </w:rPr>
                        <w:t>（背面）</w:t>
                      </w:r>
                    </w:p>
                  </w:txbxContent>
                </v:textbox>
              </v:rect>
            </w:pict>
          </mc:Fallback>
        </mc:AlternateContent>
      </w:r>
    </w:p>
    <w:p w14:paraId="4F7A734C">
      <w:pPr>
        <w:pStyle w:val="21"/>
        <w:spacing w:line="240" w:lineRule="exact"/>
        <w:rPr>
          <w:rFonts w:hAnsi="宋体" w:cs="宋体"/>
          <w:color w:val="000000" w:themeColor="text1"/>
          <w14:textFill>
            <w14:solidFill>
              <w14:schemeClr w14:val="tx1"/>
            </w14:solidFill>
          </w14:textFill>
        </w:rPr>
      </w:pPr>
    </w:p>
    <w:p w14:paraId="34758ACD">
      <w:pPr>
        <w:pStyle w:val="21"/>
        <w:spacing w:line="240" w:lineRule="exact"/>
        <w:rPr>
          <w:rFonts w:hAnsi="宋体" w:cs="宋体"/>
          <w:color w:val="000000" w:themeColor="text1"/>
          <w14:textFill>
            <w14:solidFill>
              <w14:schemeClr w14:val="tx1"/>
            </w14:solidFill>
          </w14:textFill>
        </w:rPr>
      </w:pPr>
    </w:p>
    <w:p w14:paraId="5C4676B0">
      <w:pPr>
        <w:pStyle w:val="21"/>
        <w:spacing w:line="240" w:lineRule="exact"/>
        <w:rPr>
          <w:rFonts w:hAnsi="宋体" w:cs="宋体"/>
          <w:color w:val="000000" w:themeColor="text1"/>
          <w:sz w:val="44"/>
          <w14:textFill>
            <w14:solidFill>
              <w14:schemeClr w14:val="tx1"/>
            </w14:solidFill>
          </w14:textFill>
        </w:rPr>
      </w:pPr>
    </w:p>
    <w:p w14:paraId="3C38C5D9">
      <w:pPr>
        <w:pStyle w:val="21"/>
        <w:spacing w:line="240" w:lineRule="exact"/>
        <w:rPr>
          <w:rFonts w:hAnsi="宋体" w:cs="宋体"/>
          <w:color w:val="000000" w:themeColor="text1"/>
          <w:sz w:val="44"/>
          <w14:textFill>
            <w14:solidFill>
              <w14:schemeClr w14:val="tx1"/>
            </w14:solidFill>
          </w14:textFill>
        </w:rPr>
      </w:pPr>
    </w:p>
    <w:p w14:paraId="7E47D393">
      <w:pPr>
        <w:pStyle w:val="21"/>
        <w:spacing w:line="240" w:lineRule="exact"/>
        <w:rPr>
          <w:rFonts w:hAnsi="宋体" w:cs="宋体"/>
          <w:color w:val="000000" w:themeColor="text1"/>
          <w:sz w:val="44"/>
          <w14:textFill>
            <w14:solidFill>
              <w14:schemeClr w14:val="tx1"/>
            </w14:solidFill>
          </w14:textFill>
        </w:rPr>
      </w:pPr>
    </w:p>
    <w:p w14:paraId="5B7E3329">
      <w:pPr>
        <w:pStyle w:val="21"/>
        <w:spacing w:line="240" w:lineRule="exact"/>
        <w:rPr>
          <w:rFonts w:hAnsi="宋体" w:cs="宋体"/>
          <w:color w:val="000000" w:themeColor="text1"/>
          <w:sz w:val="44"/>
          <w14:textFill>
            <w14:solidFill>
              <w14:schemeClr w14:val="tx1"/>
            </w14:solidFill>
          </w14:textFill>
        </w:rPr>
      </w:pPr>
    </w:p>
    <w:p w14:paraId="5EBC7AAE">
      <w:pPr>
        <w:jc w:val="center"/>
        <w:rPr>
          <w:rFonts w:ascii="宋体" w:hAnsi="宋体" w:cs="宋体"/>
          <w:color w:val="000000" w:themeColor="text1"/>
          <w14:textFill>
            <w14:solidFill>
              <w14:schemeClr w14:val="tx1"/>
            </w14:solidFill>
          </w14:textFill>
        </w:rPr>
      </w:pPr>
    </w:p>
    <w:p w14:paraId="0BA550A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7377E348">
      <w:pPr>
        <w:jc w:val="center"/>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314463C5">
      <w:pPr>
        <w:pStyle w:val="21"/>
        <w:spacing w:line="240" w:lineRule="exact"/>
        <w:rPr>
          <w:rFonts w:hAnsi="宋体" w:cs="宋体"/>
          <w:color w:val="000000" w:themeColor="text1"/>
          <w:sz w:val="44"/>
          <w14:textFill>
            <w14:solidFill>
              <w14:schemeClr w14:val="tx1"/>
            </w14:solidFill>
          </w14:textFill>
        </w:rPr>
      </w:pPr>
    </w:p>
    <w:p w14:paraId="37F20081">
      <w:pPr>
        <w:pStyle w:val="21"/>
        <w:spacing w:line="240" w:lineRule="atLeast"/>
        <w:ind w:firstLine="5500" w:firstLineChars="2750"/>
        <w:rPr>
          <w:rFonts w:hAnsi="宋体" w:cs="宋体"/>
          <w:color w:val="000000" w:themeColor="text1"/>
          <w14:textFill>
            <w14:solidFill>
              <w14:schemeClr w14:val="tx1"/>
            </w14:solidFill>
          </w14:textFill>
        </w:rPr>
      </w:pPr>
    </w:p>
    <w:p w14:paraId="59BEA49A">
      <w:pPr>
        <w:pStyle w:val="21"/>
        <w:spacing w:line="240" w:lineRule="atLeast"/>
        <w:ind w:firstLine="5500" w:firstLineChars="2750"/>
        <w:rPr>
          <w:rFonts w:hAnsi="宋体" w:cs="宋体"/>
          <w:color w:val="000000" w:themeColor="text1"/>
          <w14:textFill>
            <w14:solidFill>
              <w14:schemeClr w14:val="tx1"/>
            </w14:solidFill>
          </w14:textFill>
        </w:rPr>
      </w:pPr>
    </w:p>
    <w:p w14:paraId="0DDECAC6">
      <w:pPr>
        <w:pStyle w:val="21"/>
        <w:spacing w:line="240" w:lineRule="atLeast"/>
        <w:ind w:firstLine="5500" w:firstLineChars="2750"/>
        <w:rPr>
          <w:rFonts w:hAnsi="宋体" w:cs="宋体"/>
          <w:color w:val="000000" w:themeColor="text1"/>
          <w14:textFill>
            <w14:solidFill>
              <w14:schemeClr w14:val="tx1"/>
            </w14:solidFill>
          </w14:textFill>
        </w:rPr>
      </w:pPr>
    </w:p>
    <w:p w14:paraId="10EBD2AB">
      <w:pPr>
        <w:pStyle w:val="21"/>
        <w:spacing w:line="240" w:lineRule="atLeast"/>
        <w:ind w:firstLine="5500" w:firstLineChars="2750"/>
        <w:rPr>
          <w:rFonts w:hAnsi="宋体" w:cs="宋体"/>
          <w:color w:val="000000" w:themeColor="text1"/>
          <w14:textFill>
            <w14:solidFill>
              <w14:schemeClr w14:val="tx1"/>
            </w14:solidFill>
          </w14:textFill>
        </w:rPr>
      </w:pPr>
    </w:p>
    <w:p w14:paraId="1289054A">
      <w:pPr>
        <w:pStyle w:val="21"/>
        <w:spacing w:line="240" w:lineRule="atLeast"/>
        <w:ind w:firstLine="5500" w:firstLineChars="2750"/>
        <w:rPr>
          <w:rFonts w:hAnsi="宋体" w:cs="宋体"/>
          <w:color w:val="000000" w:themeColor="text1"/>
          <w14:textFill>
            <w14:solidFill>
              <w14:schemeClr w14:val="tx1"/>
            </w14:solidFill>
          </w14:textFill>
        </w:rPr>
      </w:pPr>
    </w:p>
    <w:p w14:paraId="287AD6F1">
      <w:pPr>
        <w:pStyle w:val="21"/>
        <w:spacing w:line="240" w:lineRule="atLeast"/>
        <w:ind w:firstLine="5500" w:firstLineChars="275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法定代表人</w:t>
      </w:r>
      <w:r>
        <w:rPr>
          <w:rFonts w:hint="eastAsia" w:hAnsi="宋体" w:cs="宋体"/>
          <w:b/>
          <w:bCs/>
          <w:color w:val="000000" w:themeColor="text1"/>
          <w14:textFill>
            <w14:solidFill>
              <w14:schemeClr w14:val="tx1"/>
            </w14:solidFill>
          </w14:textFill>
        </w:rPr>
        <w:t>签名：</w:t>
      </w:r>
      <w:r>
        <w:rPr>
          <w:rFonts w:hint="eastAsia" w:hAnsi="宋体" w:cs="宋体"/>
          <w:color w:val="000000" w:themeColor="text1"/>
          <w:u w:val="single"/>
          <w14:textFill>
            <w14:solidFill>
              <w14:schemeClr w14:val="tx1"/>
            </w14:solidFill>
          </w14:textFill>
        </w:rPr>
        <w:t xml:space="preserve">                   </w:t>
      </w:r>
    </w:p>
    <w:p w14:paraId="644695E8">
      <w:pPr>
        <w:spacing w:line="300" w:lineRule="auto"/>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二、法定代表人授权委托书格式</w:t>
      </w:r>
    </w:p>
    <w:p w14:paraId="7B50E04B">
      <w:pPr>
        <w:pStyle w:val="21"/>
        <w:jc w:val="center"/>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法定代表人授权委托书</w:t>
      </w:r>
    </w:p>
    <w:p w14:paraId="22A90EFF">
      <w:pPr>
        <w:snapToGrid w:val="0"/>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广西德元工程项目管理有限责任公司</w:t>
      </w:r>
      <w:r>
        <w:rPr>
          <w:rFonts w:hint="eastAsia" w:ascii="宋体" w:hAnsi="宋体" w:cs="宋体"/>
          <w:color w:val="000000" w:themeColor="text1"/>
          <w:szCs w:val="21"/>
          <w14:textFill>
            <w14:solidFill>
              <w14:schemeClr w14:val="tx1"/>
            </w14:solidFill>
          </w14:textFill>
        </w:rPr>
        <w:t>：</w:t>
      </w:r>
    </w:p>
    <w:p w14:paraId="44F201B5">
      <w:pPr>
        <w:snapToGrid w:val="0"/>
        <w:spacing w:line="36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我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（姓名）系</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（供应商名称）的法定代表人，现授权委托</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（姓名）以我方的名义参加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项目的谈判采购活动，并代表我方全权办理针对上述谈判采购项目的谈判、开标、评标、签约等具体事务和签署相关文件。</w:t>
      </w:r>
    </w:p>
    <w:p w14:paraId="5282D6C4">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我方对被授权人的签名事项负全部责任。代理期限从   年  月  日至   年  月  日止。</w:t>
      </w:r>
    </w:p>
    <w:p w14:paraId="08790AF9">
      <w:pPr>
        <w:snapToGrid w:val="0"/>
        <w:spacing w:line="36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在撤销授权的书面通知以前，本授权书一直有效。</w:t>
      </w:r>
      <w:r>
        <w:rPr>
          <w:rFonts w:hint="eastAsia" w:ascii="宋体" w:hAnsi="宋体" w:cs="宋体"/>
          <w:color w:val="000000" w:themeColor="text1"/>
          <w:szCs w:val="21"/>
          <w14:textFill>
            <w14:solidFill>
              <w14:schemeClr w14:val="tx1"/>
            </w14:solidFill>
          </w14:textFill>
        </w:rPr>
        <w:t>被授权人在授权书有效期内签署的所有文件不因授权的撤销而失效。</w:t>
      </w:r>
    </w:p>
    <w:p w14:paraId="38411603">
      <w:pPr>
        <w:snapToGrid w:val="0"/>
        <w:spacing w:line="36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被授权人无转委托权，特此委托。</w:t>
      </w:r>
    </w:p>
    <w:p w14:paraId="3D067A17">
      <w:pPr>
        <w:snapToGrid w:val="0"/>
        <w:spacing w:line="360" w:lineRule="exact"/>
        <w:rPr>
          <w:rFonts w:ascii="宋体" w:hAnsi="宋体" w:cs="宋体"/>
          <w:color w:val="000000" w:themeColor="text1"/>
          <w:szCs w:val="21"/>
          <w14:textFill>
            <w14:solidFill>
              <w14:schemeClr w14:val="tx1"/>
            </w14:solidFill>
          </w14:textFill>
        </w:rPr>
      </w:pPr>
    </w:p>
    <w:p w14:paraId="133489F3">
      <w:pPr>
        <w:snapToGrid w:val="0"/>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w:t>
      </w:r>
      <w:r>
        <w:rPr>
          <w:rFonts w:hint="eastAsia" w:ascii="宋体" w:hAnsi="宋体" w:cs="宋体"/>
          <w:b/>
          <w:color w:val="000000" w:themeColor="text1"/>
          <w:szCs w:val="21"/>
          <w14:textFill>
            <w14:solidFill>
              <w14:schemeClr w14:val="tx1"/>
            </w14:solidFill>
          </w14:textFill>
        </w:rPr>
        <w:t>签名</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法定代表人</w:t>
      </w:r>
      <w:r>
        <w:rPr>
          <w:rFonts w:hint="eastAsia" w:ascii="宋体" w:hAnsi="宋体" w:cs="宋体"/>
          <w:b/>
          <w:color w:val="000000" w:themeColor="text1"/>
          <w:szCs w:val="21"/>
          <w14:textFill>
            <w14:solidFill>
              <w14:schemeClr w14:val="tx1"/>
            </w14:solidFill>
          </w14:textFill>
        </w:rPr>
        <w:t>签名</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78294AB9">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所在部门职务：</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职务：</w:t>
      </w:r>
      <w:r>
        <w:rPr>
          <w:rFonts w:hint="eastAsia" w:ascii="宋体" w:hAnsi="宋体" w:cs="宋体"/>
          <w:color w:val="000000" w:themeColor="text1"/>
          <w:szCs w:val="21"/>
          <w:u w:val="single"/>
          <w14:textFill>
            <w14:solidFill>
              <w14:schemeClr w14:val="tx1"/>
            </w14:solidFill>
          </w14:textFill>
        </w:rPr>
        <w:t xml:space="preserve">                                          </w:t>
      </w:r>
    </w:p>
    <w:p w14:paraId="0EE573DD">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被授权人身份证号码：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4AD4EB9C">
      <w:pPr>
        <w:spacing w:line="360" w:lineRule="exact"/>
        <w:ind w:firstLine="6090" w:firstLineChars="2900"/>
        <w:jc w:val="righ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供应商名称(电子签章)：</w:t>
      </w:r>
    </w:p>
    <w:p w14:paraId="498FABDE">
      <w:pPr>
        <w:spacing w:line="360" w:lineRule="exact"/>
        <w:ind w:firstLine="6300" w:firstLineChars="30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0351688F">
      <w:pPr>
        <w:snapToGrid w:val="0"/>
        <w:spacing w:line="360" w:lineRule="exact"/>
        <w:jc w:val="center"/>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 xml:space="preserve">                                                                                                                                                                                        </w:t>
      </w:r>
    </w:p>
    <w:p w14:paraId="6D0152CC">
      <w:pPr>
        <w:pStyle w:val="21"/>
        <w:spacing w:line="480" w:lineRule="exact"/>
        <w:rPr>
          <w:rFonts w:hAnsi="宋体" w:cs="宋体"/>
          <w:color w:val="000000" w:themeColor="text1"/>
          <w14:textFill>
            <w14:solidFill>
              <w14:schemeClr w14:val="tx1"/>
            </w14:solidFill>
          </w14:textFill>
        </w:rPr>
      </w:pPr>
      <w:r>
        <w:rPr>
          <w:rFonts w:cs="Courier New"/>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160270"/>
                <wp:effectExtent l="4445" t="4445" r="17145" b="14605"/>
                <wp:wrapNone/>
                <wp:docPr id="9"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3F3A51"/>
                          <w:p w14:paraId="48E2C91E"/>
                          <w:p w14:paraId="6DEA99A1"/>
                          <w:p w14:paraId="006548FD"/>
                          <w:p w14:paraId="2B8A12DA"/>
                          <w:p w14:paraId="0465D70B">
                            <w:pPr>
                              <w:jc w:val="center"/>
                            </w:pPr>
                            <w:r>
                              <w:rPr>
                                <w:rFonts w:hint="eastAsia"/>
                              </w:rPr>
                              <w:t>委托代理人第二代居民身份证复印件</w:t>
                            </w:r>
                          </w:p>
                          <w:p w14:paraId="3FC8D043">
                            <w:pPr>
                              <w:jc w:val="center"/>
                            </w:pPr>
                            <w:r>
                              <w:rPr>
                                <w:rFonts w:hint="eastAsia"/>
                                <w:b/>
                              </w:rPr>
                              <w:t>（正面）</w:t>
                            </w:r>
                          </w:p>
                          <w:p w14:paraId="5BDDA3B4">
                            <w:pPr>
                              <w:jc w:val="center"/>
                            </w:pPr>
                          </w:p>
                        </w:txbxContent>
                      </wps:txbx>
                      <wps:bodyPr upright="1"/>
                    </wps:wsp>
                  </a:graphicData>
                </a:graphic>
              </wp:anchor>
            </w:drawing>
          </mc:Choice>
          <mc:Fallback>
            <w:pict>
              <v:rect id="矩形 11" o:spid="_x0000_s1026" o:spt="1" style="position:absolute;left:0pt;margin-left:9pt;margin-top:1pt;height:170.1pt;width:255.1pt;z-index:251667456;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jeFLtYAAAAIAQAADwAAAAAAAAABACAAAAAiAAAAZHJz&#10;L2Rvd25yZXYueG1sUEsBAhQAFAAAAAgAh07iQC4GO6QGAgAAOQQAAA4AAAAAAAAAAQAgAAAAJQEA&#10;AGRycy9lMm9Eb2MueG1sUEsFBgAAAAAGAAYAWQEAAJ0FAAAAAA==&#10;">
                <v:fill on="t" focussize="0,0"/>
                <v:stroke color="#000000" joinstyle="miter"/>
                <v:imagedata o:title=""/>
                <o:lock v:ext="edit" aspectratio="f"/>
                <v:textbox>
                  <w:txbxContent>
                    <w:p w14:paraId="3C3F3A51"/>
                    <w:p w14:paraId="48E2C91E"/>
                    <w:p w14:paraId="6DEA99A1"/>
                    <w:p w14:paraId="006548FD"/>
                    <w:p w14:paraId="2B8A12DA"/>
                    <w:p w14:paraId="0465D70B">
                      <w:pPr>
                        <w:jc w:val="center"/>
                      </w:pPr>
                      <w:r>
                        <w:rPr>
                          <w:rFonts w:hint="eastAsia"/>
                        </w:rPr>
                        <w:t>委托代理人第二代居民身份证复印件</w:t>
                      </w:r>
                    </w:p>
                    <w:p w14:paraId="3FC8D043">
                      <w:pPr>
                        <w:jc w:val="center"/>
                      </w:pPr>
                      <w:r>
                        <w:rPr>
                          <w:rFonts w:hint="eastAsia"/>
                          <w:b/>
                        </w:rPr>
                        <w:t>（正面）</w:t>
                      </w:r>
                    </w:p>
                    <w:p w14:paraId="5BDDA3B4">
                      <w:pPr>
                        <w:jc w:val="center"/>
                      </w:pPr>
                    </w:p>
                  </w:txbxContent>
                </v:textbox>
              </v:rect>
            </w:pict>
          </mc:Fallback>
        </mc:AlternateContent>
      </w:r>
      <w:r>
        <w:rPr>
          <w:rFonts w:cs="Courier New"/>
          <w:color w:val="000000" w:themeColor="text1"/>
          <w14:textFill>
            <w14:solidFill>
              <w14:schemeClr w14:val="tx1"/>
            </w14:solidFill>
          </w14:textFill>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0"/>
                <wp:effectExtent l="0" t="4445" r="0" b="5080"/>
                <wp:wrapTopAndBottom/>
                <wp:docPr id="7"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0pt;margin-top:0pt;height:0pt;width:483pt;mso-wrap-distance-bottom:0pt;mso-wrap-distance-top:14.2pt;z-index:25166540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Ea66BblAQAA3QMA&#10;AA4AAAAAAAAAAQAgAAAAHwEAAGRycy9lMm9Eb2MueG1sUEsFBgAAAAAGAAYAWQEAAHYFAAAAAA==&#10;">
                <v:fill on="f" focussize="0,0"/>
                <v:stroke color="#000000" joinstyle="round"/>
                <v:imagedata o:title=""/>
                <o:lock v:ext="edit" aspectratio="f"/>
                <w10:wrap type="topAndBottom"/>
              </v:line>
            </w:pict>
          </mc:Fallback>
        </mc:AlternateContent>
      </w:r>
      <w:r>
        <w:rPr>
          <w:rFonts w:hint="eastAsia" w:hAnsi="宋体" w:cs="宋体"/>
          <w:color w:val="000000" w:themeColor="text1"/>
          <w14:textFill>
            <w14:solidFill>
              <w14:schemeClr w14:val="tx1"/>
            </w14:solidFill>
          </w14:textFill>
        </w:rPr>
        <w:t xml:space="preserve">  </w:t>
      </w:r>
    </w:p>
    <w:p w14:paraId="034DE435">
      <w:pPr>
        <w:pStyle w:val="21"/>
        <w:spacing w:line="480" w:lineRule="exact"/>
        <w:rPr>
          <w:rFonts w:hAnsi="宋体" w:cs="宋体"/>
          <w:color w:val="000000" w:themeColor="text1"/>
          <w14:textFill>
            <w14:solidFill>
              <w14:schemeClr w14:val="tx1"/>
            </w14:solidFill>
          </w14:textFill>
        </w:rPr>
      </w:pPr>
    </w:p>
    <w:p w14:paraId="2A49C214">
      <w:pPr>
        <w:pStyle w:val="21"/>
        <w:spacing w:line="480" w:lineRule="exact"/>
        <w:rPr>
          <w:rFonts w:hAnsi="宋体" w:cs="宋体"/>
          <w:color w:val="000000" w:themeColor="text1"/>
          <w14:textFill>
            <w14:solidFill>
              <w14:schemeClr w14:val="tx1"/>
            </w14:solidFill>
          </w14:textFill>
        </w:rPr>
      </w:pPr>
    </w:p>
    <w:p w14:paraId="4867F148">
      <w:pPr>
        <w:pStyle w:val="21"/>
        <w:spacing w:line="480" w:lineRule="exact"/>
        <w:rPr>
          <w:rFonts w:hAnsi="宋体" w:cs="宋体"/>
          <w:color w:val="000000" w:themeColor="text1"/>
          <w14:textFill>
            <w14:solidFill>
              <w14:schemeClr w14:val="tx1"/>
            </w14:solidFill>
          </w14:textFill>
        </w:rPr>
      </w:pPr>
    </w:p>
    <w:p w14:paraId="153CE800">
      <w:pPr>
        <w:pStyle w:val="21"/>
        <w:spacing w:line="480" w:lineRule="exact"/>
        <w:rPr>
          <w:rFonts w:hAnsi="宋体" w:cs="宋体"/>
          <w:color w:val="000000" w:themeColor="text1"/>
          <w14:textFill>
            <w14:solidFill>
              <w14:schemeClr w14:val="tx1"/>
            </w14:solidFill>
          </w14:textFill>
        </w:rPr>
      </w:pPr>
    </w:p>
    <w:p w14:paraId="2E430B54">
      <w:pPr>
        <w:pStyle w:val="21"/>
        <w:spacing w:line="240" w:lineRule="atLeast"/>
        <w:ind w:firstLine="5200" w:firstLineChars="2600"/>
        <w:rPr>
          <w:rFonts w:hAnsi="宋体" w:cs="宋体"/>
          <w:color w:val="000000" w:themeColor="text1"/>
          <w:u w:val="single"/>
          <w14:textFill>
            <w14:solidFill>
              <w14:schemeClr w14:val="tx1"/>
            </w14:solidFill>
          </w14:textFill>
        </w:rPr>
      </w:pPr>
    </w:p>
    <w:p w14:paraId="546B51BB">
      <w:pPr>
        <w:pStyle w:val="21"/>
        <w:spacing w:line="240" w:lineRule="atLeast"/>
        <w:ind w:firstLine="5200" w:firstLineChars="2600"/>
        <w:rPr>
          <w:rFonts w:hAnsi="宋体" w:cs="宋体"/>
          <w:color w:val="000000" w:themeColor="text1"/>
          <w:u w:val="single"/>
          <w14:textFill>
            <w14:solidFill>
              <w14:schemeClr w14:val="tx1"/>
            </w14:solidFill>
          </w14:textFill>
        </w:rPr>
      </w:pPr>
    </w:p>
    <w:p w14:paraId="02284DFE">
      <w:pPr>
        <w:pStyle w:val="21"/>
        <w:spacing w:line="240" w:lineRule="atLeast"/>
        <w:ind w:firstLine="6000" w:firstLineChars="3000"/>
        <w:rPr>
          <w:rFonts w:hAnsi="宋体" w:cs="宋体"/>
          <w:color w:val="000000" w:themeColor="text1"/>
          <w14:textFill>
            <w14:solidFill>
              <w14:schemeClr w14:val="tx1"/>
            </w14:solidFill>
          </w14:textFill>
        </w:rPr>
      </w:pPr>
    </w:p>
    <w:p w14:paraId="6A7F2857">
      <w:pPr>
        <w:pStyle w:val="21"/>
        <w:spacing w:line="480" w:lineRule="exact"/>
        <w:rPr>
          <w:rFonts w:hAnsi="宋体" w:cs="宋体"/>
          <w:color w:val="000000" w:themeColor="text1"/>
          <w14:textFill>
            <w14:solidFill>
              <w14:schemeClr w14:val="tx1"/>
            </w14:solidFill>
          </w14:textFill>
        </w:rPr>
      </w:pPr>
      <w:r>
        <w:rPr>
          <w:rFonts w:cs="Courier New"/>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248285</wp:posOffset>
                </wp:positionV>
                <wp:extent cx="3239770" cy="2160270"/>
                <wp:effectExtent l="4445" t="4445" r="17145" b="14605"/>
                <wp:wrapNone/>
                <wp:docPr id="8"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1B0FB5"/>
                          <w:p w14:paraId="3DBE6C12"/>
                          <w:p w14:paraId="7536A983"/>
                          <w:p w14:paraId="24F043AB"/>
                          <w:p w14:paraId="0CB49245"/>
                          <w:p w14:paraId="23F24CCA">
                            <w:pPr>
                              <w:jc w:val="center"/>
                            </w:pPr>
                            <w:r>
                              <w:rPr>
                                <w:rFonts w:hint="eastAsia"/>
                              </w:rPr>
                              <w:t>委托代理人第二代居民身份证复印件</w:t>
                            </w:r>
                          </w:p>
                          <w:p w14:paraId="6C22918D">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6432;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cESrDXAAAACQEAAA8AAAAAAAAAAQAgAAAAIgAAAGRy&#10;cy9kb3ducmV2LnhtbFBLAQIUABQAAAAIAIdO4kDnZJzrBgIAADkEAAAOAAAAAAAAAAEAIAAAACYB&#10;AABkcnMvZTJvRG9jLnhtbFBLBQYAAAAABgAGAFkBAACeBQAAAAA=&#10;">
                <v:fill on="t" focussize="0,0"/>
                <v:stroke color="#000000" joinstyle="miter"/>
                <v:imagedata o:title=""/>
                <o:lock v:ext="edit" aspectratio="f"/>
                <v:textbox>
                  <w:txbxContent>
                    <w:p w14:paraId="521B0FB5"/>
                    <w:p w14:paraId="3DBE6C12"/>
                    <w:p w14:paraId="7536A983"/>
                    <w:p w14:paraId="24F043AB"/>
                    <w:p w14:paraId="0CB49245"/>
                    <w:p w14:paraId="23F24CCA">
                      <w:pPr>
                        <w:jc w:val="center"/>
                      </w:pPr>
                      <w:r>
                        <w:rPr>
                          <w:rFonts w:hint="eastAsia"/>
                        </w:rPr>
                        <w:t>委托代理人第二代居民身份证复印件</w:t>
                      </w:r>
                    </w:p>
                    <w:p w14:paraId="6C22918D">
                      <w:pPr>
                        <w:jc w:val="center"/>
                      </w:pPr>
                      <w:r>
                        <w:rPr>
                          <w:rFonts w:hint="eastAsia"/>
                          <w:b/>
                        </w:rPr>
                        <w:t>（背面）</w:t>
                      </w:r>
                    </w:p>
                  </w:txbxContent>
                </v:textbox>
              </v:rect>
            </w:pict>
          </mc:Fallback>
        </mc:AlternateContent>
      </w:r>
    </w:p>
    <w:p w14:paraId="0CFCC51E">
      <w:pPr>
        <w:pStyle w:val="21"/>
        <w:spacing w:line="240" w:lineRule="exact"/>
        <w:rPr>
          <w:rFonts w:hAnsi="宋体" w:cs="宋体"/>
          <w:color w:val="000000" w:themeColor="text1"/>
          <w14:textFill>
            <w14:solidFill>
              <w14:schemeClr w14:val="tx1"/>
            </w14:solidFill>
          </w14:textFill>
        </w:rPr>
      </w:pPr>
    </w:p>
    <w:p w14:paraId="7C240062">
      <w:pPr>
        <w:pStyle w:val="21"/>
        <w:spacing w:line="240" w:lineRule="exact"/>
        <w:rPr>
          <w:rFonts w:hAnsi="宋体" w:cs="宋体"/>
          <w:color w:val="000000" w:themeColor="text1"/>
          <w14:textFill>
            <w14:solidFill>
              <w14:schemeClr w14:val="tx1"/>
            </w14:solidFill>
          </w14:textFill>
        </w:rPr>
      </w:pPr>
    </w:p>
    <w:p w14:paraId="2623F201">
      <w:pPr>
        <w:pStyle w:val="21"/>
        <w:spacing w:line="240" w:lineRule="exact"/>
        <w:rPr>
          <w:rFonts w:hAnsi="宋体" w:cs="宋体"/>
          <w:color w:val="000000" w:themeColor="text1"/>
          <w14:textFill>
            <w14:solidFill>
              <w14:schemeClr w14:val="tx1"/>
            </w14:solidFill>
          </w14:textFill>
        </w:rPr>
      </w:pPr>
    </w:p>
    <w:p w14:paraId="1064AB6B">
      <w:pPr>
        <w:pStyle w:val="21"/>
        <w:spacing w:line="240" w:lineRule="exact"/>
        <w:rPr>
          <w:rFonts w:hAnsi="宋体" w:cs="宋体"/>
          <w:color w:val="000000" w:themeColor="text1"/>
          <w:sz w:val="44"/>
          <w14:textFill>
            <w14:solidFill>
              <w14:schemeClr w14:val="tx1"/>
            </w14:solidFill>
          </w14:textFill>
        </w:rPr>
      </w:pPr>
    </w:p>
    <w:p w14:paraId="78C82B59">
      <w:pPr>
        <w:pStyle w:val="21"/>
        <w:spacing w:line="240" w:lineRule="exact"/>
        <w:rPr>
          <w:rFonts w:hAnsi="宋体" w:cs="宋体"/>
          <w:color w:val="000000" w:themeColor="text1"/>
          <w:sz w:val="44"/>
          <w14:textFill>
            <w14:solidFill>
              <w14:schemeClr w14:val="tx1"/>
            </w14:solidFill>
          </w14:textFill>
        </w:rPr>
      </w:pPr>
    </w:p>
    <w:p w14:paraId="29BE6A0F">
      <w:pPr>
        <w:pStyle w:val="21"/>
        <w:spacing w:line="240" w:lineRule="exact"/>
        <w:rPr>
          <w:rFonts w:hAnsi="宋体" w:cs="宋体"/>
          <w:color w:val="000000" w:themeColor="text1"/>
          <w:sz w:val="44"/>
          <w14:textFill>
            <w14:solidFill>
              <w14:schemeClr w14:val="tx1"/>
            </w14:solidFill>
          </w14:textFill>
        </w:rPr>
      </w:pPr>
    </w:p>
    <w:p w14:paraId="6298F927">
      <w:pPr>
        <w:pStyle w:val="21"/>
        <w:spacing w:line="240" w:lineRule="exact"/>
        <w:rPr>
          <w:rFonts w:hAnsi="宋体" w:cs="宋体"/>
          <w:color w:val="000000" w:themeColor="text1"/>
          <w:sz w:val="44"/>
          <w14:textFill>
            <w14:solidFill>
              <w14:schemeClr w14:val="tx1"/>
            </w14:solidFill>
          </w14:textFill>
        </w:rPr>
      </w:pPr>
    </w:p>
    <w:p w14:paraId="7ED9C9F8">
      <w:pPr>
        <w:pStyle w:val="21"/>
        <w:spacing w:line="240" w:lineRule="exact"/>
        <w:rPr>
          <w:rFonts w:hAnsi="宋体" w:cs="宋体"/>
          <w:color w:val="000000" w:themeColor="text1"/>
          <w:sz w:val="44"/>
          <w14:textFill>
            <w14:solidFill>
              <w14:schemeClr w14:val="tx1"/>
            </w14:solidFill>
          </w14:textFill>
        </w:rPr>
      </w:pPr>
    </w:p>
    <w:p w14:paraId="4076E547">
      <w:pPr>
        <w:pStyle w:val="21"/>
        <w:spacing w:line="240" w:lineRule="exact"/>
        <w:rPr>
          <w:rFonts w:hAnsi="宋体" w:cs="宋体"/>
          <w:color w:val="000000" w:themeColor="text1"/>
          <w:sz w:val="44"/>
          <w14:textFill>
            <w14:solidFill>
              <w14:schemeClr w14:val="tx1"/>
            </w14:solidFill>
          </w14:textFill>
        </w:rPr>
      </w:pPr>
    </w:p>
    <w:p w14:paraId="22575BEE">
      <w:pPr>
        <w:pStyle w:val="21"/>
        <w:spacing w:line="240" w:lineRule="exact"/>
        <w:rPr>
          <w:rFonts w:hAnsi="宋体" w:cs="宋体"/>
          <w:color w:val="000000" w:themeColor="text1"/>
          <w:sz w:val="44"/>
          <w14:textFill>
            <w14:solidFill>
              <w14:schemeClr w14:val="tx1"/>
            </w14:solidFill>
          </w14:textFill>
        </w:rPr>
      </w:pPr>
    </w:p>
    <w:p w14:paraId="78552E45">
      <w:pPr>
        <w:pStyle w:val="21"/>
        <w:spacing w:line="240" w:lineRule="exact"/>
        <w:rPr>
          <w:rFonts w:hAnsi="宋体" w:cs="宋体"/>
          <w:color w:val="000000" w:themeColor="text1"/>
          <w:sz w:val="44"/>
          <w14:textFill>
            <w14:solidFill>
              <w14:schemeClr w14:val="tx1"/>
            </w14:solidFill>
          </w14:textFill>
        </w:rPr>
      </w:pPr>
    </w:p>
    <w:p w14:paraId="77F53192">
      <w:pPr>
        <w:pStyle w:val="21"/>
        <w:spacing w:line="240" w:lineRule="exact"/>
        <w:rPr>
          <w:rFonts w:hAnsi="宋体" w:cs="宋体"/>
          <w:color w:val="000000" w:themeColor="text1"/>
          <w:sz w:val="44"/>
          <w14:textFill>
            <w14:solidFill>
              <w14:schemeClr w14:val="tx1"/>
            </w14:solidFill>
          </w14:textFill>
        </w:rPr>
      </w:pPr>
    </w:p>
    <w:p w14:paraId="551F96A7">
      <w:pPr>
        <w:jc w:val="center"/>
        <w:rPr>
          <w:rFonts w:ascii="宋体" w:hAnsi="宋体" w:cs="宋体"/>
          <w:color w:val="000000" w:themeColor="text1"/>
          <w14:textFill>
            <w14:solidFill>
              <w14:schemeClr w14:val="tx1"/>
            </w14:solidFill>
          </w14:textFill>
        </w:rPr>
      </w:pPr>
    </w:p>
    <w:p w14:paraId="47100D85">
      <w:pPr>
        <w:rPr>
          <w:rFonts w:ascii="宋体" w:hAnsi="宋体" w:cs="宋体"/>
          <w:b/>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三、商务响应表格式</w:t>
      </w:r>
    </w:p>
    <w:p w14:paraId="0A1C0394">
      <w:pPr>
        <w:spacing w:line="360" w:lineRule="exact"/>
        <w:jc w:val="center"/>
        <w:rPr>
          <w:rFonts w:ascii="宋体" w:hAnsi="宋体" w:cs="宋体"/>
          <w:b/>
          <w:bCs/>
          <w:color w:val="000000" w:themeColor="text1"/>
          <w:kern w:val="0"/>
          <w:sz w:val="30"/>
          <w14:textFill>
            <w14:solidFill>
              <w14:schemeClr w14:val="tx1"/>
            </w14:solidFill>
          </w14:textFill>
        </w:rPr>
      </w:pPr>
      <w:r>
        <w:rPr>
          <w:rFonts w:hint="eastAsia" w:ascii="宋体" w:hAnsi="宋体" w:cs="宋体"/>
          <w:b/>
          <w:bCs/>
          <w:color w:val="000000" w:themeColor="text1"/>
          <w:kern w:val="0"/>
          <w:sz w:val="30"/>
          <w14:textFill>
            <w14:solidFill>
              <w14:schemeClr w14:val="tx1"/>
            </w14:solidFill>
          </w14:textFill>
        </w:rPr>
        <w:t>商务响应表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5A5B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A08B341">
            <w:pPr>
              <w:pStyle w:val="21"/>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0F468073">
            <w:pPr>
              <w:pStyle w:val="21"/>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1D53F13C">
            <w:pPr>
              <w:pStyle w:val="21"/>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0E8D66DC">
            <w:pPr>
              <w:pStyle w:val="21"/>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响应文件的承诺或说明</w:t>
            </w:r>
          </w:p>
        </w:tc>
      </w:tr>
      <w:tr w14:paraId="46F1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8CF23E9">
            <w:pPr>
              <w:widowControl/>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基本要求</w:t>
            </w:r>
          </w:p>
        </w:tc>
        <w:tc>
          <w:tcPr>
            <w:tcW w:w="2977" w:type="dxa"/>
            <w:tcBorders>
              <w:top w:val="single" w:color="auto" w:sz="4" w:space="0"/>
              <w:left w:val="single" w:color="auto" w:sz="4" w:space="0"/>
              <w:bottom w:val="single" w:color="auto" w:sz="4" w:space="0"/>
              <w:right w:val="single" w:color="auto" w:sz="4" w:space="0"/>
            </w:tcBorders>
            <w:vAlign w:val="center"/>
          </w:tcPr>
          <w:p w14:paraId="211BDEC8">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6C02BE9D">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33F89C22">
            <w:pPr>
              <w:pStyle w:val="21"/>
              <w:jc w:val="left"/>
              <w:rPr>
                <w:rFonts w:hAnsi="宋体" w:cs="宋体"/>
                <w:color w:val="000000" w:themeColor="text1"/>
                <w:kern w:val="2"/>
                <w:sz w:val="24"/>
                <w:szCs w:val="24"/>
                <w14:textFill>
                  <w14:solidFill>
                    <w14:schemeClr w14:val="tx1"/>
                  </w14:solidFill>
                </w14:textFill>
              </w:rPr>
            </w:pPr>
          </w:p>
        </w:tc>
      </w:tr>
      <w:tr w14:paraId="0C68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12FA17C">
            <w:pPr>
              <w:widowControl/>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合同期限</w:t>
            </w:r>
          </w:p>
        </w:tc>
        <w:tc>
          <w:tcPr>
            <w:tcW w:w="2977" w:type="dxa"/>
            <w:tcBorders>
              <w:top w:val="single" w:color="auto" w:sz="4" w:space="0"/>
              <w:left w:val="single" w:color="auto" w:sz="4" w:space="0"/>
              <w:bottom w:val="single" w:color="auto" w:sz="4" w:space="0"/>
              <w:right w:val="single" w:color="auto" w:sz="4" w:space="0"/>
            </w:tcBorders>
            <w:vAlign w:val="center"/>
          </w:tcPr>
          <w:p w14:paraId="3F4FE38A">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AEE5F5A">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719D9E53">
            <w:pPr>
              <w:pStyle w:val="21"/>
              <w:jc w:val="left"/>
              <w:rPr>
                <w:rFonts w:hAnsi="宋体" w:cs="宋体"/>
                <w:color w:val="000000" w:themeColor="text1"/>
                <w:kern w:val="2"/>
                <w:sz w:val="24"/>
                <w:szCs w:val="24"/>
                <w14:textFill>
                  <w14:solidFill>
                    <w14:schemeClr w14:val="tx1"/>
                  </w14:solidFill>
                </w14:textFill>
              </w:rPr>
            </w:pPr>
          </w:p>
        </w:tc>
      </w:tr>
      <w:tr w14:paraId="3C23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AD34561">
            <w:pPr>
              <w:widowControl/>
              <w:spacing w:line="360" w:lineRule="exact"/>
              <w:jc w:val="center"/>
              <w:textAlignment w:val="center"/>
              <w:rPr>
                <w:rFonts w:ascii="宋体" w:hAnsi="宋体"/>
                <w:color w:val="000000" w:themeColor="text1"/>
                <w:szCs w:val="21"/>
                <w14:textFill>
                  <w14:solidFill>
                    <w14:schemeClr w14:val="tx1"/>
                  </w14:solidFill>
                </w14:textFill>
              </w:rPr>
            </w:pPr>
            <w:r>
              <w:rPr>
                <w:rFonts w:hint="eastAsia" w:ascii="宋体" w:hAnsi="宋体" w:cs="宋体"/>
                <w:szCs w:val="21"/>
                <w:highlight w:val="none"/>
              </w:rPr>
              <w:t>▲交货时间及地点</w:t>
            </w:r>
          </w:p>
        </w:tc>
        <w:tc>
          <w:tcPr>
            <w:tcW w:w="2977" w:type="dxa"/>
            <w:tcBorders>
              <w:top w:val="single" w:color="auto" w:sz="4" w:space="0"/>
              <w:left w:val="single" w:color="auto" w:sz="4" w:space="0"/>
              <w:bottom w:val="single" w:color="auto" w:sz="4" w:space="0"/>
              <w:right w:val="single" w:color="auto" w:sz="4" w:space="0"/>
            </w:tcBorders>
            <w:vAlign w:val="center"/>
          </w:tcPr>
          <w:p w14:paraId="73403439">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3AEAFA68">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5931DCBB">
            <w:pPr>
              <w:pStyle w:val="21"/>
              <w:jc w:val="left"/>
              <w:rPr>
                <w:rFonts w:hAnsi="宋体" w:cs="宋体"/>
                <w:color w:val="000000" w:themeColor="text1"/>
                <w:kern w:val="2"/>
                <w:sz w:val="24"/>
                <w:szCs w:val="24"/>
                <w14:textFill>
                  <w14:solidFill>
                    <w14:schemeClr w14:val="tx1"/>
                  </w14:solidFill>
                </w14:textFill>
              </w:rPr>
            </w:pPr>
          </w:p>
        </w:tc>
      </w:tr>
      <w:tr w14:paraId="6B96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7B442BC">
            <w:pPr>
              <w:widowControl/>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▲安装、调试、验收、培训等技术服务要求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1DB4BAFC">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0E3000B7">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7EF45ADE">
            <w:pPr>
              <w:pStyle w:val="21"/>
              <w:jc w:val="left"/>
              <w:rPr>
                <w:rFonts w:hAnsi="宋体" w:cs="宋体"/>
                <w:color w:val="000000" w:themeColor="text1"/>
                <w:kern w:val="2"/>
                <w:sz w:val="24"/>
                <w:szCs w:val="24"/>
                <w14:textFill>
                  <w14:solidFill>
                    <w14:schemeClr w14:val="tx1"/>
                  </w14:solidFill>
                </w14:textFill>
              </w:rPr>
            </w:pPr>
          </w:p>
        </w:tc>
      </w:tr>
      <w:tr w14:paraId="05C6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CB4615D">
            <w:pPr>
              <w:widowControl/>
              <w:spacing w:line="380" w:lineRule="exact"/>
              <w:jc w:val="center"/>
              <w:rPr>
                <w:rFonts w:ascii="宋体" w:hAnsi="宋体"/>
                <w:color w:val="000000" w:themeColor="text1"/>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▲免费质保期</w:t>
            </w:r>
          </w:p>
        </w:tc>
        <w:tc>
          <w:tcPr>
            <w:tcW w:w="2977" w:type="dxa"/>
            <w:tcBorders>
              <w:top w:val="single" w:color="auto" w:sz="4" w:space="0"/>
              <w:left w:val="single" w:color="auto" w:sz="4" w:space="0"/>
              <w:bottom w:val="single" w:color="auto" w:sz="4" w:space="0"/>
              <w:right w:val="single" w:color="auto" w:sz="4" w:space="0"/>
            </w:tcBorders>
            <w:vAlign w:val="center"/>
          </w:tcPr>
          <w:p w14:paraId="079EE988">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D89DEE0">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62822BFD">
            <w:pPr>
              <w:pStyle w:val="21"/>
              <w:jc w:val="left"/>
              <w:rPr>
                <w:rFonts w:hAnsi="宋体" w:cs="宋体"/>
                <w:color w:val="000000" w:themeColor="text1"/>
                <w:kern w:val="2"/>
                <w:sz w:val="24"/>
                <w:szCs w:val="24"/>
                <w14:textFill>
                  <w14:solidFill>
                    <w14:schemeClr w14:val="tx1"/>
                  </w14:solidFill>
                </w14:textFill>
              </w:rPr>
            </w:pPr>
          </w:p>
        </w:tc>
      </w:tr>
      <w:tr w14:paraId="5D99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23FE272">
            <w:pPr>
              <w:widowControl/>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olor w:val="000000" w:themeColor="text1"/>
                <w:szCs w:val="21"/>
                <w14:textFill>
                  <w14:solidFill>
                    <w14:schemeClr w14:val="tx1"/>
                  </w14:solidFill>
                </w14:textFill>
              </w:rPr>
              <w:t>售后服务保障或维修响应时间要求</w:t>
            </w:r>
          </w:p>
        </w:tc>
        <w:tc>
          <w:tcPr>
            <w:tcW w:w="2977" w:type="dxa"/>
            <w:tcBorders>
              <w:top w:val="single" w:color="auto" w:sz="4" w:space="0"/>
              <w:left w:val="single" w:color="auto" w:sz="4" w:space="0"/>
              <w:bottom w:val="single" w:color="auto" w:sz="4" w:space="0"/>
              <w:right w:val="single" w:color="auto" w:sz="4" w:space="0"/>
            </w:tcBorders>
            <w:vAlign w:val="center"/>
          </w:tcPr>
          <w:p w14:paraId="5EB7CE99">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0B19440C">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6446D0DE">
            <w:pPr>
              <w:pStyle w:val="21"/>
              <w:jc w:val="left"/>
              <w:rPr>
                <w:rFonts w:hAnsi="宋体" w:cs="宋体"/>
                <w:color w:val="000000" w:themeColor="text1"/>
                <w:kern w:val="2"/>
                <w:sz w:val="24"/>
                <w:szCs w:val="24"/>
                <w14:textFill>
                  <w14:solidFill>
                    <w14:schemeClr w14:val="tx1"/>
                  </w14:solidFill>
                </w14:textFill>
              </w:rPr>
            </w:pPr>
          </w:p>
        </w:tc>
      </w:tr>
      <w:tr w14:paraId="3367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90F93A4">
            <w:pPr>
              <w:widowControl/>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付款条件</w:t>
            </w:r>
          </w:p>
        </w:tc>
        <w:tc>
          <w:tcPr>
            <w:tcW w:w="2977" w:type="dxa"/>
            <w:tcBorders>
              <w:top w:val="single" w:color="auto" w:sz="4" w:space="0"/>
              <w:left w:val="single" w:color="auto" w:sz="4" w:space="0"/>
              <w:bottom w:val="single" w:color="auto" w:sz="4" w:space="0"/>
              <w:right w:val="single" w:color="auto" w:sz="4" w:space="0"/>
            </w:tcBorders>
            <w:vAlign w:val="center"/>
          </w:tcPr>
          <w:p w14:paraId="14D510A6">
            <w:pPr>
              <w:pStyle w:val="21"/>
              <w:jc w:val="left"/>
              <w:rPr>
                <w:rFonts w:hAnsi="宋体" w:cs="宋体"/>
                <w:color w:val="000000" w:themeColor="text1"/>
                <w:kern w:val="2"/>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4644C4D">
            <w:pPr>
              <w:pStyle w:val="21"/>
              <w:jc w:val="left"/>
              <w:rPr>
                <w:rFonts w:hAnsi="宋体" w:cs="宋体"/>
                <w:color w:val="000000" w:themeColor="text1"/>
                <w:kern w:val="2"/>
                <w:sz w:val="24"/>
                <w:szCs w:val="24"/>
                <w14:textFill>
                  <w14:solidFill>
                    <w14:schemeClr w14:val="tx1"/>
                  </w14:solidFill>
                </w14:textFill>
              </w:rPr>
            </w:pPr>
          </w:p>
        </w:tc>
        <w:tc>
          <w:tcPr>
            <w:tcW w:w="3119" w:type="dxa"/>
            <w:tcBorders>
              <w:top w:val="single" w:color="auto" w:sz="4" w:space="0"/>
              <w:left w:val="single" w:color="auto" w:sz="4" w:space="0"/>
              <w:bottom w:val="single" w:color="auto" w:sz="4" w:space="0"/>
              <w:right w:val="single" w:color="auto" w:sz="4" w:space="0"/>
            </w:tcBorders>
            <w:vAlign w:val="center"/>
          </w:tcPr>
          <w:p w14:paraId="740E77F6">
            <w:pPr>
              <w:pStyle w:val="21"/>
              <w:jc w:val="left"/>
              <w:rPr>
                <w:rFonts w:hAnsi="宋体" w:cs="宋体"/>
                <w:color w:val="000000" w:themeColor="text1"/>
                <w:kern w:val="2"/>
                <w:sz w:val="24"/>
                <w:szCs w:val="24"/>
                <w14:textFill>
                  <w14:solidFill>
                    <w14:schemeClr w14:val="tx1"/>
                  </w14:solidFill>
                </w14:textFill>
              </w:rPr>
            </w:pPr>
          </w:p>
        </w:tc>
      </w:tr>
    </w:tbl>
    <w:p w14:paraId="7770C221">
      <w:pPr>
        <w:spacing w:line="360" w:lineRule="exact"/>
        <w:ind w:firstLine="6090" w:firstLineChars="2900"/>
        <w:rPr>
          <w:rFonts w:ascii="宋体" w:hAnsi="宋体"/>
          <w:color w:val="000000" w:themeColor="text1"/>
          <w:szCs w:val="21"/>
          <w14:textFill>
            <w14:solidFill>
              <w14:schemeClr w14:val="tx1"/>
            </w14:solidFill>
          </w14:textFill>
        </w:rPr>
      </w:pPr>
    </w:p>
    <w:p w14:paraId="4A470674">
      <w:pPr>
        <w:spacing w:line="360" w:lineRule="exact"/>
        <w:ind w:firstLine="6090" w:firstLineChars="2900"/>
        <w:rPr>
          <w:rFonts w:ascii="宋体" w:hAnsi="宋体"/>
          <w:color w:val="000000" w:themeColor="text1"/>
          <w:szCs w:val="21"/>
          <w14:textFill>
            <w14:solidFill>
              <w14:schemeClr w14:val="tx1"/>
            </w14:solidFill>
          </w14:textFill>
        </w:rPr>
      </w:pPr>
    </w:p>
    <w:p w14:paraId="75173986">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23480B7A">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70C013E4">
      <w:pPr>
        <w:rPr>
          <w:rFonts w:ascii="宋体" w:hAnsi="宋体" w:cs="宋体"/>
          <w:b/>
          <w:color w:val="000000" w:themeColor="text1"/>
          <w:szCs w:val="21"/>
          <w14:textFill>
            <w14:solidFill>
              <w14:schemeClr w14:val="tx1"/>
            </w14:solidFill>
          </w14:textFill>
        </w:rPr>
      </w:pPr>
    </w:p>
    <w:p w14:paraId="3F466194">
      <w:pPr>
        <w:rPr>
          <w:rFonts w:ascii="宋体" w:hAnsi="宋体" w:cs="宋体"/>
          <w:b/>
          <w:color w:val="000000" w:themeColor="text1"/>
          <w:szCs w:val="21"/>
          <w14:textFill>
            <w14:solidFill>
              <w14:schemeClr w14:val="tx1"/>
            </w14:solidFill>
          </w14:textFill>
        </w:rPr>
      </w:pPr>
    </w:p>
    <w:p w14:paraId="0E082E27">
      <w:pPr>
        <w:rPr>
          <w:rFonts w:ascii="宋体" w:hAnsi="宋体" w:cs="宋体"/>
          <w:b/>
          <w:color w:val="000000" w:themeColor="text1"/>
          <w:szCs w:val="21"/>
          <w14:textFill>
            <w14:solidFill>
              <w14:schemeClr w14:val="tx1"/>
            </w14:solidFill>
          </w14:textFill>
        </w:rPr>
      </w:pPr>
    </w:p>
    <w:p w14:paraId="3E1418D7">
      <w:pPr>
        <w:rPr>
          <w:rFonts w:ascii="宋体" w:hAnsi="宋体" w:cs="宋体"/>
          <w:b/>
          <w:color w:val="000000" w:themeColor="text1"/>
          <w:szCs w:val="21"/>
          <w14:textFill>
            <w14:solidFill>
              <w14:schemeClr w14:val="tx1"/>
            </w14:solidFill>
          </w14:textFill>
        </w:rPr>
      </w:pPr>
    </w:p>
    <w:p w14:paraId="32707282">
      <w:pPr>
        <w:rPr>
          <w:rFonts w:ascii="宋体" w:hAnsi="宋体" w:cs="宋体"/>
          <w:b/>
          <w:color w:val="000000" w:themeColor="text1"/>
          <w:szCs w:val="21"/>
          <w14:textFill>
            <w14:solidFill>
              <w14:schemeClr w14:val="tx1"/>
            </w14:solidFill>
          </w14:textFill>
        </w:rPr>
      </w:pPr>
    </w:p>
    <w:p w14:paraId="0F0B4497">
      <w:pPr>
        <w:rPr>
          <w:rFonts w:ascii="宋体" w:hAnsi="宋体" w:cs="宋体"/>
          <w:b/>
          <w:color w:val="000000" w:themeColor="text1"/>
          <w:szCs w:val="21"/>
          <w14:textFill>
            <w14:solidFill>
              <w14:schemeClr w14:val="tx1"/>
            </w14:solidFill>
          </w14:textFill>
        </w:rPr>
      </w:pPr>
    </w:p>
    <w:p w14:paraId="25B40251">
      <w:pPr>
        <w:rPr>
          <w:rFonts w:ascii="宋体" w:hAnsi="宋体" w:cs="宋体"/>
          <w:b/>
          <w:color w:val="000000" w:themeColor="text1"/>
          <w:szCs w:val="21"/>
          <w14:textFill>
            <w14:solidFill>
              <w14:schemeClr w14:val="tx1"/>
            </w14:solidFill>
          </w14:textFill>
        </w:rPr>
      </w:pPr>
    </w:p>
    <w:p w14:paraId="12032F9F">
      <w:pPr>
        <w:rPr>
          <w:rFonts w:ascii="宋体" w:hAnsi="宋体" w:cs="宋体"/>
          <w:b/>
          <w:color w:val="000000" w:themeColor="text1"/>
          <w:szCs w:val="21"/>
          <w14:textFill>
            <w14:solidFill>
              <w14:schemeClr w14:val="tx1"/>
            </w14:solidFill>
          </w14:textFill>
        </w:rPr>
      </w:pPr>
    </w:p>
    <w:p w14:paraId="5EE6503B">
      <w:pPr>
        <w:rPr>
          <w:rFonts w:ascii="宋体" w:hAnsi="宋体" w:cs="宋体"/>
          <w:b/>
          <w:color w:val="000000" w:themeColor="text1"/>
          <w:szCs w:val="21"/>
          <w14:textFill>
            <w14:solidFill>
              <w14:schemeClr w14:val="tx1"/>
            </w14:solidFill>
          </w14:textFill>
        </w:rPr>
      </w:pPr>
    </w:p>
    <w:p w14:paraId="069510E7">
      <w:pPr>
        <w:rPr>
          <w:rFonts w:ascii="宋体" w:hAnsi="宋体" w:cs="宋体"/>
          <w:b/>
          <w:color w:val="000000" w:themeColor="text1"/>
          <w:szCs w:val="21"/>
          <w14:textFill>
            <w14:solidFill>
              <w14:schemeClr w14:val="tx1"/>
            </w14:solidFill>
          </w14:textFill>
        </w:rPr>
      </w:pPr>
    </w:p>
    <w:p w14:paraId="40FBF3C4">
      <w:pPr>
        <w:rPr>
          <w:rFonts w:ascii="宋体" w:hAnsi="宋体" w:cs="宋体"/>
          <w:b/>
          <w:color w:val="000000" w:themeColor="text1"/>
          <w:szCs w:val="21"/>
          <w14:textFill>
            <w14:solidFill>
              <w14:schemeClr w14:val="tx1"/>
            </w14:solidFill>
          </w14:textFill>
        </w:rPr>
      </w:pPr>
    </w:p>
    <w:p w14:paraId="50C4E2BE">
      <w:pPr>
        <w:rPr>
          <w:rFonts w:ascii="宋体" w:hAnsi="宋体" w:cs="宋体"/>
          <w:b/>
          <w:color w:val="000000" w:themeColor="text1"/>
          <w:szCs w:val="21"/>
          <w14:textFill>
            <w14:solidFill>
              <w14:schemeClr w14:val="tx1"/>
            </w14:solidFill>
          </w14:textFill>
        </w:rPr>
      </w:pPr>
    </w:p>
    <w:p w14:paraId="32329113">
      <w:pPr>
        <w:rPr>
          <w:rFonts w:ascii="宋体" w:hAnsi="宋体" w:cs="宋体"/>
          <w:b/>
          <w:color w:val="000000" w:themeColor="text1"/>
          <w:szCs w:val="21"/>
          <w14:textFill>
            <w14:solidFill>
              <w14:schemeClr w14:val="tx1"/>
            </w14:solidFill>
          </w14:textFill>
        </w:rPr>
      </w:pPr>
    </w:p>
    <w:p w14:paraId="087FFA5A">
      <w:pPr>
        <w:pStyle w:val="47"/>
        <w:rPr>
          <w:rFonts w:ascii="宋体" w:hAnsi="宋体" w:cs="宋体"/>
          <w:b/>
          <w:color w:val="000000" w:themeColor="text1"/>
          <w14:textFill>
            <w14:solidFill>
              <w14:schemeClr w14:val="tx1"/>
            </w14:solidFill>
          </w14:textFill>
        </w:rPr>
      </w:pPr>
    </w:p>
    <w:p w14:paraId="4B87D852">
      <w:pPr>
        <w:pStyle w:val="47"/>
        <w:rPr>
          <w:rFonts w:ascii="宋体" w:hAnsi="宋体" w:cs="宋体"/>
          <w:b/>
          <w:color w:val="000000" w:themeColor="text1"/>
          <w14:textFill>
            <w14:solidFill>
              <w14:schemeClr w14:val="tx1"/>
            </w14:solidFill>
          </w14:textFill>
        </w:rPr>
      </w:pPr>
    </w:p>
    <w:p w14:paraId="6E965486">
      <w:pPr>
        <w:pStyle w:val="47"/>
        <w:rPr>
          <w:rFonts w:ascii="宋体" w:hAnsi="宋体" w:cs="宋体"/>
          <w:b/>
          <w:color w:val="000000" w:themeColor="text1"/>
          <w14:textFill>
            <w14:solidFill>
              <w14:schemeClr w14:val="tx1"/>
            </w14:solidFill>
          </w14:textFill>
        </w:rPr>
      </w:pPr>
    </w:p>
    <w:p w14:paraId="25FF20B7">
      <w:pPr>
        <w:pStyle w:val="47"/>
        <w:rPr>
          <w:rFonts w:ascii="宋体" w:hAnsi="宋体" w:cs="宋体"/>
          <w:b/>
          <w:color w:val="000000" w:themeColor="text1"/>
          <w14:textFill>
            <w14:solidFill>
              <w14:schemeClr w14:val="tx1"/>
            </w14:solidFill>
          </w14:textFill>
        </w:rPr>
      </w:pPr>
    </w:p>
    <w:p w14:paraId="4B8D5FF9">
      <w:pPr>
        <w:pStyle w:val="47"/>
        <w:rPr>
          <w:rFonts w:ascii="宋体" w:hAnsi="宋体" w:cs="宋体"/>
          <w:b/>
          <w:color w:val="000000" w:themeColor="text1"/>
          <w14:textFill>
            <w14:solidFill>
              <w14:schemeClr w14:val="tx1"/>
            </w14:solidFill>
          </w14:textFill>
        </w:rPr>
      </w:pPr>
    </w:p>
    <w:p w14:paraId="0E21DCEF">
      <w:pPr>
        <w:rPr>
          <w:rFonts w:ascii="宋体" w:hAnsi="宋体" w:cs="宋体"/>
          <w:b/>
          <w:color w:val="000000" w:themeColor="text1"/>
          <w:szCs w:val="21"/>
          <w14:textFill>
            <w14:solidFill>
              <w14:schemeClr w14:val="tx1"/>
            </w14:solidFill>
          </w14:textFill>
        </w:rPr>
      </w:pPr>
    </w:p>
    <w:p w14:paraId="6692DF56">
      <w:pPr>
        <w:spacing w:line="32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四、技术响应表格式</w:t>
      </w:r>
    </w:p>
    <w:p w14:paraId="089F884E">
      <w:pPr>
        <w:jc w:val="center"/>
        <w:rPr>
          <w:rFonts w:ascii="宋体" w:hAnsi="宋体" w:cs="宋体"/>
          <w:b/>
          <w:bCs/>
          <w:color w:val="000000" w:themeColor="text1"/>
          <w:kern w:val="0"/>
          <w:sz w:val="30"/>
          <w14:textFill>
            <w14:solidFill>
              <w14:schemeClr w14:val="tx1"/>
            </w14:solidFill>
          </w14:textFill>
        </w:rPr>
      </w:pPr>
      <w:r>
        <w:rPr>
          <w:rFonts w:hint="eastAsia" w:ascii="宋体" w:hAnsi="宋体" w:cs="宋体"/>
          <w:b/>
          <w:bCs/>
          <w:color w:val="000000" w:themeColor="text1"/>
          <w:kern w:val="0"/>
          <w:sz w:val="30"/>
          <w14:textFill>
            <w14:solidFill>
              <w14:schemeClr w14:val="tx1"/>
            </w14:solidFill>
          </w14:textFill>
        </w:rPr>
        <w:t>技术响应表</w:t>
      </w:r>
    </w:p>
    <w:tbl>
      <w:tblPr>
        <w:tblStyle w:val="37"/>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0311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826" w:type="dxa"/>
            <w:vAlign w:val="center"/>
          </w:tcPr>
          <w:p w14:paraId="0D3FA018">
            <w:pPr>
              <w:pStyle w:val="86"/>
              <w:ind w:left="174" w:right="181"/>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项号</w:t>
            </w:r>
          </w:p>
        </w:tc>
        <w:tc>
          <w:tcPr>
            <w:tcW w:w="1363" w:type="dxa"/>
            <w:vAlign w:val="center"/>
          </w:tcPr>
          <w:p w14:paraId="6D130D8E">
            <w:pPr>
              <w:pStyle w:val="86"/>
              <w:ind w:left="174" w:right="181"/>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货物名称</w:t>
            </w:r>
          </w:p>
        </w:tc>
        <w:tc>
          <w:tcPr>
            <w:tcW w:w="1680" w:type="dxa"/>
            <w:tcBorders>
              <w:right w:val="single" w:color="auto" w:sz="4" w:space="0"/>
            </w:tcBorders>
            <w:vAlign w:val="center"/>
          </w:tcPr>
          <w:p w14:paraId="5C12CA92">
            <w:pPr>
              <w:pStyle w:val="86"/>
              <w:ind w:left="174" w:right="181"/>
              <w:jc w:val="center"/>
              <w:rPr>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竞争性谈判文件的要求</w:t>
            </w:r>
          </w:p>
        </w:tc>
        <w:tc>
          <w:tcPr>
            <w:tcW w:w="2118" w:type="dxa"/>
            <w:tcBorders>
              <w:left w:val="single" w:color="auto" w:sz="4" w:space="0"/>
            </w:tcBorders>
            <w:vAlign w:val="center"/>
          </w:tcPr>
          <w:p w14:paraId="630FB3FB">
            <w:pPr>
              <w:pStyle w:val="86"/>
              <w:ind w:left="174" w:right="181"/>
              <w:jc w:val="center"/>
              <w:rPr>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响应</w:t>
            </w:r>
            <w:r>
              <w:rPr>
                <w:rFonts w:hint="eastAsia"/>
                <w:color w:val="000000" w:themeColor="text1"/>
                <w:sz w:val="21"/>
                <w14:textFill>
                  <w14:solidFill>
                    <w14:schemeClr w14:val="tx1"/>
                  </w14:solidFill>
                </w14:textFill>
              </w:rPr>
              <w:t>文件响应</w:t>
            </w:r>
          </w:p>
        </w:tc>
        <w:tc>
          <w:tcPr>
            <w:tcW w:w="2976" w:type="dxa"/>
            <w:vAlign w:val="center"/>
          </w:tcPr>
          <w:p w14:paraId="090B54B7">
            <w:pPr>
              <w:pStyle w:val="86"/>
              <w:ind w:left="174" w:right="181"/>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偏离情况说明</w:t>
            </w:r>
          </w:p>
        </w:tc>
      </w:tr>
      <w:tr w14:paraId="21C1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704BE9E3">
            <w:pPr>
              <w:pStyle w:val="86"/>
              <w:spacing w:before="167"/>
              <w:ind w:left="0" w:righ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1363" w:type="dxa"/>
          </w:tcPr>
          <w:p w14:paraId="0D9510E7">
            <w:pPr>
              <w:rPr>
                <w:color w:val="000000" w:themeColor="text1"/>
                <w14:textFill>
                  <w14:solidFill>
                    <w14:schemeClr w14:val="tx1"/>
                  </w14:solidFill>
                </w14:textFill>
              </w:rPr>
            </w:pPr>
          </w:p>
        </w:tc>
        <w:tc>
          <w:tcPr>
            <w:tcW w:w="1680" w:type="dxa"/>
            <w:tcBorders>
              <w:right w:val="single" w:color="auto" w:sz="4" w:space="0"/>
            </w:tcBorders>
          </w:tcPr>
          <w:p w14:paraId="0E927392">
            <w:pPr>
              <w:rPr>
                <w:color w:val="000000" w:themeColor="text1"/>
                <w14:textFill>
                  <w14:solidFill>
                    <w14:schemeClr w14:val="tx1"/>
                  </w14:solidFill>
                </w14:textFill>
              </w:rPr>
            </w:pPr>
          </w:p>
        </w:tc>
        <w:tc>
          <w:tcPr>
            <w:tcW w:w="2118" w:type="dxa"/>
            <w:tcBorders>
              <w:left w:val="single" w:color="auto" w:sz="4" w:space="0"/>
            </w:tcBorders>
          </w:tcPr>
          <w:p w14:paraId="67687FDA">
            <w:pPr>
              <w:rPr>
                <w:color w:val="000000" w:themeColor="text1"/>
                <w14:textFill>
                  <w14:solidFill>
                    <w14:schemeClr w14:val="tx1"/>
                  </w14:solidFill>
                </w14:textFill>
              </w:rPr>
            </w:pPr>
          </w:p>
        </w:tc>
        <w:tc>
          <w:tcPr>
            <w:tcW w:w="2976" w:type="dxa"/>
          </w:tcPr>
          <w:p w14:paraId="1762C4B0">
            <w:pPr>
              <w:rPr>
                <w:color w:val="000000" w:themeColor="text1"/>
                <w14:textFill>
                  <w14:solidFill>
                    <w14:schemeClr w14:val="tx1"/>
                  </w14:solidFill>
                </w14:textFill>
              </w:rPr>
            </w:pPr>
          </w:p>
        </w:tc>
      </w:tr>
      <w:tr w14:paraId="52E5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tcPr>
          <w:p w14:paraId="1F55E997">
            <w:pPr>
              <w:pStyle w:val="86"/>
              <w:spacing w:before="167"/>
              <w:ind w:left="0" w:righ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w:t>
            </w:r>
          </w:p>
        </w:tc>
        <w:tc>
          <w:tcPr>
            <w:tcW w:w="1363" w:type="dxa"/>
          </w:tcPr>
          <w:p w14:paraId="04AC7362">
            <w:pPr>
              <w:rPr>
                <w:color w:val="000000" w:themeColor="text1"/>
                <w14:textFill>
                  <w14:solidFill>
                    <w14:schemeClr w14:val="tx1"/>
                  </w14:solidFill>
                </w14:textFill>
              </w:rPr>
            </w:pPr>
          </w:p>
        </w:tc>
        <w:tc>
          <w:tcPr>
            <w:tcW w:w="1680" w:type="dxa"/>
            <w:tcBorders>
              <w:right w:val="single" w:color="auto" w:sz="4" w:space="0"/>
            </w:tcBorders>
          </w:tcPr>
          <w:p w14:paraId="1D17FA94">
            <w:pPr>
              <w:rPr>
                <w:color w:val="000000" w:themeColor="text1"/>
                <w14:textFill>
                  <w14:solidFill>
                    <w14:schemeClr w14:val="tx1"/>
                  </w14:solidFill>
                </w14:textFill>
              </w:rPr>
            </w:pPr>
          </w:p>
        </w:tc>
        <w:tc>
          <w:tcPr>
            <w:tcW w:w="2118" w:type="dxa"/>
            <w:tcBorders>
              <w:left w:val="single" w:color="auto" w:sz="4" w:space="0"/>
            </w:tcBorders>
          </w:tcPr>
          <w:p w14:paraId="3E3748C3">
            <w:pPr>
              <w:rPr>
                <w:color w:val="000000" w:themeColor="text1"/>
                <w14:textFill>
                  <w14:solidFill>
                    <w14:schemeClr w14:val="tx1"/>
                  </w14:solidFill>
                </w14:textFill>
              </w:rPr>
            </w:pPr>
          </w:p>
        </w:tc>
        <w:tc>
          <w:tcPr>
            <w:tcW w:w="2976" w:type="dxa"/>
          </w:tcPr>
          <w:p w14:paraId="24304F68">
            <w:pPr>
              <w:rPr>
                <w:color w:val="000000" w:themeColor="text1"/>
                <w14:textFill>
                  <w14:solidFill>
                    <w14:schemeClr w14:val="tx1"/>
                  </w14:solidFill>
                </w14:textFill>
              </w:rPr>
            </w:pPr>
          </w:p>
        </w:tc>
      </w:tr>
      <w:tr w14:paraId="74A80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tcPr>
          <w:p w14:paraId="7EF47EA9">
            <w:pPr>
              <w:pStyle w:val="86"/>
              <w:spacing w:before="177"/>
              <w:ind w:left="0" w:righ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1363" w:type="dxa"/>
          </w:tcPr>
          <w:p w14:paraId="5D5DBE15">
            <w:pPr>
              <w:rPr>
                <w:color w:val="000000" w:themeColor="text1"/>
                <w14:textFill>
                  <w14:solidFill>
                    <w14:schemeClr w14:val="tx1"/>
                  </w14:solidFill>
                </w14:textFill>
              </w:rPr>
            </w:pPr>
          </w:p>
        </w:tc>
        <w:tc>
          <w:tcPr>
            <w:tcW w:w="1680" w:type="dxa"/>
            <w:tcBorders>
              <w:right w:val="single" w:color="auto" w:sz="4" w:space="0"/>
            </w:tcBorders>
          </w:tcPr>
          <w:p w14:paraId="71D6332F">
            <w:pPr>
              <w:rPr>
                <w:color w:val="000000" w:themeColor="text1"/>
                <w14:textFill>
                  <w14:solidFill>
                    <w14:schemeClr w14:val="tx1"/>
                  </w14:solidFill>
                </w14:textFill>
              </w:rPr>
            </w:pPr>
          </w:p>
        </w:tc>
        <w:tc>
          <w:tcPr>
            <w:tcW w:w="2118" w:type="dxa"/>
            <w:tcBorders>
              <w:left w:val="single" w:color="auto" w:sz="4" w:space="0"/>
            </w:tcBorders>
          </w:tcPr>
          <w:p w14:paraId="1488BA36">
            <w:pPr>
              <w:rPr>
                <w:color w:val="000000" w:themeColor="text1"/>
                <w14:textFill>
                  <w14:solidFill>
                    <w14:schemeClr w14:val="tx1"/>
                  </w14:solidFill>
                </w14:textFill>
              </w:rPr>
            </w:pPr>
          </w:p>
        </w:tc>
        <w:tc>
          <w:tcPr>
            <w:tcW w:w="2976" w:type="dxa"/>
          </w:tcPr>
          <w:p w14:paraId="331D9581">
            <w:pPr>
              <w:rPr>
                <w:color w:val="000000" w:themeColor="text1"/>
                <w14:textFill>
                  <w14:solidFill>
                    <w14:schemeClr w14:val="tx1"/>
                  </w14:solidFill>
                </w14:textFill>
              </w:rPr>
            </w:pPr>
          </w:p>
        </w:tc>
      </w:tr>
      <w:tr w14:paraId="1D95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14A1762E">
            <w:pPr>
              <w:pStyle w:val="86"/>
              <w:spacing w:before="167"/>
              <w:ind w:left="0" w:right="7"/>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N</w:t>
            </w:r>
          </w:p>
        </w:tc>
        <w:tc>
          <w:tcPr>
            <w:tcW w:w="1363" w:type="dxa"/>
          </w:tcPr>
          <w:p w14:paraId="26D7AD24">
            <w:pPr>
              <w:rPr>
                <w:color w:val="000000" w:themeColor="text1"/>
                <w14:textFill>
                  <w14:solidFill>
                    <w14:schemeClr w14:val="tx1"/>
                  </w14:solidFill>
                </w14:textFill>
              </w:rPr>
            </w:pPr>
          </w:p>
        </w:tc>
        <w:tc>
          <w:tcPr>
            <w:tcW w:w="1680" w:type="dxa"/>
            <w:tcBorders>
              <w:right w:val="single" w:color="auto" w:sz="4" w:space="0"/>
            </w:tcBorders>
          </w:tcPr>
          <w:p w14:paraId="7D17457E">
            <w:pPr>
              <w:rPr>
                <w:color w:val="000000" w:themeColor="text1"/>
                <w14:textFill>
                  <w14:solidFill>
                    <w14:schemeClr w14:val="tx1"/>
                  </w14:solidFill>
                </w14:textFill>
              </w:rPr>
            </w:pPr>
          </w:p>
        </w:tc>
        <w:tc>
          <w:tcPr>
            <w:tcW w:w="2118" w:type="dxa"/>
            <w:tcBorders>
              <w:left w:val="single" w:color="auto" w:sz="4" w:space="0"/>
            </w:tcBorders>
          </w:tcPr>
          <w:p w14:paraId="5D91A74E">
            <w:pPr>
              <w:rPr>
                <w:color w:val="000000" w:themeColor="text1"/>
                <w14:textFill>
                  <w14:solidFill>
                    <w14:schemeClr w14:val="tx1"/>
                  </w14:solidFill>
                </w14:textFill>
              </w:rPr>
            </w:pPr>
          </w:p>
        </w:tc>
        <w:tc>
          <w:tcPr>
            <w:tcW w:w="2976" w:type="dxa"/>
          </w:tcPr>
          <w:p w14:paraId="1CAF133B">
            <w:pPr>
              <w:rPr>
                <w:color w:val="000000" w:themeColor="text1"/>
                <w14:textFill>
                  <w14:solidFill>
                    <w14:schemeClr w14:val="tx1"/>
                  </w14:solidFill>
                </w14:textFill>
              </w:rPr>
            </w:pPr>
          </w:p>
        </w:tc>
      </w:tr>
    </w:tbl>
    <w:p w14:paraId="341B8DAC">
      <w:pPr>
        <w:pStyle w:val="18"/>
        <w:spacing w:line="36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注：1、供应商应根据投标设备的性能指标、对照招标文件要求在“偏离情况”栏注明“正偏离”、“负偏离”或“无偏离”。</w:t>
      </w:r>
    </w:p>
    <w:p w14:paraId="08F6A016">
      <w:pPr>
        <w:pStyle w:val="18"/>
        <w:spacing w:line="36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2、供应商</w:t>
      </w:r>
      <w:r>
        <w:rPr>
          <w:rFonts w:ascii="宋体" w:hAnsi="宋体"/>
          <w:color w:val="000000" w:themeColor="text1"/>
          <w:sz w:val="21"/>
          <w:szCs w:val="21"/>
          <w14:textFill>
            <w14:solidFill>
              <w14:schemeClr w14:val="tx1"/>
            </w14:solidFill>
          </w14:textFill>
        </w:rPr>
        <w:t>应将投标货物的性能指标中与</w:t>
      </w:r>
      <w:r>
        <w:rPr>
          <w:rFonts w:hint="eastAsia" w:ascii="宋体" w:hAnsi="宋体" w:cs="宋体"/>
          <w:color w:val="000000" w:themeColor="text1"/>
          <w:sz w:val="21"/>
          <w14:textFill>
            <w14:solidFill>
              <w14:schemeClr w14:val="tx1"/>
            </w14:solidFill>
          </w14:textFill>
        </w:rPr>
        <w:t>竞争性谈判文件</w:t>
      </w:r>
      <w:r>
        <w:rPr>
          <w:rFonts w:ascii="宋体" w:hAnsi="宋体"/>
          <w:color w:val="000000" w:themeColor="text1"/>
          <w:sz w:val="21"/>
          <w:szCs w:val="21"/>
          <w14:textFill>
            <w14:solidFill>
              <w14:schemeClr w14:val="tx1"/>
            </w14:solidFill>
          </w14:textFill>
        </w:rPr>
        <w:t>要求的性能指标有偏离的地方用明显标识，以便于评委评审，否则如给评审造成困难，其可能导致评委作出不利于</w:t>
      </w:r>
      <w:r>
        <w:rPr>
          <w:rFonts w:hint="eastAsia" w:ascii="宋体" w:hAnsi="宋体"/>
          <w:color w:val="000000" w:themeColor="text1"/>
          <w:sz w:val="21"/>
          <w:szCs w:val="21"/>
          <w14:textFill>
            <w14:solidFill>
              <w14:schemeClr w14:val="tx1"/>
            </w14:solidFill>
          </w14:textFill>
        </w:rPr>
        <w:t>供应商</w:t>
      </w:r>
      <w:r>
        <w:rPr>
          <w:rFonts w:ascii="宋体" w:hAnsi="宋体"/>
          <w:color w:val="000000" w:themeColor="text1"/>
          <w:sz w:val="21"/>
          <w:szCs w:val="21"/>
          <w14:textFill>
            <w14:solidFill>
              <w14:schemeClr w14:val="tx1"/>
            </w14:solidFill>
          </w14:textFill>
        </w:rPr>
        <w:t>的评价，是</w:t>
      </w:r>
      <w:r>
        <w:rPr>
          <w:rFonts w:hint="eastAsia" w:ascii="宋体" w:hAnsi="宋体"/>
          <w:color w:val="000000" w:themeColor="text1"/>
          <w:sz w:val="21"/>
          <w:szCs w:val="21"/>
          <w14:textFill>
            <w14:solidFill>
              <w14:schemeClr w14:val="tx1"/>
            </w14:solidFill>
          </w14:textFill>
        </w:rPr>
        <w:t>供应商</w:t>
      </w:r>
      <w:r>
        <w:rPr>
          <w:rFonts w:ascii="宋体" w:hAnsi="宋体"/>
          <w:color w:val="000000" w:themeColor="text1"/>
          <w:sz w:val="21"/>
          <w:szCs w:val="21"/>
          <w14:textFill>
            <w14:solidFill>
              <w14:schemeClr w14:val="tx1"/>
            </w14:solidFill>
          </w14:textFill>
        </w:rPr>
        <w:t>的责任。</w:t>
      </w:r>
    </w:p>
    <w:p w14:paraId="699D1D34">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45B5BDE0">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5EA6C4DB">
      <w:pPr>
        <w:snapToGrid w:val="0"/>
        <w:spacing w:before="50" w:after="50" w:line="360" w:lineRule="exact"/>
        <w:rPr>
          <w:rFonts w:ascii="宋体" w:hAnsi="宋体"/>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技术响应表附件</w:t>
      </w:r>
      <w:r>
        <w:rPr>
          <w:rFonts w:hint="eastAsia" w:ascii="宋体" w:hAnsi="宋体"/>
          <w:color w:val="000000" w:themeColor="text1"/>
          <w:spacing w:val="20"/>
          <w:szCs w:val="21"/>
          <w14:textFill>
            <w14:solidFill>
              <w14:schemeClr w14:val="tx1"/>
            </w14:solidFill>
          </w14:textFill>
        </w:rPr>
        <w:t>：</w:t>
      </w:r>
    </w:p>
    <w:tbl>
      <w:tblPr>
        <w:tblStyle w:val="37"/>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54215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36D7926E">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附件资料汇总表</w:t>
            </w:r>
          </w:p>
        </w:tc>
      </w:tr>
      <w:tr w14:paraId="7CAC5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D336D24">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7A5193ED">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设备名称</w:t>
            </w:r>
          </w:p>
        </w:tc>
        <w:tc>
          <w:tcPr>
            <w:tcW w:w="2551" w:type="dxa"/>
            <w:tcBorders>
              <w:top w:val="single" w:color="auto" w:sz="4" w:space="0"/>
              <w:left w:val="single" w:color="auto" w:sz="4" w:space="0"/>
              <w:bottom w:val="single" w:color="auto" w:sz="4" w:space="0"/>
              <w:right w:val="single" w:color="auto" w:sz="4" w:space="0"/>
            </w:tcBorders>
            <w:vAlign w:val="center"/>
          </w:tcPr>
          <w:p w14:paraId="316BC5EF">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666595AF">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附件页码</w:t>
            </w:r>
          </w:p>
        </w:tc>
      </w:tr>
      <w:tr w14:paraId="7798E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722010E6">
            <w:pPr>
              <w:snapToGrid w:val="0"/>
              <w:spacing w:line="360" w:lineRule="exact"/>
              <w:jc w:val="left"/>
              <w:rPr>
                <w:rFonts w:ascii="宋体" w:hAnsi="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tcPr>
          <w:p w14:paraId="5A78A8F0">
            <w:pPr>
              <w:snapToGrid w:val="0"/>
              <w:spacing w:line="360" w:lineRule="exact"/>
              <w:jc w:val="left"/>
              <w:rPr>
                <w:rFonts w:ascii="宋体" w:hAnsi="宋体"/>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1A4E1E84">
            <w:pPr>
              <w:snapToGrid w:val="0"/>
              <w:spacing w:line="360" w:lineRule="exact"/>
              <w:jc w:val="left"/>
              <w:rPr>
                <w:rFonts w:ascii="宋体" w:hAnsi="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tcPr>
          <w:p w14:paraId="4B17785E">
            <w:pPr>
              <w:snapToGrid w:val="0"/>
              <w:spacing w:line="360" w:lineRule="exact"/>
              <w:jc w:val="left"/>
              <w:rPr>
                <w:rFonts w:ascii="宋体" w:hAnsi="宋体"/>
                <w:color w:val="000000" w:themeColor="text1"/>
                <w:szCs w:val="21"/>
                <w14:textFill>
                  <w14:solidFill>
                    <w14:schemeClr w14:val="tx1"/>
                  </w14:solidFill>
                </w14:textFill>
              </w:rPr>
            </w:pPr>
          </w:p>
        </w:tc>
      </w:tr>
      <w:tr w14:paraId="50951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C96AE81">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tcPr>
          <w:p w14:paraId="3275276E">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0A6695F9">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tcPr>
          <w:p w14:paraId="1CD789A0">
            <w:pPr>
              <w:snapToGrid w:val="0"/>
              <w:spacing w:before="50" w:afterLines="50" w:line="360" w:lineRule="exact"/>
              <w:jc w:val="left"/>
              <w:rPr>
                <w:rFonts w:ascii="宋体" w:hAnsi="宋体"/>
                <w:color w:val="000000" w:themeColor="text1"/>
                <w:szCs w:val="21"/>
                <w14:textFill>
                  <w14:solidFill>
                    <w14:schemeClr w14:val="tx1"/>
                  </w14:solidFill>
                </w14:textFill>
              </w:rPr>
            </w:pPr>
          </w:p>
        </w:tc>
      </w:tr>
      <w:tr w14:paraId="75D66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6E39B13">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tcPr>
          <w:p w14:paraId="112A0A25">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77EDB0E4">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tcPr>
          <w:p w14:paraId="660A8AC8">
            <w:pPr>
              <w:snapToGrid w:val="0"/>
              <w:spacing w:before="50" w:afterLines="50" w:line="360" w:lineRule="exact"/>
              <w:jc w:val="left"/>
              <w:rPr>
                <w:rFonts w:ascii="宋体" w:hAnsi="宋体"/>
                <w:color w:val="000000" w:themeColor="text1"/>
                <w:szCs w:val="21"/>
                <w14:textFill>
                  <w14:solidFill>
                    <w14:schemeClr w14:val="tx1"/>
                  </w14:solidFill>
                </w14:textFill>
              </w:rPr>
            </w:pPr>
          </w:p>
        </w:tc>
      </w:tr>
      <w:tr w14:paraId="61366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BC07C6E">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tcPr>
          <w:p w14:paraId="2558B16E">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02A61B53">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tcPr>
          <w:p w14:paraId="2A965809">
            <w:pPr>
              <w:snapToGrid w:val="0"/>
              <w:spacing w:before="50" w:afterLines="50" w:line="360" w:lineRule="exact"/>
              <w:jc w:val="left"/>
              <w:rPr>
                <w:rFonts w:ascii="宋体" w:hAnsi="宋体"/>
                <w:color w:val="000000" w:themeColor="text1"/>
                <w:szCs w:val="21"/>
                <w14:textFill>
                  <w14:solidFill>
                    <w14:schemeClr w14:val="tx1"/>
                  </w14:solidFill>
                </w14:textFill>
              </w:rPr>
            </w:pPr>
          </w:p>
        </w:tc>
      </w:tr>
      <w:tr w14:paraId="367F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CBB50B2">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tcPr>
          <w:p w14:paraId="09B84887">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0F687096">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tcPr>
          <w:p w14:paraId="3DE6B6C0">
            <w:pPr>
              <w:snapToGrid w:val="0"/>
              <w:spacing w:before="50" w:afterLines="50" w:line="360" w:lineRule="exact"/>
              <w:jc w:val="left"/>
              <w:rPr>
                <w:rFonts w:ascii="宋体" w:hAnsi="宋体"/>
                <w:color w:val="000000" w:themeColor="text1"/>
                <w:szCs w:val="21"/>
                <w14:textFill>
                  <w14:solidFill>
                    <w14:schemeClr w14:val="tx1"/>
                  </w14:solidFill>
                </w14:textFill>
              </w:rPr>
            </w:pPr>
          </w:p>
        </w:tc>
      </w:tr>
    </w:tbl>
    <w:p w14:paraId="27B3CF31">
      <w:pPr>
        <w:snapToGrid w:val="0"/>
        <w:spacing w:beforeLines="50" w:after="50" w:line="360" w:lineRule="exact"/>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注：此表后附“第三章采购需求”中要求必须提供的资料，也可附供应商认为需要提供的投标货物相关资料。</w:t>
      </w:r>
    </w:p>
    <w:p w14:paraId="5694E90F">
      <w:pPr>
        <w:spacing w:line="500" w:lineRule="exact"/>
        <w:jc w:val="center"/>
        <w:rPr>
          <w:rFonts w:ascii="宋体" w:hAnsi="宋体" w:cs="仿宋_GB2312"/>
          <w:b/>
          <w:color w:val="000000" w:themeColor="text1"/>
          <w:sz w:val="32"/>
          <w:szCs w:val="32"/>
          <w14:textFill>
            <w14:solidFill>
              <w14:schemeClr w14:val="tx1"/>
            </w14:solidFill>
          </w14:textFill>
        </w:rPr>
      </w:pPr>
    </w:p>
    <w:p w14:paraId="19A60BEE">
      <w:pPr>
        <w:spacing w:line="320" w:lineRule="exact"/>
        <w:rPr>
          <w:rFonts w:ascii="宋体" w:hAnsi="宋体" w:cs="宋体"/>
          <w:b/>
          <w:color w:val="000000" w:themeColor="text1"/>
          <w:sz w:val="24"/>
          <w14:textFill>
            <w14:solidFill>
              <w14:schemeClr w14:val="tx1"/>
            </w14:solidFill>
          </w14:textFill>
        </w:rPr>
      </w:pPr>
    </w:p>
    <w:p w14:paraId="6F4A3119">
      <w:pPr>
        <w:spacing w:line="320" w:lineRule="exact"/>
        <w:rPr>
          <w:rFonts w:ascii="宋体" w:hAnsi="宋体" w:cs="宋体"/>
          <w:b/>
          <w:color w:val="000000" w:themeColor="text1"/>
          <w:sz w:val="24"/>
          <w14:textFill>
            <w14:solidFill>
              <w14:schemeClr w14:val="tx1"/>
            </w14:solidFill>
          </w14:textFill>
        </w:rPr>
      </w:pPr>
    </w:p>
    <w:p w14:paraId="7AA7A11F">
      <w:pPr>
        <w:spacing w:line="320" w:lineRule="exact"/>
        <w:rPr>
          <w:rFonts w:ascii="宋体" w:hAnsi="宋体" w:cs="宋体"/>
          <w:b/>
          <w:color w:val="000000" w:themeColor="text1"/>
          <w:sz w:val="24"/>
          <w14:textFill>
            <w14:solidFill>
              <w14:schemeClr w14:val="tx1"/>
            </w14:solidFill>
          </w14:textFill>
        </w:rPr>
      </w:pPr>
    </w:p>
    <w:p w14:paraId="60398636">
      <w:pPr>
        <w:spacing w:line="320" w:lineRule="exact"/>
        <w:rPr>
          <w:rFonts w:ascii="宋体" w:hAnsi="宋体" w:cs="宋体"/>
          <w:b/>
          <w:color w:val="000000" w:themeColor="text1"/>
          <w:sz w:val="24"/>
          <w14:textFill>
            <w14:solidFill>
              <w14:schemeClr w14:val="tx1"/>
            </w14:solidFill>
          </w14:textFill>
        </w:rPr>
      </w:pPr>
    </w:p>
    <w:p w14:paraId="73C4DC73">
      <w:pPr>
        <w:spacing w:line="320" w:lineRule="exact"/>
        <w:rPr>
          <w:rFonts w:ascii="宋体" w:hAnsi="宋体" w:cs="宋体"/>
          <w:b/>
          <w:color w:val="000000" w:themeColor="text1"/>
          <w:sz w:val="24"/>
          <w14:textFill>
            <w14:solidFill>
              <w14:schemeClr w14:val="tx1"/>
            </w14:solidFill>
          </w14:textFill>
        </w:rPr>
      </w:pPr>
    </w:p>
    <w:p w14:paraId="08437D1D">
      <w:pPr>
        <w:snapToGrid w:val="0"/>
        <w:spacing w:before="50" w:after="50" w:line="360" w:lineRule="exact"/>
        <w:rPr>
          <w:rFonts w:hAnsi="宋体" w:cs="宋体"/>
          <w:b/>
          <w:color w:val="000000" w:themeColor="text1"/>
          <w14:textFill>
            <w14:solidFill>
              <w14:schemeClr w14:val="tx1"/>
            </w14:solidFill>
          </w14:textFill>
        </w:rPr>
      </w:pPr>
      <w:r>
        <w:rPr>
          <w:rFonts w:hint="eastAsia" w:hAnsi="宋体" w:cs="宋体"/>
          <w:b/>
          <w:color w:val="000000" w:themeColor="text1"/>
          <w:lang w:eastAsia="zh-CN"/>
          <w14:textFill>
            <w14:solidFill>
              <w14:schemeClr w14:val="tx1"/>
            </w14:solidFill>
          </w14:textFill>
        </w:rPr>
        <w:t>五</w:t>
      </w:r>
      <w:r>
        <w:rPr>
          <w:rFonts w:hint="eastAsia" w:hAnsi="宋体" w:cs="宋体"/>
          <w:b/>
          <w:color w:val="000000" w:themeColor="text1"/>
          <w14:textFill>
            <w14:solidFill>
              <w14:schemeClr w14:val="tx1"/>
            </w14:solidFill>
          </w14:textFill>
        </w:rPr>
        <w:t>、售后服务方案及承诺书格式：</w:t>
      </w:r>
    </w:p>
    <w:p w14:paraId="67A0C5A9">
      <w:pPr>
        <w:snapToGrid w:val="0"/>
        <w:spacing w:before="50" w:after="50" w:line="360" w:lineRule="exact"/>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售后服务方案及承诺书</w:t>
      </w:r>
    </w:p>
    <w:p w14:paraId="035DA471">
      <w:pPr>
        <w:pStyle w:val="21"/>
        <w:spacing w:line="440" w:lineRule="exact"/>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 xml:space="preserve">第1条 </w:t>
      </w:r>
      <w:r>
        <w:rPr>
          <w:rFonts w:hint="eastAsia" w:hAnsi="宋体" w:cs="宋体"/>
          <w:b/>
          <w:color w:val="000000" w:themeColor="text1"/>
          <w:sz w:val="21"/>
          <w14:textFill>
            <w14:solidFill>
              <w14:schemeClr w14:val="tx1"/>
            </w14:solidFill>
          </w14:textFill>
        </w:rPr>
        <w:t>对合同条款、付款方式全部予以响应。</w:t>
      </w:r>
    </w:p>
    <w:p w14:paraId="20833208">
      <w:pPr>
        <w:pStyle w:val="21"/>
        <w:jc w:val="left"/>
        <w:rPr>
          <w:rFonts w:hAnsi="宋体" w:cs="宋体"/>
          <w:color w:val="000000" w:themeColor="text1"/>
          <w:sz w:val="21"/>
          <w14:textFill>
            <w14:solidFill>
              <w14:schemeClr w14:val="tx1"/>
            </w14:solidFill>
          </w14:textFill>
        </w:rPr>
      </w:pPr>
      <w:r>
        <w:rPr>
          <w:rFonts w:hint="eastAsia" w:hAnsi="宋体"/>
          <w:color w:val="000000" w:themeColor="text1"/>
          <w:szCs w:val="21"/>
          <w14:textFill>
            <w14:solidFill>
              <w14:schemeClr w14:val="tx1"/>
            </w14:solidFill>
          </w14:textFill>
        </w:rPr>
        <w:t>第2条</w:t>
      </w:r>
      <w:r>
        <w:rPr>
          <w:rFonts w:hint="eastAsia" w:hAnsi="宋体"/>
          <w:b/>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6B029443">
      <w:pPr>
        <w:pStyle w:val="21"/>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第3条  </w:t>
      </w:r>
    </w:p>
    <w:p w14:paraId="72B827FF">
      <w:pPr>
        <w:pStyle w:val="21"/>
        <w:ind w:firstLine="480" w:firstLineChars="200"/>
        <w:jc w:val="left"/>
        <w:rPr>
          <w:rFonts w:hAnsi="宋体"/>
          <w:color w:val="000000" w:themeColor="text1"/>
          <w:sz w:val="24"/>
          <w:szCs w:val="24"/>
          <w14:textFill>
            <w14:solidFill>
              <w14:schemeClr w14:val="tx1"/>
            </w14:solidFill>
          </w14:textFill>
        </w:rPr>
      </w:pPr>
    </w:p>
    <w:p w14:paraId="2769CCA8">
      <w:pPr>
        <w:pStyle w:val="21"/>
        <w:ind w:firstLine="480" w:firstLineChars="200"/>
        <w:rPr>
          <w:rFonts w:hAnsi="宋体" w:cs="宋体"/>
          <w:color w:val="000000" w:themeColor="text1"/>
          <w:sz w:val="24"/>
          <w:szCs w:val="24"/>
          <w14:textFill>
            <w14:solidFill>
              <w14:schemeClr w14:val="tx1"/>
            </w14:solidFill>
          </w14:textFill>
        </w:rPr>
      </w:pPr>
    </w:p>
    <w:p w14:paraId="30D3917F">
      <w:pPr>
        <w:pStyle w:val="21"/>
        <w:ind w:firstLine="480" w:firstLineChars="200"/>
        <w:rPr>
          <w:rFonts w:hAnsi="宋体" w:cs="宋体"/>
          <w:color w:val="000000" w:themeColor="text1"/>
          <w:sz w:val="24"/>
          <w:szCs w:val="24"/>
          <w14:textFill>
            <w14:solidFill>
              <w14:schemeClr w14:val="tx1"/>
            </w14:solidFill>
          </w14:textFill>
        </w:rPr>
      </w:pPr>
    </w:p>
    <w:p w14:paraId="6BF29403">
      <w:pPr>
        <w:pStyle w:val="21"/>
        <w:ind w:firstLine="480" w:firstLineChars="200"/>
        <w:rPr>
          <w:rFonts w:hAnsi="宋体" w:cs="宋体"/>
          <w:color w:val="000000" w:themeColor="text1"/>
          <w:sz w:val="24"/>
          <w:szCs w:val="24"/>
          <w14:textFill>
            <w14:solidFill>
              <w14:schemeClr w14:val="tx1"/>
            </w14:solidFill>
          </w14:textFill>
        </w:rPr>
      </w:pPr>
    </w:p>
    <w:p w14:paraId="3069181C">
      <w:pPr>
        <w:pStyle w:val="21"/>
        <w:ind w:firstLine="480" w:firstLineChars="200"/>
        <w:rPr>
          <w:rFonts w:hAnsi="宋体" w:cs="宋体"/>
          <w:color w:val="000000" w:themeColor="text1"/>
          <w:sz w:val="24"/>
          <w:szCs w:val="24"/>
          <w14:textFill>
            <w14:solidFill>
              <w14:schemeClr w14:val="tx1"/>
            </w14:solidFill>
          </w14:textFill>
        </w:rPr>
      </w:pPr>
    </w:p>
    <w:p w14:paraId="327E3FB1">
      <w:pPr>
        <w:pStyle w:val="21"/>
        <w:ind w:firstLine="480" w:firstLineChars="200"/>
        <w:rPr>
          <w:rFonts w:hAnsi="宋体" w:cs="宋体"/>
          <w:color w:val="000000" w:themeColor="text1"/>
          <w:sz w:val="24"/>
          <w:szCs w:val="24"/>
          <w14:textFill>
            <w14:solidFill>
              <w14:schemeClr w14:val="tx1"/>
            </w14:solidFill>
          </w14:textFill>
        </w:rPr>
      </w:pPr>
    </w:p>
    <w:p w14:paraId="3518BB53">
      <w:pPr>
        <w:pStyle w:val="21"/>
        <w:ind w:firstLine="480" w:firstLineChars="200"/>
        <w:rPr>
          <w:rFonts w:hAnsi="宋体" w:cs="宋体"/>
          <w:color w:val="000000" w:themeColor="text1"/>
          <w:sz w:val="24"/>
          <w:szCs w:val="24"/>
          <w14:textFill>
            <w14:solidFill>
              <w14:schemeClr w14:val="tx1"/>
            </w14:solidFill>
          </w14:textFill>
        </w:rPr>
      </w:pPr>
    </w:p>
    <w:p w14:paraId="14618526">
      <w:pPr>
        <w:pStyle w:val="21"/>
        <w:ind w:firstLine="480" w:firstLineChars="200"/>
        <w:jc w:val="right"/>
        <w:rPr>
          <w:rFonts w:hAnsi="宋体" w:cs="宋体"/>
          <w:color w:val="000000" w:themeColor="text1"/>
          <w:sz w:val="24"/>
          <w:szCs w:val="24"/>
          <w14:textFill>
            <w14:solidFill>
              <w14:schemeClr w14:val="tx1"/>
            </w14:solidFill>
          </w14:textFill>
        </w:rPr>
      </w:pPr>
    </w:p>
    <w:p w14:paraId="77D6CEDE">
      <w:pPr>
        <w:spacing w:line="360" w:lineRule="exact"/>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供应商名称(电子签章)：</w:t>
      </w:r>
    </w:p>
    <w:p w14:paraId="56428CB0">
      <w:pPr>
        <w:spacing w:line="360" w:lineRule="exact"/>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3C36321C">
      <w:pPr>
        <w:snapToGrid w:val="0"/>
        <w:spacing w:before="50"/>
        <w:jc w:val="right"/>
        <w:rPr>
          <w:rFonts w:ascii="宋体" w:hAnsi="宋体" w:cs="宋体"/>
          <w:color w:val="000000" w:themeColor="text1"/>
          <w:szCs w:val="21"/>
          <w:u w:val="single"/>
          <w14:textFill>
            <w14:solidFill>
              <w14:schemeClr w14:val="tx1"/>
            </w14:solidFill>
          </w14:textFill>
        </w:rPr>
      </w:pPr>
    </w:p>
    <w:p w14:paraId="743D68B6">
      <w:pPr>
        <w:spacing w:line="320" w:lineRule="exact"/>
        <w:rPr>
          <w:rFonts w:ascii="宋体" w:hAnsi="宋体"/>
          <w:color w:val="000000" w:themeColor="text1"/>
          <w:szCs w:val="21"/>
          <w14:textFill>
            <w14:solidFill>
              <w14:schemeClr w14:val="tx1"/>
            </w14:solidFill>
          </w14:textFill>
        </w:rPr>
      </w:pPr>
    </w:p>
    <w:p w14:paraId="6BFF50D7">
      <w:pPr>
        <w:spacing w:line="320" w:lineRule="exact"/>
        <w:rPr>
          <w:rFonts w:ascii="宋体" w:hAnsi="宋体"/>
          <w:color w:val="000000" w:themeColor="text1"/>
          <w:szCs w:val="21"/>
          <w14:textFill>
            <w14:solidFill>
              <w14:schemeClr w14:val="tx1"/>
            </w14:solidFill>
          </w14:textFill>
        </w:rPr>
      </w:pPr>
    </w:p>
    <w:p w14:paraId="438BEC6D">
      <w:pPr>
        <w:spacing w:line="320" w:lineRule="exact"/>
        <w:rPr>
          <w:rFonts w:ascii="宋体" w:hAnsi="宋体"/>
          <w:color w:val="000000" w:themeColor="text1"/>
          <w:szCs w:val="21"/>
          <w14:textFill>
            <w14:solidFill>
              <w14:schemeClr w14:val="tx1"/>
            </w14:solidFill>
          </w14:textFill>
        </w:rPr>
      </w:pPr>
    </w:p>
    <w:p w14:paraId="2BFEF80F">
      <w:pPr>
        <w:spacing w:line="320" w:lineRule="exact"/>
        <w:rPr>
          <w:rFonts w:ascii="宋体" w:hAnsi="宋体"/>
          <w:color w:val="000000" w:themeColor="text1"/>
          <w:szCs w:val="21"/>
          <w14:textFill>
            <w14:solidFill>
              <w14:schemeClr w14:val="tx1"/>
            </w14:solidFill>
          </w14:textFill>
        </w:rPr>
      </w:pPr>
    </w:p>
    <w:p w14:paraId="7452FFEE">
      <w:pPr>
        <w:spacing w:line="320" w:lineRule="exact"/>
        <w:rPr>
          <w:rFonts w:ascii="宋体" w:hAnsi="宋体"/>
          <w:color w:val="000000" w:themeColor="text1"/>
          <w:szCs w:val="21"/>
          <w14:textFill>
            <w14:solidFill>
              <w14:schemeClr w14:val="tx1"/>
            </w14:solidFill>
          </w14:textFill>
        </w:rPr>
      </w:pPr>
    </w:p>
    <w:p w14:paraId="669D433F">
      <w:pPr>
        <w:spacing w:line="320" w:lineRule="exact"/>
        <w:rPr>
          <w:rFonts w:ascii="宋体" w:hAnsi="宋体"/>
          <w:color w:val="000000" w:themeColor="text1"/>
          <w:szCs w:val="21"/>
          <w14:textFill>
            <w14:solidFill>
              <w14:schemeClr w14:val="tx1"/>
            </w14:solidFill>
          </w14:textFill>
        </w:rPr>
      </w:pPr>
    </w:p>
    <w:p w14:paraId="2FFBD8A0">
      <w:pPr>
        <w:spacing w:line="320" w:lineRule="exact"/>
        <w:rPr>
          <w:rFonts w:ascii="宋体" w:hAnsi="宋体"/>
          <w:color w:val="000000" w:themeColor="text1"/>
          <w:szCs w:val="21"/>
          <w14:textFill>
            <w14:solidFill>
              <w14:schemeClr w14:val="tx1"/>
            </w14:solidFill>
          </w14:textFill>
        </w:rPr>
      </w:pPr>
    </w:p>
    <w:p w14:paraId="5D047E2F">
      <w:pPr>
        <w:spacing w:line="320" w:lineRule="exact"/>
        <w:rPr>
          <w:rFonts w:ascii="宋体" w:hAnsi="宋体"/>
          <w:color w:val="000000" w:themeColor="text1"/>
          <w:szCs w:val="21"/>
          <w14:textFill>
            <w14:solidFill>
              <w14:schemeClr w14:val="tx1"/>
            </w14:solidFill>
          </w14:textFill>
        </w:rPr>
      </w:pPr>
    </w:p>
    <w:p w14:paraId="1DB5983A">
      <w:pPr>
        <w:spacing w:line="320" w:lineRule="exact"/>
        <w:rPr>
          <w:rFonts w:ascii="宋体" w:hAnsi="宋体"/>
          <w:color w:val="000000" w:themeColor="text1"/>
          <w:szCs w:val="21"/>
          <w14:textFill>
            <w14:solidFill>
              <w14:schemeClr w14:val="tx1"/>
            </w14:solidFill>
          </w14:textFill>
        </w:rPr>
      </w:pPr>
    </w:p>
    <w:p w14:paraId="1BF3637B">
      <w:pPr>
        <w:spacing w:line="320" w:lineRule="exact"/>
        <w:rPr>
          <w:rFonts w:ascii="宋体" w:hAnsi="宋体"/>
          <w:color w:val="000000" w:themeColor="text1"/>
          <w:szCs w:val="21"/>
          <w14:textFill>
            <w14:solidFill>
              <w14:schemeClr w14:val="tx1"/>
            </w14:solidFill>
          </w14:textFill>
        </w:rPr>
      </w:pPr>
    </w:p>
    <w:p w14:paraId="1F00880D">
      <w:pPr>
        <w:spacing w:line="320" w:lineRule="exact"/>
        <w:rPr>
          <w:rFonts w:ascii="宋体" w:hAnsi="宋体"/>
          <w:color w:val="000000" w:themeColor="text1"/>
          <w:szCs w:val="21"/>
          <w14:textFill>
            <w14:solidFill>
              <w14:schemeClr w14:val="tx1"/>
            </w14:solidFill>
          </w14:textFill>
        </w:rPr>
      </w:pPr>
    </w:p>
    <w:p w14:paraId="04D9203A">
      <w:pPr>
        <w:spacing w:line="320" w:lineRule="exact"/>
        <w:rPr>
          <w:rFonts w:ascii="宋体" w:hAnsi="宋体"/>
          <w:color w:val="000000" w:themeColor="text1"/>
          <w:szCs w:val="21"/>
          <w14:textFill>
            <w14:solidFill>
              <w14:schemeClr w14:val="tx1"/>
            </w14:solidFill>
          </w14:textFill>
        </w:rPr>
      </w:pPr>
    </w:p>
    <w:p w14:paraId="23B4CE96">
      <w:pPr>
        <w:spacing w:line="320" w:lineRule="exact"/>
        <w:rPr>
          <w:rFonts w:ascii="宋体" w:hAnsi="宋体"/>
          <w:color w:val="000000" w:themeColor="text1"/>
          <w:szCs w:val="21"/>
          <w14:textFill>
            <w14:solidFill>
              <w14:schemeClr w14:val="tx1"/>
            </w14:solidFill>
          </w14:textFill>
        </w:rPr>
      </w:pPr>
    </w:p>
    <w:p w14:paraId="53D73F6A">
      <w:pPr>
        <w:spacing w:line="320" w:lineRule="exact"/>
        <w:rPr>
          <w:rFonts w:ascii="宋体" w:hAnsi="宋体"/>
          <w:color w:val="000000" w:themeColor="text1"/>
          <w:szCs w:val="21"/>
          <w14:textFill>
            <w14:solidFill>
              <w14:schemeClr w14:val="tx1"/>
            </w14:solidFill>
          </w14:textFill>
        </w:rPr>
      </w:pPr>
    </w:p>
    <w:p w14:paraId="73AD1632">
      <w:pPr>
        <w:spacing w:line="320" w:lineRule="exact"/>
        <w:rPr>
          <w:rFonts w:ascii="宋体" w:hAnsi="宋体"/>
          <w:color w:val="000000" w:themeColor="text1"/>
          <w:szCs w:val="21"/>
          <w14:textFill>
            <w14:solidFill>
              <w14:schemeClr w14:val="tx1"/>
            </w14:solidFill>
          </w14:textFill>
        </w:rPr>
      </w:pPr>
    </w:p>
    <w:p w14:paraId="0ABAFA14">
      <w:pPr>
        <w:pStyle w:val="29"/>
        <w:rPr>
          <w:rFonts w:ascii="宋体" w:hAnsi="宋体"/>
          <w:color w:val="000000" w:themeColor="text1"/>
          <w:szCs w:val="21"/>
          <w14:textFill>
            <w14:solidFill>
              <w14:schemeClr w14:val="tx1"/>
            </w14:solidFill>
          </w14:textFill>
        </w:rPr>
      </w:pPr>
    </w:p>
    <w:p w14:paraId="2BAE5787">
      <w:pPr>
        <w:rPr>
          <w:rFonts w:ascii="宋体" w:hAnsi="宋体"/>
          <w:color w:val="000000" w:themeColor="text1"/>
          <w:szCs w:val="21"/>
          <w14:textFill>
            <w14:solidFill>
              <w14:schemeClr w14:val="tx1"/>
            </w14:solidFill>
          </w14:textFill>
        </w:rPr>
      </w:pPr>
    </w:p>
    <w:p w14:paraId="2F93D47E">
      <w:pPr>
        <w:pStyle w:val="29"/>
        <w:rPr>
          <w:rFonts w:ascii="宋体" w:hAnsi="宋体"/>
          <w:color w:val="000000" w:themeColor="text1"/>
          <w:szCs w:val="21"/>
          <w14:textFill>
            <w14:solidFill>
              <w14:schemeClr w14:val="tx1"/>
            </w14:solidFill>
          </w14:textFill>
        </w:rPr>
      </w:pPr>
    </w:p>
    <w:p w14:paraId="45EB5EF7">
      <w:pPr>
        <w:rPr>
          <w:rFonts w:ascii="宋体" w:hAnsi="宋体"/>
          <w:color w:val="000000" w:themeColor="text1"/>
          <w:szCs w:val="21"/>
          <w14:textFill>
            <w14:solidFill>
              <w14:schemeClr w14:val="tx1"/>
            </w14:solidFill>
          </w14:textFill>
        </w:rPr>
      </w:pPr>
    </w:p>
    <w:p w14:paraId="291EE4EE">
      <w:pPr>
        <w:pStyle w:val="29"/>
        <w:rPr>
          <w:rFonts w:ascii="宋体" w:hAnsi="宋体"/>
          <w:color w:val="000000" w:themeColor="text1"/>
          <w:szCs w:val="21"/>
          <w14:textFill>
            <w14:solidFill>
              <w14:schemeClr w14:val="tx1"/>
            </w14:solidFill>
          </w14:textFill>
        </w:rPr>
      </w:pPr>
    </w:p>
    <w:p w14:paraId="66CEAA84">
      <w:pPr>
        <w:rPr>
          <w:rFonts w:ascii="宋体" w:hAnsi="宋体"/>
          <w:color w:val="000000" w:themeColor="text1"/>
          <w:szCs w:val="21"/>
          <w14:textFill>
            <w14:solidFill>
              <w14:schemeClr w14:val="tx1"/>
            </w14:solidFill>
          </w14:textFill>
        </w:rPr>
      </w:pPr>
    </w:p>
    <w:p w14:paraId="62013E56">
      <w:pPr>
        <w:pStyle w:val="29"/>
        <w:rPr>
          <w:rFonts w:ascii="宋体" w:hAnsi="宋体"/>
          <w:color w:val="000000" w:themeColor="text1"/>
          <w:szCs w:val="21"/>
          <w14:textFill>
            <w14:solidFill>
              <w14:schemeClr w14:val="tx1"/>
            </w14:solidFill>
          </w14:textFill>
        </w:rPr>
      </w:pPr>
    </w:p>
    <w:p w14:paraId="055E0E72">
      <w:pPr>
        <w:rPr>
          <w:color w:val="000000" w:themeColor="text1"/>
          <w14:textFill>
            <w14:solidFill>
              <w14:schemeClr w14:val="tx1"/>
            </w14:solidFill>
          </w14:textFill>
        </w:rPr>
      </w:pPr>
    </w:p>
    <w:p w14:paraId="37C0D818">
      <w:pPr>
        <w:spacing w:line="320" w:lineRule="exact"/>
        <w:rPr>
          <w:rFonts w:ascii="宋体" w:hAnsi="宋体"/>
          <w:color w:val="000000" w:themeColor="text1"/>
          <w:szCs w:val="21"/>
          <w14:textFill>
            <w14:solidFill>
              <w14:schemeClr w14:val="tx1"/>
            </w14:solidFill>
          </w14:textFill>
        </w:rPr>
      </w:pPr>
    </w:p>
    <w:p w14:paraId="41F2C57A">
      <w:pPr>
        <w:snapToGrid w:val="0"/>
        <w:spacing w:before="50" w:line="360" w:lineRule="exact"/>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六</w:t>
      </w:r>
      <w:r>
        <w:rPr>
          <w:rFonts w:hint="eastAsia" w:ascii="宋体" w:hAnsi="宋体"/>
          <w:b/>
          <w:color w:val="000000" w:themeColor="text1"/>
          <w:sz w:val="24"/>
          <w14:textFill>
            <w14:solidFill>
              <w14:schemeClr w14:val="tx1"/>
            </w14:solidFill>
          </w14:textFill>
        </w:rPr>
        <w:t>、 代理服务费承诺书格式</w:t>
      </w:r>
    </w:p>
    <w:p w14:paraId="42890E7F">
      <w:pPr>
        <w:snapToGrid w:val="0"/>
        <w:spacing w:beforeLines="50" w:after="50" w:line="36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 w:val="24"/>
          <w14:textFill>
            <w14:solidFill>
              <w14:schemeClr w14:val="tx1"/>
            </w14:solidFill>
          </w14:textFill>
        </w:rPr>
        <w:t>代理服务费承诺书</w:t>
      </w:r>
    </w:p>
    <w:p w14:paraId="2C3AF6AE">
      <w:pPr>
        <w:snapToGrid w:val="0"/>
        <w:spacing w:beforeLines="50" w:after="50"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致：广西德元工程项目管理有限责任公司</w:t>
      </w:r>
    </w:p>
    <w:p w14:paraId="350AF16B">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我单位参加了贵方组织的采购项目编号为（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）的谈判，并递交了</w:t>
      </w:r>
      <w:r>
        <w:rPr>
          <w:rFonts w:hint="eastAsia" w:ascii="宋体" w:hAnsi="宋体" w:cs="宋体"/>
          <w:color w:val="000000" w:themeColor="text1"/>
          <w:szCs w:val="21"/>
          <w14:textFill>
            <w14:solidFill>
              <w14:schemeClr w14:val="tx1"/>
            </w14:solidFill>
          </w14:textFill>
        </w:rPr>
        <w:t>竞标</w:t>
      </w:r>
      <w:r>
        <w:rPr>
          <w:rFonts w:hint="eastAsia" w:ascii="宋体" w:hAnsi="宋体"/>
          <w:color w:val="000000" w:themeColor="text1"/>
          <w:szCs w:val="21"/>
          <w14:textFill>
            <w14:solidFill>
              <w14:schemeClr w14:val="tx1"/>
            </w14:solidFill>
          </w14:textFill>
        </w:rPr>
        <w:t>保证金（¥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），在此我方说明如下：</w:t>
      </w:r>
    </w:p>
    <w:p w14:paraId="14CBF0A2">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1．我方承诺，若我单位中标，保证在领取成交通知书之前，按本项目谈判文件的规定标准向贵单位支付代理服务费。如我单位未按规定缴纳代理服务费，贵方可不退还我单位提交的</w:t>
      </w:r>
      <w:r>
        <w:rPr>
          <w:rFonts w:hint="eastAsia" w:ascii="宋体" w:hAnsi="宋体" w:cs="宋体"/>
          <w:color w:val="000000" w:themeColor="text1"/>
          <w:szCs w:val="21"/>
          <w14:textFill>
            <w14:solidFill>
              <w14:schemeClr w14:val="tx1"/>
            </w14:solidFill>
          </w14:textFill>
        </w:rPr>
        <w:t>竞标</w:t>
      </w:r>
      <w:r>
        <w:rPr>
          <w:rFonts w:hint="eastAsia" w:ascii="宋体" w:hAnsi="宋体"/>
          <w:color w:val="000000" w:themeColor="text1"/>
          <w:szCs w:val="21"/>
          <w14:textFill>
            <w14:solidFill>
              <w14:schemeClr w14:val="tx1"/>
            </w14:solidFill>
          </w14:textFill>
        </w:rPr>
        <w:t>保证金，并从中扣除代理服务费，余款按下列账户退回。</w:t>
      </w:r>
    </w:p>
    <w:p w14:paraId="02E88C4A">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我公司选择第</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种方式缴纳代理服务费。</w:t>
      </w:r>
    </w:p>
    <w:p w14:paraId="66BAD9B2">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第一种方式：一次性足额缴纳代理服务费。</w:t>
      </w:r>
    </w:p>
    <w:p w14:paraId="5EC9F2C1">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第二种方式：从响应保证金中抵扣代理服务费，不足部分补交。</w:t>
      </w:r>
    </w:p>
    <w:p w14:paraId="66580CFA">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2.如我单位</w:t>
      </w:r>
      <w:r>
        <w:rPr>
          <w:rFonts w:hint="eastAsia" w:ascii="宋体" w:hAnsi="宋体" w:cs="宋体"/>
          <w:color w:val="000000" w:themeColor="text1"/>
          <w:szCs w:val="21"/>
          <w14:textFill>
            <w14:solidFill>
              <w14:schemeClr w14:val="tx1"/>
            </w14:solidFill>
          </w14:textFill>
        </w:rPr>
        <w:t>竞标</w:t>
      </w:r>
      <w:r>
        <w:rPr>
          <w:rFonts w:hint="eastAsia" w:ascii="宋体" w:hAnsi="宋体"/>
          <w:color w:val="000000" w:themeColor="text1"/>
          <w:szCs w:val="21"/>
          <w14:textFill>
            <w14:solidFill>
              <w14:schemeClr w14:val="tx1"/>
            </w14:solidFill>
          </w14:textFill>
        </w:rPr>
        <w:t>保证金无法原路返回，请按下表账户信息无息退还。</w:t>
      </w:r>
    </w:p>
    <w:tbl>
      <w:tblPr>
        <w:tblStyle w:val="3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8E53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5E3CEF">
            <w:pPr>
              <w:snapToGrid w:val="0"/>
              <w:spacing w:before="50" w:afterLines="50"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收款户名</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E54013">
            <w:pPr>
              <w:snapToGrid w:val="0"/>
              <w:spacing w:before="50" w:afterLines="50" w:line="360" w:lineRule="exact"/>
              <w:jc w:val="left"/>
              <w:rPr>
                <w:rFonts w:ascii="宋体" w:hAnsi="宋体"/>
                <w:b/>
                <w:color w:val="000000" w:themeColor="text1"/>
                <w:szCs w:val="21"/>
                <w14:textFill>
                  <w14:solidFill>
                    <w14:schemeClr w14:val="tx1"/>
                  </w14:solidFill>
                </w14:textFill>
              </w:rPr>
            </w:pPr>
          </w:p>
        </w:tc>
      </w:tr>
      <w:tr w14:paraId="19637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D9C9CF">
            <w:pPr>
              <w:snapToGrid w:val="0"/>
              <w:spacing w:before="50" w:afterLines="50"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    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883448">
            <w:pPr>
              <w:snapToGrid w:val="0"/>
              <w:spacing w:before="50" w:afterLines="50" w:line="360" w:lineRule="exact"/>
              <w:jc w:val="left"/>
              <w:rPr>
                <w:rFonts w:ascii="宋体" w:hAnsi="宋体"/>
                <w:b/>
                <w:color w:val="000000" w:themeColor="text1"/>
                <w:szCs w:val="21"/>
                <w14:textFill>
                  <w14:solidFill>
                    <w14:schemeClr w14:val="tx1"/>
                  </w14:solidFill>
                </w14:textFill>
              </w:rPr>
            </w:pPr>
          </w:p>
        </w:tc>
      </w:tr>
      <w:tr w14:paraId="51DDA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C9FA55">
            <w:pPr>
              <w:snapToGrid w:val="0"/>
              <w:spacing w:before="50" w:afterLines="50"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3B6991">
            <w:pPr>
              <w:snapToGrid w:val="0"/>
              <w:spacing w:before="50" w:afterLines="50" w:line="360" w:lineRule="exact"/>
              <w:jc w:val="left"/>
              <w:rPr>
                <w:rFonts w:ascii="宋体" w:hAnsi="宋体"/>
                <w:b/>
                <w:color w:val="000000" w:themeColor="text1"/>
                <w:szCs w:val="21"/>
                <w14:textFill>
                  <w14:solidFill>
                    <w14:schemeClr w14:val="tx1"/>
                  </w14:solidFill>
                </w14:textFill>
              </w:rPr>
            </w:pPr>
          </w:p>
        </w:tc>
      </w:tr>
      <w:tr w14:paraId="30678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27B54D">
            <w:pPr>
              <w:snapToGrid w:val="0"/>
              <w:spacing w:before="50" w:afterLines="50"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银行行号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FD2B90">
            <w:pPr>
              <w:snapToGrid w:val="0"/>
              <w:spacing w:before="50" w:afterLines="50" w:line="360" w:lineRule="exact"/>
              <w:jc w:val="left"/>
              <w:rPr>
                <w:rFonts w:ascii="宋体" w:hAnsi="宋体"/>
                <w:b/>
                <w:color w:val="000000" w:themeColor="text1"/>
                <w:szCs w:val="21"/>
                <w14:textFill>
                  <w14:solidFill>
                    <w14:schemeClr w14:val="tx1"/>
                  </w14:solidFill>
                </w14:textFill>
              </w:rPr>
            </w:pPr>
          </w:p>
        </w:tc>
      </w:tr>
    </w:tbl>
    <w:p w14:paraId="38652BC5">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3．如果我单位未遵守有关竞争性谈判文件关于</w:t>
      </w:r>
      <w:r>
        <w:rPr>
          <w:rFonts w:hint="eastAsia" w:ascii="宋体" w:hAnsi="宋体" w:cs="宋体"/>
          <w:color w:val="000000" w:themeColor="text1"/>
          <w:szCs w:val="21"/>
          <w14:textFill>
            <w14:solidFill>
              <w14:schemeClr w14:val="tx1"/>
            </w14:solidFill>
          </w14:textFill>
        </w:rPr>
        <w:t>竞标</w:t>
      </w:r>
      <w:r>
        <w:rPr>
          <w:rFonts w:hint="eastAsia" w:ascii="宋体" w:hAnsi="宋体"/>
          <w:color w:val="000000" w:themeColor="text1"/>
          <w:szCs w:val="21"/>
          <w14:textFill>
            <w14:solidFill>
              <w14:schemeClr w14:val="tx1"/>
            </w14:solidFill>
          </w14:textFill>
        </w:rPr>
        <w:t>保证金的规定，贵方可以没收我单位</w:t>
      </w:r>
      <w:r>
        <w:rPr>
          <w:rFonts w:hint="eastAsia" w:ascii="宋体" w:hAnsi="宋体" w:cs="宋体"/>
          <w:color w:val="000000" w:themeColor="text1"/>
          <w:szCs w:val="21"/>
          <w14:textFill>
            <w14:solidFill>
              <w14:schemeClr w14:val="tx1"/>
            </w14:solidFill>
          </w14:textFill>
        </w:rPr>
        <w:t>竞标</w:t>
      </w:r>
      <w:r>
        <w:rPr>
          <w:rFonts w:hint="eastAsia" w:ascii="宋体" w:hAnsi="宋体"/>
          <w:color w:val="000000" w:themeColor="text1"/>
          <w:szCs w:val="21"/>
          <w14:textFill>
            <w14:solidFill>
              <w14:schemeClr w14:val="tx1"/>
            </w14:solidFill>
          </w14:textFill>
        </w:rPr>
        <w:t>保证金。</w:t>
      </w:r>
    </w:p>
    <w:p w14:paraId="3C020C49">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我单位选择第</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种方式作为代理服务费开票类型：</w:t>
      </w:r>
    </w:p>
    <w:p w14:paraId="52CFC774">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第一种方式：开具收据。</w:t>
      </w:r>
    </w:p>
    <w:p w14:paraId="55F7DF6D">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第二种方式：开具增值税普通发票。开票信息如下：1.公司名称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；2.纳税人识别号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0179C47">
      <w:pPr>
        <w:snapToGrid w:val="0"/>
        <w:spacing w:beforeLines="50" w:after="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第三种方式：开具增值税专用发票，开票信息如下：1.公司名称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；2.纳税人识别号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；3.税局登记地址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；4.税局登记电话</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；5.开户银行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；6.银行账户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7C11424">
      <w:pPr>
        <w:snapToGrid w:val="0"/>
        <w:spacing w:before="50" w:afterLines="50" w:line="360" w:lineRule="exact"/>
        <w:jc w:val="left"/>
        <w:rPr>
          <w:rFonts w:ascii="宋体" w:hAnsi="宋体"/>
          <w:b/>
          <w:color w:val="000000" w:themeColor="text1"/>
          <w:sz w:val="24"/>
          <w14:textFill>
            <w14:solidFill>
              <w14:schemeClr w14:val="tx1"/>
            </w14:solidFill>
          </w14:textFill>
        </w:rPr>
      </w:pPr>
    </w:p>
    <w:p w14:paraId="57DC98C9">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50D22933">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6EE65B5A">
      <w:pPr>
        <w:spacing w:line="320" w:lineRule="exact"/>
        <w:rPr>
          <w:rFonts w:ascii="宋体" w:hAnsi="宋体"/>
          <w:color w:val="000000" w:themeColor="text1"/>
          <w:szCs w:val="21"/>
          <w14:textFill>
            <w14:solidFill>
              <w14:schemeClr w14:val="tx1"/>
            </w14:solidFill>
          </w14:textFill>
        </w:rPr>
      </w:pPr>
    </w:p>
    <w:p w14:paraId="2A718648">
      <w:pPr>
        <w:tabs>
          <w:tab w:val="left" w:pos="1427"/>
        </w:tabs>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p>
    <w:p w14:paraId="0715D094">
      <w:pPr>
        <w:spacing w:line="320" w:lineRule="exact"/>
        <w:rPr>
          <w:rFonts w:ascii="宋体" w:hAnsi="宋体"/>
          <w:color w:val="000000" w:themeColor="text1"/>
          <w:szCs w:val="21"/>
          <w14:textFill>
            <w14:solidFill>
              <w14:schemeClr w14:val="tx1"/>
            </w14:solidFill>
          </w14:textFill>
        </w:rPr>
      </w:pPr>
    </w:p>
    <w:p w14:paraId="70462D4E">
      <w:pPr>
        <w:spacing w:line="320" w:lineRule="exact"/>
        <w:rPr>
          <w:rFonts w:ascii="宋体" w:hAnsi="宋体"/>
          <w:color w:val="000000" w:themeColor="text1"/>
          <w:szCs w:val="21"/>
          <w14:textFill>
            <w14:solidFill>
              <w14:schemeClr w14:val="tx1"/>
            </w14:solidFill>
          </w14:textFill>
        </w:rPr>
      </w:pPr>
    </w:p>
    <w:p w14:paraId="5D746167">
      <w:pPr>
        <w:spacing w:line="320" w:lineRule="exact"/>
        <w:rPr>
          <w:rFonts w:ascii="宋体" w:hAnsi="宋体"/>
          <w:color w:val="000000" w:themeColor="text1"/>
          <w:szCs w:val="21"/>
          <w14:textFill>
            <w14:solidFill>
              <w14:schemeClr w14:val="tx1"/>
            </w14:solidFill>
          </w14:textFill>
        </w:rPr>
      </w:pPr>
    </w:p>
    <w:p w14:paraId="1EE8C4B0">
      <w:pPr>
        <w:snapToGrid w:val="0"/>
        <w:spacing w:before="50" w:line="3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、供应商同类项目业绩证明一览表（格式）</w:t>
      </w:r>
    </w:p>
    <w:p w14:paraId="6D6E43C5">
      <w:pPr>
        <w:pStyle w:val="30"/>
        <w:snapToGrid w:val="0"/>
        <w:spacing w:line="360" w:lineRule="exact"/>
        <w:ind w:left="643" w:hanging="643"/>
        <w:jc w:val="center"/>
        <w:rPr>
          <w:rFonts w:ascii="宋体" w:hAnsi="宋体"/>
          <w:b/>
          <w:bCs/>
          <w:color w:val="000000" w:themeColor="text1"/>
          <w:sz w:val="32"/>
          <w:szCs w:val="32"/>
          <w14:textFill>
            <w14:solidFill>
              <w14:schemeClr w14:val="tx1"/>
            </w14:solidFill>
          </w14:textFill>
        </w:rPr>
      </w:pPr>
    </w:p>
    <w:p w14:paraId="4B97E174">
      <w:pPr>
        <w:pStyle w:val="30"/>
        <w:snapToGrid w:val="0"/>
        <w:spacing w:line="360" w:lineRule="exact"/>
        <w:ind w:left="643" w:hanging="643"/>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供应商同类项目业绩一览表</w:t>
      </w:r>
    </w:p>
    <w:tbl>
      <w:tblPr>
        <w:tblStyle w:val="37"/>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91"/>
        <w:gridCol w:w="1843"/>
        <w:gridCol w:w="1382"/>
        <w:gridCol w:w="1039"/>
        <w:gridCol w:w="1039"/>
        <w:gridCol w:w="1041"/>
        <w:gridCol w:w="1917"/>
      </w:tblGrid>
      <w:tr w14:paraId="3F8C9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07" w:type="pct"/>
            <w:vMerge w:val="restart"/>
            <w:tcBorders>
              <w:top w:val="single" w:color="auto" w:sz="4" w:space="0"/>
              <w:left w:val="single" w:color="auto" w:sz="4" w:space="0"/>
              <w:bottom w:val="single" w:color="auto" w:sz="4" w:space="0"/>
              <w:right w:val="single" w:color="auto" w:sz="4" w:space="0"/>
            </w:tcBorders>
            <w:vAlign w:val="center"/>
          </w:tcPr>
          <w:p w14:paraId="001B40E0">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采购单位名称</w:t>
            </w:r>
          </w:p>
        </w:tc>
        <w:tc>
          <w:tcPr>
            <w:tcW w:w="935" w:type="pct"/>
            <w:vMerge w:val="restart"/>
            <w:tcBorders>
              <w:top w:val="single" w:color="auto" w:sz="4" w:space="0"/>
              <w:left w:val="single" w:color="auto" w:sz="4" w:space="0"/>
              <w:bottom w:val="single" w:color="auto" w:sz="4" w:space="0"/>
              <w:right w:val="single" w:color="auto" w:sz="4" w:space="0"/>
            </w:tcBorders>
            <w:vAlign w:val="center"/>
          </w:tcPr>
          <w:p w14:paraId="2D157B3D">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设备或项目名称</w:t>
            </w:r>
          </w:p>
        </w:tc>
        <w:tc>
          <w:tcPr>
            <w:tcW w:w="701" w:type="pct"/>
            <w:vMerge w:val="restart"/>
            <w:tcBorders>
              <w:top w:val="single" w:color="auto" w:sz="4" w:space="0"/>
              <w:left w:val="single" w:color="auto" w:sz="4" w:space="0"/>
              <w:bottom w:val="single" w:color="auto" w:sz="4" w:space="0"/>
              <w:right w:val="single" w:color="auto" w:sz="4" w:space="0"/>
            </w:tcBorders>
            <w:vAlign w:val="center"/>
          </w:tcPr>
          <w:p w14:paraId="5D6DB31A">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p>
          <w:p w14:paraId="1B4A2D74">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w:t>
            </w:r>
          </w:p>
          <w:p w14:paraId="4C0B79AA">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582" w:type="pct"/>
            <w:gridSpan w:val="3"/>
            <w:tcBorders>
              <w:top w:val="single" w:color="auto" w:sz="4" w:space="0"/>
              <w:left w:val="single" w:color="auto" w:sz="4" w:space="0"/>
              <w:bottom w:val="single" w:color="auto" w:sz="4" w:space="0"/>
              <w:right w:val="single" w:color="auto" w:sz="4" w:space="0"/>
            </w:tcBorders>
            <w:vAlign w:val="center"/>
          </w:tcPr>
          <w:p w14:paraId="0364E3E8">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附件页码</w:t>
            </w:r>
          </w:p>
        </w:tc>
        <w:tc>
          <w:tcPr>
            <w:tcW w:w="972" w:type="pct"/>
            <w:vMerge w:val="restart"/>
            <w:tcBorders>
              <w:top w:val="single" w:color="auto" w:sz="4" w:space="0"/>
              <w:left w:val="single" w:color="auto" w:sz="4" w:space="0"/>
              <w:bottom w:val="single" w:color="auto" w:sz="4" w:space="0"/>
              <w:right w:val="single" w:color="auto" w:sz="4" w:space="0"/>
            </w:tcBorders>
            <w:vAlign w:val="center"/>
          </w:tcPr>
          <w:p w14:paraId="227E8F03">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采购单位联系人及</w:t>
            </w:r>
          </w:p>
          <w:p w14:paraId="597EE179">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r>
      <w:tr w14:paraId="75B98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07" w:type="pct"/>
            <w:vMerge w:val="continue"/>
            <w:tcBorders>
              <w:top w:val="single" w:color="auto" w:sz="4" w:space="0"/>
              <w:left w:val="single" w:color="auto" w:sz="4" w:space="0"/>
              <w:bottom w:val="single" w:color="auto" w:sz="4" w:space="0"/>
              <w:right w:val="single" w:color="auto" w:sz="4" w:space="0"/>
            </w:tcBorders>
            <w:vAlign w:val="center"/>
          </w:tcPr>
          <w:p w14:paraId="06AB40A2">
            <w:pPr>
              <w:widowControl/>
              <w:jc w:val="left"/>
              <w:rPr>
                <w:rFonts w:ascii="宋体" w:hAnsi="宋体"/>
                <w:color w:val="000000" w:themeColor="text1"/>
                <w:szCs w:val="21"/>
                <w14:textFill>
                  <w14:solidFill>
                    <w14:schemeClr w14:val="tx1"/>
                  </w14:solidFill>
                </w14:textFill>
              </w:rPr>
            </w:pPr>
          </w:p>
        </w:tc>
        <w:tc>
          <w:tcPr>
            <w:tcW w:w="935" w:type="pct"/>
            <w:vMerge w:val="continue"/>
            <w:tcBorders>
              <w:top w:val="single" w:color="auto" w:sz="4" w:space="0"/>
              <w:left w:val="single" w:color="auto" w:sz="4" w:space="0"/>
              <w:bottom w:val="single" w:color="auto" w:sz="4" w:space="0"/>
              <w:right w:val="single" w:color="auto" w:sz="4" w:space="0"/>
            </w:tcBorders>
            <w:vAlign w:val="center"/>
          </w:tcPr>
          <w:p w14:paraId="53D1E448">
            <w:pPr>
              <w:widowControl/>
              <w:jc w:val="left"/>
              <w:rPr>
                <w:rFonts w:ascii="宋体" w:hAnsi="宋体"/>
                <w:color w:val="000000" w:themeColor="text1"/>
                <w:szCs w:val="21"/>
                <w14:textFill>
                  <w14:solidFill>
                    <w14:schemeClr w14:val="tx1"/>
                  </w14:solidFill>
                </w14:textFill>
              </w:rPr>
            </w:pPr>
          </w:p>
        </w:tc>
        <w:tc>
          <w:tcPr>
            <w:tcW w:w="701" w:type="pct"/>
            <w:vMerge w:val="continue"/>
            <w:tcBorders>
              <w:top w:val="single" w:color="auto" w:sz="4" w:space="0"/>
              <w:left w:val="single" w:color="auto" w:sz="4" w:space="0"/>
              <w:bottom w:val="single" w:color="auto" w:sz="4" w:space="0"/>
              <w:right w:val="single" w:color="auto" w:sz="4" w:space="0"/>
            </w:tcBorders>
            <w:vAlign w:val="center"/>
          </w:tcPr>
          <w:p w14:paraId="69A7509B">
            <w:pPr>
              <w:widowControl/>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vAlign w:val="center"/>
          </w:tcPr>
          <w:p w14:paraId="4891A7B9">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p>
        </w:tc>
        <w:tc>
          <w:tcPr>
            <w:tcW w:w="527" w:type="pct"/>
            <w:tcBorders>
              <w:top w:val="single" w:color="auto" w:sz="4" w:space="0"/>
              <w:left w:val="single" w:color="auto" w:sz="4" w:space="0"/>
              <w:bottom w:val="single" w:color="auto" w:sz="4" w:space="0"/>
              <w:right w:val="single" w:color="auto" w:sz="4" w:space="0"/>
            </w:tcBorders>
            <w:vAlign w:val="center"/>
          </w:tcPr>
          <w:p w14:paraId="1272D72A">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验收报告</w:t>
            </w:r>
          </w:p>
        </w:tc>
        <w:tc>
          <w:tcPr>
            <w:tcW w:w="528" w:type="pct"/>
            <w:tcBorders>
              <w:top w:val="single" w:color="auto" w:sz="4" w:space="0"/>
              <w:left w:val="single" w:color="auto" w:sz="4" w:space="0"/>
              <w:bottom w:val="single" w:color="auto" w:sz="4" w:space="0"/>
              <w:right w:val="single" w:color="auto" w:sz="4" w:space="0"/>
            </w:tcBorders>
            <w:vAlign w:val="center"/>
          </w:tcPr>
          <w:p w14:paraId="7A0FF4A0">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用户评价</w:t>
            </w:r>
          </w:p>
        </w:tc>
        <w:tc>
          <w:tcPr>
            <w:tcW w:w="972" w:type="pct"/>
            <w:vMerge w:val="continue"/>
            <w:tcBorders>
              <w:top w:val="single" w:color="auto" w:sz="4" w:space="0"/>
              <w:left w:val="single" w:color="auto" w:sz="4" w:space="0"/>
              <w:bottom w:val="single" w:color="auto" w:sz="4" w:space="0"/>
              <w:right w:val="single" w:color="auto" w:sz="4" w:space="0"/>
            </w:tcBorders>
            <w:vAlign w:val="center"/>
          </w:tcPr>
          <w:p w14:paraId="4D048038">
            <w:pPr>
              <w:widowControl/>
              <w:jc w:val="left"/>
              <w:rPr>
                <w:rFonts w:ascii="宋体" w:hAnsi="宋体"/>
                <w:color w:val="000000" w:themeColor="text1"/>
                <w:szCs w:val="21"/>
                <w14:textFill>
                  <w14:solidFill>
                    <w14:schemeClr w14:val="tx1"/>
                  </w14:solidFill>
                </w14:textFill>
              </w:rPr>
            </w:pPr>
          </w:p>
        </w:tc>
      </w:tr>
      <w:tr w14:paraId="0F481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07" w:type="pct"/>
            <w:tcBorders>
              <w:top w:val="single" w:color="auto" w:sz="4" w:space="0"/>
              <w:left w:val="single" w:color="auto" w:sz="4" w:space="0"/>
              <w:bottom w:val="single" w:color="auto" w:sz="4" w:space="0"/>
              <w:right w:val="single" w:color="auto" w:sz="4" w:space="0"/>
            </w:tcBorders>
          </w:tcPr>
          <w:p w14:paraId="69A290EA">
            <w:pPr>
              <w:snapToGrid w:val="0"/>
              <w:spacing w:line="360" w:lineRule="exact"/>
              <w:jc w:val="left"/>
              <w:rPr>
                <w:rFonts w:ascii="宋体" w:hAnsi="宋体"/>
                <w:color w:val="000000" w:themeColor="text1"/>
                <w:szCs w:val="21"/>
                <w14:textFill>
                  <w14:solidFill>
                    <w14:schemeClr w14:val="tx1"/>
                  </w14:solidFill>
                </w14:textFill>
              </w:rPr>
            </w:pPr>
          </w:p>
        </w:tc>
        <w:tc>
          <w:tcPr>
            <w:tcW w:w="935" w:type="pct"/>
            <w:tcBorders>
              <w:top w:val="single" w:color="auto" w:sz="4" w:space="0"/>
              <w:left w:val="single" w:color="auto" w:sz="4" w:space="0"/>
              <w:bottom w:val="single" w:color="auto" w:sz="4" w:space="0"/>
              <w:right w:val="single" w:color="auto" w:sz="4" w:space="0"/>
            </w:tcBorders>
          </w:tcPr>
          <w:p w14:paraId="1F131C03">
            <w:pPr>
              <w:snapToGrid w:val="0"/>
              <w:spacing w:line="360" w:lineRule="exact"/>
              <w:jc w:val="left"/>
              <w:rPr>
                <w:rFonts w:ascii="宋体" w:hAnsi="宋体"/>
                <w:color w:val="000000" w:themeColor="text1"/>
                <w:szCs w:val="21"/>
                <w14:textFill>
                  <w14:solidFill>
                    <w14:schemeClr w14:val="tx1"/>
                  </w14:solidFill>
                </w14:textFill>
              </w:rPr>
            </w:pPr>
          </w:p>
        </w:tc>
        <w:tc>
          <w:tcPr>
            <w:tcW w:w="701" w:type="pct"/>
            <w:tcBorders>
              <w:top w:val="single" w:color="auto" w:sz="4" w:space="0"/>
              <w:left w:val="single" w:color="auto" w:sz="4" w:space="0"/>
              <w:bottom w:val="single" w:color="auto" w:sz="4" w:space="0"/>
              <w:right w:val="single" w:color="auto" w:sz="4" w:space="0"/>
            </w:tcBorders>
          </w:tcPr>
          <w:p w14:paraId="6524BB57">
            <w:pPr>
              <w:snapToGrid w:val="0"/>
              <w:spacing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0C341829">
            <w:pPr>
              <w:snapToGrid w:val="0"/>
              <w:spacing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39719429">
            <w:pPr>
              <w:snapToGrid w:val="0"/>
              <w:spacing w:line="360" w:lineRule="exact"/>
              <w:jc w:val="left"/>
              <w:rPr>
                <w:rFonts w:ascii="宋体" w:hAnsi="宋体"/>
                <w:color w:val="000000" w:themeColor="text1"/>
                <w:szCs w:val="21"/>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tcPr>
          <w:p w14:paraId="12D592F3">
            <w:pPr>
              <w:snapToGrid w:val="0"/>
              <w:spacing w:line="360" w:lineRule="exact"/>
              <w:jc w:val="left"/>
              <w:rPr>
                <w:rFonts w:ascii="宋体" w:hAnsi="宋体"/>
                <w:color w:val="000000" w:themeColor="text1"/>
                <w:szCs w:val="21"/>
                <w14:textFill>
                  <w14:solidFill>
                    <w14:schemeClr w14:val="tx1"/>
                  </w14:solidFill>
                </w14:textFill>
              </w:rPr>
            </w:pPr>
          </w:p>
        </w:tc>
        <w:tc>
          <w:tcPr>
            <w:tcW w:w="972" w:type="pct"/>
            <w:tcBorders>
              <w:top w:val="single" w:color="auto" w:sz="4" w:space="0"/>
              <w:left w:val="single" w:color="auto" w:sz="4" w:space="0"/>
              <w:bottom w:val="single" w:color="auto" w:sz="4" w:space="0"/>
              <w:right w:val="single" w:color="auto" w:sz="4" w:space="0"/>
            </w:tcBorders>
          </w:tcPr>
          <w:p w14:paraId="4207BE19">
            <w:pPr>
              <w:snapToGrid w:val="0"/>
              <w:spacing w:line="360" w:lineRule="exact"/>
              <w:jc w:val="left"/>
              <w:rPr>
                <w:rFonts w:ascii="宋体" w:hAnsi="宋体"/>
                <w:color w:val="000000" w:themeColor="text1"/>
                <w:szCs w:val="21"/>
                <w14:textFill>
                  <w14:solidFill>
                    <w14:schemeClr w14:val="tx1"/>
                  </w14:solidFill>
                </w14:textFill>
              </w:rPr>
            </w:pPr>
          </w:p>
        </w:tc>
      </w:tr>
      <w:tr w14:paraId="7D959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7" w:type="pct"/>
            <w:tcBorders>
              <w:top w:val="single" w:color="auto" w:sz="4" w:space="0"/>
              <w:left w:val="single" w:color="auto" w:sz="4" w:space="0"/>
              <w:bottom w:val="single" w:color="auto" w:sz="4" w:space="0"/>
              <w:right w:val="single" w:color="auto" w:sz="4" w:space="0"/>
            </w:tcBorders>
          </w:tcPr>
          <w:p w14:paraId="24CB0CD1">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35" w:type="pct"/>
            <w:tcBorders>
              <w:top w:val="single" w:color="auto" w:sz="4" w:space="0"/>
              <w:left w:val="single" w:color="auto" w:sz="4" w:space="0"/>
              <w:bottom w:val="single" w:color="auto" w:sz="4" w:space="0"/>
              <w:right w:val="single" w:color="auto" w:sz="4" w:space="0"/>
            </w:tcBorders>
          </w:tcPr>
          <w:p w14:paraId="068B7D66">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701" w:type="pct"/>
            <w:tcBorders>
              <w:top w:val="single" w:color="auto" w:sz="4" w:space="0"/>
              <w:left w:val="single" w:color="auto" w:sz="4" w:space="0"/>
              <w:bottom w:val="single" w:color="auto" w:sz="4" w:space="0"/>
              <w:right w:val="single" w:color="auto" w:sz="4" w:space="0"/>
            </w:tcBorders>
          </w:tcPr>
          <w:p w14:paraId="0379B0DD">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5B31E813">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46D1DDF1">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tcPr>
          <w:p w14:paraId="7E688D9B">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72" w:type="pct"/>
            <w:tcBorders>
              <w:top w:val="single" w:color="auto" w:sz="4" w:space="0"/>
              <w:left w:val="single" w:color="auto" w:sz="4" w:space="0"/>
              <w:bottom w:val="single" w:color="auto" w:sz="4" w:space="0"/>
              <w:right w:val="single" w:color="auto" w:sz="4" w:space="0"/>
            </w:tcBorders>
          </w:tcPr>
          <w:p w14:paraId="5C990CC4">
            <w:pPr>
              <w:snapToGrid w:val="0"/>
              <w:spacing w:before="50" w:afterLines="50" w:line="360" w:lineRule="exact"/>
              <w:jc w:val="left"/>
              <w:rPr>
                <w:rFonts w:ascii="宋体" w:hAnsi="宋体"/>
                <w:color w:val="000000" w:themeColor="text1"/>
                <w:szCs w:val="21"/>
                <w14:textFill>
                  <w14:solidFill>
                    <w14:schemeClr w14:val="tx1"/>
                  </w14:solidFill>
                </w14:textFill>
              </w:rPr>
            </w:pPr>
          </w:p>
        </w:tc>
      </w:tr>
      <w:tr w14:paraId="2F4E1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07" w:type="pct"/>
            <w:tcBorders>
              <w:top w:val="single" w:color="auto" w:sz="4" w:space="0"/>
              <w:left w:val="single" w:color="auto" w:sz="4" w:space="0"/>
              <w:bottom w:val="single" w:color="auto" w:sz="4" w:space="0"/>
              <w:right w:val="single" w:color="auto" w:sz="4" w:space="0"/>
            </w:tcBorders>
          </w:tcPr>
          <w:p w14:paraId="47DC0F46">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35" w:type="pct"/>
            <w:tcBorders>
              <w:top w:val="single" w:color="auto" w:sz="4" w:space="0"/>
              <w:left w:val="single" w:color="auto" w:sz="4" w:space="0"/>
              <w:bottom w:val="single" w:color="auto" w:sz="4" w:space="0"/>
              <w:right w:val="single" w:color="auto" w:sz="4" w:space="0"/>
            </w:tcBorders>
          </w:tcPr>
          <w:p w14:paraId="55188D88">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701" w:type="pct"/>
            <w:tcBorders>
              <w:top w:val="single" w:color="auto" w:sz="4" w:space="0"/>
              <w:left w:val="single" w:color="auto" w:sz="4" w:space="0"/>
              <w:bottom w:val="single" w:color="auto" w:sz="4" w:space="0"/>
              <w:right w:val="single" w:color="auto" w:sz="4" w:space="0"/>
            </w:tcBorders>
          </w:tcPr>
          <w:p w14:paraId="32DC052E">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75B35420">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67D9AE87">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tcPr>
          <w:p w14:paraId="4755DBC1">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72" w:type="pct"/>
            <w:tcBorders>
              <w:top w:val="single" w:color="auto" w:sz="4" w:space="0"/>
              <w:left w:val="single" w:color="auto" w:sz="4" w:space="0"/>
              <w:bottom w:val="single" w:color="auto" w:sz="4" w:space="0"/>
              <w:right w:val="single" w:color="auto" w:sz="4" w:space="0"/>
            </w:tcBorders>
          </w:tcPr>
          <w:p w14:paraId="7DFE5E99">
            <w:pPr>
              <w:snapToGrid w:val="0"/>
              <w:spacing w:before="50" w:afterLines="50" w:line="360" w:lineRule="exact"/>
              <w:jc w:val="left"/>
              <w:rPr>
                <w:rFonts w:ascii="宋体" w:hAnsi="宋体"/>
                <w:color w:val="000000" w:themeColor="text1"/>
                <w:szCs w:val="21"/>
                <w14:textFill>
                  <w14:solidFill>
                    <w14:schemeClr w14:val="tx1"/>
                  </w14:solidFill>
                </w14:textFill>
              </w:rPr>
            </w:pPr>
          </w:p>
        </w:tc>
      </w:tr>
      <w:tr w14:paraId="4D8D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7" w:type="pct"/>
            <w:tcBorders>
              <w:top w:val="single" w:color="auto" w:sz="4" w:space="0"/>
              <w:left w:val="single" w:color="auto" w:sz="4" w:space="0"/>
              <w:bottom w:val="single" w:color="auto" w:sz="4" w:space="0"/>
              <w:right w:val="single" w:color="auto" w:sz="4" w:space="0"/>
            </w:tcBorders>
          </w:tcPr>
          <w:p w14:paraId="639500C2">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35" w:type="pct"/>
            <w:tcBorders>
              <w:top w:val="single" w:color="auto" w:sz="4" w:space="0"/>
              <w:left w:val="single" w:color="auto" w:sz="4" w:space="0"/>
              <w:bottom w:val="single" w:color="auto" w:sz="4" w:space="0"/>
              <w:right w:val="single" w:color="auto" w:sz="4" w:space="0"/>
            </w:tcBorders>
          </w:tcPr>
          <w:p w14:paraId="4AAF4B27">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701" w:type="pct"/>
            <w:tcBorders>
              <w:top w:val="single" w:color="auto" w:sz="4" w:space="0"/>
              <w:left w:val="single" w:color="auto" w:sz="4" w:space="0"/>
              <w:bottom w:val="single" w:color="auto" w:sz="4" w:space="0"/>
              <w:right w:val="single" w:color="auto" w:sz="4" w:space="0"/>
            </w:tcBorders>
          </w:tcPr>
          <w:p w14:paraId="472FC7A5">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2367BD67">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28839CFA">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tcPr>
          <w:p w14:paraId="7145E543">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72" w:type="pct"/>
            <w:tcBorders>
              <w:top w:val="single" w:color="auto" w:sz="4" w:space="0"/>
              <w:left w:val="single" w:color="auto" w:sz="4" w:space="0"/>
              <w:bottom w:val="single" w:color="auto" w:sz="4" w:space="0"/>
              <w:right w:val="single" w:color="auto" w:sz="4" w:space="0"/>
            </w:tcBorders>
          </w:tcPr>
          <w:p w14:paraId="7D0BD421">
            <w:pPr>
              <w:snapToGrid w:val="0"/>
              <w:spacing w:before="50" w:afterLines="50" w:line="360" w:lineRule="exact"/>
              <w:jc w:val="left"/>
              <w:rPr>
                <w:rFonts w:ascii="宋体" w:hAnsi="宋体"/>
                <w:color w:val="000000" w:themeColor="text1"/>
                <w:szCs w:val="21"/>
                <w14:textFill>
                  <w14:solidFill>
                    <w14:schemeClr w14:val="tx1"/>
                  </w14:solidFill>
                </w14:textFill>
              </w:rPr>
            </w:pPr>
          </w:p>
        </w:tc>
      </w:tr>
      <w:tr w14:paraId="347B3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7" w:type="pct"/>
            <w:tcBorders>
              <w:top w:val="single" w:color="auto" w:sz="4" w:space="0"/>
              <w:left w:val="single" w:color="auto" w:sz="4" w:space="0"/>
              <w:bottom w:val="single" w:color="auto" w:sz="4" w:space="0"/>
              <w:right w:val="single" w:color="auto" w:sz="4" w:space="0"/>
            </w:tcBorders>
          </w:tcPr>
          <w:p w14:paraId="534AB277">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35" w:type="pct"/>
            <w:tcBorders>
              <w:top w:val="single" w:color="auto" w:sz="4" w:space="0"/>
              <w:left w:val="single" w:color="auto" w:sz="4" w:space="0"/>
              <w:bottom w:val="single" w:color="auto" w:sz="4" w:space="0"/>
              <w:right w:val="single" w:color="auto" w:sz="4" w:space="0"/>
            </w:tcBorders>
          </w:tcPr>
          <w:p w14:paraId="43FC3FF3">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701" w:type="pct"/>
            <w:tcBorders>
              <w:top w:val="single" w:color="auto" w:sz="4" w:space="0"/>
              <w:left w:val="single" w:color="auto" w:sz="4" w:space="0"/>
              <w:bottom w:val="single" w:color="auto" w:sz="4" w:space="0"/>
              <w:right w:val="single" w:color="auto" w:sz="4" w:space="0"/>
            </w:tcBorders>
          </w:tcPr>
          <w:p w14:paraId="3272314E">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20A21697">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7" w:type="pct"/>
            <w:tcBorders>
              <w:top w:val="single" w:color="auto" w:sz="4" w:space="0"/>
              <w:left w:val="single" w:color="auto" w:sz="4" w:space="0"/>
              <w:bottom w:val="single" w:color="auto" w:sz="4" w:space="0"/>
              <w:right w:val="single" w:color="auto" w:sz="4" w:space="0"/>
            </w:tcBorders>
          </w:tcPr>
          <w:p w14:paraId="42FADBE4">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tcPr>
          <w:p w14:paraId="03CBF420">
            <w:pPr>
              <w:snapToGrid w:val="0"/>
              <w:spacing w:before="50" w:afterLines="50" w:line="360" w:lineRule="exact"/>
              <w:jc w:val="left"/>
              <w:rPr>
                <w:rFonts w:ascii="宋体" w:hAnsi="宋体"/>
                <w:color w:val="000000" w:themeColor="text1"/>
                <w:szCs w:val="21"/>
                <w14:textFill>
                  <w14:solidFill>
                    <w14:schemeClr w14:val="tx1"/>
                  </w14:solidFill>
                </w14:textFill>
              </w:rPr>
            </w:pPr>
          </w:p>
        </w:tc>
        <w:tc>
          <w:tcPr>
            <w:tcW w:w="972" w:type="pct"/>
            <w:tcBorders>
              <w:top w:val="single" w:color="auto" w:sz="4" w:space="0"/>
              <w:left w:val="single" w:color="auto" w:sz="4" w:space="0"/>
              <w:bottom w:val="single" w:color="auto" w:sz="4" w:space="0"/>
              <w:right w:val="single" w:color="auto" w:sz="4" w:space="0"/>
            </w:tcBorders>
          </w:tcPr>
          <w:p w14:paraId="1A68B79F">
            <w:pPr>
              <w:snapToGrid w:val="0"/>
              <w:spacing w:before="50" w:afterLines="50" w:line="360" w:lineRule="exact"/>
              <w:jc w:val="left"/>
              <w:rPr>
                <w:rFonts w:ascii="宋体" w:hAnsi="宋体"/>
                <w:color w:val="000000" w:themeColor="text1"/>
                <w:szCs w:val="21"/>
                <w14:textFill>
                  <w14:solidFill>
                    <w14:schemeClr w14:val="tx1"/>
                  </w14:solidFill>
                </w14:textFill>
              </w:rPr>
            </w:pPr>
          </w:p>
        </w:tc>
      </w:tr>
    </w:tbl>
    <w:p w14:paraId="625C718A">
      <w:pPr>
        <w:pStyle w:val="30"/>
        <w:snapToGrid w:val="0"/>
        <w:spacing w:line="360" w:lineRule="exact"/>
        <w:ind w:left="420" w:leftChars="200" w:firstLine="0"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注：供应商同类项目合同复印件、用户验收报告、用户评价意见格式自拟，请提供相关证明材料扫描件并加盖供应商电子公章（如有）</w:t>
      </w:r>
    </w:p>
    <w:p w14:paraId="7C036E6B">
      <w:pPr>
        <w:pStyle w:val="15"/>
        <w:snapToGrid w:val="0"/>
        <w:spacing w:line="360" w:lineRule="exact"/>
        <w:rPr>
          <w:rFonts w:ascii="宋体" w:hAnsi="宋体" w:eastAsia="宋体"/>
          <w:color w:val="000000" w:themeColor="text1"/>
          <w:sz w:val="21"/>
          <w:szCs w:val="21"/>
          <w14:textFill>
            <w14:solidFill>
              <w14:schemeClr w14:val="tx1"/>
            </w14:solidFill>
          </w14:textFill>
        </w:rPr>
      </w:pPr>
    </w:p>
    <w:p w14:paraId="25304ECB">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3F526C5F">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2D5B40D6">
      <w:pPr>
        <w:snapToGrid w:val="0"/>
        <w:spacing w:beforeLines="50" w:after="50"/>
        <w:rPr>
          <w:rFonts w:ascii="宋体" w:hAnsi="宋体" w:cs="宋体"/>
          <w:b/>
          <w:bCs/>
          <w:color w:val="000000" w:themeColor="text1"/>
          <w:szCs w:val="21"/>
          <w14:textFill>
            <w14:solidFill>
              <w14:schemeClr w14:val="tx1"/>
            </w14:solidFill>
          </w14:textFill>
        </w:rPr>
      </w:pPr>
    </w:p>
    <w:p w14:paraId="170C873C">
      <w:pPr>
        <w:snapToGrid w:val="0"/>
        <w:spacing w:beforeLines="50" w:after="50"/>
        <w:rPr>
          <w:rFonts w:ascii="宋体" w:hAnsi="宋体" w:cs="宋体"/>
          <w:b/>
          <w:bCs/>
          <w:color w:val="000000" w:themeColor="text1"/>
          <w:szCs w:val="21"/>
          <w14:textFill>
            <w14:solidFill>
              <w14:schemeClr w14:val="tx1"/>
            </w14:solidFill>
          </w14:textFill>
        </w:rPr>
      </w:pPr>
    </w:p>
    <w:p w14:paraId="3EADFE49">
      <w:pPr>
        <w:snapToGrid w:val="0"/>
        <w:spacing w:beforeLines="50" w:after="50"/>
        <w:rPr>
          <w:rFonts w:ascii="宋体" w:hAnsi="宋体" w:cs="宋体"/>
          <w:b/>
          <w:bCs/>
          <w:color w:val="000000" w:themeColor="text1"/>
          <w:szCs w:val="21"/>
          <w14:textFill>
            <w14:solidFill>
              <w14:schemeClr w14:val="tx1"/>
            </w14:solidFill>
          </w14:textFill>
        </w:rPr>
      </w:pPr>
    </w:p>
    <w:p w14:paraId="5F78C58C">
      <w:pPr>
        <w:snapToGrid w:val="0"/>
        <w:spacing w:beforeLines="50" w:after="50"/>
        <w:rPr>
          <w:rFonts w:ascii="宋体" w:hAnsi="宋体" w:cs="宋体"/>
          <w:b/>
          <w:bCs/>
          <w:color w:val="000000" w:themeColor="text1"/>
          <w:szCs w:val="21"/>
          <w14:textFill>
            <w14:solidFill>
              <w14:schemeClr w14:val="tx1"/>
            </w14:solidFill>
          </w14:textFill>
        </w:rPr>
      </w:pPr>
    </w:p>
    <w:p w14:paraId="31F61685">
      <w:pPr>
        <w:snapToGrid w:val="0"/>
        <w:spacing w:beforeLines="50" w:after="50"/>
        <w:rPr>
          <w:rFonts w:ascii="宋体" w:hAnsi="宋体" w:cs="宋体"/>
          <w:b/>
          <w:bCs/>
          <w:color w:val="000000" w:themeColor="text1"/>
          <w:szCs w:val="21"/>
          <w14:textFill>
            <w14:solidFill>
              <w14:schemeClr w14:val="tx1"/>
            </w14:solidFill>
          </w14:textFill>
        </w:rPr>
      </w:pPr>
    </w:p>
    <w:p w14:paraId="0F865820">
      <w:pPr>
        <w:snapToGrid w:val="0"/>
        <w:spacing w:beforeLines="50" w:after="50"/>
        <w:rPr>
          <w:rFonts w:ascii="宋体" w:hAnsi="宋体" w:cs="宋体"/>
          <w:b/>
          <w:bCs/>
          <w:color w:val="000000" w:themeColor="text1"/>
          <w:szCs w:val="21"/>
          <w14:textFill>
            <w14:solidFill>
              <w14:schemeClr w14:val="tx1"/>
            </w14:solidFill>
          </w14:textFill>
        </w:rPr>
      </w:pPr>
    </w:p>
    <w:p w14:paraId="6A1057E7">
      <w:pPr>
        <w:snapToGrid w:val="0"/>
        <w:spacing w:beforeLines="50" w:after="50"/>
        <w:rPr>
          <w:rFonts w:ascii="宋体" w:hAnsi="宋体" w:cs="宋体"/>
          <w:b/>
          <w:bCs/>
          <w:color w:val="000000" w:themeColor="text1"/>
          <w:szCs w:val="21"/>
          <w14:textFill>
            <w14:solidFill>
              <w14:schemeClr w14:val="tx1"/>
            </w14:solidFill>
          </w14:textFill>
        </w:rPr>
      </w:pPr>
    </w:p>
    <w:p w14:paraId="6E5A130E">
      <w:pPr>
        <w:snapToGrid w:val="0"/>
        <w:spacing w:beforeLines="50" w:after="50"/>
        <w:rPr>
          <w:rFonts w:ascii="宋体" w:hAnsi="宋体" w:cs="宋体"/>
          <w:b/>
          <w:bCs/>
          <w:color w:val="000000" w:themeColor="text1"/>
          <w:szCs w:val="21"/>
          <w14:textFill>
            <w14:solidFill>
              <w14:schemeClr w14:val="tx1"/>
            </w14:solidFill>
          </w14:textFill>
        </w:rPr>
      </w:pPr>
    </w:p>
    <w:p w14:paraId="037DF4EC">
      <w:pPr>
        <w:snapToGrid w:val="0"/>
        <w:spacing w:beforeLines="50" w:after="50"/>
        <w:rPr>
          <w:rFonts w:ascii="宋体" w:hAnsi="宋体" w:cs="宋体"/>
          <w:b/>
          <w:bCs/>
          <w:color w:val="000000" w:themeColor="text1"/>
          <w:szCs w:val="21"/>
          <w14:textFill>
            <w14:solidFill>
              <w14:schemeClr w14:val="tx1"/>
            </w14:solidFill>
          </w14:textFill>
        </w:rPr>
      </w:pPr>
    </w:p>
    <w:p w14:paraId="3139FF7B">
      <w:pPr>
        <w:snapToGrid w:val="0"/>
        <w:spacing w:beforeLines="50" w:after="50"/>
        <w:rPr>
          <w:rFonts w:ascii="宋体" w:hAnsi="宋体" w:cs="宋体"/>
          <w:b/>
          <w:bCs/>
          <w:color w:val="000000" w:themeColor="text1"/>
          <w:szCs w:val="21"/>
          <w14:textFill>
            <w14:solidFill>
              <w14:schemeClr w14:val="tx1"/>
            </w14:solidFill>
          </w14:textFill>
        </w:rPr>
      </w:pPr>
    </w:p>
    <w:p w14:paraId="329C39F8">
      <w:pPr>
        <w:snapToGrid w:val="0"/>
        <w:spacing w:beforeLines="50" w:after="50"/>
        <w:rPr>
          <w:rFonts w:ascii="宋体" w:hAnsi="宋体" w:cs="宋体"/>
          <w:b/>
          <w:bCs/>
          <w:color w:val="000000" w:themeColor="text1"/>
          <w:szCs w:val="21"/>
          <w14:textFill>
            <w14:solidFill>
              <w14:schemeClr w14:val="tx1"/>
            </w14:solidFill>
          </w14:textFill>
        </w:rPr>
      </w:pPr>
    </w:p>
    <w:p w14:paraId="7529E728">
      <w:pPr>
        <w:snapToGrid w:val="0"/>
        <w:spacing w:beforeLines="50" w:after="50"/>
        <w:rPr>
          <w:rFonts w:ascii="宋体" w:hAnsi="宋体" w:cs="宋体"/>
          <w:b/>
          <w:bCs/>
          <w:color w:val="000000" w:themeColor="text1"/>
          <w:szCs w:val="21"/>
          <w14:textFill>
            <w14:solidFill>
              <w14:schemeClr w14:val="tx1"/>
            </w14:solidFill>
          </w14:textFill>
        </w:rPr>
      </w:pPr>
    </w:p>
    <w:p w14:paraId="28745F01">
      <w:pPr>
        <w:snapToGrid w:val="0"/>
        <w:spacing w:beforeLines="50" w:after="50"/>
        <w:rPr>
          <w:rFonts w:ascii="宋体" w:hAnsi="宋体" w:cs="宋体"/>
          <w:b/>
          <w:bCs/>
          <w:color w:val="000000" w:themeColor="text1"/>
          <w:szCs w:val="21"/>
          <w14:textFill>
            <w14:solidFill>
              <w14:schemeClr w14:val="tx1"/>
            </w14:solidFill>
          </w14:textFill>
        </w:rPr>
      </w:pPr>
    </w:p>
    <w:p w14:paraId="16F33E76">
      <w:pPr>
        <w:snapToGrid w:val="0"/>
        <w:spacing w:beforeLines="50" w:after="50"/>
        <w:rPr>
          <w:rFonts w:ascii="宋体" w:hAnsi="宋体" w:cs="宋体"/>
          <w:b/>
          <w:bCs/>
          <w:color w:val="000000" w:themeColor="text1"/>
          <w:szCs w:val="21"/>
          <w14:textFill>
            <w14:solidFill>
              <w14:schemeClr w14:val="tx1"/>
            </w14:solidFill>
          </w14:textFill>
        </w:rPr>
      </w:pPr>
    </w:p>
    <w:p w14:paraId="46C93E6A">
      <w:pPr>
        <w:snapToGrid w:val="0"/>
        <w:spacing w:beforeLines="50" w:after="50"/>
        <w:rPr>
          <w:rFonts w:ascii="宋体" w:hAnsi="宋体" w:cs="宋体"/>
          <w:b/>
          <w:bCs/>
          <w:color w:val="000000" w:themeColor="text1"/>
          <w:szCs w:val="21"/>
          <w14:textFill>
            <w14:solidFill>
              <w14:schemeClr w14:val="tx1"/>
            </w14:solidFill>
          </w14:textFill>
        </w:rPr>
      </w:pPr>
    </w:p>
    <w:p w14:paraId="614E0500">
      <w:pPr>
        <w:snapToGrid w:val="0"/>
        <w:spacing w:beforeLines="50" w:after="50"/>
        <w:rPr>
          <w:rFonts w:ascii="宋体" w:hAnsi="宋体" w:cs="宋体"/>
          <w:b/>
          <w:bCs/>
          <w:color w:val="000000" w:themeColor="text1"/>
          <w:szCs w:val="21"/>
          <w14:textFill>
            <w14:solidFill>
              <w14:schemeClr w14:val="tx1"/>
            </w14:solidFill>
          </w14:textFill>
        </w:rPr>
      </w:pPr>
    </w:p>
    <w:p w14:paraId="4A62FFA2">
      <w:pPr>
        <w:snapToGrid w:val="0"/>
        <w:spacing w:beforeLines="50" w:after="50"/>
        <w:rPr>
          <w:rFonts w:ascii="宋体" w:hAnsi="宋体" w:cs="宋体"/>
          <w:b/>
          <w:bCs/>
          <w:color w:val="000000" w:themeColor="text1"/>
          <w:szCs w:val="21"/>
          <w14:textFill>
            <w14:solidFill>
              <w14:schemeClr w14:val="tx1"/>
            </w14:solidFill>
          </w14:textFill>
        </w:rPr>
      </w:pPr>
    </w:p>
    <w:p w14:paraId="4DE0B687">
      <w:pPr>
        <w:snapToGrid w:val="0"/>
        <w:spacing w:beforeLines="50" w:after="5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3、报价文件格式：</w:t>
      </w:r>
    </w:p>
    <w:p w14:paraId="76DB0763">
      <w:pPr>
        <w:spacing w:line="240" w:lineRule="atLeast"/>
        <w:jc w:val="center"/>
        <w:rPr>
          <w:rFonts w:ascii="宋体" w:hAnsi="宋体" w:cs="宋体"/>
          <w:b/>
          <w:color w:val="000000" w:themeColor="text1"/>
          <w:sz w:val="32"/>
          <w:szCs w:val="32"/>
          <w14:textFill>
            <w14:solidFill>
              <w14:schemeClr w14:val="tx1"/>
            </w14:solidFill>
          </w14:textFill>
        </w:rPr>
      </w:pPr>
    </w:p>
    <w:p w14:paraId="5628AF5A">
      <w:pPr>
        <w:spacing w:line="240" w:lineRule="atLeast"/>
        <w:jc w:val="center"/>
        <w:rPr>
          <w:rFonts w:ascii="宋体" w:hAnsi="宋体" w:cs="宋体"/>
          <w:b/>
          <w:color w:val="000000" w:themeColor="text1"/>
          <w:sz w:val="32"/>
          <w:szCs w:val="32"/>
          <w14:textFill>
            <w14:solidFill>
              <w14:schemeClr w14:val="tx1"/>
            </w14:solidFill>
          </w14:textFill>
        </w:rPr>
      </w:pPr>
    </w:p>
    <w:p w14:paraId="4BBA14F7">
      <w:pPr>
        <w:snapToGrid w:val="0"/>
        <w:spacing w:beforeLines="50" w:after="50" w:line="280" w:lineRule="exact"/>
        <w:ind w:firstLine="8" w:firstLineChars="3"/>
        <w:jc w:val="righ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电子响应文件</w:t>
      </w:r>
    </w:p>
    <w:p w14:paraId="4E015DBC">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51D41F52">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3F01E696">
      <w:pPr>
        <w:snapToGrid w:val="0"/>
        <w:spacing w:beforeLines="50" w:after="50" w:line="280" w:lineRule="exact"/>
        <w:ind w:firstLine="9" w:firstLineChars="3"/>
        <w:jc w:val="center"/>
        <w:rPr>
          <w:rFonts w:ascii="宋体" w:hAnsi="宋体" w:cs="宋体"/>
          <w:bCs/>
          <w:color w:val="000000" w:themeColor="text1"/>
          <w:sz w:val="32"/>
          <w:szCs w:val="32"/>
          <w14:textFill>
            <w14:solidFill>
              <w14:schemeClr w14:val="tx1"/>
            </w14:solidFill>
          </w14:textFill>
        </w:rPr>
      </w:pPr>
    </w:p>
    <w:p w14:paraId="7B566ABB">
      <w:pPr>
        <w:snapToGrid w:val="0"/>
        <w:spacing w:beforeLines="50" w:after="50"/>
        <w:ind w:firstLine="13" w:firstLineChars="3"/>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响应文件</w:t>
      </w:r>
    </w:p>
    <w:p w14:paraId="1F76489E">
      <w:pPr>
        <w:snapToGrid w:val="0"/>
        <w:spacing w:beforeLines="50" w:after="50"/>
        <w:ind w:firstLine="9" w:firstLineChars="3"/>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（报价文件）</w:t>
      </w:r>
    </w:p>
    <w:p w14:paraId="71E4CE95">
      <w:pPr>
        <w:snapToGrid w:val="0"/>
        <w:spacing w:beforeLines="50" w:after="50"/>
        <w:rPr>
          <w:rFonts w:ascii="宋体" w:hAnsi="宋体" w:cs="宋体"/>
          <w:bCs/>
          <w:color w:val="000000" w:themeColor="text1"/>
          <w:szCs w:val="21"/>
          <w14:textFill>
            <w14:solidFill>
              <w14:schemeClr w14:val="tx1"/>
            </w14:solidFill>
          </w14:textFill>
        </w:rPr>
      </w:pPr>
    </w:p>
    <w:p w14:paraId="331B552B">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项目名称：</w:t>
      </w:r>
    </w:p>
    <w:p w14:paraId="612BEB9F">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26AC2B55">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项目编号：</w:t>
      </w:r>
    </w:p>
    <w:p w14:paraId="01D63676">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 xml:space="preserve"> </w:t>
      </w:r>
    </w:p>
    <w:p w14:paraId="0E860B13">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标    项：（如有则填写，无分标时填写“无”或者留空）</w:t>
      </w:r>
    </w:p>
    <w:p w14:paraId="2CB4893B">
      <w:pPr>
        <w:snapToGrid w:val="0"/>
        <w:spacing w:beforeLines="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53C10AFB">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供应商名称：</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（加盖单位电子公章）</w:t>
      </w:r>
    </w:p>
    <w:p w14:paraId="3BC03F20">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p>
    <w:p w14:paraId="0FCD8ADE">
      <w:pPr>
        <w:pStyle w:val="10"/>
        <w:snapToGrid w:val="0"/>
        <w:spacing w:before="100" w:beforeAutospacing="1" w:after="100" w:afterAutospacing="1" w:line="280" w:lineRule="exact"/>
        <w:ind w:firstLine="675" w:firstLineChars="225"/>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供应商地址：</w:t>
      </w:r>
    </w:p>
    <w:p w14:paraId="6BFD9785">
      <w:pPr>
        <w:pStyle w:val="10"/>
        <w:snapToGrid w:val="0"/>
        <w:spacing w:before="50" w:after="50" w:line="280" w:lineRule="exact"/>
        <w:ind w:firstLine="675" w:firstLineChars="225"/>
        <w:rPr>
          <w:rFonts w:ascii="宋体" w:hAnsi="宋体" w:cs="宋体"/>
          <w:bCs/>
          <w:color w:val="000000" w:themeColor="text1"/>
          <w:sz w:val="30"/>
          <w:szCs w:val="30"/>
          <w14:textFill>
            <w14:solidFill>
              <w14:schemeClr w14:val="tx1"/>
            </w14:solidFill>
          </w14:textFill>
        </w:rPr>
      </w:pPr>
    </w:p>
    <w:p w14:paraId="792231A2">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09618B23">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72B7F523">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p>
    <w:p w14:paraId="3BA818E6">
      <w:pPr>
        <w:snapToGrid w:val="0"/>
        <w:spacing w:beforeLines="50" w:after="50"/>
        <w:ind w:firstLine="10"/>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年   月   日</w:t>
      </w:r>
    </w:p>
    <w:p w14:paraId="46F4FE44">
      <w:pPr>
        <w:spacing w:line="320" w:lineRule="exact"/>
        <w:rPr>
          <w:rFonts w:ascii="宋体" w:hAnsi="宋体" w:cs="宋体"/>
          <w:b/>
          <w:color w:val="000000" w:themeColor="text1"/>
          <w:szCs w:val="21"/>
          <w14:textFill>
            <w14:solidFill>
              <w14:schemeClr w14:val="tx1"/>
            </w14:solidFill>
          </w14:textFill>
        </w:rPr>
      </w:pPr>
    </w:p>
    <w:p w14:paraId="48852A30">
      <w:pPr>
        <w:spacing w:line="320" w:lineRule="exact"/>
        <w:rPr>
          <w:rFonts w:ascii="宋体" w:hAnsi="宋体" w:cs="宋体"/>
          <w:b/>
          <w:color w:val="000000" w:themeColor="text1"/>
          <w:szCs w:val="21"/>
          <w14:textFill>
            <w14:solidFill>
              <w14:schemeClr w14:val="tx1"/>
            </w14:solidFill>
          </w14:textFill>
        </w:rPr>
      </w:pPr>
    </w:p>
    <w:p w14:paraId="3AC88615">
      <w:pPr>
        <w:spacing w:line="320" w:lineRule="exact"/>
        <w:rPr>
          <w:rFonts w:ascii="宋体" w:hAnsi="宋体" w:cs="宋体"/>
          <w:b/>
          <w:color w:val="000000" w:themeColor="text1"/>
          <w:szCs w:val="21"/>
          <w14:textFill>
            <w14:solidFill>
              <w14:schemeClr w14:val="tx1"/>
            </w14:solidFill>
          </w14:textFill>
        </w:rPr>
      </w:pPr>
    </w:p>
    <w:p w14:paraId="2D3AFA35">
      <w:pPr>
        <w:pStyle w:val="29"/>
        <w:rPr>
          <w:color w:val="000000" w:themeColor="text1"/>
          <w14:textFill>
            <w14:solidFill>
              <w14:schemeClr w14:val="tx1"/>
            </w14:solidFill>
          </w14:textFill>
        </w:rPr>
      </w:pPr>
    </w:p>
    <w:p w14:paraId="4056B83D">
      <w:pPr>
        <w:spacing w:line="320" w:lineRule="exact"/>
        <w:rPr>
          <w:rFonts w:ascii="宋体" w:hAnsi="宋体" w:cs="宋体"/>
          <w:b/>
          <w:color w:val="000000" w:themeColor="text1"/>
          <w:szCs w:val="21"/>
          <w14:textFill>
            <w14:solidFill>
              <w14:schemeClr w14:val="tx1"/>
            </w14:solidFill>
          </w14:textFill>
        </w:rPr>
      </w:pPr>
    </w:p>
    <w:p w14:paraId="28CE226B">
      <w:pPr>
        <w:spacing w:line="320" w:lineRule="exact"/>
        <w:rPr>
          <w:rFonts w:ascii="宋体" w:hAnsi="宋体" w:cs="宋体"/>
          <w:b/>
          <w:color w:val="000000" w:themeColor="text1"/>
          <w:szCs w:val="21"/>
          <w14:textFill>
            <w14:solidFill>
              <w14:schemeClr w14:val="tx1"/>
            </w14:solidFill>
          </w14:textFill>
        </w:rPr>
      </w:pPr>
    </w:p>
    <w:p w14:paraId="62216940">
      <w:pPr>
        <w:spacing w:line="320" w:lineRule="exact"/>
        <w:rPr>
          <w:rFonts w:ascii="宋体" w:hAnsi="宋体" w:cs="宋体"/>
          <w:b/>
          <w:color w:val="000000" w:themeColor="text1"/>
          <w:szCs w:val="21"/>
          <w14:textFill>
            <w14:solidFill>
              <w14:schemeClr w14:val="tx1"/>
            </w14:solidFill>
          </w14:textFill>
        </w:rPr>
      </w:pPr>
    </w:p>
    <w:p w14:paraId="12240985">
      <w:pPr>
        <w:tabs>
          <w:tab w:val="left" w:pos="1418"/>
        </w:tabs>
        <w:snapToGrid w:val="0"/>
        <w:spacing w:before="50" w:after="50" w:line="320" w:lineRule="exact"/>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目   录</w:t>
      </w:r>
    </w:p>
    <w:p w14:paraId="6E6FD1B9">
      <w:pPr>
        <w:tabs>
          <w:tab w:val="left" w:pos="2625"/>
        </w:tabs>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(供应商需根据响应文件自行编制目录及页码)</w:t>
      </w:r>
    </w:p>
    <w:p w14:paraId="33C5B60C">
      <w:pPr>
        <w:spacing w:line="320" w:lineRule="exact"/>
        <w:rPr>
          <w:rFonts w:ascii="宋体" w:hAnsi="宋体"/>
          <w:bCs/>
          <w:color w:val="000000" w:themeColor="text1"/>
          <w:szCs w:val="21"/>
          <w14:textFill>
            <w14:solidFill>
              <w14:schemeClr w14:val="tx1"/>
            </w14:solidFill>
          </w14:textFill>
        </w:rPr>
      </w:pPr>
    </w:p>
    <w:p w14:paraId="545502A4">
      <w:pPr>
        <w:spacing w:line="320" w:lineRule="exact"/>
        <w:rPr>
          <w:rFonts w:ascii="宋体" w:hAnsi="宋体"/>
          <w:bCs/>
          <w:color w:val="000000" w:themeColor="text1"/>
          <w:szCs w:val="21"/>
          <w14:textFill>
            <w14:solidFill>
              <w14:schemeClr w14:val="tx1"/>
            </w14:solidFill>
          </w14:textFill>
        </w:rPr>
      </w:pPr>
    </w:p>
    <w:p w14:paraId="25EE34CC">
      <w:pPr>
        <w:spacing w:line="320" w:lineRule="exact"/>
        <w:rPr>
          <w:rFonts w:ascii="宋体" w:hAnsi="宋体"/>
          <w:bCs/>
          <w:color w:val="000000" w:themeColor="text1"/>
          <w:szCs w:val="21"/>
          <w14:textFill>
            <w14:solidFill>
              <w14:schemeClr w14:val="tx1"/>
            </w14:solidFill>
          </w14:textFill>
        </w:rPr>
      </w:pPr>
    </w:p>
    <w:p w14:paraId="28B6EB4E">
      <w:pPr>
        <w:spacing w:line="320" w:lineRule="exact"/>
        <w:rPr>
          <w:rFonts w:ascii="宋体" w:hAnsi="宋体"/>
          <w:bCs/>
          <w:color w:val="000000" w:themeColor="text1"/>
          <w:szCs w:val="21"/>
          <w14:textFill>
            <w14:solidFill>
              <w14:schemeClr w14:val="tx1"/>
            </w14:solidFill>
          </w14:textFill>
        </w:rPr>
      </w:pPr>
    </w:p>
    <w:p w14:paraId="6A70080A">
      <w:pPr>
        <w:spacing w:line="320" w:lineRule="exact"/>
        <w:rPr>
          <w:rFonts w:ascii="宋体" w:hAnsi="宋体"/>
          <w:bCs/>
          <w:color w:val="000000" w:themeColor="text1"/>
          <w:szCs w:val="21"/>
          <w14:textFill>
            <w14:solidFill>
              <w14:schemeClr w14:val="tx1"/>
            </w14:solidFill>
          </w14:textFill>
        </w:rPr>
      </w:pPr>
    </w:p>
    <w:p w14:paraId="1AAEA7C7">
      <w:pPr>
        <w:spacing w:line="320" w:lineRule="exact"/>
        <w:rPr>
          <w:rFonts w:ascii="宋体" w:hAnsi="宋体"/>
          <w:bCs/>
          <w:color w:val="000000" w:themeColor="text1"/>
          <w:szCs w:val="21"/>
          <w14:textFill>
            <w14:solidFill>
              <w14:schemeClr w14:val="tx1"/>
            </w14:solidFill>
          </w14:textFill>
        </w:rPr>
      </w:pPr>
    </w:p>
    <w:p w14:paraId="05E290FB">
      <w:pPr>
        <w:spacing w:line="320" w:lineRule="exact"/>
        <w:rPr>
          <w:rFonts w:ascii="宋体" w:hAnsi="宋体"/>
          <w:bCs/>
          <w:color w:val="000000" w:themeColor="text1"/>
          <w:szCs w:val="21"/>
          <w14:textFill>
            <w14:solidFill>
              <w14:schemeClr w14:val="tx1"/>
            </w14:solidFill>
          </w14:textFill>
        </w:rPr>
      </w:pPr>
    </w:p>
    <w:p w14:paraId="4557ED0D">
      <w:pPr>
        <w:spacing w:line="320" w:lineRule="exact"/>
        <w:rPr>
          <w:rFonts w:ascii="宋体" w:hAnsi="宋体"/>
          <w:bCs/>
          <w:color w:val="000000" w:themeColor="text1"/>
          <w:szCs w:val="21"/>
          <w14:textFill>
            <w14:solidFill>
              <w14:schemeClr w14:val="tx1"/>
            </w14:solidFill>
          </w14:textFill>
        </w:rPr>
      </w:pPr>
    </w:p>
    <w:p w14:paraId="50AFE602">
      <w:pPr>
        <w:spacing w:line="320" w:lineRule="exact"/>
        <w:rPr>
          <w:rFonts w:ascii="宋体" w:hAnsi="宋体"/>
          <w:bCs/>
          <w:color w:val="000000" w:themeColor="text1"/>
          <w:szCs w:val="21"/>
          <w14:textFill>
            <w14:solidFill>
              <w14:schemeClr w14:val="tx1"/>
            </w14:solidFill>
          </w14:textFill>
        </w:rPr>
      </w:pPr>
    </w:p>
    <w:p w14:paraId="274F170F">
      <w:pPr>
        <w:spacing w:line="320" w:lineRule="exact"/>
        <w:rPr>
          <w:rFonts w:ascii="宋体" w:hAnsi="宋体"/>
          <w:bCs/>
          <w:color w:val="000000" w:themeColor="text1"/>
          <w:szCs w:val="21"/>
          <w14:textFill>
            <w14:solidFill>
              <w14:schemeClr w14:val="tx1"/>
            </w14:solidFill>
          </w14:textFill>
        </w:rPr>
      </w:pPr>
    </w:p>
    <w:p w14:paraId="42E145F2">
      <w:pPr>
        <w:spacing w:line="320" w:lineRule="exact"/>
        <w:rPr>
          <w:rFonts w:ascii="宋体" w:hAnsi="宋体"/>
          <w:bCs/>
          <w:color w:val="000000" w:themeColor="text1"/>
          <w:szCs w:val="21"/>
          <w14:textFill>
            <w14:solidFill>
              <w14:schemeClr w14:val="tx1"/>
            </w14:solidFill>
          </w14:textFill>
        </w:rPr>
      </w:pPr>
    </w:p>
    <w:p w14:paraId="6DDE9AFA">
      <w:pPr>
        <w:spacing w:line="320" w:lineRule="exact"/>
        <w:rPr>
          <w:rFonts w:ascii="宋体" w:hAnsi="宋体"/>
          <w:bCs/>
          <w:color w:val="000000" w:themeColor="text1"/>
          <w:szCs w:val="21"/>
          <w14:textFill>
            <w14:solidFill>
              <w14:schemeClr w14:val="tx1"/>
            </w14:solidFill>
          </w14:textFill>
        </w:rPr>
      </w:pPr>
    </w:p>
    <w:p w14:paraId="38411B33">
      <w:pPr>
        <w:spacing w:line="320" w:lineRule="exact"/>
        <w:rPr>
          <w:rFonts w:ascii="宋体" w:hAnsi="宋体"/>
          <w:bCs/>
          <w:color w:val="000000" w:themeColor="text1"/>
          <w:szCs w:val="21"/>
          <w14:textFill>
            <w14:solidFill>
              <w14:schemeClr w14:val="tx1"/>
            </w14:solidFill>
          </w14:textFill>
        </w:rPr>
      </w:pPr>
    </w:p>
    <w:p w14:paraId="06F2E1DB">
      <w:pPr>
        <w:spacing w:line="320" w:lineRule="exact"/>
        <w:rPr>
          <w:rFonts w:ascii="宋体" w:hAnsi="宋体"/>
          <w:bCs/>
          <w:color w:val="000000" w:themeColor="text1"/>
          <w:szCs w:val="21"/>
          <w14:textFill>
            <w14:solidFill>
              <w14:schemeClr w14:val="tx1"/>
            </w14:solidFill>
          </w14:textFill>
        </w:rPr>
      </w:pPr>
    </w:p>
    <w:p w14:paraId="45A0A53B">
      <w:pPr>
        <w:spacing w:line="320" w:lineRule="exact"/>
        <w:rPr>
          <w:rFonts w:ascii="宋体" w:hAnsi="宋体"/>
          <w:bCs/>
          <w:color w:val="000000" w:themeColor="text1"/>
          <w:szCs w:val="21"/>
          <w14:textFill>
            <w14:solidFill>
              <w14:schemeClr w14:val="tx1"/>
            </w14:solidFill>
          </w14:textFill>
        </w:rPr>
      </w:pPr>
    </w:p>
    <w:p w14:paraId="461CD7B6">
      <w:pPr>
        <w:spacing w:line="320" w:lineRule="exact"/>
        <w:rPr>
          <w:rFonts w:ascii="宋体" w:hAnsi="宋体"/>
          <w:bCs/>
          <w:color w:val="000000" w:themeColor="text1"/>
          <w:szCs w:val="21"/>
          <w14:textFill>
            <w14:solidFill>
              <w14:schemeClr w14:val="tx1"/>
            </w14:solidFill>
          </w14:textFill>
        </w:rPr>
      </w:pPr>
    </w:p>
    <w:p w14:paraId="64892516">
      <w:pPr>
        <w:spacing w:line="320" w:lineRule="exact"/>
        <w:rPr>
          <w:rFonts w:ascii="宋体" w:hAnsi="宋体"/>
          <w:bCs/>
          <w:color w:val="000000" w:themeColor="text1"/>
          <w:szCs w:val="21"/>
          <w14:textFill>
            <w14:solidFill>
              <w14:schemeClr w14:val="tx1"/>
            </w14:solidFill>
          </w14:textFill>
        </w:rPr>
      </w:pPr>
    </w:p>
    <w:p w14:paraId="09F22F9E">
      <w:pPr>
        <w:pStyle w:val="29"/>
        <w:rPr>
          <w:rFonts w:ascii="宋体" w:hAnsi="宋体"/>
          <w:bCs/>
          <w:color w:val="000000" w:themeColor="text1"/>
          <w:szCs w:val="21"/>
          <w14:textFill>
            <w14:solidFill>
              <w14:schemeClr w14:val="tx1"/>
            </w14:solidFill>
          </w14:textFill>
        </w:rPr>
      </w:pPr>
    </w:p>
    <w:p w14:paraId="69E2DEFD">
      <w:pPr>
        <w:rPr>
          <w:rFonts w:ascii="宋体" w:hAnsi="宋体"/>
          <w:bCs/>
          <w:color w:val="000000" w:themeColor="text1"/>
          <w:szCs w:val="21"/>
          <w14:textFill>
            <w14:solidFill>
              <w14:schemeClr w14:val="tx1"/>
            </w14:solidFill>
          </w14:textFill>
        </w:rPr>
      </w:pPr>
    </w:p>
    <w:p w14:paraId="16FE7E01">
      <w:pPr>
        <w:pStyle w:val="29"/>
        <w:rPr>
          <w:rFonts w:ascii="宋体" w:hAnsi="宋体"/>
          <w:bCs/>
          <w:color w:val="000000" w:themeColor="text1"/>
          <w:szCs w:val="21"/>
          <w14:textFill>
            <w14:solidFill>
              <w14:schemeClr w14:val="tx1"/>
            </w14:solidFill>
          </w14:textFill>
        </w:rPr>
      </w:pPr>
    </w:p>
    <w:p w14:paraId="46C24DF9">
      <w:pPr>
        <w:rPr>
          <w:rFonts w:ascii="宋体" w:hAnsi="宋体"/>
          <w:bCs/>
          <w:color w:val="000000" w:themeColor="text1"/>
          <w:szCs w:val="21"/>
          <w14:textFill>
            <w14:solidFill>
              <w14:schemeClr w14:val="tx1"/>
            </w14:solidFill>
          </w14:textFill>
        </w:rPr>
      </w:pPr>
    </w:p>
    <w:p w14:paraId="0EC0388F">
      <w:pPr>
        <w:pStyle w:val="29"/>
        <w:rPr>
          <w:rFonts w:ascii="宋体" w:hAnsi="宋体"/>
          <w:bCs/>
          <w:color w:val="000000" w:themeColor="text1"/>
          <w:szCs w:val="21"/>
          <w14:textFill>
            <w14:solidFill>
              <w14:schemeClr w14:val="tx1"/>
            </w14:solidFill>
          </w14:textFill>
        </w:rPr>
      </w:pPr>
    </w:p>
    <w:p w14:paraId="4210985F">
      <w:pPr>
        <w:rPr>
          <w:rFonts w:ascii="宋体" w:hAnsi="宋体"/>
          <w:bCs/>
          <w:color w:val="000000" w:themeColor="text1"/>
          <w:szCs w:val="21"/>
          <w14:textFill>
            <w14:solidFill>
              <w14:schemeClr w14:val="tx1"/>
            </w14:solidFill>
          </w14:textFill>
        </w:rPr>
      </w:pPr>
    </w:p>
    <w:p w14:paraId="53ED7B53">
      <w:pPr>
        <w:pStyle w:val="29"/>
        <w:rPr>
          <w:rFonts w:ascii="宋体" w:hAnsi="宋体"/>
          <w:bCs/>
          <w:color w:val="000000" w:themeColor="text1"/>
          <w:szCs w:val="21"/>
          <w14:textFill>
            <w14:solidFill>
              <w14:schemeClr w14:val="tx1"/>
            </w14:solidFill>
          </w14:textFill>
        </w:rPr>
      </w:pPr>
    </w:p>
    <w:p w14:paraId="2AF66122">
      <w:pPr>
        <w:rPr>
          <w:rFonts w:ascii="宋体" w:hAnsi="宋体"/>
          <w:bCs/>
          <w:color w:val="000000" w:themeColor="text1"/>
          <w:szCs w:val="21"/>
          <w14:textFill>
            <w14:solidFill>
              <w14:schemeClr w14:val="tx1"/>
            </w14:solidFill>
          </w14:textFill>
        </w:rPr>
      </w:pPr>
    </w:p>
    <w:p w14:paraId="43EE47F9">
      <w:pPr>
        <w:pStyle w:val="29"/>
        <w:rPr>
          <w:rFonts w:ascii="宋体" w:hAnsi="宋体"/>
          <w:bCs/>
          <w:color w:val="000000" w:themeColor="text1"/>
          <w:szCs w:val="21"/>
          <w14:textFill>
            <w14:solidFill>
              <w14:schemeClr w14:val="tx1"/>
            </w14:solidFill>
          </w14:textFill>
        </w:rPr>
      </w:pPr>
    </w:p>
    <w:p w14:paraId="11960284">
      <w:pPr>
        <w:rPr>
          <w:rFonts w:ascii="宋体" w:hAnsi="宋体"/>
          <w:bCs/>
          <w:color w:val="000000" w:themeColor="text1"/>
          <w:szCs w:val="21"/>
          <w14:textFill>
            <w14:solidFill>
              <w14:schemeClr w14:val="tx1"/>
            </w14:solidFill>
          </w14:textFill>
        </w:rPr>
      </w:pPr>
    </w:p>
    <w:p w14:paraId="1559D844">
      <w:pPr>
        <w:pStyle w:val="29"/>
        <w:rPr>
          <w:color w:val="000000" w:themeColor="text1"/>
          <w14:textFill>
            <w14:solidFill>
              <w14:schemeClr w14:val="tx1"/>
            </w14:solidFill>
          </w14:textFill>
        </w:rPr>
      </w:pPr>
    </w:p>
    <w:p w14:paraId="03202C70">
      <w:pPr>
        <w:spacing w:line="320" w:lineRule="exact"/>
        <w:rPr>
          <w:rFonts w:ascii="宋体" w:hAnsi="宋体"/>
          <w:bCs/>
          <w:color w:val="000000" w:themeColor="text1"/>
          <w:szCs w:val="21"/>
          <w14:textFill>
            <w14:solidFill>
              <w14:schemeClr w14:val="tx1"/>
            </w14:solidFill>
          </w14:textFill>
        </w:rPr>
      </w:pPr>
    </w:p>
    <w:p w14:paraId="028E4C36">
      <w:pPr>
        <w:spacing w:line="320" w:lineRule="exact"/>
        <w:rPr>
          <w:rFonts w:ascii="宋体" w:hAnsi="宋体"/>
          <w:bCs/>
          <w:color w:val="000000" w:themeColor="text1"/>
          <w:szCs w:val="21"/>
          <w14:textFill>
            <w14:solidFill>
              <w14:schemeClr w14:val="tx1"/>
            </w14:solidFill>
          </w14:textFill>
        </w:rPr>
      </w:pPr>
    </w:p>
    <w:p w14:paraId="4E08F385">
      <w:pPr>
        <w:spacing w:line="320" w:lineRule="exact"/>
        <w:rPr>
          <w:rFonts w:ascii="宋体" w:hAnsi="宋体"/>
          <w:bCs/>
          <w:color w:val="000000" w:themeColor="text1"/>
          <w:szCs w:val="21"/>
          <w14:textFill>
            <w14:solidFill>
              <w14:schemeClr w14:val="tx1"/>
            </w14:solidFill>
          </w14:textFill>
        </w:rPr>
      </w:pPr>
    </w:p>
    <w:p w14:paraId="13A53D38">
      <w:pPr>
        <w:spacing w:line="320" w:lineRule="exact"/>
        <w:rPr>
          <w:rFonts w:ascii="宋体" w:hAnsi="宋体"/>
          <w:bCs/>
          <w:color w:val="000000" w:themeColor="text1"/>
          <w:szCs w:val="21"/>
          <w14:textFill>
            <w14:solidFill>
              <w14:schemeClr w14:val="tx1"/>
            </w14:solidFill>
          </w14:textFill>
        </w:rPr>
      </w:pPr>
    </w:p>
    <w:p w14:paraId="01009570">
      <w:pPr>
        <w:spacing w:line="320" w:lineRule="exact"/>
        <w:rPr>
          <w:rFonts w:ascii="宋体" w:hAnsi="宋体"/>
          <w:bCs/>
          <w:color w:val="000000" w:themeColor="text1"/>
          <w:szCs w:val="21"/>
          <w14:textFill>
            <w14:solidFill>
              <w14:schemeClr w14:val="tx1"/>
            </w14:solidFill>
          </w14:textFill>
        </w:rPr>
      </w:pPr>
    </w:p>
    <w:p w14:paraId="401BE0A9">
      <w:pPr>
        <w:spacing w:line="320" w:lineRule="exact"/>
        <w:rPr>
          <w:rFonts w:ascii="宋体" w:hAnsi="宋体"/>
          <w:bCs/>
          <w:color w:val="000000" w:themeColor="text1"/>
          <w:szCs w:val="21"/>
          <w14:textFill>
            <w14:solidFill>
              <w14:schemeClr w14:val="tx1"/>
            </w14:solidFill>
          </w14:textFill>
        </w:rPr>
      </w:pPr>
    </w:p>
    <w:p w14:paraId="2D26BD89">
      <w:pPr>
        <w:spacing w:line="320" w:lineRule="exact"/>
        <w:rPr>
          <w:rFonts w:ascii="宋体" w:hAnsi="宋体"/>
          <w:bCs/>
          <w:color w:val="000000" w:themeColor="text1"/>
          <w:szCs w:val="21"/>
          <w14:textFill>
            <w14:solidFill>
              <w14:schemeClr w14:val="tx1"/>
            </w14:solidFill>
          </w14:textFill>
        </w:rPr>
      </w:pPr>
    </w:p>
    <w:p w14:paraId="6944CC22">
      <w:pPr>
        <w:spacing w:line="320" w:lineRule="exact"/>
        <w:rPr>
          <w:rFonts w:ascii="宋体" w:hAnsi="宋体"/>
          <w:bCs/>
          <w:color w:val="000000" w:themeColor="text1"/>
          <w:szCs w:val="21"/>
          <w14:textFill>
            <w14:solidFill>
              <w14:schemeClr w14:val="tx1"/>
            </w14:solidFill>
          </w14:textFill>
        </w:rPr>
      </w:pPr>
    </w:p>
    <w:p w14:paraId="3F47D237">
      <w:pPr>
        <w:spacing w:line="320" w:lineRule="exact"/>
        <w:rPr>
          <w:rFonts w:ascii="宋体" w:hAnsi="宋体"/>
          <w:bCs/>
          <w:color w:val="000000" w:themeColor="text1"/>
          <w:szCs w:val="21"/>
          <w14:textFill>
            <w14:solidFill>
              <w14:schemeClr w14:val="tx1"/>
            </w14:solidFill>
          </w14:textFill>
        </w:rPr>
      </w:pPr>
    </w:p>
    <w:p w14:paraId="52024F49">
      <w:pPr>
        <w:spacing w:line="320" w:lineRule="exact"/>
        <w:rPr>
          <w:rFonts w:ascii="宋体" w:hAnsi="宋体"/>
          <w:bCs/>
          <w:color w:val="000000" w:themeColor="text1"/>
          <w:szCs w:val="21"/>
          <w14:textFill>
            <w14:solidFill>
              <w14:schemeClr w14:val="tx1"/>
            </w14:solidFill>
          </w14:textFill>
        </w:rPr>
      </w:pPr>
    </w:p>
    <w:p w14:paraId="0CC0674D">
      <w:pPr>
        <w:spacing w:line="320" w:lineRule="exact"/>
        <w:rPr>
          <w:rFonts w:ascii="宋体" w:hAnsi="宋体"/>
          <w:bCs/>
          <w:color w:val="000000" w:themeColor="text1"/>
          <w:szCs w:val="21"/>
          <w14:textFill>
            <w14:solidFill>
              <w14:schemeClr w14:val="tx1"/>
            </w14:solidFill>
          </w14:textFill>
        </w:rPr>
      </w:pPr>
    </w:p>
    <w:p w14:paraId="0074B300">
      <w:pPr>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一、竞标函格式</w:t>
      </w:r>
    </w:p>
    <w:p w14:paraId="1ECF7FBB">
      <w:pPr>
        <w:snapToGrid w:val="0"/>
        <w:spacing w:beforeLines="50" w:after="50" w:line="36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竞 标 函</w:t>
      </w:r>
    </w:p>
    <w:p w14:paraId="205F9F1B">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（采购人名称）：</w:t>
      </w:r>
    </w:p>
    <w:p w14:paraId="5A5F6E46">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根据贵方为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项目的招标公告（项目编号：     ），签字代表</w:t>
      </w:r>
      <w:r>
        <w:rPr>
          <w:rFonts w:hint="eastAsia" w:ascii="宋体" w:hAnsi="宋体"/>
          <w:color w:val="000000" w:themeColor="text1"/>
          <w:szCs w:val="21"/>
          <w:u w:val="single"/>
          <w14:textFill>
            <w14:solidFill>
              <w14:schemeClr w14:val="tx1"/>
            </w14:solidFill>
          </w14:textFill>
        </w:rPr>
        <w:t xml:space="preserve">     （全名）</w:t>
      </w:r>
      <w:r>
        <w:rPr>
          <w:rFonts w:hint="eastAsia" w:ascii="宋体" w:hAnsi="宋体"/>
          <w:color w:val="000000" w:themeColor="text1"/>
          <w:szCs w:val="21"/>
          <w14:textFill>
            <w14:solidFill>
              <w14:schemeClr w14:val="tx1"/>
            </w14:solidFill>
          </w14:textFill>
        </w:rPr>
        <w:t>经正式授权并代表供应商</w:t>
      </w:r>
      <w:r>
        <w:rPr>
          <w:rFonts w:hint="eastAsia" w:ascii="宋体" w:hAnsi="宋体"/>
          <w:color w:val="000000" w:themeColor="text1"/>
          <w:szCs w:val="21"/>
          <w:u w:val="single"/>
          <w14:textFill>
            <w14:solidFill>
              <w14:schemeClr w14:val="tx1"/>
            </w14:solidFill>
          </w14:textFill>
        </w:rPr>
        <w:t xml:space="preserve">                    （供应商名称）</w:t>
      </w:r>
      <w:r>
        <w:rPr>
          <w:rFonts w:hint="eastAsia" w:ascii="宋体" w:hAnsi="宋体"/>
          <w:color w:val="000000" w:themeColor="text1"/>
          <w:szCs w:val="21"/>
          <w14:textFill>
            <w14:solidFill>
              <w14:schemeClr w14:val="tx1"/>
            </w14:solidFill>
          </w14:textFill>
        </w:rPr>
        <w:t>现正式递交下述文件参加贵方组织的本次政府采购活动：</w:t>
      </w:r>
    </w:p>
    <w:p w14:paraId="28F4169C">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一、报价文件电子版一份；</w:t>
      </w:r>
    </w:p>
    <w:p w14:paraId="6A5A2167">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二、资格文件电子版一份；</w:t>
      </w:r>
    </w:p>
    <w:p w14:paraId="711ADC3E">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三、商务和技术文件电子版一份；</w:t>
      </w:r>
    </w:p>
    <w:p w14:paraId="5A2AE823">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据此函，签字代表宣布同意如下：</w:t>
      </w:r>
    </w:p>
    <w:p w14:paraId="1B8BD698">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1.我方已详细审查全部“竞争性谈判文件”，包括修改文件（如有的话）以及全部参考资料和有关附件，已经了解我方对于谈判文件、采购过程、采购结果有依法进行询问、质疑、投诉的权利及相关渠道和要求。</w:t>
      </w:r>
    </w:p>
    <w:p w14:paraId="593D8692">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2.我方在投标之前已经与贵方进行了充分的沟通，完全理解并接受竞争性谈判文件的各项规定和要求，对竞争性谈判文件的合理性、合法性不再有异议。</w:t>
      </w:r>
    </w:p>
    <w:p w14:paraId="320A6690">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3.本投标有效期自开标日起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日（自然日）。</w:t>
      </w:r>
    </w:p>
    <w:p w14:paraId="744D5D52">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4.如中标，本响应文件至本项目合同履行完毕止均保持有效，我方将按“竞争性谈判文件”及政府采购法律、法规的规定履行合同责任和义务。</w:t>
      </w:r>
    </w:p>
    <w:p w14:paraId="696565D5">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5.我方同意按照贵方要求提供与投标有关的一切数据或资料。</w:t>
      </w:r>
    </w:p>
    <w:p w14:paraId="041561BC">
      <w:pPr>
        <w:snapToGrid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6.与本投标有关的一切正式往来信函请寄：</w:t>
      </w:r>
    </w:p>
    <w:p w14:paraId="23686EE7">
      <w:pPr>
        <w:snapToGrid w:val="0"/>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 xml:space="preserve">               </w:t>
      </w:r>
    </w:p>
    <w:p w14:paraId="17E3E665">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供应商代表姓名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职务：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6C29EF56">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w:t>
      </w:r>
      <w:r>
        <w:rPr>
          <w:rFonts w:hint="eastAsia" w:ascii="宋体" w:hAnsi="宋体"/>
          <w:color w:val="000000" w:themeColor="text1"/>
          <w:szCs w:val="21"/>
          <w:u w:val="single"/>
          <w14:textFill>
            <w14:solidFill>
              <w14:schemeClr w14:val="tx1"/>
            </w14:solidFill>
          </w14:textFill>
        </w:rPr>
        <w:t xml:space="preserve">                    </w:t>
      </w:r>
    </w:p>
    <w:p w14:paraId="22DAB576">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银行帐号：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110B5110">
      <w:pPr>
        <w:snapToGrid w:val="0"/>
        <w:spacing w:line="360" w:lineRule="exact"/>
        <w:rPr>
          <w:rFonts w:ascii="宋体" w:hAnsi="宋体"/>
          <w:color w:val="000000" w:themeColor="text1"/>
          <w:szCs w:val="21"/>
          <w14:textFill>
            <w14:solidFill>
              <w14:schemeClr w14:val="tx1"/>
            </w14:solidFill>
          </w14:textFill>
        </w:rPr>
      </w:pPr>
    </w:p>
    <w:p w14:paraId="7E8A0516">
      <w:pPr>
        <w:snapToGrid w:val="0"/>
        <w:spacing w:line="360" w:lineRule="exact"/>
        <w:rPr>
          <w:rFonts w:ascii="宋体" w:hAnsi="宋体"/>
          <w:color w:val="000000" w:themeColor="text1"/>
          <w:szCs w:val="21"/>
          <w14:textFill>
            <w14:solidFill>
              <w14:schemeClr w14:val="tx1"/>
            </w14:solidFill>
          </w14:textFill>
        </w:rPr>
      </w:pPr>
    </w:p>
    <w:p w14:paraId="1E689396">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4E9FD6E2">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2B8723B4">
      <w:pPr>
        <w:pStyle w:val="21"/>
        <w:spacing w:line="360" w:lineRule="exact"/>
        <w:rPr>
          <w:rFonts w:hAnsi="宋体"/>
          <w:color w:val="000000" w:themeColor="text1"/>
          <w:sz w:val="44"/>
          <w:szCs w:val="21"/>
          <w14:textFill>
            <w14:solidFill>
              <w14:schemeClr w14:val="tx1"/>
            </w14:solidFill>
          </w14:textFill>
        </w:rPr>
      </w:pPr>
    </w:p>
    <w:p w14:paraId="293B39B3">
      <w:pPr>
        <w:pStyle w:val="21"/>
        <w:spacing w:line="360" w:lineRule="exact"/>
        <w:rPr>
          <w:rFonts w:hAnsi="宋体"/>
          <w:color w:val="000000" w:themeColor="text1"/>
          <w:sz w:val="44"/>
          <w14:textFill>
            <w14:solidFill>
              <w14:schemeClr w14:val="tx1"/>
            </w14:solidFill>
          </w14:textFill>
        </w:rPr>
      </w:pPr>
    </w:p>
    <w:p w14:paraId="1C503403">
      <w:pPr>
        <w:pStyle w:val="21"/>
        <w:spacing w:line="360" w:lineRule="exact"/>
        <w:rPr>
          <w:rFonts w:hAnsi="宋体"/>
          <w:color w:val="000000" w:themeColor="text1"/>
          <w:sz w:val="44"/>
          <w14:textFill>
            <w14:solidFill>
              <w14:schemeClr w14:val="tx1"/>
            </w14:solidFill>
          </w14:textFill>
        </w:rPr>
      </w:pPr>
    </w:p>
    <w:p w14:paraId="1010C5BF">
      <w:pPr>
        <w:pStyle w:val="21"/>
        <w:spacing w:line="360" w:lineRule="exact"/>
        <w:rPr>
          <w:rFonts w:hAnsi="宋体"/>
          <w:color w:val="000000" w:themeColor="text1"/>
          <w:sz w:val="44"/>
          <w14:textFill>
            <w14:solidFill>
              <w14:schemeClr w14:val="tx1"/>
            </w14:solidFill>
          </w14:textFill>
        </w:rPr>
      </w:pPr>
    </w:p>
    <w:p w14:paraId="021D6D9A">
      <w:pPr>
        <w:pStyle w:val="21"/>
        <w:spacing w:line="360" w:lineRule="exact"/>
        <w:rPr>
          <w:rFonts w:hAnsi="宋体"/>
          <w:color w:val="000000" w:themeColor="text1"/>
          <w:sz w:val="44"/>
          <w14:textFill>
            <w14:solidFill>
              <w14:schemeClr w14:val="tx1"/>
            </w14:solidFill>
          </w14:textFill>
        </w:rPr>
      </w:pPr>
    </w:p>
    <w:p w14:paraId="0EC9791D">
      <w:pPr>
        <w:pStyle w:val="21"/>
        <w:spacing w:line="360" w:lineRule="exact"/>
        <w:rPr>
          <w:rFonts w:hAnsi="宋体"/>
          <w:color w:val="000000" w:themeColor="text1"/>
          <w:sz w:val="44"/>
          <w14:textFill>
            <w14:solidFill>
              <w14:schemeClr w14:val="tx1"/>
            </w14:solidFill>
          </w14:textFill>
        </w:rPr>
      </w:pPr>
    </w:p>
    <w:p w14:paraId="3BB37CBE">
      <w:pPr>
        <w:pStyle w:val="21"/>
        <w:spacing w:line="360" w:lineRule="exact"/>
        <w:rPr>
          <w:rFonts w:hAnsi="宋体"/>
          <w:color w:val="000000" w:themeColor="text1"/>
          <w:sz w:val="44"/>
          <w14:textFill>
            <w14:solidFill>
              <w14:schemeClr w14:val="tx1"/>
            </w14:solidFill>
          </w14:textFill>
        </w:rPr>
      </w:pPr>
    </w:p>
    <w:p w14:paraId="32AA4304">
      <w:pPr>
        <w:pStyle w:val="21"/>
        <w:spacing w:line="360" w:lineRule="exact"/>
        <w:rPr>
          <w:rFonts w:hAnsi="宋体"/>
          <w:color w:val="000000" w:themeColor="text1"/>
          <w:sz w:val="44"/>
          <w14:textFill>
            <w14:solidFill>
              <w14:schemeClr w14:val="tx1"/>
            </w14:solidFill>
          </w14:textFill>
        </w:rPr>
      </w:pPr>
    </w:p>
    <w:p w14:paraId="458E7413">
      <w:pPr>
        <w:pStyle w:val="21"/>
        <w:spacing w:line="360" w:lineRule="exact"/>
        <w:rPr>
          <w:rFonts w:hAnsi="宋体"/>
          <w:color w:val="000000" w:themeColor="text1"/>
          <w:sz w:val="44"/>
          <w14:textFill>
            <w14:solidFill>
              <w14:schemeClr w14:val="tx1"/>
            </w14:solidFill>
          </w14:textFill>
        </w:rPr>
      </w:pPr>
    </w:p>
    <w:p w14:paraId="224F04C4">
      <w:pPr>
        <w:spacing w:line="320" w:lineRule="exact"/>
        <w:rPr>
          <w:rFonts w:ascii="宋体" w:hAnsi="宋体" w:cs="宋体"/>
          <w:b/>
          <w:color w:val="000000" w:themeColor="text1"/>
          <w:szCs w:val="21"/>
          <w14:textFill>
            <w14:solidFill>
              <w14:schemeClr w14:val="tx1"/>
            </w14:solidFill>
          </w14:textFill>
        </w:rPr>
      </w:pPr>
    </w:p>
    <w:p w14:paraId="212A2EDB">
      <w:pPr>
        <w:spacing w:line="320" w:lineRule="exact"/>
        <w:rPr>
          <w:rFonts w:ascii="宋体" w:hAnsi="宋体" w:cs="宋体"/>
          <w:b/>
          <w:color w:val="000000" w:themeColor="text1"/>
          <w:szCs w:val="21"/>
          <w14:textFill>
            <w14:solidFill>
              <w14:schemeClr w14:val="tx1"/>
            </w14:solidFill>
          </w14:textFill>
        </w:rPr>
      </w:pPr>
    </w:p>
    <w:p w14:paraId="173DCBD6">
      <w:pPr>
        <w:spacing w:line="320" w:lineRule="exact"/>
        <w:rPr>
          <w:rFonts w:ascii="宋体" w:hAnsi="宋体" w:cs="宋体"/>
          <w:b/>
          <w:color w:val="000000" w:themeColor="text1"/>
          <w:szCs w:val="21"/>
          <w14:textFill>
            <w14:solidFill>
              <w14:schemeClr w14:val="tx1"/>
            </w14:solidFill>
          </w14:textFill>
        </w:rPr>
      </w:pPr>
    </w:p>
    <w:p w14:paraId="69F2CD0F">
      <w:pPr>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二、报价表和最后报价明细表格式</w:t>
      </w:r>
    </w:p>
    <w:p w14:paraId="57E8627A">
      <w:pPr>
        <w:spacing w:line="30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报  价  表</w:t>
      </w:r>
    </w:p>
    <w:p w14:paraId="2FFCEBEC">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14:paraId="5574741A">
      <w:pPr>
        <w:snapToGrid w:val="0"/>
        <w:spacing w:before="50" w:after="5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w:t>
      </w:r>
    </w:p>
    <w:tbl>
      <w:tblPr>
        <w:tblStyle w:val="3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218"/>
        <w:gridCol w:w="1650"/>
        <w:gridCol w:w="1051"/>
        <w:gridCol w:w="878"/>
        <w:gridCol w:w="1066"/>
        <w:gridCol w:w="1404"/>
      </w:tblGrid>
      <w:tr w14:paraId="5F4A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4E493AAE">
            <w:pPr>
              <w:pStyle w:val="86"/>
              <w:spacing w:before="110"/>
              <w:ind w:right="224"/>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项号</w:t>
            </w:r>
          </w:p>
        </w:tc>
        <w:tc>
          <w:tcPr>
            <w:tcW w:w="1603" w:type="dxa"/>
          </w:tcPr>
          <w:p w14:paraId="4942D6FE">
            <w:pPr>
              <w:pStyle w:val="86"/>
              <w:spacing w:before="110"/>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货物名称</w:t>
            </w:r>
          </w:p>
        </w:tc>
        <w:tc>
          <w:tcPr>
            <w:tcW w:w="1218" w:type="dxa"/>
            <w:vAlign w:val="top"/>
          </w:tcPr>
          <w:p w14:paraId="33A68B2D">
            <w:pPr>
              <w:pStyle w:val="86"/>
              <w:spacing w:before="110"/>
              <w:ind w:left="0" w:leftChars="0" w:right="0" w:rightChars="0" w:firstLine="0" w:firstLineChars="0"/>
              <w:jc w:val="center"/>
              <w:rPr>
                <w:b/>
                <w:color w:val="000000" w:themeColor="text1"/>
                <w:sz w:val="21"/>
                <w:lang w:eastAsia="zh-CN"/>
                <w14:textFill>
                  <w14:solidFill>
                    <w14:schemeClr w14:val="tx1"/>
                  </w14:solidFill>
                </w14:textFill>
              </w:rPr>
            </w:pPr>
            <w:r>
              <w:rPr>
                <w:rFonts w:hint="eastAsia"/>
                <w:b/>
                <w:color w:val="000000" w:themeColor="text1"/>
                <w:sz w:val="21"/>
                <w14:textFill>
                  <w14:solidFill>
                    <w14:schemeClr w14:val="tx1"/>
                  </w14:solidFill>
                </w14:textFill>
              </w:rPr>
              <w:t>商标品牌</w:t>
            </w:r>
          </w:p>
        </w:tc>
        <w:tc>
          <w:tcPr>
            <w:tcW w:w="1650" w:type="dxa"/>
            <w:vAlign w:val="top"/>
          </w:tcPr>
          <w:p w14:paraId="76894FA2">
            <w:pPr>
              <w:pStyle w:val="86"/>
              <w:spacing w:before="110"/>
              <w:ind w:left="0" w:leftChars="0" w:right="0" w:rightChars="0" w:firstLine="0" w:firstLineChars="0"/>
              <w:jc w:val="center"/>
              <w:rPr>
                <w:b/>
                <w:color w:val="000000" w:themeColor="text1"/>
                <w:sz w:val="21"/>
                <w14:textFill>
                  <w14:solidFill>
                    <w14:schemeClr w14:val="tx1"/>
                  </w14:solidFill>
                </w14:textFill>
              </w:rPr>
            </w:pPr>
            <w:r>
              <w:rPr>
                <w:rFonts w:hint="eastAsia"/>
                <w:b/>
                <w:color w:val="000000" w:themeColor="text1"/>
                <w:sz w:val="21"/>
                <w:lang w:eastAsia="zh-CN"/>
                <w14:textFill>
                  <w14:solidFill>
                    <w14:schemeClr w14:val="tx1"/>
                  </w14:solidFill>
                </w14:textFill>
              </w:rPr>
              <w:t>规格型号、参数</w:t>
            </w:r>
          </w:p>
        </w:tc>
        <w:tc>
          <w:tcPr>
            <w:tcW w:w="1051" w:type="dxa"/>
          </w:tcPr>
          <w:p w14:paraId="4E24FC2D">
            <w:pPr>
              <w:pStyle w:val="86"/>
              <w:spacing w:before="110"/>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数量①</w:t>
            </w:r>
          </w:p>
        </w:tc>
        <w:tc>
          <w:tcPr>
            <w:tcW w:w="878" w:type="dxa"/>
          </w:tcPr>
          <w:p w14:paraId="209AD8FA">
            <w:pPr>
              <w:pStyle w:val="86"/>
              <w:spacing w:before="110"/>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单位</w:t>
            </w:r>
          </w:p>
        </w:tc>
        <w:tc>
          <w:tcPr>
            <w:tcW w:w="1066" w:type="dxa"/>
          </w:tcPr>
          <w:p w14:paraId="71F2B7D4">
            <w:pPr>
              <w:pStyle w:val="86"/>
              <w:spacing w:before="110"/>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单价②</w:t>
            </w:r>
          </w:p>
        </w:tc>
        <w:tc>
          <w:tcPr>
            <w:tcW w:w="1404" w:type="dxa"/>
          </w:tcPr>
          <w:p w14:paraId="28AB6FA9">
            <w:pPr>
              <w:pStyle w:val="86"/>
              <w:spacing w:line="291" w:lineRule="exact"/>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投标报价</w:t>
            </w:r>
          </w:p>
          <w:p w14:paraId="4C911886">
            <w:pPr>
              <w:pStyle w:val="86"/>
              <w:spacing w:line="325" w:lineRule="exact"/>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③=①×②</w:t>
            </w:r>
          </w:p>
        </w:tc>
      </w:tr>
      <w:tr w14:paraId="53FD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461798F7">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1603" w:type="dxa"/>
          </w:tcPr>
          <w:p w14:paraId="133A659E">
            <w:pPr>
              <w:rPr>
                <w:color w:val="000000" w:themeColor="text1"/>
                <w14:textFill>
                  <w14:solidFill>
                    <w14:schemeClr w14:val="tx1"/>
                  </w14:solidFill>
                </w14:textFill>
              </w:rPr>
            </w:pPr>
          </w:p>
        </w:tc>
        <w:tc>
          <w:tcPr>
            <w:tcW w:w="1218" w:type="dxa"/>
          </w:tcPr>
          <w:p w14:paraId="4F5D6343">
            <w:pPr>
              <w:rPr>
                <w:color w:val="000000" w:themeColor="text1"/>
                <w14:textFill>
                  <w14:solidFill>
                    <w14:schemeClr w14:val="tx1"/>
                  </w14:solidFill>
                </w14:textFill>
              </w:rPr>
            </w:pPr>
          </w:p>
        </w:tc>
        <w:tc>
          <w:tcPr>
            <w:tcW w:w="1650" w:type="dxa"/>
          </w:tcPr>
          <w:p w14:paraId="37CE27D7">
            <w:pPr>
              <w:rPr>
                <w:color w:val="000000" w:themeColor="text1"/>
                <w14:textFill>
                  <w14:solidFill>
                    <w14:schemeClr w14:val="tx1"/>
                  </w14:solidFill>
                </w14:textFill>
              </w:rPr>
            </w:pPr>
          </w:p>
        </w:tc>
        <w:tc>
          <w:tcPr>
            <w:tcW w:w="1051" w:type="dxa"/>
          </w:tcPr>
          <w:p w14:paraId="4EB07BE7">
            <w:pPr>
              <w:rPr>
                <w:color w:val="000000" w:themeColor="text1"/>
                <w14:textFill>
                  <w14:solidFill>
                    <w14:schemeClr w14:val="tx1"/>
                  </w14:solidFill>
                </w14:textFill>
              </w:rPr>
            </w:pPr>
          </w:p>
        </w:tc>
        <w:tc>
          <w:tcPr>
            <w:tcW w:w="878" w:type="dxa"/>
          </w:tcPr>
          <w:p w14:paraId="24E1673A">
            <w:pPr>
              <w:rPr>
                <w:color w:val="000000" w:themeColor="text1"/>
                <w14:textFill>
                  <w14:solidFill>
                    <w14:schemeClr w14:val="tx1"/>
                  </w14:solidFill>
                </w14:textFill>
              </w:rPr>
            </w:pPr>
          </w:p>
        </w:tc>
        <w:tc>
          <w:tcPr>
            <w:tcW w:w="1066" w:type="dxa"/>
          </w:tcPr>
          <w:p w14:paraId="6FDAD117">
            <w:pPr>
              <w:rPr>
                <w:color w:val="000000" w:themeColor="text1"/>
                <w14:textFill>
                  <w14:solidFill>
                    <w14:schemeClr w14:val="tx1"/>
                  </w14:solidFill>
                </w14:textFill>
              </w:rPr>
            </w:pPr>
          </w:p>
        </w:tc>
        <w:tc>
          <w:tcPr>
            <w:tcW w:w="1404" w:type="dxa"/>
          </w:tcPr>
          <w:p w14:paraId="18BA06CB">
            <w:pPr>
              <w:rPr>
                <w:color w:val="000000" w:themeColor="text1"/>
                <w14:textFill>
                  <w14:solidFill>
                    <w14:schemeClr w14:val="tx1"/>
                  </w14:solidFill>
                </w14:textFill>
              </w:rPr>
            </w:pPr>
          </w:p>
        </w:tc>
      </w:tr>
      <w:tr w14:paraId="11068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19CFC297">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w:t>
            </w:r>
          </w:p>
        </w:tc>
        <w:tc>
          <w:tcPr>
            <w:tcW w:w="1603" w:type="dxa"/>
          </w:tcPr>
          <w:p w14:paraId="359A1D2F">
            <w:pPr>
              <w:rPr>
                <w:color w:val="000000" w:themeColor="text1"/>
                <w14:textFill>
                  <w14:solidFill>
                    <w14:schemeClr w14:val="tx1"/>
                  </w14:solidFill>
                </w14:textFill>
              </w:rPr>
            </w:pPr>
          </w:p>
        </w:tc>
        <w:tc>
          <w:tcPr>
            <w:tcW w:w="1218" w:type="dxa"/>
          </w:tcPr>
          <w:p w14:paraId="081E15D9">
            <w:pPr>
              <w:rPr>
                <w:color w:val="000000" w:themeColor="text1"/>
                <w14:textFill>
                  <w14:solidFill>
                    <w14:schemeClr w14:val="tx1"/>
                  </w14:solidFill>
                </w14:textFill>
              </w:rPr>
            </w:pPr>
          </w:p>
        </w:tc>
        <w:tc>
          <w:tcPr>
            <w:tcW w:w="1650" w:type="dxa"/>
          </w:tcPr>
          <w:p w14:paraId="1F7547E4">
            <w:pPr>
              <w:rPr>
                <w:color w:val="000000" w:themeColor="text1"/>
                <w14:textFill>
                  <w14:solidFill>
                    <w14:schemeClr w14:val="tx1"/>
                  </w14:solidFill>
                </w14:textFill>
              </w:rPr>
            </w:pPr>
          </w:p>
        </w:tc>
        <w:tc>
          <w:tcPr>
            <w:tcW w:w="1051" w:type="dxa"/>
          </w:tcPr>
          <w:p w14:paraId="7474C5BB">
            <w:pPr>
              <w:rPr>
                <w:color w:val="000000" w:themeColor="text1"/>
                <w14:textFill>
                  <w14:solidFill>
                    <w14:schemeClr w14:val="tx1"/>
                  </w14:solidFill>
                </w14:textFill>
              </w:rPr>
            </w:pPr>
          </w:p>
        </w:tc>
        <w:tc>
          <w:tcPr>
            <w:tcW w:w="878" w:type="dxa"/>
          </w:tcPr>
          <w:p w14:paraId="01A33217">
            <w:pPr>
              <w:rPr>
                <w:color w:val="000000" w:themeColor="text1"/>
                <w14:textFill>
                  <w14:solidFill>
                    <w14:schemeClr w14:val="tx1"/>
                  </w14:solidFill>
                </w14:textFill>
              </w:rPr>
            </w:pPr>
          </w:p>
        </w:tc>
        <w:tc>
          <w:tcPr>
            <w:tcW w:w="1066" w:type="dxa"/>
          </w:tcPr>
          <w:p w14:paraId="76FFD1E8">
            <w:pPr>
              <w:rPr>
                <w:color w:val="000000" w:themeColor="text1"/>
                <w14:textFill>
                  <w14:solidFill>
                    <w14:schemeClr w14:val="tx1"/>
                  </w14:solidFill>
                </w14:textFill>
              </w:rPr>
            </w:pPr>
          </w:p>
        </w:tc>
        <w:tc>
          <w:tcPr>
            <w:tcW w:w="1404" w:type="dxa"/>
          </w:tcPr>
          <w:p w14:paraId="6C55E6DB">
            <w:pPr>
              <w:rPr>
                <w:color w:val="000000" w:themeColor="text1"/>
                <w14:textFill>
                  <w14:solidFill>
                    <w14:schemeClr w14:val="tx1"/>
                  </w14:solidFill>
                </w14:textFill>
              </w:rPr>
            </w:pPr>
          </w:p>
        </w:tc>
      </w:tr>
      <w:tr w14:paraId="3F0E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068F3047">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1603" w:type="dxa"/>
          </w:tcPr>
          <w:p w14:paraId="658BBD1B">
            <w:pPr>
              <w:rPr>
                <w:color w:val="000000" w:themeColor="text1"/>
                <w14:textFill>
                  <w14:solidFill>
                    <w14:schemeClr w14:val="tx1"/>
                  </w14:solidFill>
                </w14:textFill>
              </w:rPr>
            </w:pPr>
          </w:p>
        </w:tc>
        <w:tc>
          <w:tcPr>
            <w:tcW w:w="1218" w:type="dxa"/>
          </w:tcPr>
          <w:p w14:paraId="71A043B0">
            <w:pPr>
              <w:rPr>
                <w:color w:val="000000" w:themeColor="text1"/>
                <w14:textFill>
                  <w14:solidFill>
                    <w14:schemeClr w14:val="tx1"/>
                  </w14:solidFill>
                </w14:textFill>
              </w:rPr>
            </w:pPr>
          </w:p>
        </w:tc>
        <w:tc>
          <w:tcPr>
            <w:tcW w:w="1650" w:type="dxa"/>
          </w:tcPr>
          <w:p w14:paraId="79608764">
            <w:pPr>
              <w:rPr>
                <w:color w:val="000000" w:themeColor="text1"/>
                <w14:textFill>
                  <w14:solidFill>
                    <w14:schemeClr w14:val="tx1"/>
                  </w14:solidFill>
                </w14:textFill>
              </w:rPr>
            </w:pPr>
          </w:p>
        </w:tc>
        <w:tc>
          <w:tcPr>
            <w:tcW w:w="1051" w:type="dxa"/>
          </w:tcPr>
          <w:p w14:paraId="0576FA23">
            <w:pPr>
              <w:rPr>
                <w:color w:val="000000" w:themeColor="text1"/>
                <w14:textFill>
                  <w14:solidFill>
                    <w14:schemeClr w14:val="tx1"/>
                  </w14:solidFill>
                </w14:textFill>
              </w:rPr>
            </w:pPr>
          </w:p>
        </w:tc>
        <w:tc>
          <w:tcPr>
            <w:tcW w:w="878" w:type="dxa"/>
          </w:tcPr>
          <w:p w14:paraId="3631038E">
            <w:pPr>
              <w:rPr>
                <w:color w:val="000000" w:themeColor="text1"/>
                <w14:textFill>
                  <w14:solidFill>
                    <w14:schemeClr w14:val="tx1"/>
                  </w14:solidFill>
                </w14:textFill>
              </w:rPr>
            </w:pPr>
          </w:p>
        </w:tc>
        <w:tc>
          <w:tcPr>
            <w:tcW w:w="1066" w:type="dxa"/>
          </w:tcPr>
          <w:p w14:paraId="2BCB9038">
            <w:pPr>
              <w:rPr>
                <w:color w:val="000000" w:themeColor="text1"/>
                <w14:textFill>
                  <w14:solidFill>
                    <w14:schemeClr w14:val="tx1"/>
                  </w14:solidFill>
                </w14:textFill>
              </w:rPr>
            </w:pPr>
          </w:p>
        </w:tc>
        <w:tc>
          <w:tcPr>
            <w:tcW w:w="1404" w:type="dxa"/>
          </w:tcPr>
          <w:p w14:paraId="1E953179">
            <w:pPr>
              <w:rPr>
                <w:color w:val="000000" w:themeColor="text1"/>
                <w14:textFill>
                  <w14:solidFill>
                    <w14:schemeClr w14:val="tx1"/>
                  </w14:solidFill>
                </w14:textFill>
              </w:rPr>
            </w:pPr>
          </w:p>
        </w:tc>
      </w:tr>
      <w:tr w14:paraId="16D2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11CA3EC4">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N</w:t>
            </w:r>
          </w:p>
        </w:tc>
        <w:tc>
          <w:tcPr>
            <w:tcW w:w="1603" w:type="dxa"/>
          </w:tcPr>
          <w:p w14:paraId="464D0410">
            <w:pPr>
              <w:rPr>
                <w:color w:val="000000" w:themeColor="text1"/>
                <w14:textFill>
                  <w14:solidFill>
                    <w14:schemeClr w14:val="tx1"/>
                  </w14:solidFill>
                </w14:textFill>
              </w:rPr>
            </w:pPr>
          </w:p>
        </w:tc>
        <w:tc>
          <w:tcPr>
            <w:tcW w:w="1218" w:type="dxa"/>
          </w:tcPr>
          <w:p w14:paraId="3D309317">
            <w:pPr>
              <w:rPr>
                <w:color w:val="000000" w:themeColor="text1"/>
                <w14:textFill>
                  <w14:solidFill>
                    <w14:schemeClr w14:val="tx1"/>
                  </w14:solidFill>
                </w14:textFill>
              </w:rPr>
            </w:pPr>
          </w:p>
        </w:tc>
        <w:tc>
          <w:tcPr>
            <w:tcW w:w="1650" w:type="dxa"/>
          </w:tcPr>
          <w:p w14:paraId="50C620D8">
            <w:pPr>
              <w:rPr>
                <w:color w:val="000000" w:themeColor="text1"/>
                <w14:textFill>
                  <w14:solidFill>
                    <w14:schemeClr w14:val="tx1"/>
                  </w14:solidFill>
                </w14:textFill>
              </w:rPr>
            </w:pPr>
          </w:p>
        </w:tc>
        <w:tc>
          <w:tcPr>
            <w:tcW w:w="1051" w:type="dxa"/>
          </w:tcPr>
          <w:p w14:paraId="65119AE1">
            <w:pPr>
              <w:rPr>
                <w:color w:val="000000" w:themeColor="text1"/>
                <w14:textFill>
                  <w14:solidFill>
                    <w14:schemeClr w14:val="tx1"/>
                  </w14:solidFill>
                </w14:textFill>
              </w:rPr>
            </w:pPr>
          </w:p>
        </w:tc>
        <w:tc>
          <w:tcPr>
            <w:tcW w:w="878" w:type="dxa"/>
          </w:tcPr>
          <w:p w14:paraId="47C2D8CB">
            <w:pPr>
              <w:rPr>
                <w:color w:val="000000" w:themeColor="text1"/>
                <w14:textFill>
                  <w14:solidFill>
                    <w14:schemeClr w14:val="tx1"/>
                  </w14:solidFill>
                </w14:textFill>
              </w:rPr>
            </w:pPr>
          </w:p>
        </w:tc>
        <w:tc>
          <w:tcPr>
            <w:tcW w:w="1066" w:type="dxa"/>
          </w:tcPr>
          <w:p w14:paraId="5E2D76B1">
            <w:pPr>
              <w:rPr>
                <w:color w:val="000000" w:themeColor="text1"/>
                <w14:textFill>
                  <w14:solidFill>
                    <w14:schemeClr w14:val="tx1"/>
                  </w14:solidFill>
                </w14:textFill>
              </w:rPr>
            </w:pPr>
          </w:p>
        </w:tc>
        <w:tc>
          <w:tcPr>
            <w:tcW w:w="1404" w:type="dxa"/>
          </w:tcPr>
          <w:p w14:paraId="60344380">
            <w:pPr>
              <w:rPr>
                <w:color w:val="000000" w:themeColor="text1"/>
                <w14:textFill>
                  <w14:solidFill>
                    <w14:schemeClr w14:val="tx1"/>
                  </w14:solidFill>
                </w14:textFill>
              </w:rPr>
            </w:pPr>
          </w:p>
        </w:tc>
      </w:tr>
      <w:tr w14:paraId="72CE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vAlign w:val="center"/>
          </w:tcPr>
          <w:p w14:paraId="41B8E9AA">
            <w:pPr>
              <w:pStyle w:val="86"/>
              <w:tabs>
                <w:tab w:val="left" w:pos="2931"/>
                <w:tab w:val="left" w:pos="4727"/>
                <w:tab w:val="left" w:pos="6699"/>
                <w:tab w:val="left" w:pos="8010"/>
                <w:tab w:val="left" w:pos="8140"/>
              </w:tabs>
              <w:spacing w:before="14" w:line="295" w:lineRule="auto"/>
              <w:ind w:left="105" w:right="142"/>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投标报价（合计金额）大写：</w:t>
            </w:r>
            <w:r>
              <w:rPr>
                <w:rFonts w:ascii="Times New Roman" w:hAnsi="Times New Roman" w:eastAsia="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hint="eastAsia"/>
                <w:color w:val="000000" w:themeColor="text1"/>
                <w:sz w:val="21"/>
                <w:szCs w:val="21"/>
                <w:lang w:eastAsia="zh-CN"/>
                <w14:textFill>
                  <w14:solidFill>
                    <w14:schemeClr w14:val="tx1"/>
                  </w14:solidFill>
                </w14:textFill>
              </w:rPr>
              <w:t>人</w:t>
            </w:r>
            <w:r>
              <w:rPr>
                <w:color w:val="000000" w:themeColor="text1"/>
                <w:spacing w:val="-72"/>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民</w:t>
            </w:r>
            <w:r>
              <w:rPr>
                <w:color w:val="000000" w:themeColor="text1"/>
                <w:spacing w:val="-67"/>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币</w:t>
            </w:r>
            <w:r>
              <w:rPr>
                <w:color w:val="000000" w:themeColor="text1"/>
                <w:spacing w:val="-67"/>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r>
              <w:rPr>
                <w:color w:val="000000" w:themeColor="text1"/>
                <w:spacing w:val="-67"/>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r>
              <w:rPr>
                <w:rFonts w:ascii="Times New Roman" w:hAnsi="Times New Roman" w:eastAsia="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hint="eastAsia"/>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p>
          <w:p w14:paraId="6A57C395">
            <w:pPr>
              <w:pStyle w:val="86"/>
              <w:tabs>
                <w:tab w:val="left" w:pos="2931"/>
                <w:tab w:val="left" w:pos="4727"/>
                <w:tab w:val="left" w:pos="6699"/>
                <w:tab w:val="left" w:pos="8010"/>
                <w:tab w:val="left" w:pos="8140"/>
              </w:tabs>
              <w:spacing w:before="14" w:line="295" w:lineRule="auto"/>
              <w:ind w:left="105" w:right="142"/>
              <w:jc w:val="both"/>
              <w:rPr>
                <w:color w:val="000000" w:themeColor="text1"/>
                <w:sz w:val="24"/>
                <w:lang w:eastAsia="zh-CN"/>
                <w14:textFill>
                  <w14:solidFill>
                    <w14:schemeClr w14:val="tx1"/>
                  </w14:solidFill>
                </w14:textFill>
              </w:rPr>
            </w:pPr>
            <w:r>
              <w:rPr>
                <w:color w:val="000000" w:themeColor="text1"/>
                <w:sz w:val="21"/>
                <w:szCs w:val="21"/>
                <w:lang w:eastAsia="zh-CN"/>
                <w14:textFill>
                  <w14:solidFill>
                    <w14:schemeClr w14:val="tx1"/>
                  </w14:solidFill>
                </w14:textFill>
              </w:rPr>
              <w:t>属于优先采购节能产品总值为￥</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 xml:space="preserve">   </w:t>
            </w:r>
            <w:r>
              <w:rPr>
                <w:color w:val="000000" w:themeColor="text1"/>
                <w:sz w:val="21"/>
                <w:szCs w:val="21"/>
                <w:u w:val="single"/>
                <w:lang w:eastAsia="zh-CN"/>
                <w14:textFill>
                  <w14:solidFill>
                    <w14:schemeClr w14:val="tx1"/>
                  </w14:solidFill>
                </w14:textFill>
              </w:rPr>
              <w:tab/>
            </w:r>
            <w:r>
              <w:rPr>
                <w:color w:val="000000" w:themeColor="text1"/>
                <w:sz w:val="21"/>
                <w:szCs w:val="21"/>
                <w:lang w:eastAsia="zh-CN"/>
                <w14:textFill>
                  <w14:solidFill>
                    <w14:schemeClr w14:val="tx1"/>
                  </w14:solidFill>
                </w14:textFill>
              </w:rPr>
              <w:t>（具体明细详见附表），占本投标报价的比例为</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 xml:space="preserve">  </w:t>
            </w:r>
            <w:r>
              <w:rPr>
                <w:color w:val="000000" w:themeColor="text1"/>
                <w:sz w:val="21"/>
                <w:szCs w:val="21"/>
                <w:lang w:eastAsia="zh-CN"/>
                <w14:textFill>
                  <w14:solidFill>
                    <w14:schemeClr w14:val="tx1"/>
                  </w14:solidFill>
                </w14:textFill>
              </w:rPr>
              <w:t xml:space="preserve">%；属于优先采购环境标志产品总值为￥ </w:t>
            </w:r>
            <w:r>
              <w:rPr>
                <w:color w:val="000000" w:themeColor="text1"/>
                <w:sz w:val="21"/>
                <w:szCs w:val="21"/>
                <w:u w:val="single"/>
                <w:lang w:eastAsia="zh-CN"/>
                <w14:textFill>
                  <w14:solidFill>
                    <w14:schemeClr w14:val="tx1"/>
                  </w14:solidFill>
                </w14:textFill>
              </w:rPr>
              <w:tab/>
            </w:r>
            <w:r>
              <w:rPr>
                <w:color w:val="000000" w:themeColor="text1"/>
                <w:sz w:val="21"/>
                <w:szCs w:val="21"/>
                <w:lang w:eastAsia="zh-CN"/>
                <w14:textFill>
                  <w14:solidFill>
                    <w14:schemeClr w14:val="tx1"/>
                  </w14:solidFill>
                </w14:textFill>
              </w:rPr>
              <w:t>（具体明细详见附表）， 占本投标报价的比例为</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 xml:space="preserve"> </w:t>
            </w:r>
            <w:r>
              <w:rPr>
                <w:color w:val="000000" w:themeColor="text1"/>
                <w:sz w:val="21"/>
                <w:szCs w:val="21"/>
                <w:lang w:eastAsia="zh-CN"/>
                <w14:textFill>
                  <w14:solidFill>
                    <w14:schemeClr w14:val="tx1"/>
                  </w14:solidFill>
                </w14:textFill>
              </w:rPr>
              <w:t>%</w:t>
            </w:r>
            <w:r>
              <w:rPr>
                <w:rFonts w:hint="eastAsia"/>
                <w:color w:val="000000" w:themeColor="text1"/>
                <w:sz w:val="21"/>
                <w:szCs w:val="21"/>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 xml:space="preserve"> </w:t>
            </w:r>
          </w:p>
        </w:tc>
      </w:tr>
      <w:tr w14:paraId="6B0C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jc w:val="center"/>
        </w:trPr>
        <w:tc>
          <w:tcPr>
            <w:tcW w:w="9782" w:type="dxa"/>
            <w:gridSpan w:val="8"/>
            <w:vAlign w:val="center"/>
          </w:tcPr>
          <w:p w14:paraId="18597FC5">
            <w:pPr>
              <w:pStyle w:val="86"/>
              <w:tabs>
                <w:tab w:val="left" w:pos="3355"/>
                <w:tab w:val="left" w:pos="4727"/>
                <w:tab w:val="left" w:pos="7454"/>
                <w:tab w:val="left" w:pos="7905"/>
                <w:tab w:val="left" w:pos="8140"/>
              </w:tabs>
              <w:spacing w:before="14" w:line="295" w:lineRule="auto"/>
              <w:ind w:left="105" w:right="-20"/>
              <w:rPr>
                <w:color w:val="000000" w:themeColor="text1"/>
                <w:sz w:val="21"/>
                <w:szCs w:val="21"/>
                <w:lang w:eastAsia="zh-CN"/>
                <w14:textFill>
                  <w14:solidFill>
                    <w14:schemeClr w14:val="tx1"/>
                  </w14:solidFill>
                </w14:textFill>
              </w:rPr>
            </w:pPr>
            <w:bookmarkStart w:id="26" w:name="OLE_LINK17"/>
            <w:r>
              <w:rPr>
                <w:rFonts w:hint="eastAsia" w:ascii="宋体" w:hAnsi="宋体" w:cs="宋体"/>
                <w:color w:val="000000" w:themeColor="text1"/>
                <w:kern w:val="0"/>
                <w:szCs w:val="21"/>
                <w14:textFill>
                  <w14:solidFill>
                    <w14:schemeClr w14:val="tx1"/>
                  </w14:solidFill>
                </w14:textFill>
              </w:rPr>
              <w:t>合同期限</w:t>
            </w:r>
            <w:r>
              <w:rPr>
                <w:rFonts w:hint="eastAsia"/>
                <w:b/>
                <w:color w:val="000000" w:themeColor="text1"/>
                <w:sz w:val="21"/>
                <w:szCs w:val="21"/>
                <w:lang w:eastAsia="zh-CN"/>
                <w14:textFill>
                  <w14:solidFill>
                    <w14:schemeClr w14:val="tx1"/>
                  </w14:solidFill>
                </w14:textFill>
              </w:rPr>
              <w:t>：</w:t>
            </w:r>
            <w:bookmarkEnd w:id="26"/>
          </w:p>
        </w:tc>
      </w:tr>
    </w:tbl>
    <w:p w14:paraId="4F0E3DC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 1、报价一经涂改，应在涂改处加盖供应商单位公章或者由供应商法定代表人或授权委托人签字，否则其响应文件作响应无效处理。</w:t>
      </w:r>
    </w:p>
    <w:p w14:paraId="64603F8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617DF3D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3、所有价格均用人民币表示，单位为元，精确到百分位。</w:t>
      </w:r>
    </w:p>
    <w:p w14:paraId="27794F3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4、报价一经涂改，应在涂改处加盖单位公章或者由法定代表人或授权委托人签字，否则其报价无效。</w:t>
      </w:r>
    </w:p>
    <w:p w14:paraId="600A61C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表投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评标委员会无法评判或无法计分而给供应商造成的损失由供应商自行负责，如因供应商提供虚假材料以谋取中标的责任亦由供应商自行负责。</w:t>
      </w:r>
    </w:p>
    <w:p w14:paraId="3D885B0B">
      <w:pPr>
        <w:spacing w:line="360" w:lineRule="exact"/>
        <w:ind w:firstLine="420" w:firstLineChars="200"/>
        <w:rPr>
          <w:rFonts w:ascii="宋体" w:hAnsi="宋体"/>
          <w:color w:val="000000" w:themeColor="text1"/>
          <w:szCs w:val="21"/>
          <w14:textFill>
            <w14:solidFill>
              <w14:schemeClr w14:val="tx1"/>
            </w14:solidFill>
          </w14:textFill>
        </w:rPr>
      </w:pPr>
    </w:p>
    <w:p w14:paraId="6AC56088">
      <w:pPr>
        <w:spacing w:line="360" w:lineRule="exact"/>
        <w:ind w:firstLine="420" w:firstLineChars="200"/>
        <w:rPr>
          <w:rFonts w:ascii="宋体" w:hAnsi="宋体"/>
          <w:color w:val="000000" w:themeColor="text1"/>
          <w:szCs w:val="21"/>
          <w14:textFill>
            <w14:solidFill>
              <w14:schemeClr w14:val="tx1"/>
            </w14:solidFill>
          </w14:textFill>
        </w:rPr>
      </w:pPr>
    </w:p>
    <w:p w14:paraId="118998A0">
      <w:pPr>
        <w:spacing w:line="360" w:lineRule="exact"/>
        <w:ind w:firstLine="420" w:firstLineChars="2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08D5B0CC">
      <w:pPr>
        <w:spacing w:line="360" w:lineRule="exact"/>
        <w:ind w:firstLine="420" w:firstLineChars="2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30119A30">
      <w:pPr>
        <w:spacing w:line="360" w:lineRule="exact"/>
        <w:ind w:firstLine="420" w:firstLineChars="200"/>
        <w:rPr>
          <w:rFonts w:ascii="宋体" w:hAnsi="宋体" w:cs="宋体"/>
          <w:color w:val="000000" w:themeColor="text1"/>
          <w:szCs w:val="21"/>
          <w14:textFill>
            <w14:solidFill>
              <w14:schemeClr w14:val="tx1"/>
            </w14:solidFill>
          </w14:textFill>
        </w:rPr>
      </w:pPr>
    </w:p>
    <w:p w14:paraId="5D3551A8">
      <w:pPr>
        <w:spacing w:line="300" w:lineRule="auto"/>
        <w:jc w:val="center"/>
        <w:rPr>
          <w:rFonts w:ascii="宋体" w:hAnsi="宋体" w:cs="宋体"/>
          <w:b/>
          <w:color w:val="000000" w:themeColor="text1"/>
          <w:sz w:val="32"/>
          <w:szCs w:val="32"/>
          <w14:textFill>
            <w14:solidFill>
              <w14:schemeClr w14:val="tx1"/>
            </w14:solidFill>
          </w14:textFill>
        </w:rPr>
      </w:pPr>
    </w:p>
    <w:p w14:paraId="343B4848">
      <w:pPr>
        <w:spacing w:line="500" w:lineRule="exact"/>
        <w:jc w:val="center"/>
        <w:rPr>
          <w:rFonts w:ascii="宋体" w:hAnsi="宋体"/>
          <w:color w:val="000000" w:themeColor="text1"/>
          <w:sz w:val="44"/>
          <w:szCs w:val="20"/>
          <w14:textFill>
            <w14:solidFill>
              <w14:schemeClr w14:val="tx1"/>
            </w14:solidFill>
          </w14:textFill>
        </w:rPr>
      </w:pPr>
    </w:p>
    <w:p w14:paraId="6B798F17">
      <w:pPr>
        <w:spacing w:line="500" w:lineRule="exact"/>
        <w:jc w:val="center"/>
        <w:rPr>
          <w:rFonts w:ascii="宋体" w:hAnsi="宋体"/>
          <w:color w:val="000000" w:themeColor="text1"/>
          <w:sz w:val="44"/>
          <w:szCs w:val="20"/>
          <w14:textFill>
            <w14:solidFill>
              <w14:schemeClr w14:val="tx1"/>
            </w14:solidFill>
          </w14:textFill>
        </w:rPr>
      </w:pPr>
      <w:r>
        <w:rPr>
          <w:rFonts w:hint="eastAsia" w:ascii="宋体" w:hAnsi="宋体"/>
          <w:color w:val="000000" w:themeColor="text1"/>
          <w:sz w:val="44"/>
          <w:szCs w:val="20"/>
          <w14:textFill>
            <w14:solidFill>
              <w14:schemeClr w14:val="tx1"/>
            </w14:solidFill>
          </w14:textFill>
        </w:rPr>
        <w:t>最后报价明细表</w:t>
      </w:r>
    </w:p>
    <w:p w14:paraId="18BD799E">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14:paraId="3A874CA3">
      <w:pPr>
        <w:snapToGrid w:val="0"/>
        <w:spacing w:before="50" w:after="5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w:t>
      </w:r>
    </w:p>
    <w:p w14:paraId="5EB4FCB7">
      <w:pPr>
        <w:spacing w:line="500" w:lineRule="exact"/>
        <w:ind w:firstLine="8190" w:firstLineChars="3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单位：元</w:t>
      </w:r>
    </w:p>
    <w:tbl>
      <w:tblPr>
        <w:tblStyle w:val="3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230"/>
        <w:gridCol w:w="1638"/>
        <w:gridCol w:w="1051"/>
        <w:gridCol w:w="878"/>
        <w:gridCol w:w="1066"/>
        <w:gridCol w:w="1404"/>
      </w:tblGrid>
      <w:tr w14:paraId="2C281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vAlign w:val="top"/>
          </w:tcPr>
          <w:p w14:paraId="7FD37833">
            <w:pPr>
              <w:pStyle w:val="86"/>
              <w:spacing w:before="110"/>
              <w:ind w:left="100" w:leftChars="0" w:right="224" w:right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项号</w:t>
            </w:r>
          </w:p>
        </w:tc>
        <w:tc>
          <w:tcPr>
            <w:tcW w:w="1603" w:type="dxa"/>
            <w:vAlign w:val="top"/>
          </w:tcPr>
          <w:p w14:paraId="47CFCA5B">
            <w:pPr>
              <w:pStyle w:val="86"/>
              <w:spacing w:before="110"/>
              <w:ind w:left="0" w:leftChars="0" w:right="0" w:rightChars="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货物名称</w:t>
            </w:r>
          </w:p>
        </w:tc>
        <w:tc>
          <w:tcPr>
            <w:tcW w:w="1230" w:type="dxa"/>
            <w:vAlign w:val="top"/>
          </w:tcPr>
          <w:p w14:paraId="76B95D2B">
            <w:pPr>
              <w:pStyle w:val="86"/>
              <w:spacing w:before="110"/>
              <w:ind w:left="0" w:leftChars="0" w:right="0" w:rightChars="0" w:firstLine="0" w:firstLineChars="0"/>
              <w:jc w:val="center"/>
              <w:rPr>
                <w:rFonts w:hint="eastAsia"/>
                <w:b/>
                <w:color w:val="000000" w:themeColor="text1"/>
                <w:sz w:val="21"/>
                <w:lang w:eastAsia="zh-CN"/>
                <w14:textFill>
                  <w14:solidFill>
                    <w14:schemeClr w14:val="tx1"/>
                  </w14:solidFill>
                </w14:textFill>
              </w:rPr>
            </w:pPr>
            <w:r>
              <w:rPr>
                <w:rFonts w:hint="eastAsia"/>
                <w:b/>
                <w:color w:val="000000" w:themeColor="text1"/>
                <w:sz w:val="21"/>
                <w14:textFill>
                  <w14:solidFill>
                    <w14:schemeClr w14:val="tx1"/>
                  </w14:solidFill>
                </w14:textFill>
              </w:rPr>
              <w:t>商标品牌</w:t>
            </w:r>
          </w:p>
        </w:tc>
        <w:tc>
          <w:tcPr>
            <w:tcW w:w="1638" w:type="dxa"/>
            <w:vAlign w:val="top"/>
          </w:tcPr>
          <w:p w14:paraId="2EE615AE">
            <w:pPr>
              <w:pStyle w:val="86"/>
              <w:spacing w:before="110"/>
              <w:ind w:left="0" w:leftChars="0" w:right="0" w:rightChars="0" w:firstLine="0" w:firstLineChars="0"/>
              <w:jc w:val="center"/>
              <w:rPr>
                <w:rFonts w:hint="eastAsia"/>
                <w:b/>
                <w:color w:val="000000" w:themeColor="text1"/>
                <w:sz w:val="21"/>
                <w14:textFill>
                  <w14:solidFill>
                    <w14:schemeClr w14:val="tx1"/>
                  </w14:solidFill>
                </w14:textFill>
              </w:rPr>
            </w:pPr>
            <w:r>
              <w:rPr>
                <w:rFonts w:hint="eastAsia"/>
                <w:b/>
                <w:color w:val="000000" w:themeColor="text1"/>
                <w:sz w:val="21"/>
                <w:lang w:eastAsia="zh-CN"/>
                <w14:textFill>
                  <w14:solidFill>
                    <w14:schemeClr w14:val="tx1"/>
                  </w14:solidFill>
                </w14:textFill>
              </w:rPr>
              <w:t>规格型号、参数</w:t>
            </w:r>
          </w:p>
        </w:tc>
        <w:tc>
          <w:tcPr>
            <w:tcW w:w="1051" w:type="dxa"/>
            <w:vAlign w:val="top"/>
          </w:tcPr>
          <w:p w14:paraId="0EC566A7">
            <w:pPr>
              <w:pStyle w:val="86"/>
              <w:spacing w:before="110"/>
              <w:ind w:left="0" w:leftChars="0" w:right="0" w:rightChars="0" w:firstLine="0" w:firstLineChars="0"/>
              <w:jc w:val="center"/>
              <w:rPr>
                <w:rFonts w:hint="eastAsia"/>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数量①</w:t>
            </w:r>
          </w:p>
        </w:tc>
        <w:tc>
          <w:tcPr>
            <w:tcW w:w="878" w:type="dxa"/>
            <w:vAlign w:val="top"/>
          </w:tcPr>
          <w:p w14:paraId="5A616B07">
            <w:pPr>
              <w:pStyle w:val="86"/>
              <w:spacing w:before="110"/>
              <w:ind w:left="0" w:leftChars="0" w:right="0" w:rightChars="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单位</w:t>
            </w:r>
          </w:p>
        </w:tc>
        <w:tc>
          <w:tcPr>
            <w:tcW w:w="1066" w:type="dxa"/>
            <w:vAlign w:val="top"/>
          </w:tcPr>
          <w:p w14:paraId="3443D415">
            <w:pPr>
              <w:pStyle w:val="86"/>
              <w:spacing w:before="110"/>
              <w:ind w:left="0" w:leftChars="0" w:right="0" w:rightChars="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单价②</w:t>
            </w:r>
          </w:p>
        </w:tc>
        <w:tc>
          <w:tcPr>
            <w:tcW w:w="1404" w:type="dxa"/>
            <w:vAlign w:val="top"/>
          </w:tcPr>
          <w:p w14:paraId="1BE6D820">
            <w:pPr>
              <w:pStyle w:val="86"/>
              <w:spacing w:line="291" w:lineRule="exact"/>
              <w:ind w:left="0" w:leftChars="0" w:right="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投标报价</w:t>
            </w:r>
          </w:p>
          <w:p w14:paraId="54D9FA18">
            <w:pPr>
              <w:pStyle w:val="86"/>
              <w:spacing w:line="325" w:lineRule="exact"/>
              <w:ind w:left="0" w:leftChars="0" w:right="0" w:rightChars="0"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③=①×②</w:t>
            </w:r>
          </w:p>
        </w:tc>
      </w:tr>
      <w:tr w14:paraId="1451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1339DC19">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1603" w:type="dxa"/>
          </w:tcPr>
          <w:p w14:paraId="70F97170">
            <w:pPr>
              <w:rPr>
                <w:color w:val="000000" w:themeColor="text1"/>
                <w14:textFill>
                  <w14:solidFill>
                    <w14:schemeClr w14:val="tx1"/>
                  </w14:solidFill>
                </w14:textFill>
              </w:rPr>
            </w:pPr>
          </w:p>
        </w:tc>
        <w:tc>
          <w:tcPr>
            <w:tcW w:w="1230" w:type="dxa"/>
          </w:tcPr>
          <w:p w14:paraId="794FFAF6">
            <w:pPr>
              <w:rPr>
                <w:color w:val="000000" w:themeColor="text1"/>
                <w14:textFill>
                  <w14:solidFill>
                    <w14:schemeClr w14:val="tx1"/>
                  </w14:solidFill>
                </w14:textFill>
              </w:rPr>
            </w:pPr>
          </w:p>
        </w:tc>
        <w:tc>
          <w:tcPr>
            <w:tcW w:w="1638" w:type="dxa"/>
          </w:tcPr>
          <w:p w14:paraId="63F07407">
            <w:pPr>
              <w:rPr>
                <w:color w:val="000000" w:themeColor="text1"/>
                <w14:textFill>
                  <w14:solidFill>
                    <w14:schemeClr w14:val="tx1"/>
                  </w14:solidFill>
                </w14:textFill>
              </w:rPr>
            </w:pPr>
          </w:p>
        </w:tc>
        <w:tc>
          <w:tcPr>
            <w:tcW w:w="1051" w:type="dxa"/>
          </w:tcPr>
          <w:p w14:paraId="0E1B5F52">
            <w:pPr>
              <w:rPr>
                <w:color w:val="000000" w:themeColor="text1"/>
                <w14:textFill>
                  <w14:solidFill>
                    <w14:schemeClr w14:val="tx1"/>
                  </w14:solidFill>
                </w14:textFill>
              </w:rPr>
            </w:pPr>
          </w:p>
        </w:tc>
        <w:tc>
          <w:tcPr>
            <w:tcW w:w="878" w:type="dxa"/>
          </w:tcPr>
          <w:p w14:paraId="1ABE236A">
            <w:pPr>
              <w:rPr>
                <w:color w:val="000000" w:themeColor="text1"/>
                <w14:textFill>
                  <w14:solidFill>
                    <w14:schemeClr w14:val="tx1"/>
                  </w14:solidFill>
                </w14:textFill>
              </w:rPr>
            </w:pPr>
          </w:p>
        </w:tc>
        <w:tc>
          <w:tcPr>
            <w:tcW w:w="1066" w:type="dxa"/>
          </w:tcPr>
          <w:p w14:paraId="62BC81E6">
            <w:pPr>
              <w:rPr>
                <w:color w:val="000000" w:themeColor="text1"/>
                <w14:textFill>
                  <w14:solidFill>
                    <w14:schemeClr w14:val="tx1"/>
                  </w14:solidFill>
                </w14:textFill>
              </w:rPr>
            </w:pPr>
          </w:p>
        </w:tc>
        <w:tc>
          <w:tcPr>
            <w:tcW w:w="1404" w:type="dxa"/>
          </w:tcPr>
          <w:p w14:paraId="2F97F33E">
            <w:pPr>
              <w:rPr>
                <w:color w:val="000000" w:themeColor="text1"/>
                <w14:textFill>
                  <w14:solidFill>
                    <w14:schemeClr w14:val="tx1"/>
                  </w14:solidFill>
                </w14:textFill>
              </w:rPr>
            </w:pPr>
          </w:p>
        </w:tc>
      </w:tr>
      <w:tr w14:paraId="025D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DCEB3E4">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w:t>
            </w:r>
          </w:p>
        </w:tc>
        <w:tc>
          <w:tcPr>
            <w:tcW w:w="1603" w:type="dxa"/>
          </w:tcPr>
          <w:p w14:paraId="58D6E3D2">
            <w:pPr>
              <w:rPr>
                <w:color w:val="000000" w:themeColor="text1"/>
                <w14:textFill>
                  <w14:solidFill>
                    <w14:schemeClr w14:val="tx1"/>
                  </w14:solidFill>
                </w14:textFill>
              </w:rPr>
            </w:pPr>
          </w:p>
        </w:tc>
        <w:tc>
          <w:tcPr>
            <w:tcW w:w="1230" w:type="dxa"/>
          </w:tcPr>
          <w:p w14:paraId="32CEEDF8">
            <w:pPr>
              <w:rPr>
                <w:color w:val="000000" w:themeColor="text1"/>
                <w14:textFill>
                  <w14:solidFill>
                    <w14:schemeClr w14:val="tx1"/>
                  </w14:solidFill>
                </w14:textFill>
              </w:rPr>
            </w:pPr>
          </w:p>
        </w:tc>
        <w:tc>
          <w:tcPr>
            <w:tcW w:w="1638" w:type="dxa"/>
          </w:tcPr>
          <w:p w14:paraId="00C828D7">
            <w:pPr>
              <w:rPr>
                <w:color w:val="000000" w:themeColor="text1"/>
                <w14:textFill>
                  <w14:solidFill>
                    <w14:schemeClr w14:val="tx1"/>
                  </w14:solidFill>
                </w14:textFill>
              </w:rPr>
            </w:pPr>
          </w:p>
        </w:tc>
        <w:tc>
          <w:tcPr>
            <w:tcW w:w="1051" w:type="dxa"/>
          </w:tcPr>
          <w:p w14:paraId="58EE35D3">
            <w:pPr>
              <w:rPr>
                <w:color w:val="000000" w:themeColor="text1"/>
                <w14:textFill>
                  <w14:solidFill>
                    <w14:schemeClr w14:val="tx1"/>
                  </w14:solidFill>
                </w14:textFill>
              </w:rPr>
            </w:pPr>
          </w:p>
        </w:tc>
        <w:tc>
          <w:tcPr>
            <w:tcW w:w="878" w:type="dxa"/>
          </w:tcPr>
          <w:p w14:paraId="35E3C25A">
            <w:pPr>
              <w:rPr>
                <w:color w:val="000000" w:themeColor="text1"/>
                <w14:textFill>
                  <w14:solidFill>
                    <w14:schemeClr w14:val="tx1"/>
                  </w14:solidFill>
                </w14:textFill>
              </w:rPr>
            </w:pPr>
          </w:p>
        </w:tc>
        <w:tc>
          <w:tcPr>
            <w:tcW w:w="1066" w:type="dxa"/>
          </w:tcPr>
          <w:p w14:paraId="417EAF46">
            <w:pPr>
              <w:rPr>
                <w:color w:val="000000" w:themeColor="text1"/>
                <w14:textFill>
                  <w14:solidFill>
                    <w14:schemeClr w14:val="tx1"/>
                  </w14:solidFill>
                </w14:textFill>
              </w:rPr>
            </w:pPr>
          </w:p>
        </w:tc>
        <w:tc>
          <w:tcPr>
            <w:tcW w:w="1404" w:type="dxa"/>
          </w:tcPr>
          <w:p w14:paraId="3F1F0D1E">
            <w:pPr>
              <w:rPr>
                <w:color w:val="000000" w:themeColor="text1"/>
                <w14:textFill>
                  <w14:solidFill>
                    <w14:schemeClr w14:val="tx1"/>
                  </w14:solidFill>
                </w14:textFill>
              </w:rPr>
            </w:pPr>
          </w:p>
        </w:tc>
      </w:tr>
      <w:tr w14:paraId="1F2E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543A89E9">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1603" w:type="dxa"/>
          </w:tcPr>
          <w:p w14:paraId="311DBF37">
            <w:pPr>
              <w:rPr>
                <w:color w:val="000000" w:themeColor="text1"/>
                <w14:textFill>
                  <w14:solidFill>
                    <w14:schemeClr w14:val="tx1"/>
                  </w14:solidFill>
                </w14:textFill>
              </w:rPr>
            </w:pPr>
          </w:p>
        </w:tc>
        <w:tc>
          <w:tcPr>
            <w:tcW w:w="1230" w:type="dxa"/>
          </w:tcPr>
          <w:p w14:paraId="08F62957">
            <w:pPr>
              <w:rPr>
                <w:color w:val="000000" w:themeColor="text1"/>
                <w14:textFill>
                  <w14:solidFill>
                    <w14:schemeClr w14:val="tx1"/>
                  </w14:solidFill>
                </w14:textFill>
              </w:rPr>
            </w:pPr>
          </w:p>
        </w:tc>
        <w:tc>
          <w:tcPr>
            <w:tcW w:w="1638" w:type="dxa"/>
          </w:tcPr>
          <w:p w14:paraId="608344FF">
            <w:pPr>
              <w:rPr>
                <w:color w:val="000000" w:themeColor="text1"/>
                <w14:textFill>
                  <w14:solidFill>
                    <w14:schemeClr w14:val="tx1"/>
                  </w14:solidFill>
                </w14:textFill>
              </w:rPr>
            </w:pPr>
          </w:p>
        </w:tc>
        <w:tc>
          <w:tcPr>
            <w:tcW w:w="1051" w:type="dxa"/>
          </w:tcPr>
          <w:p w14:paraId="3DC3FAA1">
            <w:pPr>
              <w:rPr>
                <w:color w:val="000000" w:themeColor="text1"/>
                <w14:textFill>
                  <w14:solidFill>
                    <w14:schemeClr w14:val="tx1"/>
                  </w14:solidFill>
                </w14:textFill>
              </w:rPr>
            </w:pPr>
          </w:p>
        </w:tc>
        <w:tc>
          <w:tcPr>
            <w:tcW w:w="878" w:type="dxa"/>
          </w:tcPr>
          <w:p w14:paraId="0A3D6B10">
            <w:pPr>
              <w:rPr>
                <w:color w:val="000000" w:themeColor="text1"/>
                <w14:textFill>
                  <w14:solidFill>
                    <w14:schemeClr w14:val="tx1"/>
                  </w14:solidFill>
                </w14:textFill>
              </w:rPr>
            </w:pPr>
          </w:p>
        </w:tc>
        <w:tc>
          <w:tcPr>
            <w:tcW w:w="1066" w:type="dxa"/>
          </w:tcPr>
          <w:p w14:paraId="11DC9140">
            <w:pPr>
              <w:rPr>
                <w:color w:val="000000" w:themeColor="text1"/>
                <w14:textFill>
                  <w14:solidFill>
                    <w14:schemeClr w14:val="tx1"/>
                  </w14:solidFill>
                </w14:textFill>
              </w:rPr>
            </w:pPr>
          </w:p>
        </w:tc>
        <w:tc>
          <w:tcPr>
            <w:tcW w:w="1404" w:type="dxa"/>
          </w:tcPr>
          <w:p w14:paraId="510BF9EB">
            <w:pPr>
              <w:rPr>
                <w:color w:val="000000" w:themeColor="text1"/>
                <w14:textFill>
                  <w14:solidFill>
                    <w14:schemeClr w14:val="tx1"/>
                  </w14:solidFill>
                </w14:textFill>
              </w:rPr>
            </w:pPr>
          </w:p>
        </w:tc>
      </w:tr>
      <w:tr w14:paraId="261E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668E11B7">
            <w:pPr>
              <w:pStyle w:val="86"/>
              <w:spacing w:before="38"/>
              <w:ind w:left="0" w:right="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N</w:t>
            </w:r>
          </w:p>
        </w:tc>
        <w:tc>
          <w:tcPr>
            <w:tcW w:w="1603" w:type="dxa"/>
          </w:tcPr>
          <w:p w14:paraId="5A6B548F">
            <w:pPr>
              <w:rPr>
                <w:color w:val="000000" w:themeColor="text1"/>
                <w14:textFill>
                  <w14:solidFill>
                    <w14:schemeClr w14:val="tx1"/>
                  </w14:solidFill>
                </w14:textFill>
              </w:rPr>
            </w:pPr>
          </w:p>
        </w:tc>
        <w:tc>
          <w:tcPr>
            <w:tcW w:w="1230" w:type="dxa"/>
          </w:tcPr>
          <w:p w14:paraId="3CCBE08A">
            <w:pPr>
              <w:rPr>
                <w:color w:val="000000" w:themeColor="text1"/>
                <w14:textFill>
                  <w14:solidFill>
                    <w14:schemeClr w14:val="tx1"/>
                  </w14:solidFill>
                </w14:textFill>
              </w:rPr>
            </w:pPr>
          </w:p>
        </w:tc>
        <w:tc>
          <w:tcPr>
            <w:tcW w:w="1638" w:type="dxa"/>
          </w:tcPr>
          <w:p w14:paraId="25D93DBA">
            <w:pPr>
              <w:rPr>
                <w:color w:val="000000" w:themeColor="text1"/>
                <w14:textFill>
                  <w14:solidFill>
                    <w14:schemeClr w14:val="tx1"/>
                  </w14:solidFill>
                </w14:textFill>
              </w:rPr>
            </w:pPr>
          </w:p>
        </w:tc>
        <w:tc>
          <w:tcPr>
            <w:tcW w:w="1051" w:type="dxa"/>
          </w:tcPr>
          <w:p w14:paraId="4A009D9E">
            <w:pPr>
              <w:rPr>
                <w:color w:val="000000" w:themeColor="text1"/>
                <w14:textFill>
                  <w14:solidFill>
                    <w14:schemeClr w14:val="tx1"/>
                  </w14:solidFill>
                </w14:textFill>
              </w:rPr>
            </w:pPr>
          </w:p>
        </w:tc>
        <w:tc>
          <w:tcPr>
            <w:tcW w:w="878" w:type="dxa"/>
          </w:tcPr>
          <w:p w14:paraId="505E9866">
            <w:pPr>
              <w:rPr>
                <w:color w:val="000000" w:themeColor="text1"/>
                <w14:textFill>
                  <w14:solidFill>
                    <w14:schemeClr w14:val="tx1"/>
                  </w14:solidFill>
                </w14:textFill>
              </w:rPr>
            </w:pPr>
          </w:p>
        </w:tc>
        <w:tc>
          <w:tcPr>
            <w:tcW w:w="1066" w:type="dxa"/>
          </w:tcPr>
          <w:p w14:paraId="6E9C416F">
            <w:pPr>
              <w:rPr>
                <w:color w:val="000000" w:themeColor="text1"/>
                <w14:textFill>
                  <w14:solidFill>
                    <w14:schemeClr w14:val="tx1"/>
                  </w14:solidFill>
                </w14:textFill>
              </w:rPr>
            </w:pPr>
          </w:p>
        </w:tc>
        <w:tc>
          <w:tcPr>
            <w:tcW w:w="1404" w:type="dxa"/>
          </w:tcPr>
          <w:p w14:paraId="1B877289">
            <w:pPr>
              <w:rPr>
                <w:color w:val="000000" w:themeColor="text1"/>
                <w14:textFill>
                  <w14:solidFill>
                    <w14:schemeClr w14:val="tx1"/>
                  </w14:solidFill>
                </w14:textFill>
              </w:rPr>
            </w:pPr>
          </w:p>
        </w:tc>
      </w:tr>
      <w:tr w14:paraId="05BA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tcPr>
          <w:p w14:paraId="3EFD725A">
            <w:pPr>
              <w:pStyle w:val="86"/>
              <w:tabs>
                <w:tab w:val="left" w:pos="2931"/>
                <w:tab w:val="left" w:pos="4727"/>
                <w:tab w:val="left" w:pos="6699"/>
                <w:tab w:val="left" w:pos="8010"/>
                <w:tab w:val="left" w:pos="8140"/>
              </w:tabs>
              <w:spacing w:before="14" w:line="295" w:lineRule="auto"/>
              <w:ind w:left="105" w:right="142"/>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投标报价（合计金额）大写：</w:t>
            </w:r>
            <w:r>
              <w:rPr>
                <w:rFonts w:ascii="Times New Roman" w:hAnsi="Times New Roman" w:eastAsia="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hint="eastAsia"/>
                <w:color w:val="000000" w:themeColor="text1"/>
                <w:sz w:val="21"/>
                <w:szCs w:val="21"/>
                <w:lang w:eastAsia="zh-CN"/>
                <w14:textFill>
                  <w14:solidFill>
                    <w14:schemeClr w14:val="tx1"/>
                  </w14:solidFill>
                </w14:textFill>
              </w:rPr>
              <w:t>人</w:t>
            </w:r>
            <w:r>
              <w:rPr>
                <w:color w:val="000000" w:themeColor="text1"/>
                <w:spacing w:val="-72"/>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民</w:t>
            </w:r>
            <w:r>
              <w:rPr>
                <w:color w:val="000000" w:themeColor="text1"/>
                <w:spacing w:val="-67"/>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币</w:t>
            </w:r>
            <w:r>
              <w:rPr>
                <w:color w:val="000000" w:themeColor="text1"/>
                <w:spacing w:val="-67"/>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r>
              <w:rPr>
                <w:color w:val="000000" w:themeColor="text1"/>
                <w:spacing w:val="-67"/>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r>
              <w:rPr>
                <w:rFonts w:ascii="Times New Roman" w:hAnsi="Times New Roman" w:eastAsia="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ascii="Times New Roman" w:hAnsi="Times New Roman" w:eastAsia="Times New Roman"/>
                <w:color w:val="000000" w:themeColor="text1"/>
                <w:sz w:val="21"/>
                <w:szCs w:val="21"/>
                <w:u w:val="single"/>
                <w:lang w:eastAsia="zh-CN"/>
                <w14:textFill>
                  <w14:solidFill>
                    <w14:schemeClr w14:val="tx1"/>
                  </w14:solidFill>
                </w14:textFill>
              </w:rPr>
              <w:tab/>
            </w:r>
            <w:r>
              <w:rPr>
                <w:rFonts w:hint="eastAsia"/>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p>
          <w:p w14:paraId="1CF4959C">
            <w:pPr>
              <w:pStyle w:val="86"/>
              <w:tabs>
                <w:tab w:val="left" w:pos="2931"/>
                <w:tab w:val="left" w:pos="4727"/>
                <w:tab w:val="left" w:pos="6699"/>
                <w:tab w:val="left" w:pos="8010"/>
                <w:tab w:val="left" w:pos="8140"/>
              </w:tabs>
              <w:spacing w:before="14" w:line="295" w:lineRule="auto"/>
              <w:ind w:left="105" w:right="142"/>
              <w:rPr>
                <w:color w:val="000000" w:themeColor="text1"/>
                <w:sz w:val="24"/>
                <w:lang w:eastAsia="zh-CN"/>
                <w14:textFill>
                  <w14:solidFill>
                    <w14:schemeClr w14:val="tx1"/>
                  </w14:solidFill>
                </w14:textFill>
              </w:rPr>
            </w:pPr>
            <w:r>
              <w:rPr>
                <w:color w:val="000000" w:themeColor="text1"/>
                <w:sz w:val="21"/>
                <w:szCs w:val="21"/>
                <w:lang w:eastAsia="zh-CN"/>
                <w14:textFill>
                  <w14:solidFill>
                    <w14:schemeClr w14:val="tx1"/>
                  </w14:solidFill>
                </w14:textFill>
              </w:rPr>
              <w:t>属于优先采购节能产品总值为￥</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 xml:space="preserve">   </w:t>
            </w:r>
            <w:r>
              <w:rPr>
                <w:color w:val="000000" w:themeColor="text1"/>
                <w:sz w:val="21"/>
                <w:szCs w:val="21"/>
                <w:u w:val="single"/>
                <w:lang w:eastAsia="zh-CN"/>
                <w14:textFill>
                  <w14:solidFill>
                    <w14:schemeClr w14:val="tx1"/>
                  </w14:solidFill>
                </w14:textFill>
              </w:rPr>
              <w:tab/>
            </w:r>
            <w:r>
              <w:rPr>
                <w:color w:val="000000" w:themeColor="text1"/>
                <w:sz w:val="21"/>
                <w:szCs w:val="21"/>
                <w:lang w:eastAsia="zh-CN"/>
                <w14:textFill>
                  <w14:solidFill>
                    <w14:schemeClr w14:val="tx1"/>
                  </w14:solidFill>
                </w14:textFill>
              </w:rPr>
              <w:t>（具体明细详见附表），占本投标报价的比例为</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 xml:space="preserve">  </w:t>
            </w:r>
            <w:r>
              <w:rPr>
                <w:color w:val="000000" w:themeColor="text1"/>
                <w:sz w:val="21"/>
                <w:szCs w:val="21"/>
                <w:lang w:eastAsia="zh-CN"/>
                <w14:textFill>
                  <w14:solidFill>
                    <w14:schemeClr w14:val="tx1"/>
                  </w14:solidFill>
                </w14:textFill>
              </w:rPr>
              <w:t xml:space="preserve">%；属于优先采购环境标志产品总值为￥ </w:t>
            </w:r>
            <w:r>
              <w:rPr>
                <w:color w:val="000000" w:themeColor="text1"/>
                <w:sz w:val="21"/>
                <w:szCs w:val="21"/>
                <w:u w:val="single"/>
                <w:lang w:eastAsia="zh-CN"/>
                <w14:textFill>
                  <w14:solidFill>
                    <w14:schemeClr w14:val="tx1"/>
                  </w14:solidFill>
                </w14:textFill>
              </w:rPr>
              <w:tab/>
            </w:r>
            <w:r>
              <w:rPr>
                <w:color w:val="000000" w:themeColor="text1"/>
                <w:sz w:val="21"/>
                <w:szCs w:val="21"/>
                <w:lang w:eastAsia="zh-CN"/>
                <w14:textFill>
                  <w14:solidFill>
                    <w14:schemeClr w14:val="tx1"/>
                  </w14:solidFill>
                </w14:textFill>
              </w:rPr>
              <w:t>（具体明细详见附表）， 占本投标报价的比例为</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 xml:space="preserve"> </w:t>
            </w:r>
            <w:r>
              <w:rPr>
                <w:color w:val="000000" w:themeColor="text1"/>
                <w:sz w:val="21"/>
                <w:szCs w:val="21"/>
                <w:lang w:eastAsia="zh-CN"/>
                <w14:textFill>
                  <w14:solidFill>
                    <w14:schemeClr w14:val="tx1"/>
                  </w14:solidFill>
                </w14:textFill>
              </w:rPr>
              <w:t>%</w:t>
            </w:r>
            <w:r>
              <w:rPr>
                <w:rFonts w:hint="eastAsia"/>
                <w:color w:val="000000" w:themeColor="text1"/>
                <w:sz w:val="21"/>
                <w:szCs w:val="21"/>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 xml:space="preserve"> </w:t>
            </w:r>
          </w:p>
        </w:tc>
      </w:tr>
      <w:tr w14:paraId="5A32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jc w:val="center"/>
        </w:trPr>
        <w:tc>
          <w:tcPr>
            <w:tcW w:w="9782" w:type="dxa"/>
            <w:gridSpan w:val="8"/>
            <w:vAlign w:val="center"/>
          </w:tcPr>
          <w:p w14:paraId="4CC435CB">
            <w:pPr>
              <w:pStyle w:val="86"/>
              <w:tabs>
                <w:tab w:val="left" w:pos="2931"/>
                <w:tab w:val="left" w:pos="4727"/>
                <w:tab w:val="left" w:pos="6699"/>
                <w:tab w:val="left" w:pos="8010"/>
                <w:tab w:val="left" w:pos="8140"/>
              </w:tabs>
              <w:spacing w:before="14" w:line="295" w:lineRule="auto"/>
              <w:ind w:left="105" w:right="142"/>
              <w:jc w:val="both"/>
              <w:rPr>
                <w:color w:val="000000" w:themeColor="text1"/>
                <w:sz w:val="2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合同期限</w:t>
            </w:r>
            <w:r>
              <w:rPr>
                <w:rFonts w:hint="eastAsia"/>
                <w:b/>
                <w:color w:val="000000" w:themeColor="text1"/>
                <w:sz w:val="21"/>
                <w:szCs w:val="21"/>
                <w:lang w:eastAsia="zh-CN"/>
                <w14:textFill>
                  <w14:solidFill>
                    <w14:schemeClr w14:val="tx1"/>
                  </w14:solidFill>
                </w14:textFill>
              </w:rPr>
              <w:t>：</w:t>
            </w:r>
          </w:p>
        </w:tc>
      </w:tr>
    </w:tbl>
    <w:p w14:paraId="6796C1E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注： </w:t>
      </w:r>
    </w:p>
    <w:p w14:paraId="39DB2E7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08C3EC7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参加谈判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14:paraId="3E2B1E5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3、所有价格均用人民币表示，单位为元，精确到百分位。</w:t>
      </w:r>
    </w:p>
    <w:p w14:paraId="3424709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4、报价一经涂改，应在涂改处加盖单位公章或者由法定代表人或授权委托人签字，否则其报价无效。</w:t>
      </w:r>
    </w:p>
    <w:p w14:paraId="0B9FD1E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本表投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评标委员会无法评判或无法计分而给供应商造成的损失由供应商自行负责，如因供应商提供虚假材料以谋取中标的责任亦由供应商自行负责。</w:t>
      </w:r>
    </w:p>
    <w:p w14:paraId="48CAA18B">
      <w:pPr>
        <w:spacing w:line="360" w:lineRule="exact"/>
        <w:ind w:firstLine="420" w:firstLineChars="200"/>
        <w:rPr>
          <w:rFonts w:ascii="宋体" w:hAnsi="宋体" w:cs="仿宋_GB2312"/>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、本表为最后报价时作为最后报价格式提供，无须在首次响应文件中体现。</w:t>
      </w:r>
    </w:p>
    <w:p w14:paraId="4230B94E">
      <w:pPr>
        <w:spacing w:line="360" w:lineRule="exact"/>
        <w:ind w:firstLine="6090" w:firstLineChars="2900"/>
        <w:rPr>
          <w:rFonts w:ascii="宋体" w:hAnsi="宋体"/>
          <w:color w:val="000000" w:themeColor="text1"/>
          <w:szCs w:val="21"/>
          <w14:textFill>
            <w14:solidFill>
              <w14:schemeClr w14:val="tx1"/>
            </w14:solidFill>
          </w14:textFill>
        </w:rPr>
      </w:pPr>
    </w:p>
    <w:p w14:paraId="0660CAFB">
      <w:pPr>
        <w:spacing w:line="360" w:lineRule="exact"/>
        <w:ind w:firstLine="6090" w:firstLineChars="2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5FD170BB">
      <w:pPr>
        <w:spacing w:line="360" w:lineRule="exact"/>
        <w:ind w:firstLine="6300" w:firstLineChars="30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5192834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195AA8D3">
      <w:pPr>
        <w:pStyle w:val="5"/>
        <w:rPr>
          <w:rFonts w:ascii="宋体" w:hAnsi="宋体"/>
          <w:color w:val="000000" w:themeColor="text1"/>
          <w14:textFill>
            <w14:solidFill>
              <w14:schemeClr w14:val="tx1"/>
            </w14:solidFill>
          </w14:textFill>
        </w:rPr>
      </w:pPr>
      <w:bookmarkStart w:id="27" w:name="_Toc19961"/>
      <w:r>
        <w:rPr>
          <w:rFonts w:hint="eastAsia" w:ascii="宋体" w:hAnsi="宋体"/>
          <w:color w:val="000000" w:themeColor="text1"/>
          <w14:textFill>
            <w14:solidFill>
              <w14:schemeClr w14:val="tx1"/>
            </w14:solidFill>
          </w14:textFill>
        </w:rPr>
        <w:t>第五章 合同主要（基本条款）</w:t>
      </w:r>
      <w:bookmarkEnd w:id="27"/>
    </w:p>
    <w:p w14:paraId="2B8A3FEE">
      <w:pPr>
        <w:pStyle w:val="127"/>
        <w:jc w:val="center"/>
        <w:rPr>
          <w:rFonts w:ascii="宋体" w:hAnsi="宋体" w:eastAsia="宋体" w:cs="宋体"/>
          <w:color w:val="000000" w:themeColor="text1"/>
          <w14:textFill>
            <w14:solidFill>
              <w14:schemeClr w14:val="tx1"/>
            </w14:solidFill>
          </w14:textFill>
        </w:rPr>
      </w:pPr>
      <w:bookmarkStart w:id="28" w:name="_Toc296503025"/>
      <w:bookmarkStart w:id="29" w:name="_Toc407135191"/>
      <w:bookmarkStart w:id="30" w:name="_Toc373227552"/>
      <w:bookmarkStart w:id="31" w:name="_Toc351203480"/>
      <w:bookmarkStart w:id="32" w:name="_Toc1756478213"/>
      <w:bookmarkStart w:id="33" w:name="_Toc296890982"/>
      <w:bookmarkStart w:id="34" w:name="_Toc724920571"/>
      <w:bookmarkStart w:id="35" w:name="_Toc389065255"/>
      <w:bookmarkStart w:id="36" w:name="_Toc78449777"/>
      <w:bookmarkStart w:id="37" w:name="_Toc373478199"/>
    </w:p>
    <w:p w14:paraId="2915BEC6">
      <w:pPr>
        <w:pStyle w:val="128"/>
        <w:adjustRightInd w:val="0"/>
        <w:snapToGrid w:val="0"/>
        <w:spacing w:line="800" w:lineRule="exact"/>
        <w:contextualSpacing/>
        <w:jc w:val="center"/>
        <w:rPr>
          <w:rFonts w:ascii="宋体" w:hAnsi="宋体" w:cs="宋体"/>
          <w:b/>
          <w:bCs/>
          <w:color w:val="000000" w:themeColor="text1"/>
          <w:sz w:val="44"/>
          <w:szCs w:val="44"/>
          <w14:textFill>
            <w14:solidFill>
              <w14:schemeClr w14:val="tx1"/>
            </w14:solidFill>
          </w14:textFill>
        </w:rPr>
      </w:pPr>
      <w:bookmarkStart w:id="38" w:name="_Toc74156273"/>
      <w:bookmarkStart w:id="39" w:name="_Toc74156228"/>
      <w:bookmarkStart w:id="40" w:name="_Toc403396429"/>
    </w:p>
    <w:p w14:paraId="23FE0627">
      <w:pPr>
        <w:pStyle w:val="128"/>
        <w:adjustRightInd w:val="0"/>
        <w:snapToGrid w:val="0"/>
        <w:spacing w:line="800" w:lineRule="exact"/>
        <w:contextualSpacing/>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bCs/>
          <w:color w:val="000000" w:themeColor="text1"/>
          <w:sz w:val="84"/>
          <w:szCs w:val="84"/>
          <w14:textFill>
            <w14:solidFill>
              <w14:schemeClr w14:val="tx1"/>
            </w14:solidFill>
          </w14:textFill>
        </w:rPr>
        <w:t>政府采购合同</w:t>
      </w:r>
    </w:p>
    <w:p w14:paraId="75F2ABF2">
      <w:pPr>
        <w:pStyle w:val="128"/>
        <w:adjustRightInd w:val="0"/>
        <w:snapToGrid w:val="0"/>
        <w:spacing w:line="800" w:lineRule="exact"/>
        <w:contextualSpacing/>
        <w:rPr>
          <w:rFonts w:ascii="宋体" w:hAnsi="宋体" w:cs="宋体"/>
          <w:b/>
          <w:color w:val="000000" w:themeColor="text1"/>
          <w:sz w:val="32"/>
          <w:szCs w:val="32"/>
          <w14:textFill>
            <w14:solidFill>
              <w14:schemeClr w14:val="tx1"/>
            </w14:solidFill>
          </w14:textFill>
        </w:rPr>
      </w:pPr>
    </w:p>
    <w:p w14:paraId="65E0F132">
      <w:pPr>
        <w:spacing w:line="360" w:lineRule="exact"/>
        <w:ind w:left="2202" w:leftChars="284" w:hanging="1606" w:hangingChars="500"/>
        <w:rPr>
          <w:rFonts w:ascii="宋体" w:hAnsi="宋体" w:cs="宋体"/>
          <w:b/>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14:textFill>
            <w14:solidFill>
              <w14:schemeClr w14:val="tx1"/>
            </w14:solidFill>
          </w14:textFill>
        </w:rPr>
        <w:t xml:space="preserve"> </w:t>
      </w:r>
    </w:p>
    <w:p w14:paraId="174E6BDF">
      <w:pPr>
        <w:spacing w:line="360" w:lineRule="exact"/>
        <w:ind w:firstLine="643" w:firstLineChars="200"/>
        <w:rPr>
          <w:rFonts w:ascii="宋体" w:hAnsi="宋体" w:cs="宋体"/>
          <w:b/>
          <w:color w:val="000000" w:themeColor="text1"/>
          <w:sz w:val="32"/>
          <w:szCs w:val="32"/>
          <w14:textFill>
            <w14:solidFill>
              <w14:schemeClr w14:val="tx1"/>
            </w14:solidFill>
          </w14:textFill>
        </w:rPr>
      </w:pPr>
    </w:p>
    <w:p w14:paraId="5013F567">
      <w:pPr>
        <w:spacing w:line="360" w:lineRule="exact"/>
        <w:ind w:firstLine="643" w:firstLineChars="200"/>
        <w:rPr>
          <w:rFonts w:ascii="宋体" w:hAnsi="宋体" w:cs="宋体"/>
          <w:b/>
          <w:color w:val="000000" w:themeColor="text1"/>
          <w:sz w:val="32"/>
          <w:szCs w:val="32"/>
          <w14:textFill>
            <w14:solidFill>
              <w14:schemeClr w14:val="tx1"/>
            </w14:solidFill>
          </w14:textFill>
        </w:rPr>
      </w:pPr>
    </w:p>
    <w:p w14:paraId="4A38DEC3">
      <w:pPr>
        <w:spacing w:line="360" w:lineRule="exact"/>
        <w:ind w:firstLine="643" w:firstLineChars="2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r>
        <w:rPr>
          <w:rFonts w:hint="eastAsia" w:ascii="宋体" w:hAnsi="宋体" w:cs="宋体"/>
          <w:b/>
          <w:bCs/>
          <w:color w:val="000000" w:themeColor="text1"/>
          <w:sz w:val="32"/>
          <w:szCs w:val="32"/>
          <w14:textFill>
            <w14:solidFill>
              <w14:schemeClr w14:val="tx1"/>
            </w14:solidFill>
          </w14:textFill>
        </w:rPr>
        <w:t xml:space="preserve"> </w:t>
      </w:r>
    </w:p>
    <w:p w14:paraId="4EA2832E">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728BB3F4">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69EA9469">
      <w:pPr>
        <w:spacing w:line="360" w:lineRule="exact"/>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合同编号： </w:t>
      </w:r>
    </w:p>
    <w:p w14:paraId="1E07EE8C">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564FB0C8">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04CFA314">
      <w:pPr>
        <w:spacing w:line="360" w:lineRule="exact"/>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合同甲方：柳州市城市照明管理处</w:t>
      </w:r>
    </w:p>
    <w:p w14:paraId="6F00115F">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64169A10">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6E8611E7">
      <w:pPr>
        <w:spacing w:line="360" w:lineRule="exact"/>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合同乙方：  </w:t>
      </w:r>
    </w:p>
    <w:p w14:paraId="51FB5A1A">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370F5BDA">
      <w:pPr>
        <w:spacing w:line="360" w:lineRule="exact"/>
        <w:ind w:firstLine="643" w:firstLineChars="200"/>
        <w:rPr>
          <w:rFonts w:ascii="宋体" w:hAnsi="宋体" w:cs="宋体"/>
          <w:b/>
          <w:bCs/>
          <w:color w:val="000000" w:themeColor="text1"/>
          <w:sz w:val="32"/>
          <w:szCs w:val="32"/>
          <w14:textFill>
            <w14:solidFill>
              <w14:schemeClr w14:val="tx1"/>
            </w14:solidFill>
          </w14:textFill>
        </w:rPr>
      </w:pPr>
    </w:p>
    <w:p w14:paraId="4CC05BBF">
      <w:pPr>
        <w:spacing w:line="360" w:lineRule="exact"/>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合同签订时间：202</w:t>
      </w:r>
      <w:r>
        <w:rPr>
          <w:rFonts w:hint="eastAsia" w:ascii="宋体" w:hAnsi="宋体" w:cs="宋体"/>
          <w:b/>
          <w:bCs/>
          <w:color w:val="000000" w:themeColor="text1"/>
          <w:sz w:val="32"/>
          <w:szCs w:val="32"/>
          <w:lang w:val="en-US" w:eastAsia="zh-CN"/>
          <w14:textFill>
            <w14:solidFill>
              <w14:schemeClr w14:val="tx1"/>
            </w14:solidFill>
          </w14:textFill>
        </w:rPr>
        <w:t>6</w:t>
      </w:r>
      <w:r>
        <w:rPr>
          <w:rFonts w:hint="eastAsia" w:ascii="宋体" w:hAnsi="宋体" w:cs="宋体"/>
          <w:b/>
          <w:bCs/>
          <w:color w:val="000000" w:themeColor="text1"/>
          <w:sz w:val="32"/>
          <w:szCs w:val="32"/>
          <w14:textFill>
            <w14:solidFill>
              <w14:schemeClr w14:val="tx1"/>
            </w14:solidFill>
          </w14:textFill>
        </w:rPr>
        <w:t>年  月  日</w:t>
      </w:r>
    </w:p>
    <w:p w14:paraId="1FDBC141">
      <w:pPr>
        <w:pStyle w:val="128"/>
        <w:adjustRightInd w:val="0"/>
        <w:snapToGrid w:val="0"/>
        <w:spacing w:line="800" w:lineRule="exact"/>
        <w:contextualSpacing/>
        <w:rPr>
          <w:rFonts w:ascii="宋体" w:hAnsi="宋体" w:cs="宋体"/>
          <w:b/>
          <w:bCs/>
          <w:color w:val="000000" w:themeColor="text1"/>
          <w:sz w:val="32"/>
          <w:szCs w:val="32"/>
          <w:u w:val="single"/>
          <w14:textFill>
            <w14:solidFill>
              <w14:schemeClr w14:val="tx1"/>
            </w14:solidFill>
          </w14:textFill>
        </w:rPr>
      </w:pPr>
    </w:p>
    <w:p w14:paraId="3ECF7D17">
      <w:pPr>
        <w:pStyle w:val="128"/>
        <w:adjustRightInd w:val="0"/>
        <w:snapToGrid w:val="0"/>
        <w:spacing w:line="800" w:lineRule="exact"/>
        <w:contextualSpacing/>
        <w:rPr>
          <w:rFonts w:ascii="宋体" w:hAnsi="宋体" w:cs="宋体"/>
          <w:b/>
          <w:bCs/>
          <w:color w:val="000000" w:themeColor="text1"/>
          <w:sz w:val="32"/>
          <w:szCs w:val="32"/>
          <w:u w:val="single"/>
          <w14:textFill>
            <w14:solidFill>
              <w14:schemeClr w14:val="tx1"/>
            </w14:solidFill>
          </w14:textFill>
        </w:rPr>
      </w:pPr>
    </w:p>
    <w:p w14:paraId="1EC199E3">
      <w:pPr>
        <w:pStyle w:val="128"/>
        <w:adjustRightInd w:val="0"/>
        <w:snapToGrid w:val="0"/>
        <w:spacing w:line="800" w:lineRule="exact"/>
        <w:contextualSpacing/>
        <w:rPr>
          <w:rFonts w:ascii="宋体" w:hAnsi="宋体" w:cs="宋体"/>
          <w:b/>
          <w:bCs/>
          <w:color w:val="000000" w:themeColor="text1"/>
          <w:sz w:val="28"/>
          <w:szCs w:val="28"/>
          <w:u w:val="single"/>
          <w14:textFill>
            <w14:solidFill>
              <w14:schemeClr w14:val="tx1"/>
            </w14:solidFill>
          </w14:textFill>
        </w:rPr>
      </w:pPr>
    </w:p>
    <w:p w14:paraId="18C27475">
      <w:pPr>
        <w:pStyle w:val="128"/>
        <w:adjustRightInd w:val="0"/>
        <w:snapToGrid w:val="0"/>
        <w:spacing w:line="800" w:lineRule="exact"/>
        <w:contextualSpacing/>
        <w:rPr>
          <w:rFonts w:ascii="宋体" w:hAnsi="宋体" w:cs="宋体"/>
          <w:b/>
          <w:bCs/>
          <w:color w:val="000000" w:themeColor="text1"/>
          <w:sz w:val="28"/>
          <w:szCs w:val="28"/>
          <w:u w:val="single"/>
          <w14:textFill>
            <w14:solidFill>
              <w14:schemeClr w14:val="tx1"/>
            </w14:solidFill>
          </w14:textFill>
        </w:rPr>
      </w:pPr>
    </w:p>
    <w:p w14:paraId="2D3FB6EB">
      <w:pPr>
        <w:pStyle w:val="128"/>
        <w:adjustRightInd w:val="0"/>
        <w:snapToGrid w:val="0"/>
        <w:spacing w:line="800" w:lineRule="exact"/>
        <w:contextualSpacing/>
        <w:rPr>
          <w:rFonts w:ascii="宋体" w:hAnsi="宋体" w:cs="宋体"/>
          <w:b/>
          <w:bCs/>
          <w:color w:val="000000" w:themeColor="text1"/>
          <w:sz w:val="28"/>
          <w:szCs w:val="28"/>
          <w:u w:val="single"/>
          <w14:textFill>
            <w14:solidFill>
              <w14:schemeClr w14:val="tx1"/>
            </w14:solidFill>
          </w14:textFill>
        </w:rPr>
      </w:pPr>
    </w:p>
    <w:p w14:paraId="0B4C680E">
      <w:pPr>
        <w:pStyle w:val="128"/>
        <w:adjustRightInd w:val="0"/>
        <w:snapToGrid w:val="0"/>
        <w:spacing w:line="800" w:lineRule="exact"/>
        <w:contextualSpacing/>
        <w:rPr>
          <w:rFonts w:ascii="宋体" w:hAnsi="宋体" w:cs="宋体"/>
          <w:b/>
          <w:bCs/>
          <w:color w:val="000000" w:themeColor="text1"/>
          <w:sz w:val="28"/>
          <w:szCs w:val="28"/>
          <w:u w:val="single"/>
          <w14:textFill>
            <w14:solidFill>
              <w14:schemeClr w14:val="tx1"/>
            </w14:solidFill>
          </w14:textFill>
        </w:rPr>
      </w:pPr>
    </w:p>
    <w:bookmarkEnd w:id="38"/>
    <w:bookmarkEnd w:id="39"/>
    <w:bookmarkEnd w:id="40"/>
    <w:p w14:paraId="0579E315">
      <w:pPr>
        <w:pStyle w:val="5"/>
        <w:spacing w:line="3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政府采购合同（基本条款）</w:t>
      </w:r>
    </w:p>
    <w:p w14:paraId="4CBF24F7">
      <w:pPr>
        <w:spacing w:line="360" w:lineRule="exact"/>
        <w:rPr>
          <w:rFonts w:ascii="宋体" w:hAnsi="宋体"/>
          <w:color w:val="000000" w:themeColor="text1"/>
          <w:szCs w:val="21"/>
          <w14:textFill>
            <w14:solidFill>
              <w14:schemeClr w14:val="tx1"/>
            </w14:solidFill>
          </w14:textFill>
        </w:rPr>
      </w:pPr>
      <w:bookmarkStart w:id="41" w:name="_Toc99768080"/>
      <w:r>
        <w:rPr>
          <w:rFonts w:hint="eastAsia" w:ascii="宋体" w:hAnsi="宋体"/>
          <w:color w:val="000000" w:themeColor="text1"/>
          <w:szCs w:val="21"/>
          <w14:textFill>
            <w14:solidFill>
              <w14:schemeClr w14:val="tx1"/>
            </w14:solidFill>
          </w14:textFill>
        </w:rPr>
        <w:t>采购单位（甲方）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采购计划号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4BC10DA2">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供应商（乙方）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项目名称和编号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5A1E9B37">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签订地点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签订时间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5BA8BD7C">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根据《中华人民共和国政府采购法》、《中华人民共和国民法典》等法律、法规规定，按照竞争性谈判文件规定条款和成交供应商竞争性谈判响应文件及其承诺，甲乙双方签订本合同。</w:t>
      </w:r>
    </w:p>
    <w:p w14:paraId="57A67533">
      <w:pPr>
        <w:pStyle w:val="19"/>
        <w:spacing w:after="0" w:line="360" w:lineRule="exact"/>
        <w:ind w:firstLine="478" w:firstLineChars="200"/>
        <w:jc w:val="both"/>
        <w:rPr>
          <w:rFonts w:hAnsi="宋体" w:cs="宋体"/>
          <w:b/>
          <w:bCs/>
          <w:color w:val="000000" w:themeColor="text1"/>
          <w:spacing w:val="14"/>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w:t>
      </w:r>
      <w:r>
        <w:rPr>
          <w:rFonts w:hint="eastAsia" w:hAnsi="宋体" w:cs="宋体"/>
          <w:color w:val="000000" w:themeColor="text1"/>
          <w:spacing w:val="-73"/>
          <w:sz w:val="21"/>
          <w:szCs w:val="21"/>
          <w14:textFill>
            <w14:solidFill>
              <w14:schemeClr w14:val="tx1"/>
            </w14:solidFill>
          </w14:textFill>
        </w:rPr>
        <w:t xml:space="preserve"> </w:t>
      </w:r>
      <w:r>
        <w:rPr>
          <w:rFonts w:hint="eastAsia" w:hAnsi="宋体" w:cs="宋体"/>
          <w:b/>
          <w:bCs/>
          <w:color w:val="000000" w:themeColor="text1"/>
          <w:spacing w:val="14"/>
          <w:sz w:val="21"/>
          <w:szCs w:val="21"/>
          <w14:textFill>
            <w14:solidFill>
              <w14:schemeClr w14:val="tx1"/>
            </w14:solidFill>
          </w14:textFill>
        </w:rPr>
        <w:t>一</w:t>
      </w:r>
      <w:r>
        <w:rPr>
          <w:rFonts w:hint="eastAsia" w:hAnsi="宋体" w:cs="宋体"/>
          <w:color w:val="000000" w:themeColor="text1"/>
          <w:spacing w:val="-79"/>
          <w:sz w:val="21"/>
          <w:szCs w:val="21"/>
          <w14:textFill>
            <w14:solidFill>
              <w14:schemeClr w14:val="tx1"/>
            </w14:solidFill>
          </w14:textFill>
        </w:rPr>
        <w:t xml:space="preserve"> </w:t>
      </w:r>
      <w:r>
        <w:rPr>
          <w:rFonts w:hint="eastAsia" w:hAnsi="宋体" w:cs="宋体"/>
          <w:b/>
          <w:bCs/>
          <w:color w:val="000000" w:themeColor="text1"/>
          <w:spacing w:val="14"/>
          <w:sz w:val="21"/>
          <w:szCs w:val="21"/>
          <w14:textFill>
            <w14:solidFill>
              <w14:schemeClr w14:val="tx1"/>
            </w14:solidFill>
          </w14:textFill>
        </w:rPr>
        <w:t>条</w:t>
      </w:r>
      <w:r>
        <w:rPr>
          <w:rFonts w:hint="eastAsia" w:hAnsi="宋体" w:cs="宋体"/>
          <w:color w:val="000000" w:themeColor="text1"/>
          <w:spacing w:val="23"/>
          <w:sz w:val="21"/>
          <w:szCs w:val="21"/>
          <w14:textFill>
            <w14:solidFill>
              <w14:schemeClr w14:val="tx1"/>
            </w14:solidFill>
          </w14:textFill>
        </w:rPr>
        <w:t xml:space="preserve"> </w:t>
      </w:r>
      <w:r>
        <w:rPr>
          <w:rFonts w:hint="eastAsia" w:hAnsi="宋体" w:cs="宋体"/>
          <w:b/>
          <w:bCs/>
          <w:color w:val="000000" w:themeColor="text1"/>
          <w:spacing w:val="14"/>
          <w:sz w:val="21"/>
          <w:szCs w:val="21"/>
          <w14:textFill>
            <w14:solidFill>
              <w14:schemeClr w14:val="tx1"/>
            </w14:solidFill>
          </w14:textFill>
        </w:rPr>
        <w:t>合同标的</w:t>
      </w:r>
    </w:p>
    <w:p w14:paraId="3E40B951">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1.供货一览表</w:t>
      </w:r>
    </w:p>
    <w:tbl>
      <w:tblPr>
        <w:tblStyle w:val="139"/>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C2F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F226D9E">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序号</w:t>
            </w:r>
          </w:p>
        </w:tc>
        <w:tc>
          <w:tcPr>
            <w:tcW w:w="1241" w:type="dxa"/>
            <w:vAlign w:val="center"/>
          </w:tcPr>
          <w:p w14:paraId="5444776C">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标的名称</w:t>
            </w:r>
          </w:p>
        </w:tc>
        <w:tc>
          <w:tcPr>
            <w:tcW w:w="996" w:type="dxa"/>
            <w:vAlign w:val="center"/>
          </w:tcPr>
          <w:p w14:paraId="4DE93195">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商标品牌</w:t>
            </w:r>
          </w:p>
        </w:tc>
        <w:tc>
          <w:tcPr>
            <w:tcW w:w="989" w:type="dxa"/>
            <w:vAlign w:val="center"/>
          </w:tcPr>
          <w:p w14:paraId="7A743C94">
            <w:pPr>
              <w:pStyle w:val="19"/>
              <w:adjustRightInd/>
              <w:spacing w:after="0" w:line="360" w:lineRule="exact"/>
              <w:jc w:val="center"/>
              <w:rPr>
                <w:rFonts w:hint="eastAsia" w:hAnsi="宋体" w:eastAsia="宋体"/>
                <w:color w:val="000000" w:themeColor="text1"/>
                <w:kern w:val="2"/>
                <w:sz w:val="21"/>
                <w:szCs w:val="21"/>
                <w:lang w:val="en-US" w:eastAsia="zh-CN"/>
                <w14:textFill>
                  <w14:solidFill>
                    <w14:schemeClr w14:val="tx1"/>
                  </w14:solidFill>
                </w14:textFill>
              </w:rPr>
            </w:pPr>
            <w:r>
              <w:rPr>
                <w:rFonts w:hint="eastAsia" w:hAnsi="宋体"/>
                <w:color w:val="000000" w:themeColor="text1"/>
                <w:kern w:val="2"/>
                <w:sz w:val="21"/>
                <w:szCs w:val="21"/>
                <w:lang w:val="en-US" w:eastAsia="zh-CN"/>
                <w14:textFill>
                  <w14:solidFill>
                    <w14:schemeClr w14:val="tx1"/>
                  </w14:solidFill>
                </w14:textFill>
              </w:rPr>
              <w:t>规格型号、参数</w:t>
            </w:r>
          </w:p>
        </w:tc>
        <w:tc>
          <w:tcPr>
            <w:tcW w:w="979" w:type="dxa"/>
            <w:vAlign w:val="center"/>
          </w:tcPr>
          <w:p w14:paraId="7F6AAB22">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生产厂家</w:t>
            </w:r>
          </w:p>
        </w:tc>
        <w:tc>
          <w:tcPr>
            <w:tcW w:w="888" w:type="dxa"/>
            <w:vAlign w:val="center"/>
          </w:tcPr>
          <w:p w14:paraId="361A82AF">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数量</w:t>
            </w:r>
          </w:p>
        </w:tc>
        <w:tc>
          <w:tcPr>
            <w:tcW w:w="968" w:type="dxa"/>
            <w:vAlign w:val="center"/>
          </w:tcPr>
          <w:p w14:paraId="175385C2">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单位</w:t>
            </w:r>
          </w:p>
        </w:tc>
        <w:tc>
          <w:tcPr>
            <w:tcW w:w="1104" w:type="dxa"/>
            <w:vAlign w:val="center"/>
          </w:tcPr>
          <w:p w14:paraId="61F376F3">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单价 (元)</w:t>
            </w:r>
          </w:p>
        </w:tc>
        <w:tc>
          <w:tcPr>
            <w:tcW w:w="1153" w:type="dxa"/>
            <w:vAlign w:val="center"/>
          </w:tcPr>
          <w:p w14:paraId="210F15CC">
            <w:pPr>
              <w:pStyle w:val="19"/>
              <w:adjustRightInd/>
              <w:spacing w:after="0"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金额 (元)</w:t>
            </w:r>
          </w:p>
        </w:tc>
      </w:tr>
      <w:tr w14:paraId="1BC4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22CC7E3D">
            <w:pPr>
              <w:pStyle w:val="138"/>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241" w:type="dxa"/>
          </w:tcPr>
          <w:p w14:paraId="165E57CF">
            <w:pPr>
              <w:spacing w:line="360" w:lineRule="exact"/>
              <w:rPr>
                <w:rFonts w:ascii="宋体" w:hAnsi="宋体" w:cs="宋体"/>
                <w:color w:val="000000" w:themeColor="text1"/>
                <w:szCs w:val="21"/>
                <w14:textFill>
                  <w14:solidFill>
                    <w14:schemeClr w14:val="tx1"/>
                  </w14:solidFill>
                </w14:textFill>
              </w:rPr>
            </w:pPr>
          </w:p>
        </w:tc>
        <w:tc>
          <w:tcPr>
            <w:tcW w:w="996" w:type="dxa"/>
          </w:tcPr>
          <w:p w14:paraId="29F523E7">
            <w:pPr>
              <w:spacing w:line="360" w:lineRule="exact"/>
              <w:rPr>
                <w:rFonts w:ascii="宋体" w:hAnsi="宋体" w:cs="宋体"/>
                <w:color w:val="000000" w:themeColor="text1"/>
                <w:szCs w:val="21"/>
                <w14:textFill>
                  <w14:solidFill>
                    <w14:schemeClr w14:val="tx1"/>
                  </w14:solidFill>
                </w14:textFill>
              </w:rPr>
            </w:pPr>
          </w:p>
        </w:tc>
        <w:tc>
          <w:tcPr>
            <w:tcW w:w="989" w:type="dxa"/>
          </w:tcPr>
          <w:p w14:paraId="6E7CE539">
            <w:pPr>
              <w:spacing w:line="360" w:lineRule="exact"/>
              <w:rPr>
                <w:rFonts w:ascii="宋体" w:hAnsi="宋体" w:cs="宋体"/>
                <w:color w:val="000000" w:themeColor="text1"/>
                <w:szCs w:val="21"/>
                <w14:textFill>
                  <w14:solidFill>
                    <w14:schemeClr w14:val="tx1"/>
                  </w14:solidFill>
                </w14:textFill>
              </w:rPr>
            </w:pPr>
          </w:p>
        </w:tc>
        <w:tc>
          <w:tcPr>
            <w:tcW w:w="979" w:type="dxa"/>
          </w:tcPr>
          <w:p w14:paraId="7F7AC8CD">
            <w:pPr>
              <w:spacing w:line="360" w:lineRule="exact"/>
              <w:rPr>
                <w:rFonts w:ascii="宋体" w:hAnsi="宋体" w:cs="宋体"/>
                <w:color w:val="000000" w:themeColor="text1"/>
                <w:szCs w:val="21"/>
                <w14:textFill>
                  <w14:solidFill>
                    <w14:schemeClr w14:val="tx1"/>
                  </w14:solidFill>
                </w14:textFill>
              </w:rPr>
            </w:pPr>
          </w:p>
        </w:tc>
        <w:tc>
          <w:tcPr>
            <w:tcW w:w="888" w:type="dxa"/>
          </w:tcPr>
          <w:p w14:paraId="10F0AB13">
            <w:pPr>
              <w:spacing w:line="360" w:lineRule="exact"/>
              <w:rPr>
                <w:rFonts w:ascii="宋体" w:hAnsi="宋体" w:cs="宋体"/>
                <w:color w:val="000000" w:themeColor="text1"/>
                <w:szCs w:val="21"/>
                <w14:textFill>
                  <w14:solidFill>
                    <w14:schemeClr w14:val="tx1"/>
                  </w14:solidFill>
                </w14:textFill>
              </w:rPr>
            </w:pPr>
          </w:p>
        </w:tc>
        <w:tc>
          <w:tcPr>
            <w:tcW w:w="968" w:type="dxa"/>
          </w:tcPr>
          <w:p w14:paraId="5242FA26">
            <w:pPr>
              <w:spacing w:line="360" w:lineRule="exact"/>
              <w:rPr>
                <w:rFonts w:ascii="宋体" w:hAnsi="宋体" w:cs="宋体"/>
                <w:color w:val="000000" w:themeColor="text1"/>
                <w:szCs w:val="21"/>
                <w14:textFill>
                  <w14:solidFill>
                    <w14:schemeClr w14:val="tx1"/>
                  </w14:solidFill>
                </w14:textFill>
              </w:rPr>
            </w:pPr>
          </w:p>
        </w:tc>
        <w:tc>
          <w:tcPr>
            <w:tcW w:w="1104" w:type="dxa"/>
          </w:tcPr>
          <w:p w14:paraId="54D74552">
            <w:pPr>
              <w:spacing w:line="360" w:lineRule="exact"/>
              <w:rPr>
                <w:rFonts w:ascii="宋体" w:hAnsi="宋体" w:cs="宋体"/>
                <w:color w:val="000000" w:themeColor="text1"/>
                <w:szCs w:val="21"/>
                <w14:textFill>
                  <w14:solidFill>
                    <w14:schemeClr w14:val="tx1"/>
                  </w14:solidFill>
                </w14:textFill>
              </w:rPr>
            </w:pPr>
          </w:p>
        </w:tc>
        <w:tc>
          <w:tcPr>
            <w:tcW w:w="1153" w:type="dxa"/>
          </w:tcPr>
          <w:p w14:paraId="26560079">
            <w:pPr>
              <w:spacing w:line="360" w:lineRule="exact"/>
              <w:rPr>
                <w:rFonts w:ascii="宋体" w:hAnsi="宋体" w:cs="宋体"/>
                <w:color w:val="000000" w:themeColor="text1"/>
                <w:szCs w:val="21"/>
                <w14:textFill>
                  <w14:solidFill>
                    <w14:schemeClr w14:val="tx1"/>
                  </w14:solidFill>
                </w14:textFill>
              </w:rPr>
            </w:pPr>
          </w:p>
        </w:tc>
      </w:tr>
      <w:tr w14:paraId="5DE6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38B02B2A">
            <w:pPr>
              <w:pStyle w:val="138"/>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241" w:type="dxa"/>
          </w:tcPr>
          <w:p w14:paraId="091A7572">
            <w:pPr>
              <w:spacing w:line="360" w:lineRule="exact"/>
              <w:rPr>
                <w:rFonts w:ascii="宋体" w:hAnsi="宋体" w:cs="宋体"/>
                <w:color w:val="000000" w:themeColor="text1"/>
                <w:szCs w:val="21"/>
                <w14:textFill>
                  <w14:solidFill>
                    <w14:schemeClr w14:val="tx1"/>
                  </w14:solidFill>
                </w14:textFill>
              </w:rPr>
            </w:pPr>
          </w:p>
        </w:tc>
        <w:tc>
          <w:tcPr>
            <w:tcW w:w="996" w:type="dxa"/>
          </w:tcPr>
          <w:p w14:paraId="47AC3130">
            <w:pPr>
              <w:spacing w:line="360" w:lineRule="exact"/>
              <w:rPr>
                <w:rFonts w:ascii="宋体" w:hAnsi="宋体" w:cs="宋体"/>
                <w:color w:val="000000" w:themeColor="text1"/>
                <w:szCs w:val="21"/>
                <w14:textFill>
                  <w14:solidFill>
                    <w14:schemeClr w14:val="tx1"/>
                  </w14:solidFill>
                </w14:textFill>
              </w:rPr>
            </w:pPr>
          </w:p>
        </w:tc>
        <w:tc>
          <w:tcPr>
            <w:tcW w:w="989" w:type="dxa"/>
          </w:tcPr>
          <w:p w14:paraId="5745ED2A">
            <w:pPr>
              <w:spacing w:line="360" w:lineRule="exact"/>
              <w:rPr>
                <w:rFonts w:ascii="宋体" w:hAnsi="宋体" w:cs="宋体"/>
                <w:color w:val="000000" w:themeColor="text1"/>
                <w:szCs w:val="21"/>
                <w14:textFill>
                  <w14:solidFill>
                    <w14:schemeClr w14:val="tx1"/>
                  </w14:solidFill>
                </w14:textFill>
              </w:rPr>
            </w:pPr>
          </w:p>
        </w:tc>
        <w:tc>
          <w:tcPr>
            <w:tcW w:w="979" w:type="dxa"/>
          </w:tcPr>
          <w:p w14:paraId="29D0BE6F">
            <w:pPr>
              <w:spacing w:line="360" w:lineRule="exact"/>
              <w:rPr>
                <w:rFonts w:ascii="宋体" w:hAnsi="宋体" w:cs="宋体"/>
                <w:color w:val="000000" w:themeColor="text1"/>
                <w:szCs w:val="21"/>
                <w14:textFill>
                  <w14:solidFill>
                    <w14:schemeClr w14:val="tx1"/>
                  </w14:solidFill>
                </w14:textFill>
              </w:rPr>
            </w:pPr>
          </w:p>
        </w:tc>
        <w:tc>
          <w:tcPr>
            <w:tcW w:w="888" w:type="dxa"/>
          </w:tcPr>
          <w:p w14:paraId="2A1952CD">
            <w:pPr>
              <w:spacing w:line="360" w:lineRule="exact"/>
              <w:rPr>
                <w:rFonts w:ascii="宋体" w:hAnsi="宋体" w:cs="宋体"/>
                <w:color w:val="000000" w:themeColor="text1"/>
                <w:szCs w:val="21"/>
                <w14:textFill>
                  <w14:solidFill>
                    <w14:schemeClr w14:val="tx1"/>
                  </w14:solidFill>
                </w14:textFill>
              </w:rPr>
            </w:pPr>
          </w:p>
        </w:tc>
        <w:tc>
          <w:tcPr>
            <w:tcW w:w="968" w:type="dxa"/>
          </w:tcPr>
          <w:p w14:paraId="0A3C347D">
            <w:pPr>
              <w:spacing w:line="360" w:lineRule="exact"/>
              <w:rPr>
                <w:rFonts w:ascii="宋体" w:hAnsi="宋体" w:cs="宋体"/>
                <w:color w:val="000000" w:themeColor="text1"/>
                <w:szCs w:val="21"/>
                <w14:textFill>
                  <w14:solidFill>
                    <w14:schemeClr w14:val="tx1"/>
                  </w14:solidFill>
                </w14:textFill>
              </w:rPr>
            </w:pPr>
          </w:p>
        </w:tc>
        <w:tc>
          <w:tcPr>
            <w:tcW w:w="1104" w:type="dxa"/>
          </w:tcPr>
          <w:p w14:paraId="08171B23">
            <w:pPr>
              <w:spacing w:line="360" w:lineRule="exact"/>
              <w:rPr>
                <w:rFonts w:ascii="宋体" w:hAnsi="宋体" w:cs="宋体"/>
                <w:color w:val="000000" w:themeColor="text1"/>
                <w:szCs w:val="21"/>
                <w14:textFill>
                  <w14:solidFill>
                    <w14:schemeClr w14:val="tx1"/>
                  </w14:solidFill>
                </w14:textFill>
              </w:rPr>
            </w:pPr>
          </w:p>
        </w:tc>
        <w:tc>
          <w:tcPr>
            <w:tcW w:w="1153" w:type="dxa"/>
          </w:tcPr>
          <w:p w14:paraId="6BB2A01D">
            <w:pPr>
              <w:spacing w:line="360" w:lineRule="exact"/>
              <w:rPr>
                <w:rFonts w:ascii="宋体" w:hAnsi="宋体" w:cs="宋体"/>
                <w:color w:val="000000" w:themeColor="text1"/>
                <w:szCs w:val="21"/>
                <w14:textFill>
                  <w14:solidFill>
                    <w14:schemeClr w14:val="tx1"/>
                  </w14:solidFill>
                </w14:textFill>
              </w:rPr>
            </w:pPr>
          </w:p>
        </w:tc>
      </w:tr>
      <w:tr w14:paraId="128E6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52D5E904">
            <w:pPr>
              <w:spacing w:line="360" w:lineRule="exact"/>
              <w:rPr>
                <w:rFonts w:ascii="宋体" w:hAnsi="宋体" w:cs="宋体"/>
                <w:color w:val="000000" w:themeColor="text1"/>
                <w:szCs w:val="21"/>
                <w14:textFill>
                  <w14:solidFill>
                    <w14:schemeClr w14:val="tx1"/>
                  </w14:solidFill>
                </w14:textFill>
              </w:rPr>
            </w:pPr>
          </w:p>
        </w:tc>
        <w:tc>
          <w:tcPr>
            <w:tcW w:w="1241" w:type="dxa"/>
          </w:tcPr>
          <w:p w14:paraId="1C8C9B1D">
            <w:pPr>
              <w:spacing w:line="360" w:lineRule="exact"/>
              <w:rPr>
                <w:rFonts w:ascii="宋体" w:hAnsi="宋体" w:cs="宋体"/>
                <w:color w:val="000000" w:themeColor="text1"/>
                <w:szCs w:val="21"/>
                <w14:textFill>
                  <w14:solidFill>
                    <w14:schemeClr w14:val="tx1"/>
                  </w14:solidFill>
                </w14:textFill>
              </w:rPr>
            </w:pPr>
          </w:p>
        </w:tc>
        <w:tc>
          <w:tcPr>
            <w:tcW w:w="996" w:type="dxa"/>
          </w:tcPr>
          <w:p w14:paraId="44FBE958">
            <w:pPr>
              <w:spacing w:line="360" w:lineRule="exact"/>
              <w:rPr>
                <w:rFonts w:ascii="宋体" w:hAnsi="宋体" w:cs="宋体"/>
                <w:color w:val="000000" w:themeColor="text1"/>
                <w:szCs w:val="21"/>
                <w14:textFill>
                  <w14:solidFill>
                    <w14:schemeClr w14:val="tx1"/>
                  </w14:solidFill>
                </w14:textFill>
              </w:rPr>
            </w:pPr>
          </w:p>
        </w:tc>
        <w:tc>
          <w:tcPr>
            <w:tcW w:w="989" w:type="dxa"/>
          </w:tcPr>
          <w:p w14:paraId="2513DA9E">
            <w:pPr>
              <w:spacing w:line="360" w:lineRule="exact"/>
              <w:rPr>
                <w:rFonts w:ascii="宋体" w:hAnsi="宋体" w:cs="宋体"/>
                <w:color w:val="000000" w:themeColor="text1"/>
                <w:szCs w:val="21"/>
                <w14:textFill>
                  <w14:solidFill>
                    <w14:schemeClr w14:val="tx1"/>
                  </w14:solidFill>
                </w14:textFill>
              </w:rPr>
            </w:pPr>
          </w:p>
        </w:tc>
        <w:tc>
          <w:tcPr>
            <w:tcW w:w="979" w:type="dxa"/>
          </w:tcPr>
          <w:p w14:paraId="512815E7">
            <w:pPr>
              <w:spacing w:line="360" w:lineRule="exact"/>
              <w:rPr>
                <w:rFonts w:ascii="宋体" w:hAnsi="宋体" w:cs="宋体"/>
                <w:color w:val="000000" w:themeColor="text1"/>
                <w:szCs w:val="21"/>
                <w14:textFill>
                  <w14:solidFill>
                    <w14:schemeClr w14:val="tx1"/>
                  </w14:solidFill>
                </w14:textFill>
              </w:rPr>
            </w:pPr>
          </w:p>
        </w:tc>
        <w:tc>
          <w:tcPr>
            <w:tcW w:w="888" w:type="dxa"/>
          </w:tcPr>
          <w:p w14:paraId="654CC5A7">
            <w:pPr>
              <w:spacing w:line="360" w:lineRule="exact"/>
              <w:rPr>
                <w:rFonts w:ascii="宋体" w:hAnsi="宋体" w:cs="宋体"/>
                <w:color w:val="000000" w:themeColor="text1"/>
                <w:szCs w:val="21"/>
                <w14:textFill>
                  <w14:solidFill>
                    <w14:schemeClr w14:val="tx1"/>
                  </w14:solidFill>
                </w14:textFill>
              </w:rPr>
            </w:pPr>
          </w:p>
        </w:tc>
        <w:tc>
          <w:tcPr>
            <w:tcW w:w="968" w:type="dxa"/>
          </w:tcPr>
          <w:p w14:paraId="7057AB19">
            <w:pPr>
              <w:spacing w:line="360" w:lineRule="exact"/>
              <w:rPr>
                <w:rFonts w:ascii="宋体" w:hAnsi="宋体" w:cs="宋体"/>
                <w:color w:val="000000" w:themeColor="text1"/>
                <w:szCs w:val="21"/>
                <w14:textFill>
                  <w14:solidFill>
                    <w14:schemeClr w14:val="tx1"/>
                  </w14:solidFill>
                </w14:textFill>
              </w:rPr>
            </w:pPr>
          </w:p>
        </w:tc>
        <w:tc>
          <w:tcPr>
            <w:tcW w:w="1104" w:type="dxa"/>
          </w:tcPr>
          <w:p w14:paraId="114F4790">
            <w:pPr>
              <w:spacing w:line="360" w:lineRule="exact"/>
              <w:rPr>
                <w:rFonts w:ascii="宋体" w:hAnsi="宋体" w:cs="宋体"/>
                <w:color w:val="000000" w:themeColor="text1"/>
                <w:szCs w:val="21"/>
                <w14:textFill>
                  <w14:solidFill>
                    <w14:schemeClr w14:val="tx1"/>
                  </w14:solidFill>
                </w14:textFill>
              </w:rPr>
            </w:pPr>
          </w:p>
        </w:tc>
        <w:tc>
          <w:tcPr>
            <w:tcW w:w="1153" w:type="dxa"/>
          </w:tcPr>
          <w:p w14:paraId="169E4509">
            <w:pPr>
              <w:spacing w:line="360" w:lineRule="exact"/>
              <w:rPr>
                <w:rFonts w:ascii="宋体" w:hAnsi="宋体" w:cs="宋体"/>
                <w:color w:val="000000" w:themeColor="text1"/>
                <w:szCs w:val="21"/>
                <w14:textFill>
                  <w14:solidFill>
                    <w14:schemeClr w14:val="tx1"/>
                  </w14:solidFill>
                </w14:textFill>
              </w:rPr>
            </w:pPr>
          </w:p>
        </w:tc>
      </w:tr>
      <w:tr w14:paraId="28E6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104" w:type="dxa"/>
            <w:gridSpan w:val="9"/>
            <w:vAlign w:val="center"/>
          </w:tcPr>
          <w:p w14:paraId="274AC306">
            <w:pPr>
              <w:pStyle w:val="19"/>
              <w:spacing w:after="0" w:line="360" w:lineRule="exact"/>
              <w:jc w:val="both"/>
              <w:rPr>
                <w:rFonts w:hAnsi="宋体" w:cs="宋体"/>
                <w:color w:val="000000" w:themeColor="text1"/>
                <w:sz w:val="21"/>
                <w:szCs w:val="21"/>
                <w:u w:val="single"/>
                <w14:textFill>
                  <w14:solidFill>
                    <w14:schemeClr w14:val="tx1"/>
                  </w14:solidFill>
                </w14:textFill>
              </w:rPr>
            </w:pPr>
            <w:r>
              <w:rPr>
                <w:rFonts w:hint="eastAsia" w:hAnsi="宋体"/>
                <w:color w:val="000000" w:themeColor="text1"/>
                <w:kern w:val="2"/>
                <w:sz w:val="21"/>
                <w:szCs w:val="21"/>
                <w14:textFill>
                  <w14:solidFill>
                    <w14:schemeClr w14:val="tx1"/>
                  </w14:solidFill>
                </w14:textFill>
              </w:rPr>
              <w:t>人民币合计金额  (大写)</w:t>
            </w:r>
            <w:r>
              <w:rPr>
                <w:rFonts w:hint="eastAsia" w:hAnsi="宋体"/>
                <w:color w:val="000000" w:themeColor="text1"/>
                <w:kern w:val="2"/>
                <w:sz w:val="21"/>
                <w:szCs w:val="21"/>
                <w:u w:val="single"/>
                <w14:textFill>
                  <w14:solidFill>
                    <w14:schemeClr w14:val="tx1"/>
                  </w14:solidFill>
                </w14:textFill>
              </w:rPr>
              <w:t xml:space="preserve">               </w:t>
            </w:r>
            <w:r>
              <w:rPr>
                <w:rFonts w:hint="eastAsia" w:hAnsi="宋体"/>
                <w:color w:val="000000" w:themeColor="text1"/>
                <w:kern w:val="2"/>
                <w:sz w:val="21"/>
                <w:szCs w:val="21"/>
                <w14:textFill>
                  <w14:solidFill>
                    <w14:schemeClr w14:val="tx1"/>
                  </w14:solidFill>
                </w14:textFill>
              </w:rPr>
              <w:t>(小写)</w:t>
            </w:r>
            <w:r>
              <w:rPr>
                <w:rFonts w:hint="eastAsia" w:hAnsi="宋体"/>
                <w:color w:val="000000" w:themeColor="text1"/>
                <w:kern w:val="2"/>
                <w:sz w:val="21"/>
                <w:szCs w:val="21"/>
                <w:u w:val="single"/>
                <w14:textFill>
                  <w14:solidFill>
                    <w14:schemeClr w14:val="tx1"/>
                  </w14:solidFill>
                </w14:textFill>
              </w:rPr>
              <w:t xml:space="preserve">               </w:t>
            </w:r>
          </w:p>
        </w:tc>
      </w:tr>
    </w:tbl>
    <w:p w14:paraId="3D8914D3">
      <w:pPr>
        <w:pStyle w:val="19"/>
        <w:spacing w:after="0" w:line="360" w:lineRule="exact"/>
        <w:ind w:firstLine="428" w:firstLineChars="200"/>
        <w:jc w:val="both"/>
        <w:rPr>
          <w:rFonts w:hint="eastAsia" w:ascii="宋体" w:hAnsi="宋体" w:eastAsia="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合同合计金额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如谈判文件、响应文件</w:t>
      </w:r>
      <w:r>
        <w:rPr>
          <w:rFonts w:hint="eastAsia" w:ascii="宋体" w:hAnsi="宋体" w:eastAsia="宋体" w:cs="宋体"/>
          <w:color w:val="000000" w:themeColor="text1"/>
          <w:spacing w:val="2"/>
          <w:sz w:val="21"/>
          <w:szCs w:val="21"/>
          <w14:textFill>
            <w14:solidFill>
              <w14:schemeClr w14:val="tx1"/>
            </w14:solidFill>
          </w14:textFill>
        </w:rPr>
        <w:t>对其另有规定的，从其规定。</w:t>
      </w:r>
    </w:p>
    <w:p w14:paraId="3C0A66BA">
      <w:pPr>
        <w:pStyle w:val="19"/>
        <w:spacing w:after="0" w:line="360" w:lineRule="exact"/>
        <w:ind w:firstLine="428" w:firstLineChars="200"/>
        <w:jc w:val="both"/>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3</w:t>
      </w:r>
      <w:r>
        <w:rPr>
          <w:rFonts w:hint="eastAsia" w:ascii="宋体" w:hAnsi="宋体" w:eastAsia="宋体" w:cs="宋体"/>
          <w:color w:val="000000" w:themeColor="text1"/>
          <w:spacing w:val="2"/>
          <w:sz w:val="21"/>
          <w:szCs w:val="21"/>
          <w14:textFill>
            <w14:solidFill>
              <w14:schemeClr w14:val="tx1"/>
            </w14:solidFill>
          </w14:textFill>
        </w:rPr>
        <w:t>.</w:t>
      </w:r>
      <w:r>
        <w:rPr>
          <w:rFonts w:hint="eastAsia" w:ascii="宋体" w:hAnsi="宋体" w:eastAsia="宋体" w:cs="宋体"/>
          <w:color w:val="000000" w:themeColor="text1"/>
          <w:spacing w:val="2"/>
          <w:sz w:val="21"/>
          <w:szCs w:val="21"/>
          <w:lang w:eastAsia="zh-CN"/>
          <w14:textFill>
            <w14:solidFill>
              <w14:schemeClr w14:val="tx1"/>
            </w14:solidFill>
          </w14:textFill>
        </w:rPr>
        <w:t>本项目非一次性供货，而是根据甲方需求分批供应。</w:t>
      </w:r>
      <w:r>
        <w:rPr>
          <w:rFonts w:hint="eastAsia" w:ascii="宋体" w:hAnsi="宋体" w:eastAsia="宋体" w:cs="宋体"/>
          <w:color w:val="000000" w:themeColor="text1"/>
          <w:spacing w:val="2"/>
          <w:sz w:val="21"/>
          <w:szCs w:val="21"/>
          <w14:textFill>
            <w14:solidFill>
              <w14:schemeClr w14:val="tx1"/>
            </w14:solidFill>
          </w14:textFill>
        </w:rPr>
        <w:t>合同期限内实际采购金额按</w:t>
      </w:r>
      <w:r>
        <w:rPr>
          <w:rFonts w:hint="eastAsia" w:ascii="宋体" w:hAnsi="宋体" w:eastAsia="宋体" w:cs="宋体"/>
          <w:color w:val="000000" w:themeColor="text1"/>
          <w:spacing w:val="2"/>
          <w:sz w:val="21"/>
          <w:szCs w:val="21"/>
          <w:lang w:eastAsia="zh-CN"/>
          <w14:textFill>
            <w14:solidFill>
              <w14:schemeClr w14:val="tx1"/>
            </w14:solidFill>
          </w14:textFill>
        </w:rPr>
        <w:t>甲方</w:t>
      </w:r>
      <w:r>
        <w:rPr>
          <w:rFonts w:hint="eastAsia" w:ascii="宋体" w:hAnsi="宋体" w:eastAsia="宋体" w:cs="宋体"/>
          <w:color w:val="000000" w:themeColor="text1"/>
          <w:spacing w:val="2"/>
          <w:sz w:val="21"/>
          <w:szCs w:val="21"/>
          <w14:textFill>
            <w14:solidFill>
              <w14:schemeClr w14:val="tx1"/>
            </w14:solidFill>
          </w14:textFill>
        </w:rPr>
        <w:t>实际采购量据实结算，</w:t>
      </w:r>
      <w:r>
        <w:rPr>
          <w:rFonts w:hint="eastAsia" w:ascii="宋体" w:hAnsi="宋体" w:eastAsia="宋体" w:cs="宋体"/>
          <w:color w:val="000000" w:themeColor="text1"/>
          <w:spacing w:val="2"/>
          <w:sz w:val="21"/>
          <w:szCs w:val="21"/>
          <w:lang w:eastAsia="zh-CN"/>
          <w14:textFill>
            <w14:solidFill>
              <w14:schemeClr w14:val="tx1"/>
            </w14:solidFill>
          </w14:textFill>
        </w:rPr>
        <w:t>乙方</w:t>
      </w:r>
      <w:r>
        <w:rPr>
          <w:rFonts w:hint="eastAsia" w:ascii="宋体" w:hAnsi="宋体" w:eastAsia="宋体" w:cs="宋体"/>
          <w:color w:val="000000" w:themeColor="text1"/>
          <w:spacing w:val="2"/>
          <w:sz w:val="21"/>
          <w:szCs w:val="21"/>
          <w14:textFill>
            <w14:solidFill>
              <w14:schemeClr w14:val="tx1"/>
            </w14:solidFill>
          </w14:textFill>
        </w:rPr>
        <w:t>不得因实际采购量与中标数量不一致提出异议。</w:t>
      </w:r>
    </w:p>
    <w:p w14:paraId="45D7E10E">
      <w:pPr>
        <w:pStyle w:val="19"/>
        <w:spacing w:after="0" w:line="360" w:lineRule="exact"/>
        <w:ind w:firstLine="478" w:firstLineChars="200"/>
        <w:jc w:val="both"/>
        <w:rPr>
          <w:rFonts w:hAnsi="宋体" w:cs="宋体"/>
          <w:b/>
          <w:bCs/>
          <w:color w:val="000000" w:themeColor="text1"/>
          <w:spacing w:val="14"/>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第二条 质量保证</w:t>
      </w:r>
    </w:p>
    <w:p w14:paraId="522EEECA">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1.乙方所提供的货物型号、技术规格、技术参数等质量必须与谈判文件、响应文件和承诺相一致。乙方提供的节能和环保产品必须是列入政府采购清单的产品。</w:t>
      </w:r>
    </w:p>
    <w:p w14:paraId="0BE9EDDC">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2.乙方所提供的货物必须是全新、未经使用的原装产品，且在 正常安装、使用和保养条件下，其使用寿命期内各项指标均达到质量要求。</w:t>
      </w:r>
    </w:p>
    <w:p w14:paraId="0910BE64">
      <w:pPr>
        <w:pStyle w:val="19"/>
        <w:spacing w:after="0" w:line="360" w:lineRule="exact"/>
        <w:ind w:firstLine="478" w:firstLineChars="200"/>
        <w:jc w:val="both"/>
        <w:rPr>
          <w:rFonts w:hAnsi="宋体" w:cs="宋体"/>
          <w:b/>
          <w:bCs/>
          <w:color w:val="000000" w:themeColor="text1"/>
          <w:spacing w:val="14"/>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第三条 权利保证</w:t>
      </w:r>
    </w:p>
    <w:p w14:paraId="4C47A456">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1.乙方应保证所提供货物在使用时不会侵犯任何第三方的专利权、商标权、工业设计权或其他权利。</w:t>
      </w:r>
    </w:p>
    <w:p w14:paraId="6CF6D753">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2.乙方应按谈判文件规定的时间或响应文件承诺的时间向甲方 提供使用货物的有关技术资料。</w:t>
      </w:r>
    </w:p>
    <w:p w14:paraId="48B71528">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3.没有甲方事先书面同意，乙方不得将由甲方提供的有关合同 或任何合同条文、规格、计划、图纸、样品或资料提供给与履行本合 同无关的任何其他人。即使向履行本合同有关的人员提供，也应注意 保密并限于履行合同的必需范围。</w:t>
      </w:r>
    </w:p>
    <w:p w14:paraId="3F728201">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4.乙方保证所交付的货物的所有权完全属于乙方且无任何抵押、质押、查封等产权瑕疵。</w:t>
      </w:r>
    </w:p>
    <w:p w14:paraId="3026692E">
      <w:pPr>
        <w:pStyle w:val="19"/>
        <w:spacing w:after="0" w:line="360" w:lineRule="exact"/>
        <w:ind w:firstLine="478" w:firstLineChars="200"/>
        <w:jc w:val="both"/>
        <w:rPr>
          <w:rFonts w:hAnsi="宋体" w:cs="宋体"/>
          <w:b/>
          <w:bCs/>
          <w:color w:val="000000" w:themeColor="text1"/>
          <w:spacing w:val="14"/>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第四条 包装和运输</w:t>
      </w:r>
    </w:p>
    <w:p w14:paraId="4F6A8147">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1.乙方提供的货物均应按谈判文件、响应文件要求的包装材料、包装标准、包装方式进行包装，每一包装单元内应附详细的装箱单和质量合格证。</w:t>
      </w:r>
    </w:p>
    <w:p w14:paraId="05098DA6">
      <w:pPr>
        <w:pStyle w:val="19"/>
        <w:spacing w:after="0" w:line="360" w:lineRule="exact"/>
        <w:ind w:firstLine="420" w:firstLineChars="200"/>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2.货物的运输方式</w:t>
      </w:r>
      <w:r>
        <w:rPr>
          <w:rFonts w:hint="eastAsia" w:hAnsi="宋体" w:cs="宋体"/>
          <w:color w:val="000000" w:themeColor="text1"/>
          <w:spacing w:val="-14"/>
          <w:sz w:val="21"/>
          <w:szCs w:val="21"/>
          <w14:textFill>
            <w14:solidFill>
              <w14:schemeClr w14:val="tx1"/>
            </w14:solidFill>
          </w14:textFill>
        </w:rPr>
        <w:t>：</w:t>
      </w:r>
      <w:r>
        <w:rPr>
          <w:rFonts w:hint="eastAsia" w:hAnsi="宋体" w:cs="宋体"/>
          <w:color w:val="000000" w:themeColor="text1"/>
          <w:spacing w:val="3"/>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 xml:space="preserve">不限  </w:t>
      </w:r>
      <w:r>
        <w:rPr>
          <w:rFonts w:hint="eastAsia" w:hAnsi="宋体" w:cs="宋体"/>
          <w:color w:val="000000" w:themeColor="text1"/>
          <w:spacing w:val="3"/>
          <w:sz w:val="21"/>
          <w:szCs w:val="21"/>
          <w:u w:val="single"/>
          <w14:textFill>
            <w14:solidFill>
              <w14:schemeClr w14:val="tx1"/>
            </w14:solidFill>
          </w14:textFill>
        </w:rPr>
        <w:t xml:space="preserve">     </w:t>
      </w:r>
    </w:p>
    <w:p w14:paraId="7E172127">
      <w:pPr>
        <w:pStyle w:val="19"/>
        <w:spacing w:after="0" w:line="360" w:lineRule="exact"/>
        <w:ind w:firstLine="420" w:firstLineChars="200"/>
        <w:jc w:val="both"/>
        <w:rPr>
          <w:rFonts w:hAnsi="宋体" w:cs="宋体"/>
          <w:color w:val="000000" w:themeColor="text1"/>
          <w:spacing w:val="-6"/>
          <w:sz w:val="21"/>
          <w:szCs w:val="21"/>
          <w:u w:val="single"/>
          <w14:textFill>
            <w14:solidFill>
              <w14:schemeClr w14:val="tx1"/>
            </w14:solidFill>
          </w14:textFill>
        </w:rPr>
      </w:pPr>
      <w:r>
        <w:rPr>
          <w:rFonts w:hint="eastAsia" w:hAnsi="宋体"/>
          <w:color w:val="000000" w:themeColor="text1"/>
          <w:kern w:val="2"/>
          <w:sz w:val="21"/>
          <w:szCs w:val="21"/>
          <w14:textFill>
            <w14:solidFill>
              <w14:schemeClr w14:val="tx1"/>
            </w14:solidFill>
          </w14:textFill>
        </w:rPr>
        <w:t>3.乙方负责货物运输</w:t>
      </w:r>
      <w:r>
        <w:rPr>
          <w:rFonts w:hint="eastAsia" w:hAnsi="宋体" w:cs="宋体"/>
          <w:color w:val="000000" w:themeColor="text1"/>
          <w:spacing w:val="-13"/>
          <w:sz w:val="21"/>
          <w:szCs w:val="21"/>
          <w14:textFill>
            <w14:solidFill>
              <w14:schemeClr w14:val="tx1"/>
            </w14:solidFill>
          </w14:textFill>
        </w:rPr>
        <w:t xml:space="preserve"> ，</w:t>
      </w:r>
      <w:r>
        <w:rPr>
          <w:rFonts w:hint="eastAsia" w:hAnsi="宋体" w:cs="宋体"/>
          <w:color w:val="000000" w:themeColor="text1"/>
          <w:spacing w:val="-20"/>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货</w:t>
      </w:r>
      <w:r>
        <w:rPr>
          <w:rFonts w:hint="eastAsia" w:hAnsi="宋体" w:cs="宋体"/>
          <w:color w:val="000000" w:themeColor="text1"/>
          <w:spacing w:val="-26"/>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物</w:t>
      </w:r>
      <w:r>
        <w:rPr>
          <w:rFonts w:hint="eastAsia" w:hAnsi="宋体" w:cs="宋体"/>
          <w:color w:val="000000" w:themeColor="text1"/>
          <w:spacing w:val="-26"/>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运</w:t>
      </w:r>
      <w:r>
        <w:rPr>
          <w:rFonts w:hint="eastAsia" w:hAnsi="宋体" w:cs="宋体"/>
          <w:color w:val="000000" w:themeColor="text1"/>
          <w:spacing w:val="-27"/>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输</w:t>
      </w:r>
      <w:r>
        <w:rPr>
          <w:rFonts w:hint="eastAsia" w:hAnsi="宋体" w:cs="宋体"/>
          <w:color w:val="000000" w:themeColor="text1"/>
          <w:spacing w:val="-25"/>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合</w:t>
      </w:r>
      <w:r>
        <w:rPr>
          <w:rFonts w:hint="eastAsia" w:hAnsi="宋体" w:cs="宋体"/>
          <w:color w:val="000000" w:themeColor="text1"/>
          <w:spacing w:val="-23"/>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理</w:t>
      </w:r>
      <w:r>
        <w:rPr>
          <w:rFonts w:hint="eastAsia" w:hAnsi="宋体" w:cs="宋体"/>
          <w:color w:val="000000" w:themeColor="text1"/>
          <w:spacing w:val="-26"/>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损</w:t>
      </w:r>
      <w:r>
        <w:rPr>
          <w:rFonts w:hint="eastAsia" w:hAnsi="宋体" w:cs="宋体"/>
          <w:color w:val="000000" w:themeColor="text1"/>
          <w:spacing w:val="-25"/>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耗</w:t>
      </w:r>
      <w:r>
        <w:rPr>
          <w:rFonts w:hint="eastAsia" w:hAnsi="宋体" w:cs="宋体"/>
          <w:color w:val="000000" w:themeColor="text1"/>
          <w:spacing w:val="-27"/>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及</w:t>
      </w:r>
      <w:r>
        <w:rPr>
          <w:rFonts w:hint="eastAsia" w:hAnsi="宋体" w:cs="宋体"/>
          <w:color w:val="000000" w:themeColor="text1"/>
          <w:spacing w:val="-26"/>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计</w:t>
      </w:r>
      <w:r>
        <w:rPr>
          <w:rFonts w:hint="eastAsia" w:hAnsi="宋体" w:cs="宋体"/>
          <w:color w:val="000000" w:themeColor="text1"/>
          <w:spacing w:val="-24"/>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算</w:t>
      </w:r>
      <w:r>
        <w:rPr>
          <w:rFonts w:hint="eastAsia" w:hAnsi="宋体" w:cs="宋体"/>
          <w:color w:val="000000" w:themeColor="text1"/>
          <w:spacing w:val="-25"/>
          <w:sz w:val="21"/>
          <w:szCs w:val="21"/>
          <w14:textFill>
            <w14:solidFill>
              <w14:schemeClr w14:val="tx1"/>
            </w14:solidFill>
          </w14:textFill>
        </w:rPr>
        <w:t xml:space="preserve"> </w:t>
      </w:r>
      <w:r>
        <w:rPr>
          <w:rFonts w:hint="eastAsia" w:hAnsi="宋体" w:cs="宋体"/>
          <w:color w:val="000000" w:themeColor="text1"/>
          <w:spacing w:val="-13"/>
          <w:sz w:val="21"/>
          <w:szCs w:val="21"/>
          <w14:textFill>
            <w14:solidFill>
              <w14:schemeClr w14:val="tx1"/>
            </w14:solidFill>
          </w14:textFill>
        </w:rPr>
        <w:t>方</w:t>
      </w:r>
      <w:r>
        <w:rPr>
          <w:rFonts w:hint="eastAsia" w:hAnsi="宋体" w:cs="宋体"/>
          <w:color w:val="000000" w:themeColor="text1"/>
          <w:spacing w:val="-6"/>
          <w:sz w:val="21"/>
          <w:szCs w:val="21"/>
          <w14:textFill>
            <w14:solidFill>
              <w14:schemeClr w14:val="tx1"/>
            </w14:solidFill>
          </w14:textFill>
        </w:rPr>
        <w:t>法</w:t>
      </w:r>
      <w:r>
        <w:rPr>
          <w:rFonts w:hint="eastAsia" w:hAnsi="宋体" w:cs="宋体"/>
          <w:color w:val="000000" w:themeColor="text1"/>
          <w:spacing w:val="-59"/>
          <w:sz w:val="21"/>
          <w:szCs w:val="21"/>
          <w14:textFill>
            <w14:solidFill>
              <w14:schemeClr w14:val="tx1"/>
            </w14:solidFill>
          </w14:textFill>
        </w:rPr>
        <w:t xml:space="preserve"> </w:t>
      </w:r>
      <w:r>
        <w:rPr>
          <w:rFonts w:hint="eastAsia" w:hAnsi="宋体" w:cs="宋体"/>
          <w:color w:val="000000" w:themeColor="text1"/>
          <w:spacing w:val="-6"/>
          <w:sz w:val="21"/>
          <w:szCs w:val="21"/>
          <w14:textFill>
            <w14:solidFill>
              <w14:schemeClr w14:val="tx1"/>
            </w14:solidFill>
          </w14:textFill>
        </w:rPr>
        <w:t>：</w:t>
      </w:r>
      <w:r>
        <w:rPr>
          <w:rFonts w:hint="eastAsia" w:hAnsi="宋体" w:cs="宋体"/>
          <w:color w:val="000000" w:themeColor="text1"/>
          <w:spacing w:val="-6"/>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本合同货物不接受损耗</w:t>
      </w:r>
      <w:r>
        <w:rPr>
          <w:rFonts w:hint="eastAsia" w:hAnsi="宋体" w:cs="宋体"/>
          <w:color w:val="000000" w:themeColor="text1"/>
          <w:spacing w:val="-6"/>
          <w:sz w:val="21"/>
          <w:szCs w:val="21"/>
          <w:u w:val="single"/>
          <w14:textFill>
            <w14:solidFill>
              <w14:schemeClr w14:val="tx1"/>
            </w14:solidFill>
          </w14:textFill>
        </w:rPr>
        <w:t xml:space="preserve">            </w:t>
      </w:r>
    </w:p>
    <w:p w14:paraId="19EAD262">
      <w:pPr>
        <w:pStyle w:val="19"/>
        <w:spacing w:after="0" w:line="360" w:lineRule="exact"/>
        <w:ind w:firstLine="478" w:firstLineChars="200"/>
        <w:jc w:val="both"/>
        <w:rPr>
          <w:rFonts w:hAnsi="宋体" w:cs="宋体"/>
          <w:b/>
          <w:bCs/>
          <w:color w:val="000000" w:themeColor="text1"/>
          <w:spacing w:val="14"/>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第五条  交付和验收</w:t>
      </w:r>
    </w:p>
    <w:p w14:paraId="60E3668D">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1.合同期限：自签订合同之日起一年。</w:t>
      </w:r>
    </w:p>
    <w:p w14:paraId="7B47AE48">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2</w:t>
      </w:r>
      <w:r>
        <w:rPr>
          <w:rFonts w:hint="eastAsia" w:hAnsi="宋体" w:cs="宋体"/>
          <w:color w:val="000000" w:themeColor="text1"/>
          <w:spacing w:val="2"/>
          <w:sz w:val="21"/>
          <w:szCs w:val="21"/>
          <w14:textFill>
            <w14:solidFill>
              <w14:schemeClr w14:val="tx1"/>
            </w14:solidFill>
          </w14:textFill>
        </w:rPr>
        <w:t>.交付使用时间：</w:t>
      </w:r>
      <w:r>
        <w:rPr>
          <w:rFonts w:hint="eastAsia" w:hAnsi="宋体" w:cs="宋体"/>
          <w:color w:val="000000" w:themeColor="text1"/>
          <w:spacing w:val="2"/>
          <w:sz w:val="21"/>
          <w:szCs w:val="21"/>
          <w:lang w:val="en-US" w:eastAsia="zh-CN"/>
          <w14:textFill>
            <w14:solidFill>
              <w14:schemeClr w14:val="tx1"/>
            </w14:solidFill>
          </w14:textFill>
        </w:rPr>
        <w:t>自招标人向中标人发出交货书面通知之日起分标（1）30天内交货、分标（2）15天内交货、分标（3）10天内交货（不定期供货，按照招标人订购明细表数量分批交货，每次发货的运费等所有费用投标人应充分考虑并报入本次投标报价中，招标人将不再另行支付）。地点：甲方指定地点。</w:t>
      </w:r>
    </w:p>
    <w:p w14:paraId="1141217E">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3</w:t>
      </w:r>
      <w:r>
        <w:rPr>
          <w:rFonts w:hint="eastAsia" w:hAnsi="宋体" w:cs="宋体"/>
          <w:color w:val="000000" w:themeColor="text1"/>
          <w:spacing w:val="2"/>
          <w:sz w:val="21"/>
          <w:szCs w:val="21"/>
          <w14:textFill>
            <w14:solidFill>
              <w14:schemeClr w14:val="tx1"/>
            </w14:solidFill>
          </w14:textFill>
        </w:rPr>
        <w:t>.中标人每次供货必须提供相关供货清单（包括货物名称、数量、单价、金额等信息），以便采购人结算货款。中标人供货不符合要求的，采购人有权立即退货。中标人应按采购人的要求及时补货，具体交货时间以约定为准。</w:t>
      </w:r>
    </w:p>
    <w:p w14:paraId="1700901A">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4</w:t>
      </w:r>
      <w:r>
        <w:rPr>
          <w:rFonts w:hint="eastAsia" w:hAnsi="宋体" w:cs="宋体"/>
          <w:color w:val="000000" w:themeColor="text1"/>
          <w:spacing w:val="2"/>
          <w:sz w:val="21"/>
          <w:szCs w:val="21"/>
          <w14:textFill>
            <w14:solidFill>
              <w14:schemeClr w14:val="tx1"/>
            </w14:solidFill>
          </w14:textFill>
        </w:rPr>
        <w:t>.乙方提供不符合谈判文件、响应文件和本合同规定的货物，甲方有权拒绝接受。</w:t>
      </w:r>
    </w:p>
    <w:p w14:paraId="0D7CF3EA">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5</w:t>
      </w:r>
      <w:r>
        <w:rPr>
          <w:rFonts w:hint="eastAsia" w:hAnsi="宋体" w:cs="宋体"/>
          <w:color w:val="000000" w:themeColor="text1"/>
          <w:spacing w:val="2"/>
          <w:sz w:val="21"/>
          <w:szCs w:val="21"/>
          <w14:textFill>
            <w14:solidFill>
              <w14:schemeClr w14:val="tx1"/>
            </w14:solidFill>
          </w14:textFill>
        </w:rPr>
        <w:t>.乙方应将所提供货物的装箱清单、用户手册、原厂保修卡、随机资料、工具和备品、备件等交付给甲方，如有缺失应及时补齐，否则视为逾期交货。</w:t>
      </w:r>
    </w:p>
    <w:p w14:paraId="50376C9E">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6</w:t>
      </w:r>
      <w:r>
        <w:rPr>
          <w:rFonts w:hint="eastAsia" w:hAnsi="宋体" w:cs="宋体"/>
          <w:color w:val="000000" w:themeColor="text1"/>
          <w:spacing w:val="2"/>
          <w:sz w:val="21"/>
          <w:szCs w:val="21"/>
          <w14:textFill>
            <w14:solidFill>
              <w14:schemeClr w14:val="tx1"/>
            </w14:solidFill>
          </w14:textFill>
        </w:rPr>
        <w:t>.甲方应当在到货(安装、调试完)后七个工作日内进行验收，逾期不验收的，乙方可视同验收合格。验收合格后由甲乙双方签署货物验收单并加盖采购人公章，甲乙双方各执一份。</w:t>
      </w:r>
    </w:p>
    <w:p w14:paraId="534F51C2">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7</w:t>
      </w:r>
      <w:r>
        <w:rPr>
          <w:rFonts w:hint="eastAsia" w:hAnsi="宋体" w:cs="宋体"/>
          <w:color w:val="000000" w:themeColor="text1"/>
          <w:spacing w:val="2"/>
          <w:sz w:val="21"/>
          <w:szCs w:val="21"/>
          <w14:textFill>
            <w14:solidFill>
              <w14:schemeClr w14:val="tx1"/>
            </w14:solidFill>
          </w14:textFill>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262B7D5">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lang w:val="en-US" w:eastAsia="zh-CN"/>
          <w14:textFill>
            <w14:solidFill>
              <w14:schemeClr w14:val="tx1"/>
            </w14:solidFill>
          </w14:textFill>
        </w:rPr>
        <w:t>8</w:t>
      </w:r>
      <w:r>
        <w:rPr>
          <w:rFonts w:hint="eastAsia" w:hAnsi="宋体" w:cs="宋体"/>
          <w:color w:val="000000" w:themeColor="text1"/>
          <w:spacing w:val="2"/>
          <w:sz w:val="21"/>
          <w:szCs w:val="21"/>
          <w14:textFill>
            <w14:solidFill>
              <w14:schemeClr w14:val="tx1"/>
            </w14:solidFill>
          </w14:textFill>
        </w:rPr>
        <w:t>.甲方对验收有异议的，在验收后五个工作日内以书面形式向乙方提出，乙方应自收到甲方书面异议后30日内及时予以解决。</w:t>
      </w:r>
    </w:p>
    <w:p w14:paraId="37DE274C">
      <w:pPr>
        <w:pStyle w:val="19"/>
        <w:spacing w:after="0" w:line="360" w:lineRule="exact"/>
        <w:ind w:firstLine="478" w:firstLineChars="200"/>
        <w:jc w:val="both"/>
        <w:rPr>
          <w:rFonts w:hAnsi="宋体" w:cs="宋体"/>
          <w:b/>
          <w:bCs/>
          <w:color w:val="000000" w:themeColor="text1"/>
          <w:spacing w:val="14"/>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第六条  安装和培训</w:t>
      </w:r>
    </w:p>
    <w:p w14:paraId="282A3021">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1.甲方应提供必要安装条件(如场地、电源、水源等)。</w:t>
      </w:r>
    </w:p>
    <w:p w14:paraId="7EE73E68">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2.乙方负责甲方有关人员的培训。培训时间、地点</w:t>
      </w:r>
      <w:r>
        <w:rPr>
          <w:rFonts w:hint="eastAsia" w:hAnsi="宋体" w:cs="宋体"/>
          <w:color w:val="000000" w:themeColor="text1"/>
          <w:spacing w:val="2"/>
          <w:sz w:val="21"/>
          <w:szCs w:val="21"/>
          <w:u w:val="single"/>
          <w14:textFill>
            <w14:solidFill>
              <w14:schemeClr w14:val="tx1"/>
            </w14:solidFill>
          </w14:textFill>
        </w:rPr>
        <w:t>：   由甲方依据实际情况确定     。</w:t>
      </w:r>
    </w:p>
    <w:p w14:paraId="42BA78DD">
      <w:pPr>
        <w:pStyle w:val="19"/>
        <w:spacing w:after="0" w:line="360" w:lineRule="exact"/>
        <w:ind w:firstLine="478"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14"/>
          <w:sz w:val="21"/>
          <w:szCs w:val="21"/>
          <w14:textFill>
            <w14:solidFill>
              <w14:schemeClr w14:val="tx1"/>
            </w14:solidFill>
          </w14:textFill>
        </w:rPr>
        <w:t>第七条 售后服务、保修期</w:t>
      </w:r>
    </w:p>
    <w:p w14:paraId="726CA16E">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1.乙方应按照国家有关法律法规和“三包”规定以及谈判文件、响应文件和本合同所附的《服务承诺》，为甲方提供售后服务。</w:t>
      </w:r>
    </w:p>
    <w:p w14:paraId="34C90D2B">
      <w:pPr>
        <w:pStyle w:val="19"/>
        <w:spacing w:after="0" w:line="360" w:lineRule="exact"/>
        <w:ind w:firstLine="428" w:firstLineChars="200"/>
        <w:jc w:val="both"/>
        <w:rPr>
          <w:rFonts w:hint="eastAsia" w:hAnsi="宋体" w:cs="宋体"/>
          <w:color w:val="000000" w:themeColor="text1"/>
          <w:spacing w:val="2"/>
          <w:sz w:val="21"/>
          <w:szCs w:val="21"/>
          <w:u w:val="single"/>
          <w:lang w:eastAsia="zh-CN"/>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2.货物保修期</w:t>
      </w:r>
      <w:r>
        <w:rPr>
          <w:rFonts w:hint="eastAsia" w:hAnsi="宋体" w:cs="宋体"/>
          <w:color w:val="000000" w:themeColor="text1"/>
          <w:spacing w:val="2"/>
          <w:sz w:val="21"/>
          <w:szCs w:val="21"/>
          <w:u w:val="single"/>
          <w:lang w:eastAsia="zh-CN"/>
          <w14:textFill>
            <w14:solidFill>
              <w14:schemeClr w14:val="tx1"/>
            </w14:solidFill>
          </w14:textFill>
        </w:rPr>
        <w:t>：</w:t>
      </w:r>
      <w:r>
        <w:rPr>
          <w:rFonts w:hint="eastAsia" w:hAnsi="宋体" w:cs="宋体"/>
          <w:color w:val="000000" w:themeColor="text1"/>
          <w:spacing w:val="2"/>
          <w:sz w:val="21"/>
          <w:szCs w:val="21"/>
          <w:u w:val="single"/>
          <w14:textFill>
            <w14:solidFill>
              <w14:schemeClr w14:val="tx1"/>
            </w14:solidFill>
          </w14:textFill>
        </w:rPr>
        <w:t xml:space="preserve">                                            </w:t>
      </w:r>
      <w:r>
        <w:rPr>
          <w:rFonts w:hint="eastAsia" w:hAnsi="宋体" w:cs="宋体"/>
          <w:color w:val="000000" w:themeColor="text1"/>
          <w:spacing w:val="2"/>
          <w:sz w:val="21"/>
          <w:szCs w:val="21"/>
          <w:u w:val="single"/>
          <w:lang w:eastAsia="zh-CN"/>
          <w14:textFill>
            <w14:solidFill>
              <w14:schemeClr w14:val="tx1"/>
            </w14:solidFill>
          </w14:textFill>
        </w:rPr>
        <w:t>；</w:t>
      </w:r>
    </w:p>
    <w:p w14:paraId="5DB01D8B">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3.乙方提供的服务承诺和售后服务及保修期责任等其它具体约定事项。(见合同附件)</w:t>
      </w:r>
    </w:p>
    <w:p w14:paraId="35883729">
      <w:pPr>
        <w:pStyle w:val="19"/>
        <w:spacing w:after="0" w:line="360" w:lineRule="exact"/>
        <w:ind w:firstLine="410" w:firstLineChars="200"/>
        <w:jc w:val="both"/>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pacing w:val="-3"/>
          <w:sz w:val="21"/>
          <w:szCs w:val="21"/>
          <w14:textFill>
            <w14:solidFill>
              <w14:schemeClr w14:val="tx1"/>
            </w14:solidFill>
          </w14:textFill>
        </w:rPr>
        <w:t>第八条  付款方式</w:t>
      </w:r>
    </w:p>
    <w:p w14:paraId="564DDA9C">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1.资金性质：财政性资金</w:t>
      </w:r>
    </w:p>
    <w:p w14:paraId="464ED6A7">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2.付款方式：本项目无预付款，按批次结算，采购人在收到中标人上批次货物且验收合格正常使用十五个工作日并收到全额发票后2个月内向中标人一次付清该批次货物的全部货款。</w:t>
      </w:r>
    </w:p>
    <w:p w14:paraId="266BE1A0">
      <w:pPr>
        <w:pStyle w:val="19"/>
        <w:spacing w:after="0" w:line="360" w:lineRule="exact"/>
        <w:ind w:firstLine="406" w:firstLineChars="200"/>
        <w:jc w:val="both"/>
        <w:rPr>
          <w:rFonts w:hint="eastAsia" w:hAnsi="宋体" w:cs="宋体"/>
          <w:b/>
          <w:bCs/>
          <w:color w:val="000000" w:themeColor="text1"/>
          <w:spacing w:val="-4"/>
          <w:sz w:val="21"/>
          <w:szCs w:val="21"/>
          <w14:textFill>
            <w14:solidFill>
              <w14:schemeClr w14:val="tx1"/>
            </w14:solidFill>
          </w14:textFill>
        </w:rPr>
      </w:pPr>
      <w:r>
        <w:rPr>
          <w:rFonts w:hint="eastAsia" w:hAnsi="宋体" w:cs="宋体"/>
          <w:b/>
          <w:bCs/>
          <w:color w:val="000000" w:themeColor="text1"/>
          <w:spacing w:val="-4"/>
          <w:sz w:val="21"/>
          <w:szCs w:val="21"/>
          <w14:textFill>
            <w14:solidFill>
              <w14:schemeClr w14:val="tx1"/>
            </w14:solidFill>
          </w14:textFill>
        </w:rPr>
        <w:t>第九条 税费本合同执行中相关的一切税费均由乙方负担。</w:t>
      </w:r>
    </w:p>
    <w:p w14:paraId="183B7BDB">
      <w:pPr>
        <w:pStyle w:val="19"/>
        <w:spacing w:after="0" w:line="360" w:lineRule="exact"/>
        <w:ind w:firstLine="406" w:firstLineChars="200"/>
        <w:jc w:val="both"/>
        <w:rPr>
          <w:rFonts w:hint="eastAsia" w:hAnsi="宋体" w:cs="宋体"/>
          <w:b/>
          <w:bCs/>
          <w:color w:val="000000" w:themeColor="text1"/>
          <w:spacing w:val="-4"/>
          <w:sz w:val="21"/>
          <w:szCs w:val="21"/>
          <w14:textFill>
            <w14:solidFill>
              <w14:schemeClr w14:val="tx1"/>
            </w14:solidFill>
          </w14:textFill>
        </w:rPr>
      </w:pPr>
      <w:r>
        <w:rPr>
          <w:rFonts w:hint="eastAsia" w:hAnsi="宋体" w:cs="宋体"/>
          <w:b/>
          <w:bCs/>
          <w:color w:val="000000" w:themeColor="text1"/>
          <w:spacing w:val="-4"/>
          <w:sz w:val="21"/>
          <w:szCs w:val="21"/>
          <w14:textFill>
            <w14:solidFill>
              <w14:schemeClr w14:val="tx1"/>
            </w14:solidFill>
          </w14:textFill>
        </w:rPr>
        <w:t>第十条 质量保证及售后服务</w:t>
      </w:r>
    </w:p>
    <w:p w14:paraId="4B5773BC">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乙方应按谈判文件规定及响应文件承诺的货物性能、技术要求、质量标准向甲方提供未经使用的全新产品。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p>
    <w:p w14:paraId="6C716BA3">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(1)更换：由乙方承担所发生的全部费用。</w:t>
      </w:r>
    </w:p>
    <w:p w14:paraId="447A8AB7">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(2)贬值处理：由甲乙双方合议定价。</w:t>
      </w:r>
    </w:p>
    <w:p w14:paraId="41E4F039">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(3)退货处理：乙方应退还甲方支付的合同款，同时应承担该货物的直接费用(运输、保险、检验、货款利息及银行手续费等)。</w:t>
      </w:r>
    </w:p>
    <w:p w14:paraId="3E06550E">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2.如在使用过程中发生质量问题，乙方在接到甲方通知后在72小时内到达甲方现场。</w:t>
      </w:r>
    </w:p>
    <w:p w14:paraId="33DC7722">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3.在质保期内，乙方应对货物出现的质量及安全问题负责处理 解决并承担一切费用。</w:t>
      </w:r>
    </w:p>
    <w:p w14:paraId="3FD4173E">
      <w:pPr>
        <w:pStyle w:val="19"/>
        <w:spacing w:after="0" w:line="360" w:lineRule="exact"/>
        <w:ind w:firstLine="428" w:firstLineChars="200"/>
        <w:jc w:val="both"/>
        <w:rPr>
          <w:rFonts w:hint="eastAsia" w:hAnsi="宋体" w:cs="宋体"/>
          <w:color w:val="000000" w:themeColor="text1"/>
          <w:spacing w:val="2"/>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4.上述的货物免费保修期为</w:t>
      </w:r>
      <w:r>
        <w:rPr>
          <w:rFonts w:hint="eastAsia" w:hAnsi="宋体" w:cs="宋体"/>
          <w:color w:val="000000" w:themeColor="text1"/>
          <w:spacing w:val="2"/>
          <w:sz w:val="21"/>
          <w:szCs w:val="21"/>
          <w:u w:val="single"/>
          <w14:textFill>
            <w14:solidFill>
              <w14:schemeClr w14:val="tx1"/>
            </w14:solidFill>
          </w14:textFill>
        </w:rPr>
        <w:t xml:space="preserve">    </w:t>
      </w:r>
      <w:r>
        <w:rPr>
          <w:rFonts w:hint="eastAsia" w:hAnsi="宋体" w:cs="宋体"/>
          <w:color w:val="000000" w:themeColor="text1"/>
          <w:spacing w:val="2"/>
          <w:sz w:val="21"/>
          <w:szCs w:val="21"/>
          <w14:textFill>
            <w14:solidFill>
              <w14:schemeClr w14:val="tx1"/>
            </w14:solidFill>
          </w14:textFill>
        </w:rPr>
        <w:t>年，因人为因素出现的故障不在免费保修范围内。超过保修期的机器设备，终生维修，维修时只收部件成本费。</w:t>
      </w:r>
    </w:p>
    <w:p w14:paraId="3066E028">
      <w:pPr>
        <w:pStyle w:val="19"/>
        <w:spacing w:after="0" w:line="360" w:lineRule="exact"/>
        <w:ind w:firstLine="406" w:firstLineChars="200"/>
        <w:jc w:val="both"/>
        <w:rPr>
          <w:rFonts w:hint="eastAsia" w:hAnsi="宋体" w:cs="宋体"/>
          <w:b/>
          <w:bCs/>
          <w:color w:val="000000" w:themeColor="text1"/>
          <w:spacing w:val="-4"/>
          <w:sz w:val="21"/>
          <w:szCs w:val="21"/>
          <w14:textFill>
            <w14:solidFill>
              <w14:schemeClr w14:val="tx1"/>
            </w14:solidFill>
          </w14:textFill>
        </w:rPr>
      </w:pPr>
      <w:r>
        <w:rPr>
          <w:rFonts w:hint="eastAsia" w:hAnsi="宋体" w:cs="宋体"/>
          <w:b/>
          <w:bCs/>
          <w:color w:val="000000" w:themeColor="text1"/>
          <w:spacing w:val="-4"/>
          <w:sz w:val="21"/>
          <w:szCs w:val="21"/>
          <w14:textFill>
            <w14:solidFill>
              <w14:schemeClr w14:val="tx1"/>
            </w14:solidFill>
          </w14:textFill>
        </w:rPr>
        <w:t>第十一条  调试和验收</w:t>
      </w:r>
    </w:p>
    <w:p w14:paraId="2F4FF3B5">
      <w:pPr>
        <w:pStyle w:val="19"/>
        <w:spacing w:after="0" w:line="360" w:lineRule="exact"/>
        <w:ind w:firstLine="428" w:firstLineChars="20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pacing w:val="2"/>
          <w:sz w:val="21"/>
          <w:szCs w:val="21"/>
          <w14:textFill>
            <w14:solidFill>
              <w14:schemeClr w14:val="tx1"/>
            </w14:solidFill>
          </w14:textFill>
        </w:rPr>
        <w:t>1.</w:t>
      </w:r>
      <w:r>
        <w:rPr>
          <w:rFonts w:hint="eastAsia" w:hAnsi="宋体" w:cs="宋体"/>
          <w:color w:val="000000" w:themeColor="text1"/>
          <w:spacing w:val="-39"/>
          <w:sz w:val="21"/>
          <w:szCs w:val="21"/>
          <w14:textFill>
            <w14:solidFill>
              <w14:schemeClr w14:val="tx1"/>
            </w14:solidFill>
          </w14:textFill>
        </w:rPr>
        <w:t xml:space="preserve"> </w:t>
      </w:r>
      <w:r>
        <w:rPr>
          <w:rFonts w:hint="eastAsia" w:hAnsi="宋体" w:cs="宋体"/>
          <w:color w:val="000000" w:themeColor="text1"/>
          <w:spacing w:val="2"/>
          <w:sz w:val="21"/>
          <w:szCs w:val="21"/>
          <w14:textFill>
            <w14:solidFill>
              <w14:schemeClr w14:val="tx1"/>
            </w14:solidFill>
          </w14:textFill>
        </w:rPr>
        <w:t>甲方对乙方提交的货物依据谈判文件上的技术规格要求和国</w:t>
      </w:r>
      <w:r>
        <w:rPr>
          <w:rFonts w:hint="eastAsia" w:hAnsi="宋体" w:cs="宋体"/>
          <w:color w:val="000000" w:themeColor="text1"/>
          <w:spacing w:val="-5"/>
          <w:sz w:val="21"/>
          <w:szCs w:val="21"/>
          <w14:textFill>
            <w14:solidFill>
              <w14:schemeClr w14:val="tx1"/>
            </w14:solidFill>
          </w14:textFill>
        </w:rPr>
        <w:t>家有关质量标准进行现场初步验收，外观、说明书符合谈判文件技术</w:t>
      </w:r>
      <w:r>
        <w:rPr>
          <w:rFonts w:hint="eastAsia" w:hAnsi="宋体" w:cs="宋体"/>
          <w:color w:val="000000" w:themeColor="text1"/>
          <w:spacing w:val="-4"/>
          <w:sz w:val="21"/>
          <w:szCs w:val="21"/>
          <w14:textFill>
            <w14:solidFill>
              <w14:schemeClr w14:val="tx1"/>
            </w14:solidFill>
          </w14:textFill>
        </w:rPr>
        <w:t>要求的，给予签收，初步验收不合格的不予签收。货到后，甲方应当</w:t>
      </w:r>
      <w:r>
        <w:rPr>
          <w:rFonts w:hint="eastAsia" w:hAnsi="宋体" w:cs="宋体"/>
          <w:color w:val="000000" w:themeColor="text1"/>
          <w:spacing w:val="9"/>
          <w:sz w:val="21"/>
          <w:szCs w:val="21"/>
          <w14:textFill>
            <w14:solidFill>
              <w14:schemeClr w14:val="tx1"/>
            </w14:solidFill>
          </w14:textFill>
        </w:rPr>
        <w:t>在到货(安装、调试完)后七个工作日内进行验收。</w:t>
      </w:r>
    </w:p>
    <w:p w14:paraId="6ED51A0C">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2.乙方交货前应对产品作出全面检查和对验收文件进行整理，并列出清单，作为甲方收货验收和使用的技术条件依据，检验的结果 应随货物交甲方。</w:t>
      </w:r>
    </w:p>
    <w:p w14:paraId="0E8D2226">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4AEACF3E">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4.对技术复杂的货物，甲方应请国家认可的专业检测机构参与初步验收及最终验收，并由其出具质量检测报告。</w:t>
      </w:r>
    </w:p>
    <w:p w14:paraId="5F46A705">
      <w:pPr>
        <w:pStyle w:val="19"/>
        <w:spacing w:after="0" w:line="360" w:lineRule="exact"/>
        <w:ind w:firstLine="420" w:firstLineChars="200"/>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5.</w:t>
      </w:r>
      <w:r>
        <w:rPr>
          <w:rFonts w:hint="eastAsia" w:hAnsi="宋体" w:cs="宋体"/>
          <w:color w:val="000000" w:themeColor="text1"/>
          <w:spacing w:val="-58"/>
          <w:sz w:val="21"/>
          <w:szCs w:val="21"/>
          <w14:textFill>
            <w14:solidFill>
              <w14:schemeClr w14:val="tx1"/>
            </w14:solidFill>
          </w14:textFill>
        </w:rPr>
        <w:t xml:space="preserve"> </w:t>
      </w:r>
      <w:r>
        <w:rPr>
          <w:rFonts w:hint="eastAsia" w:hAnsi="宋体" w:cs="宋体"/>
          <w:color w:val="000000" w:themeColor="text1"/>
          <w:spacing w:val="-7"/>
          <w:sz w:val="21"/>
          <w:szCs w:val="21"/>
          <w14:textFill>
            <w14:solidFill>
              <w14:schemeClr w14:val="tx1"/>
            </w14:solidFill>
          </w14:textFill>
        </w:rPr>
        <w:t>验收时乙方必须在现场，验收完毕后作出验收结果报告；验收</w:t>
      </w:r>
      <w:r>
        <w:rPr>
          <w:rFonts w:hint="eastAsia" w:hAnsi="宋体" w:cs="宋体"/>
          <w:color w:val="000000" w:themeColor="text1"/>
          <w:spacing w:val="-8"/>
          <w:sz w:val="21"/>
          <w:szCs w:val="21"/>
          <w14:textFill>
            <w14:solidFill>
              <w14:schemeClr w14:val="tx1"/>
            </w14:solidFill>
          </w14:textFill>
        </w:rPr>
        <w:t>费用由乙方负责。</w:t>
      </w:r>
    </w:p>
    <w:p w14:paraId="318A03E2">
      <w:pPr>
        <w:pStyle w:val="19"/>
        <w:spacing w:after="0" w:line="360" w:lineRule="exact"/>
        <w:ind w:firstLine="406"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4"/>
          <w:sz w:val="21"/>
          <w:szCs w:val="21"/>
          <w14:textFill>
            <w14:solidFill>
              <w14:schemeClr w14:val="tx1"/>
            </w14:solidFill>
          </w14:textFill>
        </w:rPr>
        <w:t>第十二条</w:t>
      </w:r>
      <w:r>
        <w:rPr>
          <w:rFonts w:hint="eastAsia" w:hAnsi="宋体" w:cs="宋体"/>
          <w:color w:val="000000" w:themeColor="text1"/>
          <w:spacing w:val="-4"/>
          <w:sz w:val="21"/>
          <w:szCs w:val="21"/>
          <w14:textFill>
            <w14:solidFill>
              <w14:schemeClr w14:val="tx1"/>
            </w14:solidFill>
          </w14:textFill>
        </w:rPr>
        <w:t xml:space="preserve">  </w:t>
      </w:r>
      <w:r>
        <w:rPr>
          <w:rFonts w:hint="eastAsia" w:hAnsi="宋体" w:cs="宋体"/>
          <w:b/>
          <w:bCs/>
          <w:color w:val="000000" w:themeColor="text1"/>
          <w:spacing w:val="-4"/>
          <w:sz w:val="21"/>
          <w:szCs w:val="21"/>
          <w14:textFill>
            <w14:solidFill>
              <w14:schemeClr w14:val="tx1"/>
            </w14:solidFill>
          </w14:textFill>
        </w:rPr>
        <w:t>货物包装、发运及运输</w:t>
      </w:r>
    </w:p>
    <w:p w14:paraId="0797CECC">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1.乙方应在货物发运前对其进行满足运输距离、防潮、防震、防锈和防破损装卸等要求包装，以保证货物安全运达甲方指定地点。</w:t>
      </w:r>
    </w:p>
    <w:p w14:paraId="76ADE381">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2.使用说明书、质量检验证明书、随配附件和工具以及清单一并附于货物内。</w:t>
      </w:r>
    </w:p>
    <w:p w14:paraId="7528DC1D">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3.乙方在货物发运手续办理完毕后二十四小时内或货到甲方四十八小时前通知甲方，以准备接货。</w:t>
      </w:r>
    </w:p>
    <w:p w14:paraId="0B61CC80">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4.货物在交付甲方前发生的风险均由乙方负责。</w:t>
      </w:r>
    </w:p>
    <w:p w14:paraId="66FC7B1A">
      <w:pPr>
        <w:pStyle w:val="19"/>
        <w:spacing w:after="0" w:line="360" w:lineRule="exact"/>
        <w:ind w:firstLine="432" w:firstLineChars="20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pacing w:val="3"/>
          <w:sz w:val="21"/>
          <w:szCs w:val="21"/>
          <w14:textFill>
            <w14:solidFill>
              <w14:schemeClr w14:val="tx1"/>
            </w14:solidFill>
          </w14:textFill>
        </w:rPr>
        <w:t>5.</w:t>
      </w:r>
      <w:r>
        <w:rPr>
          <w:rFonts w:hint="eastAsia" w:hAnsi="宋体" w:cs="宋体"/>
          <w:color w:val="000000" w:themeColor="text1"/>
          <w:spacing w:val="-63"/>
          <w:sz w:val="21"/>
          <w:szCs w:val="21"/>
          <w14:textFill>
            <w14:solidFill>
              <w14:schemeClr w14:val="tx1"/>
            </w14:solidFill>
          </w14:textFill>
        </w:rPr>
        <w:t xml:space="preserve"> </w:t>
      </w:r>
      <w:r>
        <w:rPr>
          <w:rFonts w:hint="eastAsia" w:hAnsi="宋体" w:cs="宋体"/>
          <w:color w:val="000000" w:themeColor="text1"/>
          <w:spacing w:val="3"/>
          <w:sz w:val="21"/>
          <w:szCs w:val="21"/>
          <w14:textFill>
            <w14:solidFill>
              <w14:schemeClr w14:val="tx1"/>
            </w14:solidFill>
          </w14:textFill>
        </w:rPr>
        <w:t>货物在规定的交付期限内由乙方送达甲方指定的地点视为交</w:t>
      </w:r>
      <w:r>
        <w:rPr>
          <w:rFonts w:hint="eastAsia" w:hAnsi="宋体" w:cs="宋体"/>
          <w:color w:val="000000" w:themeColor="text1"/>
          <w:spacing w:val="-3"/>
          <w:sz w:val="21"/>
          <w:szCs w:val="21"/>
          <w14:textFill>
            <w14:solidFill>
              <w14:schemeClr w14:val="tx1"/>
            </w14:solidFill>
          </w14:textFill>
        </w:rPr>
        <w:t>付，乙方同时需通知甲方货物已送达。</w:t>
      </w:r>
    </w:p>
    <w:p w14:paraId="78FD42E0">
      <w:pPr>
        <w:pStyle w:val="19"/>
        <w:spacing w:after="0" w:line="360" w:lineRule="exact"/>
        <w:ind w:firstLine="398"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6"/>
          <w:sz w:val="21"/>
          <w:szCs w:val="21"/>
          <w14:textFill>
            <w14:solidFill>
              <w14:schemeClr w14:val="tx1"/>
            </w14:solidFill>
          </w14:textFill>
        </w:rPr>
        <w:t>第十三条</w:t>
      </w:r>
      <w:r>
        <w:rPr>
          <w:rFonts w:hint="eastAsia" w:hAnsi="宋体" w:cs="宋体"/>
          <w:color w:val="000000" w:themeColor="text1"/>
          <w:spacing w:val="135"/>
          <w:sz w:val="21"/>
          <w:szCs w:val="21"/>
          <w14:textFill>
            <w14:solidFill>
              <w14:schemeClr w14:val="tx1"/>
            </w14:solidFill>
          </w14:textFill>
        </w:rPr>
        <w:t xml:space="preserve"> </w:t>
      </w:r>
      <w:r>
        <w:rPr>
          <w:rFonts w:hint="eastAsia" w:hAnsi="宋体" w:cs="宋体"/>
          <w:b/>
          <w:bCs/>
          <w:color w:val="000000" w:themeColor="text1"/>
          <w:spacing w:val="-6"/>
          <w:sz w:val="21"/>
          <w:szCs w:val="21"/>
          <w14:textFill>
            <w14:solidFill>
              <w14:schemeClr w14:val="tx1"/>
            </w14:solidFill>
          </w14:textFill>
        </w:rPr>
        <w:t>违约责任</w:t>
      </w:r>
    </w:p>
    <w:p w14:paraId="38B2B27F">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1.乙方所提供的货物规格、技术标准、材料等质量不合格的，应及时更换，更换不及时的按逾期交货处罚；因质量问题甲方不同意接收的或特殊情况甲方同意接收的，乙方应向甲方支付违约货款额5% 违约金并赔偿甲方经济损失。</w:t>
      </w:r>
    </w:p>
    <w:p w14:paraId="1ED61FB8">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2.乙方提供的货物如侵犯了第三方合法权益而引发的任何纠纷或诉讼，均由乙方负责交涉并承担全部责任。</w:t>
      </w:r>
    </w:p>
    <w:p w14:paraId="5BB98412">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3.因包装、运输引起的货物损坏，按质量不合格处罚。</w:t>
      </w:r>
    </w:p>
    <w:p w14:paraId="26782FF3">
      <w:pPr>
        <w:pStyle w:val="19"/>
        <w:spacing w:after="0" w:line="360" w:lineRule="exact"/>
        <w:ind w:firstLine="420" w:firstLineChars="200"/>
        <w:jc w:val="both"/>
        <w:rPr>
          <w:rFonts w:hint="eastAsia" w:ascii="宋体" w:hAnsi="宋体" w:eastAsia="宋体"/>
          <w:color w:val="000000" w:themeColor="text1"/>
          <w:kern w:val="2"/>
          <w:sz w:val="21"/>
          <w:szCs w:val="21"/>
          <w14:textFill>
            <w14:solidFill>
              <w14:schemeClr w14:val="tx1"/>
            </w14:solidFill>
          </w14:textFill>
        </w:rPr>
      </w:pPr>
      <w:r>
        <w:rPr>
          <w:rFonts w:hint="eastAsia" w:ascii="宋体" w:hAnsi="宋体" w:eastAsia="宋体"/>
          <w:color w:val="000000" w:themeColor="text1"/>
          <w:kern w:val="2"/>
          <w:sz w:val="21"/>
          <w:szCs w:val="21"/>
          <w14:textFill>
            <w14:solidFill>
              <w14:schemeClr w14:val="tx1"/>
            </w14:solidFill>
          </w14:textFill>
        </w:rPr>
        <w:t>4.甲方无故延期接收货物、乙方逾期交货的，每天向对方偿付违约货款额</w:t>
      </w:r>
      <w:r>
        <w:rPr>
          <w:rFonts w:hint="eastAsia" w:ascii="宋体" w:hAnsi="宋体" w:eastAsia="宋体"/>
          <w:color w:val="000000" w:themeColor="text1"/>
          <w:kern w:val="2"/>
          <w:sz w:val="21"/>
          <w:szCs w:val="21"/>
          <w:highlight w:val="green"/>
          <w14:textFill>
            <w14:solidFill>
              <w14:schemeClr w14:val="tx1"/>
            </w14:solidFill>
          </w14:textFill>
        </w:rPr>
        <w:t>3‰</w:t>
      </w:r>
      <w:r>
        <w:rPr>
          <w:rFonts w:hint="eastAsia" w:ascii="宋体" w:hAnsi="宋体" w:eastAsia="宋体"/>
          <w:color w:val="000000" w:themeColor="text1"/>
          <w:kern w:val="2"/>
          <w:sz w:val="21"/>
          <w:szCs w:val="21"/>
          <w14:textFill>
            <w14:solidFill>
              <w14:schemeClr w14:val="tx1"/>
            </w14:solidFill>
          </w14:textFill>
        </w:rPr>
        <w:t>违约金，但违约金累计不得超过违约货款额的5%，超过1</w:t>
      </w:r>
      <w:r>
        <w:rPr>
          <w:rFonts w:hint="eastAsia" w:ascii="宋体" w:hAnsi="宋体" w:eastAsia="宋体"/>
          <w:color w:val="000000" w:themeColor="text1"/>
          <w:kern w:val="2"/>
          <w:sz w:val="21"/>
          <w:szCs w:val="21"/>
          <w:lang w:val="en-US" w:eastAsia="zh-CN"/>
          <w14:textFill>
            <w14:solidFill>
              <w14:schemeClr w14:val="tx1"/>
            </w14:solidFill>
          </w14:textFill>
        </w:rPr>
        <w:t>2</w:t>
      </w:r>
      <w:r>
        <w:rPr>
          <w:rFonts w:hint="eastAsia" w:ascii="宋体" w:hAnsi="宋体" w:eastAsia="宋体"/>
          <w:color w:val="000000" w:themeColor="text1"/>
          <w:kern w:val="2"/>
          <w:sz w:val="21"/>
          <w:szCs w:val="21"/>
          <w14:textFill>
            <w14:solidFill>
              <w14:schemeClr w14:val="tx1"/>
            </w14:solidFill>
          </w14:textFill>
        </w:rPr>
        <w:t>0天对方有权解除合同，违约方承担因此给对方造成的经济损失；甲方延期付货款的，每天向乙方偿付延期货款额</w:t>
      </w:r>
      <w:r>
        <w:rPr>
          <w:rFonts w:hint="eastAsia" w:ascii="宋体" w:hAnsi="宋体" w:eastAsia="宋体"/>
          <w:color w:val="000000" w:themeColor="text1"/>
          <w:kern w:val="2"/>
          <w:sz w:val="21"/>
          <w:szCs w:val="21"/>
          <w:highlight w:val="green"/>
          <w14:textFill>
            <w14:solidFill>
              <w14:schemeClr w14:val="tx1"/>
            </w14:solidFill>
          </w14:textFill>
        </w:rPr>
        <w:t xml:space="preserve"> 3‰ </w:t>
      </w:r>
      <w:r>
        <w:rPr>
          <w:rFonts w:hint="eastAsia" w:ascii="宋体" w:hAnsi="宋体" w:eastAsia="宋体"/>
          <w:color w:val="000000" w:themeColor="text1"/>
          <w:kern w:val="2"/>
          <w:sz w:val="21"/>
          <w:szCs w:val="21"/>
          <w14:textFill>
            <w14:solidFill>
              <w14:schemeClr w14:val="tx1"/>
            </w14:solidFill>
          </w14:textFill>
        </w:rPr>
        <w:t>滞纳金，但滞纳金累计不得超过延期货款额5% 。</w:t>
      </w:r>
    </w:p>
    <w:p w14:paraId="02DD3464">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5.乙方未按本合同和响应文件中规定的服务承诺提供售后服务的，乙方应按本合同合计金额5%向甲方支付违约金。</w:t>
      </w:r>
    </w:p>
    <w:p w14:paraId="485AD8C0">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6.乙方提供的货物在质量保证期内，因设计、工艺或材料的缺 陷和其它质量原因造成的问题，由乙方负责，费用从履约保证金中扣除，不足另补。</w:t>
      </w:r>
    </w:p>
    <w:p w14:paraId="686258C0">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 xml:space="preserve">7.其它违约行为按违约货款额5%收取违约金并赔偿经济损失。 </w:t>
      </w:r>
    </w:p>
    <w:p w14:paraId="7A759E1D">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8.甲乙双方最高罚款总额应不超过货款总额5%。</w:t>
      </w:r>
    </w:p>
    <w:p w14:paraId="6F228CEC">
      <w:pPr>
        <w:pStyle w:val="19"/>
        <w:spacing w:after="0" w:line="360" w:lineRule="exact"/>
        <w:ind w:firstLine="422" w:firstLineChars="200"/>
        <w:jc w:val="both"/>
        <w:rPr>
          <w:rFonts w:hAnsi="宋体"/>
          <w:b/>
          <w:bCs/>
          <w:color w:val="000000" w:themeColor="text1"/>
          <w:kern w:val="2"/>
          <w:sz w:val="21"/>
          <w:szCs w:val="21"/>
          <w14:textFill>
            <w14:solidFill>
              <w14:schemeClr w14:val="tx1"/>
            </w14:solidFill>
          </w14:textFill>
        </w:rPr>
      </w:pPr>
      <w:r>
        <w:rPr>
          <w:rFonts w:hint="eastAsia" w:hAnsi="宋体"/>
          <w:b/>
          <w:bCs/>
          <w:color w:val="000000" w:themeColor="text1"/>
          <w:kern w:val="2"/>
          <w:sz w:val="21"/>
          <w:szCs w:val="21"/>
          <w14:textFill>
            <w14:solidFill>
              <w14:schemeClr w14:val="tx1"/>
            </w14:solidFill>
          </w14:textFill>
        </w:rPr>
        <w:t>第十四条  不可抗力事件处理</w:t>
      </w:r>
    </w:p>
    <w:p w14:paraId="1073969F">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1.在合同有效期内，任何一方因不可抗力事件导致不能履行合同，则合同履行期可延长，其延长期与不可抗力影响期相同。</w:t>
      </w:r>
    </w:p>
    <w:p w14:paraId="407A82B1">
      <w:pPr>
        <w:pStyle w:val="19"/>
        <w:spacing w:after="0" w:line="360" w:lineRule="exact"/>
        <w:ind w:firstLine="420" w:firstLineChars="200"/>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2.不可抗力事件发生后，应立即通知对方，并寄送有关权威机构出具的证明。</w:t>
      </w:r>
    </w:p>
    <w:p w14:paraId="2C2DCB3E">
      <w:pPr>
        <w:pStyle w:val="19"/>
        <w:spacing w:after="0" w:line="360" w:lineRule="exact"/>
        <w:ind w:firstLine="420" w:firstLineChars="200"/>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w:t>
      </w:r>
      <w:r>
        <w:rPr>
          <w:rFonts w:hint="eastAsia" w:hAnsi="宋体" w:cs="宋体"/>
          <w:color w:val="000000" w:themeColor="text1"/>
          <w:spacing w:val="-7"/>
          <w:sz w:val="21"/>
          <w:szCs w:val="21"/>
          <w14:textFill>
            <w14:solidFill>
              <w14:schemeClr w14:val="tx1"/>
            </w14:solidFill>
          </w14:textFill>
        </w:rPr>
        <w:t>不可抗力事件延续一百二十天以上，双方应通过友好协商，确</w:t>
      </w:r>
      <w:r>
        <w:rPr>
          <w:rFonts w:hint="eastAsia" w:hAnsi="宋体" w:cs="宋体"/>
          <w:color w:val="000000" w:themeColor="text1"/>
          <w:spacing w:val="-6"/>
          <w:sz w:val="21"/>
          <w:szCs w:val="21"/>
          <w14:textFill>
            <w14:solidFill>
              <w14:schemeClr w14:val="tx1"/>
            </w14:solidFill>
          </w14:textFill>
        </w:rPr>
        <w:t>定是否继续履行合同。</w:t>
      </w:r>
    </w:p>
    <w:p w14:paraId="6CED33C8">
      <w:pPr>
        <w:pStyle w:val="19"/>
        <w:spacing w:after="0" w:line="360" w:lineRule="exact"/>
        <w:ind w:firstLine="398"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6"/>
          <w:sz w:val="21"/>
          <w:szCs w:val="21"/>
          <w14:textFill>
            <w14:solidFill>
              <w14:schemeClr w14:val="tx1"/>
            </w14:solidFill>
          </w14:textFill>
        </w:rPr>
        <w:t>第十五条</w:t>
      </w:r>
      <w:r>
        <w:rPr>
          <w:rFonts w:hint="eastAsia" w:hAnsi="宋体" w:cs="宋体"/>
          <w:color w:val="000000" w:themeColor="text1"/>
          <w:spacing w:val="-6"/>
          <w:sz w:val="21"/>
          <w:szCs w:val="21"/>
          <w14:textFill>
            <w14:solidFill>
              <w14:schemeClr w14:val="tx1"/>
            </w14:solidFill>
          </w14:textFill>
        </w:rPr>
        <w:t xml:space="preserve">  </w:t>
      </w:r>
      <w:r>
        <w:rPr>
          <w:rFonts w:hint="eastAsia" w:hAnsi="宋体" w:cs="宋体"/>
          <w:b/>
          <w:bCs/>
          <w:color w:val="000000" w:themeColor="text1"/>
          <w:spacing w:val="-6"/>
          <w:sz w:val="21"/>
          <w:szCs w:val="21"/>
          <w14:textFill>
            <w14:solidFill>
              <w14:schemeClr w14:val="tx1"/>
            </w14:solidFill>
          </w14:textFill>
        </w:rPr>
        <w:t>合同争议解决</w:t>
      </w:r>
    </w:p>
    <w:p w14:paraId="571B6E03">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25E7661F">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2.因履行本合同引起的或与本合同有关的争议，甲乙双方应首先 通过友好协商解决，如果协商不能解决，可向仲裁委员会申请仲裁或向人民法院提起诉讼。</w:t>
      </w:r>
    </w:p>
    <w:p w14:paraId="6A82A92D">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3.诉讼期间本合同继续履行。</w:t>
      </w:r>
    </w:p>
    <w:p w14:paraId="7A65D16C">
      <w:pPr>
        <w:pStyle w:val="19"/>
        <w:spacing w:after="0" w:line="360" w:lineRule="exact"/>
        <w:ind w:firstLine="402"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5"/>
          <w:sz w:val="21"/>
          <w:szCs w:val="21"/>
          <w14:textFill>
            <w14:solidFill>
              <w14:schemeClr w14:val="tx1"/>
            </w14:solidFill>
          </w14:textFill>
        </w:rPr>
        <w:t>第十六条 合同生效及其它</w:t>
      </w:r>
    </w:p>
    <w:p w14:paraId="57A535B6">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1.合同经双方法定代表人(负责人)或授权代表(委托代理人)签字并加盖单位公章后生效。</w:t>
      </w:r>
    </w:p>
    <w:p w14:paraId="0BC046BD">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lang w:val="en-US" w:eastAsia="zh-CN"/>
          <w14:textFill>
            <w14:solidFill>
              <w14:schemeClr w14:val="tx1"/>
            </w14:solidFill>
          </w14:textFill>
        </w:rPr>
        <w:t>2</w:t>
      </w:r>
      <w:r>
        <w:rPr>
          <w:rFonts w:hint="eastAsia" w:hAnsi="宋体"/>
          <w:color w:val="000000" w:themeColor="text1"/>
          <w:kern w:val="2"/>
          <w:sz w:val="21"/>
          <w:szCs w:val="21"/>
          <w14:textFill>
            <w14:solidFill>
              <w14:schemeClr w14:val="tx1"/>
            </w14:solidFill>
          </w14:textFill>
        </w:rPr>
        <w:t>.本合同未尽事宜，遵照《中华人民共和国民法典》有关条文执行。</w:t>
      </w:r>
    </w:p>
    <w:p w14:paraId="6BD22914">
      <w:pPr>
        <w:pStyle w:val="19"/>
        <w:spacing w:after="0" w:line="360" w:lineRule="exact"/>
        <w:ind w:firstLine="402"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5"/>
          <w:sz w:val="21"/>
          <w:szCs w:val="21"/>
          <w14:textFill>
            <w14:solidFill>
              <w14:schemeClr w14:val="tx1"/>
            </w14:solidFill>
          </w14:textFill>
        </w:rPr>
        <w:t>第十七条 合同的变更、终止与转让</w:t>
      </w:r>
    </w:p>
    <w:p w14:paraId="6347E8FF">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1.除《中华人民共和国政府采购法》第五十条规定的情形外，本合同一经签订，甲乙双方不得擅自变更、中止或终止。</w:t>
      </w:r>
    </w:p>
    <w:p w14:paraId="1ED0B459">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2.乙方不得擅自转让(无进口资格的供应商委托进口货物除外) 其应履行的合同义务。</w:t>
      </w:r>
    </w:p>
    <w:p w14:paraId="1D12ABC1">
      <w:pPr>
        <w:pStyle w:val="19"/>
        <w:spacing w:after="0" w:line="360" w:lineRule="exact"/>
        <w:ind w:firstLine="398" w:firstLineChars="200"/>
        <w:jc w:val="both"/>
        <w:rPr>
          <w:rFonts w:hAnsi="宋体" w:cs="宋体"/>
          <w:color w:val="000000" w:themeColor="text1"/>
          <w:sz w:val="21"/>
          <w:szCs w:val="21"/>
          <w14:textFill>
            <w14:solidFill>
              <w14:schemeClr w14:val="tx1"/>
            </w14:solidFill>
          </w14:textFill>
        </w:rPr>
      </w:pPr>
      <w:r>
        <w:rPr>
          <w:rFonts w:hint="eastAsia" w:hAnsi="宋体" w:cs="宋体"/>
          <w:b/>
          <w:bCs/>
          <w:color w:val="000000" w:themeColor="text1"/>
          <w:spacing w:val="-6"/>
          <w:sz w:val="21"/>
          <w:szCs w:val="21"/>
          <w14:textFill>
            <w14:solidFill>
              <w14:schemeClr w14:val="tx1"/>
            </w14:solidFill>
          </w14:textFill>
        </w:rPr>
        <w:t>第十八条</w:t>
      </w:r>
      <w:r>
        <w:rPr>
          <w:rFonts w:hint="eastAsia" w:hAnsi="宋体" w:cs="宋体"/>
          <w:color w:val="000000" w:themeColor="text1"/>
          <w:spacing w:val="-6"/>
          <w:sz w:val="21"/>
          <w:szCs w:val="21"/>
          <w14:textFill>
            <w14:solidFill>
              <w14:schemeClr w14:val="tx1"/>
            </w14:solidFill>
          </w14:textFill>
        </w:rPr>
        <w:t xml:space="preserve">  </w:t>
      </w:r>
      <w:r>
        <w:rPr>
          <w:rFonts w:hint="eastAsia" w:hAnsi="宋体" w:cs="宋体"/>
          <w:b/>
          <w:bCs/>
          <w:color w:val="000000" w:themeColor="text1"/>
          <w:spacing w:val="-6"/>
          <w:sz w:val="21"/>
          <w:szCs w:val="21"/>
          <w14:textFill>
            <w14:solidFill>
              <w14:schemeClr w14:val="tx1"/>
            </w14:solidFill>
          </w14:textFill>
        </w:rPr>
        <w:t>签订本合同依据</w:t>
      </w:r>
    </w:p>
    <w:p w14:paraId="4AC5E4EF">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1.谈判文件；</w:t>
      </w:r>
    </w:p>
    <w:p w14:paraId="52FAA0A1">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2.乙方提供的响应文件；</w:t>
      </w:r>
    </w:p>
    <w:p w14:paraId="0DE59DE5">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3.谈判书；</w:t>
      </w:r>
    </w:p>
    <w:p w14:paraId="4B38BDCB">
      <w:pPr>
        <w:pStyle w:val="19"/>
        <w:spacing w:after="0" w:line="360" w:lineRule="exact"/>
        <w:ind w:firstLine="420" w:firstLineChars="200"/>
        <w:jc w:val="both"/>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4.成交通知书。</w:t>
      </w:r>
    </w:p>
    <w:p w14:paraId="20BECEFC">
      <w:pPr>
        <w:pStyle w:val="19"/>
        <w:spacing w:after="0" w:line="360" w:lineRule="exact"/>
        <w:ind w:firstLine="406" w:firstLineChars="200"/>
        <w:jc w:val="both"/>
        <w:rPr>
          <w:rFonts w:hAnsi="宋体"/>
          <w:color w:val="000000" w:themeColor="text1"/>
          <w:sz w:val="21"/>
          <w:szCs w:val="21"/>
          <w14:textFill>
            <w14:solidFill>
              <w14:schemeClr w14:val="tx1"/>
            </w14:solidFill>
          </w14:textFill>
        </w:rPr>
      </w:pPr>
      <w:r>
        <w:rPr>
          <w:rFonts w:hint="eastAsia" w:hAnsi="宋体" w:cs="宋体"/>
          <w:b/>
          <w:bCs/>
          <w:color w:val="000000" w:themeColor="text1"/>
          <w:spacing w:val="-4"/>
          <w:sz w:val="21"/>
          <w:szCs w:val="21"/>
          <w14:textFill>
            <w14:solidFill>
              <w14:schemeClr w14:val="tx1"/>
            </w14:solidFill>
          </w14:textFill>
        </w:rPr>
        <w:t>第十九</w:t>
      </w:r>
      <w:r>
        <w:rPr>
          <w:rFonts w:hint="eastAsia" w:hAnsi="宋体"/>
          <w:b/>
          <w:bCs/>
          <w:color w:val="000000" w:themeColor="text1"/>
          <w:sz w:val="21"/>
          <w:szCs w:val="21"/>
          <w14:textFill>
            <w14:solidFill>
              <w14:schemeClr w14:val="tx1"/>
            </w14:solidFill>
          </w14:textFill>
        </w:rPr>
        <w:t>条</w:t>
      </w:r>
      <w:r>
        <w:rPr>
          <w:rFonts w:hint="eastAsia" w:hAnsi="宋体"/>
          <w:b/>
          <w:color w:val="000000" w:themeColor="text1"/>
          <w:sz w:val="21"/>
          <w:szCs w:val="21"/>
          <w14:textFill>
            <w14:solidFill>
              <w14:schemeClr w14:val="tx1"/>
            </w14:solidFill>
          </w14:textFill>
        </w:rPr>
        <w:t>　</w:t>
      </w:r>
      <w:r>
        <w:rPr>
          <w:rFonts w:hint="eastAsia" w:hAnsi="宋体"/>
          <w:color w:val="000000" w:themeColor="text1"/>
          <w:sz w:val="21"/>
          <w:szCs w:val="21"/>
          <w14:textFill>
            <w14:solidFill>
              <w14:schemeClr w14:val="tx1"/>
            </w14:solidFill>
          </w14:textFill>
        </w:rPr>
        <w:t>本合同一式</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份，具有同等法律效力，采购代理单位、政府采购监管部门各一份，甲乙双方各</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份。</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899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8EFEE52">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甲方（章）           </w:t>
            </w:r>
          </w:p>
          <w:p w14:paraId="1A562F03">
            <w:pPr>
              <w:snapToGrid w:val="0"/>
              <w:spacing w:line="360" w:lineRule="exact"/>
              <w:ind w:firstLine="945" w:firstLineChars="45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501F1711">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乙方（章）              </w:t>
            </w:r>
          </w:p>
          <w:p w14:paraId="2569D638">
            <w:pPr>
              <w:snapToGrid w:val="0"/>
              <w:spacing w:line="360" w:lineRule="exact"/>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r>
      <w:tr w14:paraId="61A2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5D1C09E">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7DADA0A6">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r>
      <w:tr w14:paraId="3C68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5625698">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7FA91AB2">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r>
      <w:tr w14:paraId="4236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0D83FD9">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04A8B420">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r>
      <w:tr w14:paraId="75E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206CC5D">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00366F02">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14:paraId="756A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6687D79">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D9B1567">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r>
      <w:tr w14:paraId="3C09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AD1BCA6">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0B617F3">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14:paraId="7BAC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69B85D2">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6B656F42">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r w14:paraId="6B01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E328F39">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75951E4F">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r w14:paraId="4120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688287AD">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p w14:paraId="3A84677C">
            <w:pPr>
              <w:snapToGrid w:val="0"/>
              <w:spacing w:line="360" w:lineRule="exact"/>
              <w:ind w:firstLine="630" w:firstLineChars="3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r>
    </w:tbl>
    <w:p w14:paraId="24A2A86C">
      <w:pPr>
        <w:snapToGrid w:val="0"/>
        <w:spacing w:line="360" w:lineRule="exact"/>
        <w:rPr>
          <w:rFonts w:ascii="宋体" w:hAnsi="宋体"/>
          <w:b/>
          <w:color w:val="000000" w:themeColor="text1"/>
          <w:sz w:val="28"/>
          <w:szCs w:val="28"/>
          <w14:textFill>
            <w14:solidFill>
              <w14:schemeClr w14:val="tx1"/>
            </w14:solidFill>
          </w14:textFill>
        </w:rPr>
      </w:pPr>
    </w:p>
    <w:p w14:paraId="6C7F0C22">
      <w:pPr>
        <w:pStyle w:val="134"/>
        <w:adjustRightInd w:val="0"/>
        <w:spacing w:line="360" w:lineRule="exact"/>
        <w:ind w:right="408"/>
        <w:jc w:val="left"/>
        <w:rPr>
          <w:rFonts w:ascii="宋体" w:hAnsi="宋体" w:cs="宋体"/>
          <w:b/>
          <w:color w:val="000000" w:themeColor="text1"/>
          <w:szCs w:val="21"/>
          <w14:textFill>
            <w14:solidFill>
              <w14:schemeClr w14:val="tx1"/>
            </w14:solidFill>
          </w14:textFill>
        </w:rPr>
      </w:pPr>
    </w:p>
    <w:p w14:paraId="17AD1113">
      <w:pPr>
        <w:pStyle w:val="134"/>
        <w:adjustRightInd w:val="0"/>
        <w:spacing w:line="360" w:lineRule="exact"/>
        <w:ind w:right="408"/>
        <w:jc w:val="left"/>
        <w:rPr>
          <w:rFonts w:ascii="宋体" w:hAnsi="宋体" w:cs="宋体"/>
          <w:b/>
          <w:color w:val="000000" w:themeColor="text1"/>
          <w:szCs w:val="21"/>
          <w14:textFill>
            <w14:solidFill>
              <w14:schemeClr w14:val="tx1"/>
            </w14:solidFill>
          </w14:textFill>
        </w:rPr>
      </w:pPr>
    </w:p>
    <w:p w14:paraId="36B98288">
      <w:pPr>
        <w:pStyle w:val="134"/>
        <w:adjustRightInd w:val="0"/>
        <w:spacing w:line="360" w:lineRule="exact"/>
        <w:ind w:right="408"/>
        <w:jc w:val="left"/>
        <w:rPr>
          <w:rFonts w:ascii="宋体" w:hAnsi="宋体" w:cs="宋体"/>
          <w:b/>
          <w:color w:val="000000" w:themeColor="text1"/>
          <w:szCs w:val="21"/>
          <w14:textFill>
            <w14:solidFill>
              <w14:schemeClr w14:val="tx1"/>
            </w14:solidFill>
          </w14:textFill>
        </w:rPr>
      </w:pPr>
    </w:p>
    <w:p w14:paraId="439C5034">
      <w:pPr>
        <w:pStyle w:val="134"/>
        <w:adjustRightInd w:val="0"/>
        <w:spacing w:line="360" w:lineRule="exact"/>
        <w:ind w:right="408"/>
        <w:jc w:val="left"/>
        <w:rPr>
          <w:rFonts w:ascii="宋体" w:hAnsi="宋体" w:cs="宋体"/>
          <w:b/>
          <w:color w:val="000000" w:themeColor="text1"/>
          <w:szCs w:val="21"/>
          <w14:textFill>
            <w14:solidFill>
              <w14:schemeClr w14:val="tx1"/>
            </w14:solidFill>
          </w14:textFill>
        </w:rPr>
      </w:pPr>
    </w:p>
    <w:bookmarkEnd w:id="28"/>
    <w:bookmarkEnd w:id="29"/>
    <w:bookmarkEnd w:id="30"/>
    <w:bookmarkEnd w:id="31"/>
    <w:bookmarkEnd w:id="32"/>
    <w:bookmarkEnd w:id="33"/>
    <w:bookmarkEnd w:id="34"/>
    <w:bookmarkEnd w:id="35"/>
    <w:bookmarkEnd w:id="36"/>
    <w:bookmarkEnd w:id="37"/>
    <w:bookmarkEnd w:id="41"/>
    <w:p w14:paraId="2B531324">
      <w:pPr>
        <w:pStyle w:val="5"/>
        <w:rPr>
          <w:rFonts w:ascii="宋体" w:hAnsi="宋体"/>
          <w:color w:val="000000" w:themeColor="text1"/>
          <w14:textFill>
            <w14:solidFill>
              <w14:schemeClr w14:val="tx1"/>
            </w14:solidFill>
          </w14:textFill>
        </w:rPr>
      </w:pPr>
      <w:bookmarkStart w:id="42" w:name="_Toc4437"/>
      <w:r>
        <w:rPr>
          <w:rFonts w:hint="eastAsia" w:ascii="宋体" w:hAnsi="宋体"/>
          <w:color w:val="000000" w:themeColor="text1"/>
          <w14:textFill>
            <w14:solidFill>
              <w14:schemeClr w14:val="tx1"/>
            </w14:solidFill>
          </w14:textFill>
        </w:rPr>
        <w:t>第六章 评审办法</w:t>
      </w:r>
      <w:bookmarkEnd w:id="42"/>
    </w:p>
    <w:p w14:paraId="5765C105">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一、评审原则</w:t>
      </w:r>
    </w:p>
    <w:p w14:paraId="15A3486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（一）谈判小组的构成：本采购项目的谈判小组分别由评审专家、采购人代表等三人以上单数组成，其中技术、经济专家人数不少于成员总数的三分之二。</w:t>
      </w:r>
      <w:r>
        <w:rPr>
          <w:rFonts w:hint="eastAsia" w:ascii="宋体" w:hAnsi="宋体" w:cs="宋体"/>
          <w:color w:val="000000" w:themeColor="text1"/>
          <w:szCs w:val="21"/>
          <w14:textFill>
            <w14:solidFill>
              <w14:schemeClr w14:val="tx1"/>
            </w14:solidFill>
          </w14:textFill>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32AAB45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（二）评审依据：</w:t>
      </w:r>
    </w:p>
    <w:p w14:paraId="004CBAA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1、以谈判文件、响应文件为评审依据。</w:t>
      </w:r>
    </w:p>
    <w:p w14:paraId="1D9CA2A6">
      <w:pPr>
        <w:spacing w:line="36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评标委员会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w:t>
      </w:r>
    </w:p>
    <w:p w14:paraId="79FF53C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（三）评审方法：在质量和服务均能满足谈判文件实质性响应要求的前提下，按最后评审价由低到高排列成交候选供应商顺序，并依照次序确定成交候选供应商。</w:t>
      </w:r>
    </w:p>
    <w:p w14:paraId="0FF34B26">
      <w:pPr>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二、评审方法</w:t>
      </w:r>
    </w:p>
    <w:p w14:paraId="638B6D77">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（一）资格审查</w:t>
      </w:r>
    </w:p>
    <w:p w14:paraId="62CF5A8E">
      <w:pPr>
        <w:spacing w:line="360" w:lineRule="exact"/>
        <w:ind w:firstLine="420" w:firstLineChars="200"/>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谈判小组</w:t>
      </w:r>
      <w:r>
        <w:rPr>
          <w:rFonts w:hint="eastAsia" w:ascii="宋体" w:hAnsi="宋体"/>
          <w:color w:val="000000" w:themeColor="text1"/>
          <w:szCs w:val="21"/>
          <w14:textFill>
            <w14:solidFill>
              <w14:schemeClr w14:val="tx1"/>
            </w14:solidFill>
          </w14:textFill>
        </w:rPr>
        <w:t>依法对供应商的资格进行审查。</w:t>
      </w:r>
    </w:p>
    <w:tbl>
      <w:tblPr>
        <w:tblStyle w:val="37"/>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09D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5BFA26C">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1EA550F8">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2A2C01E8">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检查内容</w:t>
            </w:r>
          </w:p>
        </w:tc>
      </w:tr>
      <w:tr w14:paraId="304D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13DDF967">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0BE3148F">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499B8EC3">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6C7A0BBF">
            <w:pPr>
              <w:pStyle w:val="21"/>
              <w:spacing w:line="36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0C2E46F2">
            <w:pPr>
              <w:pStyle w:val="21"/>
              <w:spacing w:line="360" w:lineRule="exact"/>
              <w:ind w:firstLine="420" w:firstLineChars="200"/>
              <w:rPr>
                <w:color w:val="000000" w:themeColor="text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2.如为分支机构投标的，须提供其总公司“营业执照”副本复印件和总公司对供应商参与本项目投标的授权书原件。</w:t>
            </w:r>
          </w:p>
        </w:tc>
      </w:tr>
      <w:tr w14:paraId="4022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DF9CA4F">
            <w:pPr>
              <w:widowControl/>
              <w:spacing w:line="360" w:lineRule="exact"/>
              <w:jc w:val="left"/>
              <w:rPr>
                <w:rFonts w:ascii="宋体" w:hAnsi="宋体" w:cs="Courier New"/>
                <w:color w:val="000000" w:themeColor="text1"/>
                <w:szCs w:val="2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1AACDE2">
            <w:pPr>
              <w:widowControl/>
              <w:spacing w:line="360" w:lineRule="exact"/>
              <w:jc w:val="left"/>
              <w:rPr>
                <w:rFonts w:ascii="宋体" w:hAnsi="宋体" w:cs="Courier New"/>
                <w:color w:val="000000" w:themeColor="text1"/>
                <w:szCs w:val="21"/>
                <w14:textFill>
                  <w14:solidFill>
                    <w14:schemeClr w14:val="tx1"/>
                  </w14:solidFill>
                </w14:textFill>
              </w:rPr>
            </w:pPr>
          </w:p>
        </w:tc>
        <w:tc>
          <w:tcPr>
            <w:tcW w:w="3260" w:type="dxa"/>
            <w:tcBorders>
              <w:top w:val="single" w:color="auto" w:sz="4" w:space="0"/>
              <w:left w:val="single" w:color="auto" w:sz="4" w:space="0"/>
              <w:bottom w:val="single" w:color="auto" w:sz="4" w:space="0"/>
              <w:right w:val="single" w:color="auto" w:sz="4" w:space="0"/>
            </w:tcBorders>
            <w:vAlign w:val="center"/>
          </w:tcPr>
          <w:p w14:paraId="4738DA8A">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14:paraId="07BD9A54">
            <w:pPr>
              <w:pStyle w:val="21"/>
              <w:spacing w:line="360" w:lineRule="exact"/>
              <w:ind w:firstLine="420" w:firstLineChars="200"/>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政府采购供应商资格信用承诺函(按格式填写)</w:t>
            </w:r>
          </w:p>
        </w:tc>
      </w:tr>
      <w:tr w14:paraId="1BC2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E172D78">
            <w:pPr>
              <w:widowControl/>
              <w:spacing w:line="360" w:lineRule="exact"/>
              <w:jc w:val="left"/>
              <w:rPr>
                <w:rFonts w:ascii="宋体" w:hAnsi="宋体" w:cs="Courier New"/>
                <w:color w:val="000000" w:themeColor="text1"/>
                <w:szCs w:val="2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1A2CBEA">
            <w:pPr>
              <w:widowControl/>
              <w:spacing w:line="360" w:lineRule="exact"/>
              <w:jc w:val="left"/>
              <w:rPr>
                <w:rFonts w:ascii="宋体" w:hAnsi="宋体" w:cs="Courier New"/>
                <w:color w:val="000000" w:themeColor="text1"/>
                <w:szCs w:val="21"/>
                <w14:textFill>
                  <w14:solidFill>
                    <w14:schemeClr w14:val="tx1"/>
                  </w14:solidFill>
                </w14:textFill>
              </w:rPr>
            </w:pPr>
          </w:p>
        </w:tc>
        <w:tc>
          <w:tcPr>
            <w:tcW w:w="3260" w:type="dxa"/>
            <w:tcBorders>
              <w:top w:val="single" w:color="auto" w:sz="4" w:space="0"/>
              <w:left w:val="single" w:color="auto" w:sz="4" w:space="0"/>
              <w:bottom w:val="single" w:color="auto" w:sz="4" w:space="0"/>
              <w:right w:val="single" w:color="auto" w:sz="4" w:space="0"/>
            </w:tcBorders>
            <w:vAlign w:val="center"/>
          </w:tcPr>
          <w:p w14:paraId="6C217FCB">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3350C7BF">
            <w:pPr>
              <w:pStyle w:val="21"/>
              <w:spacing w:line="360" w:lineRule="exact"/>
              <w:ind w:firstLine="420" w:firstLineChars="200"/>
              <w:rPr>
                <w:rFonts w:hint="eastAsia" w:hAnsi="宋体"/>
                <w:color w:val="000000" w:themeColor="text1"/>
                <w:kern w:val="2"/>
                <w:sz w:val="21"/>
                <w:szCs w:val="21"/>
                <w14:textFill>
                  <w14:solidFill>
                    <w14:schemeClr w14:val="tx1"/>
                  </w14:solidFill>
                </w14:textFill>
              </w:rPr>
            </w:pPr>
            <w:bookmarkStart w:id="43" w:name="OLE_LINK13"/>
            <w:r>
              <w:rPr>
                <w:rFonts w:hint="eastAsia" w:hAnsi="宋体"/>
                <w:color w:val="000000" w:themeColor="text1"/>
                <w:kern w:val="2"/>
                <w:sz w:val="21"/>
                <w:szCs w:val="21"/>
                <w14:textFill>
                  <w14:solidFill>
                    <w14:schemeClr w14:val="tx1"/>
                  </w14:solidFill>
                </w14:textFill>
              </w:rPr>
              <w:t>提供谈判声明书或相关证明材料。</w:t>
            </w:r>
            <w:bookmarkEnd w:id="43"/>
          </w:p>
        </w:tc>
      </w:tr>
      <w:tr w14:paraId="7D8D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A21CC9C">
            <w:pPr>
              <w:widowControl/>
              <w:spacing w:line="360" w:lineRule="exact"/>
              <w:jc w:val="left"/>
              <w:rPr>
                <w:rFonts w:ascii="宋体" w:hAnsi="宋体" w:cs="Courier New"/>
                <w:color w:val="000000" w:themeColor="text1"/>
                <w:szCs w:val="2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1BA58262">
            <w:pPr>
              <w:widowControl/>
              <w:spacing w:line="360" w:lineRule="exact"/>
              <w:jc w:val="left"/>
              <w:rPr>
                <w:rFonts w:ascii="宋体" w:hAnsi="宋体" w:cs="Courier New"/>
                <w:color w:val="000000" w:themeColor="text1"/>
                <w:szCs w:val="21"/>
                <w14:textFill>
                  <w14:solidFill>
                    <w14:schemeClr w14:val="tx1"/>
                  </w14:solidFill>
                </w14:textFill>
              </w:rPr>
            </w:pPr>
          </w:p>
        </w:tc>
        <w:tc>
          <w:tcPr>
            <w:tcW w:w="3260" w:type="dxa"/>
            <w:tcBorders>
              <w:top w:val="single" w:color="auto" w:sz="4" w:space="0"/>
              <w:left w:val="single" w:color="auto" w:sz="4" w:space="0"/>
              <w:bottom w:val="single" w:color="auto" w:sz="4" w:space="0"/>
              <w:right w:val="single" w:color="auto" w:sz="4" w:space="0"/>
            </w:tcBorders>
            <w:vAlign w:val="center"/>
          </w:tcPr>
          <w:p w14:paraId="6064F06C">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4.参加政府采购活动前三年内，在经营活动中没有重大违法记录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C1B8DFE">
            <w:pPr>
              <w:pStyle w:val="21"/>
              <w:spacing w:line="360" w:lineRule="exact"/>
              <w:ind w:firstLine="420" w:firstLineChars="200"/>
              <w:rPr>
                <w:rFonts w:hint="eastAsia" w:hAnsi="宋体"/>
                <w:color w:val="000000" w:themeColor="text1"/>
                <w:kern w:val="2"/>
                <w:sz w:val="21"/>
                <w:szCs w:val="21"/>
                <w14:textFill>
                  <w14:solidFill>
                    <w14:schemeClr w14:val="tx1"/>
                  </w14:solidFill>
                </w14:textFill>
              </w:rPr>
            </w:pPr>
            <w:bookmarkStart w:id="44" w:name="OLE_LINK14"/>
            <w:r>
              <w:rPr>
                <w:rFonts w:hint="eastAsia" w:hAnsi="宋体"/>
                <w:color w:val="000000" w:themeColor="text1"/>
                <w:kern w:val="2"/>
                <w:sz w:val="21"/>
                <w:szCs w:val="21"/>
                <w14:textFill>
                  <w14:solidFill>
                    <w14:schemeClr w14:val="tx1"/>
                  </w14:solidFill>
                </w14:textFill>
              </w:rPr>
              <w:t>1. 提供参加政府采购活动前三年内在经营活动中没有重大违法记录和不良信用记录的书面声明书。</w:t>
            </w:r>
          </w:p>
          <w:p w14:paraId="27C09BDA">
            <w:pPr>
              <w:pStyle w:val="21"/>
              <w:spacing w:line="360" w:lineRule="exact"/>
              <w:ind w:firstLine="420" w:firstLineChars="200"/>
              <w:rPr>
                <w:rFonts w:hint="eastAsia"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2.在资格审查时，将通过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bookmarkEnd w:id="44"/>
          </w:p>
        </w:tc>
      </w:tr>
      <w:tr w14:paraId="5D87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2C71493">
            <w:pPr>
              <w:widowControl/>
              <w:spacing w:line="360" w:lineRule="exact"/>
              <w:jc w:val="left"/>
              <w:rPr>
                <w:rFonts w:ascii="宋体" w:hAnsi="宋体" w:cs="Courier New"/>
                <w:color w:val="000000" w:themeColor="text1"/>
                <w:szCs w:val="2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3F366EF">
            <w:pPr>
              <w:widowControl/>
              <w:spacing w:line="360" w:lineRule="exact"/>
              <w:jc w:val="left"/>
              <w:rPr>
                <w:rFonts w:ascii="宋体" w:hAnsi="宋体" w:cs="Courier New"/>
                <w:color w:val="000000" w:themeColor="text1"/>
                <w:szCs w:val="21"/>
                <w14:textFill>
                  <w14:solidFill>
                    <w14:schemeClr w14:val="tx1"/>
                  </w14:solidFill>
                </w14:textFill>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05ED9F44">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5.法律、行政法规规定的其他条件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E4C2562">
            <w:pPr>
              <w:pStyle w:val="21"/>
              <w:spacing w:line="360" w:lineRule="exact"/>
              <w:ind w:firstLine="420" w:firstLineChars="200"/>
              <w:rPr>
                <w:rFonts w:hAnsi="宋体" w:cs="Courier New"/>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1.单位负责人为同一人或者存在直接控股、管理关系的不同供应商，不得参加同一合同项下的政府采购活动。</w:t>
            </w:r>
          </w:p>
          <w:p w14:paraId="0D2D042A">
            <w:pPr>
              <w:pStyle w:val="21"/>
              <w:spacing w:line="36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提供供应商直接控股、管理关系信息表。</w:t>
            </w:r>
          </w:p>
        </w:tc>
      </w:tr>
      <w:tr w14:paraId="388C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5401517">
            <w:pPr>
              <w:widowControl/>
              <w:spacing w:line="360" w:lineRule="exact"/>
              <w:jc w:val="left"/>
              <w:rPr>
                <w:rFonts w:ascii="宋体" w:hAnsi="宋体" w:cs="Courier New"/>
                <w:color w:val="000000" w:themeColor="text1"/>
                <w:szCs w:val="2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87DAB11">
            <w:pPr>
              <w:widowControl/>
              <w:spacing w:line="360" w:lineRule="exact"/>
              <w:jc w:val="left"/>
              <w:rPr>
                <w:rFonts w:ascii="宋体" w:hAnsi="宋体" w:cs="Courier New"/>
                <w:color w:val="000000" w:themeColor="text1"/>
                <w:szCs w:val="21"/>
                <w14:textFill>
                  <w14:solidFill>
                    <w14:schemeClr w14:val="tx1"/>
                  </w14:solidFill>
                </w14:textFill>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1F8782EB">
            <w:pPr>
              <w:widowControl/>
              <w:spacing w:line="360" w:lineRule="exact"/>
              <w:jc w:val="left"/>
              <w:rPr>
                <w:rFonts w:ascii="宋体" w:hAnsi="宋体" w:cs="Courier New"/>
                <w:color w:val="000000" w:themeColor="text1"/>
                <w:szCs w:val="21"/>
                <w14:textFill>
                  <w14:solidFill>
                    <w14:schemeClr w14:val="tx1"/>
                  </w14:solidFill>
                </w14:textFill>
              </w:rPr>
            </w:pPr>
          </w:p>
        </w:tc>
        <w:tc>
          <w:tcPr>
            <w:tcW w:w="4985" w:type="dxa"/>
            <w:tcBorders>
              <w:top w:val="single" w:color="auto" w:sz="4" w:space="0"/>
              <w:left w:val="single" w:color="auto" w:sz="4" w:space="0"/>
              <w:bottom w:val="single" w:color="auto" w:sz="4" w:space="0"/>
              <w:right w:val="single" w:color="auto" w:sz="4" w:space="0"/>
            </w:tcBorders>
            <w:vAlign w:val="center"/>
          </w:tcPr>
          <w:p w14:paraId="5921C4CB">
            <w:pPr>
              <w:pStyle w:val="21"/>
              <w:spacing w:line="360" w:lineRule="exact"/>
              <w:ind w:firstLine="420" w:firstLineChars="200"/>
              <w:rPr>
                <w:rFonts w:hAnsi="宋体" w:cs="Courier New"/>
                <w:color w:val="000000" w:themeColor="text1"/>
                <w:kern w:val="2"/>
                <w:sz w:val="21"/>
                <w:szCs w:val="21"/>
                <w14:textFill>
                  <w14:solidFill>
                    <w14:schemeClr w14:val="tx1"/>
                  </w14:solidFill>
                </w14:textFill>
              </w:rPr>
            </w:pPr>
            <w:bookmarkStart w:id="45" w:name="OLE_LINK15"/>
            <w:r>
              <w:rPr>
                <w:rFonts w:hint="eastAsia" w:hAnsi="宋体"/>
                <w:color w:val="000000" w:themeColor="text1"/>
                <w:kern w:val="2"/>
                <w:sz w:val="21"/>
                <w:szCs w:val="21"/>
                <w14:textFill>
                  <w14:solidFill>
                    <w14:schemeClr w14:val="tx1"/>
                  </w14:solidFill>
                </w14:textFill>
              </w:rPr>
              <w:t>2.为本项目提供过整体设计、规范编制或者项目管理、监理、检测等服务的供应商，不得再参加本项目上述服务以外的其他采购活动。</w:t>
            </w:r>
          </w:p>
          <w:p w14:paraId="060C5E4E">
            <w:pPr>
              <w:pStyle w:val="21"/>
              <w:spacing w:line="36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提供谈判声明书。</w:t>
            </w:r>
            <w:bookmarkEnd w:id="45"/>
          </w:p>
        </w:tc>
      </w:tr>
      <w:tr w14:paraId="25B2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71594B8">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652A5090">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688DC2AD">
            <w:pPr>
              <w:pStyle w:val="21"/>
              <w:spacing w:line="36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按招标公告“二、申请人的资格要求2.落实政府采购政策需满足的资格要求”的要求提交。</w:t>
            </w:r>
          </w:p>
          <w:p w14:paraId="0665EB78">
            <w:pPr>
              <w:pStyle w:val="21"/>
              <w:spacing w:line="360" w:lineRule="exact"/>
              <w:ind w:firstLine="420" w:firstLineChars="200"/>
              <w:rPr>
                <w:rFonts w:hAnsi="宋体"/>
                <w:color w:val="000000" w:themeColor="text1"/>
                <w:kern w:val="2"/>
                <w:sz w:val="21"/>
                <w:szCs w:val="21"/>
                <w14:textFill>
                  <w14:solidFill>
                    <w14:schemeClr w14:val="tx1"/>
                  </w14:solidFill>
                </w14:textFill>
              </w:rPr>
            </w:pPr>
            <w:bookmarkStart w:id="46" w:name="OLE_LINK6"/>
            <w:r>
              <w:rPr>
                <w:rFonts w:hint="eastAsia" w:hAnsi="宋体"/>
                <w:color w:val="000000" w:themeColor="text1"/>
                <w:kern w:val="2"/>
                <w:sz w:val="21"/>
                <w:szCs w:val="21"/>
                <w14:textFill>
                  <w14:solidFill>
                    <w14:schemeClr w14:val="tx1"/>
                  </w14:solidFill>
                </w14:textFill>
              </w:rPr>
              <w:t>本项目专门面向小微企业，投标货物生产商须为《关于印发中小企业划型标准规定的通知》（工信部联企业〔2011〕300号）规定的</w:t>
            </w:r>
            <w:r>
              <w:rPr>
                <w:rFonts w:hint="eastAsia" w:hAnsi="宋体"/>
                <w:color w:val="000000" w:themeColor="text1"/>
                <w:kern w:val="2"/>
                <w:sz w:val="21"/>
                <w:szCs w:val="21"/>
                <w:lang w:eastAsia="zh-CN"/>
                <w14:textFill>
                  <w14:solidFill>
                    <w14:schemeClr w14:val="tx1"/>
                  </w14:solidFill>
                </w14:textFill>
              </w:rPr>
              <w:t>工</w:t>
            </w:r>
            <w:r>
              <w:rPr>
                <w:rFonts w:hint="eastAsia" w:hAnsi="宋体"/>
                <w:color w:val="000000" w:themeColor="text1"/>
                <w:kern w:val="2"/>
                <w:sz w:val="21"/>
                <w:szCs w:val="21"/>
                <w14:textFill>
                  <w14:solidFill>
                    <w14:schemeClr w14:val="tx1"/>
                  </w14:solidFill>
                </w14:textFill>
              </w:rPr>
              <w:t>业的</w:t>
            </w:r>
            <w:r>
              <w:rPr>
                <w:rFonts w:hint="eastAsia" w:hAnsi="宋体"/>
                <w:color w:val="000000" w:themeColor="text1"/>
                <w:kern w:val="2"/>
                <w:sz w:val="21"/>
                <w:szCs w:val="21"/>
                <w:lang w:eastAsia="zh-CN"/>
                <w14:textFill>
                  <w14:solidFill>
                    <w14:schemeClr w14:val="tx1"/>
                  </w14:solidFill>
                </w14:textFill>
              </w:rPr>
              <w:t>小微</w:t>
            </w:r>
            <w:r>
              <w:rPr>
                <w:rFonts w:hint="eastAsia" w:hAnsi="宋体"/>
                <w:color w:val="000000" w:themeColor="text1"/>
                <w:kern w:val="2"/>
                <w:sz w:val="21"/>
                <w:szCs w:val="21"/>
                <w14:textFill>
                  <w14:solidFill>
                    <w14:schemeClr w14:val="tx1"/>
                  </w14:solidFill>
                </w14:textFill>
              </w:rPr>
              <w:t>企业，或者是《关于政府采购支持监狱企业发展有关问题的通知》(财库[2014]68号)规定的监狱企业，或者是《关于促进残疾人就业政府采购政策的通知》（财库〔2017〕141号）规定的残疾人福利性企业。</w:t>
            </w:r>
            <w:bookmarkEnd w:id="46"/>
          </w:p>
          <w:p w14:paraId="71C15443">
            <w:pPr>
              <w:pStyle w:val="21"/>
              <w:spacing w:line="36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提供中小企业声明函或残疾人福利性单位声明函或属于监狱企业的证明文件。</w:t>
            </w:r>
          </w:p>
        </w:tc>
      </w:tr>
      <w:tr w14:paraId="64EB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7BDDD95">
            <w:pPr>
              <w:pStyle w:val="21"/>
              <w:spacing w:line="360" w:lineRule="exact"/>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1671841E">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3EF8AC74">
            <w:pPr>
              <w:pStyle w:val="21"/>
              <w:spacing w:line="36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本项目无要求。</w:t>
            </w:r>
          </w:p>
        </w:tc>
      </w:tr>
    </w:tbl>
    <w:p w14:paraId="2AA2DAF0">
      <w:pPr>
        <w:pStyle w:val="21"/>
        <w:spacing w:line="360" w:lineRule="exac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（二）符合性审查</w:t>
      </w:r>
    </w:p>
    <w:p w14:paraId="395DB49A">
      <w:pPr>
        <w:pStyle w:val="21"/>
        <w:spacing w:line="360" w:lineRule="exac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谈判小组根据竞争性谈判文件要求各供应商响应文件的有效性、完整性、响应性等进行审查，以确定是否对竞争性谈判文件的实质性要求作出响应。</w:t>
      </w:r>
    </w:p>
    <w:tbl>
      <w:tblPr>
        <w:tblStyle w:val="37"/>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5F22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E8F8574">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694FC45F">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6F229564">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评审标准</w:t>
            </w:r>
          </w:p>
        </w:tc>
      </w:tr>
      <w:tr w14:paraId="2FCE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F335E6D">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w:t>
            </w:r>
          </w:p>
        </w:tc>
        <w:tc>
          <w:tcPr>
            <w:tcW w:w="2303" w:type="dxa"/>
            <w:tcBorders>
              <w:top w:val="single" w:color="auto" w:sz="4" w:space="0"/>
              <w:left w:val="single" w:color="auto" w:sz="4" w:space="0"/>
              <w:bottom w:val="single" w:color="auto" w:sz="4" w:space="0"/>
              <w:right w:val="single" w:color="auto" w:sz="4" w:space="0"/>
            </w:tcBorders>
            <w:vAlign w:val="center"/>
          </w:tcPr>
          <w:p w14:paraId="7290DB65">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089916CB">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未按照竞争性谈判文件的规定足额交纳投标保证金的</w:t>
            </w:r>
            <w:r>
              <w:rPr>
                <w:rFonts w:hint="eastAsia" w:ascii="宋体" w:hAnsi="宋体"/>
                <w:bCs/>
                <w:color w:val="000000" w:themeColor="text1"/>
                <w:szCs w:val="21"/>
                <w14:textFill>
                  <w14:solidFill>
                    <w14:schemeClr w14:val="tx1"/>
                  </w14:solidFill>
                </w14:textFill>
              </w:rPr>
              <w:t>；</w:t>
            </w:r>
          </w:p>
          <w:p w14:paraId="56107BDF">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2.响应文件未按谈判文件要求签署、盖章的；</w:t>
            </w:r>
          </w:p>
          <w:p w14:paraId="20A1550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3.投标代表人未能出具身份证明或与法定代表人授权委托人身份不符的；</w:t>
            </w:r>
          </w:p>
          <w:p w14:paraId="09FE745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4.响应文件的实质性内容未使用中文表述、意思表述不明确、前后矛盾或者使用计量单位不符合谈判文件要求的（经评标委员会认定并允许其当场更正的笔误除外）</w:t>
            </w:r>
          </w:p>
          <w:p w14:paraId="3950E05B">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5.响应文件有效期、服务期或交货期、质保期等商务条款不能满足招标文件要求的；</w:t>
            </w:r>
          </w:p>
          <w:p w14:paraId="1EFC4CD4">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6.未实质性响应谈判文件要求或者响应文件有采购人不能接受的附加条件的。</w:t>
            </w:r>
          </w:p>
          <w:p w14:paraId="4ECF40F5">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7.未提供谈判文件中“13.响应文件的组成13.2商务和技术文件”要求必须提供的资料的；</w:t>
            </w:r>
          </w:p>
          <w:p w14:paraId="5F6D3CA2">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8.未提供或未如实提供投标货物的技术参数，或者响应文件标明的响应或偏离与事实不符或虚假投标的；</w:t>
            </w:r>
          </w:p>
          <w:p w14:paraId="1541C464">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9.明显不符合招标文件要求的规格型号、质量标准和采购需求的，或者与招标文件中标“▲”的技术指标、主要功能项目发生实质性偏离的；</w:t>
            </w:r>
          </w:p>
          <w:p w14:paraId="0D81E4C0">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10.允许偏离的技术、性能指标或者辅助功能项目发生负偏离达 </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 xml:space="preserve"> 项（含</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项）以上的；</w:t>
            </w:r>
          </w:p>
          <w:p w14:paraId="194C583E">
            <w:pPr>
              <w:spacing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12.技术方案不明确，存在一个或一个以上备选（替代）竞标方案的。</w:t>
            </w:r>
          </w:p>
          <w:p w14:paraId="584DF2F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hint="eastAsia" w:hAnsi="宋体"/>
                <w:color w:val="000000" w:themeColor="text1"/>
                <w:szCs w:val="21"/>
                <w14:textFill>
                  <w14:solidFill>
                    <w14:schemeClr w14:val="tx1"/>
                  </w14:solidFill>
                </w14:textFill>
              </w:rPr>
              <w:t>属于供应商须知正文7.特别说明第6点情形的；</w:t>
            </w:r>
          </w:p>
          <w:p w14:paraId="64D09423">
            <w:pPr>
              <w:spacing w:line="360" w:lineRule="exact"/>
              <w:ind w:firstLine="420" w:firstLineChars="200"/>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14.法</w:t>
            </w:r>
            <w:r>
              <w:rPr>
                <w:rFonts w:hint="eastAsia" w:hAnsi="宋体"/>
                <w:color w:val="000000" w:themeColor="text1"/>
                <w:szCs w:val="21"/>
                <w14:textFill>
                  <w14:solidFill>
                    <w14:schemeClr w14:val="tx1"/>
                  </w14:solidFill>
                </w14:textFill>
              </w:rPr>
              <w:t>律、法规和竞争性谈判文件规定的其他无效情形。</w:t>
            </w:r>
          </w:p>
        </w:tc>
      </w:tr>
      <w:tr w14:paraId="54B4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C80564D">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w:t>
            </w:r>
          </w:p>
        </w:tc>
        <w:tc>
          <w:tcPr>
            <w:tcW w:w="2303" w:type="dxa"/>
            <w:tcBorders>
              <w:top w:val="single" w:color="auto" w:sz="4" w:space="0"/>
              <w:left w:val="single" w:color="auto" w:sz="4" w:space="0"/>
              <w:bottom w:val="single" w:color="auto" w:sz="4" w:space="0"/>
              <w:right w:val="single" w:color="auto" w:sz="4" w:space="0"/>
            </w:tcBorders>
            <w:vAlign w:val="center"/>
          </w:tcPr>
          <w:p w14:paraId="597A24A0">
            <w:pPr>
              <w:pStyle w:val="21"/>
              <w:spacing w:line="36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7E84D0F0">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bookmarkStart w:id="47" w:name="OLE_LINK16"/>
            <w:r>
              <w:rPr>
                <w:rFonts w:hint="eastAsia" w:ascii="宋体" w:hAnsi="宋体"/>
                <w:bCs/>
                <w:color w:val="000000" w:themeColor="text1"/>
                <w:szCs w:val="21"/>
                <w14:textFill>
                  <w14:solidFill>
                    <w14:schemeClr w14:val="tx1"/>
                  </w14:solidFill>
                </w14:textFill>
              </w:rPr>
              <w:t>1.未提供谈判文件中“13.响应文件的组成13.3报价文件”要求必须提供的资料的；</w:t>
            </w:r>
          </w:p>
          <w:p w14:paraId="37EDC02B">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2.报价超过招标文件中规定的预算金额或者最高限价</w:t>
            </w:r>
            <w:r>
              <w:rPr>
                <w:rFonts w:hint="eastAsia" w:ascii="宋体" w:hAnsi="宋体"/>
                <w:bCs/>
                <w:color w:val="000000" w:themeColor="text1"/>
                <w:szCs w:val="21"/>
                <w:lang w:eastAsia="zh-CN"/>
                <w14:textFill>
                  <w14:solidFill>
                    <w14:schemeClr w14:val="tx1"/>
                  </w14:solidFill>
                </w14:textFill>
              </w:rPr>
              <w:t>或</w:t>
            </w:r>
            <w:r>
              <w:rPr>
                <w:rFonts w:hint="eastAsia" w:ascii="宋体" w:hAnsi="宋体"/>
                <w:bCs/>
                <w:color w:val="000000" w:themeColor="text1"/>
                <w:szCs w:val="21"/>
                <w14:textFill>
                  <w14:solidFill>
                    <w14:schemeClr w14:val="tx1"/>
                  </w14:solidFill>
                </w14:textFill>
              </w:rPr>
              <w:t>预算控制单价的；</w:t>
            </w:r>
          </w:p>
          <w:p w14:paraId="242FA993">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3.未采用人民币报价或者未按照招标文件标明的币种报价的；</w:t>
            </w:r>
          </w:p>
          <w:p w14:paraId="56709444">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4.竞标报价具有选择性，或者云平台中开标记录表的报价与响应文件承诺的优惠（折扣）价格不一致的；</w:t>
            </w:r>
          </w:p>
          <w:p w14:paraId="5229F38C">
            <w:pPr>
              <w:widowControl/>
              <w:spacing w:line="3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5.法律、法规和招标文件规定的其他无效情形。</w:t>
            </w:r>
          </w:p>
          <w:p w14:paraId="73572359">
            <w:pPr>
              <w:widowControl/>
              <w:spacing w:line="360" w:lineRule="exact"/>
              <w:ind w:firstLine="420" w:firstLineChars="200"/>
              <w:jc w:val="left"/>
              <w:rPr>
                <w:rFonts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6.出现恶意竞争低于成本价的情形</w:t>
            </w:r>
            <w:bookmarkEnd w:id="47"/>
          </w:p>
        </w:tc>
      </w:tr>
    </w:tbl>
    <w:p w14:paraId="451D0C44">
      <w:pPr>
        <w:spacing w:line="360" w:lineRule="exact"/>
        <w:ind w:firstLine="420" w:firstLineChars="200"/>
        <w:rPr>
          <w:rFonts w:ascii="宋体"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（三）</w:t>
      </w:r>
      <w:r>
        <w:rPr>
          <w:rFonts w:hint="eastAsia" w:ascii="宋体" w:hAnsi="宋体"/>
          <w:color w:val="000000" w:themeColor="text1"/>
          <w:szCs w:val="21"/>
          <w14:textFill>
            <w14:solidFill>
              <w14:schemeClr w14:val="tx1"/>
            </w14:solidFill>
          </w14:textFill>
        </w:rPr>
        <w:t>最后报价政府采购政策性扣除</w:t>
      </w:r>
    </w:p>
    <w:p w14:paraId="1E0185B7">
      <w:pPr>
        <w:spacing w:line="360" w:lineRule="exact"/>
        <w:ind w:firstLine="420" w:firstLineChars="200"/>
        <w:rPr>
          <w:rFonts w:ascii="宋体"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根据上述评审依据对供应商的最后报价给予价格扣除，扣除后的价格为评审价。</w:t>
      </w:r>
    </w:p>
    <w:p w14:paraId="4FE43769">
      <w:pPr>
        <w:spacing w:line="36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三、成交候选供应商推荐原则</w:t>
      </w:r>
    </w:p>
    <w:p w14:paraId="2241D16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在质量和服务均能满足采购文件实质性响应要求的前提下，按照最后评审价由低到高的顺序提出3名以上成交候选人（</w:t>
      </w:r>
      <w:r>
        <w:rPr>
          <w:rFonts w:hint="eastAsia" w:ascii="宋体" w:hAnsi="宋体"/>
          <w:color w:val="000000" w:themeColor="text1"/>
          <w14:textFill>
            <w14:solidFill>
              <w14:schemeClr w14:val="tx1"/>
            </w14:solidFill>
          </w14:textFill>
        </w:rPr>
        <w:t>最后评审报价相同时，</w:t>
      </w:r>
      <w:r>
        <w:rPr>
          <w:rFonts w:hint="eastAsia" w:ascii="宋体" w:hAnsi="宋体" w:cs="宋体"/>
          <w:color w:val="000000" w:themeColor="text1"/>
          <w:szCs w:val="21"/>
          <w14:textFill>
            <w14:solidFill>
              <w14:schemeClr w14:val="tx1"/>
            </w14:solidFill>
          </w14:textFill>
        </w:rPr>
        <w:t>依次按节能环保产品累计金额高的优先、</w:t>
      </w:r>
      <w:r>
        <w:rPr>
          <w:rFonts w:hint="eastAsia" w:ascii="宋体" w:hAnsi="宋体" w:cs="宋体"/>
          <w:color w:val="000000" w:themeColor="text1"/>
          <w14:textFill>
            <w14:solidFill>
              <w14:schemeClr w14:val="tx1"/>
            </w14:solidFill>
          </w14:textFill>
        </w:rPr>
        <w:t>环境标志产品优先、</w:t>
      </w:r>
      <w:r>
        <w:rPr>
          <w:rFonts w:hint="eastAsia" w:ascii="宋体" w:hAnsi="宋体"/>
          <w:color w:val="000000" w:themeColor="text1"/>
          <w14:textFill>
            <w14:solidFill>
              <w14:schemeClr w14:val="tx1"/>
            </w14:solidFill>
          </w14:textFill>
        </w:rPr>
        <w:t>关键技术指标高优先、质量保证期长优先、</w:t>
      </w:r>
      <w:r>
        <w:rPr>
          <w:rFonts w:hint="eastAsia" w:ascii="宋体" w:hAnsi="宋体"/>
          <w:bCs/>
          <w:color w:val="000000" w:themeColor="text1"/>
          <w14:textFill>
            <w14:solidFill>
              <w14:schemeClr w14:val="tx1"/>
            </w14:solidFill>
          </w14:textFill>
        </w:rPr>
        <w:t>交货期</w:t>
      </w:r>
      <w:r>
        <w:rPr>
          <w:rFonts w:hint="eastAsia" w:ascii="宋体" w:hAnsi="宋体"/>
          <w:color w:val="000000" w:themeColor="text1"/>
          <w14:textFill>
            <w14:solidFill>
              <w14:schemeClr w14:val="tx1"/>
            </w14:solidFill>
          </w14:textFill>
        </w:rPr>
        <w:t>短优先、故障处理时间短优先的顺序排列</w:t>
      </w:r>
      <w:r>
        <w:rPr>
          <w:rFonts w:hint="eastAsia" w:ascii="宋体" w:hAnsi="宋体"/>
          <w:color w:val="000000" w:themeColor="text1"/>
          <w:szCs w:val="21"/>
          <w14:textFill>
            <w14:solidFill>
              <w14:schemeClr w14:val="tx1"/>
            </w14:solidFill>
          </w14:textFill>
        </w:rPr>
        <w:t>），并依照次序确定成交候选人。采购人应当确定谈判小组推荐排名第一的成交候选人为成交人。排名第一的成交候选人放弃成交、因不可抗力提出不能履行合同，或者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宋体" w:hAnsi="宋体"/>
          <w:color w:val="000000" w:themeColor="text1"/>
          <w:shd w:val="clear" w:color="auto" w:fill="FFFFFF"/>
          <w14:textFill>
            <w14:solidFill>
              <w14:schemeClr w14:val="tx1"/>
            </w14:solidFill>
          </w14:textFill>
        </w:rPr>
        <w:t>也可以重新采购。</w:t>
      </w:r>
    </w:p>
    <w:p w14:paraId="077387AD">
      <w:pPr>
        <w:spacing w:line="360" w:lineRule="exact"/>
        <w:ind w:firstLine="420" w:firstLineChars="200"/>
        <w:rPr>
          <w:rFonts w:ascii="宋体" w:hAnsi="宋体"/>
          <w:color w:val="000000" w:themeColor="text1"/>
          <w:szCs w:val="21"/>
          <w:shd w:val="clear" w:color="auto" w:fill="FFFFFF"/>
          <w14:textFill>
            <w14:solidFill>
              <w14:schemeClr w14:val="tx1"/>
            </w14:solidFill>
          </w14:textFill>
        </w:rPr>
      </w:pPr>
    </w:p>
    <w:sectPr>
      <w:headerReference r:id="rId4" w:type="first"/>
      <w:footerReference r:id="rId7" w:type="first"/>
      <w:headerReference r:id="rId3" w:type="default"/>
      <w:footerReference r:id="rId5" w:type="default"/>
      <w:footerReference r:id="rId6" w:type="even"/>
      <w:pgSz w:w="11906" w:h="16838"/>
      <w:pgMar w:top="1134" w:right="1134" w:bottom="1134" w:left="113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dobe 黑体 Std R">
    <w:altName w:val="宋体"/>
    <w:panose1 w:val="00000000000000000000"/>
    <w:charset w:val="86"/>
    <w:family w:val="swiss"/>
    <w:pitch w:val="default"/>
    <w:sig w:usb0="00000000" w:usb1="00000000" w:usb2="00000016" w:usb3="00000000" w:csb0="00060007" w:csb1="00000000"/>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Adobe 宋体 Std L">
    <w:altName w:val="宋体"/>
    <w:panose1 w:val="00000000000000000000"/>
    <w:charset w:val="86"/>
    <w:family w:val="roman"/>
    <w:pitch w:val="default"/>
    <w:sig w:usb0="00000000" w:usb1="0000000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2162">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7955"/>
              <wp:effectExtent l="0" t="0" r="0" b="0"/>
              <wp:wrapNone/>
              <wp:docPr id="11" name="文本框6"/>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1008927F">
                          <w:pPr>
                            <w:pStyle w:val="27"/>
                            <w:jc w:val="center"/>
                            <w:rPr>
                              <w:rStyle w:val="41"/>
                            </w:rPr>
                          </w:pPr>
                          <w:r>
                            <w:fldChar w:fldCharType="begin"/>
                          </w:r>
                          <w:r>
                            <w:rPr>
                              <w:rStyle w:val="41"/>
                            </w:rPr>
                            <w:instrText xml:space="preserve">PAGE  </w:instrText>
                          </w:r>
                          <w:r>
                            <w:fldChar w:fldCharType="separate"/>
                          </w:r>
                          <w:r>
                            <w:rPr>
                              <w:rStyle w:val="41"/>
                            </w:rPr>
                            <w:t>71</w:t>
                          </w:r>
                          <w:r>
                            <w:fldChar w:fldCharType="end"/>
                          </w:r>
                        </w:p>
                      </w:txbxContent>
                    </wps:txbx>
                    <wps:bodyPr vert="horz" wrap="none" lIns="0" tIns="0" rIns="0" bIns="0" anchor="t" anchorCtr="0" upright="1">
                      <a:spAutoFit/>
                    </wps:bodyPr>
                  </wps:wsp>
                </a:graphicData>
              </a:graphic>
            </wp:anchor>
          </w:drawing>
        </mc:Choice>
        <mc:Fallback>
          <w:pict>
            <v:shape id="文本框6" o:spid="_x0000_s1026" o:spt="202" type="#_x0000_t202" style="position:absolute;left:0pt;margin-top:0pt;height:11.65pt;width:4.55pt;mso-position-horizontal:center;mso-position-horizontal-relative:margin;mso-wrap-style:none;z-index:25166336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8scAtEAAAACAQAA&#10;DwAAAAAAAAABACAAAAAiAAAAZHJzL2Rvd25yZXYueG1sUEsBAhQAFAAAAAgAh07iQC1PtfvnAQAA&#10;yQMAAA4AAAAAAAAAAQAgAAAAIAEAAGRycy9lMm9Eb2MueG1sUEsFBgAAAAAGAAYAWQEAAHkFAAAA&#10;AA==&#10;">
              <v:fill on="f" focussize="0,0"/>
              <v:stroke on="f"/>
              <v:imagedata o:title=""/>
              <o:lock v:ext="edit" aspectratio="f"/>
              <v:textbox inset="0mm,0mm,0mm,0mm" style="mso-fit-shape-to-text:t;">
                <w:txbxContent>
                  <w:p w14:paraId="1008927F">
                    <w:pPr>
                      <w:pStyle w:val="27"/>
                      <w:jc w:val="center"/>
                      <w:rPr>
                        <w:rStyle w:val="41"/>
                      </w:rPr>
                    </w:pPr>
                    <w:r>
                      <w:fldChar w:fldCharType="begin"/>
                    </w:r>
                    <w:r>
                      <w:rPr>
                        <w:rStyle w:val="41"/>
                      </w:rPr>
                      <w:instrText xml:space="preserve">PAGE  </w:instrText>
                    </w:r>
                    <w:r>
                      <w:fldChar w:fldCharType="separate"/>
                    </w:r>
                    <w:r>
                      <w:rPr>
                        <w:rStyle w:val="41"/>
                      </w:rP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3C4C">
    <w:pPr>
      <w:pStyle w:val="27"/>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27FA26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E119">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49448EEA">
                          <w:pPr>
                            <w:snapToGrid w:val="0"/>
                            <w:rPr>
                              <w:sz w:val="18"/>
                            </w:rPr>
                          </w:pP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EVFKGPTAQAApQMAAA4AAAAAAAAAAQAgAAAAHwEA&#10;AGRycy9lMm9Eb2MueG1sUEsFBgAAAAAGAAYAWQEAAGQFAAAAAA==&#10;">
              <v:fill on="f" focussize="0,0"/>
              <v:stroke on="f"/>
              <v:imagedata o:title=""/>
              <o:lock v:ext="edit" aspectratio="f"/>
              <v:textbox inset="0mm,0mm,0mm,0mm" style="mso-fit-shape-to-text:t;">
                <w:txbxContent>
                  <w:p w14:paraId="49448EEA">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B4B5">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B85F">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YmI2MjNhMDgwOTYxOTUzYjU2NzQ4ZmU4YTc1ZGIifQ=="/>
    <w:docVar w:name="KSO_WPS_MARK_KEY" w:val="1b8c5f2a-e5af-4fd7-9d22-5ce8b7d4820f"/>
  </w:docVars>
  <w:rsids>
    <w:rsidRoot w:val="00172A27"/>
    <w:rsid w:val="00001C0C"/>
    <w:rsid w:val="00022670"/>
    <w:rsid w:val="00030DB3"/>
    <w:rsid w:val="0003723A"/>
    <w:rsid w:val="000512E4"/>
    <w:rsid w:val="000579D9"/>
    <w:rsid w:val="00063879"/>
    <w:rsid w:val="0008502C"/>
    <w:rsid w:val="000900B2"/>
    <w:rsid w:val="000A6B6E"/>
    <w:rsid w:val="000A7867"/>
    <w:rsid w:val="000C6258"/>
    <w:rsid w:val="000C7BC5"/>
    <w:rsid w:val="000D478D"/>
    <w:rsid w:val="000E3E6F"/>
    <w:rsid w:val="000F0B9A"/>
    <w:rsid w:val="00113126"/>
    <w:rsid w:val="0012327F"/>
    <w:rsid w:val="00126D8E"/>
    <w:rsid w:val="00144DC0"/>
    <w:rsid w:val="00156FB3"/>
    <w:rsid w:val="00160B97"/>
    <w:rsid w:val="00160F33"/>
    <w:rsid w:val="00165BA6"/>
    <w:rsid w:val="00172A27"/>
    <w:rsid w:val="00177305"/>
    <w:rsid w:val="00192A8D"/>
    <w:rsid w:val="00193D21"/>
    <w:rsid w:val="001947B1"/>
    <w:rsid w:val="00195780"/>
    <w:rsid w:val="001B00A9"/>
    <w:rsid w:val="001B2C5D"/>
    <w:rsid w:val="001B43A9"/>
    <w:rsid w:val="001C6839"/>
    <w:rsid w:val="001C7C93"/>
    <w:rsid w:val="001D04F0"/>
    <w:rsid w:val="001D562D"/>
    <w:rsid w:val="001E7D79"/>
    <w:rsid w:val="001F0EA1"/>
    <w:rsid w:val="001F287E"/>
    <w:rsid w:val="00210E1A"/>
    <w:rsid w:val="002156C1"/>
    <w:rsid w:val="002224E8"/>
    <w:rsid w:val="002235C2"/>
    <w:rsid w:val="00236732"/>
    <w:rsid w:val="00270805"/>
    <w:rsid w:val="00283B01"/>
    <w:rsid w:val="002911B3"/>
    <w:rsid w:val="0029128D"/>
    <w:rsid w:val="00296208"/>
    <w:rsid w:val="002B06BB"/>
    <w:rsid w:val="002B5F22"/>
    <w:rsid w:val="002C255D"/>
    <w:rsid w:val="002C349F"/>
    <w:rsid w:val="002C6529"/>
    <w:rsid w:val="002C7E7D"/>
    <w:rsid w:val="002E2198"/>
    <w:rsid w:val="002E23B9"/>
    <w:rsid w:val="002E6188"/>
    <w:rsid w:val="002F4880"/>
    <w:rsid w:val="002F5B70"/>
    <w:rsid w:val="003002EA"/>
    <w:rsid w:val="00307A4F"/>
    <w:rsid w:val="00311810"/>
    <w:rsid w:val="00334998"/>
    <w:rsid w:val="00336EEC"/>
    <w:rsid w:val="00362A48"/>
    <w:rsid w:val="00375B6D"/>
    <w:rsid w:val="00377EFF"/>
    <w:rsid w:val="00380190"/>
    <w:rsid w:val="003A2BC3"/>
    <w:rsid w:val="003A37F2"/>
    <w:rsid w:val="003B18F8"/>
    <w:rsid w:val="003C712A"/>
    <w:rsid w:val="003D71E0"/>
    <w:rsid w:val="003E71C7"/>
    <w:rsid w:val="00406C00"/>
    <w:rsid w:val="00414E67"/>
    <w:rsid w:val="00432E43"/>
    <w:rsid w:val="00435ADE"/>
    <w:rsid w:val="00442028"/>
    <w:rsid w:val="00446764"/>
    <w:rsid w:val="00454E17"/>
    <w:rsid w:val="00457E40"/>
    <w:rsid w:val="00461D08"/>
    <w:rsid w:val="00472C27"/>
    <w:rsid w:val="00477342"/>
    <w:rsid w:val="00493323"/>
    <w:rsid w:val="00494386"/>
    <w:rsid w:val="004A0D7C"/>
    <w:rsid w:val="004C6EEC"/>
    <w:rsid w:val="004E5336"/>
    <w:rsid w:val="004F189C"/>
    <w:rsid w:val="005018AC"/>
    <w:rsid w:val="00506E4A"/>
    <w:rsid w:val="005105C9"/>
    <w:rsid w:val="00515A6A"/>
    <w:rsid w:val="00517943"/>
    <w:rsid w:val="00520816"/>
    <w:rsid w:val="00530320"/>
    <w:rsid w:val="00531DDF"/>
    <w:rsid w:val="0053623D"/>
    <w:rsid w:val="005473FC"/>
    <w:rsid w:val="005562A6"/>
    <w:rsid w:val="0056345E"/>
    <w:rsid w:val="005643F6"/>
    <w:rsid w:val="00566174"/>
    <w:rsid w:val="0056708A"/>
    <w:rsid w:val="00572A98"/>
    <w:rsid w:val="0059689F"/>
    <w:rsid w:val="00597966"/>
    <w:rsid w:val="00597BA6"/>
    <w:rsid w:val="005A1200"/>
    <w:rsid w:val="005A75F8"/>
    <w:rsid w:val="005B0DE9"/>
    <w:rsid w:val="005C10AE"/>
    <w:rsid w:val="005C5733"/>
    <w:rsid w:val="005F2CA3"/>
    <w:rsid w:val="005F56E9"/>
    <w:rsid w:val="005F7846"/>
    <w:rsid w:val="006003AB"/>
    <w:rsid w:val="006034C8"/>
    <w:rsid w:val="00605A47"/>
    <w:rsid w:val="0061087F"/>
    <w:rsid w:val="00615763"/>
    <w:rsid w:val="0062680C"/>
    <w:rsid w:val="00630A98"/>
    <w:rsid w:val="00635D9F"/>
    <w:rsid w:val="006428BD"/>
    <w:rsid w:val="006603D9"/>
    <w:rsid w:val="0067194D"/>
    <w:rsid w:val="00673A31"/>
    <w:rsid w:val="006742B9"/>
    <w:rsid w:val="00677CE1"/>
    <w:rsid w:val="00682163"/>
    <w:rsid w:val="00683774"/>
    <w:rsid w:val="006A277C"/>
    <w:rsid w:val="006B5B08"/>
    <w:rsid w:val="006C28F1"/>
    <w:rsid w:val="006C300A"/>
    <w:rsid w:val="006C71B4"/>
    <w:rsid w:val="006D3F4B"/>
    <w:rsid w:val="006D40C0"/>
    <w:rsid w:val="006D7D67"/>
    <w:rsid w:val="006E0D3B"/>
    <w:rsid w:val="006E3F62"/>
    <w:rsid w:val="006F3406"/>
    <w:rsid w:val="006F491C"/>
    <w:rsid w:val="006F5EB8"/>
    <w:rsid w:val="006F77C0"/>
    <w:rsid w:val="007075BD"/>
    <w:rsid w:val="00713C9A"/>
    <w:rsid w:val="007264C9"/>
    <w:rsid w:val="00726A1D"/>
    <w:rsid w:val="007272E3"/>
    <w:rsid w:val="00731013"/>
    <w:rsid w:val="00755CD8"/>
    <w:rsid w:val="007576E0"/>
    <w:rsid w:val="00757FBD"/>
    <w:rsid w:val="00763650"/>
    <w:rsid w:val="007670B5"/>
    <w:rsid w:val="0077135E"/>
    <w:rsid w:val="0077336D"/>
    <w:rsid w:val="0077621B"/>
    <w:rsid w:val="00785449"/>
    <w:rsid w:val="00790913"/>
    <w:rsid w:val="00797F2C"/>
    <w:rsid w:val="007A2FDF"/>
    <w:rsid w:val="007B229A"/>
    <w:rsid w:val="007C36A6"/>
    <w:rsid w:val="007E3289"/>
    <w:rsid w:val="007E6E69"/>
    <w:rsid w:val="007F3DE5"/>
    <w:rsid w:val="007F42B8"/>
    <w:rsid w:val="008101C0"/>
    <w:rsid w:val="00815AA1"/>
    <w:rsid w:val="00816209"/>
    <w:rsid w:val="00817F98"/>
    <w:rsid w:val="00820504"/>
    <w:rsid w:val="008231EA"/>
    <w:rsid w:val="008301B0"/>
    <w:rsid w:val="0083507D"/>
    <w:rsid w:val="008537F2"/>
    <w:rsid w:val="00856ABE"/>
    <w:rsid w:val="00862FD0"/>
    <w:rsid w:val="00874355"/>
    <w:rsid w:val="00876E5D"/>
    <w:rsid w:val="00887C9B"/>
    <w:rsid w:val="008A6763"/>
    <w:rsid w:val="008C2FB0"/>
    <w:rsid w:val="008D0C70"/>
    <w:rsid w:val="008F0F4B"/>
    <w:rsid w:val="00906BBB"/>
    <w:rsid w:val="00934FA9"/>
    <w:rsid w:val="00940297"/>
    <w:rsid w:val="009771DC"/>
    <w:rsid w:val="00977D24"/>
    <w:rsid w:val="00977F5F"/>
    <w:rsid w:val="00987B92"/>
    <w:rsid w:val="00995889"/>
    <w:rsid w:val="0099644D"/>
    <w:rsid w:val="009A0D52"/>
    <w:rsid w:val="009A2727"/>
    <w:rsid w:val="00A03703"/>
    <w:rsid w:val="00A10763"/>
    <w:rsid w:val="00A16749"/>
    <w:rsid w:val="00A1794C"/>
    <w:rsid w:val="00A23A05"/>
    <w:rsid w:val="00A27EBA"/>
    <w:rsid w:val="00A41C89"/>
    <w:rsid w:val="00A541AD"/>
    <w:rsid w:val="00A625CC"/>
    <w:rsid w:val="00A66F5C"/>
    <w:rsid w:val="00A70A0D"/>
    <w:rsid w:val="00A70C5B"/>
    <w:rsid w:val="00A712FE"/>
    <w:rsid w:val="00A74E21"/>
    <w:rsid w:val="00A75BAB"/>
    <w:rsid w:val="00A76AB7"/>
    <w:rsid w:val="00A834D0"/>
    <w:rsid w:val="00A85609"/>
    <w:rsid w:val="00AB40E4"/>
    <w:rsid w:val="00AB5AA9"/>
    <w:rsid w:val="00AC34AB"/>
    <w:rsid w:val="00AC58B3"/>
    <w:rsid w:val="00AD6E5E"/>
    <w:rsid w:val="00AF74BD"/>
    <w:rsid w:val="00B04BC2"/>
    <w:rsid w:val="00B12293"/>
    <w:rsid w:val="00B15CA9"/>
    <w:rsid w:val="00B22C81"/>
    <w:rsid w:val="00B35486"/>
    <w:rsid w:val="00B53D0E"/>
    <w:rsid w:val="00B665D8"/>
    <w:rsid w:val="00B73B5C"/>
    <w:rsid w:val="00B874D5"/>
    <w:rsid w:val="00B92DBF"/>
    <w:rsid w:val="00B95A97"/>
    <w:rsid w:val="00BA5BB5"/>
    <w:rsid w:val="00BC549C"/>
    <w:rsid w:val="00BD3AD1"/>
    <w:rsid w:val="00BD717D"/>
    <w:rsid w:val="00BE06A8"/>
    <w:rsid w:val="00BF5F04"/>
    <w:rsid w:val="00C0438A"/>
    <w:rsid w:val="00C05D51"/>
    <w:rsid w:val="00C127F1"/>
    <w:rsid w:val="00C23820"/>
    <w:rsid w:val="00C24C44"/>
    <w:rsid w:val="00C2631C"/>
    <w:rsid w:val="00C530BA"/>
    <w:rsid w:val="00C65495"/>
    <w:rsid w:val="00C93837"/>
    <w:rsid w:val="00C96D14"/>
    <w:rsid w:val="00C97119"/>
    <w:rsid w:val="00CB0307"/>
    <w:rsid w:val="00CD276A"/>
    <w:rsid w:val="00CD3A63"/>
    <w:rsid w:val="00CF0F30"/>
    <w:rsid w:val="00CF65DA"/>
    <w:rsid w:val="00D07CC5"/>
    <w:rsid w:val="00D11898"/>
    <w:rsid w:val="00D13247"/>
    <w:rsid w:val="00D27B60"/>
    <w:rsid w:val="00D365AD"/>
    <w:rsid w:val="00D60994"/>
    <w:rsid w:val="00D618D8"/>
    <w:rsid w:val="00D61FC6"/>
    <w:rsid w:val="00D66E62"/>
    <w:rsid w:val="00D71CCC"/>
    <w:rsid w:val="00D809EE"/>
    <w:rsid w:val="00D8539F"/>
    <w:rsid w:val="00DA0582"/>
    <w:rsid w:val="00DA32F1"/>
    <w:rsid w:val="00DB23C2"/>
    <w:rsid w:val="00DB6FB3"/>
    <w:rsid w:val="00DC363A"/>
    <w:rsid w:val="00DF4501"/>
    <w:rsid w:val="00E11B96"/>
    <w:rsid w:val="00E203F8"/>
    <w:rsid w:val="00E3530B"/>
    <w:rsid w:val="00E65EA4"/>
    <w:rsid w:val="00E66EAC"/>
    <w:rsid w:val="00E72C31"/>
    <w:rsid w:val="00E7552F"/>
    <w:rsid w:val="00E75BF2"/>
    <w:rsid w:val="00E87933"/>
    <w:rsid w:val="00E92733"/>
    <w:rsid w:val="00E94725"/>
    <w:rsid w:val="00EC5CF3"/>
    <w:rsid w:val="00EC6C06"/>
    <w:rsid w:val="00EC7FC7"/>
    <w:rsid w:val="00ED08E5"/>
    <w:rsid w:val="00EE04E7"/>
    <w:rsid w:val="00EE6552"/>
    <w:rsid w:val="00EF3BC8"/>
    <w:rsid w:val="00F1477F"/>
    <w:rsid w:val="00F14B41"/>
    <w:rsid w:val="00F25B7F"/>
    <w:rsid w:val="00F35134"/>
    <w:rsid w:val="00F4054C"/>
    <w:rsid w:val="00F407FA"/>
    <w:rsid w:val="00F533D4"/>
    <w:rsid w:val="00F66603"/>
    <w:rsid w:val="00F73F80"/>
    <w:rsid w:val="00F86A39"/>
    <w:rsid w:val="00F87998"/>
    <w:rsid w:val="00F92855"/>
    <w:rsid w:val="00F93296"/>
    <w:rsid w:val="00FA3168"/>
    <w:rsid w:val="00FC2E4E"/>
    <w:rsid w:val="00FC689E"/>
    <w:rsid w:val="00FD2274"/>
    <w:rsid w:val="00FE19DD"/>
    <w:rsid w:val="01442CB4"/>
    <w:rsid w:val="03C74BB5"/>
    <w:rsid w:val="041461D6"/>
    <w:rsid w:val="043256E5"/>
    <w:rsid w:val="043D6C25"/>
    <w:rsid w:val="054A57DE"/>
    <w:rsid w:val="0895522E"/>
    <w:rsid w:val="0935611C"/>
    <w:rsid w:val="094E71DE"/>
    <w:rsid w:val="0A4C04BA"/>
    <w:rsid w:val="0AAB138C"/>
    <w:rsid w:val="0BD87893"/>
    <w:rsid w:val="0CE20369"/>
    <w:rsid w:val="0D963A2A"/>
    <w:rsid w:val="0DCB6EE9"/>
    <w:rsid w:val="0DDD6D83"/>
    <w:rsid w:val="0DF97285"/>
    <w:rsid w:val="0E4B7C02"/>
    <w:rsid w:val="0F285631"/>
    <w:rsid w:val="10042CED"/>
    <w:rsid w:val="10307B2A"/>
    <w:rsid w:val="10D206F5"/>
    <w:rsid w:val="110E5BD1"/>
    <w:rsid w:val="1149155F"/>
    <w:rsid w:val="12CD7662"/>
    <w:rsid w:val="130572ED"/>
    <w:rsid w:val="155D0ED5"/>
    <w:rsid w:val="163A7FE7"/>
    <w:rsid w:val="1666096B"/>
    <w:rsid w:val="17A9055F"/>
    <w:rsid w:val="17E94D8E"/>
    <w:rsid w:val="184863A1"/>
    <w:rsid w:val="18CF0341"/>
    <w:rsid w:val="19A215AC"/>
    <w:rsid w:val="1A5B6A92"/>
    <w:rsid w:val="1A741A14"/>
    <w:rsid w:val="1C856F63"/>
    <w:rsid w:val="1CD9665B"/>
    <w:rsid w:val="1D540E0F"/>
    <w:rsid w:val="206C46C2"/>
    <w:rsid w:val="20DA4450"/>
    <w:rsid w:val="20F92EC0"/>
    <w:rsid w:val="21D56297"/>
    <w:rsid w:val="22902419"/>
    <w:rsid w:val="23D5432C"/>
    <w:rsid w:val="24A36DFA"/>
    <w:rsid w:val="26306192"/>
    <w:rsid w:val="27A83C81"/>
    <w:rsid w:val="27B364AA"/>
    <w:rsid w:val="27EC1E48"/>
    <w:rsid w:val="283F26BC"/>
    <w:rsid w:val="28B1280D"/>
    <w:rsid w:val="29CB6DEF"/>
    <w:rsid w:val="2A377AEF"/>
    <w:rsid w:val="2A3C3080"/>
    <w:rsid w:val="2ADB491E"/>
    <w:rsid w:val="2ADC41F2"/>
    <w:rsid w:val="2B2362C5"/>
    <w:rsid w:val="2B343AE4"/>
    <w:rsid w:val="2B4F37FA"/>
    <w:rsid w:val="2BFA1E04"/>
    <w:rsid w:val="2C2B6E7C"/>
    <w:rsid w:val="2CBC367D"/>
    <w:rsid w:val="2D603E90"/>
    <w:rsid w:val="2E3B21E8"/>
    <w:rsid w:val="30B96E22"/>
    <w:rsid w:val="314C7616"/>
    <w:rsid w:val="323B2146"/>
    <w:rsid w:val="32A970B0"/>
    <w:rsid w:val="344258C0"/>
    <w:rsid w:val="34CC740B"/>
    <w:rsid w:val="35074561"/>
    <w:rsid w:val="35B9585B"/>
    <w:rsid w:val="37115BB5"/>
    <w:rsid w:val="374E0226"/>
    <w:rsid w:val="37864355"/>
    <w:rsid w:val="38D36DBE"/>
    <w:rsid w:val="38E472E3"/>
    <w:rsid w:val="3BB33AD1"/>
    <w:rsid w:val="3CB925E5"/>
    <w:rsid w:val="3CDF21A9"/>
    <w:rsid w:val="3CF74EBC"/>
    <w:rsid w:val="3E646581"/>
    <w:rsid w:val="3E8105A3"/>
    <w:rsid w:val="3EAF2DBD"/>
    <w:rsid w:val="3EF959A7"/>
    <w:rsid w:val="41DF489C"/>
    <w:rsid w:val="430E0E56"/>
    <w:rsid w:val="43EE526A"/>
    <w:rsid w:val="45CE5264"/>
    <w:rsid w:val="48076156"/>
    <w:rsid w:val="48B66266"/>
    <w:rsid w:val="48DF3235"/>
    <w:rsid w:val="499852D0"/>
    <w:rsid w:val="4A2B42BD"/>
    <w:rsid w:val="4A527C06"/>
    <w:rsid w:val="4A9B77CE"/>
    <w:rsid w:val="4AE253FD"/>
    <w:rsid w:val="4AF859CC"/>
    <w:rsid w:val="4B216F3F"/>
    <w:rsid w:val="4C99163E"/>
    <w:rsid w:val="4D743F23"/>
    <w:rsid w:val="4DAA2314"/>
    <w:rsid w:val="4E8C5DAC"/>
    <w:rsid w:val="4F2D30F6"/>
    <w:rsid w:val="50151D32"/>
    <w:rsid w:val="50504BB7"/>
    <w:rsid w:val="50BF3FE7"/>
    <w:rsid w:val="51823496"/>
    <w:rsid w:val="51912641"/>
    <w:rsid w:val="51F468F2"/>
    <w:rsid w:val="5266163F"/>
    <w:rsid w:val="52E67B99"/>
    <w:rsid w:val="531E5B66"/>
    <w:rsid w:val="53AB0A82"/>
    <w:rsid w:val="53CD194D"/>
    <w:rsid w:val="54B27BEE"/>
    <w:rsid w:val="556F1F83"/>
    <w:rsid w:val="562724C3"/>
    <w:rsid w:val="56D46032"/>
    <w:rsid w:val="58B22182"/>
    <w:rsid w:val="59030A64"/>
    <w:rsid w:val="59D979CB"/>
    <w:rsid w:val="5A0272FA"/>
    <w:rsid w:val="5BAE600F"/>
    <w:rsid w:val="5BCA630A"/>
    <w:rsid w:val="5C78171D"/>
    <w:rsid w:val="5E5E170D"/>
    <w:rsid w:val="5E9443E0"/>
    <w:rsid w:val="609035D2"/>
    <w:rsid w:val="60C969EB"/>
    <w:rsid w:val="616466CE"/>
    <w:rsid w:val="61682B46"/>
    <w:rsid w:val="619E084C"/>
    <w:rsid w:val="64041AE8"/>
    <w:rsid w:val="646B7DB9"/>
    <w:rsid w:val="64D50816"/>
    <w:rsid w:val="664E0674"/>
    <w:rsid w:val="68693416"/>
    <w:rsid w:val="692B6E69"/>
    <w:rsid w:val="693370F8"/>
    <w:rsid w:val="696D5CB7"/>
    <w:rsid w:val="69801C11"/>
    <w:rsid w:val="6AB2229E"/>
    <w:rsid w:val="6AD62431"/>
    <w:rsid w:val="6B5E41D4"/>
    <w:rsid w:val="6C0062C3"/>
    <w:rsid w:val="6E00504A"/>
    <w:rsid w:val="6EA63EC8"/>
    <w:rsid w:val="709674C6"/>
    <w:rsid w:val="70C1740A"/>
    <w:rsid w:val="71554DCC"/>
    <w:rsid w:val="716905E5"/>
    <w:rsid w:val="71864825"/>
    <w:rsid w:val="72F571CC"/>
    <w:rsid w:val="7372081D"/>
    <w:rsid w:val="73BE0F24"/>
    <w:rsid w:val="749B20E4"/>
    <w:rsid w:val="74A13A9D"/>
    <w:rsid w:val="75ED4AD2"/>
    <w:rsid w:val="76BE5591"/>
    <w:rsid w:val="76E75CCC"/>
    <w:rsid w:val="76EE5236"/>
    <w:rsid w:val="783764D9"/>
    <w:rsid w:val="784A620C"/>
    <w:rsid w:val="787F42CC"/>
    <w:rsid w:val="78D2353D"/>
    <w:rsid w:val="79D264B9"/>
    <w:rsid w:val="7A146AD1"/>
    <w:rsid w:val="7C0148BF"/>
    <w:rsid w:val="7CA37C99"/>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
    <w:qFormat/>
    <w:uiPriority w:val="0"/>
    <w:pPr>
      <w:keepNext/>
      <w:jc w:val="center"/>
      <w:outlineLvl w:val="0"/>
    </w:pPr>
    <w:rPr>
      <w:b/>
      <w:bCs/>
      <w:sz w:val="32"/>
    </w:rPr>
  </w:style>
  <w:style w:type="paragraph" w:styleId="6">
    <w:name w:val="heading 2"/>
    <w:basedOn w:val="1"/>
    <w:next w:val="1"/>
    <w:link w:val="82"/>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qFormat/>
    <w:uiPriority w:val="99"/>
    <w:pPr>
      <w:keepNext/>
      <w:keepLines/>
      <w:spacing w:line="360" w:lineRule="auto"/>
      <w:outlineLvl w:val="2"/>
    </w:pPr>
    <w:rPr>
      <w:rFonts w:eastAsia="黑体"/>
      <w:b/>
      <w:bCs/>
      <w:sz w:val="32"/>
      <w:szCs w:val="32"/>
      <w:lang w:val="zh-CN"/>
    </w:rPr>
  </w:style>
  <w:style w:type="paragraph" w:styleId="8">
    <w:name w:val="heading 4"/>
    <w:basedOn w:val="1"/>
    <w:next w:val="1"/>
    <w:link w:val="51"/>
    <w:qFormat/>
    <w:uiPriority w:val="0"/>
    <w:pPr>
      <w:keepNext/>
      <w:keepLines/>
      <w:spacing w:before="280" w:after="290" w:line="376" w:lineRule="auto"/>
      <w:outlineLvl w:val="3"/>
    </w:pPr>
    <w:rPr>
      <w:rFonts w:ascii="宋体" w:hAnsi="Arial" w:eastAsia="黑体"/>
      <w:b/>
      <w:kern w:val="0"/>
      <w:sz w:val="24"/>
      <w:szCs w:val="20"/>
    </w:rPr>
  </w:style>
  <w:style w:type="paragraph" w:styleId="9">
    <w:name w:val="heading 5"/>
    <w:basedOn w:val="1"/>
    <w:next w:val="10"/>
    <w:link w:val="79"/>
    <w:qFormat/>
    <w:uiPriority w:val="0"/>
    <w:pPr>
      <w:keepNext/>
      <w:keepLines/>
      <w:spacing w:before="280" w:after="290" w:line="376" w:lineRule="auto"/>
      <w:outlineLvl w:val="4"/>
    </w:pPr>
    <w:rPr>
      <w:b/>
      <w:kern w:val="0"/>
      <w:sz w:val="28"/>
      <w:szCs w:val="20"/>
    </w:rPr>
  </w:style>
  <w:style w:type="paragraph" w:styleId="11">
    <w:name w:val="heading 6"/>
    <w:basedOn w:val="1"/>
    <w:next w:val="10"/>
    <w:link w:val="49"/>
    <w:qFormat/>
    <w:uiPriority w:val="0"/>
    <w:pPr>
      <w:keepNext/>
      <w:keepLines/>
      <w:spacing w:before="240" w:after="64" w:line="320" w:lineRule="auto"/>
      <w:outlineLvl w:val="5"/>
    </w:pPr>
    <w:rPr>
      <w:rFonts w:ascii="Arial" w:hAnsi="Arial" w:eastAsia="黑体"/>
      <w:b/>
      <w:kern w:val="0"/>
      <w:sz w:val="24"/>
      <w:szCs w:val="20"/>
    </w:rPr>
  </w:style>
  <w:style w:type="paragraph" w:styleId="12">
    <w:name w:val="heading 7"/>
    <w:basedOn w:val="1"/>
    <w:next w:val="10"/>
    <w:link w:val="65"/>
    <w:qFormat/>
    <w:uiPriority w:val="0"/>
    <w:pPr>
      <w:keepNext/>
      <w:keepLines/>
      <w:spacing w:before="240" w:after="64" w:line="320" w:lineRule="auto"/>
      <w:outlineLvl w:val="6"/>
    </w:pPr>
    <w:rPr>
      <w:b/>
      <w:kern w:val="0"/>
      <w:sz w:val="24"/>
      <w:szCs w:val="20"/>
    </w:rPr>
  </w:style>
  <w:style w:type="paragraph" w:styleId="13">
    <w:name w:val="heading 8"/>
    <w:basedOn w:val="1"/>
    <w:next w:val="10"/>
    <w:link w:val="56"/>
    <w:qFormat/>
    <w:uiPriority w:val="0"/>
    <w:pPr>
      <w:keepNext/>
      <w:keepLines/>
      <w:spacing w:before="240" w:after="64" w:line="320" w:lineRule="auto"/>
      <w:outlineLvl w:val="7"/>
    </w:pPr>
    <w:rPr>
      <w:rFonts w:ascii="Arial" w:hAnsi="Arial" w:eastAsia="黑体"/>
      <w:kern w:val="0"/>
      <w:sz w:val="24"/>
      <w:szCs w:val="20"/>
    </w:rPr>
  </w:style>
  <w:style w:type="paragraph" w:styleId="14">
    <w:name w:val="heading 9"/>
    <w:basedOn w:val="1"/>
    <w:next w:val="10"/>
    <w:link w:val="83"/>
    <w:qFormat/>
    <w:uiPriority w:val="0"/>
    <w:pPr>
      <w:keepNext/>
      <w:keepLines/>
      <w:spacing w:before="240" w:after="64" w:line="320" w:lineRule="auto"/>
      <w:outlineLvl w:val="8"/>
    </w:pPr>
    <w:rPr>
      <w:rFonts w:ascii="Arial" w:hAnsi="Arial" w:eastAsia="黑体"/>
      <w:kern w:val="0"/>
      <w:sz w:val="20"/>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3"/>
    <w:qFormat/>
    <w:uiPriority w:val="0"/>
    <w:pPr>
      <w:spacing w:after="120" w:line="240" w:lineRule="auto"/>
      <w:ind w:left="420" w:leftChars="200" w:firstLine="420" w:firstLineChars="200"/>
    </w:pPr>
    <w:rPr>
      <w:rFonts w:ascii="Times New Roman" w:hAnsi="Times New Roman"/>
      <w:spacing w:val="0"/>
      <w:kern w:val="2"/>
      <w:sz w:val="21"/>
      <w:szCs w:val="24"/>
    </w:rPr>
  </w:style>
  <w:style w:type="paragraph" w:styleId="3">
    <w:name w:val="Body Text Indent"/>
    <w:basedOn w:val="1"/>
    <w:next w:val="4"/>
    <w:link w:val="74"/>
    <w:qFormat/>
    <w:uiPriority w:val="0"/>
    <w:pPr>
      <w:spacing w:line="200" w:lineRule="exact"/>
      <w:ind w:firstLine="301"/>
    </w:pPr>
    <w:rPr>
      <w:rFonts w:ascii="宋体" w:hAnsi="Courier New"/>
      <w:spacing w:val="-4"/>
      <w:kern w:val="0"/>
      <w:sz w:val="18"/>
      <w:szCs w:val="20"/>
    </w:rPr>
  </w:style>
  <w:style w:type="paragraph" w:customStyle="1" w:styleId="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10">
    <w:name w:val="Normal Indent"/>
    <w:basedOn w:val="1"/>
    <w:link w:val="84"/>
    <w:qFormat/>
    <w:uiPriority w:val="0"/>
    <w:pPr>
      <w:ind w:firstLine="420"/>
    </w:pPr>
    <w:rPr>
      <w:kern w:val="0"/>
      <w:sz w:val="20"/>
      <w:szCs w:val="20"/>
    </w:rPr>
  </w:style>
  <w:style w:type="paragraph" w:styleId="15">
    <w:name w:val="caption"/>
    <w:basedOn w:val="1"/>
    <w:next w:val="1"/>
    <w:semiHidden/>
    <w:unhideWhenUsed/>
    <w:qFormat/>
    <w:uiPriority w:val="0"/>
    <w:pPr>
      <w:spacing w:before="152" w:after="160"/>
    </w:pPr>
    <w:rPr>
      <w:rFonts w:ascii="Arial" w:hAnsi="Arial" w:eastAsia="黑体" w:cs="Arial"/>
      <w:sz w:val="20"/>
      <w:szCs w:val="20"/>
    </w:rPr>
  </w:style>
  <w:style w:type="paragraph" w:styleId="16">
    <w:name w:val="Document Map"/>
    <w:basedOn w:val="1"/>
    <w:link w:val="76"/>
    <w:semiHidden/>
    <w:qFormat/>
    <w:uiPriority w:val="0"/>
    <w:pPr>
      <w:shd w:val="clear" w:color="auto" w:fill="000080"/>
    </w:pPr>
    <w:rPr>
      <w:kern w:val="0"/>
      <w:sz w:val="20"/>
    </w:rPr>
  </w:style>
  <w:style w:type="paragraph" w:styleId="17">
    <w:name w:val="annotation text"/>
    <w:basedOn w:val="1"/>
    <w:link w:val="55"/>
    <w:unhideWhenUsed/>
    <w:qFormat/>
    <w:uiPriority w:val="0"/>
    <w:pPr>
      <w:jc w:val="left"/>
    </w:pPr>
  </w:style>
  <w:style w:type="paragraph" w:styleId="18">
    <w:name w:val="Body Text 3"/>
    <w:basedOn w:val="1"/>
    <w:link w:val="117"/>
    <w:unhideWhenUsed/>
    <w:qFormat/>
    <w:uiPriority w:val="0"/>
    <w:pPr>
      <w:spacing w:after="120"/>
    </w:pPr>
    <w:rPr>
      <w:sz w:val="16"/>
      <w:szCs w:val="16"/>
    </w:rPr>
  </w:style>
  <w:style w:type="paragraph" w:styleId="19">
    <w:name w:val="Body Text"/>
    <w:basedOn w:val="1"/>
    <w:link w:val="69"/>
    <w:qFormat/>
    <w:uiPriority w:val="0"/>
    <w:pPr>
      <w:autoSpaceDE w:val="0"/>
      <w:autoSpaceDN w:val="0"/>
      <w:adjustRightInd w:val="0"/>
      <w:spacing w:after="120"/>
      <w:jc w:val="left"/>
    </w:pPr>
    <w:rPr>
      <w:rFonts w:ascii="宋体"/>
      <w:kern w:val="0"/>
      <w:sz w:val="34"/>
      <w:szCs w:val="20"/>
    </w:rPr>
  </w:style>
  <w:style w:type="paragraph" w:styleId="20">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next w:val="22"/>
    <w:link w:val="64"/>
    <w:qFormat/>
    <w:uiPriority w:val="0"/>
    <w:rPr>
      <w:rFonts w:ascii="宋体" w:hAnsi="Courier New"/>
      <w:kern w:val="0"/>
      <w:sz w:val="20"/>
      <w:szCs w:val="20"/>
    </w:rPr>
  </w:style>
  <w:style w:type="paragraph" w:customStyle="1" w:styleId="22">
    <w:name w:val="目录 81"/>
    <w:basedOn w:val="1"/>
    <w:next w:val="1"/>
    <w:qFormat/>
    <w:uiPriority w:val="0"/>
    <w:pPr>
      <w:ind w:left="1470"/>
    </w:pPr>
    <w:rPr>
      <w:sz w:val="18"/>
    </w:rPr>
  </w:style>
  <w:style w:type="paragraph" w:styleId="23">
    <w:name w:val="toc 8"/>
    <w:basedOn w:val="1"/>
    <w:next w:val="1"/>
    <w:semiHidden/>
    <w:qFormat/>
    <w:uiPriority w:val="0"/>
    <w:pPr>
      <w:tabs>
        <w:tab w:val="left" w:pos="358"/>
      </w:tabs>
      <w:ind w:left="2940" w:leftChars="1400"/>
    </w:pPr>
  </w:style>
  <w:style w:type="paragraph" w:styleId="24">
    <w:name w:val="Date"/>
    <w:basedOn w:val="1"/>
    <w:next w:val="1"/>
    <w:link w:val="62"/>
    <w:qFormat/>
    <w:uiPriority w:val="0"/>
    <w:pPr>
      <w:ind w:left="100" w:leftChars="2500"/>
    </w:pPr>
    <w:rPr>
      <w:spacing w:val="30"/>
      <w:kern w:val="0"/>
      <w:sz w:val="28"/>
    </w:rPr>
  </w:style>
  <w:style w:type="paragraph" w:styleId="25">
    <w:name w:val="Body Text Indent 2"/>
    <w:basedOn w:val="1"/>
    <w:link w:val="61"/>
    <w:qFormat/>
    <w:uiPriority w:val="0"/>
    <w:pPr>
      <w:spacing w:line="400" w:lineRule="exact"/>
      <w:ind w:firstLine="480"/>
    </w:pPr>
    <w:rPr>
      <w:kern w:val="0"/>
      <w:sz w:val="20"/>
    </w:rPr>
  </w:style>
  <w:style w:type="paragraph" w:styleId="26">
    <w:name w:val="Balloon Text"/>
    <w:basedOn w:val="1"/>
    <w:link w:val="67"/>
    <w:semiHidden/>
    <w:qFormat/>
    <w:uiPriority w:val="0"/>
    <w:rPr>
      <w:kern w:val="0"/>
      <w:sz w:val="18"/>
      <w:szCs w:val="18"/>
    </w:rPr>
  </w:style>
  <w:style w:type="paragraph" w:styleId="27">
    <w:name w:val="footer"/>
    <w:basedOn w:val="1"/>
    <w:link w:val="68"/>
    <w:qFormat/>
    <w:uiPriority w:val="99"/>
    <w:pPr>
      <w:tabs>
        <w:tab w:val="center" w:pos="4153"/>
        <w:tab w:val="right" w:pos="8306"/>
      </w:tabs>
      <w:snapToGrid w:val="0"/>
      <w:jc w:val="left"/>
    </w:pPr>
    <w:rPr>
      <w:rFonts w:ascii="宋体" w:hAnsi="Courier New"/>
      <w:kern w:val="0"/>
      <w:sz w:val="18"/>
      <w:szCs w:val="20"/>
    </w:rPr>
  </w:style>
  <w:style w:type="paragraph" w:styleId="28">
    <w:name w:val="header"/>
    <w:basedOn w:val="1"/>
    <w:link w:val="58"/>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9">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30">
    <w:name w:val="List"/>
    <w:basedOn w:val="1"/>
    <w:semiHidden/>
    <w:unhideWhenUsed/>
    <w:qFormat/>
    <w:uiPriority w:val="0"/>
    <w:pPr>
      <w:ind w:left="200" w:hanging="200" w:hangingChars="200"/>
    </w:pPr>
    <w:rPr>
      <w:sz w:val="28"/>
    </w:rPr>
  </w:style>
  <w:style w:type="paragraph" w:styleId="31">
    <w:name w:val="Body Text Indent 3"/>
    <w:basedOn w:val="1"/>
    <w:link w:val="80"/>
    <w:qFormat/>
    <w:uiPriority w:val="0"/>
    <w:pPr>
      <w:spacing w:line="360" w:lineRule="auto"/>
      <w:ind w:firstLine="359" w:firstLineChars="171"/>
    </w:pPr>
    <w:rPr>
      <w:kern w:val="0"/>
      <w:sz w:val="20"/>
    </w:rPr>
  </w:style>
  <w:style w:type="paragraph" w:styleId="32">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4">
    <w:name w:val="Normal (Web)"/>
    <w:basedOn w:val="1"/>
    <w:qFormat/>
    <w:uiPriority w:val="0"/>
    <w:pPr>
      <w:spacing w:beforeAutospacing="1" w:afterAutospacing="1"/>
      <w:jc w:val="left"/>
    </w:pPr>
    <w:rPr>
      <w:kern w:val="0"/>
      <w:sz w:val="24"/>
    </w:rPr>
  </w:style>
  <w:style w:type="paragraph" w:styleId="35">
    <w:name w:val="index 1"/>
    <w:basedOn w:val="1"/>
    <w:next w:val="1"/>
    <w:semiHidden/>
    <w:qFormat/>
    <w:uiPriority w:val="0"/>
    <w:pPr>
      <w:spacing w:line="360" w:lineRule="exact"/>
      <w:ind w:firstLine="432" w:firstLineChars="240"/>
    </w:pPr>
    <w:rPr>
      <w:rFonts w:ascii="宋体" w:hAnsi="宋体"/>
      <w:bCs/>
      <w:sz w:val="18"/>
      <w:szCs w:val="18"/>
    </w:rPr>
  </w:style>
  <w:style w:type="paragraph" w:styleId="36">
    <w:name w:val="annotation subject"/>
    <w:basedOn w:val="17"/>
    <w:next w:val="17"/>
    <w:link w:val="114"/>
    <w:semiHidden/>
    <w:unhideWhenUsed/>
    <w:qFormat/>
    <w:uiPriority w:val="0"/>
    <w:rPr>
      <w:b/>
      <w:bCs/>
    </w:rPr>
  </w:style>
  <w:style w:type="table" w:styleId="38">
    <w:name w:val="Table Grid"/>
    <w:basedOn w:val="3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qFormat/>
    <w:uiPriority w:val="0"/>
    <w:rPr>
      <w:color w:val="CC0000"/>
    </w:rPr>
  </w:style>
  <w:style w:type="character" w:styleId="44">
    <w:name w:val="Hyperlink"/>
    <w:qFormat/>
    <w:uiPriority w:val="99"/>
    <w:rPr>
      <w:color w:val="0000FF"/>
      <w:u w:val="single"/>
    </w:rPr>
  </w:style>
  <w:style w:type="character" w:styleId="45">
    <w:name w:val="annotation reference"/>
    <w:qFormat/>
    <w:uiPriority w:val="0"/>
    <w:rPr>
      <w:sz w:val="21"/>
    </w:rPr>
  </w:style>
  <w:style w:type="character" w:styleId="46">
    <w:name w:val="HTML Sample"/>
    <w:unhideWhenUsed/>
    <w:qFormat/>
    <w:uiPriority w:val="99"/>
    <w:rPr>
      <w:rFonts w:ascii="Courier New" w:hAnsi="Courier New"/>
    </w:rPr>
  </w:style>
  <w:style w:type="paragraph" w:customStyle="1" w:styleId="47">
    <w:name w:val="NormalIndent"/>
    <w:basedOn w:val="1"/>
    <w:qFormat/>
    <w:uiPriority w:val="0"/>
    <w:pPr>
      <w:ind w:firstLine="420"/>
    </w:pPr>
    <w:rPr>
      <w:szCs w:val="21"/>
    </w:rPr>
  </w:style>
  <w:style w:type="character" w:customStyle="1" w:styleId="48">
    <w:name w:val="style31"/>
    <w:qFormat/>
    <w:uiPriority w:val="0"/>
    <w:rPr>
      <w:sz w:val="18"/>
      <w:szCs w:val="18"/>
    </w:rPr>
  </w:style>
  <w:style w:type="character" w:customStyle="1" w:styleId="49">
    <w:name w:val="标题 6 Char"/>
    <w:link w:val="11"/>
    <w:qFormat/>
    <w:uiPriority w:val="0"/>
    <w:rPr>
      <w:rFonts w:ascii="Arial" w:hAnsi="Arial" w:eastAsia="黑体"/>
      <w:b/>
      <w:sz w:val="24"/>
    </w:rPr>
  </w:style>
  <w:style w:type="character" w:customStyle="1" w:styleId="50">
    <w:name w:val="apple-style-span"/>
    <w:basedOn w:val="39"/>
    <w:qFormat/>
    <w:uiPriority w:val="0"/>
  </w:style>
  <w:style w:type="character" w:customStyle="1" w:styleId="51">
    <w:name w:val="标题 4 Char"/>
    <w:link w:val="8"/>
    <w:qFormat/>
    <w:uiPriority w:val="0"/>
    <w:rPr>
      <w:rFonts w:ascii="宋体" w:hAnsi="Arial" w:eastAsia="黑体"/>
      <w:b/>
      <w:sz w:val="24"/>
    </w:rPr>
  </w:style>
  <w:style w:type="character" w:customStyle="1" w:styleId="52">
    <w:name w:val="Char Char2"/>
    <w:semiHidden/>
    <w:qFormat/>
    <w:uiPriority w:val="0"/>
    <w:rPr>
      <w:rFonts w:ascii="宋体" w:hAnsi="Courier New" w:eastAsia="宋体"/>
      <w:spacing w:val="-4"/>
      <w:kern w:val="2"/>
      <w:sz w:val="18"/>
      <w:lang w:val="en-US" w:eastAsia="zh-CN" w:bidi="ar-SA"/>
    </w:rPr>
  </w:style>
  <w:style w:type="character" w:customStyle="1" w:styleId="53">
    <w:name w:val="font11"/>
    <w:qFormat/>
    <w:uiPriority w:val="0"/>
    <w:rPr>
      <w:rFonts w:hint="default" w:ascii="Tahoma" w:hAnsi="Tahoma" w:cs="Tahoma"/>
      <w:color w:val="000000"/>
      <w:sz w:val="22"/>
      <w:szCs w:val="22"/>
      <w:u w:val="none"/>
    </w:rPr>
  </w:style>
  <w:style w:type="character" w:customStyle="1" w:styleId="54">
    <w:name w:val="普通文字 Char Char1"/>
    <w:semiHidden/>
    <w:qFormat/>
    <w:uiPriority w:val="0"/>
    <w:rPr>
      <w:rFonts w:ascii="宋体" w:hAnsi="Courier New" w:eastAsia="宋体"/>
      <w:kern w:val="2"/>
      <w:sz w:val="21"/>
      <w:lang w:val="en-US" w:eastAsia="zh-CN" w:bidi="ar-SA"/>
    </w:rPr>
  </w:style>
  <w:style w:type="character" w:customStyle="1" w:styleId="55">
    <w:name w:val="批注文字 Char"/>
    <w:link w:val="17"/>
    <w:qFormat/>
    <w:uiPriority w:val="0"/>
    <w:rPr>
      <w:rFonts w:eastAsia="宋体"/>
      <w:kern w:val="2"/>
      <w:sz w:val="21"/>
      <w:szCs w:val="24"/>
      <w:lang w:val="en-US" w:eastAsia="zh-CN" w:bidi="ar-SA"/>
    </w:rPr>
  </w:style>
  <w:style w:type="character" w:customStyle="1" w:styleId="56">
    <w:name w:val="标题 8 Char"/>
    <w:link w:val="13"/>
    <w:qFormat/>
    <w:uiPriority w:val="0"/>
    <w:rPr>
      <w:rFonts w:ascii="Arial" w:hAnsi="Arial" w:eastAsia="黑体"/>
      <w:sz w:val="24"/>
    </w:rPr>
  </w:style>
  <w:style w:type="character" w:customStyle="1" w:styleId="57">
    <w:name w:val="font31"/>
    <w:qFormat/>
    <w:uiPriority w:val="0"/>
    <w:rPr>
      <w:rFonts w:hint="eastAsia" w:ascii="宋体" w:hAnsi="宋体" w:eastAsia="宋体"/>
      <w:color w:val="000000"/>
      <w:sz w:val="22"/>
      <w:szCs w:val="22"/>
      <w:u w:val="none"/>
    </w:rPr>
  </w:style>
  <w:style w:type="character" w:customStyle="1" w:styleId="58">
    <w:name w:val="页眉 Char"/>
    <w:link w:val="28"/>
    <w:qFormat/>
    <w:uiPriority w:val="0"/>
    <w:rPr>
      <w:rFonts w:ascii="宋体" w:hAnsi="Courier New" w:eastAsia="宋体" w:cs="Times New Roman"/>
      <w:sz w:val="18"/>
      <w:szCs w:val="20"/>
    </w:rPr>
  </w:style>
  <w:style w:type="character" w:customStyle="1" w:styleId="59">
    <w:name w:val="纯文本 Char"/>
    <w:qFormat/>
    <w:uiPriority w:val="0"/>
    <w:rPr>
      <w:rFonts w:ascii="宋体" w:hAnsi="Courier New" w:eastAsia="宋体" w:cs="Courier New"/>
      <w:szCs w:val="21"/>
    </w:rPr>
  </w:style>
  <w:style w:type="character" w:customStyle="1" w:styleId="60">
    <w:name w:val="style54"/>
    <w:basedOn w:val="39"/>
    <w:qFormat/>
    <w:uiPriority w:val="0"/>
  </w:style>
  <w:style w:type="character" w:customStyle="1" w:styleId="61">
    <w:name w:val="正文文本缩进 2 Char"/>
    <w:link w:val="25"/>
    <w:qFormat/>
    <w:uiPriority w:val="0"/>
    <w:rPr>
      <w:rFonts w:ascii="Times New Roman" w:hAnsi="Times New Roman" w:eastAsia="宋体" w:cs="Times New Roman"/>
      <w:szCs w:val="24"/>
    </w:rPr>
  </w:style>
  <w:style w:type="character" w:customStyle="1" w:styleId="62">
    <w:name w:val="日期 Char"/>
    <w:link w:val="24"/>
    <w:qFormat/>
    <w:uiPriority w:val="0"/>
    <w:rPr>
      <w:rFonts w:ascii="Times New Roman" w:hAnsi="Times New Roman" w:eastAsia="宋体" w:cs="Times New Roman"/>
      <w:spacing w:val="30"/>
      <w:sz w:val="28"/>
      <w:szCs w:val="24"/>
    </w:rPr>
  </w:style>
  <w:style w:type="character" w:customStyle="1" w:styleId="63">
    <w:name w:val="font01"/>
    <w:qFormat/>
    <w:uiPriority w:val="0"/>
    <w:rPr>
      <w:rFonts w:hint="eastAsia" w:ascii="宋体" w:hAnsi="宋体" w:eastAsia="宋体"/>
      <w:color w:val="000000"/>
      <w:sz w:val="22"/>
      <w:szCs w:val="22"/>
      <w:u w:val="none"/>
    </w:rPr>
  </w:style>
  <w:style w:type="character" w:customStyle="1" w:styleId="64">
    <w:name w:val="纯文本 Char1"/>
    <w:link w:val="21"/>
    <w:qFormat/>
    <w:uiPriority w:val="0"/>
    <w:rPr>
      <w:rFonts w:ascii="宋体" w:hAnsi="Courier New" w:eastAsia="宋体" w:cs="Times New Roman"/>
      <w:szCs w:val="20"/>
    </w:rPr>
  </w:style>
  <w:style w:type="character" w:customStyle="1" w:styleId="65">
    <w:name w:val="标题 7 Char"/>
    <w:link w:val="12"/>
    <w:qFormat/>
    <w:uiPriority w:val="0"/>
    <w:rPr>
      <w:b/>
      <w:sz w:val="24"/>
    </w:rPr>
  </w:style>
  <w:style w:type="character" w:customStyle="1" w:styleId="66">
    <w:name w:val="1051"/>
    <w:qFormat/>
    <w:uiPriority w:val="0"/>
    <w:rPr>
      <w:sz w:val="21"/>
      <w:szCs w:val="21"/>
    </w:rPr>
  </w:style>
  <w:style w:type="character" w:customStyle="1" w:styleId="67">
    <w:name w:val="批注框文本 Char"/>
    <w:link w:val="26"/>
    <w:semiHidden/>
    <w:qFormat/>
    <w:uiPriority w:val="0"/>
    <w:rPr>
      <w:rFonts w:ascii="Times New Roman" w:hAnsi="Times New Roman" w:eastAsia="宋体" w:cs="Times New Roman"/>
      <w:sz w:val="18"/>
      <w:szCs w:val="18"/>
    </w:rPr>
  </w:style>
  <w:style w:type="character" w:customStyle="1" w:styleId="68">
    <w:name w:val="页脚 Char"/>
    <w:link w:val="27"/>
    <w:qFormat/>
    <w:uiPriority w:val="99"/>
    <w:rPr>
      <w:rFonts w:ascii="宋体" w:hAnsi="Courier New" w:eastAsia="宋体" w:cs="Times New Roman"/>
      <w:sz w:val="18"/>
      <w:szCs w:val="20"/>
    </w:rPr>
  </w:style>
  <w:style w:type="character" w:customStyle="1" w:styleId="69">
    <w:name w:val="正文文本 Char"/>
    <w:link w:val="19"/>
    <w:qFormat/>
    <w:uiPriority w:val="0"/>
    <w:rPr>
      <w:rFonts w:ascii="宋体" w:hAnsi="Times New Roman" w:eastAsia="宋体" w:cs="Times New Roman"/>
      <w:kern w:val="0"/>
      <w:sz w:val="34"/>
      <w:szCs w:val="20"/>
    </w:rPr>
  </w:style>
  <w:style w:type="character" w:customStyle="1" w:styleId="70">
    <w:name w:val="标准文本 Char"/>
    <w:link w:val="71"/>
    <w:qFormat/>
    <w:uiPriority w:val="0"/>
    <w:rPr>
      <w:rFonts w:cs="宋体"/>
      <w:kern w:val="2"/>
      <w:sz w:val="24"/>
    </w:rPr>
  </w:style>
  <w:style w:type="paragraph" w:customStyle="1" w:styleId="71">
    <w:name w:val="标准文本"/>
    <w:basedOn w:val="1"/>
    <w:link w:val="70"/>
    <w:qFormat/>
    <w:uiPriority w:val="0"/>
    <w:pPr>
      <w:spacing w:line="360" w:lineRule="auto"/>
      <w:ind w:firstLine="480" w:firstLineChars="200"/>
    </w:pPr>
    <w:rPr>
      <w:sz w:val="24"/>
      <w:szCs w:val="20"/>
    </w:rPr>
  </w:style>
  <w:style w:type="character" w:customStyle="1" w:styleId="72">
    <w:name w:val="font41"/>
    <w:qFormat/>
    <w:uiPriority w:val="0"/>
    <w:rPr>
      <w:rFonts w:hint="eastAsia" w:ascii="宋体" w:hAnsi="宋体" w:eastAsia="宋体"/>
      <w:b/>
      <w:bCs/>
      <w:color w:val="000000"/>
      <w:sz w:val="22"/>
      <w:szCs w:val="22"/>
      <w:u w:val="none"/>
    </w:rPr>
  </w:style>
  <w:style w:type="character" w:customStyle="1" w:styleId="73">
    <w:name w:val="unnamed21"/>
    <w:basedOn w:val="39"/>
    <w:qFormat/>
    <w:uiPriority w:val="0"/>
  </w:style>
  <w:style w:type="character" w:customStyle="1" w:styleId="74">
    <w:name w:val="正文文本缩进 Char"/>
    <w:link w:val="3"/>
    <w:qFormat/>
    <w:uiPriority w:val="0"/>
    <w:rPr>
      <w:rFonts w:ascii="宋体" w:hAnsi="Courier New" w:eastAsia="宋体" w:cs="Times New Roman"/>
      <w:spacing w:val="-4"/>
      <w:sz w:val="18"/>
      <w:szCs w:val="20"/>
    </w:rPr>
  </w:style>
  <w:style w:type="character" w:customStyle="1" w:styleId="75">
    <w:name w:val="style51"/>
    <w:basedOn w:val="39"/>
    <w:qFormat/>
    <w:uiPriority w:val="0"/>
  </w:style>
  <w:style w:type="character" w:customStyle="1" w:styleId="76">
    <w:name w:val="文档结构图 Char"/>
    <w:link w:val="16"/>
    <w:semiHidden/>
    <w:qFormat/>
    <w:uiPriority w:val="0"/>
    <w:rPr>
      <w:rFonts w:ascii="Times New Roman" w:hAnsi="Times New Roman" w:eastAsia="宋体" w:cs="Times New Roman"/>
      <w:szCs w:val="24"/>
      <w:shd w:val="clear" w:color="auto" w:fill="000080"/>
    </w:rPr>
  </w:style>
  <w:style w:type="character" w:customStyle="1" w:styleId="77">
    <w:name w:val="纯文本 Char Char Char"/>
    <w:qFormat/>
    <w:uiPriority w:val="0"/>
    <w:rPr>
      <w:rFonts w:ascii="宋体" w:hAnsi="Courier New" w:eastAsia="宋体" w:cs="Courier New"/>
      <w:kern w:val="2"/>
      <w:sz w:val="21"/>
      <w:szCs w:val="21"/>
      <w:lang w:val="en-US" w:eastAsia="zh-CN" w:bidi="ar-SA"/>
    </w:rPr>
  </w:style>
  <w:style w:type="character" w:customStyle="1" w:styleId="78">
    <w:name w:val="标题 1 Char"/>
    <w:link w:val="5"/>
    <w:qFormat/>
    <w:uiPriority w:val="0"/>
    <w:rPr>
      <w:b/>
      <w:bCs/>
      <w:kern w:val="2"/>
      <w:sz w:val="32"/>
      <w:szCs w:val="24"/>
    </w:rPr>
  </w:style>
  <w:style w:type="character" w:customStyle="1" w:styleId="79">
    <w:name w:val="标题 5 Char"/>
    <w:link w:val="9"/>
    <w:qFormat/>
    <w:uiPriority w:val="0"/>
    <w:rPr>
      <w:b/>
      <w:sz w:val="28"/>
    </w:rPr>
  </w:style>
  <w:style w:type="character" w:customStyle="1" w:styleId="80">
    <w:name w:val="正文文本缩进 3 Char"/>
    <w:link w:val="31"/>
    <w:qFormat/>
    <w:uiPriority w:val="0"/>
    <w:rPr>
      <w:rFonts w:ascii="Times New Roman" w:hAnsi="Times New Roman" w:eastAsia="宋体" w:cs="Times New Roman"/>
      <w:szCs w:val="24"/>
    </w:rPr>
  </w:style>
  <w:style w:type="character" w:customStyle="1" w:styleId="81">
    <w:name w:val="HTML 预设格式 Char"/>
    <w:link w:val="33"/>
    <w:qFormat/>
    <w:uiPriority w:val="0"/>
    <w:rPr>
      <w:rFonts w:ascii="黑体" w:hAnsi="Courier New" w:eastAsia="黑体" w:cs="Courier New"/>
      <w:kern w:val="0"/>
      <w:sz w:val="20"/>
      <w:szCs w:val="20"/>
    </w:rPr>
  </w:style>
  <w:style w:type="character" w:customStyle="1" w:styleId="82">
    <w:name w:val="标题 2 Char"/>
    <w:link w:val="6"/>
    <w:qFormat/>
    <w:uiPriority w:val="0"/>
    <w:rPr>
      <w:rFonts w:ascii="Arial" w:hAnsi="Arial" w:eastAsia="黑体" w:cs="Times New Roman"/>
      <w:b/>
      <w:bCs/>
      <w:sz w:val="32"/>
      <w:szCs w:val="32"/>
    </w:rPr>
  </w:style>
  <w:style w:type="character" w:customStyle="1" w:styleId="83">
    <w:name w:val="标题 9 Char"/>
    <w:link w:val="14"/>
    <w:qFormat/>
    <w:uiPriority w:val="0"/>
    <w:rPr>
      <w:rFonts w:ascii="Arial" w:hAnsi="Arial" w:eastAsia="黑体"/>
    </w:rPr>
  </w:style>
  <w:style w:type="character" w:customStyle="1" w:styleId="84">
    <w:name w:val="正文缩进 Char"/>
    <w:link w:val="10"/>
    <w:qFormat/>
    <w:locked/>
    <w:uiPriority w:val="0"/>
    <w:rPr>
      <w:rFonts w:ascii="Times New Roman" w:hAnsi="Times New Roman" w:eastAsia="宋体" w:cs="Times New Roman"/>
      <w:szCs w:val="20"/>
    </w:rPr>
  </w:style>
  <w:style w:type="paragraph" w:customStyle="1" w:styleId="8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6">
    <w:name w:val="Table Paragraph"/>
    <w:basedOn w:val="1"/>
    <w:qFormat/>
    <w:uiPriority w:val="1"/>
    <w:pPr>
      <w:ind w:left="100" w:right="-10"/>
      <w:jc w:val="left"/>
    </w:pPr>
    <w:rPr>
      <w:rFonts w:ascii="宋体" w:hAnsi="宋体" w:cs="宋体"/>
      <w:kern w:val="0"/>
      <w:sz w:val="22"/>
      <w:szCs w:val="22"/>
      <w:lang w:eastAsia="en-US"/>
    </w:rPr>
  </w:style>
  <w:style w:type="paragraph" w:styleId="87">
    <w:name w:val="List Paragraph"/>
    <w:basedOn w:val="1"/>
    <w:qFormat/>
    <w:uiPriority w:val="99"/>
    <w:pPr>
      <w:ind w:firstLine="420" w:firstLineChars="200"/>
    </w:pPr>
    <w:rPr>
      <w:rFonts w:ascii="Calibri" w:hAnsi="Calibri"/>
      <w:szCs w:val="22"/>
    </w:rPr>
  </w:style>
  <w:style w:type="paragraph" w:customStyle="1" w:styleId="88">
    <w:name w:val="Char"/>
    <w:basedOn w:val="16"/>
    <w:qFormat/>
    <w:uiPriority w:val="0"/>
    <w:rPr>
      <w:rFonts w:ascii="Tahoma" w:hAnsi="Tahoma"/>
      <w:sz w:val="24"/>
    </w:rPr>
  </w:style>
  <w:style w:type="paragraph" w:customStyle="1" w:styleId="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0">
    <w:name w:val="p15"/>
    <w:basedOn w:val="1"/>
    <w:qFormat/>
    <w:uiPriority w:val="0"/>
    <w:pPr>
      <w:widowControl/>
    </w:pPr>
    <w:rPr>
      <w:rFonts w:ascii="宋体" w:hAnsi="宋体" w:cs="宋体"/>
      <w:kern w:val="0"/>
      <w:szCs w:val="21"/>
    </w:rPr>
  </w:style>
  <w:style w:type="paragraph" w:customStyle="1" w:styleId="91">
    <w:name w:val="样式3"/>
    <w:basedOn w:val="19"/>
    <w:qFormat/>
    <w:uiPriority w:val="0"/>
    <w:pPr>
      <w:adjustRightInd/>
      <w:spacing w:line="360" w:lineRule="auto"/>
      <w:jc w:val="both"/>
    </w:pPr>
    <w:rPr>
      <w:kern w:val="2"/>
      <w:sz w:val="21"/>
      <w:szCs w:val="24"/>
    </w:rPr>
  </w:style>
  <w:style w:type="paragraph" w:customStyle="1" w:styleId="92">
    <w:name w:val="Char Char Char Char Char Char Char"/>
    <w:basedOn w:val="1"/>
    <w:qFormat/>
    <w:uiPriority w:val="0"/>
  </w:style>
  <w:style w:type="paragraph" w:customStyle="1" w:styleId="93">
    <w:name w:val="Char Char Char Char"/>
    <w:basedOn w:val="16"/>
    <w:qFormat/>
    <w:uiPriority w:val="0"/>
    <w:rPr>
      <w:rFonts w:ascii="Tahoma" w:hAnsi="Tahoma"/>
      <w:sz w:val="24"/>
    </w:rPr>
  </w:style>
  <w:style w:type="paragraph" w:customStyle="1" w:styleId="94">
    <w:name w:val="样式1"/>
    <w:basedOn w:val="1"/>
    <w:qFormat/>
    <w:uiPriority w:val="0"/>
  </w:style>
  <w:style w:type="paragraph" w:customStyle="1" w:styleId="95">
    <w:name w:val="列出段落1"/>
    <w:basedOn w:val="1"/>
    <w:qFormat/>
    <w:uiPriority w:val="34"/>
    <w:pPr>
      <w:ind w:firstLine="420" w:firstLineChars="200"/>
    </w:pPr>
  </w:style>
  <w:style w:type="paragraph" w:customStyle="1" w:styleId="96">
    <w:name w:val="TOC 标题1"/>
    <w:basedOn w:val="5"/>
    <w:next w:val="1"/>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9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customStyle="1" w:styleId="101">
    <w:name w:val="Char1"/>
    <w:basedOn w:val="16"/>
    <w:qFormat/>
    <w:uiPriority w:val="0"/>
    <w:pPr>
      <w:widowControl/>
      <w:ind w:firstLine="454"/>
      <w:jc w:val="left"/>
    </w:pPr>
    <w:rPr>
      <w:rFonts w:ascii="Tahoma" w:hAnsi="Tahoma" w:cs="宋体"/>
      <w:sz w:val="24"/>
      <w:szCs w:val="20"/>
    </w:rPr>
  </w:style>
  <w:style w:type="paragraph" w:customStyle="1" w:styleId="10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p0"/>
    <w:basedOn w:val="1"/>
    <w:qFormat/>
    <w:uiPriority w:val="0"/>
    <w:pPr>
      <w:widowControl/>
    </w:pPr>
    <w:rPr>
      <w:kern w:val="0"/>
      <w:szCs w:val="21"/>
    </w:rPr>
  </w:style>
  <w:style w:type="paragraph" w:customStyle="1" w:styleId="105">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06">
    <w:name w:val="默认段落字体 Para Char1"/>
    <w:next w:val="1"/>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107">
    <w:name w:val="F2"/>
    <w:basedOn w:val="1"/>
    <w:qFormat/>
    <w:uiPriority w:val="0"/>
    <w:pPr>
      <w:autoSpaceDE w:val="0"/>
      <w:autoSpaceDN w:val="0"/>
      <w:adjustRightInd w:val="0"/>
      <w:ind w:firstLine="601"/>
      <w:textAlignment w:val="baseline"/>
    </w:pPr>
    <w:rPr>
      <w:kern w:val="0"/>
      <w:sz w:val="24"/>
      <w:szCs w:val="20"/>
    </w:rPr>
  </w:style>
  <w:style w:type="paragraph" w:customStyle="1" w:styleId="10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9">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1">
    <w:name w:val="列出段落2"/>
    <w:basedOn w:val="1"/>
    <w:unhideWhenUsed/>
    <w:qFormat/>
    <w:uiPriority w:val="34"/>
    <w:pPr>
      <w:ind w:firstLine="420" w:firstLineChars="200"/>
    </w:pPr>
    <w:rPr>
      <w:szCs w:val="20"/>
    </w:rPr>
  </w:style>
  <w:style w:type="paragraph" w:customStyle="1" w:styleId="112">
    <w:name w:val="_Style 5"/>
    <w:basedOn w:val="1"/>
    <w:qFormat/>
    <w:uiPriority w:val="34"/>
    <w:pPr>
      <w:spacing w:line="360" w:lineRule="auto"/>
      <w:ind w:firstLine="420" w:firstLineChars="200"/>
    </w:pPr>
    <w:rPr>
      <w:rFonts w:ascii="Calibri" w:hAnsi="Calibri"/>
      <w:szCs w:val="22"/>
    </w:rPr>
  </w:style>
  <w:style w:type="paragraph" w:customStyle="1" w:styleId="113">
    <w:name w:val="_Style 1"/>
    <w:basedOn w:val="1"/>
    <w:qFormat/>
    <w:uiPriority w:val="34"/>
    <w:pPr>
      <w:spacing w:line="360" w:lineRule="auto"/>
      <w:ind w:firstLine="420" w:firstLineChars="200"/>
    </w:pPr>
    <w:rPr>
      <w:rFonts w:ascii="Calibri" w:hAnsi="Calibri"/>
      <w:szCs w:val="22"/>
    </w:rPr>
  </w:style>
  <w:style w:type="character" w:customStyle="1" w:styleId="114">
    <w:name w:val="批注主题 Char"/>
    <w:basedOn w:val="55"/>
    <w:link w:val="36"/>
    <w:semiHidden/>
    <w:qFormat/>
    <w:uiPriority w:val="0"/>
    <w:rPr>
      <w:rFonts w:eastAsia="宋体"/>
      <w:b/>
      <w:bCs/>
      <w:kern w:val="2"/>
      <w:sz w:val="21"/>
      <w:szCs w:val="24"/>
      <w:lang w:val="en-US" w:eastAsia="zh-CN" w:bidi="ar-SA"/>
    </w:rPr>
  </w:style>
  <w:style w:type="paragraph" w:customStyle="1" w:styleId="115">
    <w:name w:val="正文段"/>
    <w:basedOn w:val="1"/>
    <w:qFormat/>
    <w:uiPriority w:val="0"/>
    <w:pPr>
      <w:widowControl/>
      <w:snapToGrid w:val="0"/>
      <w:spacing w:afterLines="50"/>
      <w:ind w:firstLine="200" w:firstLineChars="200"/>
    </w:pPr>
    <w:rPr>
      <w:kern w:val="0"/>
      <w:sz w:val="24"/>
      <w:szCs w:val="20"/>
    </w:rPr>
  </w:style>
  <w:style w:type="character" w:customStyle="1" w:styleId="116">
    <w:name w:val="批注文字 Char1"/>
    <w:basedOn w:val="39"/>
    <w:semiHidden/>
    <w:qFormat/>
    <w:locked/>
    <w:uiPriority w:val="0"/>
    <w:rPr>
      <w:kern w:val="2"/>
      <w:sz w:val="21"/>
      <w:szCs w:val="24"/>
    </w:rPr>
  </w:style>
  <w:style w:type="character" w:customStyle="1" w:styleId="117">
    <w:name w:val="正文文本 3 Char"/>
    <w:basedOn w:val="39"/>
    <w:link w:val="18"/>
    <w:semiHidden/>
    <w:qFormat/>
    <w:uiPriority w:val="0"/>
    <w:rPr>
      <w:kern w:val="2"/>
      <w:sz w:val="16"/>
      <w:szCs w:val="16"/>
    </w:rPr>
  </w:style>
  <w:style w:type="paragraph" w:customStyle="1" w:styleId="11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项目符号A Char"/>
    <w:link w:val="120"/>
    <w:qFormat/>
    <w:uiPriority w:val="0"/>
    <w:rPr>
      <w:rFonts w:ascii="仿宋_GB2312" w:hAnsi="Arial" w:eastAsia="仿宋_GB2312"/>
      <w:spacing w:val="-4"/>
      <w:kern w:val="2"/>
      <w:sz w:val="24"/>
      <w:szCs w:val="24"/>
    </w:rPr>
  </w:style>
  <w:style w:type="paragraph" w:customStyle="1" w:styleId="120">
    <w:name w:val="项目符号A"/>
    <w:basedOn w:val="1"/>
    <w:link w:val="119"/>
    <w:qFormat/>
    <w:uiPriority w:val="0"/>
    <w:pPr>
      <w:tabs>
        <w:tab w:val="left" w:pos="1021"/>
      </w:tabs>
      <w:spacing w:line="400" w:lineRule="exact"/>
      <w:ind w:firstLine="465"/>
    </w:pPr>
    <w:rPr>
      <w:rFonts w:ascii="仿宋_GB2312" w:hAnsi="Arial" w:eastAsia="仿宋_GB2312"/>
      <w:spacing w:val="-4"/>
      <w:sz w:val="24"/>
    </w:rPr>
  </w:style>
  <w:style w:type="character" w:customStyle="1" w:styleId="121">
    <w:name w:val="article11"/>
    <w:qFormat/>
    <w:uiPriority w:val="0"/>
    <w:rPr>
      <w:color w:val="000000"/>
      <w:sz w:val="23"/>
      <w:szCs w:val="23"/>
    </w:rPr>
  </w:style>
  <w:style w:type="character" w:customStyle="1" w:styleId="122">
    <w:name w:val="case31"/>
    <w:qFormat/>
    <w:uiPriority w:val="0"/>
    <w:rPr>
      <w:rFonts w:hint="default"/>
      <w:sz w:val="21"/>
      <w:szCs w:val="21"/>
    </w:rPr>
  </w:style>
  <w:style w:type="character" w:customStyle="1" w:styleId="123">
    <w:name w:val="正文首行缩进 2 Char"/>
    <w:basedOn w:val="74"/>
    <w:link w:val="2"/>
    <w:qFormat/>
    <w:uiPriority w:val="0"/>
    <w:rPr>
      <w:rFonts w:ascii="宋体" w:hAnsi="Courier New" w:eastAsia="宋体" w:cs="Times New Roman"/>
      <w:spacing w:val="-4"/>
      <w:kern w:val="2"/>
      <w:sz w:val="21"/>
      <w:szCs w:val="24"/>
    </w:rPr>
  </w:style>
  <w:style w:type="character" w:customStyle="1" w:styleId="124">
    <w:name w:val="Char Char20"/>
    <w:qFormat/>
    <w:locked/>
    <w:uiPriority w:val="0"/>
    <w:rPr>
      <w:rFonts w:eastAsia="宋体"/>
      <w:b/>
      <w:bCs/>
      <w:kern w:val="44"/>
      <w:sz w:val="44"/>
      <w:szCs w:val="44"/>
      <w:lang w:bidi="ar-SA"/>
    </w:rPr>
  </w:style>
  <w:style w:type="paragraph" w:customStyle="1" w:styleId="12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7">
    <w:name w:val="标题 1_0"/>
    <w:basedOn w:val="128"/>
    <w:next w:val="128"/>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1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正文_3_0"/>
    <w:basedOn w:val="130"/>
    <w:qFormat/>
    <w:uiPriority w:val="0"/>
    <w:rPr>
      <w:rFonts w:ascii="Calibri" w:hAnsi="Calibri"/>
    </w:rPr>
  </w:style>
  <w:style w:type="paragraph" w:customStyle="1" w:styleId="13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标题 1_1"/>
    <w:basedOn w:val="132"/>
    <w:next w:val="129"/>
    <w:qFormat/>
    <w:uiPriority w:val="99"/>
    <w:pPr>
      <w:keepNext/>
      <w:keepLines/>
      <w:spacing w:before="340" w:after="330" w:line="578" w:lineRule="auto"/>
      <w:outlineLvl w:val="0"/>
    </w:pPr>
    <w:rPr>
      <w:rFonts w:eastAsia="黑体"/>
      <w:b/>
      <w:bCs/>
      <w:kern w:val="44"/>
      <w:sz w:val="32"/>
      <w:szCs w:val="44"/>
    </w:rPr>
  </w:style>
  <w:style w:type="paragraph" w:customStyle="1" w:styleId="132">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普通(网站)_0"/>
    <w:basedOn w:val="134"/>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纯文本_0"/>
    <w:basedOn w:val="134"/>
    <w:next w:val="136"/>
    <w:qFormat/>
    <w:uiPriority w:val="0"/>
    <w:rPr>
      <w:rFonts w:ascii="宋体" w:hAnsi="Courier New"/>
      <w:szCs w:val="20"/>
    </w:rPr>
  </w:style>
  <w:style w:type="paragraph" w:customStyle="1" w:styleId="136">
    <w:name w:val="标题 4_2"/>
    <w:basedOn w:val="134"/>
    <w:next w:val="134"/>
    <w:qFormat/>
    <w:uiPriority w:val="99"/>
    <w:pPr>
      <w:keepNext/>
      <w:keepLines/>
      <w:spacing w:before="280" w:after="290" w:line="376" w:lineRule="auto"/>
      <w:outlineLvl w:val="3"/>
    </w:pPr>
    <w:rPr>
      <w:rFonts w:ascii="Arial" w:hAnsi="Arial" w:eastAsia="黑体"/>
      <w:b/>
      <w:bCs/>
      <w:sz w:val="28"/>
      <w:szCs w:val="28"/>
    </w:rPr>
  </w:style>
  <w:style w:type="paragraph" w:customStyle="1" w:styleId="137">
    <w:name w:val="列出段落_0"/>
    <w:basedOn w:val="134"/>
    <w:qFormat/>
    <w:uiPriority w:val="34"/>
    <w:pPr>
      <w:ind w:firstLine="420" w:firstLineChars="200"/>
    </w:pPr>
  </w:style>
  <w:style w:type="paragraph" w:customStyle="1" w:styleId="138">
    <w:name w:val="Table Text"/>
    <w:basedOn w:val="1"/>
    <w:semiHidden/>
    <w:qFormat/>
    <w:uiPriority w:val="0"/>
    <w:rPr>
      <w:rFonts w:ascii="宋体" w:hAnsi="宋体" w:cs="宋体"/>
      <w:sz w:val="27"/>
      <w:szCs w:val="27"/>
      <w:lang w:eastAsia="en-US"/>
    </w:rPr>
  </w:style>
  <w:style w:type="table" w:customStyle="1" w:styleId="139">
    <w:name w:val="Table Normal"/>
    <w:semiHidden/>
    <w:unhideWhenUsed/>
    <w:qFormat/>
    <w:uiPriority w:val="0"/>
    <w:tblPr>
      <w:tblCellMar>
        <w:top w:w="0" w:type="dxa"/>
        <w:left w:w="0" w:type="dxa"/>
        <w:bottom w:w="0" w:type="dxa"/>
        <w:right w:w="0" w:type="dxa"/>
      </w:tblCellMar>
    </w:tblPr>
  </w:style>
  <w:style w:type="character" w:customStyle="1" w:styleId="14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33263</Words>
  <Characters>36253</Characters>
  <Lines>428</Lines>
  <Paragraphs>120</Paragraphs>
  <TotalTime>13</TotalTime>
  <ScaleCrop>false</ScaleCrop>
  <LinksUpToDate>false</LinksUpToDate>
  <CharactersWithSpaces>37097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2025-12-31T05:21:00Z</dcterms:created>
  <dc:creator>liwenjie</dc:creator>
  <cp:lastModifiedBy>DARK</cp:lastModifiedBy>
  <cp:lastPrinted>2024-07-12T05:14:00Z</cp:lastPrinted>
  <dcterms:modified xsi:type="dcterms:W3CDTF">2026-01-12T02:34:49Z</dcterms:modified>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F59B692A8FF749DFB08449C87369C4F1_13</vt:lpwstr>
  </property>
  <property fmtid="{D5CDD505-2E9C-101B-9397-08002B2CF9AE}" pid="4" name="KSOTemplateDocerSaveRecord">
    <vt:lpwstr>eyJoZGlkIjoiODYyYjcwNjVhMzViN2Y1ZmZkM2ZmYTMzOTY2NTg1ZjgiLCJ1c2VySWQiOiIyODI5NDM5MjAifQ==</vt:lpwstr>
  </property>
</Properties>
</file>