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F8ED">
      <w:pPr>
        <w:spacing w:before="120" w:beforeLines="50" w:line="360" w:lineRule="auto"/>
        <w:jc w:val="center"/>
        <w:rPr>
          <w:rFonts w:ascii="宋体" w:hAnsi="宋体" w:cs="宋体"/>
          <w:color w:val="auto"/>
          <w:sz w:val="52"/>
          <w:szCs w:val="52"/>
          <w:highlight w:val="none"/>
        </w:rPr>
      </w:pPr>
    </w:p>
    <w:p w14:paraId="6ED46DEF">
      <w:pPr>
        <w:spacing w:before="120" w:beforeLines="50" w:line="360" w:lineRule="auto"/>
        <w:jc w:val="center"/>
        <w:rPr>
          <w:rFonts w:ascii="宋体" w:hAnsi="宋体" w:cs="宋体"/>
          <w:color w:val="auto"/>
          <w:sz w:val="52"/>
          <w:szCs w:val="52"/>
          <w:highlight w:val="none"/>
        </w:rPr>
      </w:pPr>
    </w:p>
    <w:p w14:paraId="2ABF74A4">
      <w:pPr>
        <w:spacing w:before="120" w:beforeLines="50" w:line="360" w:lineRule="auto"/>
        <w:jc w:val="center"/>
        <w:rPr>
          <w:rFonts w:ascii="宋体" w:hAnsi="宋体" w:cs="宋体"/>
          <w:color w:val="auto"/>
          <w:sz w:val="52"/>
          <w:szCs w:val="52"/>
          <w:highlight w:val="none"/>
        </w:rPr>
      </w:pPr>
    </w:p>
    <w:p w14:paraId="16140FAD">
      <w:pPr>
        <w:snapToGrid w:val="0"/>
        <w:spacing w:before="120" w:beforeLines="50"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招 标 文 件</w:t>
      </w:r>
    </w:p>
    <w:p w14:paraId="39BAB508">
      <w:pPr>
        <w:pStyle w:val="69"/>
        <w:rPr>
          <w:rFonts w:ascii="宋体" w:hAnsi="宋体" w:cs="宋体"/>
          <w:color w:val="auto"/>
          <w:sz w:val="52"/>
          <w:szCs w:val="52"/>
          <w:highlight w:val="none"/>
        </w:rPr>
      </w:pPr>
    </w:p>
    <w:p w14:paraId="11BD72D5">
      <w:pPr>
        <w:pStyle w:val="69"/>
        <w:rPr>
          <w:rFonts w:ascii="宋体" w:hAnsi="宋体" w:cs="宋体"/>
          <w:color w:val="auto"/>
          <w:sz w:val="52"/>
          <w:szCs w:val="52"/>
          <w:highlight w:val="none"/>
        </w:rPr>
      </w:pPr>
    </w:p>
    <w:p w14:paraId="021924EA">
      <w:pPr>
        <w:pStyle w:val="69"/>
        <w:rPr>
          <w:rFonts w:ascii="宋体" w:hAnsi="宋体" w:cs="宋体"/>
          <w:color w:val="auto"/>
          <w:sz w:val="52"/>
          <w:szCs w:val="52"/>
          <w:highlight w:val="none"/>
        </w:rPr>
      </w:pPr>
    </w:p>
    <w:p w14:paraId="3ED1EEAF">
      <w:pPr>
        <w:pStyle w:val="69"/>
        <w:rPr>
          <w:rFonts w:ascii="宋体" w:hAnsi="宋体" w:cs="宋体"/>
          <w:color w:val="auto"/>
          <w:sz w:val="30"/>
          <w:szCs w:val="72"/>
          <w:highlight w:val="none"/>
        </w:rPr>
      </w:pPr>
    </w:p>
    <w:p w14:paraId="20FC2D29">
      <w:pPr>
        <w:pStyle w:val="69"/>
        <w:rPr>
          <w:rFonts w:ascii="宋体" w:hAnsi="宋体" w:cs="宋体"/>
          <w:color w:val="auto"/>
          <w:sz w:val="30"/>
          <w:szCs w:val="72"/>
          <w:highlight w:val="none"/>
        </w:rPr>
      </w:pPr>
    </w:p>
    <w:p w14:paraId="4526DBB9">
      <w:pPr>
        <w:pStyle w:val="69"/>
        <w:rPr>
          <w:rFonts w:ascii="宋体" w:hAnsi="宋体" w:cs="宋体"/>
          <w:color w:val="auto"/>
          <w:sz w:val="30"/>
          <w:szCs w:val="72"/>
          <w:highlight w:val="none"/>
        </w:rPr>
      </w:pPr>
    </w:p>
    <w:p w14:paraId="38293132">
      <w:pPr>
        <w:rPr>
          <w:rFonts w:ascii="宋体" w:hAnsi="宋体" w:cs="宋体"/>
          <w:color w:val="auto"/>
          <w:highlight w:val="none"/>
        </w:rPr>
      </w:pPr>
    </w:p>
    <w:p w14:paraId="42F5DF83">
      <w:pPr>
        <w:snapToGrid w:val="0"/>
        <w:spacing w:before="120" w:beforeLines="50" w:line="360" w:lineRule="auto"/>
        <w:rPr>
          <w:rFonts w:ascii="宋体" w:hAnsi="宋体" w:cs="宋体"/>
          <w:color w:val="auto"/>
          <w:sz w:val="30"/>
          <w:szCs w:val="72"/>
          <w:highlight w:val="none"/>
        </w:rPr>
      </w:pPr>
    </w:p>
    <w:p w14:paraId="4B0414AB">
      <w:pPr>
        <w:pStyle w:val="26"/>
        <w:snapToGrid w:val="0"/>
        <w:spacing w:before="50" w:after="120" w:line="360" w:lineRule="auto"/>
        <w:rPr>
          <w:rFonts w:hAnsi="宋体" w:cs="宋体"/>
          <w:b/>
          <w:bCs/>
          <w:color w:val="auto"/>
          <w:w w:val="95"/>
          <w:sz w:val="28"/>
          <w:szCs w:val="28"/>
          <w:highlight w:val="none"/>
        </w:rPr>
      </w:pPr>
    </w:p>
    <w:p w14:paraId="6B745F9D">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项目名称：2026-2027年度王城、育才校区安保外包服务采购</w:t>
      </w:r>
    </w:p>
    <w:p w14:paraId="7BDD976C">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项目编号：</w:t>
      </w:r>
      <w:r>
        <w:rPr>
          <w:rFonts w:hint="eastAsia" w:hAnsi="宋体" w:cs="宋体"/>
          <w:b/>
          <w:bCs/>
          <w:color w:val="auto"/>
          <w:w w:val="95"/>
          <w:sz w:val="28"/>
          <w:szCs w:val="28"/>
          <w:highlight w:val="none"/>
          <w:lang w:eastAsia="zh-CN"/>
        </w:rPr>
        <w:t>GXZC2025-G3-003724-GXDC</w:t>
      </w:r>
      <w:r>
        <w:rPr>
          <w:rFonts w:hint="eastAsia" w:hAnsi="宋体" w:cs="宋体"/>
          <w:b/>
          <w:bCs/>
          <w:color w:val="auto"/>
          <w:w w:val="95"/>
          <w:sz w:val="28"/>
          <w:szCs w:val="28"/>
          <w:highlight w:val="none"/>
        </w:rPr>
        <w:t xml:space="preserve">           </w:t>
      </w:r>
    </w:p>
    <w:p w14:paraId="12FC941B">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采购人：广西师范大学</w:t>
      </w:r>
    </w:p>
    <w:p w14:paraId="3DB41DC3">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采购代理机构：广西达成咨询有限公司</w:t>
      </w:r>
    </w:p>
    <w:p w14:paraId="613E6130">
      <w:pPr>
        <w:pStyle w:val="26"/>
        <w:snapToGrid w:val="0"/>
        <w:spacing w:before="50" w:after="120" w:line="360" w:lineRule="auto"/>
        <w:jc w:val="left"/>
        <w:rPr>
          <w:rFonts w:hAnsi="宋体" w:cs="宋体"/>
          <w:color w:val="auto"/>
          <w:highlight w:val="none"/>
        </w:rPr>
      </w:pPr>
      <w:r>
        <w:rPr>
          <w:rFonts w:hint="eastAsia" w:hAnsi="宋体" w:cs="宋体"/>
          <w:b/>
          <w:bCs/>
          <w:color w:val="auto"/>
          <w:w w:val="95"/>
          <w:sz w:val="28"/>
          <w:szCs w:val="28"/>
          <w:highlight w:val="none"/>
        </w:rPr>
        <w:t>日期：2025年1</w:t>
      </w:r>
      <w:r>
        <w:rPr>
          <w:rFonts w:hint="eastAsia" w:hAnsi="宋体" w:cs="宋体"/>
          <w:b/>
          <w:bCs/>
          <w:color w:val="auto"/>
          <w:w w:val="95"/>
          <w:sz w:val="28"/>
          <w:szCs w:val="28"/>
          <w:highlight w:val="none"/>
          <w:lang w:val="en-US" w:eastAsia="zh-CN"/>
        </w:rPr>
        <w:t>2</w:t>
      </w:r>
      <w:r>
        <w:rPr>
          <w:rFonts w:hint="eastAsia" w:hAnsi="宋体" w:cs="宋体"/>
          <w:b/>
          <w:bCs/>
          <w:color w:val="auto"/>
          <w:w w:val="95"/>
          <w:sz w:val="28"/>
          <w:szCs w:val="28"/>
          <w:highlight w:val="none"/>
        </w:rPr>
        <w:t>月</w:t>
      </w:r>
      <w:r>
        <w:rPr>
          <w:rFonts w:hint="eastAsia" w:hAnsi="宋体" w:cs="宋体"/>
          <w:color w:val="auto"/>
          <w:highlight w:val="none"/>
        </w:rPr>
        <w:tab/>
      </w:r>
    </w:p>
    <w:p w14:paraId="41015CF6">
      <w:pPr>
        <w:rPr>
          <w:color w:val="auto"/>
          <w:highlight w:val="none"/>
        </w:rPr>
        <w:sectPr>
          <w:footerReference r:id="rId6" w:type="first"/>
          <w:headerReference r:id="rId3" w:type="default"/>
          <w:footerReference r:id="rId4" w:type="default"/>
          <w:footerReference r:id="rId5" w:type="even"/>
          <w:pgSz w:w="11906" w:h="16838"/>
          <w:pgMar w:top="1417" w:right="1417" w:bottom="1417" w:left="1417" w:header="851" w:footer="572" w:gutter="0"/>
          <w:pgNumType w:start="0"/>
          <w:cols w:space="720" w:num="1"/>
          <w:titlePg/>
          <w:docGrid w:linePitch="312" w:charSpace="0"/>
        </w:sectPr>
      </w:pPr>
    </w:p>
    <w:p w14:paraId="0E1ED189">
      <w:pPr>
        <w:pStyle w:val="14"/>
        <w:rPr>
          <w:color w:val="auto"/>
          <w:highlight w:val="none"/>
        </w:rPr>
      </w:pPr>
    </w:p>
    <w:p w14:paraId="63CD12AC">
      <w:pPr>
        <w:pStyle w:val="26"/>
        <w:spacing w:before="120" w:after="120" w:line="360" w:lineRule="auto"/>
        <w:jc w:val="center"/>
        <w:rPr>
          <w:rFonts w:hAnsi="宋体" w:cs="宋体"/>
          <w:b/>
          <w:bCs/>
          <w:color w:val="auto"/>
          <w:sz w:val="48"/>
          <w:szCs w:val="48"/>
          <w:highlight w:val="none"/>
        </w:rPr>
      </w:pPr>
      <w:r>
        <w:rPr>
          <w:rFonts w:hint="eastAsia" w:hAnsi="宋体" w:cs="宋体"/>
          <w:b/>
          <w:bCs/>
          <w:color w:val="auto"/>
          <w:sz w:val="48"/>
          <w:szCs w:val="48"/>
          <w:highlight w:val="none"/>
        </w:rPr>
        <w:t>目录</w:t>
      </w:r>
    </w:p>
    <w:p w14:paraId="7B069414">
      <w:pPr>
        <w:pStyle w:val="44"/>
        <w:tabs>
          <w:tab w:val="right" w:leader="dot" w:pos="9072"/>
        </w:tabs>
        <w:spacing w:line="480" w:lineRule="auto"/>
        <w:ind w:left="0" w:leftChars="0"/>
        <w:rPr>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"1-2"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"_Toc7190" </w:instrText>
      </w:r>
      <w:r>
        <w:rPr>
          <w:color w:val="auto"/>
          <w:highlight w:val="none"/>
        </w:rPr>
        <w:fldChar w:fldCharType="separate"/>
      </w:r>
      <w:r>
        <w:rPr>
          <w:rFonts w:hint="eastAsia" w:ascii="宋体" w:hAnsi="宋体" w:cs="宋体"/>
          <w:color w:val="auto"/>
          <w:sz w:val="24"/>
          <w:highlight w:val="none"/>
        </w:rPr>
        <w:t>第一章、招标公告</w:t>
      </w:r>
      <w:r>
        <w:rPr>
          <w:color w:val="auto"/>
          <w:sz w:val="24"/>
          <w:highlight w:val="none"/>
        </w:rPr>
        <w:tab/>
      </w:r>
      <w:r>
        <w:rPr>
          <w:color w:val="auto"/>
          <w:sz w:val="24"/>
          <w:highlight w:val="none"/>
        </w:rPr>
        <w:fldChar w:fldCharType="begin"/>
      </w:r>
      <w:r>
        <w:rPr>
          <w:color w:val="auto"/>
          <w:sz w:val="24"/>
          <w:highlight w:val="none"/>
        </w:rPr>
        <w:instrText xml:space="preserve"> PAGEREF _Toc7190 \h </w:instrText>
      </w:r>
      <w:r>
        <w:rPr>
          <w:color w:val="auto"/>
          <w:sz w:val="24"/>
          <w:highlight w:val="none"/>
        </w:rPr>
        <w:fldChar w:fldCharType="separate"/>
      </w:r>
      <w:r>
        <w:rPr>
          <w:color w:val="auto"/>
          <w:sz w:val="24"/>
          <w:highlight w:val="none"/>
        </w:rPr>
        <w:t>1</w:t>
      </w:r>
      <w:r>
        <w:rPr>
          <w:color w:val="auto"/>
          <w:sz w:val="24"/>
          <w:highlight w:val="none"/>
        </w:rPr>
        <w:fldChar w:fldCharType="end"/>
      </w:r>
      <w:r>
        <w:rPr>
          <w:color w:val="auto"/>
          <w:sz w:val="24"/>
          <w:highlight w:val="none"/>
        </w:rPr>
        <w:fldChar w:fldCharType="end"/>
      </w:r>
    </w:p>
    <w:p w14:paraId="4447A537">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"_Toc19890" </w:instrText>
      </w:r>
      <w:r>
        <w:rPr>
          <w:color w:val="auto"/>
          <w:highlight w:val="none"/>
        </w:rPr>
        <w:fldChar w:fldCharType="separate"/>
      </w:r>
      <w:r>
        <w:rPr>
          <w:rFonts w:hint="eastAsia" w:ascii="宋体" w:hAnsi="宋体" w:cs="宋体"/>
          <w:color w:val="auto"/>
          <w:sz w:val="24"/>
          <w:highlight w:val="none"/>
        </w:rPr>
        <w:t>第二章、采购需求</w:t>
      </w:r>
      <w:r>
        <w:rPr>
          <w:color w:val="auto"/>
          <w:sz w:val="24"/>
          <w:highlight w:val="none"/>
        </w:rPr>
        <w:tab/>
      </w:r>
      <w:r>
        <w:rPr>
          <w:color w:val="auto"/>
          <w:sz w:val="24"/>
          <w:highlight w:val="none"/>
        </w:rPr>
        <w:fldChar w:fldCharType="begin"/>
      </w:r>
      <w:r>
        <w:rPr>
          <w:color w:val="auto"/>
          <w:sz w:val="24"/>
          <w:highlight w:val="none"/>
        </w:rPr>
        <w:instrText xml:space="preserve"> PAGEREF _Toc19890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14:paraId="2EF16119">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"_Toc7458" </w:instrText>
      </w:r>
      <w:r>
        <w:rPr>
          <w:color w:val="auto"/>
          <w:highlight w:val="none"/>
        </w:rPr>
        <w:fldChar w:fldCharType="separate"/>
      </w:r>
      <w:r>
        <w:rPr>
          <w:rFonts w:hint="eastAsia" w:ascii="宋体" w:hAnsi="宋体" w:cs="宋体"/>
          <w:color w:val="auto"/>
          <w:sz w:val="24"/>
          <w:highlight w:val="none"/>
        </w:rPr>
        <w:t>第三章、投标人须知</w:t>
      </w:r>
      <w:r>
        <w:rPr>
          <w:color w:val="auto"/>
          <w:sz w:val="24"/>
          <w:highlight w:val="none"/>
        </w:rPr>
        <w:tab/>
      </w:r>
      <w:r>
        <w:rPr>
          <w:color w:val="auto"/>
          <w:sz w:val="24"/>
          <w:highlight w:val="none"/>
        </w:rPr>
        <w:fldChar w:fldCharType="begin"/>
      </w:r>
      <w:r>
        <w:rPr>
          <w:color w:val="auto"/>
          <w:sz w:val="24"/>
          <w:highlight w:val="none"/>
        </w:rPr>
        <w:instrText xml:space="preserve"> PAGEREF _Toc7458 \h </w:instrText>
      </w:r>
      <w:r>
        <w:rPr>
          <w:color w:val="auto"/>
          <w:sz w:val="24"/>
          <w:highlight w:val="none"/>
        </w:rPr>
        <w:fldChar w:fldCharType="separate"/>
      </w:r>
      <w:r>
        <w:rPr>
          <w:color w:val="auto"/>
          <w:sz w:val="24"/>
          <w:highlight w:val="none"/>
        </w:rPr>
        <w:t>20</w:t>
      </w:r>
      <w:r>
        <w:rPr>
          <w:color w:val="auto"/>
          <w:sz w:val="24"/>
          <w:highlight w:val="none"/>
        </w:rPr>
        <w:fldChar w:fldCharType="end"/>
      </w:r>
      <w:r>
        <w:rPr>
          <w:color w:val="auto"/>
          <w:sz w:val="24"/>
          <w:highlight w:val="none"/>
        </w:rPr>
        <w:fldChar w:fldCharType="end"/>
      </w:r>
    </w:p>
    <w:p w14:paraId="1BC2F135">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"_Toc30709" </w:instrText>
      </w:r>
      <w:r>
        <w:rPr>
          <w:color w:val="auto"/>
          <w:highlight w:val="none"/>
        </w:rPr>
        <w:fldChar w:fldCharType="separate"/>
      </w:r>
      <w:r>
        <w:rPr>
          <w:rFonts w:hint="eastAsia" w:ascii="宋体" w:hAnsi="宋体" w:cs="宋体"/>
          <w:color w:val="auto"/>
          <w:sz w:val="24"/>
          <w:highlight w:val="none"/>
        </w:rPr>
        <w:t>第四章、评标方法及评标标准</w:t>
      </w:r>
      <w:r>
        <w:rPr>
          <w:color w:val="auto"/>
          <w:sz w:val="24"/>
          <w:highlight w:val="none"/>
        </w:rPr>
        <w:tab/>
      </w:r>
      <w:r>
        <w:rPr>
          <w:color w:val="auto"/>
          <w:sz w:val="24"/>
          <w:highlight w:val="none"/>
        </w:rPr>
        <w:fldChar w:fldCharType="begin"/>
      </w:r>
      <w:r>
        <w:rPr>
          <w:color w:val="auto"/>
          <w:sz w:val="24"/>
          <w:highlight w:val="none"/>
        </w:rPr>
        <w:instrText xml:space="preserve"> PAGEREF _Toc30709 \h </w:instrText>
      </w:r>
      <w:r>
        <w:rPr>
          <w:color w:val="auto"/>
          <w:sz w:val="24"/>
          <w:highlight w:val="none"/>
        </w:rPr>
        <w:fldChar w:fldCharType="separate"/>
      </w:r>
      <w:r>
        <w:rPr>
          <w:color w:val="auto"/>
          <w:sz w:val="24"/>
          <w:highlight w:val="none"/>
        </w:rPr>
        <w:t>39</w:t>
      </w:r>
      <w:r>
        <w:rPr>
          <w:color w:val="auto"/>
          <w:sz w:val="24"/>
          <w:highlight w:val="none"/>
        </w:rPr>
        <w:fldChar w:fldCharType="end"/>
      </w:r>
      <w:r>
        <w:rPr>
          <w:color w:val="auto"/>
          <w:sz w:val="24"/>
          <w:highlight w:val="none"/>
        </w:rPr>
        <w:fldChar w:fldCharType="end"/>
      </w:r>
    </w:p>
    <w:p w14:paraId="26770C7E">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"_Toc27205" </w:instrText>
      </w:r>
      <w:r>
        <w:rPr>
          <w:color w:val="auto"/>
          <w:highlight w:val="none"/>
        </w:rPr>
        <w:fldChar w:fldCharType="separate"/>
      </w:r>
      <w:r>
        <w:rPr>
          <w:rFonts w:hint="eastAsia" w:ascii="宋体" w:hAnsi="宋体" w:cs="宋体"/>
          <w:color w:val="auto"/>
          <w:sz w:val="24"/>
          <w:highlight w:val="none"/>
        </w:rPr>
        <w:t>第五章、拟签订的合同文本</w:t>
      </w:r>
      <w:r>
        <w:rPr>
          <w:color w:val="auto"/>
          <w:sz w:val="24"/>
          <w:highlight w:val="none"/>
        </w:rPr>
        <w:tab/>
      </w:r>
      <w:r>
        <w:rPr>
          <w:color w:val="auto"/>
          <w:sz w:val="24"/>
          <w:highlight w:val="none"/>
        </w:rPr>
        <w:fldChar w:fldCharType="begin"/>
      </w:r>
      <w:r>
        <w:rPr>
          <w:color w:val="auto"/>
          <w:sz w:val="24"/>
          <w:highlight w:val="none"/>
        </w:rPr>
        <w:instrText xml:space="preserve"> PAGEREF _Toc27205 \h </w:instrText>
      </w:r>
      <w:r>
        <w:rPr>
          <w:color w:val="auto"/>
          <w:sz w:val="24"/>
          <w:highlight w:val="none"/>
        </w:rPr>
        <w:fldChar w:fldCharType="separate"/>
      </w:r>
      <w:r>
        <w:rPr>
          <w:color w:val="auto"/>
          <w:sz w:val="24"/>
          <w:highlight w:val="none"/>
        </w:rPr>
        <w:t>58</w:t>
      </w:r>
      <w:r>
        <w:rPr>
          <w:color w:val="auto"/>
          <w:sz w:val="24"/>
          <w:highlight w:val="none"/>
        </w:rPr>
        <w:fldChar w:fldCharType="end"/>
      </w:r>
      <w:r>
        <w:rPr>
          <w:color w:val="auto"/>
          <w:sz w:val="24"/>
          <w:highlight w:val="none"/>
        </w:rPr>
        <w:fldChar w:fldCharType="end"/>
      </w:r>
    </w:p>
    <w:p w14:paraId="2068647F">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"_Toc12390" </w:instrText>
      </w:r>
      <w:r>
        <w:rPr>
          <w:color w:val="auto"/>
          <w:highlight w:val="none"/>
        </w:rPr>
        <w:fldChar w:fldCharType="separate"/>
      </w:r>
      <w:r>
        <w:rPr>
          <w:rFonts w:hint="eastAsia" w:ascii="宋体" w:hAnsi="宋体" w:cs="宋体"/>
          <w:color w:val="auto"/>
          <w:sz w:val="24"/>
          <w:highlight w:val="none"/>
        </w:rPr>
        <w:t>第六章、投标文件格式</w:t>
      </w:r>
      <w:r>
        <w:rPr>
          <w:color w:val="auto"/>
          <w:sz w:val="24"/>
          <w:highlight w:val="none"/>
        </w:rPr>
        <w:tab/>
      </w:r>
      <w:r>
        <w:rPr>
          <w:color w:val="auto"/>
          <w:sz w:val="24"/>
          <w:highlight w:val="none"/>
        </w:rPr>
        <w:fldChar w:fldCharType="begin"/>
      </w:r>
      <w:r>
        <w:rPr>
          <w:color w:val="auto"/>
          <w:sz w:val="24"/>
          <w:highlight w:val="none"/>
        </w:rPr>
        <w:instrText xml:space="preserve"> PAGEREF _Toc12390 \h </w:instrText>
      </w:r>
      <w:r>
        <w:rPr>
          <w:color w:val="auto"/>
          <w:sz w:val="24"/>
          <w:highlight w:val="none"/>
        </w:rPr>
        <w:fldChar w:fldCharType="separate"/>
      </w:r>
      <w:r>
        <w:rPr>
          <w:color w:val="auto"/>
          <w:sz w:val="24"/>
          <w:highlight w:val="none"/>
        </w:rPr>
        <w:t>70</w:t>
      </w:r>
      <w:r>
        <w:rPr>
          <w:color w:val="auto"/>
          <w:sz w:val="24"/>
          <w:highlight w:val="none"/>
        </w:rPr>
        <w:fldChar w:fldCharType="end"/>
      </w:r>
      <w:r>
        <w:rPr>
          <w:color w:val="auto"/>
          <w:sz w:val="24"/>
          <w:highlight w:val="none"/>
        </w:rPr>
        <w:fldChar w:fldCharType="end"/>
      </w:r>
    </w:p>
    <w:p w14:paraId="58F708D1">
      <w:pPr>
        <w:spacing w:before="120" w:beforeLines="50" w:line="480" w:lineRule="auto"/>
        <w:rPr>
          <w:rFonts w:ascii="宋体" w:hAnsi="宋体" w:cs="宋体"/>
          <w:color w:val="auto"/>
          <w:sz w:val="24"/>
          <w:highlight w:val="none"/>
        </w:rPr>
      </w:pPr>
      <w:r>
        <w:rPr>
          <w:rFonts w:hint="eastAsia" w:ascii="宋体" w:hAnsi="宋体" w:cs="宋体"/>
          <w:b/>
          <w:color w:val="auto"/>
          <w:sz w:val="24"/>
          <w:highlight w:val="none"/>
        </w:rPr>
        <w:fldChar w:fldCharType="end"/>
      </w:r>
    </w:p>
    <w:p w14:paraId="1DD754CA">
      <w:pPr>
        <w:spacing w:before="120" w:beforeLines="50" w:line="480" w:lineRule="exact"/>
        <w:rPr>
          <w:rFonts w:ascii="宋体" w:hAnsi="宋体" w:cs="宋体"/>
          <w:color w:val="auto"/>
          <w:sz w:val="30"/>
          <w:highlight w:val="none"/>
        </w:rPr>
      </w:pPr>
    </w:p>
    <w:p w14:paraId="4FA8B73E">
      <w:pPr>
        <w:rPr>
          <w:rFonts w:ascii="宋体" w:hAnsi="宋体" w:cs="宋体"/>
          <w:color w:val="auto"/>
          <w:highlight w:val="none"/>
        </w:rPr>
      </w:pPr>
    </w:p>
    <w:p w14:paraId="0529AC33">
      <w:pPr>
        <w:spacing w:before="120" w:beforeLines="50" w:line="480" w:lineRule="exact"/>
        <w:rPr>
          <w:rFonts w:ascii="宋体" w:hAnsi="宋体" w:cs="宋体"/>
          <w:color w:val="auto"/>
          <w:sz w:val="30"/>
          <w:highlight w:val="none"/>
        </w:rPr>
      </w:pPr>
    </w:p>
    <w:p w14:paraId="03A870F7">
      <w:pPr>
        <w:spacing w:before="120" w:beforeLines="50" w:line="480" w:lineRule="exact"/>
        <w:rPr>
          <w:rFonts w:ascii="宋体" w:hAnsi="宋体" w:cs="宋体"/>
          <w:color w:val="auto"/>
          <w:sz w:val="30"/>
          <w:highlight w:val="none"/>
        </w:rPr>
      </w:pPr>
    </w:p>
    <w:p w14:paraId="01231D66">
      <w:pPr>
        <w:pStyle w:val="17"/>
        <w:rPr>
          <w:rFonts w:ascii="宋体" w:hAnsi="宋体" w:cs="宋体"/>
          <w:b/>
          <w:bCs/>
          <w:color w:val="auto"/>
          <w:highlight w:val="none"/>
        </w:rPr>
      </w:pPr>
      <w:bookmarkStart w:id="0" w:name="_Toc254970489"/>
      <w:bookmarkStart w:id="1" w:name="_Toc254970630"/>
    </w:p>
    <w:p w14:paraId="6800C6F1">
      <w:pPr>
        <w:pStyle w:val="4"/>
        <w:tabs>
          <w:tab w:val="left" w:pos="0"/>
          <w:tab w:val="left" w:pos="3165"/>
          <w:tab w:val="center" w:pos="4153"/>
        </w:tabs>
        <w:spacing w:before="0" w:after="0"/>
        <w:jc w:val="center"/>
        <w:rPr>
          <w:rFonts w:ascii="宋体" w:hAnsi="宋体" w:eastAsia="宋体" w:cs="宋体"/>
          <w:b w:val="0"/>
          <w:bCs w:val="0"/>
          <w:color w:val="auto"/>
          <w:highlight w:val="none"/>
        </w:rPr>
        <w:sectPr>
          <w:footerReference r:id="rId8" w:type="first"/>
          <w:footerReference r:id="rId7" w:type="default"/>
          <w:pgSz w:w="11906" w:h="16838"/>
          <w:pgMar w:top="1417" w:right="1417" w:bottom="1417" w:left="1417" w:header="851" w:footer="572" w:gutter="0"/>
          <w:pgNumType w:start="1"/>
          <w:cols w:space="720" w:num="1"/>
          <w:titlePg/>
          <w:docGrid w:linePitch="312" w:charSpace="0"/>
        </w:sectPr>
      </w:pPr>
      <w:bookmarkStart w:id="2" w:name="_Toc19686829"/>
      <w:bookmarkStart w:id="3" w:name="_Toc32301"/>
    </w:p>
    <w:p w14:paraId="7B6F1EF4">
      <w:pPr>
        <w:pStyle w:val="3"/>
        <w:spacing w:before="0" w:after="0"/>
        <w:rPr>
          <w:color w:val="auto"/>
          <w:szCs w:val="32"/>
          <w:highlight w:val="none"/>
        </w:rPr>
      </w:pPr>
      <w:bookmarkStart w:id="4" w:name="_Toc7190"/>
      <w:bookmarkStart w:id="5" w:name="_Toc21656"/>
      <w:r>
        <w:rPr>
          <w:rFonts w:hint="eastAsia"/>
          <w:color w:val="auto"/>
          <w:szCs w:val="32"/>
          <w:highlight w:val="none"/>
        </w:rPr>
        <w:t>第一章</w:t>
      </w:r>
      <w:bookmarkEnd w:id="0"/>
      <w:bookmarkEnd w:id="1"/>
      <w:bookmarkEnd w:id="2"/>
      <w:bookmarkStart w:id="6" w:name="_Toc35393789"/>
      <w:bookmarkStart w:id="7" w:name="_Toc28359001"/>
      <w:r>
        <w:rPr>
          <w:rFonts w:hint="eastAsia"/>
          <w:color w:val="auto"/>
          <w:szCs w:val="32"/>
          <w:highlight w:val="none"/>
        </w:rPr>
        <w:t>、招标公告</w:t>
      </w:r>
      <w:bookmarkEnd w:id="3"/>
      <w:bookmarkEnd w:id="4"/>
      <w:bookmarkEnd w:id="5"/>
      <w:bookmarkEnd w:id="6"/>
      <w:bookmarkEnd w:id="7"/>
    </w:p>
    <w:p w14:paraId="0F89DA0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01BA4B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2026-2027年度王城、育才校区安保外包服务采购</w:t>
      </w:r>
      <w:r>
        <w:rPr>
          <w:rFonts w:hint="eastAsia" w:ascii="宋体" w:hAnsi="宋体" w:cs="宋体"/>
          <w:color w:val="auto"/>
          <w:szCs w:val="21"/>
          <w:highlight w:val="none"/>
        </w:rPr>
        <w:t>招标项目的潜在投标人应在广西政府采购云平台（网址：https://www.gcy.zfcg.gxzf.gov.cn/）获取招标文件，并于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23</w:t>
      </w:r>
      <w:r>
        <w:rPr>
          <w:rFonts w:hint="eastAsia" w:ascii="宋体" w:hAnsi="宋体" w:cs="宋体"/>
          <w:bCs/>
          <w:color w:val="auto"/>
          <w:szCs w:val="21"/>
          <w:highlight w:val="none"/>
          <w:u w:val="single"/>
        </w:rPr>
        <w:t>日 09:30（</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0D14ABEE">
      <w:pPr>
        <w:spacing w:line="360" w:lineRule="auto"/>
        <w:rPr>
          <w:rFonts w:ascii="宋体" w:hAnsi="宋体" w:cs="宋体"/>
          <w:b/>
          <w:bCs/>
          <w:color w:val="auto"/>
          <w:szCs w:val="21"/>
          <w:highlight w:val="none"/>
        </w:rPr>
      </w:pPr>
      <w:bookmarkStart w:id="8" w:name="_Toc35393621"/>
      <w:bookmarkStart w:id="9" w:name="_Toc35393790"/>
      <w:bookmarkStart w:id="10" w:name="_Toc28359079"/>
      <w:bookmarkStart w:id="11" w:name="_Toc28359002"/>
      <w:bookmarkStart w:id="12" w:name="_Hlk24379207"/>
      <w:r>
        <w:rPr>
          <w:rFonts w:hint="eastAsia" w:ascii="宋体" w:hAnsi="宋体" w:cs="宋体"/>
          <w:b/>
          <w:bCs/>
          <w:color w:val="auto"/>
          <w:szCs w:val="21"/>
          <w:highlight w:val="none"/>
        </w:rPr>
        <w:t>一、项目基本情况</w:t>
      </w:r>
      <w:bookmarkEnd w:id="8"/>
      <w:bookmarkEnd w:id="9"/>
      <w:bookmarkEnd w:id="10"/>
      <w:bookmarkEnd w:id="11"/>
    </w:p>
    <w:p w14:paraId="25F7934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GXZC2025-G3-003724-GXDC</w:t>
      </w:r>
    </w:p>
    <w:p w14:paraId="4790D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bookmarkEnd w:id="12"/>
      <w:r>
        <w:rPr>
          <w:rFonts w:hint="eastAsia" w:ascii="宋体" w:hAnsi="宋体" w:cs="宋体"/>
          <w:color w:val="auto"/>
          <w:szCs w:val="21"/>
          <w:highlight w:val="none"/>
        </w:rPr>
        <w:t>2026-2027年度王城、育才校区安保外包服务采购</w:t>
      </w:r>
    </w:p>
    <w:p w14:paraId="7BC767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预算总金额（元）：10728000.00</w:t>
      </w:r>
    </w:p>
    <w:p w14:paraId="507F34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采购需求： </w:t>
      </w:r>
    </w:p>
    <w:p w14:paraId="1D457E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标项名称：2026-2027年度王城、育才校区安保外包服务采购</w:t>
      </w:r>
    </w:p>
    <w:p w14:paraId="66A55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数量：1</w:t>
      </w:r>
    </w:p>
    <w:p w14:paraId="69BE33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预算金额（元）：10728000.00</w:t>
      </w:r>
    </w:p>
    <w:p w14:paraId="4571E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简要规格描述或项目基本概况介绍、用途：2026-2027年度王城、育才校区安保外包服务采购1项，具体采购内容详见招标文件。</w:t>
      </w:r>
    </w:p>
    <w:p w14:paraId="4CEDB5DE">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highlight w:val="none"/>
        </w:rPr>
        <w:t>10728000.00</w:t>
      </w:r>
    </w:p>
    <w:p w14:paraId="265832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合同履行期限：2026年1月1日至2027年12月31日</w:t>
      </w:r>
    </w:p>
    <w:p w14:paraId="05F31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5F5D37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bookmarkStart w:id="13" w:name="_Toc35393622"/>
      <w:bookmarkStart w:id="14" w:name="_Toc28359080"/>
      <w:bookmarkStart w:id="15" w:name="_Toc35393791"/>
      <w:bookmarkStart w:id="16" w:name="_Toc28359003"/>
    </w:p>
    <w:p w14:paraId="28013E2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二、投标人的资格要求：</w:t>
      </w:r>
      <w:bookmarkEnd w:id="13"/>
      <w:bookmarkEnd w:id="14"/>
      <w:bookmarkEnd w:id="15"/>
      <w:bookmarkEnd w:id="16"/>
    </w:p>
    <w:p w14:paraId="2E6C4EED">
      <w:pPr>
        <w:spacing w:line="360" w:lineRule="auto"/>
        <w:ind w:firstLine="420" w:firstLineChars="200"/>
        <w:rPr>
          <w:rFonts w:ascii="宋体" w:hAnsi="宋体" w:cs="宋体"/>
          <w:color w:val="auto"/>
          <w:szCs w:val="21"/>
          <w:highlight w:val="none"/>
        </w:rPr>
      </w:pPr>
      <w:bookmarkStart w:id="17" w:name="_Hlk51746371"/>
      <w:r>
        <w:rPr>
          <w:rFonts w:hint="eastAsia" w:ascii="宋体" w:hAnsi="宋体" w:cs="宋体"/>
          <w:color w:val="auto"/>
          <w:szCs w:val="21"/>
          <w:highlight w:val="none"/>
        </w:rPr>
        <w:t>1.满足《中华人民共和国政府采购法》第二十二条规定。</w:t>
      </w:r>
    </w:p>
    <w:p w14:paraId="64D8CC53">
      <w:pPr>
        <w:spacing w:line="360" w:lineRule="auto"/>
        <w:ind w:firstLine="420" w:firstLineChars="200"/>
        <w:rPr>
          <w:rFonts w:ascii="宋体" w:hAnsi="宋体" w:cs="宋体"/>
          <w:color w:val="auto"/>
          <w:szCs w:val="21"/>
          <w:highlight w:val="none"/>
        </w:rPr>
      </w:pPr>
      <w:bookmarkStart w:id="18" w:name="_Toc28359081"/>
      <w:bookmarkStart w:id="19" w:name="_Toc28359004"/>
      <w:r>
        <w:rPr>
          <w:rFonts w:hint="eastAsia" w:ascii="宋体" w:hAnsi="宋体" w:cs="宋体"/>
          <w:color w:val="auto"/>
          <w:szCs w:val="21"/>
          <w:highlight w:val="none"/>
        </w:rPr>
        <w:t>2.落实政府采购政策需满足的资格要求：无。</w:t>
      </w:r>
    </w:p>
    <w:p w14:paraId="2DBA2E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3.本项目的特定资格要求：投标人具有公安部门颁发的《保安服务许可证》。</w:t>
      </w:r>
    </w:p>
    <w:bookmarkEnd w:id="17"/>
    <w:p w14:paraId="34646A91">
      <w:pPr>
        <w:spacing w:line="360" w:lineRule="auto"/>
        <w:rPr>
          <w:rFonts w:ascii="宋体" w:hAnsi="宋体" w:cs="宋体"/>
          <w:b/>
          <w:bCs/>
          <w:color w:val="auto"/>
          <w:szCs w:val="21"/>
          <w:highlight w:val="none"/>
        </w:rPr>
      </w:pPr>
      <w:bookmarkStart w:id="20" w:name="_Toc35393792"/>
      <w:bookmarkStart w:id="21" w:name="_Toc35393623"/>
      <w:r>
        <w:rPr>
          <w:rFonts w:hint="eastAsia" w:ascii="宋体" w:hAnsi="宋体" w:cs="宋体"/>
          <w:b/>
          <w:bCs/>
          <w:color w:val="auto"/>
          <w:szCs w:val="21"/>
          <w:highlight w:val="none"/>
        </w:rPr>
        <w:t>三、获取招标文件</w:t>
      </w:r>
      <w:bookmarkEnd w:id="18"/>
      <w:bookmarkEnd w:id="19"/>
      <w:bookmarkEnd w:id="20"/>
      <w:bookmarkEnd w:id="21"/>
    </w:p>
    <w:p w14:paraId="5BCD698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02</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09</w:t>
      </w:r>
      <w:r>
        <w:rPr>
          <w:rFonts w:hint="eastAsia" w:ascii="宋体" w:hAnsi="宋体" w:cs="宋体"/>
          <w:bCs/>
          <w:color w:val="auto"/>
          <w:kern w:val="0"/>
          <w:szCs w:val="21"/>
          <w:highlight w:val="none"/>
        </w:rPr>
        <w:t>日，每天上午00:00至11:59，下午12:00至23:59（北京时间，法定节假日除外）。</w:t>
      </w:r>
    </w:p>
    <w:p w14:paraId="18AF9348">
      <w:pPr>
        <w:spacing w:line="360" w:lineRule="auto"/>
        <w:ind w:firstLine="540"/>
        <w:rPr>
          <w:rFonts w:ascii="宋体" w:hAnsi="宋体" w:cs="宋体"/>
          <w:color w:val="auto"/>
          <w:highlight w:val="none"/>
          <w:u w:val="singl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r>
        <w:rPr>
          <w:rFonts w:hint="eastAsia" w:ascii="宋体" w:hAnsi="宋体" w:cs="宋体"/>
          <w:bCs/>
          <w:color w:val="auto"/>
          <w:kern w:val="0"/>
          <w:szCs w:val="21"/>
          <w:highlight w:val="none"/>
        </w:rPr>
        <w:t>。</w:t>
      </w:r>
    </w:p>
    <w:p w14:paraId="7A63E468">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D0F5AC0">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highlight w:val="none"/>
        </w:rPr>
        <w:t>0。</w:t>
      </w:r>
    </w:p>
    <w:p w14:paraId="56D7576A">
      <w:pPr>
        <w:spacing w:line="360" w:lineRule="auto"/>
        <w:rPr>
          <w:rFonts w:ascii="宋体" w:hAnsi="宋体" w:cs="宋体"/>
          <w:b/>
          <w:bCs/>
          <w:color w:val="auto"/>
          <w:szCs w:val="21"/>
          <w:highlight w:val="none"/>
        </w:rPr>
      </w:pPr>
      <w:bookmarkStart w:id="22" w:name="_Toc28359005"/>
      <w:bookmarkStart w:id="23" w:name="_Toc28359082"/>
      <w:bookmarkStart w:id="24" w:name="_Toc35393624"/>
      <w:bookmarkStart w:id="25" w:name="_Toc35393793"/>
      <w:r>
        <w:rPr>
          <w:rFonts w:hint="eastAsia" w:ascii="宋体" w:hAnsi="宋体" w:cs="宋体"/>
          <w:b/>
          <w:bCs/>
          <w:color w:val="auto"/>
          <w:szCs w:val="21"/>
          <w:highlight w:val="none"/>
        </w:rPr>
        <w:t>四、提交投标文件</w:t>
      </w:r>
      <w:bookmarkEnd w:id="22"/>
      <w:bookmarkEnd w:id="23"/>
      <w:r>
        <w:rPr>
          <w:rFonts w:hint="eastAsia" w:ascii="宋体" w:hAnsi="宋体" w:cs="宋体"/>
          <w:b/>
          <w:bCs/>
          <w:color w:val="auto"/>
          <w:szCs w:val="21"/>
          <w:highlight w:val="none"/>
        </w:rPr>
        <w:t>截止时间、开标时间和地点</w:t>
      </w:r>
      <w:bookmarkEnd w:id="24"/>
      <w:bookmarkEnd w:id="25"/>
    </w:p>
    <w:p w14:paraId="14CFD3CF">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提交投标文件截止时间：2025年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 09:30（北京时间）</w:t>
      </w:r>
    </w:p>
    <w:p w14:paraId="7174A6B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投标地点（网址）：本项目为全流程电子化政府采购项目，通过广西政府采购云平台（https://www.gcy.zfcg.gxzf.gov.cn/）实行在线电子投标</w:t>
      </w:r>
      <w:r>
        <w:rPr>
          <w:rFonts w:hint="eastAsia" w:ascii="宋体" w:hAnsi="宋体" w:cs="宋体"/>
          <w:color w:val="auto"/>
          <w:highlight w:val="none"/>
        </w:rPr>
        <w:t>。</w:t>
      </w:r>
    </w:p>
    <w:p w14:paraId="488FC05C">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开标时间：2025年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日09:30（北京时间）</w:t>
      </w:r>
    </w:p>
    <w:p w14:paraId="06D0694D">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开标地点：本项目将在广西政府采购云平台电子开标大厅解密、开标</w:t>
      </w:r>
      <w:r>
        <w:rPr>
          <w:rFonts w:hint="eastAsia"/>
          <w:color w:val="auto"/>
          <w:highlight w:val="none"/>
        </w:rPr>
        <w:t>。</w:t>
      </w:r>
    </w:p>
    <w:p w14:paraId="26227C58">
      <w:pPr>
        <w:spacing w:line="360" w:lineRule="auto"/>
        <w:rPr>
          <w:rFonts w:ascii="宋体" w:hAnsi="宋体" w:cs="宋体"/>
          <w:b/>
          <w:bCs/>
          <w:color w:val="auto"/>
          <w:szCs w:val="21"/>
          <w:highlight w:val="none"/>
        </w:rPr>
      </w:pPr>
      <w:bookmarkStart w:id="26" w:name="_Toc35393794"/>
      <w:bookmarkStart w:id="27" w:name="_Toc35393625"/>
      <w:bookmarkStart w:id="28" w:name="_Toc28359007"/>
      <w:bookmarkStart w:id="29" w:name="_Toc28359084"/>
      <w:r>
        <w:rPr>
          <w:rFonts w:hint="eastAsia" w:ascii="宋体" w:hAnsi="宋体" w:cs="宋体"/>
          <w:b/>
          <w:bCs/>
          <w:color w:val="auto"/>
          <w:szCs w:val="21"/>
          <w:highlight w:val="none"/>
        </w:rPr>
        <w:t>五、公告期限</w:t>
      </w:r>
      <w:bookmarkEnd w:id="26"/>
      <w:bookmarkEnd w:id="27"/>
      <w:bookmarkEnd w:id="28"/>
      <w:bookmarkEnd w:id="29"/>
    </w:p>
    <w:p w14:paraId="6E642C6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903F30">
      <w:pPr>
        <w:spacing w:line="360" w:lineRule="auto"/>
        <w:rPr>
          <w:rFonts w:ascii="宋体" w:hAnsi="宋体" w:cs="宋体"/>
          <w:b/>
          <w:bCs/>
          <w:color w:val="auto"/>
          <w:szCs w:val="21"/>
          <w:highlight w:val="none"/>
        </w:rPr>
      </w:pPr>
      <w:bookmarkStart w:id="30" w:name="_Toc35393626"/>
      <w:bookmarkStart w:id="31" w:name="_Toc35393795"/>
      <w:r>
        <w:rPr>
          <w:rFonts w:hint="eastAsia" w:ascii="宋体" w:hAnsi="宋体" w:cs="宋体"/>
          <w:b/>
          <w:bCs/>
          <w:color w:val="auto"/>
          <w:szCs w:val="21"/>
          <w:highlight w:val="none"/>
        </w:rPr>
        <w:t>六、其他补充事宜</w:t>
      </w:r>
      <w:bookmarkEnd w:id="30"/>
      <w:bookmarkEnd w:id="31"/>
    </w:p>
    <w:p w14:paraId="6DCAF08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1.投标人的资格要求的补充：</w:t>
      </w:r>
    </w:p>
    <w:p w14:paraId="22484F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DCF41B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52358EA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2.投标保证金</w:t>
      </w:r>
    </w:p>
    <w:p w14:paraId="6EE781DD">
      <w:pPr>
        <w:pStyle w:val="95"/>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本项目不需要缴纳投标保证金。</w:t>
      </w:r>
    </w:p>
    <w:p w14:paraId="1F77509D">
      <w:pPr>
        <w:spacing w:line="360" w:lineRule="auto"/>
        <w:ind w:firstLine="420" w:firstLineChars="200"/>
        <w:rPr>
          <w:rFonts w:ascii="宋体" w:hAnsi="宋体" w:cs="宋体"/>
          <w:color w:val="auto"/>
          <w:kern w:val="0"/>
          <w:szCs w:val="21"/>
          <w:highlight w:val="none"/>
        </w:rPr>
      </w:pPr>
      <w:bookmarkStart w:id="32" w:name="_Hlk37429585"/>
      <w:r>
        <w:rPr>
          <w:rFonts w:hint="eastAsia" w:ascii="宋体" w:hAnsi="宋体" w:cs="宋体"/>
          <w:color w:val="auto"/>
          <w:kern w:val="0"/>
          <w:szCs w:val="21"/>
          <w:highlight w:val="none"/>
        </w:rPr>
        <w:t>3.</w:t>
      </w:r>
      <w:bookmarkStart w:id="33" w:name="_Hlk37429595"/>
      <w:r>
        <w:rPr>
          <w:rFonts w:hint="eastAsia" w:ascii="宋体" w:hAnsi="宋体" w:cs="宋体"/>
          <w:color w:val="auto"/>
          <w:kern w:val="0"/>
          <w:szCs w:val="21"/>
          <w:highlight w:val="none"/>
        </w:rPr>
        <w:t>网上查询地址</w:t>
      </w:r>
    </w:p>
    <w:p w14:paraId="77723F51">
      <w:pPr>
        <w:pStyle w:val="95"/>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highlight w:val="none"/>
        </w:rPr>
        <w:t>。</w:t>
      </w:r>
    </w:p>
    <w:bookmarkEnd w:id="32"/>
    <w:bookmarkEnd w:id="33"/>
    <w:p w14:paraId="60F71541">
      <w:pPr>
        <w:spacing w:line="360" w:lineRule="auto"/>
        <w:ind w:firstLine="420" w:firstLineChars="200"/>
        <w:rPr>
          <w:rFonts w:ascii="宋体" w:hAnsi="宋体" w:cs="宋体"/>
          <w:color w:val="auto"/>
          <w:kern w:val="0"/>
          <w:szCs w:val="21"/>
          <w:highlight w:val="none"/>
        </w:rPr>
      </w:pPr>
      <w:bookmarkStart w:id="34" w:name="_Hlk37429674"/>
      <w:r>
        <w:rPr>
          <w:rFonts w:hint="eastAsia" w:ascii="宋体" w:hAnsi="宋体" w:cs="宋体"/>
          <w:color w:val="auto"/>
          <w:szCs w:val="21"/>
          <w:highlight w:val="none"/>
        </w:rPr>
        <w:t>4.</w:t>
      </w:r>
      <w:r>
        <w:rPr>
          <w:rFonts w:hint="eastAsia" w:ascii="宋体" w:hAnsi="宋体" w:cs="宋体"/>
          <w:color w:val="auto"/>
          <w:kern w:val="0"/>
          <w:szCs w:val="21"/>
          <w:highlight w:val="none"/>
        </w:rPr>
        <w:t>本项目需要落实的政府采购政策</w:t>
      </w:r>
    </w:p>
    <w:p w14:paraId="311825B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16EA44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A3E24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D87515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8BC8FA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34"/>
    </w:p>
    <w:p w14:paraId="1F805A76">
      <w:pPr>
        <w:pStyle w:val="69"/>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（6）政府采购扶持不发达地区和少数民族地区政策。</w:t>
      </w:r>
    </w:p>
    <w:p w14:paraId="2D809375">
      <w:pPr>
        <w:pStyle w:val="69"/>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（7）其他政府采购规定的政策。</w:t>
      </w:r>
    </w:p>
    <w:p w14:paraId="6447ABDF">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5.在线投标响应（电子投标）说明</w:t>
      </w:r>
    </w:p>
    <w:p w14:paraId="6FD6E35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olor w:val="auto"/>
          <w:szCs w:val="21"/>
          <w:highlight w:val="none"/>
        </w:rPr>
        <w:t>广西政府采购云平台（https://www.gcy.zfcg.gxzf.gov.cn/）</w:t>
      </w:r>
      <w:r>
        <w:rPr>
          <w:rFonts w:hint="eastAsia" w:ascii="宋体" w:hAnsi="宋体" w:cs="宋体"/>
          <w:color w:val="auto"/>
          <w:kern w:val="0"/>
          <w:szCs w:val="21"/>
          <w:highlight w:val="none"/>
        </w:rPr>
        <w:t>实行在线投标响应（电子投标），投标人需要先安装“</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”，并按照本招标文件和</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的要求，通过“</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”编制并加密电子投标文件。投标人未按规定编制并加密的电子投标文件，</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将予以拒收。</w:t>
      </w:r>
    </w:p>
    <w:p w14:paraId="596A45A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请自行前往广西政府采购网下载并安装（http://zfcg.gxzf.gov.cn/OfficeService/DownloadArea/2455918.html?utm=sites_group_front.b8b6c91.0.0.c51f9820a48111eabb9bcbdf01af125e）；电子投标具体操作流程参考《政府采购项目电子交易管理操作指南-投标人》；在使用</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时，建议使用WIN7及以上操作系统,通过</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参与在线投标时如遇平台技术问题详询95763。</w:t>
      </w:r>
    </w:p>
    <w:p w14:paraId="61385416">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（2）为确保网上操作合法、有效和安全，投标人应当在投标文件递交截止时间前完成在“</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”的身份认证，确保在电子投标过程中能够对相关数据电文进行加密和使用电子签章。使用“</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”需要提前申领CA数字证书，申领流程请自行前往相关网站进行查阅。（各投标人在截标前应确保成为</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正式注册入库投标人，并完成CA数字证书申领。如因未注册入库、未办理CA数字证书等原因造成无法投标或投标失败等后果由投标人自行承担。）</w:t>
      </w:r>
    </w:p>
    <w:p w14:paraId="731BA82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投标人应当在投标文件递交截止时间前，将生成的“电子投标文件”上传递交至</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投标文件递交截止时间前可以补充、修改或者撤回电子投标文件。补充或者修改电子投标文件的，应当先行撤回原文件，补充、修改后重新传输递交，投标文件递交截止时间前未完成传输的，视为撤回电子投标文件。</w:t>
      </w:r>
    </w:p>
    <w:p w14:paraId="47BE913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投标文件解密时间：截标时间后30分钟内投标人需凭制作投标文件时用来加密的有效数字证书（CA认证）登录“广西政府采购云平台”电子开标大厅现场按规定时间对加密的投标文件进行解密，否则后果自负。</w:t>
      </w:r>
    </w:p>
    <w:p w14:paraId="0C10F82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7B4C2E3">
      <w:pPr>
        <w:pStyle w:val="95"/>
        <w:spacing w:line="360" w:lineRule="auto"/>
        <w:rPr>
          <w:rFonts w:ascii="宋体" w:hAnsi="宋体" w:cs="宋体"/>
          <w:color w:val="auto"/>
          <w:kern w:val="0"/>
          <w:szCs w:val="21"/>
          <w:highlight w:val="none"/>
        </w:rPr>
      </w:pPr>
      <w:r>
        <w:rPr>
          <w:rFonts w:hint="eastAsia" w:ascii="宋体" w:hAnsi="宋体"/>
          <w:color w:val="auto"/>
          <w:szCs w:val="21"/>
          <w:highlight w:val="none"/>
        </w:rPr>
        <w:t>（5）本项目为广西政府采购云平台全流程电子化操作，参与投标的投标人需自备计算机和网络设备（设备需可视频通话和读取广西政府采购云平台CA数字证书），确保投标过程顺利进行；因投标人自身设备或网络原因造成的一切后果，由投标人自行承担。</w:t>
      </w:r>
    </w:p>
    <w:p w14:paraId="661FDFB5">
      <w:pPr>
        <w:spacing w:line="360" w:lineRule="auto"/>
        <w:rPr>
          <w:rFonts w:ascii="宋体" w:hAnsi="宋体" w:cs="宋体"/>
          <w:b/>
          <w:bCs/>
          <w:color w:val="auto"/>
          <w:szCs w:val="21"/>
          <w:highlight w:val="none"/>
        </w:rPr>
      </w:pPr>
      <w:bookmarkStart w:id="35" w:name="_Toc28359085"/>
      <w:bookmarkStart w:id="36" w:name="_Toc35393796"/>
      <w:bookmarkStart w:id="37" w:name="_Toc28359008"/>
      <w:bookmarkStart w:id="38" w:name="_Toc35393627"/>
      <w:r>
        <w:rPr>
          <w:rFonts w:hint="eastAsia" w:ascii="宋体" w:hAnsi="宋体" w:cs="宋体"/>
          <w:b/>
          <w:bCs/>
          <w:color w:val="auto"/>
          <w:szCs w:val="21"/>
          <w:highlight w:val="none"/>
        </w:rPr>
        <w:t>七、对本次招标提出询问，请按以下方式联系。</w:t>
      </w:r>
      <w:bookmarkEnd w:id="35"/>
      <w:bookmarkEnd w:id="36"/>
      <w:bookmarkEnd w:id="37"/>
      <w:bookmarkEnd w:id="38"/>
    </w:p>
    <w:p w14:paraId="3029A2C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1D8EEA4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称：广西师范大学</w:t>
      </w:r>
    </w:p>
    <w:p w14:paraId="074112B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iCs/>
          <w:color w:val="auto"/>
          <w:szCs w:val="21"/>
          <w:highlight w:val="none"/>
        </w:rPr>
        <w:t>广西桂林市雁山区雁中路1号</w:t>
      </w:r>
    </w:p>
    <w:p w14:paraId="03F9E71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color w:val="auto"/>
          <w:highlight w:val="none"/>
        </w:rPr>
        <w:t>程晨</w:t>
      </w:r>
    </w:p>
    <w:p w14:paraId="6ADB32B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39" w:name="_Toc28359009"/>
      <w:bookmarkStart w:id="40" w:name="_Toc28359086"/>
      <w:r>
        <w:rPr>
          <w:rFonts w:hint="eastAsia" w:ascii="宋体" w:hAnsi="宋体"/>
          <w:color w:val="auto"/>
          <w:szCs w:val="21"/>
          <w:highlight w:val="none"/>
        </w:rPr>
        <w:t>0773-3696563</w:t>
      </w:r>
    </w:p>
    <w:p w14:paraId="153EC25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9"/>
      <w:bookmarkEnd w:id="40"/>
    </w:p>
    <w:p w14:paraId="7CB0843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称：广西达成咨询有限公司</w:t>
      </w:r>
    </w:p>
    <w:p w14:paraId="2BE99A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地址：桂林市滨江路18号滨江大厦5楼</w:t>
      </w:r>
    </w:p>
    <w:p w14:paraId="178D9EC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41" w:name="_Toc28359087"/>
      <w:bookmarkStart w:id="42" w:name="_Toc28359010"/>
      <w:r>
        <w:rPr>
          <w:rFonts w:hint="eastAsia" w:ascii="宋体" w:hAnsi="宋体" w:cs="宋体"/>
          <w:color w:val="auto"/>
          <w:szCs w:val="21"/>
          <w:highlight w:val="none"/>
        </w:rPr>
        <w:t>0773-3569998</w:t>
      </w:r>
    </w:p>
    <w:p w14:paraId="247C5F9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bookmarkEnd w:id="41"/>
      <w:bookmarkEnd w:id="42"/>
    </w:p>
    <w:p w14:paraId="6BDAEA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项目联系人：毛崇文、李鹏字、梁碧云、方莹、肖禾、彭冬梅、杨红东</w:t>
      </w:r>
    </w:p>
    <w:p w14:paraId="06CA1F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电话：0773-3569998</w:t>
      </w:r>
    </w:p>
    <w:p w14:paraId="47E7F833">
      <w:pPr>
        <w:pStyle w:val="70"/>
        <w:spacing w:line="360" w:lineRule="auto"/>
        <w:rPr>
          <w:rFonts w:ascii="宋体" w:hAnsi="宋体" w:cs="宋体"/>
          <w:color w:val="auto"/>
          <w:sz w:val="21"/>
          <w:szCs w:val="21"/>
          <w:highlight w:val="none"/>
        </w:rPr>
      </w:pPr>
    </w:p>
    <w:p w14:paraId="5E802770">
      <w:pPr>
        <w:pStyle w:val="70"/>
        <w:spacing w:line="360" w:lineRule="auto"/>
        <w:rPr>
          <w:rFonts w:ascii="宋体" w:hAnsi="宋体" w:cs="宋体"/>
          <w:color w:val="auto"/>
          <w:sz w:val="21"/>
          <w:szCs w:val="21"/>
          <w:highlight w:val="none"/>
        </w:rPr>
      </w:pPr>
    </w:p>
    <w:p w14:paraId="55A999FD">
      <w:pPr>
        <w:pStyle w:val="70"/>
        <w:spacing w:line="360" w:lineRule="auto"/>
        <w:rPr>
          <w:rFonts w:ascii="宋体" w:hAnsi="宋体" w:cs="宋体"/>
          <w:color w:val="auto"/>
          <w:sz w:val="21"/>
          <w:szCs w:val="21"/>
          <w:highlight w:val="none"/>
        </w:rPr>
      </w:pPr>
    </w:p>
    <w:p w14:paraId="5939FBC3">
      <w:pPr>
        <w:pStyle w:val="70"/>
        <w:spacing w:line="360" w:lineRule="auto"/>
        <w:rPr>
          <w:rFonts w:ascii="宋体" w:hAnsi="宋体" w:cs="宋体"/>
          <w:color w:val="auto"/>
          <w:sz w:val="21"/>
          <w:szCs w:val="21"/>
          <w:highlight w:val="none"/>
        </w:rPr>
      </w:pPr>
    </w:p>
    <w:p w14:paraId="2D675584">
      <w:pPr>
        <w:pStyle w:val="70"/>
        <w:spacing w:line="360" w:lineRule="auto"/>
        <w:rPr>
          <w:rFonts w:ascii="宋体" w:hAnsi="宋体" w:cs="宋体"/>
          <w:color w:val="auto"/>
          <w:sz w:val="21"/>
          <w:szCs w:val="21"/>
          <w:highlight w:val="none"/>
        </w:rPr>
      </w:pPr>
    </w:p>
    <w:p w14:paraId="248A47C5">
      <w:pPr>
        <w:pStyle w:val="70"/>
        <w:spacing w:line="360" w:lineRule="auto"/>
        <w:rPr>
          <w:rFonts w:ascii="宋体" w:hAnsi="宋体" w:cs="宋体"/>
          <w:color w:val="auto"/>
          <w:sz w:val="21"/>
          <w:szCs w:val="21"/>
          <w:highlight w:val="none"/>
        </w:rPr>
      </w:pPr>
    </w:p>
    <w:p w14:paraId="10A6F80D">
      <w:pPr>
        <w:spacing w:line="360" w:lineRule="auto"/>
        <w:ind w:firstLine="210" w:firstLineChars="100"/>
        <w:jc w:val="right"/>
        <w:rPr>
          <w:rFonts w:ascii="宋体" w:hAnsi="宋体" w:cs="宋体"/>
          <w:color w:val="auto"/>
          <w:szCs w:val="21"/>
          <w:highlight w:val="none"/>
        </w:rPr>
      </w:pPr>
      <w:r>
        <w:rPr>
          <w:rFonts w:hint="eastAsia" w:ascii="宋体" w:hAnsi="宋体" w:cs="宋体"/>
          <w:color w:val="auto"/>
          <w:szCs w:val="21"/>
          <w:highlight w:val="none"/>
        </w:rPr>
        <w:t>广西达成咨询有限公司</w:t>
      </w:r>
    </w:p>
    <w:p w14:paraId="74842EB5">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日</w:t>
      </w:r>
    </w:p>
    <w:p w14:paraId="2754FCC2">
      <w:pPr>
        <w:pStyle w:val="3"/>
        <w:keepNext w:val="0"/>
        <w:keepLines w:val="0"/>
        <w:rPr>
          <w:rStyle w:val="65"/>
          <w:rFonts w:ascii="宋体" w:hAnsi="宋体" w:cs="宋体"/>
          <w:b/>
          <w:bCs/>
          <w:color w:val="auto"/>
          <w:sz w:val="30"/>
          <w:szCs w:val="30"/>
          <w:highlight w:val="none"/>
        </w:rPr>
      </w:pPr>
      <w:r>
        <w:rPr>
          <w:rFonts w:hint="eastAsia" w:ascii="宋体" w:hAnsi="宋体" w:cs="宋体"/>
          <w:color w:val="auto"/>
          <w:sz w:val="24"/>
          <w:szCs w:val="20"/>
          <w:highlight w:val="none"/>
        </w:rPr>
        <w:br w:type="page"/>
      </w:r>
      <w:bookmarkStart w:id="43" w:name="_Toc22427"/>
      <w:bookmarkStart w:id="44" w:name="_Toc13994"/>
      <w:bookmarkStart w:id="45" w:name="_Toc19890"/>
      <w:bookmarkStart w:id="46" w:name="_Toc19686830"/>
      <w:r>
        <w:rPr>
          <w:rStyle w:val="65"/>
          <w:rFonts w:hint="eastAsia" w:ascii="宋体" w:hAnsi="宋体" w:cs="宋体"/>
          <w:b/>
          <w:bCs/>
          <w:color w:val="auto"/>
          <w:highlight w:val="none"/>
        </w:rPr>
        <w:t>第二章、采购需求</w:t>
      </w:r>
    </w:p>
    <w:p w14:paraId="26A1CF5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31FFF37">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1.“实质性要求”是指招标文件中已经指明不满足则投标无效的条款，或者不能负偏离的条款，或者采购需求中带“▲”的条款。</w:t>
      </w:r>
    </w:p>
    <w:p w14:paraId="4CEFC85B">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highlight w:val="none"/>
        </w:rPr>
      </w:pPr>
      <w:r>
        <w:rPr>
          <w:rFonts w:hint="eastAsia" w:ascii="宋体" w:hAnsi="宋体" w:cs="宋体"/>
          <w:b/>
          <w:color w:val="auto"/>
          <w:szCs w:val="21"/>
          <w:highlight w:val="none"/>
        </w:rPr>
        <w:t>2.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2FF9DCB4">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3.投标人必须自行为其投标产品侵犯他人的知识产权或者专利成果的行为承担相应法律责任。</w:t>
      </w:r>
    </w:p>
    <w:p w14:paraId="39661836">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4.所属行业依照《中小企业划型标准规定》（工信部联企业〔2011〕300号）及《国民经济行业分类》（GB/T4754-2017）的有关规定执行。本项目采购标的所属行业：租赁和商务服务业。</w:t>
      </w:r>
    </w:p>
    <w:tbl>
      <w:tblPr>
        <w:tblStyle w:val="52"/>
        <w:tblW w:w="9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833"/>
        <w:gridCol w:w="850"/>
        <w:gridCol w:w="7436"/>
      </w:tblGrid>
      <w:tr w14:paraId="4892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5" w:type="dxa"/>
            <w:vAlign w:val="center"/>
          </w:tcPr>
          <w:p w14:paraId="2B21A79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33" w:type="dxa"/>
            <w:vAlign w:val="center"/>
          </w:tcPr>
          <w:p w14:paraId="6A6B541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50" w:type="dxa"/>
            <w:vAlign w:val="center"/>
          </w:tcPr>
          <w:p w14:paraId="656C3E07">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436" w:type="dxa"/>
            <w:vAlign w:val="center"/>
          </w:tcPr>
          <w:p w14:paraId="035246F6">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需求</w:t>
            </w:r>
          </w:p>
        </w:tc>
      </w:tr>
      <w:tr w14:paraId="5476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425" w:type="dxa"/>
            <w:vAlign w:val="center"/>
          </w:tcPr>
          <w:p w14:paraId="694E394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33" w:type="dxa"/>
            <w:vAlign w:val="center"/>
          </w:tcPr>
          <w:p w14:paraId="18C8FEBA">
            <w:pPr>
              <w:spacing w:line="420" w:lineRule="exact"/>
              <w:jc w:val="left"/>
              <w:rPr>
                <w:rFonts w:hAnsi="宋体" w:cs="宋体"/>
                <w:color w:val="auto"/>
                <w:szCs w:val="21"/>
                <w:highlight w:val="none"/>
              </w:rPr>
            </w:pPr>
            <w:r>
              <w:rPr>
                <w:rFonts w:hint="eastAsia" w:hAnsi="宋体" w:cs="宋体"/>
                <w:color w:val="auto"/>
                <w:szCs w:val="21"/>
                <w:highlight w:val="none"/>
              </w:rPr>
              <w:t>2026-2027年度王城、育才校区安保外包服务采购</w:t>
            </w:r>
          </w:p>
        </w:tc>
        <w:tc>
          <w:tcPr>
            <w:tcW w:w="850" w:type="dxa"/>
            <w:vAlign w:val="center"/>
          </w:tcPr>
          <w:p w14:paraId="136BD25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436" w:type="dxa"/>
          </w:tcPr>
          <w:p w14:paraId="12026EE5">
            <w:pPr>
              <w:spacing w:before="100" w:after="100"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一、项目服务基本情况</w:t>
            </w:r>
          </w:p>
          <w:p w14:paraId="48DD5B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项目地址：广西师范大学王城、育才两个校区。</w:t>
            </w:r>
          </w:p>
          <w:p w14:paraId="67DAE4E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基本情况：广西师范大学王城校区坐落于桂林市秀峰区王城1号，是5A级景区靖江王府所在地，占地面积约21万㎡，校区有大门2个。育才校区位于七星区育才路15号，占地面积约50万㎡，校区有大门2个，现有东院和南院2个家属区。学校安全保卫机构健全，设有保卫处，全面负责学校安全保卫工作。</w:t>
            </w:r>
          </w:p>
          <w:p w14:paraId="6C9454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范围：包括日常门岗执勤、安防技防设施管理与使用、区域巡逻、秩序维护、交通安全管理、校园及周边治安防控、消防设施常规性检查维护、大型校事活动安全保障、应急突发事件处置等，确保项目及周边治安状况良好。</w:t>
            </w:r>
          </w:p>
          <w:p w14:paraId="3EBD520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5663BE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服务标准：符合国家相关法规、保安行业规范和采购人规定要求。实行定期考核，每季度作为一个考核期，达不到学校要求即刻解约。</w:t>
            </w:r>
          </w:p>
          <w:p w14:paraId="5A7F0A25">
            <w:pPr>
              <w:spacing w:before="100" w:after="100"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二、服务内容及要求</w:t>
            </w:r>
          </w:p>
          <w:p w14:paraId="1B0633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（一）岗位设置及工作内容</w:t>
            </w:r>
          </w:p>
          <w:tbl>
            <w:tblPr>
              <w:tblStyle w:val="53"/>
              <w:tblW w:w="6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15"/>
              <w:gridCol w:w="898"/>
              <w:gridCol w:w="3574"/>
            </w:tblGrid>
            <w:tr w14:paraId="43FD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blHeader/>
                <w:jc w:val="center"/>
              </w:trPr>
              <w:tc>
                <w:tcPr>
                  <w:tcW w:w="547" w:type="dxa"/>
                  <w:vAlign w:val="center"/>
                </w:tcPr>
                <w:p w14:paraId="53C35744">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校区</w:t>
                  </w:r>
                </w:p>
              </w:tc>
              <w:tc>
                <w:tcPr>
                  <w:tcW w:w="1215" w:type="dxa"/>
                  <w:vAlign w:val="center"/>
                </w:tcPr>
                <w:p w14:paraId="4144CD46">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岗位设置</w:t>
                  </w:r>
                </w:p>
              </w:tc>
              <w:tc>
                <w:tcPr>
                  <w:tcW w:w="898" w:type="dxa"/>
                  <w:vAlign w:val="center"/>
                </w:tcPr>
                <w:p w14:paraId="69D25318">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岗位数量</w:t>
                  </w:r>
                </w:p>
                <w:p w14:paraId="5BFD55A2">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（个）</w:t>
                  </w:r>
                </w:p>
              </w:tc>
              <w:tc>
                <w:tcPr>
                  <w:tcW w:w="3574" w:type="dxa"/>
                  <w:vAlign w:val="center"/>
                </w:tcPr>
                <w:p w14:paraId="5FF30B4B">
                  <w:pPr>
                    <w:spacing w:line="380" w:lineRule="exact"/>
                    <w:ind w:firstLine="562"/>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工作内容</w:t>
                  </w:r>
                </w:p>
              </w:tc>
            </w:tr>
            <w:tr w14:paraId="168A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restart"/>
                  <w:vAlign w:val="center"/>
                </w:tcPr>
                <w:p w14:paraId="2A08781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育才校区</w:t>
                  </w:r>
                </w:p>
              </w:tc>
              <w:tc>
                <w:tcPr>
                  <w:tcW w:w="1215" w:type="dxa"/>
                  <w:vAlign w:val="center"/>
                </w:tcPr>
                <w:p w14:paraId="0E86A43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898" w:type="dxa"/>
                  <w:vAlign w:val="center"/>
                </w:tcPr>
                <w:p w14:paraId="3C2AED7B">
                  <w:pPr>
                    <w:spacing w:line="38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40D719E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1D3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0407A8BD">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96904E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副主管</w:t>
                  </w:r>
                </w:p>
              </w:tc>
              <w:tc>
                <w:tcPr>
                  <w:tcW w:w="898" w:type="dxa"/>
                  <w:vAlign w:val="center"/>
                </w:tcPr>
                <w:p w14:paraId="2C53F47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27A238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0F6B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052DE2E5">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88D704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898" w:type="dxa"/>
                  <w:vAlign w:val="center"/>
                </w:tcPr>
                <w:p w14:paraId="1619D1AD">
                  <w:pPr>
                    <w:spacing w:line="380" w:lineRule="exact"/>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1个（3人）</w:t>
                  </w:r>
                </w:p>
              </w:tc>
              <w:tc>
                <w:tcPr>
                  <w:tcW w:w="3574" w:type="dxa"/>
                  <w:vAlign w:val="center"/>
                </w:tcPr>
                <w:p w14:paraId="5F1BF34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791EDDB7">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r>
            <w:tr w14:paraId="3377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75DE5C3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50833D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898" w:type="dxa"/>
                  <w:vAlign w:val="center"/>
                </w:tcPr>
                <w:p w14:paraId="45FA368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4F857EE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r>
            <w:tr w14:paraId="63C0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6AB6F26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C91DC8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消防控制室</w:t>
                  </w:r>
                </w:p>
              </w:tc>
              <w:tc>
                <w:tcPr>
                  <w:tcW w:w="898" w:type="dxa"/>
                  <w:vAlign w:val="center"/>
                </w:tcPr>
                <w:p w14:paraId="3461C85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0497B2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消防总控室值班和火警排查处置</w:t>
                  </w:r>
                </w:p>
              </w:tc>
            </w:tr>
            <w:tr w14:paraId="0F77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5FC09B1A">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C899C8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消防巡逻</w:t>
                  </w:r>
                </w:p>
              </w:tc>
              <w:tc>
                <w:tcPr>
                  <w:tcW w:w="898" w:type="dxa"/>
                  <w:vAlign w:val="center"/>
                </w:tcPr>
                <w:p w14:paraId="75803FC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71DF9021">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负责楼宇的安全检查和火警排查处置</w:t>
                  </w:r>
                </w:p>
              </w:tc>
            </w:tr>
            <w:tr w14:paraId="7A0B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A0A977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2D7CFA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西大门</w:t>
                  </w:r>
                </w:p>
              </w:tc>
              <w:tc>
                <w:tcPr>
                  <w:tcW w:w="898" w:type="dxa"/>
                  <w:vAlign w:val="center"/>
                </w:tcPr>
                <w:p w14:paraId="1F44AC7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55F1ED3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B5D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BFD4440">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C6BEA9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南大门</w:t>
                  </w:r>
                </w:p>
              </w:tc>
              <w:tc>
                <w:tcPr>
                  <w:tcW w:w="898" w:type="dxa"/>
                  <w:vAlign w:val="center"/>
                </w:tcPr>
                <w:p w14:paraId="583D61C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3574" w:type="dxa"/>
                  <w:vAlign w:val="center"/>
                </w:tcPr>
                <w:p w14:paraId="45433D5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E70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56643F1">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D61702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小东门</w:t>
                  </w:r>
                </w:p>
              </w:tc>
              <w:tc>
                <w:tcPr>
                  <w:tcW w:w="898" w:type="dxa"/>
                  <w:vAlign w:val="center"/>
                </w:tcPr>
                <w:p w14:paraId="1F3916E7">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1A35D75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185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ACBBCA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0D0B19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东院门</w:t>
                  </w:r>
                </w:p>
              </w:tc>
              <w:tc>
                <w:tcPr>
                  <w:tcW w:w="898" w:type="dxa"/>
                  <w:vAlign w:val="center"/>
                </w:tcPr>
                <w:p w14:paraId="3A282F6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D78512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E3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636CE60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BB3D8A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校办岗</w:t>
                  </w:r>
                </w:p>
              </w:tc>
              <w:tc>
                <w:tcPr>
                  <w:tcW w:w="898" w:type="dxa"/>
                  <w:vAlign w:val="center"/>
                </w:tcPr>
                <w:p w14:paraId="4DB07AB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4777300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负责来访人员登记及周边安全巡查</w:t>
                  </w:r>
                </w:p>
              </w:tc>
            </w:tr>
            <w:tr w14:paraId="708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7768EA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9E62DE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南院大门</w:t>
                  </w:r>
                </w:p>
              </w:tc>
              <w:tc>
                <w:tcPr>
                  <w:tcW w:w="898" w:type="dxa"/>
                  <w:vAlign w:val="center"/>
                </w:tcPr>
                <w:p w14:paraId="71CFB39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0ECCAA6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7FE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1DAF87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A14460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南院西</w:t>
                  </w:r>
                </w:p>
              </w:tc>
              <w:tc>
                <w:tcPr>
                  <w:tcW w:w="898" w:type="dxa"/>
                  <w:vAlign w:val="center"/>
                </w:tcPr>
                <w:p w14:paraId="38D2133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6B719D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7AD7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20217FD">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3E264C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南院南</w:t>
                  </w:r>
                </w:p>
              </w:tc>
              <w:tc>
                <w:tcPr>
                  <w:tcW w:w="898" w:type="dxa"/>
                  <w:vAlign w:val="center"/>
                </w:tcPr>
                <w:p w14:paraId="0DC2699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7E0DAB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60CC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21D63D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3C052F1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幼儿园南园</w:t>
                  </w:r>
                </w:p>
              </w:tc>
              <w:tc>
                <w:tcPr>
                  <w:tcW w:w="898" w:type="dxa"/>
                  <w:vAlign w:val="center"/>
                </w:tcPr>
                <w:p w14:paraId="5BF839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F13A98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FC2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77F2E593">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B635D2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巡逻岗校区</w:t>
                  </w:r>
                </w:p>
              </w:tc>
              <w:tc>
                <w:tcPr>
                  <w:tcW w:w="898" w:type="dxa"/>
                  <w:vAlign w:val="center"/>
                </w:tcPr>
                <w:p w14:paraId="302710C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3574" w:type="dxa"/>
                  <w:vAlign w:val="center"/>
                </w:tcPr>
                <w:p w14:paraId="51E025F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r>
            <w:tr w14:paraId="12FE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25108E06">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F6A62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巡逻岗南院</w:t>
                  </w:r>
                </w:p>
              </w:tc>
              <w:tc>
                <w:tcPr>
                  <w:tcW w:w="898" w:type="dxa"/>
                  <w:vAlign w:val="center"/>
                </w:tcPr>
                <w:p w14:paraId="53BC6DE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447A408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负责南院内外、主干道</w:t>
                  </w:r>
                </w:p>
              </w:tc>
            </w:tr>
            <w:tr w14:paraId="242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restart"/>
                  <w:vAlign w:val="center"/>
                </w:tcPr>
                <w:p w14:paraId="4E9EBB7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王城校区</w:t>
                  </w:r>
                </w:p>
              </w:tc>
              <w:tc>
                <w:tcPr>
                  <w:tcW w:w="1215" w:type="dxa"/>
                  <w:vAlign w:val="center"/>
                </w:tcPr>
                <w:p w14:paraId="628111A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898" w:type="dxa"/>
                  <w:vAlign w:val="center"/>
                </w:tcPr>
                <w:p w14:paraId="6F423674">
                  <w:pPr>
                    <w:spacing w:line="38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4D14A424">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0E2B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610DA6A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F7E8C3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898" w:type="dxa"/>
                  <w:vAlign w:val="center"/>
                </w:tcPr>
                <w:p w14:paraId="64E7031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1个（3人）</w:t>
                  </w:r>
                </w:p>
              </w:tc>
              <w:tc>
                <w:tcPr>
                  <w:tcW w:w="3574" w:type="dxa"/>
                  <w:vAlign w:val="center"/>
                </w:tcPr>
                <w:p w14:paraId="3E88373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2B6AB37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r>
            <w:tr w14:paraId="2EA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4F27D4C5">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189AC61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898" w:type="dxa"/>
                  <w:vAlign w:val="center"/>
                </w:tcPr>
                <w:p w14:paraId="2C3CB33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F49F45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r>
            <w:tr w14:paraId="6F57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5960504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9F55D4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前门门岗</w:t>
                  </w:r>
                </w:p>
              </w:tc>
              <w:tc>
                <w:tcPr>
                  <w:tcW w:w="898" w:type="dxa"/>
                  <w:vAlign w:val="center"/>
                </w:tcPr>
                <w:p w14:paraId="6BCFC78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1681874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A89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01997A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8DA39B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后门门岗</w:t>
                  </w:r>
                </w:p>
              </w:tc>
              <w:tc>
                <w:tcPr>
                  <w:tcW w:w="898" w:type="dxa"/>
                  <w:vAlign w:val="center"/>
                </w:tcPr>
                <w:p w14:paraId="4649A17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409D4D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5BC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4E57FF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E71390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1号门岗</w:t>
                  </w:r>
                </w:p>
              </w:tc>
              <w:tc>
                <w:tcPr>
                  <w:tcW w:w="898" w:type="dxa"/>
                  <w:vAlign w:val="center"/>
                </w:tcPr>
                <w:p w14:paraId="29C521E1">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549CA2F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C39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69AD0741">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FC70BF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3号门岗</w:t>
                  </w:r>
                </w:p>
              </w:tc>
              <w:tc>
                <w:tcPr>
                  <w:tcW w:w="898" w:type="dxa"/>
                  <w:vAlign w:val="center"/>
                </w:tcPr>
                <w:p w14:paraId="7DF7AAF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E196A9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A2A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1E5DD51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124BE0E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东区门岗</w:t>
                  </w:r>
                </w:p>
              </w:tc>
              <w:tc>
                <w:tcPr>
                  <w:tcW w:w="898" w:type="dxa"/>
                  <w:vAlign w:val="center"/>
                </w:tcPr>
                <w:p w14:paraId="5BE68CE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657F29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7C94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40694A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104D15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南区门岗</w:t>
                  </w:r>
                </w:p>
              </w:tc>
              <w:tc>
                <w:tcPr>
                  <w:tcW w:w="898" w:type="dxa"/>
                  <w:vAlign w:val="center"/>
                </w:tcPr>
                <w:p w14:paraId="12D8C27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56B2874">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0B7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47" w:type="dxa"/>
                  <w:vMerge w:val="continue"/>
                  <w:vAlign w:val="center"/>
                </w:tcPr>
                <w:p w14:paraId="52C8CA00">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54B37D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校园机动执勤</w:t>
                  </w:r>
                </w:p>
              </w:tc>
              <w:tc>
                <w:tcPr>
                  <w:tcW w:w="898" w:type="dxa"/>
                  <w:vAlign w:val="center"/>
                </w:tcPr>
                <w:p w14:paraId="3C53C4F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3574" w:type="dxa"/>
                  <w:vAlign w:val="center"/>
                </w:tcPr>
                <w:p w14:paraId="5237A51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r>
          </w:tbl>
          <w:p w14:paraId="4067F8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共计35个岗位（管理岗除外，每个岗位至少安排4人）。</w:t>
            </w:r>
          </w:p>
          <w:p w14:paraId="588F01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（二）工作时间</w:t>
            </w:r>
          </w:p>
          <w:p w14:paraId="6E4371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24小时轮岗执勤，服务单位全年无休。</w:t>
            </w:r>
          </w:p>
          <w:p w14:paraId="7369164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1901B7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门卫管理：学校大门的24小时门卫管理，严格执行人员、车辆、物资进出管理；按时立岗，礼貌待人，树立良好的窗口形象；对来访人员实行验证登记制度，禁止闲杂人员混入校园；对携物出门实行出门验证审核制度，防止财务流失；维护责任区域秩序，与各岗位互通信息；值班室无闲杂人员滞留，保持内外环境整洁卫生，防止携带宠物进校园，门前卫生三包。</w:t>
            </w:r>
          </w:p>
          <w:p w14:paraId="5281E87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2.负责教学区整体的交通安全管理，保障各类车辆（含自行车）有序停放及安全，确保校园交通安全畅顺，管理交通安全设施设备。校外电瓶车、未预约校外机动车未经允许不得进入校园。</w:t>
            </w:r>
          </w:p>
          <w:p w14:paraId="238C2B2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区域守护（楼宇）：做好各楼宇的24小时安全值守和巡查，来人来访的通报、证件检查、物品出入查验登记工作；每天夜间、节假日全天的定时清场；熟悉守护区域的情况特点，定点守卫与区域巡查相结合；掌握消防栓、灭火器等安全设施的位置、性能和使用方法；及时处置突发事件，维护责任区域公共秩序，协助各岗位开展校园交通秩序管理；发现可疑人员主动盘问，发现违规行为，大胆管理，主动干预，发现异常及安全隐患排查，立即采取措施并报告，制止暴力事件，有效处置各种违法犯罪行为；保持岗位卫生整洁，无闲杂人员滞留。</w:t>
            </w:r>
          </w:p>
          <w:p w14:paraId="79F139D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治安巡逻：发现和排除各种不安全因素，及时处置各种违法犯罪行为；善于发现、分析处理各种事故隐患和突发事件；配置巡逻车辆，根据不同情况，灵活执行相应的巡逻方案；加强对重点区域、要害部位的安全巡查，巡查踩点不流于形式，并与监控中心保持联动；协助各岗位开展校园秩序维护和交通秩序管理工作；协助楼宇管理人员及责任部门开展安全防范，负责学校教工生活区楼宇的夜间巡逻，校园公共部位安全隐患检查、排除及上报；建筑施工期间，做好施工区域保卫工作，禁止师生通行；如实记录汇报巡逻记录，每日巡逻频次不低于4次，发现安全隐患或突发情况及时处理并汇报。</w:t>
            </w:r>
          </w:p>
          <w:p w14:paraId="4CCDEFC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5.如突发公共卫生事件，严格执行学校要求，做好防控管理工作； 保持校门及周边公共卫生，做好门岗门前卫生三包工作。</w:t>
            </w:r>
          </w:p>
          <w:p w14:paraId="77A2D75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6.消防管理</w:t>
            </w:r>
          </w:p>
          <w:p w14:paraId="7DBDB42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（1）建立完善的消防管理台账、制度并严格执行。</w:t>
            </w:r>
          </w:p>
          <w:p w14:paraId="0800755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（2）保证配备的人员熟练掌握防火、灭火知识和消防器材使用方法。</w:t>
            </w:r>
          </w:p>
          <w:p w14:paraId="5E92F9E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（3）做好消防监控工作，对一般火情火险能及时发现报警，及时扑灭。</w:t>
            </w:r>
          </w:p>
          <w:p w14:paraId="69EC865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（4）做好日常消防的宣传和防范工作，及时发现并消除消防隐患。</w:t>
            </w:r>
          </w:p>
          <w:p w14:paraId="4E42E8E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（5）按照委托人安全防火工作的需要，按行业标准做好消防系统、设备、器材的使用和日常保养工作，保证系统、设备和器材的完好，系统24小时正常运行。</w:t>
            </w:r>
          </w:p>
          <w:p w14:paraId="6E1AC33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以上岗位需要做好相关登记及存档工作。</w:t>
            </w:r>
          </w:p>
          <w:p w14:paraId="7DBC39F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7.树立“服务第一，师生至上”的管理理念，加强与采购人的沟通交流，服从采购人的管理，切实维护学校与师生的人身和财产安全。</w:t>
            </w:r>
          </w:p>
          <w:p w14:paraId="1A856A9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8.坚持原则、缜密严谨；以人为本、主动热情服务；处理问题有理有节、及时到位，严禁与师生发生冲突。</w:t>
            </w:r>
          </w:p>
          <w:p w14:paraId="1C78939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9.上岗人员仪表整洁，业务操作规范，礼貌待人，保持岗位卫生整洁。</w:t>
            </w:r>
          </w:p>
          <w:p w14:paraId="728313B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10.依法办事，文明执勤，不与师生发生争吵，杜绝保安与师生发生冲突，禁止保安出手伤及师生人身安全。</w:t>
            </w:r>
          </w:p>
          <w:p w14:paraId="117F7ED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11.师生有求必应，有险情必出。</w:t>
            </w:r>
          </w:p>
          <w:p w14:paraId="6304076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12.依法办事，文明执勤，严格管理，及时发现校园安全隐患，及时处理突发安全事故，具备应急救护能力，保障学校财产和师生人身不受侵害，维护正常的教育教学、生活秩序。</w:t>
            </w:r>
          </w:p>
          <w:p w14:paraId="3013B61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中标供应商应认真理解学校安保服务的教育属性，熟悉校园管理的特点，做好保安队员服务意识培训，根据校园内的不同服务对象，提供切实可行的校园安保服务，完善专项管理制度，中标人必须于每季度到采购人实际管理部门接洽安保管理工作至少一次。</w:t>
            </w:r>
          </w:p>
          <w:p w14:paraId="4758E0E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（四）队伍建设与管理要求</w:t>
            </w:r>
          </w:p>
          <w:p w14:paraId="20A025D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1.中标供应商负责提供进驻保安人员值勤所需的保安服装、对讲机（使用条件需符合《中华人民共和国无线电管理条例》）、武装带、警械、手电、雨具、常用办公用品及耗材等。</w:t>
            </w:r>
          </w:p>
          <w:p w14:paraId="2A929C2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2.保安人员（包括管理人员）上岗必须统一着装（着保安服，系武装带，配警棍、对讲机，夜间配手电筒），坚守岗位，履行职责，文明执勤。</w:t>
            </w:r>
          </w:p>
          <w:p w14:paraId="0695195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3.从学校安全实际出发，每月开展1—2次在岗人员业务技能培训和应急预案演练。</w:t>
            </w:r>
          </w:p>
          <w:p w14:paraId="36066FD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4.内部管理体制健全，保证日常保安队伍的规范化管理。保安人员要遵守并严格执行采购人制定的有关规章制度，接受采购人的统一管理，维护采购人的利益。</w:t>
            </w:r>
          </w:p>
          <w:p w14:paraId="129BA57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5.中标供应商具备相关信息化管理能力，通过信息化管理提高学校整体工作效能、服务质量和管理水平。</w:t>
            </w:r>
          </w:p>
          <w:p w14:paraId="17A7D16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6.中标供应商必须采取切实有效措施保持保安队伍的稳定；保安队伍管理人员更换，应提前一个月以书面形式通知采购人，其他队员更换要提前三天告知采购人，确保服务质量不因人员变动而受影响。</w:t>
            </w:r>
          </w:p>
          <w:p w14:paraId="22D1626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采购人有权随时对保安人员工作情况进行检查，有权对违规或不称职保安人员提出处罚、调换或辞退要求，中标供应商应在三天内予以相应处理；如保安人员违反采购人管理规定，中标供应商必须接受采购人根据双方认可的管理与考核制度进行的处罚（包括提前解约）。</w:t>
            </w:r>
          </w:p>
          <w:p w14:paraId="4B12F71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8.保安应聘、录用、离职等管理档案规范，手续齐全，相应资料必须报采购人备案。</w:t>
            </w:r>
          </w:p>
          <w:p w14:paraId="04202DE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9.加强对保安人员业务的管理，确保保安队员遵纪守法，在校园内无违规违法事件发生。</w:t>
            </w:r>
          </w:p>
          <w:p w14:paraId="248C222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（五）保安人员职责</w:t>
            </w:r>
          </w:p>
          <w:p w14:paraId="19AAE37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1.主管岗位职责（包括副主管）</w:t>
            </w:r>
          </w:p>
          <w:p w14:paraId="4CE6E92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（1）负责对接学校工作，对保安人员落实24小时值班制度的情况进行监督和检查。密切保持保安人员的通信联络，检查各值班岗位人员的值勤情况。</w:t>
            </w:r>
          </w:p>
          <w:p w14:paraId="2F56AA3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（2）制定突发事件的处理程序，建立和健全各项安全保卫制度，密切配合学校各项工作。</w:t>
            </w:r>
          </w:p>
          <w:p w14:paraId="27F0A41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（3）每天定时或不定时巡视管辖区域的安全工作，并做好记录，建立正常的巡逻制度并明确重点保卫目标。</w:t>
            </w:r>
          </w:p>
          <w:p w14:paraId="27CA086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（4）完善管辖区域的安全防范措施，安全岗位设施、设备器材等使用情况，保证其能在工作中达到预先的使用效果。</w:t>
            </w:r>
          </w:p>
          <w:p w14:paraId="6AC1B6F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（5）检查管辖区域内有无妨害公共安全和社会治安秩序的行为，并及时进行纠正，提出整改意见，跟进处理结果，并做好记录、归档。</w:t>
            </w:r>
          </w:p>
          <w:p w14:paraId="2B27CFF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（6）接待投诉，协助学校处理各种突发事件和治安违纪行为。</w:t>
            </w:r>
          </w:p>
          <w:p w14:paraId="2B0AC89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（7）做好保安人员的出勤统计，业绩考核等的登记管理工作。</w:t>
            </w:r>
          </w:p>
          <w:p w14:paraId="08C2AE3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（8）掌握保安人员的思想动态，定期召开员工会议，做好员工的沟通工作。定期对保安人员进行职业安全思想道德和各类业务技能的培训工作。</w:t>
            </w:r>
          </w:p>
          <w:p w14:paraId="0350BDC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（9）以身作则，亲力亲为，全面提高安全管理工作与服务的质量。</w:t>
            </w:r>
          </w:p>
          <w:p w14:paraId="7334422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2.保安班长岗位职责</w:t>
            </w:r>
          </w:p>
          <w:p w14:paraId="48576FB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（1）严格执行学校的规章制度。</w:t>
            </w:r>
          </w:p>
          <w:p w14:paraId="4AEB9F9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（2）做好队员的思想工作，要关心爱护队员，了解队员的思想、工作、家庭等的情况，及时发现问题。如实向队长反映队员工作、思想动态和意见。做到政治上关心，思想上信任，工作上教导，生活上体贴。</w:t>
            </w:r>
          </w:p>
          <w:p w14:paraId="47E1BB6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（3）负责保安队伍日常管理工作。根据人员、岗位的要求进行人次、人员调配。公平、公正地处理队员在工作中发生的各类矛盾，严格管理，不歧视、打骂、侮辱队员。</w:t>
            </w:r>
          </w:p>
          <w:p w14:paraId="0F2B4C4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（4）不断提高队员的业务素质。要有计划地组织队员学习业务，检查督促队员管好、用好装备和消防器材，使其保持良好工作状态。</w:t>
            </w:r>
          </w:p>
          <w:p w14:paraId="4DA9FB1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（5）认真做好考勤工作。制定每月排班表，监督下属的出勤，做好在岗状况交接班记录的检查，及时、准确填报公司印发的各项表格，及时总结当月工作情况和计划下月的工作目标。</w:t>
            </w:r>
          </w:p>
          <w:p w14:paraId="0D77CCB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（6）加强岗位检查。队长每日至少要进行一次岗位检查，对检查中发现的问题要进行登记，好的表扬，差的批评。</w:t>
            </w:r>
          </w:p>
          <w:p w14:paraId="78455C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（7）抓好队容队纪。按着装规定，每日要检查队员的着装，并定期进行检查评比。及时纠正违反着装规定的现象。经常不断地进行语言、举止、行为的教育，创造良好的保安形象。</w:t>
            </w:r>
          </w:p>
          <w:p w14:paraId="6923A65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（8）突发事件的处理（火灾、偷窃、打架等）等安全保障。</w:t>
            </w:r>
          </w:p>
          <w:p w14:paraId="0873129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（9）遇到治安、突发事件等应立即赶到现场，并组织队员进行现场秩序维护和处理，并及时上报上级领导。</w:t>
            </w:r>
          </w:p>
          <w:p w14:paraId="24978A5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（10）负责顶替休假/请假/临时离岗人员的岗位工作。</w:t>
            </w:r>
          </w:p>
          <w:p w14:paraId="056E046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3.大门值守保安岗位职责</w:t>
            </w:r>
          </w:p>
          <w:p w14:paraId="2B6E74B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大门是学校安全的第一道防线，大门值守保安也是学校形象的代表，应具有良好的素质与修养，并认真履行以下岗位职责：</w:t>
            </w:r>
          </w:p>
          <w:p w14:paraId="64B6BEA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（1）按时交接班。白天交接班时，双方应交接有关情况和物品。接班人员未按时到岗，交班人员不得擅自离开岗位。</w:t>
            </w:r>
          </w:p>
          <w:p w14:paraId="550FF0F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（2）严格执行门卫制度，着装整洁，保持良好的精神状态。</w:t>
            </w:r>
          </w:p>
          <w:p w14:paraId="1AADDEC0">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（3）积极配合学校做好安全管理等各项工作，严格落实学校各项管理制度。</w:t>
            </w:r>
          </w:p>
          <w:p w14:paraId="4703C2B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（4）加强自身修养，坚持文明值班，礼貌待人，遇事冷静。对不服从管理的人员，应耐心解释、说明，不得用不文明的方式对待任何人。</w:t>
            </w:r>
          </w:p>
          <w:p w14:paraId="45EBFBE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（5）坚守岗位，不得擅离职守，不做与工作无关的事情，时刻注意进出校门的人员情况。</w:t>
            </w:r>
          </w:p>
          <w:p w14:paraId="40184DD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（6）保持值班室内外清洁，发现垃圾或丢弃物应及时清扫。交班前，整理好室内物品。</w:t>
            </w:r>
          </w:p>
          <w:p w14:paraId="6CEF18C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（7）爱护值班室内外的设施、设备，发现问题或故障，应及时保修，不得影响工作。</w:t>
            </w:r>
          </w:p>
          <w:p w14:paraId="1EBEFA09">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（8）认真记录值班时发生和处理的各种情况以及接听的重要电话，及时报告有关领导。交班时，应将重要事项向交班人交代清楚。</w:t>
            </w:r>
          </w:p>
          <w:p w14:paraId="1F3C496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4.巡逻岗位职责：</w:t>
            </w:r>
          </w:p>
          <w:p w14:paraId="67BE126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（1）服装整齐，文明礼貌执勤，不脱岗。</w:t>
            </w:r>
          </w:p>
          <w:p w14:paraId="3DFA525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（2）负责学校日常防火、防盗等安全巡查，及时发现安全隐患，防止意外事故发生，严格落实学校安全巡逻制度。</w:t>
            </w:r>
          </w:p>
          <w:p w14:paraId="13BE5F0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（3）保持大门口畅通，车辆停放整齐。</w:t>
            </w:r>
          </w:p>
          <w:p w14:paraId="6A41C0C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（4）严格管理好车辆的停放，保持学校内应急通道畅通。</w:t>
            </w:r>
          </w:p>
          <w:p w14:paraId="7D47A58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（5）巡逻保安必须勤巡逻，对学校内的重要部位勤巡、勤看，并做好详细登记，发现异常情况要及时报告学校安全办或“110”指挥中心。</w:t>
            </w:r>
          </w:p>
          <w:p w14:paraId="25E437F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（6）在值班过程中发现火灾隐患及火情要及时报告相关领导或“119”火警。</w:t>
            </w:r>
          </w:p>
          <w:p w14:paraId="4FF6E17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（六）保安人员的招聘与录用条件</w:t>
            </w:r>
          </w:p>
          <w:p w14:paraId="1E6B604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1.保安人员的招聘工作由中标供应商负责；录用条件为无犯罪记录且满足《保安服务管理条例》等相关法律法规规定的保安人员的任职资格和合法手续。</w:t>
            </w:r>
          </w:p>
          <w:p w14:paraId="5E665DF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采购人派遣的保安人员必须遵守法纪，无违法记录，身体健康（中标后向采购人出具所派遣人员的《健康证》），接受过正规专业训练（持《保安上岗证》）且身高不低于1.65米，年龄在20—55岁之间（45-55岁之间队员人数不能超过总队员人数的30%），初中以上（含初中）学历。</w:t>
            </w:r>
          </w:p>
          <w:p w14:paraId="4B8211B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保安主管：年龄50岁以下，身体健康，大专及以上文化程度，具有国家行政机关颁发的二级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保安员证书，并且有1年及以上校园管理的工作经验，熟悉安保管理法规，政治素质好，作风正派，管理能力强，有开拓创新精神。投标文件中须提供二级及以上保安员证书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投标人与其签订的劳动（或劳务）合同或近半年内连续三个月的依法缴纳社会保障资金的缴费凭证。</w:t>
            </w:r>
          </w:p>
          <w:p w14:paraId="59AA3FB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保安班长：年龄</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岁以下；政治素质好，大专及以上文化程度，具有国家行政机关颁发的保安员证书，身体健康，反应灵敏，形象较好，具有一定的管理能力，接受过专业保安管理训练，能带领队员较好完成工作任务。投标文件中须提供保安员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投标人与其签订的劳动（或劳务）合同或近半年内连续三个月的依法缴纳社会保障资金的缴费凭证。</w:t>
            </w:r>
          </w:p>
          <w:p w14:paraId="7E3A193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视频监控岗位：年龄在20—40岁之间，身高在1.55米以上，政治素质好，高中以上学历，计算机专业或熟悉计算机操作。</w:t>
            </w:r>
          </w:p>
          <w:p w14:paraId="3D722C4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消防控制室岗位：反应灵敏，政治素质好，高中以上学历，计算机专业或熟悉计算机操作，须持消防部门要求证件上岗。</w:t>
            </w:r>
          </w:p>
          <w:p w14:paraId="25E5F15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3.派驻的保安员必须经过岗前培训并取得保安员证（所有证件建档备查）。</w:t>
            </w:r>
          </w:p>
          <w:p w14:paraId="34230C0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4.派驻人员需经采购人审核通过后方可派遣到采购人校内进行保安服务。</w:t>
            </w:r>
          </w:p>
          <w:p w14:paraId="2AB0DA2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供应商负责对派驻保安员的思想教育、劳动纪律和技能培训等日常管理工作。派驻人员在采购人工作区域内的失职、违法犯罪和本人责任的安全事故等行为及后果，给采购人造成损失及人身伤害的，由中标供应商负责，涉嫌犯罪人员移交公安机关处理。</w:t>
            </w:r>
          </w:p>
          <w:p w14:paraId="67A4F61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6.中标人负责与派驻保安员签订劳动合同，建立劳动关系，为其办理相关保险以及按时支付服务人员劳动报酬，发放劳保等用品。</w:t>
            </w:r>
          </w:p>
          <w:p w14:paraId="082F3A7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7.派驻保安员中有8名以上持有消防设施操作员证（或建（构）筑物消防员证）（所有证件建档备查）。</w:t>
            </w:r>
          </w:p>
          <w:p w14:paraId="03599F8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8.派驻保安人员中退役军人至少占比≥10%。</w:t>
            </w:r>
          </w:p>
          <w:p w14:paraId="10F8DB09">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9.派驻的保安员应穿着制服，佩戴《上岗证》，文明执勤、依法执勤、礼貌待人。</w:t>
            </w:r>
          </w:p>
          <w:p w14:paraId="75D956B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10.派驻的保安员应当接受采购人的管理和指挥，完成临时交办的相关工作。</w:t>
            </w:r>
          </w:p>
          <w:p w14:paraId="4692B9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11.保安员按照规定，有权坚持原则，履行职责，以维护采购人合法利益。如保安员按照要求在执勤中遇到违规问题的，有权进行制止，做好记录或通报采购人，采购人应给予支持配合，并积极协助妥善处理。</w:t>
            </w:r>
          </w:p>
          <w:p w14:paraId="75ABC77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采购人的各项规章制度，中标供应商需遵照执行并组织保安人员学习，中标供应商需遵照执行并组织保安人员学习，保安人员上岗前应确保理解到位；所派保安人员有损毁、侵占采购人公私财物行为的，必须无条件赔偿全部损失并清退相关责任人，涉嫌犯罪的移交公安机关处理。</w:t>
            </w:r>
          </w:p>
          <w:p w14:paraId="353234F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13.建立服务管理档案并负责及时记载有关变更情况。</w:t>
            </w:r>
          </w:p>
          <w:p w14:paraId="2C59F8C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（七）风险承担</w:t>
            </w:r>
          </w:p>
          <w:p w14:paraId="1475C5A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1.采购人将对中标供应商服务质量进行全过程监控，中标供应商日常工作不到位、不达标或有违约现象，将依据合同约定，作出相应的违约处理与处罚。</w:t>
            </w:r>
          </w:p>
          <w:p w14:paraId="3FB776A0">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2.保安人员在岗履行工作职责期间，发生的自身意外伤害、死亡事故，均由中标供应商负责处理并承担法律和道义上的责任，采购人不承担任何责任。</w:t>
            </w:r>
          </w:p>
          <w:p w14:paraId="6DA320B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3.中标供应商违反国家相关法规，与聘用人员发生纠纷，均由中标供应商负责调解与处理，采购人不承担责任。</w:t>
            </w:r>
          </w:p>
          <w:p w14:paraId="152C4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4.中标供应商在保安服务中违反国家相关法规或保安行业规范，因过失造成他人人身伤亡的，均由中标供应商负责处理并承担法律和道义上的责任，采购人不承担任何责任。</w:t>
            </w:r>
          </w:p>
          <w:p w14:paraId="7928EA34">
            <w:pPr>
              <w:pStyle w:val="7"/>
              <w:spacing w:before="100" w:after="100" w:line="360" w:lineRule="auto"/>
              <w:ind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三、处罚标准及解除合同条款</w:t>
            </w:r>
          </w:p>
          <w:p w14:paraId="67DC8F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采购人（保卫处）负责每季度对中标人保安队伍进行考核，在工作中发现保安人员存在以下违规违纪行为者，采购人将对中标人进行累计扣分，</w:t>
            </w:r>
            <w:r>
              <w:rPr>
                <w:rFonts w:ascii="宋体" w:hAnsi="宋体" w:cs="宋体"/>
                <w:color w:val="auto"/>
                <w:szCs w:val="21"/>
                <w:highlight w:val="none"/>
              </w:rPr>
              <w:t>累计扣分≥30分则启动整改程序，整改后仍不达标，则视为中标人违约，采购人可单方面即刻</w:t>
            </w:r>
            <w:r>
              <w:rPr>
                <w:rFonts w:hint="eastAsia" w:ascii="宋体" w:hAnsi="宋体" w:cs="宋体"/>
                <w:color w:val="auto"/>
                <w:szCs w:val="21"/>
                <w:highlight w:val="none"/>
              </w:rPr>
              <w:t>解除合同。相关考核管理办法如下：</w:t>
            </w:r>
          </w:p>
          <w:tbl>
            <w:tblPr>
              <w:tblStyle w:val="53"/>
              <w:tblW w:w="6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08"/>
              <w:gridCol w:w="791"/>
              <w:gridCol w:w="776"/>
              <w:gridCol w:w="737"/>
            </w:tblGrid>
            <w:tr w14:paraId="7D17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860" w:type="dxa"/>
                  <w:gridSpan w:val="5"/>
                </w:tcPr>
                <w:p w14:paraId="2D92F3E6">
                  <w:pPr>
                    <w:spacing w:line="360" w:lineRule="auto"/>
                    <w:jc w:val="center"/>
                    <w:rPr>
                      <w:rFonts w:ascii="Calibri" w:hAnsi="Calibri" w:cs="宋体"/>
                      <w:color w:val="auto"/>
                      <w:szCs w:val="21"/>
                      <w:highlight w:val="none"/>
                    </w:rPr>
                  </w:pPr>
                  <w:r>
                    <w:rPr>
                      <w:rFonts w:hint="eastAsia" w:ascii="宋体" w:hAnsi="宋体" w:cs="宋体"/>
                      <w:b/>
                      <w:bCs/>
                      <w:color w:val="auto"/>
                      <w:szCs w:val="21"/>
                      <w:highlight w:val="none"/>
                    </w:rPr>
                    <w:t>广西师范大学安保队伍考核管理办法</w:t>
                  </w:r>
                </w:p>
              </w:tc>
            </w:tr>
            <w:tr w14:paraId="4A0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shd w:val="clear" w:color="auto" w:fill="auto"/>
                  <w:vAlign w:val="center"/>
                </w:tcPr>
                <w:p w14:paraId="692D1A4B">
                  <w:pPr>
                    <w:spacing w:line="360" w:lineRule="auto"/>
                    <w:jc w:val="center"/>
                    <w:rPr>
                      <w:rFonts w:ascii="Calibri" w:hAnsi="Calibri" w:cs="宋体"/>
                      <w:b/>
                      <w:bCs/>
                      <w:color w:val="auto"/>
                      <w:szCs w:val="21"/>
                      <w:highlight w:val="none"/>
                    </w:rPr>
                  </w:pPr>
                  <w:r>
                    <w:rPr>
                      <w:rFonts w:hint="eastAsia" w:cs="宋体"/>
                      <w:b/>
                      <w:bCs/>
                      <w:color w:val="auto"/>
                      <w:szCs w:val="21"/>
                      <w:highlight w:val="none"/>
                    </w:rPr>
                    <w:t>序号</w:t>
                  </w:r>
                </w:p>
              </w:tc>
              <w:tc>
                <w:tcPr>
                  <w:tcW w:w="3908" w:type="dxa"/>
                  <w:shd w:val="clear" w:color="auto" w:fill="auto"/>
                  <w:vAlign w:val="center"/>
                </w:tcPr>
                <w:p w14:paraId="194E1FA3">
                  <w:pPr>
                    <w:spacing w:line="360" w:lineRule="auto"/>
                    <w:jc w:val="center"/>
                    <w:rPr>
                      <w:rFonts w:ascii="Calibri" w:hAnsi="Calibri" w:cs="宋体"/>
                      <w:b/>
                      <w:bCs/>
                      <w:color w:val="auto"/>
                      <w:szCs w:val="21"/>
                      <w:highlight w:val="none"/>
                    </w:rPr>
                  </w:pPr>
                  <w:r>
                    <w:rPr>
                      <w:rFonts w:hint="eastAsia" w:cs="宋体"/>
                      <w:b/>
                      <w:bCs/>
                      <w:color w:val="auto"/>
                      <w:szCs w:val="21"/>
                      <w:highlight w:val="none"/>
                    </w:rPr>
                    <w:t>考核情况</w:t>
                  </w:r>
                </w:p>
              </w:tc>
              <w:tc>
                <w:tcPr>
                  <w:tcW w:w="791" w:type="dxa"/>
                  <w:shd w:val="clear" w:color="auto" w:fill="auto"/>
                  <w:vAlign w:val="center"/>
                </w:tcPr>
                <w:p w14:paraId="02222724">
                  <w:pPr>
                    <w:spacing w:line="360" w:lineRule="auto"/>
                    <w:jc w:val="center"/>
                    <w:rPr>
                      <w:rFonts w:ascii="Calibri" w:hAnsi="Calibri" w:cs="宋体"/>
                      <w:b/>
                      <w:bCs/>
                      <w:color w:val="auto"/>
                      <w:szCs w:val="21"/>
                      <w:highlight w:val="none"/>
                    </w:rPr>
                  </w:pPr>
                  <w:r>
                    <w:rPr>
                      <w:rFonts w:hint="eastAsia" w:cs="宋体"/>
                      <w:b/>
                      <w:bCs/>
                      <w:color w:val="auto"/>
                      <w:szCs w:val="21"/>
                      <w:highlight w:val="none"/>
                    </w:rPr>
                    <w:t>扣分情况</w:t>
                  </w:r>
                </w:p>
              </w:tc>
              <w:tc>
                <w:tcPr>
                  <w:tcW w:w="776" w:type="dxa"/>
                  <w:shd w:val="clear" w:color="auto" w:fill="auto"/>
                  <w:vAlign w:val="center"/>
                </w:tcPr>
                <w:p w14:paraId="1BC3C8EB">
                  <w:pPr>
                    <w:spacing w:line="360" w:lineRule="auto"/>
                    <w:jc w:val="center"/>
                    <w:rPr>
                      <w:rFonts w:ascii="Calibri" w:hAnsi="Calibri" w:cs="宋体"/>
                      <w:b/>
                      <w:bCs/>
                      <w:color w:val="auto"/>
                      <w:szCs w:val="21"/>
                      <w:highlight w:val="none"/>
                    </w:rPr>
                  </w:pPr>
                  <w:r>
                    <w:rPr>
                      <w:rFonts w:hint="eastAsia" w:cs="宋体"/>
                      <w:b/>
                      <w:bCs/>
                      <w:color w:val="auto"/>
                      <w:szCs w:val="21"/>
                      <w:highlight w:val="none"/>
                    </w:rPr>
                    <w:t>扣分说明</w:t>
                  </w:r>
                </w:p>
              </w:tc>
              <w:tc>
                <w:tcPr>
                  <w:tcW w:w="737" w:type="dxa"/>
                  <w:shd w:val="clear" w:color="auto" w:fill="auto"/>
                  <w:vAlign w:val="center"/>
                </w:tcPr>
                <w:p w14:paraId="6CAEE94B">
                  <w:pPr>
                    <w:spacing w:line="360" w:lineRule="auto"/>
                    <w:jc w:val="center"/>
                    <w:rPr>
                      <w:rFonts w:ascii="Calibri" w:hAnsi="Calibri" w:cs="宋体"/>
                      <w:b/>
                      <w:bCs/>
                      <w:color w:val="auto"/>
                      <w:szCs w:val="21"/>
                      <w:highlight w:val="none"/>
                    </w:rPr>
                  </w:pPr>
                  <w:r>
                    <w:rPr>
                      <w:rFonts w:hint="eastAsia" w:cs="宋体"/>
                      <w:b/>
                      <w:bCs/>
                      <w:color w:val="auto"/>
                      <w:szCs w:val="21"/>
                      <w:highlight w:val="none"/>
                    </w:rPr>
                    <w:t>备注</w:t>
                  </w:r>
                </w:p>
              </w:tc>
            </w:tr>
            <w:tr w14:paraId="77F4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49322E3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A0B6DF9">
                  <w:pPr>
                    <w:spacing w:line="360" w:lineRule="auto"/>
                    <w:rPr>
                      <w:rFonts w:ascii="Calibri" w:hAnsi="Calibri" w:cs="宋体"/>
                      <w:color w:val="auto"/>
                      <w:szCs w:val="21"/>
                      <w:highlight w:val="none"/>
                    </w:rPr>
                  </w:pPr>
                  <w:r>
                    <w:rPr>
                      <w:rFonts w:hint="eastAsia" w:ascii="宋体" w:hAnsi="宋体" w:cs="宋体"/>
                      <w:color w:val="auto"/>
                      <w:szCs w:val="21"/>
                      <w:highlight w:val="none"/>
                    </w:rPr>
                    <w:t>值班期间有睡岗，未按规定着装、吸烟、酗酒上岗等违反值班规定的，发现一次扣1分</w:t>
                  </w:r>
                </w:p>
              </w:tc>
              <w:tc>
                <w:tcPr>
                  <w:tcW w:w="791" w:type="dxa"/>
                </w:tcPr>
                <w:p w14:paraId="37588D3E">
                  <w:pPr>
                    <w:spacing w:line="360" w:lineRule="auto"/>
                    <w:rPr>
                      <w:rFonts w:ascii="Calibri" w:hAnsi="Calibri" w:cs="宋体"/>
                      <w:color w:val="auto"/>
                      <w:szCs w:val="21"/>
                      <w:highlight w:val="none"/>
                    </w:rPr>
                  </w:pPr>
                </w:p>
              </w:tc>
              <w:tc>
                <w:tcPr>
                  <w:tcW w:w="776" w:type="dxa"/>
                </w:tcPr>
                <w:p w14:paraId="4B34C621">
                  <w:pPr>
                    <w:spacing w:line="360" w:lineRule="auto"/>
                    <w:rPr>
                      <w:rFonts w:ascii="Calibri" w:hAnsi="Calibri" w:cs="宋体"/>
                      <w:color w:val="auto"/>
                      <w:szCs w:val="21"/>
                      <w:highlight w:val="none"/>
                    </w:rPr>
                  </w:pPr>
                </w:p>
              </w:tc>
              <w:tc>
                <w:tcPr>
                  <w:tcW w:w="737" w:type="dxa"/>
                </w:tcPr>
                <w:p w14:paraId="62AB4987">
                  <w:pPr>
                    <w:spacing w:line="360" w:lineRule="auto"/>
                    <w:rPr>
                      <w:rFonts w:ascii="Calibri" w:hAnsi="Calibri" w:cs="宋体"/>
                      <w:color w:val="auto"/>
                      <w:szCs w:val="21"/>
                      <w:highlight w:val="none"/>
                    </w:rPr>
                  </w:pPr>
                </w:p>
              </w:tc>
            </w:tr>
            <w:tr w14:paraId="601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vAlign w:val="center"/>
                </w:tcPr>
                <w:p w14:paraId="5980912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029FEE4E">
                  <w:pPr>
                    <w:spacing w:line="360" w:lineRule="auto"/>
                    <w:rPr>
                      <w:rFonts w:ascii="Calibri" w:hAnsi="Calibri" w:cs="宋体"/>
                      <w:color w:val="auto"/>
                      <w:szCs w:val="21"/>
                      <w:highlight w:val="none"/>
                    </w:rPr>
                  </w:pPr>
                  <w:r>
                    <w:rPr>
                      <w:rFonts w:hint="eastAsia" w:ascii="宋体" w:hAnsi="宋体" w:cs="宋体"/>
                      <w:color w:val="auto"/>
                      <w:szCs w:val="21"/>
                      <w:highlight w:val="none"/>
                    </w:rPr>
                    <w:t>值班人员不履行岗位职责或不服从保卫处工作安排的，每人次扣2分</w:t>
                  </w:r>
                </w:p>
              </w:tc>
              <w:tc>
                <w:tcPr>
                  <w:tcW w:w="791" w:type="dxa"/>
                </w:tcPr>
                <w:p w14:paraId="6A6519E4">
                  <w:pPr>
                    <w:spacing w:line="360" w:lineRule="auto"/>
                    <w:rPr>
                      <w:rFonts w:ascii="Calibri" w:hAnsi="Calibri" w:cs="宋体"/>
                      <w:color w:val="auto"/>
                      <w:szCs w:val="21"/>
                      <w:highlight w:val="none"/>
                    </w:rPr>
                  </w:pPr>
                </w:p>
              </w:tc>
              <w:tc>
                <w:tcPr>
                  <w:tcW w:w="776" w:type="dxa"/>
                </w:tcPr>
                <w:p w14:paraId="3C5998E7">
                  <w:pPr>
                    <w:spacing w:line="360" w:lineRule="auto"/>
                    <w:rPr>
                      <w:rFonts w:ascii="Calibri" w:hAnsi="Calibri" w:cs="宋体"/>
                      <w:color w:val="auto"/>
                      <w:szCs w:val="21"/>
                      <w:highlight w:val="none"/>
                    </w:rPr>
                  </w:pPr>
                </w:p>
              </w:tc>
              <w:tc>
                <w:tcPr>
                  <w:tcW w:w="737" w:type="dxa"/>
                </w:tcPr>
                <w:p w14:paraId="7AAB6261">
                  <w:pPr>
                    <w:spacing w:line="360" w:lineRule="auto"/>
                    <w:rPr>
                      <w:rFonts w:ascii="Calibri" w:hAnsi="Calibri" w:cs="宋体"/>
                      <w:color w:val="auto"/>
                      <w:szCs w:val="21"/>
                      <w:highlight w:val="none"/>
                    </w:rPr>
                  </w:pPr>
                </w:p>
              </w:tc>
            </w:tr>
            <w:tr w14:paraId="6CC8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3B5F9F71">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069946C">
                  <w:pPr>
                    <w:spacing w:line="360" w:lineRule="auto"/>
                    <w:rPr>
                      <w:rFonts w:ascii="Calibri" w:hAnsi="Calibri" w:cs="宋体"/>
                      <w:color w:val="auto"/>
                      <w:szCs w:val="21"/>
                      <w:highlight w:val="none"/>
                    </w:rPr>
                  </w:pPr>
                  <w:r>
                    <w:rPr>
                      <w:rFonts w:hint="eastAsia" w:ascii="宋体" w:hAnsi="宋体" w:cs="宋体"/>
                      <w:color w:val="auto"/>
                      <w:szCs w:val="21"/>
                      <w:highlight w:val="none"/>
                    </w:rPr>
                    <w:t>值班人员在岗时不按规定检查离校物资出门证，导致学校及师生财物流失的，除照价赔偿外，每次扣2分</w:t>
                  </w:r>
                </w:p>
              </w:tc>
              <w:tc>
                <w:tcPr>
                  <w:tcW w:w="791" w:type="dxa"/>
                </w:tcPr>
                <w:p w14:paraId="4C1DF4C9">
                  <w:pPr>
                    <w:spacing w:line="360" w:lineRule="auto"/>
                    <w:rPr>
                      <w:rFonts w:ascii="Calibri" w:hAnsi="Calibri" w:cs="宋体"/>
                      <w:color w:val="auto"/>
                      <w:szCs w:val="21"/>
                      <w:highlight w:val="none"/>
                    </w:rPr>
                  </w:pPr>
                </w:p>
              </w:tc>
              <w:tc>
                <w:tcPr>
                  <w:tcW w:w="776" w:type="dxa"/>
                </w:tcPr>
                <w:p w14:paraId="03F224A8">
                  <w:pPr>
                    <w:spacing w:line="360" w:lineRule="auto"/>
                    <w:rPr>
                      <w:rFonts w:ascii="Calibri" w:hAnsi="Calibri" w:cs="宋体"/>
                      <w:color w:val="auto"/>
                      <w:szCs w:val="21"/>
                      <w:highlight w:val="none"/>
                    </w:rPr>
                  </w:pPr>
                </w:p>
              </w:tc>
              <w:tc>
                <w:tcPr>
                  <w:tcW w:w="737" w:type="dxa"/>
                </w:tcPr>
                <w:p w14:paraId="0139643D">
                  <w:pPr>
                    <w:spacing w:line="360" w:lineRule="auto"/>
                    <w:rPr>
                      <w:rFonts w:ascii="Calibri" w:hAnsi="Calibri" w:cs="宋体"/>
                      <w:color w:val="auto"/>
                      <w:szCs w:val="21"/>
                      <w:highlight w:val="none"/>
                    </w:rPr>
                  </w:pPr>
                </w:p>
              </w:tc>
            </w:tr>
            <w:tr w14:paraId="40E1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6EC43435">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74A4D034">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保安人员由于失职而造成重大事故的，中标人须赔偿一切经济损失，并将责任人移交公安机关处理，同时每次扣10分</w:t>
                  </w:r>
                </w:p>
              </w:tc>
              <w:tc>
                <w:tcPr>
                  <w:tcW w:w="791" w:type="dxa"/>
                </w:tcPr>
                <w:p w14:paraId="1821F1FF">
                  <w:pPr>
                    <w:spacing w:line="360" w:lineRule="auto"/>
                    <w:rPr>
                      <w:rFonts w:ascii="Calibri" w:hAnsi="Calibri" w:cs="宋体"/>
                      <w:color w:val="auto"/>
                      <w:szCs w:val="21"/>
                      <w:highlight w:val="none"/>
                    </w:rPr>
                  </w:pPr>
                </w:p>
              </w:tc>
              <w:tc>
                <w:tcPr>
                  <w:tcW w:w="776" w:type="dxa"/>
                </w:tcPr>
                <w:p w14:paraId="07332109">
                  <w:pPr>
                    <w:spacing w:line="360" w:lineRule="auto"/>
                    <w:rPr>
                      <w:rFonts w:ascii="Calibri" w:hAnsi="Calibri" w:cs="宋体"/>
                      <w:color w:val="auto"/>
                      <w:szCs w:val="21"/>
                      <w:highlight w:val="none"/>
                    </w:rPr>
                  </w:pPr>
                </w:p>
              </w:tc>
              <w:tc>
                <w:tcPr>
                  <w:tcW w:w="737" w:type="dxa"/>
                </w:tcPr>
                <w:p w14:paraId="3A41E9BF">
                  <w:pPr>
                    <w:spacing w:line="360" w:lineRule="auto"/>
                    <w:rPr>
                      <w:rFonts w:ascii="Calibri" w:hAnsi="Calibri" w:cs="宋体"/>
                      <w:color w:val="auto"/>
                      <w:szCs w:val="21"/>
                      <w:highlight w:val="none"/>
                    </w:rPr>
                  </w:pPr>
                </w:p>
              </w:tc>
            </w:tr>
            <w:tr w14:paraId="4CEF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442C704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3929978A">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保安人员如有偷盗或其他违法犯罪行为，中标人必须承担一切经济损失和法律责任，每次扣10分</w:t>
                  </w:r>
                </w:p>
              </w:tc>
              <w:tc>
                <w:tcPr>
                  <w:tcW w:w="791" w:type="dxa"/>
                </w:tcPr>
                <w:p w14:paraId="55C4D878">
                  <w:pPr>
                    <w:spacing w:line="360" w:lineRule="auto"/>
                    <w:rPr>
                      <w:rFonts w:ascii="Calibri" w:hAnsi="Calibri" w:cs="宋体"/>
                      <w:color w:val="auto"/>
                      <w:szCs w:val="21"/>
                      <w:highlight w:val="none"/>
                    </w:rPr>
                  </w:pPr>
                </w:p>
              </w:tc>
              <w:tc>
                <w:tcPr>
                  <w:tcW w:w="776" w:type="dxa"/>
                </w:tcPr>
                <w:p w14:paraId="1488548C">
                  <w:pPr>
                    <w:spacing w:line="360" w:lineRule="auto"/>
                    <w:rPr>
                      <w:rFonts w:ascii="Calibri" w:hAnsi="Calibri" w:cs="宋体"/>
                      <w:color w:val="auto"/>
                      <w:szCs w:val="21"/>
                      <w:highlight w:val="none"/>
                    </w:rPr>
                  </w:pPr>
                </w:p>
              </w:tc>
              <w:tc>
                <w:tcPr>
                  <w:tcW w:w="737" w:type="dxa"/>
                </w:tcPr>
                <w:p w14:paraId="32FFDD52">
                  <w:pPr>
                    <w:spacing w:line="360" w:lineRule="auto"/>
                    <w:rPr>
                      <w:rFonts w:ascii="Calibri" w:hAnsi="Calibri" w:cs="宋体"/>
                      <w:color w:val="auto"/>
                      <w:szCs w:val="21"/>
                      <w:highlight w:val="none"/>
                    </w:rPr>
                  </w:pPr>
                </w:p>
              </w:tc>
            </w:tr>
            <w:tr w14:paraId="048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649C2DBE">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FD7017E">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保安人员粗暴值勤，被老师和学生投诉或与师生发生肢体冲突的，除将责任人移交公安部门处理外，每次扣10分</w:t>
                  </w:r>
                </w:p>
              </w:tc>
              <w:tc>
                <w:tcPr>
                  <w:tcW w:w="791" w:type="dxa"/>
                </w:tcPr>
                <w:p w14:paraId="35AE9708">
                  <w:pPr>
                    <w:spacing w:line="360" w:lineRule="auto"/>
                    <w:rPr>
                      <w:rFonts w:ascii="Calibri" w:hAnsi="Calibri" w:cs="宋体"/>
                      <w:color w:val="auto"/>
                      <w:szCs w:val="21"/>
                      <w:highlight w:val="none"/>
                    </w:rPr>
                  </w:pPr>
                </w:p>
              </w:tc>
              <w:tc>
                <w:tcPr>
                  <w:tcW w:w="776" w:type="dxa"/>
                </w:tcPr>
                <w:p w14:paraId="4082654F">
                  <w:pPr>
                    <w:spacing w:line="360" w:lineRule="auto"/>
                    <w:rPr>
                      <w:rFonts w:ascii="Calibri" w:hAnsi="Calibri" w:cs="宋体"/>
                      <w:color w:val="auto"/>
                      <w:szCs w:val="21"/>
                      <w:highlight w:val="none"/>
                    </w:rPr>
                  </w:pPr>
                </w:p>
              </w:tc>
              <w:tc>
                <w:tcPr>
                  <w:tcW w:w="737" w:type="dxa"/>
                </w:tcPr>
                <w:p w14:paraId="1448EB9C">
                  <w:pPr>
                    <w:spacing w:line="360" w:lineRule="auto"/>
                    <w:rPr>
                      <w:rFonts w:ascii="Calibri" w:hAnsi="Calibri" w:cs="宋体"/>
                      <w:color w:val="auto"/>
                      <w:szCs w:val="21"/>
                      <w:highlight w:val="none"/>
                    </w:rPr>
                  </w:pPr>
                </w:p>
              </w:tc>
            </w:tr>
            <w:tr w14:paraId="5307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648" w:type="dxa"/>
                  <w:vAlign w:val="center"/>
                </w:tcPr>
                <w:p w14:paraId="2296404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454978AD">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保安人员在值班期间被发现有脱岗、串岗等情况的，每人次扣2分，若造成重大损失的（5万元以上），每人次扣10分</w:t>
                  </w:r>
                </w:p>
              </w:tc>
              <w:tc>
                <w:tcPr>
                  <w:tcW w:w="791" w:type="dxa"/>
                </w:tcPr>
                <w:p w14:paraId="2AE589CA">
                  <w:pPr>
                    <w:spacing w:line="360" w:lineRule="auto"/>
                    <w:rPr>
                      <w:rFonts w:ascii="Calibri" w:hAnsi="Calibri" w:cs="宋体"/>
                      <w:color w:val="auto"/>
                      <w:szCs w:val="21"/>
                      <w:highlight w:val="none"/>
                    </w:rPr>
                  </w:pPr>
                </w:p>
              </w:tc>
              <w:tc>
                <w:tcPr>
                  <w:tcW w:w="776" w:type="dxa"/>
                </w:tcPr>
                <w:p w14:paraId="2445156D">
                  <w:pPr>
                    <w:spacing w:line="360" w:lineRule="auto"/>
                    <w:rPr>
                      <w:rFonts w:ascii="Calibri" w:hAnsi="Calibri" w:cs="宋体"/>
                      <w:color w:val="auto"/>
                      <w:szCs w:val="21"/>
                      <w:highlight w:val="none"/>
                    </w:rPr>
                  </w:pPr>
                </w:p>
              </w:tc>
              <w:tc>
                <w:tcPr>
                  <w:tcW w:w="737" w:type="dxa"/>
                </w:tcPr>
                <w:p w14:paraId="7AB563F7">
                  <w:pPr>
                    <w:spacing w:line="360" w:lineRule="auto"/>
                    <w:rPr>
                      <w:rFonts w:ascii="Calibri" w:hAnsi="Calibri" w:cs="宋体"/>
                      <w:color w:val="auto"/>
                      <w:szCs w:val="21"/>
                      <w:highlight w:val="none"/>
                    </w:rPr>
                  </w:pPr>
                </w:p>
              </w:tc>
            </w:tr>
            <w:tr w14:paraId="0BAC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127AABE3">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BD86ABB">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保安人员涉及造谣、传谣、引发重大社会舆情、泄漏学校机密等行为，每次扣20分</w:t>
                  </w:r>
                </w:p>
              </w:tc>
              <w:tc>
                <w:tcPr>
                  <w:tcW w:w="791" w:type="dxa"/>
                </w:tcPr>
                <w:p w14:paraId="18EADEE5">
                  <w:pPr>
                    <w:spacing w:line="360" w:lineRule="auto"/>
                    <w:rPr>
                      <w:rFonts w:ascii="Calibri" w:hAnsi="Calibri" w:cs="宋体"/>
                      <w:color w:val="auto"/>
                      <w:szCs w:val="21"/>
                      <w:highlight w:val="none"/>
                    </w:rPr>
                  </w:pPr>
                </w:p>
              </w:tc>
              <w:tc>
                <w:tcPr>
                  <w:tcW w:w="776" w:type="dxa"/>
                </w:tcPr>
                <w:p w14:paraId="357F24F9">
                  <w:pPr>
                    <w:spacing w:line="360" w:lineRule="auto"/>
                    <w:rPr>
                      <w:rFonts w:ascii="Calibri" w:hAnsi="Calibri" w:cs="宋体"/>
                      <w:color w:val="auto"/>
                      <w:szCs w:val="21"/>
                      <w:highlight w:val="none"/>
                    </w:rPr>
                  </w:pPr>
                </w:p>
              </w:tc>
              <w:tc>
                <w:tcPr>
                  <w:tcW w:w="737" w:type="dxa"/>
                </w:tcPr>
                <w:p w14:paraId="2C538D8C">
                  <w:pPr>
                    <w:spacing w:line="360" w:lineRule="auto"/>
                    <w:rPr>
                      <w:rFonts w:ascii="Calibri" w:hAnsi="Calibri" w:cs="宋体"/>
                      <w:color w:val="auto"/>
                      <w:szCs w:val="21"/>
                      <w:highlight w:val="none"/>
                    </w:rPr>
                  </w:pPr>
                </w:p>
              </w:tc>
            </w:tr>
            <w:tr w14:paraId="4FD4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vAlign w:val="center"/>
                </w:tcPr>
                <w:p w14:paraId="5DB0C06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36392FF3">
                  <w:pPr>
                    <w:spacing w:line="360" w:lineRule="auto"/>
                    <w:rPr>
                      <w:rFonts w:ascii="Calibri" w:hAnsi="Calibri" w:cs="宋体"/>
                      <w:color w:val="auto"/>
                      <w:szCs w:val="21"/>
                      <w:highlight w:val="none"/>
                    </w:rPr>
                  </w:pPr>
                  <w:r>
                    <w:rPr>
                      <w:rFonts w:hint="eastAsia" w:ascii="宋体" w:hAnsi="宋体" w:cs="宋体"/>
                      <w:color w:val="auto"/>
                      <w:szCs w:val="21"/>
                      <w:highlight w:val="none"/>
                    </w:rPr>
                    <w:t>其它工作不到位造成严重影响的，依照以上情况作相应处理。</w:t>
                  </w:r>
                </w:p>
              </w:tc>
              <w:tc>
                <w:tcPr>
                  <w:tcW w:w="791" w:type="dxa"/>
                </w:tcPr>
                <w:p w14:paraId="662D4FB4">
                  <w:pPr>
                    <w:spacing w:line="360" w:lineRule="auto"/>
                    <w:rPr>
                      <w:rFonts w:ascii="Calibri" w:hAnsi="Calibri" w:cs="宋体"/>
                      <w:color w:val="auto"/>
                      <w:szCs w:val="21"/>
                      <w:highlight w:val="none"/>
                    </w:rPr>
                  </w:pPr>
                </w:p>
              </w:tc>
              <w:tc>
                <w:tcPr>
                  <w:tcW w:w="776" w:type="dxa"/>
                </w:tcPr>
                <w:p w14:paraId="740A0C75">
                  <w:pPr>
                    <w:spacing w:line="360" w:lineRule="auto"/>
                    <w:rPr>
                      <w:rFonts w:ascii="Calibri" w:hAnsi="Calibri" w:cs="宋体"/>
                      <w:color w:val="auto"/>
                      <w:szCs w:val="21"/>
                      <w:highlight w:val="none"/>
                    </w:rPr>
                  </w:pPr>
                </w:p>
              </w:tc>
              <w:tc>
                <w:tcPr>
                  <w:tcW w:w="737" w:type="dxa"/>
                </w:tcPr>
                <w:p w14:paraId="0E24C8FE">
                  <w:pPr>
                    <w:spacing w:line="360" w:lineRule="auto"/>
                    <w:rPr>
                      <w:rFonts w:ascii="Calibri" w:hAnsi="Calibri" w:cs="宋体"/>
                      <w:color w:val="auto"/>
                      <w:szCs w:val="21"/>
                      <w:highlight w:val="none"/>
                    </w:rPr>
                  </w:pPr>
                </w:p>
              </w:tc>
            </w:tr>
            <w:tr w14:paraId="121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35D79015">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4E8B909D">
                  <w:pPr>
                    <w:spacing w:line="360" w:lineRule="auto"/>
                    <w:rPr>
                      <w:rFonts w:ascii="Calibri" w:hAnsi="Calibri" w:cs="宋体"/>
                      <w:color w:val="auto"/>
                      <w:szCs w:val="21"/>
                      <w:highlight w:val="none"/>
                    </w:rPr>
                  </w:pPr>
                  <w:r>
                    <w:rPr>
                      <w:rFonts w:hint="eastAsia" w:ascii="宋体" w:hAnsi="宋体" w:cs="宋体"/>
                      <w:color w:val="auto"/>
                      <w:szCs w:val="21"/>
                      <w:highlight w:val="none"/>
                    </w:rPr>
                    <w:t>在处理突发事件过程中，保安队员出现畏缩不前、不听从采购人指令的，每次扣15分。</w:t>
                  </w:r>
                </w:p>
              </w:tc>
              <w:tc>
                <w:tcPr>
                  <w:tcW w:w="791" w:type="dxa"/>
                </w:tcPr>
                <w:p w14:paraId="3A21D9B5">
                  <w:pPr>
                    <w:spacing w:line="360" w:lineRule="auto"/>
                    <w:rPr>
                      <w:rFonts w:ascii="Calibri" w:hAnsi="Calibri" w:cs="宋体"/>
                      <w:color w:val="auto"/>
                      <w:szCs w:val="21"/>
                      <w:highlight w:val="none"/>
                    </w:rPr>
                  </w:pPr>
                </w:p>
              </w:tc>
              <w:tc>
                <w:tcPr>
                  <w:tcW w:w="776" w:type="dxa"/>
                </w:tcPr>
                <w:p w14:paraId="7B488A8E">
                  <w:pPr>
                    <w:spacing w:line="360" w:lineRule="auto"/>
                    <w:rPr>
                      <w:rFonts w:ascii="Calibri" w:hAnsi="Calibri" w:cs="宋体"/>
                      <w:color w:val="auto"/>
                      <w:szCs w:val="21"/>
                      <w:highlight w:val="none"/>
                    </w:rPr>
                  </w:pPr>
                </w:p>
              </w:tc>
              <w:tc>
                <w:tcPr>
                  <w:tcW w:w="737" w:type="dxa"/>
                </w:tcPr>
                <w:p w14:paraId="1B7C3BC4">
                  <w:pPr>
                    <w:spacing w:line="360" w:lineRule="auto"/>
                    <w:rPr>
                      <w:rFonts w:ascii="Calibri" w:hAnsi="Calibri" w:cs="宋体"/>
                      <w:color w:val="auto"/>
                      <w:szCs w:val="21"/>
                      <w:highlight w:val="none"/>
                    </w:rPr>
                  </w:pPr>
                </w:p>
              </w:tc>
            </w:tr>
            <w:tr w14:paraId="0665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648" w:type="dxa"/>
                  <w:vAlign w:val="center"/>
                </w:tcPr>
                <w:p w14:paraId="16C96DCC">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01CB4E64">
                  <w:pPr>
                    <w:spacing w:line="360" w:lineRule="auto"/>
                    <w:rPr>
                      <w:rFonts w:ascii="Calibri" w:hAnsi="Calibri" w:cs="宋体"/>
                      <w:color w:val="auto"/>
                      <w:szCs w:val="21"/>
                      <w:highlight w:val="none"/>
                    </w:rPr>
                  </w:pPr>
                  <w:r>
                    <w:rPr>
                      <w:rFonts w:hint="eastAsia" w:ascii="宋体" w:hAnsi="宋体" w:cs="宋体"/>
                      <w:color w:val="auto"/>
                      <w:szCs w:val="21"/>
                      <w:highlight w:val="none"/>
                    </w:rPr>
                    <w:t>未经采购人许可随意更换或提拔保安管理人员、在队员招聘过程中任人唯亲、放松管理或未按招标文件要求招聘队员，保安队员人数与实际人数严重不符的，一经查实，扣除当季度考核分30分。</w:t>
                  </w:r>
                </w:p>
              </w:tc>
              <w:tc>
                <w:tcPr>
                  <w:tcW w:w="791" w:type="dxa"/>
                </w:tcPr>
                <w:p w14:paraId="0E06CF8B">
                  <w:pPr>
                    <w:spacing w:line="360" w:lineRule="auto"/>
                    <w:rPr>
                      <w:rFonts w:ascii="Calibri" w:hAnsi="Calibri" w:cs="宋体"/>
                      <w:color w:val="auto"/>
                      <w:szCs w:val="21"/>
                      <w:highlight w:val="none"/>
                    </w:rPr>
                  </w:pPr>
                </w:p>
              </w:tc>
              <w:tc>
                <w:tcPr>
                  <w:tcW w:w="776" w:type="dxa"/>
                </w:tcPr>
                <w:p w14:paraId="542597F8">
                  <w:pPr>
                    <w:spacing w:line="360" w:lineRule="auto"/>
                    <w:rPr>
                      <w:rFonts w:ascii="Calibri" w:hAnsi="Calibri" w:cs="宋体"/>
                      <w:color w:val="auto"/>
                      <w:szCs w:val="21"/>
                      <w:highlight w:val="none"/>
                    </w:rPr>
                  </w:pPr>
                </w:p>
              </w:tc>
              <w:tc>
                <w:tcPr>
                  <w:tcW w:w="737" w:type="dxa"/>
                </w:tcPr>
                <w:p w14:paraId="7A80EBA1">
                  <w:pPr>
                    <w:spacing w:line="360" w:lineRule="auto"/>
                    <w:rPr>
                      <w:rFonts w:ascii="Calibri" w:hAnsi="Calibri" w:cs="宋体"/>
                      <w:color w:val="auto"/>
                      <w:szCs w:val="21"/>
                      <w:highlight w:val="none"/>
                    </w:rPr>
                  </w:pPr>
                </w:p>
              </w:tc>
            </w:tr>
            <w:tr w14:paraId="79BA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48" w:type="dxa"/>
                  <w:vAlign w:val="center"/>
                </w:tcPr>
                <w:p w14:paraId="089A46B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76A0F5DB">
                  <w:pPr>
                    <w:spacing w:line="360" w:lineRule="auto"/>
                    <w:rPr>
                      <w:rFonts w:ascii="Calibri" w:hAnsi="Calibri" w:cs="宋体"/>
                      <w:color w:val="auto"/>
                      <w:szCs w:val="21"/>
                      <w:highlight w:val="none"/>
                    </w:rPr>
                  </w:pPr>
                  <w:r>
                    <w:rPr>
                      <w:rFonts w:hint="eastAsia" w:ascii="宋体" w:hAnsi="宋体" w:cs="宋体"/>
                      <w:color w:val="auto"/>
                      <w:szCs w:val="21"/>
                      <w:highlight w:val="none"/>
                    </w:rPr>
                    <w:t>中标人在处理内部劳务纠纷或解决队员意外伤害事故过程中互相推诿而引发针对采购人重大舆情、严重影响采购人形象的，扣除当季度考核分30分。</w:t>
                  </w:r>
                </w:p>
              </w:tc>
              <w:tc>
                <w:tcPr>
                  <w:tcW w:w="791" w:type="dxa"/>
                </w:tcPr>
                <w:p w14:paraId="0C777CEC">
                  <w:pPr>
                    <w:spacing w:line="360" w:lineRule="auto"/>
                    <w:rPr>
                      <w:rFonts w:ascii="Calibri" w:hAnsi="Calibri" w:cs="宋体"/>
                      <w:color w:val="auto"/>
                      <w:szCs w:val="21"/>
                      <w:highlight w:val="none"/>
                    </w:rPr>
                  </w:pPr>
                </w:p>
              </w:tc>
              <w:tc>
                <w:tcPr>
                  <w:tcW w:w="776" w:type="dxa"/>
                </w:tcPr>
                <w:p w14:paraId="735BEACF">
                  <w:pPr>
                    <w:spacing w:line="360" w:lineRule="auto"/>
                    <w:rPr>
                      <w:rFonts w:ascii="Calibri" w:hAnsi="Calibri" w:cs="宋体"/>
                      <w:color w:val="auto"/>
                      <w:szCs w:val="21"/>
                      <w:highlight w:val="none"/>
                    </w:rPr>
                  </w:pPr>
                </w:p>
              </w:tc>
              <w:tc>
                <w:tcPr>
                  <w:tcW w:w="737" w:type="dxa"/>
                </w:tcPr>
                <w:p w14:paraId="1666AD31">
                  <w:pPr>
                    <w:spacing w:line="360" w:lineRule="auto"/>
                    <w:rPr>
                      <w:rFonts w:ascii="Calibri" w:hAnsi="Calibri" w:cs="宋体"/>
                      <w:color w:val="auto"/>
                      <w:szCs w:val="21"/>
                      <w:highlight w:val="none"/>
                    </w:rPr>
                  </w:pPr>
                </w:p>
              </w:tc>
            </w:tr>
            <w:tr w14:paraId="0F89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860" w:type="dxa"/>
                  <w:gridSpan w:val="5"/>
                </w:tcPr>
                <w:p w14:paraId="32706B28">
                  <w:pPr>
                    <w:spacing w:line="360" w:lineRule="auto"/>
                    <w:rPr>
                      <w:rFonts w:ascii="Calibri" w:hAnsi="Calibri" w:cs="宋体"/>
                      <w:color w:val="auto"/>
                      <w:szCs w:val="21"/>
                      <w:highlight w:val="none"/>
                    </w:rPr>
                  </w:pPr>
                  <w:r>
                    <w:rPr>
                      <w:rFonts w:hint="eastAsia" w:ascii="宋体" w:hAnsi="宋体" w:cs="宋体"/>
                      <w:color w:val="auto"/>
                      <w:szCs w:val="21"/>
                      <w:highlight w:val="none"/>
                    </w:rPr>
                    <w:t>考核总分值设定为100分，每季度考核期内育才、王城两校区累计扣分达到30分，采购人立即要求中标人进行整改，下一个考核期内仍未达标，学校有权提前解除合同。</w:t>
                  </w:r>
                </w:p>
              </w:tc>
            </w:tr>
          </w:tbl>
          <w:p w14:paraId="190EA5FF">
            <w:pPr>
              <w:spacing w:line="360" w:lineRule="auto"/>
              <w:jc w:val="left"/>
              <w:rPr>
                <w:rFonts w:hAnsi="宋体" w:cs="宋体"/>
                <w:color w:val="auto"/>
                <w:szCs w:val="21"/>
                <w:highlight w:val="none"/>
              </w:rPr>
            </w:pPr>
          </w:p>
        </w:tc>
      </w:tr>
      <w:tr w14:paraId="356AD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44" w:type="dxa"/>
            <w:gridSpan w:val="4"/>
            <w:tcBorders>
              <w:top w:val="single" w:color="auto" w:sz="4" w:space="0"/>
              <w:left w:val="single" w:color="auto" w:sz="4" w:space="0"/>
              <w:bottom w:val="single" w:color="auto" w:sz="4" w:space="0"/>
              <w:right w:val="single" w:color="auto" w:sz="4" w:space="0"/>
            </w:tcBorders>
          </w:tcPr>
          <w:p w14:paraId="10C09BE4">
            <w:pPr>
              <w:spacing w:line="360" w:lineRule="auto"/>
              <w:rPr>
                <w:rFonts w:ascii="宋体" w:hAnsi="宋体"/>
                <w:b/>
                <w:bCs/>
                <w:color w:val="auto"/>
                <w:szCs w:val="21"/>
                <w:highlight w:val="none"/>
              </w:rPr>
            </w:pPr>
            <w:r>
              <w:rPr>
                <w:rFonts w:hint="eastAsia" w:ascii="宋体" w:hAnsi="宋体"/>
                <w:b/>
                <w:color w:val="auto"/>
                <w:szCs w:val="21"/>
                <w:highlight w:val="none"/>
              </w:rPr>
              <w:t>一、商务要求</w:t>
            </w:r>
          </w:p>
        </w:tc>
      </w:tr>
      <w:tr w14:paraId="5170F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7C569C1">
            <w:pPr>
              <w:spacing w:line="360" w:lineRule="auto"/>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color w:val="auto"/>
                <w:szCs w:val="21"/>
                <w:highlight w:val="none"/>
              </w:rPr>
              <w:t>（一）合同签订时间</w:t>
            </w:r>
          </w:p>
        </w:tc>
        <w:tc>
          <w:tcPr>
            <w:tcW w:w="7436" w:type="dxa"/>
            <w:tcBorders>
              <w:top w:val="single" w:color="auto" w:sz="4" w:space="0"/>
              <w:left w:val="single" w:color="auto" w:sz="4" w:space="0"/>
              <w:bottom w:val="single" w:color="auto" w:sz="4" w:space="0"/>
              <w:right w:val="single" w:color="auto" w:sz="4" w:space="0"/>
            </w:tcBorders>
            <w:vAlign w:val="center"/>
          </w:tcPr>
          <w:p w14:paraId="6BF48744">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自中标通知书发出之日起25日内。</w:t>
            </w:r>
          </w:p>
        </w:tc>
      </w:tr>
      <w:tr w14:paraId="2E0DB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6F27E8CD">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（二）验收标准</w:t>
            </w:r>
          </w:p>
        </w:tc>
        <w:tc>
          <w:tcPr>
            <w:tcW w:w="7436" w:type="dxa"/>
            <w:tcBorders>
              <w:top w:val="single" w:color="auto" w:sz="4" w:space="0"/>
              <w:left w:val="single" w:color="auto" w:sz="4" w:space="0"/>
              <w:bottom w:val="single" w:color="auto" w:sz="4" w:space="0"/>
              <w:right w:val="single" w:color="auto" w:sz="4" w:space="0"/>
            </w:tcBorders>
            <w:vAlign w:val="center"/>
          </w:tcPr>
          <w:p w14:paraId="09BB331B">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符合国家相关法规、保安行业规范和采购人规定要求。</w:t>
            </w:r>
          </w:p>
        </w:tc>
      </w:tr>
      <w:tr w14:paraId="05230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tcPr>
          <w:p w14:paraId="57DEE4E9">
            <w:pPr>
              <w:spacing w:line="40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（三）服务地点</w:t>
            </w:r>
          </w:p>
        </w:tc>
        <w:tc>
          <w:tcPr>
            <w:tcW w:w="7436" w:type="dxa"/>
            <w:tcBorders>
              <w:top w:val="single" w:color="auto" w:sz="4" w:space="0"/>
              <w:left w:val="single" w:color="auto" w:sz="4" w:space="0"/>
              <w:bottom w:val="single" w:color="auto" w:sz="4" w:space="0"/>
              <w:right w:val="single" w:color="auto" w:sz="4" w:space="0"/>
            </w:tcBorders>
          </w:tcPr>
          <w:p w14:paraId="751F4A84">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广西师范大学育才校区（七星区育才路15号）、广西师范大学王城校区（桂林市秀峰区王城1号）  </w:t>
            </w:r>
          </w:p>
        </w:tc>
      </w:tr>
      <w:tr w14:paraId="74DEC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6AD4602D">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（四）服务期限</w:t>
            </w:r>
          </w:p>
        </w:tc>
        <w:tc>
          <w:tcPr>
            <w:tcW w:w="7436" w:type="dxa"/>
            <w:tcBorders>
              <w:top w:val="single" w:color="auto" w:sz="4" w:space="0"/>
              <w:left w:val="single" w:color="auto" w:sz="4" w:space="0"/>
              <w:bottom w:val="single" w:color="auto" w:sz="4" w:space="0"/>
              <w:right w:val="single" w:color="auto" w:sz="4" w:space="0"/>
            </w:tcBorders>
            <w:vAlign w:val="center"/>
          </w:tcPr>
          <w:p w14:paraId="70769926">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2026年1月1日至2027年12月31日</w:t>
            </w:r>
          </w:p>
        </w:tc>
      </w:tr>
      <w:tr w14:paraId="426BC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0E080EB">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w:t>
            </w:r>
            <w:r>
              <w:rPr>
                <w:rFonts w:hint="eastAsia" w:asciiTheme="majorEastAsia" w:hAnsiTheme="majorEastAsia" w:eastAsiaTheme="majorEastAsia" w:cstheme="majorEastAsia"/>
                <w:color w:val="auto"/>
                <w:szCs w:val="21"/>
                <w:highlight w:val="none"/>
                <w:lang w:bidi="en-US"/>
              </w:rPr>
              <w:t>服务标准</w:t>
            </w:r>
          </w:p>
        </w:tc>
        <w:tc>
          <w:tcPr>
            <w:tcW w:w="7436" w:type="dxa"/>
            <w:tcBorders>
              <w:top w:val="single" w:color="auto" w:sz="4" w:space="0"/>
              <w:left w:val="single" w:color="auto" w:sz="4" w:space="0"/>
              <w:bottom w:val="single" w:color="auto" w:sz="4" w:space="0"/>
              <w:right w:val="single" w:color="auto" w:sz="4" w:space="0"/>
            </w:tcBorders>
            <w:vAlign w:val="center"/>
          </w:tcPr>
          <w:p w14:paraId="60DBBA72">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1.符合国家相关法规、保安行业规范和采购人规定要求。实行定期考核，每季度作为一个考核期，达不到学校要求即刻解约。</w:t>
            </w:r>
          </w:p>
          <w:p w14:paraId="0567E5C0">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2.中标人应按照《中华人民共和国劳动法》的相关规定发放工资，服务人员工资不得低于同区域同行业最低工资标准（工资不含按国家规定中标人必须支付的社会保险及其他应付费用）。并按照《中华人民共和国社会保险法》等相关规定，支付国家规定必须购买的社会保险费用。</w:t>
            </w:r>
          </w:p>
        </w:tc>
      </w:tr>
      <w:tr w14:paraId="18D4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4B76DDF9">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（六）售后服务</w:t>
            </w:r>
          </w:p>
        </w:tc>
        <w:tc>
          <w:tcPr>
            <w:tcW w:w="7436" w:type="dxa"/>
            <w:tcBorders>
              <w:top w:val="single" w:color="auto" w:sz="4" w:space="0"/>
              <w:left w:val="single" w:color="auto" w:sz="4" w:space="0"/>
              <w:bottom w:val="single" w:color="auto" w:sz="4" w:space="0"/>
              <w:right w:val="single" w:color="auto" w:sz="4" w:space="0"/>
            </w:tcBorders>
            <w:vAlign w:val="center"/>
          </w:tcPr>
          <w:p w14:paraId="752B23E8">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 xml:space="preserve">中标人应当提供符合条件的安保需求，服务期内应当加强对安保工作进行监督和管理，定期开展考核考评，确保安保服务质量符合要求。   </w:t>
            </w:r>
          </w:p>
        </w:tc>
      </w:tr>
      <w:tr w14:paraId="3471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30E90182">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（七）付款条件</w:t>
            </w:r>
          </w:p>
        </w:tc>
        <w:tc>
          <w:tcPr>
            <w:tcW w:w="7436" w:type="dxa"/>
            <w:tcBorders>
              <w:top w:val="single" w:color="auto" w:sz="4" w:space="0"/>
              <w:left w:val="single" w:color="auto" w:sz="4" w:space="0"/>
              <w:bottom w:val="single" w:color="auto" w:sz="4" w:space="0"/>
              <w:right w:val="single" w:color="auto" w:sz="4" w:space="0"/>
            </w:tcBorders>
            <w:vAlign w:val="center"/>
          </w:tcPr>
          <w:p w14:paraId="1A73C46E">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bidi="en-US"/>
              </w:rPr>
              <w:t>合同期内，中标人每月5号前交上月发票，采购人于每月10日前（如遇节假日顺延至第一个工作日）为中标人办理上月服务费支付手续，中标人提供服务不足一个月时按日计算。</w:t>
            </w:r>
          </w:p>
        </w:tc>
      </w:tr>
      <w:tr w14:paraId="121F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36FB5696">
            <w:pPr>
              <w:spacing w:line="360" w:lineRule="auto"/>
              <w:rPr>
                <w:rFonts w:ascii="宋体" w:hAnsi="宋体"/>
                <w:bCs/>
                <w:color w:val="auto"/>
                <w:szCs w:val="21"/>
                <w:highlight w:val="none"/>
              </w:rPr>
            </w:pPr>
            <w:r>
              <w:rPr>
                <w:rFonts w:hint="eastAsia" w:ascii="宋体" w:hAnsi="宋体" w:cs="宋体"/>
                <w:bCs/>
                <w:color w:val="auto"/>
                <w:szCs w:val="21"/>
                <w:highlight w:val="none"/>
              </w:rPr>
              <w:t>（八）履约保证金</w:t>
            </w:r>
          </w:p>
        </w:tc>
        <w:tc>
          <w:tcPr>
            <w:tcW w:w="7436" w:type="dxa"/>
            <w:tcBorders>
              <w:top w:val="single" w:color="auto" w:sz="4" w:space="0"/>
              <w:left w:val="single" w:color="auto" w:sz="4" w:space="0"/>
              <w:bottom w:val="single" w:color="auto" w:sz="4" w:space="0"/>
              <w:right w:val="single" w:color="auto" w:sz="4" w:space="0"/>
            </w:tcBorders>
            <w:vAlign w:val="center"/>
          </w:tcPr>
          <w:p w14:paraId="46641D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1.履约保证金金额：</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17F91B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2.履约保证金递交方式：银行转账、支票、汇票、本票或者银行、保险机构出具的保函等非现金方式。</w:t>
            </w:r>
          </w:p>
          <w:p w14:paraId="1AF244C8">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3.履约保证金递交方式及相关要求</w:t>
            </w:r>
          </w:p>
          <w:p w14:paraId="2D8EB74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（1）履约保证金采用银行转账交纳方式的，中标人在签订合同前交至甲方指定账户并且到账。</w:t>
            </w:r>
          </w:p>
          <w:p w14:paraId="7EE8159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（2）履约保证金采用支票、汇票或本票交纳方式的，中标人在签订合同前，向甲方提交支票、汇票或本票原件。</w:t>
            </w:r>
          </w:p>
          <w:p w14:paraId="4EC17B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（3）履约保证金采用银行、保险机构出具的保函交纳方式的，中标人在签订合同前，向甲方提交保函原件。</w:t>
            </w:r>
          </w:p>
          <w:p w14:paraId="33713F2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（4）履约保证金指定账户</w:t>
            </w:r>
          </w:p>
          <w:p w14:paraId="73C3FD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开户名称：广西师范大学</w:t>
            </w:r>
          </w:p>
          <w:p w14:paraId="1959BEE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开户银行：中国工商银行股份有限公司桂林市高新科技支行</w:t>
            </w:r>
          </w:p>
          <w:p w14:paraId="1417258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号：2103215109264004618</w:t>
            </w:r>
          </w:p>
          <w:p w14:paraId="04B30D7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4.履约保证金退付方式、时间及条件</w:t>
            </w:r>
            <w:r>
              <w:rPr>
                <w:rFonts w:hint="eastAsia" w:ascii="宋体" w:hAnsi="宋体" w:cs="宋体"/>
                <w:bCs/>
                <w:color w:val="auto"/>
                <w:kern w:val="0"/>
                <w:szCs w:val="21"/>
                <w:highlight w:val="none"/>
              </w:rPr>
              <w:t>：</w:t>
            </w:r>
          </w:p>
          <w:p w14:paraId="3DAF7FCB">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中标人</w:t>
            </w:r>
            <w:r>
              <w:rPr>
                <w:rFonts w:hint="eastAsia" w:ascii="宋体" w:hAnsi="宋体" w:cs="宋体"/>
                <w:bCs/>
                <w:color w:val="auto"/>
                <w:kern w:val="0"/>
                <w:szCs w:val="21"/>
                <w:highlight w:val="none"/>
              </w:rPr>
              <w:t>履行完合同约定的权利义务（包括免费保修服务等）事项后7个工作日内，</w:t>
            </w:r>
            <w:r>
              <w:rPr>
                <w:rFonts w:hint="eastAsia" w:ascii="宋体" w:hAnsi="宋体" w:cs="宋体"/>
                <w:bCs/>
                <w:color w:val="auto"/>
                <w:szCs w:val="21"/>
                <w:highlight w:val="none"/>
              </w:rPr>
              <w:t>由中标人向履约保证金收取单位办理退还手续（不计利息）。</w:t>
            </w:r>
          </w:p>
          <w:p w14:paraId="7FC8706F">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rPr>
              <w:t>中标人在签订合同后存在违约情形的</w:t>
            </w:r>
            <w:r>
              <w:rPr>
                <w:rFonts w:hint="eastAsia" w:ascii="宋体" w:hAnsi="宋体" w:cs="宋体"/>
                <w:bCs/>
                <w:color w:val="auto"/>
                <w:kern w:val="0"/>
                <w:szCs w:val="21"/>
                <w:highlight w:val="none"/>
              </w:rPr>
              <w:t>，履约保证金或保函原件不予退还。</w:t>
            </w:r>
            <w:r>
              <w:rPr>
                <w:rFonts w:hint="eastAsia" w:ascii="宋体" w:hAnsi="宋体" w:cs="宋体"/>
                <w:bCs/>
                <w:color w:val="auto"/>
                <w:szCs w:val="21"/>
                <w:highlight w:val="none"/>
              </w:rPr>
              <w:t>保函形式的甲方按相关规定由出具保函的银行</w:t>
            </w:r>
            <w:r>
              <w:rPr>
                <w:rFonts w:hint="eastAsia" w:ascii="宋体" w:hAnsi="宋体" w:cs="宋体"/>
                <w:bCs/>
                <w:color w:val="auto"/>
                <w:kern w:val="0"/>
                <w:szCs w:val="21"/>
                <w:highlight w:val="none"/>
              </w:rPr>
              <w:t>、保险机构承担供应商违约赔付责任，履约保证金不足以赔偿损失的，按实际损失赔偿。</w:t>
            </w:r>
          </w:p>
          <w:p w14:paraId="14A2A1E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在履约保证金退还日期前，若中标人的开户名称、开户银行、账号有变动的，请以书面形式通知履约保证金收取单位，否则由此产生的后果由中标人自负。</w:t>
            </w:r>
          </w:p>
          <w:p w14:paraId="0A8A5590">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tc>
      </w:tr>
      <w:tr w14:paraId="125C9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1588FCA">
            <w:pPr>
              <w:spacing w:line="360" w:lineRule="auto"/>
              <w:rPr>
                <w:rFonts w:ascii="宋体" w:hAnsi="宋体"/>
                <w:color w:val="auto"/>
                <w:szCs w:val="21"/>
                <w:highlight w:val="none"/>
              </w:rPr>
            </w:pPr>
            <w:r>
              <w:rPr>
                <w:rFonts w:hint="eastAsia" w:ascii="宋体" w:hAnsi="宋体"/>
                <w:color w:val="auto"/>
                <w:szCs w:val="21"/>
                <w:highlight w:val="none"/>
              </w:rPr>
              <w:t>（九）报价要求</w:t>
            </w:r>
          </w:p>
        </w:tc>
        <w:tc>
          <w:tcPr>
            <w:tcW w:w="7436" w:type="dxa"/>
            <w:tcBorders>
              <w:top w:val="single" w:color="auto" w:sz="4" w:space="0"/>
              <w:left w:val="single" w:color="auto" w:sz="4" w:space="0"/>
              <w:bottom w:val="single" w:color="auto" w:sz="4" w:space="0"/>
              <w:right w:val="single" w:color="auto" w:sz="4" w:space="0"/>
            </w:tcBorders>
            <w:vAlign w:val="center"/>
          </w:tcPr>
          <w:p w14:paraId="48540F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1.采购预算金额：人民币壹仟零柒拾贰万捌仟元整（￥</w:t>
            </w:r>
            <w:r>
              <w:rPr>
                <w:rFonts w:hint="eastAsia" w:ascii="宋体" w:hAnsi="宋体" w:cs="宋体"/>
                <w:color w:val="auto"/>
                <w:highlight w:val="none"/>
              </w:rPr>
              <w:t>10728000.00</w:t>
            </w:r>
            <w:r>
              <w:rPr>
                <w:rFonts w:hint="eastAsia" w:ascii="宋体" w:hAnsi="宋体" w:cs="宋体"/>
                <w:color w:val="auto"/>
                <w:szCs w:val="21"/>
                <w:highlight w:val="none"/>
              </w:rPr>
              <w:t>），超出采购预算金额的投标报价将被视为无效投标处理。</w:t>
            </w:r>
          </w:p>
          <w:p w14:paraId="0929BD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2.投标报价为完成采购需求中安保服务的一切费用（含税价），包括但不限于服务价格、本次服务采购项目实施和完成服务所用装备费、器材费、管理费、利润、税费、人工成本【人工工资、人员服装费、</w:t>
            </w:r>
            <w:r>
              <w:rPr>
                <w:rFonts w:ascii="宋体" w:hAnsi="宋体" w:cs="宋体"/>
                <w:color w:val="auto"/>
                <w:szCs w:val="21"/>
                <w:highlight w:val="none"/>
              </w:rPr>
              <w:t>法定社会保险（养老保险、医疗保险、失业保险、工伤保险、生育保险）、</w:t>
            </w:r>
            <w:r>
              <w:rPr>
                <w:rFonts w:hint="eastAsia" w:ascii="宋体" w:hAnsi="宋体" w:cs="宋体"/>
                <w:color w:val="auto"/>
                <w:szCs w:val="21"/>
                <w:highlight w:val="none"/>
              </w:rPr>
              <w:t>福利费、其他商业保险及在人员使用上应包括的一切费用】等完成服务所必须的一切成本费用，以及招标文件及合同包含的所有风险、责任等各项已列明费用或未列明费用。如招标文件对其另有规定的，从其规定。</w:t>
            </w:r>
          </w:p>
        </w:tc>
      </w:tr>
      <w:tr w14:paraId="202AC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44" w:type="dxa"/>
            <w:gridSpan w:val="4"/>
            <w:tcBorders>
              <w:top w:val="single" w:color="auto" w:sz="4" w:space="0"/>
              <w:left w:val="single" w:color="auto" w:sz="4" w:space="0"/>
              <w:bottom w:val="single" w:color="auto" w:sz="4" w:space="0"/>
              <w:right w:val="single" w:color="auto" w:sz="4" w:space="0"/>
            </w:tcBorders>
            <w:vAlign w:val="center"/>
          </w:tcPr>
          <w:p w14:paraId="4B5899F8">
            <w:pPr>
              <w:widowControl/>
              <w:adjustRightInd w:val="0"/>
              <w:snapToGrid w:val="0"/>
              <w:spacing w:line="440" w:lineRule="exact"/>
              <w:jc w:val="left"/>
              <w:rPr>
                <w:rFonts w:ascii="宋体" w:hAnsi="宋体"/>
                <w:color w:val="auto"/>
                <w:kern w:val="0"/>
                <w:szCs w:val="21"/>
                <w:highlight w:val="none"/>
                <w:lang w:bidi="en-US"/>
              </w:rPr>
            </w:pPr>
            <w:r>
              <w:rPr>
                <w:rFonts w:hint="eastAsia" w:ascii="宋体" w:hAnsi="宋体"/>
                <w:b/>
                <w:color w:val="auto"/>
                <w:szCs w:val="21"/>
                <w:highlight w:val="none"/>
              </w:rPr>
              <w:t>二、其它要求</w:t>
            </w:r>
          </w:p>
        </w:tc>
      </w:tr>
      <w:tr w14:paraId="48C1F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736E072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（一）投标人于投标文件中提供相应的项目实施方案</w:t>
            </w:r>
          </w:p>
        </w:tc>
        <w:tc>
          <w:tcPr>
            <w:tcW w:w="7436" w:type="dxa"/>
            <w:tcBorders>
              <w:top w:val="single" w:color="auto" w:sz="4" w:space="0"/>
              <w:left w:val="single" w:color="auto" w:sz="4" w:space="0"/>
              <w:bottom w:val="single" w:color="auto" w:sz="4" w:space="0"/>
              <w:right w:val="single" w:color="auto" w:sz="4" w:space="0"/>
            </w:tcBorders>
            <w:vAlign w:val="center"/>
          </w:tcPr>
          <w:p w14:paraId="28517ED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该方案可从内容的完整性、针对性、合理性等方面进行编制，包含但不限于：①服务区域保安管理措施；②人员管理制度、人员培训方案；③物资装备配置方案；④投标人根据本“采购需求”承诺的其他服务措施等。</w:t>
            </w:r>
          </w:p>
        </w:tc>
      </w:tr>
      <w:tr w14:paraId="2F599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2C6F79C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（二）现场考察</w:t>
            </w:r>
          </w:p>
        </w:tc>
        <w:tc>
          <w:tcPr>
            <w:tcW w:w="7436" w:type="dxa"/>
            <w:tcBorders>
              <w:top w:val="single" w:color="auto" w:sz="4" w:space="0"/>
              <w:left w:val="single" w:color="auto" w:sz="4" w:space="0"/>
              <w:bottom w:val="single" w:color="auto" w:sz="4" w:space="0"/>
              <w:right w:val="single" w:color="auto" w:sz="4" w:space="0"/>
            </w:tcBorders>
            <w:vAlign w:val="center"/>
          </w:tcPr>
          <w:p w14:paraId="43331F8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1.投标人自行踏勘，现场勘察所发生的一切费用及风险由投标人自行承担。</w:t>
            </w:r>
          </w:p>
          <w:p w14:paraId="3C4023B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2.如投标人未进行现场考察的，视为对现场情况已完全了解，中标后必须按采购人的现场使用要求完成本项目实施。</w:t>
            </w:r>
          </w:p>
        </w:tc>
      </w:tr>
      <w:tr w14:paraId="0B09C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41E5C95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（三）其他</w:t>
            </w:r>
          </w:p>
        </w:tc>
        <w:tc>
          <w:tcPr>
            <w:tcW w:w="7436" w:type="dxa"/>
            <w:tcBorders>
              <w:top w:val="single" w:color="auto" w:sz="4" w:space="0"/>
              <w:left w:val="single" w:color="auto" w:sz="4" w:space="0"/>
              <w:bottom w:val="single" w:color="auto" w:sz="4" w:space="0"/>
              <w:right w:val="single" w:color="auto" w:sz="4" w:space="0"/>
            </w:tcBorders>
            <w:vAlign w:val="center"/>
          </w:tcPr>
          <w:p w14:paraId="257BA9E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本项目采购需求所有条款均为实质性要求，不允许负偏离，否则按投标无效处理。</w:t>
            </w:r>
          </w:p>
        </w:tc>
      </w:tr>
    </w:tbl>
    <w:p w14:paraId="41A5083C">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p>
    <w:p w14:paraId="0DDBC757">
      <w:pPr>
        <w:rPr>
          <w:rFonts w:ascii="宋体" w:hAnsi="宋体" w:cs="宋体"/>
          <w:b/>
          <w:color w:val="auto"/>
          <w:szCs w:val="21"/>
          <w:highlight w:val="none"/>
        </w:rPr>
      </w:pPr>
      <w:r>
        <w:rPr>
          <w:rFonts w:hint="eastAsia" w:ascii="宋体" w:hAnsi="宋体" w:cs="宋体"/>
          <w:b/>
          <w:color w:val="auto"/>
          <w:szCs w:val="21"/>
          <w:highlight w:val="none"/>
        </w:rPr>
        <w:br w:type="page"/>
      </w:r>
    </w:p>
    <w:p w14:paraId="231D9364">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D2D4F63">
      <w:pPr>
        <w:jc w:val="center"/>
        <w:rPr>
          <w:color w:val="auto"/>
          <w:sz w:val="36"/>
          <w:szCs w:val="36"/>
          <w:highlight w:val="none"/>
        </w:rPr>
      </w:pPr>
      <w:r>
        <w:rPr>
          <w:rFonts w:hint="eastAsia"/>
          <w:color w:val="auto"/>
          <w:sz w:val="36"/>
          <w:szCs w:val="36"/>
          <w:highlight w:val="none"/>
        </w:rPr>
        <w:t>统计上大中小微型企业划分标准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3CC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387724D6">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0D26306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0EE4D1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F24C2B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12338A7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060ED2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47D38C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2A0D0B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FDD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60E6E3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66B42D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46C09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0215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88854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053898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06322A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779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CD0BB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30D3CD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08036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C7651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376DB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DA5F2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43E3A6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1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EA801B">
            <w:pPr>
              <w:widowControl/>
              <w:jc w:val="left"/>
              <w:rPr>
                <w:rFonts w:ascii="宋体" w:hAnsi="宋体" w:cs="宋体"/>
                <w:color w:val="auto"/>
                <w:kern w:val="0"/>
                <w:sz w:val="18"/>
                <w:szCs w:val="18"/>
                <w:highlight w:val="none"/>
              </w:rPr>
            </w:pPr>
          </w:p>
        </w:tc>
        <w:tc>
          <w:tcPr>
            <w:tcW w:w="1369" w:type="dxa"/>
            <w:vAlign w:val="center"/>
          </w:tcPr>
          <w:p w14:paraId="1368429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7D11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662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2EE6E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FB309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01C9F5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EFF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5E524B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6DE6C4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AE590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C1545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1E285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06E136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03ED07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FE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2E5B0C">
            <w:pPr>
              <w:widowControl/>
              <w:jc w:val="left"/>
              <w:rPr>
                <w:rFonts w:ascii="宋体" w:hAnsi="宋体" w:cs="宋体"/>
                <w:color w:val="auto"/>
                <w:kern w:val="0"/>
                <w:sz w:val="18"/>
                <w:szCs w:val="18"/>
                <w:highlight w:val="none"/>
              </w:rPr>
            </w:pPr>
          </w:p>
        </w:tc>
        <w:tc>
          <w:tcPr>
            <w:tcW w:w="1369" w:type="dxa"/>
            <w:vAlign w:val="center"/>
          </w:tcPr>
          <w:p w14:paraId="43FFB0B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13630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BE307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58F9B2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033DA8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5DADB8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303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5D67A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15E8E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236D8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72E3F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646A1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7CF479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747539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6C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40CE16">
            <w:pPr>
              <w:widowControl/>
              <w:jc w:val="left"/>
              <w:rPr>
                <w:rFonts w:ascii="宋体" w:hAnsi="宋体" w:cs="宋体"/>
                <w:color w:val="auto"/>
                <w:kern w:val="0"/>
                <w:sz w:val="18"/>
                <w:szCs w:val="18"/>
                <w:highlight w:val="none"/>
              </w:rPr>
            </w:pPr>
          </w:p>
        </w:tc>
        <w:tc>
          <w:tcPr>
            <w:tcW w:w="1369" w:type="dxa"/>
            <w:vAlign w:val="center"/>
          </w:tcPr>
          <w:p w14:paraId="74E8A18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431F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360E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0066DD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42C0E3A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20F571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72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C780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47BEED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20E53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7E4BC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F66BD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09695F1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1E3404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7B4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BAAF5A">
            <w:pPr>
              <w:widowControl/>
              <w:jc w:val="left"/>
              <w:rPr>
                <w:rFonts w:ascii="宋体" w:hAnsi="宋体" w:cs="宋体"/>
                <w:color w:val="auto"/>
                <w:kern w:val="0"/>
                <w:sz w:val="18"/>
                <w:szCs w:val="18"/>
                <w:highlight w:val="none"/>
              </w:rPr>
            </w:pPr>
          </w:p>
        </w:tc>
        <w:tc>
          <w:tcPr>
            <w:tcW w:w="1369" w:type="dxa"/>
            <w:vAlign w:val="center"/>
          </w:tcPr>
          <w:p w14:paraId="088EDD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A35B7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F683F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3CE92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68AEF69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03141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9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32C73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5E8385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73AB6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6A11C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DC092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7D05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61EDC4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55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0B25D6">
            <w:pPr>
              <w:widowControl/>
              <w:jc w:val="left"/>
              <w:rPr>
                <w:rFonts w:ascii="宋体" w:hAnsi="宋体" w:cs="宋体"/>
                <w:color w:val="auto"/>
                <w:kern w:val="0"/>
                <w:sz w:val="18"/>
                <w:szCs w:val="18"/>
                <w:highlight w:val="none"/>
              </w:rPr>
            </w:pPr>
          </w:p>
        </w:tc>
        <w:tc>
          <w:tcPr>
            <w:tcW w:w="1369" w:type="dxa"/>
            <w:vAlign w:val="center"/>
          </w:tcPr>
          <w:p w14:paraId="00AB1F6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3421A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AD37C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FD8F7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07EBCC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F1606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49C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98B67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0B3E20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E4ED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A1E8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EB7BFD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4F98D5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27E8BC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8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4D42178">
            <w:pPr>
              <w:widowControl/>
              <w:jc w:val="left"/>
              <w:rPr>
                <w:rFonts w:ascii="宋体" w:hAnsi="宋体" w:cs="宋体"/>
                <w:color w:val="auto"/>
                <w:kern w:val="0"/>
                <w:sz w:val="18"/>
                <w:szCs w:val="18"/>
                <w:highlight w:val="none"/>
              </w:rPr>
            </w:pPr>
          </w:p>
        </w:tc>
        <w:tc>
          <w:tcPr>
            <w:tcW w:w="1369" w:type="dxa"/>
            <w:vAlign w:val="center"/>
          </w:tcPr>
          <w:p w14:paraId="512CEA0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538B0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C7D8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9DBD0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66829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97F0A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16E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BD5B7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47D35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4750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7E351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12C6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BDDC3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3F4463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1A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45414C">
            <w:pPr>
              <w:widowControl/>
              <w:jc w:val="left"/>
              <w:rPr>
                <w:rFonts w:ascii="宋体" w:hAnsi="宋体" w:cs="宋体"/>
                <w:color w:val="auto"/>
                <w:kern w:val="0"/>
                <w:sz w:val="18"/>
                <w:szCs w:val="18"/>
                <w:highlight w:val="none"/>
              </w:rPr>
            </w:pPr>
          </w:p>
        </w:tc>
        <w:tc>
          <w:tcPr>
            <w:tcW w:w="1369" w:type="dxa"/>
            <w:vAlign w:val="center"/>
          </w:tcPr>
          <w:p w14:paraId="1B9A858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7648C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2D7EC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A9D62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441EB0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36CDF2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4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08412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639B1A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3747F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62A7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9DECD3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53608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AC64F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9C32D77">
            <w:pPr>
              <w:widowControl/>
              <w:jc w:val="left"/>
              <w:rPr>
                <w:rFonts w:ascii="宋体" w:hAnsi="宋体" w:cs="宋体"/>
                <w:color w:val="auto"/>
                <w:kern w:val="0"/>
                <w:sz w:val="18"/>
                <w:szCs w:val="18"/>
                <w:highlight w:val="none"/>
              </w:rPr>
            </w:pPr>
          </w:p>
        </w:tc>
        <w:tc>
          <w:tcPr>
            <w:tcW w:w="1369" w:type="dxa"/>
            <w:vAlign w:val="center"/>
          </w:tcPr>
          <w:p w14:paraId="3096DC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D6164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8CA4D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23DC8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E1C6E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2A29E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D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2B517B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099FEC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8D67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27D07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D2E62A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5EC497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643A7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B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6B3238">
            <w:pPr>
              <w:widowControl/>
              <w:jc w:val="left"/>
              <w:rPr>
                <w:rFonts w:ascii="宋体" w:hAnsi="宋体" w:cs="宋体"/>
                <w:color w:val="auto"/>
                <w:kern w:val="0"/>
                <w:sz w:val="18"/>
                <w:szCs w:val="18"/>
                <w:highlight w:val="none"/>
              </w:rPr>
            </w:pPr>
          </w:p>
        </w:tc>
        <w:tc>
          <w:tcPr>
            <w:tcW w:w="1369" w:type="dxa"/>
            <w:vAlign w:val="center"/>
          </w:tcPr>
          <w:p w14:paraId="4ADD67D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2A1D3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58F03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2E669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979C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6E13C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E6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46695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4AAF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A7B88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612A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20F902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4E4BDA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16C6EE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1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1419A7">
            <w:pPr>
              <w:widowControl/>
              <w:jc w:val="left"/>
              <w:rPr>
                <w:rFonts w:ascii="宋体" w:hAnsi="宋体" w:cs="宋体"/>
                <w:color w:val="auto"/>
                <w:kern w:val="0"/>
                <w:sz w:val="18"/>
                <w:szCs w:val="18"/>
                <w:highlight w:val="none"/>
              </w:rPr>
            </w:pPr>
          </w:p>
        </w:tc>
        <w:tc>
          <w:tcPr>
            <w:tcW w:w="1369" w:type="dxa"/>
            <w:vAlign w:val="center"/>
          </w:tcPr>
          <w:p w14:paraId="3D1198A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E6904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F25E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6A967F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54368A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0AF57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69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DB5BCC0">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66B790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E28B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44E64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8C155A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F158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27BCC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F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D87651">
            <w:pPr>
              <w:widowControl/>
              <w:jc w:val="left"/>
              <w:rPr>
                <w:rFonts w:ascii="宋体" w:hAnsi="宋体" w:cs="宋体"/>
                <w:color w:val="auto"/>
                <w:spacing w:val="-12"/>
                <w:kern w:val="0"/>
                <w:sz w:val="18"/>
                <w:szCs w:val="18"/>
                <w:highlight w:val="none"/>
              </w:rPr>
            </w:pPr>
          </w:p>
        </w:tc>
        <w:tc>
          <w:tcPr>
            <w:tcW w:w="1369" w:type="dxa"/>
            <w:vAlign w:val="center"/>
          </w:tcPr>
          <w:p w14:paraId="014BF8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A5139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B8334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8B3F5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217A0F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169CD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441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03AFB3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7DF2B4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BF889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1605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699AC9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039FDF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0C054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94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5238E4D">
            <w:pPr>
              <w:widowControl/>
              <w:jc w:val="left"/>
              <w:rPr>
                <w:rFonts w:ascii="宋体" w:hAnsi="宋体" w:cs="宋体"/>
                <w:color w:val="auto"/>
                <w:kern w:val="0"/>
                <w:sz w:val="18"/>
                <w:szCs w:val="18"/>
                <w:highlight w:val="none"/>
              </w:rPr>
            </w:pPr>
          </w:p>
        </w:tc>
        <w:tc>
          <w:tcPr>
            <w:tcW w:w="1369" w:type="dxa"/>
            <w:vAlign w:val="center"/>
          </w:tcPr>
          <w:p w14:paraId="37AB80F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49B37E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4749E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4AEE21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4D5F3D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31E8BF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0CB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3AA15D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7894A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BA1E6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BCF06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9007B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A0AED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1142D9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DA9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269AA12">
            <w:pPr>
              <w:widowControl/>
              <w:jc w:val="left"/>
              <w:rPr>
                <w:rFonts w:ascii="宋体" w:hAnsi="宋体" w:cs="宋体"/>
                <w:color w:val="auto"/>
                <w:kern w:val="0"/>
                <w:sz w:val="18"/>
                <w:szCs w:val="18"/>
                <w:highlight w:val="none"/>
              </w:rPr>
            </w:pPr>
          </w:p>
        </w:tc>
        <w:tc>
          <w:tcPr>
            <w:tcW w:w="1369" w:type="dxa"/>
            <w:vAlign w:val="center"/>
          </w:tcPr>
          <w:p w14:paraId="2FBDEF6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8CFB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7926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53296CB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3E6607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2E3495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18D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693DC4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9EA02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839E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CC6A0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06F126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41204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E4FE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B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C860978">
            <w:pPr>
              <w:widowControl/>
              <w:jc w:val="left"/>
              <w:rPr>
                <w:rFonts w:ascii="宋体" w:hAnsi="宋体" w:cs="宋体"/>
                <w:color w:val="auto"/>
                <w:kern w:val="0"/>
                <w:sz w:val="18"/>
                <w:szCs w:val="18"/>
                <w:highlight w:val="none"/>
              </w:rPr>
            </w:pPr>
          </w:p>
        </w:tc>
        <w:tc>
          <w:tcPr>
            <w:tcW w:w="1369" w:type="dxa"/>
            <w:vAlign w:val="center"/>
          </w:tcPr>
          <w:p w14:paraId="2342CD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89178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6607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5DB09E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79469D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2B7B0E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A50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463390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571177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53E28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1E425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5C889F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C775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478D3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5260D8E">
      <w:pPr>
        <w:widowControl/>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0E08AD05">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714084BC">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A36DE5">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E56E3DB">
      <w:pPr>
        <w:rPr>
          <w:color w:val="auto"/>
          <w:highlight w:val="none"/>
        </w:rPr>
      </w:pPr>
    </w:p>
    <w:p w14:paraId="7F9CB8DC">
      <w:pPr>
        <w:pStyle w:val="3"/>
        <w:spacing w:line="240" w:lineRule="auto"/>
        <w:rPr>
          <w:rFonts w:ascii="宋体" w:hAnsi="宋体" w:cs="宋体"/>
          <w:color w:val="auto"/>
          <w:highlight w:val="none"/>
        </w:rPr>
      </w:pPr>
      <w:r>
        <w:rPr>
          <w:rFonts w:hint="eastAsia" w:ascii="宋体" w:hAnsi="宋体"/>
          <w:color w:val="auto"/>
          <w:sz w:val="21"/>
          <w:szCs w:val="21"/>
          <w:highlight w:val="none"/>
        </w:rPr>
        <w:br w:type="page"/>
      </w:r>
      <w:bookmarkEnd w:id="43"/>
      <w:bookmarkEnd w:id="44"/>
      <w:bookmarkEnd w:id="45"/>
      <w:bookmarkEnd w:id="46"/>
      <w:bookmarkStart w:id="47" w:name="_Toc25504"/>
      <w:bookmarkStart w:id="48" w:name="_Toc7458"/>
      <w:bookmarkStart w:id="49" w:name="_Toc19686831"/>
      <w:bookmarkStart w:id="50" w:name="_Toc5336"/>
      <w:r>
        <w:rPr>
          <w:rFonts w:hint="eastAsia" w:ascii="宋体" w:hAnsi="宋体" w:cs="宋体"/>
          <w:color w:val="auto"/>
          <w:highlight w:val="none"/>
        </w:rPr>
        <w:t>第三章、投标人须知</w:t>
      </w:r>
      <w:bookmarkEnd w:id="47"/>
      <w:bookmarkEnd w:id="48"/>
      <w:bookmarkEnd w:id="49"/>
      <w:bookmarkEnd w:id="50"/>
    </w:p>
    <w:p w14:paraId="481811E9">
      <w:pPr>
        <w:pStyle w:val="4"/>
        <w:spacing w:line="240" w:lineRule="auto"/>
        <w:jc w:val="center"/>
        <w:rPr>
          <w:color w:val="auto"/>
          <w:highlight w:val="none"/>
        </w:rPr>
      </w:pPr>
      <w:bookmarkStart w:id="242" w:name="_GoBack"/>
      <w:bookmarkEnd w:id="242"/>
      <w:bookmarkStart w:id="51" w:name="_Toc254970526"/>
      <w:bookmarkStart w:id="52" w:name="_Toc254970667"/>
      <w:r>
        <w:rPr>
          <w:rFonts w:hint="eastAsia"/>
          <w:color w:val="auto"/>
          <w:highlight w:val="none"/>
        </w:rPr>
        <w:t>投标人须知前附表</w:t>
      </w:r>
      <w:bookmarkEnd w:id="51"/>
      <w:bookmarkEnd w:id="52"/>
    </w:p>
    <w:tbl>
      <w:tblPr>
        <w:tblStyle w:val="52"/>
        <w:tblW w:w="8832"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7969"/>
      </w:tblGrid>
      <w:tr w14:paraId="1D78A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FC86D2B">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7969" w:type="dxa"/>
            <w:tcBorders>
              <w:top w:val="single" w:color="auto" w:sz="4" w:space="0"/>
              <w:left w:val="single" w:color="auto" w:sz="4" w:space="0"/>
              <w:bottom w:val="single" w:color="auto" w:sz="4" w:space="0"/>
              <w:right w:val="single" w:color="auto" w:sz="4" w:space="0"/>
            </w:tcBorders>
            <w:vAlign w:val="center"/>
          </w:tcPr>
          <w:p w14:paraId="149FC557">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编列内容</w:t>
            </w:r>
          </w:p>
        </w:tc>
      </w:tr>
      <w:tr w14:paraId="5B4BF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1C014F6">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7969" w:type="dxa"/>
            <w:tcBorders>
              <w:top w:val="single" w:color="auto" w:sz="4" w:space="0"/>
              <w:left w:val="single" w:color="auto" w:sz="4" w:space="0"/>
              <w:bottom w:val="single" w:color="auto" w:sz="4" w:space="0"/>
              <w:right w:val="single" w:color="auto" w:sz="4" w:space="0"/>
            </w:tcBorders>
            <w:vAlign w:val="center"/>
          </w:tcPr>
          <w:p w14:paraId="73A6AE6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76B9E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99124D9">
            <w:pPr>
              <w:spacing w:line="360" w:lineRule="auto"/>
              <w:rPr>
                <w:rFonts w:ascii="宋体" w:hAnsi="宋体" w:cs="宋体"/>
                <w:color w:val="auto"/>
                <w:szCs w:val="21"/>
                <w:highlight w:val="none"/>
              </w:rPr>
            </w:pPr>
            <w:bookmarkStart w:id="53" w:name="_8.1"/>
            <w:bookmarkEnd w:id="53"/>
            <w:bookmarkStart w:id="54" w:name="_9.2"/>
            <w:bookmarkEnd w:id="54"/>
            <w:bookmarkStart w:id="55" w:name="_5"/>
            <w:bookmarkEnd w:id="55"/>
            <w:r>
              <w:rPr>
                <w:rFonts w:hint="eastAsia" w:ascii="宋体" w:hAnsi="宋体" w:cs="宋体"/>
                <w:color w:val="auto"/>
                <w:szCs w:val="21"/>
                <w:highlight w:val="none"/>
              </w:rPr>
              <w:t>6.1</w:t>
            </w:r>
          </w:p>
        </w:tc>
        <w:tc>
          <w:tcPr>
            <w:tcW w:w="7969" w:type="dxa"/>
            <w:tcBorders>
              <w:top w:val="single" w:color="auto" w:sz="4" w:space="0"/>
              <w:left w:val="single" w:color="auto" w:sz="4" w:space="0"/>
              <w:bottom w:val="single" w:color="auto" w:sz="4" w:space="0"/>
              <w:right w:val="single" w:color="auto" w:sz="4" w:space="0"/>
            </w:tcBorders>
            <w:vAlign w:val="center"/>
          </w:tcPr>
          <w:p w14:paraId="12B88709">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0772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256D93B">
            <w:pPr>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7969" w:type="dxa"/>
            <w:tcBorders>
              <w:top w:val="single" w:color="auto" w:sz="4" w:space="0"/>
              <w:left w:val="single" w:color="auto" w:sz="4" w:space="0"/>
              <w:bottom w:val="single" w:color="auto" w:sz="4" w:space="0"/>
              <w:right w:val="single" w:color="auto" w:sz="4" w:space="0"/>
            </w:tcBorders>
            <w:vAlign w:val="center"/>
          </w:tcPr>
          <w:p w14:paraId="66D51764">
            <w:pPr>
              <w:pStyle w:val="17"/>
              <w:spacing w:line="360" w:lineRule="auto"/>
              <w:rPr>
                <w:rFonts w:ascii="宋体" w:hAnsi="宋体" w:cs="宋体"/>
                <w:color w:val="auto"/>
                <w:szCs w:val="21"/>
                <w:highlight w:val="none"/>
              </w:rPr>
            </w:pPr>
            <w:bookmarkStart w:id="56" w:name="_Hlk54105293"/>
            <w:r>
              <w:rPr>
                <w:rFonts w:hint="eastAsia" w:ascii="宋体" w:hAnsi="宋体" w:cs="宋体"/>
                <w:color w:val="auto"/>
                <w:szCs w:val="21"/>
                <w:highlight w:val="none"/>
              </w:rPr>
              <w:t>如接受联合体投标，</w:t>
            </w:r>
            <w:bookmarkEnd w:id="56"/>
            <w:r>
              <w:rPr>
                <w:rFonts w:hint="eastAsia" w:ascii="宋体" w:hAnsi="宋体" w:cs="宋体"/>
                <w:color w:val="auto"/>
                <w:szCs w:val="21"/>
                <w:highlight w:val="none"/>
              </w:rPr>
              <w:t>联合体投标要求如下：无。</w:t>
            </w:r>
          </w:p>
        </w:tc>
      </w:tr>
      <w:tr w14:paraId="79C16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8EA1B68">
            <w:pPr>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7969" w:type="dxa"/>
            <w:tcBorders>
              <w:top w:val="single" w:color="auto" w:sz="4" w:space="0"/>
              <w:left w:val="single" w:color="auto" w:sz="4" w:space="0"/>
              <w:bottom w:val="single" w:color="auto" w:sz="4" w:space="0"/>
              <w:right w:val="single" w:color="auto" w:sz="4" w:space="0"/>
            </w:tcBorders>
            <w:vAlign w:val="center"/>
          </w:tcPr>
          <w:p w14:paraId="0C6049A0">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1E1CEDA1">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4A4DFD48">
            <w:pPr>
              <w:pStyle w:val="17"/>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D418E01">
            <w:pPr>
              <w:pStyle w:val="17"/>
              <w:spacing w:line="360" w:lineRule="auto"/>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37E56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B5D3AEA">
            <w:pPr>
              <w:spacing w:line="360" w:lineRule="auto"/>
              <w:rPr>
                <w:rFonts w:ascii="宋体" w:hAnsi="宋体" w:cs="宋体"/>
                <w:color w:val="auto"/>
                <w:szCs w:val="21"/>
                <w:highlight w:val="none"/>
              </w:rPr>
            </w:pPr>
            <w:r>
              <w:rPr>
                <w:rFonts w:hint="eastAsia" w:ascii="宋体" w:hAnsi="宋体" w:cs="宋体"/>
                <w:color w:val="auto"/>
                <w:szCs w:val="21"/>
                <w:highlight w:val="none"/>
              </w:rPr>
              <w:t>11.2</w:t>
            </w:r>
          </w:p>
        </w:tc>
        <w:tc>
          <w:tcPr>
            <w:tcW w:w="7969" w:type="dxa"/>
            <w:tcBorders>
              <w:top w:val="single" w:color="auto" w:sz="4" w:space="0"/>
              <w:left w:val="single" w:color="auto" w:sz="4" w:space="0"/>
              <w:bottom w:val="single" w:color="auto" w:sz="4" w:space="0"/>
              <w:right w:val="single" w:color="auto" w:sz="4" w:space="0"/>
            </w:tcBorders>
            <w:vAlign w:val="center"/>
          </w:tcPr>
          <w:p w14:paraId="223AC01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☑不组织现场考察</w:t>
            </w:r>
          </w:p>
          <w:p w14:paraId="3FE35DB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□组织现场考察：</w:t>
            </w:r>
          </w:p>
          <w:p w14:paraId="71DF246B">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/年/月/日/时/分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w:t>
            </w:r>
          </w:p>
          <w:p w14:paraId="1ED1B059">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w:t>
            </w:r>
          </w:p>
          <w:p w14:paraId="3BA97C1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E3E673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B3F6ED2">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/年/月/日/时/分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7138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single" w:color="auto" w:sz="4" w:space="0"/>
              <w:left w:val="single" w:color="auto" w:sz="4" w:space="0"/>
              <w:right w:val="single" w:color="auto" w:sz="4" w:space="0"/>
            </w:tcBorders>
            <w:vAlign w:val="center"/>
          </w:tcPr>
          <w:p w14:paraId="17642969">
            <w:pPr>
              <w:spacing w:line="360" w:lineRule="auto"/>
              <w:rPr>
                <w:rFonts w:ascii="宋体" w:hAnsi="宋体" w:cs="宋体"/>
                <w:color w:val="auto"/>
                <w:szCs w:val="21"/>
                <w:highlight w:val="none"/>
              </w:rPr>
            </w:pPr>
            <w:bookmarkStart w:id="57" w:name="_13.1"/>
            <w:bookmarkEnd w:id="57"/>
            <w:r>
              <w:rPr>
                <w:rFonts w:hint="eastAsia" w:ascii="宋体" w:hAnsi="宋体" w:cs="宋体"/>
                <w:color w:val="auto"/>
                <w:szCs w:val="21"/>
                <w:highlight w:val="none"/>
              </w:rPr>
              <w:t>13.</w:t>
            </w:r>
            <w:bookmarkStart w:id="58" w:name="_Hlt19632543"/>
            <w:r>
              <w:rPr>
                <w:rFonts w:hint="eastAsia" w:ascii="宋体" w:hAnsi="宋体" w:cs="宋体"/>
                <w:color w:val="auto"/>
                <w:szCs w:val="21"/>
                <w:highlight w:val="none"/>
              </w:rPr>
              <w:t>1</w:t>
            </w:r>
            <w:bookmarkEnd w:id="58"/>
          </w:p>
        </w:tc>
        <w:tc>
          <w:tcPr>
            <w:tcW w:w="7969" w:type="dxa"/>
            <w:tcBorders>
              <w:top w:val="single" w:color="auto" w:sz="4" w:space="0"/>
              <w:left w:val="single" w:color="auto" w:sz="4" w:space="0"/>
              <w:bottom w:val="single" w:color="auto" w:sz="4" w:space="0"/>
              <w:right w:val="single" w:color="auto" w:sz="4" w:space="0"/>
            </w:tcBorders>
            <w:vAlign w:val="center"/>
          </w:tcPr>
          <w:p w14:paraId="2614016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385807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（必须提供，否则作无效投标处理）</w:t>
            </w:r>
          </w:p>
          <w:p w14:paraId="3E9A5F7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EF4CE4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35253633">
            <w:pPr>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注：投标函、开标一览表必须逐页盖投标人公章，否则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22DB3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3C9B7EED">
            <w:pPr>
              <w:spacing w:line="360" w:lineRule="auto"/>
              <w:rPr>
                <w:rFonts w:ascii="宋体" w:hAnsi="宋体" w:cs="宋体"/>
                <w:color w:val="auto"/>
                <w:szCs w:val="21"/>
                <w:highlight w:val="none"/>
              </w:rPr>
            </w:pPr>
            <w:bookmarkStart w:id="59" w:name="_13.2"/>
            <w:bookmarkEnd w:id="59"/>
          </w:p>
        </w:tc>
        <w:tc>
          <w:tcPr>
            <w:tcW w:w="7969" w:type="dxa"/>
            <w:tcBorders>
              <w:top w:val="single" w:color="auto" w:sz="4" w:space="0"/>
              <w:left w:val="single" w:color="auto" w:sz="4" w:space="0"/>
              <w:bottom w:val="single" w:color="auto" w:sz="4" w:space="0"/>
              <w:right w:val="single" w:color="auto" w:sz="4" w:space="0"/>
            </w:tcBorders>
            <w:vAlign w:val="center"/>
          </w:tcPr>
          <w:p w14:paraId="7658BB9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A6EA6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8"/>
                <w:color w:val="auto"/>
                <w:sz w:val="21"/>
                <w:szCs w:val="21"/>
                <w:highlight w:val="none"/>
              </w:rPr>
              <w:t>执业许可证</w:t>
            </w:r>
            <w:r>
              <w:rPr>
                <w:rFonts w:hint="eastAsia" w:ascii="宋体" w:hAnsi="宋体" w:cs="宋体"/>
                <w:color w:val="auto"/>
                <w:szCs w:val="21"/>
                <w:highlight w:val="none"/>
              </w:rPr>
              <w:t>等）；投标人为自然人的，提供身份证；（</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77F102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具有有效的《保安服务许可证》</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否则作无效投标处理</w:t>
            </w:r>
            <w:r>
              <w:rPr>
                <w:rFonts w:hint="eastAsia" w:ascii="宋体" w:hAnsi="宋体"/>
                <w:color w:val="auto"/>
                <w:szCs w:val="21"/>
                <w:highlight w:val="none"/>
              </w:rPr>
              <w:t>）</w:t>
            </w:r>
          </w:p>
          <w:p w14:paraId="565FB93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3.投标人依法缴纳税收的相关材料【</w:t>
            </w:r>
            <w:r>
              <w:rPr>
                <w:rFonts w:hint="eastAsia"/>
                <w:color w:val="auto"/>
                <w:highlight w:val="none"/>
              </w:rPr>
              <w:t>提交投标文件截止时间前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任意一个月的依法缴纳税收的凭据；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Cs/>
                <w:color w:val="auto"/>
                <w:szCs w:val="21"/>
                <w:highlight w:val="none"/>
              </w:rPr>
              <w:t>或提供依法缴纳</w:t>
            </w:r>
            <w:r>
              <w:rPr>
                <w:rFonts w:hint="eastAsia" w:ascii="宋体" w:hAnsi="宋体" w:cs="宋体"/>
                <w:color w:val="auto"/>
                <w:szCs w:val="21"/>
                <w:highlight w:val="none"/>
              </w:rPr>
              <w:t>税</w:t>
            </w:r>
            <w:r>
              <w:rPr>
                <w:rFonts w:hint="eastAsia" w:ascii="宋体" w:hAnsi="宋体" w:cs="宋体"/>
                <w:bCs/>
                <w:color w:val="auto"/>
                <w:szCs w:val="21"/>
                <w:highlight w:val="none"/>
              </w:rPr>
              <w:t>的承诺函（格式自拟）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41FF24">
            <w:pPr>
              <w:snapToGrid w:val="0"/>
              <w:spacing w:line="360" w:lineRule="auto"/>
              <w:ind w:firstLine="420" w:firstLineChars="200"/>
              <w:jc w:val="left"/>
              <w:rPr>
                <w:color w:val="auto"/>
                <w:highlight w:val="none"/>
              </w:rPr>
            </w:pPr>
            <w:r>
              <w:rPr>
                <w:rFonts w:hint="eastAsia" w:ascii="宋体" w:hAnsi="宋体" w:cs="宋体"/>
                <w:color w:val="auto"/>
                <w:szCs w:val="21"/>
                <w:highlight w:val="none"/>
              </w:rPr>
              <w:t>4.投标人依法缴纳社会保障资金的相关材料【</w:t>
            </w:r>
            <w:r>
              <w:rPr>
                <w:rFonts w:hint="eastAsia"/>
                <w:color w:val="auto"/>
                <w:highlight w:val="none"/>
              </w:rPr>
              <w:t>提交投标文件截止时间前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任意一个月的依法缴纳社会保障资金的缴费凭证；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或</w:t>
            </w:r>
            <w:r>
              <w:rPr>
                <w:rFonts w:hint="eastAsia" w:ascii="宋体" w:hAnsi="宋体" w:cs="宋体"/>
                <w:bCs/>
                <w:color w:val="auto"/>
                <w:szCs w:val="22"/>
                <w:highlight w:val="none"/>
              </w:rPr>
              <w:t>提供依法缴纳社会保险费的承诺函（格式自拟）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0571DF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5.投标人财务状况报告【投标人应提供</w:t>
            </w:r>
            <w:r>
              <w:rPr>
                <w:rFonts w:hint="eastAsia" w:ascii="宋体" w:hAnsi="宋体" w:cs="宋体"/>
                <w:color w:val="auto"/>
                <w:szCs w:val="21"/>
                <w:highlight w:val="none"/>
                <w:u w:val="single"/>
              </w:rPr>
              <w:t>2024年</w:t>
            </w:r>
            <w:r>
              <w:rPr>
                <w:rFonts w:hint="eastAsia" w:ascii="宋体" w:hAnsi="宋体" w:cs="宋体"/>
                <w:color w:val="auto"/>
                <w:szCs w:val="21"/>
                <w:highlight w:val="none"/>
              </w:rPr>
              <w:t>度经审计的财务报告或者其基本开户银行出具的资信证明；投标截止日当年成立的投标人，只需提供从取得营业执照起的财务状况报告，</w:t>
            </w:r>
            <w:r>
              <w:rPr>
                <w:rFonts w:hint="eastAsia" w:ascii="宋体" w:hAnsi="宋体" w:cs="宋体"/>
                <w:bCs/>
                <w:color w:val="auto"/>
                <w:szCs w:val="21"/>
                <w:highlight w:val="none"/>
              </w:rPr>
              <w:t>或</w:t>
            </w:r>
            <w:r>
              <w:rPr>
                <w:rFonts w:hint="eastAsia" w:ascii="宋体" w:hAnsi="宋体" w:cs="宋体"/>
                <w:color w:val="auto"/>
                <w:szCs w:val="21"/>
                <w:highlight w:val="none"/>
              </w:rPr>
              <w:t>提供财务状况正常的承诺函（格式自拟）】；（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C92C0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6.投标人直接控股、管理关系信息表（格式后附）；（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6F8E90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182981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8.中小企业声明函；【</w:t>
            </w:r>
            <w:r>
              <w:rPr>
                <w:rFonts w:hint="eastAsia" w:ascii="宋体" w:hAnsi="宋体" w:cs="宋体"/>
                <w:b/>
                <w:bCs/>
                <w:color w:val="auto"/>
                <w:szCs w:val="21"/>
                <w:highlight w:val="none"/>
              </w:rPr>
              <w:t>本项目如为专门面向中小企业（或者小型、微型企业）采购时必须提供，否则作无效投标处理</w:t>
            </w:r>
            <w:r>
              <w:rPr>
                <w:rFonts w:hint="eastAsia" w:ascii="宋体" w:hAnsi="宋体" w:cs="宋体"/>
                <w:color w:val="auto"/>
                <w:szCs w:val="21"/>
                <w:highlight w:val="none"/>
              </w:rPr>
              <w:t>】</w:t>
            </w:r>
          </w:p>
          <w:p w14:paraId="032BBE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05E7E5F7">
            <w:pPr>
              <w:snapToGrid w:val="0"/>
              <w:spacing w:line="360" w:lineRule="auto"/>
              <w:ind w:firstLine="422" w:firstLineChars="200"/>
              <w:jc w:val="left"/>
              <w:rPr>
                <w:color w:val="auto"/>
                <w:highlight w:val="none"/>
              </w:rPr>
            </w:pPr>
            <w:r>
              <w:rPr>
                <w:rFonts w:hint="eastAsia" w:ascii="宋体" w:hAnsi="宋体"/>
                <w:b/>
                <w:bCs/>
                <w:color w:val="auto"/>
                <w:szCs w:val="21"/>
                <w:highlight w:val="none"/>
              </w:rPr>
              <w:t>注：以上标明“必须提供”的材料须加盖投标人公章（或CA签章），否则按无效投标</w:t>
            </w:r>
            <w:r>
              <w:rPr>
                <w:rFonts w:hint="eastAsia" w:ascii="宋体" w:hAnsi="宋体" w:cs="Courier New"/>
                <w:b/>
                <w:color w:val="auto"/>
                <w:szCs w:val="21"/>
                <w:highlight w:val="none"/>
              </w:rPr>
              <w:t>处理。</w:t>
            </w:r>
          </w:p>
        </w:tc>
      </w:tr>
      <w:tr w14:paraId="1EB74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7C21CF2D">
            <w:pPr>
              <w:spacing w:line="360" w:lineRule="auto"/>
              <w:rPr>
                <w:rFonts w:ascii="宋体" w:hAnsi="宋体" w:cs="宋体"/>
                <w:color w:val="auto"/>
                <w:szCs w:val="21"/>
                <w:highlight w:val="none"/>
              </w:rPr>
            </w:pPr>
            <w:bookmarkStart w:id="60" w:name="_13.3"/>
            <w:bookmarkEnd w:id="60"/>
          </w:p>
        </w:tc>
        <w:tc>
          <w:tcPr>
            <w:tcW w:w="7969" w:type="dxa"/>
            <w:tcBorders>
              <w:top w:val="single" w:color="auto" w:sz="4" w:space="0"/>
              <w:left w:val="single" w:color="auto" w:sz="4" w:space="0"/>
              <w:bottom w:val="single" w:color="auto" w:sz="4" w:space="0"/>
              <w:right w:val="single" w:color="auto" w:sz="4" w:space="0"/>
            </w:tcBorders>
            <w:vAlign w:val="center"/>
          </w:tcPr>
          <w:p w14:paraId="3BB6E20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7CE37F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1.投标人参加本项目无围标串标行为的承诺（格式后附）；（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6B899D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2.法定代表人（负责人）身份证明及法定代表人（负责人）有效身份证正反面（格式后附）；（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4C9EB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3.法定代表人（负责人）授权委托书及委托代理人有效身份证正反面（格式后附）；（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3DD1E4B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D87FD6C">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服务承诺（格式自拟）；（</w:t>
            </w:r>
            <w:r>
              <w:rPr>
                <w:rFonts w:hint="eastAsia" w:ascii="宋体" w:hAnsi="宋体"/>
                <w:b/>
                <w:color w:val="auto"/>
                <w:szCs w:val="21"/>
                <w:highlight w:val="none"/>
              </w:rPr>
              <w:t>必须提供，</w:t>
            </w:r>
            <w:r>
              <w:rPr>
                <w:rFonts w:hint="eastAsia" w:ascii="宋体" w:hAnsi="宋体" w:cs="宋体"/>
                <w:b/>
                <w:color w:val="auto"/>
                <w:szCs w:val="21"/>
                <w:highlight w:val="none"/>
              </w:rPr>
              <w:t>否则作无效投标处理</w:t>
            </w:r>
            <w:r>
              <w:rPr>
                <w:rFonts w:hint="eastAsia" w:ascii="宋体" w:hAnsi="宋体"/>
                <w:color w:val="auto"/>
                <w:szCs w:val="21"/>
                <w:highlight w:val="none"/>
              </w:rPr>
              <w:t>）</w:t>
            </w:r>
          </w:p>
          <w:p w14:paraId="77106736">
            <w:pPr>
              <w:snapToGrid w:val="0"/>
              <w:spacing w:line="360" w:lineRule="auto"/>
              <w:ind w:left="413"/>
              <w:jc w:val="left"/>
              <w:rPr>
                <w:rFonts w:ascii="宋体" w:hAnsi="宋体" w:cs="宋体"/>
                <w:color w:val="auto"/>
                <w:szCs w:val="21"/>
                <w:highlight w:val="none"/>
              </w:rPr>
            </w:pPr>
            <w:r>
              <w:rPr>
                <w:rFonts w:hint="eastAsia" w:ascii="宋体" w:hAnsi="宋体" w:cs="宋体"/>
                <w:color w:val="auto"/>
                <w:szCs w:val="21"/>
                <w:highlight w:val="none"/>
              </w:rPr>
              <w:t>6.投标人类似的业绩证明（格式自拟）；（</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9CCD3B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7.除招标文件规定必须提供以外，投标人认为需要提供的其他证明材料（格式自拟）。（投标人根据“第二章 采购需求”及“第四章 评标方法及评标标准”提供有关证明材料）</w:t>
            </w:r>
          </w:p>
          <w:p w14:paraId="03B38517">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注：1.法定代表人（负责人）授权委托书必须由法定代表人（负责人）签字（或个人CA盖章），并加盖投标人公章（或CA签章），否则作无效投标处理。</w:t>
            </w:r>
          </w:p>
          <w:p w14:paraId="4CC6D931">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2.以上标明“必须提供”的材料须加盖投标人公章（或CA签章），否则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E303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bottom w:val="single" w:color="auto" w:sz="4" w:space="0"/>
              <w:right w:val="single" w:color="auto" w:sz="4" w:space="0"/>
            </w:tcBorders>
            <w:vAlign w:val="center"/>
          </w:tcPr>
          <w:p w14:paraId="6252F516">
            <w:pPr>
              <w:spacing w:line="360" w:lineRule="auto"/>
              <w:rPr>
                <w:rFonts w:ascii="宋体" w:hAnsi="宋体" w:cs="宋体"/>
                <w:color w:val="auto"/>
                <w:szCs w:val="21"/>
                <w:highlight w:val="none"/>
              </w:rPr>
            </w:pPr>
            <w:bookmarkStart w:id="61" w:name="_13.4"/>
            <w:bookmarkEnd w:id="61"/>
          </w:p>
        </w:tc>
        <w:tc>
          <w:tcPr>
            <w:tcW w:w="7969" w:type="dxa"/>
            <w:tcBorders>
              <w:top w:val="single" w:color="auto" w:sz="4" w:space="0"/>
              <w:left w:val="single" w:color="auto" w:sz="4" w:space="0"/>
              <w:bottom w:val="single" w:color="auto" w:sz="4" w:space="0"/>
              <w:right w:val="single" w:color="auto" w:sz="4" w:space="0"/>
            </w:tcBorders>
            <w:vAlign w:val="center"/>
          </w:tcPr>
          <w:p w14:paraId="5A6DC56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AAD97C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lang w:val="en-US" w:eastAsia="zh-CN"/>
              </w:rPr>
              <w:t>服务需求</w:t>
            </w:r>
            <w:r>
              <w:rPr>
                <w:rFonts w:hint="eastAsia" w:ascii="宋体" w:hAnsi="宋体"/>
                <w:color w:val="auto"/>
                <w:szCs w:val="21"/>
                <w:highlight w:val="none"/>
              </w:rPr>
              <w:t>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7F4087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微软雅黑"/>
                <w:color w:val="auto"/>
                <w:highlight w:val="none"/>
              </w:rPr>
              <w:t>项目实施方案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17BA0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项目实施人员一览表</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06FEC3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4.除招标文件规定必须提供以外，投标人认为需要提供的其他证明材料（格式自拟）。（投标人根据“第二章 采购需求”及“第四章 评标方法及评标标准”提供有关证明材料）</w:t>
            </w:r>
          </w:p>
          <w:p w14:paraId="65A7887F">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注：以上标明“必须提供”的材料须加盖投标人公章（或CA签章），否则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91B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E81FF38">
            <w:pPr>
              <w:spacing w:line="360" w:lineRule="auto"/>
              <w:rPr>
                <w:rFonts w:ascii="宋体" w:hAnsi="宋体" w:cs="宋体"/>
                <w:color w:val="auto"/>
                <w:szCs w:val="21"/>
                <w:highlight w:val="none"/>
              </w:rPr>
            </w:pPr>
            <w:bookmarkStart w:id="62" w:name="_13.5"/>
            <w:bookmarkEnd w:id="62"/>
            <w:r>
              <w:rPr>
                <w:rFonts w:hint="eastAsia" w:ascii="宋体" w:hAnsi="宋体" w:cs="宋体"/>
                <w:color w:val="auto"/>
                <w:szCs w:val="21"/>
                <w:highlight w:val="none"/>
              </w:rPr>
              <w:t>13.2</w:t>
            </w:r>
          </w:p>
        </w:tc>
        <w:tc>
          <w:tcPr>
            <w:tcW w:w="7969" w:type="dxa"/>
            <w:tcBorders>
              <w:top w:val="single" w:color="auto" w:sz="4" w:space="0"/>
              <w:left w:val="single" w:color="auto" w:sz="4" w:space="0"/>
              <w:bottom w:val="single" w:color="auto" w:sz="4" w:space="0"/>
              <w:right w:val="single" w:color="auto" w:sz="4" w:space="0"/>
            </w:tcBorders>
            <w:vAlign w:val="center"/>
          </w:tcPr>
          <w:p w14:paraId="0583E47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投标文件的制作</w:t>
            </w:r>
          </w:p>
          <w:p w14:paraId="5D816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电子投标文件中须加盖投标人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投标人的电子投标文件未能关联定位提供相应的内容与其对应，则评审小组在评审时如做出对投标人不利的评审由投标人自行承担。电子投标文件如内容不完整、编排混乱导致投标文件被误读、漏读，或者在按招标文件规定的部位查找不到相关内容的，由投标人自行承担。</w:t>
            </w:r>
          </w:p>
          <w:p w14:paraId="10989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 投标人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 </w:t>
            </w:r>
          </w:p>
          <w:p w14:paraId="55D38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投标文件不得涂改，若有修改错漏处，须法定代表人（负责人）或授权委托人签字（或个人CA签章）。投标文件因字迹潦草或表达不清所引起的后果由投标人负责。</w:t>
            </w:r>
          </w:p>
          <w:p w14:paraId="57B618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4评审前准备 </w:t>
            </w:r>
          </w:p>
          <w:p w14:paraId="6E9F6F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4.1本项目实行网上评审，采用电子投标文件；若投标人参与投标，自行承担投标一切费用。 </w:t>
            </w:r>
          </w:p>
          <w:p w14:paraId="074C764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4.2各投标人在截标前应确保成为广西政府采购云平台正式注册入库供应商，并完成 CA 数字证书申领。因未注册入库、未办理 CA 数字证书等原因造成无法投标或投标失败等后果由投标人自行承担。 </w:t>
            </w:r>
          </w:p>
          <w:p w14:paraId="4C5277D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4.3投标人将广西政府采购云平台电子交易客户端下载、安装完成后，可通过账号密码或 CA 登录客户端进行投标文件制作。客户端请至网站下载专区查看，如有问题可拨打广西政府采购云平台客户服务热线 95763 进行咨询。</w:t>
            </w:r>
          </w:p>
        </w:tc>
      </w:tr>
      <w:tr w14:paraId="65863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D500C66">
            <w:pPr>
              <w:spacing w:line="360" w:lineRule="auto"/>
              <w:rPr>
                <w:rFonts w:ascii="宋体" w:hAnsi="宋体" w:cs="宋体"/>
                <w:color w:val="auto"/>
                <w:szCs w:val="21"/>
                <w:highlight w:val="none"/>
              </w:rPr>
            </w:pPr>
            <w:bookmarkStart w:id="63" w:name="_16.2"/>
            <w:bookmarkEnd w:id="63"/>
            <w:r>
              <w:rPr>
                <w:rFonts w:hint="eastAsia" w:ascii="宋体" w:hAnsi="宋体" w:cs="宋体"/>
                <w:color w:val="auto"/>
                <w:szCs w:val="21"/>
                <w:highlight w:val="none"/>
              </w:rPr>
              <w:t>16</w:t>
            </w:r>
            <w:bookmarkStart w:id="64" w:name="_Hlt19693759"/>
            <w:bookmarkStart w:id="65" w:name="_Hlt19194066"/>
            <w:bookmarkStart w:id="66" w:name="_Hlt19194067"/>
            <w:bookmarkStart w:id="67" w:name="_Hlt19693758"/>
            <w:r>
              <w:rPr>
                <w:rFonts w:hint="eastAsia" w:ascii="宋体" w:hAnsi="宋体" w:cs="宋体"/>
                <w:color w:val="auto"/>
                <w:szCs w:val="21"/>
                <w:highlight w:val="none"/>
              </w:rPr>
              <w:t>.</w:t>
            </w:r>
            <w:bookmarkEnd w:id="64"/>
            <w:bookmarkEnd w:id="65"/>
            <w:bookmarkEnd w:id="66"/>
            <w:bookmarkEnd w:id="67"/>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6C9097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p w14:paraId="2DCB4A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☑投标报价包含验收费用</w:t>
            </w:r>
          </w:p>
          <w:p w14:paraId="5239B25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□投标报价不包含验收费用</w:t>
            </w:r>
          </w:p>
        </w:tc>
      </w:tr>
      <w:tr w14:paraId="06868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B3B9E96">
            <w:pPr>
              <w:spacing w:line="360" w:lineRule="auto"/>
              <w:rPr>
                <w:rFonts w:ascii="宋体" w:hAnsi="宋体" w:cs="宋体"/>
                <w:color w:val="auto"/>
                <w:szCs w:val="21"/>
                <w:highlight w:val="none"/>
              </w:rPr>
            </w:pPr>
            <w:bookmarkStart w:id="68" w:name="_17.1"/>
            <w:bookmarkEnd w:id="68"/>
            <w:r>
              <w:rPr>
                <w:rFonts w:hint="eastAsia" w:ascii="宋体" w:hAnsi="宋体" w:cs="宋体"/>
                <w:color w:val="auto"/>
                <w:szCs w:val="21"/>
                <w:highlight w:val="none"/>
              </w:rPr>
              <w:t>17.2</w:t>
            </w:r>
          </w:p>
        </w:tc>
        <w:tc>
          <w:tcPr>
            <w:tcW w:w="7969" w:type="dxa"/>
            <w:tcBorders>
              <w:top w:val="single" w:color="auto" w:sz="4" w:space="0"/>
              <w:left w:val="single" w:color="auto" w:sz="4" w:space="0"/>
              <w:bottom w:val="single" w:color="auto" w:sz="4" w:space="0"/>
              <w:right w:val="single" w:color="auto" w:sz="4" w:space="0"/>
            </w:tcBorders>
            <w:vAlign w:val="center"/>
          </w:tcPr>
          <w:p w14:paraId="083860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w:t>
            </w:r>
          </w:p>
        </w:tc>
      </w:tr>
      <w:tr w14:paraId="0220B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93D77FB">
            <w:pPr>
              <w:spacing w:line="360" w:lineRule="auto"/>
              <w:rPr>
                <w:rFonts w:ascii="宋体" w:hAnsi="宋体" w:cs="宋体"/>
                <w:color w:val="auto"/>
                <w:szCs w:val="21"/>
                <w:highlight w:val="none"/>
              </w:rPr>
            </w:pPr>
            <w:bookmarkStart w:id="69" w:name="_18"/>
            <w:bookmarkEnd w:id="69"/>
            <w:r>
              <w:rPr>
                <w:rFonts w:hint="eastAsia" w:ascii="宋体" w:hAnsi="宋体" w:cs="宋体"/>
                <w:color w:val="auto"/>
                <w:szCs w:val="21"/>
                <w:highlight w:val="none"/>
              </w:rPr>
              <w:t>18.1</w:t>
            </w:r>
          </w:p>
        </w:tc>
        <w:tc>
          <w:tcPr>
            <w:tcW w:w="7969" w:type="dxa"/>
            <w:tcBorders>
              <w:top w:val="single" w:color="auto" w:sz="4" w:space="0"/>
              <w:left w:val="single" w:color="auto" w:sz="4" w:space="0"/>
              <w:bottom w:val="single" w:color="auto" w:sz="4" w:space="0"/>
              <w:right w:val="single" w:color="auto" w:sz="4" w:space="0"/>
            </w:tcBorders>
            <w:vAlign w:val="center"/>
          </w:tcPr>
          <w:p w14:paraId="5E424EFE">
            <w:pPr>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☑本项目不收取投标保证金。</w:t>
            </w:r>
          </w:p>
        </w:tc>
      </w:tr>
      <w:tr w14:paraId="226F3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FD47E2D">
            <w:pPr>
              <w:spacing w:line="360" w:lineRule="auto"/>
              <w:rPr>
                <w:rFonts w:ascii="宋体" w:hAnsi="宋体" w:cs="宋体"/>
                <w:color w:val="auto"/>
                <w:szCs w:val="21"/>
                <w:highlight w:val="none"/>
              </w:rPr>
            </w:pPr>
            <w:bookmarkStart w:id="70" w:name="_19.2"/>
            <w:bookmarkEnd w:id="70"/>
            <w:r>
              <w:rPr>
                <w:rFonts w:hint="eastAsia" w:ascii="宋体" w:hAnsi="宋体" w:cs="宋体"/>
                <w:color w:val="auto"/>
                <w:szCs w:val="21"/>
                <w:highlight w:val="none"/>
              </w:rPr>
              <w:t>19.2</w:t>
            </w:r>
          </w:p>
        </w:tc>
        <w:tc>
          <w:tcPr>
            <w:tcW w:w="7969" w:type="dxa"/>
            <w:tcBorders>
              <w:top w:val="single" w:color="auto" w:sz="4" w:space="0"/>
              <w:left w:val="single" w:color="auto" w:sz="4" w:space="0"/>
              <w:bottom w:val="single" w:color="auto" w:sz="4" w:space="0"/>
              <w:right w:val="single" w:color="auto" w:sz="4" w:space="0"/>
            </w:tcBorders>
            <w:vAlign w:val="center"/>
          </w:tcPr>
          <w:p w14:paraId="6FC3CCF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tc>
      </w:tr>
      <w:tr w14:paraId="609B3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1D992177">
            <w:pPr>
              <w:spacing w:line="360" w:lineRule="auto"/>
              <w:rPr>
                <w:rFonts w:ascii="宋体" w:hAnsi="宋体" w:cs="宋体"/>
                <w:color w:val="auto"/>
                <w:szCs w:val="21"/>
                <w:highlight w:val="none"/>
              </w:rPr>
            </w:pPr>
            <w:bookmarkStart w:id="71" w:name="_21.1"/>
            <w:bookmarkEnd w:id="71"/>
            <w:r>
              <w:rPr>
                <w:rFonts w:hint="eastAsia" w:ascii="宋体" w:hAnsi="宋体" w:cs="宋体"/>
                <w:color w:val="auto"/>
                <w:szCs w:val="21"/>
                <w:highlight w:val="none"/>
              </w:rPr>
              <w:t>21.1</w:t>
            </w:r>
          </w:p>
        </w:tc>
        <w:tc>
          <w:tcPr>
            <w:tcW w:w="7969" w:type="dxa"/>
            <w:tcBorders>
              <w:top w:val="single" w:color="auto" w:sz="4" w:space="0"/>
              <w:left w:val="single" w:color="auto" w:sz="4" w:space="0"/>
              <w:bottom w:val="single" w:color="auto" w:sz="4" w:space="0"/>
              <w:right w:val="single" w:color="auto" w:sz="4" w:space="0"/>
            </w:tcBorders>
            <w:vAlign w:val="center"/>
          </w:tcPr>
          <w:p w14:paraId="1C0A950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投标文件递交</w:t>
            </w:r>
          </w:p>
          <w:p w14:paraId="545CC0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投标文件递交截止时间：于投标文件递交截止时间之前将电子投标文件上传到广西政府采购云平台。应按照本项目招标文件和广西政府采购云平台的要求编制、加密传输投标文件。供应商在使用系统进行投标的过程中遇到涉及平台使用的任何问题，可致电政</w:t>
            </w:r>
            <w:r>
              <w:rPr>
                <w:rFonts w:hint="eastAsia" w:ascii="宋体" w:hAnsi="宋体"/>
                <w:color w:val="auto"/>
                <w:szCs w:val="21"/>
                <w:highlight w:val="none"/>
              </w:rPr>
              <w:t>广西政府采购云平台</w:t>
            </w:r>
            <w:r>
              <w:rPr>
                <w:rFonts w:hint="eastAsia" w:ascii="宋体" w:hAnsi="宋体" w:cs="宋体"/>
                <w:color w:val="auto"/>
                <w:szCs w:val="21"/>
                <w:highlight w:val="none"/>
              </w:rPr>
              <w:t>客户服务热线 95763 进行咨询。</w:t>
            </w:r>
          </w:p>
        </w:tc>
      </w:tr>
      <w:tr w14:paraId="4BB69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42172AC2">
            <w:pPr>
              <w:spacing w:line="360" w:lineRule="auto"/>
              <w:rPr>
                <w:rFonts w:ascii="宋体" w:hAnsi="宋体" w:cs="宋体"/>
                <w:color w:val="auto"/>
                <w:szCs w:val="21"/>
                <w:highlight w:val="none"/>
              </w:rPr>
            </w:pPr>
            <w:r>
              <w:rPr>
                <w:rFonts w:hint="eastAsia" w:ascii="宋体" w:hAnsi="宋体" w:cs="宋体"/>
                <w:color w:val="auto"/>
                <w:szCs w:val="21"/>
                <w:highlight w:val="none"/>
              </w:rPr>
              <w:t>21.2</w:t>
            </w:r>
          </w:p>
        </w:tc>
        <w:tc>
          <w:tcPr>
            <w:tcW w:w="7969" w:type="dxa"/>
            <w:tcBorders>
              <w:top w:val="single" w:color="auto" w:sz="4" w:space="0"/>
              <w:left w:val="single" w:color="auto" w:sz="4" w:space="0"/>
              <w:bottom w:val="single" w:color="auto" w:sz="4" w:space="0"/>
              <w:right w:val="single" w:color="auto" w:sz="4" w:space="0"/>
            </w:tcBorders>
            <w:vAlign w:val="center"/>
          </w:tcPr>
          <w:p w14:paraId="7452DD69">
            <w:pPr>
              <w:widowControl/>
              <w:spacing w:line="360" w:lineRule="exact"/>
              <w:ind w:firstLine="420" w:firstLineChars="200"/>
              <w:jc w:val="left"/>
              <w:rPr>
                <w:color w:val="auto"/>
                <w:highlight w:val="none"/>
              </w:rPr>
            </w:pPr>
            <w:r>
              <w:rPr>
                <w:rFonts w:hint="eastAsia"/>
                <w:color w:val="auto"/>
                <w:highlight w:val="none"/>
              </w:rPr>
              <w:t>投标文件解密</w:t>
            </w:r>
          </w:p>
          <w:p w14:paraId="341BBDE9">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21.2</w:t>
            </w:r>
            <w:r>
              <w:rPr>
                <w:rFonts w:hint="eastAsia" w:ascii="宋体" w:hAnsi="宋体" w:cs="宋体"/>
                <w:color w:val="auto"/>
                <w:highlight w:val="none"/>
              </w:rPr>
              <w:t>投标文件解密时间：截标时间后</w:t>
            </w:r>
            <w:r>
              <w:rPr>
                <w:rFonts w:hint="eastAsia" w:ascii="宋体" w:hAnsi="宋体" w:cs="宋体"/>
                <w:color w:val="auto"/>
                <w:highlight w:val="none"/>
                <w:u w:val="single"/>
              </w:rPr>
              <w:t>30</w:t>
            </w:r>
            <w:r>
              <w:rPr>
                <w:rFonts w:hint="eastAsia" w:ascii="宋体" w:hAnsi="宋体" w:cs="宋体"/>
                <w:color w:val="auto"/>
                <w:highlight w:val="none"/>
              </w:rPr>
              <w:t>分钟内投标人可以登录广西政府采购云平台，</w:t>
            </w:r>
            <w:r>
              <w:rPr>
                <w:rFonts w:hint="eastAsia" w:ascii="宋体" w:hAnsi="宋体" w:cs="宋体"/>
                <w:color w:val="auto"/>
                <w:kern w:val="0"/>
                <w:szCs w:val="21"/>
                <w:highlight w:val="none"/>
              </w:rPr>
              <w:t>投标人投标时，需凭制作投标文件时用来加密的有效数字证书（CA认证）登录广西政府采购云平台电子开标大厅现场按规定时间对加密的投标文件进行解密，否则后果自负。</w:t>
            </w:r>
          </w:p>
          <w:p w14:paraId="5105EA2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71EA02BF">
            <w:pPr>
              <w:widowControl/>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tc>
      </w:tr>
      <w:tr w14:paraId="0E137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539E760">
            <w:pPr>
              <w:spacing w:line="360" w:lineRule="auto"/>
              <w:rPr>
                <w:rFonts w:ascii="宋体" w:hAnsi="宋体" w:cs="宋体"/>
                <w:color w:val="auto"/>
                <w:szCs w:val="21"/>
                <w:highlight w:val="none"/>
              </w:rPr>
            </w:pPr>
            <w:bookmarkStart w:id="72" w:name="_23"/>
            <w:bookmarkEnd w:id="72"/>
            <w:r>
              <w:rPr>
                <w:rFonts w:hint="eastAsia" w:ascii="宋体" w:hAnsi="宋体" w:cs="宋体"/>
                <w:color w:val="auto"/>
                <w:szCs w:val="21"/>
                <w:highlight w:val="none"/>
              </w:rPr>
              <w:t>23</w:t>
            </w:r>
          </w:p>
        </w:tc>
        <w:tc>
          <w:tcPr>
            <w:tcW w:w="7969" w:type="dxa"/>
            <w:tcBorders>
              <w:top w:val="single" w:color="auto" w:sz="4" w:space="0"/>
              <w:left w:val="single" w:color="auto" w:sz="4" w:space="0"/>
              <w:bottom w:val="single" w:color="auto" w:sz="4" w:space="0"/>
              <w:right w:val="single" w:color="auto" w:sz="4" w:space="0"/>
            </w:tcBorders>
            <w:vAlign w:val="center"/>
          </w:tcPr>
          <w:p w14:paraId="7CC3139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83F1E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71C7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F7009D7">
            <w:pPr>
              <w:spacing w:line="360" w:lineRule="auto"/>
              <w:rPr>
                <w:rFonts w:ascii="宋体" w:hAnsi="宋体" w:cs="宋体"/>
                <w:color w:val="auto"/>
                <w:szCs w:val="21"/>
                <w:highlight w:val="none"/>
              </w:rPr>
            </w:pPr>
            <w:bookmarkStart w:id="73" w:name="_25.3"/>
            <w:bookmarkEnd w:id="73"/>
            <w:r>
              <w:rPr>
                <w:rFonts w:hint="eastAsia" w:ascii="宋体" w:hAnsi="宋体" w:cs="宋体"/>
                <w:color w:val="auto"/>
                <w:szCs w:val="21"/>
                <w:highlight w:val="none"/>
              </w:rPr>
              <w:t>25.3（2）</w:t>
            </w:r>
          </w:p>
        </w:tc>
        <w:tc>
          <w:tcPr>
            <w:tcW w:w="7969" w:type="dxa"/>
            <w:tcBorders>
              <w:top w:val="single" w:color="auto" w:sz="4" w:space="0"/>
              <w:left w:val="single" w:color="auto" w:sz="4" w:space="0"/>
              <w:bottom w:val="single" w:color="auto" w:sz="4" w:space="0"/>
              <w:right w:val="single" w:color="auto" w:sz="4" w:space="0"/>
            </w:tcBorders>
            <w:vAlign w:val="center"/>
          </w:tcPr>
          <w:p w14:paraId="1E0F89CB">
            <w:pPr>
              <w:snapToGrid w:val="0"/>
              <w:spacing w:line="360" w:lineRule="auto"/>
              <w:rPr>
                <w:rFonts w:ascii="宋体" w:hAnsi="宋体" w:cs="宋体"/>
                <w:color w:val="auto"/>
                <w:szCs w:val="21"/>
                <w:highlight w:val="none"/>
              </w:rPr>
            </w:pPr>
            <w:r>
              <w:rPr>
                <w:rFonts w:hint="eastAsia" w:ascii="宋体" w:hAnsi="宋体"/>
                <w:color w:val="auto"/>
                <w:szCs w:val="21"/>
                <w:highlight w:val="none"/>
              </w:rPr>
              <w:t>广西政府采购云平台</w:t>
            </w:r>
            <w:r>
              <w:rPr>
                <w:rFonts w:hint="eastAsia" w:ascii="宋体" w:hAnsi="宋体" w:cs="宋体"/>
                <w:color w:val="auto"/>
                <w:szCs w:val="21"/>
                <w:highlight w:val="none"/>
              </w:rPr>
              <w:t>已与“信用中国”平台做接口，资格评审专家可直接在线查询。</w:t>
            </w:r>
          </w:p>
          <w:p w14:paraId="5F98F8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、中国政府采购网(http://www.ccgp.gov.cn)》。</w:t>
            </w:r>
          </w:p>
          <w:p w14:paraId="1683F0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5144CC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A7EDC1F">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http://www.ccgp.gov.cn)被列入失信被执行人、重大税收违法失信主体、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6A915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FA83D0F">
            <w:pPr>
              <w:spacing w:line="360" w:lineRule="auto"/>
              <w:rPr>
                <w:rFonts w:ascii="宋体" w:hAnsi="宋体" w:cs="宋体"/>
                <w:color w:val="auto"/>
                <w:szCs w:val="21"/>
                <w:highlight w:val="none"/>
              </w:rPr>
            </w:pPr>
            <w:bookmarkStart w:id="74" w:name="_26"/>
            <w:bookmarkEnd w:id="74"/>
            <w:r>
              <w:rPr>
                <w:rFonts w:hint="eastAsia" w:ascii="宋体" w:hAnsi="宋体" w:cs="宋体"/>
                <w:color w:val="auto"/>
                <w:szCs w:val="21"/>
                <w:highlight w:val="none"/>
              </w:rPr>
              <w:t>26</w:t>
            </w:r>
          </w:p>
        </w:tc>
        <w:tc>
          <w:tcPr>
            <w:tcW w:w="7969" w:type="dxa"/>
            <w:tcBorders>
              <w:top w:val="single" w:color="auto" w:sz="4" w:space="0"/>
              <w:left w:val="single" w:color="auto" w:sz="4" w:space="0"/>
              <w:bottom w:val="single" w:color="auto" w:sz="4" w:space="0"/>
              <w:right w:val="single" w:color="auto" w:sz="4" w:space="0"/>
            </w:tcBorders>
            <w:vAlign w:val="center"/>
          </w:tcPr>
          <w:p w14:paraId="48B51C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评标委员会的人数：7人，其中采购人代表2人，专家5人。</w:t>
            </w:r>
          </w:p>
          <w:p w14:paraId="50FB1FA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专家确定方式：评审前从广西政府采购云平台中广西壮族自治区政府采购评审系统设立的专家库中通过电脑随机抽取。</w:t>
            </w:r>
          </w:p>
        </w:tc>
      </w:tr>
      <w:tr w14:paraId="06C0D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4CDB2C9">
            <w:pPr>
              <w:spacing w:line="360" w:lineRule="auto"/>
              <w:rPr>
                <w:rFonts w:ascii="宋体" w:hAnsi="宋体" w:cs="宋体"/>
                <w:color w:val="auto"/>
                <w:szCs w:val="21"/>
                <w:highlight w:val="none"/>
              </w:rPr>
            </w:pPr>
            <w:bookmarkStart w:id="75" w:name="_28.3"/>
            <w:bookmarkEnd w:id="75"/>
            <w:r>
              <w:rPr>
                <w:rFonts w:hint="eastAsia" w:ascii="宋体" w:hAnsi="宋体" w:cs="宋体"/>
                <w:color w:val="auto"/>
                <w:szCs w:val="21"/>
                <w:highlight w:val="none"/>
              </w:rPr>
              <w:t>29.1</w:t>
            </w:r>
          </w:p>
        </w:tc>
        <w:tc>
          <w:tcPr>
            <w:tcW w:w="7969" w:type="dxa"/>
            <w:tcBorders>
              <w:top w:val="single" w:color="auto" w:sz="4" w:space="0"/>
              <w:left w:val="single" w:color="auto" w:sz="4" w:space="0"/>
              <w:bottom w:val="single" w:color="auto" w:sz="4" w:space="0"/>
              <w:right w:val="single" w:color="auto" w:sz="4" w:space="0"/>
            </w:tcBorders>
            <w:vAlign w:val="center"/>
          </w:tcPr>
          <w:p w14:paraId="3068378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60D84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w:t>
            </w:r>
          </w:p>
          <w:p w14:paraId="5BBD15A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□最低评标价法</w:t>
            </w:r>
          </w:p>
        </w:tc>
      </w:tr>
      <w:tr w14:paraId="67874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auto" w:sz="4" w:space="0"/>
              <w:left w:val="single" w:color="auto" w:sz="4" w:space="0"/>
              <w:right w:val="single" w:color="auto" w:sz="4" w:space="0"/>
            </w:tcBorders>
            <w:vAlign w:val="center"/>
          </w:tcPr>
          <w:p w14:paraId="73830BC5">
            <w:pPr>
              <w:spacing w:line="360" w:lineRule="auto"/>
              <w:rPr>
                <w:rFonts w:ascii="宋体" w:hAnsi="宋体" w:cs="宋体"/>
                <w:color w:val="auto"/>
                <w:szCs w:val="21"/>
                <w:highlight w:val="none"/>
              </w:rPr>
            </w:pPr>
            <w:bookmarkStart w:id="76" w:name="_29.2.2（2）"/>
            <w:bookmarkEnd w:id="76"/>
            <w:r>
              <w:rPr>
                <w:rFonts w:hint="eastAsia" w:ascii="宋体" w:hAnsi="宋体" w:cs="宋体"/>
                <w:color w:val="auto"/>
                <w:szCs w:val="21"/>
                <w:highlight w:val="none"/>
              </w:rPr>
              <w:t>29.2</w:t>
            </w:r>
          </w:p>
        </w:tc>
        <w:tc>
          <w:tcPr>
            <w:tcW w:w="7969" w:type="dxa"/>
            <w:tcBorders>
              <w:top w:val="single" w:color="auto" w:sz="4" w:space="0"/>
              <w:left w:val="single" w:color="auto" w:sz="4" w:space="0"/>
              <w:right w:val="single" w:color="auto" w:sz="4" w:space="0"/>
            </w:tcBorders>
            <w:vAlign w:val="center"/>
          </w:tcPr>
          <w:p w14:paraId="5C32938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79B63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13838A9">
            <w:pPr>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7969" w:type="dxa"/>
            <w:tcBorders>
              <w:top w:val="single" w:color="auto" w:sz="4" w:space="0"/>
              <w:left w:val="single" w:color="auto" w:sz="4" w:space="0"/>
              <w:bottom w:val="single" w:color="auto" w:sz="4" w:space="0"/>
              <w:right w:val="single" w:color="auto" w:sz="4" w:space="0"/>
            </w:tcBorders>
            <w:vAlign w:val="center"/>
          </w:tcPr>
          <w:p w14:paraId="732A173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采购人确定中标人时，出现中标候选人并列的情形，采购人按以下的方式确定中标人：</w:t>
            </w:r>
          </w:p>
          <w:p w14:paraId="385189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照评审因素的量化指标评审得分最高的优先、项目质保期长优先（如有）、交货期短优先（如有）、故障响应时间短优先（如有）的顺序；（注：第四章评标方法及标准中另有约定的，则按第四章中约定内容执行。）</w:t>
            </w:r>
          </w:p>
          <w:p w14:paraId="630FE17B">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□随机抽取</w:t>
            </w:r>
          </w:p>
        </w:tc>
      </w:tr>
      <w:tr w14:paraId="34248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63" w:type="dxa"/>
            <w:tcBorders>
              <w:top w:val="single" w:color="auto" w:sz="4" w:space="0"/>
              <w:left w:val="single" w:color="auto" w:sz="4" w:space="0"/>
              <w:bottom w:val="single" w:color="auto" w:sz="4" w:space="0"/>
              <w:right w:val="single" w:color="auto" w:sz="4" w:space="0"/>
            </w:tcBorders>
            <w:vAlign w:val="center"/>
          </w:tcPr>
          <w:p w14:paraId="3A9EA2B8">
            <w:pPr>
              <w:spacing w:line="360" w:lineRule="auto"/>
              <w:rPr>
                <w:rFonts w:ascii="宋体" w:hAnsi="宋体" w:cs="宋体"/>
                <w:color w:val="auto"/>
                <w:szCs w:val="21"/>
                <w:highlight w:val="none"/>
              </w:rPr>
            </w:pPr>
            <w:bookmarkStart w:id="77" w:name="_39.1"/>
            <w:bookmarkEnd w:id="77"/>
            <w:r>
              <w:rPr>
                <w:rFonts w:hint="eastAsia" w:ascii="宋体" w:hAnsi="宋体" w:cs="宋体"/>
                <w:color w:val="auto"/>
                <w:szCs w:val="21"/>
                <w:highlight w:val="none"/>
              </w:rPr>
              <w:t>35.1</w:t>
            </w:r>
          </w:p>
        </w:tc>
        <w:tc>
          <w:tcPr>
            <w:tcW w:w="7969" w:type="dxa"/>
            <w:tcBorders>
              <w:top w:val="single" w:color="auto" w:sz="4" w:space="0"/>
              <w:left w:val="single" w:color="auto" w:sz="4" w:space="0"/>
              <w:bottom w:val="single" w:color="auto" w:sz="4" w:space="0"/>
              <w:right w:val="single" w:color="auto" w:sz="4" w:space="0"/>
            </w:tcBorders>
            <w:vAlign w:val="center"/>
          </w:tcPr>
          <w:p w14:paraId="1D4DE5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734729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履约保证金提交方式：</w:t>
            </w:r>
            <w:r>
              <w:rPr>
                <w:rFonts w:hint="eastAsia" w:ascii="宋体" w:hAnsi="宋体" w:cs="宋体"/>
                <w:bCs/>
                <w:color w:val="auto"/>
                <w:szCs w:val="21"/>
                <w:highlight w:val="none"/>
              </w:rPr>
              <w:t>银行转账、支票、汇票、本票或者银行、保险机构出具的保函等非现金方式。</w:t>
            </w:r>
          </w:p>
          <w:p w14:paraId="36A614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履约保证金递交方式及相关要求</w:t>
            </w:r>
          </w:p>
          <w:p w14:paraId="6DA597D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（1）履约保证金采用银行转账交纳方式的，中标人在签订合同前交至甲方指定账户并且到账。</w:t>
            </w:r>
          </w:p>
          <w:p w14:paraId="1E3E74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（2）履约保证金采用支票、汇票或本票交纳方式的，中标人在签订合同前，向甲方提交支票、汇票或本票原件。</w:t>
            </w:r>
          </w:p>
          <w:p w14:paraId="52F5FED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（3）履约保证金采用银行、保险机构出具的保函交纳方式的，中标人在签订合同前，向甲方提交保函原件。</w:t>
            </w:r>
          </w:p>
          <w:p w14:paraId="446131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（4）履约保证金指定账户</w:t>
            </w:r>
          </w:p>
          <w:p w14:paraId="494548C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开户名称：广西师范大学</w:t>
            </w:r>
          </w:p>
          <w:p w14:paraId="443463F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开户银行：中国工商银行股份有限公司桂林市高新科技支行</w:t>
            </w:r>
          </w:p>
          <w:p w14:paraId="163A68C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号：2103215109264004618</w:t>
            </w:r>
          </w:p>
          <w:p w14:paraId="595EAAE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履约保证金退付方式、时间及条件</w:t>
            </w:r>
            <w:r>
              <w:rPr>
                <w:rFonts w:hint="eastAsia" w:ascii="宋体" w:hAnsi="宋体" w:cs="宋体"/>
                <w:bCs/>
                <w:color w:val="auto"/>
                <w:kern w:val="0"/>
                <w:szCs w:val="21"/>
                <w:highlight w:val="none"/>
              </w:rPr>
              <w:t>：</w:t>
            </w:r>
          </w:p>
          <w:p w14:paraId="50A0CCE5">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中标人</w:t>
            </w:r>
            <w:r>
              <w:rPr>
                <w:rFonts w:hint="eastAsia" w:ascii="宋体" w:hAnsi="宋体" w:cs="宋体"/>
                <w:bCs/>
                <w:color w:val="auto"/>
                <w:kern w:val="0"/>
                <w:szCs w:val="21"/>
                <w:highlight w:val="none"/>
              </w:rPr>
              <w:t>履行完合同约定的权利义务（包括免费保修服务等）事项后7个工作日内，</w:t>
            </w:r>
            <w:r>
              <w:rPr>
                <w:rFonts w:hint="eastAsia" w:ascii="宋体" w:hAnsi="宋体" w:cs="宋体"/>
                <w:bCs/>
                <w:color w:val="auto"/>
                <w:szCs w:val="21"/>
                <w:highlight w:val="none"/>
              </w:rPr>
              <w:t>由中标人向履约保证金收取单位办理退还手续（不计利息）。</w:t>
            </w:r>
          </w:p>
          <w:p w14:paraId="488B78D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rPr>
              <w:t>中标人在签订合同后存在违约情形的</w:t>
            </w:r>
            <w:r>
              <w:rPr>
                <w:rFonts w:hint="eastAsia" w:ascii="宋体" w:hAnsi="宋体" w:cs="宋体"/>
                <w:bCs/>
                <w:color w:val="auto"/>
                <w:kern w:val="0"/>
                <w:szCs w:val="21"/>
                <w:highlight w:val="none"/>
              </w:rPr>
              <w:t>，履约保证金或保函原件不予退还。</w:t>
            </w:r>
            <w:r>
              <w:rPr>
                <w:rFonts w:hint="eastAsia" w:ascii="宋体" w:hAnsi="宋体" w:cs="宋体"/>
                <w:bCs/>
                <w:color w:val="auto"/>
                <w:szCs w:val="21"/>
                <w:highlight w:val="none"/>
              </w:rPr>
              <w:t>保函形式的甲方按相关规定由出具保函的银行</w:t>
            </w:r>
            <w:r>
              <w:rPr>
                <w:rFonts w:hint="eastAsia" w:ascii="宋体" w:hAnsi="宋体" w:cs="宋体"/>
                <w:bCs/>
                <w:color w:val="auto"/>
                <w:kern w:val="0"/>
                <w:szCs w:val="21"/>
                <w:highlight w:val="none"/>
              </w:rPr>
              <w:t>、保险机构承担供应商违约赔付责任，履约保证金不足以赔偿损失的，按实际损失赔偿。</w:t>
            </w:r>
          </w:p>
          <w:p w14:paraId="76D75FE0">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在履约保证金退还日期前，若中标人的开户名称、开户银行、账号有变动的，请以书面形式通知履约保证金收取单位，否则由此产生的后果由中标人自负。</w:t>
            </w:r>
          </w:p>
          <w:p w14:paraId="09DA110E">
            <w:pPr>
              <w:snapToGrid w:val="0"/>
              <w:spacing w:line="360" w:lineRule="auto"/>
              <w:ind w:firstLine="422" w:firstLineChars="200"/>
              <w:rPr>
                <w:color w:val="auto"/>
                <w:highlight w:val="none"/>
              </w:rPr>
            </w:pPr>
            <w:r>
              <w:rPr>
                <w:rFonts w:hint="eastAsia" w:ascii="宋体" w:hAnsi="宋体" w:cs="宋体"/>
                <w:b/>
                <w:color w:val="auto"/>
                <w:szCs w:val="21"/>
                <w:highlight w:val="none"/>
              </w:rPr>
              <w:t>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tc>
      </w:tr>
      <w:tr w14:paraId="118C8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69DFB89">
            <w:pPr>
              <w:spacing w:line="360" w:lineRule="auto"/>
              <w:rPr>
                <w:rFonts w:ascii="宋体" w:hAnsi="宋体" w:cs="宋体"/>
                <w:color w:val="auto"/>
                <w:szCs w:val="21"/>
                <w:highlight w:val="none"/>
              </w:rPr>
            </w:pPr>
            <w:bookmarkStart w:id="78" w:name="_40.1"/>
            <w:bookmarkEnd w:id="78"/>
            <w:r>
              <w:rPr>
                <w:rFonts w:hint="eastAsia" w:ascii="宋体" w:hAnsi="宋体" w:cs="宋体"/>
                <w:color w:val="auto"/>
                <w:szCs w:val="21"/>
                <w:highlight w:val="none"/>
              </w:rPr>
              <w:t>36.1</w:t>
            </w:r>
          </w:p>
        </w:tc>
        <w:tc>
          <w:tcPr>
            <w:tcW w:w="7969" w:type="dxa"/>
            <w:tcBorders>
              <w:top w:val="single" w:color="auto" w:sz="4" w:space="0"/>
              <w:left w:val="single" w:color="auto" w:sz="4" w:space="0"/>
              <w:bottom w:val="single" w:color="auto" w:sz="4" w:space="0"/>
              <w:right w:val="single" w:color="auto" w:sz="4" w:space="0"/>
            </w:tcBorders>
            <w:vAlign w:val="center"/>
          </w:tcPr>
          <w:p w14:paraId="5F4F28CC">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2BEDAD3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BA97F8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DF0D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3D06759">
            <w:pPr>
              <w:spacing w:line="360" w:lineRule="auto"/>
              <w:rPr>
                <w:rFonts w:ascii="宋体" w:hAnsi="宋体" w:cs="宋体"/>
                <w:color w:val="auto"/>
                <w:szCs w:val="21"/>
                <w:highlight w:val="none"/>
              </w:rPr>
            </w:pPr>
            <w:r>
              <w:rPr>
                <w:rFonts w:hint="eastAsia" w:ascii="宋体" w:hAnsi="宋体" w:cs="宋体"/>
                <w:color w:val="auto"/>
                <w:szCs w:val="21"/>
                <w:highlight w:val="none"/>
              </w:rPr>
              <w:t>38.2</w:t>
            </w:r>
          </w:p>
        </w:tc>
        <w:tc>
          <w:tcPr>
            <w:tcW w:w="7969" w:type="dxa"/>
            <w:tcBorders>
              <w:top w:val="single" w:color="auto" w:sz="4" w:space="0"/>
              <w:left w:val="single" w:color="auto" w:sz="4" w:space="0"/>
              <w:bottom w:val="single" w:color="auto" w:sz="4" w:space="0"/>
              <w:right w:val="single" w:color="auto" w:sz="4" w:space="0"/>
            </w:tcBorders>
            <w:vAlign w:val="center"/>
          </w:tcPr>
          <w:p w14:paraId="08A75E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6EF8D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质疑联系部门及联系方式：广西达成咨询有限公司，联系电话：0773-3569998，通讯地址：桂林市秀峰区滨江路18号滨江大厦5楼  </w:t>
            </w:r>
          </w:p>
          <w:p w14:paraId="5618F7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现场提交质疑办理业务时间：每天8时00分到12时00分，15时00分到18时00分，业务时间以外、双休日和法定节假日不办理业务。</w:t>
            </w:r>
          </w:p>
        </w:tc>
      </w:tr>
      <w:tr w14:paraId="2416A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F24A6D3">
            <w:pPr>
              <w:spacing w:line="360" w:lineRule="auto"/>
              <w:rPr>
                <w:rFonts w:ascii="宋体" w:hAnsi="宋体" w:cs="宋体"/>
                <w:color w:val="auto"/>
                <w:szCs w:val="21"/>
                <w:highlight w:val="none"/>
              </w:rPr>
            </w:pPr>
            <w:bookmarkStart w:id="79" w:name="_42"/>
            <w:bookmarkEnd w:id="79"/>
            <w:bookmarkStart w:id="80" w:name="_41"/>
            <w:bookmarkEnd w:id="80"/>
            <w:bookmarkStart w:id="81" w:name="_Hlt17709148"/>
            <w:r>
              <w:rPr>
                <w:rFonts w:hint="eastAsia" w:ascii="宋体" w:hAnsi="宋体" w:cs="宋体"/>
                <w:color w:val="auto"/>
                <w:szCs w:val="21"/>
                <w:highlight w:val="none"/>
              </w:rPr>
              <w:t>3</w:t>
            </w:r>
            <w:bookmarkEnd w:id="81"/>
            <w:r>
              <w:rPr>
                <w:rFonts w:hint="eastAsia" w:ascii="宋体" w:hAnsi="宋体" w:cs="宋体"/>
                <w:color w:val="auto"/>
                <w:szCs w:val="21"/>
                <w:highlight w:val="none"/>
              </w:rPr>
              <w:t>9.1</w:t>
            </w:r>
          </w:p>
        </w:tc>
        <w:tc>
          <w:tcPr>
            <w:tcW w:w="7969" w:type="dxa"/>
            <w:tcBorders>
              <w:top w:val="single" w:color="auto" w:sz="4" w:space="0"/>
              <w:left w:val="single" w:color="auto" w:sz="4" w:space="0"/>
              <w:bottom w:val="single" w:color="auto" w:sz="4" w:space="0"/>
              <w:right w:val="single" w:color="auto" w:sz="4" w:space="0"/>
            </w:tcBorders>
            <w:vAlign w:val="center"/>
          </w:tcPr>
          <w:p w14:paraId="41A5BF58">
            <w:pPr>
              <w:pStyle w:val="2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158FF127">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1D6B6243">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□采购人支付。</w:t>
            </w:r>
          </w:p>
          <w:p w14:paraId="77C3403B">
            <w:pPr>
              <w:autoSpaceDE w:val="0"/>
              <w:autoSpaceDN w:val="0"/>
              <w:snapToGrid w:val="0"/>
              <w:spacing w:line="360" w:lineRule="auto"/>
              <w:textAlignment w:val="bottom"/>
              <w:rPr>
                <w:rFonts w:hAnsi="宋体" w:cs="宋体"/>
                <w:color w:val="auto"/>
                <w:highlight w:val="none"/>
              </w:rPr>
            </w:pPr>
            <w:r>
              <w:rPr>
                <w:rFonts w:hint="eastAsia" w:hAnsi="宋体" w:cs="宋体"/>
                <w:color w:val="auto"/>
                <w:highlight w:val="none"/>
              </w:rPr>
              <w:t>2.采购</w:t>
            </w:r>
            <w:r>
              <w:rPr>
                <w:rFonts w:hint="eastAsia" w:ascii="宋体" w:hAnsi="宋体" w:cs="宋体"/>
                <w:color w:val="auto"/>
                <w:szCs w:val="21"/>
                <w:highlight w:val="none"/>
              </w:rPr>
              <w:t>代理费</w:t>
            </w:r>
            <w:r>
              <w:rPr>
                <w:rFonts w:hint="eastAsia" w:hAnsi="宋体" w:cs="宋体"/>
                <w:color w:val="auto"/>
                <w:highlight w:val="none"/>
              </w:rPr>
              <w:t>收取标准：</w:t>
            </w:r>
          </w:p>
          <w:p w14:paraId="40C10155">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w:t>
            </w:r>
            <w:r>
              <w:rPr>
                <w:rFonts w:hint="eastAsia"/>
                <w:color w:val="auto"/>
                <w:highlight w:val="none"/>
              </w:rPr>
              <w:t>本项目采购代理服务费按计价格[2002]1980号《招标代理服务收费管理暂行办法》收费标准向中标人收取，中标人领取成交通知书前，向采购代理机构一次性付清采购代理服务费。</w:t>
            </w:r>
          </w:p>
          <w:p w14:paraId="7BDA721E">
            <w:pPr>
              <w:autoSpaceDE w:val="0"/>
              <w:autoSpaceDN w:val="0"/>
              <w:snapToGrid w:val="0"/>
              <w:spacing w:line="360" w:lineRule="auto"/>
              <w:ind w:firstLine="420" w:firstLineChars="200"/>
              <w:textAlignment w:val="bottom"/>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       。</w:t>
            </w:r>
          </w:p>
          <w:p w14:paraId="334697EA">
            <w:pPr>
              <w:pStyle w:val="26"/>
              <w:snapToGrid w:val="0"/>
              <w:spacing w:line="360" w:lineRule="auto"/>
              <w:rPr>
                <w:rFonts w:hAnsi="宋体" w:cs="宋体"/>
                <w:color w:val="auto"/>
                <w:sz w:val="21"/>
                <w:highlight w:val="none"/>
              </w:rPr>
            </w:pPr>
            <w:r>
              <w:rPr>
                <w:rFonts w:hint="eastAsia" w:hAnsi="宋体" w:cs="宋体"/>
                <w:color w:val="auto"/>
                <w:sz w:val="21"/>
                <w:highlight w:val="none"/>
              </w:rPr>
              <w:t xml:space="preserve">3.账户名称： </w:t>
            </w:r>
          </w:p>
          <w:p w14:paraId="22173B8E">
            <w:pPr>
              <w:pStyle w:val="26"/>
              <w:snapToGrid w:val="0"/>
              <w:spacing w:line="360" w:lineRule="auto"/>
              <w:rPr>
                <w:rFonts w:hAnsi="宋体" w:cs="宋体"/>
                <w:b/>
                <w:bCs/>
                <w:color w:val="auto"/>
                <w:sz w:val="21"/>
                <w:highlight w:val="none"/>
              </w:rPr>
            </w:pPr>
            <w:r>
              <w:rPr>
                <w:rFonts w:hint="eastAsia" w:hAnsi="宋体" w:cs="宋体"/>
                <w:b/>
                <w:bCs/>
                <w:color w:val="auto"/>
                <w:sz w:val="21"/>
                <w:highlight w:val="none"/>
              </w:rPr>
              <w:t>开户名称：广西达成咨询有限公司第十一分公司</w:t>
            </w:r>
          </w:p>
          <w:p w14:paraId="47ECA9E8">
            <w:pPr>
              <w:pStyle w:val="26"/>
              <w:snapToGrid w:val="0"/>
              <w:spacing w:line="360" w:lineRule="auto"/>
              <w:rPr>
                <w:rFonts w:hAnsi="宋体" w:cs="宋体"/>
                <w:b/>
                <w:bCs/>
                <w:color w:val="auto"/>
                <w:sz w:val="21"/>
                <w:highlight w:val="none"/>
              </w:rPr>
            </w:pPr>
            <w:r>
              <w:rPr>
                <w:rFonts w:hint="eastAsia" w:hAnsi="宋体" w:cs="宋体"/>
                <w:b/>
                <w:bCs/>
                <w:color w:val="auto"/>
                <w:sz w:val="21"/>
                <w:highlight w:val="none"/>
              </w:rPr>
              <w:t>开户银行：桂林银行秀峰支行</w:t>
            </w:r>
          </w:p>
          <w:p w14:paraId="19C504DC">
            <w:pPr>
              <w:pStyle w:val="26"/>
              <w:snapToGrid w:val="0"/>
              <w:spacing w:line="360" w:lineRule="auto"/>
              <w:rPr>
                <w:rFonts w:hAnsi="宋体" w:cs="宋体"/>
                <w:color w:val="auto"/>
                <w:sz w:val="21"/>
                <w:highlight w:val="none"/>
              </w:rPr>
            </w:pPr>
            <w:r>
              <w:rPr>
                <w:rFonts w:hint="eastAsia" w:hAnsi="宋体" w:cs="宋体"/>
                <w:b/>
                <w:bCs/>
                <w:color w:val="auto"/>
                <w:sz w:val="21"/>
                <w:highlight w:val="none"/>
              </w:rPr>
              <w:t>银行账号：660000022460000016</w:t>
            </w:r>
          </w:p>
        </w:tc>
      </w:tr>
      <w:tr w14:paraId="614E7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A235B2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40.1</w:t>
            </w:r>
          </w:p>
        </w:tc>
        <w:tc>
          <w:tcPr>
            <w:tcW w:w="7969" w:type="dxa"/>
            <w:tcBorders>
              <w:top w:val="single" w:color="auto" w:sz="4" w:space="0"/>
              <w:left w:val="single" w:color="auto" w:sz="4" w:space="0"/>
              <w:bottom w:val="single" w:color="auto" w:sz="4" w:space="0"/>
              <w:right w:val="single" w:color="auto" w:sz="4" w:space="0"/>
            </w:tcBorders>
            <w:vAlign w:val="center"/>
          </w:tcPr>
          <w:p w14:paraId="3A0D243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534E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90012A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2A3BE5C4">
            <w:pPr>
              <w:snapToGrid w:val="0"/>
              <w:spacing w:line="360" w:lineRule="auto"/>
              <w:ind w:firstLine="422" w:firstLineChars="200"/>
              <w:rPr>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r>
              <w:rPr>
                <w:rFonts w:hint="eastAsia" w:hAnsi="宋体" w:cs="宋体"/>
                <w:b/>
                <w:color w:val="auto"/>
                <w:highlight w:val="none"/>
              </w:rPr>
              <w:t>（或CA签章）。</w:t>
            </w:r>
          </w:p>
          <w:p w14:paraId="1E653F40">
            <w:pPr>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D0AEBA3">
            <w:pPr>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3.自然人投标的，招标文件规定盖公章处由自然人摁手指指印。</w:t>
            </w:r>
          </w:p>
          <w:p w14:paraId="108AB512">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4.本招标文件所称的“以上”“以下”“以内”“届满”，包括本数；所称的“不满”“超过”“以外”，不包括本数。</w:t>
            </w:r>
          </w:p>
        </w:tc>
      </w:tr>
      <w:tr w14:paraId="10889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3A923B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6D5605C7">
            <w:pPr>
              <w:spacing w:line="360" w:lineRule="auto"/>
              <w:jc w:val="left"/>
              <w:rPr>
                <w:rFonts w:ascii="宋体" w:hAnsi="宋体"/>
                <w:color w:val="auto"/>
                <w:highlight w:val="none"/>
              </w:rPr>
            </w:pPr>
            <w:r>
              <w:rPr>
                <w:rFonts w:hint="eastAsia" w:ascii="宋体" w:hAnsi="宋体"/>
                <w:color w:val="auto"/>
                <w:highlight w:val="none"/>
              </w:rPr>
              <w:t>监督部门：广西壮族自治区财政厅政府采购监督管理处</w:t>
            </w:r>
          </w:p>
          <w:p w14:paraId="4F337CA1">
            <w:pPr>
              <w:spacing w:line="360" w:lineRule="auto"/>
              <w:jc w:val="left"/>
              <w:rPr>
                <w:rFonts w:ascii="宋体" w:hAnsi="宋体" w:cs="宋体"/>
                <w:b/>
                <w:bCs/>
                <w:color w:val="auto"/>
                <w:szCs w:val="21"/>
                <w:highlight w:val="none"/>
              </w:rPr>
            </w:pPr>
            <w:r>
              <w:rPr>
                <w:rFonts w:hint="eastAsia" w:ascii="宋体" w:hAnsi="宋体"/>
                <w:color w:val="auto"/>
                <w:highlight w:val="none"/>
              </w:rPr>
              <w:t>监督联系电话：0771-5331544</w:t>
            </w:r>
          </w:p>
        </w:tc>
      </w:tr>
    </w:tbl>
    <w:p w14:paraId="4E53686D">
      <w:pPr>
        <w:rPr>
          <w:rFonts w:ascii="宋体" w:hAnsi="宋体" w:cs="宋体"/>
          <w:color w:val="auto"/>
          <w:highlight w:val="none"/>
        </w:rPr>
      </w:pPr>
      <w:r>
        <w:rPr>
          <w:rFonts w:hint="eastAsia" w:ascii="宋体" w:hAnsi="宋体" w:cs="宋体"/>
          <w:color w:val="auto"/>
          <w:highlight w:val="none"/>
        </w:rPr>
        <w:br w:type="page"/>
      </w:r>
    </w:p>
    <w:p w14:paraId="2C93B384">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1CC674D4">
      <w:pPr>
        <w:pStyle w:val="5"/>
        <w:rPr>
          <w:color w:val="auto"/>
          <w:highlight w:val="none"/>
        </w:rPr>
      </w:pPr>
      <w:r>
        <w:rPr>
          <w:rFonts w:hint="eastAsia"/>
          <w:color w:val="auto"/>
          <w:highlight w:val="none"/>
        </w:rPr>
        <w:t>一、总则</w:t>
      </w:r>
    </w:p>
    <w:p w14:paraId="5171CFFE">
      <w:pPr>
        <w:pStyle w:val="6"/>
        <w:keepNext w:val="0"/>
        <w:keepLines w:val="0"/>
        <w:spacing w:before="0" w:after="0" w:line="360" w:lineRule="auto"/>
        <w:rPr>
          <w:rFonts w:ascii="宋体" w:hAnsi="宋体" w:cs="宋体"/>
          <w:color w:val="auto"/>
          <w:sz w:val="21"/>
          <w:szCs w:val="21"/>
          <w:highlight w:val="none"/>
        </w:rPr>
      </w:pPr>
      <w:bookmarkStart w:id="82" w:name="_Toc254970527"/>
      <w:bookmarkStart w:id="83" w:name="_Toc254970668"/>
      <w:r>
        <w:rPr>
          <w:rFonts w:hint="eastAsia" w:ascii="宋体" w:hAnsi="宋体" w:cs="宋体"/>
          <w:color w:val="auto"/>
          <w:sz w:val="21"/>
          <w:szCs w:val="21"/>
          <w:highlight w:val="none"/>
        </w:rPr>
        <w:t>1.适用范围</w:t>
      </w:r>
      <w:bookmarkEnd w:id="82"/>
      <w:bookmarkEnd w:id="83"/>
    </w:p>
    <w:p w14:paraId="349EDD9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5EB2CD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11D27D9">
      <w:pPr>
        <w:pStyle w:val="6"/>
        <w:keepNext w:val="0"/>
        <w:keepLines w:val="0"/>
        <w:spacing w:before="0" w:after="0" w:line="360" w:lineRule="auto"/>
        <w:rPr>
          <w:rFonts w:ascii="宋体" w:hAnsi="宋体" w:cs="宋体"/>
          <w:color w:val="auto"/>
          <w:sz w:val="21"/>
          <w:szCs w:val="21"/>
          <w:highlight w:val="none"/>
        </w:rPr>
      </w:pPr>
      <w:bookmarkStart w:id="84" w:name="_Toc254970528"/>
      <w:bookmarkStart w:id="85" w:name="_Toc254970669"/>
      <w:r>
        <w:rPr>
          <w:rFonts w:hint="eastAsia" w:ascii="宋体" w:hAnsi="宋体" w:cs="宋体"/>
          <w:color w:val="auto"/>
          <w:sz w:val="21"/>
          <w:szCs w:val="21"/>
          <w:highlight w:val="none"/>
        </w:rPr>
        <w:t>2.定义</w:t>
      </w:r>
      <w:bookmarkEnd w:id="84"/>
      <w:bookmarkEnd w:id="85"/>
    </w:p>
    <w:p w14:paraId="7F6087D7">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475ECF1D">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2.2“采购代理机构”是指政府采购代理机构（以下简称采购代理机构）是指集中采购机构以外、受采购人委托从事政府采购代理业务的社会中介机构。</w:t>
      </w:r>
    </w:p>
    <w:p w14:paraId="03F86B4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w:t>
      </w:r>
      <w:r>
        <w:rPr>
          <w:rFonts w:ascii="宋体" w:hAnsi="宋体" w:cs="宋体"/>
          <w:b w:val="0"/>
          <w:color w:val="auto"/>
          <w:sz w:val="21"/>
          <w:szCs w:val="21"/>
          <w:highlight w:val="none"/>
        </w:rPr>
        <w:t>3“供应商”是指向采购人提供货物、工程或者服务的法人、其他组织或者自然人。</w:t>
      </w:r>
    </w:p>
    <w:p w14:paraId="7D48FF9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ascii="宋体" w:hAnsi="宋体" w:cs="宋体"/>
          <w:b w:val="0"/>
          <w:color w:val="auto"/>
          <w:sz w:val="21"/>
          <w:szCs w:val="21"/>
          <w:highlight w:val="none"/>
        </w:rPr>
        <w:t>2.4“投标人”是指响应招标、参加投标竞争的法人、非法人组织或者自然人。</w:t>
      </w:r>
    </w:p>
    <w:p w14:paraId="7D51874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ascii="宋体" w:hAnsi="宋体" w:cs="宋体"/>
          <w:b w:val="0"/>
          <w:color w:val="auto"/>
          <w:sz w:val="21"/>
          <w:szCs w:val="21"/>
          <w:highlight w:val="none"/>
        </w:rPr>
        <w:t>2.5“服务”</w:t>
      </w:r>
      <w:r>
        <w:rPr>
          <w:rFonts w:hint="eastAsia" w:ascii="宋体" w:hAnsi="宋体"/>
          <w:b w:val="0"/>
          <w:color w:val="auto"/>
          <w:sz w:val="21"/>
          <w:szCs w:val="21"/>
          <w:highlight w:val="none"/>
        </w:rPr>
        <w:t>是指除货物和工程以外的其他政府采购对象。</w:t>
      </w:r>
    </w:p>
    <w:p w14:paraId="2BCBC4B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4BC9204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2.7“书面形式”是指合同书、信件和数据电文（包括电报、电传、传真、电子数据交换和电子邮件）等可以有形地表现所载内容的形式。</w:t>
      </w:r>
    </w:p>
    <w:p w14:paraId="458C7127">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w:t>
      </w:r>
    </w:p>
    <w:p w14:paraId="6D33127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2.9“正偏离”，是指投标文件对招标文件“采购需求”中有关条款作出的响应优于条款要求并有利于采购人的情形。</w:t>
      </w:r>
    </w:p>
    <w:p w14:paraId="57236D4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1A6D5A6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6" w:name="_Toc254970529"/>
      <w:bookmarkStart w:id="87" w:name="_Toc254970670"/>
    </w:p>
    <w:p w14:paraId="6334FA3D">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3.</w:t>
      </w:r>
      <w:bookmarkEnd w:id="86"/>
      <w:bookmarkEnd w:id="87"/>
      <w:r>
        <w:rPr>
          <w:rFonts w:hint="eastAsia" w:ascii="宋体" w:hAnsi="宋体" w:cs="宋体"/>
          <w:color w:val="auto"/>
          <w:sz w:val="21"/>
          <w:szCs w:val="21"/>
          <w:highlight w:val="none"/>
        </w:rPr>
        <w:t>投标人的资格要求</w:t>
      </w:r>
    </w:p>
    <w:p w14:paraId="6C51A91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06D5377A">
      <w:pPr>
        <w:pStyle w:val="6"/>
        <w:keepNext w:val="0"/>
        <w:keepLines w:val="0"/>
        <w:spacing w:before="0" w:after="0" w:line="360" w:lineRule="auto"/>
        <w:rPr>
          <w:rFonts w:ascii="宋体" w:hAnsi="宋体" w:cs="宋体"/>
          <w:color w:val="auto"/>
          <w:sz w:val="21"/>
          <w:szCs w:val="21"/>
          <w:highlight w:val="none"/>
        </w:rPr>
      </w:pPr>
      <w:bookmarkStart w:id="88" w:name="_Toc254970671"/>
      <w:bookmarkStart w:id="89" w:name="_Toc254970530"/>
      <w:r>
        <w:rPr>
          <w:rFonts w:hint="eastAsia" w:ascii="宋体" w:hAnsi="宋体" w:cs="宋体"/>
          <w:color w:val="auto"/>
          <w:sz w:val="21"/>
          <w:szCs w:val="21"/>
          <w:highlight w:val="none"/>
        </w:rPr>
        <w:t>4.投标委托</w:t>
      </w:r>
      <w:bookmarkEnd w:id="88"/>
      <w:bookmarkEnd w:id="89"/>
    </w:p>
    <w:p w14:paraId="2397B32C">
      <w:pPr>
        <w:snapToGrid w:val="0"/>
        <w:spacing w:line="360" w:lineRule="auto"/>
        <w:ind w:firstLine="420" w:firstLineChars="200"/>
        <w:jc w:val="left"/>
        <w:rPr>
          <w:rFonts w:ascii="宋体" w:hAnsi="宋体" w:cs="宋体"/>
          <w:color w:val="auto"/>
          <w:szCs w:val="21"/>
          <w:highlight w:val="none"/>
        </w:rPr>
      </w:pPr>
      <w:bookmarkStart w:id="90" w:name="_5.投标费用"/>
      <w:bookmarkEnd w:id="90"/>
      <w:bookmarkStart w:id="91" w:name="_Toc254970531"/>
      <w:bookmarkStart w:id="92" w:name="_Toc254970672"/>
      <w:r>
        <w:rPr>
          <w:rFonts w:hint="eastAsia" w:ascii="宋体" w:hAnsi="宋体" w:cs="宋体"/>
          <w:color w:val="auto"/>
          <w:szCs w:val="21"/>
          <w:highlight w:val="none"/>
        </w:rPr>
        <w:t>投标人代表参加投标活动过程中必须提供个人有效身份证件。如投标人代表不是法定代表人，须持有法定代表人授权委托书（按第六章要求格式填写）。</w:t>
      </w:r>
    </w:p>
    <w:p w14:paraId="6AF76EEB">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5.投标费用</w:t>
      </w:r>
      <w:bookmarkEnd w:id="91"/>
      <w:bookmarkEnd w:id="92"/>
    </w:p>
    <w:p w14:paraId="02CF479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FE19A2">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3830DF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899B023">
      <w:pPr>
        <w:snapToGrid w:val="0"/>
        <w:spacing w:line="360" w:lineRule="auto"/>
        <w:ind w:firstLine="420" w:firstLineChars="200"/>
        <w:jc w:val="left"/>
        <w:rPr>
          <w:color w:val="auto"/>
          <w:highlight w:val="none"/>
        </w:rPr>
      </w:pPr>
      <w:r>
        <w:rPr>
          <w:rFonts w:hint="eastAsia"/>
          <w:color w:val="auto"/>
          <w:highlight w:val="none"/>
        </w:rPr>
        <w:t>6.2如接受联合体投标，联合体投标要求详见“投标人须知前附表”。</w:t>
      </w:r>
    </w:p>
    <w:p w14:paraId="605AA42F">
      <w:pPr>
        <w:snapToGrid w:val="0"/>
        <w:spacing w:line="360" w:lineRule="auto"/>
        <w:ind w:firstLine="420" w:firstLineChars="200"/>
        <w:jc w:val="left"/>
        <w:rPr>
          <w:rFonts w:ascii="宋体" w:hAnsi="宋体" w:cs="宋体"/>
          <w:color w:val="auto"/>
          <w:szCs w:val="21"/>
          <w:highlight w:val="none"/>
        </w:rPr>
      </w:pPr>
      <w:r>
        <w:rPr>
          <w:rFonts w:hint="eastAsia"/>
          <w:color w:val="auto"/>
          <w:highlight w:val="none"/>
        </w:rPr>
        <w:t>6.3根据《政府采购促进中小企业发展管理办法》（财库〔2020〕46号）及《广西壮族自治区财政厅关于持续优化政府采购营商环境推动高质量发展的通知》（桂财采〔2024〕55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w:t>
      </w:r>
      <w:r>
        <w:rPr>
          <w:rFonts w:hint="eastAsia" w:ascii="宋体" w:hAnsi="宋体" w:cs="宋体"/>
          <w:bCs/>
          <w:color w:val="auto"/>
          <w:szCs w:val="21"/>
          <w:highlight w:val="none"/>
        </w:rPr>
        <w:t>大中型企业和其他自然人、法人或者其他组织，与小型、微型企业之间不得存在投资关系。”</w:t>
      </w:r>
    </w:p>
    <w:p w14:paraId="58CD9DF1">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color w:val="auto"/>
          <w:sz w:val="21"/>
          <w:szCs w:val="21"/>
          <w:highlight w:val="none"/>
        </w:rPr>
        <w:t>7.转包与分包</w:t>
      </w:r>
    </w:p>
    <w:p w14:paraId="3D8D110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F28D53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02497EF">
      <w:pPr>
        <w:pStyle w:val="6"/>
        <w:keepNext w:val="0"/>
        <w:keepLines w:val="0"/>
        <w:spacing w:before="0" w:after="0" w:line="360" w:lineRule="auto"/>
        <w:rPr>
          <w:rFonts w:ascii="宋体" w:hAnsi="宋体" w:cs="宋体"/>
          <w:color w:val="auto"/>
          <w:sz w:val="21"/>
          <w:szCs w:val="21"/>
          <w:highlight w:val="none"/>
        </w:rPr>
      </w:pPr>
      <w:bookmarkStart w:id="93" w:name="_Toc254970532"/>
      <w:bookmarkStart w:id="94" w:name="_Toc254970673"/>
      <w:r>
        <w:rPr>
          <w:rFonts w:hint="eastAsia" w:ascii="宋体" w:hAnsi="宋体" w:cs="宋体"/>
          <w:color w:val="auto"/>
          <w:sz w:val="21"/>
          <w:szCs w:val="21"/>
          <w:highlight w:val="none"/>
        </w:rPr>
        <w:t>8.特别说明：</w:t>
      </w:r>
      <w:bookmarkEnd w:id="93"/>
      <w:bookmarkEnd w:id="94"/>
    </w:p>
    <w:p w14:paraId="454FB932">
      <w:pPr>
        <w:spacing w:line="360" w:lineRule="auto"/>
        <w:ind w:firstLine="420" w:firstLineChars="200"/>
        <w:jc w:val="left"/>
        <w:rPr>
          <w:rFonts w:ascii="宋体" w:hAnsi="宋体" w:cs="宋体"/>
          <w:color w:val="auto"/>
          <w:szCs w:val="21"/>
          <w:highlight w:val="none"/>
        </w:rPr>
      </w:pPr>
      <w:r>
        <w:rPr>
          <w:color w:val="auto"/>
          <w:highlight w:val="none"/>
        </w:rPr>
        <w:fldChar w:fldCharType="begin"/>
      </w:r>
      <w:r>
        <w:rPr>
          <w:color w:val="auto"/>
          <w:highlight w:val="none"/>
        </w:rPr>
        <w:instrText xml:space="preserve"> HYPERLINK \l "_8.1" </w:instrText>
      </w:r>
      <w:r>
        <w:rPr>
          <w:color w:val="auto"/>
          <w:highlight w:val="none"/>
        </w:rPr>
        <w:fldChar w:fldCharType="separate"/>
      </w:r>
      <w:r>
        <w:rPr>
          <w:rFonts w:hint="eastAsia" w:ascii="宋体" w:hAnsi="宋体" w:cs="宋体"/>
          <w:color w:val="auto"/>
          <w:szCs w:val="21"/>
          <w:highlight w:val="none"/>
        </w:rPr>
        <w:t>8.1</w:t>
      </w:r>
      <w:r>
        <w:rPr>
          <w:rFonts w:hint="eastAsia" w:ascii="宋体" w:hAnsi="宋体" w:cs="宋体"/>
          <w:color w:val="auto"/>
          <w:szCs w:val="21"/>
          <w:highlight w:val="none"/>
        </w:rPr>
        <w:fldChar w:fldCharType="end"/>
      </w:r>
      <w:r>
        <w:rPr>
          <w:rFonts w:hint="eastAsia" w:ascii="宋体" w:hAnsi="宋体" w:cs="宋体"/>
          <w:color w:val="auto"/>
          <w:szCs w:val="21"/>
          <w:highlight w:val="none"/>
        </w:rPr>
        <w:t>如是货物采购的：①采用最低评标价法的采购项目，提供相同品牌产品的不同投标人参加同一合同项下投标的，以其中通过资格审查、符合性审查且报价最低的参加评标；若评标报价相同的，按投标报价低的确定，若投标报价也相同的，由采购人或者采购人委托评标委员会采取随机抽取的方式确定一个投标人获得中标人推荐资格，其他同品牌投标人投标无效。②采用综合评分法的采购项目，提供相同品牌产品且通过资格审查、符合性审查的不同投标人参加同一合同项下投标的，按一家投标人计算，评审后得分最高的同品牌投标人获得中标人推荐资格；若评审得分相同的，按投标报价低的确定，若投标报价相同的，由采购人或者采购人委托评标委员会采取随机抽取的方式确定一个投标人获得中标人推荐资格，其他同品牌投标人不作为中标候选人（注：评标办法中另有约定的中标人推荐方式，则按评标办法约定执行）。③非单一产品采购项目，多家投标人提供的核心产品品牌相同的，按前①及②款规定处理。④若项目为服务类项目，则无需按上述要求执行。</w:t>
      </w:r>
    </w:p>
    <w:p w14:paraId="5738265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8.2如果本招标文件要求投标人提供资格、信誉、荣誉、业绩与企业认证等材料的，则投标人所提供的以上材料必须为投标人所拥有（评标办法中有其他要求的，则按评标办法要求）。</w:t>
      </w:r>
    </w:p>
    <w:p w14:paraId="4F9B97C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8.3投标人应仔细阅读招标文件的所有内容，按照招标文件的要求提交投标文件，并对所提供的全部资料的真实性承担法律责任。</w:t>
      </w:r>
    </w:p>
    <w:p w14:paraId="1106E1CB">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8.4投标人在投标活动中提供任何虚假材料，将报监管部门查处；中标后发现的，中标人须依法赔偿采购人，且民事赔偿并不免除违法投标人的行政与刑事责任。</w:t>
      </w:r>
    </w:p>
    <w:p w14:paraId="2EB2BF9A">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292D3C75">
      <w:pPr>
        <w:pStyle w:val="6"/>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9.1在政府采购活动中，采购人员及相关人员与投标人有下列利害关系之一的，应当回避：</w:t>
      </w:r>
    </w:p>
    <w:p w14:paraId="4DC5BC50">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（1）参加采购活动前3年内与投标人存在劳动关系；</w:t>
      </w:r>
    </w:p>
    <w:p w14:paraId="7CAFA627">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（2）参加采购活动前3年内担任投标人的董事、监事；</w:t>
      </w:r>
    </w:p>
    <w:p w14:paraId="78326429">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（3）参加采购活动前3年内是投标人的控股股东或者实际控制人；</w:t>
      </w:r>
    </w:p>
    <w:p w14:paraId="76376570">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（4）与投标人的法定代表人或者负责人有夫妻、直系血亲、三代以内旁系血亲或者近姻亲关系；</w:t>
      </w:r>
    </w:p>
    <w:p w14:paraId="2B86062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（5）与投标人有其他可能影响政府采购活动公平、公正进行的关系。</w:t>
      </w:r>
    </w:p>
    <w:p w14:paraId="01E9C0F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1C331C19">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80683C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（1）不同投标人的投标文件由同一单位或者个人编制；或者不同投标人报名的IP地址一致的；</w:t>
      </w:r>
    </w:p>
    <w:p w14:paraId="25529035">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401AEBBB">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0BC6513F">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202A17CC">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3DD8D284">
      <w:pPr>
        <w:pStyle w:val="26"/>
        <w:snapToGrid w:val="0"/>
        <w:spacing w:line="360" w:lineRule="auto"/>
        <w:ind w:firstLine="422" w:firstLineChars="200"/>
        <w:rPr>
          <w:color w:val="auto"/>
          <w:highlight w:val="none"/>
        </w:rPr>
      </w:pPr>
      <w:r>
        <w:rPr>
          <w:rFonts w:hint="eastAsia" w:hAnsi="宋体" w:cs="宋体"/>
          <w:b/>
          <w:color w:val="auto"/>
          <w:kern w:val="2"/>
          <w:sz w:val="21"/>
          <w:highlight w:val="none"/>
        </w:rPr>
        <w:t>（6）不同投标人的投标保证金从同一单位或者个人账户转出。</w:t>
      </w:r>
    </w:p>
    <w:p w14:paraId="3B08893D">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（7）投标人之间协商投标报价等投标文件的实质性内容；</w:t>
      </w:r>
    </w:p>
    <w:p w14:paraId="23B18E64">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（8）投标人之间约定中标人；</w:t>
      </w:r>
    </w:p>
    <w:p w14:paraId="49D96794">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（9）投标人之间约定部分投标人放弃投标或者中标；</w:t>
      </w:r>
    </w:p>
    <w:p w14:paraId="2BEF4CB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（10）属于同一集团、协会、商会等组织成员的投标人按照该组织要求协同投标；</w:t>
      </w:r>
    </w:p>
    <w:p w14:paraId="2A32B68C">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（11）投标人之间为谋取中标或者排斥特定投标人而采取的其他联合行动。</w:t>
      </w:r>
    </w:p>
    <w:p w14:paraId="2B10091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9.3投标人有下列情形之一的，属于恶意串通行为，将报同级监督管理部门：</w:t>
      </w:r>
    </w:p>
    <w:p w14:paraId="6029AFDB">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（1）投标人直接或者间接从采购人或者采购代理机构处获得其他投标人的相关信息并修改其投标文件或者响应文件；</w:t>
      </w:r>
    </w:p>
    <w:p w14:paraId="4ED63D6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（2）投标人按照采购人或者采购代理机构的授意撤换、修改投标文件或者响应文件；</w:t>
      </w:r>
    </w:p>
    <w:p w14:paraId="04097B31">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（3）投标人之间协商报价、技术方案等投标文件或者响应文件的实质性内容；</w:t>
      </w:r>
    </w:p>
    <w:p w14:paraId="3FD5D352">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（4）属于同一集团、协会、商会等组织成员的投标人按照该组织要求协同参加政府采购活动；</w:t>
      </w:r>
    </w:p>
    <w:p w14:paraId="1156A555">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18BFEAC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（6）投标人之间商定部分投标人放弃参加政府采购活动或者放弃中标；</w:t>
      </w:r>
    </w:p>
    <w:p w14:paraId="493D623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（7）投标人与采购人或者采购代理机构之间、投标人相互之间，为谋求特定投标人中标或者排斥其他投标人的其他串通行为。</w:t>
      </w:r>
    </w:p>
    <w:p w14:paraId="0F957738">
      <w:pPr>
        <w:pStyle w:val="5"/>
        <w:rPr>
          <w:color w:val="auto"/>
          <w:highlight w:val="none"/>
        </w:rPr>
      </w:pPr>
      <w:bookmarkStart w:id="95" w:name="_Toc254970675"/>
      <w:bookmarkStart w:id="96" w:name="_Toc254970534"/>
      <w:r>
        <w:rPr>
          <w:rFonts w:hint="eastAsia"/>
          <w:color w:val="auto"/>
          <w:highlight w:val="none"/>
        </w:rPr>
        <w:t>二、招标文件</w:t>
      </w:r>
      <w:bookmarkEnd w:id="95"/>
      <w:bookmarkEnd w:id="96"/>
    </w:p>
    <w:p w14:paraId="2E22D0E0">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6781435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5E16E4C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（2）采购需求；</w:t>
      </w:r>
    </w:p>
    <w:p w14:paraId="471AB1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756FC5D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5480ACF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FF6F21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52DE4709">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11.招标文件的澄清、修改、现场考察和答疑会</w:t>
      </w:r>
    </w:p>
    <w:p w14:paraId="20391610">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11.1投标人应认真审阅本招标文件，如有疑问，或发现其中有误或有要求不合理的，按《政府采购质疑和投诉办法》（财政部令第94号）及本项目招标文件规定，投标人认为招标文件使自己的合法权益受到损害的，应当在获取招标文件之日起七个工作日内以书面形式向采购代理机构提出质疑；否则，由此产生的后果由投标人自行负责。</w:t>
      </w:r>
    </w:p>
    <w:p w14:paraId="49101EDB">
      <w:pPr>
        <w:pStyle w:val="7"/>
        <w:keepNext w:val="0"/>
        <w:keepLines w:val="0"/>
        <w:numPr>
          <w:ilvl w:val="0"/>
          <w:numId w:val="0"/>
        </w:numPr>
        <w:spacing w:before="0" w:after="0" w:line="360" w:lineRule="auto"/>
        <w:ind w:firstLine="420" w:firstLineChars="200"/>
        <w:rPr>
          <w:rFonts w:ascii="宋体" w:hAnsi="宋体" w:cs="宋体"/>
          <w:color w:val="auto"/>
          <w:sz w:val="21"/>
          <w:szCs w:val="21"/>
          <w:highlight w:val="none"/>
        </w:rPr>
      </w:pPr>
      <w:r>
        <w:rPr>
          <w:rFonts w:hint="eastAsia" w:ascii="宋体" w:hAnsi="宋体" w:cs="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11.3采购人和采购代理机构可以视采购具体情况，变更投标截止时间和开标时间，并在原公告发布媒体上发布更正公告。</w:t>
      </w:r>
    </w:p>
    <w:p w14:paraId="68A63E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4CC9248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11.5采购人或者采购代理机构可以在招标文件提供期限截止后，组织已获取招标文件的潜在投标人现场考察或者召开开标前答疑会，具体详见“投标人须知前附表”。</w:t>
      </w:r>
    </w:p>
    <w:p w14:paraId="57F58C0B">
      <w:pPr>
        <w:pStyle w:val="5"/>
        <w:rPr>
          <w:color w:val="auto"/>
          <w:highlight w:val="none"/>
        </w:rPr>
      </w:pPr>
      <w:bookmarkStart w:id="97" w:name="_Toc254970676"/>
      <w:bookmarkStart w:id="98" w:name="_Toc254970535"/>
      <w:r>
        <w:rPr>
          <w:rFonts w:hint="eastAsia"/>
          <w:color w:val="auto"/>
          <w:highlight w:val="none"/>
        </w:rPr>
        <w:t>三、投标文件的编制</w:t>
      </w:r>
      <w:bookmarkEnd w:id="97"/>
      <w:bookmarkEnd w:id="98"/>
    </w:p>
    <w:p w14:paraId="0D8C33D7">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bookmarkStart w:id="99" w:name="_Toc254970677"/>
      <w:bookmarkStart w:id="100" w:name="_Toc254970536"/>
      <w:r>
        <w:rPr>
          <w:rFonts w:hint="eastAsia" w:ascii="宋体" w:hAnsi="宋体" w:cs="宋体"/>
          <w:color w:val="auto"/>
          <w:sz w:val="21"/>
          <w:szCs w:val="21"/>
          <w:highlight w:val="none"/>
        </w:rPr>
        <w:t>12.投标文件的编制原则</w:t>
      </w:r>
    </w:p>
    <w:p w14:paraId="002B4E3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39C6B15">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99"/>
      <w:bookmarkEnd w:id="100"/>
    </w:p>
    <w:p w14:paraId="32D3DF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194B4C1">
      <w:pPr>
        <w:snapToGrid w:val="0"/>
        <w:spacing w:line="360" w:lineRule="auto"/>
        <w:ind w:firstLine="420" w:firstLineChars="200"/>
        <w:jc w:val="left"/>
        <w:rPr>
          <w:rFonts w:ascii="宋体" w:hAnsi="宋体" w:cs="宋体"/>
          <w:color w:val="auto"/>
          <w:szCs w:val="21"/>
          <w:highlight w:val="none"/>
        </w:rPr>
      </w:pPr>
      <w:bookmarkStart w:id="101" w:name="_13.1报价文件:_具体材料见“投标人须知前附表”。"/>
      <w:bookmarkEnd w:id="101"/>
      <w:r>
        <w:rPr>
          <w:rFonts w:hint="eastAsia" w:ascii="宋体" w:hAnsi="宋体" w:cs="宋体"/>
          <w:color w:val="auto"/>
          <w:szCs w:val="21"/>
          <w:highlight w:val="none"/>
        </w:rPr>
        <w:t>（1）报价文件：具体材料见“投标人须知前附表”。</w:t>
      </w:r>
    </w:p>
    <w:p w14:paraId="1F87EA4F">
      <w:pPr>
        <w:snapToGrid w:val="0"/>
        <w:spacing w:line="360" w:lineRule="auto"/>
        <w:ind w:firstLine="420" w:firstLineChars="200"/>
        <w:jc w:val="left"/>
        <w:rPr>
          <w:rFonts w:ascii="宋体" w:hAnsi="宋体" w:cs="宋体"/>
          <w:color w:val="auto"/>
          <w:szCs w:val="21"/>
          <w:highlight w:val="none"/>
        </w:rPr>
      </w:pPr>
      <w:bookmarkStart w:id="102" w:name="_13.2资格证明文件：具体材料见“投标人须知前附表”。"/>
      <w:bookmarkEnd w:id="102"/>
      <w:r>
        <w:rPr>
          <w:rFonts w:hint="eastAsia" w:ascii="宋体" w:hAnsi="宋体" w:cs="宋体"/>
          <w:color w:val="auto"/>
          <w:szCs w:val="21"/>
          <w:highlight w:val="none"/>
        </w:rPr>
        <w:t>（2）资格证明文件：具体材料见“投标人须知前附表”。</w:t>
      </w:r>
    </w:p>
    <w:p w14:paraId="05B1605A">
      <w:pPr>
        <w:snapToGrid w:val="0"/>
        <w:spacing w:line="360" w:lineRule="auto"/>
        <w:ind w:firstLine="420" w:firstLineChars="200"/>
        <w:jc w:val="left"/>
        <w:rPr>
          <w:rFonts w:ascii="宋体" w:hAnsi="宋体" w:cs="宋体"/>
          <w:color w:val="auto"/>
          <w:szCs w:val="21"/>
          <w:highlight w:val="none"/>
        </w:rPr>
      </w:pPr>
      <w:bookmarkStart w:id="103" w:name="_13.3商务文件:_具体材料见“投标人须知前附表”。"/>
      <w:bookmarkEnd w:id="103"/>
      <w:r>
        <w:rPr>
          <w:rFonts w:hint="eastAsia" w:ascii="宋体" w:hAnsi="宋体" w:cs="宋体"/>
          <w:color w:val="auto"/>
          <w:szCs w:val="21"/>
          <w:highlight w:val="none"/>
        </w:rPr>
        <w:t>（3）商务文件：具体材料见“投标人须知前附表”。</w:t>
      </w:r>
    </w:p>
    <w:p w14:paraId="12A6B837">
      <w:pPr>
        <w:snapToGrid w:val="0"/>
        <w:spacing w:line="360" w:lineRule="auto"/>
        <w:ind w:firstLine="420" w:firstLineChars="200"/>
        <w:jc w:val="left"/>
        <w:rPr>
          <w:rFonts w:ascii="宋体" w:hAnsi="宋体" w:cs="宋体"/>
          <w:color w:val="auto"/>
          <w:szCs w:val="21"/>
          <w:highlight w:val="none"/>
        </w:rPr>
      </w:pPr>
      <w:bookmarkStart w:id="104" w:name="_13.4技术文件：具体材料见“投标人须知前附表”。"/>
      <w:bookmarkEnd w:id="104"/>
      <w:r>
        <w:rPr>
          <w:rFonts w:hint="eastAsia" w:ascii="宋体" w:hAnsi="宋体" w:cs="宋体"/>
          <w:color w:val="auto"/>
          <w:szCs w:val="21"/>
          <w:highlight w:val="none"/>
        </w:rPr>
        <w:t>（4）技术文件：具体材料见“投标人须知前附表”。</w:t>
      </w:r>
    </w:p>
    <w:p w14:paraId="118FC5D5">
      <w:pPr>
        <w:pStyle w:val="6"/>
        <w:keepNext w:val="0"/>
        <w:keepLines w:val="0"/>
        <w:wordWrap w:val="0"/>
        <w:spacing w:before="0" w:after="0" w:line="360" w:lineRule="auto"/>
        <w:ind w:firstLine="422" w:firstLineChars="200"/>
        <w:rPr>
          <w:rFonts w:ascii="宋体" w:hAnsi="宋体" w:cs="宋体"/>
          <w:color w:val="auto"/>
          <w:sz w:val="21"/>
          <w:szCs w:val="21"/>
          <w:highlight w:val="none"/>
        </w:rPr>
      </w:pPr>
      <w:bookmarkStart w:id="105" w:name="_13.5投标文件电子版：具体材料见“投标人须知前附表”。"/>
      <w:bookmarkEnd w:id="105"/>
      <w:r>
        <w:rPr>
          <w:rFonts w:hint="eastAsia" w:ascii="宋体" w:hAnsi="宋体" w:cs="宋体"/>
          <w:color w:val="auto"/>
          <w:sz w:val="21"/>
          <w:szCs w:val="21"/>
          <w:highlight w:val="none"/>
        </w:rPr>
        <w:t>13.2本项目实行电子投标，供应商应准备电子投标文件：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51130068">
      <w:pPr>
        <w:pStyle w:val="6"/>
        <w:keepNext w:val="0"/>
        <w:keepLines w:val="0"/>
        <w:spacing w:before="0" w:after="0" w:line="360" w:lineRule="auto"/>
        <w:ind w:left="420" w:leftChars="200"/>
        <w:rPr>
          <w:rFonts w:ascii="宋体" w:hAnsi="宋体" w:cs="宋体"/>
          <w:color w:val="auto"/>
          <w:sz w:val="21"/>
          <w:szCs w:val="21"/>
          <w:highlight w:val="none"/>
        </w:rPr>
      </w:pPr>
      <w:bookmarkStart w:id="106" w:name="_Toc254970537"/>
      <w:bookmarkStart w:id="107" w:name="_Toc254970678"/>
      <w:r>
        <w:rPr>
          <w:rFonts w:hint="eastAsia" w:ascii="宋体" w:hAnsi="宋体" w:cs="宋体"/>
          <w:color w:val="auto"/>
          <w:sz w:val="21"/>
          <w:szCs w:val="21"/>
          <w:highlight w:val="none"/>
        </w:rPr>
        <w:t>14.投标文件的语言及计量</w:t>
      </w:r>
      <w:bookmarkEnd w:id="106"/>
      <w:bookmarkEnd w:id="107"/>
    </w:p>
    <w:p w14:paraId="762FC01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3054F1D">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900FA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10E9E69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F6F205F">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198EE5E3">
      <w:pPr>
        <w:pStyle w:val="26"/>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705FEED4">
      <w:pPr>
        <w:pStyle w:val="6"/>
        <w:keepNext w:val="0"/>
        <w:keepLines w:val="0"/>
        <w:spacing w:before="0" w:after="0" w:line="360" w:lineRule="auto"/>
        <w:ind w:left="420" w:leftChars="200"/>
        <w:rPr>
          <w:rFonts w:ascii="宋体" w:hAnsi="宋体" w:cs="宋体"/>
          <w:color w:val="auto"/>
          <w:sz w:val="21"/>
          <w:szCs w:val="21"/>
          <w:highlight w:val="none"/>
        </w:rPr>
      </w:pPr>
      <w:bookmarkStart w:id="108" w:name="_Toc254970679"/>
      <w:bookmarkStart w:id="109" w:name="_Toc254970538"/>
      <w:r>
        <w:rPr>
          <w:rFonts w:hint="eastAsia" w:ascii="宋体" w:hAnsi="宋体" w:cs="宋体"/>
          <w:color w:val="auto"/>
          <w:sz w:val="21"/>
          <w:szCs w:val="21"/>
          <w:highlight w:val="none"/>
        </w:rPr>
        <w:t>16.投标报价</w:t>
      </w:r>
      <w:bookmarkEnd w:id="108"/>
      <w:bookmarkEnd w:id="109"/>
    </w:p>
    <w:p w14:paraId="7C92062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16.1投标报价应按“第六章、投标文件格式”中“开标一览表”格式填写。</w:t>
      </w:r>
    </w:p>
    <w:p w14:paraId="2E005F1A">
      <w:pPr>
        <w:pStyle w:val="6"/>
        <w:keepNext w:val="0"/>
        <w:keepLines w:val="0"/>
        <w:spacing w:before="0" w:after="0" w:line="360" w:lineRule="auto"/>
        <w:ind w:left="420" w:leftChars="200"/>
        <w:rPr>
          <w:rFonts w:ascii="宋体" w:hAnsi="宋体" w:cs="宋体"/>
          <w:b w:val="0"/>
          <w:color w:val="auto"/>
          <w:sz w:val="21"/>
          <w:szCs w:val="21"/>
          <w:highlight w:val="none"/>
        </w:rPr>
      </w:pPr>
      <w:bookmarkStart w:id="110" w:name="_16.2投标报价具体定义见投标人须知前附表。"/>
      <w:bookmarkEnd w:id="110"/>
      <w:r>
        <w:rPr>
          <w:rFonts w:hint="eastAsia" w:ascii="宋体" w:hAnsi="宋体" w:cs="宋体"/>
          <w:b w:val="0"/>
          <w:color w:val="auto"/>
          <w:sz w:val="21"/>
          <w:szCs w:val="21"/>
          <w:highlight w:val="none"/>
        </w:rPr>
        <w:t>16.2投标报价具体包括内容详见“投标人须知前附表”。</w:t>
      </w:r>
    </w:p>
    <w:p w14:paraId="05AA935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1C252AAD">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18B7C668">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11" w:name="_17.1投标有效期应按“投标人须知中的前附表”规定的期限。"/>
      <w:bookmarkEnd w:id="111"/>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3A3FC1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2" w:name="_Toc254970540"/>
      <w:bookmarkStart w:id="113" w:name="_Toc254970681"/>
      <w:r>
        <w:rPr>
          <w:rFonts w:hint="eastAsia" w:ascii="宋体" w:hAnsi="宋体" w:cs="宋体"/>
          <w:b w:val="0"/>
          <w:color w:val="auto"/>
          <w:sz w:val="21"/>
          <w:szCs w:val="21"/>
          <w:highlight w:val="none"/>
        </w:rPr>
        <w:t>投标有效期应按规定的期限作出承诺，具体详见“投标人须知前附表”。</w:t>
      </w:r>
    </w:p>
    <w:p w14:paraId="2F95FB09">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2"/>
      <w:bookmarkEnd w:id="113"/>
    </w:p>
    <w:p w14:paraId="277EA994">
      <w:pPr>
        <w:pStyle w:val="6"/>
        <w:keepNext w:val="0"/>
        <w:keepLines w:val="0"/>
        <w:spacing w:before="0" w:after="0" w:line="360" w:lineRule="auto"/>
        <w:ind w:left="420" w:leftChars="200"/>
        <w:rPr>
          <w:rFonts w:ascii="宋体" w:hAnsi="宋体" w:cs="宋体"/>
          <w:color w:val="auto"/>
          <w:sz w:val="21"/>
          <w:szCs w:val="21"/>
          <w:highlight w:val="none"/>
        </w:rPr>
      </w:pPr>
      <w:bookmarkStart w:id="114" w:name="_18.投标保证金"/>
      <w:bookmarkEnd w:id="114"/>
      <w:bookmarkStart w:id="115" w:name="_Toc254970682"/>
      <w:bookmarkStart w:id="116" w:name="_Toc254970541"/>
      <w:r>
        <w:rPr>
          <w:rFonts w:hint="eastAsia" w:ascii="宋体" w:hAnsi="宋体" w:cs="宋体"/>
          <w:color w:val="auto"/>
          <w:sz w:val="21"/>
          <w:szCs w:val="21"/>
          <w:highlight w:val="none"/>
        </w:rPr>
        <w:t>18.投标保证金</w:t>
      </w:r>
      <w:bookmarkEnd w:id="115"/>
      <w:bookmarkEnd w:id="116"/>
    </w:p>
    <w:p w14:paraId="701B6531">
      <w:pPr>
        <w:pStyle w:val="6"/>
        <w:keepNext w:val="0"/>
        <w:keepLines w:val="0"/>
        <w:spacing w:before="0" w:after="0" w:line="360" w:lineRule="auto"/>
        <w:ind w:firstLine="420" w:firstLineChars="200"/>
        <w:rPr>
          <w:color w:val="auto"/>
          <w:highlight w:val="none"/>
        </w:rPr>
      </w:pPr>
      <w:r>
        <w:rPr>
          <w:rFonts w:hint="eastAsia" w:ascii="宋体" w:hAnsi="宋体" w:cs="宋体"/>
          <w:b w:val="0"/>
          <w:color w:val="auto"/>
          <w:sz w:val="21"/>
          <w:szCs w:val="21"/>
          <w:highlight w:val="none"/>
        </w:rPr>
        <w:t>18.1投标人须按“投标人须知前附表”的规定提交投标保证金。</w:t>
      </w:r>
    </w:p>
    <w:p w14:paraId="32266D02">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591B95E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未中标人的投标保证金自中标通知书发出之日起5个工作日内退还；中标人的投标保证金自政府采购合同签订之日起5个工作日内退还。</w:t>
      </w:r>
    </w:p>
    <w:p w14:paraId="46351B5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22F5EF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18.4投标人有下列情形之一的，投标保证金将不予退还：</w:t>
      </w:r>
    </w:p>
    <w:p w14:paraId="5E0D1D8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（1）投标人在投标截止时间后至有效期内撤回投标文件的；</w:t>
      </w:r>
    </w:p>
    <w:p w14:paraId="57E2959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（2）中标后未按规定提交履约保证金的；</w:t>
      </w:r>
    </w:p>
    <w:p w14:paraId="41D2DCF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（3）投标人在投标过程中弄虚作假，提供虚假材料的；</w:t>
      </w:r>
    </w:p>
    <w:p w14:paraId="2318EE6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（4）中标人无正当理由不与采购人签订合同的；</w:t>
      </w:r>
    </w:p>
    <w:p w14:paraId="1544B4B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（5）投标人出现本章第9.2、9.3、30.4情形的；</w:t>
      </w:r>
    </w:p>
    <w:p w14:paraId="782F7EA2">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（6）法律法规规定的其他情形。</w:t>
      </w:r>
    </w:p>
    <w:p w14:paraId="28C0BFFF">
      <w:pPr>
        <w:pStyle w:val="6"/>
        <w:keepNext w:val="0"/>
        <w:keepLines w:val="0"/>
        <w:spacing w:before="0" w:after="0" w:line="360" w:lineRule="auto"/>
        <w:ind w:left="420" w:leftChars="200"/>
        <w:rPr>
          <w:rFonts w:ascii="宋体" w:hAnsi="宋体" w:cs="宋体"/>
          <w:color w:val="auto"/>
          <w:sz w:val="21"/>
          <w:szCs w:val="21"/>
          <w:highlight w:val="none"/>
        </w:rPr>
      </w:pPr>
      <w:bookmarkStart w:id="117" w:name="_Toc254970683"/>
      <w:bookmarkStart w:id="118" w:name="_Toc254970542"/>
      <w:r>
        <w:rPr>
          <w:rFonts w:hint="eastAsia" w:ascii="宋体" w:hAnsi="宋体" w:cs="宋体"/>
          <w:color w:val="auto"/>
          <w:sz w:val="21"/>
          <w:szCs w:val="21"/>
          <w:highlight w:val="none"/>
        </w:rPr>
        <w:t>19.投标文件的</w:t>
      </w:r>
      <w:bookmarkEnd w:id="117"/>
      <w:bookmarkEnd w:id="118"/>
      <w:r>
        <w:rPr>
          <w:rFonts w:hint="eastAsia" w:ascii="宋体" w:hAnsi="宋体" w:cs="宋体"/>
          <w:color w:val="auto"/>
          <w:sz w:val="21"/>
          <w:szCs w:val="21"/>
          <w:highlight w:val="none"/>
        </w:rPr>
        <w:t>编制</w:t>
      </w:r>
    </w:p>
    <w:p w14:paraId="528D7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电子投标文件中须加盖投标人公章部分均采用 CA 签章，并根据“政府采购项目电子交易管理操作指南-供应商”及本招标文件规定的格式和顺序编制电子投标文件并进行关联定位，以便评审小组在评审时，点击评分项可直接定位到该评分项内容。如对招标文件的某项要求，投标人的电子投标文件未能关联定位提供相应的内容与其对应，则评审小组在评审时如做出对投标人不利的评审由投标人自行承担。电子投标文件如内容不完整、编排混乱导致投标文件被误读、 漏读，或者在按招标文件规定的部位查找不到相关内容的，由投标人自行承担。</w:t>
      </w:r>
    </w:p>
    <w:p w14:paraId="2417E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14:paraId="07985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19.3投标文件须由投标人在规定位置盖公章并签字（具体以投标人须知前附表或投标文件格式规定为准），否则按无效投标处理。</w:t>
      </w:r>
    </w:p>
    <w:p w14:paraId="07E7A6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19.4投标文件中标注的投标人名称应与主体资格证明（如营业执照、事业单位法人证书、执业许可证、自然人身份证等）及公章一致，否则按无效投标处理。</w:t>
      </w:r>
    </w:p>
    <w:p w14:paraId="6B9CC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19.5投标文件不得涂改，若有修改错漏处，须法定代表人（负责人）或授权委托人签字（或个人CA签章）。投标文件因字迹潦草或表达不清所引起的后果由供应商负责。</w:t>
      </w:r>
    </w:p>
    <w:p w14:paraId="294C9870">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20.投标文件的补充、修改和撤回</w:t>
      </w:r>
    </w:p>
    <w:p w14:paraId="6C5768CE">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p w14:paraId="09E8A19A">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20.2在投标截止时间止提交投标文件的投标人不足3家时，不得开标，采购代理机构将根据广西政府采购云平台的操作将电子版投标文件退回，除此之外采购人和采购代理机构对已提交的投标文件概不退回。</w:t>
      </w:r>
    </w:p>
    <w:p w14:paraId="0F91D8CB">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20.3 投标人在投标截止时间后的投标文件有效期内，投标人不得撤回其投标文件，否则不予退还其投标保证金。</w:t>
      </w:r>
    </w:p>
    <w:p w14:paraId="4C0F503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38F1526A">
      <w:pPr>
        <w:snapToGrid w:val="0"/>
        <w:spacing w:line="360" w:lineRule="auto"/>
        <w:ind w:firstLine="420"/>
        <w:jc w:val="left"/>
        <w:rPr>
          <w:rFonts w:ascii="宋体" w:hAnsi="宋体" w:cs="宋体"/>
          <w:color w:val="auto"/>
          <w:szCs w:val="21"/>
          <w:highlight w:val="none"/>
        </w:rPr>
      </w:pPr>
      <w:bookmarkStart w:id="119" w:name="_21.1投标人必须在“投标人须知中的前附表”规定的投标文件接收时间和投"/>
      <w:bookmarkEnd w:id="119"/>
      <w:r>
        <w:rPr>
          <w:rFonts w:hint="eastAsia" w:ascii="宋体" w:hAnsi="宋体" w:cs="宋体"/>
          <w:color w:val="auto"/>
          <w:szCs w:val="21"/>
          <w:highlight w:val="none"/>
        </w:rPr>
        <w:t>21.1投标文件递交：具体要求见“投标人须知前附表”。</w:t>
      </w:r>
    </w:p>
    <w:p w14:paraId="1A8F65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21.2投标文件解密：具体要求见“投标人须知前附表”。</w:t>
      </w:r>
    </w:p>
    <w:p w14:paraId="4BF76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 电子投标文件的相关说明</w:t>
      </w:r>
    </w:p>
    <w:p w14:paraId="396B8E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（1）投标人进行电子投标应安装客户端软件，并按照采购文件和电子交易平台的要求编制并加密投标文件。投标人未按规定加密的投标文件，电子交易平台将拒收。</w:t>
      </w:r>
      <w:r>
        <w:rPr>
          <w:rFonts w:hint="eastAsia" w:ascii="宋体" w:hAnsi="宋体" w:cs="宋体"/>
          <w:bCs/>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p w14:paraId="6EF9B0AE">
      <w:pPr>
        <w:snapToGrid w:val="0"/>
        <w:spacing w:line="360" w:lineRule="auto"/>
        <w:ind w:firstLine="420"/>
        <w:jc w:val="left"/>
        <w:rPr>
          <w:color w:val="auto"/>
          <w:highlight w:val="none"/>
        </w:rPr>
      </w:pPr>
      <w:r>
        <w:rPr>
          <w:rFonts w:hint="eastAsia" w:ascii="宋体" w:hAnsi="宋体" w:cs="宋体"/>
          <w:color w:val="auto"/>
          <w:szCs w:val="21"/>
          <w:highlight w:val="none"/>
        </w:rPr>
        <w:t>（2）如有特殊情况，采购代理机构延长截止时间和开标时间，采购代理机构和投标人的权利和义务将受到新的截止时间和开标时间的约束。</w:t>
      </w:r>
    </w:p>
    <w:p w14:paraId="2C7490A6">
      <w:pPr>
        <w:snapToGrid w:val="0"/>
        <w:spacing w:line="360" w:lineRule="auto"/>
        <w:ind w:firstLine="420"/>
        <w:jc w:val="left"/>
        <w:rPr>
          <w:rFonts w:ascii="宋体" w:hAnsi="宋体" w:cs="宋体"/>
          <w:color w:val="auto"/>
          <w:highlight w:val="none"/>
        </w:rPr>
      </w:pPr>
      <w:bookmarkStart w:id="120" w:name="_Toc254970544"/>
      <w:bookmarkStart w:id="121" w:name="_Toc254970685"/>
      <w:r>
        <w:rPr>
          <w:rFonts w:hint="eastAsia" w:ascii="宋体" w:hAnsi="宋体" w:cs="宋体"/>
          <w:color w:val="auto"/>
          <w:highlight w:val="none"/>
        </w:rPr>
        <w:t>四、开标</w:t>
      </w:r>
      <w:bookmarkEnd w:id="120"/>
      <w:bookmarkEnd w:id="121"/>
    </w:p>
    <w:p w14:paraId="532DF26B">
      <w:pPr>
        <w:pStyle w:val="6"/>
        <w:keepNext w:val="0"/>
        <w:keepLines w:val="0"/>
        <w:spacing w:before="0" w:after="0" w:line="360" w:lineRule="auto"/>
        <w:ind w:left="420" w:leftChars="200"/>
        <w:rPr>
          <w:rFonts w:ascii="宋体" w:hAnsi="宋体" w:cs="宋体"/>
          <w:bCs/>
          <w:color w:val="auto"/>
          <w:sz w:val="21"/>
          <w:szCs w:val="21"/>
          <w:highlight w:val="none"/>
        </w:rPr>
      </w:pPr>
      <w:bookmarkStart w:id="122" w:name="_23.开标时间和地点"/>
      <w:bookmarkEnd w:id="122"/>
      <w:r>
        <w:rPr>
          <w:rFonts w:hint="eastAsia" w:ascii="宋体" w:hAnsi="宋体" w:cs="宋体"/>
          <w:bCs/>
          <w:color w:val="auto"/>
          <w:sz w:val="21"/>
          <w:szCs w:val="21"/>
          <w:highlight w:val="none"/>
        </w:rPr>
        <w:t>23.开标时间和地点</w:t>
      </w:r>
    </w:p>
    <w:p w14:paraId="1F769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23.1开标时间及地点：</w:t>
      </w:r>
    </w:p>
    <w:p w14:paraId="4D1CCA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开标时间：详见投标人须知前附表。</w:t>
      </w:r>
    </w:p>
    <w:p w14:paraId="30FDBD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地点：通过广西政府采购云平台实行在线解密开启。</w:t>
      </w:r>
    </w:p>
    <w:p w14:paraId="002FA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投标人不足3家的，不得开标，采购人或者采购代理机构应当重新组织采购。</w:t>
      </w:r>
    </w:p>
    <w:p w14:paraId="4D36A976">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24.开标程序</w:t>
      </w:r>
    </w:p>
    <w:p w14:paraId="39F81C6C">
      <w:pPr>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24.1开标准备</w:t>
      </w:r>
    </w:p>
    <w:p w14:paraId="36B2D5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24.1.1.开标的准备工作由招标代理机构负责落实；</w:t>
      </w:r>
    </w:p>
    <w:p w14:paraId="2A326F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24.1.2.招标代理机构将按照招标文件规定的时间通过“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2BEBEE16">
      <w:pPr>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24.2开标程序</w:t>
      </w:r>
    </w:p>
    <w:p w14:paraId="1D1F91C5">
      <w:pPr>
        <w:pStyle w:val="9"/>
        <w:spacing w:line="360" w:lineRule="auto"/>
        <w:rPr>
          <w:color w:val="auto"/>
          <w:szCs w:val="21"/>
          <w:highlight w:val="none"/>
        </w:rPr>
      </w:pPr>
      <w:r>
        <w:rPr>
          <w:rFonts w:hint="eastAsia"/>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解密异常情况处理：详见本章29.4 电子交易活动的中止。</w:t>
      </w:r>
    </w:p>
    <w:p w14:paraId="5F27FADF">
      <w:pPr>
        <w:pStyle w:val="9"/>
        <w:spacing w:line="360" w:lineRule="auto"/>
        <w:rPr>
          <w:color w:val="auto"/>
          <w:szCs w:val="21"/>
          <w:highlight w:val="none"/>
        </w:rPr>
      </w:pPr>
      <w:r>
        <w:rPr>
          <w:rFonts w:hint="eastAsia"/>
          <w:color w:val="auto"/>
          <w:szCs w:val="21"/>
          <w:highlight w:val="none"/>
        </w:rPr>
        <w:t>（2）电子唱标。投标文件解密结束，各投标供应商报价均在“广西政府采购云平台”平台远程不见面开标大厅展示；</w:t>
      </w:r>
    </w:p>
    <w:p w14:paraId="6330A245">
      <w:pPr>
        <w:pStyle w:val="9"/>
        <w:spacing w:line="360" w:lineRule="auto"/>
        <w:rPr>
          <w:color w:val="auto"/>
          <w:szCs w:val="21"/>
          <w:highlight w:val="none"/>
        </w:rPr>
      </w:pPr>
      <w:r>
        <w:rPr>
          <w:rFonts w:hint="eastAsia"/>
          <w:color w:val="auto"/>
          <w:highlight w:val="none"/>
        </w:rPr>
        <w:t>（3）开标过程由采购代理机构如实记录，并电子留痕，由参加电子开标的各投标人代表对电子开标记录在开标记录公布后15分钟内进行当</w:t>
      </w:r>
      <w:r>
        <w:rPr>
          <w:rFonts w:hint="eastAsia"/>
          <w:color w:val="auto"/>
          <w:szCs w:val="21"/>
          <w:highlight w:val="none"/>
        </w:rPr>
        <w:t>场校核及勘误，并线上确认是否有异议，未确认的视同认可开标结果。</w:t>
      </w:r>
    </w:p>
    <w:p w14:paraId="1AAA481E">
      <w:pPr>
        <w:pStyle w:val="9"/>
        <w:spacing w:line="360" w:lineRule="auto"/>
        <w:rPr>
          <w:color w:val="auto"/>
          <w:szCs w:val="21"/>
          <w:highlight w:val="none"/>
        </w:rPr>
      </w:pPr>
      <w:r>
        <w:rPr>
          <w:rFonts w:hint="eastAsia"/>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08FFA0D">
      <w:pPr>
        <w:pStyle w:val="9"/>
        <w:spacing w:line="360" w:lineRule="auto"/>
        <w:rPr>
          <w:color w:val="auto"/>
          <w:szCs w:val="21"/>
          <w:highlight w:val="none"/>
        </w:rPr>
      </w:pPr>
      <w:r>
        <w:rPr>
          <w:rFonts w:hint="eastAsia"/>
          <w:color w:val="auto"/>
          <w:szCs w:val="21"/>
          <w:highlight w:val="none"/>
        </w:rPr>
        <w:t>（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4F7A961">
      <w:pPr>
        <w:pStyle w:val="9"/>
        <w:spacing w:line="360" w:lineRule="auto"/>
        <w:rPr>
          <w:color w:val="auto"/>
          <w:szCs w:val="21"/>
          <w:highlight w:val="none"/>
        </w:rPr>
      </w:pPr>
      <w:r>
        <w:rPr>
          <w:rFonts w:hint="eastAsia"/>
          <w:color w:val="auto"/>
          <w:szCs w:val="21"/>
          <w:highlight w:val="none"/>
        </w:rPr>
        <w:t>（6）开标结束。</w:t>
      </w:r>
    </w:p>
    <w:p w14:paraId="4DD9474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特别说明：如遇广西政府采购云平台电子化开标或评审程序调整的，按调整后程序执行。</w:t>
      </w:r>
    </w:p>
    <w:p w14:paraId="4273CF8A">
      <w:pPr>
        <w:pStyle w:val="5"/>
        <w:rPr>
          <w:color w:val="auto"/>
          <w:highlight w:val="none"/>
        </w:rPr>
      </w:pPr>
      <w:r>
        <w:rPr>
          <w:rFonts w:hint="eastAsia"/>
          <w:color w:val="auto"/>
          <w:highlight w:val="none"/>
        </w:rPr>
        <w:t>五、资格审查</w:t>
      </w:r>
    </w:p>
    <w:p w14:paraId="650980B9">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25.资格审查</w:t>
      </w:r>
    </w:p>
    <w:p w14:paraId="7465DC7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25.1开标结束后，采购人或者采购代理机构依法对投标人的资格进行审查。</w:t>
      </w:r>
    </w:p>
    <w:p w14:paraId="6395648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7D18DDB">
      <w:pPr>
        <w:pStyle w:val="6"/>
        <w:keepNext w:val="0"/>
        <w:keepLines w:val="0"/>
        <w:spacing w:before="0" w:after="0" w:line="360" w:lineRule="auto"/>
        <w:ind w:firstLine="422" w:firstLineChars="200"/>
        <w:rPr>
          <w:rFonts w:ascii="宋体" w:hAnsi="宋体" w:cs="宋体"/>
          <w:color w:val="auto"/>
          <w:sz w:val="21"/>
          <w:szCs w:val="21"/>
          <w:highlight w:val="none"/>
        </w:rPr>
      </w:pPr>
      <w:bookmarkStart w:id="123" w:name="_25.3_投标人有下列情形之一的，资格审查不通过而导致其投标无效："/>
      <w:bookmarkEnd w:id="123"/>
      <w:r>
        <w:rPr>
          <w:rFonts w:hint="eastAsia" w:ascii="宋体" w:hAnsi="宋体" w:cs="宋体"/>
          <w:color w:val="auto"/>
          <w:sz w:val="21"/>
          <w:szCs w:val="21"/>
          <w:highlight w:val="none"/>
        </w:rPr>
        <w:t>25.3投标人有下列情形之一的，资格审查不通过，作无效投标处理：</w:t>
      </w:r>
    </w:p>
    <w:p w14:paraId="49926395">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41E0EDF3">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（2）不具备招标文件中规定的资格要求的；（注：其中信用查询规则见“投标人须知前附表”）</w:t>
      </w:r>
    </w:p>
    <w:p w14:paraId="5A0A8E84">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（3）投标文件未提供任一项“投标人须知前附表”资格证明文件规定的“必须提供”的文件资料的；</w:t>
      </w:r>
    </w:p>
    <w:p w14:paraId="5005DC95">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（4）投标文件提供的资格证明文件出现任一项不符合“投标人须知前附表”资格证明文件规定的“必须提供”的文件资料要求或者无效的。</w:t>
      </w:r>
    </w:p>
    <w:p w14:paraId="49434963">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25.4资格审查的合格投标人不足3家的，不得评标。</w:t>
      </w:r>
    </w:p>
    <w:p w14:paraId="26F64B1E">
      <w:pPr>
        <w:pStyle w:val="5"/>
        <w:rPr>
          <w:color w:val="auto"/>
          <w:highlight w:val="none"/>
        </w:rPr>
      </w:pPr>
      <w:r>
        <w:rPr>
          <w:rFonts w:hint="eastAsia"/>
          <w:color w:val="auto"/>
          <w:highlight w:val="none"/>
        </w:rPr>
        <w:t>六、评标</w:t>
      </w:r>
    </w:p>
    <w:p w14:paraId="4C487AE4">
      <w:pPr>
        <w:pStyle w:val="6"/>
        <w:keepNext w:val="0"/>
        <w:keepLines w:val="0"/>
        <w:spacing w:before="0" w:after="0" w:line="360" w:lineRule="auto"/>
        <w:ind w:left="420" w:leftChars="200"/>
        <w:rPr>
          <w:rFonts w:ascii="宋体" w:hAnsi="宋体" w:cs="宋体"/>
          <w:bCs/>
          <w:color w:val="auto"/>
          <w:sz w:val="21"/>
          <w:szCs w:val="21"/>
          <w:highlight w:val="none"/>
        </w:rPr>
      </w:pPr>
      <w:bookmarkStart w:id="124" w:name="_26.组建评标委员会"/>
      <w:bookmarkEnd w:id="124"/>
      <w:r>
        <w:rPr>
          <w:rFonts w:hint="eastAsia" w:ascii="宋体" w:hAnsi="宋体" w:cs="宋体"/>
          <w:bCs/>
          <w:color w:val="auto"/>
          <w:sz w:val="21"/>
          <w:szCs w:val="21"/>
          <w:highlight w:val="none"/>
        </w:rPr>
        <w:t>26.组建评标委员会</w:t>
      </w:r>
    </w:p>
    <w:p w14:paraId="1058FE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5DE1685D">
      <w:pPr>
        <w:pStyle w:val="26"/>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6984A846">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27.评标的依据</w:t>
      </w:r>
    </w:p>
    <w:p w14:paraId="30999A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评标委员会以招标文件为依据对投标文件进行评审，“第四章评标方法和评标标准”没有规定的方法、评审因素和标准，不作为评标依据。</w:t>
      </w:r>
    </w:p>
    <w:p w14:paraId="1D5E5B5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28.评标原则</w:t>
      </w:r>
    </w:p>
    <w:p w14:paraId="6F72C9ED">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4960EB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28.2评委表决。评标委员会成员对需要共同认定的事项存在争议的，应当按照少数服从多数的原则作出结论。</w:t>
      </w:r>
      <w:bookmarkStart w:id="125" w:name="_28.3评标方法。本项目将按须知前附表规定的评标办法进行评标，具体评标"/>
      <w:bookmarkEnd w:id="125"/>
    </w:p>
    <w:p w14:paraId="61E5626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96C195E">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06F87338">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29.评标方法及评标标准</w:t>
      </w:r>
    </w:p>
    <w:p w14:paraId="536B817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5B6179A8">
      <w:pPr>
        <w:pStyle w:val="26"/>
        <w:snapToGrid w:val="0"/>
        <w:spacing w:line="360" w:lineRule="auto"/>
        <w:ind w:firstLine="420" w:firstLineChars="200"/>
        <w:rPr>
          <w:color w:val="auto"/>
          <w:highlight w:val="none"/>
        </w:rPr>
      </w:pPr>
      <w:r>
        <w:rPr>
          <w:rFonts w:hint="eastAsia" w:hAnsi="宋体" w:cs="宋体"/>
          <w:color w:val="auto"/>
          <w:sz w:val="21"/>
          <w:highlight w:val="none"/>
        </w:rPr>
        <w:t>29.2评标委员会按照“第四章评标方法和评标标准”规定的方法、评审因素、标准和程序对投标文件进行评审。</w:t>
      </w:r>
    </w:p>
    <w:p w14:paraId="1BA6521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29.3中标候选人推荐数量为3家。</w:t>
      </w:r>
    </w:p>
    <w:p w14:paraId="0D9562E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31051523">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（1）电子交易平台发生故障而无法登录访问的；</w:t>
      </w:r>
    </w:p>
    <w:p w14:paraId="76A2B58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A9960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1D4610C3">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（4）病毒发作导致不能进行正常操作的；</w:t>
      </w:r>
    </w:p>
    <w:p w14:paraId="31200555">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（5）其他无法保证电子交易的公平、公正和安全的情况。</w:t>
      </w:r>
    </w:p>
    <w:p w14:paraId="15E1701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7D3B0A2A">
      <w:pPr>
        <w:pStyle w:val="26"/>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29.6属于下列情形之一的，应予废标：</w:t>
      </w:r>
    </w:p>
    <w:p w14:paraId="323B1FD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（1）符合专业条件的供应商或者对招标文件作实质响应的投标人不足三家的；</w:t>
      </w:r>
    </w:p>
    <w:p w14:paraId="2F7A989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（2）出现影响采购公正的违法、违规行为的；</w:t>
      </w:r>
    </w:p>
    <w:p w14:paraId="7CDABB7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（3）投标人的报价均超过了采购预算，采购人不能支付的；</w:t>
      </w:r>
    </w:p>
    <w:p w14:paraId="49CC39C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（4）因重大变故，采购任务取消的</w:t>
      </w:r>
      <w:r>
        <w:rPr>
          <w:rFonts w:hint="eastAsia"/>
          <w:color w:val="auto"/>
          <w:highlight w:val="none"/>
        </w:rPr>
        <w:t>。</w:t>
      </w:r>
    </w:p>
    <w:p w14:paraId="3309DDEE">
      <w:pPr>
        <w:pStyle w:val="5"/>
        <w:rPr>
          <w:color w:val="auto"/>
          <w:highlight w:val="none"/>
        </w:rPr>
      </w:pPr>
      <w:bookmarkStart w:id="126" w:name="_Toc254970546"/>
      <w:bookmarkStart w:id="127" w:name="_Toc254970687"/>
      <w:r>
        <w:rPr>
          <w:rFonts w:hint="eastAsia"/>
          <w:color w:val="auto"/>
          <w:highlight w:val="none"/>
        </w:rPr>
        <w:t>七、</w:t>
      </w:r>
      <w:bookmarkEnd w:id="126"/>
      <w:bookmarkEnd w:id="127"/>
      <w:r>
        <w:rPr>
          <w:rFonts w:hint="eastAsia"/>
          <w:color w:val="auto"/>
          <w:highlight w:val="none"/>
        </w:rPr>
        <w:t>中标和合同</w:t>
      </w:r>
    </w:p>
    <w:p w14:paraId="26B6479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30确定中标人</w:t>
      </w:r>
    </w:p>
    <w:p w14:paraId="2F407BE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B3E7F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0433C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187BBE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w:t>
      </w:r>
    </w:p>
    <w:p w14:paraId="08EC9A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标人放弃中标项目，拒绝与采购人签订合同的，其投标保证金不予退还，并上缴国库。给采购人造成损失，或（并）因此延误采购人项目计划的，须依法承担赔偿损失等法律责任，采购人有权将中标人的失信行为报财政部门记入诚信档案，以示惩戒。</w:t>
      </w:r>
    </w:p>
    <w:p w14:paraId="4F6BA06F">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31.结果公告</w:t>
      </w:r>
    </w:p>
    <w:p w14:paraId="2EF5B13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2433BAF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排名第二的中标候选人因前款规定的同样原因被取消中标资格的，采购人可以确定排名第三的中标候选人为中标人，以此类推；否则应当重新开展采购活动。</w:t>
      </w:r>
    </w:p>
    <w:p w14:paraId="5B46C0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FCE08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00289A5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32.发出中标通知书</w:t>
      </w:r>
    </w:p>
    <w:p w14:paraId="206C737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在发布中标公告的同时，采购代理机构向中标人发出中标通知书。对未通过资格审查及符合性审查的投标人，应当告知其未通过的原因；采用综合评分办法评审的，还应当告知未中标人本人的评审得分与排序。</w:t>
      </w:r>
    </w:p>
    <w:p w14:paraId="03D97D99">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33.无义务解释未中标原因</w:t>
      </w:r>
    </w:p>
    <w:p w14:paraId="2C9674EA">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采购代理机构无义务向未中标的投标人解释未中标原因和退还投标文件。</w:t>
      </w:r>
    </w:p>
    <w:p w14:paraId="31B5975E">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34.合同授予标准</w:t>
      </w:r>
    </w:p>
    <w:p w14:paraId="3C09D5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23A87AD8">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35.履约保证金</w:t>
      </w:r>
    </w:p>
    <w:p w14:paraId="1A72E338">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28" w:name="_39.1中标人须于签订合同前按本须知前附表规定的金额转账或电汇到指定账"/>
      <w:bookmarkEnd w:id="128"/>
      <w:r>
        <w:rPr>
          <w:rFonts w:hint="eastAsia" w:ascii="宋体" w:hAnsi="宋体" w:cs="宋体"/>
          <w:b w:val="0"/>
          <w:color w:val="auto"/>
          <w:sz w:val="21"/>
          <w:szCs w:val="21"/>
          <w:highlight w:val="none"/>
        </w:rPr>
        <w:t>35.1履约保证金的金额、提交方式、退付的时间和条件详见“投标人须知前附表”。中标人未按规定提交履约保证金的，视为拒绝与采购人签订合同，采购人可以按照评标报告推荐的中标候选人名单排序，确定下一候选人为中标人，也可以重新开展政府采购活动。</w:t>
      </w:r>
    </w:p>
    <w:p w14:paraId="0C54B25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35.2签订合同后，如中标人不按双方签订的合同规定履约，则没收其全部履约保证金，履约保证金不足以赔偿损失的，按实际损失赔偿。</w:t>
      </w:r>
    </w:p>
    <w:p w14:paraId="00897BF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35.3在履约保证金退还日期前，若中标人的开户名称、开户银行、帐号有变动的，请以书面形式通知履约保证金收取单位，否则由此产生的后果由中标人自行承担。</w:t>
      </w:r>
    </w:p>
    <w:p w14:paraId="12C90797">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36.签订合同</w:t>
      </w:r>
    </w:p>
    <w:p w14:paraId="4D087235">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29" w:name="_40.1投标人接到中标通知书后，按须知前附表规定向采购人出示相关资格证"/>
      <w:bookmarkEnd w:id="129"/>
      <w:r>
        <w:rPr>
          <w:rFonts w:hint="eastAsia" w:ascii="宋体" w:hAnsi="宋体" w:cs="宋体"/>
          <w:b w:val="0"/>
          <w:color w:val="auto"/>
          <w:sz w:val="21"/>
          <w:szCs w:val="21"/>
          <w:highlight w:val="none"/>
        </w:rPr>
        <w:t>36.1投标人领取中标通知书后，按“投标人须知前附表”规定向采购人出示相关证明材料，经采购人核验合格后方可签订合同。</w:t>
      </w:r>
    </w:p>
    <w:p w14:paraId="152C91F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4611DFC6">
      <w:pPr>
        <w:pStyle w:val="6"/>
        <w:keepNext w:val="0"/>
        <w:keepLines w:val="0"/>
        <w:spacing w:before="0" w:after="0" w:line="360" w:lineRule="auto"/>
        <w:ind w:firstLine="420" w:firstLineChars="200"/>
        <w:rPr>
          <w:color w:val="auto"/>
          <w:highlight w:val="none"/>
        </w:rPr>
      </w:pPr>
      <w:r>
        <w:rPr>
          <w:rFonts w:hint="eastAsia" w:ascii="宋体" w:hAnsi="宋体" w:cs="宋体"/>
          <w:b w:val="0"/>
          <w:color w:val="auto"/>
          <w:sz w:val="21"/>
          <w:szCs w:val="21"/>
          <w:highlight w:val="none"/>
        </w:rPr>
        <w:t>36.3中标人拒绝与采购人签订合同的，采购人可以按照评审报告推荐的中标候选人名单排序，确定下一候选人为中标人，也可以重新开展政府采购活动。</w:t>
      </w:r>
    </w:p>
    <w:p w14:paraId="0191F89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FD826F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13A9E0D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36.6如签订合同并生效后，中标人无故拒绝或延期，除按照合同条款处理外，将承担相应的法律责任。</w:t>
      </w:r>
    </w:p>
    <w:p w14:paraId="0D00592F">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36.7政府采购合同履行中，采购人需追加与合同标的相同的货物、工程或者服务的，在不改变合同其他条款的前提下，可以与中标人签订补充合同，但所有补充合同的采购金额不得超过原合同采购金额的10%。</w:t>
      </w:r>
    </w:p>
    <w:p w14:paraId="1F1FE7DE">
      <w:pPr>
        <w:pStyle w:val="6"/>
        <w:keepNext w:val="0"/>
        <w:keepLines w:val="0"/>
        <w:spacing w:before="0" w:after="0" w:line="360" w:lineRule="auto"/>
        <w:ind w:left="420" w:leftChars="200"/>
        <w:rPr>
          <w:rFonts w:ascii="宋体" w:hAnsi="宋体" w:cs="宋体"/>
          <w:bCs/>
          <w:color w:val="auto"/>
          <w:sz w:val="21"/>
          <w:szCs w:val="21"/>
          <w:highlight w:val="none"/>
        </w:rPr>
      </w:pPr>
      <w:bookmarkStart w:id="130" w:name="_41.政府采购合同公告"/>
      <w:bookmarkEnd w:id="130"/>
      <w:r>
        <w:rPr>
          <w:rFonts w:hint="eastAsia" w:ascii="宋体" w:hAnsi="宋体" w:cs="宋体"/>
          <w:bCs/>
          <w:color w:val="auto"/>
          <w:sz w:val="21"/>
          <w:szCs w:val="21"/>
          <w:highlight w:val="none"/>
        </w:rPr>
        <w:t>37.政府采购合同公告</w:t>
      </w:r>
    </w:p>
    <w:p w14:paraId="38E716E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00B875C">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38.询问、质疑和投诉</w:t>
      </w:r>
    </w:p>
    <w:p w14:paraId="6FAC7758">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38.1投标人对政府采购活动事项有疑问的，可以向采购人提出询问，采购人应当及时作出答复，但答复的内容不得涉及商业秘密。</w:t>
      </w:r>
    </w:p>
    <w:p w14:paraId="6CB7881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264B05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w:t>
      </w:r>
    </w:p>
    <w:p w14:paraId="56F55620">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300FE1BD">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11533ECA">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投标人对采购人、采购代理机构的质疑答复不满意，或者采购人、采购代理机构未在规定时间内作出答复的，可以在答复期满后十五个工作日内向同级政府采购监管部门投诉。</w:t>
      </w:r>
    </w:p>
    <w:p w14:paraId="27DD7806">
      <w:pPr>
        <w:pStyle w:val="6"/>
        <w:keepNext w:val="0"/>
        <w:keepLines w:val="0"/>
        <w:spacing w:before="0" w:after="0" w:line="360" w:lineRule="auto"/>
        <w:ind w:firstLine="315" w:firstLineChars="150"/>
        <w:rPr>
          <w:color w:val="auto"/>
          <w:highlight w:val="none"/>
        </w:rPr>
      </w:pPr>
      <w:bookmarkStart w:id="131" w:name="_9.2质疑、投诉应当采用书面形式，质疑函、投诉书均应明确阐述招标文件、"/>
      <w:bookmarkEnd w:id="131"/>
      <w:r>
        <w:rPr>
          <w:rFonts w:hint="eastAsia" w:ascii="宋体" w:hAnsi="宋体" w:cs="宋体"/>
          <w:b w:val="0"/>
          <w:color w:val="auto"/>
          <w:sz w:val="21"/>
          <w:szCs w:val="21"/>
          <w:highlight w:val="none"/>
        </w:rPr>
        <w:t>38.3</w:t>
      </w:r>
      <w:r>
        <w:rPr>
          <w:rFonts w:hint="eastAsia" w:ascii="宋体" w:hAnsi="宋体" w:cs="宋体"/>
          <w:bCs/>
          <w:color w:val="auto"/>
          <w:sz w:val="21"/>
          <w:highlight w:val="none"/>
        </w:rPr>
        <w:t>投标人提出质疑应当提交质疑函和必要的证明材料，针对同一采购程序环节的质疑必须在法定质疑期内一次性提出。</w:t>
      </w:r>
    </w:p>
    <w:p w14:paraId="1EFB91E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38.3.1质疑供应商提起质疑应当符合下列条件：</w:t>
      </w:r>
    </w:p>
    <w:p w14:paraId="0F34A73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（1）质疑供应商是参与所质疑项目采购活动的投标人（潜在投标人已依法获取可质疑的采购文件的，可以对该采购文件质疑）；</w:t>
      </w:r>
    </w:p>
    <w:p w14:paraId="47D7F17A">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（2）质疑函内容符合本章第38.3.2项的规定；</w:t>
      </w:r>
    </w:p>
    <w:p w14:paraId="69703DD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（3）在质疑有效期限内提起质疑；</w:t>
      </w:r>
    </w:p>
    <w:p w14:paraId="4EE3ABB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（4）属于所质疑的采购人或采购人委托的采购代理机构组织的采购活动； </w:t>
      </w:r>
    </w:p>
    <w:p w14:paraId="2CE47D9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（5）供应商对同一采购程序环节的质疑应当在质疑有效期内一次性提出；</w:t>
      </w:r>
    </w:p>
    <w:p w14:paraId="66FBB52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（6）投标人提交质疑应当提交必要的证明材料，证明材料应以合法手段取得；</w:t>
      </w:r>
    </w:p>
    <w:p w14:paraId="0B9F9C1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（7）财政部门规定的其他条件。</w:t>
      </w:r>
    </w:p>
    <w:p w14:paraId="7453125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38.3.2质疑函应当包括下列内容（质疑函格式后附）：</w:t>
      </w:r>
    </w:p>
    <w:p w14:paraId="14602D6F">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（1）投标人的姓名或者名称、地址、邮编、联系人及联系电话；</w:t>
      </w:r>
    </w:p>
    <w:p w14:paraId="5D40CA31">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32AC2FF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05A8BA2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57BE6294">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6F33CFE7">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3BE08C42">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投标人为自然人的，应当由本人签字；投标人为法人或者其他组织的，应当由法定代表人、主要负责人，或者其委托代理人签字或者盖章，并加盖公章。</w:t>
      </w:r>
    </w:p>
    <w:p w14:paraId="08E87598">
      <w:pPr>
        <w:pStyle w:val="6"/>
        <w:keepNext w:val="0"/>
        <w:keepLines w:val="0"/>
        <w:snapToGrid w:val="0"/>
        <w:spacing w:before="0" w:after="0" w:line="360" w:lineRule="auto"/>
        <w:ind w:firstLine="422" w:firstLineChars="200"/>
        <w:rPr>
          <w:rFonts w:ascii="宋体" w:hAnsi="宋体" w:cs="宋体"/>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Cs/>
          <w:color w:val="auto"/>
          <w:sz w:val="21"/>
          <w:szCs w:val="21"/>
          <w:highlight w:val="none"/>
        </w:rPr>
        <w:t>8.4采购人、采购代理机构认为投标人质疑不成立，或者成立但未对中标结果构成影响的，继续开展采购活动；认为投标人质疑成立且影响或者可能影响中标结果的，按照下列情况处理：</w:t>
      </w:r>
    </w:p>
    <w:p w14:paraId="70D24CD4">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235DEF4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（二）对采购过程、中标结果提出的质疑，合格投标人符合法定数量时，可以从合格的中标候选人中另行确定中标人的，应当依法另行确定中标人；否则应当重新开展采购活动。</w:t>
      </w:r>
    </w:p>
    <w:p w14:paraId="53C1B298">
      <w:pPr>
        <w:pStyle w:val="26"/>
        <w:snapToGrid w:val="0"/>
        <w:spacing w:line="360" w:lineRule="auto"/>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BC8A80E">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38.5</w:t>
      </w:r>
      <w:r>
        <w:rPr>
          <w:rFonts w:hint="eastAsia" w:hAnsi="宋体" w:cs="宋体"/>
          <w:b/>
          <w:color w:val="auto"/>
          <w:sz w:val="21"/>
          <w:highlight w:val="none"/>
        </w:rPr>
        <w:t>投诉的权利。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9A8223">
      <w:pPr>
        <w:pStyle w:val="5"/>
        <w:rPr>
          <w:color w:val="auto"/>
          <w:highlight w:val="none"/>
        </w:rPr>
      </w:pPr>
      <w:bookmarkStart w:id="132" w:name="_八、其他事项"/>
      <w:bookmarkEnd w:id="132"/>
      <w:bookmarkStart w:id="133" w:name="_Toc330456896"/>
      <w:bookmarkStart w:id="134" w:name="_Toc254970548"/>
      <w:bookmarkStart w:id="135" w:name="_Toc31830"/>
      <w:bookmarkStart w:id="136" w:name="_Toc19686832"/>
      <w:bookmarkStart w:id="137" w:name="_Toc254970689"/>
      <w:bookmarkStart w:id="138" w:name="_Toc6156"/>
      <w:bookmarkStart w:id="139" w:name="_Toc30709"/>
      <w:r>
        <w:rPr>
          <w:rFonts w:hint="eastAsia"/>
          <w:color w:val="auto"/>
          <w:highlight w:val="none"/>
        </w:rPr>
        <w:t>八、其他事项</w:t>
      </w:r>
    </w:p>
    <w:p w14:paraId="70C61E34">
      <w:pPr>
        <w:pStyle w:val="6"/>
        <w:keepNext w:val="0"/>
        <w:keepLines w:val="0"/>
        <w:spacing w:before="0" w:after="0" w:line="360" w:lineRule="auto"/>
        <w:ind w:left="420" w:leftChars="200"/>
        <w:rPr>
          <w:rFonts w:ascii="宋体" w:hAnsi="宋体" w:cs="宋体"/>
          <w:color w:val="auto"/>
          <w:sz w:val="21"/>
          <w:szCs w:val="21"/>
          <w:highlight w:val="none"/>
        </w:rPr>
      </w:pPr>
      <w:bookmarkStart w:id="140" w:name="_42.代理服务费"/>
      <w:bookmarkEnd w:id="140"/>
      <w:r>
        <w:rPr>
          <w:rFonts w:hint="eastAsia" w:ascii="宋体" w:hAnsi="宋体" w:cs="宋体"/>
          <w:color w:val="auto"/>
          <w:sz w:val="21"/>
          <w:szCs w:val="21"/>
          <w:highlight w:val="none"/>
        </w:rPr>
        <w:t>39.代理服务费</w:t>
      </w:r>
    </w:p>
    <w:p w14:paraId="0B98D85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39.1代理服务收费标准及缴费账户详见“投标人须知前附表”，投标人为联合体的，可以由联合体中的一方或者多方共同交纳代理服务费。</w:t>
      </w:r>
    </w:p>
    <w:p w14:paraId="3A4B4097">
      <w:pPr>
        <w:pStyle w:val="26"/>
        <w:snapToGrid w:val="0"/>
        <w:spacing w:line="360" w:lineRule="auto"/>
        <w:ind w:firstLine="420" w:firstLineChars="200"/>
        <w:rPr>
          <w:rStyle w:val="97"/>
          <w:rFonts w:ascii="宋体" w:hAnsi="宋体"/>
          <w:color w:val="auto"/>
          <w:kern w:val="0"/>
          <w:szCs w:val="21"/>
          <w:highlight w:val="none"/>
        </w:rPr>
      </w:pPr>
      <w:r>
        <w:rPr>
          <w:rFonts w:hint="eastAsia" w:hAnsi="宋体" w:cs="宋体"/>
          <w:bCs/>
          <w:color w:val="auto"/>
          <w:sz w:val="21"/>
          <w:highlight w:val="none"/>
        </w:rPr>
        <w:t>39.2代理服务收费标准：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C70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tcPr>
          <w:p w14:paraId="7C9E30F2">
            <w:pPr>
              <w:spacing w:line="360" w:lineRule="auto"/>
              <w:rPr>
                <w:rFonts w:ascii="宋体" w:hAnsi="Courier New"/>
                <w:color w:val="auto"/>
                <w:szCs w:val="21"/>
                <w:highlight w:val="none"/>
              </w:rPr>
            </w:pPr>
            <w:r>
              <w:rPr>
                <w:rFonts w:ascii="宋体" w:hAnsi="Courier New"/>
                <w:color w:val="auto"/>
                <w:szCs w:val="21"/>
                <w:highlight w:val="none"/>
              </w:rPr>
              <w:t xml:space="preserve">               费率</w:t>
            </w:r>
          </w:p>
          <w:p w14:paraId="07B66C58">
            <w:pPr>
              <w:spacing w:line="360" w:lineRule="auto"/>
              <w:rPr>
                <w:rFonts w:ascii="宋体" w:hAnsi="Courier New"/>
                <w:color w:val="auto"/>
                <w:szCs w:val="21"/>
                <w:highlight w:val="none"/>
              </w:rPr>
            </w:pPr>
            <w:r>
              <w:rPr>
                <w:rFonts w:ascii="宋体" w:hAnsi="Courier New"/>
                <w:color w:val="auto"/>
                <w:szCs w:val="21"/>
                <w:highlight w:val="none"/>
              </w:rPr>
              <w:t>金额</w:t>
            </w:r>
          </w:p>
        </w:tc>
        <w:tc>
          <w:tcPr>
            <w:tcW w:w="1659" w:type="dxa"/>
            <w:vAlign w:val="center"/>
          </w:tcPr>
          <w:p w14:paraId="6B9474CF">
            <w:pPr>
              <w:spacing w:line="360" w:lineRule="auto"/>
              <w:jc w:val="center"/>
              <w:rPr>
                <w:rFonts w:ascii="宋体" w:hAnsi="Courier New"/>
                <w:color w:val="auto"/>
                <w:szCs w:val="21"/>
                <w:highlight w:val="none"/>
              </w:rPr>
            </w:pPr>
            <w:r>
              <w:rPr>
                <w:rFonts w:ascii="宋体" w:hAnsi="Courier New"/>
                <w:color w:val="auto"/>
                <w:szCs w:val="21"/>
                <w:highlight w:val="none"/>
              </w:rPr>
              <w:t>货物类</w:t>
            </w:r>
          </w:p>
        </w:tc>
        <w:tc>
          <w:tcPr>
            <w:tcW w:w="1532" w:type="dxa"/>
            <w:vAlign w:val="center"/>
          </w:tcPr>
          <w:p w14:paraId="17641898">
            <w:pPr>
              <w:spacing w:line="360" w:lineRule="auto"/>
              <w:jc w:val="center"/>
              <w:rPr>
                <w:rFonts w:ascii="宋体" w:hAnsi="Courier New"/>
                <w:color w:val="auto"/>
                <w:szCs w:val="21"/>
                <w:highlight w:val="none"/>
              </w:rPr>
            </w:pPr>
            <w:r>
              <w:rPr>
                <w:rFonts w:ascii="宋体" w:hAnsi="Courier New"/>
                <w:color w:val="auto"/>
                <w:szCs w:val="21"/>
                <w:highlight w:val="none"/>
              </w:rPr>
              <w:t>服务类</w:t>
            </w:r>
          </w:p>
        </w:tc>
        <w:tc>
          <w:tcPr>
            <w:tcW w:w="1546" w:type="dxa"/>
            <w:vAlign w:val="center"/>
          </w:tcPr>
          <w:p w14:paraId="66506C7C">
            <w:pPr>
              <w:spacing w:line="360" w:lineRule="auto"/>
              <w:jc w:val="center"/>
              <w:rPr>
                <w:rFonts w:ascii="宋体" w:hAnsi="Courier New"/>
                <w:color w:val="auto"/>
                <w:szCs w:val="21"/>
                <w:highlight w:val="none"/>
              </w:rPr>
            </w:pPr>
            <w:r>
              <w:rPr>
                <w:rFonts w:ascii="宋体" w:hAnsi="Courier New"/>
                <w:color w:val="auto"/>
                <w:szCs w:val="21"/>
                <w:highlight w:val="none"/>
              </w:rPr>
              <w:t>工程类</w:t>
            </w:r>
          </w:p>
        </w:tc>
      </w:tr>
      <w:tr w14:paraId="56E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52D3841">
            <w:pPr>
              <w:spacing w:line="360" w:lineRule="auto"/>
              <w:rPr>
                <w:rFonts w:ascii="宋体" w:hAnsi="Courier New"/>
                <w:color w:val="auto"/>
                <w:szCs w:val="21"/>
                <w:highlight w:val="none"/>
              </w:rPr>
            </w:pPr>
            <w:r>
              <w:rPr>
                <w:rFonts w:ascii="宋体" w:hAnsi="Courier New"/>
                <w:color w:val="auto"/>
                <w:szCs w:val="21"/>
                <w:highlight w:val="none"/>
              </w:rPr>
              <w:t>100万元以下</w:t>
            </w:r>
          </w:p>
        </w:tc>
        <w:tc>
          <w:tcPr>
            <w:tcW w:w="1659" w:type="dxa"/>
            <w:vAlign w:val="center"/>
          </w:tcPr>
          <w:p w14:paraId="303E0D10">
            <w:pPr>
              <w:spacing w:line="360" w:lineRule="auto"/>
              <w:jc w:val="center"/>
              <w:rPr>
                <w:rFonts w:ascii="宋体" w:hAnsi="Courier New"/>
                <w:color w:val="auto"/>
                <w:szCs w:val="21"/>
                <w:highlight w:val="none"/>
              </w:rPr>
            </w:pPr>
            <w:r>
              <w:rPr>
                <w:rFonts w:ascii="宋体" w:hAnsi="Courier New"/>
                <w:color w:val="auto"/>
                <w:szCs w:val="21"/>
                <w:highlight w:val="none"/>
              </w:rPr>
              <w:t>1.5%</w:t>
            </w:r>
          </w:p>
        </w:tc>
        <w:tc>
          <w:tcPr>
            <w:tcW w:w="1532" w:type="dxa"/>
            <w:vAlign w:val="center"/>
          </w:tcPr>
          <w:p w14:paraId="70AD0209">
            <w:pPr>
              <w:spacing w:line="360" w:lineRule="auto"/>
              <w:jc w:val="center"/>
              <w:rPr>
                <w:rFonts w:ascii="宋体" w:hAnsi="Courier New"/>
                <w:color w:val="auto"/>
                <w:szCs w:val="21"/>
                <w:highlight w:val="none"/>
              </w:rPr>
            </w:pPr>
            <w:r>
              <w:rPr>
                <w:rFonts w:ascii="宋体" w:hAnsi="Courier New"/>
                <w:color w:val="auto"/>
                <w:szCs w:val="21"/>
                <w:highlight w:val="none"/>
              </w:rPr>
              <w:t>1.5%</w:t>
            </w:r>
          </w:p>
        </w:tc>
        <w:tc>
          <w:tcPr>
            <w:tcW w:w="1546" w:type="dxa"/>
            <w:vAlign w:val="center"/>
          </w:tcPr>
          <w:p w14:paraId="5B5FA698">
            <w:pPr>
              <w:spacing w:line="360" w:lineRule="auto"/>
              <w:jc w:val="center"/>
              <w:rPr>
                <w:rFonts w:ascii="宋体" w:hAnsi="Courier New"/>
                <w:color w:val="auto"/>
                <w:szCs w:val="21"/>
                <w:highlight w:val="none"/>
              </w:rPr>
            </w:pPr>
            <w:r>
              <w:rPr>
                <w:rFonts w:ascii="宋体" w:hAnsi="Courier New"/>
                <w:color w:val="auto"/>
                <w:szCs w:val="21"/>
                <w:highlight w:val="none"/>
              </w:rPr>
              <w:t>1.0%</w:t>
            </w:r>
          </w:p>
        </w:tc>
      </w:tr>
      <w:tr w14:paraId="74DC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3C1DCC6">
            <w:pPr>
              <w:spacing w:line="360" w:lineRule="auto"/>
              <w:rPr>
                <w:rFonts w:ascii="宋体" w:hAnsi="Courier New"/>
                <w:color w:val="auto"/>
                <w:szCs w:val="21"/>
                <w:highlight w:val="none"/>
              </w:rPr>
            </w:pPr>
            <w:r>
              <w:rPr>
                <w:rFonts w:ascii="宋体" w:hAnsi="Courier New"/>
                <w:color w:val="auto"/>
                <w:szCs w:val="21"/>
                <w:highlight w:val="none"/>
              </w:rPr>
              <w:t>100～500万元</w:t>
            </w:r>
          </w:p>
        </w:tc>
        <w:tc>
          <w:tcPr>
            <w:tcW w:w="1659" w:type="dxa"/>
            <w:vAlign w:val="center"/>
          </w:tcPr>
          <w:p w14:paraId="3C1F7BFD">
            <w:pPr>
              <w:spacing w:line="360" w:lineRule="auto"/>
              <w:jc w:val="center"/>
              <w:rPr>
                <w:rFonts w:ascii="宋体" w:hAnsi="Courier New"/>
                <w:color w:val="auto"/>
                <w:szCs w:val="21"/>
                <w:highlight w:val="none"/>
              </w:rPr>
            </w:pPr>
            <w:r>
              <w:rPr>
                <w:rFonts w:ascii="宋体" w:hAnsi="Courier New"/>
                <w:color w:val="auto"/>
                <w:szCs w:val="21"/>
                <w:highlight w:val="none"/>
              </w:rPr>
              <w:t>1.1%</w:t>
            </w:r>
          </w:p>
        </w:tc>
        <w:tc>
          <w:tcPr>
            <w:tcW w:w="1532" w:type="dxa"/>
            <w:vAlign w:val="center"/>
          </w:tcPr>
          <w:p w14:paraId="43128AE2">
            <w:pPr>
              <w:spacing w:line="360" w:lineRule="auto"/>
              <w:jc w:val="center"/>
              <w:rPr>
                <w:rFonts w:ascii="宋体" w:hAnsi="Courier New"/>
                <w:color w:val="auto"/>
                <w:szCs w:val="21"/>
                <w:highlight w:val="none"/>
              </w:rPr>
            </w:pPr>
            <w:r>
              <w:rPr>
                <w:rFonts w:ascii="宋体" w:hAnsi="Courier New"/>
                <w:color w:val="auto"/>
                <w:szCs w:val="21"/>
                <w:highlight w:val="none"/>
              </w:rPr>
              <w:t>0.8%</w:t>
            </w:r>
          </w:p>
        </w:tc>
        <w:tc>
          <w:tcPr>
            <w:tcW w:w="1546" w:type="dxa"/>
            <w:vAlign w:val="center"/>
          </w:tcPr>
          <w:p w14:paraId="19943479">
            <w:pPr>
              <w:spacing w:line="360" w:lineRule="auto"/>
              <w:jc w:val="center"/>
              <w:rPr>
                <w:rFonts w:ascii="宋体" w:hAnsi="Courier New"/>
                <w:color w:val="auto"/>
                <w:szCs w:val="21"/>
                <w:highlight w:val="none"/>
              </w:rPr>
            </w:pPr>
            <w:r>
              <w:rPr>
                <w:rFonts w:ascii="宋体" w:hAnsi="Courier New"/>
                <w:color w:val="auto"/>
                <w:szCs w:val="21"/>
                <w:highlight w:val="none"/>
              </w:rPr>
              <w:t>0.7%</w:t>
            </w:r>
          </w:p>
        </w:tc>
      </w:tr>
      <w:tr w14:paraId="0B3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3DA784">
            <w:pPr>
              <w:spacing w:line="360" w:lineRule="auto"/>
              <w:rPr>
                <w:rFonts w:ascii="宋体" w:hAnsi="Courier New"/>
                <w:color w:val="auto"/>
                <w:szCs w:val="21"/>
                <w:highlight w:val="none"/>
              </w:rPr>
            </w:pPr>
            <w:r>
              <w:rPr>
                <w:rFonts w:ascii="宋体" w:hAnsi="Courier New"/>
                <w:color w:val="auto"/>
                <w:szCs w:val="21"/>
                <w:highlight w:val="none"/>
              </w:rPr>
              <w:t>500～1000万元</w:t>
            </w:r>
          </w:p>
        </w:tc>
        <w:tc>
          <w:tcPr>
            <w:tcW w:w="1659" w:type="dxa"/>
            <w:vAlign w:val="center"/>
          </w:tcPr>
          <w:p w14:paraId="3B4E1120">
            <w:pPr>
              <w:spacing w:line="360" w:lineRule="auto"/>
              <w:jc w:val="center"/>
              <w:rPr>
                <w:rFonts w:ascii="宋体" w:hAnsi="Courier New"/>
                <w:color w:val="auto"/>
                <w:szCs w:val="21"/>
                <w:highlight w:val="none"/>
              </w:rPr>
            </w:pPr>
            <w:r>
              <w:rPr>
                <w:rFonts w:ascii="宋体" w:hAnsi="Courier New"/>
                <w:color w:val="auto"/>
                <w:szCs w:val="21"/>
                <w:highlight w:val="none"/>
              </w:rPr>
              <w:t>0.8%</w:t>
            </w:r>
          </w:p>
        </w:tc>
        <w:tc>
          <w:tcPr>
            <w:tcW w:w="1532" w:type="dxa"/>
            <w:vAlign w:val="center"/>
          </w:tcPr>
          <w:p w14:paraId="6A019B15">
            <w:pPr>
              <w:spacing w:line="360" w:lineRule="auto"/>
              <w:jc w:val="center"/>
              <w:rPr>
                <w:rFonts w:ascii="宋体" w:hAnsi="Courier New"/>
                <w:color w:val="auto"/>
                <w:szCs w:val="21"/>
                <w:highlight w:val="none"/>
              </w:rPr>
            </w:pPr>
            <w:r>
              <w:rPr>
                <w:rFonts w:ascii="宋体" w:hAnsi="Courier New"/>
                <w:color w:val="auto"/>
                <w:szCs w:val="21"/>
                <w:highlight w:val="none"/>
              </w:rPr>
              <w:t>0.45%</w:t>
            </w:r>
          </w:p>
        </w:tc>
        <w:tc>
          <w:tcPr>
            <w:tcW w:w="1546" w:type="dxa"/>
            <w:vAlign w:val="center"/>
          </w:tcPr>
          <w:p w14:paraId="127DB06F">
            <w:pPr>
              <w:spacing w:line="360" w:lineRule="auto"/>
              <w:jc w:val="center"/>
              <w:rPr>
                <w:rFonts w:ascii="宋体" w:hAnsi="Courier New"/>
                <w:color w:val="auto"/>
                <w:szCs w:val="21"/>
                <w:highlight w:val="none"/>
              </w:rPr>
            </w:pPr>
            <w:r>
              <w:rPr>
                <w:rFonts w:ascii="宋体" w:hAnsi="Courier New"/>
                <w:color w:val="auto"/>
                <w:szCs w:val="21"/>
                <w:highlight w:val="none"/>
              </w:rPr>
              <w:t>0.55%</w:t>
            </w:r>
          </w:p>
        </w:tc>
      </w:tr>
      <w:tr w14:paraId="4AED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FF44636">
            <w:pPr>
              <w:spacing w:line="360" w:lineRule="auto"/>
              <w:rPr>
                <w:rFonts w:ascii="宋体" w:hAnsi="Courier New"/>
                <w:color w:val="auto"/>
                <w:szCs w:val="21"/>
                <w:highlight w:val="none"/>
              </w:rPr>
            </w:pPr>
            <w:r>
              <w:rPr>
                <w:rFonts w:ascii="宋体" w:hAnsi="Courier New"/>
                <w:color w:val="auto"/>
                <w:szCs w:val="21"/>
                <w:highlight w:val="none"/>
              </w:rPr>
              <w:t>1000～5000万元</w:t>
            </w:r>
          </w:p>
        </w:tc>
        <w:tc>
          <w:tcPr>
            <w:tcW w:w="1659" w:type="dxa"/>
            <w:vAlign w:val="center"/>
          </w:tcPr>
          <w:p w14:paraId="5E22C131">
            <w:pPr>
              <w:spacing w:line="360" w:lineRule="auto"/>
              <w:jc w:val="center"/>
              <w:rPr>
                <w:rFonts w:ascii="宋体" w:hAnsi="Courier New"/>
                <w:color w:val="auto"/>
                <w:szCs w:val="21"/>
                <w:highlight w:val="none"/>
              </w:rPr>
            </w:pPr>
            <w:r>
              <w:rPr>
                <w:rFonts w:ascii="宋体" w:hAnsi="Courier New"/>
                <w:color w:val="auto"/>
                <w:szCs w:val="21"/>
                <w:highlight w:val="none"/>
              </w:rPr>
              <w:t>0.5%</w:t>
            </w:r>
          </w:p>
        </w:tc>
        <w:tc>
          <w:tcPr>
            <w:tcW w:w="1532" w:type="dxa"/>
            <w:vAlign w:val="center"/>
          </w:tcPr>
          <w:p w14:paraId="523FD201">
            <w:pPr>
              <w:spacing w:line="360" w:lineRule="auto"/>
              <w:jc w:val="center"/>
              <w:rPr>
                <w:rFonts w:ascii="宋体" w:hAnsi="Courier New"/>
                <w:color w:val="auto"/>
                <w:szCs w:val="21"/>
                <w:highlight w:val="none"/>
              </w:rPr>
            </w:pPr>
            <w:r>
              <w:rPr>
                <w:rFonts w:ascii="宋体" w:hAnsi="Courier New"/>
                <w:color w:val="auto"/>
                <w:szCs w:val="21"/>
                <w:highlight w:val="none"/>
              </w:rPr>
              <w:t>0.25%</w:t>
            </w:r>
          </w:p>
        </w:tc>
        <w:tc>
          <w:tcPr>
            <w:tcW w:w="1546" w:type="dxa"/>
            <w:vAlign w:val="center"/>
          </w:tcPr>
          <w:p w14:paraId="0F601EDC">
            <w:pPr>
              <w:spacing w:line="360" w:lineRule="auto"/>
              <w:jc w:val="center"/>
              <w:rPr>
                <w:rFonts w:ascii="宋体" w:hAnsi="Courier New"/>
                <w:color w:val="auto"/>
                <w:szCs w:val="21"/>
                <w:highlight w:val="none"/>
              </w:rPr>
            </w:pPr>
            <w:r>
              <w:rPr>
                <w:rFonts w:ascii="宋体" w:hAnsi="Courier New"/>
                <w:color w:val="auto"/>
                <w:szCs w:val="21"/>
                <w:highlight w:val="none"/>
              </w:rPr>
              <w:t>0.35%</w:t>
            </w:r>
          </w:p>
        </w:tc>
      </w:tr>
      <w:tr w14:paraId="52ED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FC85AE">
            <w:pPr>
              <w:spacing w:line="360" w:lineRule="auto"/>
              <w:rPr>
                <w:rFonts w:ascii="宋体" w:hAnsi="Courier New"/>
                <w:color w:val="auto"/>
                <w:szCs w:val="21"/>
                <w:highlight w:val="none"/>
              </w:rPr>
            </w:pPr>
            <w:r>
              <w:rPr>
                <w:rFonts w:ascii="宋体" w:hAnsi="Courier New"/>
                <w:color w:val="auto"/>
                <w:szCs w:val="21"/>
                <w:highlight w:val="none"/>
              </w:rPr>
              <w:t>5000万元～1亿元</w:t>
            </w:r>
          </w:p>
        </w:tc>
        <w:tc>
          <w:tcPr>
            <w:tcW w:w="1659" w:type="dxa"/>
            <w:vAlign w:val="center"/>
          </w:tcPr>
          <w:p w14:paraId="3F2BAEFB">
            <w:pPr>
              <w:spacing w:line="360" w:lineRule="auto"/>
              <w:jc w:val="center"/>
              <w:rPr>
                <w:rFonts w:ascii="宋体" w:hAnsi="Courier New"/>
                <w:color w:val="auto"/>
                <w:szCs w:val="21"/>
                <w:highlight w:val="none"/>
              </w:rPr>
            </w:pPr>
            <w:r>
              <w:rPr>
                <w:rFonts w:ascii="宋体" w:hAnsi="Courier New"/>
                <w:color w:val="auto"/>
                <w:szCs w:val="21"/>
                <w:highlight w:val="none"/>
              </w:rPr>
              <w:t>0.25%</w:t>
            </w:r>
          </w:p>
        </w:tc>
        <w:tc>
          <w:tcPr>
            <w:tcW w:w="1532" w:type="dxa"/>
            <w:vAlign w:val="center"/>
          </w:tcPr>
          <w:p w14:paraId="46EAC217">
            <w:pPr>
              <w:spacing w:line="360" w:lineRule="auto"/>
              <w:jc w:val="center"/>
              <w:rPr>
                <w:rFonts w:ascii="宋体" w:hAnsi="Courier New"/>
                <w:color w:val="auto"/>
                <w:szCs w:val="21"/>
                <w:highlight w:val="none"/>
              </w:rPr>
            </w:pPr>
            <w:r>
              <w:rPr>
                <w:rFonts w:ascii="宋体" w:hAnsi="Courier New"/>
                <w:color w:val="auto"/>
                <w:szCs w:val="21"/>
                <w:highlight w:val="none"/>
              </w:rPr>
              <w:t>0.1%</w:t>
            </w:r>
          </w:p>
        </w:tc>
        <w:tc>
          <w:tcPr>
            <w:tcW w:w="1546" w:type="dxa"/>
            <w:vAlign w:val="center"/>
          </w:tcPr>
          <w:p w14:paraId="25660AAA">
            <w:pPr>
              <w:spacing w:line="360" w:lineRule="auto"/>
              <w:jc w:val="center"/>
              <w:rPr>
                <w:rFonts w:ascii="宋体" w:hAnsi="Courier New"/>
                <w:color w:val="auto"/>
                <w:szCs w:val="21"/>
                <w:highlight w:val="none"/>
              </w:rPr>
            </w:pPr>
            <w:r>
              <w:rPr>
                <w:rFonts w:ascii="宋体" w:hAnsi="Courier New"/>
                <w:color w:val="auto"/>
                <w:szCs w:val="21"/>
                <w:highlight w:val="none"/>
              </w:rPr>
              <w:t>0.2%</w:t>
            </w:r>
          </w:p>
        </w:tc>
      </w:tr>
    </w:tbl>
    <w:p w14:paraId="28C883AE">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注：</w:t>
      </w:r>
    </w:p>
    <w:p w14:paraId="4366E31A">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（1）按本表费率计算的收费标准为采购代理的收费价格，由采购代理机构向</w:t>
      </w:r>
      <w:r>
        <w:rPr>
          <w:rFonts w:hint="eastAsia" w:ascii="宋体" w:hAnsi="Courier New"/>
          <w:color w:val="auto"/>
          <w:szCs w:val="21"/>
          <w:highlight w:val="none"/>
        </w:rPr>
        <w:t>中标人</w:t>
      </w:r>
      <w:r>
        <w:rPr>
          <w:rFonts w:ascii="宋体" w:hAnsi="Courier New"/>
          <w:color w:val="auto"/>
          <w:szCs w:val="21"/>
          <w:highlight w:val="none"/>
        </w:rPr>
        <w:t>收取；</w:t>
      </w:r>
    </w:p>
    <w:p w14:paraId="06133B98">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（2）采购代理收费按差额定率累进法计算。</w:t>
      </w:r>
    </w:p>
    <w:p w14:paraId="21C830A1">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40.需要补充的其他内容</w:t>
      </w:r>
    </w:p>
    <w:p w14:paraId="7849D02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699BD35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40.2其他事项详见“投标人须知前附表”。</w:t>
      </w:r>
    </w:p>
    <w:p w14:paraId="40E96092">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FDEB6D2">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A81E537">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6FEC14D">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0F5595B">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E1E074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6A61AC2B">
      <w:pPr>
        <w:pStyle w:val="26"/>
        <w:snapToGrid w:val="0"/>
        <w:spacing w:line="360" w:lineRule="auto"/>
        <w:ind w:firstLine="420" w:firstLineChars="200"/>
        <w:rPr>
          <w:rFonts w:hAnsi="宋体" w:cs="宋体"/>
          <w:color w:val="auto"/>
          <w:sz w:val="21"/>
          <w:highlight w:val="none"/>
        </w:rPr>
      </w:pPr>
    </w:p>
    <w:p w14:paraId="6BBD8B3F">
      <w:pPr>
        <w:widowControl/>
        <w:spacing w:line="360" w:lineRule="auto"/>
        <w:ind w:firstLine="420" w:firstLineChars="200"/>
        <w:jc w:val="left"/>
        <w:rPr>
          <w:rFonts w:hAnsi="宋体" w:cs="宋体"/>
          <w:color w:val="auto"/>
          <w:highlight w:val="none"/>
        </w:rPr>
      </w:pPr>
      <w:r>
        <w:rPr>
          <w:rFonts w:hint="eastAsia" w:hAnsi="宋体" w:cs="宋体"/>
          <w:color w:val="auto"/>
          <w:highlight w:val="none"/>
        </w:rPr>
        <w:br w:type="page"/>
      </w:r>
    </w:p>
    <w:tbl>
      <w:tblPr>
        <w:tblStyle w:val="52"/>
        <w:tblW w:w="4995" w:type="pct"/>
        <w:tblInd w:w="0" w:type="dxa"/>
        <w:tblLayout w:type="autofit"/>
        <w:tblCellMar>
          <w:top w:w="0" w:type="dxa"/>
          <w:left w:w="108" w:type="dxa"/>
          <w:bottom w:w="0" w:type="dxa"/>
          <w:right w:w="108" w:type="dxa"/>
        </w:tblCellMar>
      </w:tblPr>
      <w:tblGrid>
        <w:gridCol w:w="1035"/>
        <w:gridCol w:w="453"/>
        <w:gridCol w:w="1878"/>
        <w:gridCol w:w="1938"/>
        <w:gridCol w:w="1212"/>
        <w:gridCol w:w="251"/>
        <w:gridCol w:w="501"/>
        <w:gridCol w:w="917"/>
        <w:gridCol w:w="872"/>
        <w:gridCol w:w="222"/>
      </w:tblGrid>
      <w:tr w14:paraId="3CF3BFF1">
        <w:tblPrEx>
          <w:tblCellMar>
            <w:top w:w="0" w:type="dxa"/>
            <w:left w:w="108" w:type="dxa"/>
            <w:bottom w:w="0" w:type="dxa"/>
            <w:right w:w="108" w:type="dxa"/>
          </w:tblCellMar>
        </w:tblPrEx>
        <w:trPr>
          <w:gridAfter w:val="1"/>
          <w:wAfter w:w="119" w:type="pct"/>
          <w:trHeight w:val="605" w:hRule="atLeast"/>
        </w:trPr>
        <w:tc>
          <w:tcPr>
            <w:tcW w:w="802" w:type="pct"/>
            <w:gridSpan w:val="2"/>
            <w:tcBorders>
              <w:top w:val="nil"/>
              <w:left w:val="nil"/>
              <w:bottom w:val="nil"/>
              <w:right w:val="nil"/>
            </w:tcBorders>
            <w:noWrap/>
            <w:vAlign w:val="center"/>
          </w:tcPr>
          <w:p w14:paraId="52759EAC">
            <w:pPr>
              <w:widowControl/>
              <w:spacing w:line="360" w:lineRule="auto"/>
              <w:ind w:firstLine="420" w:firstLineChars="200"/>
              <w:jc w:val="left"/>
              <w:rPr>
                <w:rFonts w:ascii="宋体" w:hAnsi="宋体" w:cs="宋体"/>
                <w:color w:val="auto"/>
                <w:kern w:val="0"/>
                <w:sz w:val="22"/>
                <w:highlight w:val="none"/>
              </w:rPr>
            </w:pPr>
            <w:r>
              <w:rPr>
                <w:rFonts w:hint="eastAsia" w:hAnsi="宋体" w:cs="宋体"/>
                <w:color w:val="auto"/>
                <w:highlight w:val="none"/>
              </w:rPr>
              <w:br w:type="page"/>
            </w:r>
            <w:r>
              <w:rPr>
                <w:rFonts w:hint="eastAsia" w:hAnsi="宋体" w:cs="宋体"/>
                <w:b/>
                <w:color w:val="auto"/>
                <w:highlight w:val="none"/>
              </w:rPr>
              <w:br w:type="page"/>
            </w:r>
            <w:r>
              <w:rPr>
                <w:rFonts w:hint="eastAsia" w:hAnsi="宋体" w:cs="宋体"/>
                <w:b/>
                <w:color w:val="auto"/>
                <w:highlight w:val="none"/>
              </w:rPr>
              <w:br w:type="page"/>
            </w:r>
            <w:r>
              <w:rPr>
                <w:rFonts w:hint="eastAsia" w:ascii="宋体" w:hAnsi="宋体" w:cs="宋体"/>
                <w:color w:val="auto"/>
                <w:szCs w:val="21"/>
                <w:highlight w:val="none"/>
              </w:rPr>
              <w:br w:type="page"/>
            </w:r>
            <w:r>
              <w:rPr>
                <w:rFonts w:hint="eastAsia" w:ascii="宋体" w:hAnsi="宋体" w:cs="宋体"/>
                <w:b/>
                <w:color w:val="auto"/>
                <w:highlight w:val="none"/>
              </w:rPr>
              <w:br w:type="page"/>
            </w:r>
            <w:r>
              <w:rPr>
                <w:rFonts w:hint="eastAsia" w:ascii="宋体" w:hAnsi="宋体" w:cs="宋体"/>
                <w:b/>
                <w:bCs/>
                <w:color w:val="auto"/>
                <w:kern w:val="0"/>
                <w:sz w:val="28"/>
                <w:szCs w:val="28"/>
                <w:highlight w:val="none"/>
              </w:rPr>
              <w:t>附件1</w:t>
            </w:r>
          </w:p>
        </w:tc>
        <w:tc>
          <w:tcPr>
            <w:tcW w:w="1011" w:type="pct"/>
            <w:tcBorders>
              <w:top w:val="nil"/>
              <w:left w:val="nil"/>
              <w:bottom w:val="nil"/>
              <w:right w:val="nil"/>
            </w:tcBorders>
            <w:noWrap/>
            <w:vAlign w:val="center"/>
          </w:tcPr>
          <w:p w14:paraId="38985076">
            <w:pPr>
              <w:widowControl/>
              <w:spacing w:line="360" w:lineRule="auto"/>
              <w:ind w:firstLine="440" w:firstLineChars="200"/>
              <w:jc w:val="left"/>
              <w:rPr>
                <w:rFonts w:ascii="宋体" w:hAnsi="宋体" w:cs="宋体"/>
                <w:color w:val="auto"/>
                <w:kern w:val="0"/>
                <w:sz w:val="22"/>
                <w:highlight w:val="none"/>
              </w:rPr>
            </w:pPr>
          </w:p>
        </w:tc>
        <w:tc>
          <w:tcPr>
            <w:tcW w:w="1043" w:type="pct"/>
            <w:tcBorders>
              <w:top w:val="nil"/>
              <w:left w:val="nil"/>
              <w:bottom w:val="nil"/>
              <w:right w:val="nil"/>
            </w:tcBorders>
            <w:noWrap/>
            <w:vAlign w:val="center"/>
          </w:tcPr>
          <w:p w14:paraId="270D2128">
            <w:pPr>
              <w:widowControl/>
              <w:spacing w:line="360" w:lineRule="auto"/>
              <w:ind w:firstLine="400" w:firstLineChars="200"/>
              <w:jc w:val="left"/>
              <w:rPr>
                <w:rFonts w:ascii="宋体" w:hAnsi="宋体" w:cs="宋体"/>
                <w:color w:val="auto"/>
                <w:kern w:val="0"/>
                <w:sz w:val="20"/>
                <w:szCs w:val="20"/>
                <w:highlight w:val="none"/>
              </w:rPr>
            </w:pPr>
          </w:p>
        </w:tc>
        <w:tc>
          <w:tcPr>
            <w:tcW w:w="653" w:type="pct"/>
            <w:tcBorders>
              <w:top w:val="nil"/>
              <w:left w:val="nil"/>
              <w:bottom w:val="nil"/>
              <w:right w:val="nil"/>
            </w:tcBorders>
            <w:noWrap/>
            <w:vAlign w:val="center"/>
          </w:tcPr>
          <w:p w14:paraId="1E0349C2">
            <w:pPr>
              <w:widowControl/>
              <w:spacing w:line="360" w:lineRule="auto"/>
              <w:ind w:firstLine="400" w:firstLineChars="200"/>
              <w:jc w:val="left"/>
              <w:rPr>
                <w:rFonts w:ascii="宋体" w:hAnsi="宋体" w:cs="宋体"/>
                <w:color w:val="auto"/>
                <w:kern w:val="0"/>
                <w:sz w:val="20"/>
                <w:szCs w:val="20"/>
                <w:highlight w:val="none"/>
              </w:rPr>
            </w:pPr>
          </w:p>
        </w:tc>
        <w:tc>
          <w:tcPr>
            <w:tcW w:w="135" w:type="pct"/>
            <w:tcBorders>
              <w:top w:val="nil"/>
              <w:left w:val="nil"/>
              <w:bottom w:val="nil"/>
              <w:right w:val="nil"/>
            </w:tcBorders>
            <w:noWrap/>
            <w:vAlign w:val="center"/>
          </w:tcPr>
          <w:p w14:paraId="30EC9775">
            <w:pPr>
              <w:widowControl/>
              <w:spacing w:line="360" w:lineRule="auto"/>
              <w:ind w:firstLine="400" w:firstLineChars="200"/>
              <w:jc w:val="left"/>
              <w:rPr>
                <w:rFonts w:ascii="宋体" w:hAnsi="宋体" w:cs="宋体"/>
                <w:color w:val="auto"/>
                <w:kern w:val="0"/>
                <w:sz w:val="20"/>
                <w:szCs w:val="20"/>
                <w:highlight w:val="none"/>
              </w:rPr>
            </w:pPr>
          </w:p>
        </w:tc>
        <w:tc>
          <w:tcPr>
            <w:tcW w:w="269" w:type="pct"/>
            <w:tcBorders>
              <w:top w:val="nil"/>
              <w:left w:val="nil"/>
              <w:bottom w:val="nil"/>
              <w:right w:val="nil"/>
            </w:tcBorders>
            <w:noWrap/>
            <w:vAlign w:val="center"/>
          </w:tcPr>
          <w:p w14:paraId="1FEA4BD1">
            <w:pPr>
              <w:widowControl/>
              <w:spacing w:line="360" w:lineRule="auto"/>
              <w:ind w:firstLine="400" w:firstLineChars="200"/>
              <w:jc w:val="left"/>
              <w:rPr>
                <w:rFonts w:ascii="宋体" w:hAnsi="宋体" w:cs="宋体"/>
                <w:color w:val="auto"/>
                <w:kern w:val="0"/>
                <w:sz w:val="20"/>
                <w:szCs w:val="20"/>
                <w:highlight w:val="none"/>
              </w:rPr>
            </w:pPr>
          </w:p>
        </w:tc>
        <w:tc>
          <w:tcPr>
            <w:tcW w:w="494" w:type="pct"/>
            <w:tcBorders>
              <w:top w:val="nil"/>
              <w:left w:val="nil"/>
              <w:bottom w:val="nil"/>
              <w:right w:val="nil"/>
            </w:tcBorders>
            <w:noWrap/>
            <w:vAlign w:val="center"/>
          </w:tcPr>
          <w:p w14:paraId="257044E0">
            <w:pPr>
              <w:widowControl/>
              <w:spacing w:line="360" w:lineRule="auto"/>
              <w:ind w:firstLine="400" w:firstLineChars="200"/>
              <w:jc w:val="left"/>
              <w:rPr>
                <w:rFonts w:ascii="宋体" w:hAnsi="宋体" w:cs="宋体"/>
                <w:color w:val="auto"/>
                <w:kern w:val="0"/>
                <w:sz w:val="20"/>
                <w:szCs w:val="20"/>
                <w:highlight w:val="none"/>
              </w:rPr>
            </w:pPr>
          </w:p>
        </w:tc>
        <w:tc>
          <w:tcPr>
            <w:tcW w:w="469" w:type="pct"/>
            <w:tcBorders>
              <w:top w:val="nil"/>
              <w:left w:val="nil"/>
              <w:bottom w:val="nil"/>
              <w:right w:val="nil"/>
            </w:tcBorders>
            <w:noWrap/>
            <w:vAlign w:val="center"/>
          </w:tcPr>
          <w:p w14:paraId="376EA01C">
            <w:pPr>
              <w:widowControl/>
              <w:spacing w:line="360" w:lineRule="auto"/>
              <w:ind w:firstLine="400" w:firstLineChars="200"/>
              <w:jc w:val="left"/>
              <w:rPr>
                <w:rFonts w:ascii="宋体" w:hAnsi="宋体" w:cs="宋体"/>
                <w:color w:val="auto"/>
                <w:kern w:val="0"/>
                <w:sz w:val="20"/>
                <w:szCs w:val="20"/>
                <w:highlight w:val="none"/>
              </w:rPr>
            </w:pPr>
          </w:p>
        </w:tc>
      </w:tr>
      <w:tr w14:paraId="5A9FE41A">
        <w:tblPrEx>
          <w:tblCellMar>
            <w:top w:w="0" w:type="dxa"/>
            <w:left w:w="108" w:type="dxa"/>
            <w:bottom w:w="0" w:type="dxa"/>
            <w:right w:w="108" w:type="dxa"/>
          </w:tblCellMar>
        </w:tblPrEx>
        <w:trPr>
          <w:gridAfter w:val="1"/>
          <w:wAfter w:w="119" w:type="pct"/>
          <w:trHeight w:val="605" w:hRule="atLeast"/>
        </w:trPr>
        <w:tc>
          <w:tcPr>
            <w:tcW w:w="4880" w:type="pct"/>
            <w:gridSpan w:val="9"/>
            <w:tcBorders>
              <w:top w:val="nil"/>
              <w:left w:val="nil"/>
              <w:bottom w:val="nil"/>
              <w:right w:val="nil"/>
            </w:tcBorders>
            <w:noWrap/>
            <w:vAlign w:val="center"/>
          </w:tcPr>
          <w:p w14:paraId="51E62CBA">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广西师范大学货物和服务院级验收报告单</w:t>
            </w:r>
          </w:p>
        </w:tc>
      </w:tr>
      <w:tr w14:paraId="254A96B3">
        <w:tblPrEx>
          <w:tblCellMar>
            <w:top w:w="0" w:type="dxa"/>
            <w:left w:w="108" w:type="dxa"/>
            <w:bottom w:w="0" w:type="dxa"/>
            <w:right w:w="108" w:type="dxa"/>
          </w:tblCellMar>
        </w:tblPrEx>
        <w:trPr>
          <w:gridAfter w:val="1"/>
          <w:wAfter w:w="119" w:type="pct"/>
          <w:trHeight w:val="908" w:hRule="atLeast"/>
        </w:trPr>
        <w:tc>
          <w:tcPr>
            <w:tcW w:w="4880" w:type="pct"/>
            <w:gridSpan w:val="9"/>
            <w:tcBorders>
              <w:top w:val="nil"/>
              <w:left w:val="nil"/>
              <w:bottom w:val="single" w:color="auto" w:sz="8" w:space="0"/>
              <w:right w:val="nil"/>
            </w:tcBorders>
            <w:vAlign w:val="center"/>
          </w:tcPr>
          <w:p w14:paraId="0281752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根据政府采购项目（</w:t>
            </w:r>
            <w:r>
              <w:rPr>
                <w:rFonts w:hint="eastAsia" w:ascii="宋体" w:hAnsi="宋体" w:cs="宋体"/>
                <w:color w:val="auto"/>
                <w:kern w:val="0"/>
                <w:sz w:val="22"/>
                <w:highlight w:val="none"/>
                <w:u w:val="single"/>
              </w:rPr>
              <w:t xml:space="preserve">采购合同编号：HT        </w:t>
            </w:r>
            <w:r>
              <w:rPr>
                <w:rFonts w:hint="eastAsia" w:ascii="宋体" w:hAnsi="宋体" w:cs="宋体"/>
                <w:color w:val="auto"/>
                <w:kern w:val="0"/>
                <w:sz w:val="22"/>
                <w:highlight w:val="none"/>
              </w:rPr>
              <w:t>）的约定，我单位对（</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）采购项目中标（或成交）供应商（                 ）提供的货物（或服务）进行了验收，验收情况如下：</w:t>
            </w:r>
          </w:p>
        </w:tc>
      </w:tr>
      <w:tr w14:paraId="45B6576B">
        <w:tblPrEx>
          <w:tblCellMar>
            <w:top w:w="0" w:type="dxa"/>
            <w:left w:w="108" w:type="dxa"/>
            <w:bottom w:w="0" w:type="dxa"/>
            <w:right w:w="108" w:type="dxa"/>
          </w:tblCellMar>
        </w:tblPrEx>
        <w:trPr>
          <w:gridAfter w:val="1"/>
          <w:wAfter w:w="119" w:type="pct"/>
          <w:trHeight w:val="927" w:hRule="atLeast"/>
        </w:trPr>
        <w:tc>
          <w:tcPr>
            <w:tcW w:w="802" w:type="pct"/>
            <w:gridSpan w:val="2"/>
            <w:tcBorders>
              <w:top w:val="nil"/>
              <w:left w:val="single" w:color="auto" w:sz="8" w:space="0"/>
              <w:bottom w:val="single" w:color="auto" w:sz="8" w:space="0"/>
              <w:right w:val="single" w:color="auto" w:sz="8" w:space="0"/>
            </w:tcBorders>
            <w:vAlign w:val="center"/>
          </w:tcPr>
          <w:p w14:paraId="41FF457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申购单位</w:t>
            </w:r>
          </w:p>
        </w:tc>
        <w:tc>
          <w:tcPr>
            <w:tcW w:w="2055" w:type="pct"/>
            <w:gridSpan w:val="2"/>
            <w:tcBorders>
              <w:top w:val="single" w:color="auto" w:sz="8" w:space="0"/>
              <w:left w:val="nil"/>
              <w:bottom w:val="single" w:color="auto" w:sz="8" w:space="0"/>
              <w:right w:val="single" w:color="000000" w:sz="8" w:space="0"/>
            </w:tcBorders>
            <w:vAlign w:val="center"/>
          </w:tcPr>
          <w:p w14:paraId="1F0DF79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7053173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行政实验室</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（科室）</w:t>
            </w:r>
          </w:p>
        </w:tc>
        <w:tc>
          <w:tcPr>
            <w:tcW w:w="1368" w:type="pct"/>
            <w:gridSpan w:val="4"/>
            <w:tcBorders>
              <w:top w:val="single" w:color="auto" w:sz="8" w:space="0"/>
              <w:left w:val="nil"/>
              <w:bottom w:val="single" w:color="auto" w:sz="8" w:space="0"/>
              <w:right w:val="single" w:color="000000" w:sz="8" w:space="0"/>
            </w:tcBorders>
            <w:vAlign w:val="center"/>
          </w:tcPr>
          <w:p w14:paraId="0B3E96D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543CBDA">
        <w:tblPrEx>
          <w:tblCellMar>
            <w:top w:w="0" w:type="dxa"/>
            <w:left w:w="108" w:type="dxa"/>
            <w:bottom w:w="0" w:type="dxa"/>
            <w:right w:w="108" w:type="dxa"/>
          </w:tblCellMar>
        </w:tblPrEx>
        <w:trPr>
          <w:gridAfter w:val="1"/>
          <w:wAfter w:w="119" w:type="pct"/>
          <w:trHeight w:val="484" w:hRule="atLeast"/>
        </w:trPr>
        <w:tc>
          <w:tcPr>
            <w:tcW w:w="2858" w:type="pct"/>
            <w:gridSpan w:val="4"/>
            <w:tcBorders>
              <w:top w:val="single" w:color="auto" w:sz="8" w:space="0"/>
              <w:left w:val="single" w:color="auto" w:sz="8" w:space="0"/>
              <w:bottom w:val="nil"/>
              <w:right w:val="nil"/>
            </w:tcBorders>
            <w:vAlign w:val="center"/>
          </w:tcPr>
          <w:p w14:paraId="2AB0761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项目负责人（签名）:</w:t>
            </w:r>
          </w:p>
        </w:tc>
        <w:tc>
          <w:tcPr>
            <w:tcW w:w="2022" w:type="pct"/>
            <w:gridSpan w:val="5"/>
            <w:tcBorders>
              <w:top w:val="single" w:color="auto" w:sz="8" w:space="0"/>
              <w:left w:val="single" w:color="auto" w:sz="8" w:space="0"/>
              <w:bottom w:val="nil"/>
              <w:right w:val="single" w:color="000000" w:sz="8" w:space="0"/>
            </w:tcBorders>
            <w:vAlign w:val="center"/>
          </w:tcPr>
          <w:p w14:paraId="0015366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设备管理人（签名）:</w:t>
            </w:r>
          </w:p>
        </w:tc>
      </w:tr>
      <w:tr w14:paraId="325E2002">
        <w:tblPrEx>
          <w:tblCellMar>
            <w:top w:w="0" w:type="dxa"/>
            <w:left w:w="108" w:type="dxa"/>
            <w:bottom w:w="0" w:type="dxa"/>
            <w:right w:w="108" w:type="dxa"/>
          </w:tblCellMar>
        </w:tblPrEx>
        <w:trPr>
          <w:gridAfter w:val="1"/>
          <w:wAfter w:w="119" w:type="pct"/>
          <w:trHeight w:val="406" w:hRule="atLeast"/>
        </w:trPr>
        <w:tc>
          <w:tcPr>
            <w:tcW w:w="2858" w:type="pct"/>
            <w:gridSpan w:val="4"/>
            <w:tcBorders>
              <w:top w:val="nil"/>
              <w:left w:val="single" w:color="auto" w:sz="8" w:space="0"/>
              <w:bottom w:val="single" w:color="auto" w:sz="8" w:space="0"/>
              <w:right w:val="nil"/>
            </w:tcBorders>
            <w:vAlign w:val="center"/>
          </w:tcPr>
          <w:p w14:paraId="6689E94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联系电话：                       </w:t>
            </w:r>
          </w:p>
        </w:tc>
        <w:tc>
          <w:tcPr>
            <w:tcW w:w="2022" w:type="pct"/>
            <w:gridSpan w:val="5"/>
            <w:tcBorders>
              <w:top w:val="nil"/>
              <w:left w:val="single" w:color="auto" w:sz="8" w:space="0"/>
              <w:bottom w:val="single" w:color="auto" w:sz="8" w:space="0"/>
              <w:right w:val="single" w:color="000000" w:sz="8" w:space="0"/>
            </w:tcBorders>
            <w:vAlign w:val="center"/>
          </w:tcPr>
          <w:p w14:paraId="4474BDB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联系电话：                      </w:t>
            </w:r>
          </w:p>
        </w:tc>
      </w:tr>
      <w:tr w14:paraId="15F7A976">
        <w:tblPrEx>
          <w:tblCellMar>
            <w:top w:w="0" w:type="dxa"/>
            <w:left w:w="108" w:type="dxa"/>
            <w:bottom w:w="0" w:type="dxa"/>
            <w:right w:w="108" w:type="dxa"/>
          </w:tblCellMar>
        </w:tblPrEx>
        <w:trPr>
          <w:gridAfter w:val="1"/>
          <w:wAfter w:w="119" w:type="pct"/>
          <w:trHeight w:val="484" w:hRule="atLeast"/>
        </w:trPr>
        <w:tc>
          <w:tcPr>
            <w:tcW w:w="1814" w:type="pct"/>
            <w:gridSpan w:val="3"/>
            <w:tcBorders>
              <w:top w:val="nil"/>
              <w:left w:val="single" w:color="auto" w:sz="8" w:space="0"/>
              <w:bottom w:val="single" w:color="auto" w:sz="8" w:space="0"/>
              <w:right w:val="single" w:color="000000" w:sz="8" w:space="0"/>
            </w:tcBorders>
            <w:vAlign w:val="center"/>
          </w:tcPr>
          <w:p w14:paraId="39BBA64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验收方式：</w:t>
            </w:r>
          </w:p>
        </w:tc>
        <w:tc>
          <w:tcPr>
            <w:tcW w:w="3065" w:type="pct"/>
            <w:gridSpan w:val="6"/>
            <w:tcBorders>
              <w:top w:val="nil"/>
              <w:left w:val="nil"/>
              <w:bottom w:val="single" w:color="auto" w:sz="8" w:space="0"/>
              <w:right w:val="single" w:color="000000" w:sz="8" w:space="0"/>
            </w:tcBorders>
            <w:vAlign w:val="center"/>
          </w:tcPr>
          <w:p w14:paraId="393B63A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☑自行验收         □委托验收</w:t>
            </w:r>
          </w:p>
        </w:tc>
      </w:tr>
      <w:tr w14:paraId="0FAB1786">
        <w:tblPrEx>
          <w:tblCellMar>
            <w:top w:w="0" w:type="dxa"/>
            <w:left w:w="108" w:type="dxa"/>
            <w:bottom w:w="0" w:type="dxa"/>
            <w:right w:w="108" w:type="dxa"/>
          </w:tblCellMar>
        </w:tblPrEx>
        <w:trPr>
          <w:gridAfter w:val="1"/>
          <w:wAfter w:w="119" w:type="pct"/>
          <w:trHeight w:val="625" w:hRule="atLeast"/>
        </w:trPr>
        <w:tc>
          <w:tcPr>
            <w:tcW w:w="558" w:type="pct"/>
            <w:tcBorders>
              <w:top w:val="nil"/>
              <w:left w:val="single" w:color="auto" w:sz="8" w:space="0"/>
              <w:bottom w:val="single" w:color="auto" w:sz="8" w:space="0"/>
              <w:right w:val="single" w:color="auto" w:sz="8" w:space="0"/>
            </w:tcBorders>
            <w:vAlign w:val="center"/>
          </w:tcPr>
          <w:p w14:paraId="333B204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256" w:type="pct"/>
            <w:gridSpan w:val="2"/>
            <w:tcBorders>
              <w:top w:val="nil"/>
              <w:left w:val="nil"/>
              <w:bottom w:val="single" w:color="auto" w:sz="8" w:space="0"/>
              <w:right w:val="single" w:color="auto" w:sz="8" w:space="0"/>
            </w:tcBorders>
            <w:vAlign w:val="center"/>
          </w:tcPr>
          <w:p w14:paraId="23B9F21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名  称</w:t>
            </w:r>
          </w:p>
        </w:tc>
        <w:tc>
          <w:tcPr>
            <w:tcW w:w="1696" w:type="pct"/>
            <w:gridSpan w:val="2"/>
            <w:tcBorders>
              <w:top w:val="single" w:color="auto" w:sz="8" w:space="0"/>
              <w:left w:val="nil"/>
              <w:bottom w:val="single" w:color="auto" w:sz="8" w:space="0"/>
              <w:right w:val="single" w:color="000000" w:sz="8" w:space="0"/>
            </w:tcBorders>
            <w:vAlign w:val="center"/>
          </w:tcPr>
          <w:p w14:paraId="62C0B48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货物型号规格、标准及配置等</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（或服务内容、标准）</w:t>
            </w:r>
          </w:p>
        </w:tc>
        <w:tc>
          <w:tcPr>
            <w:tcW w:w="404" w:type="pct"/>
            <w:gridSpan w:val="2"/>
            <w:tcBorders>
              <w:top w:val="single" w:color="auto" w:sz="8" w:space="0"/>
              <w:left w:val="nil"/>
              <w:bottom w:val="single" w:color="auto" w:sz="8" w:space="0"/>
              <w:right w:val="single" w:color="000000" w:sz="8" w:space="0"/>
            </w:tcBorders>
            <w:vAlign w:val="center"/>
          </w:tcPr>
          <w:p w14:paraId="14803E4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数量</w:t>
            </w:r>
          </w:p>
        </w:tc>
        <w:tc>
          <w:tcPr>
            <w:tcW w:w="964" w:type="pct"/>
            <w:gridSpan w:val="2"/>
            <w:tcBorders>
              <w:top w:val="single" w:color="auto" w:sz="8" w:space="0"/>
              <w:left w:val="nil"/>
              <w:bottom w:val="single" w:color="auto" w:sz="8" w:space="0"/>
              <w:right w:val="single" w:color="000000" w:sz="8" w:space="0"/>
            </w:tcBorders>
            <w:vAlign w:val="center"/>
          </w:tcPr>
          <w:p w14:paraId="63936D9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金  额</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（万元）</w:t>
            </w:r>
          </w:p>
        </w:tc>
      </w:tr>
      <w:tr w14:paraId="34D955D3">
        <w:tblPrEx>
          <w:tblCellMar>
            <w:top w:w="0" w:type="dxa"/>
            <w:left w:w="108" w:type="dxa"/>
            <w:bottom w:w="0" w:type="dxa"/>
            <w:right w:w="108" w:type="dxa"/>
          </w:tblCellMar>
        </w:tblPrEx>
        <w:trPr>
          <w:gridAfter w:val="1"/>
          <w:wAfter w:w="119" w:type="pct"/>
          <w:trHeight w:val="484" w:hRule="atLeast"/>
        </w:trPr>
        <w:tc>
          <w:tcPr>
            <w:tcW w:w="558" w:type="pct"/>
            <w:tcBorders>
              <w:top w:val="nil"/>
              <w:left w:val="single" w:color="auto" w:sz="8" w:space="0"/>
              <w:bottom w:val="single" w:color="auto" w:sz="8" w:space="0"/>
              <w:right w:val="single" w:color="auto" w:sz="8" w:space="0"/>
            </w:tcBorders>
            <w:vAlign w:val="center"/>
          </w:tcPr>
          <w:p w14:paraId="6A2C6760">
            <w:pPr>
              <w:widowControl/>
              <w:rPr>
                <w:rFonts w:ascii="宋体" w:hAnsi="宋体" w:cs="宋体"/>
                <w:color w:val="auto"/>
                <w:kern w:val="0"/>
                <w:sz w:val="22"/>
                <w:highlight w:val="none"/>
              </w:rPr>
            </w:pPr>
            <w:r>
              <w:rPr>
                <w:rFonts w:hint="eastAsia" w:ascii="宋体" w:hAnsi="宋体" w:cs="宋体"/>
                <w:color w:val="auto"/>
                <w:kern w:val="0"/>
                <w:sz w:val="22"/>
                <w:highlight w:val="none"/>
              </w:rPr>
              <w:t>　1</w:t>
            </w:r>
          </w:p>
        </w:tc>
        <w:tc>
          <w:tcPr>
            <w:tcW w:w="1256" w:type="pct"/>
            <w:gridSpan w:val="2"/>
            <w:tcBorders>
              <w:top w:val="nil"/>
              <w:left w:val="nil"/>
              <w:bottom w:val="single" w:color="auto" w:sz="8" w:space="0"/>
              <w:right w:val="single" w:color="auto" w:sz="8" w:space="0"/>
            </w:tcBorders>
            <w:vAlign w:val="center"/>
          </w:tcPr>
          <w:p w14:paraId="2F31464B">
            <w:pPr>
              <w:widowControl/>
              <w:jc w:val="left"/>
              <w:rPr>
                <w:rFonts w:ascii="宋体" w:hAnsi="宋体" w:cs="宋体"/>
                <w:color w:val="auto"/>
                <w:kern w:val="0"/>
                <w:sz w:val="22"/>
                <w:highlight w:val="none"/>
              </w:rPr>
            </w:pPr>
          </w:p>
        </w:tc>
        <w:tc>
          <w:tcPr>
            <w:tcW w:w="1696" w:type="pct"/>
            <w:gridSpan w:val="2"/>
            <w:tcBorders>
              <w:top w:val="single" w:color="auto" w:sz="8" w:space="0"/>
              <w:left w:val="nil"/>
              <w:bottom w:val="single" w:color="auto" w:sz="8" w:space="0"/>
              <w:right w:val="single" w:color="000000" w:sz="8" w:space="0"/>
            </w:tcBorders>
            <w:vAlign w:val="center"/>
          </w:tcPr>
          <w:p w14:paraId="781116B2">
            <w:pPr>
              <w:widowControl/>
              <w:jc w:val="left"/>
              <w:rPr>
                <w:rFonts w:ascii="宋体" w:hAnsi="宋体" w:cs="宋体"/>
                <w:color w:val="auto"/>
                <w:kern w:val="0"/>
                <w:sz w:val="22"/>
                <w:highlight w:val="none"/>
              </w:rPr>
            </w:pPr>
          </w:p>
        </w:tc>
        <w:tc>
          <w:tcPr>
            <w:tcW w:w="404" w:type="pct"/>
            <w:gridSpan w:val="2"/>
            <w:tcBorders>
              <w:top w:val="single" w:color="auto" w:sz="8" w:space="0"/>
              <w:left w:val="nil"/>
              <w:bottom w:val="single" w:color="auto" w:sz="8" w:space="0"/>
              <w:right w:val="single" w:color="000000" w:sz="8" w:space="0"/>
            </w:tcBorders>
            <w:vAlign w:val="center"/>
          </w:tcPr>
          <w:p w14:paraId="7B1A6A33">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64" w:type="pct"/>
            <w:gridSpan w:val="2"/>
            <w:tcBorders>
              <w:top w:val="single" w:color="auto" w:sz="8" w:space="0"/>
              <w:left w:val="nil"/>
              <w:bottom w:val="single" w:color="auto" w:sz="8" w:space="0"/>
              <w:right w:val="single" w:color="000000" w:sz="8" w:space="0"/>
            </w:tcBorders>
            <w:vAlign w:val="center"/>
          </w:tcPr>
          <w:p w14:paraId="287A9BBA">
            <w:pPr>
              <w:widowControl/>
              <w:jc w:val="center"/>
              <w:rPr>
                <w:rFonts w:ascii="宋体" w:hAnsi="宋体" w:cs="宋体"/>
                <w:color w:val="auto"/>
                <w:kern w:val="0"/>
                <w:sz w:val="22"/>
                <w:highlight w:val="none"/>
              </w:rPr>
            </w:pPr>
          </w:p>
        </w:tc>
      </w:tr>
      <w:tr w14:paraId="1440FEB9">
        <w:tblPrEx>
          <w:tblCellMar>
            <w:top w:w="0" w:type="dxa"/>
            <w:left w:w="108" w:type="dxa"/>
            <w:bottom w:w="0" w:type="dxa"/>
            <w:right w:w="108" w:type="dxa"/>
          </w:tblCellMar>
        </w:tblPrEx>
        <w:trPr>
          <w:gridAfter w:val="1"/>
          <w:wAfter w:w="119" w:type="pct"/>
          <w:trHeight w:val="484" w:hRule="atLeast"/>
        </w:trPr>
        <w:tc>
          <w:tcPr>
            <w:tcW w:w="3916" w:type="pct"/>
            <w:gridSpan w:val="7"/>
            <w:tcBorders>
              <w:top w:val="single" w:color="auto" w:sz="8" w:space="0"/>
              <w:left w:val="single" w:color="auto" w:sz="8" w:space="0"/>
              <w:bottom w:val="single" w:color="auto" w:sz="8" w:space="0"/>
              <w:right w:val="single" w:color="000000" w:sz="8" w:space="0"/>
            </w:tcBorders>
            <w:vAlign w:val="center"/>
          </w:tcPr>
          <w:p w14:paraId="65A4FFB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合计</w:t>
            </w:r>
          </w:p>
        </w:tc>
        <w:tc>
          <w:tcPr>
            <w:tcW w:w="964" w:type="pct"/>
            <w:gridSpan w:val="2"/>
            <w:tcBorders>
              <w:top w:val="single" w:color="auto" w:sz="8" w:space="0"/>
              <w:left w:val="nil"/>
              <w:bottom w:val="single" w:color="auto" w:sz="8" w:space="0"/>
              <w:right w:val="single" w:color="000000" w:sz="8" w:space="0"/>
            </w:tcBorders>
            <w:vAlign w:val="center"/>
          </w:tcPr>
          <w:p w14:paraId="14172C5C">
            <w:pPr>
              <w:widowControl/>
              <w:jc w:val="center"/>
              <w:rPr>
                <w:rFonts w:ascii="宋体" w:hAnsi="宋体" w:cs="宋体"/>
                <w:color w:val="auto"/>
                <w:kern w:val="0"/>
                <w:sz w:val="22"/>
                <w:highlight w:val="none"/>
              </w:rPr>
            </w:pPr>
          </w:p>
        </w:tc>
      </w:tr>
      <w:tr w14:paraId="14A6AA9D">
        <w:tblPrEx>
          <w:tblCellMar>
            <w:top w:w="0" w:type="dxa"/>
            <w:left w:w="108" w:type="dxa"/>
            <w:bottom w:w="0" w:type="dxa"/>
            <w:right w:w="108" w:type="dxa"/>
          </w:tblCellMar>
        </w:tblPrEx>
        <w:trPr>
          <w:gridAfter w:val="1"/>
          <w:wAfter w:w="119" w:type="pct"/>
          <w:trHeight w:val="484" w:hRule="atLeast"/>
        </w:trPr>
        <w:tc>
          <w:tcPr>
            <w:tcW w:w="4880" w:type="pct"/>
            <w:gridSpan w:val="9"/>
            <w:tcBorders>
              <w:top w:val="single" w:color="auto" w:sz="8" w:space="0"/>
              <w:left w:val="single" w:color="auto" w:sz="8" w:space="0"/>
              <w:bottom w:val="single" w:color="auto" w:sz="8" w:space="0"/>
              <w:right w:val="single" w:color="000000" w:sz="8" w:space="0"/>
            </w:tcBorders>
            <w:vAlign w:val="center"/>
          </w:tcPr>
          <w:p w14:paraId="7F83E95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合计大写：</w:t>
            </w:r>
          </w:p>
        </w:tc>
      </w:tr>
      <w:tr w14:paraId="4E5ABC46">
        <w:tblPrEx>
          <w:tblCellMar>
            <w:top w:w="0" w:type="dxa"/>
            <w:left w:w="108" w:type="dxa"/>
            <w:bottom w:w="0" w:type="dxa"/>
            <w:right w:w="108" w:type="dxa"/>
          </w:tblCellMar>
        </w:tblPrEx>
        <w:trPr>
          <w:gridAfter w:val="1"/>
          <w:wAfter w:w="119" w:type="pct"/>
          <w:trHeight w:val="625" w:hRule="atLeast"/>
        </w:trPr>
        <w:tc>
          <w:tcPr>
            <w:tcW w:w="802" w:type="pct"/>
            <w:gridSpan w:val="2"/>
            <w:tcBorders>
              <w:top w:val="nil"/>
              <w:left w:val="single" w:color="auto" w:sz="8" w:space="0"/>
              <w:bottom w:val="single" w:color="auto" w:sz="8" w:space="0"/>
              <w:right w:val="single" w:color="auto" w:sz="8" w:space="0"/>
            </w:tcBorders>
            <w:vAlign w:val="center"/>
          </w:tcPr>
          <w:p w14:paraId="06DF841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实际供货日期</w:t>
            </w:r>
          </w:p>
        </w:tc>
        <w:tc>
          <w:tcPr>
            <w:tcW w:w="2055" w:type="pct"/>
            <w:gridSpan w:val="2"/>
            <w:tcBorders>
              <w:top w:val="single" w:color="auto" w:sz="8" w:space="0"/>
              <w:left w:val="nil"/>
              <w:bottom w:val="single" w:color="auto" w:sz="8" w:space="0"/>
              <w:right w:val="single" w:color="000000" w:sz="8" w:space="0"/>
            </w:tcBorders>
            <w:vAlign w:val="center"/>
          </w:tcPr>
          <w:p w14:paraId="14DCE14E">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88" w:type="pct"/>
            <w:gridSpan w:val="2"/>
            <w:tcBorders>
              <w:top w:val="single" w:color="auto" w:sz="8" w:space="0"/>
              <w:left w:val="nil"/>
              <w:bottom w:val="single" w:color="auto" w:sz="8" w:space="0"/>
              <w:right w:val="single" w:color="000000" w:sz="8" w:space="0"/>
            </w:tcBorders>
            <w:vAlign w:val="center"/>
          </w:tcPr>
          <w:p w14:paraId="185DF6C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验收日期</w:t>
            </w:r>
          </w:p>
        </w:tc>
        <w:tc>
          <w:tcPr>
            <w:tcW w:w="1233" w:type="pct"/>
            <w:gridSpan w:val="3"/>
            <w:tcBorders>
              <w:top w:val="single" w:color="auto" w:sz="8" w:space="0"/>
              <w:left w:val="nil"/>
              <w:bottom w:val="single" w:color="auto" w:sz="8" w:space="0"/>
              <w:right w:val="single" w:color="000000" w:sz="8" w:space="0"/>
            </w:tcBorders>
            <w:vAlign w:val="center"/>
          </w:tcPr>
          <w:p w14:paraId="1CA49CE5">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5B89143">
        <w:tblPrEx>
          <w:tblCellMar>
            <w:top w:w="0" w:type="dxa"/>
            <w:left w:w="108" w:type="dxa"/>
            <w:bottom w:w="0" w:type="dxa"/>
            <w:right w:w="108" w:type="dxa"/>
          </w:tblCellMar>
        </w:tblPrEx>
        <w:trPr>
          <w:gridAfter w:val="1"/>
          <w:wAfter w:w="119" w:type="pct"/>
          <w:trHeight w:val="773" w:hRule="atLeast"/>
        </w:trPr>
        <w:tc>
          <w:tcPr>
            <w:tcW w:w="802" w:type="pct"/>
            <w:gridSpan w:val="2"/>
            <w:vMerge w:val="restart"/>
            <w:tcBorders>
              <w:top w:val="nil"/>
              <w:left w:val="single" w:color="auto" w:sz="8" w:space="0"/>
              <w:bottom w:val="single" w:color="000000" w:sz="8" w:space="0"/>
              <w:right w:val="single" w:color="auto" w:sz="8" w:space="0"/>
            </w:tcBorders>
            <w:vAlign w:val="center"/>
          </w:tcPr>
          <w:p w14:paraId="086C101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验收具体内容（按采购合同、采购文件、投标响应文件及验收方案等进行验收）</w:t>
            </w:r>
          </w:p>
        </w:tc>
        <w:tc>
          <w:tcPr>
            <w:tcW w:w="2844" w:type="pct"/>
            <w:gridSpan w:val="4"/>
            <w:tcBorders>
              <w:top w:val="single" w:color="auto" w:sz="8" w:space="0"/>
              <w:left w:val="nil"/>
              <w:bottom w:val="single" w:color="auto" w:sz="8" w:space="0"/>
              <w:right w:val="single" w:color="000000" w:sz="8" w:space="0"/>
            </w:tcBorders>
            <w:vAlign w:val="center"/>
          </w:tcPr>
          <w:p w14:paraId="011F8EE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在安装调试等方面是否符合合同约定和服务规范要求</w:t>
            </w:r>
          </w:p>
        </w:tc>
        <w:tc>
          <w:tcPr>
            <w:tcW w:w="1233" w:type="pct"/>
            <w:gridSpan w:val="3"/>
            <w:tcBorders>
              <w:top w:val="single" w:color="auto" w:sz="8" w:space="0"/>
              <w:left w:val="nil"/>
              <w:bottom w:val="single" w:color="auto" w:sz="8" w:space="0"/>
              <w:right w:val="single" w:color="000000" w:sz="8" w:space="0"/>
            </w:tcBorders>
            <w:vAlign w:val="center"/>
          </w:tcPr>
          <w:p w14:paraId="28EE9D4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56AF4DD">
        <w:tblPrEx>
          <w:tblCellMar>
            <w:top w:w="0" w:type="dxa"/>
            <w:left w:w="108" w:type="dxa"/>
            <w:bottom w:w="0" w:type="dxa"/>
            <w:right w:w="108" w:type="dxa"/>
          </w:tblCellMar>
        </w:tblPrEx>
        <w:trPr>
          <w:gridAfter w:val="1"/>
          <w:wAfter w:w="119" w:type="pct"/>
          <w:trHeight w:val="741" w:hRule="atLeast"/>
        </w:trPr>
        <w:tc>
          <w:tcPr>
            <w:tcW w:w="802" w:type="pct"/>
            <w:gridSpan w:val="2"/>
            <w:vMerge w:val="continue"/>
            <w:tcBorders>
              <w:top w:val="nil"/>
              <w:left w:val="single" w:color="auto" w:sz="8" w:space="0"/>
              <w:bottom w:val="single" w:color="000000" w:sz="8" w:space="0"/>
              <w:right w:val="single" w:color="auto" w:sz="8" w:space="0"/>
            </w:tcBorders>
            <w:vAlign w:val="center"/>
          </w:tcPr>
          <w:p w14:paraId="60B2AC92">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8" w:space="0"/>
              <w:right w:val="single" w:color="000000" w:sz="8" w:space="0"/>
            </w:tcBorders>
            <w:vAlign w:val="center"/>
          </w:tcPr>
          <w:p w14:paraId="26F1BDA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提供的质量保证证明材料是否齐全</w:t>
            </w:r>
          </w:p>
        </w:tc>
        <w:tc>
          <w:tcPr>
            <w:tcW w:w="1233" w:type="pct"/>
            <w:gridSpan w:val="3"/>
            <w:tcBorders>
              <w:top w:val="single" w:color="auto" w:sz="8" w:space="0"/>
              <w:left w:val="nil"/>
              <w:bottom w:val="single" w:color="auto" w:sz="8" w:space="0"/>
              <w:right w:val="single" w:color="000000" w:sz="8" w:space="0"/>
            </w:tcBorders>
            <w:vAlign w:val="center"/>
          </w:tcPr>
          <w:p w14:paraId="4102856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09FAB4E">
        <w:tblPrEx>
          <w:tblCellMar>
            <w:top w:w="0" w:type="dxa"/>
            <w:left w:w="108" w:type="dxa"/>
            <w:bottom w:w="0" w:type="dxa"/>
            <w:right w:w="108" w:type="dxa"/>
          </w:tblCellMar>
        </w:tblPrEx>
        <w:trPr>
          <w:gridAfter w:val="1"/>
          <w:wAfter w:w="119" w:type="pct"/>
          <w:trHeight w:val="732" w:hRule="atLeast"/>
        </w:trPr>
        <w:tc>
          <w:tcPr>
            <w:tcW w:w="802" w:type="pct"/>
            <w:gridSpan w:val="2"/>
            <w:vMerge w:val="continue"/>
            <w:tcBorders>
              <w:top w:val="nil"/>
              <w:left w:val="single" w:color="auto" w:sz="8" w:space="0"/>
              <w:bottom w:val="single" w:color="000000" w:sz="8" w:space="0"/>
              <w:right w:val="single" w:color="auto" w:sz="8" w:space="0"/>
            </w:tcBorders>
            <w:vAlign w:val="center"/>
          </w:tcPr>
          <w:p w14:paraId="428C2EA1">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8" w:space="0"/>
              <w:right w:val="single" w:color="000000" w:sz="8" w:space="0"/>
            </w:tcBorders>
            <w:vAlign w:val="center"/>
          </w:tcPr>
          <w:p w14:paraId="2707B8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应有的配件及附件是否达到合同约定</w:t>
            </w:r>
          </w:p>
        </w:tc>
        <w:tc>
          <w:tcPr>
            <w:tcW w:w="1233" w:type="pct"/>
            <w:gridSpan w:val="3"/>
            <w:tcBorders>
              <w:top w:val="single" w:color="auto" w:sz="8" w:space="0"/>
              <w:left w:val="nil"/>
              <w:bottom w:val="single" w:color="auto" w:sz="8" w:space="0"/>
              <w:right w:val="single" w:color="000000" w:sz="8" w:space="0"/>
            </w:tcBorders>
            <w:vAlign w:val="center"/>
          </w:tcPr>
          <w:p w14:paraId="5326FB6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0347524">
        <w:tblPrEx>
          <w:tblCellMar>
            <w:top w:w="0" w:type="dxa"/>
            <w:left w:w="108" w:type="dxa"/>
            <w:bottom w:w="0" w:type="dxa"/>
            <w:right w:w="108" w:type="dxa"/>
          </w:tblCellMar>
        </w:tblPrEx>
        <w:trPr>
          <w:gridAfter w:val="1"/>
          <w:wAfter w:w="119" w:type="pct"/>
          <w:trHeight w:val="922" w:hRule="atLeast"/>
        </w:trPr>
        <w:tc>
          <w:tcPr>
            <w:tcW w:w="802" w:type="pct"/>
            <w:gridSpan w:val="2"/>
            <w:vMerge w:val="continue"/>
            <w:tcBorders>
              <w:top w:val="nil"/>
              <w:left w:val="single" w:color="auto" w:sz="8" w:space="0"/>
              <w:bottom w:val="single" w:color="auto" w:sz="4" w:space="0"/>
              <w:right w:val="single" w:color="auto" w:sz="8" w:space="0"/>
            </w:tcBorders>
            <w:vAlign w:val="center"/>
          </w:tcPr>
          <w:p w14:paraId="6ECC7393">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4" w:space="0"/>
              <w:right w:val="single" w:color="000000" w:sz="8" w:space="0"/>
            </w:tcBorders>
            <w:vAlign w:val="center"/>
          </w:tcPr>
          <w:p w14:paraId="4771501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其他内容</w:t>
            </w:r>
          </w:p>
        </w:tc>
        <w:tc>
          <w:tcPr>
            <w:tcW w:w="1233" w:type="pct"/>
            <w:gridSpan w:val="3"/>
            <w:tcBorders>
              <w:top w:val="single" w:color="auto" w:sz="8" w:space="0"/>
              <w:left w:val="nil"/>
              <w:bottom w:val="single" w:color="auto" w:sz="4" w:space="0"/>
              <w:right w:val="single" w:color="000000" w:sz="8" w:space="0"/>
            </w:tcBorders>
            <w:vAlign w:val="center"/>
          </w:tcPr>
          <w:p w14:paraId="1B8138D8">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(可增附页）</w:t>
            </w:r>
          </w:p>
        </w:tc>
      </w:tr>
      <w:tr w14:paraId="2D8C03EE">
        <w:tblPrEx>
          <w:tblCellMar>
            <w:top w:w="0" w:type="dxa"/>
            <w:left w:w="108" w:type="dxa"/>
            <w:bottom w:w="0" w:type="dxa"/>
            <w:right w:w="108" w:type="dxa"/>
          </w:tblCellMar>
        </w:tblPrEx>
        <w:trPr>
          <w:gridAfter w:val="1"/>
          <w:wAfter w:w="119" w:type="pct"/>
          <w:trHeight w:val="536" w:hRule="atLeast"/>
        </w:trPr>
        <w:tc>
          <w:tcPr>
            <w:tcW w:w="802" w:type="pct"/>
            <w:gridSpan w:val="2"/>
            <w:vMerge w:val="restart"/>
            <w:tcBorders>
              <w:top w:val="single" w:color="auto" w:sz="4" w:space="0"/>
              <w:left w:val="single" w:color="auto" w:sz="4" w:space="0"/>
              <w:bottom w:val="single" w:color="auto" w:sz="4" w:space="0"/>
              <w:right w:val="single" w:color="auto" w:sz="4" w:space="0"/>
            </w:tcBorders>
            <w:vAlign w:val="center"/>
          </w:tcPr>
          <w:p w14:paraId="638B136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验收小组</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意见</w:t>
            </w:r>
          </w:p>
        </w:tc>
        <w:tc>
          <w:tcPr>
            <w:tcW w:w="4077" w:type="pct"/>
            <w:gridSpan w:val="7"/>
            <w:vMerge w:val="restart"/>
            <w:tcBorders>
              <w:top w:val="single" w:color="auto" w:sz="4" w:space="0"/>
              <w:left w:val="single" w:color="auto" w:sz="4" w:space="0"/>
              <w:bottom w:val="single" w:color="auto" w:sz="4" w:space="0"/>
              <w:right w:val="single" w:color="auto" w:sz="4" w:space="0"/>
            </w:tcBorders>
          </w:tcPr>
          <w:p w14:paraId="4EDE999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验收结论性意见：</w:t>
            </w:r>
          </w:p>
          <w:p w14:paraId="231D1823">
            <w:pPr>
              <w:widowControl/>
              <w:jc w:val="left"/>
              <w:rPr>
                <w:rFonts w:ascii="宋体" w:hAnsi="宋体" w:cs="宋体"/>
                <w:color w:val="auto"/>
                <w:kern w:val="0"/>
                <w:sz w:val="22"/>
                <w:highlight w:val="none"/>
              </w:rPr>
            </w:pPr>
          </w:p>
          <w:p w14:paraId="3C8AD36F">
            <w:pPr>
              <w:widowControl/>
              <w:jc w:val="left"/>
              <w:rPr>
                <w:rFonts w:ascii="宋体" w:hAnsi="宋体" w:cs="宋体"/>
                <w:color w:val="auto"/>
                <w:kern w:val="0"/>
                <w:sz w:val="22"/>
                <w:highlight w:val="none"/>
              </w:rPr>
            </w:pPr>
          </w:p>
          <w:p w14:paraId="06E80181">
            <w:pPr>
              <w:widowControl/>
              <w:jc w:val="left"/>
              <w:rPr>
                <w:rFonts w:ascii="宋体" w:hAnsi="宋体" w:cs="宋体"/>
                <w:color w:val="auto"/>
                <w:kern w:val="0"/>
                <w:sz w:val="22"/>
                <w:highlight w:val="none"/>
              </w:rPr>
            </w:pPr>
          </w:p>
          <w:p w14:paraId="12BFEC4F">
            <w:pPr>
              <w:widowControl/>
              <w:jc w:val="left"/>
              <w:rPr>
                <w:rFonts w:ascii="宋体" w:hAnsi="宋体" w:cs="宋体"/>
                <w:color w:val="auto"/>
                <w:kern w:val="0"/>
                <w:sz w:val="22"/>
                <w:highlight w:val="none"/>
              </w:rPr>
            </w:pPr>
          </w:p>
          <w:p w14:paraId="775E48D5">
            <w:pPr>
              <w:widowControl/>
              <w:jc w:val="left"/>
              <w:rPr>
                <w:rFonts w:ascii="宋体" w:hAnsi="宋体" w:cs="宋体"/>
                <w:color w:val="auto"/>
                <w:kern w:val="0"/>
                <w:sz w:val="22"/>
                <w:highlight w:val="none"/>
              </w:rPr>
            </w:pPr>
          </w:p>
        </w:tc>
      </w:tr>
      <w:tr w14:paraId="39B056B6">
        <w:tblPrEx>
          <w:tblCellMar>
            <w:top w:w="0" w:type="dxa"/>
            <w:left w:w="108" w:type="dxa"/>
            <w:bottom w:w="0" w:type="dxa"/>
            <w:right w:w="108" w:type="dxa"/>
          </w:tblCellMar>
        </w:tblPrEx>
        <w:trPr>
          <w:trHeight w:val="1289" w:hRule="atLeast"/>
        </w:trPr>
        <w:tc>
          <w:tcPr>
            <w:tcW w:w="802" w:type="pct"/>
            <w:gridSpan w:val="2"/>
            <w:vMerge w:val="continue"/>
            <w:tcBorders>
              <w:top w:val="single" w:color="auto" w:sz="4" w:space="0"/>
              <w:left w:val="single" w:color="auto" w:sz="8" w:space="0"/>
              <w:bottom w:val="nil"/>
              <w:right w:val="single" w:color="auto" w:sz="8" w:space="0"/>
            </w:tcBorders>
            <w:vAlign w:val="center"/>
          </w:tcPr>
          <w:p w14:paraId="52B4AAF8">
            <w:pPr>
              <w:widowControl/>
              <w:jc w:val="left"/>
              <w:rPr>
                <w:rFonts w:ascii="宋体" w:hAnsi="宋体" w:cs="宋体"/>
                <w:color w:val="auto"/>
                <w:kern w:val="0"/>
                <w:sz w:val="22"/>
                <w:highlight w:val="none"/>
              </w:rPr>
            </w:pPr>
          </w:p>
        </w:tc>
        <w:tc>
          <w:tcPr>
            <w:tcW w:w="4077" w:type="pct"/>
            <w:gridSpan w:val="7"/>
            <w:vMerge w:val="continue"/>
            <w:tcBorders>
              <w:top w:val="single" w:color="auto" w:sz="4" w:space="0"/>
              <w:left w:val="single" w:color="auto" w:sz="8" w:space="0"/>
              <w:bottom w:val="single" w:color="000000" w:sz="8" w:space="0"/>
              <w:right w:val="single" w:color="000000" w:sz="8" w:space="0"/>
            </w:tcBorders>
            <w:vAlign w:val="center"/>
          </w:tcPr>
          <w:p w14:paraId="75C99A7B">
            <w:pPr>
              <w:widowControl/>
              <w:jc w:val="left"/>
              <w:rPr>
                <w:rFonts w:ascii="宋体" w:hAnsi="宋体" w:cs="宋体"/>
                <w:color w:val="auto"/>
                <w:kern w:val="0"/>
                <w:sz w:val="22"/>
                <w:highlight w:val="none"/>
              </w:rPr>
            </w:pPr>
          </w:p>
        </w:tc>
        <w:tc>
          <w:tcPr>
            <w:tcW w:w="119" w:type="pct"/>
            <w:tcBorders>
              <w:top w:val="nil"/>
              <w:left w:val="nil"/>
              <w:bottom w:val="nil"/>
              <w:right w:val="nil"/>
            </w:tcBorders>
            <w:noWrap/>
            <w:vAlign w:val="center"/>
          </w:tcPr>
          <w:p w14:paraId="4A284237">
            <w:pPr>
              <w:widowControl/>
              <w:jc w:val="left"/>
              <w:rPr>
                <w:rFonts w:ascii="宋体" w:hAnsi="宋体" w:cs="宋体"/>
                <w:color w:val="auto"/>
                <w:kern w:val="0"/>
                <w:sz w:val="22"/>
                <w:highlight w:val="none"/>
              </w:rPr>
            </w:pPr>
          </w:p>
        </w:tc>
      </w:tr>
      <w:tr w14:paraId="1A31E3F6">
        <w:tblPrEx>
          <w:tblCellMar>
            <w:top w:w="0" w:type="dxa"/>
            <w:left w:w="108" w:type="dxa"/>
            <w:bottom w:w="0" w:type="dxa"/>
            <w:right w:w="108" w:type="dxa"/>
          </w:tblCellMar>
        </w:tblPrEx>
        <w:trPr>
          <w:trHeight w:val="322" w:hRule="atLeast"/>
        </w:trPr>
        <w:tc>
          <w:tcPr>
            <w:tcW w:w="802" w:type="pct"/>
            <w:gridSpan w:val="2"/>
            <w:vMerge w:val="continue"/>
            <w:tcBorders>
              <w:top w:val="nil"/>
              <w:left w:val="single" w:color="auto" w:sz="8" w:space="0"/>
              <w:bottom w:val="nil"/>
              <w:right w:val="single" w:color="auto" w:sz="8" w:space="0"/>
            </w:tcBorders>
            <w:vAlign w:val="center"/>
          </w:tcPr>
          <w:p w14:paraId="0CB98AE8">
            <w:pPr>
              <w:widowControl/>
              <w:jc w:val="left"/>
              <w:rPr>
                <w:rFonts w:ascii="宋体" w:hAnsi="宋体" w:cs="宋体"/>
                <w:color w:val="auto"/>
                <w:kern w:val="0"/>
                <w:sz w:val="22"/>
                <w:highlight w:val="none"/>
              </w:rPr>
            </w:pPr>
          </w:p>
        </w:tc>
        <w:tc>
          <w:tcPr>
            <w:tcW w:w="4077" w:type="pct"/>
            <w:gridSpan w:val="7"/>
            <w:tcBorders>
              <w:top w:val="single" w:color="auto" w:sz="8" w:space="0"/>
              <w:left w:val="nil"/>
              <w:bottom w:val="nil"/>
              <w:right w:val="single" w:color="000000" w:sz="8" w:space="0"/>
            </w:tcBorders>
          </w:tcPr>
          <w:p w14:paraId="0C397A6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有异议的意见和说明理由：</w:t>
            </w:r>
          </w:p>
        </w:tc>
        <w:tc>
          <w:tcPr>
            <w:tcW w:w="119" w:type="pct"/>
            <w:vAlign w:val="center"/>
          </w:tcPr>
          <w:p w14:paraId="213A5913">
            <w:pPr>
              <w:widowControl/>
              <w:jc w:val="left"/>
              <w:rPr>
                <w:rFonts w:ascii="宋体" w:hAnsi="宋体" w:cs="宋体"/>
                <w:color w:val="auto"/>
                <w:kern w:val="0"/>
                <w:sz w:val="20"/>
                <w:szCs w:val="20"/>
                <w:highlight w:val="none"/>
              </w:rPr>
            </w:pPr>
          </w:p>
        </w:tc>
      </w:tr>
      <w:tr w14:paraId="7B3E6C12">
        <w:tblPrEx>
          <w:tblCellMar>
            <w:top w:w="0" w:type="dxa"/>
            <w:left w:w="108" w:type="dxa"/>
            <w:bottom w:w="0" w:type="dxa"/>
            <w:right w:w="108" w:type="dxa"/>
          </w:tblCellMar>
        </w:tblPrEx>
        <w:trPr>
          <w:trHeight w:val="406" w:hRule="atLeast"/>
        </w:trPr>
        <w:tc>
          <w:tcPr>
            <w:tcW w:w="802" w:type="pct"/>
            <w:gridSpan w:val="2"/>
            <w:vMerge w:val="continue"/>
            <w:tcBorders>
              <w:top w:val="nil"/>
              <w:left w:val="single" w:color="auto" w:sz="8" w:space="0"/>
              <w:bottom w:val="nil"/>
              <w:right w:val="single" w:color="auto" w:sz="8" w:space="0"/>
            </w:tcBorders>
            <w:vAlign w:val="center"/>
          </w:tcPr>
          <w:p w14:paraId="5211E0B2">
            <w:pPr>
              <w:widowControl/>
              <w:jc w:val="left"/>
              <w:rPr>
                <w:rFonts w:ascii="宋体" w:hAnsi="宋体" w:cs="宋体"/>
                <w:color w:val="auto"/>
                <w:kern w:val="0"/>
                <w:sz w:val="22"/>
                <w:highlight w:val="none"/>
              </w:rPr>
            </w:pPr>
          </w:p>
        </w:tc>
        <w:tc>
          <w:tcPr>
            <w:tcW w:w="4077" w:type="pct"/>
            <w:gridSpan w:val="7"/>
            <w:tcBorders>
              <w:top w:val="nil"/>
              <w:left w:val="nil"/>
              <w:bottom w:val="nil"/>
              <w:right w:val="single" w:color="000000" w:sz="8" w:space="0"/>
            </w:tcBorders>
            <w:vAlign w:val="center"/>
          </w:tcPr>
          <w:p w14:paraId="2AAF30E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签字：</w:t>
            </w:r>
          </w:p>
        </w:tc>
        <w:tc>
          <w:tcPr>
            <w:tcW w:w="119" w:type="pct"/>
            <w:vAlign w:val="center"/>
          </w:tcPr>
          <w:p w14:paraId="4C7899DD">
            <w:pPr>
              <w:widowControl/>
              <w:jc w:val="left"/>
              <w:rPr>
                <w:rFonts w:ascii="宋体" w:hAnsi="宋体" w:cs="宋体"/>
                <w:color w:val="auto"/>
                <w:kern w:val="0"/>
                <w:sz w:val="20"/>
                <w:szCs w:val="20"/>
                <w:highlight w:val="none"/>
              </w:rPr>
            </w:pPr>
          </w:p>
        </w:tc>
      </w:tr>
      <w:tr w14:paraId="715F9780">
        <w:tblPrEx>
          <w:tblCellMar>
            <w:top w:w="0" w:type="dxa"/>
            <w:left w:w="108" w:type="dxa"/>
            <w:bottom w:w="0" w:type="dxa"/>
            <w:right w:w="108" w:type="dxa"/>
          </w:tblCellMar>
        </w:tblPrEx>
        <w:trPr>
          <w:trHeight w:val="484" w:hRule="atLeast"/>
        </w:trPr>
        <w:tc>
          <w:tcPr>
            <w:tcW w:w="4880" w:type="pct"/>
            <w:gridSpan w:val="9"/>
            <w:tcBorders>
              <w:top w:val="single" w:color="auto" w:sz="8" w:space="0"/>
              <w:left w:val="single" w:color="auto" w:sz="8" w:space="0"/>
              <w:bottom w:val="single" w:color="auto" w:sz="8" w:space="0"/>
              <w:right w:val="single" w:color="000000" w:sz="8" w:space="0"/>
            </w:tcBorders>
            <w:vAlign w:val="center"/>
          </w:tcPr>
          <w:p w14:paraId="7DC97D6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验收小组</w:t>
            </w:r>
            <w:r>
              <w:rPr>
                <w:rFonts w:hint="eastAsia" w:ascii="宋体" w:hAnsi="宋体" w:cs="宋体"/>
                <w:color w:val="auto"/>
                <w:kern w:val="0"/>
                <w:sz w:val="20"/>
                <w:szCs w:val="20"/>
                <w:highlight w:val="none"/>
              </w:rPr>
              <w:t>(3人或以上单数均可）</w:t>
            </w:r>
          </w:p>
        </w:tc>
        <w:tc>
          <w:tcPr>
            <w:tcW w:w="119" w:type="pct"/>
            <w:vAlign w:val="center"/>
          </w:tcPr>
          <w:p w14:paraId="7D187573">
            <w:pPr>
              <w:widowControl/>
              <w:jc w:val="left"/>
              <w:rPr>
                <w:rFonts w:ascii="宋体" w:hAnsi="宋体" w:cs="宋体"/>
                <w:color w:val="auto"/>
                <w:kern w:val="0"/>
                <w:sz w:val="20"/>
                <w:szCs w:val="20"/>
                <w:highlight w:val="none"/>
              </w:rPr>
            </w:pPr>
          </w:p>
        </w:tc>
      </w:tr>
      <w:tr w14:paraId="60DF5D38">
        <w:tblPrEx>
          <w:tblCellMar>
            <w:top w:w="0" w:type="dxa"/>
            <w:left w:w="108" w:type="dxa"/>
            <w:bottom w:w="0" w:type="dxa"/>
            <w:right w:w="108" w:type="dxa"/>
          </w:tblCellMar>
        </w:tblPrEx>
        <w:trPr>
          <w:trHeight w:val="625" w:hRule="atLeast"/>
        </w:trPr>
        <w:tc>
          <w:tcPr>
            <w:tcW w:w="1814" w:type="pct"/>
            <w:gridSpan w:val="3"/>
            <w:tcBorders>
              <w:top w:val="nil"/>
              <w:left w:val="single" w:color="auto" w:sz="8" w:space="0"/>
              <w:bottom w:val="single" w:color="auto" w:sz="8" w:space="0"/>
              <w:right w:val="single" w:color="auto" w:sz="8" w:space="0"/>
            </w:tcBorders>
            <w:vAlign w:val="center"/>
          </w:tcPr>
          <w:p w14:paraId="76C0C7C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姓 名</w:t>
            </w:r>
          </w:p>
        </w:tc>
        <w:tc>
          <w:tcPr>
            <w:tcW w:w="1043" w:type="pct"/>
            <w:tcBorders>
              <w:top w:val="nil"/>
              <w:left w:val="nil"/>
              <w:bottom w:val="single" w:color="auto" w:sz="8" w:space="0"/>
              <w:right w:val="single" w:color="auto" w:sz="8" w:space="0"/>
            </w:tcBorders>
            <w:vAlign w:val="center"/>
          </w:tcPr>
          <w:p w14:paraId="18C62D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工作单位</w:t>
            </w:r>
          </w:p>
        </w:tc>
        <w:tc>
          <w:tcPr>
            <w:tcW w:w="653" w:type="pct"/>
            <w:tcBorders>
              <w:top w:val="nil"/>
              <w:left w:val="nil"/>
              <w:bottom w:val="single" w:color="auto" w:sz="8" w:space="0"/>
              <w:right w:val="single" w:color="auto" w:sz="8" w:space="0"/>
            </w:tcBorders>
            <w:vAlign w:val="center"/>
          </w:tcPr>
          <w:p w14:paraId="620EFC4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职  称</w:t>
            </w:r>
          </w:p>
        </w:tc>
        <w:tc>
          <w:tcPr>
            <w:tcW w:w="899" w:type="pct"/>
            <w:gridSpan w:val="3"/>
            <w:tcBorders>
              <w:top w:val="single" w:color="auto" w:sz="8" w:space="0"/>
              <w:left w:val="nil"/>
              <w:bottom w:val="single" w:color="auto" w:sz="8" w:space="0"/>
              <w:right w:val="single" w:color="000000" w:sz="8" w:space="0"/>
            </w:tcBorders>
            <w:vAlign w:val="center"/>
          </w:tcPr>
          <w:p w14:paraId="70FD82C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专业方向</w:t>
            </w:r>
          </w:p>
        </w:tc>
        <w:tc>
          <w:tcPr>
            <w:tcW w:w="469" w:type="pct"/>
            <w:tcBorders>
              <w:top w:val="nil"/>
              <w:left w:val="nil"/>
              <w:bottom w:val="single" w:color="auto" w:sz="8" w:space="0"/>
              <w:right w:val="single" w:color="auto" w:sz="8" w:space="0"/>
            </w:tcBorders>
            <w:vAlign w:val="center"/>
          </w:tcPr>
          <w:p w14:paraId="7AC40BB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本人签名</w:t>
            </w:r>
          </w:p>
        </w:tc>
        <w:tc>
          <w:tcPr>
            <w:tcW w:w="119" w:type="pct"/>
            <w:vAlign w:val="center"/>
          </w:tcPr>
          <w:p w14:paraId="6233303C">
            <w:pPr>
              <w:widowControl/>
              <w:jc w:val="left"/>
              <w:rPr>
                <w:rFonts w:ascii="宋体" w:hAnsi="宋体" w:cs="宋体"/>
                <w:color w:val="auto"/>
                <w:kern w:val="0"/>
                <w:sz w:val="20"/>
                <w:szCs w:val="20"/>
                <w:highlight w:val="none"/>
              </w:rPr>
            </w:pPr>
          </w:p>
        </w:tc>
      </w:tr>
      <w:tr w14:paraId="7208735C">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034B519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小组负责人</w:t>
            </w:r>
          </w:p>
        </w:tc>
        <w:tc>
          <w:tcPr>
            <w:tcW w:w="1011" w:type="pct"/>
            <w:tcBorders>
              <w:top w:val="nil"/>
              <w:left w:val="nil"/>
              <w:bottom w:val="single" w:color="auto" w:sz="8" w:space="0"/>
              <w:right w:val="single" w:color="auto" w:sz="8" w:space="0"/>
            </w:tcBorders>
            <w:vAlign w:val="center"/>
          </w:tcPr>
          <w:p w14:paraId="1F091EC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26F060F4">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3EBC5A7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903C20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07CAD14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D04EE23">
            <w:pPr>
              <w:widowControl/>
              <w:jc w:val="left"/>
              <w:rPr>
                <w:rFonts w:ascii="宋体" w:hAnsi="宋体" w:cs="宋体"/>
                <w:color w:val="auto"/>
                <w:kern w:val="0"/>
                <w:sz w:val="20"/>
                <w:szCs w:val="20"/>
                <w:highlight w:val="none"/>
              </w:rPr>
            </w:pPr>
          </w:p>
        </w:tc>
      </w:tr>
      <w:tr w14:paraId="38F7BF3F">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3C9C844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7A310A0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5C9FD7A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4F3BDED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74D8CA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7E94DCB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9F7DAEE">
            <w:pPr>
              <w:widowControl/>
              <w:jc w:val="left"/>
              <w:rPr>
                <w:rFonts w:ascii="宋体" w:hAnsi="宋体" w:cs="宋体"/>
                <w:color w:val="auto"/>
                <w:kern w:val="0"/>
                <w:sz w:val="20"/>
                <w:szCs w:val="20"/>
                <w:highlight w:val="none"/>
              </w:rPr>
            </w:pPr>
          </w:p>
        </w:tc>
      </w:tr>
      <w:tr w14:paraId="64EAE56A">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5ADBED2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30DA68D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2701FC0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33BC4CC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787226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2439FA7B">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1680C486">
            <w:pPr>
              <w:widowControl/>
              <w:jc w:val="left"/>
              <w:rPr>
                <w:rFonts w:ascii="宋体" w:hAnsi="宋体" w:cs="宋体"/>
                <w:color w:val="auto"/>
                <w:kern w:val="0"/>
                <w:sz w:val="20"/>
                <w:szCs w:val="20"/>
                <w:highlight w:val="none"/>
              </w:rPr>
            </w:pPr>
          </w:p>
        </w:tc>
      </w:tr>
      <w:tr w14:paraId="433B623F">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2231435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4684CA0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4363D9B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5E39126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FE1B9F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36530E8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740A914">
            <w:pPr>
              <w:widowControl/>
              <w:jc w:val="left"/>
              <w:rPr>
                <w:rFonts w:ascii="宋体" w:hAnsi="宋体" w:cs="宋体"/>
                <w:color w:val="auto"/>
                <w:kern w:val="0"/>
                <w:sz w:val="20"/>
                <w:szCs w:val="20"/>
                <w:highlight w:val="none"/>
              </w:rPr>
            </w:pPr>
          </w:p>
        </w:tc>
      </w:tr>
      <w:tr w14:paraId="2CE3D3D2">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5858862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0AF4BE7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1F1726C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7CE8FE2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2CCC9CA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21B66C2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3F01C3D8">
            <w:pPr>
              <w:widowControl/>
              <w:jc w:val="left"/>
              <w:rPr>
                <w:rFonts w:ascii="宋体" w:hAnsi="宋体" w:cs="宋体"/>
                <w:color w:val="auto"/>
                <w:kern w:val="0"/>
                <w:sz w:val="20"/>
                <w:szCs w:val="20"/>
                <w:highlight w:val="none"/>
              </w:rPr>
            </w:pPr>
          </w:p>
        </w:tc>
      </w:tr>
      <w:tr w14:paraId="30149B86">
        <w:tblPrEx>
          <w:tblCellMar>
            <w:top w:w="0" w:type="dxa"/>
            <w:left w:w="108" w:type="dxa"/>
            <w:bottom w:w="0" w:type="dxa"/>
            <w:right w:w="108" w:type="dxa"/>
          </w:tblCellMar>
        </w:tblPrEx>
        <w:trPr>
          <w:trHeight w:val="498" w:hRule="atLeast"/>
        </w:trPr>
        <w:tc>
          <w:tcPr>
            <w:tcW w:w="4880" w:type="pct"/>
            <w:gridSpan w:val="9"/>
            <w:tcBorders>
              <w:top w:val="single" w:color="auto" w:sz="8" w:space="0"/>
              <w:left w:val="single" w:color="auto" w:sz="8" w:space="0"/>
              <w:bottom w:val="nil"/>
              <w:right w:val="single" w:color="auto" w:sz="8" w:space="0"/>
            </w:tcBorders>
          </w:tcPr>
          <w:p w14:paraId="2179EEAB">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其他相关人员签字：</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或受邀机构的意见（盖章）：</w:t>
            </w:r>
          </w:p>
        </w:tc>
        <w:tc>
          <w:tcPr>
            <w:tcW w:w="119" w:type="pct"/>
            <w:vAlign w:val="center"/>
          </w:tcPr>
          <w:p w14:paraId="28196C23">
            <w:pPr>
              <w:widowControl/>
              <w:jc w:val="left"/>
              <w:rPr>
                <w:rFonts w:ascii="宋体" w:hAnsi="宋体" w:cs="宋体"/>
                <w:color w:val="auto"/>
                <w:kern w:val="0"/>
                <w:sz w:val="20"/>
                <w:szCs w:val="20"/>
                <w:highlight w:val="none"/>
              </w:rPr>
            </w:pPr>
          </w:p>
        </w:tc>
      </w:tr>
      <w:tr w14:paraId="40617612">
        <w:tblPrEx>
          <w:tblCellMar>
            <w:top w:w="0" w:type="dxa"/>
            <w:left w:w="108" w:type="dxa"/>
            <w:bottom w:w="0" w:type="dxa"/>
            <w:right w:w="108" w:type="dxa"/>
          </w:tblCellMar>
        </w:tblPrEx>
        <w:trPr>
          <w:trHeight w:val="618" w:hRule="atLeast"/>
        </w:trPr>
        <w:tc>
          <w:tcPr>
            <w:tcW w:w="2858" w:type="pct"/>
            <w:gridSpan w:val="4"/>
            <w:tcBorders>
              <w:top w:val="single" w:color="auto" w:sz="8" w:space="0"/>
              <w:left w:val="single" w:color="auto" w:sz="8" w:space="0"/>
              <w:bottom w:val="nil"/>
              <w:right w:val="nil"/>
            </w:tcBorders>
            <w:vAlign w:val="center"/>
          </w:tcPr>
          <w:p w14:paraId="2BA9525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中标或者成交供应商负责人签字或盖章：</w:t>
            </w:r>
          </w:p>
        </w:tc>
        <w:tc>
          <w:tcPr>
            <w:tcW w:w="2022" w:type="pct"/>
            <w:gridSpan w:val="5"/>
            <w:tcBorders>
              <w:top w:val="single" w:color="auto" w:sz="8" w:space="0"/>
              <w:left w:val="single" w:color="auto" w:sz="8" w:space="0"/>
              <w:bottom w:val="nil"/>
              <w:right w:val="single" w:color="000000" w:sz="8" w:space="0"/>
            </w:tcBorders>
            <w:vAlign w:val="center"/>
          </w:tcPr>
          <w:p w14:paraId="328F19C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学院（部门）领导签字：</w:t>
            </w:r>
          </w:p>
        </w:tc>
        <w:tc>
          <w:tcPr>
            <w:tcW w:w="119" w:type="pct"/>
            <w:vAlign w:val="center"/>
          </w:tcPr>
          <w:p w14:paraId="1D2E7F65">
            <w:pPr>
              <w:widowControl/>
              <w:jc w:val="left"/>
              <w:rPr>
                <w:rFonts w:ascii="宋体" w:hAnsi="宋体" w:cs="宋体"/>
                <w:color w:val="auto"/>
                <w:kern w:val="0"/>
                <w:sz w:val="20"/>
                <w:szCs w:val="20"/>
                <w:highlight w:val="none"/>
              </w:rPr>
            </w:pPr>
          </w:p>
        </w:tc>
      </w:tr>
      <w:tr w14:paraId="5DC3F3F9">
        <w:tblPrEx>
          <w:tblCellMar>
            <w:top w:w="0" w:type="dxa"/>
            <w:left w:w="108" w:type="dxa"/>
            <w:bottom w:w="0" w:type="dxa"/>
            <w:right w:w="108" w:type="dxa"/>
          </w:tblCellMar>
        </w:tblPrEx>
        <w:trPr>
          <w:trHeight w:val="362" w:hRule="atLeast"/>
        </w:trPr>
        <w:tc>
          <w:tcPr>
            <w:tcW w:w="2858" w:type="pct"/>
            <w:gridSpan w:val="4"/>
            <w:tcBorders>
              <w:top w:val="nil"/>
              <w:left w:val="single" w:color="auto" w:sz="8" w:space="0"/>
              <w:bottom w:val="single" w:color="auto" w:sz="8" w:space="0"/>
              <w:right w:val="nil"/>
            </w:tcBorders>
            <w:vAlign w:val="center"/>
          </w:tcPr>
          <w:p w14:paraId="4E8B7D9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联系电话：       年   月   日</w:t>
            </w:r>
          </w:p>
        </w:tc>
        <w:tc>
          <w:tcPr>
            <w:tcW w:w="2022" w:type="pct"/>
            <w:gridSpan w:val="5"/>
            <w:tcBorders>
              <w:top w:val="nil"/>
              <w:left w:val="single" w:color="auto" w:sz="8" w:space="0"/>
              <w:bottom w:val="single" w:color="auto" w:sz="8" w:space="0"/>
              <w:right w:val="single" w:color="000000" w:sz="8" w:space="0"/>
            </w:tcBorders>
            <w:vAlign w:val="center"/>
          </w:tcPr>
          <w:p w14:paraId="23FC20C2">
            <w:pPr>
              <w:widowControl/>
              <w:jc w:val="right"/>
              <w:rPr>
                <w:rFonts w:ascii="宋体" w:hAnsi="宋体" w:cs="宋体"/>
                <w:color w:val="auto"/>
                <w:kern w:val="0"/>
                <w:sz w:val="22"/>
                <w:highlight w:val="none"/>
              </w:rPr>
            </w:pPr>
            <w:r>
              <w:rPr>
                <w:rFonts w:hint="eastAsia" w:ascii="宋体" w:hAnsi="宋体" w:cs="宋体"/>
                <w:color w:val="auto"/>
                <w:kern w:val="0"/>
                <w:sz w:val="22"/>
                <w:highlight w:val="none"/>
              </w:rPr>
              <w:t>年   月   日</w:t>
            </w:r>
          </w:p>
        </w:tc>
        <w:tc>
          <w:tcPr>
            <w:tcW w:w="119" w:type="pct"/>
            <w:vAlign w:val="center"/>
          </w:tcPr>
          <w:p w14:paraId="16849D00">
            <w:pPr>
              <w:widowControl/>
              <w:jc w:val="left"/>
              <w:rPr>
                <w:rFonts w:ascii="宋体" w:hAnsi="宋体" w:cs="宋体"/>
                <w:color w:val="auto"/>
                <w:kern w:val="0"/>
                <w:sz w:val="20"/>
                <w:szCs w:val="20"/>
                <w:highlight w:val="none"/>
              </w:rPr>
            </w:pPr>
          </w:p>
        </w:tc>
      </w:tr>
    </w:tbl>
    <w:p w14:paraId="1431333C">
      <w:pPr>
        <w:pStyle w:val="26"/>
        <w:snapToGrid w:val="0"/>
        <w:rPr>
          <w:rFonts w:hAnsi="宋体" w:cs="宋体"/>
          <w:color w:val="auto"/>
          <w:highlight w:val="none"/>
        </w:rPr>
      </w:pPr>
    </w:p>
    <w:p w14:paraId="7723A3FE">
      <w:pPr>
        <w:rPr>
          <w:color w:val="auto"/>
          <w:highlight w:val="none"/>
        </w:rPr>
      </w:pPr>
      <w:r>
        <w:rPr>
          <w:rFonts w:hint="eastAsia"/>
          <w:color w:val="auto"/>
          <w:highlight w:val="none"/>
        </w:rPr>
        <w:br w:type="page"/>
      </w:r>
    </w:p>
    <w:tbl>
      <w:tblPr>
        <w:tblStyle w:val="52"/>
        <w:tblW w:w="4996" w:type="pct"/>
        <w:tblInd w:w="0" w:type="dxa"/>
        <w:tblLayout w:type="autofit"/>
        <w:tblCellMar>
          <w:top w:w="0" w:type="dxa"/>
          <w:left w:w="108" w:type="dxa"/>
          <w:bottom w:w="0" w:type="dxa"/>
          <w:right w:w="108" w:type="dxa"/>
        </w:tblCellMar>
      </w:tblPr>
      <w:tblGrid>
        <w:gridCol w:w="1756"/>
        <w:gridCol w:w="51"/>
        <w:gridCol w:w="437"/>
        <w:gridCol w:w="441"/>
        <w:gridCol w:w="437"/>
        <w:gridCol w:w="437"/>
        <w:gridCol w:w="441"/>
        <w:gridCol w:w="438"/>
        <w:gridCol w:w="442"/>
        <w:gridCol w:w="438"/>
        <w:gridCol w:w="438"/>
        <w:gridCol w:w="442"/>
        <w:gridCol w:w="438"/>
        <w:gridCol w:w="442"/>
        <w:gridCol w:w="438"/>
        <w:gridCol w:w="440"/>
        <w:gridCol w:w="438"/>
        <w:gridCol w:w="438"/>
        <w:gridCol w:w="449"/>
      </w:tblGrid>
      <w:tr w14:paraId="1C27C7D3">
        <w:tblPrEx>
          <w:tblCellMar>
            <w:top w:w="0" w:type="dxa"/>
            <w:left w:w="108" w:type="dxa"/>
            <w:bottom w:w="0" w:type="dxa"/>
            <w:right w:w="108" w:type="dxa"/>
          </w:tblCellMar>
        </w:tblPrEx>
        <w:trPr>
          <w:trHeight w:val="285" w:hRule="atLeast"/>
        </w:trPr>
        <w:tc>
          <w:tcPr>
            <w:tcW w:w="750" w:type="pct"/>
            <w:gridSpan w:val="2"/>
            <w:tcBorders>
              <w:top w:val="nil"/>
              <w:left w:val="nil"/>
              <w:bottom w:val="nil"/>
              <w:right w:val="nil"/>
            </w:tcBorders>
            <w:noWrap/>
            <w:vAlign w:val="center"/>
          </w:tcPr>
          <w:p w14:paraId="29324801">
            <w:pPr>
              <w:widowControl/>
              <w:jc w:val="left"/>
              <w:rPr>
                <w:rFonts w:ascii="宋体" w:hAnsi="宋体" w:cs="宋体"/>
                <w:color w:val="auto"/>
                <w:kern w:val="0"/>
                <w:sz w:val="22"/>
                <w:highlight w:val="none"/>
              </w:rPr>
            </w:pPr>
            <w:r>
              <w:rPr>
                <w:rFonts w:hint="eastAsia" w:ascii="宋体" w:hAnsi="宋体" w:cs="宋体"/>
                <w:b/>
                <w:bCs/>
                <w:color w:val="auto"/>
                <w:kern w:val="0"/>
                <w:sz w:val="28"/>
                <w:szCs w:val="28"/>
                <w:highlight w:val="none"/>
              </w:rPr>
              <w:t>附件2</w:t>
            </w:r>
          </w:p>
        </w:tc>
        <w:tc>
          <w:tcPr>
            <w:tcW w:w="249" w:type="pct"/>
            <w:tcBorders>
              <w:top w:val="nil"/>
              <w:left w:val="nil"/>
              <w:bottom w:val="nil"/>
              <w:right w:val="nil"/>
            </w:tcBorders>
            <w:noWrap/>
            <w:vAlign w:val="center"/>
          </w:tcPr>
          <w:p w14:paraId="62401EB0">
            <w:pPr>
              <w:widowControl/>
              <w:jc w:val="left"/>
              <w:rPr>
                <w:rFonts w:ascii="宋体" w:hAnsi="宋体" w:cs="宋体"/>
                <w:color w:val="auto"/>
                <w:kern w:val="0"/>
                <w:sz w:val="22"/>
                <w:highlight w:val="none"/>
              </w:rPr>
            </w:pPr>
          </w:p>
        </w:tc>
        <w:tc>
          <w:tcPr>
            <w:tcW w:w="249" w:type="pct"/>
            <w:tcBorders>
              <w:top w:val="nil"/>
              <w:left w:val="nil"/>
              <w:bottom w:val="nil"/>
              <w:right w:val="nil"/>
            </w:tcBorders>
            <w:noWrap/>
            <w:vAlign w:val="center"/>
          </w:tcPr>
          <w:p w14:paraId="0F361B10">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34C4B92">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9E75744">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1FAF8176">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64DA32BA">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32EE682">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5DEDC10B">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6F4EDBA">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CE3D8BE">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6696EA8">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0AE4D1EB">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6787BA83">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30A3E183">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7BEF2BE8">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573C980E">
            <w:pPr>
              <w:widowControl/>
              <w:jc w:val="left"/>
              <w:rPr>
                <w:rFonts w:ascii="宋体" w:hAnsi="宋体" w:cs="宋体"/>
                <w:color w:val="auto"/>
                <w:kern w:val="0"/>
                <w:sz w:val="20"/>
                <w:szCs w:val="20"/>
                <w:highlight w:val="none"/>
              </w:rPr>
            </w:pPr>
          </w:p>
        </w:tc>
        <w:tc>
          <w:tcPr>
            <w:tcW w:w="250" w:type="pct"/>
            <w:tcBorders>
              <w:top w:val="nil"/>
              <w:left w:val="nil"/>
              <w:bottom w:val="nil"/>
              <w:right w:val="nil"/>
            </w:tcBorders>
            <w:noWrap/>
            <w:vAlign w:val="center"/>
          </w:tcPr>
          <w:p w14:paraId="17B6E889">
            <w:pPr>
              <w:widowControl/>
              <w:jc w:val="left"/>
              <w:rPr>
                <w:rFonts w:ascii="宋体" w:hAnsi="宋体" w:cs="宋体"/>
                <w:color w:val="auto"/>
                <w:kern w:val="0"/>
                <w:sz w:val="20"/>
                <w:szCs w:val="20"/>
                <w:highlight w:val="none"/>
              </w:rPr>
            </w:pPr>
          </w:p>
        </w:tc>
      </w:tr>
      <w:tr w14:paraId="7091782F">
        <w:tblPrEx>
          <w:tblCellMar>
            <w:top w:w="0" w:type="dxa"/>
            <w:left w:w="108" w:type="dxa"/>
            <w:bottom w:w="0" w:type="dxa"/>
            <w:right w:w="108" w:type="dxa"/>
          </w:tblCellMar>
        </w:tblPrEx>
        <w:trPr>
          <w:trHeight w:val="500" w:hRule="atLeast"/>
        </w:trPr>
        <w:tc>
          <w:tcPr>
            <w:tcW w:w="5000" w:type="pct"/>
            <w:gridSpan w:val="19"/>
            <w:tcBorders>
              <w:top w:val="nil"/>
              <w:left w:val="nil"/>
              <w:bottom w:val="nil"/>
              <w:right w:val="nil"/>
            </w:tcBorders>
            <w:noWrap/>
            <w:vAlign w:val="center"/>
          </w:tcPr>
          <w:p w14:paraId="0ECC0EBF">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广西师范大学货物校级验收报告单</w:t>
            </w:r>
          </w:p>
        </w:tc>
      </w:tr>
      <w:tr w14:paraId="0E4243EB">
        <w:tblPrEx>
          <w:tblCellMar>
            <w:top w:w="0" w:type="dxa"/>
            <w:left w:w="108" w:type="dxa"/>
            <w:bottom w:w="0" w:type="dxa"/>
            <w:right w:w="108" w:type="dxa"/>
          </w:tblCellMar>
        </w:tblPrEx>
        <w:trPr>
          <w:trHeight w:val="333" w:hRule="atLeast"/>
        </w:trPr>
        <w:tc>
          <w:tcPr>
            <w:tcW w:w="5000" w:type="pct"/>
            <w:gridSpan w:val="19"/>
            <w:tcBorders>
              <w:top w:val="nil"/>
              <w:left w:val="nil"/>
              <w:bottom w:val="nil"/>
              <w:right w:val="nil"/>
            </w:tcBorders>
            <w:noWrap/>
            <w:vAlign w:val="center"/>
          </w:tcPr>
          <w:p w14:paraId="2BE52E0A">
            <w:pPr>
              <w:widowControl/>
              <w:jc w:val="center"/>
              <w:rPr>
                <w:rFonts w:ascii="宋体" w:hAnsi="宋体" w:cs="宋体"/>
                <w:b/>
                <w:bCs/>
                <w:color w:val="auto"/>
                <w:kern w:val="0"/>
                <w:sz w:val="32"/>
                <w:szCs w:val="32"/>
                <w:highlight w:val="none"/>
              </w:rPr>
            </w:pPr>
          </w:p>
        </w:tc>
      </w:tr>
      <w:tr w14:paraId="70B42CDF">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30DD1E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申购单位</w:t>
            </w:r>
          </w:p>
        </w:tc>
        <w:tc>
          <w:tcPr>
            <w:tcW w:w="1749" w:type="pct"/>
            <w:gridSpan w:val="7"/>
            <w:tcBorders>
              <w:top w:val="single" w:color="auto" w:sz="8" w:space="0"/>
              <w:left w:val="nil"/>
              <w:bottom w:val="single" w:color="auto" w:sz="8" w:space="0"/>
              <w:right w:val="single" w:color="000000" w:sz="8" w:space="0"/>
            </w:tcBorders>
            <w:noWrap/>
            <w:vAlign w:val="center"/>
          </w:tcPr>
          <w:p w14:paraId="7E9F8A8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49" w:type="pct"/>
            <w:gridSpan w:val="3"/>
            <w:tcBorders>
              <w:top w:val="single" w:color="auto" w:sz="8" w:space="0"/>
              <w:left w:val="nil"/>
              <w:bottom w:val="single" w:color="auto" w:sz="8" w:space="0"/>
              <w:right w:val="single" w:color="000000" w:sz="8" w:space="0"/>
            </w:tcBorders>
            <w:vAlign w:val="center"/>
          </w:tcPr>
          <w:p w14:paraId="4000A07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合同编号</w:t>
            </w:r>
          </w:p>
        </w:tc>
        <w:tc>
          <w:tcPr>
            <w:tcW w:w="1750" w:type="pct"/>
            <w:gridSpan w:val="7"/>
            <w:tcBorders>
              <w:top w:val="single" w:color="auto" w:sz="8" w:space="0"/>
              <w:left w:val="nil"/>
              <w:bottom w:val="single" w:color="auto" w:sz="8" w:space="0"/>
              <w:right w:val="single" w:color="000000" w:sz="8" w:space="0"/>
            </w:tcBorders>
            <w:vAlign w:val="center"/>
          </w:tcPr>
          <w:p w14:paraId="546FE59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81BDE93">
        <w:tblPrEx>
          <w:tblCellMar>
            <w:top w:w="0" w:type="dxa"/>
            <w:left w:w="108" w:type="dxa"/>
            <w:bottom w:w="0" w:type="dxa"/>
            <w:right w:w="108" w:type="dxa"/>
          </w:tblCellMar>
        </w:tblPrEx>
        <w:trPr>
          <w:trHeight w:val="439" w:hRule="atLeast"/>
        </w:trPr>
        <w:tc>
          <w:tcPr>
            <w:tcW w:w="750" w:type="pct"/>
            <w:gridSpan w:val="2"/>
            <w:tcBorders>
              <w:top w:val="single" w:color="auto" w:sz="8" w:space="0"/>
              <w:left w:val="single" w:color="auto" w:sz="8" w:space="0"/>
              <w:bottom w:val="single" w:color="auto" w:sz="8" w:space="0"/>
              <w:right w:val="single" w:color="000000" w:sz="8" w:space="0"/>
            </w:tcBorders>
            <w:noWrap/>
            <w:vAlign w:val="center"/>
          </w:tcPr>
          <w:p w14:paraId="4D8707A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项目名称</w:t>
            </w:r>
          </w:p>
        </w:tc>
        <w:tc>
          <w:tcPr>
            <w:tcW w:w="4249" w:type="pct"/>
            <w:gridSpan w:val="17"/>
            <w:tcBorders>
              <w:top w:val="single" w:color="auto" w:sz="8" w:space="0"/>
              <w:left w:val="nil"/>
              <w:bottom w:val="single" w:color="auto" w:sz="8" w:space="0"/>
              <w:right w:val="single" w:color="000000" w:sz="8" w:space="0"/>
            </w:tcBorders>
            <w:noWrap/>
            <w:vAlign w:val="center"/>
          </w:tcPr>
          <w:p w14:paraId="2DDED07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A3CD7B8">
        <w:tblPrEx>
          <w:tblCellMar>
            <w:top w:w="0" w:type="dxa"/>
            <w:left w:w="108" w:type="dxa"/>
            <w:bottom w:w="0" w:type="dxa"/>
            <w:right w:w="108" w:type="dxa"/>
          </w:tblCellMar>
        </w:tblPrEx>
        <w:trPr>
          <w:trHeight w:val="501" w:hRule="atLeast"/>
        </w:trPr>
        <w:tc>
          <w:tcPr>
            <w:tcW w:w="1250" w:type="pct"/>
            <w:gridSpan w:val="4"/>
            <w:tcBorders>
              <w:top w:val="single" w:color="auto" w:sz="8" w:space="0"/>
              <w:left w:val="single" w:color="auto" w:sz="8" w:space="0"/>
              <w:bottom w:val="single" w:color="auto" w:sz="8" w:space="0"/>
              <w:right w:val="single" w:color="auto" w:sz="8" w:space="0"/>
            </w:tcBorders>
            <w:vAlign w:val="center"/>
          </w:tcPr>
          <w:p w14:paraId="55BC9B7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合同金额（万元）</w:t>
            </w:r>
          </w:p>
        </w:tc>
        <w:tc>
          <w:tcPr>
            <w:tcW w:w="1249" w:type="pct"/>
            <w:gridSpan w:val="5"/>
            <w:tcBorders>
              <w:top w:val="single" w:color="auto" w:sz="8" w:space="0"/>
              <w:left w:val="nil"/>
              <w:bottom w:val="single" w:color="auto" w:sz="8" w:space="0"/>
              <w:right w:val="single" w:color="auto" w:sz="8" w:space="0"/>
            </w:tcBorders>
            <w:noWrap/>
            <w:vAlign w:val="center"/>
          </w:tcPr>
          <w:p w14:paraId="6E0ADEE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000000" w:sz="8" w:space="0"/>
            </w:tcBorders>
            <w:noWrap/>
            <w:vAlign w:val="center"/>
          </w:tcPr>
          <w:p w14:paraId="3A8A544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校级验收日期</w:t>
            </w:r>
          </w:p>
        </w:tc>
        <w:tc>
          <w:tcPr>
            <w:tcW w:w="1250" w:type="pct"/>
            <w:gridSpan w:val="5"/>
            <w:tcBorders>
              <w:top w:val="single" w:color="auto" w:sz="8" w:space="0"/>
              <w:left w:val="nil"/>
              <w:bottom w:val="single" w:color="auto" w:sz="8" w:space="0"/>
              <w:right w:val="single" w:color="auto" w:sz="8" w:space="0"/>
            </w:tcBorders>
            <w:noWrap/>
            <w:vAlign w:val="center"/>
          </w:tcPr>
          <w:p w14:paraId="5A15FE3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15B29CD">
        <w:tblPrEx>
          <w:tblCellMar>
            <w:top w:w="0" w:type="dxa"/>
            <w:left w:w="108" w:type="dxa"/>
            <w:bottom w:w="0" w:type="dxa"/>
            <w:right w:w="108" w:type="dxa"/>
          </w:tblCellMar>
        </w:tblPrEx>
        <w:trPr>
          <w:trHeight w:val="474" w:hRule="atLeast"/>
        </w:trPr>
        <w:tc>
          <w:tcPr>
            <w:tcW w:w="1250" w:type="pct"/>
            <w:gridSpan w:val="4"/>
            <w:tcBorders>
              <w:top w:val="single" w:color="auto" w:sz="8" w:space="0"/>
              <w:left w:val="single" w:color="auto" w:sz="8" w:space="0"/>
              <w:bottom w:val="single" w:color="auto" w:sz="8" w:space="0"/>
              <w:right w:val="single" w:color="auto" w:sz="8" w:space="0"/>
            </w:tcBorders>
            <w:noWrap/>
            <w:vAlign w:val="center"/>
          </w:tcPr>
          <w:p w14:paraId="183F85F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验收方式</w:t>
            </w:r>
          </w:p>
        </w:tc>
        <w:tc>
          <w:tcPr>
            <w:tcW w:w="3749" w:type="pct"/>
            <w:gridSpan w:val="15"/>
            <w:tcBorders>
              <w:top w:val="single" w:color="auto" w:sz="8" w:space="0"/>
              <w:left w:val="nil"/>
              <w:bottom w:val="single" w:color="auto" w:sz="8" w:space="0"/>
              <w:right w:val="single" w:color="auto" w:sz="8" w:space="0"/>
            </w:tcBorders>
            <w:noWrap/>
            <w:vAlign w:val="center"/>
          </w:tcPr>
          <w:p w14:paraId="31E3B74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☑自行验收         □委托验收</w:t>
            </w:r>
          </w:p>
        </w:tc>
      </w:tr>
      <w:tr w14:paraId="06432F70">
        <w:tblPrEx>
          <w:tblCellMar>
            <w:top w:w="0" w:type="dxa"/>
            <w:left w:w="108" w:type="dxa"/>
            <w:bottom w:w="0" w:type="dxa"/>
            <w:right w:w="108" w:type="dxa"/>
          </w:tblCellMar>
        </w:tblPrEx>
        <w:trPr>
          <w:trHeight w:val="465"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14727D7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学院（部门）级</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验收审核情况</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2176F47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40977F9">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01D0A260">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74579B32">
            <w:pPr>
              <w:widowControl/>
              <w:jc w:val="left"/>
              <w:rPr>
                <w:rFonts w:ascii="宋体" w:hAnsi="宋体" w:cs="宋体"/>
                <w:color w:val="auto"/>
                <w:kern w:val="0"/>
                <w:sz w:val="22"/>
                <w:highlight w:val="none"/>
              </w:rPr>
            </w:pPr>
          </w:p>
        </w:tc>
      </w:tr>
      <w:tr w14:paraId="4FA4E7F5">
        <w:tblPrEx>
          <w:tblCellMar>
            <w:top w:w="0" w:type="dxa"/>
            <w:left w:w="108" w:type="dxa"/>
            <w:bottom w:w="0" w:type="dxa"/>
            <w:right w:w="108" w:type="dxa"/>
          </w:tblCellMar>
        </w:tblPrEx>
        <w:trPr>
          <w:trHeight w:val="285"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69D6897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抽测情况</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5A11DFF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5035E04">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14B7604C">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56FA9DE8">
            <w:pPr>
              <w:widowControl/>
              <w:jc w:val="left"/>
              <w:rPr>
                <w:rFonts w:ascii="宋体" w:hAnsi="宋体" w:cs="宋体"/>
                <w:color w:val="auto"/>
                <w:kern w:val="0"/>
                <w:sz w:val="22"/>
                <w:highlight w:val="none"/>
              </w:rPr>
            </w:pPr>
          </w:p>
        </w:tc>
      </w:tr>
      <w:tr w14:paraId="45F137FD">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4C6F40E6">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65491A17">
            <w:pPr>
              <w:widowControl/>
              <w:jc w:val="left"/>
              <w:rPr>
                <w:rFonts w:ascii="宋体" w:hAnsi="宋体" w:cs="宋体"/>
                <w:color w:val="auto"/>
                <w:kern w:val="0"/>
                <w:sz w:val="22"/>
                <w:highlight w:val="none"/>
              </w:rPr>
            </w:pPr>
          </w:p>
        </w:tc>
      </w:tr>
      <w:tr w14:paraId="108286C5">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22C3940B">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02F9E32B">
            <w:pPr>
              <w:widowControl/>
              <w:jc w:val="left"/>
              <w:rPr>
                <w:rFonts w:ascii="宋体" w:hAnsi="宋体" w:cs="宋体"/>
                <w:color w:val="auto"/>
                <w:kern w:val="0"/>
                <w:sz w:val="22"/>
                <w:highlight w:val="none"/>
              </w:rPr>
            </w:pPr>
          </w:p>
        </w:tc>
      </w:tr>
      <w:tr w14:paraId="369A5B2D">
        <w:tblPrEx>
          <w:tblCellMar>
            <w:top w:w="0" w:type="dxa"/>
            <w:left w:w="108" w:type="dxa"/>
            <w:bottom w:w="0" w:type="dxa"/>
            <w:right w:w="108" w:type="dxa"/>
          </w:tblCellMar>
        </w:tblPrEx>
        <w:trPr>
          <w:trHeight w:val="420"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0B983CE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验收结论</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1033DAA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0549395">
        <w:tblPrEx>
          <w:tblCellMar>
            <w:top w:w="0" w:type="dxa"/>
            <w:left w:w="108" w:type="dxa"/>
            <w:bottom w:w="0" w:type="dxa"/>
            <w:right w:w="108" w:type="dxa"/>
          </w:tblCellMar>
        </w:tblPrEx>
        <w:trPr>
          <w:trHeight w:val="309"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420A0440">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4FCEABB0">
            <w:pPr>
              <w:widowControl/>
              <w:jc w:val="left"/>
              <w:rPr>
                <w:rFonts w:ascii="宋体" w:hAnsi="宋体" w:cs="宋体"/>
                <w:color w:val="auto"/>
                <w:kern w:val="0"/>
                <w:sz w:val="22"/>
                <w:highlight w:val="none"/>
              </w:rPr>
            </w:pPr>
          </w:p>
        </w:tc>
      </w:tr>
      <w:tr w14:paraId="312EF21E">
        <w:tblPrEx>
          <w:tblCellMar>
            <w:top w:w="0" w:type="dxa"/>
            <w:left w:w="108" w:type="dxa"/>
            <w:bottom w:w="0" w:type="dxa"/>
            <w:right w:w="108" w:type="dxa"/>
          </w:tblCellMar>
        </w:tblPrEx>
        <w:trPr>
          <w:trHeight w:val="382" w:hRule="atLeast"/>
        </w:trPr>
        <w:tc>
          <w:tcPr>
            <w:tcW w:w="5000" w:type="pct"/>
            <w:gridSpan w:val="19"/>
            <w:tcBorders>
              <w:top w:val="single" w:color="auto" w:sz="8" w:space="0"/>
              <w:left w:val="single" w:color="auto" w:sz="8" w:space="0"/>
              <w:bottom w:val="single" w:color="auto" w:sz="8" w:space="0"/>
              <w:right w:val="single" w:color="auto" w:sz="8" w:space="0"/>
            </w:tcBorders>
            <w:noWrap/>
            <w:vAlign w:val="center"/>
          </w:tcPr>
          <w:p w14:paraId="7E37B7F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参加验收人员</w:t>
            </w:r>
          </w:p>
        </w:tc>
      </w:tr>
      <w:tr w14:paraId="6F8B2573">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72846FD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姓名</w:t>
            </w:r>
          </w:p>
        </w:tc>
        <w:tc>
          <w:tcPr>
            <w:tcW w:w="1249" w:type="pct"/>
            <w:gridSpan w:val="5"/>
            <w:tcBorders>
              <w:top w:val="single" w:color="auto" w:sz="8" w:space="0"/>
              <w:left w:val="nil"/>
              <w:bottom w:val="single" w:color="auto" w:sz="8" w:space="0"/>
              <w:right w:val="single" w:color="auto" w:sz="8" w:space="0"/>
            </w:tcBorders>
            <w:noWrap/>
            <w:vAlign w:val="center"/>
          </w:tcPr>
          <w:p w14:paraId="7B21156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工作单位</w:t>
            </w:r>
          </w:p>
        </w:tc>
        <w:tc>
          <w:tcPr>
            <w:tcW w:w="1249" w:type="pct"/>
            <w:gridSpan w:val="5"/>
            <w:tcBorders>
              <w:top w:val="single" w:color="auto" w:sz="8" w:space="0"/>
              <w:left w:val="nil"/>
              <w:bottom w:val="single" w:color="auto" w:sz="8" w:space="0"/>
              <w:right w:val="single" w:color="auto" w:sz="8" w:space="0"/>
            </w:tcBorders>
            <w:noWrap/>
            <w:vAlign w:val="center"/>
          </w:tcPr>
          <w:p w14:paraId="091D791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职称</w:t>
            </w:r>
          </w:p>
        </w:tc>
        <w:tc>
          <w:tcPr>
            <w:tcW w:w="999" w:type="pct"/>
            <w:gridSpan w:val="4"/>
            <w:tcBorders>
              <w:top w:val="single" w:color="auto" w:sz="8" w:space="0"/>
              <w:left w:val="nil"/>
              <w:bottom w:val="single" w:color="auto" w:sz="8" w:space="0"/>
              <w:right w:val="single" w:color="auto" w:sz="8" w:space="0"/>
            </w:tcBorders>
            <w:noWrap/>
            <w:vAlign w:val="center"/>
          </w:tcPr>
          <w:p w14:paraId="72F0479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专业方向</w:t>
            </w:r>
          </w:p>
        </w:tc>
        <w:tc>
          <w:tcPr>
            <w:tcW w:w="750" w:type="pct"/>
            <w:gridSpan w:val="3"/>
            <w:tcBorders>
              <w:top w:val="single" w:color="auto" w:sz="8" w:space="0"/>
              <w:left w:val="nil"/>
              <w:bottom w:val="single" w:color="auto" w:sz="8" w:space="0"/>
              <w:right w:val="single" w:color="auto" w:sz="8" w:space="0"/>
            </w:tcBorders>
            <w:noWrap/>
            <w:vAlign w:val="center"/>
          </w:tcPr>
          <w:p w14:paraId="1596E5A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本人签名</w:t>
            </w:r>
          </w:p>
        </w:tc>
      </w:tr>
      <w:tr w14:paraId="6C8BBE39">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6AD63FF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453B667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368B188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205180D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0B43398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7DA87EBA">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2EDAC1E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4DCB4A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1A25CC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543EFB3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0B372DB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1C1399B">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5E27DEF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2C2BD9E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3C60948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775DC5C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71C2040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8E5D0F1">
        <w:tblPrEx>
          <w:tblCellMar>
            <w:top w:w="0" w:type="dxa"/>
            <w:left w:w="108" w:type="dxa"/>
            <w:bottom w:w="0" w:type="dxa"/>
            <w:right w:w="108" w:type="dxa"/>
          </w:tblCellMar>
        </w:tblPrEx>
        <w:trPr>
          <w:trHeight w:val="600" w:hRule="atLeast"/>
        </w:trPr>
        <w:tc>
          <w:tcPr>
            <w:tcW w:w="5000" w:type="pct"/>
            <w:gridSpan w:val="19"/>
            <w:tcBorders>
              <w:top w:val="single" w:color="auto" w:sz="8" w:space="0"/>
              <w:left w:val="single" w:color="auto" w:sz="8" w:space="0"/>
              <w:bottom w:val="nil"/>
              <w:right w:val="single" w:color="000000" w:sz="8" w:space="0"/>
            </w:tcBorders>
            <w:noWrap/>
            <w:vAlign w:val="center"/>
          </w:tcPr>
          <w:p w14:paraId="06EC28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tc>
      </w:tr>
      <w:tr w14:paraId="6728E175">
        <w:tblPrEx>
          <w:tblCellMar>
            <w:top w:w="0" w:type="dxa"/>
            <w:left w:w="108" w:type="dxa"/>
            <w:bottom w:w="0" w:type="dxa"/>
            <w:right w:w="108" w:type="dxa"/>
          </w:tblCellMar>
        </w:tblPrEx>
        <w:trPr>
          <w:trHeight w:val="387" w:hRule="atLeast"/>
        </w:trPr>
        <w:tc>
          <w:tcPr>
            <w:tcW w:w="5000" w:type="pct"/>
            <w:gridSpan w:val="19"/>
            <w:tcBorders>
              <w:top w:val="nil"/>
              <w:left w:val="single" w:color="auto" w:sz="8" w:space="0"/>
              <w:bottom w:val="single" w:color="auto" w:sz="4" w:space="0"/>
              <w:right w:val="single" w:color="000000" w:sz="8" w:space="0"/>
            </w:tcBorders>
            <w:noWrap/>
            <w:vAlign w:val="center"/>
          </w:tcPr>
          <w:p w14:paraId="1C8474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30DA72B">
        <w:tblPrEx>
          <w:tblCellMar>
            <w:top w:w="0" w:type="dxa"/>
            <w:left w:w="108" w:type="dxa"/>
            <w:bottom w:w="0" w:type="dxa"/>
            <w:right w:w="108" w:type="dxa"/>
          </w:tblCellMar>
        </w:tblPrEx>
        <w:trPr>
          <w:trHeight w:val="1325" w:hRule="atLeast"/>
        </w:trPr>
        <w:tc>
          <w:tcPr>
            <w:tcW w:w="709" w:type="pct"/>
            <w:vMerge w:val="restart"/>
            <w:tcBorders>
              <w:top w:val="single" w:color="auto" w:sz="4" w:space="0"/>
              <w:left w:val="single" w:color="auto" w:sz="4" w:space="0"/>
              <w:bottom w:val="single" w:color="auto" w:sz="4" w:space="0"/>
              <w:right w:val="single" w:color="auto" w:sz="4" w:space="0"/>
            </w:tcBorders>
            <w:noWrap/>
            <w:vAlign w:val="center"/>
          </w:tcPr>
          <w:p w14:paraId="5B28E4E5">
            <w:pPr>
              <w:ind w:left="220" w:hanging="220" w:hangingChars="100"/>
              <w:jc w:val="left"/>
              <w:rPr>
                <w:rFonts w:ascii="宋体" w:hAnsi="宋体" w:cs="宋体"/>
                <w:color w:val="auto"/>
                <w:kern w:val="0"/>
                <w:sz w:val="22"/>
                <w:highlight w:val="none"/>
              </w:rPr>
            </w:pPr>
            <w:r>
              <w:rPr>
                <w:rFonts w:hint="eastAsia" w:ascii="宋体" w:hAnsi="宋体" w:cs="宋体"/>
                <w:color w:val="auto"/>
                <w:kern w:val="0"/>
                <w:sz w:val="22"/>
                <w:highlight w:val="none"/>
              </w:rPr>
              <w:t>资产管理处意见</w:t>
            </w:r>
          </w:p>
        </w:tc>
        <w:tc>
          <w:tcPr>
            <w:tcW w:w="4290" w:type="pct"/>
            <w:gridSpan w:val="18"/>
            <w:tcBorders>
              <w:top w:val="single" w:color="auto" w:sz="4" w:space="0"/>
              <w:left w:val="single" w:color="auto" w:sz="4" w:space="0"/>
              <w:bottom w:val="single" w:color="auto" w:sz="4" w:space="0"/>
              <w:right w:val="single" w:color="auto" w:sz="4" w:space="0"/>
            </w:tcBorders>
            <w:vAlign w:val="center"/>
          </w:tcPr>
          <w:p w14:paraId="03D1D4E4">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分管副处长意见：</w:t>
            </w:r>
          </w:p>
          <w:p w14:paraId="63257B3E">
            <w:pPr>
              <w:widowControl/>
              <w:jc w:val="left"/>
              <w:rPr>
                <w:rFonts w:ascii="宋体" w:hAnsi="宋体" w:cs="宋体"/>
                <w:color w:val="auto"/>
                <w:kern w:val="0"/>
                <w:sz w:val="22"/>
                <w:highlight w:val="none"/>
              </w:rPr>
            </w:pPr>
          </w:p>
          <w:p w14:paraId="50283F3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w:t>
            </w:r>
          </w:p>
          <w:p w14:paraId="0FEB33C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年      月    日</w:t>
            </w:r>
          </w:p>
        </w:tc>
      </w:tr>
      <w:tr w14:paraId="2DA601AF">
        <w:tblPrEx>
          <w:tblCellMar>
            <w:top w:w="0" w:type="dxa"/>
            <w:left w:w="108" w:type="dxa"/>
            <w:bottom w:w="0" w:type="dxa"/>
            <w:right w:w="108" w:type="dxa"/>
          </w:tblCellMar>
        </w:tblPrEx>
        <w:trPr>
          <w:trHeight w:val="420" w:hRule="atLeast"/>
        </w:trPr>
        <w:tc>
          <w:tcPr>
            <w:tcW w:w="709" w:type="pct"/>
            <w:vMerge w:val="continue"/>
            <w:tcBorders>
              <w:top w:val="single" w:color="auto" w:sz="4" w:space="0"/>
              <w:left w:val="single" w:color="auto" w:sz="4" w:space="0"/>
              <w:bottom w:val="single" w:color="auto" w:sz="4" w:space="0"/>
              <w:right w:val="single" w:color="auto" w:sz="4" w:space="0"/>
            </w:tcBorders>
            <w:noWrap/>
            <w:vAlign w:val="center"/>
          </w:tcPr>
          <w:p w14:paraId="1CA7AAE7">
            <w:pPr>
              <w:widowControl/>
              <w:jc w:val="left"/>
              <w:rPr>
                <w:rFonts w:ascii="宋体" w:hAnsi="宋体" w:cs="宋体"/>
                <w:color w:val="auto"/>
                <w:kern w:val="0"/>
                <w:sz w:val="22"/>
                <w:highlight w:val="none"/>
              </w:rPr>
            </w:pPr>
          </w:p>
        </w:tc>
        <w:tc>
          <w:tcPr>
            <w:tcW w:w="4290" w:type="pct"/>
            <w:gridSpan w:val="18"/>
            <w:tcBorders>
              <w:top w:val="single" w:color="auto" w:sz="4" w:space="0"/>
              <w:left w:val="single" w:color="auto" w:sz="4" w:space="0"/>
              <w:bottom w:val="single" w:color="auto" w:sz="4" w:space="0"/>
              <w:right w:val="single" w:color="auto" w:sz="4" w:space="0"/>
            </w:tcBorders>
            <w:vAlign w:val="center"/>
          </w:tcPr>
          <w:p w14:paraId="0E35DFC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处长意见：</w:t>
            </w:r>
          </w:p>
          <w:p w14:paraId="53B70CBA">
            <w:pPr>
              <w:widowControl/>
              <w:jc w:val="left"/>
              <w:rPr>
                <w:rFonts w:ascii="宋体" w:hAnsi="宋体" w:cs="宋体"/>
                <w:color w:val="auto"/>
                <w:kern w:val="0"/>
                <w:sz w:val="22"/>
                <w:highlight w:val="none"/>
              </w:rPr>
            </w:pPr>
          </w:p>
          <w:p w14:paraId="771E7D2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w:t>
            </w:r>
          </w:p>
          <w:p w14:paraId="5E5AA32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年      月    日</w:t>
            </w:r>
          </w:p>
        </w:tc>
      </w:tr>
    </w:tbl>
    <w:p w14:paraId="7C4D87DC">
      <w:pPr>
        <w:pStyle w:val="26"/>
        <w:snapToGrid w:val="0"/>
        <w:spacing w:before="120" w:after="120"/>
        <w:rPr>
          <w:rFonts w:hAnsi="宋体" w:cs="宋体"/>
          <w:color w:val="auto"/>
          <w:highlight w:val="none"/>
        </w:rPr>
      </w:pPr>
      <w:r>
        <w:rPr>
          <w:rFonts w:hint="eastAsia" w:hAnsi="宋体" w:cs="宋体"/>
          <w:color w:val="auto"/>
          <w:highlight w:val="none"/>
        </w:rPr>
        <w:br w:type="page"/>
      </w:r>
    </w:p>
    <w:p w14:paraId="4B7AC68C">
      <w:pPr>
        <w:pStyle w:val="26"/>
        <w:snapToGrid w:val="0"/>
        <w:spacing w:before="120" w:after="120"/>
        <w:rPr>
          <w:rFonts w:hAnsi="宋体" w:cs="宋体"/>
          <w:color w:val="auto"/>
          <w:highlight w:val="none"/>
        </w:rPr>
      </w:pPr>
    </w:p>
    <w:p w14:paraId="27817D32">
      <w:pPr>
        <w:pStyle w:val="26"/>
        <w:snapToGrid w:val="0"/>
        <w:spacing w:before="120" w:after="120"/>
        <w:rPr>
          <w:rFonts w:hAnsi="宋体" w:cs="宋体"/>
          <w:color w:val="auto"/>
          <w:highlight w:val="none"/>
        </w:rPr>
      </w:pPr>
    </w:p>
    <w:p w14:paraId="4AADE699">
      <w:pPr>
        <w:pStyle w:val="26"/>
        <w:snapToGrid w:val="0"/>
        <w:spacing w:before="120" w:after="120"/>
        <w:rPr>
          <w:rFonts w:hAnsi="宋体" w:cs="宋体"/>
          <w:color w:val="auto"/>
          <w:highlight w:val="none"/>
        </w:rPr>
      </w:pPr>
    </w:p>
    <w:p w14:paraId="47FBC865">
      <w:pPr>
        <w:pStyle w:val="26"/>
        <w:snapToGrid w:val="0"/>
        <w:spacing w:before="120" w:after="120"/>
        <w:rPr>
          <w:rFonts w:hAnsi="宋体" w:cs="宋体"/>
          <w:color w:val="auto"/>
          <w:highlight w:val="none"/>
        </w:rPr>
      </w:pPr>
    </w:p>
    <w:p w14:paraId="36A9CC71">
      <w:pPr>
        <w:pStyle w:val="26"/>
        <w:snapToGrid w:val="0"/>
        <w:spacing w:before="120" w:after="120"/>
        <w:rPr>
          <w:rFonts w:hAnsi="宋体" w:cs="宋体"/>
          <w:color w:val="auto"/>
          <w:highlight w:val="none"/>
        </w:rPr>
      </w:pPr>
    </w:p>
    <w:p w14:paraId="67B00D7F">
      <w:pPr>
        <w:rPr>
          <w:rFonts w:hAnsi="Arial"/>
          <w:color w:val="auto"/>
          <w:highlight w:val="none"/>
        </w:rPr>
      </w:pPr>
    </w:p>
    <w:p w14:paraId="3CB7184B">
      <w:pPr>
        <w:rPr>
          <w:rFonts w:hAnsi="宋体" w:cs="宋体"/>
          <w:color w:val="auto"/>
          <w:highlight w:val="none"/>
        </w:rPr>
      </w:pPr>
    </w:p>
    <w:p w14:paraId="66AA3AFB">
      <w:pPr>
        <w:pStyle w:val="19"/>
        <w:rPr>
          <w:rFonts w:hAnsi="宋体" w:cs="宋体"/>
          <w:color w:val="auto"/>
          <w:highlight w:val="none"/>
        </w:rPr>
      </w:pPr>
    </w:p>
    <w:p w14:paraId="0AAFE325">
      <w:pPr>
        <w:rPr>
          <w:color w:val="auto"/>
          <w:highlight w:val="none"/>
        </w:rPr>
      </w:pPr>
    </w:p>
    <w:p w14:paraId="1CEAE008">
      <w:pPr>
        <w:pStyle w:val="26"/>
        <w:snapToGrid w:val="0"/>
        <w:spacing w:before="120" w:after="120"/>
        <w:rPr>
          <w:rFonts w:hAnsi="宋体" w:cs="宋体"/>
          <w:color w:val="auto"/>
          <w:highlight w:val="none"/>
        </w:rPr>
      </w:pPr>
    </w:p>
    <w:p w14:paraId="4FC7DA79">
      <w:pPr>
        <w:pStyle w:val="26"/>
        <w:snapToGrid w:val="0"/>
        <w:spacing w:before="120" w:after="120"/>
        <w:rPr>
          <w:rFonts w:hAnsi="宋体" w:cs="宋体"/>
          <w:color w:val="auto"/>
          <w:highlight w:val="none"/>
        </w:rPr>
      </w:pPr>
    </w:p>
    <w:p w14:paraId="1B675125">
      <w:pPr>
        <w:pStyle w:val="26"/>
        <w:snapToGrid w:val="0"/>
        <w:spacing w:before="120" w:after="120"/>
        <w:rPr>
          <w:rFonts w:hAnsi="宋体" w:cs="宋体"/>
          <w:color w:val="auto"/>
          <w:highlight w:val="none"/>
        </w:rPr>
      </w:pPr>
    </w:p>
    <w:p w14:paraId="0B74262B">
      <w:pPr>
        <w:pStyle w:val="3"/>
        <w:keepNext w:val="0"/>
        <w:keepLines w:val="0"/>
        <w:rPr>
          <w:color w:val="auto"/>
          <w:highlight w:val="none"/>
        </w:rPr>
      </w:pPr>
      <w:r>
        <w:rPr>
          <w:rFonts w:hint="eastAsia"/>
          <w:color w:val="auto"/>
          <w:highlight w:val="none"/>
        </w:rPr>
        <w:t>第四章、评标方法及评标标准</w:t>
      </w:r>
      <w:bookmarkEnd w:id="133"/>
      <w:bookmarkEnd w:id="134"/>
      <w:bookmarkEnd w:id="135"/>
      <w:bookmarkEnd w:id="136"/>
      <w:bookmarkEnd w:id="137"/>
      <w:bookmarkEnd w:id="138"/>
      <w:bookmarkEnd w:id="139"/>
    </w:p>
    <w:p w14:paraId="15C493AE">
      <w:pPr>
        <w:spacing w:before="120" w:after="120"/>
        <w:rPr>
          <w:rFonts w:ascii="宋体" w:hAnsi="宋体" w:cs="宋体"/>
          <w:color w:val="auto"/>
          <w:highlight w:val="none"/>
        </w:rPr>
      </w:pPr>
      <w:bookmarkStart w:id="141" w:name="_Toc254970690"/>
      <w:bookmarkStart w:id="142" w:name="_Toc254970549"/>
    </w:p>
    <w:bookmarkEnd w:id="141"/>
    <w:bookmarkEnd w:id="142"/>
    <w:p w14:paraId="2AD629C9">
      <w:pPr>
        <w:spacing w:before="120" w:after="120"/>
        <w:rPr>
          <w:rFonts w:ascii="宋体" w:hAnsi="宋体" w:cs="宋体"/>
          <w:color w:val="auto"/>
          <w:highlight w:val="none"/>
        </w:rPr>
      </w:pPr>
    </w:p>
    <w:p w14:paraId="36FDD75F">
      <w:pPr>
        <w:spacing w:before="120" w:after="120"/>
        <w:rPr>
          <w:rFonts w:ascii="宋体" w:hAnsi="宋体" w:cs="宋体"/>
          <w:color w:val="auto"/>
          <w:highlight w:val="none"/>
        </w:rPr>
      </w:pPr>
    </w:p>
    <w:p w14:paraId="73EB8989">
      <w:pPr>
        <w:spacing w:before="120" w:after="120"/>
        <w:rPr>
          <w:rFonts w:ascii="宋体" w:hAnsi="宋体" w:cs="宋体"/>
          <w:color w:val="auto"/>
          <w:highlight w:val="none"/>
        </w:rPr>
      </w:pPr>
    </w:p>
    <w:p w14:paraId="6A6AE05B">
      <w:pPr>
        <w:spacing w:before="120" w:beforeLines="50" w:after="120" w:afterLines="50" w:line="400" w:lineRule="exact"/>
        <w:rPr>
          <w:rFonts w:ascii="宋体" w:hAnsi="宋体" w:cs="宋体"/>
          <w:b/>
          <w:color w:val="auto"/>
          <w:sz w:val="24"/>
          <w:highlight w:val="none"/>
        </w:rPr>
      </w:pPr>
    </w:p>
    <w:p w14:paraId="290A18CC">
      <w:pPr>
        <w:spacing w:before="120" w:beforeLines="50" w:after="120" w:afterLines="50" w:line="400" w:lineRule="exact"/>
        <w:rPr>
          <w:rFonts w:ascii="宋体" w:hAnsi="宋体" w:cs="宋体"/>
          <w:b/>
          <w:color w:val="auto"/>
          <w:sz w:val="24"/>
          <w:highlight w:val="none"/>
        </w:rPr>
      </w:pPr>
    </w:p>
    <w:p w14:paraId="67E2C4A5">
      <w:pPr>
        <w:spacing w:before="120" w:beforeLines="50" w:after="120" w:afterLines="50" w:line="400" w:lineRule="exact"/>
        <w:rPr>
          <w:rFonts w:ascii="宋体" w:hAnsi="宋体" w:cs="宋体"/>
          <w:b/>
          <w:color w:val="auto"/>
          <w:sz w:val="24"/>
          <w:highlight w:val="none"/>
        </w:rPr>
      </w:pPr>
    </w:p>
    <w:p w14:paraId="366BCB01">
      <w:pPr>
        <w:pStyle w:val="26"/>
        <w:spacing w:line="360" w:lineRule="exact"/>
        <w:rPr>
          <w:rFonts w:hAnsi="宋体" w:cs="宋体"/>
          <w:b/>
          <w:color w:val="auto"/>
          <w:sz w:val="24"/>
          <w:highlight w:val="none"/>
        </w:rPr>
      </w:pPr>
    </w:p>
    <w:p w14:paraId="4C1A78F9">
      <w:pPr>
        <w:pStyle w:val="26"/>
        <w:spacing w:line="360" w:lineRule="exact"/>
        <w:rPr>
          <w:rFonts w:hAnsi="宋体" w:cs="宋体"/>
          <w:b/>
          <w:color w:val="auto"/>
          <w:sz w:val="24"/>
          <w:highlight w:val="none"/>
        </w:rPr>
      </w:pPr>
    </w:p>
    <w:p w14:paraId="21C9806F">
      <w:pPr>
        <w:pStyle w:val="26"/>
        <w:spacing w:line="360" w:lineRule="exact"/>
        <w:rPr>
          <w:rFonts w:hAnsi="宋体" w:cs="宋体"/>
          <w:b/>
          <w:color w:val="auto"/>
          <w:sz w:val="24"/>
          <w:highlight w:val="none"/>
        </w:rPr>
      </w:pPr>
    </w:p>
    <w:p w14:paraId="7DEE91E4">
      <w:pPr>
        <w:pStyle w:val="26"/>
        <w:spacing w:line="360" w:lineRule="exact"/>
        <w:rPr>
          <w:rFonts w:hAnsi="宋体" w:cs="宋体"/>
          <w:bCs/>
          <w:color w:val="auto"/>
          <w:highlight w:val="none"/>
        </w:rPr>
      </w:pPr>
    </w:p>
    <w:p w14:paraId="3596494E">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一、评标方法</w:t>
      </w:r>
    </w:p>
    <w:p w14:paraId="39DA612C">
      <w:pPr>
        <w:pStyle w:val="26"/>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4177B00F">
      <w:pPr>
        <w:pStyle w:val="26"/>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16CDBBF">
      <w:pPr>
        <w:pStyle w:val="5"/>
        <w:keepNext w:val="0"/>
        <w:keepLines w:val="0"/>
        <w:jc w:val="center"/>
        <w:rPr>
          <w:rFonts w:ascii="宋体" w:hAnsi="宋体" w:cs="宋体"/>
          <w:color w:val="auto"/>
          <w:highlight w:val="none"/>
        </w:rPr>
      </w:pPr>
      <w:r>
        <w:rPr>
          <w:rFonts w:hint="eastAsia" w:ascii="宋体" w:hAnsi="宋体" w:cs="宋体"/>
          <w:color w:val="auto"/>
          <w:highlight w:val="none"/>
        </w:rPr>
        <w:t>二、评标程序</w:t>
      </w:r>
    </w:p>
    <w:p w14:paraId="5E9E6724">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2DEE9B99">
      <w:pPr>
        <w:pStyle w:val="26"/>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19248E79">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442570F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262F5B5">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586D9BD">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投标文件未提供“投标人须知前附表”第13.1条规定中“必须提供”的文件资料的；</w:t>
      </w:r>
    </w:p>
    <w:p w14:paraId="6F08C834">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5678BECA">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报价超出招标文件规定最高限价，或者超出采购预算金额的；</w:t>
      </w:r>
    </w:p>
    <w:p w14:paraId="5C7BF78E">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001E990B">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47C3A6C">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投标人属于本章第5条第（2）项情形的。</w:t>
      </w:r>
    </w:p>
    <w:p w14:paraId="19D53765">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CBD4B04">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A0A6ED4">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委托代理人未能出具有效身份证明或者出具的身份证明与授权委托书中的信息不符的； </w:t>
      </w:r>
    </w:p>
    <w:p w14:paraId="6CD76B15">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13FC31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28FE6900">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投标有效期、项目完成时间（交货时间、服务完成时间或者服务期等）、质保期、售后服务等招标文件中的商务条款发生负偏离的；</w:t>
      </w:r>
    </w:p>
    <w:p w14:paraId="4FFF6602">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商务条款评审允许负偏离的条款数超过“投标人须知前附表”规定项数的；</w:t>
      </w:r>
    </w:p>
    <w:p w14:paraId="3EBA6719">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70B0ECC">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4698541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1AF91CE9">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2D5327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45D18945">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96EA08B">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6C93F0FD">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明显不满足招标文件要求的技术规格、安全、质量标准，</w:t>
      </w:r>
      <w:r>
        <w:rPr>
          <w:rFonts w:hint="eastAsia" w:ascii="宋体" w:hAnsi="宋体" w:eastAsia="宋体" w:cs="宋体"/>
          <w:b/>
          <w:bCs/>
          <w:color w:val="auto"/>
          <w:sz w:val="21"/>
          <w:szCs w:val="21"/>
          <w:highlight w:val="none"/>
        </w:rPr>
        <w:t>或者与招标文件中技术需求发生负偏离的；</w:t>
      </w:r>
    </w:p>
    <w:p w14:paraId="594C3E2E">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（2）技术需求评审允许负偏离的条款数超过“投标人须知前附表”规定项数的；</w:t>
      </w:r>
    </w:p>
    <w:p w14:paraId="351B0FA2">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（3）投标文件未提供“投标人须知前附表”第13.1条规定中“必须提供”的文件资料的；</w:t>
      </w:r>
    </w:p>
    <w:p w14:paraId="61355C16">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0A5DF84F">
      <w:pPr>
        <w:pStyle w:val="20"/>
        <w:snapToGrid w:val="0"/>
        <w:spacing w:line="360" w:lineRule="auto"/>
        <w:ind w:firstLine="413" w:firstLineChars="196"/>
        <w:rPr>
          <w:rFonts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7C3DBD2D">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0AA07BBB">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E5C326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8E607E">
      <w:pPr>
        <w:snapToGrid w:val="0"/>
        <w:spacing w:line="360" w:lineRule="auto"/>
        <w:ind w:firstLine="420" w:firstLineChars="200"/>
        <w:rPr>
          <w:color w:val="auto"/>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0B8151E">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25A654AF">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51B5C1F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C914238">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55B1415">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7D2EEA6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11AB857">
      <w:pPr>
        <w:pStyle w:val="26"/>
        <w:snapToGrid w:val="0"/>
        <w:spacing w:line="360" w:lineRule="auto"/>
        <w:ind w:firstLine="420" w:firstLineChars="200"/>
        <w:rPr>
          <w:rFonts w:hAnsi="宋体" w:cs="宋体"/>
          <w:b/>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54E067E3">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4.2经投标人确认修正后的报价若超过采购预算金额或者最高限价，</w:t>
      </w:r>
      <w:r>
        <w:rPr>
          <w:rFonts w:hint="eastAsia" w:hAnsi="宋体" w:cs="宋体"/>
          <w:color w:val="auto"/>
          <w:sz w:val="21"/>
          <w:highlight w:val="none"/>
        </w:rPr>
        <w:t>投标人的投标文件作无效投标处理</w:t>
      </w:r>
      <w:r>
        <w:rPr>
          <w:rFonts w:hint="eastAsia" w:hAnsi="宋体" w:cs="宋体"/>
          <w:b/>
          <w:color w:val="auto"/>
          <w:sz w:val="21"/>
          <w:highlight w:val="none"/>
        </w:rPr>
        <w:t>。</w:t>
      </w:r>
    </w:p>
    <w:p w14:paraId="0CA35D5A">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4.3经投标人确认修正后的报价作为签订合同的依据，并以此报价计算价格分。</w:t>
      </w:r>
    </w:p>
    <w:p w14:paraId="3A12547E">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84414D1">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（1）评标委员会按照招标文件中规定的评标方法和评标标准，对符合性审查合格的投标文件进行商务和技术评估，综合比较与评价。</w:t>
      </w:r>
    </w:p>
    <w:p w14:paraId="242EE5F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（2）评标委员会独立对每个投标人的投标文件进行评价，并汇总每个投标人的得分。</w:t>
      </w:r>
    </w:p>
    <w:p w14:paraId="08C5294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认为投标人的报价明显低于其他通过符合性审查投标人的报价，有可能影响服务质量或者不能诚信履约的，应当要求其在规定时间内作出必要的澄清、说明或者补正，必要时提交相关证明材料；投标人不能证明其报价合理性的，</w:t>
      </w:r>
      <w:r>
        <w:rPr>
          <w:rFonts w:hint="eastAsia" w:hAnsi="宋体" w:cs="宋体"/>
          <w:b/>
          <w:color w:val="auto"/>
          <w:kern w:val="2"/>
          <w:sz w:val="21"/>
          <w:highlight w:val="none"/>
        </w:rPr>
        <w:t>评标委员会将其作为无效投标处理</w:t>
      </w:r>
      <w:r>
        <w:rPr>
          <w:rFonts w:hint="eastAsia" w:hAnsi="宋体" w:cs="宋体"/>
          <w:color w:val="auto"/>
          <w:sz w:val="21"/>
          <w:highlight w:val="none"/>
        </w:rPr>
        <w:t>。</w:t>
      </w:r>
    </w:p>
    <w:p w14:paraId="140D3A3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（3）评标委员会按照招标文件中规定的评标方法和标准计算各投标人的报价得分。在计算过程中，不得去掉最高报价或者最低报价。</w:t>
      </w:r>
    </w:p>
    <w:p w14:paraId="0A7E613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（4）各投标人的得分为所有评委的有效评分的算术平均数。</w:t>
      </w:r>
    </w:p>
    <w:p w14:paraId="3B6169C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（5）评标委员会按照招标文件中的规定推荐中标候选人。</w:t>
      </w:r>
    </w:p>
    <w:p w14:paraId="3766061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2AB6491">
      <w:pPr>
        <w:pStyle w:val="26"/>
        <w:spacing w:line="360" w:lineRule="auto"/>
        <w:ind w:firstLine="420"/>
        <w:rPr>
          <w:rFonts w:hAnsi="宋体" w:cs="宋体"/>
          <w:b/>
          <w:bCs/>
          <w:color w:val="auto"/>
          <w:sz w:val="21"/>
          <w:highlight w:val="none"/>
        </w:rPr>
      </w:pPr>
      <w:r>
        <w:rPr>
          <w:rFonts w:hint="eastAsia" w:hAnsi="宋体" w:cs="宋体"/>
          <w:b/>
          <w:bCs/>
          <w:color w:val="auto"/>
          <w:sz w:val="21"/>
          <w:highlight w:val="none"/>
        </w:rPr>
        <w:t>6.属于下列情形之一的，应予废标：</w:t>
      </w:r>
    </w:p>
    <w:p w14:paraId="2E41272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（1）符合专业条件的供应商或者对招标文件作实质响应的投标人不足三家的；</w:t>
      </w:r>
    </w:p>
    <w:p w14:paraId="2D6E7D2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（2）出现影响采购公正的违法、违规行为的；</w:t>
      </w:r>
    </w:p>
    <w:p w14:paraId="36C15BA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（3）投标人的报价均超过了采购预算，采购人不能支付的；</w:t>
      </w:r>
    </w:p>
    <w:p w14:paraId="7FA0894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（4）因重大变故，采购任务取消的</w:t>
      </w:r>
    </w:p>
    <w:p w14:paraId="624157B1">
      <w:pPr>
        <w:pStyle w:val="14"/>
        <w:ind w:left="0"/>
        <w:rPr>
          <w:color w:val="auto"/>
          <w:highlight w:val="none"/>
        </w:rPr>
      </w:pPr>
    </w:p>
    <w:p w14:paraId="0605B778">
      <w:pPr>
        <w:rPr>
          <w:rFonts w:ascii="宋体" w:hAnsi="宋体" w:cs="宋体"/>
          <w:color w:val="auto"/>
          <w:highlight w:val="none"/>
        </w:rPr>
      </w:pPr>
    </w:p>
    <w:p w14:paraId="45644F45">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三、评标标准（综合评分法）</w:t>
      </w:r>
    </w:p>
    <w:tbl>
      <w:tblPr>
        <w:tblStyle w:val="52"/>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786"/>
        <w:gridCol w:w="1495"/>
        <w:gridCol w:w="110"/>
        <w:gridCol w:w="5300"/>
      </w:tblGrid>
      <w:tr w14:paraId="7BA2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5D9DACC0">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786" w:type="dxa"/>
            <w:tcBorders>
              <w:top w:val="single" w:color="auto" w:sz="4" w:space="0"/>
              <w:left w:val="single" w:color="auto" w:sz="4" w:space="0"/>
              <w:bottom w:val="single" w:color="auto" w:sz="4" w:space="0"/>
              <w:right w:val="single" w:color="auto" w:sz="4" w:space="0"/>
            </w:tcBorders>
            <w:vAlign w:val="center"/>
          </w:tcPr>
          <w:p w14:paraId="252789D5">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6905" w:type="dxa"/>
            <w:gridSpan w:val="3"/>
            <w:tcBorders>
              <w:top w:val="single" w:color="auto" w:sz="4" w:space="0"/>
              <w:left w:val="single" w:color="auto" w:sz="4" w:space="0"/>
              <w:bottom w:val="single" w:color="auto" w:sz="4" w:space="0"/>
              <w:right w:val="single" w:color="auto" w:sz="4" w:space="0"/>
            </w:tcBorders>
            <w:vAlign w:val="center"/>
          </w:tcPr>
          <w:p w14:paraId="207B94C0">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评标标准</w:t>
            </w:r>
          </w:p>
        </w:tc>
      </w:tr>
      <w:tr w14:paraId="4696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60748222">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1786" w:type="dxa"/>
            <w:tcBorders>
              <w:top w:val="single" w:color="auto" w:sz="4" w:space="0"/>
              <w:left w:val="single" w:color="auto" w:sz="4" w:space="0"/>
              <w:bottom w:val="single" w:color="auto" w:sz="4" w:space="0"/>
              <w:right w:val="single" w:color="auto" w:sz="4" w:space="0"/>
            </w:tcBorders>
            <w:vAlign w:val="center"/>
          </w:tcPr>
          <w:p w14:paraId="539F76A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价格分</w:t>
            </w:r>
          </w:p>
          <w:p w14:paraId="6F239A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（满分10分）</w:t>
            </w:r>
          </w:p>
        </w:tc>
        <w:tc>
          <w:tcPr>
            <w:tcW w:w="6905" w:type="dxa"/>
            <w:gridSpan w:val="3"/>
            <w:tcBorders>
              <w:top w:val="single" w:color="auto" w:sz="4" w:space="0"/>
              <w:left w:val="single" w:color="auto" w:sz="4" w:space="0"/>
              <w:bottom w:val="single" w:color="auto" w:sz="4" w:space="0"/>
              <w:right w:val="single" w:color="auto" w:sz="4" w:space="0"/>
            </w:tcBorders>
            <w:vAlign w:val="center"/>
          </w:tcPr>
          <w:p w14:paraId="148F5791">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评标价为投标人的投标报价进行政策性扣除后的价格，评标价只是作为评标时使用。最终中标人的中标金额=投标报价。</w:t>
            </w:r>
          </w:p>
          <w:p w14:paraId="2102D730">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2）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20%的扣除，扣除后的价格为评标价，即评标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价=投标报价×（1-4%）。除上述情况外，评标价=投标报价。</w:t>
            </w:r>
          </w:p>
          <w:p w14:paraId="3334366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6E58CED">
            <w:pPr>
              <w:spacing w:line="360" w:lineRule="auto"/>
              <w:ind w:firstLine="435"/>
              <w:rPr>
                <w:rFonts w:ascii="宋体" w:hAnsi="宋体" w:cs="宋体"/>
                <w:color w:val="auto"/>
                <w:sz w:val="24"/>
                <w:highlight w:val="none"/>
              </w:rPr>
            </w:pPr>
            <w:r>
              <w:rPr>
                <w:rFonts w:hint="eastAsia" w:ascii="宋体" w:hAnsi="宋体" w:cs="宋体"/>
                <w:bCs/>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0725788">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（5）政策性扣除计算方法。</w:t>
            </w:r>
          </w:p>
          <w:p w14:paraId="7471BE4A">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投标人被认定为监狱企业或残疾人福利性单位或小型和微型企业的，该投标报价给予20%的扣除，扣除后的价格为评标价，即评标价=投标报价×（1-20%）；除上述情况外，评标价=投标报价。</w:t>
            </w:r>
          </w:p>
          <w:p w14:paraId="10E4E852">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（6）满足招标文件要求且评标价最低的评标价为评标基准价，其价格分为满分。</w:t>
            </w:r>
          </w:p>
          <w:p w14:paraId="0463F93C">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（7）价格分计算公式：</w:t>
            </w:r>
          </w:p>
          <w:p w14:paraId="390A8404">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某投标人价格分=</w:t>
            </w:r>
            <w:r>
              <w:rPr>
                <w:rFonts w:ascii="宋体" w:hAnsi="宋体" w:cs="宋体"/>
                <w:color w:val="auto"/>
                <w:sz w:val="24"/>
                <w:highlight w:val="none"/>
              </w:rPr>
              <w:t>（评标</w:t>
            </w:r>
            <w:r>
              <w:rPr>
                <w:rFonts w:hint="eastAsia" w:ascii="宋体" w:hAnsi="宋体" w:cs="宋体"/>
                <w:color w:val="auto"/>
                <w:sz w:val="24"/>
                <w:highlight w:val="none"/>
              </w:rPr>
              <w:t>基准价/某投标人评标价</w:t>
            </w:r>
            <w:r>
              <w:rPr>
                <w:rFonts w:ascii="宋体" w:hAnsi="宋体" w:cs="宋体"/>
                <w:color w:val="auto"/>
                <w:sz w:val="24"/>
                <w:highlight w:val="none"/>
              </w:rPr>
              <w:t>）</w:t>
            </w:r>
            <w:r>
              <w:rPr>
                <w:rFonts w:hint="eastAsia" w:ascii="宋体" w:hAnsi="宋体" w:cs="宋体"/>
                <w:color w:val="auto"/>
                <w:sz w:val="24"/>
                <w:highlight w:val="none"/>
              </w:rPr>
              <w:t>×10分。</w:t>
            </w:r>
          </w:p>
          <w:p w14:paraId="21AEC56F">
            <w:pPr>
              <w:spacing w:line="360" w:lineRule="auto"/>
              <w:ind w:firstLine="435"/>
              <w:rPr>
                <w:rFonts w:ascii="宋体" w:hAnsi="宋体" w:cs="宋体"/>
                <w:bCs/>
                <w:color w:val="auto"/>
                <w:sz w:val="24"/>
                <w:highlight w:val="none"/>
              </w:rPr>
            </w:pPr>
            <w:r>
              <w:rPr>
                <w:rFonts w:hint="eastAsia" w:ascii="宋体" w:hAnsi="宋体" w:cs="宋体"/>
                <w:color w:val="auto"/>
                <w:sz w:val="24"/>
                <w:highlight w:val="none"/>
              </w:rPr>
              <w:t>注：评审过程中，如评标委员会认为某投标报价明显低于成本报价或明显低于其他通过符合性审查投标人的报价，有可能影响服务质量或者不能诚信履约的，有权要求其在</w:t>
            </w:r>
            <w:r>
              <w:rPr>
                <w:rFonts w:ascii="宋体" w:hAnsi="宋体" w:cs="宋体"/>
                <w:color w:val="auto"/>
                <w:sz w:val="24"/>
                <w:highlight w:val="none"/>
              </w:rPr>
              <w:t>评标委员会</w:t>
            </w:r>
            <w:r>
              <w:rPr>
                <w:rFonts w:hint="eastAsia" w:ascii="宋体" w:hAnsi="宋体" w:cs="宋体"/>
                <w:color w:val="auto"/>
                <w:sz w:val="24"/>
                <w:highlight w:val="none"/>
              </w:rPr>
              <w:t>规定的时间内上传情况说明及相关证明材料，投标人不能证明其报价合理性的，评标委员会有权将其作为无效投标处理。【情况说明及证明材料至少包括“本次服务采购项目实施和完成服务所用装备费、器材费、管理费、利润、税费、人工成本等完成服务所必须的一切成本费用，以及招标文件及合同包含的所有风险、责任等各项已列明费用或未列明费用的说明。其中：人工成本需包含人工工资、人员服装费、</w:t>
            </w:r>
            <w:r>
              <w:rPr>
                <w:rFonts w:ascii="宋体" w:hAnsi="宋体" w:cs="宋体"/>
                <w:color w:val="auto"/>
                <w:sz w:val="24"/>
                <w:highlight w:val="none"/>
              </w:rPr>
              <w:t>法定社会保险（养老保险、医疗保险、失业保险、工伤保险、生育保险）</w:t>
            </w:r>
            <w:r>
              <w:rPr>
                <w:rFonts w:hint="eastAsia" w:ascii="宋体" w:hAnsi="宋体" w:cs="宋体"/>
                <w:color w:val="auto"/>
                <w:sz w:val="24"/>
                <w:highlight w:val="none"/>
              </w:rPr>
              <w:t>、福利费、其他商业保险及在人员使用上应包括的一切费用。】</w:t>
            </w:r>
          </w:p>
        </w:tc>
      </w:tr>
      <w:tr w14:paraId="46C7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cBorders>
              <w:top w:val="single" w:color="auto" w:sz="4" w:space="0"/>
              <w:left w:val="single" w:color="auto" w:sz="4" w:space="0"/>
              <w:right w:val="single" w:color="auto" w:sz="4" w:space="0"/>
            </w:tcBorders>
            <w:vAlign w:val="center"/>
          </w:tcPr>
          <w:p w14:paraId="6478D1EA">
            <w:pPr>
              <w:adjustRightInd w:val="0"/>
              <w:snapToGrid w:val="0"/>
              <w:spacing w:line="360" w:lineRule="auto"/>
              <w:jc w:val="center"/>
              <w:textAlignment w:val="baseline"/>
              <w:rPr>
                <w:rFonts w:ascii="宋体" w:hAnsi="宋体" w:cs="宋体"/>
                <w:bCs/>
                <w:color w:val="auto"/>
                <w:kern w:val="0"/>
                <w:sz w:val="24"/>
                <w:highlight w:val="none"/>
              </w:rPr>
            </w:pPr>
            <w:r>
              <w:rPr>
                <w:rFonts w:hint="eastAsia" w:ascii="宋体" w:hAnsi="宋体" w:cs="宋体"/>
                <w:b/>
                <w:color w:val="auto"/>
                <w:sz w:val="24"/>
                <w:highlight w:val="none"/>
              </w:rPr>
              <w:t>2</w:t>
            </w:r>
          </w:p>
        </w:tc>
        <w:tc>
          <w:tcPr>
            <w:tcW w:w="1786" w:type="dxa"/>
            <w:vMerge w:val="restart"/>
            <w:tcBorders>
              <w:top w:val="single" w:color="auto" w:sz="4" w:space="0"/>
              <w:left w:val="single" w:color="auto" w:sz="4" w:space="0"/>
              <w:right w:val="single" w:color="auto" w:sz="4" w:space="0"/>
            </w:tcBorders>
            <w:vAlign w:val="center"/>
          </w:tcPr>
          <w:p w14:paraId="38B7EE18">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项目实施方案分</w:t>
            </w:r>
          </w:p>
          <w:p w14:paraId="6A6A74FE">
            <w:pPr>
              <w:snapToGrid w:val="0"/>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（满分52分）</w:t>
            </w:r>
          </w:p>
        </w:tc>
        <w:tc>
          <w:tcPr>
            <w:tcW w:w="1495" w:type="dxa"/>
            <w:tcBorders>
              <w:top w:val="single" w:color="auto" w:sz="4" w:space="0"/>
              <w:left w:val="single" w:color="auto" w:sz="4" w:space="0"/>
              <w:bottom w:val="single" w:color="auto" w:sz="4" w:space="0"/>
              <w:right w:val="single" w:color="auto" w:sz="4" w:space="0"/>
            </w:tcBorders>
            <w:vAlign w:val="center"/>
          </w:tcPr>
          <w:p w14:paraId="78D42101">
            <w:pPr>
              <w:spacing w:line="360" w:lineRule="auto"/>
              <w:rPr>
                <w:rFonts w:ascii="宋体" w:hAnsi="宋体" w:cs="宋体"/>
                <w:color w:val="auto"/>
                <w:sz w:val="24"/>
                <w:highlight w:val="none"/>
              </w:rPr>
            </w:pPr>
            <w:r>
              <w:rPr>
                <w:rFonts w:hint="eastAsia" w:ascii="宋体" w:hAnsi="宋体" w:cs="宋体"/>
                <w:color w:val="auto"/>
                <w:sz w:val="24"/>
                <w:highlight w:val="none"/>
              </w:rPr>
              <w:t>（1）服务区域安保管理措施（满分15分）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3C27160A">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（1）评标委员会对各投标人提供的“服务区域安保管理措施”内容的完整性、针对性、合理性等方面进行独立评审并独立打分：</w:t>
            </w:r>
          </w:p>
          <w:p w14:paraId="66A91047">
            <w:pPr>
              <w:widowControl/>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一档（5分）：基本理解项目采购需求及采购人安保服务的特殊性，据此提供安保管理措施。涵盖岗位职责、项目组织结构、人员录用与考勤、日常巡逻、交通管理、治安管理（含专项消防安全管理措施）、特殊时段管理、治安宣传等招标文件规定的内容。满足招标文件规定的人员配置及资格要求。承诺落实企业在安全、质量、社会及教育方面的责任，提供具体落实措施。</w:t>
            </w:r>
          </w:p>
          <w:p w14:paraId="0D207C14">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二档（10分）：理解项目采购需求及采购人安保服务的特殊性（尤其是与教育教学活动相关的特点），据此提供具有针对性的安保管理措施。该措施内容完整，涵盖岗位职责、项目组织结构、人员录用与考勤、日常巡逻、交通管理、治安管理（含专项消防安全管理措施）、特殊时段管理、治安宣传及增值服务措施等招标文件规定的全部内容，各项管理措施要点清晰、可操作。在满足招标文件</w:t>
            </w:r>
            <w:r>
              <w:rPr>
                <w:rFonts w:ascii="宋体" w:hAnsi="宋体" w:cs="宋体"/>
                <w:bCs/>
                <w:color w:val="auto"/>
                <w:sz w:val="24"/>
                <w:highlight w:val="none"/>
              </w:rPr>
              <w:t>规定的人员配置及资格要求</w:t>
            </w:r>
            <w:r>
              <w:rPr>
                <w:rFonts w:hint="eastAsia" w:ascii="宋体" w:hAnsi="宋体" w:cs="宋体"/>
                <w:bCs/>
                <w:color w:val="auto"/>
                <w:sz w:val="24"/>
                <w:highlight w:val="none"/>
              </w:rPr>
              <w:t>的基础上，措施中的人员配置（如专业技能、经验结构、应急能力等）符合采购人需求。承诺落实企业在安全、质量、社会及教育方面的责任，提供具体落实措施。</w:t>
            </w:r>
          </w:p>
          <w:p w14:paraId="0DB972E3">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三档（15分）：能完全且准确理解项目采购需求及采购人安保服务的特殊性（尤其是与教育教学活动相关的特点），据此提供</w:t>
            </w:r>
            <w:r>
              <w:rPr>
                <w:rStyle w:val="55"/>
                <w:rFonts w:hint="eastAsia" w:ascii="宋体" w:hAnsi="宋体" w:cs="宋体"/>
                <w:b w:val="0"/>
                <w:bCs/>
                <w:color w:val="auto"/>
                <w:sz w:val="24"/>
                <w:highlight w:val="none"/>
              </w:rPr>
              <w:t>具有高度针对性的安保管理措施</w:t>
            </w:r>
            <w:r>
              <w:rPr>
                <w:rFonts w:hint="eastAsia" w:ascii="宋体" w:hAnsi="宋体" w:cs="宋体"/>
                <w:bCs/>
                <w:color w:val="auto"/>
                <w:sz w:val="24"/>
                <w:highlight w:val="none"/>
              </w:rPr>
              <w:t>。该措施</w:t>
            </w:r>
            <w:r>
              <w:rPr>
                <w:rStyle w:val="55"/>
                <w:rFonts w:hint="eastAsia" w:ascii="宋体" w:hAnsi="宋体" w:cs="宋体"/>
                <w:b w:val="0"/>
                <w:bCs/>
                <w:color w:val="auto"/>
                <w:sz w:val="24"/>
                <w:highlight w:val="none"/>
              </w:rPr>
              <w:t>内容完整清晰</w:t>
            </w:r>
            <w:r>
              <w:rPr>
                <w:rFonts w:hint="eastAsia" w:ascii="宋体" w:hAnsi="宋体" w:cs="宋体"/>
                <w:bCs/>
                <w:color w:val="auto"/>
                <w:sz w:val="24"/>
                <w:highlight w:val="none"/>
              </w:rPr>
              <w:t>，</w:t>
            </w:r>
            <w:r>
              <w:rPr>
                <w:rFonts w:ascii="宋体" w:hAnsi="宋体" w:cs="宋体"/>
                <w:bCs/>
                <w:color w:val="auto"/>
                <w:sz w:val="24"/>
                <w:highlight w:val="none"/>
              </w:rPr>
              <w:t>全面</w:t>
            </w:r>
            <w:r>
              <w:rPr>
                <w:rFonts w:hint="eastAsia" w:ascii="宋体" w:hAnsi="宋体" w:cs="宋体"/>
                <w:bCs/>
                <w:color w:val="auto"/>
                <w:sz w:val="24"/>
                <w:highlight w:val="none"/>
              </w:rPr>
              <w:t>涵盖岗位职责、项目组织结构、人员录用与考勤、日常巡逻、交通管理、治安管理（</w:t>
            </w:r>
            <w:r>
              <w:rPr>
                <w:rStyle w:val="55"/>
                <w:rFonts w:hint="eastAsia" w:ascii="宋体" w:hAnsi="宋体" w:cs="宋体"/>
                <w:b w:val="0"/>
                <w:bCs/>
                <w:color w:val="auto"/>
                <w:sz w:val="24"/>
                <w:highlight w:val="none"/>
              </w:rPr>
              <w:t>含专项消防安全管理措施</w:t>
            </w:r>
            <w:r>
              <w:rPr>
                <w:rFonts w:hint="eastAsia" w:ascii="宋体" w:hAnsi="宋体" w:cs="宋体"/>
                <w:bCs/>
                <w:color w:val="auto"/>
                <w:sz w:val="24"/>
                <w:highlight w:val="none"/>
              </w:rPr>
              <w:t>）、特殊时段管理、治安宣传及增值服务措施等招标文件规定的全部内容，各项管理措施要点清晰、可操作性强。在满足招标文件</w:t>
            </w:r>
            <w:r>
              <w:rPr>
                <w:rFonts w:ascii="宋体" w:hAnsi="宋体" w:cs="宋体"/>
                <w:bCs/>
                <w:color w:val="auto"/>
                <w:sz w:val="24"/>
                <w:highlight w:val="none"/>
              </w:rPr>
              <w:t>规定的人员配置及资格要求</w:t>
            </w:r>
            <w:r>
              <w:rPr>
                <w:rFonts w:hint="eastAsia" w:ascii="宋体" w:hAnsi="宋体" w:cs="宋体"/>
                <w:bCs/>
                <w:color w:val="auto"/>
                <w:sz w:val="24"/>
                <w:highlight w:val="none"/>
              </w:rPr>
              <w:t>的基础上，措施中的人员配置（如专业技能、经验结构、应急能力等）</w:t>
            </w:r>
            <w:r>
              <w:rPr>
                <w:rFonts w:ascii="宋体" w:hAnsi="宋体" w:cs="宋体"/>
                <w:bCs/>
                <w:color w:val="auto"/>
                <w:sz w:val="24"/>
                <w:highlight w:val="none"/>
              </w:rPr>
              <w:t>体现出显著</w:t>
            </w:r>
            <w:r>
              <w:rPr>
                <w:rFonts w:hint="eastAsia" w:ascii="宋体" w:hAnsi="宋体" w:cs="宋体"/>
                <w:bCs/>
                <w:color w:val="auto"/>
                <w:sz w:val="24"/>
                <w:highlight w:val="none"/>
              </w:rPr>
              <w:t>具体</w:t>
            </w:r>
            <w:r>
              <w:rPr>
                <w:rFonts w:ascii="宋体" w:hAnsi="宋体" w:cs="宋体"/>
                <w:bCs/>
                <w:color w:val="auto"/>
                <w:sz w:val="24"/>
                <w:highlight w:val="none"/>
              </w:rPr>
              <w:t>优势或强化配置方案</w:t>
            </w:r>
            <w:r>
              <w:rPr>
                <w:rFonts w:hint="eastAsia" w:ascii="宋体" w:hAnsi="宋体" w:cs="宋体"/>
                <w:bCs/>
                <w:color w:val="auto"/>
                <w:sz w:val="24"/>
                <w:highlight w:val="none"/>
              </w:rPr>
              <w:t>。清晰认知并承诺落实企业在安全、质量、社会及教育方面的责任，提供具体落实措施。</w:t>
            </w:r>
          </w:p>
          <w:p w14:paraId="2887073A">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7C2B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686A147F">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31B8836F">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74405E0E">
            <w:pPr>
              <w:spacing w:line="360" w:lineRule="auto"/>
              <w:rPr>
                <w:rFonts w:ascii="宋体" w:hAnsi="宋体" w:cs="宋体"/>
                <w:color w:val="auto"/>
                <w:sz w:val="24"/>
                <w:highlight w:val="none"/>
              </w:rPr>
            </w:pPr>
            <w:r>
              <w:rPr>
                <w:rFonts w:hint="eastAsia" w:ascii="宋体" w:hAnsi="宋体" w:cs="宋体"/>
                <w:color w:val="auto"/>
                <w:sz w:val="24"/>
                <w:highlight w:val="none"/>
              </w:rPr>
              <w:t>（2）人员管理制度、人员培训方案（满分8分）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5EE9DD66">
            <w:pPr>
              <w:spacing w:line="360" w:lineRule="auto"/>
              <w:ind w:firstLine="435"/>
              <w:rPr>
                <w:rFonts w:ascii="宋体" w:hAnsi="宋体" w:cs="宋体"/>
                <w:b/>
                <w:bCs/>
                <w:color w:val="auto"/>
                <w:sz w:val="24"/>
                <w:highlight w:val="none"/>
              </w:rPr>
            </w:pPr>
            <w:r>
              <w:rPr>
                <w:rFonts w:hint="eastAsia" w:ascii="宋体" w:hAnsi="宋体" w:cs="宋体"/>
                <w:b/>
                <w:bCs/>
                <w:color w:val="auto"/>
                <w:sz w:val="24"/>
                <w:highlight w:val="none"/>
              </w:rPr>
              <w:t>（2）评标委员会对各投标人提供的“人员管理制度、人员培训方案”内容的完整性、针对性、合理性等方面进行独立评审并独立打分：</w:t>
            </w:r>
          </w:p>
          <w:p w14:paraId="713F70F8">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2分）：人员管理制度涵盖招标要求，包括但不限于岗位权责、操作流程及考核标准、人员招聘配置、稳定性措施、劳动/劳务纠纷处理机制等，基本符合采购需求要求。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，基本符合采购需求要求</w:t>
            </w:r>
            <w:r>
              <w:rPr>
                <w:rFonts w:hint="eastAsia" w:ascii="宋体" w:hAnsi="宋体" w:cs="宋体"/>
                <w:color w:val="auto"/>
                <w:kern w:val="0"/>
                <w:sz w:val="24"/>
                <w:highlight w:val="none"/>
              </w:rPr>
              <w:t>。</w:t>
            </w:r>
          </w:p>
          <w:p w14:paraId="3F48BB2F">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5分）：人员管理制度全面涵盖招标要求，包括但不限于岗位权责、操作流程及考核标准、人员招聘配置、稳定性措施、劳动/劳务纠纷处理机制等，符合采购需求要求，兼具针对性、可操作性。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，方案有管理流程（附流程图）等，</w:t>
            </w:r>
            <w:r>
              <w:rPr>
                <w:rFonts w:hint="eastAsia" w:ascii="宋体" w:hAnsi="宋体" w:cs="宋体"/>
                <w:color w:val="auto"/>
                <w:sz w:val="24"/>
                <w:highlight w:val="none"/>
              </w:rPr>
              <w:t>培训方案整体合理</w:t>
            </w:r>
            <w:r>
              <w:rPr>
                <w:rFonts w:hint="eastAsia" w:ascii="宋体" w:hAnsi="宋体" w:cs="宋体"/>
                <w:bCs/>
                <w:color w:val="auto"/>
                <w:sz w:val="24"/>
                <w:highlight w:val="none"/>
              </w:rPr>
              <w:t>，兼具针对性、可操作性</w:t>
            </w:r>
            <w:r>
              <w:rPr>
                <w:rFonts w:hint="eastAsia" w:ascii="宋体" w:hAnsi="宋体" w:cs="宋体"/>
                <w:color w:val="auto"/>
                <w:kern w:val="0"/>
                <w:sz w:val="24"/>
                <w:highlight w:val="none"/>
              </w:rPr>
              <w:t>。</w:t>
            </w:r>
          </w:p>
          <w:p w14:paraId="4D8C3CF4">
            <w:pPr>
              <w:spacing w:line="360" w:lineRule="auto"/>
              <w:ind w:firstLine="435"/>
              <w:rPr>
                <w:rFonts w:ascii="宋体" w:hAnsi="宋体" w:cs="宋体"/>
                <w:color w:val="auto"/>
                <w:kern w:val="0"/>
                <w:sz w:val="24"/>
                <w:highlight w:val="none"/>
              </w:rPr>
            </w:pPr>
            <w:r>
              <w:rPr>
                <w:rFonts w:hint="eastAsia" w:ascii="宋体" w:hAnsi="宋体" w:cs="宋体"/>
                <w:bCs/>
                <w:color w:val="auto"/>
                <w:sz w:val="24"/>
                <w:highlight w:val="none"/>
              </w:rPr>
              <w:t>三档（8分）：人员管理制度全面涵盖招标要求，包括但不限于岗位权责、操作流程及考核标准、人员招聘配置、稳定性措施、劳动/劳务纠纷处理机制等，完全符合采购需求要求，针对性、可操作性及实践指导性更强。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，方案有针对性的管理流程（附流程图）等，</w:t>
            </w:r>
            <w:r>
              <w:rPr>
                <w:rFonts w:hint="eastAsia" w:ascii="宋体" w:hAnsi="宋体" w:cs="宋体"/>
                <w:color w:val="auto"/>
                <w:sz w:val="24"/>
                <w:highlight w:val="none"/>
              </w:rPr>
              <w:t>培训方案整体科学合理</w:t>
            </w:r>
            <w:r>
              <w:rPr>
                <w:rFonts w:hint="eastAsia" w:ascii="宋体" w:hAnsi="宋体" w:cs="宋体"/>
                <w:bCs/>
                <w:color w:val="auto"/>
                <w:sz w:val="24"/>
                <w:highlight w:val="none"/>
              </w:rPr>
              <w:t>，针对性、可操作性及实践指导性更强</w:t>
            </w:r>
            <w:r>
              <w:rPr>
                <w:rFonts w:hint="eastAsia" w:ascii="宋体" w:hAnsi="宋体" w:cs="宋体"/>
                <w:color w:val="auto"/>
                <w:sz w:val="24"/>
                <w:highlight w:val="none"/>
              </w:rPr>
              <w:t>，并提供有利于采购人项目实施和完善服务的其它培训建议</w:t>
            </w:r>
            <w:r>
              <w:rPr>
                <w:rFonts w:hint="eastAsia" w:ascii="宋体" w:hAnsi="宋体" w:cs="宋体"/>
                <w:color w:val="auto"/>
                <w:kern w:val="0"/>
                <w:sz w:val="24"/>
                <w:highlight w:val="none"/>
              </w:rPr>
              <w:t>。</w:t>
            </w:r>
          </w:p>
          <w:p w14:paraId="4B0C63C5">
            <w:pPr>
              <w:spacing w:line="360" w:lineRule="auto"/>
              <w:ind w:firstLine="435"/>
              <w:rPr>
                <w:rFonts w:ascii="宋体" w:hAnsi="宋体" w:cs="宋体"/>
                <w:color w:val="auto"/>
                <w:kern w:val="0"/>
                <w:sz w:val="24"/>
                <w:highlight w:val="none"/>
              </w:rPr>
            </w:pPr>
            <w:r>
              <w:rPr>
                <w:rFonts w:hint="eastAsia" w:ascii="宋体" w:hAnsi="宋体" w:cs="宋体"/>
                <w:b/>
                <w:bCs/>
                <w:color w:val="auto"/>
                <w:kern w:val="0"/>
                <w:sz w:val="24"/>
                <w:highlight w:val="none"/>
              </w:rPr>
              <w:t>注：未提供该项内容或未达到一档的，本项不得分。</w:t>
            </w:r>
          </w:p>
        </w:tc>
      </w:tr>
      <w:tr w14:paraId="39F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4A0BC9B4">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1211C051">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79F709F5">
            <w:pPr>
              <w:spacing w:line="360" w:lineRule="auto"/>
              <w:rPr>
                <w:rFonts w:ascii="宋体" w:hAnsi="宋体" w:cs="宋体"/>
                <w:color w:val="auto"/>
                <w:sz w:val="24"/>
                <w:highlight w:val="none"/>
              </w:rPr>
            </w:pPr>
            <w:r>
              <w:rPr>
                <w:rFonts w:hint="eastAsia" w:ascii="宋体" w:hAnsi="宋体" w:cs="宋体"/>
                <w:color w:val="auto"/>
                <w:sz w:val="24"/>
                <w:highlight w:val="none"/>
              </w:rPr>
              <w:t>（3）物资装备配</w:t>
            </w:r>
            <w:r>
              <w:rPr>
                <w:rFonts w:ascii="宋体" w:hAnsi="宋体" w:cs="宋体"/>
                <w:color w:val="auto"/>
                <w:sz w:val="24"/>
                <w:highlight w:val="none"/>
              </w:rPr>
              <w:t>置</w:t>
            </w:r>
            <w:r>
              <w:rPr>
                <w:rFonts w:hint="eastAsia" w:ascii="宋体" w:hAnsi="宋体" w:cs="宋体"/>
                <w:color w:val="auto"/>
                <w:sz w:val="24"/>
                <w:highlight w:val="none"/>
              </w:rPr>
              <w:t>方案（满分5分）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50EF3609">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（3）评标委员会根据本项目采购需求及要求，对各投标人提供的“物资装备配</w:t>
            </w:r>
            <w:r>
              <w:rPr>
                <w:rFonts w:ascii="宋体" w:hAnsi="宋体" w:cs="宋体"/>
                <w:b/>
                <w:bCs/>
                <w:color w:val="auto"/>
                <w:sz w:val="24"/>
                <w:highlight w:val="none"/>
              </w:rPr>
              <w:t>置</w:t>
            </w:r>
            <w:r>
              <w:rPr>
                <w:rFonts w:hint="eastAsia" w:ascii="宋体" w:hAnsi="宋体" w:cs="宋体"/>
                <w:b/>
                <w:bCs/>
                <w:color w:val="auto"/>
                <w:sz w:val="24"/>
                <w:highlight w:val="none"/>
              </w:rPr>
              <w:t>方案”内容的完整性、针对性、合理性等方面进行独立评审并独立打分：</w:t>
            </w:r>
          </w:p>
          <w:p w14:paraId="52BDCE24">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一档（1分）：物资装备配置合理，物资装备</w:t>
            </w:r>
            <w:r>
              <w:rPr>
                <w:rFonts w:ascii="宋体" w:hAnsi="宋体" w:cs="宋体"/>
                <w:bCs/>
                <w:color w:val="auto"/>
                <w:sz w:val="24"/>
                <w:highlight w:val="none"/>
              </w:rPr>
              <w:t>配置</w:t>
            </w:r>
            <w:r>
              <w:rPr>
                <w:rFonts w:hint="eastAsia" w:ascii="宋体" w:hAnsi="宋体" w:cs="宋体"/>
                <w:bCs/>
                <w:color w:val="auto"/>
                <w:sz w:val="24"/>
                <w:highlight w:val="none"/>
              </w:rPr>
              <w:t>方案内容基本齐全</w:t>
            </w:r>
            <w:r>
              <w:rPr>
                <w:rFonts w:ascii="宋体" w:hAnsi="宋体" w:cs="宋体"/>
                <w:bCs/>
                <w:color w:val="auto"/>
                <w:sz w:val="24"/>
                <w:highlight w:val="none"/>
              </w:rPr>
              <w:t>，</w:t>
            </w:r>
            <w:r>
              <w:rPr>
                <w:rFonts w:hint="eastAsia" w:ascii="宋体" w:hAnsi="宋体" w:cs="宋体"/>
                <w:bCs/>
                <w:color w:val="auto"/>
                <w:sz w:val="24"/>
                <w:highlight w:val="none"/>
              </w:rPr>
              <w:t>基本满足项目采购需求。</w:t>
            </w:r>
          </w:p>
          <w:p w14:paraId="1DAA04C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二档（3分）：物资装备配置合理、完整，物资</w:t>
            </w:r>
            <w:r>
              <w:rPr>
                <w:rFonts w:ascii="宋体" w:hAnsi="宋体" w:cs="宋体"/>
                <w:bCs/>
                <w:color w:val="auto"/>
                <w:sz w:val="24"/>
                <w:highlight w:val="none"/>
              </w:rPr>
              <w:t>装备</w:t>
            </w:r>
            <w:r>
              <w:rPr>
                <w:rFonts w:hint="eastAsia" w:ascii="宋体" w:hAnsi="宋体" w:cs="宋体"/>
                <w:bCs/>
                <w:color w:val="auto"/>
                <w:sz w:val="24"/>
                <w:highlight w:val="none"/>
              </w:rPr>
              <w:t>配置方案内容详细、全面，可行、具有针对性、可操作性，针对采购人的整体布局特点提出针对性配置方案，整个方案满足项目采购需求。</w:t>
            </w:r>
          </w:p>
          <w:p w14:paraId="14D28310">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三档（5分）：物资装备配置合理、完整、详细，物资</w:t>
            </w:r>
            <w:r>
              <w:rPr>
                <w:rFonts w:ascii="宋体" w:hAnsi="宋体" w:cs="宋体"/>
                <w:bCs/>
                <w:color w:val="auto"/>
                <w:sz w:val="24"/>
                <w:highlight w:val="none"/>
              </w:rPr>
              <w:t>装备</w:t>
            </w:r>
            <w:r>
              <w:rPr>
                <w:rFonts w:hint="eastAsia" w:ascii="宋体" w:hAnsi="宋体" w:cs="宋体"/>
                <w:bCs/>
                <w:color w:val="auto"/>
                <w:sz w:val="24"/>
                <w:highlight w:val="none"/>
              </w:rPr>
              <w:t>配置方案内容详细、全面、科学、具体、专业、针对性、可操作性及实践指导性，具备应用现代安保技术与设备设施的能力及相应专业人员更强，承诺在本项目中采用</w:t>
            </w:r>
            <w:r>
              <w:rPr>
                <w:rStyle w:val="55"/>
                <w:rFonts w:hint="eastAsia" w:ascii="宋体" w:hAnsi="宋体" w:cs="宋体"/>
                <w:b w:val="0"/>
                <w:bCs/>
                <w:color w:val="auto"/>
                <w:sz w:val="24"/>
                <w:highlight w:val="none"/>
              </w:rPr>
              <w:t>智能化技术手段</w:t>
            </w:r>
            <w:r>
              <w:rPr>
                <w:rFonts w:hint="eastAsia" w:ascii="宋体" w:hAnsi="宋体" w:cs="宋体"/>
                <w:bCs/>
                <w:color w:val="auto"/>
                <w:sz w:val="24"/>
                <w:highlight w:val="none"/>
              </w:rPr>
              <w:t>（如：AI识别、数据分析等）提升服务质量。针对采购人的整体布局特点提出针对性配置方案，整个方案</w:t>
            </w:r>
            <w:r>
              <w:rPr>
                <w:rFonts w:hint="eastAsia" w:ascii="宋体" w:hAnsi="宋体" w:cs="宋体"/>
                <w:bCs/>
                <w:color w:val="auto"/>
                <w:sz w:val="24"/>
                <w:highlight w:val="none"/>
                <w:lang w:bidi="ar"/>
              </w:rPr>
              <w:t>优于并</w:t>
            </w:r>
            <w:r>
              <w:rPr>
                <w:rFonts w:ascii="宋体" w:hAnsi="宋体" w:cs="宋体"/>
                <w:bCs/>
                <w:color w:val="auto"/>
                <w:sz w:val="24"/>
                <w:highlight w:val="none"/>
              </w:rPr>
              <w:t>完全</w:t>
            </w:r>
            <w:r>
              <w:rPr>
                <w:rFonts w:hint="eastAsia" w:ascii="宋体" w:hAnsi="宋体" w:cs="宋体"/>
                <w:bCs/>
                <w:color w:val="auto"/>
                <w:sz w:val="24"/>
                <w:highlight w:val="none"/>
              </w:rPr>
              <w:t>满足项目采购需求。</w:t>
            </w:r>
          </w:p>
          <w:p w14:paraId="4EB69C2E">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145B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530CD8F2">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32D868BD">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0B43AA2F">
            <w:pPr>
              <w:spacing w:line="360" w:lineRule="auto"/>
              <w:rPr>
                <w:rFonts w:ascii="宋体" w:hAnsi="宋体" w:cs="宋体"/>
                <w:color w:val="auto"/>
                <w:sz w:val="24"/>
                <w:highlight w:val="none"/>
              </w:rPr>
            </w:pPr>
            <w:r>
              <w:rPr>
                <w:rFonts w:hint="eastAsia" w:ascii="宋体" w:hAnsi="宋体" w:cs="宋体"/>
                <w:color w:val="auto"/>
                <w:sz w:val="24"/>
                <w:highlight w:val="none"/>
              </w:rPr>
              <w:t>（4）应急处置预案（满分12分）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4FDB0305">
            <w:pPr>
              <w:spacing w:line="360" w:lineRule="auto"/>
              <w:ind w:firstLine="435"/>
              <w:rPr>
                <w:rFonts w:ascii="宋体" w:hAnsi="宋体" w:cs="宋体"/>
                <w:bCs/>
                <w:color w:val="auto"/>
                <w:sz w:val="24"/>
                <w:highlight w:val="none"/>
              </w:rPr>
            </w:pPr>
            <w:r>
              <w:rPr>
                <w:rFonts w:hint="eastAsia" w:ascii="宋体" w:hAnsi="宋体" w:cs="宋体"/>
                <w:b/>
                <w:bCs/>
                <w:color w:val="auto"/>
                <w:sz w:val="24"/>
                <w:highlight w:val="none"/>
              </w:rPr>
              <w:t>（4）评标委员会对各投标人提供的“应急处置预案”内容的完整性、针对性、合理性等方面进行独立评审并独立打分：</w:t>
            </w:r>
          </w:p>
          <w:p w14:paraId="7439E194">
            <w:pPr>
              <w:widowControl/>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一档（4分）：应急处置预案内容基本齐全。有应急指挥机构及职责分工、应急资源（人力、物资、装备、通讯）保障方案。有应急处置预案、应急响应流程及响应流程图。针对不同类型场景的的专项应急预案，包括但不限于：重大活动保障（如招生、迎新、开学典礼、军训、毕业典礼等校级以上活动）、节假日安全保障、突发事件处置（包括自然灾害、火灾、交通事故、治安事件、反恐防暴等）、结合各区域特点及采购人可能发生的其他特殊情况的预案。承诺在保障措施可行基础上，人员安排、设备、响应时间等方面能较好应对突发事件。</w:t>
            </w:r>
          </w:p>
          <w:p w14:paraId="68A6CB4D">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8分）：应急处置预案内容齐全、考虑周全。有应急指挥机构及职责分工、应急资源（人力、物资、装备、通讯）保障方案。有整体应急处置预案、标准化的应急响应流程及直观的响应流程图。针对不同类型场景的详细、可操作的专项应急预案，包括但不限于：重大活动保障（如招生、迎新、开学典礼、军训、毕业典礼等校级以上活动）、节假日安全保障、突发事件处置（包括自然灾害、火灾、交通事故、治安事件、反恐防暴等）、结合各区域特点及采购人可能发生的其他特殊情况的预案，且各专项预案须措施可行、保障有力。有响应能力保障与实施预案相关应急资源的证明材料，提供支撑应急响应（特别是为实现快速响应目标）的人员部署图、通讯联络保障方案、关键应急装备清单及状态说明、相关岗位人员安排计划。承诺在保障措施可行基础上，承诺核心区/重点部位突发事件10分钟内响应，20分钟内安保人员到场；其他区域15分钟内响应，30分钟内到场。</w:t>
            </w:r>
          </w:p>
          <w:p w14:paraId="42CD84B2">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12分）：应急处置预案内容全面详尽、考虑周全。有明确的应急指挥机构及职责分工、可靠的应急资源（人力、物资、装备、通讯）保障方案。完整的整体应急处置预案、标准化的应急响应流程及直观的响应流程图。针对不同类型场景的详细、具体、可操作性高的专项应急预案，涵盖：重大活动保障（如招生、迎新、开学典礼、军训、毕业典礼等校级以上活动）、节假日安全保障、突发事件处置（包括自然灾害、火灾、交通事故、治安事件、反恐防暴等）、结合各区域特点及采购人可能发生的其他特殊情况的预案，且各专项预案须措施可行、保障有力，体现科学合理的人员部署、充足的设备支持、高效的响应机制，确保能有效应对。有响应能力保障与实施预案相关应急资源的证明材料，提供支撑应急响应（特别是为实现快速响应目标）的详细人员部署图、通讯联络保障方案、关键应急装备清单及状态说明、相关岗位人员安排计划。承诺在保障措施完全可行的基础上，承诺核心区/重点部位突发事件5分钟内响应，15分钟内安保人员到场；其他区域10分钟内响应，20分钟内到场。</w:t>
            </w:r>
          </w:p>
          <w:p w14:paraId="4C6E6596">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28C7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2453520E">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697C0F4B">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01292689">
            <w:pPr>
              <w:spacing w:line="360" w:lineRule="auto"/>
              <w:rPr>
                <w:rFonts w:ascii="宋体" w:hAnsi="宋体" w:cs="宋体"/>
                <w:color w:val="auto"/>
                <w:sz w:val="24"/>
                <w:highlight w:val="none"/>
              </w:rPr>
            </w:pPr>
            <w:r>
              <w:rPr>
                <w:rFonts w:hint="eastAsia" w:ascii="宋体" w:hAnsi="宋体" w:cs="宋体"/>
                <w:color w:val="auto"/>
                <w:sz w:val="24"/>
                <w:highlight w:val="none"/>
              </w:rPr>
              <w:t>（5）其他服务措施（满分12分）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71C1B902">
            <w:pPr>
              <w:widowControl/>
              <w:spacing w:line="360" w:lineRule="auto"/>
              <w:ind w:firstLine="482" w:firstLineChars="200"/>
              <w:jc w:val="left"/>
              <w:rPr>
                <w:rFonts w:ascii="宋体" w:hAnsi="宋体" w:cs="宋体"/>
                <w:bCs/>
                <w:color w:val="auto"/>
                <w:sz w:val="24"/>
                <w:highlight w:val="none"/>
              </w:rPr>
            </w:pPr>
            <w:r>
              <w:rPr>
                <w:rFonts w:hint="eastAsia" w:ascii="宋体" w:hAnsi="宋体" w:cs="宋体"/>
                <w:b/>
                <w:bCs/>
                <w:color w:val="auto"/>
                <w:sz w:val="24"/>
                <w:highlight w:val="none"/>
              </w:rPr>
              <w:t>（5）评标委员会对各投标人提供的“其他服务措施”（投标人处理与校园周边村委关系措施、与辖区公安机关及消防部门的联动方案、学校举行大型活动的人员物资保障服务措施等）等方面的完整性、针对性、合理性三个方面进行独立评审并独立打分：</w:t>
            </w:r>
          </w:p>
          <w:p w14:paraId="5AF3A72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4分）：结合本项目特点及采购人要求，提供具体的服务措施。该措施包括但不限于以下方面：服务质量保障措施、安全保障措施、人员物资保障措施、责任追究机制措施、企业对质量安全管理的责任认知与落实措施、支持采购人教育教学活动的具体措施、处理与校园周边村委关系措施。</w:t>
            </w:r>
          </w:p>
          <w:p w14:paraId="3E86212D">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(8分)：结合本项目特点及采购人要求，提供内容详细、具体可行的服务措施。该措施需具有针对性及可操作性，包括但不限于以下方面：服务质量保障措施、安全保障措施、人员物资保障措施、责任追究机制措施、企业对质量安全管理的责任认知与落实措施、支持采购人教育教学活动的具体措施、处理与校园周边村委关系措施、为采购人特殊时期（如重大活动、节假日、与相关部门联动演习等）提供有针对性的特殊保障服务措施。</w:t>
            </w:r>
          </w:p>
          <w:p w14:paraId="19FB4B8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三档(12分)：紧密结合本项目特点及采购人要求，提供内容详细、具体可行的服务措施。该措施需具有高度的针对性及可操作性，包括但不限于以下方面：服务质量保障措施、安全保障措施、人员物资保障措施、责任追究机制措施、企业对质量安全管理的责任认知与落实措施、支持采购人教育教学活动的具体措施、处理与校园周边村委关系措施、为采购人特殊时期（如重大活动、节假日、与相关部门联动演习等）提供有针对性的特殊保障服务措施。同时，承诺为采购人提供具体、有益的增值服务方案（例如：安全教育培训、应急演练支持等）。</w:t>
            </w:r>
          </w:p>
          <w:p w14:paraId="13458E02">
            <w:pPr>
              <w:widowControl/>
              <w:spacing w:line="360" w:lineRule="auto"/>
              <w:ind w:firstLine="482" w:firstLineChars="200"/>
              <w:jc w:val="left"/>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3BBA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left w:val="single" w:color="auto" w:sz="4" w:space="0"/>
              <w:right w:val="single" w:color="auto" w:sz="4" w:space="0"/>
            </w:tcBorders>
            <w:vAlign w:val="center"/>
          </w:tcPr>
          <w:p w14:paraId="5ADECE36">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3</w:t>
            </w:r>
          </w:p>
        </w:tc>
        <w:tc>
          <w:tcPr>
            <w:tcW w:w="1786" w:type="dxa"/>
            <w:tcBorders>
              <w:left w:val="single" w:color="auto" w:sz="4" w:space="0"/>
              <w:right w:val="single" w:color="auto" w:sz="4" w:space="0"/>
            </w:tcBorders>
            <w:vAlign w:val="center"/>
          </w:tcPr>
          <w:p w14:paraId="25D4D1D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服务承诺分</w:t>
            </w:r>
          </w:p>
          <w:p w14:paraId="5D4E6BA0">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（满分10分）</w:t>
            </w:r>
          </w:p>
        </w:tc>
        <w:tc>
          <w:tcPr>
            <w:tcW w:w="6905" w:type="dxa"/>
            <w:gridSpan w:val="3"/>
            <w:tcBorders>
              <w:top w:val="single" w:color="auto" w:sz="4" w:space="0"/>
              <w:left w:val="single" w:color="auto" w:sz="4" w:space="0"/>
              <w:right w:val="single" w:color="auto" w:sz="4" w:space="0"/>
            </w:tcBorders>
            <w:vAlign w:val="center"/>
          </w:tcPr>
          <w:p w14:paraId="53C69F76">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评标委员会对各投标人提供的“服务承诺”内容的完整性、针对性、合理性等方面进行独立评审并独立打分：</w:t>
            </w:r>
          </w:p>
          <w:p w14:paraId="3285658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2分）：基本理解项目采购需求及采购人安保服务的特殊性，据此提供安保服务承诺。承诺服务质量符合招标文件及《保安服务管理条例》要求，承诺落实企业在安全、质量、社会及教育方面的责任。特别承诺对师生员工及家属的投诉做到有效反馈率在80%以上，并在四个工作日内完成处理反馈，并提供专项承诺作为证明。</w:t>
            </w:r>
          </w:p>
          <w:p w14:paraId="64AF1FD3">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二档（6分）：理解项目采购需求及采购人安保服务的特殊性（尤其是与教育教学活动相关的特点），据此提供具有针对性的安保服务承诺。服务承诺内容完整，承诺服务质量符合招标文件及《保安服务管理条例》要求，且承诺要点清晰、可操作。在满足招标文件人员配置基本要求（人数、资质）的基础上，承诺派驻的人员配置（如专业技能、经验结构、应急能力等）有优势或措施，承诺落实企业在安全、质量、社会及教育方面的责任。特别承诺对师生员工及家属的投诉做到有效反馈率在90%以上，并在72小时内完成处理反馈，并提供专项承诺作为证明，且专项承诺中有质量与安全保障措施。</w:t>
            </w:r>
          </w:p>
          <w:p w14:paraId="300C95EE">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三档（10分）：能完全且准确理解项目采购需求及采购人安保服务的特殊性（尤其是与教育教学活动相关的特点），据此提供</w:t>
            </w:r>
            <w:r>
              <w:rPr>
                <w:rStyle w:val="55"/>
                <w:rFonts w:hint="eastAsia" w:ascii="宋体" w:hAnsi="宋体" w:cs="宋体"/>
                <w:b w:val="0"/>
                <w:bCs/>
                <w:color w:val="auto"/>
                <w:sz w:val="24"/>
                <w:highlight w:val="none"/>
              </w:rPr>
              <w:t>具有高度针对性的安保</w:t>
            </w:r>
            <w:r>
              <w:rPr>
                <w:rFonts w:hint="eastAsia" w:ascii="宋体" w:hAnsi="宋体" w:cs="宋体"/>
                <w:bCs/>
                <w:color w:val="auto"/>
                <w:sz w:val="24"/>
                <w:highlight w:val="none"/>
              </w:rPr>
              <w:t>服务</w:t>
            </w:r>
            <w:r>
              <w:rPr>
                <w:rStyle w:val="55"/>
                <w:rFonts w:hint="eastAsia" w:ascii="宋体" w:hAnsi="宋体" w:cs="宋体"/>
                <w:b w:val="0"/>
                <w:bCs/>
                <w:color w:val="auto"/>
                <w:sz w:val="24"/>
                <w:highlight w:val="none"/>
              </w:rPr>
              <w:t>承诺</w:t>
            </w:r>
            <w:r>
              <w:rPr>
                <w:rFonts w:hint="eastAsia" w:ascii="宋体" w:hAnsi="宋体" w:cs="宋体"/>
                <w:bCs/>
                <w:color w:val="auto"/>
                <w:sz w:val="24"/>
                <w:highlight w:val="none"/>
              </w:rPr>
              <w:t>。服务承诺</w:t>
            </w:r>
            <w:r>
              <w:rPr>
                <w:rStyle w:val="55"/>
                <w:rFonts w:hint="eastAsia" w:ascii="宋体" w:hAnsi="宋体" w:cs="宋体"/>
                <w:b w:val="0"/>
                <w:bCs/>
                <w:color w:val="auto"/>
                <w:sz w:val="24"/>
                <w:highlight w:val="none"/>
              </w:rPr>
              <w:t>内容完整、清晰、</w:t>
            </w:r>
            <w:r>
              <w:rPr>
                <w:rFonts w:hint="eastAsia" w:ascii="宋体" w:hAnsi="宋体" w:cs="宋体"/>
                <w:bCs/>
                <w:color w:val="auto"/>
                <w:sz w:val="24"/>
                <w:highlight w:val="none"/>
              </w:rPr>
              <w:t>详细全面，承诺服务质量符合招标文件及《保安服务管理条例》要求，且承诺要点清晰、可操作性强。在满足招标文件人员配置基本要求（人数、资质）的基础上，承诺派驻的人员配置（如专业技能、经验结构、应急能力等）体现明显优势或强化措施，清晰认知并承诺落实企业在安全、质量、社会及教育方面的责任，提供具体落实方案。特别承诺对师生员工及家属的投诉做到“事事有回音，件件有着落”，并在</w:t>
            </w:r>
            <w:r>
              <w:rPr>
                <w:rStyle w:val="55"/>
                <w:rFonts w:hint="eastAsia" w:ascii="宋体" w:hAnsi="宋体" w:cs="宋体"/>
                <w:b w:val="0"/>
                <w:bCs/>
                <w:color w:val="auto"/>
                <w:sz w:val="24"/>
                <w:highlight w:val="none"/>
              </w:rPr>
              <w:t>48小时内完成处理反馈</w:t>
            </w:r>
            <w:r>
              <w:rPr>
                <w:rFonts w:hint="eastAsia" w:ascii="宋体" w:hAnsi="宋体" w:cs="宋体"/>
                <w:bCs/>
                <w:color w:val="auto"/>
                <w:sz w:val="24"/>
                <w:highlight w:val="none"/>
              </w:rPr>
              <w:t>，并提供专项承诺作为证明，且专项承诺中有明确详细的质量与安全保障措施。</w:t>
            </w:r>
          </w:p>
          <w:p w14:paraId="422B0BE1">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1380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cBorders>
              <w:left w:val="single" w:color="auto" w:sz="4" w:space="0"/>
              <w:right w:val="single" w:color="auto" w:sz="4" w:space="0"/>
            </w:tcBorders>
            <w:vAlign w:val="center"/>
          </w:tcPr>
          <w:p w14:paraId="2E72534C">
            <w:pPr>
              <w:snapToGrid w:val="0"/>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4</w:t>
            </w:r>
          </w:p>
        </w:tc>
        <w:tc>
          <w:tcPr>
            <w:tcW w:w="1786" w:type="dxa"/>
            <w:vMerge w:val="restart"/>
            <w:tcBorders>
              <w:left w:val="single" w:color="auto" w:sz="4" w:space="0"/>
              <w:right w:val="single" w:color="auto" w:sz="4" w:space="0"/>
            </w:tcBorders>
            <w:tcMar>
              <w:left w:w="57" w:type="dxa"/>
              <w:right w:w="57" w:type="dxa"/>
            </w:tcMar>
            <w:vAlign w:val="center"/>
          </w:tcPr>
          <w:p w14:paraId="35816593">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履约能力分</w:t>
            </w:r>
          </w:p>
          <w:p w14:paraId="78516129">
            <w:pPr>
              <w:snapToGrid w:val="0"/>
              <w:spacing w:line="360" w:lineRule="auto"/>
              <w:jc w:val="center"/>
              <w:rPr>
                <w:rFonts w:ascii="宋体" w:hAnsi="宋体" w:cs="宋体"/>
                <w:bCs/>
                <w:color w:val="auto"/>
                <w:sz w:val="24"/>
                <w:highlight w:val="none"/>
              </w:rPr>
            </w:pPr>
            <w:r>
              <w:rPr>
                <w:rFonts w:hint="eastAsia" w:ascii="宋体" w:hAnsi="宋体" w:cs="宋体"/>
                <w:b/>
                <w:bCs/>
                <w:color w:val="auto"/>
                <w:sz w:val="24"/>
                <w:highlight w:val="none"/>
              </w:rPr>
              <w:t>（满分28分）</w:t>
            </w:r>
          </w:p>
        </w:tc>
        <w:tc>
          <w:tcPr>
            <w:tcW w:w="1605" w:type="dxa"/>
            <w:gridSpan w:val="2"/>
            <w:vMerge w:val="restart"/>
            <w:tcBorders>
              <w:top w:val="single" w:color="auto" w:sz="4" w:space="0"/>
              <w:left w:val="single" w:color="auto" w:sz="4" w:space="0"/>
              <w:right w:val="single" w:color="auto" w:sz="4" w:space="0"/>
            </w:tcBorders>
            <w:vAlign w:val="center"/>
          </w:tcPr>
          <w:p w14:paraId="7E4AA8EA">
            <w:pPr>
              <w:spacing w:line="360" w:lineRule="auto"/>
              <w:rPr>
                <w:rFonts w:ascii="宋体" w:hAnsi="宋体" w:cs="宋体"/>
                <w:bCs/>
                <w:color w:val="auto"/>
                <w:sz w:val="24"/>
                <w:highlight w:val="none"/>
              </w:rPr>
            </w:pPr>
            <w:r>
              <w:rPr>
                <w:rFonts w:hint="eastAsia" w:ascii="宋体" w:hAnsi="宋体" w:cs="宋体"/>
                <w:color w:val="auto"/>
                <w:sz w:val="24"/>
                <w:highlight w:val="none"/>
              </w:rPr>
              <w:t>（1）管理人员资质配备情况（满分10分）</w:t>
            </w:r>
          </w:p>
        </w:tc>
        <w:tc>
          <w:tcPr>
            <w:tcW w:w="5300" w:type="dxa"/>
            <w:tcBorders>
              <w:top w:val="single" w:color="auto" w:sz="4" w:space="0"/>
              <w:left w:val="single" w:color="auto" w:sz="4" w:space="0"/>
              <w:right w:val="single" w:color="auto" w:sz="4" w:space="0"/>
            </w:tcBorders>
            <w:vAlign w:val="center"/>
          </w:tcPr>
          <w:p w14:paraId="3B895D53">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1）投标人拟派保安主管（2名保安主管同时满足以下条件，方可得分）：（</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231472B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①</w:t>
            </w:r>
            <w:r>
              <w:rPr>
                <w:rFonts w:hint="eastAsia" w:ascii="宋体" w:hAnsi="宋体" w:cs="宋体"/>
                <w:color w:val="auto"/>
                <w:sz w:val="24"/>
                <w:highlight w:val="none"/>
              </w:rPr>
              <w:t>持有大专及以上学历</w:t>
            </w:r>
            <w:r>
              <w:rPr>
                <w:rFonts w:hint="eastAsia" w:ascii="宋体" w:hAnsi="宋体" w:cs="宋体"/>
                <w:bCs/>
                <w:color w:val="auto"/>
                <w:sz w:val="24"/>
                <w:highlight w:val="none"/>
              </w:rPr>
              <w:t>证，得1分；</w:t>
            </w:r>
          </w:p>
          <w:p w14:paraId="2F16EB7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②行政主管部门或行政主管部门认可的第三方机构颁发的有效</w:t>
            </w:r>
            <w:r>
              <w:rPr>
                <w:rFonts w:hint="eastAsia" w:ascii="宋体" w:hAnsi="宋体" w:cs="宋体"/>
                <w:color w:val="auto"/>
                <w:sz w:val="24"/>
                <w:highlight w:val="none"/>
              </w:rPr>
              <w:t>的保安员证</w:t>
            </w:r>
            <w:r>
              <w:rPr>
                <w:rFonts w:hint="eastAsia" w:ascii="宋体" w:hAnsi="宋体" w:cs="宋体"/>
                <w:bCs/>
                <w:color w:val="auto"/>
                <w:sz w:val="24"/>
                <w:highlight w:val="none"/>
              </w:rPr>
              <w:t>，得2分；</w:t>
            </w:r>
          </w:p>
          <w:p w14:paraId="62DB5294">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③具有行政主管部门或行政主管部门认可的第三方机构颁发的有效应急救援员证（或红十字救护员证）的，得2分。</w:t>
            </w:r>
          </w:p>
          <w:p w14:paraId="2B29DE87">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【提供拟派保安主管身份证、毕业证、相关资格证书、投标人与其签订的劳动（或劳务）合同（或投标人为其缴纳的投标截止日期前半年内任意连续3个月的社保证明），否则不予以计分。】</w:t>
            </w:r>
          </w:p>
        </w:tc>
      </w:tr>
      <w:tr w14:paraId="376F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30AEDE38">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49F9F07B">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042977AC">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2662243C">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2）投标人拟派保安班长（6名保安班长在育才校区和王城校区各有1人同时具备以下条件，方可得分）：（</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2D1BC68B">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①</w:t>
            </w:r>
            <w:r>
              <w:rPr>
                <w:rFonts w:hint="eastAsia" w:ascii="宋体" w:hAnsi="宋体" w:cs="宋体"/>
                <w:color w:val="auto"/>
                <w:sz w:val="24"/>
                <w:highlight w:val="none"/>
              </w:rPr>
              <w:t>持有大专及以上学历</w:t>
            </w:r>
            <w:r>
              <w:rPr>
                <w:rFonts w:hint="eastAsia" w:ascii="宋体" w:hAnsi="宋体" w:cs="宋体"/>
                <w:bCs/>
                <w:color w:val="auto"/>
                <w:sz w:val="24"/>
                <w:highlight w:val="none"/>
              </w:rPr>
              <w:t>证，得1分；</w:t>
            </w:r>
          </w:p>
          <w:p w14:paraId="4F68E8E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②为退役军人的，得2分；</w:t>
            </w:r>
          </w:p>
          <w:p w14:paraId="1A24557E">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③具有行政主管部门或行政主管部门认可的第三方机构颁发的有效保安员证，得2分。</w:t>
            </w:r>
          </w:p>
          <w:p w14:paraId="0BBAC3AE">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【提供拟派班长身份证、毕业证、相关资格证书、投标人与其签订的劳动（或劳务）合同（或投标人为其缴纳的投标截止日期前半年内任意连续3个月的社保证明），否则不予以计分。】</w:t>
            </w:r>
          </w:p>
        </w:tc>
      </w:tr>
      <w:tr w14:paraId="596B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64970EEB">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35484558">
            <w:pPr>
              <w:snapToGrid w:val="0"/>
              <w:spacing w:line="360" w:lineRule="auto"/>
              <w:jc w:val="center"/>
              <w:rPr>
                <w:rFonts w:ascii="宋体" w:hAnsi="宋体" w:cs="宋体"/>
                <w:b/>
                <w:bCs/>
                <w:color w:val="auto"/>
                <w:sz w:val="24"/>
                <w:highlight w:val="none"/>
              </w:rPr>
            </w:pPr>
          </w:p>
        </w:tc>
        <w:tc>
          <w:tcPr>
            <w:tcW w:w="1605" w:type="dxa"/>
            <w:gridSpan w:val="2"/>
            <w:vMerge w:val="restart"/>
            <w:tcBorders>
              <w:top w:val="single" w:color="auto" w:sz="4" w:space="0"/>
              <w:left w:val="single" w:color="auto" w:sz="4" w:space="0"/>
              <w:right w:val="single" w:color="auto" w:sz="4" w:space="0"/>
            </w:tcBorders>
            <w:vAlign w:val="center"/>
          </w:tcPr>
          <w:p w14:paraId="55081718">
            <w:pPr>
              <w:spacing w:line="360" w:lineRule="auto"/>
              <w:rPr>
                <w:rFonts w:ascii="宋体" w:hAnsi="宋体" w:cs="宋体"/>
                <w:color w:val="auto"/>
                <w:sz w:val="24"/>
                <w:highlight w:val="none"/>
              </w:rPr>
            </w:pPr>
            <w:r>
              <w:rPr>
                <w:rFonts w:hint="eastAsia" w:ascii="宋体" w:hAnsi="宋体" w:cs="宋体"/>
                <w:color w:val="auto"/>
                <w:sz w:val="24"/>
                <w:highlight w:val="none"/>
              </w:rPr>
              <w:t>（2）人员资质配备情况（满分12分）</w:t>
            </w:r>
          </w:p>
        </w:tc>
        <w:tc>
          <w:tcPr>
            <w:tcW w:w="5300" w:type="dxa"/>
            <w:tcBorders>
              <w:top w:val="single" w:color="auto" w:sz="4" w:space="0"/>
              <w:left w:val="single" w:color="auto" w:sz="4" w:space="0"/>
              <w:right w:val="single" w:color="auto" w:sz="4" w:space="0"/>
            </w:tcBorders>
            <w:vAlign w:val="center"/>
          </w:tcPr>
          <w:p w14:paraId="47E2113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1）派驻人员</w:t>
            </w:r>
            <w:r>
              <w:rPr>
                <w:rFonts w:hint="eastAsia" w:ascii="宋体" w:hAnsi="宋体" w:cs="宋体"/>
                <w:b/>
                <w:color w:val="auto"/>
                <w:sz w:val="24"/>
                <w:highlight w:val="none"/>
              </w:rPr>
              <w:t>（除保安主管、班长外）</w:t>
            </w:r>
            <w:r>
              <w:rPr>
                <w:rFonts w:hint="eastAsia" w:ascii="宋体" w:hAnsi="宋体" w:cs="宋体"/>
                <w:bCs/>
                <w:color w:val="auto"/>
                <w:sz w:val="24"/>
                <w:highlight w:val="none"/>
              </w:rPr>
              <w:t>在满足“派驻保安人员中退役军人占比≥10%”基础上，每额外配备1名退役军人（或警校毕业生、或军校毕业生）</w:t>
            </w:r>
            <w:r>
              <w:rPr>
                <w:rFonts w:ascii="宋体" w:hAnsi="宋体" w:cs="宋体"/>
                <w:bCs/>
                <w:color w:val="auto"/>
                <w:sz w:val="24"/>
                <w:highlight w:val="none"/>
              </w:rPr>
              <w:t>的</w:t>
            </w:r>
            <w:r>
              <w:rPr>
                <w:rFonts w:hint="eastAsia" w:ascii="宋体" w:hAnsi="宋体" w:cs="宋体"/>
                <w:bCs/>
                <w:color w:val="auto"/>
                <w:sz w:val="24"/>
                <w:highlight w:val="none"/>
              </w:rPr>
              <w:t>，得0.5分。</w:t>
            </w:r>
            <w:r>
              <w:rPr>
                <w:rFonts w:hint="eastAsia" w:ascii="宋体" w:hAnsi="宋体" w:cs="宋体"/>
                <w:b/>
                <w:color w:val="auto"/>
                <w:sz w:val="24"/>
                <w:highlight w:val="none"/>
              </w:rPr>
              <w:t>（</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3DC1E09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【提供派驻人员身份证、相关资格证、投标人与其签订的劳动（或劳务）合同（或投标人为其缴纳的投标截止日期前半年内任意连续3个月的社保证明），否则不予以计分。】</w:t>
            </w:r>
          </w:p>
        </w:tc>
      </w:tr>
      <w:tr w14:paraId="1AC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56663F83">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6F9FC1BC">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0C63F5FC">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07BAAC8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2）派驻人员</w:t>
            </w:r>
            <w:r>
              <w:rPr>
                <w:rFonts w:hint="eastAsia" w:ascii="宋体" w:hAnsi="宋体" w:cs="宋体"/>
                <w:b/>
                <w:color w:val="auto"/>
                <w:sz w:val="24"/>
                <w:highlight w:val="none"/>
              </w:rPr>
              <w:t>（除保安主管、班长外）</w:t>
            </w:r>
            <w:r>
              <w:rPr>
                <w:rFonts w:ascii="宋体" w:hAnsi="宋体" w:cs="宋体"/>
                <w:bCs/>
                <w:color w:val="auto"/>
                <w:sz w:val="24"/>
                <w:highlight w:val="none"/>
              </w:rPr>
              <w:t>在满足</w:t>
            </w:r>
            <w:r>
              <w:rPr>
                <w:rFonts w:hAnsi="宋体" w:cs="宋体"/>
                <w:bCs/>
                <w:color w:val="auto"/>
                <w:sz w:val="24"/>
                <w:highlight w:val="none"/>
              </w:rPr>
              <w:t>“</w:t>
            </w:r>
            <w:r>
              <w:rPr>
                <w:rFonts w:ascii="宋体" w:hAnsi="宋体" w:cs="宋体"/>
                <w:bCs/>
                <w:color w:val="auto"/>
                <w:sz w:val="24"/>
                <w:highlight w:val="none"/>
              </w:rPr>
              <w:t>采购需求中要求的消防控制岗的8名工作人员持有的消防设施操作员证</w:t>
            </w:r>
            <w:r>
              <w:rPr>
                <w:rFonts w:hint="eastAsia" w:ascii="宋体" w:hAnsi="宋体" w:cs="宋体"/>
                <w:bCs/>
                <w:color w:val="auto"/>
                <w:sz w:val="24"/>
                <w:highlight w:val="none"/>
              </w:rPr>
              <w:t>（或</w:t>
            </w:r>
            <w:r>
              <w:rPr>
                <w:rFonts w:ascii="宋体" w:hAnsi="宋体" w:cs="宋体"/>
                <w:bCs/>
                <w:color w:val="auto"/>
                <w:sz w:val="24"/>
                <w:highlight w:val="none"/>
              </w:rPr>
              <w:t>建（构）筑物消防员证</w:t>
            </w:r>
            <w:r>
              <w:rPr>
                <w:rFonts w:hint="eastAsia" w:ascii="宋体" w:hAnsi="宋体" w:cs="宋体"/>
                <w:bCs/>
                <w:color w:val="auto"/>
                <w:sz w:val="24"/>
                <w:highlight w:val="none"/>
              </w:rPr>
              <w:t>）</w:t>
            </w:r>
            <w:r>
              <w:rPr>
                <w:rFonts w:hAnsi="宋体" w:cs="宋体"/>
                <w:bCs/>
                <w:color w:val="auto"/>
                <w:sz w:val="24"/>
                <w:highlight w:val="none"/>
              </w:rPr>
              <w:t>”基础上，每额外配备1名</w:t>
            </w:r>
            <w:r>
              <w:rPr>
                <w:rFonts w:hint="eastAsia" w:ascii="宋体" w:hAnsi="宋体" w:cs="宋体"/>
                <w:bCs/>
                <w:color w:val="auto"/>
                <w:sz w:val="24"/>
                <w:highlight w:val="none"/>
              </w:rPr>
              <w:t>具有行政主管部门或行政主管部门认可的第三方机构颁发的有效消防设施操作员证（或建（构）筑物消防员证）</w:t>
            </w:r>
            <w:r>
              <w:rPr>
                <w:rFonts w:ascii="宋体" w:hAnsi="宋体" w:cs="宋体"/>
                <w:bCs/>
                <w:color w:val="auto"/>
                <w:sz w:val="24"/>
                <w:highlight w:val="none"/>
              </w:rPr>
              <w:t>的</w:t>
            </w:r>
            <w:r>
              <w:rPr>
                <w:rFonts w:hint="eastAsia" w:ascii="宋体" w:hAnsi="宋体" w:cs="宋体"/>
                <w:bCs/>
                <w:color w:val="auto"/>
                <w:sz w:val="24"/>
                <w:highlight w:val="none"/>
              </w:rPr>
              <w:t>，得2分；</w:t>
            </w:r>
            <w:r>
              <w:rPr>
                <w:rFonts w:ascii="宋体" w:hAnsi="宋体" w:cs="宋体"/>
                <w:bCs/>
                <w:color w:val="auto"/>
                <w:sz w:val="24"/>
                <w:highlight w:val="none"/>
              </w:rPr>
              <w:t>每额外配备1名具</w:t>
            </w:r>
            <w:r>
              <w:rPr>
                <w:rFonts w:hint="eastAsia" w:ascii="宋体" w:hAnsi="宋体" w:cs="宋体"/>
                <w:bCs/>
                <w:color w:val="auto"/>
                <w:sz w:val="24"/>
                <w:highlight w:val="none"/>
              </w:rPr>
              <w:t>有注册消防工程师证的，得4分。</w:t>
            </w:r>
            <w:r>
              <w:rPr>
                <w:rFonts w:hint="eastAsia" w:ascii="宋体" w:hAnsi="宋体" w:cs="宋体"/>
                <w:b/>
                <w:color w:val="auto"/>
                <w:sz w:val="24"/>
                <w:highlight w:val="none"/>
              </w:rPr>
              <w:t>（</w:t>
            </w:r>
            <w:r>
              <w:rPr>
                <w:rFonts w:hint="eastAsia" w:ascii="宋体" w:hAnsi="宋体" w:cs="宋体"/>
                <w:bCs/>
                <w:color w:val="auto"/>
                <w:sz w:val="24"/>
                <w:highlight w:val="none"/>
              </w:rPr>
              <w:t>满分4分</w:t>
            </w:r>
            <w:r>
              <w:rPr>
                <w:rFonts w:hint="eastAsia" w:ascii="宋体" w:hAnsi="宋体" w:cs="宋体"/>
                <w:b/>
                <w:color w:val="auto"/>
                <w:sz w:val="24"/>
                <w:highlight w:val="none"/>
              </w:rPr>
              <w:t>）</w:t>
            </w:r>
          </w:p>
          <w:p w14:paraId="7D12B1C0">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【提供派驻人员身份证、相关资格证、投标人与其签订的劳动（或劳务）合同（或投标人为其缴纳的投标截止日期前半年内任意连续3个月的社保证明），否则不予以计分。】</w:t>
            </w:r>
          </w:p>
        </w:tc>
      </w:tr>
      <w:tr w14:paraId="3A62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47E5364E">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43767109">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797A7788">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52BDA995">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3）派驻人员（</w:t>
            </w:r>
            <w:r>
              <w:rPr>
                <w:rFonts w:hint="eastAsia" w:ascii="宋体" w:hAnsi="宋体" w:cs="宋体"/>
                <w:b/>
                <w:color w:val="auto"/>
                <w:sz w:val="24"/>
                <w:highlight w:val="none"/>
              </w:rPr>
              <w:t>除保安主管、班长外</w:t>
            </w:r>
            <w:r>
              <w:rPr>
                <w:rFonts w:hint="eastAsia" w:ascii="宋体" w:hAnsi="宋体" w:cs="宋体"/>
                <w:bCs/>
                <w:color w:val="auto"/>
                <w:sz w:val="24"/>
                <w:highlight w:val="none"/>
              </w:rPr>
              <w:t>）具有行政主管部门或行政主管部门认可的第三方机构颁发的有效应急救援员证（或红十字救护员证）的，每有1人得1分。（满分3分）</w:t>
            </w:r>
          </w:p>
          <w:p w14:paraId="5C119844">
            <w:pPr>
              <w:widowControl/>
              <w:spacing w:line="360" w:lineRule="auto"/>
              <w:ind w:firstLine="480" w:firstLineChars="200"/>
              <w:jc w:val="left"/>
              <w:rPr>
                <w:rFonts w:ascii="宋体" w:hAnsi="宋体" w:cs="宋体"/>
                <w:b/>
                <w:bCs/>
                <w:color w:val="auto"/>
                <w:kern w:val="0"/>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【提供派驻人员身份证、相关资格证、投标人与其签订的劳动（或劳务）合同（或投标人为其缴纳的投标截止日期前半年内任意连续3月的社保证明），否则不予以计分。】</w:t>
            </w:r>
          </w:p>
        </w:tc>
      </w:tr>
      <w:tr w14:paraId="1B3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75A3EE51">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1FACBFEC">
            <w:pPr>
              <w:snapToGrid w:val="0"/>
              <w:spacing w:line="360" w:lineRule="auto"/>
              <w:jc w:val="center"/>
              <w:rPr>
                <w:rFonts w:ascii="宋体" w:hAnsi="宋体" w:cs="宋体"/>
                <w:b/>
                <w:bCs/>
                <w:color w:val="auto"/>
                <w:sz w:val="24"/>
                <w:highlight w:val="none"/>
              </w:rPr>
            </w:pPr>
          </w:p>
        </w:tc>
        <w:tc>
          <w:tcPr>
            <w:tcW w:w="6905" w:type="dxa"/>
            <w:gridSpan w:val="3"/>
            <w:tcBorders>
              <w:top w:val="single" w:color="auto" w:sz="4" w:space="0"/>
              <w:left w:val="single" w:color="auto" w:sz="4" w:space="0"/>
              <w:right w:val="single" w:color="auto" w:sz="4" w:space="0"/>
            </w:tcBorders>
            <w:vAlign w:val="center"/>
          </w:tcPr>
          <w:p w14:paraId="5CDCB8C4">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（3）投标人具备保安信息化管理和处理能力，在项目实施过程中承诺能采用自主研发（或购买）与安防（或保安、或安保）相关的智能化系统辅助的，</w:t>
            </w:r>
            <w:r>
              <w:rPr>
                <w:rFonts w:hint="eastAsia" w:ascii="宋体" w:hAnsi="宋体" w:cs="宋体"/>
                <w:color w:val="auto"/>
                <w:sz w:val="24"/>
                <w:highlight w:val="none"/>
                <w:lang w:val="en-US" w:eastAsia="zh-CN"/>
              </w:rPr>
              <w:t>每有1个</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满分2分</w:t>
            </w:r>
            <w:r>
              <w:rPr>
                <w:rFonts w:hint="eastAsia" w:ascii="宋体" w:hAnsi="宋体" w:cs="宋体"/>
                <w:color w:val="auto"/>
                <w:sz w:val="24"/>
                <w:highlight w:val="none"/>
              </w:rPr>
              <w:t>。</w:t>
            </w:r>
          </w:p>
          <w:p w14:paraId="0702D1BE">
            <w:pPr>
              <w:spacing w:line="360" w:lineRule="auto"/>
              <w:ind w:firstLine="435"/>
              <w:rPr>
                <w:color w:val="auto"/>
                <w:sz w:val="24"/>
                <w:highlight w:val="none"/>
              </w:rPr>
            </w:pPr>
            <w:r>
              <w:rPr>
                <w:rFonts w:hint="eastAsia" w:ascii="宋体" w:hAnsi="宋体" w:cs="宋体"/>
                <w:bCs/>
                <w:color w:val="auto"/>
                <w:sz w:val="24"/>
                <w:highlight w:val="none"/>
              </w:rPr>
              <w:t>【提供</w:t>
            </w:r>
            <w:r>
              <w:rPr>
                <w:rFonts w:hint="eastAsia" w:cs="宋体"/>
                <w:color w:val="auto"/>
                <w:sz w:val="24"/>
                <w:highlight w:val="none"/>
              </w:rPr>
              <w:t>相关证明材料。如是自主研发的，须提供计算机软件著作权登记证书</w:t>
            </w:r>
            <w:r>
              <w:rPr>
                <w:rFonts w:hint="eastAsia" w:cs="宋体"/>
                <w:bCs/>
                <w:color w:val="auto"/>
                <w:sz w:val="24"/>
                <w:highlight w:val="none"/>
              </w:rPr>
              <w:t>且证书明确的著作权人为投标人；如是购买的，须提供购买的销售合同及发票</w:t>
            </w:r>
            <w:r>
              <w:rPr>
                <w:rFonts w:hint="eastAsia" w:ascii="宋体" w:hAnsi="宋体" w:cs="宋体"/>
                <w:bCs/>
                <w:color w:val="auto"/>
                <w:sz w:val="24"/>
                <w:highlight w:val="none"/>
              </w:rPr>
              <w:t>，否则不予以计分。】</w:t>
            </w:r>
          </w:p>
        </w:tc>
      </w:tr>
      <w:tr w14:paraId="2F01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292BFB5D">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6ED73616">
            <w:pPr>
              <w:snapToGrid w:val="0"/>
              <w:spacing w:line="360" w:lineRule="auto"/>
              <w:jc w:val="center"/>
              <w:rPr>
                <w:rFonts w:ascii="宋体" w:hAnsi="宋体" w:cs="宋体"/>
                <w:b/>
                <w:bCs/>
                <w:color w:val="auto"/>
                <w:sz w:val="24"/>
                <w:highlight w:val="none"/>
              </w:rPr>
            </w:pPr>
          </w:p>
        </w:tc>
        <w:tc>
          <w:tcPr>
            <w:tcW w:w="6905" w:type="dxa"/>
            <w:gridSpan w:val="3"/>
            <w:tcBorders>
              <w:top w:val="single" w:color="auto" w:sz="4" w:space="0"/>
              <w:left w:val="single" w:color="auto" w:sz="4" w:space="0"/>
              <w:right w:val="single" w:color="auto" w:sz="4" w:space="0"/>
            </w:tcBorders>
            <w:vAlign w:val="center"/>
          </w:tcPr>
          <w:p w14:paraId="6FB5DE89">
            <w:pPr>
              <w:pStyle w:val="95"/>
              <w:spacing w:line="360" w:lineRule="auto"/>
              <w:ind w:firstLine="480"/>
              <w:rPr>
                <w:rFonts w:ascii="宋体" w:hAnsi="宋体" w:cs="宋体"/>
                <w:bCs/>
                <w:color w:val="auto"/>
                <w:sz w:val="24"/>
                <w:highlight w:val="none"/>
              </w:rPr>
            </w:pPr>
            <w:r>
              <w:rPr>
                <w:rFonts w:ascii="宋体" w:hAnsi="宋体" w:cs="宋体"/>
                <w:bCs/>
                <w:color w:val="auto"/>
                <w:sz w:val="24"/>
                <w:highlight w:val="none"/>
              </w:rPr>
              <w:t>（</w:t>
            </w:r>
            <w:r>
              <w:rPr>
                <w:rFonts w:hint="eastAsia" w:ascii="宋体" w:hAnsi="宋体" w:cs="宋体"/>
                <w:bCs/>
                <w:color w:val="auto"/>
                <w:sz w:val="24"/>
                <w:highlight w:val="none"/>
              </w:rPr>
              <w:t>4</w:t>
            </w:r>
            <w:r>
              <w:rPr>
                <w:rFonts w:ascii="宋体" w:hAnsi="宋体" w:cs="宋体"/>
                <w:bCs/>
                <w:color w:val="auto"/>
                <w:sz w:val="24"/>
                <w:highlight w:val="none"/>
              </w:rPr>
              <w:t>）</w:t>
            </w:r>
            <w:r>
              <w:rPr>
                <w:rFonts w:hint="eastAsia" w:ascii="宋体" w:hAnsi="宋体" w:cs="宋体"/>
                <w:bCs/>
                <w:color w:val="auto"/>
                <w:sz w:val="24"/>
                <w:highlight w:val="none"/>
              </w:rPr>
              <w:t>投标人提供2022年1月1日以来（以合同签订时间为准）类似服务（指安保或保安服务）业绩得1分，最多计4分。</w:t>
            </w:r>
          </w:p>
          <w:p w14:paraId="0706CC49">
            <w:pPr>
              <w:pStyle w:val="95"/>
              <w:spacing w:line="360" w:lineRule="auto"/>
              <w:ind w:firstLine="480"/>
              <w:rPr>
                <w:rFonts w:ascii="宋体" w:hAnsi="宋体" w:cs="宋体"/>
                <w:bCs/>
                <w:color w:val="auto"/>
                <w:sz w:val="24"/>
                <w:highlight w:val="none"/>
              </w:rPr>
            </w:pPr>
            <w:r>
              <w:rPr>
                <w:rFonts w:ascii="宋体" w:hAnsi="宋体" w:cs="宋体"/>
                <w:bCs/>
                <w:color w:val="auto"/>
                <w:sz w:val="24"/>
                <w:highlight w:val="none"/>
              </w:rPr>
              <w:t>【</w:t>
            </w:r>
            <w:r>
              <w:rPr>
                <w:rFonts w:hint="eastAsia" w:ascii="宋体" w:hAnsi="宋体" w:cs="宋体"/>
                <w:bCs/>
                <w:color w:val="auto"/>
                <w:sz w:val="24"/>
                <w:highlight w:val="none"/>
              </w:rPr>
              <w:t>以</w:t>
            </w:r>
            <w:r>
              <w:rPr>
                <w:rFonts w:hint="eastAsia" w:ascii="宋体" w:hAnsi="宋体" w:cs="宋体"/>
                <w:color w:val="auto"/>
                <w:sz w:val="24"/>
                <w:highlight w:val="none"/>
              </w:rPr>
              <w:t>中标（成交）通知书或服务合同为准；同一个编号的项目有两个或两个以上的分标中标的只计一次</w:t>
            </w:r>
            <w:r>
              <w:rPr>
                <w:rFonts w:ascii="宋体" w:hAnsi="宋体" w:cs="宋体"/>
                <w:color w:val="auto"/>
                <w:sz w:val="24"/>
                <w:highlight w:val="none"/>
              </w:rPr>
              <w:t>得分</w:t>
            </w:r>
            <w:r>
              <w:rPr>
                <w:rFonts w:hint="eastAsia" w:ascii="宋体" w:hAnsi="宋体" w:cs="宋体"/>
                <w:color w:val="auto"/>
                <w:sz w:val="24"/>
                <w:highlight w:val="none"/>
              </w:rPr>
              <w:t>。</w:t>
            </w:r>
            <w:r>
              <w:rPr>
                <w:rFonts w:ascii="宋体" w:hAnsi="宋体" w:cs="宋体"/>
                <w:color w:val="auto"/>
                <w:sz w:val="24"/>
                <w:highlight w:val="none"/>
              </w:rPr>
              <w:t>】</w:t>
            </w:r>
          </w:p>
        </w:tc>
      </w:tr>
      <w:tr w14:paraId="6434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9" w:type="dxa"/>
            <w:gridSpan w:val="5"/>
            <w:tcBorders>
              <w:top w:val="single" w:color="auto" w:sz="4" w:space="0"/>
              <w:left w:val="single" w:color="auto" w:sz="4" w:space="0"/>
              <w:bottom w:val="single" w:color="auto" w:sz="4" w:space="0"/>
              <w:right w:val="single" w:color="auto" w:sz="4" w:space="0"/>
            </w:tcBorders>
            <w:vAlign w:val="center"/>
          </w:tcPr>
          <w:p w14:paraId="5B466AAD">
            <w:pPr>
              <w:pStyle w:val="21"/>
              <w:widowControl w:val="0"/>
              <w:adjustRightInd w:val="0"/>
              <w:snapToGrid w:val="0"/>
              <w:spacing w:before="0" w:beforeAutospacing="0" w:after="0" w:afterAutospacing="0" w:line="360" w:lineRule="auto"/>
              <w:jc w:val="both"/>
              <w:rPr>
                <w:rFonts w:cs="宋体"/>
                <w:bCs/>
                <w:color w:val="auto"/>
                <w:kern w:val="2"/>
                <w:highlight w:val="none"/>
              </w:rPr>
            </w:pPr>
            <w:r>
              <w:rPr>
                <w:rFonts w:hint="eastAsia" w:cs="宋体"/>
                <w:b/>
                <w:bCs/>
                <w:color w:val="auto"/>
                <w:kern w:val="2"/>
                <w:highlight w:val="none"/>
              </w:rPr>
              <w:t>总得分=1+2+3+4。</w:t>
            </w:r>
          </w:p>
        </w:tc>
      </w:tr>
    </w:tbl>
    <w:p w14:paraId="1E63D81C">
      <w:pPr>
        <w:pStyle w:val="5"/>
        <w:keepNext w:val="0"/>
        <w:keepLines w:val="0"/>
        <w:jc w:val="center"/>
        <w:rPr>
          <w:color w:val="auto"/>
          <w:sz w:val="30"/>
          <w:szCs w:val="30"/>
          <w:highlight w:val="none"/>
        </w:rPr>
      </w:pPr>
      <w:r>
        <w:rPr>
          <w:rFonts w:hint="eastAsia"/>
          <w:color w:val="auto"/>
          <w:sz w:val="30"/>
          <w:szCs w:val="30"/>
          <w:highlight w:val="none"/>
        </w:rPr>
        <w:t>四、中标候选人推荐原则</w:t>
      </w:r>
    </w:p>
    <w:p w14:paraId="411902B7">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19BE3414">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w:t>
      </w:r>
      <w:r>
        <w:rPr>
          <w:rFonts w:hint="eastAsia" w:hAnsi="宋体" w:cs="宋体"/>
          <w:color w:val="auto"/>
          <w:sz w:val="21"/>
          <w:highlight w:val="none"/>
        </w:rPr>
        <w:t>按技术得分由高到低排列。</w:t>
      </w:r>
      <w:r>
        <w:rPr>
          <w:rFonts w:hint="eastAsia" w:hAnsi="宋体"/>
          <w:color w:val="auto"/>
          <w:sz w:val="21"/>
          <w:highlight w:val="none"/>
        </w:rPr>
        <w:t>得分相同、投标报价相同且技术得分相同的，投标文件满足招标文件全部实质性要求，且按照评审因素的量化指标评审得分最高的投标人为排名第一的中标候选人。</w:t>
      </w:r>
    </w:p>
    <w:p w14:paraId="404713FF">
      <w:pPr>
        <w:pStyle w:val="26"/>
        <w:spacing w:line="360" w:lineRule="auto"/>
        <w:ind w:firstLine="420" w:firstLineChars="200"/>
        <w:rPr>
          <w:color w:val="auto"/>
          <w:sz w:val="21"/>
          <w:highlight w:val="none"/>
        </w:rPr>
      </w:pPr>
    </w:p>
    <w:p w14:paraId="7BAD6289">
      <w:pPr>
        <w:rPr>
          <w:rFonts w:ascii="宋体" w:hAnsi="宋体" w:cs="宋体"/>
          <w:color w:val="auto"/>
          <w:sz w:val="24"/>
          <w:highlight w:val="none"/>
        </w:rPr>
      </w:pPr>
      <w:r>
        <w:rPr>
          <w:rFonts w:ascii="宋体" w:hAnsi="宋体" w:cs="宋体"/>
          <w:color w:val="auto"/>
          <w:sz w:val="24"/>
          <w:highlight w:val="none"/>
        </w:rPr>
        <w:br w:type="page"/>
      </w:r>
    </w:p>
    <w:p w14:paraId="1B9D9A8A">
      <w:pPr>
        <w:pStyle w:val="70"/>
        <w:ind w:firstLine="640"/>
        <w:rPr>
          <w:color w:val="auto"/>
          <w:highlight w:val="none"/>
        </w:rPr>
      </w:pPr>
    </w:p>
    <w:p w14:paraId="22A1EC96">
      <w:pPr>
        <w:spacing w:before="120" w:beforeLines="50" w:after="120" w:afterLines="50" w:line="400" w:lineRule="exact"/>
        <w:rPr>
          <w:rFonts w:ascii="宋体" w:hAnsi="宋体" w:cs="宋体"/>
          <w:b/>
          <w:color w:val="auto"/>
          <w:sz w:val="24"/>
          <w:highlight w:val="none"/>
        </w:rPr>
      </w:pPr>
    </w:p>
    <w:p w14:paraId="7B3C6738">
      <w:pPr>
        <w:spacing w:before="120" w:beforeLines="50" w:after="120" w:afterLines="50" w:line="400" w:lineRule="exact"/>
        <w:rPr>
          <w:rFonts w:ascii="宋体" w:hAnsi="宋体" w:cs="宋体"/>
          <w:b/>
          <w:color w:val="auto"/>
          <w:sz w:val="24"/>
          <w:highlight w:val="none"/>
        </w:rPr>
      </w:pPr>
    </w:p>
    <w:p w14:paraId="391E0166">
      <w:pPr>
        <w:pStyle w:val="19"/>
        <w:rPr>
          <w:rFonts w:ascii="宋体" w:hAnsi="宋体" w:cs="宋体"/>
          <w:b/>
          <w:color w:val="auto"/>
          <w:highlight w:val="none"/>
        </w:rPr>
      </w:pPr>
    </w:p>
    <w:p w14:paraId="2EA0CF13">
      <w:pPr>
        <w:rPr>
          <w:rFonts w:ascii="宋体" w:hAnsi="宋体" w:cs="宋体"/>
          <w:b/>
          <w:color w:val="auto"/>
          <w:sz w:val="24"/>
          <w:highlight w:val="none"/>
        </w:rPr>
      </w:pPr>
    </w:p>
    <w:p w14:paraId="3C38AD4F">
      <w:pPr>
        <w:pStyle w:val="19"/>
        <w:rPr>
          <w:rFonts w:ascii="宋体" w:hAnsi="宋体" w:cs="宋体"/>
          <w:b/>
          <w:color w:val="auto"/>
          <w:highlight w:val="none"/>
        </w:rPr>
      </w:pPr>
    </w:p>
    <w:p w14:paraId="4EFB13FD">
      <w:pPr>
        <w:rPr>
          <w:rFonts w:ascii="宋体" w:hAnsi="宋体" w:cs="宋体"/>
          <w:b/>
          <w:color w:val="auto"/>
          <w:sz w:val="24"/>
          <w:highlight w:val="none"/>
        </w:rPr>
      </w:pPr>
    </w:p>
    <w:p w14:paraId="26389748">
      <w:pPr>
        <w:pStyle w:val="19"/>
        <w:rPr>
          <w:rFonts w:ascii="宋体" w:hAnsi="宋体" w:cs="宋体"/>
          <w:b/>
          <w:color w:val="auto"/>
          <w:highlight w:val="none"/>
        </w:rPr>
      </w:pPr>
    </w:p>
    <w:p w14:paraId="57664760">
      <w:pPr>
        <w:rPr>
          <w:rFonts w:ascii="宋体" w:hAnsi="宋体" w:cs="宋体"/>
          <w:b/>
          <w:color w:val="auto"/>
          <w:sz w:val="24"/>
          <w:highlight w:val="none"/>
        </w:rPr>
      </w:pPr>
    </w:p>
    <w:p w14:paraId="2BF48474">
      <w:pPr>
        <w:pStyle w:val="19"/>
        <w:rPr>
          <w:rFonts w:ascii="宋体" w:hAnsi="宋体" w:cs="宋体"/>
          <w:b/>
          <w:color w:val="auto"/>
          <w:highlight w:val="none"/>
        </w:rPr>
      </w:pPr>
    </w:p>
    <w:p w14:paraId="63D1016E">
      <w:pPr>
        <w:rPr>
          <w:rFonts w:ascii="宋体" w:hAnsi="宋体" w:cs="宋体"/>
          <w:b/>
          <w:color w:val="auto"/>
          <w:sz w:val="24"/>
          <w:highlight w:val="none"/>
        </w:rPr>
      </w:pPr>
    </w:p>
    <w:p w14:paraId="14DE063A">
      <w:pPr>
        <w:pStyle w:val="19"/>
        <w:rPr>
          <w:rFonts w:ascii="宋体" w:hAnsi="宋体" w:cs="宋体"/>
          <w:b/>
          <w:color w:val="auto"/>
          <w:highlight w:val="none"/>
        </w:rPr>
      </w:pPr>
    </w:p>
    <w:p w14:paraId="2C1C152A">
      <w:pPr>
        <w:rPr>
          <w:color w:val="auto"/>
          <w:highlight w:val="none"/>
        </w:rPr>
      </w:pPr>
    </w:p>
    <w:p w14:paraId="7B66F115">
      <w:pPr>
        <w:pStyle w:val="3"/>
        <w:keepNext w:val="0"/>
        <w:keepLines w:val="0"/>
        <w:rPr>
          <w:color w:val="auto"/>
          <w:highlight w:val="none"/>
        </w:rPr>
      </w:pPr>
      <w:bookmarkStart w:id="143" w:name="_Toc27205"/>
      <w:bookmarkStart w:id="144" w:name="_Toc22305"/>
      <w:bookmarkStart w:id="145" w:name="_Toc18451"/>
      <w:bookmarkStart w:id="146" w:name="_Toc19686833"/>
      <w:r>
        <w:rPr>
          <w:rFonts w:hint="eastAsia"/>
          <w:color w:val="auto"/>
          <w:highlight w:val="none"/>
        </w:rPr>
        <w:t>第五章、拟签订的合同文本</w:t>
      </w:r>
      <w:bookmarkEnd w:id="143"/>
      <w:bookmarkEnd w:id="144"/>
      <w:bookmarkEnd w:id="145"/>
      <w:bookmarkEnd w:id="146"/>
    </w:p>
    <w:p w14:paraId="259A0469">
      <w:pPr>
        <w:snapToGrid w:val="0"/>
        <w:jc w:val="center"/>
        <w:rPr>
          <w:rFonts w:ascii="宋体" w:hAnsi="宋体" w:cs="宋体"/>
          <w:bCs/>
          <w:color w:val="auto"/>
          <w:sz w:val="32"/>
          <w:szCs w:val="32"/>
          <w:highlight w:val="none"/>
        </w:rPr>
      </w:pPr>
    </w:p>
    <w:p w14:paraId="561FB926">
      <w:pPr>
        <w:snapToGrid w:val="0"/>
        <w:jc w:val="center"/>
        <w:rPr>
          <w:rFonts w:ascii="宋体" w:hAnsi="宋体" w:cs="宋体"/>
          <w:bCs/>
          <w:color w:val="auto"/>
          <w:sz w:val="32"/>
          <w:szCs w:val="32"/>
          <w:highlight w:val="none"/>
        </w:rPr>
      </w:pPr>
    </w:p>
    <w:p w14:paraId="33E4BB23">
      <w:pPr>
        <w:snapToGrid w:val="0"/>
        <w:jc w:val="center"/>
        <w:rPr>
          <w:rFonts w:ascii="宋体" w:hAnsi="宋体" w:cs="宋体"/>
          <w:bCs/>
          <w:color w:val="auto"/>
          <w:sz w:val="32"/>
          <w:szCs w:val="32"/>
          <w:highlight w:val="none"/>
        </w:rPr>
      </w:pPr>
    </w:p>
    <w:p w14:paraId="6D26261C">
      <w:pPr>
        <w:snapToGrid w:val="0"/>
        <w:jc w:val="center"/>
        <w:rPr>
          <w:rFonts w:ascii="宋体" w:hAnsi="宋体" w:cs="宋体"/>
          <w:bCs/>
          <w:color w:val="auto"/>
          <w:sz w:val="32"/>
          <w:szCs w:val="32"/>
          <w:highlight w:val="none"/>
        </w:rPr>
      </w:pPr>
    </w:p>
    <w:p w14:paraId="4F508668">
      <w:pPr>
        <w:snapToGrid w:val="0"/>
        <w:jc w:val="center"/>
        <w:rPr>
          <w:rFonts w:ascii="宋体" w:hAnsi="宋体" w:cs="宋体"/>
          <w:bCs/>
          <w:color w:val="auto"/>
          <w:sz w:val="32"/>
          <w:szCs w:val="32"/>
          <w:highlight w:val="none"/>
        </w:rPr>
      </w:pPr>
    </w:p>
    <w:p w14:paraId="72F833F8">
      <w:pPr>
        <w:jc w:val="left"/>
        <w:rPr>
          <w:rFonts w:ascii="宋体" w:hAnsi="宋体" w:cs="宋体"/>
          <w:bCs/>
          <w:color w:val="auto"/>
          <w:sz w:val="32"/>
          <w:szCs w:val="32"/>
          <w:highlight w:val="none"/>
        </w:rPr>
      </w:pPr>
      <w:r>
        <w:rPr>
          <w:rFonts w:ascii="宋体" w:hAnsi="宋体" w:cs="宋体"/>
          <w:bCs/>
          <w:color w:val="auto"/>
          <w:sz w:val="32"/>
          <w:szCs w:val="32"/>
          <w:highlight w:val="none"/>
        </w:rPr>
        <w:br w:type="page"/>
      </w:r>
    </w:p>
    <w:p w14:paraId="10CC880A">
      <w:pPr>
        <w:snapToGrid w:val="0"/>
        <w:spacing w:line="288" w:lineRule="auto"/>
        <w:jc w:val="center"/>
        <w:rPr>
          <w:rFonts w:ascii="Arial" w:hAnsi="Arial" w:cs="Arial"/>
          <w:b/>
          <w:bCs/>
          <w:color w:val="auto"/>
          <w:sz w:val="36"/>
          <w:szCs w:val="36"/>
          <w:highlight w:val="none"/>
        </w:rPr>
      </w:pPr>
      <w:r>
        <w:rPr>
          <w:rFonts w:ascii="Arial" w:hAnsi="Arial" w:cs="Arial"/>
          <w:b/>
          <w:bCs/>
          <w:color w:val="auto"/>
          <w:sz w:val="36"/>
          <w:szCs w:val="36"/>
          <w:highlight w:val="none"/>
        </w:rPr>
        <w:t>《广西壮族自治区政府采购合同》</w:t>
      </w:r>
    </w:p>
    <w:p w14:paraId="156E404A">
      <w:pPr>
        <w:snapToGrid w:val="0"/>
        <w:spacing w:line="360" w:lineRule="auto"/>
        <w:ind w:right="480" w:firstLine="6720" w:firstLineChars="32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08003390">
      <w:pPr>
        <w:snapToGrid w:val="0"/>
        <w:spacing w:line="360" w:lineRule="auto"/>
        <w:rPr>
          <w:rFonts w:ascii="宋体" w:hAnsi="宋体" w:cs="宋体"/>
          <w:color w:val="auto"/>
          <w:szCs w:val="21"/>
          <w:highlight w:val="none"/>
        </w:rPr>
      </w:pPr>
    </w:p>
    <w:p w14:paraId="15CCA31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广西师范大学      </w:t>
      </w:r>
      <w:r>
        <w:rPr>
          <w:rFonts w:hint="eastAsia" w:ascii="宋体" w:hAnsi="宋体" w:cs="宋体"/>
          <w:color w:val="auto"/>
          <w:szCs w:val="21"/>
          <w:highlight w:val="none"/>
        </w:rPr>
        <w:t xml:space="preserve">               采购计划文号：</w:t>
      </w:r>
      <w:r>
        <w:rPr>
          <w:rFonts w:hint="eastAsia" w:ascii="宋体" w:hAnsi="宋体" w:cs="宋体"/>
          <w:color w:val="auto"/>
          <w:szCs w:val="21"/>
          <w:highlight w:val="none"/>
          <w:u w:val="single"/>
        </w:rPr>
        <w:t xml:space="preserve">           </w:t>
      </w:r>
    </w:p>
    <w:p w14:paraId="2AAB58D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投标人（乙方）: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7712620">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广西桂林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15B906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w:t>
      </w:r>
      <w:r>
        <w:rPr>
          <w:rFonts w:hint="eastAsia" w:ascii="宋体" w:hAnsi="宋体" w:cs="宋体"/>
          <w:color w:val="auto"/>
          <w:highlight w:val="none"/>
        </w:rPr>
        <w:t>《中华人民共和国政府采购法实施条例》、</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中华人民共和国民法典</w:t>
      </w:r>
      <w:r>
        <w:rPr>
          <w:rFonts w:hint="eastAsia" w:ascii="宋体" w:hAnsi="宋体" w:cs="宋体"/>
          <w:color w:val="auto"/>
          <w:szCs w:val="21"/>
          <w:highlight w:val="none"/>
        </w:rPr>
        <w:t>》等法律、法规规定，按照招标文件 (以下简称采购文件)规定条款和乙方承诺，甲乙双方签订本合同。</w:t>
      </w:r>
    </w:p>
    <w:p w14:paraId="1AE57CA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第一条、合同标的</w:t>
      </w:r>
    </w:p>
    <w:p w14:paraId="2F054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1、服务内容一览表</w:t>
      </w:r>
    </w:p>
    <w:tbl>
      <w:tblPr>
        <w:tblStyle w:val="52"/>
        <w:tblW w:w="505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631"/>
        <w:gridCol w:w="932"/>
        <w:gridCol w:w="1031"/>
        <w:gridCol w:w="1266"/>
        <w:gridCol w:w="1253"/>
        <w:gridCol w:w="943"/>
        <w:gridCol w:w="1573"/>
      </w:tblGrid>
      <w:tr w14:paraId="21DA7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407" w:type="pct"/>
            <w:tcBorders>
              <w:top w:val="single" w:color="auto" w:sz="4" w:space="0"/>
              <w:left w:val="single" w:color="auto" w:sz="4" w:space="0"/>
              <w:bottom w:val="single" w:color="auto" w:sz="4" w:space="0"/>
              <w:right w:val="single" w:color="auto" w:sz="4" w:space="0"/>
            </w:tcBorders>
            <w:vAlign w:val="center"/>
          </w:tcPr>
          <w:p w14:paraId="47860F0B">
            <w:pPr>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868" w:type="pct"/>
            <w:tcBorders>
              <w:top w:val="single" w:color="auto" w:sz="4" w:space="0"/>
              <w:left w:val="single" w:color="auto" w:sz="4" w:space="0"/>
              <w:bottom w:val="single" w:color="auto" w:sz="4" w:space="0"/>
              <w:right w:val="single" w:color="auto" w:sz="4" w:space="0"/>
            </w:tcBorders>
            <w:vAlign w:val="center"/>
          </w:tcPr>
          <w:p w14:paraId="3D002F57">
            <w:pPr>
              <w:spacing w:line="360" w:lineRule="auto"/>
              <w:rPr>
                <w:rFonts w:ascii="宋体" w:hAnsi="宋体" w:cs="宋体"/>
                <w:color w:val="auto"/>
                <w:szCs w:val="21"/>
                <w:highlight w:val="none"/>
              </w:rPr>
            </w:pPr>
            <w:r>
              <w:rPr>
                <w:rFonts w:hint="eastAsia" w:ascii="宋体" w:hAnsi="宋体" w:cs="宋体"/>
                <w:color w:val="auto"/>
                <w:szCs w:val="21"/>
                <w:highlight w:val="none"/>
              </w:rPr>
              <w:t>标的名称</w:t>
            </w:r>
          </w:p>
        </w:tc>
        <w:tc>
          <w:tcPr>
            <w:tcW w:w="496" w:type="pct"/>
            <w:tcBorders>
              <w:top w:val="single" w:color="auto" w:sz="4" w:space="0"/>
              <w:left w:val="single" w:color="auto" w:sz="4" w:space="0"/>
              <w:bottom w:val="single" w:color="auto" w:sz="4" w:space="0"/>
              <w:right w:val="single" w:color="auto" w:sz="4" w:space="0"/>
            </w:tcBorders>
            <w:vAlign w:val="center"/>
          </w:tcPr>
          <w:p w14:paraId="555BE5D4">
            <w:pPr>
              <w:spacing w:line="360" w:lineRule="auto"/>
              <w:rPr>
                <w:rFonts w:ascii="宋体" w:hAnsi="宋体" w:cs="宋体"/>
                <w:color w:val="auto"/>
                <w:szCs w:val="21"/>
                <w:highlight w:val="none"/>
              </w:rPr>
            </w:pPr>
            <w:r>
              <w:rPr>
                <w:rFonts w:hint="eastAsia" w:ascii="宋体" w:hAnsi="宋体" w:cs="宋体"/>
                <w:color w:val="auto"/>
                <w:szCs w:val="21"/>
                <w:highlight w:val="none"/>
              </w:rPr>
              <w:t>数量①</w:t>
            </w:r>
          </w:p>
        </w:tc>
        <w:tc>
          <w:tcPr>
            <w:tcW w:w="549" w:type="pct"/>
            <w:tcBorders>
              <w:top w:val="single" w:color="auto" w:sz="4" w:space="0"/>
              <w:left w:val="single" w:color="auto" w:sz="4" w:space="0"/>
              <w:bottom w:val="single" w:color="auto" w:sz="4" w:space="0"/>
              <w:right w:val="single" w:color="auto" w:sz="4" w:space="0"/>
            </w:tcBorders>
            <w:vAlign w:val="center"/>
          </w:tcPr>
          <w:p w14:paraId="372289C8">
            <w:pPr>
              <w:spacing w:line="360" w:lineRule="auto"/>
              <w:rPr>
                <w:rFonts w:ascii="宋体" w:hAnsi="宋体" w:cs="宋体"/>
                <w:color w:val="auto"/>
                <w:szCs w:val="21"/>
                <w:highlight w:val="none"/>
              </w:rPr>
            </w:pPr>
            <w:r>
              <w:rPr>
                <w:rFonts w:hint="eastAsia" w:ascii="宋体" w:hAnsi="宋体" w:cs="宋体"/>
                <w:color w:val="auto"/>
                <w:szCs w:val="21"/>
                <w:highlight w:val="none"/>
              </w:rPr>
              <w:t>单价（元/月/人）②</w:t>
            </w:r>
          </w:p>
        </w:tc>
        <w:tc>
          <w:tcPr>
            <w:tcW w:w="674" w:type="pct"/>
            <w:tcBorders>
              <w:top w:val="single" w:color="auto" w:sz="4" w:space="0"/>
              <w:left w:val="single" w:color="auto" w:sz="4" w:space="0"/>
              <w:bottom w:val="single" w:color="auto" w:sz="4" w:space="0"/>
              <w:right w:val="single" w:color="auto" w:sz="4" w:space="0"/>
            </w:tcBorders>
            <w:vAlign w:val="center"/>
          </w:tcPr>
          <w:p w14:paraId="1D52D353">
            <w:pPr>
              <w:spacing w:line="360" w:lineRule="auto"/>
              <w:rPr>
                <w:rFonts w:ascii="宋体" w:hAnsi="宋体" w:cs="宋体"/>
                <w:color w:val="auto"/>
                <w:szCs w:val="21"/>
                <w:highlight w:val="none"/>
              </w:rPr>
            </w:pPr>
            <w:r>
              <w:rPr>
                <w:rFonts w:hint="eastAsia" w:ascii="宋体" w:hAnsi="宋体" w:cs="宋体"/>
                <w:color w:val="auto"/>
                <w:szCs w:val="21"/>
                <w:highlight w:val="none"/>
              </w:rPr>
              <w:t>每个月服务费用（元）（③=①×②）</w:t>
            </w:r>
          </w:p>
        </w:tc>
        <w:tc>
          <w:tcPr>
            <w:tcW w:w="667" w:type="pct"/>
            <w:tcBorders>
              <w:top w:val="single" w:color="auto" w:sz="4" w:space="0"/>
              <w:left w:val="nil"/>
              <w:bottom w:val="single" w:color="auto" w:sz="4" w:space="0"/>
              <w:right w:val="single" w:color="auto" w:sz="4" w:space="0"/>
            </w:tcBorders>
            <w:vAlign w:val="center"/>
          </w:tcPr>
          <w:p w14:paraId="00D39E1E">
            <w:pPr>
              <w:spacing w:line="360" w:lineRule="auto"/>
              <w:rPr>
                <w:rFonts w:ascii="宋体" w:hAnsi="宋体" w:cs="宋体"/>
                <w:color w:val="auto"/>
                <w:szCs w:val="21"/>
                <w:highlight w:val="none"/>
              </w:rPr>
            </w:pPr>
            <w:r>
              <w:rPr>
                <w:rFonts w:hint="eastAsia" w:ascii="宋体" w:hAnsi="宋体" w:cs="宋体"/>
                <w:color w:val="auto"/>
                <w:szCs w:val="21"/>
                <w:highlight w:val="none"/>
              </w:rPr>
              <w:t>每年服务费用（元）（④=③×12）</w:t>
            </w:r>
          </w:p>
        </w:tc>
        <w:tc>
          <w:tcPr>
            <w:tcW w:w="502" w:type="pct"/>
            <w:tcBorders>
              <w:top w:val="single" w:color="auto" w:sz="4" w:space="0"/>
              <w:left w:val="single" w:color="auto" w:sz="4" w:space="0"/>
              <w:bottom w:val="single" w:color="auto" w:sz="4" w:space="0"/>
              <w:right w:val="single" w:color="auto" w:sz="4" w:space="0"/>
            </w:tcBorders>
            <w:vAlign w:val="center"/>
          </w:tcPr>
          <w:p w14:paraId="2821C771">
            <w:pPr>
              <w:spacing w:line="360" w:lineRule="auto"/>
              <w:rPr>
                <w:rFonts w:ascii="宋体" w:hAnsi="宋体" w:cs="宋体"/>
                <w:color w:val="auto"/>
                <w:szCs w:val="21"/>
                <w:highlight w:val="none"/>
              </w:rPr>
            </w:pPr>
            <w:r>
              <w:rPr>
                <w:rFonts w:hint="eastAsia" w:ascii="宋体" w:hAnsi="宋体" w:cs="宋体"/>
                <w:color w:val="auto"/>
                <w:szCs w:val="21"/>
                <w:highlight w:val="none"/>
              </w:rPr>
              <w:t>服务期限⑤</w:t>
            </w:r>
          </w:p>
        </w:tc>
        <w:tc>
          <w:tcPr>
            <w:tcW w:w="832" w:type="pct"/>
            <w:tcBorders>
              <w:top w:val="single" w:color="auto" w:sz="4" w:space="0"/>
              <w:left w:val="nil"/>
              <w:bottom w:val="single" w:color="auto" w:sz="4" w:space="0"/>
              <w:right w:val="single" w:color="auto" w:sz="4" w:space="0"/>
            </w:tcBorders>
            <w:vAlign w:val="center"/>
          </w:tcPr>
          <w:p w14:paraId="316E61D5">
            <w:pPr>
              <w:spacing w:line="360" w:lineRule="auto"/>
              <w:rPr>
                <w:rFonts w:ascii="宋体" w:hAnsi="宋体" w:cs="宋体"/>
                <w:color w:val="auto"/>
                <w:szCs w:val="21"/>
                <w:highlight w:val="none"/>
              </w:rPr>
            </w:pPr>
            <w:r>
              <w:rPr>
                <w:rFonts w:hint="eastAsia" w:ascii="宋体" w:hAnsi="宋体" w:cs="宋体"/>
                <w:color w:val="auto"/>
                <w:szCs w:val="21"/>
                <w:highlight w:val="none"/>
              </w:rPr>
              <w:t>合同金额（元）</w:t>
            </w:r>
          </w:p>
          <w:p w14:paraId="42125327">
            <w:pPr>
              <w:spacing w:line="360" w:lineRule="auto"/>
              <w:rPr>
                <w:rFonts w:ascii="宋体" w:hAnsi="宋体" w:cs="宋体"/>
                <w:color w:val="auto"/>
                <w:szCs w:val="21"/>
                <w:highlight w:val="none"/>
              </w:rPr>
            </w:pPr>
            <w:r>
              <w:rPr>
                <w:rFonts w:hint="eastAsia" w:ascii="宋体" w:hAnsi="宋体" w:cs="宋体"/>
                <w:color w:val="auto"/>
                <w:szCs w:val="21"/>
                <w:highlight w:val="none"/>
              </w:rPr>
              <w:t>（⑥=④×⑤）</w:t>
            </w:r>
          </w:p>
        </w:tc>
      </w:tr>
      <w:tr w14:paraId="4BB36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3" w:hRule="atLeast"/>
        </w:trPr>
        <w:tc>
          <w:tcPr>
            <w:tcW w:w="407" w:type="pct"/>
            <w:tcBorders>
              <w:top w:val="single" w:color="auto" w:sz="4" w:space="0"/>
              <w:left w:val="single" w:color="auto" w:sz="4" w:space="0"/>
              <w:right w:val="single" w:color="auto" w:sz="4" w:space="0"/>
            </w:tcBorders>
            <w:vAlign w:val="center"/>
          </w:tcPr>
          <w:p w14:paraId="200305C4">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8" w:type="pct"/>
            <w:tcBorders>
              <w:top w:val="single" w:color="auto" w:sz="4" w:space="0"/>
              <w:left w:val="single" w:color="auto" w:sz="4" w:space="0"/>
              <w:right w:val="single" w:color="auto" w:sz="4" w:space="0"/>
            </w:tcBorders>
            <w:vAlign w:val="center"/>
          </w:tcPr>
          <w:p w14:paraId="007F32EA">
            <w:pPr>
              <w:spacing w:line="360" w:lineRule="auto"/>
              <w:rPr>
                <w:rFonts w:ascii="宋体" w:hAnsi="宋体" w:cs="宋体"/>
                <w:color w:val="auto"/>
                <w:szCs w:val="21"/>
                <w:highlight w:val="none"/>
              </w:rPr>
            </w:pPr>
            <w:r>
              <w:rPr>
                <w:rFonts w:hint="eastAsia" w:ascii="宋体" w:hAnsi="宋体" w:cs="宋体"/>
                <w:color w:val="auto"/>
                <w:szCs w:val="21"/>
                <w:highlight w:val="none"/>
              </w:rPr>
              <w:t>2026-2027年度王城、育才校区安保外包服务采购</w:t>
            </w:r>
          </w:p>
        </w:tc>
        <w:tc>
          <w:tcPr>
            <w:tcW w:w="496" w:type="pct"/>
            <w:tcBorders>
              <w:top w:val="single" w:color="auto" w:sz="4" w:space="0"/>
              <w:left w:val="single" w:color="auto" w:sz="4" w:space="0"/>
              <w:bottom w:val="single" w:color="auto" w:sz="4" w:space="0"/>
              <w:right w:val="single" w:color="auto" w:sz="4" w:space="0"/>
            </w:tcBorders>
            <w:vAlign w:val="center"/>
          </w:tcPr>
          <w:p w14:paraId="07D8BFC7">
            <w:pPr>
              <w:spacing w:line="360" w:lineRule="auto"/>
              <w:ind w:firstLine="420" w:firstLineChars="200"/>
              <w:rPr>
                <w:rFonts w:ascii="宋体" w:hAnsi="宋体" w:cs="宋体"/>
                <w:color w:val="auto"/>
                <w:szCs w:val="21"/>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ADEBDC0">
            <w:pPr>
              <w:spacing w:line="360" w:lineRule="auto"/>
              <w:ind w:firstLine="420" w:firstLineChars="200"/>
              <w:rPr>
                <w:rFonts w:ascii="宋体" w:hAnsi="宋体" w:cs="宋体"/>
                <w:color w:val="auto"/>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4762A128">
            <w:pPr>
              <w:spacing w:line="360" w:lineRule="auto"/>
              <w:ind w:firstLine="420" w:firstLineChars="200"/>
              <w:rPr>
                <w:rFonts w:ascii="宋体" w:hAnsi="宋体" w:cs="宋体"/>
                <w:color w:val="auto"/>
                <w:szCs w:val="21"/>
                <w:highlight w:val="none"/>
              </w:rPr>
            </w:pPr>
          </w:p>
        </w:tc>
        <w:tc>
          <w:tcPr>
            <w:tcW w:w="667" w:type="pct"/>
            <w:tcBorders>
              <w:top w:val="single" w:color="auto" w:sz="4" w:space="0"/>
              <w:left w:val="nil"/>
              <w:bottom w:val="single" w:color="auto" w:sz="4" w:space="0"/>
              <w:right w:val="single" w:color="auto" w:sz="4" w:space="0"/>
            </w:tcBorders>
            <w:vAlign w:val="center"/>
          </w:tcPr>
          <w:p w14:paraId="79321166">
            <w:pPr>
              <w:spacing w:line="360" w:lineRule="auto"/>
              <w:ind w:firstLine="420" w:firstLineChars="200"/>
              <w:rPr>
                <w:rFonts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0A672799">
            <w:pPr>
              <w:spacing w:line="360" w:lineRule="auto"/>
              <w:ind w:firstLine="420" w:firstLineChars="200"/>
              <w:rPr>
                <w:rFonts w:ascii="宋体" w:hAnsi="宋体" w:cs="宋体"/>
                <w:color w:val="auto"/>
                <w:szCs w:val="21"/>
                <w:highlight w:val="none"/>
              </w:rPr>
            </w:pPr>
          </w:p>
        </w:tc>
        <w:tc>
          <w:tcPr>
            <w:tcW w:w="832" w:type="pct"/>
            <w:tcBorders>
              <w:top w:val="single" w:color="auto" w:sz="4" w:space="0"/>
              <w:left w:val="nil"/>
              <w:bottom w:val="single" w:color="auto" w:sz="4" w:space="0"/>
              <w:right w:val="single" w:color="auto" w:sz="4" w:space="0"/>
            </w:tcBorders>
            <w:vAlign w:val="center"/>
          </w:tcPr>
          <w:p w14:paraId="2298108F">
            <w:pPr>
              <w:spacing w:line="360" w:lineRule="auto"/>
              <w:ind w:firstLine="420" w:firstLineChars="200"/>
              <w:rPr>
                <w:rFonts w:ascii="宋体" w:hAnsi="宋体" w:cs="宋体"/>
                <w:color w:val="auto"/>
                <w:szCs w:val="21"/>
                <w:highlight w:val="none"/>
              </w:rPr>
            </w:pPr>
          </w:p>
        </w:tc>
      </w:tr>
      <w:tr w14:paraId="36520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C019C8D">
            <w:pPr>
              <w:spacing w:line="360" w:lineRule="auto"/>
              <w:rPr>
                <w:rFonts w:ascii="宋体" w:hAnsi="宋体" w:cs="宋体"/>
                <w:color w:val="auto"/>
                <w:szCs w:val="21"/>
                <w:highlight w:val="none"/>
              </w:rPr>
            </w:pPr>
            <w:r>
              <w:rPr>
                <w:rFonts w:hint="eastAsia" w:ascii="宋体" w:hAnsi="宋体" w:cs="宋体"/>
                <w:color w:val="auto"/>
                <w:szCs w:val="21"/>
                <w:highlight w:val="none"/>
              </w:rPr>
              <w:t>服务标准：</w:t>
            </w:r>
          </w:p>
        </w:tc>
      </w:tr>
    </w:tbl>
    <w:p w14:paraId="147D5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p w14:paraId="6F00B98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第二条、质量保证</w:t>
      </w:r>
    </w:p>
    <w:p w14:paraId="769B61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乙方所提供的服务内容必须与招投标文件和承诺相一致。</w:t>
      </w:r>
    </w:p>
    <w:p w14:paraId="05CCC68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第三条、权利保证</w:t>
      </w:r>
    </w:p>
    <w:p w14:paraId="05F9D0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1.乙方应保证所提供服务不会侵犯任何第三方的专利权、商标权、设计权或其他权利。</w:t>
      </w:r>
    </w:p>
    <w:p w14:paraId="3DEB0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2.乙方应按招标文件规定的时间向甲方提供服务成果的有关技术资料。</w:t>
      </w:r>
    </w:p>
    <w:p w14:paraId="019D1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43B0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第四条、服务期限及地点</w:t>
      </w:r>
    </w:p>
    <w:p w14:paraId="3E7EF8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050BB6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服务地点： </w:t>
      </w:r>
    </w:p>
    <w:p w14:paraId="1953CE0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第五条、乙方提供的服务内容及要求</w:t>
      </w:r>
    </w:p>
    <w:p w14:paraId="1A09A014">
      <w:pPr>
        <w:spacing w:line="360" w:lineRule="auto"/>
        <w:ind w:firstLine="420" w:firstLineChars="200"/>
        <w:rPr>
          <w:rFonts w:ascii="宋体" w:hAnsi="宋体" w:cs="宋体"/>
          <w:color w:val="auto"/>
          <w:szCs w:val="21"/>
          <w:highlight w:val="none"/>
          <w:lang w:eastAsia="zh-TW"/>
        </w:rPr>
      </w:pPr>
      <w:r>
        <w:rPr>
          <w:rFonts w:hint="eastAsia" w:ascii="宋体" w:hAnsi="宋体" w:cs="宋体"/>
          <w:color w:val="auto"/>
          <w:szCs w:val="21"/>
          <w:highlight w:val="none"/>
          <w:lang w:eastAsia="zh-TW"/>
        </w:rPr>
        <w:t>（</w:t>
      </w:r>
      <w:r>
        <w:rPr>
          <w:rFonts w:hint="eastAsia" w:ascii="宋体" w:hAnsi="宋体" w:cs="宋体"/>
          <w:color w:val="auto"/>
          <w:szCs w:val="21"/>
          <w:highlight w:val="none"/>
        </w:rPr>
        <w:t>三</w:t>
      </w:r>
      <w:r>
        <w:rPr>
          <w:rFonts w:hint="eastAsia" w:ascii="宋体" w:hAnsi="宋体" w:cs="宋体"/>
          <w:color w:val="auto"/>
          <w:szCs w:val="21"/>
          <w:highlight w:val="none"/>
          <w:lang w:eastAsia="zh-TW"/>
        </w:rPr>
        <w:t>）岗位工作职责要求</w:t>
      </w:r>
    </w:p>
    <w:p w14:paraId="3D3B1A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1.主管岗位职责（包括副主管）</w:t>
      </w:r>
    </w:p>
    <w:p w14:paraId="6F0AD1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（1）负责对接学校工作，对保安人员落实24小时值班制度的情况进行监督和检查。密切保持保安人员的通信联络，检查各值班岗位人员的值勤情况。</w:t>
      </w:r>
    </w:p>
    <w:p w14:paraId="1C03CB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（2）制定突发事件的处理程序，建立和健全各项安全保卫制度，密切配合学校各项工作。</w:t>
      </w:r>
    </w:p>
    <w:p w14:paraId="04EBB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（3）每天定时或不定时巡视管辖区域的安全工作，并做好记录，建立正常的巡逻制度并明确重点保卫目标。</w:t>
      </w:r>
    </w:p>
    <w:p w14:paraId="6D8E3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（4）完善管辖区域的安全防范措施，安全岗位设施、设备器材等使用情况，保证其能在工作中达到预先的使用效果。</w:t>
      </w:r>
    </w:p>
    <w:p w14:paraId="58FB6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（5）检查管辖区域内有无妨害公共安全和社会治安秩序的行为，并及时进行纠正，提出整改意见，跟进处理结果，并做好记录、归档。</w:t>
      </w:r>
    </w:p>
    <w:p w14:paraId="72226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（6）接待投诉，协助学校处理各种突发事件和治安违纪行为。</w:t>
      </w:r>
    </w:p>
    <w:p w14:paraId="3520B8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（7）做好保安人员的出勤统计，业绩考核等的登记管理工作。</w:t>
      </w:r>
    </w:p>
    <w:p w14:paraId="24C222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（8）掌握保安人员的思想动态，定期召开员工会议，做好员工的沟通工作。定期对保安人员进行职业安全思想道德和各类业务技能的培训工作。</w:t>
      </w:r>
    </w:p>
    <w:p w14:paraId="1053A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（9）以身作则，亲力亲为，全面提高安全管理工作与服务的质量。</w:t>
      </w:r>
    </w:p>
    <w:p w14:paraId="0CEBC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2.保安班长岗位职责</w:t>
      </w:r>
    </w:p>
    <w:p w14:paraId="5DC73D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（1）严格执行学校的规章制度。</w:t>
      </w:r>
    </w:p>
    <w:p w14:paraId="69144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（2）做好队员的思想工作，要关心爱护队员，了解队员的思想、工作、家庭等的情况，及时发现问题。如实向队长反映队员工作、思想动态和意见。做到政治上关心，思想上信任，工作上教导，生活上体贴。</w:t>
      </w:r>
    </w:p>
    <w:p w14:paraId="352F47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（3）负责保安队伍日常管理工作。根据人员、岗位的要求进行人次、人员调配。公平、公正地处理队员在工作中发生的各类矛盾，严格管理，不歧视、打骂、侮辱队员。</w:t>
      </w:r>
    </w:p>
    <w:p w14:paraId="4C90C5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（4）不断提高队员的业务素质。要有计划地组织队员学习业务，检查督促队员管好、用好装备和消防器材，使其保持良好工作状态。</w:t>
      </w:r>
    </w:p>
    <w:p w14:paraId="220E8E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（5）认真做好考勤工作。制定每月排班表，监督下属的出勤，做好在岗状况交接班记录的检查，及时、准确填报公司印发的各项表格，及时总结当月工作情况和计划下月的工作目标。</w:t>
      </w:r>
    </w:p>
    <w:p w14:paraId="0818A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（6）加强岗位检查。队长每日至少要进行一次岗位检查，对检查中发现的问题要进行登记，好的表扬，差的批评。</w:t>
      </w:r>
    </w:p>
    <w:p w14:paraId="235888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（7）抓好队容队纪。按着装规定，每日要检查队员的着装，并定期进行检查评比。及时纠正违反着装规定的现象。经常不断地进行语言、举止、行为的教育，创造良好的保安形象。</w:t>
      </w:r>
    </w:p>
    <w:p w14:paraId="14B83F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（8）突发事件的处理（火灾、偷窃、打架等）等安全保障。</w:t>
      </w:r>
    </w:p>
    <w:p w14:paraId="38B75E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（9）遇到治安、突发事件等应立即赶到现场，并组织队员进行现场秩序维护和处理，并及时上报上级领导。</w:t>
      </w:r>
    </w:p>
    <w:p w14:paraId="0CEF0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（10）负责顶替休假/请假/临时离岗人员的岗位工作。</w:t>
      </w:r>
    </w:p>
    <w:p w14:paraId="720CB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3.大门值守保安岗位职责</w:t>
      </w:r>
    </w:p>
    <w:p w14:paraId="067D15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大门是学校安全的第一道防线，大门值守保安也是学校形象的代表，应具有良好的素质与修养，并认真履行以下岗位职责：</w:t>
      </w:r>
    </w:p>
    <w:p w14:paraId="062CE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（1）按时交接班。白天交接班时，双方应交接有关情况和物品。接班人员未按时到岗，交班人员不得擅自离开岗位。</w:t>
      </w:r>
    </w:p>
    <w:p w14:paraId="3DF35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（2）严格执行门卫制度，着装整洁，保持良好的精神状态。</w:t>
      </w:r>
    </w:p>
    <w:p w14:paraId="03FF5A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（3）积极配合学校做好安全管理等各项工作，严格落实学校各项管理制度。</w:t>
      </w:r>
    </w:p>
    <w:p w14:paraId="30CA0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（4）加强自身修养，坚持文明值班，礼貌待人，遇事冷静。对不服从管理的人员，应耐心解释、说明，不得用不文明的方式对待任何人。</w:t>
      </w:r>
    </w:p>
    <w:p w14:paraId="38728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（5）坚守岗位，不得擅离职守，不做与工作无关的事情，时刻注意进出校门的人员情况。</w:t>
      </w:r>
    </w:p>
    <w:p w14:paraId="50869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（6）保持值班室内外清洁，发现垃圾或丢弃物应及时清扫。交班前，整理好室内物品。</w:t>
      </w:r>
    </w:p>
    <w:p w14:paraId="7B815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（7）爱护值班室内外的设施、设备，发现问题或故障，应及时保修，不得影响工作。</w:t>
      </w:r>
    </w:p>
    <w:p w14:paraId="23235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（8）认真记录值班时发生和处理的各种情况以及接听的重要电话，及时报告有关领导。交班时，应将重要事项向交班人交代清楚。</w:t>
      </w:r>
    </w:p>
    <w:p w14:paraId="1DFA61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4.巡逻岗位职责：</w:t>
      </w:r>
    </w:p>
    <w:p w14:paraId="5D2B4F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（1）服装整齐，文明礼貌执勤，不脱岗。</w:t>
      </w:r>
    </w:p>
    <w:p w14:paraId="3BC906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（2）负责学校日常防火、防盗等安全巡查，及时发现安全隐患，防止意外事故发生，严格落实学校安全巡逻制度。</w:t>
      </w:r>
    </w:p>
    <w:p w14:paraId="35C71F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（3）保持大门口畅通，车辆停放整齐。</w:t>
      </w:r>
    </w:p>
    <w:p w14:paraId="194F4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（4）严格管理好车辆的停放，保持学校内应急通道畅通。</w:t>
      </w:r>
    </w:p>
    <w:p w14:paraId="6DD95D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（5）巡逻保安必须勤巡逻，对学校内的重要部位勤巡、勤看，并做好详细登记，发现异常情况要及时报告学校安全办或“110”指挥中心。</w:t>
      </w:r>
    </w:p>
    <w:p w14:paraId="73684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（6）在值班过程中发现火灾隐患及火情要及时报告相关领导或“119”火警。</w:t>
      </w:r>
    </w:p>
    <w:p w14:paraId="09ACA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（四）具体岗位及人员要求</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03"/>
        <w:gridCol w:w="1606"/>
        <w:gridCol w:w="4223"/>
        <w:gridCol w:w="1155"/>
      </w:tblGrid>
      <w:tr w14:paraId="042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vAlign w:val="center"/>
          </w:tcPr>
          <w:p w14:paraId="33465858">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校区</w:t>
            </w:r>
          </w:p>
        </w:tc>
        <w:tc>
          <w:tcPr>
            <w:tcW w:w="1849" w:type="dxa"/>
            <w:vAlign w:val="center"/>
          </w:tcPr>
          <w:p w14:paraId="3D1299D8">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岗位设置</w:t>
            </w:r>
          </w:p>
        </w:tc>
        <w:tc>
          <w:tcPr>
            <w:tcW w:w="1849" w:type="dxa"/>
            <w:vAlign w:val="center"/>
          </w:tcPr>
          <w:p w14:paraId="24E1AE3D">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岗位数量</w:t>
            </w:r>
          </w:p>
          <w:p w14:paraId="6C9E4767">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（个）</w:t>
            </w:r>
          </w:p>
        </w:tc>
        <w:tc>
          <w:tcPr>
            <w:tcW w:w="5264" w:type="dxa"/>
            <w:vAlign w:val="center"/>
          </w:tcPr>
          <w:p w14:paraId="75D5F5B9">
            <w:pPr>
              <w:snapToGrid w:val="0"/>
              <w:spacing w:line="380" w:lineRule="exact"/>
              <w:ind w:firstLine="562"/>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工作内容</w:t>
            </w:r>
          </w:p>
        </w:tc>
        <w:tc>
          <w:tcPr>
            <w:tcW w:w="1253" w:type="dxa"/>
            <w:vAlign w:val="center"/>
          </w:tcPr>
          <w:p w14:paraId="5ABE9C24">
            <w:pPr>
              <w:snapToGrid w:val="0"/>
              <w:spacing w:line="380" w:lineRule="exac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人数（人）</w:t>
            </w:r>
          </w:p>
        </w:tc>
      </w:tr>
      <w:tr w14:paraId="0B71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restart"/>
            <w:vAlign w:val="center"/>
          </w:tcPr>
          <w:p w14:paraId="4ED538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育才校区</w:t>
            </w:r>
          </w:p>
        </w:tc>
        <w:tc>
          <w:tcPr>
            <w:tcW w:w="1849" w:type="dxa"/>
            <w:vAlign w:val="center"/>
          </w:tcPr>
          <w:p w14:paraId="4711938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1849" w:type="dxa"/>
            <w:vAlign w:val="center"/>
          </w:tcPr>
          <w:p w14:paraId="255D450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398622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0465991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3E1E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97706F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063EB3D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副主管</w:t>
            </w:r>
          </w:p>
        </w:tc>
        <w:tc>
          <w:tcPr>
            <w:tcW w:w="1849" w:type="dxa"/>
            <w:vAlign w:val="center"/>
          </w:tcPr>
          <w:p w14:paraId="55A63B6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48D35F0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5703CB0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1B28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621D2D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D15521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1849" w:type="dxa"/>
            <w:vAlign w:val="center"/>
          </w:tcPr>
          <w:p w14:paraId="52BD018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D93D8B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5ED1A56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c>
          <w:tcPr>
            <w:tcW w:w="1253" w:type="dxa"/>
            <w:vAlign w:val="center"/>
          </w:tcPr>
          <w:p w14:paraId="2D6045B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r>
      <w:tr w14:paraId="67E5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1320EFB">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6D626AE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1849" w:type="dxa"/>
            <w:vAlign w:val="center"/>
          </w:tcPr>
          <w:p w14:paraId="236C89A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CEA80F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c>
          <w:tcPr>
            <w:tcW w:w="1253" w:type="dxa"/>
            <w:vAlign w:val="center"/>
          </w:tcPr>
          <w:p w14:paraId="3F76018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185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7DF6E8C2">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CAF376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消防控制室</w:t>
            </w:r>
          </w:p>
        </w:tc>
        <w:tc>
          <w:tcPr>
            <w:tcW w:w="1849" w:type="dxa"/>
            <w:vAlign w:val="center"/>
          </w:tcPr>
          <w:p w14:paraId="728BAD9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4EDEB82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消防总控室值班和火警排查处置</w:t>
            </w:r>
          </w:p>
        </w:tc>
        <w:tc>
          <w:tcPr>
            <w:tcW w:w="1253" w:type="dxa"/>
            <w:vAlign w:val="center"/>
          </w:tcPr>
          <w:p w14:paraId="1A23D34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FFD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3A73615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91B6B5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消防巡逻</w:t>
            </w:r>
          </w:p>
        </w:tc>
        <w:tc>
          <w:tcPr>
            <w:tcW w:w="1849" w:type="dxa"/>
            <w:vAlign w:val="center"/>
          </w:tcPr>
          <w:p w14:paraId="2C604C5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588F44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负责楼宇的安全检查和火警排查处置</w:t>
            </w:r>
          </w:p>
        </w:tc>
        <w:tc>
          <w:tcPr>
            <w:tcW w:w="1253" w:type="dxa"/>
            <w:vAlign w:val="center"/>
          </w:tcPr>
          <w:p w14:paraId="4743F596">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209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4DA172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0EE2400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西大门</w:t>
            </w:r>
          </w:p>
        </w:tc>
        <w:tc>
          <w:tcPr>
            <w:tcW w:w="1849" w:type="dxa"/>
            <w:vAlign w:val="center"/>
          </w:tcPr>
          <w:p w14:paraId="131EABD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0EC2B0B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CC2ACD4">
            <w:pPr>
              <w:snapToGrid w:val="0"/>
              <w:spacing w:line="380" w:lineRule="exact"/>
              <w:jc w:val="center"/>
              <w:rPr>
                <w:rFonts w:asciiTheme="majorEastAsia" w:hAnsiTheme="majorEastAsia" w:eastAsiaTheme="majorEastAsia" w:cstheme="majorEastAsia"/>
                <w:color w:val="auto"/>
                <w:sz w:val="21"/>
                <w:szCs w:val="21"/>
                <w:highlight w:val="none"/>
              </w:rPr>
            </w:pPr>
          </w:p>
        </w:tc>
      </w:tr>
      <w:tr w14:paraId="3384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25CFFB6">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D3C557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南大门</w:t>
            </w:r>
          </w:p>
        </w:tc>
        <w:tc>
          <w:tcPr>
            <w:tcW w:w="1849" w:type="dxa"/>
            <w:vAlign w:val="center"/>
          </w:tcPr>
          <w:p w14:paraId="62D9662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5264" w:type="dxa"/>
            <w:vAlign w:val="center"/>
          </w:tcPr>
          <w:p w14:paraId="0F6BA39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6D29AAA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F8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A822F4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6E0A3E3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小东门</w:t>
            </w:r>
          </w:p>
        </w:tc>
        <w:tc>
          <w:tcPr>
            <w:tcW w:w="1849" w:type="dxa"/>
            <w:vAlign w:val="center"/>
          </w:tcPr>
          <w:p w14:paraId="0FFD853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BA55E6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7FC2FDD6">
            <w:pPr>
              <w:snapToGrid w:val="0"/>
              <w:spacing w:line="380" w:lineRule="exact"/>
              <w:jc w:val="center"/>
              <w:rPr>
                <w:rFonts w:asciiTheme="majorEastAsia" w:hAnsiTheme="majorEastAsia" w:eastAsiaTheme="majorEastAsia" w:cstheme="majorEastAsia"/>
                <w:color w:val="auto"/>
                <w:sz w:val="21"/>
                <w:szCs w:val="21"/>
                <w:highlight w:val="none"/>
              </w:rPr>
            </w:pPr>
          </w:p>
        </w:tc>
      </w:tr>
      <w:tr w14:paraId="0119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4C9E353F">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718B4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东院门</w:t>
            </w:r>
          </w:p>
        </w:tc>
        <w:tc>
          <w:tcPr>
            <w:tcW w:w="1849" w:type="dxa"/>
            <w:vAlign w:val="center"/>
          </w:tcPr>
          <w:p w14:paraId="165BC24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55A2F8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CF6AF4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0EE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58219A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458922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校办岗</w:t>
            </w:r>
          </w:p>
        </w:tc>
        <w:tc>
          <w:tcPr>
            <w:tcW w:w="1849" w:type="dxa"/>
            <w:vAlign w:val="center"/>
          </w:tcPr>
          <w:p w14:paraId="03D18CA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61A476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负责来访人员登记及周边安全巡查</w:t>
            </w:r>
          </w:p>
        </w:tc>
        <w:tc>
          <w:tcPr>
            <w:tcW w:w="1253" w:type="dxa"/>
            <w:vAlign w:val="center"/>
          </w:tcPr>
          <w:p w14:paraId="38B1E48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2277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EAA202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191C4FD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南院大门</w:t>
            </w:r>
          </w:p>
        </w:tc>
        <w:tc>
          <w:tcPr>
            <w:tcW w:w="1849" w:type="dxa"/>
            <w:vAlign w:val="center"/>
          </w:tcPr>
          <w:p w14:paraId="09A86D2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002CA2D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53B7BED3">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23F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7BC61224">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A8A17B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南院西</w:t>
            </w:r>
          </w:p>
        </w:tc>
        <w:tc>
          <w:tcPr>
            <w:tcW w:w="1849" w:type="dxa"/>
            <w:vAlign w:val="center"/>
          </w:tcPr>
          <w:p w14:paraId="3F432F9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280DC9F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414524AE">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56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C7DF671">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BDF4AA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南院南</w:t>
            </w:r>
          </w:p>
        </w:tc>
        <w:tc>
          <w:tcPr>
            <w:tcW w:w="1849" w:type="dxa"/>
            <w:vAlign w:val="center"/>
          </w:tcPr>
          <w:p w14:paraId="33B232F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1181FC9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6D9C3D94">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879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37BDC45">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42D62E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幼儿园南园</w:t>
            </w:r>
          </w:p>
        </w:tc>
        <w:tc>
          <w:tcPr>
            <w:tcW w:w="1849" w:type="dxa"/>
            <w:vAlign w:val="center"/>
          </w:tcPr>
          <w:p w14:paraId="777D65E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0B4C4A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3DCF041A">
            <w:pPr>
              <w:snapToGrid w:val="0"/>
              <w:spacing w:line="380" w:lineRule="exact"/>
              <w:jc w:val="center"/>
              <w:rPr>
                <w:rFonts w:asciiTheme="majorEastAsia" w:hAnsiTheme="majorEastAsia" w:eastAsiaTheme="majorEastAsia" w:cstheme="majorEastAsia"/>
                <w:color w:val="auto"/>
                <w:sz w:val="21"/>
                <w:szCs w:val="21"/>
                <w:highlight w:val="none"/>
              </w:rPr>
            </w:pPr>
          </w:p>
        </w:tc>
      </w:tr>
      <w:tr w14:paraId="213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A9CE3F6">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C0CDF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巡逻岗校区</w:t>
            </w:r>
          </w:p>
        </w:tc>
        <w:tc>
          <w:tcPr>
            <w:tcW w:w="1849" w:type="dxa"/>
            <w:vAlign w:val="center"/>
          </w:tcPr>
          <w:p w14:paraId="21DCBEF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5264" w:type="dxa"/>
            <w:vAlign w:val="center"/>
          </w:tcPr>
          <w:p w14:paraId="7397FED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c>
          <w:tcPr>
            <w:tcW w:w="1253" w:type="dxa"/>
            <w:vAlign w:val="center"/>
          </w:tcPr>
          <w:p w14:paraId="2DED47FF">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2A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32AF561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141FC4E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巡逻岗南院</w:t>
            </w:r>
          </w:p>
        </w:tc>
        <w:tc>
          <w:tcPr>
            <w:tcW w:w="1849" w:type="dxa"/>
            <w:vAlign w:val="center"/>
          </w:tcPr>
          <w:p w14:paraId="1F69FF0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2D28652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负责南院内外、主干道</w:t>
            </w:r>
          </w:p>
        </w:tc>
        <w:tc>
          <w:tcPr>
            <w:tcW w:w="1253" w:type="dxa"/>
            <w:vAlign w:val="center"/>
          </w:tcPr>
          <w:p w14:paraId="1D38FCFE">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99E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restart"/>
            <w:vAlign w:val="center"/>
          </w:tcPr>
          <w:p w14:paraId="7A11B1C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王城校区</w:t>
            </w:r>
          </w:p>
        </w:tc>
        <w:tc>
          <w:tcPr>
            <w:tcW w:w="1849" w:type="dxa"/>
            <w:vAlign w:val="center"/>
          </w:tcPr>
          <w:p w14:paraId="3F0F415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1849" w:type="dxa"/>
            <w:vAlign w:val="center"/>
          </w:tcPr>
          <w:p w14:paraId="40B5873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9A217F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447A7A3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057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62A167CD">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DF351D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1849" w:type="dxa"/>
            <w:vAlign w:val="center"/>
          </w:tcPr>
          <w:p w14:paraId="76A8090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5A62D4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0767E5F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c>
          <w:tcPr>
            <w:tcW w:w="1253" w:type="dxa"/>
            <w:vAlign w:val="center"/>
          </w:tcPr>
          <w:p w14:paraId="3319299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r>
      <w:tr w14:paraId="2F88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4A860EB1">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F9D3AB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1849" w:type="dxa"/>
            <w:vAlign w:val="center"/>
          </w:tcPr>
          <w:p w14:paraId="1F4C9FD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83182B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c>
          <w:tcPr>
            <w:tcW w:w="1253" w:type="dxa"/>
            <w:vAlign w:val="center"/>
          </w:tcPr>
          <w:p w14:paraId="3378CD52">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F32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237631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26F700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前门门岗</w:t>
            </w:r>
          </w:p>
        </w:tc>
        <w:tc>
          <w:tcPr>
            <w:tcW w:w="1849" w:type="dxa"/>
            <w:vAlign w:val="center"/>
          </w:tcPr>
          <w:p w14:paraId="4FED2B8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702110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78B4203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217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24557C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5966D6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后门门岗</w:t>
            </w:r>
          </w:p>
        </w:tc>
        <w:tc>
          <w:tcPr>
            <w:tcW w:w="1849" w:type="dxa"/>
            <w:vAlign w:val="center"/>
          </w:tcPr>
          <w:p w14:paraId="5F35235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B9939C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E90378D">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55B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7D753C5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09460A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1号门岗</w:t>
            </w:r>
          </w:p>
        </w:tc>
        <w:tc>
          <w:tcPr>
            <w:tcW w:w="1849" w:type="dxa"/>
            <w:vAlign w:val="center"/>
          </w:tcPr>
          <w:p w14:paraId="5A900CC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2557A2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2E9BEDF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7BDA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648B82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FE30EF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3号门岗</w:t>
            </w:r>
          </w:p>
        </w:tc>
        <w:tc>
          <w:tcPr>
            <w:tcW w:w="1849" w:type="dxa"/>
            <w:vAlign w:val="center"/>
          </w:tcPr>
          <w:p w14:paraId="246AEF2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223DCAC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3ADD9DF3">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E8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2E79FBCF">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B8CD36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东区门岗</w:t>
            </w:r>
          </w:p>
        </w:tc>
        <w:tc>
          <w:tcPr>
            <w:tcW w:w="1849" w:type="dxa"/>
            <w:vAlign w:val="center"/>
          </w:tcPr>
          <w:p w14:paraId="67B23F0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5FE206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DE0172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66B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3DBD40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D74A7C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南区门岗</w:t>
            </w:r>
          </w:p>
        </w:tc>
        <w:tc>
          <w:tcPr>
            <w:tcW w:w="1849" w:type="dxa"/>
            <w:vAlign w:val="center"/>
          </w:tcPr>
          <w:p w14:paraId="298597B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EDF428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4C92727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3EA8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430ABE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716539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校园机动执勤</w:t>
            </w:r>
          </w:p>
        </w:tc>
        <w:tc>
          <w:tcPr>
            <w:tcW w:w="1849" w:type="dxa"/>
            <w:vAlign w:val="center"/>
          </w:tcPr>
          <w:p w14:paraId="7A1CD32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5264" w:type="dxa"/>
            <w:vAlign w:val="center"/>
          </w:tcPr>
          <w:p w14:paraId="1776049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c>
          <w:tcPr>
            <w:tcW w:w="1253" w:type="dxa"/>
            <w:vAlign w:val="center"/>
          </w:tcPr>
          <w:p w14:paraId="5D07142C">
            <w:pPr>
              <w:snapToGrid w:val="0"/>
              <w:spacing w:line="380" w:lineRule="exact"/>
              <w:jc w:val="center"/>
              <w:rPr>
                <w:rFonts w:asciiTheme="majorEastAsia" w:hAnsiTheme="majorEastAsia" w:eastAsiaTheme="majorEastAsia" w:cstheme="majorEastAsia"/>
                <w:color w:val="auto"/>
                <w:sz w:val="21"/>
                <w:szCs w:val="21"/>
                <w:highlight w:val="none"/>
              </w:rPr>
            </w:pPr>
          </w:p>
        </w:tc>
      </w:tr>
    </w:tbl>
    <w:p w14:paraId="360B67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（五）服务要求</w:t>
      </w:r>
    </w:p>
    <w:p w14:paraId="1E2DFF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门卫管理：学校大门的24小时门卫管理，严格执行人员、车辆、物资进出管理；按时立岗，礼貌待人，树立良好的窗口形象；对来访人员实行验证登记制度，禁止闲杂人员混入校园；对携物出门实行出门验证审核制度，防止财务流失；维护责任区域秩序，与各岗位互通信息；值班室无闲杂人员滞留，保持内外环境整洁卫生，防止携带宠物进校园，门前卫生三包。</w:t>
      </w:r>
    </w:p>
    <w:p w14:paraId="7D75F5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2.负责教学区整体的交通安全管理，保障各类车辆（含自行车）有序停放及安全，确保校园交通安全畅顺，管理交通安全设施设备。校外电瓶车、未预约校外机动车未经允许不得进入校园。</w:t>
      </w:r>
    </w:p>
    <w:p w14:paraId="6F254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区域守护（楼宇）：做好各楼宇的24小时安全值守和巡查，来人来访的通报、证件检查、物品出入查验登记工作；每天夜间、节假日全天的定时清场；熟悉守护区域的情况特点，定点守卫与区域巡查相结合；掌握消防栓、灭火器等安全设施的位置、性能和使用方法；及时处置突发事件，维护责任区域公共秩序，协助各岗位开展校园交通秩序管理；发现可疑人员主动盘问，发现违规行为，大胆管理，主动干预，发现异常及安全隐患排查，立即采取措施并报告，制止暴力事件，有效处置各种违法犯罪行为；保持岗位卫生整洁，无闲杂人员滞留。</w:t>
      </w:r>
    </w:p>
    <w:p w14:paraId="7DBCD0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治安巡逻：发现和排除各种不安全因素，及时处置各种违法犯罪行为；善于发现、分析处理各种事故隐患和突发事件；配置巡逻车辆，根据不同情况，灵活执行相应的巡逻方案；加强对重点区域、要害部位的安全巡查，巡查踩点不流于形式，并与监控中心保持联动；协助各岗位开展校园秩序维护和交通秩序管理工作；协助楼宇管理人员及责任部门开展安全防范，负责学校教工生活区楼宇的夜间巡逻，校园公共部位安全隐患检查、排除及上报；建筑施工期间，做好施工区域保卫工作，禁止师生通行；如实记录汇报巡逻记录，每日巡逻频次不低于4次，发现安全隐患或突发情况及时处理并汇报。</w:t>
      </w:r>
    </w:p>
    <w:p w14:paraId="24A4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5.如突发公共卫生事件，严格执行学校要求，做好防控管理工作； 保持校门及周边公共卫生，做好门岗门前卫生三包工作。</w:t>
      </w:r>
    </w:p>
    <w:p w14:paraId="63A2FC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6.消防管理</w:t>
      </w:r>
    </w:p>
    <w:p w14:paraId="4A163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（1）建立完善的消防管理台账、制度并严格执行。</w:t>
      </w:r>
    </w:p>
    <w:p w14:paraId="4DC6A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（2）保证配备的人员熟练掌握防火、灭火知识和消防器材使用方法。</w:t>
      </w:r>
    </w:p>
    <w:p w14:paraId="6DA894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（3）做好消防监控工作，对一般火情火险能及时发现报警，及时扑灭。</w:t>
      </w:r>
    </w:p>
    <w:p w14:paraId="2B2F9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（4）做好日常消防的宣传和防范工作，及时发现并消除消防隐患。</w:t>
      </w:r>
    </w:p>
    <w:p w14:paraId="76613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（5）按照委托人安全防火工作的需要，按行业标准做好消防系统、设备、器材的使用和日常保养工作，保证系统、设备和器材的完好，系统24小时正常运行。</w:t>
      </w:r>
    </w:p>
    <w:p w14:paraId="6286D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以上岗位需要做好相关登记及存档工作。</w:t>
      </w:r>
    </w:p>
    <w:p w14:paraId="41F93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7.树立“服务第一，师生至上”的管理理念，加强与甲方的沟通交流，服从甲方的管理，切实维护学校与师生的人身和财产安全。</w:t>
      </w:r>
    </w:p>
    <w:p w14:paraId="7B682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8.坚持原则、缜密严谨；以人为本、主动热情服务；处理问题有理有节、及时到位，严禁与师生发生冲突。</w:t>
      </w:r>
    </w:p>
    <w:p w14:paraId="3B8D2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9.上岗人员仪表整洁，业务操作规范，礼貌待人，保持岗位卫生整洁。</w:t>
      </w:r>
    </w:p>
    <w:p w14:paraId="7D3EC5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10.依法办事，文明执勤，不与师生发生争吵，杜绝保安与师生发生冲突，禁止保安出手伤及师生人身安全。</w:t>
      </w:r>
    </w:p>
    <w:p w14:paraId="6EC26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11.师生有求必应，有险情必出。</w:t>
      </w:r>
    </w:p>
    <w:p w14:paraId="5391B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12.依法办事，文明执勤，严格管理，及时发现校园安全隐患，及时处理突发安全事故，具备应急救护能力，保障学校财产和师生人身不受侵害，维护正常的教育教学、生活秩序。</w:t>
      </w:r>
    </w:p>
    <w:p w14:paraId="3E013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乙方应认真理解学校安保服务的教育属性，熟悉校园管理的特点，做好保安队员服务意识培训，根据校园内的不同服务对象，提供切实可行的校园安保服务，完善专项管理制度，乙方必须于每季度到甲方实际管理部门接洽安保管理工作至少一次。</w:t>
      </w:r>
    </w:p>
    <w:p w14:paraId="306D79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（六）队伍建设与管理要求</w:t>
      </w:r>
    </w:p>
    <w:p w14:paraId="0BFD2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1.乙方负责提供进驻保安人员值勤所需的保安服装、对讲机、武装带、警械、手电、雨具、常用办公用品及耗材等。</w:t>
      </w:r>
    </w:p>
    <w:p w14:paraId="49A559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2.保安人员（包括管理人员）上岗必须统一着装（着保安服，系武装带，配警棍、对讲机，夜间配手电筒），坚守岗位，履行职责，文明执勤。</w:t>
      </w:r>
    </w:p>
    <w:p w14:paraId="70417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3.从学校安全实际出发，每月开展1—2次在岗人员业务技能培训和应急预案演练。</w:t>
      </w:r>
    </w:p>
    <w:p w14:paraId="5C455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4.内部管理体制健全，保证日常保安队伍的规范化管理。保安人员要遵守并严格执行甲方制定的有关规章制度，接受甲方的统一管理，维护甲方的利益。</w:t>
      </w:r>
    </w:p>
    <w:p w14:paraId="59D4B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5.乙方具备相关信息化管理能力，通过信息化管理提高学校整体工作效能、服务质量和管理水平。</w:t>
      </w:r>
    </w:p>
    <w:p w14:paraId="4998F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6.乙方必须采取切实有效措施保持保安队伍的稳定；保安队伍管理人员更换，应提前一个月以书面形式通知甲方，其他队员更换要提前三天告知甲方，确保服务质量不因人员变动而受影响。</w:t>
      </w:r>
    </w:p>
    <w:p w14:paraId="34E25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有权随时对保安人员工作情况进行检查，有权对违规或不称职保安人员提出处罚、调换或辞退要求，甲方应在三天内予以相应处理；如保安人员违反甲方管理规定，乙方必须接受甲方根据双方认可的管理与考核制度进行的处罚（包括提前解约）。</w:t>
      </w:r>
    </w:p>
    <w:p w14:paraId="13C8F4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8.保安应聘、录用、离职等管理档案规范，手续齐全，相应资料必须报甲方备案。</w:t>
      </w:r>
    </w:p>
    <w:p w14:paraId="5A200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9.加强对保安人员业务的管理，确保保安队员遵纪守法，在校园内无违规违法事件发生。</w:t>
      </w:r>
    </w:p>
    <w:p w14:paraId="4721DC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（七）保安人员职责及突发事件处置要求</w:t>
      </w:r>
    </w:p>
    <w:p w14:paraId="68B643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1.遵守乙方及甲方的各项规章制度，不迟到、不早退、不脱岗、不睡岗、不酒后上岗，不做与工作无关的事，听从指挥，服从调度。</w:t>
      </w:r>
    </w:p>
    <w:p w14:paraId="68498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2.上岗执勤时，应着装整齐、配带好防护器材，保持高度警戒。</w:t>
      </w:r>
    </w:p>
    <w:p w14:paraId="5E4104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3.当发现校内有争吵、大声喧哗的人员时，应立即上前了解情况，委婉劝说并及时制止。</w:t>
      </w:r>
    </w:p>
    <w:p w14:paraId="444046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4.当发现有人恶意敲击或损坏校内的物品时，应立即上前阻止并及时上报。</w:t>
      </w:r>
    </w:p>
    <w:p w14:paraId="22D8AE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5.当校内出现打架、斗殴事件时，应积极果断进行劝阻，防止事态进一步扩大，同时,立即报告管理人员,视情况拨打“110”报警。</w:t>
      </w:r>
    </w:p>
    <w:p w14:paraId="28337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负责学校举办重大活动（如招生、迎新、开学典礼、军训、毕业典礼等校级以上活动）的秩序保障、安全警戒和防恐防暴工作，配合做好节假日及敏感时期的安全保障工作。对校园内核心区/重点部位做重点安全保障服务，同时对其他区域做合理安全保障服务。</w:t>
      </w:r>
    </w:p>
    <w:p w14:paraId="15C07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7.积极主动配合甲方教育教学活动，协助甲方处理与校园周边村委关系，为甲方特殊时期（如重大活动、节假日、与相关部门联动演习等）提供安全保障服务。</w:t>
      </w:r>
    </w:p>
    <w:p w14:paraId="3308C9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做好消防安全工作，熟悉校园内消防设施、设备的数量、位置等情况，每日检查火灾报警控制器的自检、消音、复位功能以及主备电源切换功能、消防联动控制器的运行状况，掌握和了解消防设施的运行、误报警、故障等有关情况，发现消防隐患及时报告，发现火情做好报警报告、疏散人员、现场管控等工作。熟练掌握《火灾事故应急处置程序》，火灾情况下能够按照程序开展灭火救援工作。</w:t>
      </w:r>
    </w:p>
    <w:p w14:paraId="1FC080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校内如果发生自然灾害、地震、火灾、水灾、交通事故、治安事件、反恐防暴等突发事件时，应立即组织人员疏散，防止事态扩大及次生灾害发生，同时报告管理人员和拨打“110”报警；掌握基本应急救援及救护知识，发现有人受伤时，安排应急救援人员做好应急救援工作，同时立即拨打“120”急救电话。发生火灾时应立即向管理人员报告并采取措施控制火情，同时拨打“119”火警电话报警。</w:t>
      </w:r>
    </w:p>
    <w:p w14:paraId="489F2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10.当在校内发现从事违法活动犯罪嫌疑人时，应立即予以制止并通知其它岗位队员齐力抓获犯罪嫌疑人并移交甲方；不能控制的，应记住嫌疑人的主要体貌特征和逃跑方向，立即报警并协助警方破案。</w:t>
      </w:r>
    </w:p>
    <w:p w14:paraId="4DF1B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当校内发生暴恐、抢劫等恶性案件时，应立即使用警用器械予以制止，确保受害人和自身的人身安全，并记住犯罪嫌疑人的主要体貌特征和所持凶器、逃跑方向，迅速报警；有人受伤时，应立即拔打“120”急救。</w:t>
      </w:r>
    </w:p>
    <w:p w14:paraId="425E3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12.各类突发事件及处置情况及时向管理人员汇报并及时总结经验教训。</w:t>
      </w:r>
    </w:p>
    <w:p w14:paraId="2551C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（八）保安人员的招聘与录用条件</w:t>
      </w:r>
    </w:p>
    <w:p w14:paraId="270B0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1.保安人员的招聘工作由乙方负责；录用条件为无犯罪记录且满足《保安服务管理条例》等相关法律法规规定的保安人员的任职资格和合法手续。</w:t>
      </w:r>
    </w:p>
    <w:p w14:paraId="6774B3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甲方派遣的保安人员必须遵守法纪，无违法记录，身体健康（中标后向甲方出具所派遣人员的《健康证》），接受过正规专业训练（持《保安上岗证》）且身高不低于1.65米，年龄在20—55岁之间（45-55岁之间队员人数不能超过总队员人数的30%），初中以上（含初中）学历。</w:t>
      </w:r>
    </w:p>
    <w:p w14:paraId="5072FC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主管：年龄50岁以下，身体健康，大专及以上文化程度，具有国家行政机关颁发的二级保安员证书，并且有1年及以上校园管理的工作经验，熟悉安保管理法规，政治素质好，作风正派，管理能力强，有开拓创新精神。</w:t>
      </w:r>
    </w:p>
    <w:p w14:paraId="4A4650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班长：年龄40岁以下；政治素质好，大专及以上文化程度，具有国家行政机关颁发的三级及以上保安员证书，身体健康，反应灵敏，形象较好，具有一定的管理能力，接受过专业保安管理训练，能带领队员较好完成工作任务。</w:t>
      </w:r>
    </w:p>
    <w:p w14:paraId="5A750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视频监控岗位：年龄在20—40岁之间，身高在1.55米以上，政治素质好，高中以上学历，计算机专业或熟悉计算机操作。</w:t>
      </w:r>
    </w:p>
    <w:p w14:paraId="35AE7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消防控制室岗位：反应灵敏，政治素质好，高中以上学历，计算机专业或熟悉计算机操作，须持消防部门要求证件上岗。</w:t>
      </w:r>
    </w:p>
    <w:p w14:paraId="47418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3.派驻的保安员必须经过岗前培训并取得保安员证（所有证件建档备查）。</w:t>
      </w:r>
    </w:p>
    <w:p w14:paraId="2F1188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4.派驻人员需经甲方审核通过后方可派遣到甲方校内进行保安服务。</w:t>
      </w:r>
    </w:p>
    <w:p w14:paraId="6E2FBD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负责对派驻保安员的思想教育、劳动纪律和技能培训等日常管理工作。派驻人员在甲方工作区域内的失职、违法犯罪和本人责任的安全事故等行为及后果，给甲方造成损失及人身伤害的，由乙方负责，涉嫌犯罪人员移交公安机关处理。</w:t>
      </w:r>
    </w:p>
    <w:p w14:paraId="2C64AF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6.乙方负责与派驻保安员签订劳动合同，建立劳动关系，为其办理相关保险以及按时支付服务人员劳动报酬，发放劳保等用品。</w:t>
      </w:r>
    </w:p>
    <w:p w14:paraId="3F6D25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7.派驻保安员中有8名以上持有消防设施操作员证（或建（构）筑物消防员证）（所有证件建档备查）。</w:t>
      </w:r>
    </w:p>
    <w:p w14:paraId="220E8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8.派驻保安员至少有10%是复退军人。</w:t>
      </w:r>
    </w:p>
    <w:p w14:paraId="24F81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9.派驻的保安员应穿着制服，佩戴《上岗证》，文明执勤、依法执勤、礼貌待人。</w:t>
      </w:r>
    </w:p>
    <w:p w14:paraId="4B4D89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10.派驻的保安员应当接受甲方的管理和指挥，完成临时交办的相关工作。</w:t>
      </w:r>
    </w:p>
    <w:p w14:paraId="5D6F79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11.保安员按照规定，有权坚持原则，履行职责，以维护甲方合法利益。如保安员按照要求在执勤中遇到违规问题的，有权进行制止，做好记录或通报甲方，甲方应给予支持配合，并积极协助妥善处理。</w:t>
      </w:r>
    </w:p>
    <w:p w14:paraId="39375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甲方的各项规章制度，乙方需遵照执行并组织保安人员学习，乙方需遵照执行并组织保安人员学习，保安人员上岗前应确保理解到位；所派保安人员有损毁、侵占甲方公私财物行为的，必须无条件赔偿全部损失并清退相关责任人，涉嫌犯罪的移交公安机关处理。</w:t>
      </w:r>
    </w:p>
    <w:p w14:paraId="2E5047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13.建立服务管理档案并负责及时记载有关变更情况。</w:t>
      </w:r>
    </w:p>
    <w:p w14:paraId="4C20FB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（九）承担风险</w:t>
      </w:r>
    </w:p>
    <w:p w14:paraId="2545B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1.甲方将对乙方服务质量进行全过程监控，乙方日常工作不到位、不达标或有违约现象，将依据合同约定，作出相应的违约处理与处罚。</w:t>
      </w:r>
    </w:p>
    <w:p w14:paraId="1D93E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2.保安人员在岗履行工作职责期间，发生的自身意外伤害、死亡事故，均由乙方负责处理并承担法律和道义上的责任，甲方不承担任何责任。</w:t>
      </w:r>
    </w:p>
    <w:p w14:paraId="2B66D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3.乙方违反国家相关法规，与聘用人员发生纠纷，均由乙方负责调解与处理，甲方不承担责任。</w:t>
      </w:r>
    </w:p>
    <w:p w14:paraId="42BD70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4.乙方在保安服务中违反国家相关法规或保安行业规范，因过失造成他人人身伤亡的，均由乙方负责处理并承担法律和道义上的责任，甲方不承担任何责任</w:t>
      </w:r>
    </w:p>
    <w:p w14:paraId="09DCF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（十）服务期限及标准</w:t>
      </w:r>
    </w:p>
    <w:p w14:paraId="6D1223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3239F2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服务标准：符合国家相关法规、保安行业规范和甲方规定要求。实行定期考核，每季度作为一个考核期，达不到学校要求即刻解约。</w:t>
      </w:r>
    </w:p>
    <w:p w14:paraId="66DBFF6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第六条、售后服务</w:t>
      </w:r>
    </w:p>
    <w:p w14:paraId="0E870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1、乙方应按照国家有关法律法规和“三包”规定以及招投标文件和本合同所附的《服务承诺》，为甲方提供售后服务。</w:t>
      </w:r>
    </w:p>
    <w:p w14:paraId="51AF9F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2、乙方提供的服务承诺和售后服务责任等其它具体约定事项。</w:t>
      </w:r>
    </w:p>
    <w:p w14:paraId="17C379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第七条、付款方式</w:t>
      </w:r>
    </w:p>
    <w:p w14:paraId="7914C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   财政性资金      。</w:t>
      </w:r>
    </w:p>
    <w:p w14:paraId="63627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2.付款方式：</w:t>
      </w:r>
      <w:r>
        <w:rPr>
          <w:rFonts w:hint="eastAsia" w:asciiTheme="majorEastAsia" w:hAnsiTheme="majorEastAsia" w:eastAsiaTheme="majorEastAsia" w:cstheme="majorEastAsia"/>
          <w:color w:val="auto"/>
          <w:szCs w:val="21"/>
          <w:highlight w:val="none"/>
          <w:lang w:bidi="en-US"/>
        </w:rPr>
        <w:t>合同期内，乙方每月5号前交上月发票，甲方于每月10日前（如遇节假日顺延至第一个工作日）为乙方办理上月服务费支付手续，甲方提供服务不足一个月时按日计算。</w:t>
      </w:r>
    </w:p>
    <w:p w14:paraId="423D99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3.合同期内，如广西壮族自治区人民政府对全区最低工资标准进行调整，甲方将按广西壮族自治区文件要求对中标单价进行相应调整。</w:t>
      </w:r>
    </w:p>
    <w:p w14:paraId="152BE5A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第八条、履约保证金</w:t>
      </w:r>
    </w:p>
    <w:p w14:paraId="09F49D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183A5D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2.履约保证金递交方式：银行转账、支票、汇票、本票或者银行、保险机构出具的保函等非现金方式。</w:t>
      </w:r>
    </w:p>
    <w:p w14:paraId="5AE99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3.履约保证金递交方式及相关要求</w:t>
      </w:r>
    </w:p>
    <w:p w14:paraId="0E34D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（1）履约保证金采用银行转账交纳方式的，乙方在签订合同前交至甲方指定账户并且到账。</w:t>
      </w:r>
    </w:p>
    <w:p w14:paraId="387FEC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（2）履约保证金采用支票、汇票或本票交纳方式的，乙方在签订合同前，向甲方提交支票、汇票或本票原件。</w:t>
      </w:r>
    </w:p>
    <w:p w14:paraId="1B2C73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（3）履约保证金采用银行、保险机构出具的保函交纳方式的，乙方在签订合同前，向甲方提交保函原件。</w:t>
      </w:r>
    </w:p>
    <w:p w14:paraId="64124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（4）履约保证金指定账户</w:t>
      </w:r>
    </w:p>
    <w:p w14:paraId="425DE9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开户名称：广西师范大学</w:t>
      </w:r>
    </w:p>
    <w:p w14:paraId="2F1B9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开户银行：中国工商银行股份有限公司桂林市高新科技支行</w:t>
      </w:r>
    </w:p>
    <w:p w14:paraId="038FB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账    号：2103215109264004618</w:t>
      </w:r>
    </w:p>
    <w:p w14:paraId="6B8E68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4.履约保证金退付方式、时间及条件：</w:t>
      </w:r>
    </w:p>
    <w:p w14:paraId="700D3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（1）乙方履行完合同约定的权利义务（包括免费保修服务等）事项后7个工作日内，由乙方向履约保证金收取单位办理退还手续（不计利息）。</w:t>
      </w:r>
    </w:p>
    <w:p w14:paraId="79004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（2）乙方在签订合同后存在违约情形的，履约保证金或保函原件不予退还。保函形式的甲方按相关规定由出具保函的银行、保险机构承担供应商违约赔付责任，履约保证金不足以赔偿损失的，按实际损失赔偿。</w:t>
      </w:r>
    </w:p>
    <w:p w14:paraId="3EAD78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（3）在履约保证金退还日期前，若乙方的开户名称、开户银行、账号有变动的，请以书面形式通知履约保证金收取单位，否则由此产生的后果由乙方自负。</w:t>
      </w:r>
    </w:p>
    <w:p w14:paraId="7439B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p w14:paraId="6F71FB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第九条、税费</w:t>
      </w:r>
    </w:p>
    <w:p w14:paraId="307C8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3C8564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第十条、处罚标准及解除合同条款</w:t>
      </w:r>
    </w:p>
    <w:p w14:paraId="17338F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保卫处）负责每季度对乙方保安队伍进行考核，在工作中发现保安人员存在以下违规违纪行为者，甲方将对乙方进行累计扣分，累计扣分≥30分则启动整改程序，整改后仍不达标，则视为乙方违约，甲方可单方面即刻解除合同。相关考核管理办法如下：</w:t>
      </w:r>
    </w:p>
    <w:tbl>
      <w:tblPr>
        <w:tblStyle w:val="53"/>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842"/>
        <w:gridCol w:w="833"/>
        <w:gridCol w:w="817"/>
        <w:gridCol w:w="922"/>
      </w:tblGrid>
      <w:tr w14:paraId="7DEB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5" w:type="dxa"/>
            <w:gridSpan w:val="5"/>
          </w:tcPr>
          <w:p w14:paraId="6F7020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广西师范大学安保队伍考核管理办法</w:t>
            </w:r>
          </w:p>
        </w:tc>
      </w:tr>
      <w:tr w14:paraId="027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543A8702">
            <w:pPr>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5842" w:type="dxa"/>
            <w:vAlign w:val="center"/>
          </w:tcPr>
          <w:p w14:paraId="1EF04250">
            <w:pPr>
              <w:spacing w:line="360" w:lineRule="auto"/>
              <w:rPr>
                <w:rFonts w:ascii="宋体" w:hAnsi="宋体" w:cs="宋体"/>
                <w:color w:val="auto"/>
                <w:szCs w:val="21"/>
                <w:highlight w:val="none"/>
              </w:rPr>
            </w:pPr>
            <w:r>
              <w:rPr>
                <w:rFonts w:hint="eastAsia" w:ascii="宋体" w:hAnsi="宋体" w:cs="宋体"/>
                <w:color w:val="auto"/>
                <w:szCs w:val="21"/>
                <w:highlight w:val="none"/>
              </w:rPr>
              <w:t>考核情况</w:t>
            </w:r>
          </w:p>
        </w:tc>
        <w:tc>
          <w:tcPr>
            <w:tcW w:w="833" w:type="dxa"/>
            <w:vAlign w:val="center"/>
          </w:tcPr>
          <w:p w14:paraId="23E53542">
            <w:pPr>
              <w:spacing w:line="360" w:lineRule="auto"/>
              <w:rPr>
                <w:rFonts w:ascii="宋体" w:hAnsi="宋体" w:cs="宋体"/>
                <w:color w:val="auto"/>
                <w:szCs w:val="21"/>
                <w:highlight w:val="none"/>
              </w:rPr>
            </w:pPr>
            <w:r>
              <w:rPr>
                <w:rFonts w:hint="eastAsia" w:ascii="宋体" w:hAnsi="宋体" w:cs="宋体"/>
                <w:color w:val="auto"/>
                <w:szCs w:val="21"/>
                <w:highlight w:val="none"/>
              </w:rPr>
              <w:t>扣分情况</w:t>
            </w:r>
          </w:p>
        </w:tc>
        <w:tc>
          <w:tcPr>
            <w:tcW w:w="817" w:type="dxa"/>
            <w:vAlign w:val="center"/>
          </w:tcPr>
          <w:p w14:paraId="7FEE630B">
            <w:pPr>
              <w:spacing w:line="360" w:lineRule="auto"/>
              <w:rPr>
                <w:rFonts w:ascii="宋体" w:hAnsi="宋体" w:cs="宋体"/>
                <w:color w:val="auto"/>
                <w:szCs w:val="21"/>
                <w:highlight w:val="none"/>
              </w:rPr>
            </w:pPr>
            <w:r>
              <w:rPr>
                <w:rFonts w:hint="eastAsia" w:ascii="宋体" w:hAnsi="宋体" w:cs="宋体"/>
                <w:color w:val="auto"/>
                <w:szCs w:val="21"/>
                <w:highlight w:val="none"/>
              </w:rPr>
              <w:t>扣分说明</w:t>
            </w:r>
          </w:p>
        </w:tc>
        <w:tc>
          <w:tcPr>
            <w:tcW w:w="922" w:type="dxa"/>
            <w:vAlign w:val="center"/>
          </w:tcPr>
          <w:p w14:paraId="651D4BE2">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5AA2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72D6C4E">
            <w:pPr>
              <w:spacing w:line="360" w:lineRule="auto"/>
              <w:ind w:firstLine="420" w:firstLineChars="200"/>
              <w:rPr>
                <w:rFonts w:ascii="宋体" w:hAnsi="宋体" w:cs="宋体"/>
                <w:color w:val="auto"/>
                <w:szCs w:val="21"/>
                <w:highlight w:val="none"/>
              </w:rPr>
            </w:pPr>
          </w:p>
        </w:tc>
        <w:tc>
          <w:tcPr>
            <w:tcW w:w="5842" w:type="dxa"/>
          </w:tcPr>
          <w:p w14:paraId="0ADCDEA9">
            <w:pPr>
              <w:spacing w:line="360" w:lineRule="auto"/>
              <w:rPr>
                <w:rFonts w:ascii="宋体" w:hAnsi="宋体" w:cs="宋体"/>
                <w:color w:val="auto"/>
                <w:szCs w:val="21"/>
                <w:highlight w:val="none"/>
              </w:rPr>
            </w:pPr>
            <w:r>
              <w:rPr>
                <w:rFonts w:hint="eastAsia" w:ascii="宋体" w:hAnsi="宋体" w:cs="宋体"/>
                <w:color w:val="auto"/>
                <w:szCs w:val="21"/>
                <w:highlight w:val="none"/>
              </w:rPr>
              <w:t>值班期间有睡岗，未按规定着装、吸烟、酗酒上岗等违反值班规定的，发现一次扣1分</w:t>
            </w:r>
          </w:p>
        </w:tc>
        <w:tc>
          <w:tcPr>
            <w:tcW w:w="833" w:type="dxa"/>
          </w:tcPr>
          <w:p w14:paraId="606C1E65">
            <w:pPr>
              <w:spacing w:line="360" w:lineRule="auto"/>
              <w:ind w:firstLine="420" w:firstLineChars="200"/>
              <w:rPr>
                <w:rFonts w:ascii="宋体" w:hAnsi="宋体" w:cs="宋体"/>
                <w:color w:val="auto"/>
                <w:szCs w:val="21"/>
                <w:highlight w:val="none"/>
              </w:rPr>
            </w:pPr>
          </w:p>
        </w:tc>
        <w:tc>
          <w:tcPr>
            <w:tcW w:w="817" w:type="dxa"/>
          </w:tcPr>
          <w:p w14:paraId="1CD097D1">
            <w:pPr>
              <w:spacing w:line="360" w:lineRule="auto"/>
              <w:ind w:firstLine="420" w:firstLineChars="200"/>
              <w:rPr>
                <w:rFonts w:ascii="宋体" w:hAnsi="宋体" w:cs="宋体"/>
                <w:color w:val="auto"/>
                <w:szCs w:val="21"/>
                <w:highlight w:val="none"/>
              </w:rPr>
            </w:pPr>
          </w:p>
        </w:tc>
        <w:tc>
          <w:tcPr>
            <w:tcW w:w="922" w:type="dxa"/>
          </w:tcPr>
          <w:p w14:paraId="0C64A1EC">
            <w:pPr>
              <w:spacing w:line="360" w:lineRule="auto"/>
              <w:ind w:firstLine="420" w:firstLineChars="200"/>
              <w:rPr>
                <w:rFonts w:ascii="宋体" w:hAnsi="宋体" w:cs="宋体"/>
                <w:color w:val="auto"/>
                <w:szCs w:val="21"/>
                <w:highlight w:val="none"/>
              </w:rPr>
            </w:pPr>
          </w:p>
        </w:tc>
      </w:tr>
      <w:tr w14:paraId="3F82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51AF518E">
            <w:pPr>
              <w:spacing w:line="360" w:lineRule="auto"/>
              <w:ind w:firstLine="420" w:firstLineChars="200"/>
              <w:rPr>
                <w:rFonts w:ascii="宋体" w:hAnsi="宋体" w:cs="宋体"/>
                <w:color w:val="auto"/>
                <w:szCs w:val="21"/>
                <w:highlight w:val="none"/>
              </w:rPr>
            </w:pPr>
          </w:p>
        </w:tc>
        <w:tc>
          <w:tcPr>
            <w:tcW w:w="5842" w:type="dxa"/>
          </w:tcPr>
          <w:p w14:paraId="3E5A396C">
            <w:pPr>
              <w:spacing w:line="360" w:lineRule="auto"/>
              <w:rPr>
                <w:rFonts w:ascii="宋体" w:hAnsi="宋体" w:cs="宋体"/>
                <w:color w:val="auto"/>
                <w:szCs w:val="21"/>
                <w:highlight w:val="none"/>
              </w:rPr>
            </w:pPr>
            <w:r>
              <w:rPr>
                <w:rFonts w:hint="eastAsia" w:ascii="宋体" w:hAnsi="宋体" w:cs="宋体"/>
                <w:color w:val="auto"/>
                <w:szCs w:val="21"/>
                <w:highlight w:val="none"/>
              </w:rPr>
              <w:t>值班人员不履行岗位职责或不服从保卫处工作安排的，每人次扣2分</w:t>
            </w:r>
          </w:p>
        </w:tc>
        <w:tc>
          <w:tcPr>
            <w:tcW w:w="833" w:type="dxa"/>
          </w:tcPr>
          <w:p w14:paraId="18ED5C10">
            <w:pPr>
              <w:spacing w:line="360" w:lineRule="auto"/>
              <w:ind w:firstLine="420" w:firstLineChars="200"/>
              <w:rPr>
                <w:rFonts w:ascii="宋体" w:hAnsi="宋体" w:cs="宋体"/>
                <w:color w:val="auto"/>
                <w:szCs w:val="21"/>
                <w:highlight w:val="none"/>
              </w:rPr>
            </w:pPr>
          </w:p>
        </w:tc>
        <w:tc>
          <w:tcPr>
            <w:tcW w:w="817" w:type="dxa"/>
          </w:tcPr>
          <w:p w14:paraId="0930FDA3">
            <w:pPr>
              <w:spacing w:line="360" w:lineRule="auto"/>
              <w:ind w:firstLine="420" w:firstLineChars="200"/>
              <w:rPr>
                <w:rFonts w:ascii="宋体" w:hAnsi="宋体" w:cs="宋体"/>
                <w:color w:val="auto"/>
                <w:szCs w:val="21"/>
                <w:highlight w:val="none"/>
              </w:rPr>
            </w:pPr>
          </w:p>
        </w:tc>
        <w:tc>
          <w:tcPr>
            <w:tcW w:w="922" w:type="dxa"/>
          </w:tcPr>
          <w:p w14:paraId="0C206387">
            <w:pPr>
              <w:spacing w:line="360" w:lineRule="auto"/>
              <w:ind w:firstLine="420" w:firstLineChars="200"/>
              <w:rPr>
                <w:rFonts w:ascii="宋体" w:hAnsi="宋体" w:cs="宋体"/>
                <w:color w:val="auto"/>
                <w:szCs w:val="21"/>
                <w:highlight w:val="none"/>
              </w:rPr>
            </w:pPr>
          </w:p>
        </w:tc>
      </w:tr>
      <w:tr w14:paraId="6C5B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4936E70A">
            <w:pPr>
              <w:spacing w:line="360" w:lineRule="auto"/>
              <w:ind w:firstLine="420" w:firstLineChars="200"/>
              <w:rPr>
                <w:rFonts w:ascii="宋体" w:hAnsi="宋体" w:cs="宋体"/>
                <w:color w:val="auto"/>
                <w:szCs w:val="21"/>
                <w:highlight w:val="none"/>
              </w:rPr>
            </w:pPr>
          </w:p>
        </w:tc>
        <w:tc>
          <w:tcPr>
            <w:tcW w:w="5842" w:type="dxa"/>
          </w:tcPr>
          <w:p w14:paraId="7C60333F">
            <w:pPr>
              <w:spacing w:line="360" w:lineRule="auto"/>
              <w:rPr>
                <w:rFonts w:ascii="宋体" w:hAnsi="宋体" w:cs="宋体"/>
                <w:color w:val="auto"/>
                <w:szCs w:val="21"/>
                <w:highlight w:val="none"/>
              </w:rPr>
            </w:pPr>
            <w:r>
              <w:rPr>
                <w:rFonts w:hint="eastAsia" w:ascii="宋体" w:hAnsi="宋体" w:cs="宋体"/>
                <w:color w:val="auto"/>
                <w:szCs w:val="21"/>
                <w:highlight w:val="none"/>
              </w:rPr>
              <w:t>值班人员在岗时不按规定检查离校物资出门证，导致学校及师生财物流失的，除照价赔偿外，每次扣2分</w:t>
            </w:r>
          </w:p>
        </w:tc>
        <w:tc>
          <w:tcPr>
            <w:tcW w:w="833" w:type="dxa"/>
          </w:tcPr>
          <w:p w14:paraId="0C1F2546">
            <w:pPr>
              <w:spacing w:line="360" w:lineRule="auto"/>
              <w:ind w:firstLine="420" w:firstLineChars="200"/>
              <w:rPr>
                <w:rFonts w:ascii="宋体" w:hAnsi="宋体" w:cs="宋体"/>
                <w:color w:val="auto"/>
                <w:szCs w:val="21"/>
                <w:highlight w:val="none"/>
              </w:rPr>
            </w:pPr>
          </w:p>
        </w:tc>
        <w:tc>
          <w:tcPr>
            <w:tcW w:w="817" w:type="dxa"/>
          </w:tcPr>
          <w:p w14:paraId="736ED463">
            <w:pPr>
              <w:spacing w:line="360" w:lineRule="auto"/>
              <w:ind w:firstLine="420" w:firstLineChars="200"/>
              <w:rPr>
                <w:rFonts w:ascii="宋体" w:hAnsi="宋体" w:cs="宋体"/>
                <w:color w:val="auto"/>
                <w:szCs w:val="21"/>
                <w:highlight w:val="none"/>
              </w:rPr>
            </w:pPr>
          </w:p>
        </w:tc>
        <w:tc>
          <w:tcPr>
            <w:tcW w:w="922" w:type="dxa"/>
          </w:tcPr>
          <w:p w14:paraId="133EF857">
            <w:pPr>
              <w:spacing w:line="360" w:lineRule="auto"/>
              <w:ind w:firstLine="420" w:firstLineChars="200"/>
              <w:rPr>
                <w:rFonts w:ascii="宋体" w:hAnsi="宋体" w:cs="宋体"/>
                <w:color w:val="auto"/>
                <w:szCs w:val="21"/>
                <w:highlight w:val="none"/>
              </w:rPr>
            </w:pPr>
          </w:p>
        </w:tc>
      </w:tr>
      <w:tr w14:paraId="16A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269D236D">
            <w:pPr>
              <w:spacing w:line="360" w:lineRule="auto"/>
              <w:ind w:firstLine="420" w:firstLineChars="200"/>
              <w:rPr>
                <w:rFonts w:ascii="宋体" w:hAnsi="宋体" w:cs="宋体"/>
                <w:color w:val="auto"/>
                <w:szCs w:val="21"/>
                <w:highlight w:val="none"/>
              </w:rPr>
            </w:pPr>
          </w:p>
        </w:tc>
        <w:tc>
          <w:tcPr>
            <w:tcW w:w="5842" w:type="dxa"/>
          </w:tcPr>
          <w:p w14:paraId="6CFD7CA5">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保安人员由于失职而造成重大事故的，乙方须赔偿一切经济损失，并将责任人移交公安机关处理，同时每次扣10分</w:t>
            </w:r>
          </w:p>
        </w:tc>
        <w:tc>
          <w:tcPr>
            <w:tcW w:w="833" w:type="dxa"/>
          </w:tcPr>
          <w:p w14:paraId="7BA46E49">
            <w:pPr>
              <w:spacing w:line="360" w:lineRule="auto"/>
              <w:ind w:firstLine="420" w:firstLineChars="200"/>
              <w:rPr>
                <w:rFonts w:ascii="宋体" w:hAnsi="宋体" w:cs="宋体"/>
                <w:color w:val="auto"/>
                <w:szCs w:val="21"/>
                <w:highlight w:val="none"/>
              </w:rPr>
            </w:pPr>
          </w:p>
        </w:tc>
        <w:tc>
          <w:tcPr>
            <w:tcW w:w="817" w:type="dxa"/>
          </w:tcPr>
          <w:p w14:paraId="79462374">
            <w:pPr>
              <w:spacing w:line="360" w:lineRule="auto"/>
              <w:ind w:firstLine="420" w:firstLineChars="200"/>
              <w:rPr>
                <w:rFonts w:ascii="宋体" w:hAnsi="宋体" w:cs="宋体"/>
                <w:color w:val="auto"/>
                <w:szCs w:val="21"/>
                <w:highlight w:val="none"/>
              </w:rPr>
            </w:pPr>
          </w:p>
        </w:tc>
        <w:tc>
          <w:tcPr>
            <w:tcW w:w="922" w:type="dxa"/>
          </w:tcPr>
          <w:p w14:paraId="745C2275">
            <w:pPr>
              <w:spacing w:line="360" w:lineRule="auto"/>
              <w:ind w:firstLine="420" w:firstLineChars="200"/>
              <w:rPr>
                <w:rFonts w:ascii="宋体" w:hAnsi="宋体" w:cs="宋体"/>
                <w:color w:val="auto"/>
                <w:szCs w:val="21"/>
                <w:highlight w:val="none"/>
              </w:rPr>
            </w:pPr>
          </w:p>
        </w:tc>
      </w:tr>
      <w:tr w14:paraId="638C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3A6365F1">
            <w:pPr>
              <w:spacing w:line="360" w:lineRule="auto"/>
              <w:ind w:firstLine="420" w:firstLineChars="200"/>
              <w:rPr>
                <w:rFonts w:ascii="宋体" w:hAnsi="宋体" w:cs="宋体"/>
                <w:color w:val="auto"/>
                <w:szCs w:val="21"/>
                <w:highlight w:val="none"/>
              </w:rPr>
            </w:pPr>
          </w:p>
        </w:tc>
        <w:tc>
          <w:tcPr>
            <w:tcW w:w="5842" w:type="dxa"/>
          </w:tcPr>
          <w:p w14:paraId="79F94C7D">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保安人员如有偷盗或其他违法犯罪行为，乙方必须承担一切经济损失和法律责任，每次扣10分</w:t>
            </w:r>
          </w:p>
        </w:tc>
        <w:tc>
          <w:tcPr>
            <w:tcW w:w="833" w:type="dxa"/>
          </w:tcPr>
          <w:p w14:paraId="1D3E9164">
            <w:pPr>
              <w:spacing w:line="360" w:lineRule="auto"/>
              <w:ind w:firstLine="420" w:firstLineChars="200"/>
              <w:rPr>
                <w:rFonts w:ascii="宋体" w:hAnsi="宋体" w:cs="宋体"/>
                <w:color w:val="auto"/>
                <w:szCs w:val="21"/>
                <w:highlight w:val="none"/>
              </w:rPr>
            </w:pPr>
          </w:p>
        </w:tc>
        <w:tc>
          <w:tcPr>
            <w:tcW w:w="817" w:type="dxa"/>
          </w:tcPr>
          <w:p w14:paraId="0EE60F6D">
            <w:pPr>
              <w:spacing w:line="360" w:lineRule="auto"/>
              <w:ind w:firstLine="420" w:firstLineChars="200"/>
              <w:rPr>
                <w:rFonts w:ascii="宋体" w:hAnsi="宋体" w:cs="宋体"/>
                <w:color w:val="auto"/>
                <w:szCs w:val="21"/>
                <w:highlight w:val="none"/>
              </w:rPr>
            </w:pPr>
          </w:p>
        </w:tc>
        <w:tc>
          <w:tcPr>
            <w:tcW w:w="922" w:type="dxa"/>
          </w:tcPr>
          <w:p w14:paraId="47C7E3DE">
            <w:pPr>
              <w:spacing w:line="360" w:lineRule="auto"/>
              <w:ind w:firstLine="420" w:firstLineChars="200"/>
              <w:rPr>
                <w:rFonts w:ascii="宋体" w:hAnsi="宋体" w:cs="宋体"/>
                <w:color w:val="auto"/>
                <w:szCs w:val="21"/>
                <w:highlight w:val="none"/>
              </w:rPr>
            </w:pPr>
          </w:p>
        </w:tc>
      </w:tr>
      <w:tr w14:paraId="4ACB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B2FF21B">
            <w:pPr>
              <w:spacing w:line="360" w:lineRule="auto"/>
              <w:ind w:firstLine="420" w:firstLineChars="200"/>
              <w:rPr>
                <w:rFonts w:ascii="宋体" w:hAnsi="宋体" w:cs="宋体"/>
                <w:color w:val="auto"/>
                <w:szCs w:val="21"/>
                <w:highlight w:val="none"/>
              </w:rPr>
            </w:pPr>
          </w:p>
        </w:tc>
        <w:tc>
          <w:tcPr>
            <w:tcW w:w="5842" w:type="dxa"/>
          </w:tcPr>
          <w:p w14:paraId="7024FEB8">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保安人员粗暴值勤，被老师和学生投诉或与师生发生肢体冲突的，除将责任人移交公安部门处理外，每次扣10分</w:t>
            </w:r>
          </w:p>
        </w:tc>
        <w:tc>
          <w:tcPr>
            <w:tcW w:w="833" w:type="dxa"/>
          </w:tcPr>
          <w:p w14:paraId="65C16CB7">
            <w:pPr>
              <w:spacing w:line="360" w:lineRule="auto"/>
              <w:ind w:firstLine="420" w:firstLineChars="200"/>
              <w:rPr>
                <w:rFonts w:ascii="宋体" w:hAnsi="宋体" w:cs="宋体"/>
                <w:color w:val="auto"/>
                <w:szCs w:val="21"/>
                <w:highlight w:val="none"/>
              </w:rPr>
            </w:pPr>
          </w:p>
        </w:tc>
        <w:tc>
          <w:tcPr>
            <w:tcW w:w="817" w:type="dxa"/>
          </w:tcPr>
          <w:p w14:paraId="6895B29B">
            <w:pPr>
              <w:spacing w:line="360" w:lineRule="auto"/>
              <w:ind w:firstLine="420" w:firstLineChars="200"/>
              <w:rPr>
                <w:rFonts w:ascii="宋体" w:hAnsi="宋体" w:cs="宋体"/>
                <w:color w:val="auto"/>
                <w:szCs w:val="21"/>
                <w:highlight w:val="none"/>
              </w:rPr>
            </w:pPr>
          </w:p>
        </w:tc>
        <w:tc>
          <w:tcPr>
            <w:tcW w:w="922" w:type="dxa"/>
          </w:tcPr>
          <w:p w14:paraId="3A0A8187">
            <w:pPr>
              <w:spacing w:line="360" w:lineRule="auto"/>
              <w:ind w:firstLine="420" w:firstLineChars="200"/>
              <w:rPr>
                <w:rFonts w:ascii="宋体" w:hAnsi="宋体" w:cs="宋体"/>
                <w:color w:val="auto"/>
                <w:szCs w:val="21"/>
                <w:highlight w:val="none"/>
              </w:rPr>
            </w:pPr>
          </w:p>
        </w:tc>
      </w:tr>
      <w:tr w14:paraId="1668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07CE1CDD">
            <w:pPr>
              <w:spacing w:line="360" w:lineRule="auto"/>
              <w:ind w:firstLine="420" w:firstLineChars="200"/>
              <w:rPr>
                <w:rFonts w:ascii="宋体" w:hAnsi="宋体" w:cs="宋体"/>
                <w:color w:val="auto"/>
                <w:szCs w:val="21"/>
                <w:highlight w:val="none"/>
              </w:rPr>
            </w:pPr>
          </w:p>
        </w:tc>
        <w:tc>
          <w:tcPr>
            <w:tcW w:w="5842" w:type="dxa"/>
          </w:tcPr>
          <w:p w14:paraId="4D887DA2">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保安人员在值班期间被发现有脱岗、串岗等情况的，每人次扣2分，若造成重大损失的（5万元以上），每人次扣10分</w:t>
            </w:r>
          </w:p>
        </w:tc>
        <w:tc>
          <w:tcPr>
            <w:tcW w:w="833" w:type="dxa"/>
          </w:tcPr>
          <w:p w14:paraId="0D3E59B7">
            <w:pPr>
              <w:spacing w:line="360" w:lineRule="auto"/>
              <w:ind w:firstLine="420" w:firstLineChars="200"/>
              <w:rPr>
                <w:rFonts w:ascii="宋体" w:hAnsi="宋体" w:cs="宋体"/>
                <w:color w:val="auto"/>
                <w:szCs w:val="21"/>
                <w:highlight w:val="none"/>
              </w:rPr>
            </w:pPr>
          </w:p>
        </w:tc>
        <w:tc>
          <w:tcPr>
            <w:tcW w:w="817" w:type="dxa"/>
          </w:tcPr>
          <w:p w14:paraId="3C36AEBF">
            <w:pPr>
              <w:spacing w:line="360" w:lineRule="auto"/>
              <w:ind w:firstLine="420" w:firstLineChars="200"/>
              <w:rPr>
                <w:rFonts w:ascii="宋体" w:hAnsi="宋体" w:cs="宋体"/>
                <w:color w:val="auto"/>
                <w:szCs w:val="21"/>
                <w:highlight w:val="none"/>
              </w:rPr>
            </w:pPr>
          </w:p>
        </w:tc>
        <w:tc>
          <w:tcPr>
            <w:tcW w:w="922" w:type="dxa"/>
          </w:tcPr>
          <w:p w14:paraId="0C2A5E6C">
            <w:pPr>
              <w:spacing w:line="360" w:lineRule="auto"/>
              <w:ind w:firstLine="420" w:firstLineChars="200"/>
              <w:rPr>
                <w:rFonts w:ascii="宋体" w:hAnsi="宋体" w:cs="宋体"/>
                <w:color w:val="auto"/>
                <w:szCs w:val="21"/>
                <w:highlight w:val="none"/>
              </w:rPr>
            </w:pPr>
          </w:p>
        </w:tc>
      </w:tr>
      <w:tr w14:paraId="73B5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316BACEB">
            <w:pPr>
              <w:spacing w:line="360" w:lineRule="auto"/>
              <w:ind w:firstLine="420" w:firstLineChars="200"/>
              <w:rPr>
                <w:rFonts w:ascii="宋体" w:hAnsi="宋体" w:cs="宋体"/>
                <w:color w:val="auto"/>
                <w:szCs w:val="21"/>
                <w:highlight w:val="none"/>
              </w:rPr>
            </w:pPr>
          </w:p>
        </w:tc>
        <w:tc>
          <w:tcPr>
            <w:tcW w:w="5842" w:type="dxa"/>
          </w:tcPr>
          <w:p w14:paraId="0799FA23">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保安人员涉及造谣、传谣、引发重大社会舆情、泄漏学校机密等行为，每次扣20分</w:t>
            </w:r>
          </w:p>
        </w:tc>
        <w:tc>
          <w:tcPr>
            <w:tcW w:w="833" w:type="dxa"/>
          </w:tcPr>
          <w:p w14:paraId="6108BB35">
            <w:pPr>
              <w:spacing w:line="360" w:lineRule="auto"/>
              <w:ind w:firstLine="420" w:firstLineChars="200"/>
              <w:rPr>
                <w:rFonts w:ascii="宋体" w:hAnsi="宋体" w:cs="宋体"/>
                <w:color w:val="auto"/>
                <w:szCs w:val="21"/>
                <w:highlight w:val="none"/>
              </w:rPr>
            </w:pPr>
          </w:p>
        </w:tc>
        <w:tc>
          <w:tcPr>
            <w:tcW w:w="817" w:type="dxa"/>
          </w:tcPr>
          <w:p w14:paraId="1072FA55">
            <w:pPr>
              <w:spacing w:line="360" w:lineRule="auto"/>
              <w:ind w:firstLine="420" w:firstLineChars="200"/>
              <w:rPr>
                <w:rFonts w:ascii="宋体" w:hAnsi="宋体" w:cs="宋体"/>
                <w:color w:val="auto"/>
                <w:szCs w:val="21"/>
                <w:highlight w:val="none"/>
              </w:rPr>
            </w:pPr>
          </w:p>
        </w:tc>
        <w:tc>
          <w:tcPr>
            <w:tcW w:w="922" w:type="dxa"/>
          </w:tcPr>
          <w:p w14:paraId="6E520690">
            <w:pPr>
              <w:spacing w:line="360" w:lineRule="auto"/>
              <w:ind w:firstLine="420" w:firstLineChars="200"/>
              <w:rPr>
                <w:rFonts w:ascii="宋体" w:hAnsi="宋体" w:cs="宋体"/>
                <w:color w:val="auto"/>
                <w:szCs w:val="21"/>
                <w:highlight w:val="none"/>
              </w:rPr>
            </w:pPr>
          </w:p>
        </w:tc>
      </w:tr>
      <w:tr w14:paraId="6EF3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06E2CE50">
            <w:pPr>
              <w:spacing w:line="360" w:lineRule="auto"/>
              <w:ind w:firstLine="420" w:firstLineChars="200"/>
              <w:rPr>
                <w:rFonts w:ascii="宋体" w:hAnsi="宋体" w:cs="宋体"/>
                <w:color w:val="auto"/>
                <w:szCs w:val="21"/>
                <w:highlight w:val="none"/>
              </w:rPr>
            </w:pPr>
          </w:p>
        </w:tc>
        <w:tc>
          <w:tcPr>
            <w:tcW w:w="5842" w:type="dxa"/>
          </w:tcPr>
          <w:p w14:paraId="3BB611C9">
            <w:pPr>
              <w:spacing w:line="360" w:lineRule="auto"/>
              <w:rPr>
                <w:rFonts w:ascii="宋体" w:hAnsi="宋体" w:cs="宋体"/>
                <w:color w:val="auto"/>
                <w:szCs w:val="21"/>
                <w:highlight w:val="none"/>
              </w:rPr>
            </w:pPr>
            <w:r>
              <w:rPr>
                <w:rFonts w:hint="eastAsia" w:ascii="宋体" w:hAnsi="宋体" w:cs="宋体"/>
                <w:color w:val="auto"/>
                <w:szCs w:val="21"/>
                <w:highlight w:val="none"/>
              </w:rPr>
              <w:t>其它工作不到位造成严重影响的，依照以上情况作相应处理。</w:t>
            </w:r>
          </w:p>
        </w:tc>
        <w:tc>
          <w:tcPr>
            <w:tcW w:w="833" w:type="dxa"/>
          </w:tcPr>
          <w:p w14:paraId="5E6A7A6A">
            <w:pPr>
              <w:spacing w:line="360" w:lineRule="auto"/>
              <w:ind w:firstLine="420" w:firstLineChars="200"/>
              <w:rPr>
                <w:rFonts w:ascii="宋体" w:hAnsi="宋体" w:cs="宋体"/>
                <w:color w:val="auto"/>
                <w:szCs w:val="21"/>
                <w:highlight w:val="none"/>
              </w:rPr>
            </w:pPr>
          </w:p>
        </w:tc>
        <w:tc>
          <w:tcPr>
            <w:tcW w:w="817" w:type="dxa"/>
          </w:tcPr>
          <w:p w14:paraId="6717D2C5">
            <w:pPr>
              <w:spacing w:line="360" w:lineRule="auto"/>
              <w:ind w:firstLine="420" w:firstLineChars="200"/>
              <w:rPr>
                <w:rFonts w:ascii="宋体" w:hAnsi="宋体" w:cs="宋体"/>
                <w:color w:val="auto"/>
                <w:szCs w:val="21"/>
                <w:highlight w:val="none"/>
              </w:rPr>
            </w:pPr>
          </w:p>
        </w:tc>
        <w:tc>
          <w:tcPr>
            <w:tcW w:w="922" w:type="dxa"/>
          </w:tcPr>
          <w:p w14:paraId="29EDF685">
            <w:pPr>
              <w:spacing w:line="360" w:lineRule="auto"/>
              <w:ind w:firstLine="420" w:firstLineChars="200"/>
              <w:rPr>
                <w:rFonts w:ascii="宋体" w:hAnsi="宋体" w:cs="宋体"/>
                <w:color w:val="auto"/>
                <w:szCs w:val="21"/>
                <w:highlight w:val="none"/>
              </w:rPr>
            </w:pPr>
          </w:p>
        </w:tc>
      </w:tr>
      <w:tr w14:paraId="71C7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87EF26E">
            <w:pPr>
              <w:spacing w:line="360" w:lineRule="auto"/>
              <w:ind w:firstLine="420" w:firstLineChars="200"/>
              <w:rPr>
                <w:rFonts w:ascii="宋体" w:hAnsi="宋体" w:cs="宋体"/>
                <w:color w:val="auto"/>
                <w:szCs w:val="21"/>
                <w:highlight w:val="none"/>
              </w:rPr>
            </w:pPr>
          </w:p>
        </w:tc>
        <w:tc>
          <w:tcPr>
            <w:tcW w:w="5842" w:type="dxa"/>
          </w:tcPr>
          <w:p w14:paraId="55CAA8F5">
            <w:pPr>
              <w:spacing w:line="360" w:lineRule="auto"/>
              <w:rPr>
                <w:rFonts w:ascii="宋体" w:hAnsi="宋体" w:cs="宋体"/>
                <w:color w:val="auto"/>
                <w:szCs w:val="21"/>
                <w:highlight w:val="none"/>
              </w:rPr>
            </w:pPr>
            <w:r>
              <w:rPr>
                <w:rFonts w:hint="eastAsia" w:ascii="宋体" w:hAnsi="宋体" w:cs="宋体"/>
                <w:color w:val="auto"/>
                <w:szCs w:val="21"/>
                <w:highlight w:val="none"/>
              </w:rPr>
              <w:t>在处理突发事件过程中，保安队员出现畏缩不前、不听从甲方指令的，每次扣15分。</w:t>
            </w:r>
          </w:p>
        </w:tc>
        <w:tc>
          <w:tcPr>
            <w:tcW w:w="833" w:type="dxa"/>
          </w:tcPr>
          <w:p w14:paraId="1F479BDF">
            <w:pPr>
              <w:spacing w:line="360" w:lineRule="auto"/>
              <w:ind w:firstLine="420" w:firstLineChars="200"/>
              <w:rPr>
                <w:rFonts w:ascii="宋体" w:hAnsi="宋体" w:cs="宋体"/>
                <w:color w:val="auto"/>
                <w:szCs w:val="21"/>
                <w:highlight w:val="none"/>
              </w:rPr>
            </w:pPr>
          </w:p>
        </w:tc>
        <w:tc>
          <w:tcPr>
            <w:tcW w:w="817" w:type="dxa"/>
          </w:tcPr>
          <w:p w14:paraId="1C2B0578">
            <w:pPr>
              <w:spacing w:line="360" w:lineRule="auto"/>
              <w:ind w:firstLine="420" w:firstLineChars="200"/>
              <w:rPr>
                <w:rFonts w:ascii="宋体" w:hAnsi="宋体" w:cs="宋体"/>
                <w:color w:val="auto"/>
                <w:szCs w:val="21"/>
                <w:highlight w:val="none"/>
              </w:rPr>
            </w:pPr>
          </w:p>
        </w:tc>
        <w:tc>
          <w:tcPr>
            <w:tcW w:w="922" w:type="dxa"/>
          </w:tcPr>
          <w:p w14:paraId="55DA1127">
            <w:pPr>
              <w:spacing w:line="360" w:lineRule="auto"/>
              <w:ind w:firstLine="420" w:firstLineChars="200"/>
              <w:rPr>
                <w:rFonts w:ascii="宋体" w:hAnsi="宋体" w:cs="宋体"/>
                <w:color w:val="auto"/>
                <w:szCs w:val="21"/>
                <w:highlight w:val="none"/>
              </w:rPr>
            </w:pPr>
          </w:p>
        </w:tc>
      </w:tr>
      <w:tr w14:paraId="344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6AE80302">
            <w:pPr>
              <w:spacing w:line="360" w:lineRule="auto"/>
              <w:ind w:firstLine="420" w:firstLineChars="200"/>
              <w:rPr>
                <w:rFonts w:ascii="宋体" w:hAnsi="宋体" w:cs="宋体"/>
                <w:color w:val="auto"/>
                <w:szCs w:val="21"/>
                <w:highlight w:val="none"/>
              </w:rPr>
            </w:pPr>
          </w:p>
        </w:tc>
        <w:tc>
          <w:tcPr>
            <w:tcW w:w="5842" w:type="dxa"/>
          </w:tcPr>
          <w:p w14:paraId="7D66B823">
            <w:pPr>
              <w:spacing w:line="360" w:lineRule="auto"/>
              <w:rPr>
                <w:rFonts w:ascii="宋体" w:hAnsi="宋体" w:cs="宋体"/>
                <w:color w:val="auto"/>
                <w:szCs w:val="21"/>
                <w:highlight w:val="none"/>
              </w:rPr>
            </w:pPr>
            <w:r>
              <w:rPr>
                <w:rFonts w:hint="eastAsia" w:ascii="宋体" w:hAnsi="宋体" w:cs="宋体"/>
                <w:color w:val="auto"/>
                <w:szCs w:val="21"/>
                <w:highlight w:val="none"/>
              </w:rPr>
              <w:t>未经甲方许可随意更换或提拔保安管理人员、在队员招聘过程中任人唯亲、放松管理或未按招标文件要求招聘队员，保安队员人数与实际人数严重不符的，一经查实，扣除当季度考核分30分。</w:t>
            </w:r>
          </w:p>
        </w:tc>
        <w:tc>
          <w:tcPr>
            <w:tcW w:w="833" w:type="dxa"/>
          </w:tcPr>
          <w:p w14:paraId="047EB5EC">
            <w:pPr>
              <w:spacing w:line="360" w:lineRule="auto"/>
              <w:ind w:firstLine="420" w:firstLineChars="200"/>
              <w:rPr>
                <w:rFonts w:ascii="宋体" w:hAnsi="宋体" w:cs="宋体"/>
                <w:color w:val="auto"/>
                <w:szCs w:val="21"/>
                <w:highlight w:val="none"/>
              </w:rPr>
            </w:pPr>
          </w:p>
        </w:tc>
        <w:tc>
          <w:tcPr>
            <w:tcW w:w="817" w:type="dxa"/>
          </w:tcPr>
          <w:p w14:paraId="17ED4E24">
            <w:pPr>
              <w:spacing w:line="360" w:lineRule="auto"/>
              <w:ind w:firstLine="420" w:firstLineChars="200"/>
              <w:rPr>
                <w:rFonts w:ascii="宋体" w:hAnsi="宋体" w:cs="宋体"/>
                <w:color w:val="auto"/>
                <w:szCs w:val="21"/>
                <w:highlight w:val="none"/>
              </w:rPr>
            </w:pPr>
          </w:p>
        </w:tc>
        <w:tc>
          <w:tcPr>
            <w:tcW w:w="922" w:type="dxa"/>
          </w:tcPr>
          <w:p w14:paraId="5FFBB96D">
            <w:pPr>
              <w:spacing w:line="360" w:lineRule="auto"/>
              <w:ind w:firstLine="420" w:firstLineChars="200"/>
              <w:rPr>
                <w:rFonts w:ascii="宋体" w:hAnsi="宋体" w:cs="宋体"/>
                <w:color w:val="auto"/>
                <w:szCs w:val="21"/>
                <w:highlight w:val="none"/>
              </w:rPr>
            </w:pPr>
          </w:p>
        </w:tc>
      </w:tr>
      <w:tr w14:paraId="0FF9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2598FA2C">
            <w:pPr>
              <w:spacing w:line="360" w:lineRule="auto"/>
              <w:ind w:firstLine="420" w:firstLineChars="200"/>
              <w:rPr>
                <w:rFonts w:ascii="宋体" w:hAnsi="宋体" w:cs="宋体"/>
                <w:color w:val="auto"/>
                <w:szCs w:val="21"/>
                <w:highlight w:val="none"/>
              </w:rPr>
            </w:pPr>
          </w:p>
        </w:tc>
        <w:tc>
          <w:tcPr>
            <w:tcW w:w="5842" w:type="dxa"/>
          </w:tcPr>
          <w:p w14:paraId="2D38B7B0">
            <w:pPr>
              <w:spacing w:line="360" w:lineRule="auto"/>
              <w:rPr>
                <w:rFonts w:ascii="宋体" w:hAnsi="宋体" w:cs="宋体"/>
                <w:color w:val="auto"/>
                <w:szCs w:val="21"/>
                <w:highlight w:val="none"/>
              </w:rPr>
            </w:pPr>
            <w:r>
              <w:rPr>
                <w:rFonts w:hint="eastAsia" w:ascii="宋体" w:hAnsi="宋体" w:cs="宋体"/>
                <w:color w:val="auto"/>
                <w:szCs w:val="21"/>
                <w:highlight w:val="none"/>
              </w:rPr>
              <w:t>乙方在处理内部劳务纠纷或解决队员意外伤害事故过程中互相推诿而引发针对甲方重大舆情、严重影响甲方形象的，扣除当季度考核分30分。</w:t>
            </w:r>
          </w:p>
        </w:tc>
        <w:tc>
          <w:tcPr>
            <w:tcW w:w="833" w:type="dxa"/>
          </w:tcPr>
          <w:p w14:paraId="5301FE04">
            <w:pPr>
              <w:spacing w:line="360" w:lineRule="auto"/>
              <w:ind w:firstLine="420" w:firstLineChars="200"/>
              <w:rPr>
                <w:rFonts w:ascii="宋体" w:hAnsi="宋体" w:cs="宋体"/>
                <w:color w:val="auto"/>
                <w:szCs w:val="21"/>
                <w:highlight w:val="none"/>
              </w:rPr>
            </w:pPr>
          </w:p>
        </w:tc>
        <w:tc>
          <w:tcPr>
            <w:tcW w:w="817" w:type="dxa"/>
          </w:tcPr>
          <w:p w14:paraId="10AA8D4B">
            <w:pPr>
              <w:spacing w:line="360" w:lineRule="auto"/>
              <w:ind w:firstLine="420" w:firstLineChars="200"/>
              <w:rPr>
                <w:rFonts w:ascii="宋体" w:hAnsi="宋体" w:cs="宋体"/>
                <w:color w:val="auto"/>
                <w:szCs w:val="21"/>
                <w:highlight w:val="none"/>
              </w:rPr>
            </w:pPr>
          </w:p>
        </w:tc>
        <w:tc>
          <w:tcPr>
            <w:tcW w:w="922" w:type="dxa"/>
          </w:tcPr>
          <w:p w14:paraId="7837D3B5">
            <w:pPr>
              <w:spacing w:line="360" w:lineRule="auto"/>
              <w:ind w:firstLine="420" w:firstLineChars="200"/>
              <w:rPr>
                <w:rFonts w:ascii="宋体" w:hAnsi="宋体" w:cs="宋体"/>
                <w:color w:val="auto"/>
                <w:szCs w:val="21"/>
                <w:highlight w:val="none"/>
              </w:rPr>
            </w:pPr>
          </w:p>
        </w:tc>
      </w:tr>
      <w:tr w14:paraId="3A9E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5" w:type="dxa"/>
            <w:gridSpan w:val="5"/>
          </w:tcPr>
          <w:p w14:paraId="5FA75B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考核总分值设定为100分，每季度考核期内王城、育才两校区累计扣分达到30分，甲方立即要求乙方进行整改，下一个考核期内仍未达标，学校有权提前解除合同。</w:t>
            </w:r>
          </w:p>
        </w:tc>
      </w:tr>
    </w:tbl>
    <w:p w14:paraId="2120B50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第十一条、不可抗力事件处理</w:t>
      </w:r>
    </w:p>
    <w:p w14:paraId="66A5FF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EF80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F9D5A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3.不可抗力事件延续120天以上，双方应通过友好协商，确定是否继续履行合同。</w:t>
      </w:r>
    </w:p>
    <w:p w14:paraId="76E5297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第十二条、合同争议解决</w:t>
      </w:r>
    </w:p>
    <w:p w14:paraId="0AC6F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因履行本合同引起的或与本合同有关的争议，甲乙双方应首先通过友好协商解决，如果协商不能解决，可向甲方所在地的人民法院提起诉讼。</w:t>
      </w:r>
    </w:p>
    <w:p w14:paraId="2E08D39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第十三条、合同生效及其它</w:t>
      </w:r>
    </w:p>
    <w:p w14:paraId="01D87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1.合同经双方法定代表人（负责人/自然人）或委托代理人签字并加盖单位公章后生效（委托代理人签字的需后附法定代表人授权委托书，格式自拟）。</w:t>
      </w:r>
    </w:p>
    <w:p w14:paraId="43BBE2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2.合同执行中涉及采购资金和采购内容修改或补充的，须经财政部门审批，并签书面补充协议报财政部门备案，方可作为主合同不可分割的一部分。</w:t>
      </w:r>
    </w:p>
    <w:p w14:paraId="3A470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1FE03D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第十四条、合同的变更、终止与转让</w:t>
      </w:r>
    </w:p>
    <w:p w14:paraId="666AF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3CDBA7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6D24162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第十五条、签订本合同依据</w:t>
      </w:r>
    </w:p>
    <w:p w14:paraId="5FE2C4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1.中标（成交）通知书；</w:t>
      </w:r>
    </w:p>
    <w:p w14:paraId="0573F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采购文件；</w:t>
      </w:r>
    </w:p>
    <w:p w14:paraId="2B1AC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3.乙方提供的投标(响应)文件、应答文件；</w:t>
      </w:r>
    </w:p>
    <w:p w14:paraId="53D79A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4.投标函、开标一览表；</w:t>
      </w:r>
    </w:p>
    <w:p w14:paraId="472401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5.商务响应表；</w:t>
      </w:r>
    </w:p>
    <w:p w14:paraId="637968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6.技术响应表；</w:t>
      </w:r>
    </w:p>
    <w:p w14:paraId="0268E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7.售后服务承诺书；</w:t>
      </w:r>
    </w:p>
    <w:p w14:paraId="12DA1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565F7666">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w:t>
      </w:r>
      <w:r>
        <w:rPr>
          <w:rFonts w:hint="eastAsia" w:ascii="宋体" w:hAnsi="宋体" w:cs="宋体"/>
          <w:color w:val="auto"/>
          <w:szCs w:val="21"/>
          <w:highlight w:val="none"/>
        </w:rPr>
        <w:t>本合同一式四份，具有同等法律效力，甲方两份、乙方一份、采购代理机构一份（可根据需要另增加）。</w:t>
      </w:r>
    </w:p>
    <w:p w14:paraId="0EFAFE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本合同甲乙双方签字并盖章后生效。</w:t>
      </w:r>
    </w:p>
    <w:p w14:paraId="555264F8">
      <w:pPr>
        <w:tabs>
          <w:tab w:val="left" w:pos="4320"/>
          <w:tab w:val="left" w:pos="4500"/>
        </w:tabs>
        <w:spacing w:line="400" w:lineRule="exact"/>
        <w:rPr>
          <w:rFonts w:ascii="宋体" w:hAnsi="宋体" w:cs="宋体"/>
          <w:color w:val="auto"/>
          <w:highlight w:val="none"/>
          <w:u w:val="single"/>
        </w:rPr>
      </w:pPr>
      <w:r>
        <w:rPr>
          <w:rFonts w:hint="eastAsia" w:ascii="仿宋_GB2312" w:eastAsia="仿宋_GB2312"/>
          <w:b/>
          <w:color w:val="auto"/>
          <w:sz w:val="28"/>
          <w:szCs w:val="28"/>
          <w:highlight w:val="none"/>
        </w:rPr>
        <w:t>、</w:t>
      </w:r>
      <w:r>
        <w:rPr>
          <w:rFonts w:hint="eastAsia" w:ascii="宋体" w:hAnsi="宋体" w:cs="宋体"/>
          <w:color w:val="auto"/>
          <w:highlight w:val="none"/>
        </w:rPr>
        <w:t>甲方名称（公章）：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乙方名称（公章）：</w:t>
      </w:r>
      <w:r>
        <w:rPr>
          <w:rFonts w:hint="eastAsia" w:ascii="宋体" w:hAnsi="宋体" w:cs="宋体"/>
          <w:color w:val="auto"/>
          <w:highlight w:val="none"/>
          <w:u w:val="single"/>
        </w:rPr>
        <w:t xml:space="preserve">                           </w:t>
      </w:r>
    </w:p>
    <w:p w14:paraId="2E4216D4">
      <w:pPr>
        <w:spacing w:line="400" w:lineRule="exact"/>
        <w:ind w:left="4620" w:hanging="4620" w:hangingChars="2200"/>
        <w:rPr>
          <w:rFonts w:ascii="宋体" w:hAnsi="宋体" w:cs="宋体"/>
          <w:color w:val="auto"/>
          <w:highlight w:val="none"/>
          <w:u w:val="singl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xml:space="preserve">                               </w:t>
      </w:r>
    </w:p>
    <w:p w14:paraId="542371EC">
      <w:pPr>
        <w:tabs>
          <w:tab w:val="left" w:pos="4680"/>
        </w:tabs>
        <w:spacing w:line="400" w:lineRule="exact"/>
        <w:rPr>
          <w:rFonts w:ascii="宋体" w:hAnsi="宋体" w:cs="宋体"/>
          <w:color w:val="auto"/>
          <w:highlight w:val="none"/>
          <w:u w:val="singl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36016EAC">
      <w:pPr>
        <w:tabs>
          <w:tab w:val="left" w:pos="5040"/>
        </w:tabs>
        <w:spacing w:line="400" w:lineRule="exact"/>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ascii="宋体" w:hAnsi="宋体" w:cs="宋体"/>
          <w:color w:val="auto"/>
          <w:highlight w:val="none"/>
          <w:u w:val="single"/>
        </w:rPr>
        <w:t>07732535678</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 </w:t>
      </w:r>
      <w:r>
        <w:rPr>
          <w:rFonts w:hint="eastAsia" w:ascii="宋体" w:hAnsi="宋体" w:cs="宋体"/>
          <w:color w:val="auto"/>
          <w:highlight w:val="none"/>
          <w:u w:val="single"/>
        </w:rPr>
        <w:t xml:space="preserve">                                  </w:t>
      </w:r>
    </w:p>
    <w:p w14:paraId="51E4BFDA">
      <w:pPr>
        <w:tabs>
          <w:tab w:val="left" w:pos="5040"/>
        </w:tabs>
        <w:spacing w:line="400" w:lineRule="exact"/>
        <w:rPr>
          <w:rFonts w:ascii="宋体" w:hAnsi="宋体" w:cs="宋体"/>
          <w:color w:val="auto"/>
          <w:highlight w:val="none"/>
        </w:rPr>
      </w:pPr>
      <w:r>
        <w:rPr>
          <w:rFonts w:hint="eastAsia" w:ascii="宋体" w:hAnsi="宋体" w:cs="宋体"/>
          <w:color w:val="auto"/>
          <w:highlight w:val="none"/>
        </w:rPr>
        <w:t>开户名称：广西师范大学</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开户名称：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E10FEF4">
      <w:pPr>
        <w:tabs>
          <w:tab w:val="left" w:pos="5040"/>
        </w:tabs>
        <w:spacing w:line="400" w:lineRule="exact"/>
        <w:rPr>
          <w:rFonts w:ascii="宋体" w:hAnsi="宋体" w:cs="宋体"/>
          <w:color w:val="auto"/>
          <w:highlight w:val="none"/>
          <w:u w:val="singl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bookmarkStart w:id="147" w:name="_Hlk207966311"/>
      <w:r>
        <w:rPr>
          <w:rFonts w:hint="eastAsia" w:ascii="宋体" w:hAnsi="宋体"/>
          <w:color w:val="auto"/>
          <w:sz w:val="20"/>
          <w:szCs w:val="20"/>
          <w:highlight w:val="none"/>
          <w:u w:val="single"/>
          <w:shd w:val="clear" w:color="auto" w:fill="FFFFFF"/>
        </w:rPr>
        <w:t>中国工商银行股份有限公司</w:t>
      </w:r>
      <w:bookmarkEnd w:id="147"/>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54A33E07">
      <w:pPr>
        <w:tabs>
          <w:tab w:val="left" w:pos="5040"/>
        </w:tabs>
        <w:spacing w:line="400" w:lineRule="exact"/>
        <w:ind w:firstLine="1200" w:firstLineChars="600"/>
        <w:rPr>
          <w:rFonts w:ascii="宋体" w:hAnsi="宋体" w:cs="宋体"/>
          <w:color w:val="auto"/>
          <w:highlight w:val="none"/>
        </w:rPr>
      </w:pPr>
      <w:r>
        <w:rPr>
          <w:rFonts w:hint="eastAsia" w:ascii="宋体" w:hAnsi="宋体"/>
          <w:color w:val="auto"/>
          <w:sz w:val="20"/>
          <w:szCs w:val="20"/>
          <w:highlight w:val="none"/>
          <w:u w:val="single"/>
          <w:shd w:val="clear" w:color="auto" w:fill="FFFFFF"/>
        </w:rPr>
        <w:t>桂林市高新科技支行</w:t>
      </w:r>
    </w:p>
    <w:p w14:paraId="41B4E6C5">
      <w:pPr>
        <w:tabs>
          <w:tab w:val="left" w:pos="5040"/>
        </w:tabs>
        <w:spacing w:line="400" w:lineRule="exact"/>
        <w:rPr>
          <w:rFonts w:ascii="宋体" w:hAnsi="宋体" w:cs="宋体"/>
          <w:color w:val="auto"/>
          <w:highlight w:val="none"/>
        </w:rPr>
      </w:pPr>
      <w:r>
        <w:rPr>
          <w:rFonts w:hint="eastAsia" w:ascii="宋体" w:hAnsi="宋体" w:cs="宋体"/>
          <w:color w:val="auto"/>
          <w:highlight w:val="none"/>
        </w:rPr>
        <w:t>银行账号：</w:t>
      </w:r>
      <w:r>
        <w:rPr>
          <w:rFonts w:hint="eastAsia" w:ascii="宋体" w:hAnsi="宋体" w:cs="宋体"/>
          <w:color w:val="auto"/>
          <w:highlight w:val="none"/>
          <w:u w:val="single"/>
        </w:rPr>
        <w:t xml:space="preserve"> </w:t>
      </w:r>
      <w:bookmarkStart w:id="148" w:name="_Hlk207966373"/>
      <w:r>
        <w:rPr>
          <w:rFonts w:eastAsia="微软雅黑"/>
          <w:color w:val="auto"/>
          <w:sz w:val="20"/>
          <w:szCs w:val="20"/>
          <w:highlight w:val="none"/>
          <w:u w:val="single"/>
          <w:shd w:val="clear" w:color="auto" w:fill="FFFFFF"/>
        </w:rPr>
        <w:t>2103 2151 0926 4004 618</w:t>
      </w:r>
      <w:bookmarkEnd w:id="148"/>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银行账号：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AF941AB">
      <w:pPr>
        <w:tabs>
          <w:tab w:val="left" w:pos="5040"/>
        </w:tabs>
        <w:spacing w:line="400" w:lineRule="exact"/>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039F421F">
      <w:pPr>
        <w:snapToGrid w:val="0"/>
        <w:spacing w:line="360" w:lineRule="exact"/>
        <w:jc w:val="center"/>
        <w:rPr>
          <w:rFonts w:ascii="仿宋_GB2312" w:eastAsia="仿宋_GB2312"/>
          <w:b/>
          <w:color w:val="auto"/>
          <w:sz w:val="28"/>
          <w:szCs w:val="28"/>
          <w:highlight w:val="none"/>
        </w:rPr>
      </w:pPr>
    </w:p>
    <w:p w14:paraId="4C45E0CB">
      <w:pPr>
        <w:spacing w:line="480" w:lineRule="auto"/>
        <w:jc w:val="left"/>
        <w:rPr>
          <w:rFonts w:ascii="宋体" w:hAnsi="宋体" w:cs="宋体"/>
          <w:color w:val="auto"/>
          <w:sz w:val="28"/>
          <w:szCs w:val="28"/>
          <w:highlight w:val="none"/>
        </w:rPr>
      </w:pPr>
    </w:p>
    <w:p w14:paraId="19BEDBB9">
      <w:pPr>
        <w:snapToGrid w:val="0"/>
        <w:jc w:val="center"/>
        <w:rPr>
          <w:rFonts w:ascii="宋体" w:hAnsi="宋体" w:cs="宋体"/>
          <w:bCs/>
          <w:color w:val="auto"/>
          <w:sz w:val="32"/>
          <w:szCs w:val="32"/>
          <w:highlight w:val="none"/>
        </w:rPr>
      </w:pPr>
    </w:p>
    <w:p w14:paraId="30FB9230">
      <w:pPr>
        <w:jc w:val="left"/>
        <w:rPr>
          <w:rFonts w:ascii="宋体" w:hAnsi="宋体" w:cs="宋体"/>
          <w:color w:val="auto"/>
          <w:szCs w:val="21"/>
          <w:highlight w:val="none"/>
        </w:rPr>
      </w:pPr>
      <w:bookmarkStart w:id="149" w:name="_Hlk55381736"/>
      <w:r>
        <w:rPr>
          <w:rFonts w:ascii="宋体" w:hAnsi="宋体" w:cs="宋体"/>
          <w:color w:val="auto"/>
          <w:szCs w:val="21"/>
          <w:highlight w:val="none"/>
        </w:rPr>
        <w:br w:type="page"/>
      </w:r>
    </w:p>
    <w:p w14:paraId="3F37D2B0">
      <w:pPr>
        <w:pStyle w:val="2"/>
        <w:rPr>
          <w:color w:val="auto"/>
          <w:highlight w:val="none"/>
        </w:rPr>
      </w:pPr>
    </w:p>
    <w:bookmarkEnd w:id="149"/>
    <w:p w14:paraId="6CE98B64">
      <w:pPr>
        <w:snapToGrid w:val="0"/>
        <w:spacing w:line="480" w:lineRule="auto"/>
        <w:rPr>
          <w:rFonts w:ascii="宋体" w:hAnsi="宋体" w:cs="宋体"/>
          <w:bCs/>
          <w:color w:val="auto"/>
          <w:sz w:val="32"/>
          <w:szCs w:val="32"/>
          <w:highlight w:val="none"/>
        </w:rPr>
      </w:pPr>
    </w:p>
    <w:p w14:paraId="07C9FD6F">
      <w:pPr>
        <w:snapToGrid w:val="0"/>
        <w:jc w:val="center"/>
        <w:rPr>
          <w:rFonts w:ascii="宋体" w:hAnsi="宋体" w:cs="宋体"/>
          <w:bCs/>
          <w:color w:val="auto"/>
          <w:sz w:val="32"/>
          <w:szCs w:val="32"/>
          <w:highlight w:val="none"/>
        </w:rPr>
      </w:pPr>
    </w:p>
    <w:p w14:paraId="2677DB2D">
      <w:pPr>
        <w:snapToGrid w:val="0"/>
        <w:jc w:val="center"/>
        <w:rPr>
          <w:rFonts w:ascii="宋体" w:hAnsi="宋体" w:cs="宋体"/>
          <w:bCs/>
          <w:color w:val="auto"/>
          <w:sz w:val="32"/>
          <w:szCs w:val="32"/>
          <w:highlight w:val="none"/>
        </w:rPr>
      </w:pPr>
    </w:p>
    <w:p w14:paraId="38DFF9D0">
      <w:pPr>
        <w:snapToGrid w:val="0"/>
        <w:jc w:val="center"/>
        <w:rPr>
          <w:rFonts w:ascii="宋体" w:hAnsi="宋体" w:cs="宋体"/>
          <w:bCs/>
          <w:color w:val="auto"/>
          <w:sz w:val="32"/>
          <w:szCs w:val="32"/>
          <w:highlight w:val="none"/>
        </w:rPr>
      </w:pPr>
    </w:p>
    <w:p w14:paraId="7DDE7998">
      <w:pPr>
        <w:snapToGrid w:val="0"/>
        <w:jc w:val="center"/>
        <w:rPr>
          <w:rFonts w:ascii="宋体" w:hAnsi="宋体" w:cs="宋体"/>
          <w:bCs/>
          <w:color w:val="auto"/>
          <w:sz w:val="32"/>
          <w:szCs w:val="32"/>
          <w:highlight w:val="none"/>
        </w:rPr>
      </w:pPr>
    </w:p>
    <w:p w14:paraId="5489579C">
      <w:pPr>
        <w:snapToGrid w:val="0"/>
        <w:jc w:val="center"/>
        <w:rPr>
          <w:rFonts w:ascii="宋体" w:hAnsi="宋体" w:cs="宋体"/>
          <w:bCs/>
          <w:color w:val="auto"/>
          <w:sz w:val="32"/>
          <w:szCs w:val="32"/>
          <w:highlight w:val="none"/>
        </w:rPr>
      </w:pPr>
    </w:p>
    <w:p w14:paraId="78E1F4A4">
      <w:pPr>
        <w:snapToGrid w:val="0"/>
        <w:jc w:val="center"/>
        <w:rPr>
          <w:rFonts w:ascii="宋体" w:hAnsi="宋体" w:cs="宋体"/>
          <w:bCs/>
          <w:color w:val="auto"/>
          <w:sz w:val="32"/>
          <w:szCs w:val="32"/>
          <w:highlight w:val="none"/>
        </w:rPr>
      </w:pPr>
    </w:p>
    <w:p w14:paraId="46B376E4">
      <w:pPr>
        <w:pStyle w:val="3"/>
        <w:rPr>
          <w:color w:val="auto"/>
          <w:highlight w:val="none"/>
        </w:rPr>
      </w:pPr>
      <w:bookmarkStart w:id="150" w:name="_Toc12390"/>
      <w:bookmarkStart w:id="151" w:name="_Toc19686834"/>
      <w:bookmarkStart w:id="152" w:name="_Toc32428"/>
      <w:bookmarkStart w:id="153" w:name="_Toc6656"/>
      <w:r>
        <w:rPr>
          <w:rFonts w:hint="eastAsia"/>
          <w:color w:val="auto"/>
          <w:highlight w:val="none"/>
        </w:rPr>
        <w:t>第六章、投标文件格式</w:t>
      </w:r>
      <w:bookmarkEnd w:id="150"/>
      <w:bookmarkEnd w:id="151"/>
      <w:bookmarkEnd w:id="152"/>
      <w:bookmarkEnd w:id="153"/>
    </w:p>
    <w:p w14:paraId="1705B25B">
      <w:pPr>
        <w:rPr>
          <w:rFonts w:ascii="宋体" w:hAnsi="宋体" w:cs="宋体"/>
          <w:color w:val="auto"/>
          <w:highlight w:val="none"/>
        </w:rPr>
      </w:pPr>
    </w:p>
    <w:p w14:paraId="4FEEED14">
      <w:pPr>
        <w:rPr>
          <w:rFonts w:ascii="宋体" w:hAnsi="宋体" w:cs="宋体"/>
          <w:color w:val="auto"/>
          <w:highlight w:val="none"/>
        </w:rPr>
      </w:pPr>
    </w:p>
    <w:p w14:paraId="6F9EAFF8">
      <w:pPr>
        <w:rPr>
          <w:rFonts w:ascii="宋体" w:hAnsi="宋体" w:cs="宋体"/>
          <w:color w:val="auto"/>
          <w:highlight w:val="none"/>
        </w:rPr>
      </w:pPr>
    </w:p>
    <w:p w14:paraId="4F9EBECF">
      <w:pPr>
        <w:rPr>
          <w:rFonts w:ascii="宋体" w:hAnsi="宋体" w:cs="宋体"/>
          <w:color w:val="auto"/>
          <w:highlight w:val="none"/>
        </w:rPr>
      </w:pPr>
    </w:p>
    <w:p w14:paraId="46334D05">
      <w:pPr>
        <w:rPr>
          <w:rFonts w:ascii="宋体" w:hAnsi="宋体" w:cs="宋体"/>
          <w:color w:val="auto"/>
          <w:highlight w:val="none"/>
        </w:rPr>
      </w:pPr>
    </w:p>
    <w:p w14:paraId="70722051">
      <w:pPr>
        <w:rPr>
          <w:rFonts w:ascii="宋体" w:hAnsi="宋体" w:cs="宋体"/>
          <w:color w:val="auto"/>
          <w:highlight w:val="none"/>
        </w:rPr>
      </w:pPr>
    </w:p>
    <w:p w14:paraId="278252A1">
      <w:pPr>
        <w:rPr>
          <w:rFonts w:ascii="宋体" w:hAnsi="宋体" w:cs="宋体"/>
          <w:color w:val="auto"/>
          <w:highlight w:val="none"/>
        </w:rPr>
      </w:pPr>
    </w:p>
    <w:p w14:paraId="75103FD0">
      <w:pPr>
        <w:rPr>
          <w:rFonts w:ascii="宋体" w:hAnsi="宋体" w:cs="宋体"/>
          <w:color w:val="auto"/>
          <w:highlight w:val="none"/>
        </w:rPr>
      </w:pPr>
    </w:p>
    <w:p w14:paraId="560A25D9">
      <w:pPr>
        <w:rPr>
          <w:rFonts w:ascii="宋体" w:hAnsi="宋体" w:cs="宋体"/>
          <w:color w:val="auto"/>
          <w:highlight w:val="none"/>
        </w:rPr>
      </w:pPr>
    </w:p>
    <w:p w14:paraId="300FFE2D">
      <w:pPr>
        <w:jc w:val="left"/>
        <w:rPr>
          <w:rFonts w:ascii="宋体" w:hAnsi="宋体" w:cs="宋体"/>
          <w:color w:val="auto"/>
          <w:highlight w:val="none"/>
        </w:rPr>
      </w:pPr>
      <w:r>
        <w:rPr>
          <w:rFonts w:hint="eastAsia" w:ascii="宋体" w:hAnsi="宋体" w:cs="宋体"/>
          <w:color w:val="auto"/>
          <w:highlight w:val="none"/>
        </w:rPr>
        <w:br w:type="page"/>
      </w:r>
    </w:p>
    <w:p w14:paraId="6E9E6082">
      <w:pPr>
        <w:pStyle w:val="4"/>
        <w:rPr>
          <w:color w:val="auto"/>
          <w:highlight w:val="none"/>
        </w:rPr>
      </w:pPr>
      <w:bookmarkStart w:id="154" w:name="_Toc19686836"/>
      <w:bookmarkStart w:id="155" w:name="_Toc254970557"/>
      <w:bookmarkStart w:id="156" w:name="_Toc254970698"/>
      <w:r>
        <w:rPr>
          <w:rFonts w:hint="eastAsia"/>
          <w:color w:val="auto"/>
          <w:highlight w:val="none"/>
        </w:rPr>
        <w:t>一、报价文件格式</w:t>
      </w:r>
      <w:bookmarkEnd w:id="154"/>
    </w:p>
    <w:p w14:paraId="473C034B">
      <w:pPr>
        <w:snapToGrid w:val="0"/>
        <w:spacing w:before="120" w:beforeLines="50" w:after="50" w:line="400" w:lineRule="exact"/>
        <w:jc w:val="center"/>
        <w:rPr>
          <w:rFonts w:ascii="宋体" w:hAnsi="宋体" w:cs="宋体"/>
          <w:bCs/>
          <w:color w:val="auto"/>
          <w:sz w:val="24"/>
          <w:szCs w:val="20"/>
          <w:highlight w:val="none"/>
        </w:rPr>
      </w:pPr>
    </w:p>
    <w:p w14:paraId="2EDC4D13">
      <w:pPr>
        <w:pStyle w:val="9"/>
        <w:rPr>
          <w:color w:val="auto"/>
          <w:highlight w:val="none"/>
        </w:rPr>
      </w:pPr>
    </w:p>
    <w:p w14:paraId="6A623C7E">
      <w:pPr>
        <w:pStyle w:val="9"/>
        <w:rPr>
          <w:color w:val="auto"/>
          <w:highlight w:val="none"/>
        </w:rPr>
      </w:pPr>
    </w:p>
    <w:p w14:paraId="30D7F349">
      <w:pPr>
        <w:pStyle w:val="9"/>
        <w:rPr>
          <w:color w:val="auto"/>
          <w:highlight w:val="none"/>
        </w:rPr>
      </w:pPr>
    </w:p>
    <w:p w14:paraId="3E2B69F2">
      <w:pPr>
        <w:pStyle w:val="9"/>
        <w:rPr>
          <w:color w:val="auto"/>
          <w:highlight w:val="none"/>
        </w:rPr>
      </w:pPr>
    </w:p>
    <w:p w14:paraId="06B25D3E">
      <w:pPr>
        <w:pStyle w:val="9"/>
        <w:rPr>
          <w:color w:val="auto"/>
          <w:highlight w:val="none"/>
        </w:rPr>
      </w:pPr>
    </w:p>
    <w:p w14:paraId="724D67CA">
      <w:pPr>
        <w:pStyle w:val="9"/>
        <w:rPr>
          <w:color w:val="auto"/>
          <w:highlight w:val="none"/>
        </w:rPr>
      </w:pPr>
    </w:p>
    <w:p w14:paraId="1873D59E">
      <w:pPr>
        <w:pStyle w:val="9"/>
        <w:rPr>
          <w:color w:val="auto"/>
          <w:highlight w:val="none"/>
        </w:rPr>
      </w:pPr>
    </w:p>
    <w:p w14:paraId="670FFEAA">
      <w:pPr>
        <w:pStyle w:val="9"/>
        <w:rPr>
          <w:color w:val="auto"/>
          <w:highlight w:val="none"/>
        </w:rPr>
      </w:pPr>
    </w:p>
    <w:p w14:paraId="1EBE66CC">
      <w:pPr>
        <w:pStyle w:val="9"/>
        <w:rPr>
          <w:color w:val="auto"/>
          <w:highlight w:val="none"/>
        </w:rPr>
      </w:pPr>
    </w:p>
    <w:p w14:paraId="67E788F2">
      <w:pPr>
        <w:pStyle w:val="9"/>
        <w:rPr>
          <w:color w:val="auto"/>
          <w:highlight w:val="none"/>
        </w:rPr>
      </w:pPr>
    </w:p>
    <w:p w14:paraId="2F955A7E">
      <w:pPr>
        <w:pStyle w:val="9"/>
        <w:rPr>
          <w:color w:val="auto"/>
          <w:highlight w:val="none"/>
        </w:rPr>
      </w:pPr>
    </w:p>
    <w:p w14:paraId="66094353">
      <w:pPr>
        <w:pStyle w:val="9"/>
        <w:rPr>
          <w:color w:val="auto"/>
          <w:highlight w:val="none"/>
        </w:rPr>
      </w:pPr>
    </w:p>
    <w:p w14:paraId="11FA155E">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DB7D176">
      <w:pPr>
        <w:snapToGrid w:val="0"/>
        <w:spacing w:before="120" w:beforeLines="50" w:after="50" w:line="400" w:lineRule="exact"/>
        <w:rPr>
          <w:rFonts w:ascii="宋体" w:hAnsi="宋体" w:cs="宋体"/>
          <w:bCs/>
          <w:color w:val="auto"/>
          <w:sz w:val="24"/>
          <w:szCs w:val="20"/>
          <w:highlight w:val="none"/>
        </w:rPr>
      </w:pPr>
    </w:p>
    <w:p w14:paraId="30E2785E">
      <w:pPr>
        <w:snapToGrid w:val="0"/>
        <w:spacing w:before="120" w:beforeLines="50" w:after="50" w:line="400" w:lineRule="exact"/>
        <w:rPr>
          <w:rFonts w:ascii="宋体" w:hAnsi="宋体" w:cs="宋体"/>
          <w:bCs/>
          <w:color w:val="auto"/>
          <w:sz w:val="24"/>
          <w:szCs w:val="20"/>
          <w:highlight w:val="none"/>
        </w:rPr>
      </w:pPr>
    </w:p>
    <w:p w14:paraId="543E3D32">
      <w:pPr>
        <w:snapToGrid w:val="0"/>
        <w:spacing w:before="120" w:beforeLines="50" w:after="50" w:line="400" w:lineRule="exact"/>
        <w:rPr>
          <w:rFonts w:ascii="宋体" w:hAnsi="宋体" w:cs="宋体"/>
          <w:bCs/>
          <w:color w:val="auto"/>
          <w:sz w:val="24"/>
          <w:szCs w:val="20"/>
          <w:highlight w:val="none"/>
        </w:rPr>
      </w:pPr>
    </w:p>
    <w:p w14:paraId="354C40A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352D6EC">
      <w:pPr>
        <w:snapToGrid w:val="0"/>
        <w:spacing w:before="120" w:beforeLines="50" w:after="50" w:line="400" w:lineRule="exact"/>
        <w:ind w:firstLine="360" w:firstLineChars="150"/>
        <w:rPr>
          <w:rFonts w:ascii="宋体" w:hAnsi="宋体" w:cs="宋体"/>
          <w:bCs/>
          <w:color w:val="auto"/>
          <w:sz w:val="24"/>
          <w:highlight w:val="none"/>
        </w:rPr>
      </w:pPr>
    </w:p>
    <w:p w14:paraId="2901467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693C20B">
      <w:pPr>
        <w:snapToGrid w:val="0"/>
        <w:spacing w:before="120" w:beforeLines="50" w:after="50" w:line="400" w:lineRule="exact"/>
        <w:ind w:firstLine="360" w:firstLineChars="150"/>
        <w:rPr>
          <w:rFonts w:ascii="宋体" w:hAnsi="宋体" w:cs="宋体"/>
          <w:bCs/>
          <w:color w:val="auto"/>
          <w:sz w:val="24"/>
          <w:highlight w:val="none"/>
        </w:rPr>
      </w:pPr>
    </w:p>
    <w:p w14:paraId="7CD1665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8FC72DB">
      <w:pPr>
        <w:snapToGrid w:val="0"/>
        <w:spacing w:before="120" w:beforeLines="50" w:after="50" w:line="400" w:lineRule="exact"/>
        <w:ind w:firstLine="360" w:firstLineChars="150"/>
        <w:rPr>
          <w:rFonts w:ascii="宋体" w:hAnsi="宋体" w:cs="宋体"/>
          <w:bCs/>
          <w:color w:val="auto"/>
          <w:sz w:val="24"/>
          <w:highlight w:val="none"/>
        </w:rPr>
      </w:pPr>
    </w:p>
    <w:p w14:paraId="4AA7167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6085930">
      <w:pPr>
        <w:pStyle w:val="9"/>
        <w:snapToGrid w:val="0"/>
        <w:spacing w:before="50" w:after="50" w:line="400" w:lineRule="exact"/>
        <w:ind w:firstLine="960" w:firstLineChars="400"/>
        <w:rPr>
          <w:rFonts w:ascii="宋体" w:hAnsi="宋体" w:cs="宋体"/>
          <w:bCs/>
          <w:color w:val="auto"/>
          <w:sz w:val="24"/>
          <w:szCs w:val="24"/>
          <w:highlight w:val="none"/>
        </w:rPr>
      </w:pPr>
    </w:p>
    <w:p w14:paraId="79705D99">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31271A7">
      <w:pPr>
        <w:pStyle w:val="5"/>
        <w:snapToGrid w:val="0"/>
        <w:spacing w:before="120" w:beforeLines="50" w:after="50"/>
        <w:jc w:val="left"/>
        <w:rPr>
          <w:rFonts w:ascii="宋体" w:hAnsi="宋体" w:cs="宋体"/>
          <w:color w:val="auto"/>
          <w:sz w:val="24"/>
          <w:szCs w:val="20"/>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1.报价文件目录</w:t>
      </w:r>
    </w:p>
    <w:p w14:paraId="2DEDADF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4730F839">
      <w:pPr>
        <w:snapToGrid w:val="0"/>
        <w:spacing w:before="120" w:beforeLines="50" w:after="50"/>
        <w:rPr>
          <w:rFonts w:ascii="宋体" w:hAnsi="宋体" w:cs="宋体"/>
          <w:b/>
          <w:color w:val="auto"/>
          <w:sz w:val="24"/>
          <w:highlight w:val="none"/>
        </w:rPr>
      </w:pPr>
    </w:p>
    <w:p w14:paraId="48CFA278">
      <w:pPr>
        <w:snapToGrid w:val="0"/>
        <w:spacing w:before="120" w:beforeLines="50" w:after="50"/>
        <w:rPr>
          <w:rFonts w:ascii="宋体" w:hAnsi="宋体" w:cs="宋体"/>
          <w:b/>
          <w:color w:val="auto"/>
          <w:sz w:val="24"/>
          <w:highlight w:val="none"/>
        </w:rPr>
      </w:pPr>
    </w:p>
    <w:p w14:paraId="695851A3">
      <w:pPr>
        <w:snapToGrid w:val="0"/>
        <w:spacing w:before="120" w:beforeLines="50" w:after="50"/>
        <w:rPr>
          <w:rFonts w:ascii="宋体" w:hAnsi="宋体" w:cs="宋体"/>
          <w:b/>
          <w:color w:val="auto"/>
          <w:sz w:val="24"/>
          <w:highlight w:val="none"/>
        </w:rPr>
      </w:pPr>
    </w:p>
    <w:p w14:paraId="57BB2F2D">
      <w:pPr>
        <w:pStyle w:val="5"/>
        <w:snapToGrid w:val="0"/>
        <w:spacing w:before="120" w:beforeLines="50" w:after="50"/>
        <w:ind w:left="142"/>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2.投标函格式</w:t>
      </w:r>
    </w:p>
    <w:p w14:paraId="5ADB31EF">
      <w:pPr>
        <w:snapToGrid w:val="0"/>
        <w:spacing w:before="120" w:beforeLines="50" w:after="50"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投标函</w:t>
      </w:r>
    </w:p>
    <w:p w14:paraId="169E6A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73737C24">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项目名称（项目编号：            ）</w:t>
      </w:r>
      <w:r>
        <w:rPr>
          <w:rFonts w:hint="eastAsia" w:ascii="宋体" w:hAnsi="宋体" w:cs="宋体"/>
          <w:color w:val="auto"/>
          <w:szCs w:val="21"/>
          <w:highlight w:val="none"/>
        </w:rPr>
        <w:t>的招标公告，签字代表______（姓名）经正式授权并代表投标人</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提交投标文件。</w:t>
      </w:r>
    </w:p>
    <w:p w14:paraId="21E645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据此函，我方宣布同意如下：</w:t>
      </w:r>
    </w:p>
    <w:p w14:paraId="1D02C0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C67DF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79A2FA92">
      <w:pPr>
        <w:widowControl/>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bidi="ar"/>
        </w:rPr>
        <w:t>我方承诺投标有效期为招标文件规定的期限</w:t>
      </w:r>
      <w:r>
        <w:rPr>
          <w:rFonts w:hint="eastAsia" w:ascii="宋体" w:hAnsi="宋体" w:cs="宋体"/>
          <w:color w:val="auto"/>
          <w:szCs w:val="21"/>
          <w:highlight w:val="none"/>
          <w:lang w:val="en-US" w:eastAsia="zh-CN" w:bidi="ar"/>
        </w:rPr>
        <w:t>为90日</w:t>
      </w:r>
    </w:p>
    <w:p w14:paraId="501106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294271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3013AB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42C73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2489E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685E6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32CE4D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□我方本次投标文件涉及商业秘密的内容有</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91BA9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9.与本投标有关的一切正式往来信函请寄：</w:t>
      </w:r>
    </w:p>
    <w:p w14:paraId="48A41A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    邮编：     电话：     传真：</w:t>
      </w:r>
    </w:p>
    <w:p w14:paraId="0C48D5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投标人名称:       开户银行：   银行帐号：</w:t>
      </w:r>
    </w:p>
    <w:p w14:paraId="7336DCA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法定代表人或者委托代理人[公章(CA签章)、自然人除外]:___________ </w:t>
      </w:r>
    </w:p>
    <w:p w14:paraId="0BBC0924">
      <w:pPr>
        <w:pStyle w:val="26"/>
        <w:snapToGrid w:val="0"/>
        <w:spacing w:before="295" w:after="295" w:line="360" w:lineRule="auto"/>
        <w:jc w:val="center"/>
        <w:rPr>
          <w:rFonts w:hAnsi="宋体" w:cs="宋体"/>
          <w:color w:val="auto"/>
          <w:sz w:val="21"/>
          <w:highlight w:val="none"/>
          <w:u w:val="single"/>
        </w:rPr>
      </w:pPr>
      <w:r>
        <w:rPr>
          <w:rFonts w:hint="eastAsia" w:hAnsi="宋体" w:cs="宋体"/>
          <w:color w:val="auto"/>
          <w:sz w:val="21"/>
          <w:highlight w:val="none"/>
        </w:rPr>
        <w:t>投标人[公章(CA签章)、自然人除外]：</w:t>
      </w:r>
    </w:p>
    <w:p w14:paraId="30877881">
      <w:pPr>
        <w:pStyle w:val="26"/>
        <w:snapToGrid w:val="0"/>
        <w:spacing w:before="295" w:after="295" w:line="360" w:lineRule="auto"/>
        <w:jc w:val="center"/>
        <w:rPr>
          <w:rFonts w:hAnsi="宋体" w:cs="宋体"/>
          <w:color w:val="auto"/>
          <w:sz w:val="21"/>
          <w:highlight w:val="none"/>
        </w:rPr>
      </w:pPr>
      <w:r>
        <w:rPr>
          <w:rFonts w:hint="eastAsia" w:hAnsi="宋体" w:cs="宋体"/>
          <w:color w:val="auto"/>
          <w:sz w:val="21"/>
          <w:highlight w:val="none"/>
        </w:rPr>
        <w:t>年    月    日</w:t>
      </w:r>
    </w:p>
    <w:p w14:paraId="4DCDE745">
      <w:pPr>
        <w:pStyle w:val="5"/>
        <w:snapToGrid w:val="0"/>
        <w:spacing w:before="120" w:beforeLines="50" w:after="50"/>
        <w:jc w:val="left"/>
        <w:rPr>
          <w:rFonts w:ascii="宋体" w:hAnsi="宋体" w:cs="宋体"/>
          <w:color w:val="auto"/>
          <w:sz w:val="24"/>
          <w:szCs w:val="20"/>
          <w:highlight w:val="none"/>
        </w:rPr>
      </w:pPr>
      <w:r>
        <w:rPr>
          <w:rFonts w:hint="eastAsia" w:ascii="宋体" w:hAnsi="宋体" w:cs="宋体"/>
          <w:color w:val="auto"/>
          <w:highlight w:val="none"/>
          <w:u w:val="single"/>
        </w:rPr>
        <w:br w:type="page"/>
      </w:r>
      <w:r>
        <w:rPr>
          <w:rFonts w:hint="eastAsia" w:ascii="宋体" w:hAnsi="宋体" w:cs="宋体"/>
          <w:color w:val="auto"/>
          <w:sz w:val="24"/>
          <w:highlight w:val="none"/>
        </w:rPr>
        <w:t>3.开标一览表</w:t>
      </w:r>
    </w:p>
    <w:p w14:paraId="2771747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455AEC8B">
      <w:pPr>
        <w:snapToGrid w:val="0"/>
        <w:spacing w:before="50" w:after="50"/>
        <w:jc w:val="center"/>
        <w:rPr>
          <w:rFonts w:ascii="宋体" w:hAnsi="宋体" w:cs="宋体"/>
          <w:b/>
          <w:color w:val="auto"/>
          <w:sz w:val="30"/>
          <w:szCs w:val="20"/>
          <w:highlight w:val="none"/>
        </w:rPr>
      </w:pPr>
    </w:p>
    <w:p w14:paraId="07C5B9C8">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         项目编号：</w:t>
      </w:r>
    </w:p>
    <w:p w14:paraId="2C8B9CAB">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投标人名称：                      单位：元</w:t>
      </w:r>
    </w:p>
    <w:tbl>
      <w:tblPr>
        <w:tblStyle w:val="52"/>
        <w:tblW w:w="505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631"/>
        <w:gridCol w:w="932"/>
        <w:gridCol w:w="1032"/>
        <w:gridCol w:w="1267"/>
        <w:gridCol w:w="1253"/>
        <w:gridCol w:w="943"/>
        <w:gridCol w:w="1573"/>
      </w:tblGrid>
      <w:tr w14:paraId="3F17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407" w:type="pct"/>
            <w:tcBorders>
              <w:top w:val="single" w:color="auto" w:sz="4" w:space="0"/>
              <w:left w:val="single" w:color="auto" w:sz="4" w:space="0"/>
              <w:bottom w:val="single" w:color="auto" w:sz="4" w:space="0"/>
              <w:right w:val="single" w:color="auto" w:sz="4" w:space="0"/>
            </w:tcBorders>
            <w:vAlign w:val="center"/>
          </w:tcPr>
          <w:p w14:paraId="7F9BAD11">
            <w:pPr>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868" w:type="pct"/>
            <w:tcBorders>
              <w:top w:val="single" w:color="auto" w:sz="4" w:space="0"/>
              <w:left w:val="single" w:color="auto" w:sz="4" w:space="0"/>
              <w:bottom w:val="single" w:color="auto" w:sz="4" w:space="0"/>
              <w:right w:val="single" w:color="auto" w:sz="4" w:space="0"/>
            </w:tcBorders>
            <w:vAlign w:val="center"/>
          </w:tcPr>
          <w:p w14:paraId="432B5021">
            <w:pPr>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781B446">
            <w:pPr>
              <w:spacing w:line="320" w:lineRule="exact"/>
              <w:jc w:val="center"/>
              <w:rPr>
                <w:rFonts w:ascii="宋体" w:hAnsi="宋体" w:cs="宋体"/>
                <w:color w:val="auto"/>
                <w:kern w:val="0"/>
                <w:highlight w:val="none"/>
              </w:rPr>
            </w:pPr>
            <w:r>
              <w:rPr>
                <w:rFonts w:hint="eastAsia" w:ascii="宋体" w:hAnsi="宋体" w:cs="宋体"/>
                <w:b/>
                <w:color w:val="auto"/>
                <w:szCs w:val="21"/>
                <w:highlight w:val="none"/>
              </w:rPr>
              <w:t>数量①</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139A7A7">
            <w:pPr>
              <w:widowControl/>
              <w:spacing w:line="32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单价（元/月/人）②</w:t>
            </w:r>
          </w:p>
        </w:tc>
        <w:tc>
          <w:tcPr>
            <w:tcW w:w="674" w:type="pct"/>
            <w:tcBorders>
              <w:top w:val="single" w:color="auto" w:sz="4" w:space="0"/>
              <w:left w:val="single" w:color="auto" w:sz="4" w:space="0"/>
              <w:bottom w:val="single" w:color="auto" w:sz="4" w:space="0"/>
              <w:right w:val="single" w:color="auto" w:sz="4" w:space="0"/>
            </w:tcBorders>
            <w:vAlign w:val="center"/>
          </w:tcPr>
          <w:p w14:paraId="25A52557">
            <w:pPr>
              <w:widowControl/>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每个月服务费用（元）（③=①×②）</w:t>
            </w:r>
          </w:p>
        </w:tc>
        <w:tc>
          <w:tcPr>
            <w:tcW w:w="667" w:type="pct"/>
            <w:tcBorders>
              <w:top w:val="single" w:color="auto" w:sz="4" w:space="0"/>
              <w:left w:val="nil"/>
              <w:bottom w:val="single" w:color="auto" w:sz="4" w:space="0"/>
              <w:right w:val="single" w:color="auto" w:sz="4" w:space="0"/>
            </w:tcBorders>
            <w:vAlign w:val="center"/>
          </w:tcPr>
          <w:p w14:paraId="7CB59598">
            <w:pPr>
              <w:spacing w:line="320" w:lineRule="exact"/>
              <w:jc w:val="center"/>
              <w:rPr>
                <w:rFonts w:ascii="宋体" w:hAnsi="宋体" w:cs="宋体"/>
                <w:color w:val="auto"/>
                <w:highlight w:val="none"/>
              </w:rPr>
            </w:pPr>
            <w:r>
              <w:rPr>
                <w:rFonts w:hint="eastAsia" w:ascii="宋体" w:hAnsi="宋体" w:cs="宋体"/>
                <w:b/>
                <w:color w:val="auto"/>
                <w:szCs w:val="21"/>
                <w:highlight w:val="none"/>
              </w:rPr>
              <w:t>每年服务费用（元）（④=③×12）</w:t>
            </w:r>
          </w:p>
        </w:tc>
        <w:tc>
          <w:tcPr>
            <w:tcW w:w="502" w:type="pct"/>
            <w:tcBorders>
              <w:top w:val="single" w:color="auto" w:sz="4" w:space="0"/>
              <w:left w:val="single" w:color="auto" w:sz="4" w:space="0"/>
              <w:bottom w:val="single" w:color="auto" w:sz="4" w:space="0"/>
              <w:right w:val="single" w:color="auto" w:sz="4" w:space="0"/>
            </w:tcBorders>
            <w:vAlign w:val="center"/>
          </w:tcPr>
          <w:p w14:paraId="045DD18C">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服务期限⑤</w:t>
            </w:r>
          </w:p>
        </w:tc>
        <w:tc>
          <w:tcPr>
            <w:tcW w:w="832" w:type="pct"/>
            <w:tcBorders>
              <w:top w:val="single" w:color="auto" w:sz="4" w:space="0"/>
              <w:left w:val="nil"/>
              <w:bottom w:val="single" w:color="auto" w:sz="4" w:space="0"/>
              <w:right w:val="single" w:color="auto" w:sz="4" w:space="0"/>
            </w:tcBorders>
            <w:vAlign w:val="center"/>
          </w:tcPr>
          <w:p w14:paraId="7EC3B871">
            <w:pPr>
              <w:snapToGrid w:val="0"/>
              <w:spacing w:before="50" w:after="50"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投标报价合计（元）</w:t>
            </w:r>
          </w:p>
          <w:p w14:paraId="4AB19A0E">
            <w:pPr>
              <w:spacing w:line="320" w:lineRule="exact"/>
              <w:jc w:val="center"/>
              <w:rPr>
                <w:rFonts w:ascii="宋体" w:hAnsi="宋体" w:cs="宋体"/>
                <w:b/>
                <w:color w:val="auto"/>
                <w:highlight w:val="none"/>
              </w:rPr>
            </w:pPr>
            <w:r>
              <w:rPr>
                <w:rFonts w:hint="eastAsia" w:ascii="宋体" w:hAnsi="宋体" w:cs="宋体"/>
                <w:b/>
                <w:color w:val="auto"/>
                <w:szCs w:val="21"/>
                <w:highlight w:val="none"/>
              </w:rPr>
              <w:t>（⑥=④×⑤）</w:t>
            </w:r>
          </w:p>
        </w:tc>
      </w:tr>
      <w:tr w14:paraId="53531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3" w:hRule="atLeast"/>
        </w:trPr>
        <w:tc>
          <w:tcPr>
            <w:tcW w:w="407" w:type="pct"/>
            <w:tcBorders>
              <w:top w:val="single" w:color="auto" w:sz="4" w:space="0"/>
              <w:left w:val="single" w:color="auto" w:sz="4" w:space="0"/>
              <w:right w:val="single" w:color="auto" w:sz="4" w:space="0"/>
            </w:tcBorders>
            <w:vAlign w:val="center"/>
          </w:tcPr>
          <w:p w14:paraId="3A7F7548">
            <w:pPr>
              <w:spacing w:line="320" w:lineRule="exact"/>
              <w:jc w:val="center"/>
              <w:rPr>
                <w:rFonts w:ascii="宋体" w:hAnsi="宋体" w:cs="宋体"/>
                <w:color w:val="auto"/>
                <w:kern w:val="0"/>
                <w:szCs w:val="21"/>
                <w:highlight w:val="none"/>
              </w:rPr>
            </w:pPr>
            <w:r>
              <w:rPr>
                <w:rFonts w:ascii="宋体" w:hAnsi="宋体"/>
                <w:color w:val="auto"/>
                <w:szCs w:val="21"/>
                <w:highlight w:val="none"/>
              </w:rPr>
              <w:t>1</w:t>
            </w:r>
          </w:p>
        </w:tc>
        <w:tc>
          <w:tcPr>
            <w:tcW w:w="868" w:type="pct"/>
            <w:tcBorders>
              <w:top w:val="single" w:color="auto" w:sz="4" w:space="0"/>
              <w:left w:val="single" w:color="auto" w:sz="4" w:space="0"/>
              <w:right w:val="single" w:color="auto" w:sz="4" w:space="0"/>
            </w:tcBorders>
            <w:vAlign w:val="center"/>
          </w:tcPr>
          <w:p w14:paraId="35DE4F05">
            <w:pPr>
              <w:spacing w:line="320" w:lineRule="exact"/>
              <w:jc w:val="left"/>
              <w:rPr>
                <w:rFonts w:ascii="宋体" w:hAnsi="宋体"/>
                <w:bCs/>
                <w:color w:val="auto"/>
                <w:szCs w:val="21"/>
                <w:highlight w:val="none"/>
              </w:rPr>
            </w:pPr>
            <w:r>
              <w:rPr>
                <w:rFonts w:hint="eastAsia" w:ascii="宋体" w:hAnsi="宋体" w:cs="宋体"/>
                <w:color w:val="auto"/>
                <w:szCs w:val="21"/>
                <w:highlight w:val="none"/>
              </w:rPr>
              <w:t>2026-2027年度王城、育才校区安保外包服务采购</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4E9F8C3">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149人</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096793D">
            <w:pPr>
              <w:spacing w:line="320" w:lineRule="exact"/>
              <w:jc w:val="center"/>
              <w:rPr>
                <w:rFonts w:ascii="宋体" w:hAnsi="宋体" w:cs="宋体"/>
                <w:color w:val="auto"/>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2CFC2327">
            <w:pPr>
              <w:spacing w:line="320" w:lineRule="exact"/>
              <w:jc w:val="center"/>
              <w:rPr>
                <w:rFonts w:ascii="宋体" w:hAnsi="宋体" w:cs="宋体"/>
                <w:color w:val="auto"/>
                <w:szCs w:val="21"/>
                <w:highlight w:val="none"/>
              </w:rPr>
            </w:pPr>
          </w:p>
        </w:tc>
        <w:tc>
          <w:tcPr>
            <w:tcW w:w="667" w:type="pct"/>
            <w:tcBorders>
              <w:top w:val="single" w:color="auto" w:sz="4" w:space="0"/>
              <w:left w:val="nil"/>
              <w:bottom w:val="single" w:color="auto" w:sz="4" w:space="0"/>
              <w:right w:val="single" w:color="auto" w:sz="4" w:space="0"/>
            </w:tcBorders>
            <w:vAlign w:val="center"/>
          </w:tcPr>
          <w:p w14:paraId="474A3C31">
            <w:pPr>
              <w:spacing w:line="320" w:lineRule="exact"/>
              <w:jc w:val="center"/>
              <w:rPr>
                <w:rFonts w:ascii="宋体" w:hAnsi="宋体" w:cs="宋体"/>
                <w:color w:val="auto"/>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25A47683">
            <w:pPr>
              <w:spacing w:line="320" w:lineRule="exact"/>
              <w:jc w:val="center"/>
              <w:rPr>
                <w:rFonts w:ascii="宋体" w:hAnsi="宋体" w:cs="宋体"/>
                <w:color w:val="auto"/>
                <w:highlight w:val="none"/>
              </w:rPr>
            </w:pPr>
            <w:r>
              <w:rPr>
                <w:rFonts w:hint="eastAsia" w:ascii="宋体" w:hAnsi="宋体" w:cs="宋体"/>
                <w:color w:val="auto"/>
                <w:highlight w:val="none"/>
              </w:rPr>
              <w:t xml:space="preserve"> </w:t>
            </w:r>
          </w:p>
        </w:tc>
        <w:tc>
          <w:tcPr>
            <w:tcW w:w="832" w:type="pct"/>
            <w:tcBorders>
              <w:top w:val="single" w:color="auto" w:sz="4" w:space="0"/>
              <w:left w:val="nil"/>
              <w:bottom w:val="single" w:color="auto" w:sz="4" w:space="0"/>
              <w:right w:val="single" w:color="auto" w:sz="4" w:space="0"/>
            </w:tcBorders>
            <w:vAlign w:val="center"/>
          </w:tcPr>
          <w:p w14:paraId="64DA54FF">
            <w:pPr>
              <w:spacing w:line="320" w:lineRule="exact"/>
              <w:jc w:val="center"/>
              <w:rPr>
                <w:rFonts w:ascii="宋体" w:hAnsi="宋体" w:cs="宋体"/>
                <w:color w:val="auto"/>
                <w:highlight w:val="none"/>
              </w:rPr>
            </w:pPr>
          </w:p>
        </w:tc>
      </w:tr>
      <w:tr w14:paraId="144F0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DA53D7B">
            <w:pPr>
              <w:spacing w:line="320" w:lineRule="exact"/>
              <w:rPr>
                <w:color w:val="auto"/>
                <w:highlight w:val="none"/>
              </w:rPr>
            </w:pPr>
            <w:r>
              <w:rPr>
                <w:rFonts w:hint="eastAsia"/>
                <w:color w:val="auto"/>
                <w:highlight w:val="none"/>
              </w:rPr>
              <w:t>服务期限：</w:t>
            </w:r>
          </w:p>
        </w:tc>
      </w:tr>
      <w:tr w14:paraId="4D21F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9386C07">
            <w:pPr>
              <w:spacing w:line="320" w:lineRule="exact"/>
              <w:rPr>
                <w:color w:val="auto"/>
                <w:highlight w:val="none"/>
              </w:rPr>
            </w:pPr>
            <w:r>
              <w:rPr>
                <w:rFonts w:hint="eastAsia"/>
                <w:color w:val="auto"/>
                <w:highlight w:val="none"/>
              </w:rPr>
              <w:t>服务标准：</w:t>
            </w:r>
          </w:p>
        </w:tc>
      </w:tr>
      <w:tr w14:paraId="4C5B5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1618E9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注：</w:t>
            </w:r>
            <w:r>
              <w:rPr>
                <w:rFonts w:hint="eastAsia" w:ascii="宋体" w:hAnsi="宋体"/>
                <w:color w:val="auto"/>
                <w:szCs w:val="21"/>
                <w:highlight w:val="none"/>
              </w:rPr>
              <w:t>投标报价应</w:t>
            </w:r>
            <w:r>
              <w:rPr>
                <w:rFonts w:hint="eastAsia" w:ascii="宋体" w:hAnsi="宋体" w:cs="宋体"/>
                <w:color w:val="auto"/>
                <w:szCs w:val="21"/>
                <w:highlight w:val="none"/>
              </w:rPr>
              <w:t>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tc>
      </w:tr>
    </w:tbl>
    <w:p w14:paraId="70D7A691">
      <w:pPr>
        <w:rPr>
          <w:rFonts w:ascii="宋体" w:hAnsi="宋体"/>
          <w:color w:val="auto"/>
          <w:sz w:val="24"/>
          <w:highlight w:val="none"/>
        </w:rPr>
      </w:pPr>
      <w:r>
        <w:rPr>
          <w:rFonts w:ascii="宋体" w:hAnsi="宋体"/>
          <w:color w:val="auto"/>
          <w:sz w:val="24"/>
          <w:highlight w:val="none"/>
        </w:rPr>
        <w:br w:type="page"/>
      </w:r>
    </w:p>
    <w:p w14:paraId="6929F6FB">
      <w:pPr>
        <w:pStyle w:val="5"/>
        <w:snapToGrid w:val="0"/>
        <w:spacing w:before="120" w:beforeLines="50" w:after="50"/>
        <w:jc w:val="left"/>
        <w:rPr>
          <w:color w:val="auto"/>
          <w:highlight w:val="none"/>
        </w:rPr>
      </w:pPr>
      <w:r>
        <w:rPr>
          <w:rFonts w:hint="eastAsia"/>
          <w:color w:val="auto"/>
          <w:highlight w:val="none"/>
        </w:rPr>
        <w:t>4.投标人针对报价需要说明的其他文件和说明（格式自拟）。</w:t>
      </w:r>
    </w:p>
    <w:p w14:paraId="155A4F7A">
      <w:pPr>
        <w:pStyle w:val="101"/>
        <w:jc w:val="both"/>
        <w:rPr>
          <w:rFonts w:ascii="宋体" w:eastAsia="宋体" w:cs="宋体"/>
          <w:color w:val="auto"/>
          <w:sz w:val="30"/>
          <w:highlight w:val="none"/>
        </w:rPr>
      </w:pPr>
    </w:p>
    <w:p w14:paraId="4AD43BC7">
      <w:pPr>
        <w:pStyle w:val="4"/>
        <w:spacing w:before="120" w:beforeLines="50" w:after="50"/>
        <w:rPr>
          <w:rFonts w:ascii="宋体" w:hAnsi="宋体" w:cs="宋体"/>
          <w:color w:val="auto"/>
          <w:sz w:val="28"/>
          <w:szCs w:val="28"/>
          <w:highlight w:val="none"/>
        </w:rPr>
      </w:pPr>
      <w:r>
        <w:rPr>
          <w:rFonts w:hint="eastAsia" w:ascii="宋体" w:hAnsi="宋体" w:cs="宋体"/>
          <w:b w:val="0"/>
          <w:bCs w:val="0"/>
          <w:color w:val="auto"/>
          <w:sz w:val="24"/>
          <w:highlight w:val="none"/>
        </w:rPr>
        <w:br w:type="page"/>
      </w:r>
      <w:bookmarkStart w:id="157" w:name="_Toc19686837"/>
      <w:r>
        <w:rPr>
          <w:rFonts w:hint="eastAsia" w:ascii="宋体" w:hAnsi="宋体" w:cs="宋体"/>
          <w:color w:val="auto"/>
          <w:sz w:val="28"/>
          <w:szCs w:val="28"/>
          <w:highlight w:val="none"/>
        </w:rPr>
        <w:t>二、资格证明文件格式</w:t>
      </w:r>
      <w:bookmarkEnd w:id="155"/>
      <w:bookmarkEnd w:id="156"/>
      <w:bookmarkEnd w:id="157"/>
    </w:p>
    <w:p w14:paraId="42B8B6ED">
      <w:pPr>
        <w:snapToGrid w:val="0"/>
        <w:spacing w:before="120" w:beforeLines="50" w:after="50"/>
        <w:rPr>
          <w:rFonts w:ascii="宋体" w:hAnsi="宋体" w:cs="宋体"/>
          <w:color w:val="auto"/>
          <w:sz w:val="24"/>
          <w:szCs w:val="20"/>
          <w:highlight w:val="none"/>
        </w:rPr>
      </w:pPr>
    </w:p>
    <w:p w14:paraId="1568D845">
      <w:pPr>
        <w:pStyle w:val="9"/>
        <w:rPr>
          <w:color w:val="auto"/>
          <w:highlight w:val="none"/>
        </w:rPr>
      </w:pPr>
    </w:p>
    <w:p w14:paraId="64BC5BBA">
      <w:pPr>
        <w:snapToGrid w:val="0"/>
        <w:spacing w:before="120" w:beforeLines="50" w:after="50"/>
        <w:jc w:val="center"/>
        <w:rPr>
          <w:rFonts w:ascii="宋体" w:hAnsi="宋体" w:cs="宋体"/>
          <w:b/>
          <w:color w:val="auto"/>
          <w:sz w:val="32"/>
          <w:szCs w:val="32"/>
          <w:highlight w:val="none"/>
        </w:rPr>
      </w:pPr>
    </w:p>
    <w:p w14:paraId="613991BC">
      <w:pPr>
        <w:snapToGrid w:val="0"/>
        <w:spacing w:before="120" w:beforeLines="50" w:after="50"/>
        <w:jc w:val="center"/>
        <w:rPr>
          <w:rFonts w:ascii="宋体" w:hAnsi="宋体" w:cs="宋体"/>
          <w:b/>
          <w:color w:val="auto"/>
          <w:sz w:val="32"/>
          <w:szCs w:val="32"/>
          <w:highlight w:val="none"/>
        </w:rPr>
      </w:pPr>
    </w:p>
    <w:p w14:paraId="13DFD330">
      <w:pPr>
        <w:snapToGrid w:val="0"/>
        <w:spacing w:before="120" w:beforeLines="50" w:after="50"/>
        <w:jc w:val="center"/>
        <w:rPr>
          <w:rFonts w:ascii="宋体" w:hAnsi="宋体" w:cs="宋体"/>
          <w:b/>
          <w:color w:val="auto"/>
          <w:sz w:val="32"/>
          <w:szCs w:val="32"/>
          <w:highlight w:val="none"/>
        </w:rPr>
      </w:pPr>
    </w:p>
    <w:p w14:paraId="70D75171">
      <w:pPr>
        <w:snapToGrid w:val="0"/>
        <w:spacing w:before="120" w:beforeLines="50" w:after="50"/>
        <w:jc w:val="center"/>
        <w:rPr>
          <w:rFonts w:ascii="宋体" w:hAnsi="宋体" w:cs="宋体"/>
          <w:b/>
          <w:color w:val="auto"/>
          <w:sz w:val="32"/>
          <w:szCs w:val="32"/>
          <w:highlight w:val="none"/>
        </w:rPr>
      </w:pPr>
    </w:p>
    <w:p w14:paraId="20BDC6D5">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631114F5">
      <w:pPr>
        <w:snapToGrid w:val="0"/>
        <w:spacing w:before="120" w:beforeLines="50" w:after="50"/>
        <w:rPr>
          <w:rFonts w:ascii="宋体" w:hAnsi="宋体" w:cs="宋体"/>
          <w:bCs/>
          <w:color w:val="auto"/>
          <w:sz w:val="24"/>
          <w:szCs w:val="20"/>
          <w:highlight w:val="none"/>
        </w:rPr>
      </w:pPr>
    </w:p>
    <w:p w14:paraId="21B56F2E">
      <w:pPr>
        <w:snapToGrid w:val="0"/>
        <w:spacing w:before="120" w:beforeLines="50" w:after="50"/>
        <w:rPr>
          <w:rFonts w:ascii="宋体" w:hAnsi="宋体" w:cs="宋体"/>
          <w:bCs/>
          <w:color w:val="auto"/>
          <w:sz w:val="24"/>
          <w:szCs w:val="20"/>
          <w:highlight w:val="none"/>
        </w:rPr>
      </w:pPr>
    </w:p>
    <w:p w14:paraId="46FF3289">
      <w:pPr>
        <w:snapToGrid w:val="0"/>
        <w:spacing w:before="120" w:beforeLines="50" w:after="50"/>
        <w:rPr>
          <w:rFonts w:ascii="宋体" w:hAnsi="宋体" w:cs="宋体"/>
          <w:bCs/>
          <w:color w:val="auto"/>
          <w:sz w:val="24"/>
          <w:szCs w:val="20"/>
          <w:highlight w:val="none"/>
        </w:rPr>
      </w:pPr>
    </w:p>
    <w:p w14:paraId="1F4AF3BA">
      <w:pPr>
        <w:snapToGrid w:val="0"/>
        <w:spacing w:before="120" w:beforeLines="50" w:after="50"/>
        <w:rPr>
          <w:rFonts w:ascii="宋体" w:hAnsi="宋体" w:cs="宋体"/>
          <w:bCs/>
          <w:color w:val="auto"/>
          <w:sz w:val="24"/>
          <w:szCs w:val="20"/>
          <w:highlight w:val="none"/>
        </w:rPr>
      </w:pPr>
    </w:p>
    <w:p w14:paraId="1C9C2B62">
      <w:pPr>
        <w:snapToGrid w:val="0"/>
        <w:spacing w:before="120" w:beforeLines="50" w:after="50"/>
        <w:ind w:firstLine="540" w:firstLineChars="225"/>
        <w:rPr>
          <w:rFonts w:ascii="宋体" w:hAnsi="宋体" w:cs="宋体"/>
          <w:bCs/>
          <w:color w:val="auto"/>
          <w:sz w:val="24"/>
          <w:highlight w:val="none"/>
        </w:rPr>
      </w:pPr>
    </w:p>
    <w:p w14:paraId="6EAA196D">
      <w:pPr>
        <w:snapToGrid w:val="0"/>
        <w:spacing w:before="120" w:beforeLines="50" w:after="50"/>
        <w:ind w:firstLine="540" w:firstLineChars="225"/>
        <w:rPr>
          <w:rFonts w:ascii="宋体" w:hAnsi="宋体" w:cs="宋体"/>
          <w:bCs/>
          <w:color w:val="auto"/>
          <w:sz w:val="24"/>
          <w:highlight w:val="none"/>
        </w:rPr>
      </w:pPr>
    </w:p>
    <w:p w14:paraId="0DD9BE8B">
      <w:pPr>
        <w:snapToGrid w:val="0"/>
        <w:spacing w:before="120" w:beforeLines="50" w:after="50"/>
        <w:ind w:firstLine="540" w:firstLineChars="225"/>
        <w:rPr>
          <w:rFonts w:ascii="宋体" w:hAnsi="宋体" w:cs="宋体"/>
          <w:bCs/>
          <w:color w:val="auto"/>
          <w:sz w:val="24"/>
          <w:highlight w:val="none"/>
        </w:rPr>
      </w:pPr>
    </w:p>
    <w:p w14:paraId="4570ABA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42AA99D1">
      <w:pPr>
        <w:snapToGrid w:val="0"/>
        <w:spacing w:before="120" w:beforeLines="50" w:after="50"/>
        <w:ind w:firstLine="540" w:firstLineChars="225"/>
        <w:rPr>
          <w:rFonts w:ascii="宋体" w:hAnsi="宋体" w:cs="宋体"/>
          <w:bCs/>
          <w:color w:val="auto"/>
          <w:sz w:val="24"/>
          <w:highlight w:val="none"/>
        </w:rPr>
      </w:pPr>
    </w:p>
    <w:p w14:paraId="753B50A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B3E3AA2">
      <w:pPr>
        <w:snapToGrid w:val="0"/>
        <w:spacing w:before="120" w:beforeLines="50" w:after="50"/>
        <w:ind w:firstLine="540" w:firstLineChars="225"/>
        <w:rPr>
          <w:rFonts w:ascii="宋体" w:hAnsi="宋体" w:cs="宋体"/>
          <w:bCs/>
          <w:color w:val="auto"/>
          <w:sz w:val="24"/>
          <w:highlight w:val="none"/>
        </w:rPr>
      </w:pPr>
    </w:p>
    <w:p w14:paraId="4C412A6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44A1023">
      <w:pPr>
        <w:snapToGrid w:val="0"/>
        <w:spacing w:before="120" w:beforeLines="50" w:after="50"/>
        <w:ind w:firstLine="540" w:firstLineChars="225"/>
        <w:rPr>
          <w:rFonts w:ascii="宋体" w:hAnsi="宋体" w:cs="宋体"/>
          <w:bCs/>
          <w:color w:val="auto"/>
          <w:sz w:val="24"/>
          <w:highlight w:val="none"/>
        </w:rPr>
      </w:pPr>
    </w:p>
    <w:p w14:paraId="05B13FC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0FFB0659">
      <w:pPr>
        <w:pStyle w:val="9"/>
        <w:snapToGrid w:val="0"/>
        <w:spacing w:before="50" w:after="50"/>
        <w:ind w:firstLine="960" w:firstLineChars="400"/>
        <w:rPr>
          <w:rFonts w:ascii="宋体" w:hAnsi="宋体" w:cs="宋体"/>
          <w:bCs/>
          <w:color w:val="auto"/>
          <w:sz w:val="24"/>
          <w:szCs w:val="24"/>
          <w:highlight w:val="none"/>
        </w:rPr>
      </w:pPr>
    </w:p>
    <w:p w14:paraId="136BF7B7">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3ED4A0CA">
      <w:pPr>
        <w:snapToGrid w:val="0"/>
        <w:spacing w:before="120" w:beforeLines="50" w:after="50"/>
        <w:rPr>
          <w:rFonts w:ascii="宋体" w:hAnsi="宋体" w:cs="宋体"/>
          <w:color w:val="auto"/>
          <w:sz w:val="24"/>
          <w:szCs w:val="20"/>
          <w:highlight w:val="none"/>
        </w:rPr>
      </w:pPr>
    </w:p>
    <w:p w14:paraId="7036D8F9">
      <w:pPr>
        <w:snapToGrid w:val="0"/>
        <w:spacing w:before="120" w:beforeLines="50" w:after="50"/>
        <w:rPr>
          <w:rFonts w:ascii="宋体" w:hAnsi="宋体" w:cs="宋体"/>
          <w:color w:val="auto"/>
          <w:sz w:val="24"/>
          <w:szCs w:val="20"/>
          <w:highlight w:val="none"/>
        </w:rPr>
      </w:pPr>
    </w:p>
    <w:p w14:paraId="23E507A6">
      <w:pPr>
        <w:numPr>
          <w:ilvl w:val="2"/>
          <w:numId w:val="0"/>
        </w:num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1.资格证明文件目录</w:t>
      </w:r>
    </w:p>
    <w:p w14:paraId="4F993C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2131A26">
      <w:pPr>
        <w:snapToGrid w:val="0"/>
        <w:spacing w:before="50" w:after="120" w:afterLines="50"/>
        <w:jc w:val="left"/>
        <w:rPr>
          <w:rFonts w:ascii="宋体" w:hAnsi="宋体" w:cs="宋体"/>
          <w:color w:val="auto"/>
          <w:sz w:val="24"/>
          <w:highlight w:val="none"/>
        </w:rPr>
      </w:pPr>
    </w:p>
    <w:p w14:paraId="510F2BE8">
      <w:pPr>
        <w:snapToGrid w:val="0"/>
        <w:spacing w:before="50" w:after="120" w:afterLines="50"/>
        <w:jc w:val="left"/>
        <w:rPr>
          <w:rFonts w:ascii="宋体" w:hAnsi="宋体" w:cs="宋体"/>
          <w:color w:val="auto"/>
          <w:sz w:val="24"/>
          <w:highlight w:val="none"/>
        </w:rPr>
      </w:pPr>
    </w:p>
    <w:p w14:paraId="437AC645">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p>
    <w:p w14:paraId="3216DC0E">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2.投标人为法人或者其他组织的，提供营业执照等证明文件（如营业执照或者事业单位法人证书或者执业许可证等）；投标人为自然人的，提供身份证；（必须提供，否则作无效投标处理）</w:t>
      </w:r>
    </w:p>
    <w:p w14:paraId="3C8D31A3">
      <w:pPr>
        <w:rPr>
          <w:color w:val="auto"/>
          <w:highlight w:val="none"/>
        </w:rPr>
      </w:pPr>
    </w:p>
    <w:p w14:paraId="4B858D8A">
      <w:pPr>
        <w:numPr>
          <w:ilvl w:val="2"/>
          <w:numId w:val="0"/>
        </w:numPr>
        <w:snapToGrid w:val="0"/>
        <w:spacing w:before="120" w:beforeLines="50" w:after="50"/>
        <w:jc w:val="left"/>
        <w:rPr>
          <w:rFonts w:ascii="宋体" w:hAnsi="宋体" w:cs="宋体"/>
          <w:b/>
          <w:color w:val="auto"/>
          <w:sz w:val="28"/>
          <w:szCs w:val="28"/>
          <w:highlight w:val="none"/>
        </w:rPr>
      </w:pPr>
    </w:p>
    <w:p w14:paraId="4691EE68">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3.具有有效的《保安服务许可证》；（必须提供，否则作无效投标处理）</w:t>
      </w:r>
    </w:p>
    <w:p w14:paraId="0D3E965E">
      <w:pPr>
        <w:numPr>
          <w:ilvl w:val="2"/>
          <w:numId w:val="0"/>
        </w:numPr>
        <w:snapToGrid w:val="0"/>
        <w:spacing w:before="120" w:beforeLines="50" w:after="50"/>
        <w:ind w:firstLine="356"/>
        <w:jc w:val="left"/>
        <w:rPr>
          <w:rFonts w:ascii="宋体" w:hAnsi="宋体" w:cs="宋体"/>
          <w:b/>
          <w:color w:val="auto"/>
          <w:sz w:val="28"/>
          <w:szCs w:val="28"/>
          <w:highlight w:val="none"/>
        </w:rPr>
      </w:pPr>
    </w:p>
    <w:p w14:paraId="3459FC47">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4.投标人依法缴纳税收的相关材料【提交投标文件截止时间前半年内任意一个月的依法缴纳税收的凭据；依法免税的投标人，必须提供相应文件证明其依法免税。从取得营业执照时间起到投标文件提交截止时间为止不足要求月数的，只需提供从取得营业执照起的依法缴纳税收相应证明文件，或提供依法缴纳税的承诺函（格式自拟）】；（必须提供，否则作无效投标处理）</w:t>
      </w:r>
    </w:p>
    <w:p w14:paraId="2203E146">
      <w:pPr>
        <w:numPr>
          <w:ilvl w:val="2"/>
          <w:numId w:val="0"/>
        </w:numPr>
        <w:snapToGrid w:val="0"/>
        <w:spacing w:before="120" w:beforeLines="50" w:after="50"/>
        <w:jc w:val="left"/>
        <w:rPr>
          <w:rFonts w:ascii="宋体" w:hAnsi="宋体" w:cs="宋体"/>
          <w:b/>
          <w:color w:val="auto"/>
          <w:sz w:val="28"/>
          <w:szCs w:val="28"/>
          <w:highlight w:val="none"/>
        </w:rPr>
      </w:pPr>
    </w:p>
    <w:p w14:paraId="0822A9C2">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5.投标人依法缴纳社会保障资金的相关材料【提交投标文件截止时间前半年内任意一个月的依法缴纳社会保障资金的缴费凭证；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或提供依法缴纳社会保险费的承诺函（格式自拟）】；（必须提供，否则作无效投标处理）</w:t>
      </w:r>
    </w:p>
    <w:p w14:paraId="4BF39D26">
      <w:pPr>
        <w:numPr>
          <w:ilvl w:val="2"/>
          <w:numId w:val="0"/>
        </w:numPr>
        <w:snapToGrid w:val="0"/>
        <w:spacing w:before="120" w:beforeLines="50" w:after="50"/>
        <w:jc w:val="left"/>
        <w:rPr>
          <w:rFonts w:ascii="宋体" w:hAnsi="宋体" w:cs="宋体"/>
          <w:b/>
          <w:color w:val="auto"/>
          <w:sz w:val="28"/>
          <w:szCs w:val="28"/>
          <w:highlight w:val="none"/>
        </w:rPr>
      </w:pPr>
    </w:p>
    <w:p w14:paraId="16521043">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6.投标人财务状况报告【投标人应提供2024年度经审计的财务报告或者其基本开户银行出具的资信证明；投标截止日当年成立的投标人，只需提供从取得营业执照起的财务状况报告，或提供财务状况正常的承诺函（格式自拟）】；（必须提供，否则作无效投标处理）</w:t>
      </w:r>
    </w:p>
    <w:p w14:paraId="7958526B">
      <w:pPr>
        <w:numPr>
          <w:ilvl w:val="2"/>
          <w:numId w:val="0"/>
        </w:numPr>
        <w:snapToGrid w:val="0"/>
        <w:spacing w:before="120" w:beforeLines="50" w:after="50"/>
        <w:jc w:val="left"/>
        <w:rPr>
          <w:rFonts w:ascii="宋体" w:hAnsi="宋体" w:cs="宋体"/>
          <w:b/>
          <w:color w:val="auto"/>
          <w:sz w:val="28"/>
          <w:szCs w:val="28"/>
          <w:highlight w:val="none"/>
        </w:rPr>
      </w:pPr>
    </w:p>
    <w:p w14:paraId="357EFA6B">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4F656FA">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8"/>
          <w:szCs w:val="28"/>
          <w:highlight w:val="none"/>
        </w:rPr>
        <w:t>7.投标人直接控股、管理关系信息表</w:t>
      </w:r>
    </w:p>
    <w:p w14:paraId="419DF0F9">
      <w:pPr>
        <w:snapToGrid w:val="0"/>
        <w:spacing w:before="50" w:after="120" w:afterLines="50"/>
        <w:jc w:val="center"/>
        <w:rPr>
          <w:rFonts w:ascii="宋体" w:hAnsi="宋体" w:cs="宋体"/>
          <w:b/>
          <w:color w:val="auto"/>
          <w:sz w:val="28"/>
          <w:szCs w:val="28"/>
          <w:highlight w:val="none"/>
        </w:rPr>
      </w:pPr>
    </w:p>
    <w:p w14:paraId="38930991">
      <w:pPr>
        <w:snapToGrid w:val="0"/>
        <w:spacing w:before="50" w:after="120" w:afterLines="50"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52"/>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3DBD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3B1093">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B8B28">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F595E9">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854E1F">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81902C">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3EEE85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4581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A48710">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F0D2E">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CFC4D">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E0B70">
            <w:pPr>
              <w:spacing w:line="360" w:lineRule="auto"/>
              <w:jc w:val="center"/>
              <w:rPr>
                <w:rFonts w:ascii="宋体" w:hAnsi="宋体" w:cs="宋体"/>
                <w:color w:val="auto"/>
                <w:kern w:val="0"/>
                <w:szCs w:val="21"/>
                <w:highlight w:val="none"/>
              </w:rPr>
            </w:pPr>
          </w:p>
        </w:tc>
      </w:tr>
      <w:tr w14:paraId="1F3B2E9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58183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6B55B">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B6A61">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752C6">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4D452">
            <w:pPr>
              <w:spacing w:line="360" w:lineRule="auto"/>
              <w:jc w:val="center"/>
              <w:rPr>
                <w:rFonts w:ascii="宋体" w:hAnsi="宋体" w:cs="宋体"/>
                <w:color w:val="auto"/>
                <w:kern w:val="0"/>
                <w:szCs w:val="21"/>
                <w:highlight w:val="none"/>
              </w:rPr>
            </w:pPr>
          </w:p>
        </w:tc>
      </w:tr>
      <w:tr w14:paraId="177C8A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0C2E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BCDA47">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92686">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BE7964">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100A9B">
            <w:pPr>
              <w:spacing w:line="360" w:lineRule="auto"/>
              <w:jc w:val="center"/>
              <w:rPr>
                <w:rFonts w:ascii="宋体" w:hAnsi="宋体" w:cs="宋体"/>
                <w:color w:val="auto"/>
                <w:kern w:val="0"/>
                <w:szCs w:val="21"/>
                <w:highlight w:val="none"/>
              </w:rPr>
            </w:pPr>
          </w:p>
        </w:tc>
      </w:tr>
      <w:tr w14:paraId="3FEB40D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0C049">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B898C">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66E5B">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A95E7">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291E9">
            <w:pPr>
              <w:spacing w:line="360" w:lineRule="auto"/>
              <w:jc w:val="center"/>
              <w:rPr>
                <w:rFonts w:ascii="宋体" w:hAnsi="宋体" w:cs="宋体"/>
                <w:color w:val="auto"/>
                <w:kern w:val="0"/>
                <w:szCs w:val="21"/>
                <w:highlight w:val="none"/>
              </w:rPr>
            </w:pPr>
          </w:p>
        </w:tc>
      </w:tr>
    </w:tbl>
    <w:p w14:paraId="771E5EA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0A4854C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175B9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003A3CA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3.投标人不存在直接控股股东的，则填“无”。</w:t>
      </w:r>
    </w:p>
    <w:p w14:paraId="397CBB93">
      <w:pPr>
        <w:snapToGrid w:val="0"/>
        <w:spacing w:line="360" w:lineRule="auto"/>
        <w:jc w:val="left"/>
        <w:rPr>
          <w:rFonts w:ascii="宋体" w:hAnsi="宋体" w:cs="宋体"/>
          <w:color w:val="auto"/>
          <w:sz w:val="24"/>
          <w:highlight w:val="none"/>
        </w:rPr>
      </w:pPr>
    </w:p>
    <w:p w14:paraId="57472298">
      <w:pPr>
        <w:snapToGrid w:val="0"/>
        <w:spacing w:line="360" w:lineRule="auto"/>
        <w:jc w:val="left"/>
        <w:rPr>
          <w:rFonts w:ascii="宋体" w:hAnsi="宋体" w:cs="宋体"/>
          <w:color w:val="auto"/>
          <w:sz w:val="24"/>
          <w:highlight w:val="none"/>
        </w:rPr>
      </w:pPr>
    </w:p>
    <w:p w14:paraId="12855000">
      <w:pPr>
        <w:pStyle w:val="26"/>
        <w:spacing w:line="320" w:lineRule="exact"/>
        <w:rPr>
          <w:rFonts w:hAnsi="宋体" w:cs="宋体"/>
          <w:color w:val="auto"/>
          <w:sz w:val="24"/>
          <w:highlight w:val="none"/>
        </w:rPr>
      </w:pPr>
    </w:p>
    <w:p w14:paraId="7D0D50E4">
      <w:pPr>
        <w:pStyle w:val="26"/>
        <w:spacing w:line="360" w:lineRule="auto"/>
        <w:rPr>
          <w:rFonts w:hAnsi="宋体" w:cs="宋体"/>
          <w:color w:val="auto"/>
          <w:sz w:val="21"/>
          <w:highlight w:val="none"/>
        </w:rPr>
      </w:pPr>
      <w:r>
        <w:rPr>
          <w:rFonts w:hint="eastAsia" w:hAnsi="宋体" w:cs="宋体"/>
          <w:color w:val="auto"/>
          <w:sz w:val="21"/>
          <w:highlight w:val="none"/>
        </w:rPr>
        <w:t>法定代表人或者委托代理人签字[或盖章(CA签章)]</w:t>
      </w:r>
    </w:p>
    <w:p w14:paraId="40D7A1BE">
      <w:pPr>
        <w:snapToGrid w:val="0"/>
        <w:spacing w:before="120" w:beforeLines="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05D944AE">
      <w:pPr>
        <w:snapToGrid w:val="0"/>
        <w:spacing w:before="120" w:beforeLines="50" w:after="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投标人[公章(CA签章)、自然人除外]：</w:t>
      </w:r>
    </w:p>
    <w:p w14:paraId="12A8AF4A">
      <w:pPr>
        <w:snapToGrid w:val="0"/>
        <w:spacing w:before="120" w:beforeLines="50" w:after="50" w:line="360" w:lineRule="auto"/>
        <w:ind w:right="480" w:firstLine="4830" w:firstLineChars="2300"/>
        <w:rPr>
          <w:rFonts w:ascii="宋体" w:hAnsi="宋体" w:cs="宋体"/>
          <w:color w:val="auto"/>
          <w:szCs w:val="21"/>
          <w:highlight w:val="none"/>
        </w:rPr>
      </w:pPr>
      <w:r>
        <w:rPr>
          <w:rFonts w:hint="eastAsia" w:ascii="宋体" w:hAnsi="宋体" w:cs="宋体"/>
          <w:color w:val="auto"/>
          <w:szCs w:val="21"/>
          <w:highlight w:val="none"/>
        </w:rPr>
        <w:t>年    月    日</w:t>
      </w:r>
    </w:p>
    <w:p w14:paraId="3065B580">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B3DED63">
      <w:pPr>
        <w:snapToGrid w:val="0"/>
        <w:spacing w:line="360" w:lineRule="auto"/>
        <w:jc w:val="center"/>
        <w:rPr>
          <w:rFonts w:ascii="宋体" w:hAnsi="宋体" w:cs="宋体"/>
          <w:color w:val="auto"/>
          <w:sz w:val="24"/>
          <w:highlight w:val="none"/>
        </w:rPr>
      </w:pPr>
      <w:r>
        <w:rPr>
          <w:rFonts w:hint="eastAsia" w:ascii="宋体" w:hAnsi="宋体" w:cs="宋体"/>
          <w:b/>
          <w:color w:val="auto"/>
          <w:sz w:val="24"/>
          <w:highlight w:val="none"/>
        </w:rPr>
        <w:t>投标人直接管理关系信息表</w:t>
      </w:r>
    </w:p>
    <w:tbl>
      <w:tblPr>
        <w:tblStyle w:val="52"/>
        <w:tblW w:w="9200" w:type="dxa"/>
        <w:tblInd w:w="0" w:type="dxa"/>
        <w:shd w:val="clear" w:color="auto" w:fill="FBFBFB"/>
        <w:tblLayout w:type="fixed"/>
        <w:tblCellMar>
          <w:top w:w="0" w:type="dxa"/>
          <w:left w:w="0" w:type="dxa"/>
          <w:bottom w:w="0" w:type="dxa"/>
          <w:right w:w="0" w:type="dxa"/>
        </w:tblCellMar>
      </w:tblPr>
      <w:tblGrid>
        <w:gridCol w:w="1005"/>
        <w:gridCol w:w="2659"/>
        <w:gridCol w:w="3924"/>
        <w:gridCol w:w="1612"/>
      </w:tblGrid>
      <w:tr w14:paraId="644A35C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474EC6">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2F4A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48F534">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1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997E60">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99D77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4FB4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4C20D">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82236">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60A52">
            <w:pPr>
              <w:spacing w:line="360" w:lineRule="auto"/>
              <w:jc w:val="center"/>
              <w:rPr>
                <w:rFonts w:ascii="宋体" w:hAnsi="宋体" w:cs="宋体"/>
                <w:color w:val="auto"/>
                <w:kern w:val="0"/>
                <w:szCs w:val="21"/>
                <w:highlight w:val="none"/>
              </w:rPr>
            </w:pPr>
          </w:p>
        </w:tc>
      </w:tr>
      <w:tr w14:paraId="7DB2BBB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C686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D9BB">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1E9931">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FF58F">
            <w:pPr>
              <w:spacing w:line="360" w:lineRule="auto"/>
              <w:jc w:val="center"/>
              <w:rPr>
                <w:rFonts w:ascii="宋体" w:hAnsi="宋体" w:cs="宋体"/>
                <w:color w:val="auto"/>
                <w:kern w:val="0"/>
                <w:szCs w:val="21"/>
                <w:highlight w:val="none"/>
              </w:rPr>
            </w:pPr>
          </w:p>
        </w:tc>
      </w:tr>
      <w:tr w14:paraId="7919E2F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A9094">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8A6813">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71569">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126BC">
            <w:pPr>
              <w:spacing w:line="360" w:lineRule="auto"/>
              <w:jc w:val="center"/>
              <w:rPr>
                <w:rFonts w:ascii="宋体" w:hAnsi="宋体" w:cs="宋体"/>
                <w:color w:val="auto"/>
                <w:kern w:val="0"/>
                <w:szCs w:val="21"/>
                <w:highlight w:val="none"/>
              </w:rPr>
            </w:pPr>
          </w:p>
        </w:tc>
      </w:tr>
      <w:tr w14:paraId="391CE7B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4A1C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93E40">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0D0A1">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CB341">
            <w:pPr>
              <w:spacing w:line="360" w:lineRule="auto"/>
              <w:jc w:val="center"/>
              <w:rPr>
                <w:rFonts w:ascii="宋体" w:hAnsi="宋体" w:cs="宋体"/>
                <w:color w:val="auto"/>
                <w:kern w:val="0"/>
                <w:szCs w:val="21"/>
                <w:highlight w:val="none"/>
              </w:rPr>
            </w:pPr>
          </w:p>
        </w:tc>
      </w:tr>
    </w:tbl>
    <w:p w14:paraId="147AD84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5E7EE4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59F5AA6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6B0E1C0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3.投标人不存在直接管理关系的，则填“无”。</w:t>
      </w:r>
    </w:p>
    <w:p w14:paraId="15A5E3F6">
      <w:pPr>
        <w:snapToGrid w:val="0"/>
        <w:spacing w:line="360" w:lineRule="auto"/>
        <w:jc w:val="left"/>
        <w:rPr>
          <w:rFonts w:ascii="宋体" w:hAnsi="宋体" w:cs="宋体"/>
          <w:color w:val="auto"/>
          <w:szCs w:val="21"/>
          <w:highlight w:val="none"/>
        </w:rPr>
      </w:pPr>
    </w:p>
    <w:p w14:paraId="08A4A837">
      <w:pPr>
        <w:snapToGrid w:val="0"/>
        <w:spacing w:line="360" w:lineRule="auto"/>
        <w:jc w:val="left"/>
        <w:rPr>
          <w:rFonts w:ascii="宋体" w:hAnsi="宋体" w:cs="宋体"/>
          <w:color w:val="auto"/>
          <w:sz w:val="24"/>
          <w:highlight w:val="none"/>
        </w:rPr>
      </w:pPr>
    </w:p>
    <w:p w14:paraId="49F16D4C">
      <w:pPr>
        <w:snapToGrid w:val="0"/>
        <w:spacing w:line="360" w:lineRule="auto"/>
        <w:jc w:val="left"/>
        <w:rPr>
          <w:rFonts w:ascii="宋体" w:hAnsi="宋体" w:cs="宋体"/>
          <w:color w:val="auto"/>
          <w:sz w:val="24"/>
          <w:highlight w:val="none"/>
        </w:rPr>
      </w:pPr>
    </w:p>
    <w:p w14:paraId="5FCDBD58">
      <w:pPr>
        <w:snapToGrid w:val="0"/>
        <w:spacing w:line="360" w:lineRule="auto"/>
        <w:jc w:val="left"/>
        <w:rPr>
          <w:rFonts w:ascii="宋体" w:hAnsi="宋体" w:cs="宋体"/>
          <w:color w:val="auto"/>
          <w:sz w:val="24"/>
          <w:highlight w:val="none"/>
        </w:rPr>
      </w:pPr>
    </w:p>
    <w:p w14:paraId="0AB75EC9">
      <w:pPr>
        <w:snapToGrid w:val="0"/>
        <w:spacing w:line="360" w:lineRule="auto"/>
        <w:jc w:val="left"/>
        <w:rPr>
          <w:rFonts w:ascii="宋体" w:hAnsi="宋体" w:cs="宋体"/>
          <w:color w:val="auto"/>
          <w:sz w:val="24"/>
          <w:highlight w:val="none"/>
        </w:rPr>
      </w:pPr>
    </w:p>
    <w:p w14:paraId="65B97044">
      <w:pPr>
        <w:snapToGrid w:val="0"/>
        <w:spacing w:line="360" w:lineRule="auto"/>
        <w:jc w:val="left"/>
        <w:rPr>
          <w:rFonts w:ascii="宋体" w:hAnsi="宋体" w:cs="宋体"/>
          <w:color w:val="auto"/>
          <w:sz w:val="24"/>
          <w:highlight w:val="none"/>
        </w:rPr>
      </w:pPr>
    </w:p>
    <w:p w14:paraId="7942EC75">
      <w:pPr>
        <w:snapToGrid w:val="0"/>
        <w:spacing w:line="360" w:lineRule="auto"/>
        <w:jc w:val="left"/>
        <w:rPr>
          <w:rFonts w:ascii="宋体" w:hAnsi="宋体" w:cs="宋体"/>
          <w:color w:val="auto"/>
          <w:szCs w:val="21"/>
          <w:highlight w:val="none"/>
        </w:rPr>
      </w:pPr>
    </w:p>
    <w:p w14:paraId="30282276">
      <w:pPr>
        <w:pStyle w:val="26"/>
        <w:spacing w:line="360" w:lineRule="auto"/>
        <w:rPr>
          <w:rFonts w:hAnsi="宋体" w:cs="宋体"/>
          <w:color w:val="auto"/>
          <w:sz w:val="21"/>
          <w:highlight w:val="none"/>
        </w:rPr>
      </w:pPr>
      <w:r>
        <w:rPr>
          <w:rFonts w:hint="eastAsia" w:hAnsi="宋体" w:cs="宋体"/>
          <w:color w:val="auto"/>
          <w:sz w:val="21"/>
          <w:highlight w:val="none"/>
        </w:rPr>
        <w:t>法定代表人或者委托代理人签字[或盖章(CA签章)]</w:t>
      </w:r>
    </w:p>
    <w:p w14:paraId="68FA5464">
      <w:pPr>
        <w:snapToGrid w:val="0"/>
        <w:spacing w:before="120" w:beforeLines="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4B13150C">
      <w:pPr>
        <w:snapToGrid w:val="0"/>
        <w:spacing w:before="120" w:beforeLines="50" w:after="50" w:line="360" w:lineRule="auto"/>
        <w:ind w:right="480"/>
        <w:rPr>
          <w:rFonts w:ascii="宋体" w:hAnsi="宋体" w:cs="宋体"/>
          <w:color w:val="auto"/>
          <w:szCs w:val="21"/>
          <w:highlight w:val="none"/>
        </w:rPr>
      </w:pPr>
      <w:r>
        <w:rPr>
          <w:rFonts w:hint="eastAsia" w:ascii="宋体" w:hAnsi="宋体" w:cs="宋体"/>
          <w:color w:val="auto"/>
          <w:szCs w:val="21"/>
          <w:highlight w:val="none"/>
        </w:rPr>
        <w:t>投标人[公章(CA签章)、自然人除外]：</w:t>
      </w:r>
    </w:p>
    <w:p w14:paraId="0FE8B342">
      <w:pPr>
        <w:snapToGrid w:val="0"/>
        <w:spacing w:before="120" w:beforeLines="50" w:after="50" w:line="360" w:lineRule="auto"/>
        <w:ind w:right="480" w:firstLine="210" w:firstLineChars="100"/>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2082F71">
      <w:pPr>
        <w:snapToGrid w:val="0"/>
        <w:spacing w:before="50" w:after="120" w:afterLines="50"/>
        <w:jc w:val="left"/>
        <w:rPr>
          <w:rFonts w:ascii="宋体" w:hAnsi="宋体" w:cs="宋体"/>
          <w:color w:val="auto"/>
          <w:szCs w:val="21"/>
          <w:highlight w:val="none"/>
        </w:rPr>
      </w:pPr>
    </w:p>
    <w:p w14:paraId="41668919">
      <w:pPr>
        <w:snapToGrid w:val="0"/>
        <w:spacing w:before="120" w:beforeLines="50" w:after="50"/>
        <w:jc w:val="left"/>
        <w:rPr>
          <w:rFonts w:ascii="宋体" w:hAnsi="宋体" w:cs="宋体"/>
          <w:b/>
          <w:color w:val="auto"/>
          <w:sz w:val="24"/>
          <w:szCs w:val="20"/>
          <w:highlight w:val="none"/>
        </w:rPr>
      </w:pPr>
    </w:p>
    <w:p w14:paraId="1BA02E05">
      <w:pPr>
        <w:numPr>
          <w:ilvl w:val="2"/>
          <w:numId w:val="0"/>
        </w:num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8.投标声明</w:t>
      </w:r>
    </w:p>
    <w:p w14:paraId="1691FEE1">
      <w:pPr>
        <w:snapToGrid w:val="0"/>
        <w:spacing w:before="50" w:after="120" w:afterLines="50"/>
        <w:jc w:val="center"/>
        <w:rPr>
          <w:rFonts w:ascii="宋体" w:hAnsi="宋体" w:cs="宋体"/>
          <w:b/>
          <w:color w:val="auto"/>
          <w:sz w:val="32"/>
          <w:szCs w:val="32"/>
          <w:highlight w:val="none"/>
        </w:rPr>
      </w:pPr>
    </w:p>
    <w:p w14:paraId="285AEDDB">
      <w:pPr>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投标声明</w:t>
      </w:r>
    </w:p>
    <w:p w14:paraId="19254BDE">
      <w:pPr>
        <w:snapToGrid w:val="0"/>
        <w:spacing w:before="50" w:after="120" w:afterLines="50"/>
        <w:jc w:val="left"/>
        <w:rPr>
          <w:rFonts w:ascii="宋体" w:hAnsi="宋体" w:cs="宋体"/>
          <w:color w:val="auto"/>
          <w:sz w:val="24"/>
          <w:highlight w:val="none"/>
        </w:rPr>
      </w:pPr>
    </w:p>
    <w:p w14:paraId="0717994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1E4D736">
      <w:pPr>
        <w:snapToGrid w:val="0"/>
        <w:spacing w:line="360" w:lineRule="auto"/>
        <w:ind w:firstLine="405"/>
        <w:jc w:val="left"/>
        <w:rPr>
          <w:rFonts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（项目名称）（项目编号：         ）</w:t>
      </w:r>
      <w:r>
        <w:rPr>
          <w:rFonts w:hint="eastAsia" w:ascii="宋体" w:hAnsi="宋体" w:cs="宋体"/>
          <w:color w:val="auto"/>
          <w:szCs w:val="21"/>
          <w:highlight w:val="none"/>
        </w:rPr>
        <w:t>的政府采购活动。我方在此郑重声明：</w:t>
      </w:r>
    </w:p>
    <w:p w14:paraId="67897FA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投标人资格条件，我方对此声明负全部法律责任。</w:t>
      </w:r>
    </w:p>
    <w:p w14:paraId="2C25DB0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投标人；在获知本项目采购信息后，与采购人聘请的为此项目提供咨询服务的公司及其附属机构没有任何联系。</w:t>
      </w:r>
    </w:p>
    <w:p w14:paraId="52EA7B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我方承诺符合《中华人民共和国政府采购法》第二十二条规定：</w:t>
      </w:r>
    </w:p>
    <w:p w14:paraId="1711706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3B33A0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3D75A30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60B76F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7437CE7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12E9EC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54AD0B1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099A58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特此承诺。</w:t>
      </w:r>
    </w:p>
    <w:p w14:paraId="06E8B73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注：如为联合体投标，盖章处须加盖联合体各方公章并由联合体各方法定代表人分别签署，否则投标无效。</w:t>
      </w:r>
    </w:p>
    <w:p w14:paraId="7E3384EB">
      <w:pPr>
        <w:pStyle w:val="26"/>
        <w:spacing w:line="360" w:lineRule="auto"/>
        <w:jc w:val="left"/>
        <w:rPr>
          <w:rFonts w:hAnsi="宋体" w:cs="宋体"/>
          <w:color w:val="auto"/>
          <w:sz w:val="21"/>
          <w:highlight w:val="none"/>
        </w:rPr>
      </w:pPr>
    </w:p>
    <w:p w14:paraId="4C82376B">
      <w:pPr>
        <w:pStyle w:val="26"/>
        <w:spacing w:line="360" w:lineRule="auto"/>
        <w:jc w:val="left"/>
        <w:rPr>
          <w:rFonts w:hAnsi="宋体" w:cs="宋体"/>
          <w:color w:val="auto"/>
          <w:sz w:val="21"/>
          <w:highlight w:val="none"/>
        </w:rPr>
      </w:pPr>
      <w:r>
        <w:rPr>
          <w:rFonts w:hint="eastAsia" w:hAnsi="宋体" w:cs="宋体"/>
          <w:color w:val="auto"/>
          <w:sz w:val="21"/>
          <w:highlight w:val="none"/>
        </w:rPr>
        <w:t>法定代表人或者委托代理人签字[或盖章(CA签章)]（属自然人的应在签名处加盖大拇指指印或个人CA签章）：</w:t>
      </w:r>
    </w:p>
    <w:p w14:paraId="05E982F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投标人[公章(CA签章)、自然人除外]：</w:t>
      </w:r>
    </w:p>
    <w:p w14:paraId="46D8BA0D">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0E84F512">
      <w:pPr>
        <w:snapToGrid w:val="0"/>
        <w:spacing w:before="50" w:after="120" w:afterLines="50"/>
        <w:jc w:val="left"/>
        <w:rPr>
          <w:rFonts w:ascii="宋体" w:hAnsi="宋体" w:cs="宋体"/>
          <w:color w:val="auto"/>
          <w:sz w:val="24"/>
          <w:highlight w:val="none"/>
        </w:rPr>
      </w:pPr>
    </w:p>
    <w:p w14:paraId="4A6D7B49">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9.中小企业声明函</w:t>
      </w:r>
    </w:p>
    <w:p w14:paraId="7E16FF91">
      <w:pPr>
        <w:spacing w:line="520" w:lineRule="exact"/>
        <w:rPr>
          <w:rFonts w:ascii="仿宋_GB2312" w:hAnsi="仿宋_GB2312" w:eastAsia="仿宋_GB2312" w:cs="仿宋_GB2312"/>
          <w:color w:val="auto"/>
          <w:sz w:val="32"/>
          <w:szCs w:val="32"/>
          <w:highlight w:val="none"/>
        </w:rPr>
      </w:pPr>
    </w:p>
    <w:p w14:paraId="7F953C64">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F0AC6E9">
      <w:pPr>
        <w:spacing w:before="2" w:line="500" w:lineRule="exact"/>
        <w:rPr>
          <w:rFonts w:ascii="宋体" w:hAnsi="宋体" w:cs="宋体"/>
          <w:b/>
          <w:bCs/>
          <w:color w:val="auto"/>
          <w:sz w:val="24"/>
          <w:highlight w:val="none"/>
        </w:rPr>
      </w:pPr>
    </w:p>
    <w:p w14:paraId="74ED7948">
      <w:pPr>
        <w:pStyle w:val="19"/>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0853568C">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996F666">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413317B">
      <w:pPr>
        <w:pStyle w:val="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338D3E10">
      <w:pPr>
        <w:pStyle w:val="19"/>
        <w:spacing w:before="34" w:line="500" w:lineRule="exact"/>
        <w:ind w:right="142" w:firstLine="48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C6DAC03">
      <w:pPr>
        <w:pStyle w:val="19"/>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B1A3326">
      <w:pPr>
        <w:pStyle w:val="19"/>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p>
    <w:p w14:paraId="1FE4AF7F">
      <w:pPr>
        <w:pStyle w:val="19"/>
        <w:spacing w:before="56" w:line="500" w:lineRule="exact"/>
        <w:ind w:left="3960" w:right="1808"/>
        <w:rPr>
          <w:rFonts w:ascii="宋体" w:hAnsi="宋体"/>
          <w:color w:val="auto"/>
          <w:highlight w:val="none"/>
        </w:rPr>
      </w:pPr>
      <w:r>
        <w:rPr>
          <w:rFonts w:ascii="宋体" w:hAnsi="宋体"/>
          <w:color w:val="auto"/>
          <w:highlight w:val="none"/>
        </w:rPr>
        <w:t>日 期：</w:t>
      </w:r>
    </w:p>
    <w:p w14:paraId="7DF9518E">
      <w:pPr>
        <w:rPr>
          <w:rFonts w:ascii="宋体" w:hAnsi="宋体"/>
          <w:color w:val="auto"/>
          <w:sz w:val="24"/>
          <w:highlight w:val="none"/>
        </w:rPr>
      </w:pPr>
    </w:p>
    <w:p w14:paraId="635A76F7">
      <w:pPr>
        <w:spacing w:line="360" w:lineRule="auto"/>
        <w:rPr>
          <w:rFonts w:ascii="仿宋_GB2312" w:hAnsi="仿宋_GB2312" w:eastAsia="仿宋_GB2312" w:cs="仿宋_GB2312"/>
          <w:color w:val="auto"/>
          <w:szCs w:val="21"/>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2594B974">
      <w:pPr>
        <w:spacing w:line="520" w:lineRule="exact"/>
        <w:jc w:val="center"/>
        <w:rPr>
          <w:rFonts w:ascii="宋体" w:hAnsi="宋体" w:cs="宋体"/>
          <w:b/>
          <w:bCs/>
          <w:color w:val="auto"/>
          <w:sz w:val="28"/>
          <w:szCs w:val="28"/>
          <w:highlight w:val="none"/>
        </w:rPr>
      </w:pPr>
      <w:r>
        <w:rPr>
          <w:rFonts w:ascii="宋体" w:hAnsi="宋体"/>
          <w:color w:val="auto"/>
          <w:sz w:val="24"/>
          <w:highlight w:val="none"/>
        </w:rPr>
        <w:br w:type="page"/>
      </w:r>
      <w:r>
        <w:rPr>
          <w:rFonts w:hint="eastAsia" w:ascii="宋体" w:hAnsi="宋体" w:cs="宋体"/>
          <w:b/>
          <w:bCs/>
          <w:color w:val="auto"/>
          <w:sz w:val="28"/>
          <w:szCs w:val="28"/>
          <w:highlight w:val="none"/>
        </w:rPr>
        <w:t>残疾人福利性单位声明函</w:t>
      </w:r>
    </w:p>
    <w:p w14:paraId="7C44AC26">
      <w:pPr>
        <w:spacing w:line="520" w:lineRule="exact"/>
        <w:rPr>
          <w:rFonts w:ascii="仿宋_GB2312" w:hAnsi="仿宋_GB2312" w:eastAsia="仿宋_GB2312" w:cs="仿宋_GB2312"/>
          <w:color w:val="auto"/>
          <w:sz w:val="32"/>
          <w:szCs w:val="32"/>
          <w:highlight w:val="none"/>
        </w:rPr>
      </w:pPr>
    </w:p>
    <w:p w14:paraId="3DBF2546">
      <w:pPr>
        <w:spacing w:line="360" w:lineRule="auto"/>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6D3913">
      <w:pPr>
        <w:spacing w:line="360" w:lineRule="auto"/>
        <w:ind w:firstLine="420" w:firstLineChars="200"/>
        <w:rPr>
          <w:rFonts w:ascii="宋体" w:hAnsi="宋体" w:cs="仿宋_GB2312"/>
          <w:color w:val="auto"/>
          <w:sz w:val="24"/>
          <w:highlight w:val="none"/>
        </w:rPr>
      </w:pPr>
      <w:r>
        <w:rPr>
          <w:rFonts w:hint="eastAsia" w:ascii="宋体" w:hAnsi="宋体" w:cs="仿宋_GB2312"/>
          <w:color w:val="auto"/>
          <w:szCs w:val="21"/>
          <w:highlight w:val="none"/>
        </w:rPr>
        <w:t>本单位对上述声明的真实性负责。如有虚假，将依法承担相应责任。</w:t>
      </w:r>
    </w:p>
    <w:p w14:paraId="69459C6F">
      <w:pPr>
        <w:spacing w:line="360" w:lineRule="auto"/>
        <w:rPr>
          <w:rFonts w:ascii="宋体" w:hAnsi="宋体" w:cs="仿宋_GB2312"/>
          <w:color w:val="auto"/>
          <w:sz w:val="24"/>
          <w:highlight w:val="none"/>
        </w:rPr>
      </w:pPr>
    </w:p>
    <w:p w14:paraId="5EC7A643">
      <w:pPr>
        <w:spacing w:line="360" w:lineRule="auto"/>
        <w:rPr>
          <w:rFonts w:ascii="宋体" w:hAnsi="宋体" w:cs="仿宋_GB2312"/>
          <w:color w:val="auto"/>
          <w:sz w:val="24"/>
          <w:highlight w:val="none"/>
        </w:rPr>
      </w:pPr>
    </w:p>
    <w:p w14:paraId="3D7B2FEA">
      <w:pPr>
        <w:spacing w:line="360" w:lineRule="auto"/>
        <w:rPr>
          <w:rFonts w:ascii="宋体" w:hAnsi="宋体" w:cs="仿宋_GB2312"/>
          <w:color w:val="auto"/>
          <w:sz w:val="24"/>
          <w:highlight w:val="none"/>
        </w:rPr>
      </w:pPr>
    </w:p>
    <w:p w14:paraId="118F6C1B">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rPr>
        <w:t>投标人[公章（CA签章）]：</w:t>
      </w:r>
    </w:p>
    <w:p w14:paraId="5B242E02">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rPr>
        <w:t>日  期：</w:t>
      </w:r>
    </w:p>
    <w:p w14:paraId="54AF93AA">
      <w:pPr>
        <w:spacing w:line="360" w:lineRule="auto"/>
        <w:rPr>
          <w:rFonts w:ascii="宋体" w:hAnsi="宋体" w:cs="仿宋_GB2312"/>
          <w:color w:val="auto"/>
          <w:sz w:val="24"/>
          <w:highlight w:val="none"/>
        </w:rPr>
      </w:pPr>
    </w:p>
    <w:p w14:paraId="49D7084D">
      <w:pPr>
        <w:spacing w:line="360" w:lineRule="auto"/>
        <w:rPr>
          <w:rFonts w:ascii="宋体" w:hAnsi="宋体" w:cs="仿宋_GB2312"/>
          <w:color w:val="auto"/>
          <w:sz w:val="24"/>
          <w:highlight w:val="none"/>
        </w:rPr>
      </w:pPr>
    </w:p>
    <w:p w14:paraId="6EFFBB02">
      <w:pPr>
        <w:spacing w:line="360" w:lineRule="auto"/>
        <w:rPr>
          <w:rFonts w:ascii="宋体" w:hAnsi="宋体" w:cs="仿宋_GB2312"/>
          <w:color w:val="auto"/>
          <w:sz w:val="24"/>
          <w:highlight w:val="none"/>
        </w:rPr>
      </w:pPr>
    </w:p>
    <w:p w14:paraId="77239DF8">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B31844A">
      <w:pPr>
        <w:rPr>
          <w:color w:val="auto"/>
          <w:highlight w:val="none"/>
        </w:rPr>
      </w:pPr>
      <w:r>
        <w:rPr>
          <w:rFonts w:ascii="宋体" w:hAnsi="宋体" w:cs="仿宋_GB2312"/>
          <w:color w:val="auto"/>
          <w:sz w:val="24"/>
          <w:highlight w:val="none"/>
        </w:rPr>
        <w:br w:type="page"/>
      </w:r>
    </w:p>
    <w:p w14:paraId="19E14848">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10.除招标文件规定必须提供以外，投标人认为需要提供的其他证明材料。</w:t>
      </w:r>
    </w:p>
    <w:p w14:paraId="1E839AD7">
      <w:pPr>
        <w:pStyle w:val="4"/>
        <w:spacing w:before="120" w:beforeLines="50" w:after="50" w:line="240" w:lineRule="auto"/>
        <w:rPr>
          <w:rFonts w:ascii="宋体" w:hAnsi="宋体" w:cs="宋体"/>
          <w:color w:val="auto"/>
          <w:sz w:val="28"/>
          <w:szCs w:val="28"/>
          <w:highlight w:val="none"/>
        </w:rPr>
      </w:pPr>
      <w:r>
        <w:rPr>
          <w:rFonts w:hint="eastAsia" w:ascii="宋体" w:hAnsi="宋体" w:cs="宋体"/>
          <w:color w:val="auto"/>
          <w:sz w:val="24"/>
          <w:highlight w:val="none"/>
        </w:rPr>
        <w:br w:type="page"/>
      </w:r>
      <w:bookmarkStart w:id="158" w:name="_Toc19686838"/>
      <w:r>
        <w:rPr>
          <w:rFonts w:hint="eastAsia" w:ascii="宋体" w:hAnsi="宋体" w:cs="宋体"/>
          <w:color w:val="auto"/>
          <w:sz w:val="28"/>
          <w:szCs w:val="28"/>
          <w:highlight w:val="none"/>
        </w:rPr>
        <w:t>三、商务文件、技术文件格式</w:t>
      </w:r>
      <w:bookmarkEnd w:id="158"/>
    </w:p>
    <w:p w14:paraId="33764359">
      <w:pPr>
        <w:snapToGrid w:val="0"/>
        <w:spacing w:before="120" w:beforeLines="50" w:after="50" w:line="360" w:lineRule="auto"/>
        <w:jc w:val="left"/>
        <w:rPr>
          <w:rFonts w:ascii="宋体" w:hAnsi="宋体" w:cs="宋体"/>
          <w:b/>
          <w:color w:val="auto"/>
          <w:sz w:val="24"/>
          <w:highlight w:val="none"/>
        </w:rPr>
      </w:pPr>
    </w:p>
    <w:p w14:paraId="7B1AC039">
      <w:pPr>
        <w:snapToGrid w:val="0"/>
        <w:spacing w:before="120" w:beforeLines="50" w:after="50"/>
        <w:rPr>
          <w:rFonts w:ascii="宋体" w:hAnsi="宋体" w:cs="宋体"/>
          <w:color w:val="auto"/>
          <w:sz w:val="24"/>
          <w:szCs w:val="20"/>
          <w:highlight w:val="none"/>
        </w:rPr>
      </w:pPr>
    </w:p>
    <w:p w14:paraId="0261DD1C">
      <w:pPr>
        <w:snapToGrid w:val="0"/>
        <w:spacing w:before="120" w:beforeLines="50" w:after="50"/>
        <w:jc w:val="center"/>
        <w:rPr>
          <w:rFonts w:ascii="宋体" w:hAnsi="宋体" w:cs="宋体"/>
          <w:b/>
          <w:color w:val="auto"/>
          <w:sz w:val="32"/>
          <w:szCs w:val="32"/>
          <w:highlight w:val="none"/>
        </w:rPr>
      </w:pPr>
    </w:p>
    <w:p w14:paraId="00ACE97E">
      <w:pPr>
        <w:snapToGrid w:val="0"/>
        <w:spacing w:before="120" w:beforeLines="50" w:after="50"/>
        <w:jc w:val="center"/>
        <w:rPr>
          <w:rFonts w:ascii="宋体" w:hAnsi="宋体" w:cs="宋体"/>
          <w:b/>
          <w:color w:val="auto"/>
          <w:sz w:val="32"/>
          <w:szCs w:val="32"/>
          <w:highlight w:val="none"/>
        </w:rPr>
      </w:pPr>
    </w:p>
    <w:p w14:paraId="7B8A97E2">
      <w:pPr>
        <w:snapToGrid w:val="0"/>
        <w:spacing w:before="120" w:beforeLines="50" w:after="50"/>
        <w:jc w:val="center"/>
        <w:rPr>
          <w:rFonts w:ascii="宋体" w:hAnsi="宋体" w:cs="宋体"/>
          <w:b/>
          <w:color w:val="auto"/>
          <w:sz w:val="32"/>
          <w:szCs w:val="32"/>
          <w:highlight w:val="none"/>
        </w:rPr>
      </w:pPr>
    </w:p>
    <w:p w14:paraId="6269E05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商务文件、技术文件</w:t>
      </w:r>
    </w:p>
    <w:p w14:paraId="6BBF3628">
      <w:pPr>
        <w:snapToGrid w:val="0"/>
        <w:spacing w:before="120" w:beforeLines="50" w:after="50"/>
        <w:rPr>
          <w:rFonts w:ascii="宋体" w:hAnsi="宋体" w:cs="宋体"/>
          <w:bCs/>
          <w:color w:val="auto"/>
          <w:sz w:val="24"/>
          <w:szCs w:val="20"/>
          <w:highlight w:val="none"/>
        </w:rPr>
      </w:pPr>
    </w:p>
    <w:p w14:paraId="30C94CC2">
      <w:pPr>
        <w:snapToGrid w:val="0"/>
        <w:spacing w:before="120" w:beforeLines="50" w:after="50"/>
        <w:ind w:firstLine="540" w:firstLineChars="225"/>
        <w:rPr>
          <w:rFonts w:ascii="宋体" w:hAnsi="宋体" w:cs="宋体"/>
          <w:bCs/>
          <w:color w:val="auto"/>
          <w:sz w:val="24"/>
          <w:highlight w:val="none"/>
        </w:rPr>
      </w:pPr>
    </w:p>
    <w:p w14:paraId="35E9ED60">
      <w:pPr>
        <w:snapToGrid w:val="0"/>
        <w:spacing w:before="120" w:beforeLines="50" w:after="50"/>
        <w:ind w:firstLine="540" w:firstLineChars="225"/>
        <w:rPr>
          <w:rFonts w:ascii="宋体" w:hAnsi="宋体" w:cs="宋体"/>
          <w:bCs/>
          <w:color w:val="auto"/>
          <w:sz w:val="24"/>
          <w:highlight w:val="none"/>
        </w:rPr>
      </w:pPr>
    </w:p>
    <w:p w14:paraId="347582A5">
      <w:pPr>
        <w:snapToGrid w:val="0"/>
        <w:spacing w:before="120" w:beforeLines="50" w:after="50"/>
        <w:ind w:firstLine="540" w:firstLineChars="225"/>
        <w:rPr>
          <w:rFonts w:ascii="宋体" w:hAnsi="宋体" w:cs="宋体"/>
          <w:bCs/>
          <w:color w:val="auto"/>
          <w:sz w:val="24"/>
          <w:highlight w:val="none"/>
        </w:rPr>
      </w:pPr>
    </w:p>
    <w:p w14:paraId="4145B264">
      <w:pPr>
        <w:snapToGrid w:val="0"/>
        <w:spacing w:before="120" w:beforeLines="50" w:after="50" w:line="480" w:lineRule="auto"/>
        <w:ind w:firstLine="540" w:firstLineChars="225"/>
        <w:rPr>
          <w:rFonts w:ascii="宋体" w:hAnsi="宋体" w:cs="宋体"/>
          <w:bCs/>
          <w:color w:val="auto"/>
          <w:sz w:val="24"/>
          <w:highlight w:val="none"/>
        </w:rPr>
      </w:pPr>
    </w:p>
    <w:p w14:paraId="32EF22DE">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B48CEBF">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89EF9B">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76E12A1F">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7936CA47">
      <w:pPr>
        <w:pStyle w:val="9"/>
        <w:snapToGrid w:val="0"/>
        <w:spacing w:before="50" w:after="50"/>
        <w:ind w:firstLine="960" w:firstLineChars="400"/>
        <w:rPr>
          <w:rFonts w:ascii="宋体" w:hAnsi="宋体" w:cs="宋体"/>
          <w:bCs/>
          <w:color w:val="auto"/>
          <w:sz w:val="24"/>
          <w:szCs w:val="24"/>
          <w:highlight w:val="none"/>
        </w:rPr>
      </w:pPr>
    </w:p>
    <w:p w14:paraId="234B6E4B">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6536693E">
      <w:pPr>
        <w:snapToGrid w:val="0"/>
        <w:spacing w:before="120" w:beforeLines="50" w:after="50"/>
        <w:jc w:val="left"/>
        <w:rPr>
          <w:rFonts w:ascii="宋体" w:hAnsi="宋体" w:cs="宋体"/>
          <w:color w:val="auto"/>
          <w:sz w:val="72"/>
          <w:szCs w:val="72"/>
          <w:highlight w:val="none"/>
        </w:rPr>
      </w:pPr>
    </w:p>
    <w:p w14:paraId="10997D62">
      <w:pPr>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2BD3DBDD">
      <w:pPr>
        <w:snapToGrid w:val="0"/>
        <w:spacing w:line="360" w:lineRule="auto"/>
        <w:rPr>
          <w:rFonts w:ascii="宋体" w:hAnsi="宋体" w:cs="宋体"/>
          <w:color w:val="auto"/>
          <w:sz w:val="24"/>
          <w:szCs w:val="20"/>
          <w:highlight w:val="none"/>
        </w:rPr>
      </w:pPr>
    </w:p>
    <w:p w14:paraId="75705D5B">
      <w:pPr>
        <w:snapToGrid w:val="0"/>
        <w:spacing w:line="360" w:lineRule="auto"/>
        <w:rPr>
          <w:rFonts w:ascii="宋体" w:hAnsi="宋体" w:cs="宋体"/>
          <w:color w:val="auto"/>
          <w:sz w:val="24"/>
          <w:szCs w:val="20"/>
          <w:highlight w:val="none"/>
        </w:rPr>
      </w:pPr>
    </w:p>
    <w:p w14:paraId="5814B667">
      <w:pPr>
        <w:snapToGrid w:val="0"/>
        <w:spacing w:line="360" w:lineRule="auto"/>
        <w:rPr>
          <w:rFonts w:ascii="宋体" w:hAnsi="宋体" w:cs="宋体"/>
          <w:color w:val="auto"/>
          <w:sz w:val="24"/>
          <w:szCs w:val="20"/>
          <w:highlight w:val="none"/>
        </w:rPr>
      </w:pPr>
    </w:p>
    <w:p w14:paraId="2B7AF91B">
      <w:pPr>
        <w:snapToGrid w:val="0"/>
        <w:spacing w:line="360" w:lineRule="auto"/>
        <w:rPr>
          <w:rFonts w:ascii="宋体" w:hAnsi="宋体" w:cs="宋体"/>
          <w:color w:val="auto"/>
          <w:sz w:val="24"/>
          <w:szCs w:val="20"/>
          <w:highlight w:val="none"/>
        </w:rPr>
      </w:pPr>
    </w:p>
    <w:p w14:paraId="4853F45D">
      <w:pPr>
        <w:snapToGrid w:val="0"/>
        <w:spacing w:line="360" w:lineRule="auto"/>
        <w:rPr>
          <w:rFonts w:ascii="宋体" w:hAnsi="宋体" w:cs="宋体"/>
          <w:color w:val="auto"/>
          <w:sz w:val="24"/>
          <w:szCs w:val="20"/>
          <w:highlight w:val="none"/>
        </w:rPr>
      </w:pPr>
    </w:p>
    <w:p w14:paraId="46974B21">
      <w:pPr>
        <w:snapToGrid w:val="0"/>
        <w:spacing w:line="360" w:lineRule="auto"/>
        <w:rPr>
          <w:rFonts w:ascii="宋体" w:hAnsi="宋体" w:cs="宋体"/>
          <w:color w:val="auto"/>
          <w:sz w:val="24"/>
          <w:szCs w:val="20"/>
          <w:highlight w:val="none"/>
        </w:rPr>
      </w:pPr>
    </w:p>
    <w:p w14:paraId="1B75BBB3">
      <w:pPr>
        <w:snapToGrid w:val="0"/>
        <w:spacing w:line="360" w:lineRule="auto"/>
        <w:rPr>
          <w:rFonts w:ascii="宋体" w:hAnsi="宋体" w:cs="宋体"/>
          <w:color w:val="auto"/>
          <w:sz w:val="44"/>
          <w:szCs w:val="44"/>
          <w:highlight w:val="none"/>
        </w:rPr>
      </w:pPr>
    </w:p>
    <w:p w14:paraId="612B0E4B">
      <w:pPr>
        <w:snapToGrid w:val="0"/>
        <w:spacing w:line="360" w:lineRule="auto"/>
        <w:rPr>
          <w:rFonts w:ascii="宋体" w:hAnsi="宋体" w:cs="宋体"/>
          <w:color w:val="auto"/>
          <w:sz w:val="44"/>
          <w:szCs w:val="44"/>
          <w:highlight w:val="none"/>
        </w:rPr>
      </w:pPr>
    </w:p>
    <w:p w14:paraId="03C129DE">
      <w:pPr>
        <w:snapToGrid w:val="0"/>
        <w:spacing w:line="360" w:lineRule="auto"/>
        <w:rPr>
          <w:rFonts w:ascii="宋体" w:hAnsi="宋体" w:cs="宋体"/>
          <w:color w:val="auto"/>
          <w:sz w:val="44"/>
          <w:szCs w:val="44"/>
          <w:highlight w:val="none"/>
        </w:rPr>
      </w:pPr>
    </w:p>
    <w:p w14:paraId="573DD62D">
      <w:pPr>
        <w:pStyle w:val="5"/>
        <w:rPr>
          <w:color w:val="auto"/>
          <w:highlight w:val="none"/>
        </w:rPr>
      </w:pPr>
      <w:r>
        <w:rPr>
          <w:rFonts w:hint="eastAsia"/>
          <w:color w:val="auto"/>
          <w:highlight w:val="none"/>
        </w:rPr>
        <w:t>（一）商务文件</w:t>
      </w:r>
    </w:p>
    <w:p w14:paraId="441D2DAD">
      <w:pPr>
        <w:pStyle w:val="6"/>
        <w:rPr>
          <w:rFonts w:ascii="宋体" w:hAnsi="宋体" w:cs="宋体"/>
          <w:bCs/>
          <w:color w:val="auto"/>
          <w:szCs w:val="28"/>
          <w:highlight w:val="none"/>
        </w:rPr>
      </w:pPr>
      <w:r>
        <w:rPr>
          <w:rFonts w:hint="eastAsia" w:ascii="宋体" w:hAnsi="宋体" w:cs="宋体"/>
          <w:color w:val="auto"/>
          <w:sz w:val="24"/>
          <w:szCs w:val="20"/>
          <w:highlight w:val="none"/>
        </w:rPr>
        <w:br w:type="page"/>
      </w:r>
      <w:r>
        <w:rPr>
          <w:rFonts w:hint="eastAsia" w:ascii="宋体" w:hAnsi="宋体" w:cs="宋体"/>
          <w:bCs/>
          <w:color w:val="auto"/>
          <w:szCs w:val="28"/>
          <w:highlight w:val="none"/>
        </w:rPr>
        <w:t>1.商务文件目录</w:t>
      </w:r>
    </w:p>
    <w:p w14:paraId="4EDDBF93">
      <w:pPr>
        <w:snapToGrid w:val="0"/>
        <w:spacing w:before="50" w:after="120" w:afterLines="50" w:line="360" w:lineRule="auto"/>
        <w:jc w:val="left"/>
        <w:rPr>
          <w:rFonts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32B85B7">
      <w:pPr>
        <w:snapToGrid w:val="0"/>
        <w:spacing w:before="50" w:after="120" w:afterLines="50"/>
        <w:jc w:val="left"/>
        <w:rPr>
          <w:rFonts w:ascii="宋体" w:hAnsi="宋体" w:cs="宋体"/>
          <w:color w:val="auto"/>
          <w:highlight w:val="none"/>
        </w:rPr>
      </w:pPr>
    </w:p>
    <w:p w14:paraId="74C386D7">
      <w:pPr>
        <w:pStyle w:val="6"/>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2.投标人参加本项目无围标串标行为的承诺</w:t>
      </w:r>
    </w:p>
    <w:p w14:paraId="542E042A">
      <w:pPr>
        <w:snapToGrid w:val="0"/>
        <w:spacing w:before="120" w:beforeLines="50" w:after="50"/>
        <w:ind w:left="420"/>
        <w:jc w:val="center"/>
        <w:rPr>
          <w:rFonts w:ascii="宋体" w:hAnsi="宋体" w:cs="宋体"/>
          <w:b/>
          <w:color w:val="auto"/>
          <w:sz w:val="32"/>
          <w:szCs w:val="32"/>
          <w:highlight w:val="none"/>
        </w:rPr>
      </w:pPr>
    </w:p>
    <w:p w14:paraId="12737A96">
      <w:pPr>
        <w:snapToGrid w:val="0"/>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0D9BDC8C">
      <w:pPr>
        <w:snapToGrid w:val="0"/>
        <w:spacing w:before="120" w:beforeLines="50" w:after="50"/>
        <w:jc w:val="left"/>
        <w:rPr>
          <w:rFonts w:ascii="宋体" w:hAnsi="宋体" w:cs="宋体"/>
          <w:b/>
          <w:color w:val="auto"/>
          <w:sz w:val="24"/>
          <w:highlight w:val="none"/>
        </w:rPr>
      </w:pPr>
    </w:p>
    <w:p w14:paraId="2AFD8D7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7C3DCA1">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w:t>
      </w:r>
    </w:p>
    <w:p w14:paraId="04566713">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2D43F9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09088A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4C4053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146FA5E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FAEFF24">
      <w:pPr>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6F7D9F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19702D1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4E5A889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0DD2BC7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896A70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948BD9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3C198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4D8322A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13ECA141">
      <w:pPr>
        <w:pStyle w:val="26"/>
        <w:snapToGrid w:val="0"/>
        <w:spacing w:line="360" w:lineRule="auto"/>
        <w:ind w:firstLine="5985" w:firstLineChars="2850"/>
        <w:rPr>
          <w:rFonts w:hAnsi="宋体" w:cs="宋体"/>
          <w:color w:val="auto"/>
          <w:sz w:val="21"/>
          <w:highlight w:val="none"/>
        </w:rPr>
      </w:pPr>
    </w:p>
    <w:p w14:paraId="60E44AFF">
      <w:pPr>
        <w:pStyle w:val="26"/>
        <w:snapToGrid w:val="0"/>
        <w:spacing w:line="360" w:lineRule="auto"/>
        <w:jc w:val="center"/>
        <w:rPr>
          <w:rFonts w:hAnsi="宋体" w:cs="宋体"/>
          <w:color w:val="auto"/>
          <w:sz w:val="21"/>
          <w:highlight w:val="none"/>
        </w:rPr>
      </w:pPr>
      <w:r>
        <w:rPr>
          <w:rFonts w:hint="eastAsia" w:hAnsi="宋体" w:cs="宋体"/>
          <w:color w:val="auto"/>
          <w:sz w:val="21"/>
          <w:highlight w:val="none"/>
        </w:rPr>
        <w:t>投标人名称</w:t>
      </w:r>
      <w:r>
        <w:rPr>
          <w:rFonts w:hint="eastAsia" w:hAnsi="宋体" w:cs="宋体"/>
          <w:bCs/>
          <w:color w:val="auto"/>
          <w:sz w:val="21"/>
          <w:highlight w:val="none"/>
        </w:rPr>
        <w:t>[公章(CA签章)、自然人除外]</w:t>
      </w:r>
    </w:p>
    <w:p w14:paraId="3340F896">
      <w:pPr>
        <w:pStyle w:val="26"/>
        <w:snapToGrid w:val="0"/>
        <w:spacing w:line="360" w:lineRule="auto"/>
        <w:jc w:val="center"/>
        <w:rPr>
          <w:rFonts w:hAnsi="宋体" w:cs="宋体"/>
          <w:color w:val="auto"/>
          <w:sz w:val="21"/>
          <w:highlight w:val="none"/>
        </w:rPr>
      </w:pPr>
      <w:r>
        <w:rPr>
          <w:rFonts w:hint="eastAsia" w:hAnsi="宋体" w:cs="宋体"/>
          <w:color w:val="auto"/>
          <w:sz w:val="21"/>
          <w:highlight w:val="none"/>
        </w:rPr>
        <w:t>年   月  日</w:t>
      </w:r>
    </w:p>
    <w:p w14:paraId="603F4DD2">
      <w:pPr>
        <w:pStyle w:val="6"/>
        <w:rPr>
          <w:rFonts w:ascii="宋体" w:hAnsi="宋体" w:eastAsia="宋体" w:cs="宋体"/>
          <w:color w:val="auto"/>
          <w:sz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rPr>
        <w:t>3.法定代表人（负责人）身份证明</w:t>
      </w:r>
      <w:r>
        <w:rPr>
          <w:rFonts w:hint="eastAsia"/>
          <w:color w:val="auto"/>
          <w:highlight w:val="none"/>
        </w:rPr>
        <w:t>（格式）</w:t>
      </w:r>
    </w:p>
    <w:p w14:paraId="77217BA2">
      <w:pPr>
        <w:spacing w:before="240" w:beforeLines="100" w:after="120" w:afterLines="50"/>
        <w:ind w:left="540"/>
        <w:jc w:val="center"/>
        <w:rPr>
          <w:rFonts w:ascii="宋体" w:hAnsi="宋体" w:cs="宋体"/>
          <w:b/>
          <w:color w:val="auto"/>
          <w:sz w:val="32"/>
          <w:szCs w:val="32"/>
          <w:highlight w:val="none"/>
        </w:rPr>
      </w:pPr>
    </w:p>
    <w:p w14:paraId="3F5B7E8A">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法定代表人（负责人）身份证明</w:t>
      </w:r>
    </w:p>
    <w:p w14:paraId="047D906C">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投 标 人：</w:t>
      </w:r>
    </w:p>
    <w:p w14:paraId="519214B0">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地    址：</w:t>
      </w:r>
    </w:p>
    <w:p w14:paraId="706F0059">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姓    名：性      别：</w:t>
      </w:r>
    </w:p>
    <w:p w14:paraId="70075AC0">
      <w:pPr>
        <w:spacing w:line="500" w:lineRule="exact"/>
        <w:ind w:left="540"/>
        <w:rPr>
          <w:rFonts w:ascii="宋体" w:hAnsi="宋体" w:cs="宋体"/>
          <w:color w:val="auto"/>
          <w:szCs w:val="21"/>
          <w:highlight w:val="none"/>
          <w:u w:val="single"/>
        </w:rPr>
      </w:pPr>
      <w:r>
        <w:rPr>
          <w:rFonts w:hint="eastAsia" w:ascii="宋体" w:hAnsi="宋体" w:cs="宋体"/>
          <w:color w:val="auto"/>
          <w:szCs w:val="21"/>
          <w:highlight w:val="none"/>
        </w:rPr>
        <w:t>年    龄：职      务：</w:t>
      </w:r>
    </w:p>
    <w:p w14:paraId="14944BDF">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身份证号码：</w:t>
      </w:r>
    </w:p>
    <w:p w14:paraId="71CF4405">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的法定代表人（负责人）。</w:t>
      </w:r>
    </w:p>
    <w:p w14:paraId="375B7214">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特此证明。</w:t>
      </w:r>
    </w:p>
    <w:p w14:paraId="108DDA61">
      <w:pPr>
        <w:spacing w:line="500" w:lineRule="exact"/>
        <w:ind w:left="540"/>
        <w:rPr>
          <w:rFonts w:ascii="宋体" w:hAnsi="宋体" w:cs="宋体"/>
          <w:color w:val="auto"/>
          <w:sz w:val="24"/>
          <w:highlight w:val="none"/>
        </w:rPr>
      </w:pPr>
    </w:p>
    <w:p w14:paraId="19019ED9">
      <w:pPr>
        <w:spacing w:line="360" w:lineRule="auto"/>
        <w:ind w:left="540"/>
        <w:rPr>
          <w:rFonts w:ascii="宋体" w:hAnsi="宋体" w:cs="宋体"/>
          <w:color w:val="auto"/>
          <w:szCs w:val="21"/>
          <w:highlight w:val="none"/>
        </w:rPr>
      </w:pPr>
    </w:p>
    <w:p w14:paraId="6D3CE05F">
      <w:pPr>
        <w:spacing w:line="360" w:lineRule="auto"/>
        <w:ind w:left="540"/>
        <w:rPr>
          <w:rFonts w:ascii="宋体" w:hAnsi="宋体" w:cs="宋体"/>
          <w:color w:val="auto"/>
          <w:szCs w:val="21"/>
          <w:highlight w:val="none"/>
        </w:rPr>
      </w:pPr>
      <w:r>
        <w:rPr>
          <w:rFonts w:hint="eastAsia" w:ascii="宋体" w:hAnsi="宋体" w:cs="宋体"/>
          <w:color w:val="auto"/>
          <w:szCs w:val="21"/>
          <w:highlight w:val="none"/>
        </w:rPr>
        <w:t>附件：法定代表人（负责人）有效身份证正反面</w:t>
      </w:r>
    </w:p>
    <w:p w14:paraId="200329DD">
      <w:pPr>
        <w:spacing w:line="360" w:lineRule="auto"/>
        <w:ind w:left="540"/>
        <w:rPr>
          <w:rFonts w:ascii="宋体" w:hAnsi="宋体" w:cs="宋体"/>
          <w:color w:val="auto"/>
          <w:szCs w:val="21"/>
          <w:highlight w:val="none"/>
        </w:rPr>
      </w:pPr>
    </w:p>
    <w:p w14:paraId="38237C41">
      <w:pPr>
        <w:spacing w:line="360" w:lineRule="auto"/>
        <w:ind w:left="540"/>
        <w:jc w:val="right"/>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bCs/>
          <w:color w:val="auto"/>
          <w:szCs w:val="21"/>
          <w:highlight w:val="none"/>
        </w:rPr>
        <w:t>[公章(CA签章)、自然人除外]</w:t>
      </w:r>
    </w:p>
    <w:p w14:paraId="4BCE9C4F">
      <w:pPr>
        <w:spacing w:line="360" w:lineRule="auto"/>
        <w:ind w:left="540"/>
        <w:jc w:val="right"/>
        <w:rPr>
          <w:rFonts w:ascii="宋体" w:hAnsi="宋体" w:cs="宋体"/>
          <w:color w:val="auto"/>
          <w:szCs w:val="21"/>
          <w:highlight w:val="none"/>
        </w:rPr>
      </w:pPr>
    </w:p>
    <w:p w14:paraId="03449A70">
      <w:pPr>
        <w:snapToGrid w:val="0"/>
        <w:spacing w:before="120" w:beforeLines="50" w:after="50" w:line="360" w:lineRule="auto"/>
        <w:ind w:left="540"/>
        <w:jc w:val="right"/>
        <w:rPr>
          <w:rFonts w:ascii="宋体" w:hAnsi="宋体" w:cs="宋体"/>
          <w:color w:val="auto"/>
          <w:szCs w:val="21"/>
          <w:highlight w:val="none"/>
        </w:rPr>
      </w:pPr>
      <w:r>
        <w:rPr>
          <w:rFonts w:hint="eastAsia" w:ascii="宋体" w:hAnsi="宋体" w:cs="宋体"/>
          <w:color w:val="auto"/>
          <w:szCs w:val="21"/>
          <w:highlight w:val="none"/>
        </w:rPr>
        <w:t>年   月   日</w:t>
      </w:r>
    </w:p>
    <w:p w14:paraId="3B0E57B7">
      <w:pPr>
        <w:snapToGrid w:val="0"/>
        <w:spacing w:before="120" w:beforeLines="50" w:after="50"/>
        <w:jc w:val="center"/>
        <w:rPr>
          <w:rFonts w:ascii="宋体" w:hAnsi="宋体" w:cs="宋体"/>
          <w:b/>
          <w:color w:val="auto"/>
          <w:sz w:val="24"/>
          <w:highlight w:val="none"/>
        </w:rPr>
      </w:pPr>
    </w:p>
    <w:p w14:paraId="09496AAA">
      <w:pPr>
        <w:spacing w:line="360" w:lineRule="auto"/>
        <w:ind w:left="540"/>
        <w:jc w:val="left"/>
        <w:rPr>
          <w:rFonts w:ascii="宋体" w:hAnsi="宋体" w:cs="宋体"/>
          <w:color w:val="auto"/>
          <w:szCs w:val="21"/>
          <w:highlight w:val="none"/>
        </w:rPr>
      </w:pPr>
      <w:r>
        <w:rPr>
          <w:rFonts w:hint="eastAsia" w:ascii="宋体" w:hAnsi="宋体" w:cs="宋体"/>
          <w:color w:val="auto"/>
          <w:szCs w:val="21"/>
          <w:highlight w:val="none"/>
        </w:rPr>
        <w:t>注：自然人投标的无需提供</w:t>
      </w:r>
    </w:p>
    <w:p w14:paraId="33FBD95F">
      <w:pPr>
        <w:pStyle w:val="6"/>
        <w:rPr>
          <w:rFonts w:ascii="宋体" w:hAnsi="宋体" w:cs="宋体"/>
          <w:color w:val="auto"/>
          <w:sz w:val="24"/>
          <w:szCs w:val="20"/>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4.法定代表人授权委托书</w:t>
      </w:r>
      <w:r>
        <w:rPr>
          <w:rFonts w:hint="eastAsia"/>
          <w:color w:val="auto"/>
          <w:highlight w:val="none"/>
        </w:rPr>
        <w:t>（格式）</w:t>
      </w:r>
    </w:p>
    <w:p w14:paraId="1D3CF2BF">
      <w:pPr>
        <w:snapToGrid w:val="0"/>
        <w:spacing w:before="120" w:beforeLines="50" w:after="50"/>
        <w:jc w:val="center"/>
        <w:rPr>
          <w:rFonts w:ascii="宋体" w:hAnsi="宋体" w:cs="宋体"/>
          <w:b/>
          <w:color w:val="auto"/>
          <w:sz w:val="44"/>
          <w:szCs w:val="44"/>
          <w:highlight w:val="none"/>
        </w:rPr>
      </w:pPr>
    </w:p>
    <w:p w14:paraId="5A943F6B">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A5B91A7">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6919294B">
      <w:pPr>
        <w:snapToGrid w:val="0"/>
        <w:spacing w:before="120" w:beforeLines="50" w:after="50"/>
        <w:jc w:val="center"/>
        <w:rPr>
          <w:rFonts w:ascii="宋体" w:hAnsi="宋体" w:cs="宋体"/>
          <w:b/>
          <w:color w:val="auto"/>
          <w:sz w:val="24"/>
          <w:highlight w:val="none"/>
        </w:rPr>
      </w:pPr>
      <w:r>
        <w:rPr>
          <w:rFonts w:hint="eastAsia" w:ascii="宋体" w:hAnsi="宋体" w:cs="宋体"/>
          <w:b/>
          <w:color w:val="auto"/>
          <w:sz w:val="32"/>
          <w:szCs w:val="32"/>
          <w:highlight w:val="none"/>
        </w:rPr>
        <w:t>（如有委托时）</w:t>
      </w:r>
    </w:p>
    <w:p w14:paraId="01E330D4">
      <w:pPr>
        <w:snapToGrid w:val="0"/>
        <w:spacing w:before="120" w:beforeLines="50" w:after="50"/>
        <w:jc w:val="center"/>
        <w:rPr>
          <w:rFonts w:ascii="宋体" w:hAnsi="宋体" w:cs="宋体"/>
          <w:b/>
          <w:color w:val="auto"/>
          <w:sz w:val="24"/>
          <w:highlight w:val="none"/>
        </w:rPr>
      </w:pPr>
    </w:p>
    <w:p w14:paraId="733CF193">
      <w:pPr>
        <w:snapToGrid w:val="0"/>
        <w:spacing w:before="120" w:beforeLines="50" w:after="50" w:line="360" w:lineRule="auto"/>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B8E262E">
      <w:pPr>
        <w:snapToGrid w:val="0"/>
        <w:spacing w:before="120" w:beforeLines="50" w:after="50"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我（姓名）系（投标人名称）的法定代表人（负责人），现授权委托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4E17B1C8">
      <w:pPr>
        <w:snapToGrid w:val="0"/>
        <w:spacing w:before="120" w:beforeLines="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192985F5">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6CAE09EF">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ED6608D">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rPr>
        <w:t>附：法定代表人（负责人）身份证明及委托代理人有效身份证正反面</w:t>
      </w:r>
    </w:p>
    <w:p w14:paraId="27E2C2BA">
      <w:pPr>
        <w:snapToGrid w:val="0"/>
        <w:spacing w:before="120" w:beforeLines="50" w:after="50" w:line="360" w:lineRule="auto"/>
        <w:rPr>
          <w:rFonts w:ascii="宋体" w:hAnsi="宋体" w:cs="宋体"/>
          <w:color w:val="auto"/>
          <w:szCs w:val="21"/>
          <w:highlight w:val="none"/>
        </w:rPr>
      </w:pPr>
    </w:p>
    <w:p w14:paraId="27AAB31D">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7D152AEE">
      <w:pPr>
        <w:snapToGrid w:val="0"/>
        <w:spacing w:line="360" w:lineRule="auto"/>
        <w:ind w:firstLine="420"/>
        <w:rPr>
          <w:rFonts w:ascii="宋体" w:hAnsi="宋体" w:cs="宋体"/>
          <w:color w:val="auto"/>
          <w:szCs w:val="21"/>
          <w:highlight w:val="none"/>
        </w:rPr>
      </w:pPr>
    </w:p>
    <w:p w14:paraId="12F8C611">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投标人[公章（CA签章）]：</w:t>
      </w:r>
    </w:p>
    <w:p w14:paraId="797A75A3">
      <w:pPr>
        <w:snapToGrid w:val="0"/>
        <w:spacing w:line="360" w:lineRule="auto"/>
        <w:ind w:firstLine="420"/>
        <w:rPr>
          <w:rFonts w:ascii="宋体" w:hAnsi="宋体" w:cs="宋体"/>
          <w:color w:val="auto"/>
          <w:szCs w:val="21"/>
          <w:highlight w:val="none"/>
          <w:u w:val="single"/>
        </w:rPr>
      </w:pPr>
    </w:p>
    <w:p w14:paraId="618A26FF">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法定代表人（负责人）签字（或私章或个人CA签章）：</w:t>
      </w:r>
    </w:p>
    <w:p w14:paraId="7EFEFAFA">
      <w:pPr>
        <w:snapToGrid w:val="0"/>
        <w:spacing w:line="360" w:lineRule="auto"/>
        <w:ind w:firstLine="420"/>
        <w:jc w:val="left"/>
        <w:rPr>
          <w:rFonts w:ascii="宋体" w:hAnsi="宋体" w:cs="宋体"/>
          <w:color w:val="auto"/>
          <w:szCs w:val="21"/>
          <w:highlight w:val="none"/>
        </w:rPr>
      </w:pPr>
    </w:p>
    <w:p w14:paraId="73FC0E6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年    月    日</w:t>
      </w:r>
    </w:p>
    <w:p w14:paraId="230F97E0">
      <w:pPr>
        <w:snapToGrid w:val="0"/>
        <w:spacing w:before="120" w:beforeLines="50" w:after="50"/>
        <w:jc w:val="center"/>
        <w:rPr>
          <w:rFonts w:ascii="宋体" w:hAnsi="宋体" w:cs="宋体"/>
          <w:color w:val="auto"/>
          <w:sz w:val="24"/>
          <w:highlight w:val="none"/>
        </w:rPr>
      </w:pPr>
    </w:p>
    <w:p w14:paraId="326837A8">
      <w:pPr>
        <w:snapToGrid w:val="0"/>
        <w:spacing w:before="120" w:beforeLines="50" w:after="50"/>
        <w:ind w:firstLine="566" w:firstLineChars="236"/>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法定代表人授权委托书</w:t>
      </w:r>
    </w:p>
    <w:p w14:paraId="56508F41">
      <w:pPr>
        <w:snapToGrid w:val="0"/>
        <w:spacing w:before="120" w:beforeLines="50" w:after="50"/>
        <w:ind w:firstLine="758" w:firstLineChars="236"/>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025C5561">
      <w:pPr>
        <w:snapToGrid w:val="0"/>
        <w:spacing w:before="120" w:beforeLines="50" w:after="50"/>
        <w:ind w:firstLine="758" w:firstLineChars="236"/>
        <w:jc w:val="center"/>
        <w:rPr>
          <w:rFonts w:ascii="宋体" w:hAnsi="宋体" w:cs="宋体"/>
          <w:color w:val="auto"/>
          <w:sz w:val="24"/>
          <w:highlight w:val="none"/>
        </w:rPr>
      </w:pPr>
      <w:r>
        <w:rPr>
          <w:rFonts w:hint="eastAsia" w:ascii="宋体" w:hAnsi="宋体" w:cs="宋体"/>
          <w:b/>
          <w:bCs/>
          <w:color w:val="auto"/>
          <w:sz w:val="32"/>
          <w:szCs w:val="32"/>
          <w:highlight w:val="none"/>
        </w:rPr>
        <w:t>（如有委托时）</w:t>
      </w:r>
    </w:p>
    <w:p w14:paraId="5D0FAEE9">
      <w:pPr>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2C24CE3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2F25E4A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068AF1BB">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610FFEB2">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6D7AB07">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附：法定代表人（负责人）身份证明及委托代理人有效身份证正反面</w:t>
      </w:r>
    </w:p>
    <w:p w14:paraId="22B191AD">
      <w:pPr>
        <w:snapToGrid w:val="0"/>
        <w:spacing w:line="360" w:lineRule="auto"/>
        <w:ind w:firstLine="495" w:firstLineChars="236"/>
        <w:rPr>
          <w:rFonts w:ascii="宋体" w:hAnsi="宋体" w:cs="宋体"/>
          <w:color w:val="auto"/>
          <w:szCs w:val="21"/>
          <w:highlight w:val="none"/>
        </w:rPr>
      </w:pPr>
    </w:p>
    <w:p w14:paraId="03F9C586">
      <w:pPr>
        <w:snapToGrid w:val="0"/>
        <w:spacing w:line="360" w:lineRule="auto"/>
        <w:ind w:firstLine="495" w:firstLineChars="236"/>
        <w:rPr>
          <w:rFonts w:ascii="宋体" w:hAnsi="宋体" w:cs="宋体"/>
          <w:color w:val="auto"/>
          <w:szCs w:val="21"/>
          <w:highlight w:val="none"/>
        </w:rPr>
      </w:pPr>
    </w:p>
    <w:p w14:paraId="71FB16E6">
      <w:pPr>
        <w:pStyle w:val="26"/>
        <w:spacing w:line="360" w:lineRule="auto"/>
        <w:ind w:firstLine="420"/>
        <w:rPr>
          <w:rFonts w:hAnsi="宋体" w:cs="宋体"/>
          <w:color w:val="auto"/>
          <w:sz w:val="21"/>
          <w:highlight w:val="none"/>
        </w:rPr>
      </w:pPr>
      <w:r>
        <w:rPr>
          <w:rFonts w:hint="eastAsia" w:hAnsi="宋体" w:cs="宋体"/>
          <w:color w:val="auto"/>
          <w:sz w:val="21"/>
          <w:highlight w:val="none"/>
        </w:rPr>
        <w:t>牵头人法定代表人签字[或盖章(CA签章)]：</w:t>
      </w:r>
    </w:p>
    <w:p w14:paraId="6D0E842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牵头人[公章(CA签章)、自然人除外]：</w:t>
      </w:r>
    </w:p>
    <w:p w14:paraId="43A8F9F9">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日期：    年   月   日</w:t>
      </w:r>
    </w:p>
    <w:p w14:paraId="114FA22A">
      <w:pPr>
        <w:snapToGrid w:val="0"/>
        <w:spacing w:line="360" w:lineRule="auto"/>
        <w:ind w:firstLine="495" w:firstLineChars="236"/>
        <w:rPr>
          <w:rFonts w:ascii="宋体" w:hAnsi="宋体" w:cs="宋体"/>
          <w:color w:val="auto"/>
          <w:szCs w:val="21"/>
          <w:highlight w:val="none"/>
        </w:rPr>
      </w:pPr>
    </w:p>
    <w:p w14:paraId="2EE0C3D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被授权人（签字）：</w:t>
      </w:r>
    </w:p>
    <w:p w14:paraId="750A884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日期：    年   月   日</w:t>
      </w:r>
    </w:p>
    <w:p w14:paraId="2EEEDE22">
      <w:pPr>
        <w:rPr>
          <w:rFonts w:ascii="宋体" w:hAnsi="宋体" w:cs="宋体"/>
          <w:color w:val="auto"/>
          <w:sz w:val="24"/>
          <w:highlight w:val="none"/>
        </w:rPr>
      </w:pPr>
    </w:p>
    <w:p w14:paraId="5103D00A">
      <w:pPr>
        <w:rPr>
          <w:rFonts w:ascii="宋体" w:hAnsi="宋体" w:cs="宋体"/>
          <w:b/>
          <w:color w:val="auto"/>
          <w:sz w:val="24"/>
          <w:highlight w:val="none"/>
        </w:rPr>
      </w:pPr>
      <w:r>
        <w:rPr>
          <w:rFonts w:hint="eastAsia" w:ascii="宋体" w:hAnsi="宋体" w:cs="宋体"/>
          <w:b/>
          <w:color w:val="auto"/>
          <w:sz w:val="24"/>
          <w:highlight w:val="none"/>
        </w:rPr>
        <w:br w:type="page"/>
      </w:r>
    </w:p>
    <w:p w14:paraId="5489E68C">
      <w:pPr>
        <w:pStyle w:val="6"/>
        <w:rPr>
          <w:color w:val="auto"/>
          <w:highlight w:val="none"/>
        </w:rPr>
      </w:pPr>
      <w:r>
        <w:rPr>
          <w:rFonts w:hint="eastAsia"/>
          <w:color w:val="auto"/>
          <w:highlight w:val="none"/>
        </w:rPr>
        <w:t>5.商务条款偏离表（格式）</w:t>
      </w:r>
    </w:p>
    <w:p w14:paraId="15893021">
      <w:pPr>
        <w:snapToGrid w:val="0"/>
        <w:spacing w:before="50"/>
        <w:jc w:val="left"/>
        <w:rPr>
          <w:rFonts w:ascii="宋体" w:hAnsi="宋体" w:cs="宋体"/>
          <w:color w:val="auto"/>
          <w:sz w:val="24"/>
          <w:highlight w:val="none"/>
        </w:rPr>
      </w:pPr>
    </w:p>
    <w:p w14:paraId="308206A9">
      <w:pPr>
        <w:snapToGrid w:val="0"/>
        <w:spacing w:before="50"/>
        <w:jc w:val="left"/>
        <w:rPr>
          <w:rFonts w:ascii="宋体" w:hAnsi="宋体" w:cs="宋体"/>
          <w:color w:val="auto"/>
          <w:sz w:val="24"/>
          <w:highlight w:val="none"/>
          <w:u w:val="single"/>
        </w:rPr>
      </w:pPr>
    </w:p>
    <w:tbl>
      <w:tblPr>
        <w:tblStyle w:val="52"/>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7"/>
        <w:gridCol w:w="918"/>
        <w:gridCol w:w="3048"/>
        <w:gridCol w:w="2744"/>
        <w:gridCol w:w="1497"/>
      </w:tblGrid>
      <w:tr w14:paraId="74D09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1DDA3B42">
            <w:pPr>
              <w:pStyle w:val="20"/>
              <w:spacing w:line="360" w:lineRule="auto"/>
              <w:ind w:firstLine="0" w:firstLineChars="0"/>
              <w:jc w:val="center"/>
              <w:rPr>
                <w:rFonts w:ascii="宋体" w:hAnsi="宋体" w:eastAsia="宋体" w:cs="仿宋_GB2312"/>
                <w:color w:val="auto"/>
                <w:kern w:val="2"/>
                <w:sz w:val="24"/>
                <w:szCs w:val="24"/>
                <w:highlight w:val="none"/>
              </w:rPr>
            </w:pPr>
            <w:bookmarkStart w:id="159" w:name="_Toc383699906"/>
            <w:bookmarkStart w:id="160" w:name="_Toc301781611"/>
            <w:bookmarkStart w:id="161" w:name="_Toc254970729"/>
            <w:bookmarkStart w:id="162" w:name="_Toc254970588"/>
            <w:bookmarkStart w:id="163" w:name="_Toc297193185"/>
            <w:bookmarkStart w:id="164" w:name="_Toc373333689"/>
            <w:bookmarkStart w:id="165" w:name="_Toc295404981"/>
            <w:bookmarkStart w:id="166" w:name="_Toc173066401"/>
            <w:bookmarkStart w:id="167" w:name="_Toc173211900"/>
            <w:r>
              <w:rPr>
                <w:rFonts w:hint="eastAsia" w:ascii="宋体" w:hAnsi="宋体" w:eastAsia="宋体" w:cs="仿宋_GB2312"/>
                <w:color w:val="auto"/>
                <w:kern w:val="2"/>
                <w:sz w:val="24"/>
                <w:szCs w:val="24"/>
                <w:highlight w:val="none"/>
              </w:rPr>
              <w:t>序号</w:t>
            </w:r>
            <w:bookmarkEnd w:id="159"/>
            <w:bookmarkEnd w:id="160"/>
            <w:bookmarkEnd w:id="161"/>
            <w:bookmarkEnd w:id="162"/>
            <w:bookmarkEnd w:id="163"/>
            <w:bookmarkEnd w:id="164"/>
            <w:bookmarkEnd w:id="165"/>
            <w:bookmarkEnd w:id="166"/>
            <w:bookmarkEnd w:id="167"/>
          </w:p>
        </w:tc>
        <w:tc>
          <w:tcPr>
            <w:tcW w:w="906" w:type="dxa"/>
            <w:tcBorders>
              <w:right w:val="single" w:color="auto" w:sz="4" w:space="0"/>
            </w:tcBorders>
            <w:vAlign w:val="center"/>
          </w:tcPr>
          <w:p w14:paraId="3AE38A11">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08" w:type="dxa"/>
            <w:tcBorders>
              <w:left w:val="single" w:color="auto" w:sz="4" w:space="0"/>
            </w:tcBorders>
            <w:vAlign w:val="center"/>
          </w:tcPr>
          <w:p w14:paraId="61AEA5E8">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招标文件商务条款要求</w:t>
            </w:r>
          </w:p>
        </w:tc>
        <w:tc>
          <w:tcPr>
            <w:tcW w:w="2708" w:type="dxa"/>
            <w:vAlign w:val="center"/>
          </w:tcPr>
          <w:p w14:paraId="0FB03787">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投标人的承诺</w:t>
            </w:r>
          </w:p>
        </w:tc>
        <w:tc>
          <w:tcPr>
            <w:tcW w:w="1477" w:type="dxa"/>
            <w:vAlign w:val="center"/>
          </w:tcPr>
          <w:p w14:paraId="1FB56A85">
            <w:pPr>
              <w:pStyle w:val="20"/>
              <w:spacing w:line="360" w:lineRule="auto"/>
              <w:ind w:firstLine="0" w:firstLineChars="0"/>
              <w:jc w:val="center"/>
              <w:rPr>
                <w:rFonts w:ascii="宋体" w:hAnsi="宋体" w:eastAsia="宋体" w:cs="仿宋_GB2312"/>
                <w:color w:val="auto"/>
                <w:kern w:val="2"/>
                <w:sz w:val="24"/>
                <w:szCs w:val="24"/>
                <w:highlight w:val="none"/>
              </w:rPr>
            </w:pPr>
            <w:bookmarkStart w:id="168" w:name="_Toc383699909"/>
            <w:bookmarkStart w:id="169" w:name="_Toc295404984"/>
            <w:bookmarkStart w:id="170" w:name="_Toc254970732"/>
            <w:bookmarkStart w:id="171" w:name="_Toc173066404"/>
            <w:bookmarkStart w:id="172" w:name="_Toc373333692"/>
            <w:bookmarkStart w:id="173" w:name="_Toc301781614"/>
            <w:bookmarkStart w:id="174" w:name="_Toc254970591"/>
            <w:bookmarkStart w:id="175" w:name="_Toc173211903"/>
            <w:bookmarkStart w:id="176" w:name="_Toc297193188"/>
            <w:r>
              <w:rPr>
                <w:rFonts w:hint="eastAsia" w:ascii="宋体" w:hAnsi="宋体" w:eastAsia="宋体" w:cs="仿宋_GB2312"/>
                <w:color w:val="auto"/>
                <w:kern w:val="2"/>
                <w:sz w:val="24"/>
                <w:szCs w:val="24"/>
                <w:highlight w:val="none"/>
              </w:rPr>
              <w:t>偏离</w:t>
            </w:r>
            <w:bookmarkEnd w:id="168"/>
            <w:bookmarkEnd w:id="169"/>
            <w:bookmarkEnd w:id="170"/>
            <w:bookmarkEnd w:id="171"/>
            <w:bookmarkEnd w:id="172"/>
            <w:bookmarkEnd w:id="173"/>
            <w:bookmarkEnd w:id="174"/>
            <w:bookmarkEnd w:id="175"/>
            <w:bookmarkEnd w:id="176"/>
            <w:bookmarkStart w:id="177" w:name="_Toc173211904"/>
            <w:bookmarkStart w:id="178" w:name="_Toc254970592"/>
            <w:bookmarkStart w:id="179" w:name="_Toc373333693"/>
            <w:bookmarkStart w:id="180" w:name="_Toc295404985"/>
            <w:bookmarkStart w:id="181" w:name="_Toc297193189"/>
            <w:bookmarkStart w:id="182" w:name="_Toc173066405"/>
            <w:bookmarkStart w:id="183" w:name="_Toc383699910"/>
            <w:bookmarkStart w:id="184" w:name="_Toc301781615"/>
            <w:bookmarkStart w:id="185" w:name="_Toc254970733"/>
            <w:r>
              <w:rPr>
                <w:rFonts w:hint="eastAsia" w:ascii="宋体" w:hAnsi="宋体" w:eastAsia="宋体" w:cs="仿宋_GB2312"/>
                <w:color w:val="auto"/>
                <w:kern w:val="2"/>
                <w:sz w:val="24"/>
                <w:szCs w:val="24"/>
                <w:highlight w:val="none"/>
              </w:rPr>
              <w:t>说明</w:t>
            </w:r>
            <w:bookmarkEnd w:id="177"/>
            <w:bookmarkEnd w:id="178"/>
            <w:bookmarkEnd w:id="179"/>
            <w:bookmarkEnd w:id="180"/>
            <w:bookmarkEnd w:id="181"/>
            <w:bookmarkEnd w:id="182"/>
            <w:bookmarkEnd w:id="183"/>
            <w:bookmarkEnd w:id="184"/>
            <w:bookmarkEnd w:id="185"/>
          </w:p>
        </w:tc>
      </w:tr>
      <w:tr w14:paraId="592CC2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527B09B4">
            <w:pPr>
              <w:pStyle w:val="20"/>
              <w:spacing w:line="360" w:lineRule="auto"/>
              <w:ind w:firstLine="0" w:firstLineChars="0"/>
              <w:jc w:val="center"/>
              <w:rPr>
                <w:rFonts w:ascii="宋体" w:hAnsi="宋体" w:eastAsia="宋体" w:cs="仿宋_GB2312"/>
                <w:color w:val="auto"/>
                <w:kern w:val="2"/>
                <w:sz w:val="24"/>
                <w:szCs w:val="24"/>
                <w:highlight w:val="none"/>
              </w:rPr>
            </w:pPr>
            <w:bookmarkStart w:id="186" w:name="_Toc173211905"/>
            <w:bookmarkStart w:id="187" w:name="_Toc254970734"/>
            <w:bookmarkStart w:id="188" w:name="_Toc254970593"/>
            <w:bookmarkStart w:id="189" w:name="_Toc383699911"/>
            <w:bookmarkStart w:id="190" w:name="_Toc297193190"/>
            <w:bookmarkStart w:id="191" w:name="_Toc295404986"/>
            <w:bookmarkStart w:id="192" w:name="_Toc301781616"/>
            <w:bookmarkStart w:id="193" w:name="_Toc173066406"/>
            <w:bookmarkStart w:id="194" w:name="_Toc373333694"/>
            <w:r>
              <w:rPr>
                <w:rFonts w:hint="eastAsia" w:ascii="宋体" w:hAnsi="宋体" w:eastAsia="宋体" w:cs="仿宋_GB2312"/>
                <w:color w:val="auto"/>
                <w:kern w:val="2"/>
                <w:sz w:val="24"/>
                <w:szCs w:val="24"/>
                <w:highlight w:val="none"/>
              </w:rPr>
              <w:t>1</w:t>
            </w:r>
            <w:bookmarkEnd w:id="186"/>
            <w:bookmarkEnd w:id="187"/>
            <w:bookmarkEnd w:id="188"/>
            <w:bookmarkEnd w:id="189"/>
            <w:bookmarkEnd w:id="190"/>
            <w:bookmarkEnd w:id="191"/>
            <w:bookmarkEnd w:id="192"/>
            <w:bookmarkEnd w:id="193"/>
            <w:bookmarkEnd w:id="194"/>
          </w:p>
        </w:tc>
        <w:tc>
          <w:tcPr>
            <w:tcW w:w="906" w:type="dxa"/>
            <w:tcBorders>
              <w:right w:val="single" w:color="auto" w:sz="4" w:space="0"/>
            </w:tcBorders>
            <w:vAlign w:val="center"/>
          </w:tcPr>
          <w:p w14:paraId="181C7E6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397D878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5B48F39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5F5AE3AE">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54C1B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4F95208F">
            <w:pPr>
              <w:pStyle w:val="20"/>
              <w:spacing w:line="360" w:lineRule="auto"/>
              <w:ind w:firstLine="0" w:firstLineChars="0"/>
              <w:jc w:val="center"/>
              <w:rPr>
                <w:rFonts w:ascii="宋体" w:hAnsi="宋体" w:eastAsia="宋体" w:cs="仿宋_GB2312"/>
                <w:color w:val="auto"/>
                <w:kern w:val="2"/>
                <w:sz w:val="24"/>
                <w:szCs w:val="24"/>
                <w:highlight w:val="none"/>
              </w:rPr>
            </w:pPr>
            <w:bookmarkStart w:id="195" w:name="_Toc383699912"/>
            <w:bookmarkStart w:id="196" w:name="_Toc373333695"/>
            <w:bookmarkStart w:id="197" w:name="_Toc297193191"/>
            <w:bookmarkStart w:id="198" w:name="_Toc254970594"/>
            <w:bookmarkStart w:id="199" w:name="_Toc301781617"/>
            <w:bookmarkStart w:id="200" w:name="_Toc295404987"/>
            <w:bookmarkStart w:id="201" w:name="_Toc254970735"/>
            <w:bookmarkStart w:id="202" w:name="_Toc173066407"/>
            <w:bookmarkStart w:id="203" w:name="_Toc173211906"/>
            <w:r>
              <w:rPr>
                <w:rFonts w:hint="eastAsia" w:ascii="宋体" w:hAnsi="宋体" w:eastAsia="宋体" w:cs="仿宋_GB2312"/>
                <w:color w:val="auto"/>
                <w:kern w:val="2"/>
                <w:sz w:val="24"/>
                <w:szCs w:val="24"/>
                <w:highlight w:val="none"/>
              </w:rPr>
              <w:t>2</w:t>
            </w:r>
            <w:bookmarkEnd w:id="195"/>
            <w:bookmarkEnd w:id="196"/>
            <w:bookmarkEnd w:id="197"/>
            <w:bookmarkEnd w:id="198"/>
            <w:bookmarkEnd w:id="199"/>
            <w:bookmarkEnd w:id="200"/>
            <w:bookmarkEnd w:id="201"/>
            <w:bookmarkEnd w:id="202"/>
            <w:bookmarkEnd w:id="203"/>
          </w:p>
        </w:tc>
        <w:tc>
          <w:tcPr>
            <w:tcW w:w="906" w:type="dxa"/>
            <w:tcBorders>
              <w:right w:val="single" w:color="auto" w:sz="4" w:space="0"/>
            </w:tcBorders>
            <w:vAlign w:val="center"/>
          </w:tcPr>
          <w:p w14:paraId="018CF4E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2E24EA7B">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2468D2B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21EA1174">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0E29E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6C7CA9BD">
            <w:pPr>
              <w:pStyle w:val="20"/>
              <w:spacing w:line="360" w:lineRule="auto"/>
              <w:ind w:firstLine="0" w:firstLineChars="0"/>
              <w:jc w:val="center"/>
              <w:rPr>
                <w:rFonts w:ascii="宋体" w:hAnsi="宋体" w:eastAsia="宋体" w:cs="仿宋_GB2312"/>
                <w:color w:val="auto"/>
                <w:kern w:val="2"/>
                <w:sz w:val="24"/>
                <w:szCs w:val="24"/>
                <w:highlight w:val="none"/>
              </w:rPr>
            </w:pPr>
            <w:bookmarkStart w:id="204" w:name="_Toc173211907"/>
            <w:bookmarkStart w:id="205" w:name="_Toc295404988"/>
            <w:bookmarkStart w:id="206" w:name="_Toc297193192"/>
            <w:bookmarkStart w:id="207" w:name="_Toc383699913"/>
            <w:bookmarkStart w:id="208" w:name="_Toc373333696"/>
            <w:bookmarkStart w:id="209" w:name="_Toc254970736"/>
            <w:bookmarkStart w:id="210" w:name="_Toc254970595"/>
            <w:bookmarkStart w:id="211" w:name="_Toc173066408"/>
            <w:bookmarkStart w:id="212" w:name="_Toc301781618"/>
            <w:r>
              <w:rPr>
                <w:rFonts w:hint="eastAsia" w:ascii="宋体" w:hAnsi="宋体" w:eastAsia="宋体" w:cs="仿宋_GB2312"/>
                <w:color w:val="auto"/>
                <w:kern w:val="2"/>
                <w:sz w:val="24"/>
                <w:szCs w:val="24"/>
                <w:highlight w:val="none"/>
              </w:rPr>
              <w:t>3</w:t>
            </w:r>
            <w:bookmarkEnd w:id="204"/>
            <w:bookmarkEnd w:id="205"/>
            <w:bookmarkEnd w:id="206"/>
            <w:bookmarkEnd w:id="207"/>
            <w:bookmarkEnd w:id="208"/>
            <w:bookmarkEnd w:id="209"/>
            <w:bookmarkEnd w:id="210"/>
            <w:bookmarkEnd w:id="211"/>
            <w:bookmarkEnd w:id="212"/>
          </w:p>
        </w:tc>
        <w:tc>
          <w:tcPr>
            <w:tcW w:w="906" w:type="dxa"/>
            <w:tcBorders>
              <w:right w:val="single" w:color="auto" w:sz="4" w:space="0"/>
            </w:tcBorders>
            <w:vAlign w:val="center"/>
          </w:tcPr>
          <w:p w14:paraId="66752B4A">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3BF87C93">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7292070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21000466">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126F0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4135F7A6">
            <w:pPr>
              <w:pStyle w:val="20"/>
              <w:spacing w:line="360" w:lineRule="auto"/>
              <w:ind w:firstLine="0" w:firstLineChars="0"/>
              <w:jc w:val="center"/>
              <w:rPr>
                <w:rFonts w:ascii="宋体" w:hAnsi="宋体" w:eastAsia="宋体" w:cs="仿宋_GB2312"/>
                <w:color w:val="auto"/>
                <w:kern w:val="2"/>
                <w:sz w:val="24"/>
                <w:szCs w:val="24"/>
                <w:highlight w:val="none"/>
              </w:rPr>
            </w:pPr>
            <w:bookmarkStart w:id="213" w:name="_Toc254970596"/>
            <w:bookmarkStart w:id="214" w:name="_Toc254970737"/>
            <w:bookmarkStart w:id="215" w:name="_Toc173211908"/>
            <w:bookmarkStart w:id="216" w:name="_Toc373333697"/>
            <w:bookmarkStart w:id="217" w:name="_Toc301781619"/>
            <w:bookmarkStart w:id="218" w:name="_Toc295404989"/>
            <w:bookmarkStart w:id="219" w:name="_Toc383699914"/>
            <w:bookmarkStart w:id="220" w:name="_Toc173066409"/>
            <w:bookmarkStart w:id="221" w:name="_Toc297193193"/>
            <w:r>
              <w:rPr>
                <w:rFonts w:hint="eastAsia" w:ascii="宋体" w:hAnsi="宋体" w:eastAsia="宋体" w:cs="仿宋_GB2312"/>
                <w:color w:val="auto"/>
                <w:kern w:val="2"/>
                <w:sz w:val="24"/>
                <w:szCs w:val="24"/>
                <w:highlight w:val="none"/>
              </w:rPr>
              <w:t>4</w:t>
            </w:r>
            <w:bookmarkEnd w:id="213"/>
            <w:bookmarkEnd w:id="214"/>
            <w:bookmarkEnd w:id="215"/>
            <w:bookmarkEnd w:id="216"/>
            <w:bookmarkEnd w:id="217"/>
            <w:bookmarkEnd w:id="218"/>
            <w:bookmarkEnd w:id="219"/>
            <w:bookmarkEnd w:id="220"/>
            <w:bookmarkEnd w:id="221"/>
          </w:p>
        </w:tc>
        <w:tc>
          <w:tcPr>
            <w:tcW w:w="906" w:type="dxa"/>
            <w:tcBorders>
              <w:right w:val="single" w:color="auto" w:sz="4" w:space="0"/>
            </w:tcBorders>
            <w:vAlign w:val="center"/>
          </w:tcPr>
          <w:p w14:paraId="3660FC27">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26190E4A">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06F2CC2E">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3F1A3F6F">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63CEC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2DB6BB1F">
            <w:pPr>
              <w:pStyle w:val="20"/>
              <w:spacing w:line="360" w:lineRule="auto"/>
              <w:ind w:firstLine="0" w:firstLineChars="0"/>
              <w:jc w:val="center"/>
              <w:rPr>
                <w:rFonts w:ascii="宋体" w:hAnsi="宋体" w:eastAsia="宋体" w:cs="仿宋_GB2312"/>
                <w:color w:val="auto"/>
                <w:kern w:val="2"/>
                <w:sz w:val="24"/>
                <w:szCs w:val="24"/>
                <w:highlight w:val="none"/>
              </w:rPr>
            </w:pPr>
            <w:bookmarkStart w:id="222" w:name="_Toc173066410"/>
            <w:bookmarkStart w:id="223" w:name="_Toc254970738"/>
            <w:bookmarkStart w:id="224" w:name="_Toc373333698"/>
            <w:bookmarkStart w:id="225" w:name="_Toc301781620"/>
            <w:bookmarkStart w:id="226" w:name="_Toc173211909"/>
            <w:bookmarkStart w:id="227" w:name="_Toc297193194"/>
            <w:bookmarkStart w:id="228" w:name="_Toc295404990"/>
            <w:bookmarkStart w:id="229" w:name="_Toc254970597"/>
            <w:bookmarkStart w:id="230" w:name="_Toc383699915"/>
            <w:r>
              <w:rPr>
                <w:rFonts w:hint="eastAsia" w:ascii="宋体" w:hAnsi="宋体" w:eastAsia="宋体" w:cs="仿宋_GB2312"/>
                <w:color w:val="auto"/>
                <w:kern w:val="2"/>
                <w:sz w:val="24"/>
                <w:szCs w:val="24"/>
                <w:highlight w:val="none"/>
              </w:rPr>
              <w:t>5</w:t>
            </w:r>
            <w:bookmarkEnd w:id="222"/>
            <w:bookmarkEnd w:id="223"/>
            <w:bookmarkEnd w:id="224"/>
            <w:bookmarkEnd w:id="225"/>
            <w:bookmarkEnd w:id="226"/>
            <w:bookmarkEnd w:id="227"/>
            <w:bookmarkEnd w:id="228"/>
            <w:bookmarkEnd w:id="229"/>
            <w:bookmarkEnd w:id="230"/>
          </w:p>
        </w:tc>
        <w:tc>
          <w:tcPr>
            <w:tcW w:w="906" w:type="dxa"/>
            <w:tcBorders>
              <w:right w:val="single" w:color="auto" w:sz="4" w:space="0"/>
            </w:tcBorders>
            <w:vAlign w:val="center"/>
          </w:tcPr>
          <w:p w14:paraId="4660F0E0">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1EEFAA78">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3578EB4C">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30836B0F">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3693A4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6" w:type="dxa"/>
            <w:vAlign w:val="center"/>
          </w:tcPr>
          <w:p w14:paraId="02A6F807">
            <w:pPr>
              <w:pStyle w:val="20"/>
              <w:spacing w:line="360" w:lineRule="auto"/>
              <w:ind w:firstLine="0" w:firstLineChars="0"/>
              <w:jc w:val="center"/>
              <w:rPr>
                <w:rFonts w:ascii="宋体" w:hAnsi="宋体" w:eastAsia="宋体" w:cs="仿宋_GB2312"/>
                <w:color w:val="auto"/>
                <w:kern w:val="2"/>
                <w:sz w:val="24"/>
                <w:szCs w:val="24"/>
                <w:highlight w:val="none"/>
              </w:rPr>
            </w:pPr>
            <w:bookmarkStart w:id="231" w:name="_Toc254970743"/>
            <w:bookmarkStart w:id="232" w:name="_Toc295404991"/>
            <w:bookmarkStart w:id="233" w:name="_Toc297193195"/>
            <w:bookmarkStart w:id="234" w:name="_Toc373333699"/>
            <w:bookmarkStart w:id="235" w:name="_Toc383699916"/>
            <w:bookmarkStart w:id="236" w:name="_Toc173211914"/>
            <w:bookmarkStart w:id="237" w:name="_Toc173066415"/>
            <w:bookmarkStart w:id="238" w:name="_Toc254970602"/>
            <w:bookmarkStart w:id="239" w:name="_Toc301781621"/>
            <w:r>
              <w:rPr>
                <w:rFonts w:hint="eastAsia" w:ascii="宋体" w:hAnsi="宋体" w:eastAsia="宋体" w:cs="仿宋_GB2312"/>
                <w:color w:val="auto"/>
                <w:kern w:val="2"/>
                <w:sz w:val="24"/>
                <w:szCs w:val="24"/>
                <w:highlight w:val="none"/>
              </w:rPr>
              <w:t>…</w:t>
            </w:r>
            <w:bookmarkEnd w:id="231"/>
            <w:bookmarkEnd w:id="232"/>
            <w:bookmarkEnd w:id="233"/>
            <w:bookmarkEnd w:id="234"/>
            <w:bookmarkEnd w:id="235"/>
            <w:bookmarkEnd w:id="236"/>
            <w:bookmarkEnd w:id="237"/>
            <w:bookmarkEnd w:id="238"/>
            <w:bookmarkEnd w:id="239"/>
          </w:p>
        </w:tc>
        <w:tc>
          <w:tcPr>
            <w:tcW w:w="906" w:type="dxa"/>
            <w:tcBorders>
              <w:right w:val="single" w:color="auto" w:sz="4" w:space="0"/>
            </w:tcBorders>
            <w:vAlign w:val="center"/>
          </w:tcPr>
          <w:p w14:paraId="1F461652">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67EF1FE9">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5E43E71B">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tcBorders>
              <w:right w:val="single" w:color="auto" w:sz="4" w:space="0"/>
            </w:tcBorders>
            <w:vAlign w:val="center"/>
          </w:tcPr>
          <w:p w14:paraId="0E6A7DEA">
            <w:pPr>
              <w:pStyle w:val="20"/>
              <w:spacing w:line="360" w:lineRule="auto"/>
              <w:ind w:firstLine="0" w:firstLineChars="0"/>
              <w:jc w:val="center"/>
              <w:rPr>
                <w:rFonts w:ascii="宋体" w:hAnsi="宋体" w:eastAsia="宋体" w:cs="仿宋_GB2312"/>
                <w:color w:val="auto"/>
                <w:kern w:val="2"/>
                <w:sz w:val="24"/>
                <w:szCs w:val="24"/>
                <w:highlight w:val="none"/>
              </w:rPr>
            </w:pPr>
          </w:p>
        </w:tc>
      </w:tr>
    </w:tbl>
    <w:p w14:paraId="2E8C9E4F">
      <w:pPr>
        <w:pStyle w:val="18"/>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3B2751C4">
      <w:pPr>
        <w:pStyle w:val="20"/>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采购需求”中的商务条款逐条实质性响应，并作出偏离说明。</w:t>
      </w:r>
    </w:p>
    <w:p w14:paraId="6E8D49E3">
      <w:pPr>
        <w:pStyle w:val="18"/>
        <w:spacing w:line="36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175D3815">
      <w:pPr>
        <w:snapToGrid w:val="0"/>
        <w:spacing w:line="360" w:lineRule="auto"/>
        <w:rPr>
          <w:rFonts w:ascii="宋体" w:hAnsi="宋体" w:cs="宋体"/>
          <w:color w:val="auto"/>
          <w:szCs w:val="21"/>
          <w:highlight w:val="none"/>
        </w:rPr>
      </w:pPr>
    </w:p>
    <w:p w14:paraId="257CB1E1">
      <w:pPr>
        <w:pStyle w:val="26"/>
        <w:spacing w:line="360" w:lineRule="auto"/>
        <w:rPr>
          <w:rFonts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2B9E23A6">
      <w:pPr>
        <w:snapToGrid w:val="0"/>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504D67B1">
      <w:pPr>
        <w:snapToGrid w:val="0"/>
        <w:spacing w:line="360" w:lineRule="auto"/>
        <w:rPr>
          <w:rFonts w:ascii="宋体" w:hAnsi="宋体" w:cs="宋体"/>
          <w:color w:val="auto"/>
          <w:szCs w:val="21"/>
          <w:highlight w:val="none"/>
        </w:rPr>
      </w:pPr>
      <w:r>
        <w:rPr>
          <w:rFonts w:hint="eastAsia" w:ascii="宋体" w:hAnsi="宋体" w:cs="宋体"/>
          <w:color w:val="auto"/>
          <w:spacing w:val="20"/>
          <w:szCs w:val="21"/>
          <w:highlight w:val="none"/>
        </w:rPr>
        <w:t>日  期：</w:t>
      </w:r>
    </w:p>
    <w:p w14:paraId="22FD9A96">
      <w:pPr>
        <w:snapToGrid w:val="0"/>
        <w:spacing w:before="120" w:beforeLines="50"/>
        <w:rPr>
          <w:rFonts w:ascii="宋体" w:hAnsi="宋体" w:cs="宋体"/>
          <w:color w:val="auto"/>
          <w:sz w:val="24"/>
          <w:szCs w:val="20"/>
          <w:highlight w:val="none"/>
        </w:rPr>
      </w:pPr>
    </w:p>
    <w:p w14:paraId="1F1E5D8F">
      <w:pPr>
        <w:snapToGrid w:val="0"/>
        <w:spacing w:before="120" w:beforeLines="50" w:after="50"/>
        <w:jc w:val="left"/>
        <w:rPr>
          <w:rFonts w:ascii="宋体" w:hAnsi="宋体" w:cs="宋体"/>
          <w:color w:val="auto"/>
          <w:sz w:val="24"/>
          <w:szCs w:val="20"/>
          <w:highlight w:val="none"/>
        </w:rPr>
        <w:sectPr>
          <w:headerReference r:id="rId9" w:type="default"/>
          <w:footerReference r:id="rId10" w:type="default"/>
          <w:pgSz w:w="11906" w:h="16838"/>
          <w:pgMar w:top="1417" w:right="1417" w:bottom="1417" w:left="1417" w:header="851" w:footer="992" w:gutter="0"/>
          <w:pgNumType w:start="1"/>
          <w:cols w:space="720" w:num="1"/>
          <w:docGrid w:linePitch="312" w:charSpace="0"/>
        </w:sectPr>
      </w:pPr>
    </w:p>
    <w:p w14:paraId="16D915AD">
      <w:pPr>
        <w:pStyle w:val="6"/>
        <w:rPr>
          <w:rFonts w:eastAsia="宋体"/>
          <w:color w:val="auto"/>
          <w:highlight w:val="none"/>
        </w:rPr>
      </w:pPr>
      <w:r>
        <w:rPr>
          <w:rFonts w:hint="eastAsia"/>
          <w:color w:val="auto"/>
          <w:highlight w:val="none"/>
        </w:rPr>
        <w:t>6.服务承诺（格式自拟）</w:t>
      </w:r>
    </w:p>
    <w:p w14:paraId="1008D029">
      <w:pPr>
        <w:rPr>
          <w:color w:val="auto"/>
          <w:highlight w:val="none"/>
        </w:rPr>
      </w:pPr>
      <w:r>
        <w:rPr>
          <w:rFonts w:hint="eastAsia"/>
          <w:color w:val="auto"/>
          <w:highlight w:val="none"/>
        </w:rPr>
        <w:br w:type="page"/>
      </w:r>
    </w:p>
    <w:p w14:paraId="5DF992C3">
      <w:pPr>
        <w:pStyle w:val="6"/>
        <w:rPr>
          <w:color w:val="auto"/>
          <w:highlight w:val="none"/>
        </w:rPr>
      </w:pPr>
      <w:r>
        <w:rPr>
          <w:rFonts w:hint="eastAsia"/>
          <w:color w:val="auto"/>
          <w:highlight w:val="none"/>
        </w:rPr>
        <w:t>7.投标人类似的业绩证明（格式）</w:t>
      </w:r>
    </w:p>
    <w:p w14:paraId="0946D21D">
      <w:pPr>
        <w:pStyle w:val="40"/>
        <w:snapToGrid w:val="0"/>
        <w:ind w:left="480" w:hanging="480"/>
        <w:rPr>
          <w:rFonts w:ascii="宋体" w:hAnsi="宋体" w:cs="宋体"/>
          <w:color w:val="auto"/>
          <w:sz w:val="24"/>
          <w:highlight w:val="none"/>
        </w:rPr>
      </w:pPr>
    </w:p>
    <w:p w14:paraId="126FCC87">
      <w:pPr>
        <w:pStyle w:val="40"/>
        <w:snapToGrid w:val="0"/>
        <w:ind w:left="420" w:hanging="420"/>
        <w:rPr>
          <w:rFonts w:ascii="宋体" w:hAnsi="宋体" w:cs="宋体"/>
          <w:color w:val="auto"/>
          <w:sz w:val="21"/>
          <w:szCs w:val="21"/>
          <w:highlight w:val="none"/>
        </w:rPr>
      </w:pPr>
      <w:r>
        <w:rPr>
          <w:rFonts w:hint="eastAsia" w:ascii="宋体" w:hAnsi="宋体" w:cs="宋体"/>
          <w:color w:val="auto"/>
          <w:sz w:val="21"/>
          <w:szCs w:val="21"/>
          <w:highlight w:val="none"/>
        </w:rPr>
        <w:t>投标人同类项目情况一览表格式：（投标人同类项目合同、中标通知书等）</w:t>
      </w:r>
    </w:p>
    <w:tbl>
      <w:tblPr>
        <w:tblStyle w:val="52"/>
        <w:tblW w:w="91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2712"/>
        <w:gridCol w:w="1996"/>
        <w:gridCol w:w="2080"/>
      </w:tblGrid>
      <w:tr w14:paraId="092FB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atLeast"/>
        </w:trPr>
        <w:tc>
          <w:tcPr>
            <w:tcW w:w="2410" w:type="dxa"/>
            <w:vMerge w:val="restart"/>
            <w:tcBorders>
              <w:top w:val="single" w:color="auto" w:sz="4" w:space="0"/>
              <w:left w:val="single" w:color="auto" w:sz="4" w:space="0"/>
              <w:bottom w:val="single" w:color="auto" w:sz="4" w:space="0"/>
              <w:right w:val="single" w:color="auto" w:sz="4" w:space="0"/>
            </w:tcBorders>
            <w:vAlign w:val="center"/>
          </w:tcPr>
          <w:p w14:paraId="0CFDE18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采购人名称</w:t>
            </w:r>
          </w:p>
        </w:tc>
        <w:tc>
          <w:tcPr>
            <w:tcW w:w="2712" w:type="dxa"/>
            <w:vMerge w:val="restart"/>
            <w:tcBorders>
              <w:top w:val="single" w:color="auto" w:sz="4" w:space="0"/>
              <w:left w:val="single" w:color="auto" w:sz="4" w:space="0"/>
              <w:bottom w:val="single" w:color="auto" w:sz="4" w:space="0"/>
              <w:right w:val="single" w:color="auto" w:sz="4" w:space="0"/>
            </w:tcBorders>
            <w:vAlign w:val="center"/>
          </w:tcPr>
          <w:p w14:paraId="37DC190C">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996" w:type="dxa"/>
            <w:vMerge w:val="restart"/>
            <w:tcBorders>
              <w:top w:val="single" w:color="auto" w:sz="4" w:space="0"/>
              <w:left w:val="single" w:color="auto" w:sz="4" w:space="0"/>
              <w:bottom w:val="single" w:color="auto" w:sz="4" w:space="0"/>
              <w:right w:val="single" w:color="auto" w:sz="4" w:space="0"/>
            </w:tcBorders>
            <w:vAlign w:val="center"/>
          </w:tcPr>
          <w:p w14:paraId="6EE60DB5">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5158AC1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75D1ADDC">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080" w:type="dxa"/>
            <w:vMerge w:val="restart"/>
            <w:tcBorders>
              <w:top w:val="single" w:color="auto" w:sz="4" w:space="0"/>
              <w:left w:val="single" w:color="auto" w:sz="4" w:space="0"/>
              <w:bottom w:val="single" w:color="auto" w:sz="4" w:space="0"/>
              <w:right w:val="single" w:color="auto" w:sz="4" w:space="0"/>
            </w:tcBorders>
            <w:vAlign w:val="center"/>
          </w:tcPr>
          <w:p w14:paraId="38B5FAFB">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证明材料（合同/中标通知书）</w:t>
            </w:r>
          </w:p>
        </w:tc>
      </w:tr>
      <w:tr w14:paraId="4CC96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5" w:hRule="atLeast"/>
        </w:trPr>
        <w:tc>
          <w:tcPr>
            <w:tcW w:w="2410" w:type="dxa"/>
            <w:vMerge w:val="continue"/>
            <w:tcBorders>
              <w:top w:val="single" w:color="auto" w:sz="4" w:space="0"/>
              <w:left w:val="single" w:color="auto" w:sz="4" w:space="0"/>
              <w:bottom w:val="single" w:color="auto" w:sz="4" w:space="0"/>
              <w:right w:val="single" w:color="auto" w:sz="4" w:space="0"/>
            </w:tcBorders>
            <w:vAlign w:val="center"/>
          </w:tcPr>
          <w:p w14:paraId="545B529E">
            <w:pPr>
              <w:jc w:val="left"/>
              <w:rPr>
                <w:rFonts w:ascii="宋体" w:hAnsi="宋体" w:cs="宋体"/>
                <w:color w:val="auto"/>
                <w:szCs w:val="21"/>
                <w:highlight w:val="none"/>
              </w:rPr>
            </w:pPr>
          </w:p>
        </w:tc>
        <w:tc>
          <w:tcPr>
            <w:tcW w:w="2712" w:type="dxa"/>
            <w:vMerge w:val="continue"/>
            <w:tcBorders>
              <w:top w:val="single" w:color="auto" w:sz="4" w:space="0"/>
              <w:left w:val="single" w:color="auto" w:sz="4" w:space="0"/>
              <w:bottom w:val="single" w:color="auto" w:sz="4" w:space="0"/>
              <w:right w:val="single" w:color="auto" w:sz="4" w:space="0"/>
            </w:tcBorders>
            <w:vAlign w:val="center"/>
          </w:tcPr>
          <w:p w14:paraId="0B26322A">
            <w:pPr>
              <w:jc w:val="left"/>
              <w:rPr>
                <w:rFonts w:ascii="宋体" w:hAnsi="宋体" w:cs="宋体"/>
                <w:color w:val="auto"/>
                <w:szCs w:val="21"/>
                <w:highlight w:val="none"/>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14:paraId="1C04ACD2">
            <w:pPr>
              <w:jc w:val="left"/>
              <w:rPr>
                <w:rFonts w:ascii="宋体" w:hAnsi="宋体" w:cs="宋体"/>
                <w:color w:val="auto"/>
                <w:szCs w:val="21"/>
                <w:highlight w:val="none"/>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2D8BCD94">
            <w:pPr>
              <w:jc w:val="left"/>
              <w:rPr>
                <w:rFonts w:ascii="宋体" w:hAnsi="宋体" w:cs="宋体"/>
                <w:color w:val="auto"/>
                <w:szCs w:val="21"/>
                <w:highlight w:val="none"/>
              </w:rPr>
            </w:pPr>
          </w:p>
        </w:tc>
      </w:tr>
      <w:tr w14:paraId="36C60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410" w:type="dxa"/>
            <w:tcBorders>
              <w:top w:val="single" w:color="auto" w:sz="4" w:space="0"/>
              <w:left w:val="single" w:color="auto" w:sz="4" w:space="0"/>
              <w:bottom w:val="single" w:color="auto" w:sz="4" w:space="0"/>
              <w:right w:val="single" w:color="auto" w:sz="4" w:space="0"/>
            </w:tcBorders>
          </w:tcPr>
          <w:p w14:paraId="1FC715A3">
            <w:pPr>
              <w:snapToGrid w:val="0"/>
              <w:spacing w:line="24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657C3B95">
            <w:pPr>
              <w:snapToGrid w:val="0"/>
              <w:spacing w:line="24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0A8F58BF">
            <w:pPr>
              <w:snapToGrid w:val="0"/>
              <w:spacing w:line="24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099FAB10">
            <w:pPr>
              <w:snapToGrid w:val="0"/>
              <w:spacing w:line="240" w:lineRule="exact"/>
              <w:jc w:val="left"/>
              <w:rPr>
                <w:rFonts w:ascii="宋体" w:hAnsi="宋体" w:cs="宋体"/>
                <w:color w:val="auto"/>
                <w:szCs w:val="21"/>
                <w:highlight w:val="none"/>
              </w:rPr>
            </w:pPr>
          </w:p>
        </w:tc>
      </w:tr>
      <w:tr w14:paraId="1CC24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410" w:type="dxa"/>
            <w:tcBorders>
              <w:top w:val="single" w:color="auto" w:sz="4" w:space="0"/>
              <w:left w:val="single" w:color="auto" w:sz="4" w:space="0"/>
              <w:bottom w:val="single" w:color="auto" w:sz="4" w:space="0"/>
              <w:right w:val="single" w:color="auto" w:sz="4" w:space="0"/>
            </w:tcBorders>
          </w:tcPr>
          <w:p w14:paraId="0F88C1BF">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3CAD7067">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38CA1435">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4C32A20F">
            <w:pPr>
              <w:snapToGrid w:val="0"/>
              <w:spacing w:before="50" w:after="120" w:afterLines="50" w:line="400" w:lineRule="exact"/>
              <w:jc w:val="left"/>
              <w:rPr>
                <w:rFonts w:ascii="宋体" w:hAnsi="宋体" w:cs="宋体"/>
                <w:color w:val="auto"/>
                <w:szCs w:val="21"/>
                <w:highlight w:val="none"/>
              </w:rPr>
            </w:pPr>
          </w:p>
        </w:tc>
      </w:tr>
      <w:tr w14:paraId="22232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2410" w:type="dxa"/>
            <w:tcBorders>
              <w:top w:val="single" w:color="auto" w:sz="4" w:space="0"/>
              <w:left w:val="single" w:color="auto" w:sz="4" w:space="0"/>
              <w:bottom w:val="single" w:color="auto" w:sz="4" w:space="0"/>
              <w:right w:val="single" w:color="auto" w:sz="4" w:space="0"/>
            </w:tcBorders>
          </w:tcPr>
          <w:p w14:paraId="0952FDE2">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7719C6B9">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339A1067">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25B83776">
            <w:pPr>
              <w:snapToGrid w:val="0"/>
              <w:spacing w:before="50" w:after="120" w:afterLines="50" w:line="400" w:lineRule="exact"/>
              <w:jc w:val="left"/>
              <w:rPr>
                <w:rFonts w:ascii="宋体" w:hAnsi="宋体" w:cs="宋体"/>
                <w:color w:val="auto"/>
                <w:szCs w:val="21"/>
                <w:highlight w:val="none"/>
              </w:rPr>
            </w:pPr>
          </w:p>
        </w:tc>
      </w:tr>
      <w:tr w14:paraId="24885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410" w:type="dxa"/>
            <w:tcBorders>
              <w:top w:val="single" w:color="auto" w:sz="4" w:space="0"/>
              <w:left w:val="single" w:color="auto" w:sz="4" w:space="0"/>
              <w:bottom w:val="single" w:color="auto" w:sz="4" w:space="0"/>
              <w:right w:val="single" w:color="auto" w:sz="4" w:space="0"/>
            </w:tcBorders>
          </w:tcPr>
          <w:p w14:paraId="47822EA8">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0599F973">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00971A7C">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398058B9">
            <w:pPr>
              <w:snapToGrid w:val="0"/>
              <w:spacing w:before="50" w:after="120" w:afterLines="50" w:line="400" w:lineRule="exact"/>
              <w:jc w:val="left"/>
              <w:rPr>
                <w:rFonts w:ascii="宋体" w:hAnsi="宋体" w:cs="宋体"/>
                <w:color w:val="auto"/>
                <w:szCs w:val="21"/>
                <w:highlight w:val="none"/>
              </w:rPr>
            </w:pPr>
          </w:p>
        </w:tc>
      </w:tr>
      <w:tr w14:paraId="10E79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0" w:type="dxa"/>
            <w:tcBorders>
              <w:top w:val="single" w:color="auto" w:sz="4" w:space="0"/>
              <w:left w:val="single" w:color="auto" w:sz="4" w:space="0"/>
              <w:bottom w:val="single" w:color="auto" w:sz="4" w:space="0"/>
              <w:right w:val="single" w:color="auto" w:sz="4" w:space="0"/>
            </w:tcBorders>
          </w:tcPr>
          <w:p w14:paraId="0BD681D1">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0D371A59">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2AD17D31">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30B76E62">
            <w:pPr>
              <w:snapToGrid w:val="0"/>
              <w:spacing w:before="50" w:after="120" w:afterLines="50" w:line="400" w:lineRule="exact"/>
              <w:jc w:val="left"/>
              <w:rPr>
                <w:rFonts w:ascii="宋体" w:hAnsi="宋体" w:cs="宋体"/>
                <w:color w:val="auto"/>
                <w:szCs w:val="21"/>
                <w:highlight w:val="none"/>
              </w:rPr>
            </w:pPr>
          </w:p>
        </w:tc>
      </w:tr>
    </w:tbl>
    <w:p w14:paraId="47778FC9">
      <w:pPr>
        <w:pStyle w:val="16"/>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注：如本表格不适合投标人的实际情况，可根据本表格式自行制表填写</w:t>
      </w:r>
    </w:p>
    <w:p w14:paraId="35DEF10E">
      <w:pPr>
        <w:pStyle w:val="26"/>
        <w:spacing w:line="360" w:lineRule="auto"/>
        <w:rPr>
          <w:rFonts w:hAnsi="宋体" w:cs="宋体"/>
          <w:color w:val="auto"/>
          <w:sz w:val="21"/>
          <w:highlight w:val="none"/>
          <w:u w:val="single"/>
        </w:rPr>
      </w:pPr>
      <w:r>
        <w:rPr>
          <w:rFonts w:hint="eastAsia" w:hAnsi="宋体" w:cs="宋体"/>
          <w:color w:val="auto"/>
          <w:sz w:val="21"/>
          <w:highlight w:val="none"/>
        </w:rPr>
        <w:t>法定代表人或者委托代理人签字[或盖章(CA签章)]（属自然人的应在签名处加盖大拇指指印或个人CA签章）：</w:t>
      </w:r>
      <w:r>
        <w:rPr>
          <w:rFonts w:hint="eastAsia" w:hAnsi="宋体" w:cs="宋体"/>
          <w:color w:val="auto"/>
          <w:sz w:val="21"/>
          <w:highlight w:val="none"/>
          <w:u w:val="single"/>
        </w:rPr>
        <w:t>　　　　　</w:t>
      </w:r>
    </w:p>
    <w:p w14:paraId="7E8406E6">
      <w:pPr>
        <w:snapToGrid w:val="0"/>
        <w:spacing w:before="50" w:line="360" w:lineRule="auto"/>
        <w:ind w:right="480"/>
        <w:jc w:val="left"/>
        <w:rPr>
          <w:rFonts w:ascii="宋体" w:hAnsi="宋体" w:cs="宋体"/>
          <w:color w:val="auto"/>
          <w:szCs w:val="21"/>
          <w:highlight w:val="none"/>
        </w:rPr>
      </w:pPr>
      <w:r>
        <w:rPr>
          <w:rFonts w:hint="eastAsia" w:ascii="宋体" w:hAnsi="宋体" w:cs="宋体"/>
          <w:color w:val="auto"/>
          <w:szCs w:val="21"/>
          <w:highlight w:val="none"/>
        </w:rPr>
        <w:t>投标人[公章(CA签章)、自然人除外]：        年    月    日</w:t>
      </w:r>
    </w:p>
    <w:p w14:paraId="18566C45">
      <w:pPr>
        <w:rPr>
          <w:color w:val="auto"/>
          <w:highlight w:val="none"/>
        </w:rPr>
      </w:pPr>
    </w:p>
    <w:p w14:paraId="593079CA">
      <w:pPr>
        <w:rPr>
          <w:color w:val="auto"/>
          <w:highlight w:val="none"/>
        </w:rPr>
      </w:pPr>
    </w:p>
    <w:p w14:paraId="20A77EBA">
      <w:pPr>
        <w:rPr>
          <w:color w:val="auto"/>
          <w:highlight w:val="none"/>
        </w:rPr>
      </w:pPr>
    </w:p>
    <w:p w14:paraId="793F265A">
      <w:pPr>
        <w:rPr>
          <w:color w:val="auto"/>
          <w:highlight w:val="none"/>
        </w:rPr>
      </w:pPr>
      <w:r>
        <w:rPr>
          <w:rFonts w:hint="eastAsia"/>
          <w:color w:val="auto"/>
          <w:highlight w:val="none"/>
        </w:rPr>
        <w:br w:type="page"/>
      </w:r>
    </w:p>
    <w:p w14:paraId="6EE70CC2">
      <w:pPr>
        <w:pStyle w:val="6"/>
        <w:rPr>
          <w:color w:val="auto"/>
          <w:highlight w:val="none"/>
        </w:rPr>
      </w:pPr>
      <w:r>
        <w:rPr>
          <w:rFonts w:hint="eastAsia" w:ascii="宋体" w:hAnsi="宋体" w:cs="宋体"/>
          <w:color w:val="auto"/>
          <w:szCs w:val="21"/>
          <w:highlight w:val="none"/>
        </w:rPr>
        <w:t>8</w:t>
      </w:r>
      <w:r>
        <w:rPr>
          <w:rFonts w:hint="eastAsia"/>
          <w:color w:val="auto"/>
          <w:highlight w:val="none"/>
        </w:rPr>
        <w:t>.除招标文件规定必须提供以外，投标人认为需要提供的其他证明材料（格式自拟）。</w:t>
      </w:r>
    </w:p>
    <w:p w14:paraId="63ABA08A">
      <w:pPr>
        <w:pStyle w:val="16"/>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投标人根据“第二章 采购需求”及“第四章 评标方法及评标标准”提供有关证明材料（如有时）</w:t>
      </w:r>
    </w:p>
    <w:p w14:paraId="70C38822">
      <w:pPr>
        <w:rPr>
          <w:color w:val="auto"/>
          <w:highlight w:val="none"/>
        </w:rPr>
      </w:pPr>
    </w:p>
    <w:p w14:paraId="212352DF">
      <w:pPr>
        <w:rPr>
          <w:color w:val="auto"/>
          <w:highlight w:val="none"/>
        </w:rPr>
        <w:sectPr>
          <w:pgSz w:w="11906" w:h="16838"/>
          <w:pgMar w:top="1417" w:right="1417" w:bottom="1417" w:left="1417" w:header="851" w:footer="992" w:gutter="0"/>
          <w:cols w:space="720" w:num="1"/>
          <w:docGrid w:linePitch="312" w:charSpace="0"/>
        </w:sectPr>
      </w:pPr>
    </w:p>
    <w:p w14:paraId="6C938CB2">
      <w:pPr>
        <w:rPr>
          <w:color w:val="auto"/>
          <w:highlight w:val="none"/>
        </w:rPr>
      </w:pPr>
      <w:bookmarkStart w:id="240" w:name="_Toc19686839"/>
    </w:p>
    <w:p w14:paraId="5C82AE5B">
      <w:pPr>
        <w:rPr>
          <w:color w:val="auto"/>
          <w:highlight w:val="none"/>
        </w:rPr>
      </w:pPr>
    </w:p>
    <w:p w14:paraId="7EF9336B">
      <w:pPr>
        <w:rPr>
          <w:color w:val="auto"/>
          <w:highlight w:val="none"/>
        </w:rPr>
      </w:pPr>
    </w:p>
    <w:p w14:paraId="05864FE2">
      <w:pPr>
        <w:rPr>
          <w:color w:val="auto"/>
          <w:highlight w:val="none"/>
        </w:rPr>
      </w:pPr>
    </w:p>
    <w:p w14:paraId="308A8E09">
      <w:pPr>
        <w:rPr>
          <w:color w:val="auto"/>
          <w:highlight w:val="none"/>
        </w:rPr>
      </w:pPr>
    </w:p>
    <w:p w14:paraId="402BD04E">
      <w:pPr>
        <w:rPr>
          <w:color w:val="auto"/>
          <w:highlight w:val="none"/>
        </w:rPr>
      </w:pPr>
    </w:p>
    <w:p w14:paraId="589824CF">
      <w:pPr>
        <w:rPr>
          <w:color w:val="auto"/>
          <w:highlight w:val="none"/>
        </w:rPr>
      </w:pPr>
    </w:p>
    <w:p w14:paraId="1A58A692">
      <w:pPr>
        <w:rPr>
          <w:color w:val="auto"/>
          <w:highlight w:val="none"/>
        </w:rPr>
      </w:pPr>
    </w:p>
    <w:p w14:paraId="226D7E46">
      <w:pPr>
        <w:rPr>
          <w:color w:val="auto"/>
          <w:highlight w:val="none"/>
        </w:rPr>
      </w:pPr>
    </w:p>
    <w:p w14:paraId="3772C924">
      <w:pPr>
        <w:rPr>
          <w:color w:val="auto"/>
          <w:highlight w:val="none"/>
        </w:rPr>
      </w:pPr>
    </w:p>
    <w:p w14:paraId="668EC3DF">
      <w:pPr>
        <w:rPr>
          <w:color w:val="auto"/>
          <w:highlight w:val="none"/>
        </w:rPr>
      </w:pPr>
    </w:p>
    <w:p w14:paraId="4E98DDE4">
      <w:pPr>
        <w:rPr>
          <w:color w:val="auto"/>
          <w:highlight w:val="none"/>
        </w:rPr>
      </w:pPr>
    </w:p>
    <w:p w14:paraId="4E0A8AF7">
      <w:pPr>
        <w:rPr>
          <w:color w:val="auto"/>
          <w:highlight w:val="none"/>
        </w:rPr>
      </w:pPr>
    </w:p>
    <w:p w14:paraId="271D9805">
      <w:pPr>
        <w:rPr>
          <w:color w:val="auto"/>
          <w:highlight w:val="none"/>
        </w:rPr>
      </w:pPr>
    </w:p>
    <w:p w14:paraId="0776ABCF">
      <w:pPr>
        <w:rPr>
          <w:color w:val="auto"/>
          <w:highlight w:val="none"/>
        </w:rPr>
      </w:pPr>
    </w:p>
    <w:p w14:paraId="736EB58D">
      <w:pPr>
        <w:rPr>
          <w:color w:val="auto"/>
          <w:highlight w:val="none"/>
        </w:rPr>
      </w:pPr>
    </w:p>
    <w:p w14:paraId="1ADEB656">
      <w:pPr>
        <w:rPr>
          <w:color w:val="auto"/>
          <w:highlight w:val="none"/>
        </w:rPr>
      </w:pPr>
    </w:p>
    <w:p w14:paraId="2294D4E4">
      <w:pPr>
        <w:rPr>
          <w:color w:val="auto"/>
          <w:highlight w:val="none"/>
        </w:rPr>
      </w:pPr>
    </w:p>
    <w:p w14:paraId="45F58911">
      <w:pPr>
        <w:rPr>
          <w:color w:val="auto"/>
          <w:highlight w:val="none"/>
        </w:rPr>
      </w:pPr>
    </w:p>
    <w:p w14:paraId="603CC3F0">
      <w:pPr>
        <w:rPr>
          <w:color w:val="auto"/>
          <w:highlight w:val="none"/>
        </w:rPr>
      </w:pPr>
    </w:p>
    <w:p w14:paraId="4E95C9EB">
      <w:pPr>
        <w:rPr>
          <w:color w:val="auto"/>
          <w:highlight w:val="none"/>
        </w:rPr>
      </w:pPr>
    </w:p>
    <w:p w14:paraId="416896FD">
      <w:pPr>
        <w:pStyle w:val="5"/>
        <w:rPr>
          <w:color w:val="auto"/>
          <w:highlight w:val="none"/>
        </w:rPr>
      </w:pPr>
      <w:r>
        <w:rPr>
          <w:rFonts w:hint="eastAsia"/>
          <w:color w:val="auto"/>
          <w:highlight w:val="none"/>
        </w:rPr>
        <w:t>（二）技术文件</w:t>
      </w:r>
      <w:bookmarkEnd w:id="240"/>
    </w:p>
    <w:p w14:paraId="3F462F15">
      <w:pPr>
        <w:pStyle w:val="6"/>
        <w:rPr>
          <w:rFonts w:ascii="宋体" w:hAnsi="宋体" w:cs="宋体"/>
          <w:bCs/>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w:t>
      </w:r>
      <w:r>
        <w:rPr>
          <w:rFonts w:hint="eastAsia" w:ascii="宋体" w:hAnsi="宋体" w:cs="宋体"/>
          <w:bCs/>
          <w:color w:val="auto"/>
          <w:sz w:val="24"/>
          <w:highlight w:val="none"/>
        </w:rPr>
        <w:t>. 技术文件目录</w:t>
      </w:r>
    </w:p>
    <w:p w14:paraId="44D0D1B1">
      <w:pPr>
        <w:snapToGrid w:val="0"/>
        <w:spacing w:before="50" w:after="120" w:afterLines="50" w:line="280" w:lineRule="exact"/>
        <w:ind w:left="283" w:leftChars="135"/>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F1F1DD9">
      <w:pPr>
        <w:pStyle w:val="6"/>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eastAsia="宋体"/>
          <w:color w:val="auto"/>
          <w:sz w:val="24"/>
          <w:highlight w:val="none"/>
        </w:rPr>
        <w:t>2.</w:t>
      </w:r>
      <w:r>
        <w:rPr>
          <w:rFonts w:hint="eastAsia" w:ascii="宋体" w:hAnsi="宋体"/>
          <w:color w:val="auto"/>
          <w:sz w:val="24"/>
          <w:highlight w:val="none"/>
          <w:lang w:val="en-US" w:eastAsia="zh-CN"/>
        </w:rPr>
        <w:t>服务需求</w:t>
      </w:r>
      <w:r>
        <w:rPr>
          <w:rFonts w:hint="eastAsia" w:ascii="宋体" w:hAnsi="宋体" w:cs="宋体"/>
          <w:color w:val="auto"/>
          <w:sz w:val="24"/>
          <w:highlight w:val="none"/>
        </w:rPr>
        <w:t>偏离表（格式）</w:t>
      </w:r>
    </w:p>
    <w:p w14:paraId="039C0009">
      <w:pPr>
        <w:snapToGrid w:val="0"/>
        <w:spacing w:before="120" w:beforeLines="50" w:after="50"/>
        <w:ind w:left="142"/>
        <w:jc w:val="left"/>
        <w:rPr>
          <w:rFonts w:ascii="宋体" w:hAnsi="宋体" w:cs="宋体"/>
          <w:b/>
          <w:color w:val="auto"/>
          <w:sz w:val="24"/>
          <w:highlight w:val="none"/>
        </w:rPr>
      </w:pPr>
    </w:p>
    <w:p w14:paraId="0D8DA8FE">
      <w:pPr>
        <w:snapToGrid w:val="0"/>
        <w:spacing w:before="120" w:beforeLines="50" w:after="50"/>
        <w:ind w:left="142"/>
        <w:jc w:val="center"/>
        <w:rPr>
          <w:rFonts w:ascii="宋体" w:hAnsi="宋体" w:cs="宋体"/>
          <w:b/>
          <w:color w:val="auto"/>
          <w:sz w:val="32"/>
          <w:szCs w:val="32"/>
          <w:highlight w:val="none"/>
        </w:rPr>
      </w:pPr>
      <w:r>
        <w:rPr>
          <w:rFonts w:hint="eastAsia" w:ascii="宋体" w:hAnsi="宋体"/>
          <w:b/>
          <w:color w:val="auto"/>
          <w:sz w:val="32"/>
          <w:szCs w:val="32"/>
          <w:highlight w:val="none"/>
        </w:rPr>
        <w:t>服务需求</w:t>
      </w:r>
      <w:r>
        <w:rPr>
          <w:rFonts w:hint="eastAsia" w:ascii="宋体" w:hAnsi="宋体" w:cs="宋体"/>
          <w:b/>
          <w:color w:val="auto"/>
          <w:sz w:val="32"/>
          <w:szCs w:val="32"/>
          <w:highlight w:val="none"/>
        </w:rPr>
        <w:t>偏离表</w:t>
      </w:r>
    </w:p>
    <w:tbl>
      <w:tblPr>
        <w:tblStyle w:val="5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F5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A3EE423">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vAlign w:val="center"/>
          </w:tcPr>
          <w:p w14:paraId="0070849E">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1834" w:type="dxa"/>
            <w:vAlign w:val="center"/>
          </w:tcPr>
          <w:p w14:paraId="3798DEF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招标要求</w:t>
            </w:r>
          </w:p>
        </w:tc>
        <w:tc>
          <w:tcPr>
            <w:tcW w:w="2181" w:type="dxa"/>
            <w:vAlign w:val="center"/>
          </w:tcPr>
          <w:p w14:paraId="539B098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19F7F44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0EC0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D5BA54D">
            <w:pPr>
              <w:pStyle w:val="26"/>
              <w:spacing w:line="600" w:lineRule="exact"/>
              <w:jc w:val="center"/>
              <w:rPr>
                <w:rFonts w:hAnsi="宋体" w:cs="宋体"/>
                <w:color w:val="auto"/>
                <w:kern w:val="2"/>
                <w:sz w:val="24"/>
                <w:szCs w:val="24"/>
                <w:highlight w:val="none"/>
              </w:rPr>
            </w:pPr>
          </w:p>
        </w:tc>
        <w:tc>
          <w:tcPr>
            <w:tcW w:w="2143" w:type="dxa"/>
            <w:vAlign w:val="center"/>
          </w:tcPr>
          <w:p w14:paraId="27C88AAE">
            <w:pPr>
              <w:pStyle w:val="26"/>
              <w:spacing w:line="600" w:lineRule="exact"/>
              <w:jc w:val="center"/>
              <w:rPr>
                <w:rFonts w:hAnsi="宋体" w:cs="宋体"/>
                <w:color w:val="auto"/>
                <w:kern w:val="2"/>
                <w:sz w:val="24"/>
                <w:szCs w:val="24"/>
                <w:highlight w:val="none"/>
              </w:rPr>
            </w:pPr>
          </w:p>
        </w:tc>
        <w:tc>
          <w:tcPr>
            <w:tcW w:w="1834" w:type="dxa"/>
            <w:vAlign w:val="center"/>
          </w:tcPr>
          <w:p w14:paraId="5B9354E3">
            <w:pPr>
              <w:pStyle w:val="26"/>
              <w:spacing w:line="600" w:lineRule="exact"/>
              <w:jc w:val="center"/>
              <w:rPr>
                <w:rFonts w:hAnsi="宋体" w:cs="宋体"/>
                <w:color w:val="auto"/>
                <w:kern w:val="2"/>
                <w:sz w:val="24"/>
                <w:szCs w:val="24"/>
                <w:highlight w:val="none"/>
              </w:rPr>
            </w:pPr>
          </w:p>
        </w:tc>
        <w:tc>
          <w:tcPr>
            <w:tcW w:w="2181" w:type="dxa"/>
            <w:vAlign w:val="center"/>
          </w:tcPr>
          <w:p w14:paraId="4DFC2C6A">
            <w:pPr>
              <w:pStyle w:val="26"/>
              <w:spacing w:line="600" w:lineRule="exact"/>
              <w:jc w:val="center"/>
              <w:rPr>
                <w:rFonts w:hAnsi="宋体" w:cs="宋体"/>
                <w:color w:val="auto"/>
                <w:kern w:val="2"/>
                <w:sz w:val="24"/>
                <w:szCs w:val="24"/>
                <w:highlight w:val="none"/>
              </w:rPr>
            </w:pPr>
          </w:p>
        </w:tc>
        <w:tc>
          <w:tcPr>
            <w:tcW w:w="1934" w:type="dxa"/>
            <w:vAlign w:val="center"/>
          </w:tcPr>
          <w:p w14:paraId="1CB7D0E8">
            <w:pPr>
              <w:pStyle w:val="26"/>
              <w:spacing w:line="600" w:lineRule="exact"/>
              <w:jc w:val="center"/>
              <w:rPr>
                <w:rFonts w:hAnsi="宋体" w:cs="宋体"/>
                <w:color w:val="auto"/>
                <w:kern w:val="2"/>
                <w:sz w:val="24"/>
                <w:szCs w:val="24"/>
                <w:highlight w:val="none"/>
              </w:rPr>
            </w:pPr>
          </w:p>
        </w:tc>
      </w:tr>
      <w:tr w14:paraId="105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164FD0B">
            <w:pPr>
              <w:pStyle w:val="26"/>
              <w:spacing w:line="600" w:lineRule="exact"/>
              <w:rPr>
                <w:rFonts w:hAnsi="宋体" w:cs="宋体"/>
                <w:color w:val="auto"/>
                <w:kern w:val="2"/>
                <w:sz w:val="24"/>
                <w:szCs w:val="24"/>
                <w:highlight w:val="none"/>
              </w:rPr>
            </w:pPr>
          </w:p>
        </w:tc>
        <w:tc>
          <w:tcPr>
            <w:tcW w:w="2143" w:type="dxa"/>
          </w:tcPr>
          <w:p w14:paraId="40D13CEB">
            <w:pPr>
              <w:pStyle w:val="26"/>
              <w:spacing w:line="600" w:lineRule="exact"/>
              <w:rPr>
                <w:rFonts w:hAnsi="宋体" w:cs="宋体"/>
                <w:color w:val="auto"/>
                <w:kern w:val="2"/>
                <w:sz w:val="24"/>
                <w:szCs w:val="24"/>
                <w:highlight w:val="none"/>
              </w:rPr>
            </w:pPr>
          </w:p>
        </w:tc>
        <w:tc>
          <w:tcPr>
            <w:tcW w:w="1834" w:type="dxa"/>
          </w:tcPr>
          <w:p w14:paraId="7168C4FC">
            <w:pPr>
              <w:pStyle w:val="26"/>
              <w:spacing w:line="600" w:lineRule="exact"/>
              <w:rPr>
                <w:rFonts w:hAnsi="宋体" w:cs="宋体"/>
                <w:color w:val="auto"/>
                <w:kern w:val="2"/>
                <w:sz w:val="24"/>
                <w:szCs w:val="24"/>
                <w:highlight w:val="none"/>
              </w:rPr>
            </w:pPr>
          </w:p>
        </w:tc>
        <w:tc>
          <w:tcPr>
            <w:tcW w:w="2181" w:type="dxa"/>
          </w:tcPr>
          <w:p w14:paraId="62FF0C98">
            <w:pPr>
              <w:pStyle w:val="26"/>
              <w:spacing w:line="600" w:lineRule="exact"/>
              <w:rPr>
                <w:rFonts w:hAnsi="宋体" w:cs="宋体"/>
                <w:color w:val="auto"/>
                <w:kern w:val="2"/>
                <w:sz w:val="24"/>
                <w:szCs w:val="24"/>
                <w:highlight w:val="none"/>
              </w:rPr>
            </w:pPr>
          </w:p>
        </w:tc>
        <w:tc>
          <w:tcPr>
            <w:tcW w:w="1934" w:type="dxa"/>
          </w:tcPr>
          <w:p w14:paraId="1773BB6F">
            <w:pPr>
              <w:pStyle w:val="26"/>
              <w:spacing w:line="600" w:lineRule="exact"/>
              <w:rPr>
                <w:rFonts w:hAnsi="宋体" w:cs="宋体"/>
                <w:color w:val="auto"/>
                <w:kern w:val="2"/>
                <w:sz w:val="24"/>
                <w:szCs w:val="24"/>
                <w:highlight w:val="none"/>
              </w:rPr>
            </w:pPr>
          </w:p>
        </w:tc>
      </w:tr>
      <w:tr w14:paraId="24DB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7CD9712">
            <w:pPr>
              <w:pStyle w:val="26"/>
              <w:spacing w:line="600" w:lineRule="exact"/>
              <w:rPr>
                <w:rFonts w:hAnsi="宋体" w:cs="宋体"/>
                <w:color w:val="auto"/>
                <w:kern w:val="2"/>
                <w:sz w:val="24"/>
                <w:szCs w:val="24"/>
                <w:highlight w:val="none"/>
              </w:rPr>
            </w:pPr>
          </w:p>
        </w:tc>
        <w:tc>
          <w:tcPr>
            <w:tcW w:w="2143" w:type="dxa"/>
          </w:tcPr>
          <w:p w14:paraId="45EC9D14">
            <w:pPr>
              <w:pStyle w:val="26"/>
              <w:spacing w:line="600" w:lineRule="exact"/>
              <w:rPr>
                <w:rFonts w:hAnsi="宋体" w:cs="宋体"/>
                <w:color w:val="auto"/>
                <w:kern w:val="2"/>
                <w:sz w:val="24"/>
                <w:szCs w:val="24"/>
                <w:highlight w:val="none"/>
              </w:rPr>
            </w:pPr>
          </w:p>
        </w:tc>
        <w:tc>
          <w:tcPr>
            <w:tcW w:w="1834" w:type="dxa"/>
          </w:tcPr>
          <w:p w14:paraId="0B297C3C">
            <w:pPr>
              <w:pStyle w:val="26"/>
              <w:spacing w:line="600" w:lineRule="exact"/>
              <w:rPr>
                <w:rFonts w:hAnsi="宋体" w:cs="宋体"/>
                <w:color w:val="auto"/>
                <w:kern w:val="2"/>
                <w:sz w:val="24"/>
                <w:szCs w:val="24"/>
                <w:highlight w:val="none"/>
              </w:rPr>
            </w:pPr>
          </w:p>
        </w:tc>
        <w:tc>
          <w:tcPr>
            <w:tcW w:w="2181" w:type="dxa"/>
          </w:tcPr>
          <w:p w14:paraId="27F86D32">
            <w:pPr>
              <w:pStyle w:val="26"/>
              <w:spacing w:line="600" w:lineRule="exact"/>
              <w:rPr>
                <w:rFonts w:hAnsi="宋体" w:cs="宋体"/>
                <w:color w:val="auto"/>
                <w:kern w:val="2"/>
                <w:sz w:val="24"/>
                <w:szCs w:val="24"/>
                <w:highlight w:val="none"/>
              </w:rPr>
            </w:pPr>
          </w:p>
        </w:tc>
        <w:tc>
          <w:tcPr>
            <w:tcW w:w="1934" w:type="dxa"/>
          </w:tcPr>
          <w:p w14:paraId="6511C531">
            <w:pPr>
              <w:pStyle w:val="26"/>
              <w:spacing w:line="600" w:lineRule="exact"/>
              <w:rPr>
                <w:rFonts w:hAnsi="宋体" w:cs="宋体"/>
                <w:color w:val="auto"/>
                <w:kern w:val="2"/>
                <w:sz w:val="24"/>
                <w:szCs w:val="24"/>
                <w:highlight w:val="none"/>
              </w:rPr>
            </w:pPr>
          </w:p>
        </w:tc>
      </w:tr>
      <w:tr w14:paraId="775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4E430E">
            <w:pPr>
              <w:pStyle w:val="26"/>
              <w:spacing w:line="600" w:lineRule="exact"/>
              <w:rPr>
                <w:rFonts w:hAnsi="宋体" w:cs="宋体"/>
                <w:color w:val="auto"/>
                <w:kern w:val="2"/>
                <w:sz w:val="24"/>
                <w:szCs w:val="24"/>
                <w:highlight w:val="none"/>
              </w:rPr>
            </w:pPr>
          </w:p>
        </w:tc>
        <w:tc>
          <w:tcPr>
            <w:tcW w:w="2143" w:type="dxa"/>
          </w:tcPr>
          <w:p w14:paraId="29B62E33">
            <w:pPr>
              <w:pStyle w:val="26"/>
              <w:spacing w:line="600" w:lineRule="exact"/>
              <w:rPr>
                <w:rFonts w:hAnsi="宋体" w:cs="宋体"/>
                <w:color w:val="auto"/>
                <w:kern w:val="2"/>
                <w:sz w:val="24"/>
                <w:szCs w:val="24"/>
                <w:highlight w:val="none"/>
              </w:rPr>
            </w:pPr>
          </w:p>
        </w:tc>
        <w:tc>
          <w:tcPr>
            <w:tcW w:w="1834" w:type="dxa"/>
          </w:tcPr>
          <w:p w14:paraId="1163F30B">
            <w:pPr>
              <w:pStyle w:val="26"/>
              <w:spacing w:line="600" w:lineRule="exact"/>
              <w:rPr>
                <w:rFonts w:hAnsi="宋体" w:cs="宋体"/>
                <w:color w:val="auto"/>
                <w:kern w:val="2"/>
                <w:sz w:val="24"/>
                <w:szCs w:val="24"/>
                <w:highlight w:val="none"/>
              </w:rPr>
            </w:pPr>
          </w:p>
        </w:tc>
        <w:tc>
          <w:tcPr>
            <w:tcW w:w="2181" w:type="dxa"/>
          </w:tcPr>
          <w:p w14:paraId="1B3889EF">
            <w:pPr>
              <w:pStyle w:val="26"/>
              <w:spacing w:line="600" w:lineRule="exact"/>
              <w:rPr>
                <w:rFonts w:hAnsi="宋体" w:cs="宋体"/>
                <w:color w:val="auto"/>
                <w:kern w:val="2"/>
                <w:sz w:val="24"/>
                <w:szCs w:val="24"/>
                <w:highlight w:val="none"/>
              </w:rPr>
            </w:pPr>
          </w:p>
        </w:tc>
        <w:tc>
          <w:tcPr>
            <w:tcW w:w="1934" w:type="dxa"/>
          </w:tcPr>
          <w:p w14:paraId="0295EBA6">
            <w:pPr>
              <w:pStyle w:val="26"/>
              <w:spacing w:line="600" w:lineRule="exact"/>
              <w:rPr>
                <w:rFonts w:hAnsi="宋体" w:cs="宋体"/>
                <w:color w:val="auto"/>
                <w:kern w:val="2"/>
                <w:sz w:val="24"/>
                <w:szCs w:val="24"/>
                <w:highlight w:val="none"/>
              </w:rPr>
            </w:pPr>
          </w:p>
        </w:tc>
      </w:tr>
      <w:tr w14:paraId="31CD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1A71DF9">
            <w:pPr>
              <w:pStyle w:val="26"/>
              <w:spacing w:line="600" w:lineRule="exact"/>
              <w:rPr>
                <w:rFonts w:hAnsi="宋体" w:cs="宋体"/>
                <w:color w:val="auto"/>
                <w:kern w:val="2"/>
                <w:sz w:val="24"/>
                <w:szCs w:val="24"/>
                <w:highlight w:val="none"/>
              </w:rPr>
            </w:pPr>
          </w:p>
        </w:tc>
        <w:tc>
          <w:tcPr>
            <w:tcW w:w="2143" w:type="dxa"/>
          </w:tcPr>
          <w:p w14:paraId="0E36C17C">
            <w:pPr>
              <w:pStyle w:val="26"/>
              <w:spacing w:line="600" w:lineRule="exact"/>
              <w:rPr>
                <w:rFonts w:hAnsi="宋体" w:cs="宋体"/>
                <w:color w:val="auto"/>
                <w:kern w:val="2"/>
                <w:sz w:val="24"/>
                <w:szCs w:val="24"/>
                <w:highlight w:val="none"/>
              </w:rPr>
            </w:pPr>
          </w:p>
        </w:tc>
        <w:tc>
          <w:tcPr>
            <w:tcW w:w="1834" w:type="dxa"/>
          </w:tcPr>
          <w:p w14:paraId="7BF954A0">
            <w:pPr>
              <w:pStyle w:val="26"/>
              <w:spacing w:line="600" w:lineRule="exact"/>
              <w:rPr>
                <w:rFonts w:hAnsi="宋体" w:cs="宋体"/>
                <w:color w:val="auto"/>
                <w:kern w:val="2"/>
                <w:sz w:val="24"/>
                <w:szCs w:val="24"/>
                <w:highlight w:val="none"/>
              </w:rPr>
            </w:pPr>
          </w:p>
        </w:tc>
        <w:tc>
          <w:tcPr>
            <w:tcW w:w="2181" w:type="dxa"/>
          </w:tcPr>
          <w:p w14:paraId="35FE2602">
            <w:pPr>
              <w:pStyle w:val="26"/>
              <w:spacing w:line="600" w:lineRule="exact"/>
              <w:rPr>
                <w:rFonts w:hAnsi="宋体" w:cs="宋体"/>
                <w:color w:val="auto"/>
                <w:kern w:val="2"/>
                <w:sz w:val="24"/>
                <w:szCs w:val="24"/>
                <w:highlight w:val="none"/>
              </w:rPr>
            </w:pPr>
          </w:p>
        </w:tc>
        <w:tc>
          <w:tcPr>
            <w:tcW w:w="1934" w:type="dxa"/>
          </w:tcPr>
          <w:p w14:paraId="3320F21A">
            <w:pPr>
              <w:pStyle w:val="26"/>
              <w:spacing w:line="600" w:lineRule="exact"/>
              <w:rPr>
                <w:rFonts w:hAnsi="宋体" w:cs="宋体"/>
                <w:color w:val="auto"/>
                <w:kern w:val="2"/>
                <w:sz w:val="24"/>
                <w:szCs w:val="24"/>
                <w:highlight w:val="none"/>
              </w:rPr>
            </w:pPr>
          </w:p>
        </w:tc>
      </w:tr>
      <w:tr w14:paraId="2081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5F556E">
            <w:pPr>
              <w:pStyle w:val="26"/>
              <w:spacing w:line="600" w:lineRule="exact"/>
              <w:rPr>
                <w:rFonts w:hAnsi="宋体" w:cs="宋体"/>
                <w:color w:val="auto"/>
                <w:kern w:val="2"/>
                <w:sz w:val="24"/>
                <w:szCs w:val="24"/>
                <w:highlight w:val="none"/>
              </w:rPr>
            </w:pPr>
          </w:p>
        </w:tc>
        <w:tc>
          <w:tcPr>
            <w:tcW w:w="2143" w:type="dxa"/>
          </w:tcPr>
          <w:p w14:paraId="7F0DF4B9">
            <w:pPr>
              <w:pStyle w:val="26"/>
              <w:spacing w:line="600" w:lineRule="exact"/>
              <w:rPr>
                <w:rFonts w:hAnsi="宋体" w:cs="宋体"/>
                <w:color w:val="auto"/>
                <w:kern w:val="2"/>
                <w:sz w:val="24"/>
                <w:szCs w:val="24"/>
                <w:highlight w:val="none"/>
              </w:rPr>
            </w:pPr>
          </w:p>
        </w:tc>
        <w:tc>
          <w:tcPr>
            <w:tcW w:w="1834" w:type="dxa"/>
          </w:tcPr>
          <w:p w14:paraId="4035C08F">
            <w:pPr>
              <w:pStyle w:val="26"/>
              <w:spacing w:line="600" w:lineRule="exact"/>
              <w:rPr>
                <w:rFonts w:hAnsi="宋体" w:cs="宋体"/>
                <w:color w:val="auto"/>
                <w:kern w:val="2"/>
                <w:sz w:val="24"/>
                <w:szCs w:val="24"/>
                <w:highlight w:val="none"/>
              </w:rPr>
            </w:pPr>
          </w:p>
        </w:tc>
        <w:tc>
          <w:tcPr>
            <w:tcW w:w="2181" w:type="dxa"/>
          </w:tcPr>
          <w:p w14:paraId="2BEA6689">
            <w:pPr>
              <w:pStyle w:val="26"/>
              <w:spacing w:line="600" w:lineRule="exact"/>
              <w:rPr>
                <w:rFonts w:hAnsi="宋体" w:cs="宋体"/>
                <w:color w:val="auto"/>
                <w:kern w:val="2"/>
                <w:sz w:val="24"/>
                <w:szCs w:val="24"/>
                <w:highlight w:val="none"/>
              </w:rPr>
            </w:pPr>
          </w:p>
        </w:tc>
        <w:tc>
          <w:tcPr>
            <w:tcW w:w="1934" w:type="dxa"/>
          </w:tcPr>
          <w:p w14:paraId="65286B54">
            <w:pPr>
              <w:pStyle w:val="26"/>
              <w:spacing w:line="600" w:lineRule="exact"/>
              <w:rPr>
                <w:rFonts w:hAnsi="宋体" w:cs="宋体"/>
                <w:color w:val="auto"/>
                <w:kern w:val="2"/>
                <w:sz w:val="24"/>
                <w:szCs w:val="24"/>
                <w:highlight w:val="none"/>
              </w:rPr>
            </w:pPr>
          </w:p>
        </w:tc>
      </w:tr>
      <w:tr w14:paraId="4532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01FC987">
            <w:pPr>
              <w:pStyle w:val="26"/>
              <w:spacing w:line="600" w:lineRule="exact"/>
              <w:rPr>
                <w:rFonts w:hAnsi="宋体" w:cs="宋体"/>
                <w:color w:val="auto"/>
                <w:kern w:val="2"/>
                <w:sz w:val="24"/>
                <w:szCs w:val="24"/>
                <w:highlight w:val="none"/>
              </w:rPr>
            </w:pPr>
          </w:p>
        </w:tc>
        <w:tc>
          <w:tcPr>
            <w:tcW w:w="2143" w:type="dxa"/>
          </w:tcPr>
          <w:p w14:paraId="772E8FA3">
            <w:pPr>
              <w:pStyle w:val="26"/>
              <w:spacing w:line="600" w:lineRule="exact"/>
              <w:rPr>
                <w:rFonts w:hAnsi="宋体" w:cs="宋体"/>
                <w:color w:val="auto"/>
                <w:kern w:val="2"/>
                <w:sz w:val="24"/>
                <w:szCs w:val="24"/>
                <w:highlight w:val="none"/>
              </w:rPr>
            </w:pPr>
          </w:p>
        </w:tc>
        <w:tc>
          <w:tcPr>
            <w:tcW w:w="1834" w:type="dxa"/>
          </w:tcPr>
          <w:p w14:paraId="154E0A28">
            <w:pPr>
              <w:pStyle w:val="26"/>
              <w:spacing w:line="600" w:lineRule="exact"/>
              <w:rPr>
                <w:rFonts w:hAnsi="宋体" w:cs="宋体"/>
                <w:color w:val="auto"/>
                <w:kern w:val="2"/>
                <w:sz w:val="24"/>
                <w:szCs w:val="24"/>
                <w:highlight w:val="none"/>
              </w:rPr>
            </w:pPr>
          </w:p>
        </w:tc>
        <w:tc>
          <w:tcPr>
            <w:tcW w:w="2181" w:type="dxa"/>
          </w:tcPr>
          <w:p w14:paraId="2AB03F2D">
            <w:pPr>
              <w:pStyle w:val="26"/>
              <w:spacing w:line="600" w:lineRule="exact"/>
              <w:rPr>
                <w:rFonts w:hAnsi="宋体" w:cs="宋体"/>
                <w:color w:val="auto"/>
                <w:kern w:val="2"/>
                <w:sz w:val="24"/>
                <w:szCs w:val="24"/>
                <w:highlight w:val="none"/>
              </w:rPr>
            </w:pPr>
          </w:p>
        </w:tc>
        <w:tc>
          <w:tcPr>
            <w:tcW w:w="1934" w:type="dxa"/>
          </w:tcPr>
          <w:p w14:paraId="7CCC2778">
            <w:pPr>
              <w:pStyle w:val="26"/>
              <w:spacing w:line="600" w:lineRule="exact"/>
              <w:rPr>
                <w:rFonts w:hAnsi="宋体" w:cs="宋体"/>
                <w:color w:val="auto"/>
                <w:kern w:val="2"/>
                <w:sz w:val="24"/>
                <w:szCs w:val="24"/>
                <w:highlight w:val="none"/>
              </w:rPr>
            </w:pPr>
          </w:p>
        </w:tc>
      </w:tr>
      <w:tr w14:paraId="5A58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1501602">
            <w:pPr>
              <w:pStyle w:val="26"/>
              <w:spacing w:line="600" w:lineRule="exact"/>
              <w:rPr>
                <w:rFonts w:hAnsi="宋体" w:cs="宋体"/>
                <w:color w:val="auto"/>
                <w:kern w:val="2"/>
                <w:sz w:val="24"/>
                <w:szCs w:val="24"/>
                <w:highlight w:val="none"/>
              </w:rPr>
            </w:pPr>
          </w:p>
        </w:tc>
        <w:tc>
          <w:tcPr>
            <w:tcW w:w="2143" w:type="dxa"/>
          </w:tcPr>
          <w:p w14:paraId="11281B19">
            <w:pPr>
              <w:pStyle w:val="26"/>
              <w:spacing w:line="600" w:lineRule="exact"/>
              <w:rPr>
                <w:rFonts w:hAnsi="宋体" w:cs="宋体"/>
                <w:color w:val="auto"/>
                <w:kern w:val="2"/>
                <w:sz w:val="24"/>
                <w:szCs w:val="24"/>
                <w:highlight w:val="none"/>
              </w:rPr>
            </w:pPr>
          </w:p>
        </w:tc>
        <w:tc>
          <w:tcPr>
            <w:tcW w:w="1834" w:type="dxa"/>
          </w:tcPr>
          <w:p w14:paraId="781090F6">
            <w:pPr>
              <w:pStyle w:val="26"/>
              <w:spacing w:line="600" w:lineRule="exact"/>
              <w:rPr>
                <w:rFonts w:hAnsi="宋体" w:cs="宋体"/>
                <w:color w:val="auto"/>
                <w:kern w:val="2"/>
                <w:sz w:val="24"/>
                <w:szCs w:val="24"/>
                <w:highlight w:val="none"/>
              </w:rPr>
            </w:pPr>
          </w:p>
        </w:tc>
        <w:tc>
          <w:tcPr>
            <w:tcW w:w="2181" w:type="dxa"/>
          </w:tcPr>
          <w:p w14:paraId="67585542">
            <w:pPr>
              <w:pStyle w:val="26"/>
              <w:spacing w:line="600" w:lineRule="exact"/>
              <w:rPr>
                <w:rFonts w:hAnsi="宋体" w:cs="宋体"/>
                <w:color w:val="auto"/>
                <w:kern w:val="2"/>
                <w:sz w:val="24"/>
                <w:szCs w:val="24"/>
                <w:highlight w:val="none"/>
              </w:rPr>
            </w:pPr>
          </w:p>
        </w:tc>
        <w:tc>
          <w:tcPr>
            <w:tcW w:w="1934" w:type="dxa"/>
          </w:tcPr>
          <w:p w14:paraId="346E6371">
            <w:pPr>
              <w:pStyle w:val="26"/>
              <w:spacing w:line="600" w:lineRule="exact"/>
              <w:rPr>
                <w:rFonts w:hAnsi="宋体" w:cs="宋体"/>
                <w:color w:val="auto"/>
                <w:kern w:val="2"/>
                <w:sz w:val="24"/>
                <w:szCs w:val="24"/>
                <w:highlight w:val="none"/>
              </w:rPr>
            </w:pPr>
          </w:p>
        </w:tc>
      </w:tr>
      <w:tr w14:paraId="56DD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D21D63E">
            <w:pPr>
              <w:pStyle w:val="26"/>
              <w:spacing w:line="600" w:lineRule="exact"/>
              <w:rPr>
                <w:rFonts w:hAnsi="宋体" w:cs="宋体"/>
                <w:color w:val="auto"/>
                <w:kern w:val="2"/>
                <w:sz w:val="24"/>
                <w:szCs w:val="24"/>
                <w:highlight w:val="none"/>
              </w:rPr>
            </w:pPr>
          </w:p>
        </w:tc>
        <w:tc>
          <w:tcPr>
            <w:tcW w:w="2143" w:type="dxa"/>
          </w:tcPr>
          <w:p w14:paraId="5BA45C69">
            <w:pPr>
              <w:pStyle w:val="26"/>
              <w:spacing w:line="600" w:lineRule="exact"/>
              <w:rPr>
                <w:rFonts w:hAnsi="宋体" w:cs="宋体"/>
                <w:color w:val="auto"/>
                <w:kern w:val="2"/>
                <w:sz w:val="24"/>
                <w:szCs w:val="24"/>
                <w:highlight w:val="none"/>
              </w:rPr>
            </w:pPr>
          </w:p>
        </w:tc>
        <w:tc>
          <w:tcPr>
            <w:tcW w:w="1834" w:type="dxa"/>
          </w:tcPr>
          <w:p w14:paraId="3EA003F8">
            <w:pPr>
              <w:pStyle w:val="26"/>
              <w:spacing w:line="600" w:lineRule="exact"/>
              <w:rPr>
                <w:rFonts w:hAnsi="宋体" w:cs="宋体"/>
                <w:color w:val="auto"/>
                <w:kern w:val="2"/>
                <w:sz w:val="24"/>
                <w:szCs w:val="24"/>
                <w:highlight w:val="none"/>
              </w:rPr>
            </w:pPr>
          </w:p>
        </w:tc>
        <w:tc>
          <w:tcPr>
            <w:tcW w:w="2181" w:type="dxa"/>
          </w:tcPr>
          <w:p w14:paraId="2787775D">
            <w:pPr>
              <w:pStyle w:val="26"/>
              <w:spacing w:line="600" w:lineRule="exact"/>
              <w:rPr>
                <w:rFonts w:hAnsi="宋体" w:cs="宋体"/>
                <w:color w:val="auto"/>
                <w:kern w:val="2"/>
                <w:sz w:val="24"/>
                <w:szCs w:val="24"/>
                <w:highlight w:val="none"/>
              </w:rPr>
            </w:pPr>
          </w:p>
        </w:tc>
        <w:tc>
          <w:tcPr>
            <w:tcW w:w="1934" w:type="dxa"/>
          </w:tcPr>
          <w:p w14:paraId="4D9DA87E">
            <w:pPr>
              <w:pStyle w:val="26"/>
              <w:spacing w:line="600" w:lineRule="exact"/>
              <w:rPr>
                <w:rFonts w:hAnsi="宋体" w:cs="宋体"/>
                <w:color w:val="auto"/>
                <w:kern w:val="2"/>
                <w:sz w:val="24"/>
                <w:szCs w:val="24"/>
                <w:highlight w:val="none"/>
              </w:rPr>
            </w:pPr>
          </w:p>
        </w:tc>
      </w:tr>
      <w:tr w14:paraId="2443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E1A4B5">
            <w:pPr>
              <w:pStyle w:val="26"/>
              <w:spacing w:line="600" w:lineRule="exact"/>
              <w:rPr>
                <w:rFonts w:hAnsi="宋体" w:cs="宋体"/>
                <w:color w:val="auto"/>
                <w:kern w:val="2"/>
                <w:sz w:val="24"/>
                <w:szCs w:val="24"/>
                <w:highlight w:val="none"/>
              </w:rPr>
            </w:pPr>
          </w:p>
        </w:tc>
        <w:tc>
          <w:tcPr>
            <w:tcW w:w="2143" w:type="dxa"/>
          </w:tcPr>
          <w:p w14:paraId="3C21E9A7">
            <w:pPr>
              <w:pStyle w:val="26"/>
              <w:spacing w:line="600" w:lineRule="exact"/>
              <w:rPr>
                <w:rFonts w:hAnsi="宋体" w:cs="宋体"/>
                <w:color w:val="auto"/>
                <w:kern w:val="2"/>
                <w:sz w:val="24"/>
                <w:szCs w:val="24"/>
                <w:highlight w:val="none"/>
              </w:rPr>
            </w:pPr>
          </w:p>
        </w:tc>
        <w:tc>
          <w:tcPr>
            <w:tcW w:w="1834" w:type="dxa"/>
          </w:tcPr>
          <w:p w14:paraId="0DAC4524">
            <w:pPr>
              <w:pStyle w:val="26"/>
              <w:spacing w:line="600" w:lineRule="exact"/>
              <w:rPr>
                <w:rFonts w:hAnsi="宋体" w:cs="宋体"/>
                <w:color w:val="auto"/>
                <w:kern w:val="2"/>
                <w:sz w:val="24"/>
                <w:szCs w:val="24"/>
                <w:highlight w:val="none"/>
              </w:rPr>
            </w:pPr>
          </w:p>
        </w:tc>
        <w:tc>
          <w:tcPr>
            <w:tcW w:w="2181" w:type="dxa"/>
          </w:tcPr>
          <w:p w14:paraId="05D18887">
            <w:pPr>
              <w:pStyle w:val="26"/>
              <w:spacing w:line="600" w:lineRule="exact"/>
              <w:rPr>
                <w:rFonts w:hAnsi="宋体" w:cs="宋体"/>
                <w:color w:val="auto"/>
                <w:kern w:val="2"/>
                <w:sz w:val="24"/>
                <w:szCs w:val="24"/>
                <w:highlight w:val="none"/>
              </w:rPr>
            </w:pPr>
          </w:p>
        </w:tc>
        <w:tc>
          <w:tcPr>
            <w:tcW w:w="1934" w:type="dxa"/>
          </w:tcPr>
          <w:p w14:paraId="31D73CED">
            <w:pPr>
              <w:pStyle w:val="26"/>
              <w:spacing w:line="600" w:lineRule="exact"/>
              <w:rPr>
                <w:rFonts w:hAnsi="宋体" w:cs="宋体"/>
                <w:color w:val="auto"/>
                <w:kern w:val="2"/>
                <w:sz w:val="24"/>
                <w:szCs w:val="24"/>
                <w:highlight w:val="none"/>
              </w:rPr>
            </w:pPr>
          </w:p>
        </w:tc>
      </w:tr>
    </w:tbl>
    <w:p w14:paraId="21C8804A">
      <w:pPr>
        <w:pStyle w:val="18"/>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72DA86E6">
      <w:pPr>
        <w:spacing w:line="360" w:lineRule="auto"/>
        <w:rPr>
          <w:rFonts w:ascii="宋体" w:hAnsi="宋体" w:cs="宋体"/>
          <w:color w:val="auto"/>
          <w:szCs w:val="21"/>
          <w:highlight w:val="none"/>
        </w:rPr>
      </w:pPr>
      <w:r>
        <w:rPr>
          <w:rFonts w:hint="eastAsia" w:ascii="宋体" w:hAnsi="宋体" w:cs="宋体"/>
          <w:color w:val="auto"/>
          <w:szCs w:val="21"/>
          <w:highlight w:val="none"/>
        </w:rPr>
        <w:t>1. 说明：应对照招标文件“第二章 采购需求”中的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需求逐条实质性响应，并作出偏离说明。</w:t>
      </w:r>
    </w:p>
    <w:p w14:paraId="25672AF8">
      <w:pPr>
        <w:spacing w:line="360" w:lineRule="auto"/>
        <w:rPr>
          <w:rFonts w:ascii="宋体" w:hAnsi="宋体" w:cs="宋体"/>
          <w:color w:val="auto"/>
          <w:szCs w:val="21"/>
          <w:highlight w:val="none"/>
        </w:rPr>
      </w:pPr>
      <w:r>
        <w:rPr>
          <w:rFonts w:hint="eastAsia" w:ascii="宋体" w:hAnsi="宋体" w:cs="宋体"/>
          <w:b/>
          <w:bCs/>
          <w:color w:val="auto"/>
          <w:szCs w:val="21"/>
          <w:highlight w:val="none"/>
        </w:rPr>
        <w:t>2.投标人应根据招标文件要求，在“偏离说明”中注明“</w:t>
      </w:r>
      <w:r>
        <w:rPr>
          <w:rFonts w:hint="eastAsia" w:ascii="宋体" w:hAnsi="宋体" w:cs="宋体"/>
          <w:color w:val="auto"/>
          <w:szCs w:val="21"/>
          <w:highlight w:val="none"/>
        </w:rPr>
        <w:t>正偏离</w:t>
      </w:r>
      <w:r>
        <w:rPr>
          <w:rFonts w:hint="eastAsia" w:ascii="宋体" w:hAnsi="宋体" w:cs="宋体"/>
          <w:b/>
          <w:bCs/>
          <w:color w:val="auto"/>
          <w:szCs w:val="21"/>
          <w:highlight w:val="none"/>
        </w:rPr>
        <w:t>”、“</w:t>
      </w:r>
      <w:r>
        <w:rPr>
          <w:rFonts w:hint="eastAsia" w:ascii="宋体" w:hAnsi="宋体" w:cs="宋体"/>
          <w:color w:val="auto"/>
          <w:szCs w:val="21"/>
          <w:highlight w:val="none"/>
        </w:rPr>
        <w:t>负偏离</w:t>
      </w:r>
      <w:r>
        <w:rPr>
          <w:rFonts w:hint="eastAsia" w:ascii="宋体" w:hAnsi="宋体" w:cs="宋体"/>
          <w:b/>
          <w:bCs/>
          <w:color w:val="auto"/>
          <w:szCs w:val="21"/>
          <w:highlight w:val="none"/>
        </w:rPr>
        <w:t>”或者“</w:t>
      </w:r>
      <w:r>
        <w:rPr>
          <w:rFonts w:hint="eastAsia" w:ascii="宋体" w:hAnsi="宋体" w:cs="宋体"/>
          <w:color w:val="auto"/>
          <w:szCs w:val="21"/>
          <w:highlight w:val="none"/>
        </w:rPr>
        <w:t>无偏离</w:t>
      </w:r>
      <w:r>
        <w:rPr>
          <w:rFonts w:hint="eastAsia" w:ascii="宋体" w:hAnsi="宋体" w:cs="宋体"/>
          <w:b/>
          <w:bCs/>
          <w:color w:val="auto"/>
          <w:szCs w:val="21"/>
          <w:highlight w:val="none"/>
        </w:rPr>
        <w:t>”。既不属于“</w:t>
      </w:r>
      <w:r>
        <w:rPr>
          <w:rFonts w:hint="eastAsia" w:ascii="宋体" w:hAnsi="宋体" w:cs="宋体"/>
          <w:color w:val="auto"/>
          <w:szCs w:val="21"/>
          <w:highlight w:val="none"/>
        </w:rPr>
        <w:t>正偏离</w:t>
      </w:r>
      <w:r>
        <w:rPr>
          <w:rFonts w:hint="eastAsia" w:ascii="宋体" w:hAnsi="宋体" w:cs="宋体"/>
          <w:b/>
          <w:bCs/>
          <w:color w:val="auto"/>
          <w:szCs w:val="21"/>
          <w:highlight w:val="none"/>
        </w:rPr>
        <w:t>”也不属于“</w:t>
      </w:r>
      <w:r>
        <w:rPr>
          <w:rFonts w:hint="eastAsia" w:ascii="宋体" w:hAnsi="宋体" w:cs="宋体"/>
          <w:color w:val="auto"/>
          <w:szCs w:val="21"/>
          <w:highlight w:val="none"/>
        </w:rPr>
        <w:t>负偏离</w:t>
      </w:r>
      <w:r>
        <w:rPr>
          <w:rFonts w:hint="eastAsia" w:ascii="宋体" w:hAnsi="宋体" w:cs="宋体"/>
          <w:b/>
          <w:bCs/>
          <w:color w:val="auto"/>
          <w:szCs w:val="21"/>
          <w:highlight w:val="none"/>
        </w:rPr>
        <w:t>”即为“</w:t>
      </w:r>
      <w:r>
        <w:rPr>
          <w:rFonts w:hint="eastAsia" w:ascii="宋体" w:hAnsi="宋体" w:cs="宋体"/>
          <w:color w:val="auto"/>
          <w:szCs w:val="21"/>
          <w:highlight w:val="none"/>
        </w:rPr>
        <w:t>无偏离</w:t>
      </w:r>
      <w:r>
        <w:rPr>
          <w:rFonts w:hint="eastAsia" w:ascii="宋体" w:hAnsi="宋体" w:cs="宋体"/>
          <w:b/>
          <w:bCs/>
          <w:color w:val="auto"/>
          <w:szCs w:val="21"/>
          <w:highlight w:val="none"/>
        </w:rPr>
        <w:t>”。</w:t>
      </w:r>
    </w:p>
    <w:p w14:paraId="533A9A1D">
      <w:pPr>
        <w:spacing w:line="360" w:lineRule="auto"/>
        <w:rPr>
          <w:rFonts w:ascii="宋体" w:hAnsi="宋体" w:cs="宋体"/>
          <w:color w:val="auto"/>
          <w:szCs w:val="21"/>
          <w:highlight w:val="none"/>
        </w:rPr>
      </w:pPr>
    </w:p>
    <w:p w14:paraId="448BF1C7">
      <w:pPr>
        <w:pStyle w:val="26"/>
        <w:spacing w:line="360" w:lineRule="auto"/>
        <w:rPr>
          <w:rFonts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78F184AC">
      <w:pPr>
        <w:snapToGrid w:val="0"/>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75FD23BC">
      <w:pPr>
        <w:snapToGrid w:val="0"/>
        <w:spacing w:line="360" w:lineRule="auto"/>
        <w:rPr>
          <w:rFonts w:ascii="宋体" w:hAnsi="宋体" w:cs="宋体"/>
          <w:color w:val="auto"/>
          <w:szCs w:val="21"/>
          <w:highlight w:val="none"/>
        </w:rPr>
      </w:pPr>
      <w:r>
        <w:rPr>
          <w:rFonts w:hint="eastAsia" w:ascii="宋体" w:hAnsi="宋体" w:cs="宋体"/>
          <w:color w:val="auto"/>
          <w:spacing w:val="20"/>
          <w:szCs w:val="21"/>
          <w:highlight w:val="none"/>
        </w:rPr>
        <w:t>日  期：</w:t>
      </w:r>
    </w:p>
    <w:p w14:paraId="592DAEC8">
      <w:pPr>
        <w:snapToGrid w:val="0"/>
        <w:spacing w:before="120" w:beforeLines="50"/>
        <w:rPr>
          <w:rFonts w:ascii="宋体" w:hAnsi="宋体" w:cs="宋体"/>
          <w:color w:val="auto"/>
          <w:sz w:val="24"/>
          <w:szCs w:val="20"/>
          <w:highlight w:val="none"/>
        </w:rPr>
      </w:pPr>
    </w:p>
    <w:p w14:paraId="085649D1">
      <w:pPr>
        <w:rPr>
          <w:color w:val="auto"/>
          <w:highlight w:val="none"/>
        </w:rPr>
      </w:pPr>
    </w:p>
    <w:p w14:paraId="1474C0F5">
      <w:pPr>
        <w:rPr>
          <w:color w:val="auto"/>
          <w:highlight w:val="none"/>
        </w:rPr>
      </w:pPr>
    </w:p>
    <w:p w14:paraId="07FA9A4F">
      <w:pPr>
        <w:spacing w:line="360" w:lineRule="auto"/>
        <w:jc w:val="left"/>
        <w:rPr>
          <w:color w:val="auto"/>
          <w:highlight w:val="none"/>
        </w:rPr>
      </w:pPr>
    </w:p>
    <w:p w14:paraId="4D5B0436">
      <w:pPr>
        <w:jc w:val="left"/>
        <w:rPr>
          <w:color w:val="auto"/>
          <w:highlight w:val="none"/>
        </w:rPr>
      </w:pPr>
      <w:r>
        <w:rPr>
          <w:rFonts w:hint="eastAsia"/>
          <w:color w:val="auto"/>
          <w:highlight w:val="none"/>
        </w:rPr>
        <w:br w:type="page"/>
      </w:r>
    </w:p>
    <w:p w14:paraId="2870790A">
      <w:pPr>
        <w:pStyle w:val="6"/>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微软雅黑"/>
          <w:color w:val="auto"/>
          <w:highlight w:val="none"/>
        </w:rPr>
        <w:t>项目实施</w:t>
      </w:r>
      <w:r>
        <w:rPr>
          <w:rFonts w:hint="eastAsia"/>
          <w:color w:val="auto"/>
          <w:sz w:val="30"/>
          <w:szCs w:val="30"/>
          <w:highlight w:val="none"/>
        </w:rPr>
        <w:t>方案</w:t>
      </w:r>
      <w:r>
        <w:rPr>
          <w:rFonts w:hint="eastAsia" w:ascii="宋体" w:hAnsi="宋体" w:cs="宋体"/>
          <w:color w:val="auto"/>
          <w:szCs w:val="21"/>
          <w:highlight w:val="none"/>
        </w:rPr>
        <w:t>（格式自拟）</w:t>
      </w:r>
    </w:p>
    <w:p w14:paraId="4C8D4BB0">
      <w:pPr>
        <w:rPr>
          <w:color w:val="auto"/>
          <w:highlight w:val="none"/>
        </w:rPr>
      </w:pPr>
    </w:p>
    <w:p w14:paraId="1CEEC7F3">
      <w:pPr>
        <w:pStyle w:val="6"/>
        <w:rPr>
          <w:rFonts w:ascii="宋体" w:hAnsi="宋体" w:cs="宋体"/>
          <w:color w:val="auto"/>
          <w:highlight w:val="none"/>
        </w:rPr>
      </w:pPr>
      <w:r>
        <w:rPr>
          <w:rFonts w:hint="eastAsia" w:ascii="宋体" w:hAnsi="宋体" w:cs="宋体"/>
          <w:color w:val="auto"/>
          <w:highlight w:val="none"/>
        </w:rPr>
        <w:t>4.项目</w:t>
      </w:r>
      <w:r>
        <w:rPr>
          <w:rFonts w:hint="eastAsia"/>
          <w:color w:val="auto"/>
          <w:sz w:val="30"/>
          <w:szCs w:val="30"/>
          <w:highlight w:val="none"/>
        </w:rPr>
        <w:t>实施</w:t>
      </w:r>
      <w:r>
        <w:rPr>
          <w:rFonts w:hint="eastAsia" w:ascii="宋体" w:hAnsi="宋体" w:cs="宋体"/>
          <w:color w:val="auto"/>
          <w:sz w:val="30"/>
          <w:szCs w:val="30"/>
          <w:highlight w:val="none"/>
        </w:rPr>
        <w:t>人员一</w:t>
      </w:r>
      <w:r>
        <w:rPr>
          <w:rFonts w:hint="eastAsia" w:ascii="宋体" w:hAnsi="宋体" w:cs="宋体"/>
          <w:color w:val="auto"/>
          <w:highlight w:val="none"/>
        </w:rPr>
        <w:t>览表（格式）</w:t>
      </w:r>
    </w:p>
    <w:p w14:paraId="49E72B5B">
      <w:pPr>
        <w:snapToGrid w:val="0"/>
        <w:spacing w:before="120" w:beforeLines="50" w:after="50"/>
        <w:ind w:left="142"/>
        <w:jc w:val="left"/>
        <w:rPr>
          <w:rFonts w:ascii="宋体" w:hAnsi="宋体" w:cs="宋体"/>
          <w:b/>
          <w:color w:val="auto"/>
          <w:sz w:val="24"/>
          <w:highlight w:val="none"/>
        </w:rPr>
      </w:pPr>
    </w:p>
    <w:p w14:paraId="787D82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52"/>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86"/>
        <w:gridCol w:w="1886"/>
        <w:gridCol w:w="1574"/>
        <w:gridCol w:w="1882"/>
        <w:gridCol w:w="2043"/>
      </w:tblGrid>
      <w:tr w14:paraId="2592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06" w:type="dxa"/>
            <w:vAlign w:val="center"/>
          </w:tcPr>
          <w:p w14:paraId="12E724B0">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86" w:type="dxa"/>
            <w:vAlign w:val="center"/>
          </w:tcPr>
          <w:p w14:paraId="3E4E9F6B">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886" w:type="dxa"/>
            <w:vAlign w:val="center"/>
          </w:tcPr>
          <w:p w14:paraId="17C2738D">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74" w:type="dxa"/>
            <w:vAlign w:val="center"/>
          </w:tcPr>
          <w:p w14:paraId="1AA915CE">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882" w:type="dxa"/>
            <w:vAlign w:val="center"/>
          </w:tcPr>
          <w:p w14:paraId="0D2A3BDD">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参加本单位</w:t>
            </w:r>
          </w:p>
          <w:p w14:paraId="35A519B2">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2043" w:type="dxa"/>
            <w:vAlign w:val="center"/>
          </w:tcPr>
          <w:p w14:paraId="18D3743A">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6CC9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11D373D1">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629579F0">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37D5AAEE">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44AE1D2B">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06465F9B">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7D98A3CA">
            <w:pPr>
              <w:snapToGrid w:val="0"/>
              <w:spacing w:before="50" w:after="120" w:afterLines="50" w:line="360" w:lineRule="auto"/>
              <w:jc w:val="center"/>
              <w:rPr>
                <w:rFonts w:ascii="宋体" w:hAnsi="宋体" w:cs="宋体"/>
                <w:color w:val="auto"/>
                <w:szCs w:val="21"/>
                <w:highlight w:val="none"/>
              </w:rPr>
            </w:pPr>
          </w:p>
        </w:tc>
      </w:tr>
      <w:tr w14:paraId="274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3458E832">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76B9B389">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3D9C00A9">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1B6249BA">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7E583898">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4428BE8B">
            <w:pPr>
              <w:snapToGrid w:val="0"/>
              <w:spacing w:before="50" w:after="120" w:afterLines="50" w:line="360" w:lineRule="auto"/>
              <w:jc w:val="center"/>
              <w:rPr>
                <w:rFonts w:ascii="宋体" w:hAnsi="宋体" w:cs="宋体"/>
                <w:color w:val="auto"/>
                <w:szCs w:val="21"/>
                <w:highlight w:val="none"/>
              </w:rPr>
            </w:pPr>
          </w:p>
        </w:tc>
      </w:tr>
      <w:tr w14:paraId="10D9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6" w:type="dxa"/>
            <w:vAlign w:val="center"/>
          </w:tcPr>
          <w:p w14:paraId="11F10969">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53AAB3D8">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07977C48">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08094AB5">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73C0368D">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6E1EA8BE">
            <w:pPr>
              <w:snapToGrid w:val="0"/>
              <w:spacing w:before="50" w:after="120" w:afterLines="50" w:line="360" w:lineRule="auto"/>
              <w:jc w:val="center"/>
              <w:rPr>
                <w:rFonts w:ascii="宋体" w:hAnsi="宋体" w:cs="宋体"/>
                <w:color w:val="auto"/>
                <w:szCs w:val="21"/>
                <w:highlight w:val="none"/>
              </w:rPr>
            </w:pPr>
          </w:p>
        </w:tc>
      </w:tr>
    </w:tbl>
    <w:p w14:paraId="6BB07EC4">
      <w:pPr>
        <w:snapToGrid w:val="0"/>
        <w:spacing w:before="50" w:after="12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注：在填写时，如本表格不适合投标人的实际情况，可根据本表格式自行制表填写。</w:t>
      </w:r>
    </w:p>
    <w:p w14:paraId="1D0BC8FB">
      <w:pPr>
        <w:rPr>
          <w:color w:val="auto"/>
          <w:highlight w:val="none"/>
        </w:rPr>
      </w:pPr>
    </w:p>
    <w:p w14:paraId="23CF34C0">
      <w:pPr>
        <w:rPr>
          <w:color w:val="auto"/>
          <w:highlight w:val="none"/>
        </w:rPr>
      </w:pPr>
    </w:p>
    <w:p w14:paraId="60EDF368">
      <w:pPr>
        <w:pStyle w:val="6"/>
        <w:rPr>
          <w:color w:val="auto"/>
          <w:highlight w:val="none"/>
        </w:rPr>
      </w:pPr>
      <w:r>
        <w:rPr>
          <w:rFonts w:hint="eastAsia" w:ascii="宋体" w:hAnsi="宋体" w:cs="宋体"/>
          <w:color w:val="auto"/>
          <w:szCs w:val="21"/>
          <w:highlight w:val="none"/>
        </w:rPr>
        <w:t>5.</w:t>
      </w:r>
      <w:r>
        <w:rPr>
          <w:rFonts w:hint="eastAsia"/>
          <w:color w:val="auto"/>
          <w:highlight w:val="none"/>
        </w:rPr>
        <w:t>除招标文件规定必须提供以外，投标人需要说明的其他文件和说明（格式自拟）。</w:t>
      </w:r>
    </w:p>
    <w:p w14:paraId="006E3330">
      <w:pPr>
        <w:rPr>
          <w:color w:val="auto"/>
          <w:highlight w:val="none"/>
        </w:rPr>
      </w:pPr>
      <w:r>
        <w:rPr>
          <w:rFonts w:hint="eastAsia" w:ascii="宋体" w:hAnsi="宋体" w:cs="宋体"/>
          <w:color w:val="auto"/>
          <w:szCs w:val="21"/>
          <w:highlight w:val="none"/>
        </w:rPr>
        <w:t>投标人根据“第二章 采购需求”及“第四章 评标方法及评标标准”提供有关证明材料（如有时）</w:t>
      </w:r>
    </w:p>
    <w:p w14:paraId="398EDEDA">
      <w:pPr>
        <w:pStyle w:val="4"/>
        <w:spacing w:before="120" w:beforeLines="50" w:after="50"/>
        <w:rPr>
          <w:rFonts w:ascii="宋体" w:hAnsi="宋体" w:cs="宋体"/>
          <w:color w:val="auto"/>
          <w:sz w:val="28"/>
          <w:szCs w:val="28"/>
          <w:highlight w:val="none"/>
        </w:rPr>
      </w:pPr>
      <w:r>
        <w:rPr>
          <w:rFonts w:hint="eastAsia" w:ascii="宋体" w:hAnsi="宋体" w:cs="宋体"/>
          <w:color w:val="auto"/>
          <w:sz w:val="24"/>
          <w:highlight w:val="none"/>
        </w:rPr>
        <w:br w:type="page"/>
      </w:r>
      <w:bookmarkStart w:id="241" w:name="_Toc19686840"/>
      <w:r>
        <w:rPr>
          <w:rFonts w:hint="eastAsia" w:ascii="宋体" w:hAnsi="宋体" w:cs="宋体"/>
          <w:color w:val="auto"/>
          <w:sz w:val="28"/>
          <w:szCs w:val="28"/>
          <w:highlight w:val="none"/>
        </w:rPr>
        <w:t>四、其他文书、文件格式</w:t>
      </w:r>
      <w:bookmarkEnd w:id="241"/>
    </w:p>
    <w:p w14:paraId="1E6F495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476706D5">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一、质疑投标人基本信息：</w:t>
      </w:r>
    </w:p>
    <w:p w14:paraId="0B388F82">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质疑投标人：</w:t>
      </w:r>
    </w:p>
    <w:p w14:paraId="6C1B85FD">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015D5433">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联系人：联系电话：</w:t>
      </w:r>
    </w:p>
    <w:p w14:paraId="292C4950">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授权代表：</w:t>
      </w:r>
    </w:p>
    <w:p w14:paraId="4334E9B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联系电话：</w:t>
      </w:r>
    </w:p>
    <w:p w14:paraId="31E03CE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3DF0BF0D">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二、质疑项目基本情况：</w:t>
      </w:r>
    </w:p>
    <w:p w14:paraId="79B2B9BD">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p>
    <w:p w14:paraId="7C0DED85">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p>
    <w:p w14:paraId="1E79FC94">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采购人名称：</w:t>
      </w:r>
    </w:p>
    <w:p w14:paraId="4B84289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w:t>
      </w:r>
    </w:p>
    <w:p w14:paraId="5B2265A1">
      <w:pPr>
        <w:pStyle w:val="26"/>
        <w:spacing w:line="360" w:lineRule="auto"/>
        <w:ind w:left="25" w:leftChars="12" w:firstLine="308" w:firstLineChars="147"/>
        <w:rPr>
          <w:rFonts w:hAnsi="宋体" w:cs="宋体"/>
          <w:color w:val="auto"/>
          <w:sz w:val="21"/>
          <w:highlight w:val="none"/>
        </w:rPr>
      </w:pPr>
      <w:r>
        <w:rPr>
          <w:rFonts w:hint="eastAsia" w:hAnsi="宋体" w:cs="宋体"/>
          <w:color w:val="auto"/>
          <w:sz w:val="21"/>
          <w:highlight w:val="none"/>
        </w:rPr>
        <w:t>□招标文件   招标文件获取日期：</w:t>
      </w:r>
    </w:p>
    <w:p w14:paraId="64A80E0A">
      <w:pPr>
        <w:pStyle w:val="26"/>
        <w:spacing w:line="360" w:lineRule="auto"/>
        <w:ind w:left="25" w:leftChars="12" w:firstLine="308" w:firstLineChars="147"/>
        <w:rPr>
          <w:rFonts w:hAnsi="宋体" w:cs="宋体"/>
          <w:color w:val="auto"/>
          <w:sz w:val="21"/>
          <w:highlight w:val="none"/>
        </w:rPr>
      </w:pPr>
      <w:r>
        <w:rPr>
          <w:rFonts w:hint="eastAsia" w:hAnsi="宋体" w:cs="宋体"/>
          <w:color w:val="auto"/>
          <w:sz w:val="21"/>
          <w:highlight w:val="none"/>
        </w:rPr>
        <w:t xml:space="preserve">□采购过程   </w:t>
      </w:r>
    </w:p>
    <w:p w14:paraId="4B538CE8">
      <w:pPr>
        <w:pStyle w:val="26"/>
        <w:spacing w:line="360" w:lineRule="auto"/>
        <w:ind w:left="25" w:leftChars="12" w:firstLine="308" w:firstLineChars="147"/>
        <w:rPr>
          <w:rFonts w:hAnsi="宋体" w:cs="宋体"/>
          <w:bCs/>
          <w:color w:val="auto"/>
          <w:sz w:val="21"/>
          <w:highlight w:val="none"/>
          <w:u w:val="single"/>
        </w:rPr>
      </w:pPr>
      <w:r>
        <w:rPr>
          <w:rFonts w:hint="eastAsia" w:hAnsi="宋体" w:cs="宋体"/>
          <w:color w:val="auto"/>
          <w:sz w:val="21"/>
          <w:highlight w:val="none"/>
        </w:rPr>
        <w:t xml:space="preserve">□中标结果   </w:t>
      </w:r>
    </w:p>
    <w:p w14:paraId="43B55831">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三、质疑事项具体内容</w:t>
      </w:r>
    </w:p>
    <w:p w14:paraId="59C1B1A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质疑事项1：</w:t>
      </w:r>
    </w:p>
    <w:p w14:paraId="3362818A">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事实依据：</w:t>
      </w:r>
    </w:p>
    <w:p w14:paraId="7182A49E">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法律依据：</w:t>
      </w:r>
    </w:p>
    <w:p w14:paraId="06B886F3">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质疑事项2</w:t>
      </w:r>
    </w:p>
    <w:p w14:paraId="2F31596B">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w:t>
      </w:r>
    </w:p>
    <w:p w14:paraId="25D76244">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四、与质疑事项相关的质疑请求：</w:t>
      </w:r>
    </w:p>
    <w:p w14:paraId="0A285946">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p>
    <w:p w14:paraId="7204E7AF">
      <w:pPr>
        <w:pStyle w:val="26"/>
        <w:spacing w:line="360" w:lineRule="auto"/>
        <w:ind w:left="25" w:leftChars="12" w:firstLine="308" w:firstLineChars="147"/>
        <w:rPr>
          <w:rFonts w:hAnsi="宋体" w:cs="宋体"/>
          <w:color w:val="auto"/>
          <w:sz w:val="21"/>
          <w:highlight w:val="none"/>
        </w:rPr>
      </w:pPr>
    </w:p>
    <w:p w14:paraId="2414D06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0B512695">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25648652">
      <w:pPr>
        <w:pStyle w:val="26"/>
        <w:snapToGrid w:val="0"/>
        <w:spacing w:line="312" w:lineRule="auto"/>
        <w:rPr>
          <w:rFonts w:hAnsi="宋体" w:cs="宋体"/>
          <w:b/>
          <w:color w:val="auto"/>
          <w:sz w:val="21"/>
          <w:highlight w:val="none"/>
        </w:rPr>
      </w:pPr>
    </w:p>
    <w:p w14:paraId="1101941C">
      <w:pPr>
        <w:pStyle w:val="26"/>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4D7631B6">
      <w:pPr>
        <w:pStyle w:val="26"/>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1.投标人提出质疑时，应提交质疑函和必要的证明材料</w:t>
      </w:r>
      <w:r>
        <w:rPr>
          <w:rFonts w:hint="eastAsia" w:hAnsi="宋体" w:cs="宋体"/>
          <w:b/>
          <w:bCs/>
          <w:color w:val="auto"/>
          <w:sz w:val="21"/>
          <w:highlight w:val="none"/>
        </w:rPr>
        <w:t>。</w:t>
      </w:r>
    </w:p>
    <w:p w14:paraId="4BCC4F17">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32DD643">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BECD7D5">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4.质疑函的质疑请求应与质疑事项相关。</w:t>
      </w:r>
    </w:p>
    <w:p w14:paraId="0075C539">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5.质疑投标人为法人或者其他组织的，质疑函应由法定代表人、主要负责人，或者其授权代表签字或者盖章，并加盖公章。</w:t>
      </w:r>
    </w:p>
    <w:p w14:paraId="73FABCD6">
      <w:pPr>
        <w:spacing w:line="460" w:lineRule="exact"/>
        <w:jc w:val="center"/>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2BE9E1A5">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092DF80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投标人：</w:t>
      </w:r>
    </w:p>
    <w:p w14:paraId="4E9935F3">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5C455E4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p>
    <w:p w14:paraId="25FA975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p>
    <w:p w14:paraId="0DE8BA31">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授权代表：联系电话：</w:t>
      </w:r>
    </w:p>
    <w:p w14:paraId="121333CB">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11705E70">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67A089E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6E38FE8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联系人：联系电话：</w:t>
      </w:r>
    </w:p>
    <w:p w14:paraId="0307BC3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142F1E5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159A3F5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相关投标人：</w:t>
      </w:r>
    </w:p>
    <w:p w14:paraId="3340D67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地址：邮编：</w:t>
      </w:r>
    </w:p>
    <w:p w14:paraId="12F6BD7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联系人：联系电话：</w:t>
      </w:r>
    </w:p>
    <w:p w14:paraId="63259834">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04092A08">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p>
    <w:p w14:paraId="62E97030">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p>
    <w:p w14:paraId="3A72CD4E">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采购人名称：</w:t>
      </w:r>
    </w:p>
    <w:p w14:paraId="46A26A5E">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代理机构名称：</w:t>
      </w:r>
    </w:p>
    <w:p w14:paraId="7527D2F5">
      <w:pPr>
        <w:pStyle w:val="26"/>
        <w:spacing w:line="360" w:lineRule="auto"/>
        <w:ind w:left="25" w:leftChars="12" w:firstLine="413" w:firstLineChars="197"/>
        <w:rPr>
          <w:rFonts w:hAnsi="宋体" w:cs="宋体"/>
          <w:bCs/>
          <w:color w:val="auto"/>
          <w:sz w:val="21"/>
          <w:highlight w:val="none"/>
          <w:u w:val="single"/>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796155F">
      <w:pPr>
        <w:pStyle w:val="26"/>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6AA7534">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4C22EBF9">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投诉人于年月日，向提出质疑，质疑事项为：</w:t>
      </w:r>
    </w:p>
    <w:p w14:paraId="27599120">
      <w:pPr>
        <w:pStyle w:val="26"/>
        <w:spacing w:line="360" w:lineRule="auto"/>
        <w:ind w:firstLine="241"/>
        <w:rPr>
          <w:rFonts w:hAnsi="宋体" w:cs="宋体"/>
          <w:bCs/>
          <w:color w:val="auto"/>
          <w:sz w:val="21"/>
          <w:highlight w:val="none"/>
          <w:u w:val="single"/>
        </w:rPr>
      </w:pPr>
    </w:p>
    <w:p w14:paraId="6BB96A69">
      <w:pPr>
        <w:pStyle w:val="26"/>
        <w:spacing w:line="360" w:lineRule="auto"/>
        <w:ind w:firstLine="241"/>
        <w:rPr>
          <w:rFonts w:hAnsi="宋体" w:cs="宋体"/>
          <w:bCs/>
          <w:color w:val="auto"/>
          <w:sz w:val="21"/>
          <w:highlight w:val="none"/>
          <w:u w:val="single"/>
        </w:rPr>
      </w:pPr>
    </w:p>
    <w:p w14:paraId="4EB53AFE">
      <w:pPr>
        <w:pStyle w:val="26"/>
        <w:spacing w:line="360" w:lineRule="auto"/>
        <w:ind w:firstLine="241"/>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rPr>
        <w:t>年月日，</w:t>
      </w:r>
      <w:r>
        <w:rPr>
          <w:rFonts w:hint="eastAsia" w:hAnsi="宋体" w:cs="宋体"/>
          <w:bCs/>
          <w:color w:val="auto"/>
          <w:sz w:val="21"/>
          <w:highlight w:val="none"/>
        </w:rPr>
        <w:t>就质疑事项作出了答复/没有在法定期限内作出答复。</w:t>
      </w:r>
    </w:p>
    <w:p w14:paraId="4BEEEEEA">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56BC4CA4">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投诉事项1：</w:t>
      </w:r>
    </w:p>
    <w:p w14:paraId="26C0EC2E">
      <w:pPr>
        <w:pStyle w:val="26"/>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p>
    <w:p w14:paraId="4645E7E9">
      <w:pPr>
        <w:pStyle w:val="26"/>
        <w:spacing w:line="360" w:lineRule="auto"/>
        <w:ind w:left="25" w:leftChars="12" w:firstLine="413" w:firstLineChars="197"/>
        <w:rPr>
          <w:rFonts w:hAnsi="宋体" w:cs="宋体"/>
          <w:color w:val="auto"/>
          <w:sz w:val="21"/>
          <w:highlight w:val="none"/>
        </w:rPr>
      </w:pPr>
    </w:p>
    <w:p w14:paraId="11128386">
      <w:pPr>
        <w:pStyle w:val="26"/>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p>
    <w:p w14:paraId="7FCF4ADF">
      <w:pPr>
        <w:pStyle w:val="26"/>
        <w:spacing w:line="360" w:lineRule="auto"/>
        <w:ind w:left="25" w:leftChars="12" w:firstLine="308" w:firstLineChars="147"/>
        <w:rPr>
          <w:rFonts w:hAnsi="宋体" w:cs="宋体"/>
          <w:bCs/>
          <w:color w:val="auto"/>
          <w:sz w:val="21"/>
          <w:highlight w:val="none"/>
          <w:u w:val="single"/>
        </w:rPr>
      </w:pPr>
    </w:p>
    <w:p w14:paraId="7EEC5AD8">
      <w:pPr>
        <w:pStyle w:val="26"/>
        <w:spacing w:line="360" w:lineRule="auto"/>
        <w:ind w:left="25" w:leftChars="12" w:firstLine="413" w:firstLineChars="197"/>
        <w:rPr>
          <w:rFonts w:hAnsi="宋体" w:cs="宋体"/>
          <w:bCs/>
          <w:color w:val="auto"/>
          <w:sz w:val="21"/>
          <w:highlight w:val="none"/>
        </w:rPr>
      </w:pPr>
      <w:r>
        <w:rPr>
          <w:rFonts w:hint="eastAsia" w:hAnsi="宋体" w:cs="宋体"/>
          <w:color w:val="auto"/>
          <w:sz w:val="21"/>
          <w:highlight w:val="none"/>
        </w:rPr>
        <w:t xml:space="preserve">投诉事项2  </w:t>
      </w:r>
    </w:p>
    <w:p w14:paraId="305D1979">
      <w:pPr>
        <w:pStyle w:val="26"/>
        <w:spacing w:line="360" w:lineRule="auto"/>
        <w:ind w:left="25" w:leftChars="12" w:firstLine="413" w:firstLineChars="197"/>
        <w:rPr>
          <w:rFonts w:hAnsi="宋体" w:cs="宋体"/>
          <w:bCs/>
          <w:color w:val="auto"/>
          <w:sz w:val="21"/>
          <w:highlight w:val="none"/>
        </w:rPr>
      </w:pPr>
      <w:r>
        <w:rPr>
          <w:rFonts w:hint="eastAsia" w:hAnsi="宋体" w:cs="宋体"/>
          <w:bCs/>
          <w:color w:val="auto"/>
          <w:sz w:val="21"/>
          <w:highlight w:val="none"/>
        </w:rPr>
        <w:t>……</w:t>
      </w:r>
    </w:p>
    <w:p w14:paraId="127E93B4">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3EF005D5">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p>
    <w:p w14:paraId="552A9601">
      <w:pPr>
        <w:pStyle w:val="26"/>
        <w:spacing w:line="360" w:lineRule="auto"/>
        <w:ind w:left="25" w:leftChars="12" w:firstLine="308" w:firstLineChars="147"/>
        <w:rPr>
          <w:rFonts w:hAnsi="宋体" w:cs="宋体"/>
          <w:color w:val="auto"/>
          <w:sz w:val="21"/>
          <w:highlight w:val="none"/>
        </w:rPr>
      </w:pPr>
    </w:p>
    <w:p w14:paraId="1DEC5BB0">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06C7D2D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2CF56DD1">
      <w:pPr>
        <w:pStyle w:val="26"/>
        <w:snapToGrid w:val="0"/>
        <w:spacing w:line="360" w:lineRule="auto"/>
        <w:rPr>
          <w:rFonts w:hAnsi="宋体" w:cs="宋体"/>
          <w:b/>
          <w:color w:val="auto"/>
          <w:sz w:val="21"/>
          <w:highlight w:val="none"/>
        </w:rPr>
      </w:pPr>
    </w:p>
    <w:p w14:paraId="6A8F0C01">
      <w:pPr>
        <w:pStyle w:val="26"/>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05AD51D0">
      <w:pPr>
        <w:pStyle w:val="26"/>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1.投诉人提起投诉时，应当提交投诉书和必要的证明材料，并按照被投诉人和与投诉事项有关的投标人数量提供投诉书副本</w:t>
      </w:r>
      <w:r>
        <w:rPr>
          <w:rFonts w:hint="eastAsia" w:hAnsi="宋体" w:cs="宋体"/>
          <w:b/>
          <w:bCs/>
          <w:color w:val="auto"/>
          <w:sz w:val="21"/>
          <w:highlight w:val="none"/>
        </w:rPr>
        <w:t>。</w:t>
      </w:r>
    </w:p>
    <w:p w14:paraId="0EAFE3AC">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800132">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0812FCB0">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01715228">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4BDA3FA5">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70A5880D">
      <w:pPr>
        <w:rPr>
          <w:color w:val="auto"/>
          <w:highlight w:val="none"/>
        </w:rPr>
      </w:pPr>
    </w:p>
    <w:p w14:paraId="039A861E">
      <w:pPr>
        <w:rPr>
          <w:color w:val="auto"/>
          <w:highlight w:val="none"/>
        </w:rPr>
      </w:pPr>
    </w:p>
    <w:p w14:paraId="23DBA9D0">
      <w:pPr>
        <w:rPr>
          <w:color w:val="auto"/>
          <w:highlight w:val="none"/>
        </w:rPr>
      </w:pPr>
    </w:p>
    <w:p w14:paraId="4EE28FDA">
      <w:pPr>
        <w:rPr>
          <w:color w:val="auto"/>
          <w:highlight w:val="none"/>
        </w:rPr>
      </w:pPr>
    </w:p>
    <w:sectPr>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Century">
    <w:altName w:val="Times New Roman"/>
    <w:panose1 w:val="0204060405050502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ED71">
    <w:pPr>
      <w:pStyle w:val="32"/>
      <w:jc w:val="center"/>
    </w:pPr>
  </w:p>
  <w:p w14:paraId="47EC51D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A425">
    <w:pPr>
      <w:pStyle w:val="32"/>
      <w:framePr w:wrap="around" w:vAnchor="text" w:hAnchor="margin" w:xAlign="center" w:y="1"/>
      <w:rPr>
        <w:rStyle w:val="57"/>
      </w:rPr>
    </w:pPr>
    <w:r>
      <w:fldChar w:fldCharType="begin"/>
    </w:r>
    <w:r>
      <w:rPr>
        <w:rStyle w:val="57"/>
      </w:rPr>
      <w:instrText xml:space="preserve">PAGE  </w:instrText>
    </w:r>
    <w:r>
      <w:fldChar w:fldCharType="end"/>
    </w:r>
  </w:p>
  <w:p w14:paraId="1DB3342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CE8C">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5205">
    <w:pPr>
      <w:pStyle w:val="32"/>
      <w:jc w:val="center"/>
    </w:pPr>
  </w:p>
  <w:p w14:paraId="3CA5D62C">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2208">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32AB">
    <w:pPr>
      <w:pStyle w:val="32"/>
      <w:jc w:val="center"/>
    </w:pPr>
    <w:r>
      <mc:AlternateContent>
        <mc:Choice Requires="wps">
          <w:drawing>
            <wp:anchor distT="0" distB="0" distL="0" distR="0" simplePos="0" relativeHeight="251659264" behindDoc="0" locked="0" layoutInCell="1" allowOverlap="1">
              <wp:simplePos x="0" y="0"/>
              <wp:positionH relativeFrom="margin">
                <wp:posOffset>2823210</wp:posOffset>
              </wp:positionH>
              <wp:positionV relativeFrom="paragraph">
                <wp:posOffset>0</wp:posOffset>
              </wp:positionV>
              <wp:extent cx="324485" cy="300355"/>
              <wp:effectExtent l="0" t="0" r="0" b="0"/>
              <wp:wrapNone/>
              <wp:docPr id="4097" name="文本框 4"/>
              <wp:cNvGraphicFramePr/>
              <a:graphic xmlns:a="http://schemas.openxmlformats.org/drawingml/2006/main">
                <a:graphicData uri="http://schemas.microsoft.com/office/word/2010/wordprocessingShape">
                  <wps:wsp>
                    <wps:cNvSpPr/>
                    <wps:spPr>
                      <a:xfrm>
                        <a:off x="0" y="0"/>
                        <a:ext cx="324485" cy="300355"/>
                      </a:xfrm>
                      <a:prstGeom prst="rect">
                        <a:avLst/>
                      </a:prstGeom>
                      <a:ln>
                        <a:noFill/>
                      </a:ln>
                    </wps:spPr>
                    <wps:txbx>
                      <w:txbxContent>
                        <w:p w14:paraId="6EF00DC0">
                          <w:pPr>
                            <w:pStyle w:val="32"/>
                            <w:jc w:val="center"/>
                          </w:pPr>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txbxContent>
                    </wps:txbx>
                    <wps:bodyPr wrap="square" lIns="0" tIns="0" rIns="0" bIns="0" upright="1">
                      <a:noAutofit/>
                    </wps:bodyPr>
                  </wps:wsp>
                </a:graphicData>
              </a:graphic>
            </wp:anchor>
          </w:drawing>
        </mc:Choice>
        <mc:Fallback>
          <w:pict>
            <v:rect id="文本框 4" o:spid="_x0000_s1026" o:spt="1" style="position:absolute;left:0pt;margin-left:222.3pt;margin-top:0pt;height:23.65pt;width:25.55pt;mso-position-horizontal-relative:margin;z-index:251659264;mso-width-relative:page;mso-height-relative:page;" filled="f" stroked="f" coordsize="21600,21600" o:gfxdata="UEsDBAoAAAAAAIdO4kAAAAAAAAAAAAAAAAAEAAAAZHJzL1BLAwQUAAAACACHTuJA8mxNBtkAAAAH&#10;AQAADwAAAGRycy9kb3ducmV2LnhtbE2PzU7DMBCE75X6DtYicWudQmibEKdC/KgcoUUq3Nx4SaLa&#10;6yh2m8LTs5zgNqsZzXxbrM7OihP2ofWkYDZNQCBV3rRUK3jbPk2WIELUZLT1hAq+MMCqHI8KnRs/&#10;0CueNrEWXEIh1wqaGLtcylA16HSY+g6JvU/fOx357Gtpej1wubPyKknm0umWeKHRHd43WB02R6dg&#10;vezu3p/991Dbx4/17mWXPWyzqNTlxSy5BRHxHP/C8IvP6FAy094fyQRhFaRpOueoAv6I7TS7WYDY&#10;s1hcgywL+Z+//AFQSwMEFAAAAAgAh07iQF6XqqLKAQAAhwMAAA4AAABkcnMvZTJvRG9jLnhtbK1T&#10;S27bMBDdF+gdCO5ryb82MSwHBYwUBYo2QNoD0BRpEeCvQ8qSL9DeoKtuuu+5fI4MKdkJ0k0W3VBD&#10;zujNe2/I9U1vNDkICMrZik4nJSXCclcru6/ot6+3b64oCZHZmmlnRUWPItCbzetX686vxMw1TtcC&#10;CILYsOp8RZsY/aooAm+EYWHivLCYlA4Mi7iFfVED6xDd6GJWlm+LzkHtwXERAp5uhyQdEeElgE5K&#10;xcXW8dYIGwdUEJpFlBQa5QPdZLZSCh6/SBlEJLqiqDTmFZtgvEtrsVmz1R6YbxQfKbCXUHimyTBl&#10;sekFassiIy2of6CM4uCCk3HCnSkGIdkRVDEtn3lz3zAvsha0OviL6eH/wfLPhzsgqq7oorx+R4ll&#10;Bmd++vXz9Pvv6c8PskgOdT6ssPDe38G4Cxgmub0Ek74ohPTZ1ePFVdFHwvFwPlssrpaUcEzNy3K+&#10;XCbM4vFnDyF+EM6QFFQUcGjZS3b4FOJQei5JvbRNq3W3Sushm06KRHKglaLY7/qR687VR9TY4ZAr&#10;Gr63DAQl+qNFF9ONOAdwDnbnoPWg9g0ymmY61r1vo5MqU0o9BuCxNc4nixrvUroAT/e56vH9b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mxNBtkAAAAHAQAADwAAAAAAAAABACAAAAAiAAAAZHJz&#10;L2Rvd25yZXYueG1sUEsBAhQAFAAAAAgAh07iQF6XqqLKAQAAhwMAAA4AAAAAAAAAAQAgAAAAKAEA&#10;AGRycy9lMm9Eb2MueG1sUEsFBgAAAAAGAAYAWQEAAGQFAAAAAA==&#10;">
              <v:fill on="f" focussize="0,0"/>
              <v:stroke on="f"/>
              <v:imagedata o:title=""/>
              <o:lock v:ext="edit" aspectratio="f"/>
              <v:textbox inset="0mm,0mm,0mm,0mm">
                <w:txbxContent>
                  <w:p w14:paraId="6EF00DC0">
                    <w:pPr>
                      <w:pStyle w:val="32"/>
                      <w:jc w:val="center"/>
                    </w:pPr>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txbxContent>
              </v:textbox>
            </v:rect>
          </w:pict>
        </mc:Fallback>
      </mc:AlternateContent>
    </w:r>
  </w:p>
  <w:p w14:paraId="22E9CD5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E9F9">
    <w:pPr>
      <w:pStyle w:val="36"/>
      <w:pBdr>
        <w:bottom w:val="none" w:color="auto" w:sz="0" w:space="1"/>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E374">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3">
    <w:nsid w:val="0053208E"/>
    <w:multiLevelType w:val="singleLevel"/>
    <w:tmpl w:val="0053208E"/>
    <w:lvl w:ilvl="0" w:tentative="0">
      <w:start w:val="1"/>
      <w:numFmt w:val="decimal"/>
      <w:pStyle w:val="22"/>
      <w:lvlText w:val="%1."/>
      <w:lvlJc w:val="left"/>
      <w:pPr>
        <w:tabs>
          <w:tab w:val="left" w:pos="1200"/>
        </w:tabs>
        <w:ind w:left="120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trackRevisions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C6"/>
    <w:rsid w:val="004303FD"/>
    <w:rsid w:val="00482C60"/>
    <w:rsid w:val="00515B20"/>
    <w:rsid w:val="009A1CEA"/>
    <w:rsid w:val="009B69F4"/>
    <w:rsid w:val="00EC7FC6"/>
    <w:rsid w:val="016B46D3"/>
    <w:rsid w:val="022F0340"/>
    <w:rsid w:val="038908D8"/>
    <w:rsid w:val="04011D9C"/>
    <w:rsid w:val="04DC5D07"/>
    <w:rsid w:val="0587317A"/>
    <w:rsid w:val="07153AD3"/>
    <w:rsid w:val="098470A4"/>
    <w:rsid w:val="0C846D6F"/>
    <w:rsid w:val="0D271E5A"/>
    <w:rsid w:val="0DF20110"/>
    <w:rsid w:val="0E2C0B1C"/>
    <w:rsid w:val="0EEA5AEC"/>
    <w:rsid w:val="10720D11"/>
    <w:rsid w:val="10F24BE9"/>
    <w:rsid w:val="130E556B"/>
    <w:rsid w:val="15747BBA"/>
    <w:rsid w:val="15846B96"/>
    <w:rsid w:val="158D1367"/>
    <w:rsid w:val="16C168ED"/>
    <w:rsid w:val="1939738F"/>
    <w:rsid w:val="196D7483"/>
    <w:rsid w:val="1BB15122"/>
    <w:rsid w:val="1C4306F9"/>
    <w:rsid w:val="1C5226CA"/>
    <w:rsid w:val="1D3318B0"/>
    <w:rsid w:val="1E1B7B7F"/>
    <w:rsid w:val="20743577"/>
    <w:rsid w:val="218D3835"/>
    <w:rsid w:val="22E37AE3"/>
    <w:rsid w:val="22F1545A"/>
    <w:rsid w:val="23DA7B34"/>
    <w:rsid w:val="240F5A90"/>
    <w:rsid w:val="24912949"/>
    <w:rsid w:val="25BF7042"/>
    <w:rsid w:val="26104CDA"/>
    <w:rsid w:val="263D1690"/>
    <w:rsid w:val="28EF7C3E"/>
    <w:rsid w:val="29592165"/>
    <w:rsid w:val="298B7936"/>
    <w:rsid w:val="2A1028FD"/>
    <w:rsid w:val="2A4610CA"/>
    <w:rsid w:val="2D6401E5"/>
    <w:rsid w:val="2DB453D7"/>
    <w:rsid w:val="2DB52DBB"/>
    <w:rsid w:val="2E1E55CD"/>
    <w:rsid w:val="2FD646B0"/>
    <w:rsid w:val="30584C2F"/>
    <w:rsid w:val="32AF1B92"/>
    <w:rsid w:val="332A5655"/>
    <w:rsid w:val="35D0327D"/>
    <w:rsid w:val="35D52163"/>
    <w:rsid w:val="360E115B"/>
    <w:rsid w:val="36EB1C12"/>
    <w:rsid w:val="37A13056"/>
    <w:rsid w:val="390E7E8D"/>
    <w:rsid w:val="39224BC9"/>
    <w:rsid w:val="3BC617A2"/>
    <w:rsid w:val="3C4A7DB4"/>
    <w:rsid w:val="3D6A4143"/>
    <w:rsid w:val="3FE0565D"/>
    <w:rsid w:val="41083B3B"/>
    <w:rsid w:val="41465513"/>
    <w:rsid w:val="41A24C3E"/>
    <w:rsid w:val="422D291F"/>
    <w:rsid w:val="43D50475"/>
    <w:rsid w:val="454B1790"/>
    <w:rsid w:val="45BC5CF7"/>
    <w:rsid w:val="47903FEB"/>
    <w:rsid w:val="4827556C"/>
    <w:rsid w:val="487F2D00"/>
    <w:rsid w:val="4B6D2F19"/>
    <w:rsid w:val="4BA24DA3"/>
    <w:rsid w:val="4E987CEC"/>
    <w:rsid w:val="4ED626E7"/>
    <w:rsid w:val="4F55636D"/>
    <w:rsid w:val="51AA7BE9"/>
    <w:rsid w:val="51E878A0"/>
    <w:rsid w:val="530B071F"/>
    <w:rsid w:val="55EE5057"/>
    <w:rsid w:val="57E94FF9"/>
    <w:rsid w:val="57FD4CE2"/>
    <w:rsid w:val="58067A86"/>
    <w:rsid w:val="594D738F"/>
    <w:rsid w:val="598D07F3"/>
    <w:rsid w:val="5A1C1C2C"/>
    <w:rsid w:val="5A6D4132"/>
    <w:rsid w:val="5C481EE1"/>
    <w:rsid w:val="5CB91471"/>
    <w:rsid w:val="5CF62F68"/>
    <w:rsid w:val="5D0014EF"/>
    <w:rsid w:val="5D8E39FF"/>
    <w:rsid w:val="5F2D74BA"/>
    <w:rsid w:val="5F3B5A4A"/>
    <w:rsid w:val="609A54D3"/>
    <w:rsid w:val="618047FF"/>
    <w:rsid w:val="618E30BD"/>
    <w:rsid w:val="628C3626"/>
    <w:rsid w:val="62A54D69"/>
    <w:rsid w:val="639F55E2"/>
    <w:rsid w:val="65CD123B"/>
    <w:rsid w:val="65D514A1"/>
    <w:rsid w:val="662C7231"/>
    <w:rsid w:val="677D408C"/>
    <w:rsid w:val="6A505A87"/>
    <w:rsid w:val="6D395D20"/>
    <w:rsid w:val="6EEC5736"/>
    <w:rsid w:val="6F9C1E7B"/>
    <w:rsid w:val="6FB70BDF"/>
    <w:rsid w:val="708D1F8D"/>
    <w:rsid w:val="71625DE7"/>
    <w:rsid w:val="71A43985"/>
    <w:rsid w:val="72184297"/>
    <w:rsid w:val="72191F5D"/>
    <w:rsid w:val="739F35DC"/>
    <w:rsid w:val="749462BE"/>
    <w:rsid w:val="74AF3601"/>
    <w:rsid w:val="7547108F"/>
    <w:rsid w:val="76E74A57"/>
    <w:rsid w:val="7BF05DA0"/>
    <w:rsid w:val="7CF21471"/>
    <w:rsid w:val="7D62DA37"/>
    <w:rsid w:val="7DD3496C"/>
    <w:rsid w:val="7E4B40E2"/>
    <w:rsid w:val="7E8F69CF"/>
    <w:rsid w:val="7FF75DA5"/>
    <w:rsid w:val="8AD5340A"/>
    <w:rsid w:val="F6FBD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before="340" w:after="330" w:line="360" w:lineRule="auto"/>
      <w:jc w:val="center"/>
      <w:outlineLvl w:val="0"/>
    </w:pPr>
    <w:rPr>
      <w:b/>
      <w:bCs/>
      <w:kern w:val="44"/>
      <w:sz w:val="32"/>
      <w:szCs w:val="44"/>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3"/>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5"/>
    <w:qFormat/>
    <w:uiPriority w:val="0"/>
    <w:pPr>
      <w:keepNext/>
      <w:keepLines/>
      <w:numPr>
        <w:ilvl w:val="6"/>
        <w:numId w:val="1"/>
      </w:numPr>
      <w:spacing w:before="240" w:after="64" w:line="320" w:lineRule="auto"/>
      <w:outlineLvl w:val="6"/>
    </w:pPr>
    <w:rPr>
      <w:b/>
      <w:sz w:val="24"/>
    </w:rPr>
  </w:style>
  <w:style w:type="paragraph" w:styleId="11">
    <w:name w:val="heading 8"/>
    <w:basedOn w:val="1"/>
    <w:next w:val="9"/>
    <w:link w:val="7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7"/>
    <w:qFormat/>
    <w:uiPriority w:val="0"/>
    <w:pPr>
      <w:keepNext/>
      <w:keepLines/>
      <w:numPr>
        <w:ilvl w:val="8"/>
        <w:numId w:val="1"/>
      </w:numPr>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styleId="9">
    <w:name w:val="Normal Indent"/>
    <w:basedOn w:val="1"/>
    <w:qFormat/>
    <w:uiPriority w:val="0"/>
    <w:pPr>
      <w:ind w:firstLine="420"/>
    </w:pPr>
    <w:rPr>
      <w:szCs w:val="20"/>
    </w:rPr>
  </w:style>
  <w:style w:type="paragraph" w:styleId="13">
    <w:name w:val="toc 7"/>
    <w:basedOn w:val="1"/>
    <w:next w:val="1"/>
    <w:qFormat/>
    <w:uiPriority w:val="0"/>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annotation text"/>
    <w:basedOn w:val="1"/>
    <w:link w:val="78"/>
    <w:qFormat/>
    <w:uiPriority w:val="0"/>
    <w:pPr>
      <w:jc w:val="left"/>
    </w:pPr>
  </w:style>
  <w:style w:type="paragraph" w:styleId="18">
    <w:name w:val="Body Text 3"/>
    <w:basedOn w:val="1"/>
    <w:next w:val="9"/>
    <w:link w:val="79"/>
    <w:qFormat/>
    <w:uiPriority w:val="0"/>
    <w:pPr>
      <w:spacing w:line="500" w:lineRule="exact"/>
    </w:pPr>
    <w:rPr>
      <w:b/>
      <w:bCs/>
      <w:kern w:val="0"/>
      <w:sz w:val="24"/>
    </w:rPr>
  </w:style>
  <w:style w:type="paragraph" w:styleId="19">
    <w:name w:val="Body Text"/>
    <w:basedOn w:val="1"/>
    <w:link w:val="80"/>
    <w:qFormat/>
    <w:uiPriority w:val="0"/>
    <w:pPr>
      <w:spacing w:line="380" w:lineRule="exact"/>
    </w:pPr>
    <w:rPr>
      <w:kern w:val="0"/>
      <w:sz w:val="24"/>
    </w:rPr>
  </w:style>
  <w:style w:type="paragraph" w:styleId="20">
    <w:name w:val="Body Text Indent"/>
    <w:basedOn w:val="1"/>
    <w:next w:val="21"/>
    <w:link w:val="81"/>
    <w:qFormat/>
    <w:uiPriority w:val="0"/>
    <w:pPr>
      <w:ind w:firstLine="830" w:firstLineChars="352"/>
    </w:pPr>
    <w:rPr>
      <w:rFonts w:ascii="仿宋_GB2312" w:eastAsia="仿宋_GB2312"/>
      <w:kern w:val="0"/>
      <w:sz w:val="32"/>
      <w:szCs w:val="20"/>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next w:val="1"/>
    <w:link w:val="82"/>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3"/>
    <w:qFormat/>
    <w:uiPriority w:val="0"/>
    <w:pPr>
      <w:ind w:left="100" w:leftChars="2500"/>
    </w:pPr>
    <w:rPr>
      <w:rFonts w:ascii="宋体" w:hAnsi="Courier New"/>
      <w:kern w:val="0"/>
      <w:sz w:val="20"/>
      <w:szCs w:val="21"/>
    </w:rPr>
  </w:style>
  <w:style w:type="paragraph" w:styleId="29">
    <w:name w:val="Body Text Indent 2"/>
    <w:basedOn w:val="1"/>
    <w:link w:val="84"/>
    <w:qFormat/>
    <w:uiPriority w:val="0"/>
    <w:pPr>
      <w:ind w:firstLine="630"/>
    </w:pPr>
    <w:rPr>
      <w:kern w:val="0"/>
      <w:sz w:val="32"/>
      <w:szCs w:val="20"/>
    </w:rPr>
  </w:style>
  <w:style w:type="paragraph" w:styleId="30">
    <w:name w:val="endnote text"/>
    <w:basedOn w:val="1"/>
    <w:link w:val="85"/>
    <w:qFormat/>
    <w:uiPriority w:val="0"/>
    <w:pPr>
      <w:snapToGrid w:val="0"/>
      <w:jc w:val="left"/>
    </w:pPr>
  </w:style>
  <w:style w:type="paragraph" w:styleId="31">
    <w:name w:val="Balloon Text"/>
    <w:basedOn w:val="1"/>
    <w:link w:val="86"/>
    <w:qFormat/>
    <w:uiPriority w:val="99"/>
    <w:rPr>
      <w:kern w:val="0"/>
      <w:sz w:val="18"/>
      <w:szCs w:val="18"/>
    </w:rPr>
  </w:style>
  <w:style w:type="paragraph" w:styleId="32">
    <w:name w:val="footer"/>
    <w:basedOn w:val="1"/>
    <w:next w:val="33"/>
    <w:link w:val="87"/>
    <w:qFormat/>
    <w:uiPriority w:val="0"/>
    <w:pPr>
      <w:tabs>
        <w:tab w:val="center" w:pos="4153"/>
        <w:tab w:val="right" w:pos="8306"/>
      </w:tabs>
      <w:snapToGrid w:val="0"/>
      <w:jc w:val="left"/>
    </w:pPr>
    <w:rPr>
      <w:kern w:val="0"/>
      <w:sz w:val="18"/>
      <w:szCs w:val="18"/>
    </w:rPr>
  </w:style>
  <w:style w:type="paragraph" w:styleId="33">
    <w:name w:val="Intense Quote"/>
    <w:basedOn w:val="34"/>
    <w:next w:val="34"/>
    <w:qFormat/>
    <w:uiPriority w:val="0"/>
    <w:pPr>
      <w:pBdr>
        <w:bottom w:val="single" w:color="4F81BD" w:sz="4" w:space="4"/>
      </w:pBdr>
      <w:spacing w:before="200" w:after="280"/>
      <w:ind w:left="936" w:right="936"/>
    </w:pPr>
    <w:rPr>
      <w:rFonts w:ascii="Calibri" w:hAnsi="Calibri"/>
      <w:b/>
      <w:i/>
      <w:color w:val="4F81BD"/>
    </w:rPr>
  </w:style>
  <w:style w:type="paragraph" w:customStyle="1" w:styleId="34">
    <w:name w:val="正文_2"/>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页脚_1"/>
    <w:basedOn w:val="34"/>
    <w:next w:val="33"/>
    <w:unhideWhenUsed/>
    <w:qFormat/>
    <w:uiPriority w:val="99"/>
    <w:pPr>
      <w:tabs>
        <w:tab w:val="center" w:pos="4153"/>
        <w:tab w:val="right" w:pos="8306"/>
      </w:tabs>
      <w:snapToGrid w:val="0"/>
      <w:jc w:val="left"/>
    </w:pPr>
    <w:rPr>
      <w:sz w:val="18"/>
      <w:szCs w:val="18"/>
    </w:rPr>
  </w:style>
  <w:style w:type="paragraph" w:styleId="36">
    <w:name w:val="header"/>
    <w:basedOn w:val="1"/>
    <w:link w:val="88"/>
    <w:qFormat/>
    <w:uiPriority w:val="0"/>
    <w:pPr>
      <w:pBdr>
        <w:bottom w:val="single" w:color="auto" w:sz="6" w:space="1"/>
      </w:pBdr>
      <w:tabs>
        <w:tab w:val="center" w:pos="0"/>
        <w:tab w:val="left" w:pos="8306"/>
      </w:tabs>
      <w:snapToGrid w:val="0"/>
      <w:jc w:val="center"/>
    </w:pPr>
    <w:rPr>
      <w:sz w:val="18"/>
      <w:szCs w:val="18"/>
    </w:rPr>
  </w:style>
  <w:style w:type="paragraph" w:styleId="37">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8">
    <w:name w:val="toc 4"/>
    <w:basedOn w:val="1"/>
    <w:next w:val="1"/>
    <w:qFormat/>
    <w:uiPriority w:val="0"/>
    <w:pPr>
      <w:ind w:left="1260" w:leftChars="600"/>
    </w:pPr>
    <w:rPr>
      <w:rFonts w:ascii="Calibri" w:hAnsi="Calibri"/>
      <w:szCs w:val="22"/>
    </w:rPr>
  </w:style>
  <w:style w:type="paragraph" w:styleId="3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89"/>
    <w:qFormat/>
    <w:uiPriority w:val="0"/>
    <w:pPr>
      <w:snapToGrid w:val="0"/>
      <w:jc w:val="left"/>
    </w:pPr>
    <w:rPr>
      <w:sz w:val="18"/>
      <w:szCs w:val="18"/>
    </w:rPr>
  </w:style>
  <w:style w:type="paragraph" w:styleId="42">
    <w:name w:val="toc 6"/>
    <w:basedOn w:val="1"/>
    <w:next w:val="1"/>
    <w:qFormat/>
    <w:uiPriority w:val="0"/>
    <w:pPr>
      <w:ind w:left="2100" w:leftChars="1000"/>
    </w:pPr>
    <w:rPr>
      <w:rFonts w:ascii="Calibri" w:hAnsi="Calibri"/>
      <w:szCs w:val="22"/>
    </w:rPr>
  </w:style>
  <w:style w:type="paragraph" w:styleId="43">
    <w:name w:val="Body Text Indent 3"/>
    <w:basedOn w:val="1"/>
    <w:link w:val="90"/>
    <w:qFormat/>
    <w:uiPriority w:val="0"/>
    <w:pPr>
      <w:spacing w:after="120"/>
      <w:ind w:left="420" w:leftChars="200"/>
    </w:pPr>
    <w:rPr>
      <w:kern w:val="0"/>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rPr>
      <w:rFonts w:ascii="Calibri" w:hAnsi="Calibri"/>
      <w:szCs w:val="22"/>
    </w:rPr>
  </w:style>
  <w:style w:type="paragraph" w:styleId="46">
    <w:name w:val="Body Text 2"/>
    <w:basedOn w:val="1"/>
    <w:link w:val="91"/>
    <w:qFormat/>
    <w:uiPriority w:val="0"/>
    <w:pPr>
      <w:spacing w:after="120" w:line="480" w:lineRule="auto"/>
    </w:pPr>
    <w:rPr>
      <w:kern w:val="0"/>
      <w:sz w:val="20"/>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next w:val="1"/>
    <w:link w:val="92"/>
    <w:qFormat/>
    <w:uiPriority w:val="0"/>
    <w:pPr>
      <w:spacing w:before="240" w:after="60"/>
      <w:jc w:val="center"/>
      <w:outlineLvl w:val="0"/>
    </w:pPr>
    <w:rPr>
      <w:rFonts w:ascii="Cambria" w:hAnsi="Cambria"/>
      <w:b/>
      <w:bCs/>
      <w:sz w:val="32"/>
      <w:szCs w:val="32"/>
    </w:rPr>
  </w:style>
  <w:style w:type="paragraph" w:styleId="49">
    <w:name w:val="annotation subject"/>
    <w:basedOn w:val="17"/>
    <w:next w:val="17"/>
    <w:link w:val="93"/>
    <w:qFormat/>
    <w:uiPriority w:val="0"/>
    <w:rPr>
      <w:b/>
      <w:bCs/>
    </w:rPr>
  </w:style>
  <w:style w:type="paragraph" w:styleId="50">
    <w:name w:val="Body Text First Indent"/>
    <w:basedOn w:val="19"/>
    <w:next w:val="1"/>
    <w:qFormat/>
    <w:uiPriority w:val="0"/>
    <w:pPr>
      <w:ind w:firstLine="420" w:firstLineChars="100"/>
    </w:pPr>
  </w:style>
  <w:style w:type="paragraph" w:styleId="51">
    <w:name w:val="Body Text First Indent 2"/>
    <w:basedOn w:val="1"/>
    <w:next w:val="9"/>
    <w:qFormat/>
    <w:uiPriority w:val="0"/>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rFonts w:ascii="Times New Roman" w:hAnsi="Times New Roman" w:eastAsia="宋体" w:cs="Times New Roman"/>
      <w:b/>
    </w:rPr>
  </w:style>
  <w:style w:type="character" w:styleId="56">
    <w:name w:val="endnote reference"/>
    <w:qFormat/>
    <w:uiPriority w:val="0"/>
    <w:rPr>
      <w:rFonts w:ascii="Times New Roman" w:hAnsi="Times New Roman" w:eastAsia="宋体" w:cs="Times New Roman"/>
      <w:vertAlign w:val="superscript"/>
    </w:rPr>
  </w:style>
  <w:style w:type="character" w:styleId="57">
    <w:name w:val="page number"/>
    <w:basedOn w:val="54"/>
    <w:qFormat/>
    <w:uiPriority w:val="0"/>
    <w:rPr>
      <w:rFonts w:ascii="Times New Roman" w:hAnsi="Times New Roman" w:eastAsia="宋体" w:cs="Times New Roman"/>
    </w:rPr>
  </w:style>
  <w:style w:type="character" w:styleId="58">
    <w:name w:val="FollowedHyperlink"/>
    <w:qFormat/>
    <w:uiPriority w:val="0"/>
    <w:rPr>
      <w:rFonts w:ascii="Times New Roman" w:hAnsi="Times New Roman" w:eastAsia="宋体" w:cs="Times New Roman"/>
      <w:color w:val="333333"/>
      <w:u w:val="none"/>
    </w:rPr>
  </w:style>
  <w:style w:type="character" w:styleId="59">
    <w:name w:val="Emphasis"/>
    <w:qFormat/>
    <w:uiPriority w:val="0"/>
    <w:rPr>
      <w:rFonts w:ascii="Times New Roman" w:hAnsi="Times New Roman" w:eastAsia="宋体" w:cs="Times New Roman"/>
    </w:rPr>
  </w:style>
  <w:style w:type="character" w:styleId="60">
    <w:name w:val="Hyperlink"/>
    <w:qFormat/>
    <w:uiPriority w:val="0"/>
    <w:rPr>
      <w:rFonts w:ascii="Times New Roman" w:hAnsi="Times New Roman" w:eastAsia="宋体" w:cs="Times New Roman"/>
      <w:color w:val="333333"/>
      <w:u w:val="none"/>
    </w:rPr>
  </w:style>
  <w:style w:type="character" w:styleId="61">
    <w:name w:val="annotation reference"/>
    <w:qFormat/>
    <w:uiPriority w:val="0"/>
    <w:rPr>
      <w:rFonts w:ascii="Times New Roman" w:hAnsi="Times New Roman" w:eastAsia="宋体" w:cs="Times New Roman"/>
      <w:sz w:val="21"/>
      <w:szCs w:val="21"/>
    </w:rPr>
  </w:style>
  <w:style w:type="character" w:styleId="62">
    <w:name w:val="HTML Cite"/>
    <w:qFormat/>
    <w:uiPriority w:val="0"/>
    <w:rPr>
      <w:rFonts w:ascii="Times New Roman" w:hAnsi="Times New Roman" w:eastAsia="宋体" w:cs="Times New Roman"/>
    </w:rPr>
  </w:style>
  <w:style w:type="character" w:styleId="63">
    <w:name w:val="footnote reference"/>
    <w:qFormat/>
    <w:uiPriority w:val="0"/>
    <w:rPr>
      <w:rFonts w:ascii="Times New Roman" w:hAnsi="Times New Roman" w:eastAsia="宋体" w:cs="Times New Roman"/>
      <w:vertAlign w:val="superscript"/>
    </w:rPr>
  </w:style>
  <w:style w:type="character" w:styleId="64">
    <w:name w:val="HTML Sample"/>
    <w:basedOn w:val="54"/>
    <w:qFormat/>
    <w:uiPriority w:val="0"/>
    <w:rPr>
      <w:rFonts w:ascii="Courier New" w:hAnsi="Courier New"/>
    </w:rPr>
  </w:style>
  <w:style w:type="character" w:customStyle="1" w:styleId="65">
    <w:name w:val="标题 1 字符1"/>
    <w:link w:val="3"/>
    <w:qFormat/>
    <w:uiPriority w:val="0"/>
    <w:rPr>
      <w:rFonts w:ascii="Times New Roman" w:hAnsi="Times New Roman" w:eastAsia="宋体" w:cs="Times New Roman"/>
      <w:b/>
      <w:bCs/>
      <w:kern w:val="44"/>
      <w:sz w:val="32"/>
      <w:szCs w:val="44"/>
    </w:rPr>
  </w:style>
  <w:style w:type="character" w:customStyle="1" w:styleId="66">
    <w:name w:val="标题 2 字符"/>
    <w:link w:val="4"/>
    <w:qFormat/>
    <w:uiPriority w:val="0"/>
    <w:rPr>
      <w:rFonts w:ascii="Arial" w:hAnsi="Arial" w:eastAsia="黑体" w:cs="Times New Roman"/>
      <w:b/>
      <w:bCs/>
      <w:sz w:val="32"/>
      <w:szCs w:val="32"/>
    </w:rPr>
  </w:style>
  <w:style w:type="paragraph" w:customStyle="1" w:styleId="6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69">
    <w:name w:val="BodyText"/>
    <w:basedOn w:val="1"/>
    <w:qFormat/>
    <w:uiPriority w:val="0"/>
    <w:pPr>
      <w:textAlignment w:val="baseline"/>
    </w:pPr>
    <w:rPr>
      <w:szCs w:val="21"/>
    </w:rPr>
  </w:style>
  <w:style w:type="paragraph" w:customStyle="1" w:styleId="70">
    <w:name w:val="BodyText1I2"/>
    <w:basedOn w:val="71"/>
    <w:qFormat/>
    <w:uiPriority w:val="0"/>
    <w:pPr>
      <w:ind w:firstLine="420" w:firstLineChars="200"/>
    </w:pPr>
    <w:rPr>
      <w:rFonts w:ascii="Times New Roman" w:eastAsia="宋体"/>
    </w:rPr>
  </w:style>
  <w:style w:type="paragraph" w:customStyle="1" w:styleId="71">
    <w:name w:val="BodyTextIndent"/>
    <w:basedOn w:val="1"/>
    <w:qFormat/>
    <w:uiPriority w:val="0"/>
    <w:pPr>
      <w:ind w:firstLine="830" w:firstLineChars="352"/>
      <w:textAlignment w:val="baseline"/>
    </w:pPr>
    <w:rPr>
      <w:rFonts w:ascii="仿宋_GB2312" w:eastAsia="仿宋_GB2312"/>
      <w:kern w:val="0"/>
      <w:sz w:val="32"/>
      <w:szCs w:val="20"/>
    </w:rPr>
  </w:style>
  <w:style w:type="character" w:customStyle="1" w:styleId="72">
    <w:name w:val="标题 3 字符"/>
    <w:link w:val="5"/>
    <w:qFormat/>
    <w:uiPriority w:val="0"/>
    <w:rPr>
      <w:rFonts w:ascii="Times New Roman" w:hAnsi="Times New Roman" w:eastAsia="宋体" w:cs="Times New Roman"/>
      <w:b/>
      <w:bCs/>
      <w:sz w:val="32"/>
      <w:szCs w:val="32"/>
    </w:rPr>
  </w:style>
  <w:style w:type="character" w:customStyle="1" w:styleId="73">
    <w:name w:val="标题 5 字符"/>
    <w:link w:val="7"/>
    <w:qFormat/>
    <w:uiPriority w:val="0"/>
    <w:rPr>
      <w:rFonts w:ascii="Times New Roman" w:hAnsi="Times New Roman" w:eastAsia="宋体" w:cs="Times New Roman"/>
      <w:b/>
      <w:kern w:val="2"/>
      <w:sz w:val="28"/>
      <w:szCs w:val="24"/>
    </w:rPr>
  </w:style>
  <w:style w:type="character" w:customStyle="1" w:styleId="74">
    <w:name w:val="标题 6 字符"/>
    <w:link w:val="8"/>
    <w:qFormat/>
    <w:uiPriority w:val="0"/>
    <w:rPr>
      <w:rFonts w:ascii="Arial" w:hAnsi="Arial" w:eastAsia="黑体" w:cs="Times New Roman"/>
      <w:b/>
      <w:kern w:val="2"/>
      <w:sz w:val="24"/>
      <w:szCs w:val="24"/>
    </w:rPr>
  </w:style>
  <w:style w:type="character" w:customStyle="1" w:styleId="75">
    <w:name w:val="标题 7 字符"/>
    <w:link w:val="10"/>
    <w:qFormat/>
    <w:uiPriority w:val="0"/>
    <w:rPr>
      <w:rFonts w:ascii="Times New Roman" w:hAnsi="Times New Roman" w:eastAsia="宋体" w:cs="Times New Roman"/>
      <w:b/>
      <w:kern w:val="2"/>
      <w:sz w:val="24"/>
      <w:szCs w:val="24"/>
    </w:rPr>
  </w:style>
  <w:style w:type="character" w:customStyle="1" w:styleId="76">
    <w:name w:val="标题 8 字符"/>
    <w:link w:val="11"/>
    <w:qFormat/>
    <w:uiPriority w:val="0"/>
    <w:rPr>
      <w:rFonts w:ascii="Arial" w:hAnsi="Arial" w:eastAsia="黑体" w:cs="Times New Roman"/>
      <w:kern w:val="2"/>
      <w:sz w:val="24"/>
      <w:szCs w:val="24"/>
    </w:rPr>
  </w:style>
  <w:style w:type="character" w:customStyle="1" w:styleId="77">
    <w:name w:val="标题 9 字符"/>
    <w:link w:val="12"/>
    <w:qFormat/>
    <w:uiPriority w:val="0"/>
    <w:rPr>
      <w:rFonts w:ascii="Arial" w:hAnsi="Arial" w:eastAsia="黑体" w:cs="Times New Roman"/>
      <w:kern w:val="2"/>
      <w:sz w:val="21"/>
      <w:szCs w:val="24"/>
    </w:rPr>
  </w:style>
  <w:style w:type="character" w:customStyle="1" w:styleId="78">
    <w:name w:val="批注文字 字符2"/>
    <w:link w:val="17"/>
    <w:qFormat/>
    <w:uiPriority w:val="0"/>
    <w:rPr>
      <w:rFonts w:ascii="Times New Roman" w:hAnsi="Times New Roman" w:eastAsia="宋体" w:cs="Times New Roman"/>
      <w:kern w:val="2"/>
      <w:sz w:val="21"/>
      <w:szCs w:val="24"/>
    </w:rPr>
  </w:style>
  <w:style w:type="character" w:customStyle="1" w:styleId="79">
    <w:name w:val="正文文本 3 字符"/>
    <w:link w:val="18"/>
    <w:qFormat/>
    <w:uiPriority w:val="0"/>
    <w:rPr>
      <w:rFonts w:ascii="Times New Roman" w:hAnsi="Times New Roman" w:eastAsia="宋体" w:cs="Times New Roman"/>
      <w:b/>
      <w:bCs/>
      <w:sz w:val="24"/>
      <w:szCs w:val="24"/>
    </w:rPr>
  </w:style>
  <w:style w:type="character" w:customStyle="1" w:styleId="80">
    <w:name w:val="正文文本 字符"/>
    <w:link w:val="19"/>
    <w:qFormat/>
    <w:uiPriority w:val="0"/>
    <w:rPr>
      <w:rFonts w:ascii="Times New Roman" w:hAnsi="Times New Roman" w:eastAsia="宋体" w:cs="Times New Roman"/>
      <w:sz w:val="24"/>
      <w:szCs w:val="24"/>
    </w:rPr>
  </w:style>
  <w:style w:type="character" w:customStyle="1" w:styleId="81">
    <w:name w:val="正文文本缩进 字符1"/>
    <w:link w:val="20"/>
    <w:qFormat/>
    <w:uiPriority w:val="0"/>
    <w:rPr>
      <w:rFonts w:ascii="仿宋_GB2312" w:hAnsi="Times New Roman" w:eastAsia="仿宋_GB2312" w:cs="Times New Roman"/>
      <w:sz w:val="32"/>
      <w:szCs w:val="20"/>
    </w:rPr>
  </w:style>
  <w:style w:type="character" w:customStyle="1" w:styleId="82">
    <w:name w:val="纯文本 字符3"/>
    <w:link w:val="26"/>
    <w:qFormat/>
    <w:uiPriority w:val="0"/>
    <w:rPr>
      <w:rFonts w:ascii="宋体" w:hAnsi="Courier New" w:eastAsia="宋体" w:cs="Courier New"/>
      <w:szCs w:val="21"/>
    </w:rPr>
  </w:style>
  <w:style w:type="character" w:customStyle="1" w:styleId="83">
    <w:name w:val="日期 字符"/>
    <w:link w:val="28"/>
    <w:qFormat/>
    <w:uiPriority w:val="0"/>
    <w:rPr>
      <w:rFonts w:ascii="宋体" w:hAnsi="Courier New" w:eastAsia="宋体" w:cs="Courier New"/>
      <w:szCs w:val="21"/>
    </w:rPr>
  </w:style>
  <w:style w:type="character" w:customStyle="1" w:styleId="84">
    <w:name w:val="正文文本缩进 2 字符"/>
    <w:link w:val="29"/>
    <w:qFormat/>
    <w:uiPriority w:val="0"/>
    <w:rPr>
      <w:rFonts w:ascii="Times New Roman" w:hAnsi="Times New Roman" w:eastAsia="宋体" w:cs="Times New Roman"/>
      <w:sz w:val="32"/>
      <w:szCs w:val="20"/>
    </w:rPr>
  </w:style>
  <w:style w:type="character" w:customStyle="1" w:styleId="85">
    <w:name w:val="尾注文本 字符"/>
    <w:link w:val="30"/>
    <w:qFormat/>
    <w:uiPriority w:val="0"/>
    <w:rPr>
      <w:rFonts w:ascii="Times New Roman" w:hAnsi="Times New Roman" w:eastAsia="宋体" w:cs="Times New Roman"/>
      <w:kern w:val="2"/>
      <w:sz w:val="21"/>
      <w:szCs w:val="24"/>
    </w:rPr>
  </w:style>
  <w:style w:type="character" w:customStyle="1" w:styleId="86">
    <w:name w:val="批注框文本 字符"/>
    <w:link w:val="31"/>
    <w:qFormat/>
    <w:uiPriority w:val="99"/>
    <w:rPr>
      <w:rFonts w:ascii="Times New Roman" w:hAnsi="Times New Roman" w:eastAsia="宋体" w:cs="Times New Roman"/>
      <w:sz w:val="18"/>
      <w:szCs w:val="18"/>
    </w:rPr>
  </w:style>
  <w:style w:type="character" w:customStyle="1" w:styleId="87">
    <w:name w:val="页脚 字符"/>
    <w:link w:val="32"/>
    <w:qFormat/>
    <w:uiPriority w:val="0"/>
    <w:rPr>
      <w:rFonts w:ascii="Times New Roman" w:hAnsi="Times New Roman" w:eastAsia="宋体" w:cs="Times New Roman"/>
      <w:sz w:val="18"/>
      <w:szCs w:val="18"/>
    </w:rPr>
  </w:style>
  <w:style w:type="character" w:customStyle="1" w:styleId="88">
    <w:name w:val="页眉 字符"/>
    <w:link w:val="36"/>
    <w:qFormat/>
    <w:uiPriority w:val="0"/>
    <w:rPr>
      <w:rFonts w:ascii="Times New Roman" w:hAnsi="Times New Roman" w:eastAsia="宋体" w:cs="Times New Roman"/>
      <w:kern w:val="2"/>
      <w:sz w:val="18"/>
      <w:szCs w:val="18"/>
    </w:rPr>
  </w:style>
  <w:style w:type="character" w:customStyle="1" w:styleId="89">
    <w:name w:val="脚注文本 字符"/>
    <w:link w:val="41"/>
    <w:qFormat/>
    <w:uiPriority w:val="0"/>
    <w:rPr>
      <w:rFonts w:ascii="Times New Roman" w:hAnsi="Times New Roman" w:eastAsia="宋体" w:cs="Times New Roman"/>
      <w:kern w:val="2"/>
      <w:sz w:val="18"/>
      <w:szCs w:val="18"/>
    </w:rPr>
  </w:style>
  <w:style w:type="character" w:customStyle="1" w:styleId="90">
    <w:name w:val="正文文本缩进 3 字符"/>
    <w:link w:val="43"/>
    <w:qFormat/>
    <w:uiPriority w:val="0"/>
    <w:rPr>
      <w:rFonts w:ascii="Times New Roman" w:hAnsi="Times New Roman" w:eastAsia="宋体" w:cs="Times New Roman"/>
      <w:sz w:val="16"/>
      <w:szCs w:val="16"/>
    </w:rPr>
  </w:style>
  <w:style w:type="character" w:customStyle="1" w:styleId="91">
    <w:name w:val="正文文本 2 字符"/>
    <w:link w:val="46"/>
    <w:qFormat/>
    <w:uiPriority w:val="0"/>
    <w:rPr>
      <w:rFonts w:ascii="Times New Roman" w:hAnsi="Times New Roman" w:eastAsia="宋体" w:cs="Times New Roman"/>
      <w:szCs w:val="24"/>
    </w:rPr>
  </w:style>
  <w:style w:type="character" w:customStyle="1" w:styleId="92">
    <w:name w:val="标题 字符"/>
    <w:link w:val="48"/>
    <w:qFormat/>
    <w:uiPriority w:val="0"/>
    <w:rPr>
      <w:rFonts w:ascii="Cambria" w:hAnsi="Cambria" w:eastAsia="宋体" w:cs="Times New Roman"/>
      <w:b/>
      <w:bCs/>
      <w:kern w:val="2"/>
      <w:sz w:val="32"/>
      <w:szCs w:val="32"/>
    </w:rPr>
  </w:style>
  <w:style w:type="character" w:customStyle="1" w:styleId="93">
    <w:name w:val="批注主题 字符"/>
    <w:link w:val="49"/>
    <w:qFormat/>
    <w:uiPriority w:val="0"/>
    <w:rPr>
      <w:rFonts w:ascii="Times New Roman" w:hAnsi="Times New Roman" w:eastAsia="宋体" w:cs="Times New Roman"/>
      <w:b/>
      <w:bCs/>
      <w:kern w:val="2"/>
      <w:sz w:val="21"/>
      <w:szCs w:val="24"/>
    </w:rPr>
  </w:style>
  <w:style w:type="paragraph" w:customStyle="1" w:styleId="9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5">
    <w:name w:val="List Paragraph"/>
    <w:basedOn w:val="1"/>
    <w:link w:val="96"/>
    <w:qFormat/>
    <w:uiPriority w:val="0"/>
    <w:pPr>
      <w:ind w:firstLine="420" w:firstLineChars="200"/>
    </w:pPr>
  </w:style>
  <w:style w:type="character" w:customStyle="1" w:styleId="96">
    <w:name w:val="列表段落 字符"/>
    <w:link w:val="95"/>
    <w:qFormat/>
    <w:uiPriority w:val="0"/>
    <w:rPr>
      <w:kern w:val="2"/>
      <w:sz w:val="21"/>
      <w:szCs w:val="24"/>
    </w:rPr>
  </w:style>
  <w:style w:type="character" w:customStyle="1" w:styleId="97">
    <w:name w:val="NormalCharacter"/>
    <w:qFormat/>
    <w:uiPriority w:val="0"/>
    <w:rPr>
      <w:rFonts w:ascii="Times New Roman" w:hAnsi="Times New Roman" w:eastAsia="宋体" w:cs="Times New Roman"/>
      <w:kern w:val="2"/>
      <w:sz w:val="21"/>
      <w:szCs w:val="24"/>
      <w:lang w:val="en-US" w:eastAsia="zh-CN" w:bidi="ar-SA"/>
    </w:rPr>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99">
    <w:name w:val="Index8"/>
    <w:basedOn w:val="1"/>
    <w:next w:val="1"/>
    <w:qFormat/>
    <w:uiPriority w:val="0"/>
    <w:pPr>
      <w:ind w:left="2940"/>
      <w:textAlignment w:val="baseline"/>
    </w:pPr>
  </w:style>
  <w:style w:type="paragraph" w:customStyle="1" w:styleId="100">
    <w:name w:val="PlainText"/>
    <w:basedOn w:val="1"/>
    <w:next w:val="99"/>
    <w:qFormat/>
    <w:uiPriority w:val="0"/>
    <w:pPr>
      <w:textAlignment w:val="baseline"/>
    </w:pPr>
    <w:rPr>
      <w:rFonts w:ascii="宋体" w:hAnsi="Courier New"/>
      <w:kern w:val="0"/>
      <w:sz w:val="20"/>
      <w:szCs w:val="21"/>
    </w:rPr>
  </w:style>
  <w:style w:type="paragraph" w:customStyle="1" w:styleId="101">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02">
    <w:name w:val="批注文字 Char1"/>
    <w:qFormat/>
    <w:uiPriority w:val="0"/>
    <w:rPr>
      <w:rFonts w:ascii="Times New Roman" w:hAnsi="Times New Roman" w:eastAsia="宋体" w:cs="Times New Roman"/>
      <w:kern w:val="2"/>
      <w:sz w:val="21"/>
      <w:szCs w:val="24"/>
    </w:rPr>
  </w:style>
  <w:style w:type="character" w:customStyle="1" w:styleId="103">
    <w:name w:val="font11"/>
    <w:qFormat/>
    <w:uiPriority w:val="0"/>
    <w:rPr>
      <w:rFonts w:hint="eastAsia" w:ascii="宋体" w:hAnsi="宋体" w:eastAsia="宋体" w:cs="宋体"/>
      <w:color w:val="000000"/>
      <w:sz w:val="21"/>
      <w:szCs w:val="21"/>
      <w:u w:val="none"/>
    </w:rPr>
  </w:style>
  <w:style w:type="character" w:customStyle="1" w:styleId="104">
    <w:name w:val="纯文本 字符1"/>
    <w:qFormat/>
    <w:uiPriority w:val="0"/>
    <w:rPr>
      <w:rFonts w:ascii="宋体" w:hAnsi="Courier New" w:eastAsia="宋体" w:cs="Times New Roman"/>
    </w:rPr>
  </w:style>
  <w:style w:type="character" w:customStyle="1" w:styleId="105">
    <w:name w:val="t_tag"/>
    <w:qFormat/>
    <w:uiPriority w:val="0"/>
    <w:rPr>
      <w:rFonts w:ascii="Times New Roman" w:hAnsi="Times New Roman" w:eastAsia="宋体" w:cs="Times New Roman"/>
    </w:rPr>
  </w:style>
  <w:style w:type="character" w:customStyle="1" w:styleId="106">
    <w:name w:val="font31"/>
    <w:qFormat/>
    <w:uiPriority w:val="0"/>
    <w:rPr>
      <w:rFonts w:ascii="Calibri" w:hAnsi="Calibri" w:eastAsia="宋体" w:cs="Calibri"/>
      <w:color w:val="000000"/>
      <w:sz w:val="21"/>
      <w:szCs w:val="21"/>
      <w:u w:val="none"/>
    </w:rPr>
  </w:style>
  <w:style w:type="character" w:customStyle="1" w:styleId="107">
    <w:name w:val="yide_line"/>
    <w:qFormat/>
    <w:uiPriority w:val="0"/>
    <w:rPr>
      <w:rFonts w:ascii="Times New Roman" w:hAnsi="Times New Roman" w:eastAsia="宋体" w:cs="Times New Roman"/>
    </w:rPr>
  </w:style>
  <w:style w:type="character" w:customStyle="1" w:styleId="108">
    <w:name w:val="标题 1 字符"/>
    <w:qFormat/>
    <w:uiPriority w:val="0"/>
    <w:rPr>
      <w:rFonts w:ascii="Times New Roman" w:hAnsi="Times New Roman" w:eastAsia="宋体" w:cs="Times New Roman"/>
      <w:b/>
      <w:bCs/>
      <w:kern w:val="44"/>
      <w:sz w:val="44"/>
      <w:szCs w:val="44"/>
    </w:rPr>
  </w:style>
  <w:style w:type="character" w:customStyle="1" w:styleId="109">
    <w:name w:val="纯文本 字符2"/>
    <w:qFormat/>
    <w:uiPriority w:val="0"/>
    <w:rPr>
      <w:rFonts w:ascii="宋体" w:hAnsi="Courier New" w:eastAsia="宋体" w:cs="Courier New"/>
      <w:szCs w:val="21"/>
    </w:rPr>
  </w:style>
  <w:style w:type="character" w:customStyle="1" w:styleId="110">
    <w:name w:val="普通文字 Char Char2"/>
    <w:qFormat/>
    <w:uiPriority w:val="0"/>
    <w:rPr>
      <w:rFonts w:ascii="宋体" w:hAnsi="Courier New" w:eastAsia="宋体" w:cs="Times New Roman"/>
      <w:kern w:val="2"/>
      <w:sz w:val="21"/>
      <w:lang w:val="en-US" w:eastAsia="zh-CN" w:bidi="ar-SA"/>
    </w:rPr>
  </w:style>
  <w:style w:type="character" w:customStyle="1" w:styleId="111">
    <w:name w:val="headline-content4"/>
    <w:qFormat/>
    <w:uiPriority w:val="0"/>
    <w:rPr>
      <w:rFonts w:ascii="Times New Roman" w:hAnsi="Times New Roman" w:eastAsia="宋体" w:cs="Times New Roman"/>
    </w:rPr>
  </w:style>
  <w:style w:type="character" w:customStyle="1" w:styleId="112">
    <w:name w:val="apple-style-span"/>
    <w:qFormat/>
    <w:uiPriority w:val="0"/>
    <w:rPr>
      <w:rFonts w:ascii="Times New Roman" w:hAnsi="Times New Roman" w:eastAsia="宋体" w:cs="Times New Roman"/>
    </w:rPr>
  </w:style>
  <w:style w:type="character" w:customStyle="1" w:styleId="113">
    <w:name w:val="纯文本 字符"/>
    <w:qFormat/>
    <w:uiPriority w:val="0"/>
    <w:rPr>
      <w:rFonts w:ascii="宋体" w:hAnsi="Courier New" w:eastAsia="宋体" w:cs="Courier New"/>
      <w:szCs w:val="21"/>
    </w:rPr>
  </w:style>
  <w:style w:type="character" w:customStyle="1" w:styleId="114">
    <w:name w:val="批注文字 字符"/>
    <w:qFormat/>
    <w:uiPriority w:val="0"/>
    <w:rPr>
      <w:rFonts w:ascii="Times New Roman" w:hAnsi="Times New Roman" w:eastAsia="宋体" w:cs="Times New Roman"/>
      <w:kern w:val="2"/>
      <w:sz w:val="21"/>
      <w:szCs w:val="24"/>
    </w:rPr>
  </w:style>
  <w:style w:type="character" w:customStyle="1" w:styleId="115">
    <w:name w:val="case31"/>
    <w:qFormat/>
    <w:uiPriority w:val="0"/>
    <w:rPr>
      <w:rFonts w:hint="default" w:ascii="_x000B__x000C_" w:hAnsi="_x000B__x000C_" w:eastAsia="宋体" w:cs="Times New Roman"/>
      <w:sz w:val="21"/>
      <w:szCs w:val="21"/>
    </w:rPr>
  </w:style>
  <w:style w:type="character" w:customStyle="1" w:styleId="116">
    <w:name w:val="textcontents"/>
    <w:qFormat/>
    <w:uiPriority w:val="0"/>
    <w:rPr>
      <w:rFonts w:ascii="Times New Roman" w:hAnsi="Times New Roman" w:eastAsia="宋体" w:cs="Times New Roman"/>
    </w:rPr>
  </w:style>
  <w:style w:type="character" w:customStyle="1" w:styleId="117">
    <w:name w:val="纯文本 Char"/>
    <w:qFormat/>
    <w:uiPriority w:val="0"/>
    <w:rPr>
      <w:rFonts w:ascii="宋体" w:hAnsi="Courier New" w:eastAsia="宋体" w:cs="Times New Roman"/>
      <w:kern w:val="2"/>
      <w:sz w:val="21"/>
      <w:lang w:val="en-US" w:eastAsia="zh-CN" w:bidi="ar-SA"/>
    </w:rPr>
  </w:style>
  <w:style w:type="character" w:customStyle="1" w:styleId="118">
    <w:name w:val="正文文本缩进 字符"/>
    <w:qFormat/>
    <w:uiPriority w:val="0"/>
    <w:rPr>
      <w:rFonts w:ascii="仿宋_GB2312" w:hAnsi="Times New Roman" w:eastAsia="仿宋_GB2312" w:cs="Times New Roman"/>
      <w:sz w:val="32"/>
      <w:szCs w:val="20"/>
    </w:rPr>
  </w:style>
  <w:style w:type="character" w:customStyle="1" w:styleId="119">
    <w:name w:val="批注文字 字符1"/>
    <w:qFormat/>
    <w:uiPriority w:val="0"/>
    <w:rPr>
      <w:rFonts w:ascii="Times New Roman" w:hAnsi="Times New Roman" w:eastAsia="宋体" w:cs="Times New Roman"/>
      <w:kern w:val="2"/>
      <w:sz w:val="21"/>
      <w:szCs w:val="24"/>
    </w:rPr>
  </w:style>
  <w:style w:type="paragraph" w:customStyle="1" w:styleId="12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首行缩进:  2 字符"/>
    <w:basedOn w:val="1"/>
    <w:qFormat/>
    <w:uiPriority w:val="0"/>
    <w:pPr>
      <w:spacing w:line="400" w:lineRule="exact"/>
      <w:ind w:firstLine="200" w:firstLineChars="200"/>
    </w:pPr>
    <w:rPr>
      <w:rFonts w:cs="宋体"/>
      <w:sz w:val="24"/>
    </w:rPr>
  </w:style>
  <w:style w:type="paragraph" w:customStyle="1" w:styleId="123">
    <w:name w:val="179"/>
    <w:basedOn w:val="1"/>
    <w:qFormat/>
    <w:uiPriority w:val="0"/>
    <w:pPr>
      <w:ind w:firstLine="420" w:firstLineChars="200"/>
      <w:textAlignment w:val="baseline"/>
    </w:pPr>
  </w:style>
  <w:style w:type="paragraph" w:customStyle="1" w:styleId="124">
    <w:name w:val="Char1"/>
    <w:basedOn w:val="1"/>
    <w:qFormat/>
    <w:uiPriority w:val="0"/>
    <w:rPr>
      <w:szCs w:val="21"/>
    </w:rPr>
  </w:style>
  <w:style w:type="paragraph" w:customStyle="1" w:styleId="125">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bCs w:val="0"/>
      <w:sz w:val="28"/>
      <w:szCs w:val="20"/>
    </w:rPr>
  </w:style>
  <w:style w:type="paragraph" w:customStyle="1" w:styleId="126">
    <w:name w:val="Table Paragraph"/>
    <w:basedOn w:val="1"/>
    <w:qFormat/>
    <w:uiPriority w:val="0"/>
  </w:style>
  <w:style w:type="paragraph" w:customStyle="1" w:styleId="127">
    <w:name w:val="正文段"/>
    <w:basedOn w:val="1"/>
    <w:qFormat/>
    <w:uiPriority w:val="0"/>
    <w:pPr>
      <w:widowControl/>
      <w:snapToGrid w:val="0"/>
      <w:spacing w:afterLines="50"/>
      <w:ind w:firstLine="200" w:firstLineChars="200"/>
    </w:pPr>
    <w:rPr>
      <w:kern w:val="0"/>
      <w:sz w:val="24"/>
      <w:szCs w:val="20"/>
    </w:rPr>
  </w:style>
  <w:style w:type="paragraph" w:customStyle="1" w:styleId="128">
    <w:name w:val="正文呀"/>
    <w:basedOn w:val="1"/>
    <w:qFormat/>
    <w:uiPriority w:val="0"/>
    <w:pPr>
      <w:spacing w:line="420" w:lineRule="exact"/>
      <w:ind w:firstLine="420" w:firstLineChars="200"/>
    </w:pPr>
    <w:rPr>
      <w:rFonts w:ascii="宋体" w:hAnsi="宋体"/>
    </w:rPr>
  </w:style>
  <w:style w:type="paragraph" w:customStyle="1" w:styleId="129">
    <w:name w:val="正文呀2"/>
    <w:basedOn w:val="128"/>
    <w:qFormat/>
    <w:uiPriority w:val="0"/>
    <w:rPr>
      <w:rFonts w:ascii="Times New Roman" w:hAnsi="Times New Roman"/>
    </w:rPr>
  </w:style>
  <w:style w:type="paragraph" w:customStyle="1" w:styleId="130">
    <w:name w:val="表格"/>
    <w:basedOn w:val="1"/>
    <w:qFormat/>
    <w:uiPriority w:val="0"/>
    <w:pPr>
      <w:spacing w:line="400" w:lineRule="exact"/>
    </w:pPr>
    <w:rPr>
      <w:sz w:val="24"/>
    </w:rPr>
  </w:style>
  <w:style w:type="paragraph" w:customStyle="1" w:styleId="131">
    <w:name w:val="正文1"/>
    <w:qFormat/>
    <w:uiPriority w:val="0"/>
    <w:rPr>
      <w:rFonts w:ascii="Times New Roman" w:hAnsi="Times New Roman" w:eastAsia="Times New Roman" w:cs="Times New Roman"/>
      <w:sz w:val="24"/>
      <w:szCs w:val="24"/>
      <w:lang w:val="en-US" w:eastAsia="zh-CN" w:bidi="ar-SA"/>
    </w:rPr>
  </w:style>
  <w:style w:type="paragraph" w:customStyle="1" w:styleId="132">
    <w:name w:val="纯文本1"/>
    <w:basedOn w:val="1"/>
    <w:qFormat/>
    <w:uiPriority w:val="0"/>
    <w:rPr>
      <w:rFonts w:ascii="宋体" w:hAnsi="Courier New" w:cs="Century"/>
      <w:szCs w:val="21"/>
    </w:rPr>
  </w:style>
  <w:style w:type="paragraph" w:customStyle="1" w:styleId="133">
    <w:name w:val="List Paragraph1"/>
    <w:basedOn w:val="1"/>
    <w:qFormat/>
    <w:uiPriority w:val="0"/>
    <w:pPr>
      <w:ind w:firstLine="420" w:firstLineChars="200"/>
    </w:pPr>
  </w:style>
  <w:style w:type="paragraph" w:customStyle="1" w:styleId="134">
    <w:name w:val="正文首行缩进两字符"/>
    <w:basedOn w:val="1"/>
    <w:qFormat/>
    <w:uiPriority w:val="0"/>
    <w:pPr>
      <w:spacing w:line="360" w:lineRule="auto"/>
      <w:ind w:firstLine="200" w:firstLineChars="200"/>
    </w:pPr>
  </w:style>
  <w:style w:type="paragraph" w:customStyle="1" w:styleId="135">
    <w:name w:val="默认段落字体 Para Char Char Char Char Char Char Char Char Char1 Char Char Char Char"/>
    <w:basedOn w:val="1"/>
    <w:qFormat/>
    <w:uiPriority w:val="0"/>
    <w:rPr>
      <w:rFonts w:ascii="Tahoma" w:hAnsi="Tahoma"/>
      <w:sz w:val="24"/>
      <w:szCs w:val="20"/>
    </w:rPr>
  </w:style>
  <w:style w:type="paragraph" w:customStyle="1" w:styleId="13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7">
    <w:name w:val="_Style 130"/>
    <w:qFormat/>
    <w:uiPriority w:val="99"/>
    <w:rPr>
      <w:rFonts w:ascii="Times New Roman" w:hAnsi="Times New Roman" w:eastAsia="宋体" w:cs="Times New Roman"/>
      <w:kern w:val="2"/>
      <w:sz w:val="21"/>
      <w:szCs w:val="24"/>
      <w:lang w:val="en-US" w:eastAsia="zh-CN" w:bidi="ar-SA"/>
    </w:rPr>
  </w:style>
  <w:style w:type="character" w:customStyle="1" w:styleId="138">
    <w:name w:val="font81"/>
    <w:qFormat/>
    <w:uiPriority w:val="0"/>
    <w:rPr>
      <w:rFonts w:hint="eastAsia" w:ascii="宋体" w:hAnsi="宋体" w:eastAsia="宋体" w:cs="宋体"/>
      <w:color w:val="000000"/>
      <w:sz w:val="18"/>
      <w:szCs w:val="18"/>
      <w:u w:val="none"/>
    </w:rPr>
  </w:style>
  <w:style w:type="character" w:customStyle="1" w:styleId="139">
    <w:name w:val="font151"/>
    <w:qFormat/>
    <w:uiPriority w:val="0"/>
    <w:rPr>
      <w:rFonts w:ascii="Wingdings 2" w:hAnsi="Wingdings 2" w:eastAsia="Wingdings 2" w:cs="Wingdings 2"/>
      <w:color w:val="000000"/>
      <w:sz w:val="18"/>
      <w:szCs w:val="18"/>
      <w:u w:val="none"/>
    </w:rPr>
  </w:style>
  <w:style w:type="table" w:customStyle="1" w:styleId="140">
    <w:name w:val="Table Normal"/>
    <w:qFormat/>
    <w:uiPriority w:val="0"/>
    <w:tblPr>
      <w:tblCellMar>
        <w:top w:w="0" w:type="dxa"/>
        <w:left w:w="0" w:type="dxa"/>
        <w:bottom w:w="0" w:type="dxa"/>
        <w:right w:w="0" w:type="dxa"/>
      </w:tblCellMar>
    </w:tblPr>
  </w:style>
  <w:style w:type="paragraph" w:customStyle="1" w:styleId="141">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paragraph" w:customStyle="1" w:styleId="142">
    <w:name w:val="NormalIndent"/>
    <w:basedOn w:val="1"/>
    <w:qFormat/>
    <w:uiPriority w:val="0"/>
    <w:pPr>
      <w:ind w:firstLine="420"/>
    </w:pPr>
    <w:rPr>
      <w:szCs w:val="21"/>
    </w:rPr>
  </w:style>
  <w:style w:type="paragraph" w:customStyle="1" w:styleId="143">
    <w:name w:val="Body text|1"/>
    <w:basedOn w:val="1"/>
    <w:autoRedefine/>
    <w:qFormat/>
    <w:uiPriority w:val="0"/>
    <w:pPr>
      <w:tabs>
        <w:tab w:val="left" w:pos="1289"/>
      </w:tabs>
      <w:spacing w:line="360" w:lineRule="auto"/>
      <w:ind w:firstLine="422" w:firstLineChars="200"/>
      <w:jc w:val="left"/>
    </w:pPr>
    <w:rPr>
      <w:rFonts w:ascii="宋体" w:hAnsi="宋体" w:cs="宋体"/>
      <w:b/>
      <w:bCs/>
      <w:szCs w:val="21"/>
      <w:lang w:bidi="zh-TW"/>
    </w:rPr>
  </w:style>
  <w:style w:type="paragraph" w:customStyle="1" w:styleId="144">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107</Pages>
  <Words>10264</Words>
  <Characters>11004</Characters>
  <Lines>471</Lines>
  <Paragraphs>132</Paragraphs>
  <TotalTime>65</TotalTime>
  <ScaleCrop>false</ScaleCrop>
  <LinksUpToDate>false</LinksUpToDate>
  <CharactersWithSpaces>11066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2022-08-02T16:35:00Z</dcterms:created>
  <dc:creator>番茄花园</dc:creator>
  <cp:lastModifiedBy>mmm</cp:lastModifiedBy>
  <cp:lastPrinted>2023-07-24T17:20:00Z</cp:lastPrinted>
  <dcterms:modified xsi:type="dcterms:W3CDTF">2025-12-01T11:59:25Z</dcterms:modified>
  <dc:title>公开招标采购文件范本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E5E86097D6174AAFA1D15C661435379E_13</vt:lpwstr>
  </property>
  <property fmtid="{D5CDD505-2E9C-101B-9397-08002B2CF9AE}" pid="4" name="KSOTemplateDocerSaveRecord">
    <vt:lpwstr>eyJoZGlkIjoiNzFjY2M1MzE1YTRhOThmN2VmNjgwYjk4NWMwM2ViMWEiLCJ1c2VySWQiOiIzNDI3NzExOTAifQ==</vt:lpwstr>
  </property>
</Properties>
</file>