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990772">
      <w:pPr>
        <w:spacing w:line="720" w:lineRule="exact"/>
        <w:jc w:val="center"/>
        <w:rPr>
          <w:rFonts w:hint="eastAsia" w:ascii="楷体" w:hAnsi="楷体" w:eastAsia="楷体" w:cs="楷体"/>
          <w:b/>
          <w:bCs/>
          <w:color w:val="auto"/>
          <w:kern w:val="0"/>
          <w:sz w:val="68"/>
          <w:szCs w:val="68"/>
          <w:highlight w:val="none"/>
        </w:rPr>
      </w:pPr>
      <w:r>
        <w:rPr>
          <w:rFonts w:hint="eastAsia" w:ascii="楷体" w:hAnsi="楷体" w:eastAsia="楷体" w:cs="楷体"/>
          <w:b/>
          <w:bCs/>
          <w:color w:val="auto"/>
          <w:kern w:val="0"/>
          <w:sz w:val="68"/>
          <w:szCs w:val="68"/>
          <w:highlight w:val="none"/>
        </w:rPr>
        <w:t>广西卓源工程招标咨询有限公司</w:t>
      </w:r>
    </w:p>
    <w:p w14:paraId="31BF7396">
      <w:pPr>
        <w:spacing w:line="360" w:lineRule="auto"/>
        <w:jc w:val="center"/>
        <w:rPr>
          <w:rFonts w:hint="eastAsia" w:ascii="宋体" w:hAnsi="宋体" w:cs="宋体"/>
          <w:color w:val="auto"/>
          <w:sz w:val="72"/>
          <w:highlight w:val="none"/>
        </w:rPr>
      </w:pPr>
    </w:p>
    <w:p w14:paraId="18C20CCC">
      <w:pPr>
        <w:spacing w:line="360" w:lineRule="auto"/>
        <w:jc w:val="center"/>
        <w:rPr>
          <w:rFonts w:hint="eastAsia" w:ascii="宋体" w:hAnsi="宋体" w:cs="宋体"/>
          <w:color w:val="auto"/>
          <w:sz w:val="72"/>
          <w:highlight w:val="none"/>
        </w:rPr>
      </w:pPr>
      <w:r>
        <w:rPr>
          <w:rFonts w:hint="eastAsia" w:ascii="宋体" w:hAnsi="宋体" w:cs="宋体"/>
          <w:color w:val="auto"/>
          <w:sz w:val="72"/>
          <w:highlight w:val="none"/>
        </w:rPr>
        <w:drawing>
          <wp:inline distT="0" distB="0" distL="114300" distR="114300">
            <wp:extent cx="2795270" cy="2606675"/>
            <wp:effectExtent l="0" t="0" r="5080" b="3175"/>
            <wp:docPr id="3" name="图片 1" descr="卓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卓源"/>
                    <pic:cNvPicPr>
                      <a:picLocks noChangeAspect="1"/>
                    </pic:cNvPicPr>
                  </pic:nvPicPr>
                  <pic:blipFill>
                    <a:blip r:embed="rId19"/>
                    <a:stretch>
                      <a:fillRect/>
                    </a:stretch>
                  </pic:blipFill>
                  <pic:spPr>
                    <a:xfrm>
                      <a:off x="0" y="0"/>
                      <a:ext cx="2795270" cy="2606675"/>
                    </a:xfrm>
                    <a:prstGeom prst="rect">
                      <a:avLst/>
                    </a:prstGeom>
                    <a:noFill/>
                    <a:ln>
                      <a:noFill/>
                    </a:ln>
                  </pic:spPr>
                </pic:pic>
              </a:graphicData>
            </a:graphic>
          </wp:inline>
        </w:drawing>
      </w:r>
    </w:p>
    <w:p w14:paraId="6771B6A3">
      <w:pPr>
        <w:spacing w:line="360" w:lineRule="auto"/>
        <w:jc w:val="center"/>
        <w:rPr>
          <w:rFonts w:hint="eastAsia" w:ascii="楷体" w:hAnsi="楷体" w:eastAsia="楷体" w:cs="楷体"/>
          <w:b/>
          <w:bCs/>
          <w:color w:val="auto"/>
          <w:kern w:val="0"/>
          <w:sz w:val="112"/>
          <w:szCs w:val="112"/>
          <w:highlight w:val="none"/>
        </w:rPr>
      </w:pPr>
      <w:r>
        <w:rPr>
          <w:rFonts w:hint="eastAsia" w:ascii="楷体" w:hAnsi="楷体" w:eastAsia="楷体" w:cs="楷体"/>
          <w:b/>
          <w:bCs/>
          <w:color w:val="auto"/>
          <w:kern w:val="0"/>
          <w:sz w:val="112"/>
          <w:szCs w:val="112"/>
          <w:highlight w:val="none"/>
        </w:rPr>
        <w:t>招 标 文 件</w:t>
      </w:r>
    </w:p>
    <w:p w14:paraId="107884D4">
      <w:pPr>
        <w:snapToGrid w:val="0"/>
        <w:spacing w:line="360" w:lineRule="auto"/>
        <w:rPr>
          <w:rFonts w:hint="eastAsia" w:ascii="仿宋_GB2312" w:hAnsi="宋体" w:eastAsia="仿宋_GB2312"/>
          <w:color w:val="auto"/>
          <w:sz w:val="30"/>
          <w:szCs w:val="72"/>
          <w:highlight w:val="none"/>
        </w:rPr>
      </w:pPr>
    </w:p>
    <w:p w14:paraId="7A8C64EC">
      <w:pPr>
        <w:spacing w:line="720" w:lineRule="exact"/>
        <w:rPr>
          <w:rFonts w:hint="eastAsia" w:ascii="楷体" w:hAnsi="楷体" w:eastAsia="楷体" w:cs="楷体"/>
          <w:b/>
          <w:bCs/>
          <w:color w:val="auto"/>
          <w:kern w:val="0"/>
          <w:sz w:val="28"/>
          <w:szCs w:val="28"/>
          <w:highlight w:val="none"/>
        </w:rPr>
      </w:pPr>
      <w:r>
        <w:rPr>
          <w:rFonts w:hint="eastAsia" w:ascii="楷体" w:hAnsi="楷体" w:eastAsia="楷体" w:cs="楷体"/>
          <w:b/>
          <w:bCs/>
          <w:color w:val="auto"/>
          <w:kern w:val="0"/>
          <w:sz w:val="28"/>
          <w:szCs w:val="28"/>
          <w:highlight w:val="none"/>
        </w:rPr>
        <w:t>项目名称：水利部西南岩溶区节水减排防污野外科学观测研究站达标建设</w:t>
      </w:r>
    </w:p>
    <w:p w14:paraId="77089C81">
      <w:pPr>
        <w:spacing w:line="720" w:lineRule="exact"/>
        <w:rPr>
          <w:rFonts w:hint="eastAsia" w:ascii="楷体" w:hAnsi="楷体" w:eastAsia="楷体" w:cs="楷体"/>
          <w:b/>
          <w:bCs/>
          <w:color w:val="auto"/>
          <w:kern w:val="0"/>
          <w:sz w:val="28"/>
          <w:szCs w:val="28"/>
          <w:highlight w:val="none"/>
          <w:lang w:eastAsia="zh-CN"/>
        </w:rPr>
      </w:pPr>
      <w:r>
        <w:rPr>
          <w:rFonts w:hint="eastAsia" w:ascii="楷体" w:hAnsi="楷体" w:eastAsia="楷体" w:cs="楷体"/>
          <w:b/>
          <w:bCs/>
          <w:color w:val="auto"/>
          <w:kern w:val="0"/>
          <w:sz w:val="28"/>
          <w:szCs w:val="28"/>
          <w:highlight w:val="none"/>
        </w:rPr>
        <w:t>项目编号：</w:t>
      </w:r>
      <w:r>
        <w:rPr>
          <w:rFonts w:hint="eastAsia" w:ascii="楷体" w:hAnsi="楷体" w:eastAsia="楷体" w:cs="楷体"/>
          <w:b/>
          <w:bCs/>
          <w:color w:val="auto"/>
          <w:kern w:val="0"/>
          <w:sz w:val="28"/>
          <w:szCs w:val="28"/>
          <w:highlight w:val="none"/>
          <w:lang w:eastAsia="zh-CN"/>
        </w:rPr>
        <w:t>GLZC2026-G3-990011-GXZY</w:t>
      </w:r>
    </w:p>
    <w:p w14:paraId="2068FAEC">
      <w:pPr>
        <w:spacing w:line="720" w:lineRule="exact"/>
        <w:jc w:val="center"/>
        <w:rPr>
          <w:rFonts w:hint="eastAsia" w:ascii="楷体" w:hAnsi="楷体" w:eastAsia="楷体" w:cs="楷体"/>
          <w:b/>
          <w:bCs/>
          <w:color w:val="auto"/>
          <w:kern w:val="0"/>
          <w:sz w:val="28"/>
          <w:szCs w:val="28"/>
          <w:highlight w:val="none"/>
        </w:rPr>
      </w:pPr>
    </w:p>
    <w:p w14:paraId="766F0586">
      <w:pPr>
        <w:spacing w:line="720" w:lineRule="exact"/>
        <w:jc w:val="center"/>
        <w:rPr>
          <w:rFonts w:hint="eastAsia" w:ascii="楷体" w:hAnsi="楷体" w:eastAsia="楷体" w:cs="楷体"/>
          <w:b/>
          <w:bCs/>
          <w:color w:val="auto"/>
          <w:kern w:val="0"/>
          <w:sz w:val="28"/>
          <w:szCs w:val="28"/>
          <w:highlight w:val="none"/>
        </w:rPr>
      </w:pPr>
      <w:r>
        <w:rPr>
          <w:rFonts w:hint="eastAsia" w:ascii="楷体" w:hAnsi="楷体" w:eastAsia="楷体" w:cs="楷体"/>
          <w:b/>
          <w:bCs/>
          <w:color w:val="auto"/>
          <w:kern w:val="0"/>
          <w:sz w:val="28"/>
          <w:szCs w:val="28"/>
          <w:highlight w:val="none"/>
        </w:rPr>
        <w:t>采购代理机构：广西卓源工程招标咨询有限公司</w:t>
      </w:r>
    </w:p>
    <w:p w14:paraId="1C33E50F">
      <w:pPr>
        <w:spacing w:line="720" w:lineRule="exact"/>
        <w:jc w:val="center"/>
        <w:rPr>
          <w:rFonts w:hint="eastAsia" w:ascii="楷体" w:hAnsi="楷体" w:eastAsia="楷体" w:cs="楷体"/>
          <w:b/>
          <w:bCs/>
          <w:color w:val="auto"/>
          <w:kern w:val="0"/>
          <w:sz w:val="28"/>
          <w:szCs w:val="28"/>
          <w:highlight w:val="none"/>
        </w:rPr>
      </w:pPr>
      <w:r>
        <w:rPr>
          <w:rFonts w:hint="eastAsia" w:ascii="楷体" w:hAnsi="楷体" w:eastAsia="楷体" w:cs="楷体"/>
          <w:b/>
          <w:bCs/>
          <w:color w:val="auto"/>
          <w:kern w:val="0"/>
          <w:sz w:val="28"/>
          <w:szCs w:val="28"/>
          <w:highlight w:val="none"/>
        </w:rPr>
        <w:t>202</w:t>
      </w:r>
      <w:r>
        <w:rPr>
          <w:rFonts w:hint="eastAsia" w:ascii="楷体" w:hAnsi="楷体" w:eastAsia="楷体" w:cs="楷体"/>
          <w:b/>
          <w:bCs/>
          <w:color w:val="auto"/>
          <w:kern w:val="0"/>
          <w:sz w:val="28"/>
          <w:szCs w:val="28"/>
          <w:highlight w:val="none"/>
          <w:lang w:val="en-US" w:eastAsia="zh-CN"/>
        </w:rPr>
        <w:t>6</w:t>
      </w:r>
      <w:r>
        <w:rPr>
          <w:rFonts w:hint="eastAsia" w:ascii="楷体" w:hAnsi="楷体" w:eastAsia="楷体" w:cs="楷体"/>
          <w:b/>
          <w:bCs/>
          <w:color w:val="auto"/>
          <w:kern w:val="0"/>
          <w:sz w:val="28"/>
          <w:szCs w:val="28"/>
          <w:highlight w:val="none"/>
        </w:rPr>
        <w:t>年</w:t>
      </w:r>
      <w:r>
        <w:rPr>
          <w:rFonts w:hint="eastAsia" w:ascii="楷体" w:hAnsi="楷体" w:eastAsia="楷体" w:cs="楷体"/>
          <w:b/>
          <w:bCs/>
          <w:color w:val="auto"/>
          <w:kern w:val="0"/>
          <w:sz w:val="28"/>
          <w:szCs w:val="28"/>
          <w:highlight w:val="none"/>
          <w:lang w:val="en-US" w:eastAsia="zh-CN"/>
        </w:rPr>
        <w:t>01</w:t>
      </w:r>
      <w:r>
        <w:rPr>
          <w:rFonts w:hint="eastAsia" w:ascii="楷体" w:hAnsi="楷体" w:eastAsia="楷体" w:cs="楷体"/>
          <w:b/>
          <w:bCs/>
          <w:color w:val="auto"/>
          <w:kern w:val="0"/>
          <w:sz w:val="28"/>
          <w:szCs w:val="28"/>
          <w:highlight w:val="none"/>
        </w:rPr>
        <w:t>月</w:t>
      </w:r>
    </w:p>
    <w:p w14:paraId="0DE74233">
      <w:pPr>
        <w:rPr>
          <w:rFonts w:hint="eastAsia" w:ascii="宋体" w:hAnsi="宋体"/>
          <w:b/>
          <w:color w:val="auto"/>
          <w:sz w:val="44"/>
          <w:szCs w:val="44"/>
          <w:highlight w:val="none"/>
        </w:rPr>
      </w:pPr>
      <w:r>
        <w:rPr>
          <w:rFonts w:hint="eastAsia" w:ascii="宋体" w:hAnsi="宋体"/>
          <w:b/>
          <w:color w:val="auto"/>
          <w:sz w:val="44"/>
          <w:szCs w:val="44"/>
          <w:highlight w:val="none"/>
        </w:rPr>
        <w:br w:type="page"/>
      </w:r>
    </w:p>
    <w:p w14:paraId="7BE35885">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5BC7D6C8">
      <w:pPr>
        <w:spacing w:line="400" w:lineRule="exact"/>
        <w:jc w:val="center"/>
        <w:rPr>
          <w:rFonts w:hint="eastAsia" w:ascii="宋体" w:hAnsi="宋体"/>
          <w:b/>
          <w:color w:val="auto"/>
          <w:sz w:val="44"/>
          <w:szCs w:val="44"/>
          <w:highlight w:val="none"/>
        </w:rPr>
      </w:pPr>
    </w:p>
    <w:p w14:paraId="6771B762">
      <w:pPr>
        <w:pStyle w:val="57"/>
        <w:tabs>
          <w:tab w:val="right" w:leader="dot" w:pos="9750"/>
          <w:tab w:val="clear" w:pos="8398"/>
        </w:tabs>
        <w:spacing w:line="600" w:lineRule="auto"/>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TOC \o "1-1" \h \u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_Toc32313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 xml:space="preserve">第一章 </w:t>
      </w:r>
      <w:r>
        <w:rPr>
          <w:rFonts w:hint="eastAsia" w:cs="宋体"/>
          <w:b w:val="0"/>
          <w:bCs w:val="0"/>
          <w:color w:val="auto"/>
          <w:sz w:val="28"/>
          <w:szCs w:val="28"/>
          <w:highlight w:val="none"/>
          <w:lang w:val="en-US" w:eastAsia="zh-CN"/>
        </w:rPr>
        <w:t xml:space="preserve"> </w:t>
      </w:r>
      <w:r>
        <w:rPr>
          <w:rFonts w:hint="eastAsia" w:ascii="宋体" w:hAnsi="宋体" w:eastAsia="宋体" w:cs="宋体"/>
          <w:b w:val="0"/>
          <w:bCs w:val="0"/>
          <w:color w:val="auto"/>
          <w:sz w:val="28"/>
          <w:szCs w:val="28"/>
          <w:highlight w:val="none"/>
        </w:rPr>
        <w:t>招标公告</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_Toc32313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1</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rPr>
        <w:fldChar w:fldCharType="end"/>
      </w:r>
    </w:p>
    <w:p w14:paraId="3394D4B4">
      <w:pPr>
        <w:pStyle w:val="57"/>
        <w:tabs>
          <w:tab w:val="right" w:leader="dot" w:pos="9750"/>
          <w:tab w:val="clear" w:pos="8398"/>
        </w:tabs>
        <w:spacing w:line="600" w:lineRule="auto"/>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_Toc22100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第二章  采购需求</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_Toc22100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5</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rPr>
        <w:fldChar w:fldCharType="end"/>
      </w:r>
    </w:p>
    <w:p w14:paraId="528CB7A4">
      <w:pPr>
        <w:pStyle w:val="57"/>
        <w:tabs>
          <w:tab w:val="right" w:leader="dot" w:pos="9750"/>
          <w:tab w:val="clear" w:pos="8398"/>
        </w:tabs>
        <w:spacing w:line="600" w:lineRule="auto"/>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_Toc7080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第三章  投标人须知</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_Toc7080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8</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rPr>
        <w:fldChar w:fldCharType="end"/>
      </w:r>
    </w:p>
    <w:p w14:paraId="701C4E70">
      <w:pPr>
        <w:pStyle w:val="57"/>
        <w:tabs>
          <w:tab w:val="right" w:leader="dot" w:pos="9750"/>
          <w:tab w:val="clear" w:pos="8398"/>
        </w:tabs>
        <w:spacing w:line="600" w:lineRule="auto"/>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_Toc625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第四章  评标方法及评标标准</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_Toc625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27</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rPr>
        <w:fldChar w:fldCharType="end"/>
      </w:r>
    </w:p>
    <w:p w14:paraId="6FBA4022">
      <w:pPr>
        <w:pStyle w:val="57"/>
        <w:tabs>
          <w:tab w:val="right" w:leader="dot" w:pos="9750"/>
          <w:tab w:val="clear" w:pos="8398"/>
        </w:tabs>
        <w:spacing w:line="600" w:lineRule="auto"/>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_Toc2748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第五章  拟签订的合同文本</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_Toc2748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36</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rPr>
        <w:fldChar w:fldCharType="end"/>
      </w:r>
    </w:p>
    <w:p w14:paraId="04445EF8">
      <w:pPr>
        <w:pStyle w:val="57"/>
        <w:tabs>
          <w:tab w:val="right" w:leader="dot" w:pos="9750"/>
          <w:tab w:val="clear" w:pos="8398"/>
        </w:tabs>
        <w:spacing w:line="600" w:lineRule="auto"/>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HYPERLINK \l _Toc22811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第六章　投标文件格式</w:t>
      </w:r>
      <w:r>
        <w:rPr>
          <w:rFonts w:hint="eastAsia" w:ascii="宋体" w:hAnsi="宋体" w:eastAsia="宋体" w:cs="宋体"/>
          <w:b w:val="0"/>
          <w:bCs w:val="0"/>
          <w:color w:val="auto"/>
          <w:sz w:val="28"/>
          <w:szCs w:val="28"/>
          <w:highlight w:val="none"/>
        </w:rPr>
        <w:tab/>
      </w:r>
      <w:r>
        <w:rPr>
          <w:rFonts w:hint="eastAsia" w:ascii="宋体" w:hAnsi="宋体" w:eastAsia="宋体" w:cs="宋体"/>
          <w:b w:val="0"/>
          <w:bCs w:val="0"/>
          <w:color w:val="auto"/>
          <w:sz w:val="28"/>
          <w:szCs w:val="28"/>
          <w:highlight w:val="none"/>
        </w:rPr>
        <w:fldChar w:fldCharType="begin"/>
      </w:r>
      <w:r>
        <w:rPr>
          <w:rFonts w:hint="eastAsia" w:ascii="宋体" w:hAnsi="宋体" w:eastAsia="宋体" w:cs="宋体"/>
          <w:b w:val="0"/>
          <w:bCs w:val="0"/>
          <w:color w:val="auto"/>
          <w:sz w:val="28"/>
          <w:szCs w:val="28"/>
          <w:highlight w:val="none"/>
        </w:rPr>
        <w:instrText xml:space="preserve"> PAGEREF _Toc22811 \h </w:instrText>
      </w:r>
      <w:r>
        <w:rPr>
          <w:rFonts w:hint="eastAsia" w:ascii="宋体" w:hAnsi="宋体" w:eastAsia="宋体" w:cs="宋体"/>
          <w:b w:val="0"/>
          <w:bCs w:val="0"/>
          <w:color w:val="auto"/>
          <w:sz w:val="28"/>
          <w:szCs w:val="28"/>
          <w:highlight w:val="none"/>
        </w:rPr>
        <w:fldChar w:fldCharType="separate"/>
      </w:r>
      <w:r>
        <w:rPr>
          <w:rFonts w:hint="eastAsia" w:ascii="宋体" w:hAnsi="宋体" w:eastAsia="宋体" w:cs="宋体"/>
          <w:b w:val="0"/>
          <w:bCs w:val="0"/>
          <w:color w:val="auto"/>
          <w:sz w:val="28"/>
          <w:szCs w:val="28"/>
          <w:highlight w:val="none"/>
        </w:rPr>
        <w:t>59</w:t>
      </w:r>
      <w:r>
        <w:rPr>
          <w:rFonts w:hint="eastAsia" w:ascii="宋体" w:hAnsi="宋体" w:eastAsia="宋体" w:cs="宋体"/>
          <w:b w:val="0"/>
          <w:bCs w:val="0"/>
          <w:color w:val="auto"/>
          <w:sz w:val="28"/>
          <w:szCs w:val="28"/>
          <w:highlight w:val="none"/>
        </w:rPr>
        <w:fldChar w:fldCharType="end"/>
      </w:r>
      <w:r>
        <w:rPr>
          <w:rFonts w:hint="eastAsia" w:ascii="宋体" w:hAnsi="宋体" w:eastAsia="宋体" w:cs="宋体"/>
          <w:b w:val="0"/>
          <w:bCs w:val="0"/>
          <w:color w:val="auto"/>
          <w:sz w:val="28"/>
          <w:szCs w:val="28"/>
          <w:highlight w:val="none"/>
        </w:rPr>
        <w:fldChar w:fldCharType="end"/>
      </w:r>
    </w:p>
    <w:p w14:paraId="78892A14">
      <w:pPr>
        <w:pStyle w:val="4"/>
        <w:keepNext w:val="0"/>
        <w:keepLines w:val="0"/>
        <w:tabs>
          <w:tab w:val="left" w:pos="0"/>
          <w:tab w:val="left" w:pos="3165"/>
          <w:tab w:val="center" w:pos="4153"/>
        </w:tabs>
        <w:autoSpaceDE w:val="0"/>
        <w:autoSpaceDN w:val="0"/>
        <w:adjustRightInd w:val="0"/>
        <w:spacing w:before="0" w:after="0" w:line="360" w:lineRule="auto"/>
        <w:jc w:val="center"/>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fldChar w:fldCharType="end"/>
      </w:r>
      <w:bookmarkStart w:id="0" w:name="_Toc254970489"/>
      <w:bookmarkStart w:id="1" w:name="_Toc254970630"/>
      <w:bookmarkStart w:id="2" w:name="_Toc26956"/>
      <w:bookmarkStart w:id="3" w:name="_Toc32313"/>
    </w:p>
    <w:p w14:paraId="185CB028">
      <w:pPr>
        <w:pStyle w:val="4"/>
        <w:keepNext w:val="0"/>
        <w:keepLines w:val="0"/>
        <w:tabs>
          <w:tab w:val="left" w:pos="0"/>
          <w:tab w:val="left" w:pos="3165"/>
          <w:tab w:val="center" w:pos="4153"/>
        </w:tabs>
        <w:autoSpaceDE w:val="0"/>
        <w:autoSpaceDN w:val="0"/>
        <w:adjustRightInd w:val="0"/>
        <w:spacing w:before="0" w:after="0" w:line="360" w:lineRule="auto"/>
        <w:jc w:val="center"/>
        <w:rPr>
          <w:rFonts w:hint="eastAsia"/>
          <w:color w:val="auto"/>
          <w:highlight w:val="none"/>
        </w:rPr>
        <w:sectPr>
          <w:headerReference r:id="rId4" w:type="first"/>
          <w:footerReference r:id="rId7" w:type="first"/>
          <w:headerReference r:id="rId3" w:type="default"/>
          <w:footerReference r:id="rId5" w:type="default"/>
          <w:footerReference r:id="rId6" w:type="even"/>
          <w:pgSz w:w="11906" w:h="16838"/>
          <w:pgMar w:top="1440" w:right="1080" w:bottom="1440" w:left="1080" w:header="851" w:footer="992" w:gutter="0"/>
          <w:cols w:space="720" w:num="1"/>
          <w:titlePg/>
          <w:docGrid w:linePitch="312" w:charSpace="0"/>
        </w:sectPr>
      </w:pPr>
    </w:p>
    <w:p w14:paraId="29AEBFA2">
      <w:pPr>
        <w:pStyle w:val="4"/>
        <w:keepNext w:val="0"/>
        <w:keepLines w:val="0"/>
        <w:tabs>
          <w:tab w:val="left" w:pos="0"/>
          <w:tab w:val="left" w:pos="3165"/>
          <w:tab w:val="center" w:pos="4153"/>
        </w:tabs>
        <w:autoSpaceDE w:val="0"/>
        <w:autoSpaceDN w:val="0"/>
        <w:adjustRightInd w:val="0"/>
        <w:spacing w:before="0" w:after="0" w:line="360" w:lineRule="auto"/>
        <w:jc w:val="center"/>
        <w:rPr>
          <w:color w:val="auto"/>
          <w:highlight w:val="none"/>
        </w:rPr>
      </w:pPr>
      <w:r>
        <w:rPr>
          <w:rFonts w:hint="eastAsia"/>
          <w:color w:val="auto"/>
          <w:highlight w:val="none"/>
        </w:rPr>
        <w:t>第一章</w:t>
      </w:r>
      <w:bookmarkEnd w:id="0"/>
      <w:bookmarkEnd w:id="1"/>
      <w:bookmarkStart w:id="4" w:name="_Toc35393789"/>
      <w:bookmarkStart w:id="5" w:name="_Toc28359001"/>
      <w:r>
        <w:rPr>
          <w:rFonts w:hint="eastAsia"/>
          <w:color w:val="auto"/>
          <w:highlight w:val="none"/>
        </w:rPr>
        <w:t xml:space="preserve"> 招标公告</w:t>
      </w:r>
      <w:bookmarkEnd w:id="2"/>
      <w:bookmarkEnd w:id="3"/>
      <w:bookmarkEnd w:id="4"/>
      <w:bookmarkEnd w:id="5"/>
    </w:p>
    <w:p w14:paraId="2FFA7EAC">
      <w:pPr>
        <w:pBdr>
          <w:top w:val="single" w:color="auto" w:sz="4" w:space="1"/>
          <w:left w:val="single" w:color="auto" w:sz="4" w:space="4"/>
          <w:bottom w:val="single" w:color="auto" w:sz="4" w:space="1"/>
          <w:right w:val="single" w:color="auto" w:sz="4" w:space="4"/>
        </w:pBdr>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项目概况</w:t>
      </w:r>
    </w:p>
    <w:p w14:paraId="37DA57A3">
      <w:pPr>
        <w:pBdr>
          <w:top w:val="single" w:color="auto" w:sz="4" w:space="1"/>
          <w:left w:val="single" w:color="auto" w:sz="4" w:space="4"/>
          <w:bottom w:val="single" w:color="auto" w:sz="4" w:space="1"/>
          <w:right w:val="single" w:color="auto" w:sz="4" w:space="4"/>
        </w:pBd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水利部西南岩溶区节水减排防污野外科学观测研究站达标建设招标项目的潜在投标人应在广西政府采购云平台（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）获取（下载）招标文件，并于</w:t>
      </w:r>
      <w:r>
        <w:rPr>
          <w:rFonts w:hint="eastAsia" w:ascii="宋体" w:hAnsi="宋体" w:cs="宋体"/>
          <w:color w:val="auto"/>
          <w:szCs w:val="21"/>
          <w:highlight w:val="none"/>
          <w:lang w:eastAsia="zh-CN"/>
        </w:rPr>
        <w:t>2026年01月27日</w:t>
      </w:r>
      <w:r>
        <w:rPr>
          <w:rFonts w:hint="eastAsia" w:ascii="宋体" w:hAnsi="宋体" w:cs="宋体"/>
          <w:bCs/>
          <w:color w:val="auto"/>
          <w:szCs w:val="21"/>
          <w:highlight w:val="none"/>
        </w:rPr>
        <w:t>9时30分（北京时间）前按要求递交（上传）投标文件</w:t>
      </w:r>
      <w:r>
        <w:rPr>
          <w:rFonts w:hint="eastAsia" w:ascii="宋体" w:hAnsi="宋体" w:cs="宋体"/>
          <w:color w:val="auto"/>
          <w:szCs w:val="21"/>
          <w:highlight w:val="none"/>
        </w:rPr>
        <w:t>。</w:t>
      </w:r>
    </w:p>
    <w:p w14:paraId="4E60E92C">
      <w:pPr>
        <w:spacing w:line="400" w:lineRule="exact"/>
        <w:rPr>
          <w:rFonts w:hint="eastAsia" w:ascii="宋体" w:hAnsi="宋体" w:cs="宋体"/>
          <w:b/>
          <w:bCs/>
          <w:color w:val="auto"/>
          <w:szCs w:val="21"/>
          <w:highlight w:val="none"/>
        </w:rPr>
      </w:pPr>
      <w:bookmarkStart w:id="6" w:name="_Toc28359002"/>
      <w:bookmarkStart w:id="7" w:name="_Toc35393621"/>
      <w:bookmarkStart w:id="8" w:name="_Toc28359079"/>
      <w:bookmarkStart w:id="9" w:name="_Toc35393790"/>
      <w:bookmarkStart w:id="10" w:name="_Hlk24379207"/>
      <w:r>
        <w:rPr>
          <w:rFonts w:hint="eastAsia" w:ascii="宋体" w:hAnsi="宋体" w:cs="宋体"/>
          <w:b/>
          <w:bCs/>
          <w:color w:val="auto"/>
          <w:szCs w:val="21"/>
          <w:highlight w:val="none"/>
        </w:rPr>
        <w:t>一、项目基本情况</w:t>
      </w:r>
      <w:bookmarkEnd w:id="6"/>
      <w:bookmarkEnd w:id="7"/>
      <w:bookmarkEnd w:id="8"/>
      <w:bookmarkEnd w:id="9"/>
    </w:p>
    <w:bookmarkEnd w:id="10"/>
    <w:p w14:paraId="76DE1878">
      <w:pPr>
        <w:spacing w:line="40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lang w:eastAsia="zh-CN"/>
        </w:rPr>
        <w:t>GLZC2026-G3-990011-GXZY</w:t>
      </w:r>
    </w:p>
    <w:p w14:paraId="415DAB7B">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项目名称：水利部西南岩溶区节水减排防污野外科学观测研究站达标建设</w:t>
      </w:r>
    </w:p>
    <w:p w14:paraId="41885923">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预算总金额（元）：3300000.00元</w:t>
      </w:r>
    </w:p>
    <w:p w14:paraId="26D06A2F">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采购需求：</w:t>
      </w:r>
    </w:p>
    <w:p w14:paraId="24865814">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标项名称:水利部西南岩溶区节水减排防污野外科学观测研究站达标建设</w:t>
      </w:r>
    </w:p>
    <w:p w14:paraId="50EDCA49">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数量:1</w:t>
      </w:r>
    </w:p>
    <w:p w14:paraId="4D763640">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预算金额（元）:3300000.00</w:t>
      </w:r>
    </w:p>
    <w:p w14:paraId="4B0C0606">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简要规格描述或项目基本概况介绍、用途：水利部西南岩溶区节水减排防污野外科学观测研究站达标建设,具体详见工程量清单、图纸、施工补充说明等要求的内容。</w:t>
      </w:r>
    </w:p>
    <w:p w14:paraId="274FE6AD">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最高限价（如有）：3243663.68</w:t>
      </w:r>
    </w:p>
    <w:p w14:paraId="3F51542A">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合同履约期限：自签订合同之日起</w:t>
      </w:r>
      <w:r>
        <w:rPr>
          <w:rFonts w:hint="eastAsia" w:ascii="宋体" w:hAnsi="宋体" w:cs="宋体"/>
          <w:color w:val="auto"/>
          <w:szCs w:val="21"/>
          <w:highlight w:val="none"/>
          <w:lang w:val="en-US" w:eastAsia="zh-CN"/>
        </w:rPr>
        <w:t>90</w:t>
      </w:r>
      <w:r>
        <w:rPr>
          <w:rFonts w:hint="eastAsia" w:ascii="宋体" w:hAnsi="宋体" w:cs="宋体"/>
          <w:color w:val="auto"/>
          <w:szCs w:val="21"/>
          <w:highlight w:val="none"/>
        </w:rPr>
        <w:t>日历天内完工。</w:t>
      </w:r>
    </w:p>
    <w:p w14:paraId="2E169684">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本标项（是）接受联合体投标</w:t>
      </w:r>
    </w:p>
    <w:p w14:paraId="339915D4">
      <w:pPr>
        <w:spacing w:line="400" w:lineRule="exact"/>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备注：联合体最多由2个投标人组成一个联合体</w:t>
      </w:r>
      <w:r>
        <w:rPr>
          <w:rFonts w:hint="eastAsia" w:ascii="宋体" w:hAnsi="宋体" w:cs="宋体"/>
          <w:color w:val="auto"/>
          <w:szCs w:val="21"/>
          <w:highlight w:val="none"/>
          <w:lang w:eastAsia="zh-CN"/>
        </w:rPr>
        <w:t>。</w:t>
      </w:r>
    </w:p>
    <w:p w14:paraId="12E7319F">
      <w:pPr>
        <w:spacing w:line="400" w:lineRule="exact"/>
        <w:rPr>
          <w:rFonts w:hint="eastAsia" w:ascii="宋体" w:hAnsi="宋体" w:cs="宋体"/>
          <w:b/>
          <w:bCs/>
          <w:color w:val="auto"/>
          <w:szCs w:val="21"/>
          <w:highlight w:val="none"/>
        </w:rPr>
      </w:pPr>
      <w:bookmarkStart w:id="11" w:name="_Toc28359080"/>
      <w:bookmarkStart w:id="12" w:name="_Toc28359003"/>
      <w:bookmarkStart w:id="13" w:name="_Toc35393622"/>
      <w:bookmarkStart w:id="14" w:name="_Toc35393791"/>
    </w:p>
    <w:p w14:paraId="4A675ECD">
      <w:pPr>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二、申请人的资格要求：</w:t>
      </w:r>
      <w:bookmarkEnd w:id="11"/>
      <w:bookmarkEnd w:id="12"/>
      <w:bookmarkEnd w:id="13"/>
      <w:bookmarkEnd w:id="14"/>
    </w:p>
    <w:p w14:paraId="7AACC798">
      <w:pPr>
        <w:spacing w:line="400" w:lineRule="exact"/>
        <w:ind w:firstLine="420" w:firstLineChars="200"/>
        <w:rPr>
          <w:rFonts w:hint="eastAsia" w:ascii="宋体" w:hAnsi="宋体" w:cs="宋体"/>
          <w:color w:val="auto"/>
          <w:szCs w:val="21"/>
          <w:highlight w:val="none"/>
        </w:rPr>
      </w:pPr>
      <w:bookmarkStart w:id="15" w:name="_Hlk51746371"/>
      <w:bookmarkStart w:id="16" w:name="_Toc28359004"/>
      <w:bookmarkStart w:id="17" w:name="_Toc28359081"/>
      <w:bookmarkStart w:id="18" w:name="_Toc35393623"/>
      <w:bookmarkStart w:id="19" w:name="_Toc35393792"/>
      <w:r>
        <w:rPr>
          <w:rFonts w:hint="eastAsia" w:ascii="宋体" w:hAnsi="宋体" w:cs="宋体"/>
          <w:color w:val="auto"/>
          <w:szCs w:val="21"/>
          <w:highlight w:val="none"/>
        </w:rPr>
        <w:t>1.满足《中华人民共和国政府采购法》第二十二条规定；</w:t>
      </w:r>
    </w:p>
    <w:p w14:paraId="51720C5A">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2.落实政府采购政策需满足的资格要求：</w:t>
      </w:r>
      <w:r>
        <w:rPr>
          <w:rFonts w:hint="eastAsia" w:ascii="宋体" w:hAnsi="宋体" w:cs="宋体"/>
          <w:strike w:val="0"/>
          <w:color w:val="auto"/>
          <w:szCs w:val="21"/>
          <w:highlight w:val="none"/>
        </w:rPr>
        <w:t>本项目为预留份额面向中小企业采购的项目,投标人若为小微企业(监狱企业或者残疾人福利性单位依据规定视为小型、微型企业),则无须提供预留份额；投标人若为中型企业，则可以以联合体或者分包的形式为小微企业预留份额，预留份额通过下列措施进行：(1)本项目接受联合体(以联合体形式参加政府采购活动，联合体各方均为中小企业的，联合体视同中小企业。其中，联合体各方均为小微企业的，联合体视同小微企业)投标，如投标人选择联合体面向中小企业预留份额投标的，联合体中中小企业承担的部分为不低于合同总额的100%(（该100%合同金额中，其中预留给小微企业的比例不低于60.61%)；(2)要求获得招标合同的施工企业将招标项目中的不低于合同总额的60.61%分包给一家或者多家小微企业。小微企业不得将合同分包给大中型企业，中型企业不得将合同分包给大型企业。(3)如投标人选择联合体面向中小企业预留份额投标或者面向中小企业预留份额合同分包的，请明确联合体协议或者分包意向协议中中小微企业合同金额应当达到的比例</w:t>
      </w:r>
      <w:r>
        <w:rPr>
          <w:rFonts w:hint="eastAsia" w:ascii="宋体" w:hAnsi="宋体" w:cs="宋体"/>
          <w:strike w:val="0"/>
          <w:color w:val="auto"/>
          <w:szCs w:val="21"/>
          <w:highlight w:val="none"/>
          <w:lang w:eastAsia="zh-CN"/>
        </w:rPr>
        <w:t>（</w:t>
      </w:r>
      <w:r>
        <w:rPr>
          <w:rFonts w:hint="eastAsia" w:ascii="宋体" w:hAnsi="宋体" w:cs="宋体"/>
          <w:strike w:val="0"/>
          <w:color w:val="auto"/>
          <w:szCs w:val="21"/>
          <w:highlight w:val="none"/>
        </w:rPr>
        <w:t>其中预留给小微企业的比例不低于60.61%</w:t>
      </w:r>
      <w:r>
        <w:rPr>
          <w:rFonts w:hint="eastAsia" w:ascii="宋体" w:hAnsi="宋体" w:cs="宋体"/>
          <w:strike w:val="0"/>
          <w:color w:val="auto"/>
          <w:szCs w:val="21"/>
          <w:highlight w:val="none"/>
          <w:lang w:eastAsia="zh-CN"/>
        </w:rPr>
        <w:t>）</w:t>
      </w:r>
      <w:r>
        <w:rPr>
          <w:rFonts w:hint="eastAsia" w:ascii="宋体" w:hAnsi="宋体" w:cs="宋体"/>
          <w:strike w:val="0"/>
          <w:color w:val="auto"/>
          <w:szCs w:val="21"/>
          <w:highlight w:val="none"/>
        </w:rPr>
        <w:t>。以联合体形式参加政府采购活动或者合同分包的，《中小企业声明函》中需填写联合体中的中小企业或签订分包意向协议的中小企业相关信息。组成联合体或者接受分包合同的中小微企业与联合体内其他企业、分包企业之间不得存在直接控股、管理关系。</w:t>
      </w:r>
    </w:p>
    <w:p w14:paraId="1F50B589">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3.本项目的特定资格要求：</w:t>
      </w:r>
    </w:p>
    <w:bookmarkEnd w:id="15"/>
    <w:p w14:paraId="7650FE44">
      <w:pPr>
        <w:spacing w:line="400" w:lineRule="exact"/>
        <w:ind w:firstLine="420" w:firstLineChars="200"/>
        <w:rPr>
          <w:rStyle w:val="173"/>
          <w:rFonts w:hint="eastAsia" w:ascii="宋体" w:hAnsi="宋体" w:cs="宋体"/>
          <w:color w:val="auto"/>
          <w:szCs w:val="21"/>
          <w:highlight w:val="none"/>
        </w:rPr>
      </w:pPr>
      <w:r>
        <w:rPr>
          <w:rStyle w:val="173"/>
          <w:rFonts w:hint="eastAsia" w:ascii="宋体" w:hAnsi="宋体" w:cs="宋体"/>
          <w:color w:val="auto"/>
          <w:szCs w:val="21"/>
          <w:highlight w:val="none"/>
        </w:rPr>
        <w:t>（1）本次招标要求投标人须具有独立法人资格，同时具有有效的电子与智能化工程专业承包二级和水利水电工程施工总承包二级（含）以上资质以及具有有效的安全生产许可证，并同时具有与本招标项目相应的施工及供货能力。（如联合体投标，联合体整体应具备以上资质条件）。</w:t>
      </w:r>
    </w:p>
    <w:p w14:paraId="1C376B12">
      <w:pPr>
        <w:spacing w:line="400" w:lineRule="exact"/>
        <w:ind w:firstLine="420" w:firstLineChars="200"/>
        <w:rPr>
          <w:rStyle w:val="173"/>
          <w:rFonts w:hint="eastAsia" w:ascii="宋体" w:hAnsi="宋体" w:cs="宋体"/>
          <w:color w:val="auto"/>
          <w:szCs w:val="21"/>
          <w:highlight w:val="none"/>
        </w:rPr>
      </w:pPr>
      <w:r>
        <w:rPr>
          <w:rStyle w:val="173"/>
          <w:rFonts w:hint="eastAsia" w:ascii="宋体" w:hAnsi="宋体" w:cs="宋体"/>
          <w:color w:val="auto"/>
          <w:szCs w:val="21"/>
          <w:highlight w:val="none"/>
        </w:rPr>
        <w:t>（</w:t>
      </w:r>
      <w:r>
        <w:rPr>
          <w:rStyle w:val="173"/>
          <w:rFonts w:hint="eastAsia" w:ascii="宋体" w:hAnsi="宋体" w:cs="宋体"/>
          <w:color w:val="auto"/>
          <w:szCs w:val="21"/>
          <w:highlight w:val="none"/>
          <w:lang w:val="en-US" w:eastAsia="zh-CN"/>
        </w:rPr>
        <w:t>2</w:t>
      </w:r>
      <w:r>
        <w:rPr>
          <w:rStyle w:val="173"/>
          <w:rFonts w:hint="eastAsia" w:ascii="宋体" w:hAnsi="宋体" w:cs="宋体"/>
          <w:color w:val="auto"/>
          <w:szCs w:val="21"/>
          <w:highlight w:val="none"/>
        </w:rPr>
        <w:t>）项目负责人（项目经理）要求：</w:t>
      </w:r>
    </w:p>
    <w:p w14:paraId="15134877">
      <w:pPr>
        <w:spacing w:line="400" w:lineRule="exact"/>
        <w:ind w:firstLine="420" w:firstLineChars="200"/>
        <w:rPr>
          <w:rStyle w:val="173"/>
          <w:rFonts w:hint="eastAsia" w:ascii="宋体" w:hAnsi="宋体" w:eastAsia="宋体" w:cs="宋体"/>
          <w:color w:val="auto"/>
          <w:szCs w:val="21"/>
          <w:highlight w:val="none"/>
          <w:lang w:val="en-US" w:eastAsia="zh-CN"/>
        </w:rPr>
      </w:pPr>
      <w:r>
        <w:rPr>
          <w:rStyle w:val="173"/>
          <w:rFonts w:hint="eastAsia" w:ascii="宋体" w:hAnsi="宋体" w:cs="宋体"/>
          <w:color w:val="auto"/>
          <w:szCs w:val="21"/>
          <w:highlight w:val="none"/>
        </w:rPr>
        <w:t>须具有有效的水利水电工程专业二级注册建造师或机电专业二级注册建造师资格，并具有有效的B类安全生产考核合格证书；（联合体投标的，联合体任意一方提供均认可；须提供证书复印件及人员在本单位投标截止之日止近半年内连续三个月社保证明材料，否则投标无效）</w:t>
      </w:r>
      <w:r>
        <w:rPr>
          <w:rStyle w:val="173"/>
          <w:rFonts w:hint="eastAsia" w:ascii="宋体" w:hAnsi="宋体" w:cs="宋体"/>
          <w:color w:val="auto"/>
          <w:szCs w:val="21"/>
          <w:highlight w:val="none"/>
          <w:lang w:eastAsia="zh-CN"/>
        </w:rPr>
        <w:t>。</w:t>
      </w:r>
    </w:p>
    <w:p w14:paraId="1FCFB62E">
      <w:pPr>
        <w:spacing w:line="400" w:lineRule="exact"/>
        <w:ind w:firstLine="420" w:firstLineChars="200"/>
        <w:rPr>
          <w:rStyle w:val="173"/>
          <w:rFonts w:hint="eastAsia" w:ascii="宋体" w:hAnsi="宋体" w:cs="宋体"/>
          <w:color w:val="auto"/>
          <w:szCs w:val="21"/>
          <w:highlight w:val="none"/>
        </w:rPr>
      </w:pPr>
      <w:r>
        <w:rPr>
          <w:rStyle w:val="173"/>
          <w:rFonts w:hint="eastAsia" w:ascii="宋体" w:hAnsi="宋体" w:cs="宋体"/>
          <w:color w:val="auto"/>
          <w:szCs w:val="21"/>
          <w:highlight w:val="none"/>
        </w:rPr>
        <w:t>（</w:t>
      </w:r>
      <w:r>
        <w:rPr>
          <w:rStyle w:val="173"/>
          <w:rFonts w:hint="eastAsia" w:ascii="宋体" w:hAnsi="宋体" w:cs="宋体"/>
          <w:color w:val="auto"/>
          <w:szCs w:val="21"/>
          <w:highlight w:val="none"/>
          <w:lang w:val="en-US" w:eastAsia="zh-CN"/>
        </w:rPr>
        <w:t>3</w:t>
      </w:r>
      <w:r>
        <w:rPr>
          <w:rStyle w:val="173"/>
          <w:rFonts w:hint="eastAsia" w:ascii="宋体" w:hAnsi="宋体" w:cs="宋体"/>
          <w:color w:val="auto"/>
          <w:szCs w:val="21"/>
          <w:highlight w:val="none"/>
        </w:rPr>
        <w:t>）技术负责人要求：</w:t>
      </w:r>
    </w:p>
    <w:p w14:paraId="7E8CB7FB">
      <w:pPr>
        <w:spacing w:line="400" w:lineRule="exact"/>
        <w:ind w:firstLine="420" w:firstLineChars="200"/>
        <w:rPr>
          <w:rStyle w:val="173"/>
          <w:rFonts w:hint="eastAsia" w:ascii="宋体" w:hAnsi="宋体" w:eastAsia="宋体" w:cs="宋体"/>
          <w:color w:val="auto"/>
          <w:szCs w:val="21"/>
          <w:highlight w:val="none"/>
          <w:lang w:eastAsia="zh-CN"/>
        </w:rPr>
      </w:pPr>
      <w:r>
        <w:rPr>
          <w:rStyle w:val="173"/>
          <w:rFonts w:hint="eastAsia" w:ascii="宋体" w:hAnsi="宋体" w:cs="宋体"/>
          <w:color w:val="auto"/>
          <w:szCs w:val="21"/>
          <w:highlight w:val="none"/>
        </w:rPr>
        <w:t>技术负责人具有有效的电子与智能化工程类相关专业（包括计算机、电子、通信、自动化、电气等专业）</w:t>
      </w:r>
      <w:r>
        <w:rPr>
          <w:rStyle w:val="173"/>
          <w:rFonts w:hint="eastAsia" w:ascii="宋体" w:hAnsi="宋体" w:cs="宋体"/>
          <w:color w:val="auto"/>
          <w:szCs w:val="21"/>
          <w:highlight w:val="none"/>
          <w:lang w:val="en-US" w:eastAsia="zh-CN"/>
        </w:rPr>
        <w:t>或水利水电相关专业</w:t>
      </w:r>
      <w:r>
        <w:rPr>
          <w:rStyle w:val="173"/>
          <w:rFonts w:hint="eastAsia" w:ascii="宋体" w:hAnsi="宋体" w:cs="宋体"/>
          <w:color w:val="auto"/>
          <w:szCs w:val="21"/>
          <w:highlight w:val="none"/>
        </w:rPr>
        <w:t>中级（含）以上技术职称。（联合体投标的，联合体任意一方提供均认可；须提供证书复印件及人员在本单位投标截止之日止近半年内连续三个月社保证明材料，否则投标无效）</w:t>
      </w:r>
      <w:r>
        <w:rPr>
          <w:rStyle w:val="173"/>
          <w:rFonts w:hint="eastAsia" w:ascii="宋体" w:hAnsi="宋体" w:cs="宋体"/>
          <w:color w:val="auto"/>
          <w:szCs w:val="21"/>
          <w:highlight w:val="none"/>
          <w:lang w:eastAsia="zh-CN"/>
        </w:rPr>
        <w:t>。</w:t>
      </w:r>
    </w:p>
    <w:p w14:paraId="21777CE1">
      <w:pPr>
        <w:spacing w:line="400" w:lineRule="exact"/>
        <w:ind w:firstLine="420" w:firstLineChars="200"/>
        <w:rPr>
          <w:rStyle w:val="173"/>
          <w:rFonts w:hint="eastAsia" w:ascii="宋体" w:hAnsi="宋体" w:cs="宋体"/>
          <w:color w:val="auto"/>
          <w:szCs w:val="21"/>
          <w:highlight w:val="none"/>
        </w:rPr>
      </w:pPr>
      <w:r>
        <w:rPr>
          <w:rStyle w:val="173"/>
          <w:rFonts w:hint="eastAsia" w:ascii="宋体" w:hAnsi="宋体" w:cs="宋体"/>
          <w:color w:val="auto"/>
          <w:szCs w:val="21"/>
          <w:highlight w:val="none"/>
        </w:rPr>
        <w:t>（</w:t>
      </w:r>
      <w:r>
        <w:rPr>
          <w:rStyle w:val="173"/>
          <w:rFonts w:hint="eastAsia" w:ascii="宋体" w:hAnsi="宋体" w:cs="宋体"/>
          <w:color w:val="auto"/>
          <w:szCs w:val="21"/>
          <w:highlight w:val="none"/>
          <w:lang w:val="en-US" w:eastAsia="zh-CN"/>
        </w:rPr>
        <w:t>4</w:t>
      </w:r>
      <w:r>
        <w:rPr>
          <w:rStyle w:val="173"/>
          <w:rFonts w:hint="eastAsia" w:ascii="宋体" w:hAnsi="宋体" w:cs="宋体"/>
          <w:color w:val="auto"/>
          <w:szCs w:val="21"/>
          <w:highlight w:val="none"/>
        </w:rPr>
        <w:t>）其他人员要求：</w:t>
      </w:r>
      <w:bookmarkStart w:id="20" w:name="OLE_LINK3"/>
    </w:p>
    <w:p w14:paraId="68CB5A04">
      <w:pPr>
        <w:spacing w:line="400" w:lineRule="exact"/>
        <w:ind w:firstLine="420" w:firstLineChars="200"/>
        <w:rPr>
          <w:rStyle w:val="173"/>
          <w:rFonts w:hint="eastAsia" w:ascii="宋体" w:hAnsi="宋体" w:eastAsia="宋体" w:cs="宋体"/>
          <w:color w:val="auto"/>
          <w:szCs w:val="21"/>
          <w:highlight w:val="none"/>
          <w:lang w:eastAsia="zh-CN"/>
        </w:rPr>
      </w:pPr>
      <w:r>
        <w:rPr>
          <w:rStyle w:val="173"/>
          <w:rFonts w:hint="eastAsia" w:ascii="宋体" w:hAnsi="宋体" w:cs="宋体"/>
          <w:color w:val="auto"/>
          <w:szCs w:val="21"/>
          <w:highlight w:val="none"/>
        </w:rPr>
        <w:t>①质量管理员（质检员）：不少于</w:t>
      </w:r>
      <w:r>
        <w:rPr>
          <w:rStyle w:val="173"/>
          <w:rFonts w:hint="eastAsia" w:ascii="宋体" w:hAnsi="宋体" w:cs="宋体"/>
          <w:color w:val="auto"/>
          <w:szCs w:val="21"/>
          <w:highlight w:val="none"/>
          <w:lang w:val="en-US" w:eastAsia="zh-CN"/>
        </w:rPr>
        <w:t>1</w:t>
      </w:r>
      <w:r>
        <w:rPr>
          <w:rStyle w:val="173"/>
          <w:rFonts w:hint="eastAsia" w:ascii="宋体" w:hAnsi="宋体" w:cs="宋体"/>
          <w:color w:val="auto"/>
          <w:szCs w:val="21"/>
          <w:highlight w:val="none"/>
        </w:rPr>
        <w:t>人，具有有效的水利水电工程或电子与智能化工程类相关专业（包括计算机、电子、通信、自动化、电气等专业）中级（含）以上技术职称。（联合体投标的，联合体任意一方提供均认可；须提供在投标截止之日止近半年内连续三个月社保证明材料，否则投标无效）</w:t>
      </w:r>
      <w:r>
        <w:rPr>
          <w:rStyle w:val="173"/>
          <w:rFonts w:hint="eastAsia" w:ascii="宋体" w:hAnsi="宋体" w:cs="宋体"/>
          <w:color w:val="auto"/>
          <w:szCs w:val="21"/>
          <w:highlight w:val="none"/>
          <w:lang w:eastAsia="zh-CN"/>
        </w:rPr>
        <w:t>；</w:t>
      </w:r>
    </w:p>
    <w:p w14:paraId="75FF8F38">
      <w:pPr>
        <w:spacing w:line="400" w:lineRule="exact"/>
        <w:ind w:firstLine="420" w:firstLineChars="200"/>
        <w:rPr>
          <w:rFonts w:hint="eastAsia" w:ascii="宋体" w:hAnsi="宋体" w:cs="宋体"/>
          <w:color w:val="auto"/>
          <w:szCs w:val="21"/>
          <w:highlight w:val="none"/>
        </w:rPr>
      </w:pPr>
      <w:r>
        <w:rPr>
          <w:rStyle w:val="173"/>
          <w:rFonts w:hint="eastAsia" w:ascii="宋体" w:hAnsi="宋体" w:cs="宋体"/>
          <w:color w:val="auto"/>
          <w:szCs w:val="21"/>
          <w:highlight w:val="none"/>
        </w:rPr>
        <w:t>②安全管理员（安全员）：具有有效的C类安全生产考核合格证书。（联合体投标的，联合体任意一方提供均认可；须提供在投标截止之日止近半年内连续三个月社保证明材料，否则投标无效）。</w:t>
      </w:r>
    </w:p>
    <w:bookmarkEnd w:id="20"/>
    <w:p w14:paraId="68264064">
      <w:pPr>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三、获取招标文件</w:t>
      </w:r>
      <w:bookmarkEnd w:id="16"/>
      <w:bookmarkEnd w:id="17"/>
      <w:bookmarkEnd w:id="18"/>
      <w:bookmarkEnd w:id="19"/>
    </w:p>
    <w:p w14:paraId="1E812FA5">
      <w:pPr>
        <w:spacing w:line="400" w:lineRule="exact"/>
        <w:ind w:firstLine="54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时间：</w:t>
      </w:r>
      <w:r>
        <w:rPr>
          <w:rFonts w:hint="eastAsia" w:ascii="宋体" w:hAnsi="宋体" w:cs="宋体"/>
          <w:bCs/>
          <w:color w:val="auto"/>
          <w:kern w:val="0"/>
          <w:szCs w:val="21"/>
          <w:highlight w:val="none"/>
          <w:lang w:eastAsia="zh-CN"/>
        </w:rPr>
        <w:t>2026年01月27日</w:t>
      </w:r>
      <w:r>
        <w:rPr>
          <w:rFonts w:hint="eastAsia" w:ascii="宋体" w:hAnsi="宋体" w:cs="宋体"/>
          <w:bCs/>
          <w:color w:val="auto"/>
          <w:kern w:val="0"/>
          <w:szCs w:val="21"/>
          <w:highlight w:val="none"/>
        </w:rPr>
        <w:t>至</w:t>
      </w:r>
      <w:r>
        <w:rPr>
          <w:rFonts w:hint="eastAsia" w:ascii="宋体" w:hAnsi="宋体" w:cs="宋体"/>
          <w:bCs/>
          <w:color w:val="auto"/>
          <w:kern w:val="0"/>
          <w:szCs w:val="21"/>
          <w:highlight w:val="none"/>
          <w:lang w:eastAsia="zh-CN"/>
        </w:rPr>
        <w:t>2026年01月27日</w:t>
      </w:r>
      <w:r>
        <w:rPr>
          <w:rFonts w:hint="eastAsia" w:ascii="宋体" w:hAnsi="宋体" w:cs="宋体"/>
          <w:bCs/>
          <w:color w:val="auto"/>
          <w:kern w:val="0"/>
          <w:szCs w:val="21"/>
          <w:highlight w:val="none"/>
        </w:rPr>
        <w:t>，每天上午0:00至12:00，下午12:00至23:59（北京时间）</w:t>
      </w:r>
    </w:p>
    <w:p w14:paraId="5D0D9552">
      <w:pPr>
        <w:spacing w:line="400" w:lineRule="exact"/>
        <w:ind w:firstLine="540"/>
        <w:rPr>
          <w:rFonts w:hint="eastAsia" w:ascii="宋体" w:hAnsi="宋体" w:cs="宋体"/>
          <w:color w:val="auto"/>
          <w:szCs w:val="21"/>
          <w:highlight w:val="none"/>
        </w:rPr>
      </w:pPr>
      <w:r>
        <w:rPr>
          <w:rFonts w:hint="eastAsia" w:ascii="宋体" w:hAnsi="宋体" w:cs="宋体"/>
          <w:bCs/>
          <w:color w:val="auto"/>
          <w:kern w:val="0"/>
          <w:szCs w:val="21"/>
          <w:highlight w:val="none"/>
        </w:rPr>
        <w:t>地点：</w:t>
      </w:r>
      <w:bookmarkStart w:id="21" w:name="OLE_LINK1"/>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w:t>
      </w:r>
      <w:bookmarkEnd w:id="21"/>
    </w:p>
    <w:p w14:paraId="6D265675">
      <w:pPr>
        <w:spacing w:line="400" w:lineRule="exact"/>
        <w:ind w:firstLine="54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方式：网上下载。本项目不提供纸质文件，潜在供应商需在</w:t>
      </w:r>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w:t>
      </w:r>
      <w:r>
        <w:rPr>
          <w:rFonts w:hint="eastAsia" w:ascii="宋体" w:hAnsi="宋体" w:cs="宋体"/>
          <w:bCs/>
          <w:color w:val="auto"/>
          <w:kern w:val="0"/>
          <w:szCs w:val="21"/>
          <w:highlight w:val="none"/>
        </w:rPr>
        <w:t>-进入“项目采购”应用，在获取采购文件菜单中选择项目，获取招标文件。</w:t>
      </w:r>
      <w:r>
        <w:rPr>
          <w:rFonts w:hint="eastAsia" w:ascii="宋体" w:hAnsi="宋体" w:cs="宋体"/>
          <w:color w:val="auto"/>
          <w:szCs w:val="21"/>
          <w:highlight w:val="none"/>
        </w:rPr>
        <w:t>电子投标文件制作需要基于广西政府采购云平台获取的招标文件编制，</w:t>
      </w:r>
      <w:r>
        <w:rPr>
          <w:rFonts w:hint="eastAsia" w:ascii="宋体" w:hAnsi="宋体" w:cs="宋体"/>
          <w:bCs/>
          <w:color w:val="auto"/>
          <w:kern w:val="0"/>
          <w:szCs w:val="21"/>
          <w:highlight w:val="none"/>
        </w:rPr>
        <w:t>通过其他方式获取招标文件的，将有可能导致供应商无法在</w:t>
      </w:r>
      <w:r>
        <w:rPr>
          <w:rFonts w:hint="eastAsia" w:ascii="宋体" w:hAnsi="宋体" w:cs="宋体"/>
          <w:color w:val="auto"/>
          <w:szCs w:val="21"/>
          <w:highlight w:val="none"/>
        </w:rPr>
        <w:t>广西政府采购云平台</w:t>
      </w:r>
      <w:r>
        <w:rPr>
          <w:rFonts w:hint="eastAsia" w:ascii="宋体" w:hAnsi="宋体" w:cs="宋体"/>
          <w:bCs/>
          <w:color w:val="auto"/>
          <w:kern w:val="0"/>
          <w:szCs w:val="21"/>
          <w:highlight w:val="none"/>
        </w:rPr>
        <w:t>编制及上传投标文件。</w:t>
      </w:r>
    </w:p>
    <w:p w14:paraId="72CFC761">
      <w:pPr>
        <w:spacing w:line="400" w:lineRule="exact"/>
        <w:ind w:firstLine="540"/>
        <w:rPr>
          <w:rFonts w:hint="eastAsia" w:ascii="宋体" w:hAnsi="宋体" w:cs="宋体"/>
          <w:color w:val="auto"/>
          <w:szCs w:val="21"/>
          <w:highlight w:val="none"/>
        </w:rPr>
      </w:pPr>
      <w:r>
        <w:rPr>
          <w:rFonts w:hint="eastAsia" w:ascii="宋体" w:hAnsi="宋体" w:cs="宋体"/>
          <w:bCs/>
          <w:color w:val="auto"/>
          <w:kern w:val="0"/>
          <w:szCs w:val="21"/>
          <w:highlight w:val="none"/>
        </w:rPr>
        <w:t>售价：</w:t>
      </w:r>
      <w:r>
        <w:rPr>
          <w:rFonts w:hint="eastAsia" w:ascii="宋体" w:hAnsi="宋体" w:cs="宋体"/>
          <w:color w:val="auto"/>
          <w:szCs w:val="21"/>
          <w:highlight w:val="none"/>
        </w:rPr>
        <w:t>0元</w:t>
      </w:r>
    </w:p>
    <w:p w14:paraId="2820BE43">
      <w:pPr>
        <w:spacing w:line="400" w:lineRule="exact"/>
        <w:rPr>
          <w:rFonts w:hint="eastAsia" w:ascii="宋体" w:hAnsi="宋体" w:cs="宋体"/>
          <w:b/>
          <w:bCs/>
          <w:color w:val="auto"/>
          <w:szCs w:val="21"/>
          <w:highlight w:val="none"/>
        </w:rPr>
      </w:pPr>
      <w:bookmarkStart w:id="22" w:name="_Toc28359005"/>
      <w:bookmarkStart w:id="23" w:name="_Toc28359082"/>
      <w:bookmarkStart w:id="24" w:name="_Toc35393624"/>
      <w:bookmarkStart w:id="25" w:name="_Toc35393793"/>
      <w:r>
        <w:rPr>
          <w:rFonts w:hint="eastAsia" w:ascii="宋体" w:hAnsi="宋体" w:cs="宋体"/>
          <w:b/>
          <w:bCs/>
          <w:color w:val="auto"/>
          <w:szCs w:val="21"/>
          <w:highlight w:val="none"/>
        </w:rPr>
        <w:t>四、提交投标文件</w:t>
      </w:r>
      <w:bookmarkEnd w:id="22"/>
      <w:bookmarkEnd w:id="23"/>
      <w:r>
        <w:rPr>
          <w:rFonts w:hint="eastAsia" w:ascii="宋体" w:hAnsi="宋体" w:cs="宋体"/>
          <w:b/>
          <w:bCs/>
          <w:color w:val="auto"/>
          <w:szCs w:val="21"/>
          <w:highlight w:val="none"/>
        </w:rPr>
        <w:t>截止时间、开标时间和地点</w:t>
      </w:r>
      <w:bookmarkEnd w:id="24"/>
      <w:bookmarkEnd w:id="25"/>
    </w:p>
    <w:p w14:paraId="0A7DAF9E">
      <w:pPr>
        <w:spacing w:line="400" w:lineRule="exact"/>
        <w:ind w:firstLine="420" w:firstLineChars="200"/>
        <w:rPr>
          <w:rFonts w:hint="eastAsia" w:ascii="宋体" w:hAnsi="宋体" w:cs="宋体"/>
          <w:color w:val="auto"/>
          <w:szCs w:val="21"/>
          <w:highlight w:val="none"/>
        </w:rPr>
      </w:pPr>
      <w:bookmarkStart w:id="26" w:name="_Toc28359007"/>
      <w:bookmarkStart w:id="27" w:name="_Toc35393625"/>
      <w:bookmarkStart w:id="28" w:name="_Toc28359084"/>
      <w:bookmarkStart w:id="29" w:name="_Toc35393794"/>
      <w:r>
        <w:rPr>
          <w:rFonts w:hint="eastAsia" w:ascii="宋体" w:hAnsi="宋体" w:cs="宋体"/>
          <w:color w:val="auto"/>
          <w:szCs w:val="21"/>
          <w:highlight w:val="none"/>
        </w:rPr>
        <w:t>提交投标文件截止时间：</w:t>
      </w:r>
      <w:r>
        <w:rPr>
          <w:rFonts w:hint="eastAsia" w:ascii="宋体" w:hAnsi="宋体" w:cs="宋体"/>
          <w:color w:val="auto"/>
          <w:szCs w:val="21"/>
          <w:highlight w:val="none"/>
          <w:lang w:eastAsia="zh-CN"/>
        </w:rPr>
        <w:t>2026年01月27日</w:t>
      </w:r>
      <w:r>
        <w:rPr>
          <w:rFonts w:hint="eastAsia" w:ascii="宋体" w:hAnsi="宋体" w:cs="宋体"/>
          <w:color w:val="auto"/>
          <w:szCs w:val="21"/>
          <w:highlight w:val="none"/>
        </w:rPr>
        <w:t>09:30（北京时间）</w:t>
      </w:r>
    </w:p>
    <w:p w14:paraId="485A36D5">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投标地点：广西政府采购云平台（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w:t>
      </w:r>
    </w:p>
    <w:p w14:paraId="2BE07827">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开标时间：</w:t>
      </w:r>
      <w:r>
        <w:rPr>
          <w:rFonts w:hint="eastAsia" w:ascii="宋体" w:hAnsi="宋体" w:cs="宋体"/>
          <w:color w:val="auto"/>
          <w:szCs w:val="21"/>
          <w:highlight w:val="none"/>
          <w:lang w:eastAsia="zh-CN"/>
        </w:rPr>
        <w:t>2026年01月27日</w:t>
      </w:r>
      <w:r>
        <w:rPr>
          <w:rFonts w:hint="eastAsia" w:ascii="宋体" w:hAnsi="宋体" w:cs="宋体"/>
          <w:color w:val="auto"/>
          <w:szCs w:val="21"/>
          <w:highlight w:val="none"/>
        </w:rPr>
        <w:t>09:30</w:t>
      </w:r>
    </w:p>
    <w:p w14:paraId="47F657AE">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开标地点：广西政府采购云平台电子开标大厅</w:t>
      </w:r>
    </w:p>
    <w:p w14:paraId="508E80EE">
      <w:pPr>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五、公告期限</w:t>
      </w:r>
      <w:bookmarkEnd w:id="26"/>
      <w:bookmarkEnd w:id="27"/>
      <w:bookmarkEnd w:id="28"/>
      <w:bookmarkEnd w:id="29"/>
    </w:p>
    <w:p w14:paraId="05F518AF">
      <w:pPr>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26C0AC78">
      <w:pPr>
        <w:spacing w:line="400" w:lineRule="exact"/>
        <w:rPr>
          <w:rFonts w:hint="eastAsia" w:ascii="宋体" w:hAnsi="宋体" w:cs="宋体"/>
          <w:b/>
          <w:bCs/>
          <w:color w:val="auto"/>
          <w:szCs w:val="21"/>
          <w:highlight w:val="none"/>
        </w:rPr>
      </w:pPr>
      <w:bookmarkStart w:id="30" w:name="_Toc35393626"/>
      <w:bookmarkStart w:id="31" w:name="_Toc35393795"/>
      <w:r>
        <w:rPr>
          <w:rFonts w:hint="eastAsia" w:ascii="宋体" w:hAnsi="宋体" w:cs="宋体"/>
          <w:b/>
          <w:bCs/>
          <w:color w:val="auto"/>
          <w:szCs w:val="21"/>
          <w:highlight w:val="none"/>
        </w:rPr>
        <w:t>六、其他补充事宜</w:t>
      </w:r>
      <w:bookmarkEnd w:id="30"/>
      <w:bookmarkEnd w:id="31"/>
    </w:p>
    <w:p w14:paraId="48A54897">
      <w:pPr>
        <w:spacing w:line="400" w:lineRule="exact"/>
        <w:ind w:firstLine="420" w:firstLineChars="200"/>
        <w:rPr>
          <w:rFonts w:hint="eastAsia" w:ascii="宋体" w:hAnsi="宋体" w:cs="宋体"/>
          <w:color w:val="auto"/>
          <w:kern w:val="0"/>
          <w:szCs w:val="21"/>
          <w:highlight w:val="none"/>
        </w:rPr>
      </w:pPr>
      <w:bookmarkStart w:id="32" w:name="_Hlk37429595"/>
      <w:bookmarkStart w:id="33" w:name="_Hlk37429585"/>
      <w:bookmarkStart w:id="34" w:name="_Toc35393796"/>
      <w:bookmarkStart w:id="35" w:name="_Toc28359085"/>
      <w:bookmarkStart w:id="36" w:name="_Toc28359008"/>
      <w:bookmarkStart w:id="37" w:name="_Toc35393627"/>
      <w:r>
        <w:rPr>
          <w:rFonts w:hint="eastAsia" w:ascii="宋体" w:hAnsi="宋体" w:cs="宋体"/>
          <w:color w:val="auto"/>
          <w:kern w:val="0"/>
          <w:szCs w:val="21"/>
          <w:highlight w:val="none"/>
        </w:rPr>
        <w:t>1.网上查询地址</w:t>
      </w:r>
    </w:p>
    <w:p w14:paraId="07DEB043">
      <w:pPr>
        <w:spacing w:line="400" w:lineRule="exact"/>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中国政府采购网（http://www.ccgp.gov.cn）</w:t>
      </w:r>
    </w:p>
    <w:p w14:paraId="051CA0EF">
      <w:pPr>
        <w:spacing w:line="400" w:lineRule="exact"/>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广西壮族自治区政府采购网（http://zfcg.gxzf.gov.cn）</w:t>
      </w:r>
    </w:p>
    <w:p w14:paraId="365692D8">
      <w:pPr>
        <w:spacing w:line="400" w:lineRule="exact"/>
        <w:ind w:firstLine="420" w:firstLineChars="200"/>
        <w:rPr>
          <w:rFonts w:hint="eastAsia" w:ascii="宋体" w:hAnsi="宋体" w:cs="宋体"/>
          <w:color w:val="auto"/>
          <w:kern w:val="0"/>
          <w:szCs w:val="21"/>
          <w:highlight w:val="none"/>
        </w:rPr>
      </w:pPr>
      <w:r>
        <w:rPr>
          <w:rFonts w:hint="eastAsia" w:ascii="宋体" w:hAnsi="宋体" w:cs="宋体"/>
          <w:bCs/>
          <w:color w:val="auto"/>
          <w:kern w:val="0"/>
          <w:szCs w:val="21"/>
          <w:highlight w:val="none"/>
        </w:rPr>
        <w:t>桂林市政府采购网（zfcg.czj.guilin.gov.cn）</w:t>
      </w:r>
    </w:p>
    <w:bookmarkEnd w:id="32"/>
    <w:bookmarkEnd w:id="33"/>
    <w:p w14:paraId="324C2DC7">
      <w:pPr>
        <w:spacing w:line="400" w:lineRule="exact"/>
        <w:ind w:firstLine="424" w:firstLineChars="202"/>
        <w:rPr>
          <w:rFonts w:hint="eastAsia" w:ascii="宋体" w:hAnsi="宋体" w:cs="宋体"/>
          <w:color w:val="auto"/>
          <w:kern w:val="0"/>
          <w:szCs w:val="21"/>
          <w:highlight w:val="none"/>
        </w:rPr>
      </w:pPr>
      <w:bookmarkStart w:id="38" w:name="_Hlk37429674"/>
      <w:r>
        <w:rPr>
          <w:rFonts w:hint="eastAsia" w:ascii="宋体" w:hAnsi="宋体" w:cs="宋体"/>
          <w:color w:val="auto"/>
          <w:szCs w:val="21"/>
          <w:highlight w:val="none"/>
        </w:rPr>
        <w:t>2.</w:t>
      </w:r>
      <w:r>
        <w:rPr>
          <w:rFonts w:hint="eastAsia" w:ascii="宋体" w:hAnsi="宋体" w:cs="宋体"/>
          <w:color w:val="auto"/>
          <w:kern w:val="0"/>
          <w:szCs w:val="21"/>
          <w:highlight w:val="none"/>
        </w:rPr>
        <w:t>本项目需要落实的政府采购政策</w:t>
      </w:r>
    </w:p>
    <w:p w14:paraId="2F8505CF">
      <w:pPr>
        <w:spacing w:line="400" w:lineRule="exact"/>
        <w:ind w:firstLine="420" w:firstLineChars="200"/>
        <w:rPr>
          <w:rFonts w:hint="eastAsia" w:ascii="宋体" w:hAnsi="宋体" w:cs="宋体"/>
          <w:iCs/>
          <w:color w:val="auto"/>
          <w:kern w:val="0"/>
          <w:szCs w:val="21"/>
          <w:highlight w:val="none"/>
        </w:rPr>
      </w:pPr>
      <w:r>
        <w:rPr>
          <w:rFonts w:hint="eastAsia" w:ascii="宋体" w:hAnsi="宋体" w:cs="宋体"/>
          <w:iCs/>
          <w:color w:val="auto"/>
          <w:kern w:val="0"/>
          <w:szCs w:val="21"/>
          <w:highlight w:val="none"/>
        </w:rPr>
        <w:t>（1）政府采购促进中小企业发展。</w:t>
      </w:r>
    </w:p>
    <w:p w14:paraId="1D3C99DD">
      <w:pPr>
        <w:spacing w:line="400" w:lineRule="exact"/>
        <w:ind w:firstLine="420" w:firstLineChars="200"/>
        <w:rPr>
          <w:rFonts w:hint="eastAsia" w:ascii="宋体" w:hAnsi="宋体" w:cs="宋体"/>
          <w:iCs/>
          <w:color w:val="auto"/>
          <w:kern w:val="0"/>
          <w:szCs w:val="21"/>
          <w:highlight w:val="none"/>
        </w:rPr>
      </w:pPr>
      <w:r>
        <w:rPr>
          <w:rFonts w:hint="eastAsia" w:ascii="宋体" w:hAnsi="宋体" w:cs="宋体"/>
          <w:iCs/>
          <w:color w:val="auto"/>
          <w:kern w:val="0"/>
          <w:szCs w:val="21"/>
          <w:highlight w:val="none"/>
        </w:rPr>
        <w:t>（2）政府采购支持采用本国产品的政策。</w:t>
      </w:r>
    </w:p>
    <w:p w14:paraId="38E76796">
      <w:pPr>
        <w:spacing w:line="400" w:lineRule="exact"/>
        <w:ind w:firstLine="420" w:firstLineChars="200"/>
        <w:rPr>
          <w:rFonts w:hint="eastAsia" w:ascii="宋体" w:hAnsi="宋体" w:cs="宋体"/>
          <w:iCs/>
          <w:color w:val="auto"/>
          <w:kern w:val="0"/>
          <w:szCs w:val="21"/>
          <w:highlight w:val="none"/>
        </w:rPr>
      </w:pPr>
      <w:r>
        <w:rPr>
          <w:rFonts w:hint="eastAsia" w:ascii="宋体" w:hAnsi="宋体" w:cs="宋体"/>
          <w:iCs/>
          <w:color w:val="auto"/>
          <w:kern w:val="0"/>
          <w:szCs w:val="21"/>
          <w:highlight w:val="none"/>
        </w:rPr>
        <w:t>（3）强制采购节能产品；优先采购节能产品、环境标志产品。</w:t>
      </w:r>
    </w:p>
    <w:p w14:paraId="207DB717">
      <w:pPr>
        <w:spacing w:line="400" w:lineRule="exact"/>
        <w:ind w:firstLine="420" w:firstLineChars="200"/>
        <w:rPr>
          <w:rFonts w:hint="eastAsia" w:ascii="宋体" w:hAnsi="宋体" w:cs="宋体"/>
          <w:iCs/>
          <w:color w:val="auto"/>
          <w:kern w:val="0"/>
          <w:szCs w:val="21"/>
          <w:highlight w:val="none"/>
        </w:rPr>
      </w:pPr>
      <w:r>
        <w:rPr>
          <w:rFonts w:hint="eastAsia" w:ascii="宋体" w:hAnsi="宋体" w:cs="宋体"/>
          <w:iCs/>
          <w:color w:val="auto"/>
          <w:kern w:val="0"/>
          <w:szCs w:val="21"/>
          <w:highlight w:val="none"/>
        </w:rPr>
        <w:t>（4）政府采购促进残疾人就业政策。</w:t>
      </w:r>
    </w:p>
    <w:p w14:paraId="11E5BFC8">
      <w:pPr>
        <w:spacing w:line="400" w:lineRule="exact"/>
        <w:ind w:firstLine="420" w:firstLineChars="200"/>
        <w:rPr>
          <w:rFonts w:hint="eastAsia" w:ascii="宋体" w:hAnsi="宋体" w:cs="宋体"/>
          <w:iCs/>
          <w:color w:val="auto"/>
          <w:kern w:val="0"/>
          <w:szCs w:val="21"/>
          <w:highlight w:val="none"/>
        </w:rPr>
      </w:pPr>
      <w:r>
        <w:rPr>
          <w:rFonts w:hint="eastAsia" w:ascii="宋体" w:hAnsi="宋体" w:cs="宋体"/>
          <w:iCs/>
          <w:color w:val="auto"/>
          <w:kern w:val="0"/>
          <w:szCs w:val="21"/>
          <w:highlight w:val="none"/>
        </w:rPr>
        <w:t>（5）政府采购支持监狱企业发展。</w:t>
      </w:r>
    </w:p>
    <w:bookmarkEnd w:id="38"/>
    <w:p w14:paraId="35FB07A4">
      <w:pPr>
        <w:widowControl/>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kern w:val="0"/>
          <w:szCs w:val="21"/>
          <w:highlight w:val="none"/>
        </w:rPr>
        <w:t>3.投标人</w:t>
      </w:r>
      <w:r>
        <w:rPr>
          <w:rFonts w:hint="eastAsia" w:ascii="宋体" w:hAnsi="宋体" w:cs="宋体"/>
          <w:color w:val="auto"/>
          <w:szCs w:val="21"/>
          <w:highlight w:val="none"/>
        </w:rPr>
        <w:t>投标注意事项</w:t>
      </w:r>
    </w:p>
    <w:p w14:paraId="7A60E9F4">
      <w:pPr>
        <w:widowControl/>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（1）本项目为全流程电子化采购项目，通过广西政府采购云平台（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）实行在线电子投标，投标人应按照本项目招标文件和广西政府采购云平台的要求编制、加密后在投标截止时间前通过网络上传至广西政府采购云平台（加密的电子投标文件是指后缀名为“jmbs”的文件），</w:t>
      </w:r>
      <w:r>
        <w:rPr>
          <w:rFonts w:hint="eastAsia" w:ascii="宋体" w:hAnsi="宋体" w:cs="宋体"/>
          <w:b/>
          <w:color w:val="auto"/>
          <w:szCs w:val="21"/>
          <w:highlight w:val="none"/>
        </w:rPr>
        <w:t>投标人在</w:t>
      </w:r>
      <w:r>
        <w:rPr>
          <w:rFonts w:hint="eastAsia" w:ascii="宋体" w:hAnsi="宋体" w:cs="宋体"/>
          <w:color w:val="auto"/>
          <w:szCs w:val="21"/>
          <w:highlight w:val="none"/>
        </w:rPr>
        <w:t>广西政府采购云平台</w:t>
      </w:r>
      <w:r>
        <w:rPr>
          <w:rFonts w:hint="eastAsia" w:ascii="宋体" w:hAnsi="宋体" w:cs="宋体"/>
          <w:b/>
          <w:color w:val="auto"/>
          <w:szCs w:val="21"/>
          <w:highlight w:val="none"/>
        </w:rPr>
        <w:t>提交电子投标文件时，请填写参加远程开标活动经办人联系方式。</w:t>
      </w:r>
      <w:r>
        <w:rPr>
          <w:rFonts w:hint="eastAsia" w:ascii="宋体" w:hAnsi="宋体" w:cs="宋体"/>
          <w:color w:val="auto"/>
          <w:szCs w:val="21"/>
          <w:highlight w:val="none"/>
        </w:rPr>
        <w:t>投标人登录广西政府采购云平台，依次进入“服务中心-项目采购-操作流程-电子招投标-政府采购项目电子交易管理操作指南-供应商”查看电子投标具体操作流程。</w:t>
      </w:r>
    </w:p>
    <w:p w14:paraId="72FC2B80">
      <w:pPr>
        <w:widowControl/>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广西政府采购云平台</w:t>
      </w:r>
      <w:r>
        <w:rPr>
          <w:rFonts w:hint="eastAsia" w:ascii="宋体" w:hAnsi="宋体" w:cs="宋体"/>
          <w:color w:val="auto"/>
          <w:kern w:val="0"/>
          <w:szCs w:val="21"/>
          <w:highlight w:val="none"/>
        </w:rPr>
        <w:t>，</w:t>
      </w:r>
      <w:r>
        <w:rPr>
          <w:rFonts w:hint="eastAsia" w:ascii="宋体" w:hAnsi="宋体" w:cs="宋体"/>
          <w:color w:val="auto"/>
          <w:szCs w:val="21"/>
          <w:highlight w:val="none"/>
        </w:rPr>
        <w:t>依次进入“服务中心-入驻与配置”中查看CA数字证书办理操作流程。</w:t>
      </w:r>
      <w:r>
        <w:rPr>
          <w:rFonts w:hint="eastAsia" w:ascii="宋体" w:hAnsi="宋体" w:cs="宋体"/>
          <w:bCs/>
          <w:color w:val="auto"/>
          <w:kern w:val="0"/>
          <w:szCs w:val="21"/>
          <w:highlight w:val="none"/>
        </w:rPr>
        <w:t>如在操作过程中遇到问题或者需要技术支持，请致电客服热线：95763</w:t>
      </w:r>
      <w:r>
        <w:rPr>
          <w:rFonts w:hint="eastAsia" w:ascii="宋体" w:hAnsi="宋体" w:cs="宋体"/>
          <w:color w:val="auto"/>
          <w:szCs w:val="21"/>
          <w:highlight w:val="none"/>
        </w:rPr>
        <w:t>）。</w:t>
      </w:r>
    </w:p>
    <w:p w14:paraId="4F1DC310">
      <w:pPr>
        <w:snapToGrid w:val="0"/>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（3）CA证书在线解密：投标人投标时，需凭制作投标文件时用来加密的有效数字证书（CA认证）登录</w:t>
      </w:r>
      <w:r>
        <w:rPr>
          <w:rFonts w:hint="eastAsia" w:ascii="宋体" w:hAnsi="宋体" w:cs="宋体"/>
          <w:color w:val="auto"/>
          <w:szCs w:val="21"/>
          <w:highlight w:val="none"/>
        </w:rPr>
        <w:t>广西政府采购云平台</w:t>
      </w:r>
      <w:r>
        <w:rPr>
          <w:rFonts w:hint="eastAsia" w:ascii="宋体" w:hAnsi="宋体" w:cs="宋体"/>
          <w:color w:val="auto"/>
          <w:kern w:val="0"/>
          <w:szCs w:val="21"/>
          <w:highlight w:val="none"/>
        </w:rPr>
        <w:t>电子开标大厅现场按规定时间对加密的投标文件进行解密，否则后果自负。</w:t>
      </w:r>
    </w:p>
    <w:p w14:paraId="43D11680">
      <w:pPr>
        <w:spacing w:line="400" w:lineRule="exact"/>
        <w:ind w:firstLine="424" w:firstLineChars="202"/>
        <w:rPr>
          <w:rFonts w:hint="eastAsia" w:ascii="宋体" w:hAnsi="宋体" w:cs="宋体"/>
          <w:bCs/>
          <w:color w:val="auto"/>
          <w:szCs w:val="21"/>
          <w:highlight w:val="none"/>
        </w:rPr>
      </w:pPr>
      <w:r>
        <w:rPr>
          <w:rFonts w:hint="eastAsia" w:ascii="宋体" w:hAnsi="宋体" w:cs="宋体"/>
          <w:color w:val="auto"/>
          <w:szCs w:val="21"/>
          <w:highlight w:val="none"/>
        </w:rPr>
        <w:t>注：1）为确保网上操作合法、有效和安全，请投标人确保在电子投标过程中能够对相关数据电文进行加密和使用电子签章，妥善保管CA数字证书并使用有效的CA数字证书参与整个招标活动。2）</w:t>
      </w:r>
      <w:r>
        <w:rPr>
          <w:rFonts w:hint="eastAsia" w:ascii="宋体" w:hAnsi="宋体" w:cs="宋体"/>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ascii="宋体" w:hAnsi="宋体" w:cs="宋体"/>
          <w:color w:val="auto"/>
          <w:szCs w:val="21"/>
          <w:highlight w:val="none"/>
        </w:rPr>
        <w:t>广西政府采购云平台</w:t>
      </w:r>
      <w:r>
        <w:rPr>
          <w:rFonts w:hint="eastAsia" w:ascii="宋体" w:hAnsi="宋体" w:cs="宋体"/>
          <w:bCs/>
          <w:color w:val="auto"/>
          <w:szCs w:val="21"/>
          <w:highlight w:val="none"/>
        </w:rPr>
        <w:t>将予以拒收。</w:t>
      </w:r>
    </w:p>
    <w:p w14:paraId="655CDEFC">
      <w:pPr>
        <w:widowControl/>
        <w:spacing w:line="400" w:lineRule="exact"/>
        <w:ind w:firstLine="420" w:firstLineChars="200"/>
        <w:jc w:val="left"/>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4.监督管理机构：桂林市财政局；联系电话：0773-2862142。</w:t>
      </w:r>
    </w:p>
    <w:p w14:paraId="47591699">
      <w:pPr>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七、对本次招标提出询问，请按以下方式联系。</w:t>
      </w:r>
      <w:bookmarkEnd w:id="34"/>
      <w:bookmarkEnd w:id="35"/>
      <w:bookmarkEnd w:id="36"/>
      <w:bookmarkEnd w:id="37"/>
    </w:p>
    <w:p w14:paraId="3FC4CD37">
      <w:pPr>
        <w:spacing w:line="400" w:lineRule="exact"/>
        <w:ind w:firstLine="420" w:firstLineChars="200"/>
        <w:rPr>
          <w:rFonts w:hint="eastAsia" w:ascii="宋体" w:hAnsi="宋体" w:cs="宋体"/>
          <w:color w:val="auto"/>
          <w:kern w:val="0"/>
          <w:szCs w:val="21"/>
          <w:highlight w:val="none"/>
        </w:rPr>
      </w:pPr>
      <w:bookmarkStart w:id="39" w:name="_Toc28359096"/>
      <w:bookmarkStart w:id="40" w:name="_Toc28359019"/>
      <w:bookmarkStart w:id="41" w:name="_Toc35393637"/>
      <w:bookmarkStart w:id="42" w:name="_Toc35393806"/>
      <w:r>
        <w:rPr>
          <w:rFonts w:hint="eastAsia" w:ascii="宋体" w:hAnsi="宋体" w:cs="宋体"/>
          <w:color w:val="auto"/>
          <w:kern w:val="0"/>
          <w:szCs w:val="21"/>
          <w:highlight w:val="none"/>
        </w:rPr>
        <w:t>1.采购人信息</w:t>
      </w:r>
      <w:bookmarkEnd w:id="39"/>
      <w:bookmarkEnd w:id="40"/>
      <w:bookmarkEnd w:id="41"/>
      <w:bookmarkEnd w:id="42"/>
    </w:p>
    <w:p w14:paraId="7C018474">
      <w:pPr>
        <w:spacing w:line="400" w:lineRule="exact"/>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名称：桂林市农田灌溉试验中心站</w:t>
      </w:r>
    </w:p>
    <w:p w14:paraId="61434F4C">
      <w:pPr>
        <w:spacing w:line="400" w:lineRule="exact"/>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地址：桂林市临桂区邬家村</w:t>
      </w:r>
    </w:p>
    <w:p w14:paraId="6E460BDF">
      <w:pPr>
        <w:spacing w:line="400" w:lineRule="exact"/>
        <w:ind w:firstLine="630" w:firstLineChars="300"/>
        <w:jc w:val="left"/>
        <w:rPr>
          <w:rFonts w:hint="eastAsia" w:ascii="宋体" w:hAnsi="宋体" w:cs="宋体"/>
          <w:color w:val="auto"/>
          <w:szCs w:val="21"/>
          <w:highlight w:val="none"/>
        </w:rPr>
      </w:pPr>
      <w:r>
        <w:rPr>
          <w:rFonts w:hint="eastAsia" w:ascii="宋体" w:hAnsi="宋体" w:cs="宋体"/>
          <w:color w:val="auto"/>
          <w:szCs w:val="21"/>
          <w:highlight w:val="none"/>
        </w:rPr>
        <w:t>联系方式：0773-5591415</w:t>
      </w:r>
    </w:p>
    <w:p w14:paraId="10424E1F">
      <w:pPr>
        <w:spacing w:line="400" w:lineRule="exact"/>
        <w:ind w:firstLine="420" w:firstLineChars="200"/>
        <w:rPr>
          <w:rFonts w:hint="eastAsia" w:ascii="宋体" w:hAnsi="宋体" w:cs="宋体"/>
          <w:color w:val="auto"/>
          <w:kern w:val="0"/>
          <w:szCs w:val="21"/>
          <w:highlight w:val="none"/>
        </w:rPr>
      </w:pPr>
      <w:bookmarkStart w:id="43" w:name="_Toc35393638"/>
      <w:bookmarkStart w:id="44" w:name="_Toc35393807"/>
      <w:bookmarkStart w:id="45" w:name="_Toc28359020"/>
      <w:bookmarkStart w:id="46" w:name="_Toc28359097"/>
      <w:r>
        <w:rPr>
          <w:rFonts w:hint="eastAsia" w:ascii="宋体" w:hAnsi="宋体" w:cs="宋体"/>
          <w:color w:val="auto"/>
          <w:kern w:val="0"/>
          <w:szCs w:val="21"/>
          <w:highlight w:val="none"/>
        </w:rPr>
        <w:t>2.采购代理机构信息</w:t>
      </w:r>
      <w:bookmarkEnd w:id="43"/>
      <w:bookmarkEnd w:id="44"/>
      <w:bookmarkEnd w:id="45"/>
      <w:bookmarkEnd w:id="46"/>
    </w:p>
    <w:p w14:paraId="5ABBA226">
      <w:pPr>
        <w:spacing w:line="400" w:lineRule="exact"/>
        <w:ind w:firstLine="630" w:firstLineChars="300"/>
        <w:rPr>
          <w:rFonts w:hint="eastAsia" w:ascii="宋体" w:hAnsi="宋体" w:cs="宋体"/>
          <w:color w:val="auto"/>
          <w:szCs w:val="21"/>
          <w:highlight w:val="none"/>
        </w:rPr>
      </w:pPr>
      <w:r>
        <w:rPr>
          <w:rFonts w:hint="eastAsia" w:ascii="宋体" w:hAnsi="宋体" w:cs="宋体"/>
          <w:color w:val="auto"/>
          <w:szCs w:val="21"/>
          <w:highlight w:val="none"/>
        </w:rPr>
        <w:t>名称：广西卓源工程招标咨询有限公司</w:t>
      </w:r>
    </w:p>
    <w:p w14:paraId="6B48700E">
      <w:pPr>
        <w:spacing w:line="400" w:lineRule="exact"/>
        <w:ind w:firstLine="630" w:firstLineChars="300"/>
        <w:rPr>
          <w:rFonts w:hint="eastAsia" w:ascii="宋体" w:hAnsi="宋体" w:cs="宋体"/>
          <w:color w:val="auto"/>
          <w:szCs w:val="21"/>
          <w:highlight w:val="none"/>
        </w:rPr>
      </w:pPr>
      <w:r>
        <w:rPr>
          <w:rFonts w:hint="eastAsia" w:ascii="宋体" w:hAnsi="宋体" w:cs="宋体"/>
          <w:color w:val="auto"/>
          <w:szCs w:val="21"/>
          <w:highlight w:val="none"/>
        </w:rPr>
        <w:t>地址：桂林市叠彩区站前路1号恒大广场10栋2301室</w:t>
      </w:r>
    </w:p>
    <w:p w14:paraId="54FFCAA3">
      <w:pPr>
        <w:spacing w:line="400" w:lineRule="exact"/>
        <w:ind w:firstLine="630" w:firstLineChars="300"/>
        <w:rPr>
          <w:rFonts w:hint="eastAsia" w:ascii="宋体" w:hAnsi="宋体" w:cs="宋体"/>
          <w:color w:val="auto"/>
          <w:szCs w:val="21"/>
          <w:highlight w:val="none"/>
        </w:rPr>
      </w:pPr>
      <w:r>
        <w:rPr>
          <w:rFonts w:hint="eastAsia" w:ascii="宋体" w:hAnsi="宋体" w:cs="宋体"/>
          <w:color w:val="auto"/>
          <w:szCs w:val="21"/>
          <w:highlight w:val="none"/>
        </w:rPr>
        <w:t>联系方式：0773-2535286</w:t>
      </w:r>
    </w:p>
    <w:p w14:paraId="740DAB4D">
      <w:pPr>
        <w:spacing w:line="400" w:lineRule="exact"/>
        <w:ind w:firstLine="420" w:firstLineChars="200"/>
        <w:rPr>
          <w:rFonts w:hint="eastAsia" w:ascii="宋体" w:hAnsi="宋体" w:cs="宋体"/>
          <w:color w:val="auto"/>
          <w:kern w:val="0"/>
          <w:szCs w:val="21"/>
          <w:highlight w:val="none"/>
        </w:rPr>
      </w:pPr>
      <w:bookmarkStart w:id="47" w:name="_Toc28359098"/>
      <w:bookmarkStart w:id="48" w:name="_Toc35393639"/>
      <w:bookmarkStart w:id="49" w:name="_Toc28359021"/>
      <w:bookmarkStart w:id="50" w:name="_Toc35393808"/>
      <w:r>
        <w:rPr>
          <w:rFonts w:hint="eastAsia" w:ascii="宋体" w:hAnsi="宋体" w:cs="宋体"/>
          <w:color w:val="auto"/>
          <w:kern w:val="0"/>
          <w:szCs w:val="21"/>
          <w:highlight w:val="none"/>
        </w:rPr>
        <w:t>3.项目联系方式</w:t>
      </w:r>
      <w:bookmarkEnd w:id="47"/>
      <w:bookmarkEnd w:id="48"/>
      <w:bookmarkEnd w:id="49"/>
      <w:bookmarkEnd w:id="50"/>
    </w:p>
    <w:p w14:paraId="4B718BE1">
      <w:pPr>
        <w:pStyle w:val="43"/>
        <w:spacing w:line="400" w:lineRule="exact"/>
        <w:ind w:firstLine="630" w:firstLineChars="300"/>
        <w:rPr>
          <w:rFonts w:hint="eastAsia" w:hAnsi="宋体" w:cs="宋体"/>
          <w:color w:val="auto"/>
          <w:sz w:val="21"/>
          <w:highlight w:val="none"/>
        </w:rPr>
      </w:pPr>
      <w:r>
        <w:rPr>
          <w:rFonts w:hint="eastAsia" w:hAnsi="宋体" w:cs="宋体"/>
          <w:color w:val="auto"/>
          <w:sz w:val="21"/>
          <w:highlight w:val="none"/>
        </w:rPr>
        <w:t>项目联系人：王工</w:t>
      </w:r>
    </w:p>
    <w:p w14:paraId="5E100796">
      <w:pPr>
        <w:spacing w:line="400" w:lineRule="exact"/>
        <w:ind w:firstLine="630" w:firstLineChars="300"/>
        <w:rPr>
          <w:rFonts w:hint="eastAsia" w:ascii="宋体" w:hAnsi="宋体" w:cs="宋体"/>
          <w:color w:val="auto"/>
          <w:szCs w:val="21"/>
          <w:highlight w:val="none"/>
        </w:rPr>
      </w:pPr>
      <w:r>
        <w:rPr>
          <w:rFonts w:hint="eastAsia" w:ascii="宋体" w:hAnsi="宋体" w:cs="宋体"/>
          <w:color w:val="auto"/>
          <w:szCs w:val="21"/>
          <w:highlight w:val="none"/>
        </w:rPr>
        <w:t>电话：0773-2535286</w:t>
      </w:r>
    </w:p>
    <w:p w14:paraId="27FFDEF5">
      <w:pPr>
        <w:spacing w:line="360" w:lineRule="auto"/>
        <w:ind w:firstLine="424" w:firstLineChars="202"/>
        <w:rPr>
          <w:rFonts w:hint="eastAsia" w:ascii="宋体" w:hAnsi="宋体"/>
          <w:color w:val="auto"/>
          <w:szCs w:val="21"/>
          <w:highlight w:val="none"/>
          <w:u w:val="single"/>
        </w:rPr>
      </w:pPr>
    </w:p>
    <w:p w14:paraId="1E193233">
      <w:pPr>
        <w:pStyle w:val="4"/>
        <w:keepNext w:val="0"/>
        <w:keepLines w:val="0"/>
        <w:tabs>
          <w:tab w:val="left" w:pos="0"/>
          <w:tab w:val="left" w:pos="3165"/>
          <w:tab w:val="center" w:pos="4153"/>
        </w:tabs>
        <w:autoSpaceDE w:val="0"/>
        <w:autoSpaceDN w:val="0"/>
        <w:adjustRightInd w:val="0"/>
        <w:spacing w:before="0" w:after="0" w:line="360" w:lineRule="auto"/>
        <w:jc w:val="center"/>
        <w:rPr>
          <w:color w:val="auto"/>
          <w:highlight w:val="none"/>
        </w:rPr>
      </w:pPr>
      <w:r>
        <w:rPr>
          <w:rFonts w:ascii="仿宋_GB2312" w:hAnsi="宋体" w:eastAsia="仿宋_GB2312"/>
          <w:color w:val="auto"/>
          <w:sz w:val="24"/>
          <w:szCs w:val="20"/>
          <w:highlight w:val="none"/>
        </w:rPr>
        <w:br w:type="page"/>
      </w:r>
      <w:bookmarkStart w:id="51" w:name="_Toc27979"/>
      <w:bookmarkStart w:id="52" w:name="_Toc22100"/>
      <w:r>
        <w:rPr>
          <w:rFonts w:hint="eastAsia"/>
          <w:color w:val="auto"/>
          <w:highlight w:val="none"/>
        </w:rPr>
        <w:t>第二章  采购需求</w:t>
      </w:r>
      <w:bookmarkEnd w:id="51"/>
      <w:bookmarkEnd w:id="52"/>
    </w:p>
    <w:p w14:paraId="03386F40">
      <w:pPr>
        <w:spacing w:line="360" w:lineRule="auto"/>
        <w:jc w:val="left"/>
        <w:rPr>
          <w:rFonts w:hint="eastAsia" w:ascii="宋体" w:hAnsi="宋体" w:cs="宋体"/>
          <w:color w:val="auto"/>
          <w:szCs w:val="21"/>
          <w:highlight w:val="none"/>
        </w:rPr>
      </w:pPr>
      <w:bookmarkStart w:id="53" w:name="_Toc254970631"/>
      <w:bookmarkStart w:id="54" w:name="_Toc254970490"/>
      <w:r>
        <w:rPr>
          <w:rFonts w:hint="eastAsia" w:ascii="宋体" w:hAnsi="宋体" w:cs="宋体"/>
          <w:color w:val="auto"/>
          <w:szCs w:val="21"/>
          <w:highlight w:val="none"/>
        </w:rPr>
        <w:t>说明：</w:t>
      </w:r>
    </w:p>
    <w:p w14:paraId="2710A140">
      <w:pPr>
        <w:spacing w:line="360" w:lineRule="auto"/>
        <w:ind w:firstLine="420" w:firstLineChars="200"/>
        <w:jc w:val="left"/>
        <w:rPr>
          <w:color w:val="auto"/>
          <w:highlight w:val="none"/>
        </w:rPr>
      </w:pPr>
      <w:r>
        <w:rPr>
          <w:rFonts w:hint="eastAsia"/>
          <w:color w:val="auto"/>
          <w:highlight w:val="none"/>
        </w:rPr>
        <w:t>1. 为落实政府采购政策需满足的要求</w:t>
      </w:r>
    </w:p>
    <w:p w14:paraId="4406D42B">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（1）本招标文件所称中小企业必须符合《政府采购促进中小企业发展管理办法》（财库〔2020〕46号）的规定。</w:t>
      </w:r>
    </w:p>
    <w:p w14:paraId="55063DC7">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2.“实质性要求”是指招标文件中已经指明不满足则投标无效的条款，或者不能负偏离的条款，或者采购需求中带“▲”的条款。</w:t>
      </w:r>
    </w:p>
    <w:p w14:paraId="6B7CD20F">
      <w:pPr>
        <w:spacing w:line="360" w:lineRule="auto"/>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3.采购需求中出现的品牌、型号或者生产厂家仅起参考作用，不属于指定品牌、型号或者生产厂家的情形。投标人可参照或者选用其他相当的品牌、型号或者生产厂家替代。</w:t>
      </w:r>
    </w:p>
    <w:p w14:paraId="2E937054">
      <w:pPr>
        <w:spacing w:line="360" w:lineRule="auto"/>
        <w:ind w:firstLine="424" w:firstLineChars="202"/>
        <w:jc w:val="left"/>
        <w:rPr>
          <w:rStyle w:val="94"/>
          <w:color w:val="auto"/>
          <w:highlight w:val="none"/>
        </w:rPr>
      </w:pPr>
      <w:r>
        <w:rPr>
          <w:rFonts w:hint="eastAsia" w:ascii="宋体" w:hAnsi="宋体" w:cs="宋体"/>
          <w:color w:val="auto"/>
          <w:szCs w:val="21"/>
          <w:highlight w:val="none"/>
        </w:rPr>
        <w:t>4. 投标人应根据自身实际情况如实响应招标文件</w:t>
      </w:r>
      <w:r>
        <w:rPr>
          <w:rFonts w:hint="eastAsia" w:ascii="宋体" w:hAnsi="宋体"/>
          <w:color w:val="auto"/>
          <w:szCs w:val="21"/>
          <w:highlight w:val="none"/>
        </w:rPr>
        <w:t>，</w:t>
      </w:r>
      <w:r>
        <w:rPr>
          <w:rFonts w:hint="eastAsia" w:ascii="宋体" w:hAnsi="宋体"/>
          <w:color w:val="auto"/>
          <w:sz w:val="22"/>
          <w:szCs w:val="22"/>
          <w:highlight w:val="none"/>
        </w:rPr>
        <w:t>对招标文件提出的要求和条件作出明确响应，</w:t>
      </w:r>
      <w:r>
        <w:rPr>
          <w:rFonts w:hint="eastAsia" w:ascii="宋体" w:hAnsi="宋体"/>
          <w:b/>
          <w:bCs/>
          <w:color w:val="auto"/>
          <w:szCs w:val="21"/>
          <w:highlight w:val="none"/>
        </w:rPr>
        <w:t>否则将作无效响应处理</w:t>
      </w:r>
      <w:r>
        <w:rPr>
          <w:rFonts w:hint="eastAsia" w:ascii="宋体" w:hAnsi="宋体"/>
          <w:color w:val="auto"/>
          <w:szCs w:val="21"/>
          <w:highlight w:val="none"/>
        </w:rPr>
        <w:t>。</w:t>
      </w:r>
      <w:r>
        <w:rPr>
          <w:rFonts w:hint="eastAsia"/>
          <w:color w:val="auto"/>
          <w:highlight w:val="none"/>
        </w:rPr>
        <w:t>对于重要技术条款或技术参数应当在投标文件中提供技术支持资料，技术支持资料以招标文件中规定的形式为准，</w:t>
      </w:r>
      <w:r>
        <w:rPr>
          <w:rFonts w:hint="eastAsia"/>
          <w:b/>
          <w:bCs/>
          <w:color w:val="auto"/>
          <w:highlight w:val="none"/>
        </w:rPr>
        <w:t>否则将视为无效技术支持资料</w:t>
      </w:r>
      <w:r>
        <w:rPr>
          <w:rFonts w:hint="eastAsia"/>
          <w:color w:val="auto"/>
          <w:highlight w:val="none"/>
        </w:rPr>
        <w:t>。</w:t>
      </w:r>
    </w:p>
    <w:p w14:paraId="69490920">
      <w:pPr>
        <w:spacing w:line="360" w:lineRule="auto"/>
        <w:ind w:firstLine="308" w:firstLineChars="147"/>
        <w:jc w:val="left"/>
        <w:rPr>
          <w:color w:val="auto"/>
          <w:highlight w:val="none"/>
        </w:rPr>
      </w:pPr>
      <w:r>
        <w:rPr>
          <w:rFonts w:hint="eastAsia" w:ascii="宋体" w:hAnsi="宋体" w:cs="宋体"/>
          <w:color w:val="auto"/>
          <w:szCs w:val="21"/>
          <w:highlight w:val="none"/>
        </w:rPr>
        <w:t>5</w:t>
      </w:r>
      <w:r>
        <w:rPr>
          <w:rFonts w:ascii="宋体" w:hAnsi="宋体" w:cs="宋体"/>
          <w:color w:val="auto"/>
          <w:szCs w:val="21"/>
          <w:highlight w:val="none"/>
        </w:rPr>
        <w:t>.</w:t>
      </w:r>
      <w:r>
        <w:rPr>
          <w:rFonts w:hint="eastAsia"/>
          <w:color w:val="auto"/>
          <w:highlight w:val="none"/>
        </w:rPr>
        <w:t>投标人</w:t>
      </w:r>
      <w:r>
        <w:rPr>
          <w:color w:val="auto"/>
          <w:highlight w:val="none"/>
        </w:rPr>
        <w:t>必须自行为其</w:t>
      </w:r>
      <w:r>
        <w:rPr>
          <w:rFonts w:hint="eastAsia"/>
          <w:color w:val="auto"/>
          <w:highlight w:val="none"/>
        </w:rPr>
        <w:t>投标</w:t>
      </w:r>
      <w:r>
        <w:rPr>
          <w:color w:val="auto"/>
          <w:highlight w:val="none"/>
        </w:rPr>
        <w:t>产品侵犯</w:t>
      </w:r>
      <w:r>
        <w:rPr>
          <w:rFonts w:hint="eastAsia"/>
          <w:color w:val="auto"/>
          <w:highlight w:val="none"/>
        </w:rPr>
        <w:t>他人的知识产权或者专利成果的行为</w:t>
      </w:r>
      <w:r>
        <w:rPr>
          <w:color w:val="auto"/>
          <w:highlight w:val="none"/>
        </w:rPr>
        <w:t>承担相应法律责任</w:t>
      </w:r>
      <w:r>
        <w:rPr>
          <w:rFonts w:hint="eastAsia"/>
          <w:color w:val="auto"/>
          <w:highlight w:val="none"/>
        </w:rPr>
        <w:t>。</w:t>
      </w:r>
    </w:p>
    <w:tbl>
      <w:tblPr>
        <w:tblStyle w:val="84"/>
        <w:tblW w:w="99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72"/>
        <w:gridCol w:w="1301"/>
        <w:gridCol w:w="32"/>
        <w:gridCol w:w="1546"/>
        <w:gridCol w:w="1234"/>
        <w:gridCol w:w="5193"/>
      </w:tblGrid>
      <w:tr w14:paraId="1FC5F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72" w:type="dxa"/>
            <w:vAlign w:val="center"/>
          </w:tcPr>
          <w:p w14:paraId="5EC2E937">
            <w:pPr>
              <w:tabs>
                <w:tab w:val="left" w:pos="180"/>
                <w:tab w:val="left" w:pos="1620"/>
              </w:tabs>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301" w:type="dxa"/>
            <w:vAlign w:val="center"/>
          </w:tcPr>
          <w:p w14:paraId="7679D684">
            <w:pPr>
              <w:tabs>
                <w:tab w:val="left" w:pos="180"/>
                <w:tab w:val="left" w:pos="1620"/>
              </w:tabs>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标的的名称</w:t>
            </w:r>
          </w:p>
        </w:tc>
        <w:tc>
          <w:tcPr>
            <w:tcW w:w="1578" w:type="dxa"/>
            <w:gridSpan w:val="2"/>
            <w:vAlign w:val="center"/>
          </w:tcPr>
          <w:p w14:paraId="76D6B853">
            <w:pPr>
              <w:tabs>
                <w:tab w:val="left" w:pos="180"/>
                <w:tab w:val="left" w:pos="1620"/>
              </w:tabs>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数量及单位</w:t>
            </w:r>
          </w:p>
        </w:tc>
        <w:tc>
          <w:tcPr>
            <w:tcW w:w="1234" w:type="dxa"/>
            <w:vAlign w:val="center"/>
          </w:tcPr>
          <w:p w14:paraId="266A5120">
            <w:pPr>
              <w:tabs>
                <w:tab w:val="left" w:pos="180"/>
                <w:tab w:val="left" w:pos="1620"/>
              </w:tabs>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所属行业</w:t>
            </w:r>
          </w:p>
        </w:tc>
        <w:tc>
          <w:tcPr>
            <w:tcW w:w="5193" w:type="dxa"/>
            <w:vAlign w:val="center"/>
          </w:tcPr>
          <w:p w14:paraId="57B6ED99">
            <w:pPr>
              <w:tabs>
                <w:tab w:val="left" w:pos="180"/>
                <w:tab w:val="left" w:pos="1620"/>
              </w:tabs>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技术要求</w:t>
            </w:r>
          </w:p>
        </w:tc>
      </w:tr>
      <w:tr w14:paraId="4A0E1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672" w:type="dxa"/>
          </w:tcPr>
          <w:p w14:paraId="07A9651B">
            <w:pPr>
              <w:tabs>
                <w:tab w:val="left" w:pos="180"/>
                <w:tab w:val="left" w:pos="1620"/>
              </w:tabs>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w:t>
            </w:r>
          </w:p>
        </w:tc>
        <w:tc>
          <w:tcPr>
            <w:tcW w:w="1301" w:type="dxa"/>
          </w:tcPr>
          <w:p w14:paraId="08986C2B">
            <w:pPr>
              <w:tabs>
                <w:tab w:val="left" w:pos="180"/>
                <w:tab w:val="left" w:pos="1620"/>
              </w:tabs>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水利部西南岩溶区节水减排防污野外科学观测研究站达标建设</w:t>
            </w:r>
          </w:p>
        </w:tc>
        <w:tc>
          <w:tcPr>
            <w:tcW w:w="1578" w:type="dxa"/>
            <w:gridSpan w:val="2"/>
          </w:tcPr>
          <w:p w14:paraId="5A7A594E">
            <w:pPr>
              <w:tabs>
                <w:tab w:val="left" w:pos="180"/>
                <w:tab w:val="left" w:pos="1620"/>
              </w:tabs>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1项</w:t>
            </w:r>
          </w:p>
        </w:tc>
        <w:tc>
          <w:tcPr>
            <w:tcW w:w="1234" w:type="dxa"/>
          </w:tcPr>
          <w:p w14:paraId="22C0DB35">
            <w:pPr>
              <w:tabs>
                <w:tab w:val="left" w:pos="180"/>
                <w:tab w:val="left" w:pos="1620"/>
              </w:tabs>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软件和信息技术服务业</w:t>
            </w:r>
          </w:p>
        </w:tc>
        <w:tc>
          <w:tcPr>
            <w:tcW w:w="5193" w:type="dxa"/>
            <w:vAlign w:val="center"/>
          </w:tcPr>
          <w:p w14:paraId="5BA639DF">
            <w:pPr>
              <w:tabs>
                <w:tab w:val="left" w:pos="180"/>
                <w:tab w:val="left" w:pos="1620"/>
              </w:tabs>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一、项目概况</w:t>
            </w:r>
          </w:p>
          <w:p w14:paraId="13071401">
            <w:pPr>
              <w:tabs>
                <w:tab w:val="left" w:pos="180"/>
                <w:tab w:val="left" w:pos="162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1.建设地点：广西壮族自治区桂林市临桂区试验站园区内。</w:t>
            </w:r>
          </w:p>
          <w:p w14:paraId="119724BC">
            <w:pPr>
              <w:tabs>
                <w:tab w:val="left" w:pos="180"/>
                <w:tab w:val="left" w:pos="162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建设规模：新建野外站信息化管理平台和数据开放共享服务平台各1个；对原有12个试验区（涵盖水稻需水量、作物水分胁迫、灌溉排水、设施农业、旱地节水、水土流失观测等）进行修缮提升；创新丰富科学普及内容和形式，确保按期完成全部建设目标。</w:t>
            </w:r>
          </w:p>
          <w:p w14:paraId="6E6906E0">
            <w:pPr>
              <w:tabs>
                <w:tab w:val="left" w:pos="180"/>
                <w:tab w:val="left" w:pos="162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3.计划工期：本项目工期为</w:t>
            </w:r>
            <w:r>
              <w:rPr>
                <w:rFonts w:hint="eastAsia" w:ascii="宋体" w:hAnsi="宋体" w:cs="宋体"/>
                <w:color w:val="auto"/>
                <w:szCs w:val="21"/>
                <w:highlight w:val="none"/>
                <w:lang w:val="en-US" w:eastAsia="zh-CN"/>
              </w:rPr>
              <w:t>90</w:t>
            </w:r>
            <w:r>
              <w:rPr>
                <w:rFonts w:hint="eastAsia" w:ascii="宋体" w:hAnsi="宋体" w:cs="宋体"/>
                <w:color w:val="auto"/>
                <w:szCs w:val="21"/>
                <w:highlight w:val="none"/>
              </w:rPr>
              <w:t>天（日历天），</w:t>
            </w:r>
          </w:p>
          <w:p w14:paraId="4E39C39F">
            <w:pPr>
              <w:tabs>
                <w:tab w:val="left" w:pos="180"/>
                <w:tab w:val="left" w:pos="162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4.采购范围：具体详见“技术要求”</w:t>
            </w:r>
            <w:r>
              <w:rPr>
                <w:rFonts w:hint="eastAsia" w:ascii="宋体" w:hAnsi="宋体" w:eastAsia="宋体" w:cs="宋体"/>
                <w:color w:val="auto"/>
                <w:szCs w:val="21"/>
                <w:highlight w:val="none"/>
                <w:lang w:eastAsia="zh-CN"/>
              </w:rPr>
              <w:t>施工图纸及工程量清单</w:t>
            </w:r>
            <w:r>
              <w:rPr>
                <w:rFonts w:hint="eastAsia" w:ascii="宋体" w:hAnsi="宋体" w:cs="宋体"/>
                <w:color w:val="auto"/>
                <w:szCs w:val="21"/>
                <w:highlight w:val="none"/>
              </w:rPr>
              <w:t>。</w:t>
            </w:r>
          </w:p>
          <w:p w14:paraId="19129B88">
            <w:pPr>
              <w:tabs>
                <w:tab w:val="left" w:pos="180"/>
                <w:tab w:val="left" w:pos="162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质量要求：施工工作质量符合国家和地区有关标准和规范要求的合格标准，达到采购人要求（若质量评定不能达到国家规范要求，中标人除返工至达到国家规范要求，并承担所造成的一切损失由中标人承担）。</w:t>
            </w:r>
          </w:p>
          <w:p w14:paraId="79E5720A">
            <w:pPr>
              <w:tabs>
                <w:tab w:val="left" w:pos="180"/>
                <w:tab w:val="left" w:pos="1620"/>
              </w:tabs>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二、总体目标</w:t>
            </w:r>
          </w:p>
          <w:p w14:paraId="7254EE54">
            <w:pPr>
              <w:tabs>
                <w:tab w:val="left" w:pos="180"/>
                <w:tab w:val="left" w:pos="162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具体详见“技术要求”</w:t>
            </w:r>
            <w:r>
              <w:rPr>
                <w:rFonts w:hint="eastAsia" w:ascii="宋体" w:hAnsi="宋体" w:eastAsia="宋体" w:cs="宋体"/>
                <w:color w:val="auto"/>
                <w:szCs w:val="21"/>
                <w:highlight w:val="none"/>
                <w:lang w:eastAsia="zh-CN"/>
              </w:rPr>
              <w:t>施工图纸及工程量清单</w:t>
            </w:r>
            <w:r>
              <w:rPr>
                <w:rFonts w:hint="eastAsia" w:ascii="宋体" w:hAnsi="宋体" w:cs="宋体"/>
                <w:color w:val="auto"/>
                <w:szCs w:val="21"/>
                <w:highlight w:val="none"/>
              </w:rPr>
              <w:t>。</w:t>
            </w:r>
          </w:p>
          <w:p w14:paraId="3F4800BB">
            <w:pPr>
              <w:tabs>
                <w:tab w:val="left" w:pos="180"/>
                <w:tab w:val="left" w:pos="1620"/>
              </w:tabs>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三、重点任务</w:t>
            </w:r>
          </w:p>
          <w:p w14:paraId="4850D548">
            <w:pPr>
              <w:tabs>
                <w:tab w:val="left" w:pos="180"/>
                <w:tab w:val="left" w:pos="162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具体详见“技术要求”</w:t>
            </w:r>
            <w:r>
              <w:rPr>
                <w:rFonts w:hint="eastAsia" w:ascii="宋体" w:hAnsi="宋体" w:eastAsia="宋体" w:cs="宋体"/>
                <w:color w:val="auto"/>
                <w:szCs w:val="21"/>
                <w:highlight w:val="none"/>
                <w:lang w:eastAsia="zh-CN"/>
              </w:rPr>
              <w:t>施工图纸及工程量清单</w:t>
            </w:r>
            <w:r>
              <w:rPr>
                <w:rFonts w:hint="eastAsia" w:ascii="宋体" w:hAnsi="宋体" w:cs="宋体"/>
                <w:color w:val="auto"/>
                <w:szCs w:val="21"/>
                <w:highlight w:val="none"/>
              </w:rPr>
              <w:t>。</w:t>
            </w:r>
          </w:p>
          <w:p w14:paraId="601312B5">
            <w:pPr>
              <w:tabs>
                <w:tab w:val="left" w:pos="180"/>
                <w:tab w:val="left" w:pos="1620"/>
              </w:tabs>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四、达标建设与运行管理</w:t>
            </w:r>
          </w:p>
          <w:p w14:paraId="56C184A4">
            <w:pPr>
              <w:tabs>
                <w:tab w:val="left" w:pos="180"/>
                <w:tab w:val="left" w:pos="162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具体详见“技术要求”</w:t>
            </w:r>
            <w:r>
              <w:rPr>
                <w:rFonts w:hint="eastAsia" w:ascii="宋体" w:hAnsi="宋体" w:eastAsia="宋体" w:cs="宋体"/>
                <w:color w:val="auto"/>
                <w:szCs w:val="21"/>
                <w:highlight w:val="none"/>
                <w:lang w:eastAsia="zh-CN"/>
              </w:rPr>
              <w:t>施工图纸及工程量清单</w:t>
            </w:r>
            <w:r>
              <w:rPr>
                <w:rFonts w:hint="eastAsia" w:ascii="宋体" w:hAnsi="宋体" w:cs="宋体"/>
                <w:color w:val="auto"/>
                <w:szCs w:val="21"/>
                <w:highlight w:val="none"/>
              </w:rPr>
              <w:t>。</w:t>
            </w:r>
          </w:p>
          <w:p w14:paraId="590A6E14">
            <w:pPr>
              <w:tabs>
                <w:tab w:val="left" w:pos="180"/>
                <w:tab w:val="left" w:pos="1620"/>
              </w:tabs>
              <w:spacing w:line="400" w:lineRule="exact"/>
              <w:rPr>
                <w:rFonts w:hint="eastAsia" w:ascii="宋体" w:hAnsi="宋体" w:cs="宋体"/>
                <w:b/>
                <w:bCs/>
                <w:color w:val="auto"/>
                <w:szCs w:val="21"/>
                <w:highlight w:val="none"/>
              </w:rPr>
            </w:pPr>
            <w:r>
              <w:rPr>
                <w:rFonts w:hint="eastAsia" w:ascii="宋体" w:hAnsi="宋体" w:cs="宋体"/>
                <w:b/>
                <w:bCs/>
                <w:color w:val="auto"/>
                <w:szCs w:val="21"/>
                <w:highlight w:val="none"/>
              </w:rPr>
              <w:t>五、其他要求</w:t>
            </w:r>
          </w:p>
          <w:p w14:paraId="2C0EACF6">
            <w:pPr>
              <w:tabs>
                <w:tab w:val="left" w:pos="180"/>
                <w:tab w:val="left" w:pos="1620"/>
              </w:tabs>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1.中标人应自行对施工现场和周围环境（如水源、电力</w:t>
            </w:r>
            <w:r>
              <w:rPr>
                <w:rFonts w:hint="eastAsia" w:ascii="宋体" w:hAnsi="宋体" w:cs="宋体"/>
                <w:color w:val="auto"/>
                <w:szCs w:val="21"/>
                <w:highlight w:val="none"/>
                <w:lang w:eastAsia="zh-CN"/>
              </w:rPr>
              <w:t>、以</w:t>
            </w:r>
            <w:r>
              <w:rPr>
                <w:rFonts w:hint="eastAsia" w:ascii="宋体" w:hAnsi="宋体" w:cs="宋体"/>
                <w:color w:val="auto"/>
                <w:szCs w:val="21"/>
                <w:highlight w:val="none"/>
              </w:rPr>
              <w:t>及周围设施、垃圾倾倒等问题）进行勘察，并做好应急处置预案。</w:t>
            </w:r>
          </w:p>
        </w:tc>
      </w:tr>
      <w:tr w14:paraId="115D2A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978" w:type="dxa"/>
            <w:gridSpan w:val="6"/>
            <w:tcBorders>
              <w:top w:val="single" w:color="auto" w:sz="4" w:space="0"/>
              <w:left w:val="single" w:color="auto" w:sz="4" w:space="0"/>
              <w:bottom w:val="single" w:color="auto" w:sz="4" w:space="0"/>
              <w:right w:val="single" w:color="auto" w:sz="4" w:space="0"/>
            </w:tcBorders>
          </w:tcPr>
          <w:p w14:paraId="1AE9AB4B">
            <w:pPr>
              <w:spacing w:line="400" w:lineRule="exact"/>
              <w:rPr>
                <w:rFonts w:hint="eastAsia" w:ascii="宋体" w:hAnsi="宋体" w:cs="宋体"/>
                <w:b/>
                <w:bCs/>
                <w:color w:val="auto"/>
                <w:szCs w:val="21"/>
                <w:highlight w:val="none"/>
              </w:rPr>
            </w:pPr>
            <w:r>
              <w:rPr>
                <w:rFonts w:hint="eastAsia" w:ascii="宋体" w:hAnsi="宋体" w:cs="宋体"/>
                <w:color w:val="auto"/>
                <w:szCs w:val="21"/>
                <w:highlight w:val="none"/>
              </w:rPr>
              <w:t>▲</w:t>
            </w:r>
            <w:r>
              <w:rPr>
                <w:rFonts w:hint="eastAsia" w:ascii="宋体" w:hAnsi="宋体" w:cs="宋体"/>
                <w:b/>
                <w:color w:val="auto"/>
                <w:szCs w:val="21"/>
                <w:highlight w:val="none"/>
              </w:rPr>
              <w:t>一、商务要求</w:t>
            </w:r>
          </w:p>
        </w:tc>
      </w:tr>
      <w:tr w14:paraId="3C7070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005" w:type="dxa"/>
            <w:gridSpan w:val="3"/>
            <w:tcBorders>
              <w:top w:val="single" w:color="auto" w:sz="4" w:space="0"/>
              <w:left w:val="single" w:color="auto" w:sz="4" w:space="0"/>
              <w:bottom w:val="single" w:color="auto" w:sz="4" w:space="0"/>
              <w:right w:val="single" w:color="auto" w:sz="4" w:space="0"/>
            </w:tcBorders>
            <w:vAlign w:val="center"/>
          </w:tcPr>
          <w:p w14:paraId="3E3BCF52">
            <w:pPr>
              <w:spacing w:line="400" w:lineRule="exact"/>
              <w:jc w:val="center"/>
              <w:rPr>
                <w:rFonts w:hint="eastAsia" w:ascii="宋体" w:hAnsi="宋体" w:cs="宋体"/>
                <w:b/>
                <w:color w:val="auto"/>
                <w:szCs w:val="21"/>
                <w:highlight w:val="none"/>
              </w:rPr>
            </w:pPr>
            <w:r>
              <w:rPr>
                <w:rFonts w:hint="eastAsia" w:ascii="宋体" w:hAnsi="宋体" w:cs="宋体"/>
                <w:color w:val="auto"/>
                <w:szCs w:val="21"/>
                <w:highlight w:val="none"/>
              </w:rPr>
              <w:t>工期要求和实施地点</w:t>
            </w:r>
          </w:p>
        </w:tc>
        <w:tc>
          <w:tcPr>
            <w:tcW w:w="7973" w:type="dxa"/>
            <w:gridSpan w:val="3"/>
            <w:tcBorders>
              <w:top w:val="single" w:color="auto" w:sz="4" w:space="0"/>
              <w:left w:val="single" w:color="auto" w:sz="4" w:space="0"/>
              <w:bottom w:val="single" w:color="auto" w:sz="4" w:space="0"/>
              <w:right w:val="single" w:color="auto" w:sz="4" w:space="0"/>
            </w:tcBorders>
            <w:vAlign w:val="center"/>
          </w:tcPr>
          <w:p w14:paraId="178D62C5">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1.工期要求：本项目工期为</w:t>
            </w:r>
            <w:r>
              <w:rPr>
                <w:rFonts w:hint="eastAsia" w:ascii="宋体" w:hAnsi="宋体" w:cs="宋体"/>
                <w:color w:val="auto"/>
                <w:szCs w:val="21"/>
                <w:highlight w:val="none"/>
                <w:lang w:val="en-US" w:eastAsia="zh-CN"/>
              </w:rPr>
              <w:t>90</w:t>
            </w:r>
            <w:r>
              <w:rPr>
                <w:rFonts w:hint="eastAsia" w:ascii="宋体" w:hAnsi="宋体" w:cs="宋体"/>
                <w:color w:val="auto"/>
                <w:szCs w:val="21"/>
                <w:highlight w:val="none"/>
              </w:rPr>
              <w:t>天（日历天）。</w:t>
            </w:r>
          </w:p>
          <w:p w14:paraId="2612DB36">
            <w:pPr>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2.实施地点：广西壮族自治区桂林市临桂区试验站园区内。</w:t>
            </w:r>
          </w:p>
        </w:tc>
      </w:tr>
      <w:tr w14:paraId="09F7BA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005" w:type="dxa"/>
            <w:gridSpan w:val="3"/>
            <w:tcBorders>
              <w:top w:val="single" w:color="auto" w:sz="4" w:space="0"/>
              <w:left w:val="single" w:color="auto" w:sz="4" w:space="0"/>
              <w:bottom w:val="single" w:color="auto" w:sz="4" w:space="0"/>
              <w:right w:val="single" w:color="auto" w:sz="4" w:space="0"/>
            </w:tcBorders>
            <w:vAlign w:val="center"/>
          </w:tcPr>
          <w:p w14:paraId="409B7598">
            <w:pPr>
              <w:spacing w:line="400" w:lineRule="exact"/>
              <w:jc w:val="center"/>
              <w:rPr>
                <w:rFonts w:hint="eastAsia" w:ascii="宋体" w:hAnsi="宋体" w:cs="宋体"/>
                <w:b/>
                <w:color w:val="auto"/>
                <w:szCs w:val="21"/>
                <w:highlight w:val="none"/>
              </w:rPr>
            </w:pPr>
            <w:r>
              <w:rPr>
                <w:rFonts w:hint="eastAsia" w:ascii="宋体" w:hAnsi="宋体" w:cs="宋体"/>
                <w:color w:val="auto"/>
                <w:szCs w:val="21"/>
                <w:highlight w:val="none"/>
              </w:rPr>
              <w:t>合同签订时间</w:t>
            </w:r>
          </w:p>
        </w:tc>
        <w:tc>
          <w:tcPr>
            <w:tcW w:w="7973" w:type="dxa"/>
            <w:gridSpan w:val="3"/>
            <w:tcBorders>
              <w:top w:val="single" w:color="auto" w:sz="4" w:space="0"/>
              <w:left w:val="single" w:color="auto" w:sz="4" w:space="0"/>
              <w:bottom w:val="single" w:color="auto" w:sz="4" w:space="0"/>
              <w:right w:val="single" w:color="auto" w:sz="4" w:space="0"/>
            </w:tcBorders>
            <w:vAlign w:val="center"/>
          </w:tcPr>
          <w:p w14:paraId="26FB18EB">
            <w:pPr>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自中标通知书发出之日起</w:t>
            </w:r>
            <w:r>
              <w:rPr>
                <w:rFonts w:hint="eastAsia" w:ascii="宋体" w:hAnsi="宋体" w:cs="宋体"/>
                <w:color w:val="auto"/>
                <w:szCs w:val="21"/>
                <w:highlight w:val="none"/>
                <w:u w:val="single"/>
              </w:rPr>
              <w:t>8</w:t>
            </w:r>
            <w:r>
              <w:rPr>
                <w:rFonts w:hint="eastAsia" w:ascii="宋体" w:hAnsi="宋体" w:cs="宋体"/>
                <w:color w:val="auto"/>
                <w:szCs w:val="21"/>
                <w:highlight w:val="none"/>
              </w:rPr>
              <w:t>个工作日内</w:t>
            </w:r>
          </w:p>
        </w:tc>
      </w:tr>
      <w:tr w14:paraId="06C883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005" w:type="dxa"/>
            <w:gridSpan w:val="3"/>
            <w:tcBorders>
              <w:top w:val="single" w:color="auto" w:sz="4" w:space="0"/>
              <w:left w:val="single" w:color="auto" w:sz="4" w:space="0"/>
              <w:bottom w:val="single" w:color="auto" w:sz="4" w:space="0"/>
              <w:right w:val="single" w:color="auto" w:sz="4" w:space="0"/>
            </w:tcBorders>
            <w:vAlign w:val="center"/>
          </w:tcPr>
          <w:p w14:paraId="7FC9E6FD">
            <w:pPr>
              <w:spacing w:line="400" w:lineRule="exact"/>
              <w:jc w:val="center"/>
              <w:rPr>
                <w:rFonts w:hint="eastAsia" w:ascii="宋体" w:hAnsi="宋体" w:eastAsia="宋体" w:cs="宋体"/>
                <w:b/>
                <w:color w:val="auto"/>
                <w:szCs w:val="21"/>
                <w:highlight w:val="none"/>
                <w:lang w:eastAsia="zh-CN"/>
              </w:rPr>
            </w:pPr>
            <w:r>
              <w:rPr>
                <w:rFonts w:hint="eastAsia" w:ascii="宋体" w:hAnsi="宋体" w:cs="宋体"/>
                <w:color w:val="auto"/>
                <w:szCs w:val="21"/>
                <w:highlight w:val="none"/>
              </w:rPr>
              <w:t>付款</w:t>
            </w:r>
            <w:r>
              <w:rPr>
                <w:rFonts w:hint="eastAsia" w:ascii="宋体" w:hAnsi="宋体" w:cs="宋体"/>
                <w:color w:val="auto"/>
                <w:szCs w:val="21"/>
                <w:highlight w:val="none"/>
                <w:lang w:val="en-US" w:eastAsia="zh-CN"/>
              </w:rPr>
              <w:t>方式</w:t>
            </w:r>
          </w:p>
        </w:tc>
        <w:tc>
          <w:tcPr>
            <w:tcW w:w="7973" w:type="dxa"/>
            <w:gridSpan w:val="3"/>
            <w:tcBorders>
              <w:top w:val="single" w:color="auto" w:sz="4" w:space="0"/>
              <w:left w:val="single" w:color="auto" w:sz="4" w:space="0"/>
              <w:bottom w:val="single" w:color="auto" w:sz="4" w:space="0"/>
              <w:right w:val="single" w:color="auto" w:sz="4" w:space="0"/>
            </w:tcBorders>
            <w:vAlign w:val="center"/>
          </w:tcPr>
          <w:p w14:paraId="16D0583A">
            <w:pPr>
              <w:spacing w:line="400" w:lineRule="exact"/>
              <w:rPr>
                <w:rFonts w:hint="eastAsia" w:ascii="宋体" w:hAnsi="宋体" w:cs="宋体"/>
                <w:b w:val="0"/>
                <w:bCs/>
                <w:color w:val="auto"/>
                <w:szCs w:val="21"/>
                <w:highlight w:val="none"/>
              </w:rPr>
            </w:pPr>
            <w:r>
              <w:rPr>
                <w:rFonts w:hint="eastAsia" w:ascii="宋体" w:hAnsi="宋体" w:cs="宋体"/>
                <w:b w:val="0"/>
                <w:bCs/>
                <w:color w:val="auto"/>
                <w:szCs w:val="21"/>
                <w:highlight w:val="none"/>
              </w:rPr>
              <w:t>1</w:t>
            </w: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rPr>
              <w:t>预付款</w:t>
            </w: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rPr>
              <w:t>合同生效后，买方在收到卖方开具的注明应付预付款金额的财务收据正本一份并经审核无误后28日内，向卖方支付签约合同价的30%作为预付款。（卖方申请支付预付款时需同时提交与申请预付款同等金额的工程预付款保函。预付款保函应由投标人基本账户所在银行开具）</w:t>
            </w: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rPr>
              <w:t>预付款在第一、二、三期进度款支付时扣完，每期扣还比例为预付款总额的三分之一。</w:t>
            </w:r>
          </w:p>
          <w:p w14:paraId="2F92707E">
            <w:pPr>
              <w:spacing w:line="400" w:lineRule="exact"/>
              <w:rPr>
                <w:rFonts w:hint="eastAsia" w:ascii="宋体" w:hAnsi="宋体" w:cs="宋体"/>
                <w:b w:val="0"/>
                <w:bCs/>
                <w:color w:val="auto"/>
                <w:szCs w:val="21"/>
                <w:highlight w:val="none"/>
              </w:rPr>
            </w:pPr>
            <w:r>
              <w:rPr>
                <w:rFonts w:hint="eastAsia" w:ascii="宋体" w:hAnsi="宋体" w:cs="宋体"/>
                <w:b w:val="0"/>
                <w:bCs/>
                <w:color w:val="auto"/>
                <w:szCs w:val="21"/>
                <w:highlight w:val="none"/>
                <w:lang w:val="en-US" w:eastAsia="zh-CN"/>
              </w:rPr>
              <w:t>2、</w:t>
            </w:r>
            <w:r>
              <w:rPr>
                <w:rFonts w:hint="eastAsia" w:ascii="宋体" w:hAnsi="宋体" w:cs="宋体"/>
                <w:b w:val="0"/>
                <w:bCs/>
                <w:color w:val="auto"/>
                <w:szCs w:val="21"/>
                <w:highlight w:val="none"/>
              </w:rPr>
              <w:t>进度款</w:t>
            </w: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rPr>
              <w:t>按月支付，合同内月进度款支付限额为已完成工程量的80%，工程完成竣工累计支付至建安工程费合同价款的80%；合同外（设计变更）累计增加的变更额在合同价的10%以内（含10%），按照计量的80%支付；累计增加的变更金额超出合同价的10%部分，不进行进度款计量支付，留待工程结算时一并研究后支付；工程完工验收达到质量要求后，工程款支付至结算总价的97%（含已支付的）；按工程价款结算总额的3%预留工程质量保证金，待工程缺陷责任期满后返还（无息）；支付工程款费用同时开具足额合法有效的增值税发票至发包人。</w:t>
            </w:r>
          </w:p>
          <w:p w14:paraId="2EB3A966">
            <w:pPr>
              <w:spacing w:line="400" w:lineRule="exact"/>
              <w:rPr>
                <w:rFonts w:hint="eastAsia" w:ascii="宋体" w:hAnsi="宋体" w:cs="宋体"/>
                <w:b w:val="0"/>
                <w:bCs/>
                <w:color w:val="auto"/>
                <w:szCs w:val="21"/>
                <w:highlight w:val="none"/>
              </w:rPr>
            </w:pPr>
            <w:r>
              <w:rPr>
                <w:rFonts w:hint="eastAsia" w:ascii="宋体" w:hAnsi="宋体" w:cs="宋体"/>
                <w:b w:val="0"/>
                <w:bCs/>
                <w:color w:val="auto"/>
                <w:szCs w:val="21"/>
                <w:highlight w:val="none"/>
                <w:lang w:val="en-US" w:eastAsia="zh-CN"/>
              </w:rPr>
              <w:t>3、</w:t>
            </w:r>
            <w:r>
              <w:rPr>
                <w:rFonts w:hint="eastAsia" w:ascii="宋体" w:hAnsi="宋体" w:cs="宋体"/>
                <w:b w:val="0"/>
                <w:bCs/>
                <w:color w:val="auto"/>
                <w:szCs w:val="21"/>
                <w:highlight w:val="none"/>
              </w:rPr>
              <w:t>验收及结算款</w:t>
            </w:r>
            <w:r>
              <w:rPr>
                <w:rFonts w:hint="eastAsia" w:ascii="宋体" w:hAnsi="宋体" w:cs="宋体"/>
                <w:b w:val="0"/>
                <w:bCs/>
                <w:color w:val="auto"/>
                <w:szCs w:val="21"/>
                <w:highlight w:val="none"/>
                <w:lang w:eastAsia="zh-CN"/>
              </w:rPr>
              <w:t>：</w:t>
            </w:r>
            <w:r>
              <w:rPr>
                <w:rFonts w:hint="eastAsia" w:ascii="宋体" w:hAnsi="宋体" w:cs="宋体"/>
                <w:b w:val="0"/>
                <w:bCs/>
                <w:color w:val="auto"/>
                <w:szCs w:val="21"/>
                <w:highlight w:val="none"/>
              </w:rPr>
              <w:t>卖方申请结算报送给买方，经财政评审后确认结算金额并出具结算书，支付至结算总造价的97%，具体支付金额以财政审核确认为准。</w:t>
            </w:r>
          </w:p>
          <w:p w14:paraId="253595B9">
            <w:pPr>
              <w:spacing w:line="400" w:lineRule="exact"/>
              <w:rPr>
                <w:rFonts w:hint="eastAsia" w:ascii="宋体" w:hAnsi="宋体" w:cs="宋体"/>
                <w:b w:val="0"/>
                <w:bCs/>
                <w:color w:val="auto"/>
                <w:szCs w:val="21"/>
                <w:highlight w:val="none"/>
              </w:rPr>
            </w:pPr>
            <w:r>
              <w:rPr>
                <w:rFonts w:hint="eastAsia" w:ascii="宋体" w:hAnsi="宋体" w:cs="宋体"/>
                <w:b w:val="0"/>
                <w:bCs/>
                <w:color w:val="auto"/>
                <w:szCs w:val="21"/>
                <w:highlight w:val="none"/>
                <w:lang w:val="en-US" w:eastAsia="zh-CN"/>
              </w:rPr>
              <w:t>4、</w:t>
            </w:r>
            <w:r>
              <w:rPr>
                <w:rFonts w:hint="eastAsia" w:ascii="宋体" w:hAnsi="宋体" w:cs="宋体"/>
                <w:b w:val="0"/>
                <w:bCs/>
                <w:color w:val="auto"/>
                <w:szCs w:val="21"/>
                <w:highlight w:val="none"/>
              </w:rPr>
              <w:t>质保期及结清款</w:t>
            </w:r>
            <w:r>
              <w:rPr>
                <w:rFonts w:hint="eastAsia" w:ascii="宋体" w:hAnsi="宋体" w:cs="宋体"/>
                <w:b w:val="0"/>
                <w:bCs/>
                <w:color w:val="auto"/>
                <w:szCs w:val="21"/>
                <w:highlight w:val="none"/>
                <w:lang w:eastAsia="zh-CN"/>
              </w:rPr>
              <w:t>：质保金为结算总价的3%，运行维护期为24个月（含质保期）：其中质保期为1年（在项目合同完工验收合格后质保期内的维修及维护由卖方负责），质保期在项目合同完工验收合格后并出具验收合格证明起计1年，质保期满后买方无息返还质保金给卖方；另加1年的运行维护期。</w:t>
            </w:r>
          </w:p>
        </w:tc>
      </w:tr>
      <w:tr w14:paraId="29F33B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005" w:type="dxa"/>
            <w:gridSpan w:val="3"/>
            <w:tcBorders>
              <w:top w:val="single" w:color="auto" w:sz="4" w:space="0"/>
              <w:left w:val="single" w:color="auto" w:sz="4" w:space="0"/>
              <w:bottom w:val="single" w:color="auto" w:sz="4" w:space="0"/>
              <w:right w:val="single" w:color="auto" w:sz="4" w:space="0"/>
            </w:tcBorders>
            <w:vAlign w:val="center"/>
          </w:tcPr>
          <w:p w14:paraId="55595E1F">
            <w:pPr>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质保期</w:t>
            </w:r>
          </w:p>
        </w:tc>
        <w:tc>
          <w:tcPr>
            <w:tcW w:w="7973" w:type="dxa"/>
            <w:gridSpan w:val="3"/>
            <w:tcBorders>
              <w:top w:val="single" w:color="auto" w:sz="4" w:space="0"/>
              <w:left w:val="single" w:color="auto" w:sz="4" w:space="0"/>
              <w:bottom w:val="single" w:color="auto" w:sz="4" w:space="0"/>
              <w:right w:val="single" w:color="auto" w:sz="4" w:space="0"/>
            </w:tcBorders>
            <w:vAlign w:val="center"/>
          </w:tcPr>
          <w:p w14:paraId="607CAC84">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按《工程质量保修书》的要求。</w:t>
            </w:r>
          </w:p>
        </w:tc>
      </w:tr>
      <w:tr w14:paraId="63F300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005" w:type="dxa"/>
            <w:gridSpan w:val="3"/>
            <w:tcBorders>
              <w:top w:val="single" w:color="auto" w:sz="4" w:space="0"/>
              <w:left w:val="single" w:color="auto" w:sz="4" w:space="0"/>
              <w:bottom w:val="single" w:color="auto" w:sz="4" w:space="0"/>
              <w:right w:val="single" w:color="auto" w:sz="4" w:space="0"/>
            </w:tcBorders>
            <w:vAlign w:val="center"/>
          </w:tcPr>
          <w:p w14:paraId="73375376">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报价</w:t>
            </w:r>
          </w:p>
        </w:tc>
        <w:tc>
          <w:tcPr>
            <w:tcW w:w="7973" w:type="dxa"/>
            <w:gridSpan w:val="3"/>
            <w:tcBorders>
              <w:top w:val="single" w:color="auto" w:sz="4" w:space="0"/>
              <w:left w:val="single" w:color="auto" w:sz="4" w:space="0"/>
              <w:bottom w:val="single" w:color="auto" w:sz="4" w:space="0"/>
              <w:right w:val="single" w:color="auto" w:sz="4" w:space="0"/>
            </w:tcBorders>
            <w:vAlign w:val="center"/>
          </w:tcPr>
          <w:p w14:paraId="2C89C92F">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1.本项目采购预算金额为人民币</w:t>
            </w:r>
            <w:r>
              <w:rPr>
                <w:rFonts w:hint="eastAsia" w:ascii="宋体" w:hAnsi="宋体" w:cs="宋体"/>
                <w:color w:val="auto"/>
                <w:szCs w:val="21"/>
                <w:highlight w:val="none"/>
                <w:lang w:val="en-US" w:eastAsia="zh-CN"/>
              </w:rPr>
              <w:t>3300000</w:t>
            </w:r>
            <w:r>
              <w:rPr>
                <w:rFonts w:hint="eastAsia" w:ascii="宋体" w:hAnsi="宋体" w:cs="宋体"/>
                <w:color w:val="auto"/>
                <w:szCs w:val="21"/>
                <w:highlight w:val="none"/>
              </w:rPr>
              <w:t>.00元整，</w:t>
            </w:r>
            <w:r>
              <w:rPr>
                <w:rFonts w:hint="eastAsia" w:ascii="宋体" w:hAnsi="宋体" w:cs="宋体"/>
                <w:color w:val="auto"/>
                <w:szCs w:val="21"/>
                <w:highlight w:val="none"/>
                <w:lang w:val="en-US" w:eastAsia="zh-CN"/>
              </w:rPr>
              <w:t>最高限价为：3243663.68元。</w:t>
            </w:r>
            <w:r>
              <w:rPr>
                <w:rFonts w:hint="eastAsia" w:ascii="宋体" w:hAnsi="宋体" w:cs="宋体"/>
                <w:color w:val="auto"/>
                <w:szCs w:val="21"/>
                <w:highlight w:val="none"/>
              </w:rPr>
              <w:t>报价超</w:t>
            </w:r>
            <w:r>
              <w:rPr>
                <w:rFonts w:hint="eastAsia" w:ascii="宋体" w:hAnsi="宋体" w:cs="宋体"/>
                <w:color w:val="auto"/>
                <w:szCs w:val="21"/>
                <w:highlight w:val="none"/>
                <w:lang w:val="en-US" w:eastAsia="zh-CN"/>
              </w:rPr>
              <w:t>过</w:t>
            </w:r>
            <w:r>
              <w:rPr>
                <w:rFonts w:hint="eastAsia" w:ascii="宋体" w:hAnsi="宋体" w:cs="宋体"/>
                <w:color w:val="auto"/>
                <w:szCs w:val="21"/>
                <w:highlight w:val="none"/>
              </w:rPr>
              <w:t>最高限价的，其</w:t>
            </w:r>
            <w:r>
              <w:rPr>
                <w:rFonts w:hint="eastAsia" w:ascii="宋体" w:hAnsi="宋体" w:cs="宋体"/>
                <w:color w:val="auto"/>
                <w:szCs w:val="21"/>
                <w:highlight w:val="none"/>
                <w:lang w:val="en-US" w:eastAsia="zh-CN"/>
              </w:rPr>
              <w:t>投标</w:t>
            </w:r>
            <w:r>
              <w:rPr>
                <w:rFonts w:hint="eastAsia" w:ascii="宋体" w:hAnsi="宋体" w:cs="宋体"/>
                <w:color w:val="auto"/>
                <w:szCs w:val="21"/>
                <w:highlight w:val="none"/>
              </w:rPr>
              <w:t>文件按无效处理。</w:t>
            </w:r>
          </w:p>
          <w:p w14:paraId="0B3AA5B0">
            <w:pPr>
              <w:widowControl/>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2.投标包括了为实施和完成合同工程所需的施工、劳务、材料、机械、质检（自检）、安装、缺陷修复、管理、保险、税费、利润等费用，以及合同明示或暗示的所有责任、义务和一般风险。</w:t>
            </w:r>
          </w:p>
        </w:tc>
      </w:tr>
      <w:tr w14:paraId="46543F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978" w:type="dxa"/>
            <w:gridSpan w:val="6"/>
            <w:tcBorders>
              <w:top w:val="single" w:color="auto" w:sz="4" w:space="0"/>
              <w:left w:val="single" w:color="auto" w:sz="4" w:space="0"/>
              <w:bottom w:val="single" w:color="auto" w:sz="4" w:space="0"/>
              <w:right w:val="single" w:color="auto" w:sz="4" w:space="0"/>
            </w:tcBorders>
            <w:vAlign w:val="center"/>
          </w:tcPr>
          <w:p w14:paraId="7C78EE20">
            <w:pPr>
              <w:spacing w:line="400" w:lineRule="exact"/>
              <w:rPr>
                <w:rFonts w:hint="eastAsia" w:ascii="宋体" w:hAnsi="宋体" w:cs="宋体"/>
                <w:b/>
                <w:color w:val="auto"/>
                <w:szCs w:val="21"/>
                <w:highlight w:val="none"/>
              </w:rPr>
            </w:pPr>
            <w:r>
              <w:rPr>
                <w:rFonts w:hint="eastAsia" w:ascii="宋体" w:hAnsi="宋体" w:cs="宋体"/>
                <w:b/>
                <w:bCs/>
                <w:color w:val="auto"/>
                <w:szCs w:val="21"/>
                <w:highlight w:val="none"/>
              </w:rPr>
              <w:t>二、与实现项目目标相关的其他要求</w:t>
            </w:r>
          </w:p>
        </w:tc>
      </w:tr>
      <w:tr w14:paraId="01DDBC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978" w:type="dxa"/>
            <w:gridSpan w:val="6"/>
            <w:tcBorders>
              <w:top w:val="single" w:color="auto" w:sz="4" w:space="0"/>
              <w:left w:val="single" w:color="auto" w:sz="4" w:space="0"/>
              <w:bottom w:val="single" w:color="auto" w:sz="4" w:space="0"/>
              <w:right w:val="single" w:color="auto" w:sz="4" w:space="0"/>
            </w:tcBorders>
            <w:vAlign w:val="center"/>
          </w:tcPr>
          <w:p w14:paraId="2906B86B">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（一）投标人的履约能力要求</w:t>
            </w:r>
          </w:p>
        </w:tc>
      </w:tr>
      <w:tr w14:paraId="440C1C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005" w:type="dxa"/>
            <w:gridSpan w:val="3"/>
            <w:tcBorders>
              <w:top w:val="single" w:color="auto" w:sz="4" w:space="0"/>
              <w:left w:val="single" w:color="auto" w:sz="4" w:space="0"/>
              <w:bottom w:val="single" w:color="auto" w:sz="4" w:space="0"/>
              <w:right w:val="single" w:color="auto" w:sz="4" w:space="0"/>
            </w:tcBorders>
            <w:vAlign w:val="center"/>
          </w:tcPr>
          <w:p w14:paraId="32874755">
            <w:pPr>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管理体系要求</w:t>
            </w:r>
          </w:p>
        </w:tc>
        <w:tc>
          <w:tcPr>
            <w:tcW w:w="7973" w:type="dxa"/>
            <w:gridSpan w:val="3"/>
            <w:tcBorders>
              <w:top w:val="single" w:color="auto" w:sz="4" w:space="0"/>
              <w:left w:val="single" w:color="auto" w:sz="4" w:space="0"/>
              <w:bottom w:val="single" w:color="auto" w:sz="4" w:space="0"/>
              <w:right w:val="single" w:color="auto" w:sz="4" w:space="0"/>
            </w:tcBorders>
            <w:vAlign w:val="center"/>
          </w:tcPr>
          <w:p w14:paraId="0AC85FB3">
            <w:pPr>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无</w:t>
            </w:r>
          </w:p>
        </w:tc>
      </w:tr>
      <w:tr w14:paraId="21CA95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005" w:type="dxa"/>
            <w:gridSpan w:val="3"/>
            <w:tcBorders>
              <w:top w:val="single" w:color="auto" w:sz="4" w:space="0"/>
              <w:left w:val="single" w:color="auto" w:sz="4" w:space="0"/>
              <w:bottom w:val="single" w:color="auto" w:sz="4" w:space="0"/>
              <w:right w:val="single" w:color="auto" w:sz="4" w:space="0"/>
            </w:tcBorders>
            <w:vAlign w:val="center"/>
          </w:tcPr>
          <w:p w14:paraId="1F9B6B98">
            <w:pPr>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业绩要求</w:t>
            </w:r>
          </w:p>
        </w:tc>
        <w:tc>
          <w:tcPr>
            <w:tcW w:w="7973" w:type="dxa"/>
            <w:gridSpan w:val="3"/>
            <w:tcBorders>
              <w:top w:val="single" w:color="auto" w:sz="4" w:space="0"/>
              <w:left w:val="single" w:color="auto" w:sz="4" w:space="0"/>
              <w:bottom w:val="single" w:color="auto" w:sz="4" w:space="0"/>
              <w:right w:val="single" w:color="auto" w:sz="4" w:space="0"/>
            </w:tcBorders>
            <w:vAlign w:val="center"/>
          </w:tcPr>
          <w:p w14:paraId="287B6B28">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无</w:t>
            </w:r>
          </w:p>
        </w:tc>
      </w:tr>
      <w:tr w14:paraId="44D40B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978" w:type="dxa"/>
            <w:gridSpan w:val="6"/>
            <w:tcBorders>
              <w:top w:val="single" w:color="auto" w:sz="4" w:space="0"/>
              <w:left w:val="single" w:color="auto" w:sz="4" w:space="0"/>
              <w:bottom w:val="single" w:color="auto" w:sz="4" w:space="0"/>
              <w:right w:val="single" w:color="auto" w:sz="4" w:space="0"/>
            </w:tcBorders>
            <w:vAlign w:val="center"/>
          </w:tcPr>
          <w:p w14:paraId="73CAC427">
            <w:pPr>
              <w:tabs>
                <w:tab w:val="left" w:pos="180"/>
                <w:tab w:val="left" w:pos="1620"/>
              </w:tabs>
              <w:spacing w:line="400" w:lineRule="exact"/>
              <w:rPr>
                <w:rFonts w:hint="eastAsia" w:ascii="宋体" w:hAnsi="宋体" w:cs="宋体"/>
                <w:bCs/>
                <w:color w:val="auto"/>
                <w:szCs w:val="21"/>
                <w:highlight w:val="none"/>
              </w:rPr>
            </w:pPr>
            <w:r>
              <w:rPr>
                <w:rFonts w:hint="eastAsia" w:ascii="宋体" w:hAnsi="宋体" w:cs="宋体"/>
                <w:b/>
                <w:color w:val="auto"/>
                <w:szCs w:val="21"/>
                <w:highlight w:val="none"/>
              </w:rPr>
              <w:t>（二）验收标准</w:t>
            </w:r>
          </w:p>
        </w:tc>
      </w:tr>
      <w:tr w14:paraId="3E62B8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9978" w:type="dxa"/>
            <w:gridSpan w:val="6"/>
            <w:tcBorders>
              <w:top w:val="single" w:color="auto" w:sz="4" w:space="0"/>
              <w:left w:val="single" w:color="auto" w:sz="4" w:space="0"/>
              <w:bottom w:val="single" w:color="auto" w:sz="4" w:space="0"/>
              <w:right w:val="single" w:color="auto" w:sz="4" w:space="0"/>
            </w:tcBorders>
            <w:vAlign w:val="center"/>
          </w:tcPr>
          <w:p w14:paraId="15C32C12">
            <w:pPr>
              <w:tabs>
                <w:tab w:val="left" w:pos="180"/>
                <w:tab w:val="left" w:pos="1620"/>
              </w:tabs>
              <w:spacing w:line="400" w:lineRule="exact"/>
              <w:rPr>
                <w:rFonts w:hint="eastAsia" w:ascii="宋体" w:hAnsi="宋体" w:cs="宋体"/>
                <w:bCs/>
                <w:color w:val="auto"/>
                <w:szCs w:val="21"/>
                <w:highlight w:val="none"/>
              </w:rPr>
            </w:pPr>
            <w:r>
              <w:rPr>
                <w:rFonts w:hint="eastAsia" w:ascii="宋体" w:hAnsi="宋体" w:cs="宋体"/>
                <w:bCs/>
                <w:color w:val="auto"/>
                <w:szCs w:val="21"/>
                <w:highlight w:val="none"/>
              </w:rPr>
              <w:t>1.工程质量</w:t>
            </w:r>
            <w:r>
              <w:rPr>
                <w:rFonts w:hint="eastAsia" w:ascii="宋体" w:hAnsi="宋体" w:cs="宋体"/>
                <w:bCs/>
                <w:color w:val="auto"/>
                <w:szCs w:val="21"/>
                <w:highlight w:val="none"/>
                <w:lang w:eastAsia="zh-CN"/>
              </w:rPr>
              <w:t>：</w:t>
            </w:r>
            <w:r>
              <w:rPr>
                <w:rFonts w:hint="eastAsia" w:ascii="宋体" w:hAnsi="宋体" w:cs="宋体"/>
                <w:bCs/>
                <w:color w:val="auto"/>
                <w:szCs w:val="21"/>
                <w:highlight w:val="none"/>
              </w:rPr>
              <w:t>符合现行国家相关标准、行业标准、地方标准或者其他标准、规范；</w:t>
            </w:r>
          </w:p>
          <w:p w14:paraId="7B7E7BDD">
            <w:pPr>
              <w:tabs>
                <w:tab w:val="left" w:pos="180"/>
                <w:tab w:val="left" w:pos="1620"/>
              </w:tabs>
              <w:spacing w:line="400" w:lineRule="exact"/>
              <w:rPr>
                <w:rFonts w:hint="eastAsia" w:ascii="宋体" w:hAnsi="宋体" w:cs="宋体"/>
                <w:color w:val="auto"/>
                <w:szCs w:val="21"/>
                <w:highlight w:val="none"/>
              </w:rPr>
            </w:pPr>
            <w:r>
              <w:rPr>
                <w:rFonts w:hint="eastAsia" w:ascii="宋体" w:hAnsi="宋体" w:cs="宋体"/>
                <w:bCs/>
                <w:color w:val="auto"/>
                <w:szCs w:val="21"/>
                <w:highlight w:val="none"/>
              </w:rPr>
              <w:t>2.符合</w:t>
            </w:r>
            <w:r>
              <w:rPr>
                <w:rFonts w:hint="eastAsia" w:ascii="宋体" w:hAnsi="宋体" w:cs="宋体"/>
                <w:bCs/>
                <w:color w:val="auto"/>
                <w:szCs w:val="21"/>
                <w:highlight w:val="none"/>
                <w:lang w:val="en-US" w:eastAsia="zh-CN"/>
              </w:rPr>
              <w:t>招标</w:t>
            </w:r>
            <w:r>
              <w:rPr>
                <w:rFonts w:hint="eastAsia" w:ascii="宋体" w:hAnsi="宋体" w:cs="宋体"/>
                <w:bCs/>
                <w:color w:val="auto"/>
                <w:szCs w:val="21"/>
                <w:highlight w:val="none"/>
              </w:rPr>
              <w:t>文件及项目合同的要求。</w:t>
            </w:r>
          </w:p>
        </w:tc>
      </w:tr>
      <w:bookmarkEnd w:id="53"/>
      <w:bookmarkEnd w:id="54"/>
    </w:tbl>
    <w:p w14:paraId="56505049">
      <w:pPr>
        <w:pStyle w:val="4"/>
        <w:pageBreakBefore w:val="0"/>
        <w:kinsoku/>
        <w:wordWrap/>
        <w:overflowPunct/>
        <w:topLinePunct w:val="0"/>
        <w:autoSpaceDE/>
        <w:autoSpaceDN/>
        <w:bidi w:val="0"/>
        <w:spacing w:before="0" w:after="0" w:line="400" w:lineRule="exact"/>
        <w:ind w:firstLine="560"/>
        <w:jc w:val="center"/>
        <w:rPr>
          <w:rFonts w:hint="eastAsia" w:ascii="宋体" w:hAnsi="宋体" w:eastAsia="宋体" w:cs="宋体"/>
          <w:snapToGrid w:val="0"/>
          <w:sz w:val="21"/>
          <w:szCs w:val="21"/>
        </w:rPr>
      </w:pPr>
      <w:r>
        <w:rPr>
          <w:rFonts w:hint="eastAsia" w:ascii="黑体" w:hAnsi="黑体" w:eastAsia="黑体" w:cs="黑体"/>
          <w:color w:val="auto"/>
          <w:sz w:val="32"/>
          <w:szCs w:val="32"/>
          <w:highlight w:val="none"/>
        </w:rPr>
        <w:br w:type="page"/>
      </w:r>
      <w:bookmarkStart w:id="55" w:name="_Toc22493"/>
      <w:bookmarkStart w:id="56" w:name="_Toc1647"/>
      <w:bookmarkStart w:id="57" w:name="_Toc6662"/>
      <w:r>
        <w:rPr>
          <w:rFonts w:hint="eastAsia" w:ascii="宋体" w:hAnsi="宋体" w:eastAsia="宋体" w:cs="宋体"/>
          <w:snapToGrid w:val="0"/>
          <w:sz w:val="21"/>
          <w:szCs w:val="21"/>
        </w:rPr>
        <w:t xml:space="preserve">1 </w:t>
      </w:r>
      <w:bookmarkEnd w:id="55"/>
      <w:bookmarkEnd w:id="56"/>
      <w:bookmarkEnd w:id="57"/>
      <w:r>
        <w:rPr>
          <w:rFonts w:hint="eastAsia" w:ascii="宋体" w:hAnsi="宋体" w:eastAsia="宋体" w:cs="宋体"/>
          <w:snapToGrid w:val="0"/>
          <w:sz w:val="21"/>
          <w:szCs w:val="21"/>
        </w:rPr>
        <w:t>技术要求</w:t>
      </w:r>
    </w:p>
    <w:p w14:paraId="3B72263D">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本野外站现有12个观测试验区，主要建于上世纪80-90年代至本世纪初，由于建设年代较早，普遍存在观测手段落后、自动化程度低等问题。经过几十年运行且近五年维修养护经费得到不保障，各试验区设施设备均出现不同程度的老化破损，部分已无法正常开展试验观测。同时，现有科学普及形式传统单一、不成系统，且试验运行管理、数据收集与共享平台尚属空白。为贯彻落实水利部关于野外站"开展长期、连续、稳定的野外观测和试验研究，在科技成果示范推广、开放共享与服务、科学普及等方面发挥示范引领作用"的功能定位要求，亟需新建信息化管理平台和数据共享平台，对各观测试验区进行全面修缮提升，创新丰富科学普及内容和形式。具体建设内容如下：</w:t>
      </w:r>
    </w:p>
    <w:p w14:paraId="0A772A1A">
      <w:pPr>
        <w:pStyle w:val="5"/>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napToGrid w:val="0"/>
          <w:sz w:val="21"/>
          <w:szCs w:val="21"/>
        </w:rPr>
      </w:pPr>
      <w:bookmarkStart w:id="58" w:name="_Toc16869"/>
      <w:bookmarkStart w:id="59" w:name="_Toc6066"/>
      <w:bookmarkStart w:id="60" w:name="_Toc2961"/>
      <w:bookmarkStart w:id="61" w:name="_Toc12247"/>
      <w:bookmarkStart w:id="62" w:name="_Toc870"/>
      <w:bookmarkStart w:id="63" w:name="_Toc22071"/>
      <w:bookmarkStart w:id="64" w:name="_Toc29011"/>
      <w:bookmarkStart w:id="65" w:name="_Toc4506"/>
      <w:bookmarkStart w:id="66" w:name="_Toc5856"/>
      <w:bookmarkStart w:id="67" w:name="_Toc1267"/>
      <w:r>
        <w:rPr>
          <w:rFonts w:hint="eastAsia" w:ascii="宋体" w:hAnsi="宋体" w:eastAsia="宋体" w:cs="宋体"/>
          <w:snapToGrid w:val="0"/>
          <w:sz w:val="21"/>
          <w:szCs w:val="21"/>
        </w:rPr>
        <w:t xml:space="preserve">1.1 </w:t>
      </w:r>
      <w:bookmarkEnd w:id="58"/>
      <w:bookmarkEnd w:id="59"/>
      <w:bookmarkEnd w:id="60"/>
      <w:bookmarkEnd w:id="61"/>
      <w:r>
        <w:rPr>
          <w:rFonts w:hint="eastAsia" w:ascii="宋体" w:hAnsi="宋体" w:eastAsia="宋体" w:cs="宋体"/>
          <w:snapToGrid w:val="0"/>
          <w:sz w:val="21"/>
          <w:szCs w:val="21"/>
        </w:rPr>
        <w:t>建设内容</w:t>
      </w:r>
    </w:p>
    <w:p w14:paraId="4CF4D5D1">
      <w:pPr>
        <w:pageBreakBefore w:val="0"/>
        <w:tabs>
          <w:tab w:val="left" w:pos="0"/>
        </w:tabs>
        <w:kinsoku/>
        <w:wordWrap/>
        <w:overflowPunct/>
        <w:topLinePunct w:val="0"/>
        <w:autoSpaceDE/>
        <w:autoSpaceDN/>
        <w:bidi w:val="0"/>
        <w:adjustRightInd w:val="0"/>
        <w:snapToGrid w:val="0"/>
        <w:spacing w:line="400" w:lineRule="exact"/>
        <w:ind w:firstLine="420" w:firstLineChars="200"/>
        <w:rPr>
          <w:rFonts w:hint="eastAsia" w:ascii="宋体" w:hAnsi="宋体" w:eastAsia="宋体" w:cs="宋体"/>
          <w:snapToGrid w:val="0"/>
          <w:sz w:val="21"/>
          <w:szCs w:val="21"/>
        </w:rPr>
      </w:pPr>
      <w:r>
        <w:rPr>
          <w:rFonts w:hint="eastAsia" w:ascii="宋体" w:hAnsi="宋体" w:eastAsia="宋体" w:cs="宋体"/>
          <w:snapToGrid w:val="0"/>
          <w:sz w:val="21"/>
          <w:szCs w:val="21"/>
        </w:rPr>
        <w:t>水利部西南岩溶区节水减排防污野外科学观测研究站瞄准中央赋予广西三大定位：面向东盟的国际大通道，打造西南中南地区开放发展新的战略支点，形成“一带一路”有机衔接的重要门户；习近平总书记视察广西时指出，要“发挥广西林果蔬畜糖等特色资源丰富的优势，大力发展现代特色农业产业，让更多‘桂字号’农业品牌叫响大江南北”；广西壮族自治区岩溶地区石漠化综合治理规划、广西最严格水资源管理、国家节水行动等科技需求，建成有国内影响力的岩溶区节水减排防污野外科学观测研究站和示范基地，为我国西南岩溶区农业用水管理提供技术支撑，为灌溉试验成果转化提供平台。</w:t>
      </w:r>
    </w:p>
    <w:p w14:paraId="1896EB42">
      <w:pPr>
        <w:pageBreakBefore w:val="0"/>
        <w:numPr>
          <w:ilvl w:val="255"/>
          <w:numId w:val="0"/>
        </w:numPr>
        <w:tabs>
          <w:tab w:val="left" w:pos="0"/>
        </w:tabs>
        <w:kinsoku/>
        <w:wordWrap/>
        <w:overflowPunct/>
        <w:topLinePunct w:val="0"/>
        <w:autoSpaceDE/>
        <w:autoSpaceDN/>
        <w:bidi w:val="0"/>
        <w:adjustRightInd w:val="0"/>
        <w:snapToGrid w:val="0"/>
        <w:spacing w:line="400" w:lineRule="exact"/>
        <w:ind w:firstLine="480"/>
        <w:rPr>
          <w:rFonts w:hint="eastAsia" w:ascii="宋体" w:hAnsi="宋体" w:eastAsia="宋体" w:cs="宋体"/>
          <w:snapToGrid w:val="0"/>
          <w:sz w:val="21"/>
          <w:szCs w:val="21"/>
        </w:rPr>
      </w:pPr>
      <w:r>
        <w:rPr>
          <w:rFonts w:hint="eastAsia" w:ascii="宋体" w:hAnsi="宋体" w:eastAsia="宋体" w:cs="宋体"/>
          <w:snapToGrid w:val="0"/>
          <w:sz w:val="21"/>
          <w:szCs w:val="21"/>
        </w:rPr>
        <w:t>本方案投资项目主要包括新建野外站信息化管理平台和开放共享服务平台各1个；原12个试验区的修缮提升；创新丰富科学普及内容和形式等三个部分。详细建设内容见招标清单。</w:t>
      </w:r>
    </w:p>
    <w:p w14:paraId="70CC0536">
      <w:pPr>
        <w:pageBreakBefore w:val="0"/>
        <w:kinsoku/>
        <w:wordWrap/>
        <w:overflowPunct/>
        <w:topLinePunct w:val="0"/>
        <w:autoSpaceDE/>
        <w:autoSpaceDN/>
        <w:bidi w:val="0"/>
        <w:spacing w:line="400" w:lineRule="exact"/>
        <w:jc w:val="center"/>
        <w:rPr>
          <w:rFonts w:hint="eastAsia" w:ascii="宋体" w:hAnsi="宋体" w:eastAsia="宋体" w:cs="宋体"/>
          <w:b/>
          <w:bCs/>
          <w:snapToGrid w:val="0"/>
          <w:sz w:val="21"/>
          <w:szCs w:val="21"/>
        </w:rPr>
      </w:pPr>
      <w:r>
        <w:rPr>
          <w:rFonts w:hint="eastAsia" w:ascii="宋体" w:hAnsi="宋体" w:eastAsia="宋体" w:cs="宋体"/>
          <w:b/>
          <w:bCs/>
          <w:snapToGrid w:val="0"/>
          <w:sz w:val="21"/>
          <w:szCs w:val="21"/>
        </w:rPr>
        <w:t>水利部西南岩溶区节水减排防污野外科学观测研究站达标建设内容总表</w:t>
      </w:r>
    </w:p>
    <w:tbl>
      <w:tblPr>
        <w:tblStyle w:val="85"/>
        <w:tblW w:w="5174" w:type="pct"/>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5"/>
        <w:gridCol w:w="2237"/>
        <w:gridCol w:w="5954"/>
        <w:gridCol w:w="953"/>
      </w:tblGrid>
      <w:tr w14:paraId="378D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blHeader/>
        </w:trPr>
        <w:tc>
          <w:tcPr>
            <w:tcW w:w="565" w:type="pct"/>
            <w:vAlign w:val="center"/>
          </w:tcPr>
          <w:p w14:paraId="5DF0D855">
            <w:pPr>
              <w:pageBreakBefore w:val="0"/>
              <w:widowControl/>
              <w:kinsoku/>
              <w:wordWrap/>
              <w:overflowPunct/>
              <w:topLinePunct w:val="0"/>
              <w:autoSpaceDE/>
              <w:autoSpaceDN/>
              <w:bidi w:val="0"/>
              <w:spacing w:line="400" w:lineRule="exact"/>
              <w:jc w:val="center"/>
              <w:textAlignment w:val="bottom"/>
              <w:rPr>
                <w:rFonts w:hint="eastAsia" w:ascii="宋体" w:hAnsi="宋体" w:eastAsia="宋体" w:cs="宋体"/>
                <w:snapToGrid w:val="0"/>
                <w:sz w:val="21"/>
                <w:szCs w:val="21"/>
              </w:rPr>
            </w:pPr>
            <w:r>
              <w:rPr>
                <w:rFonts w:hint="eastAsia" w:ascii="宋体" w:hAnsi="宋体" w:eastAsia="宋体" w:cs="宋体"/>
                <w:color w:val="000000"/>
                <w:kern w:val="0"/>
                <w:sz w:val="21"/>
                <w:szCs w:val="21"/>
                <w:lang w:bidi="ar"/>
              </w:rPr>
              <w:t>序号</w:t>
            </w:r>
          </w:p>
        </w:tc>
        <w:tc>
          <w:tcPr>
            <w:tcW w:w="3973" w:type="pct"/>
            <w:gridSpan w:val="2"/>
          </w:tcPr>
          <w:p w14:paraId="7BA82E7C">
            <w:pPr>
              <w:pageBreakBefore w:val="0"/>
              <w:widowControl/>
              <w:kinsoku/>
              <w:wordWrap/>
              <w:overflowPunct/>
              <w:topLinePunct w:val="0"/>
              <w:autoSpaceDE/>
              <w:autoSpaceDN/>
              <w:bidi w:val="0"/>
              <w:spacing w:line="400" w:lineRule="exact"/>
              <w:jc w:val="center"/>
              <w:textAlignment w:val="bottom"/>
              <w:rPr>
                <w:rFonts w:hint="eastAsia" w:ascii="宋体" w:hAnsi="宋体" w:eastAsia="宋体" w:cs="宋体"/>
                <w:snapToGrid w:val="0"/>
                <w:sz w:val="21"/>
                <w:szCs w:val="21"/>
              </w:rPr>
            </w:pPr>
            <w:r>
              <w:rPr>
                <w:rFonts w:hint="eastAsia" w:ascii="宋体" w:hAnsi="宋体" w:eastAsia="宋体" w:cs="宋体"/>
                <w:color w:val="000000"/>
                <w:kern w:val="0"/>
                <w:sz w:val="21"/>
                <w:szCs w:val="21"/>
                <w:lang w:bidi="ar"/>
              </w:rPr>
              <w:t>名 称</w:t>
            </w:r>
          </w:p>
        </w:tc>
        <w:tc>
          <w:tcPr>
            <w:tcW w:w="462" w:type="pct"/>
            <w:vAlign w:val="center"/>
          </w:tcPr>
          <w:p w14:paraId="7E0C43AE">
            <w:pPr>
              <w:pageBreakBefore w:val="0"/>
              <w:widowControl/>
              <w:kinsoku/>
              <w:wordWrap/>
              <w:overflowPunct/>
              <w:topLinePunct w:val="0"/>
              <w:autoSpaceDE/>
              <w:autoSpaceDN/>
              <w:bidi w:val="0"/>
              <w:spacing w:line="400" w:lineRule="exact"/>
              <w:jc w:val="center"/>
              <w:textAlignment w:val="bottom"/>
              <w:rPr>
                <w:rFonts w:hint="eastAsia" w:ascii="宋体" w:hAnsi="宋体" w:eastAsia="宋体" w:cs="宋体"/>
                <w:snapToGrid w:val="0"/>
                <w:sz w:val="21"/>
                <w:szCs w:val="21"/>
              </w:rPr>
            </w:pPr>
            <w:r>
              <w:rPr>
                <w:rFonts w:hint="eastAsia" w:ascii="宋体" w:hAnsi="宋体" w:eastAsia="宋体" w:cs="宋体"/>
                <w:snapToGrid w:val="0"/>
                <w:sz w:val="21"/>
                <w:szCs w:val="21"/>
              </w:rPr>
              <w:t>备注</w:t>
            </w:r>
          </w:p>
        </w:tc>
      </w:tr>
      <w:tr w14:paraId="18AA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5" w:type="pct"/>
            <w:vAlign w:val="center"/>
          </w:tcPr>
          <w:p w14:paraId="4407DAFC">
            <w:pPr>
              <w:pageBreakBefore w:val="0"/>
              <w:numPr>
                <w:ilvl w:val="255"/>
                <w:numId w:val="0"/>
              </w:numPr>
              <w:tabs>
                <w:tab w:val="left" w:pos="0"/>
              </w:tabs>
              <w:kinsoku/>
              <w:wordWrap/>
              <w:overflowPunct/>
              <w:topLinePunct w:val="0"/>
              <w:autoSpaceDE/>
              <w:autoSpaceDN/>
              <w:bidi w:val="0"/>
              <w:adjustRightInd w:val="0"/>
              <w:snapToGrid w:val="0"/>
              <w:spacing w:line="400" w:lineRule="exact"/>
              <w:jc w:val="center"/>
              <w:rPr>
                <w:rFonts w:hint="eastAsia" w:ascii="宋体" w:hAnsi="宋体" w:eastAsia="宋体" w:cs="宋体"/>
                <w:snapToGrid w:val="0"/>
                <w:sz w:val="21"/>
                <w:szCs w:val="21"/>
              </w:rPr>
            </w:pPr>
            <w:r>
              <w:rPr>
                <w:rFonts w:hint="eastAsia" w:ascii="宋体" w:hAnsi="宋体" w:eastAsia="宋体" w:cs="宋体"/>
                <w:snapToGrid w:val="0"/>
                <w:sz w:val="21"/>
                <w:szCs w:val="21"/>
              </w:rPr>
              <w:t>一</w:t>
            </w:r>
          </w:p>
        </w:tc>
        <w:tc>
          <w:tcPr>
            <w:tcW w:w="1085" w:type="pct"/>
            <w:vMerge w:val="restart"/>
            <w:vAlign w:val="center"/>
          </w:tcPr>
          <w:p w14:paraId="7C68C305">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野外站信息化平台建设</w:t>
            </w:r>
          </w:p>
        </w:tc>
        <w:tc>
          <w:tcPr>
            <w:tcW w:w="2888" w:type="pct"/>
            <w:vAlign w:val="center"/>
          </w:tcPr>
          <w:p w14:paraId="5A0E8FF9">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野外站信息化管理平台建设</w:t>
            </w:r>
          </w:p>
        </w:tc>
        <w:tc>
          <w:tcPr>
            <w:tcW w:w="462" w:type="pct"/>
            <w:vAlign w:val="center"/>
          </w:tcPr>
          <w:p w14:paraId="7BB638B7">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color w:val="000000"/>
                <w:kern w:val="0"/>
                <w:sz w:val="21"/>
                <w:szCs w:val="21"/>
                <w:lang w:bidi="ar"/>
              </w:rPr>
            </w:pPr>
          </w:p>
        </w:tc>
      </w:tr>
      <w:tr w14:paraId="5520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5" w:type="pct"/>
            <w:vAlign w:val="center"/>
          </w:tcPr>
          <w:p w14:paraId="6BD20D87">
            <w:pPr>
              <w:pageBreakBefore w:val="0"/>
              <w:numPr>
                <w:ilvl w:val="255"/>
                <w:numId w:val="0"/>
              </w:numPr>
              <w:tabs>
                <w:tab w:val="left" w:pos="0"/>
              </w:tabs>
              <w:kinsoku/>
              <w:wordWrap/>
              <w:overflowPunct/>
              <w:topLinePunct w:val="0"/>
              <w:autoSpaceDE/>
              <w:autoSpaceDN/>
              <w:bidi w:val="0"/>
              <w:adjustRightInd w:val="0"/>
              <w:snapToGrid w:val="0"/>
              <w:spacing w:line="400" w:lineRule="exact"/>
              <w:jc w:val="center"/>
              <w:rPr>
                <w:rFonts w:hint="eastAsia" w:ascii="宋体" w:hAnsi="宋体" w:eastAsia="宋体" w:cs="宋体"/>
                <w:snapToGrid w:val="0"/>
                <w:sz w:val="21"/>
                <w:szCs w:val="21"/>
              </w:rPr>
            </w:pPr>
            <w:r>
              <w:rPr>
                <w:rFonts w:hint="eastAsia" w:ascii="宋体" w:hAnsi="宋体" w:eastAsia="宋体" w:cs="宋体"/>
                <w:snapToGrid w:val="0"/>
                <w:sz w:val="21"/>
                <w:szCs w:val="21"/>
              </w:rPr>
              <w:t>二</w:t>
            </w:r>
          </w:p>
        </w:tc>
        <w:tc>
          <w:tcPr>
            <w:tcW w:w="1085" w:type="pct"/>
            <w:vMerge w:val="continue"/>
            <w:vAlign w:val="center"/>
          </w:tcPr>
          <w:p w14:paraId="745DD84B">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color w:val="000000"/>
                <w:kern w:val="0"/>
                <w:sz w:val="21"/>
                <w:szCs w:val="21"/>
                <w:lang w:bidi="ar"/>
              </w:rPr>
            </w:pPr>
          </w:p>
        </w:tc>
        <w:tc>
          <w:tcPr>
            <w:tcW w:w="2888" w:type="pct"/>
            <w:vAlign w:val="center"/>
          </w:tcPr>
          <w:p w14:paraId="4F3FB6F2">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snapToGrid w:val="0"/>
                <w:sz w:val="21"/>
                <w:szCs w:val="21"/>
              </w:rPr>
            </w:pPr>
            <w:r>
              <w:rPr>
                <w:rFonts w:hint="eastAsia" w:ascii="宋体" w:hAnsi="宋体" w:eastAsia="宋体" w:cs="宋体"/>
                <w:color w:val="000000"/>
                <w:kern w:val="0"/>
                <w:sz w:val="21"/>
                <w:szCs w:val="21"/>
                <w:lang w:bidi="ar"/>
              </w:rPr>
              <w:t>数据开放共享服务平台建设</w:t>
            </w:r>
          </w:p>
        </w:tc>
        <w:tc>
          <w:tcPr>
            <w:tcW w:w="462" w:type="pct"/>
            <w:vAlign w:val="center"/>
          </w:tcPr>
          <w:p w14:paraId="5A5A4BF0">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snapToGrid w:val="0"/>
                <w:sz w:val="21"/>
                <w:szCs w:val="21"/>
              </w:rPr>
            </w:pPr>
          </w:p>
        </w:tc>
      </w:tr>
      <w:tr w14:paraId="7FF6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5" w:type="pct"/>
            <w:vAlign w:val="center"/>
          </w:tcPr>
          <w:p w14:paraId="4A334CCB">
            <w:pPr>
              <w:pageBreakBefore w:val="0"/>
              <w:numPr>
                <w:ilvl w:val="255"/>
                <w:numId w:val="0"/>
              </w:numPr>
              <w:tabs>
                <w:tab w:val="left" w:pos="0"/>
              </w:tabs>
              <w:kinsoku/>
              <w:wordWrap/>
              <w:overflowPunct/>
              <w:topLinePunct w:val="0"/>
              <w:autoSpaceDE/>
              <w:autoSpaceDN/>
              <w:bidi w:val="0"/>
              <w:adjustRightInd w:val="0"/>
              <w:snapToGrid w:val="0"/>
              <w:spacing w:line="400" w:lineRule="exact"/>
              <w:jc w:val="center"/>
              <w:rPr>
                <w:rFonts w:hint="eastAsia" w:ascii="宋体" w:hAnsi="宋体" w:eastAsia="宋体" w:cs="宋体"/>
                <w:snapToGrid w:val="0"/>
                <w:sz w:val="21"/>
                <w:szCs w:val="21"/>
              </w:rPr>
            </w:pPr>
            <w:r>
              <w:rPr>
                <w:rFonts w:hint="eastAsia" w:ascii="宋体" w:hAnsi="宋体" w:eastAsia="宋体" w:cs="宋体"/>
                <w:snapToGrid w:val="0"/>
                <w:sz w:val="21"/>
                <w:szCs w:val="21"/>
              </w:rPr>
              <w:t>三</w:t>
            </w:r>
          </w:p>
        </w:tc>
        <w:tc>
          <w:tcPr>
            <w:tcW w:w="1085" w:type="pct"/>
            <w:vMerge w:val="restart"/>
            <w:vAlign w:val="center"/>
          </w:tcPr>
          <w:p w14:paraId="2D15DA2B">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野外站观测试验区观测试验基础建设</w:t>
            </w:r>
          </w:p>
        </w:tc>
        <w:tc>
          <w:tcPr>
            <w:tcW w:w="2888" w:type="pct"/>
            <w:vAlign w:val="center"/>
          </w:tcPr>
          <w:p w14:paraId="3A5F75F8">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snapToGrid w:val="0"/>
                <w:sz w:val="21"/>
                <w:szCs w:val="21"/>
              </w:rPr>
            </w:pPr>
            <w:r>
              <w:rPr>
                <w:rFonts w:hint="eastAsia" w:ascii="宋体" w:hAnsi="宋体" w:eastAsia="宋体" w:cs="宋体"/>
                <w:color w:val="000000"/>
                <w:kern w:val="0"/>
                <w:sz w:val="21"/>
                <w:szCs w:val="21"/>
                <w:lang w:bidi="ar"/>
              </w:rPr>
              <w:t>水稻需水量、灌溉制度、面源污染观测试验区修缮提升</w:t>
            </w:r>
          </w:p>
        </w:tc>
        <w:tc>
          <w:tcPr>
            <w:tcW w:w="462" w:type="pct"/>
            <w:vAlign w:val="center"/>
          </w:tcPr>
          <w:p w14:paraId="7B3D7678">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snapToGrid w:val="0"/>
                <w:sz w:val="21"/>
                <w:szCs w:val="21"/>
              </w:rPr>
            </w:pPr>
          </w:p>
        </w:tc>
      </w:tr>
      <w:tr w14:paraId="744A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5" w:type="pct"/>
            <w:vAlign w:val="center"/>
          </w:tcPr>
          <w:p w14:paraId="3A818AB4">
            <w:pPr>
              <w:pageBreakBefore w:val="0"/>
              <w:numPr>
                <w:ilvl w:val="255"/>
                <w:numId w:val="0"/>
              </w:numPr>
              <w:tabs>
                <w:tab w:val="left" w:pos="0"/>
              </w:tabs>
              <w:kinsoku/>
              <w:wordWrap/>
              <w:overflowPunct/>
              <w:topLinePunct w:val="0"/>
              <w:autoSpaceDE/>
              <w:autoSpaceDN/>
              <w:bidi w:val="0"/>
              <w:adjustRightInd w:val="0"/>
              <w:snapToGrid w:val="0"/>
              <w:spacing w:line="400" w:lineRule="exact"/>
              <w:jc w:val="center"/>
              <w:rPr>
                <w:rFonts w:hint="eastAsia" w:ascii="宋体" w:hAnsi="宋体" w:eastAsia="宋体" w:cs="宋体"/>
                <w:snapToGrid w:val="0"/>
                <w:sz w:val="21"/>
                <w:szCs w:val="21"/>
              </w:rPr>
            </w:pPr>
            <w:r>
              <w:rPr>
                <w:rFonts w:hint="eastAsia" w:ascii="宋体" w:hAnsi="宋体" w:eastAsia="宋体" w:cs="宋体"/>
                <w:snapToGrid w:val="0"/>
                <w:sz w:val="21"/>
                <w:szCs w:val="21"/>
              </w:rPr>
              <w:t>四</w:t>
            </w:r>
          </w:p>
        </w:tc>
        <w:tc>
          <w:tcPr>
            <w:tcW w:w="1085" w:type="pct"/>
            <w:vMerge w:val="continue"/>
          </w:tcPr>
          <w:p w14:paraId="16B2F515">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color w:val="000000"/>
                <w:kern w:val="0"/>
                <w:sz w:val="21"/>
                <w:szCs w:val="21"/>
                <w:lang w:bidi="ar"/>
              </w:rPr>
            </w:pPr>
          </w:p>
        </w:tc>
        <w:tc>
          <w:tcPr>
            <w:tcW w:w="2888" w:type="pct"/>
            <w:vAlign w:val="center"/>
          </w:tcPr>
          <w:p w14:paraId="6A70EA5D">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snapToGrid w:val="0"/>
                <w:sz w:val="21"/>
                <w:szCs w:val="21"/>
              </w:rPr>
            </w:pPr>
            <w:r>
              <w:rPr>
                <w:rFonts w:hint="eastAsia" w:ascii="宋体" w:hAnsi="宋体" w:eastAsia="宋体" w:cs="宋体"/>
                <w:color w:val="000000"/>
                <w:kern w:val="0"/>
                <w:sz w:val="21"/>
                <w:szCs w:val="21"/>
                <w:lang w:bidi="ar"/>
              </w:rPr>
              <w:t>40个作物水分协迫大型测筒试验区修缮提升</w:t>
            </w:r>
          </w:p>
        </w:tc>
        <w:tc>
          <w:tcPr>
            <w:tcW w:w="462" w:type="pct"/>
            <w:vAlign w:val="center"/>
          </w:tcPr>
          <w:p w14:paraId="08DBD36C">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snapToGrid w:val="0"/>
                <w:sz w:val="21"/>
                <w:szCs w:val="21"/>
              </w:rPr>
            </w:pPr>
          </w:p>
        </w:tc>
      </w:tr>
      <w:tr w14:paraId="6C96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5" w:type="pct"/>
            <w:vAlign w:val="center"/>
          </w:tcPr>
          <w:p w14:paraId="68B79220">
            <w:pPr>
              <w:pageBreakBefore w:val="0"/>
              <w:numPr>
                <w:ilvl w:val="255"/>
                <w:numId w:val="0"/>
              </w:numPr>
              <w:tabs>
                <w:tab w:val="left" w:pos="0"/>
              </w:tabs>
              <w:kinsoku/>
              <w:wordWrap/>
              <w:overflowPunct/>
              <w:topLinePunct w:val="0"/>
              <w:autoSpaceDE/>
              <w:autoSpaceDN/>
              <w:bidi w:val="0"/>
              <w:adjustRightInd w:val="0"/>
              <w:snapToGrid w:val="0"/>
              <w:spacing w:line="400" w:lineRule="exact"/>
              <w:jc w:val="center"/>
              <w:rPr>
                <w:rFonts w:hint="eastAsia" w:ascii="宋体" w:hAnsi="宋体" w:eastAsia="宋体" w:cs="宋体"/>
                <w:snapToGrid w:val="0"/>
                <w:sz w:val="21"/>
                <w:szCs w:val="21"/>
              </w:rPr>
            </w:pPr>
            <w:r>
              <w:rPr>
                <w:rFonts w:hint="eastAsia" w:ascii="宋体" w:hAnsi="宋体" w:eastAsia="宋体" w:cs="宋体"/>
                <w:snapToGrid w:val="0"/>
                <w:sz w:val="21"/>
                <w:szCs w:val="21"/>
              </w:rPr>
              <w:t>五</w:t>
            </w:r>
          </w:p>
        </w:tc>
        <w:tc>
          <w:tcPr>
            <w:tcW w:w="1085" w:type="pct"/>
            <w:vMerge w:val="continue"/>
          </w:tcPr>
          <w:p w14:paraId="656DCAE3">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color w:val="000000"/>
                <w:kern w:val="0"/>
                <w:sz w:val="21"/>
                <w:szCs w:val="21"/>
                <w:lang w:bidi="ar"/>
              </w:rPr>
            </w:pPr>
          </w:p>
        </w:tc>
        <w:tc>
          <w:tcPr>
            <w:tcW w:w="2888" w:type="pct"/>
            <w:vAlign w:val="center"/>
          </w:tcPr>
          <w:p w14:paraId="400D4A92">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snapToGrid w:val="0"/>
                <w:sz w:val="21"/>
                <w:szCs w:val="21"/>
              </w:rPr>
            </w:pPr>
            <w:r>
              <w:rPr>
                <w:rFonts w:hint="eastAsia" w:ascii="宋体" w:hAnsi="宋体" w:eastAsia="宋体" w:cs="宋体"/>
                <w:color w:val="000000"/>
                <w:kern w:val="0"/>
                <w:sz w:val="21"/>
                <w:szCs w:val="21"/>
                <w:lang w:bidi="ar"/>
              </w:rPr>
              <w:t>20个作物灌溉排水大型测坑试验区修缮提升</w:t>
            </w:r>
          </w:p>
        </w:tc>
        <w:tc>
          <w:tcPr>
            <w:tcW w:w="462" w:type="pct"/>
            <w:vAlign w:val="center"/>
          </w:tcPr>
          <w:p w14:paraId="58F2904A">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snapToGrid w:val="0"/>
                <w:sz w:val="21"/>
                <w:szCs w:val="21"/>
              </w:rPr>
            </w:pPr>
          </w:p>
        </w:tc>
      </w:tr>
      <w:tr w14:paraId="058E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5" w:type="pct"/>
            <w:vAlign w:val="center"/>
          </w:tcPr>
          <w:p w14:paraId="5CCD58E7">
            <w:pPr>
              <w:pageBreakBefore w:val="0"/>
              <w:numPr>
                <w:ilvl w:val="255"/>
                <w:numId w:val="0"/>
              </w:numPr>
              <w:tabs>
                <w:tab w:val="left" w:pos="0"/>
              </w:tabs>
              <w:kinsoku/>
              <w:wordWrap/>
              <w:overflowPunct/>
              <w:topLinePunct w:val="0"/>
              <w:autoSpaceDE/>
              <w:autoSpaceDN/>
              <w:bidi w:val="0"/>
              <w:adjustRightInd w:val="0"/>
              <w:snapToGrid w:val="0"/>
              <w:spacing w:line="400" w:lineRule="exact"/>
              <w:jc w:val="center"/>
              <w:rPr>
                <w:rFonts w:hint="eastAsia" w:ascii="宋体" w:hAnsi="宋体" w:eastAsia="宋体" w:cs="宋体"/>
                <w:snapToGrid w:val="0"/>
                <w:sz w:val="21"/>
                <w:szCs w:val="21"/>
              </w:rPr>
            </w:pPr>
            <w:r>
              <w:rPr>
                <w:rFonts w:hint="eastAsia" w:ascii="宋体" w:hAnsi="宋体" w:eastAsia="宋体" w:cs="宋体"/>
                <w:snapToGrid w:val="0"/>
                <w:sz w:val="21"/>
                <w:szCs w:val="21"/>
              </w:rPr>
              <w:t>六</w:t>
            </w:r>
          </w:p>
        </w:tc>
        <w:tc>
          <w:tcPr>
            <w:tcW w:w="1085" w:type="pct"/>
            <w:vMerge w:val="continue"/>
          </w:tcPr>
          <w:p w14:paraId="4CD87201">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color w:val="000000"/>
                <w:kern w:val="0"/>
                <w:sz w:val="21"/>
                <w:szCs w:val="21"/>
                <w:lang w:bidi="ar"/>
              </w:rPr>
            </w:pPr>
          </w:p>
        </w:tc>
        <w:tc>
          <w:tcPr>
            <w:tcW w:w="2888" w:type="pct"/>
            <w:vAlign w:val="center"/>
          </w:tcPr>
          <w:p w14:paraId="269A7345">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snapToGrid w:val="0"/>
                <w:sz w:val="21"/>
                <w:szCs w:val="21"/>
              </w:rPr>
            </w:pPr>
            <w:r>
              <w:rPr>
                <w:rFonts w:hint="eastAsia" w:ascii="宋体" w:hAnsi="宋体" w:eastAsia="宋体" w:cs="宋体"/>
                <w:color w:val="000000"/>
                <w:kern w:val="0"/>
                <w:sz w:val="21"/>
                <w:szCs w:val="21"/>
                <w:lang w:bidi="ar"/>
              </w:rPr>
              <w:t>9个称重式作物需水量测坑试验区修缮提升</w:t>
            </w:r>
          </w:p>
        </w:tc>
        <w:tc>
          <w:tcPr>
            <w:tcW w:w="462" w:type="pct"/>
            <w:vAlign w:val="center"/>
          </w:tcPr>
          <w:p w14:paraId="0E44EEEB">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snapToGrid w:val="0"/>
                <w:sz w:val="21"/>
                <w:szCs w:val="21"/>
              </w:rPr>
            </w:pPr>
          </w:p>
        </w:tc>
      </w:tr>
      <w:tr w14:paraId="13C9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5" w:type="pct"/>
            <w:vAlign w:val="center"/>
          </w:tcPr>
          <w:p w14:paraId="4217D727">
            <w:pPr>
              <w:pageBreakBefore w:val="0"/>
              <w:numPr>
                <w:ilvl w:val="255"/>
                <w:numId w:val="0"/>
              </w:numPr>
              <w:tabs>
                <w:tab w:val="left" w:pos="0"/>
              </w:tabs>
              <w:kinsoku/>
              <w:wordWrap/>
              <w:overflowPunct/>
              <w:topLinePunct w:val="0"/>
              <w:autoSpaceDE/>
              <w:autoSpaceDN/>
              <w:bidi w:val="0"/>
              <w:adjustRightInd w:val="0"/>
              <w:snapToGrid w:val="0"/>
              <w:spacing w:line="400" w:lineRule="exact"/>
              <w:jc w:val="center"/>
              <w:rPr>
                <w:rFonts w:hint="eastAsia" w:ascii="宋体" w:hAnsi="宋体" w:eastAsia="宋体" w:cs="宋体"/>
                <w:snapToGrid w:val="0"/>
                <w:sz w:val="21"/>
                <w:szCs w:val="21"/>
              </w:rPr>
            </w:pPr>
            <w:r>
              <w:rPr>
                <w:rFonts w:hint="eastAsia" w:ascii="宋体" w:hAnsi="宋体" w:eastAsia="宋体" w:cs="宋体"/>
                <w:snapToGrid w:val="0"/>
                <w:sz w:val="21"/>
                <w:szCs w:val="21"/>
              </w:rPr>
              <w:t>七</w:t>
            </w:r>
          </w:p>
        </w:tc>
        <w:tc>
          <w:tcPr>
            <w:tcW w:w="1085" w:type="pct"/>
            <w:vMerge w:val="continue"/>
          </w:tcPr>
          <w:p w14:paraId="27A5BACD">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color w:val="000000"/>
                <w:kern w:val="0"/>
                <w:sz w:val="21"/>
                <w:szCs w:val="21"/>
                <w:lang w:bidi="ar"/>
              </w:rPr>
            </w:pPr>
          </w:p>
        </w:tc>
        <w:tc>
          <w:tcPr>
            <w:tcW w:w="2888" w:type="pct"/>
            <w:vAlign w:val="center"/>
          </w:tcPr>
          <w:p w14:paraId="1BFC16D4">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snapToGrid w:val="0"/>
                <w:sz w:val="21"/>
                <w:szCs w:val="21"/>
              </w:rPr>
            </w:pPr>
            <w:r>
              <w:rPr>
                <w:rFonts w:hint="eastAsia" w:ascii="宋体" w:hAnsi="宋体" w:eastAsia="宋体" w:cs="宋体"/>
                <w:color w:val="000000"/>
                <w:kern w:val="0"/>
                <w:sz w:val="21"/>
                <w:szCs w:val="21"/>
                <w:lang w:bidi="ar"/>
              </w:rPr>
              <w:t>1号设施农业需水量、灌溉制度试验区修缮</w:t>
            </w:r>
          </w:p>
        </w:tc>
        <w:tc>
          <w:tcPr>
            <w:tcW w:w="462" w:type="pct"/>
            <w:vAlign w:val="center"/>
          </w:tcPr>
          <w:p w14:paraId="31047A04">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snapToGrid w:val="0"/>
                <w:sz w:val="21"/>
                <w:szCs w:val="21"/>
              </w:rPr>
            </w:pPr>
          </w:p>
        </w:tc>
      </w:tr>
      <w:tr w14:paraId="25D4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5" w:type="pct"/>
            <w:vAlign w:val="center"/>
          </w:tcPr>
          <w:p w14:paraId="3AC00CAA">
            <w:pPr>
              <w:pageBreakBefore w:val="0"/>
              <w:numPr>
                <w:ilvl w:val="255"/>
                <w:numId w:val="0"/>
              </w:numPr>
              <w:tabs>
                <w:tab w:val="left" w:pos="0"/>
              </w:tabs>
              <w:kinsoku/>
              <w:wordWrap/>
              <w:overflowPunct/>
              <w:topLinePunct w:val="0"/>
              <w:autoSpaceDE/>
              <w:autoSpaceDN/>
              <w:bidi w:val="0"/>
              <w:adjustRightInd w:val="0"/>
              <w:snapToGrid w:val="0"/>
              <w:spacing w:line="400" w:lineRule="exact"/>
              <w:jc w:val="center"/>
              <w:rPr>
                <w:rFonts w:hint="eastAsia" w:ascii="宋体" w:hAnsi="宋体" w:eastAsia="宋体" w:cs="宋体"/>
                <w:snapToGrid w:val="0"/>
                <w:sz w:val="21"/>
                <w:szCs w:val="21"/>
              </w:rPr>
            </w:pPr>
            <w:r>
              <w:rPr>
                <w:rFonts w:hint="eastAsia" w:ascii="宋体" w:hAnsi="宋体" w:eastAsia="宋体" w:cs="宋体"/>
                <w:snapToGrid w:val="0"/>
                <w:sz w:val="21"/>
                <w:szCs w:val="21"/>
              </w:rPr>
              <w:t>八</w:t>
            </w:r>
          </w:p>
        </w:tc>
        <w:tc>
          <w:tcPr>
            <w:tcW w:w="1085" w:type="pct"/>
            <w:vMerge w:val="continue"/>
          </w:tcPr>
          <w:p w14:paraId="74B2B597">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color w:val="000000"/>
                <w:kern w:val="0"/>
                <w:sz w:val="21"/>
                <w:szCs w:val="21"/>
                <w:lang w:bidi="ar"/>
              </w:rPr>
            </w:pPr>
          </w:p>
        </w:tc>
        <w:tc>
          <w:tcPr>
            <w:tcW w:w="2888" w:type="pct"/>
            <w:vAlign w:val="center"/>
          </w:tcPr>
          <w:p w14:paraId="06ED47E9">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snapToGrid w:val="0"/>
                <w:sz w:val="21"/>
                <w:szCs w:val="21"/>
              </w:rPr>
            </w:pPr>
            <w:r>
              <w:rPr>
                <w:rFonts w:hint="eastAsia" w:ascii="宋体" w:hAnsi="宋体" w:eastAsia="宋体" w:cs="宋体"/>
                <w:color w:val="000000"/>
                <w:kern w:val="0"/>
                <w:sz w:val="21"/>
                <w:szCs w:val="21"/>
                <w:lang w:bidi="ar"/>
              </w:rPr>
              <w:t>2号设施农业需水量、灌溉制度试验区修缮</w:t>
            </w:r>
          </w:p>
        </w:tc>
        <w:tc>
          <w:tcPr>
            <w:tcW w:w="462" w:type="pct"/>
            <w:vAlign w:val="center"/>
          </w:tcPr>
          <w:p w14:paraId="57EC7868">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snapToGrid w:val="0"/>
                <w:sz w:val="21"/>
                <w:szCs w:val="21"/>
              </w:rPr>
            </w:pPr>
          </w:p>
        </w:tc>
      </w:tr>
      <w:tr w14:paraId="3CF9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5" w:type="pct"/>
            <w:vAlign w:val="center"/>
          </w:tcPr>
          <w:p w14:paraId="514C5AE9">
            <w:pPr>
              <w:pageBreakBefore w:val="0"/>
              <w:numPr>
                <w:ilvl w:val="255"/>
                <w:numId w:val="0"/>
              </w:numPr>
              <w:tabs>
                <w:tab w:val="left" w:pos="0"/>
              </w:tabs>
              <w:kinsoku/>
              <w:wordWrap/>
              <w:overflowPunct/>
              <w:topLinePunct w:val="0"/>
              <w:autoSpaceDE/>
              <w:autoSpaceDN/>
              <w:bidi w:val="0"/>
              <w:adjustRightInd w:val="0"/>
              <w:snapToGrid w:val="0"/>
              <w:spacing w:line="400" w:lineRule="exact"/>
              <w:jc w:val="center"/>
              <w:rPr>
                <w:rFonts w:hint="eastAsia" w:ascii="宋体" w:hAnsi="宋体" w:eastAsia="宋体" w:cs="宋体"/>
                <w:snapToGrid w:val="0"/>
                <w:sz w:val="21"/>
                <w:szCs w:val="21"/>
              </w:rPr>
            </w:pPr>
            <w:r>
              <w:rPr>
                <w:rFonts w:hint="eastAsia" w:ascii="宋体" w:hAnsi="宋体" w:eastAsia="宋体" w:cs="宋体"/>
                <w:snapToGrid w:val="0"/>
                <w:sz w:val="21"/>
                <w:szCs w:val="21"/>
              </w:rPr>
              <w:t>九</w:t>
            </w:r>
          </w:p>
        </w:tc>
        <w:tc>
          <w:tcPr>
            <w:tcW w:w="1085" w:type="pct"/>
            <w:vMerge w:val="continue"/>
          </w:tcPr>
          <w:p w14:paraId="79486A91">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color w:val="000000"/>
                <w:kern w:val="0"/>
                <w:sz w:val="21"/>
                <w:szCs w:val="21"/>
                <w:lang w:bidi="ar"/>
              </w:rPr>
            </w:pPr>
          </w:p>
        </w:tc>
        <w:tc>
          <w:tcPr>
            <w:tcW w:w="2888" w:type="pct"/>
            <w:vAlign w:val="center"/>
          </w:tcPr>
          <w:p w14:paraId="6A2D3947">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snapToGrid w:val="0"/>
                <w:sz w:val="21"/>
                <w:szCs w:val="21"/>
              </w:rPr>
            </w:pPr>
            <w:r>
              <w:rPr>
                <w:rFonts w:hint="eastAsia" w:ascii="宋体" w:hAnsi="宋体" w:eastAsia="宋体" w:cs="宋体"/>
                <w:color w:val="000000"/>
                <w:kern w:val="0"/>
                <w:sz w:val="21"/>
                <w:szCs w:val="21"/>
                <w:lang w:bidi="ar"/>
              </w:rPr>
              <w:t>3号设施农业需水量、灌溉制度试验区修缮</w:t>
            </w:r>
          </w:p>
        </w:tc>
        <w:tc>
          <w:tcPr>
            <w:tcW w:w="462" w:type="pct"/>
            <w:vAlign w:val="center"/>
          </w:tcPr>
          <w:p w14:paraId="63FB5BB1">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snapToGrid w:val="0"/>
                <w:sz w:val="21"/>
                <w:szCs w:val="21"/>
              </w:rPr>
            </w:pPr>
          </w:p>
        </w:tc>
      </w:tr>
      <w:tr w14:paraId="6716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5" w:type="pct"/>
            <w:vAlign w:val="center"/>
          </w:tcPr>
          <w:p w14:paraId="4A099427">
            <w:pPr>
              <w:pageBreakBefore w:val="0"/>
              <w:numPr>
                <w:ilvl w:val="255"/>
                <w:numId w:val="0"/>
              </w:numPr>
              <w:tabs>
                <w:tab w:val="left" w:pos="0"/>
              </w:tabs>
              <w:kinsoku/>
              <w:wordWrap/>
              <w:overflowPunct/>
              <w:topLinePunct w:val="0"/>
              <w:autoSpaceDE/>
              <w:autoSpaceDN/>
              <w:bidi w:val="0"/>
              <w:adjustRightInd w:val="0"/>
              <w:snapToGrid w:val="0"/>
              <w:spacing w:line="400" w:lineRule="exact"/>
              <w:jc w:val="center"/>
              <w:rPr>
                <w:rFonts w:hint="eastAsia" w:ascii="宋体" w:hAnsi="宋体" w:eastAsia="宋体" w:cs="宋体"/>
                <w:snapToGrid w:val="0"/>
                <w:sz w:val="21"/>
                <w:szCs w:val="21"/>
              </w:rPr>
            </w:pPr>
            <w:r>
              <w:rPr>
                <w:rFonts w:hint="eastAsia" w:ascii="宋体" w:hAnsi="宋体" w:eastAsia="宋体" w:cs="宋体"/>
                <w:snapToGrid w:val="0"/>
                <w:sz w:val="21"/>
                <w:szCs w:val="21"/>
              </w:rPr>
              <w:t>十</w:t>
            </w:r>
          </w:p>
        </w:tc>
        <w:tc>
          <w:tcPr>
            <w:tcW w:w="1085" w:type="pct"/>
            <w:vMerge w:val="continue"/>
          </w:tcPr>
          <w:p w14:paraId="6C8577E1">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color w:val="000000"/>
                <w:kern w:val="0"/>
                <w:sz w:val="21"/>
                <w:szCs w:val="21"/>
                <w:lang w:bidi="ar"/>
              </w:rPr>
            </w:pPr>
          </w:p>
        </w:tc>
        <w:tc>
          <w:tcPr>
            <w:tcW w:w="2888" w:type="pct"/>
            <w:vAlign w:val="center"/>
          </w:tcPr>
          <w:p w14:paraId="5754D92A">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snapToGrid w:val="0"/>
                <w:sz w:val="21"/>
                <w:szCs w:val="21"/>
              </w:rPr>
            </w:pPr>
            <w:r>
              <w:rPr>
                <w:rFonts w:hint="eastAsia" w:ascii="宋体" w:hAnsi="宋体" w:eastAsia="宋体" w:cs="宋体"/>
                <w:color w:val="000000"/>
                <w:kern w:val="0"/>
                <w:sz w:val="21"/>
                <w:szCs w:val="21"/>
                <w:lang w:bidi="ar"/>
              </w:rPr>
              <w:t>旱地节水灌溉技术试验区维修提升</w:t>
            </w:r>
          </w:p>
        </w:tc>
        <w:tc>
          <w:tcPr>
            <w:tcW w:w="462" w:type="pct"/>
            <w:vAlign w:val="center"/>
          </w:tcPr>
          <w:p w14:paraId="6D1C05C9">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snapToGrid w:val="0"/>
                <w:sz w:val="21"/>
                <w:szCs w:val="21"/>
              </w:rPr>
            </w:pPr>
          </w:p>
        </w:tc>
      </w:tr>
      <w:tr w14:paraId="5433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5" w:type="pct"/>
            <w:vAlign w:val="center"/>
          </w:tcPr>
          <w:p w14:paraId="70FFE698">
            <w:pPr>
              <w:pageBreakBefore w:val="0"/>
              <w:numPr>
                <w:ilvl w:val="255"/>
                <w:numId w:val="0"/>
              </w:numPr>
              <w:tabs>
                <w:tab w:val="left" w:pos="0"/>
              </w:tabs>
              <w:kinsoku/>
              <w:wordWrap/>
              <w:overflowPunct/>
              <w:topLinePunct w:val="0"/>
              <w:autoSpaceDE/>
              <w:autoSpaceDN/>
              <w:bidi w:val="0"/>
              <w:adjustRightInd w:val="0"/>
              <w:snapToGrid w:val="0"/>
              <w:spacing w:line="400" w:lineRule="exact"/>
              <w:jc w:val="center"/>
              <w:rPr>
                <w:rFonts w:hint="eastAsia" w:ascii="宋体" w:hAnsi="宋体" w:eastAsia="宋体" w:cs="宋体"/>
                <w:snapToGrid w:val="0"/>
                <w:sz w:val="21"/>
                <w:szCs w:val="21"/>
              </w:rPr>
            </w:pPr>
            <w:r>
              <w:rPr>
                <w:rFonts w:hint="eastAsia" w:ascii="宋体" w:hAnsi="宋体" w:eastAsia="宋体" w:cs="宋体"/>
                <w:snapToGrid w:val="0"/>
                <w:sz w:val="21"/>
                <w:szCs w:val="21"/>
              </w:rPr>
              <w:t>十一</w:t>
            </w:r>
          </w:p>
        </w:tc>
        <w:tc>
          <w:tcPr>
            <w:tcW w:w="1085" w:type="pct"/>
            <w:vMerge w:val="continue"/>
          </w:tcPr>
          <w:p w14:paraId="243E4577">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color w:val="000000"/>
                <w:kern w:val="0"/>
                <w:sz w:val="21"/>
                <w:szCs w:val="21"/>
                <w:lang w:bidi="ar"/>
              </w:rPr>
            </w:pPr>
          </w:p>
        </w:tc>
        <w:tc>
          <w:tcPr>
            <w:tcW w:w="2888" w:type="pct"/>
            <w:vAlign w:val="center"/>
          </w:tcPr>
          <w:p w14:paraId="03FB9D9B">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snapToGrid w:val="0"/>
                <w:sz w:val="21"/>
                <w:szCs w:val="21"/>
              </w:rPr>
            </w:pPr>
            <w:r>
              <w:rPr>
                <w:rFonts w:hint="eastAsia" w:ascii="宋体" w:hAnsi="宋体" w:eastAsia="宋体" w:cs="宋体"/>
                <w:color w:val="000000"/>
                <w:kern w:val="0"/>
                <w:sz w:val="21"/>
                <w:szCs w:val="21"/>
                <w:lang w:bidi="ar"/>
              </w:rPr>
              <w:t>水土流失径流观测场修缮提升</w:t>
            </w:r>
          </w:p>
        </w:tc>
        <w:tc>
          <w:tcPr>
            <w:tcW w:w="462" w:type="pct"/>
            <w:vAlign w:val="center"/>
          </w:tcPr>
          <w:p w14:paraId="66D9FFB3">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snapToGrid w:val="0"/>
                <w:sz w:val="21"/>
                <w:szCs w:val="21"/>
              </w:rPr>
            </w:pPr>
          </w:p>
        </w:tc>
      </w:tr>
      <w:tr w14:paraId="68B78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5" w:type="pct"/>
            <w:vAlign w:val="center"/>
          </w:tcPr>
          <w:p w14:paraId="51DBEEAE">
            <w:pPr>
              <w:pageBreakBefore w:val="0"/>
              <w:numPr>
                <w:ilvl w:val="255"/>
                <w:numId w:val="0"/>
              </w:numPr>
              <w:tabs>
                <w:tab w:val="left" w:pos="0"/>
              </w:tabs>
              <w:kinsoku/>
              <w:wordWrap/>
              <w:overflowPunct/>
              <w:topLinePunct w:val="0"/>
              <w:autoSpaceDE/>
              <w:autoSpaceDN/>
              <w:bidi w:val="0"/>
              <w:adjustRightInd w:val="0"/>
              <w:snapToGrid w:val="0"/>
              <w:spacing w:line="400" w:lineRule="exact"/>
              <w:jc w:val="center"/>
              <w:rPr>
                <w:rFonts w:hint="eastAsia" w:ascii="宋体" w:hAnsi="宋体" w:eastAsia="宋体" w:cs="宋体"/>
                <w:snapToGrid w:val="0"/>
                <w:sz w:val="21"/>
                <w:szCs w:val="21"/>
              </w:rPr>
            </w:pPr>
            <w:r>
              <w:rPr>
                <w:rFonts w:hint="eastAsia" w:ascii="宋体" w:hAnsi="宋体" w:eastAsia="宋体" w:cs="宋体"/>
                <w:snapToGrid w:val="0"/>
                <w:sz w:val="21"/>
                <w:szCs w:val="21"/>
              </w:rPr>
              <w:t>十二</w:t>
            </w:r>
          </w:p>
        </w:tc>
        <w:tc>
          <w:tcPr>
            <w:tcW w:w="1085" w:type="pct"/>
            <w:vMerge w:val="continue"/>
          </w:tcPr>
          <w:p w14:paraId="7D605DA7">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color w:val="000000"/>
                <w:kern w:val="0"/>
                <w:sz w:val="21"/>
                <w:szCs w:val="21"/>
                <w:lang w:bidi="ar"/>
              </w:rPr>
            </w:pPr>
          </w:p>
        </w:tc>
        <w:tc>
          <w:tcPr>
            <w:tcW w:w="2888" w:type="pct"/>
            <w:vAlign w:val="center"/>
          </w:tcPr>
          <w:p w14:paraId="74F5C4B4">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snapToGrid w:val="0"/>
                <w:sz w:val="21"/>
                <w:szCs w:val="21"/>
              </w:rPr>
            </w:pPr>
            <w:r>
              <w:rPr>
                <w:rFonts w:hint="eastAsia" w:ascii="宋体" w:hAnsi="宋体" w:eastAsia="宋体" w:cs="宋体"/>
                <w:color w:val="000000"/>
                <w:kern w:val="0"/>
                <w:sz w:val="21"/>
                <w:szCs w:val="21"/>
                <w:lang w:bidi="ar"/>
              </w:rPr>
              <w:t>气象观测场修缮</w:t>
            </w:r>
          </w:p>
        </w:tc>
        <w:tc>
          <w:tcPr>
            <w:tcW w:w="462" w:type="pct"/>
            <w:vAlign w:val="center"/>
          </w:tcPr>
          <w:p w14:paraId="1388231B">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snapToGrid w:val="0"/>
                <w:sz w:val="21"/>
                <w:szCs w:val="21"/>
              </w:rPr>
            </w:pPr>
          </w:p>
        </w:tc>
      </w:tr>
      <w:tr w14:paraId="02302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5" w:type="pct"/>
            <w:vAlign w:val="center"/>
          </w:tcPr>
          <w:p w14:paraId="63528865">
            <w:pPr>
              <w:pageBreakBefore w:val="0"/>
              <w:numPr>
                <w:ilvl w:val="255"/>
                <w:numId w:val="0"/>
              </w:numPr>
              <w:tabs>
                <w:tab w:val="left" w:pos="0"/>
              </w:tabs>
              <w:kinsoku/>
              <w:wordWrap/>
              <w:overflowPunct/>
              <w:topLinePunct w:val="0"/>
              <w:autoSpaceDE/>
              <w:autoSpaceDN/>
              <w:bidi w:val="0"/>
              <w:adjustRightInd w:val="0"/>
              <w:snapToGrid w:val="0"/>
              <w:spacing w:line="400" w:lineRule="exact"/>
              <w:jc w:val="center"/>
              <w:rPr>
                <w:rFonts w:hint="eastAsia" w:ascii="宋体" w:hAnsi="宋体" w:eastAsia="宋体" w:cs="宋体"/>
                <w:snapToGrid w:val="0"/>
                <w:sz w:val="21"/>
                <w:szCs w:val="21"/>
              </w:rPr>
            </w:pPr>
            <w:r>
              <w:rPr>
                <w:rFonts w:hint="eastAsia" w:ascii="宋体" w:hAnsi="宋体" w:eastAsia="宋体" w:cs="宋体"/>
                <w:snapToGrid w:val="0"/>
                <w:sz w:val="21"/>
                <w:szCs w:val="21"/>
              </w:rPr>
              <w:t>十三</w:t>
            </w:r>
          </w:p>
        </w:tc>
        <w:tc>
          <w:tcPr>
            <w:tcW w:w="1085" w:type="pct"/>
            <w:vMerge w:val="continue"/>
          </w:tcPr>
          <w:p w14:paraId="70476D12">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color w:val="000000"/>
                <w:kern w:val="0"/>
                <w:sz w:val="21"/>
                <w:szCs w:val="21"/>
                <w:lang w:bidi="ar"/>
              </w:rPr>
            </w:pPr>
          </w:p>
        </w:tc>
        <w:tc>
          <w:tcPr>
            <w:tcW w:w="2888" w:type="pct"/>
            <w:vAlign w:val="center"/>
          </w:tcPr>
          <w:p w14:paraId="7F303855">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snapToGrid w:val="0"/>
                <w:sz w:val="21"/>
                <w:szCs w:val="21"/>
              </w:rPr>
            </w:pPr>
            <w:r>
              <w:rPr>
                <w:rFonts w:hint="eastAsia" w:ascii="宋体" w:hAnsi="宋体" w:eastAsia="宋体" w:cs="宋体"/>
                <w:color w:val="000000"/>
                <w:kern w:val="0"/>
                <w:sz w:val="21"/>
                <w:szCs w:val="21"/>
                <w:lang w:bidi="ar"/>
              </w:rPr>
              <w:t>灌溉井改造</w:t>
            </w:r>
          </w:p>
        </w:tc>
        <w:tc>
          <w:tcPr>
            <w:tcW w:w="462" w:type="pct"/>
            <w:vAlign w:val="center"/>
          </w:tcPr>
          <w:p w14:paraId="77EE0B30">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snapToGrid w:val="0"/>
                <w:sz w:val="21"/>
                <w:szCs w:val="21"/>
              </w:rPr>
            </w:pPr>
          </w:p>
        </w:tc>
      </w:tr>
      <w:tr w14:paraId="0C18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5" w:type="pct"/>
            <w:vAlign w:val="center"/>
          </w:tcPr>
          <w:p w14:paraId="0CB2E1BE">
            <w:pPr>
              <w:pageBreakBefore w:val="0"/>
              <w:numPr>
                <w:ilvl w:val="255"/>
                <w:numId w:val="0"/>
              </w:numPr>
              <w:tabs>
                <w:tab w:val="left" w:pos="0"/>
              </w:tabs>
              <w:kinsoku/>
              <w:wordWrap/>
              <w:overflowPunct/>
              <w:topLinePunct w:val="0"/>
              <w:autoSpaceDE/>
              <w:autoSpaceDN/>
              <w:bidi w:val="0"/>
              <w:adjustRightInd w:val="0"/>
              <w:snapToGrid w:val="0"/>
              <w:spacing w:line="400" w:lineRule="exact"/>
              <w:jc w:val="center"/>
              <w:rPr>
                <w:rFonts w:hint="eastAsia" w:ascii="宋体" w:hAnsi="宋体" w:eastAsia="宋体" w:cs="宋体"/>
                <w:snapToGrid w:val="0"/>
                <w:sz w:val="21"/>
                <w:szCs w:val="21"/>
              </w:rPr>
            </w:pPr>
            <w:r>
              <w:rPr>
                <w:rFonts w:hint="eastAsia" w:ascii="宋体" w:hAnsi="宋体" w:eastAsia="宋体" w:cs="宋体"/>
                <w:snapToGrid w:val="0"/>
                <w:sz w:val="21"/>
                <w:szCs w:val="21"/>
              </w:rPr>
              <w:t>十四</w:t>
            </w:r>
          </w:p>
        </w:tc>
        <w:tc>
          <w:tcPr>
            <w:tcW w:w="1085" w:type="pct"/>
            <w:vMerge w:val="continue"/>
          </w:tcPr>
          <w:p w14:paraId="458AFC02">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color w:val="000000"/>
                <w:kern w:val="0"/>
                <w:sz w:val="21"/>
                <w:szCs w:val="21"/>
                <w:lang w:bidi="ar"/>
              </w:rPr>
            </w:pPr>
          </w:p>
        </w:tc>
        <w:tc>
          <w:tcPr>
            <w:tcW w:w="2888" w:type="pct"/>
            <w:vAlign w:val="center"/>
          </w:tcPr>
          <w:p w14:paraId="7FF2BC38">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snapToGrid w:val="0"/>
                <w:sz w:val="21"/>
                <w:szCs w:val="21"/>
              </w:rPr>
            </w:pPr>
            <w:r>
              <w:rPr>
                <w:rFonts w:hint="eastAsia" w:ascii="宋体" w:hAnsi="宋体" w:eastAsia="宋体" w:cs="宋体"/>
                <w:color w:val="000000"/>
                <w:kern w:val="0"/>
                <w:sz w:val="21"/>
                <w:szCs w:val="21"/>
                <w:lang w:bidi="ar"/>
              </w:rPr>
              <w:t>试验资料保存室建设</w:t>
            </w:r>
          </w:p>
        </w:tc>
        <w:tc>
          <w:tcPr>
            <w:tcW w:w="462" w:type="pct"/>
            <w:vAlign w:val="center"/>
          </w:tcPr>
          <w:p w14:paraId="1E2BA9A8">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snapToGrid w:val="0"/>
                <w:sz w:val="21"/>
                <w:szCs w:val="21"/>
              </w:rPr>
            </w:pPr>
          </w:p>
        </w:tc>
      </w:tr>
      <w:tr w14:paraId="7336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65" w:type="pct"/>
            <w:vAlign w:val="center"/>
          </w:tcPr>
          <w:p w14:paraId="1AA258BA">
            <w:pPr>
              <w:pageBreakBefore w:val="0"/>
              <w:numPr>
                <w:ilvl w:val="255"/>
                <w:numId w:val="0"/>
              </w:numPr>
              <w:tabs>
                <w:tab w:val="left" w:pos="0"/>
              </w:tabs>
              <w:kinsoku/>
              <w:wordWrap/>
              <w:overflowPunct/>
              <w:topLinePunct w:val="0"/>
              <w:autoSpaceDE/>
              <w:autoSpaceDN/>
              <w:bidi w:val="0"/>
              <w:adjustRightInd w:val="0"/>
              <w:snapToGrid w:val="0"/>
              <w:spacing w:line="400" w:lineRule="exact"/>
              <w:jc w:val="center"/>
              <w:rPr>
                <w:rFonts w:hint="eastAsia" w:ascii="宋体" w:hAnsi="宋体" w:eastAsia="宋体" w:cs="宋体"/>
                <w:snapToGrid w:val="0"/>
                <w:sz w:val="21"/>
                <w:szCs w:val="21"/>
              </w:rPr>
            </w:pPr>
            <w:r>
              <w:rPr>
                <w:rFonts w:hint="eastAsia" w:ascii="宋体" w:hAnsi="宋体" w:eastAsia="宋体" w:cs="宋体"/>
                <w:snapToGrid w:val="0"/>
                <w:sz w:val="21"/>
                <w:szCs w:val="21"/>
              </w:rPr>
              <w:t>十五</w:t>
            </w:r>
          </w:p>
        </w:tc>
        <w:tc>
          <w:tcPr>
            <w:tcW w:w="1085" w:type="pct"/>
            <w:vMerge w:val="continue"/>
          </w:tcPr>
          <w:p w14:paraId="6132A592">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color w:val="000000"/>
                <w:kern w:val="0"/>
                <w:sz w:val="21"/>
                <w:szCs w:val="21"/>
                <w:lang w:bidi="ar"/>
              </w:rPr>
            </w:pPr>
          </w:p>
        </w:tc>
        <w:tc>
          <w:tcPr>
            <w:tcW w:w="2888" w:type="pct"/>
            <w:vAlign w:val="center"/>
          </w:tcPr>
          <w:p w14:paraId="6F06AF3F">
            <w:pPr>
              <w:pageBreakBefore w:val="0"/>
              <w:widowControl/>
              <w:kinsoku/>
              <w:wordWrap/>
              <w:overflowPunct/>
              <w:topLinePunct w:val="0"/>
              <w:autoSpaceDE/>
              <w:autoSpaceDN/>
              <w:bidi w:val="0"/>
              <w:spacing w:line="400" w:lineRule="exact"/>
              <w:jc w:val="left"/>
              <w:textAlignment w:val="center"/>
              <w:rPr>
                <w:rFonts w:hint="eastAsia" w:ascii="宋体" w:hAnsi="宋体" w:eastAsia="宋体" w:cs="宋体"/>
                <w:snapToGrid w:val="0"/>
                <w:sz w:val="21"/>
                <w:szCs w:val="21"/>
              </w:rPr>
            </w:pPr>
            <w:r>
              <w:rPr>
                <w:rFonts w:hint="eastAsia" w:ascii="宋体" w:hAnsi="宋体" w:eastAsia="宋体" w:cs="宋体"/>
                <w:color w:val="000000"/>
                <w:kern w:val="0"/>
                <w:sz w:val="21"/>
                <w:szCs w:val="21"/>
                <w:lang w:bidi="ar"/>
              </w:rPr>
              <w:t>野外站科普建设</w:t>
            </w:r>
          </w:p>
        </w:tc>
        <w:tc>
          <w:tcPr>
            <w:tcW w:w="462" w:type="pct"/>
            <w:vAlign w:val="center"/>
          </w:tcPr>
          <w:p w14:paraId="6E7E0297">
            <w:pPr>
              <w:pageBreakBefore w:val="0"/>
              <w:widowControl/>
              <w:kinsoku/>
              <w:wordWrap/>
              <w:overflowPunct/>
              <w:topLinePunct w:val="0"/>
              <w:autoSpaceDE/>
              <w:autoSpaceDN/>
              <w:bidi w:val="0"/>
              <w:spacing w:line="400" w:lineRule="exact"/>
              <w:jc w:val="center"/>
              <w:textAlignment w:val="center"/>
              <w:rPr>
                <w:rFonts w:hint="eastAsia" w:ascii="宋体" w:hAnsi="宋体" w:eastAsia="宋体" w:cs="宋体"/>
                <w:snapToGrid w:val="0"/>
                <w:sz w:val="21"/>
                <w:szCs w:val="21"/>
              </w:rPr>
            </w:pPr>
          </w:p>
        </w:tc>
      </w:tr>
      <w:bookmarkEnd w:id="62"/>
      <w:bookmarkEnd w:id="63"/>
      <w:bookmarkEnd w:id="64"/>
    </w:tbl>
    <w:p w14:paraId="1A6265F1">
      <w:pPr>
        <w:pStyle w:val="5"/>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napToGrid w:val="0"/>
          <w:sz w:val="21"/>
          <w:szCs w:val="21"/>
        </w:rPr>
      </w:pPr>
      <w:r>
        <w:rPr>
          <w:rFonts w:hint="eastAsia" w:ascii="宋体" w:hAnsi="宋体" w:eastAsia="宋体" w:cs="宋体"/>
          <w:snapToGrid w:val="0"/>
          <w:sz w:val="21"/>
          <w:szCs w:val="21"/>
        </w:rPr>
        <w:t>1.2 野外站观测试验软建设</w:t>
      </w:r>
      <w:bookmarkEnd w:id="65"/>
      <w:bookmarkEnd w:id="66"/>
      <w:bookmarkEnd w:id="67"/>
    </w:p>
    <w:p w14:paraId="2531D751">
      <w:pPr>
        <w:pStyle w:val="6"/>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z w:val="21"/>
          <w:szCs w:val="21"/>
        </w:rPr>
      </w:pPr>
      <w:bookmarkStart w:id="68" w:name="_Toc6075"/>
      <w:bookmarkStart w:id="69" w:name="_Toc16161"/>
      <w:r>
        <w:rPr>
          <w:rFonts w:hint="eastAsia" w:ascii="宋体" w:hAnsi="宋体" w:eastAsia="宋体" w:cs="宋体"/>
          <w:sz w:val="21"/>
          <w:szCs w:val="21"/>
        </w:rPr>
        <w:t>1.2.1野外站信息化管理平台建设</w:t>
      </w:r>
      <w:bookmarkEnd w:id="68"/>
      <w:bookmarkEnd w:id="69"/>
    </w:p>
    <w:tbl>
      <w:tblPr>
        <w:tblStyle w:val="84"/>
        <w:tblW w:w="4691" w:type="pct"/>
        <w:jc w:val="center"/>
        <w:tblLayout w:type="autofit"/>
        <w:tblCellMar>
          <w:top w:w="0" w:type="dxa"/>
          <w:left w:w="108" w:type="dxa"/>
          <w:bottom w:w="0" w:type="dxa"/>
          <w:right w:w="108" w:type="dxa"/>
        </w:tblCellMar>
      </w:tblPr>
      <w:tblGrid>
        <w:gridCol w:w="1185"/>
        <w:gridCol w:w="8161"/>
      </w:tblGrid>
      <w:tr w14:paraId="0A57FF47">
        <w:tblPrEx>
          <w:tblCellMar>
            <w:top w:w="0" w:type="dxa"/>
            <w:left w:w="108" w:type="dxa"/>
            <w:bottom w:w="0" w:type="dxa"/>
            <w:right w:w="108" w:type="dxa"/>
          </w:tblCellMar>
        </w:tblPrEx>
        <w:trPr>
          <w:trHeight w:val="270" w:hRule="atLeast"/>
          <w:tblHeader/>
          <w:jc w:val="center"/>
        </w:trPr>
        <w:tc>
          <w:tcPr>
            <w:tcW w:w="634" w:type="pct"/>
            <w:tcBorders>
              <w:top w:val="single" w:color="000000" w:sz="4" w:space="0"/>
              <w:left w:val="single" w:color="000000" w:sz="4" w:space="0"/>
              <w:bottom w:val="single" w:color="000000" w:sz="4" w:space="0"/>
              <w:right w:val="single" w:color="000000" w:sz="4" w:space="0"/>
            </w:tcBorders>
            <w:vAlign w:val="center"/>
          </w:tcPr>
          <w:p w14:paraId="0847EBBF">
            <w:pPr>
              <w:pageBreakBefore w:val="0"/>
              <w:widowControl/>
              <w:kinsoku/>
              <w:wordWrap/>
              <w:overflowPunct/>
              <w:topLinePunct w:val="0"/>
              <w:autoSpaceDE/>
              <w:autoSpaceDN/>
              <w:bidi w:val="0"/>
              <w:spacing w:line="400" w:lineRule="exact"/>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序号</w:t>
            </w:r>
          </w:p>
        </w:tc>
        <w:tc>
          <w:tcPr>
            <w:tcW w:w="4366" w:type="pct"/>
            <w:tcBorders>
              <w:top w:val="single" w:color="000000" w:sz="4" w:space="0"/>
              <w:left w:val="nil"/>
              <w:bottom w:val="single" w:color="000000" w:sz="4" w:space="0"/>
              <w:right w:val="single" w:color="000000" w:sz="4" w:space="0"/>
            </w:tcBorders>
            <w:vAlign w:val="center"/>
          </w:tcPr>
          <w:p w14:paraId="0AAC2D71">
            <w:pPr>
              <w:pageBreakBefore w:val="0"/>
              <w:widowControl/>
              <w:kinsoku/>
              <w:wordWrap/>
              <w:overflowPunct/>
              <w:topLinePunct w:val="0"/>
              <w:autoSpaceDE/>
              <w:autoSpaceDN/>
              <w:bidi w:val="0"/>
              <w:spacing w:line="400" w:lineRule="exact"/>
              <w:jc w:val="center"/>
              <w:rPr>
                <w:rFonts w:hint="eastAsia" w:ascii="宋体" w:hAnsi="宋体" w:eastAsia="宋体" w:cs="宋体"/>
                <w:b/>
                <w:bCs/>
                <w:kern w:val="0"/>
                <w:sz w:val="21"/>
                <w:szCs w:val="21"/>
              </w:rPr>
            </w:pPr>
            <w:r>
              <w:rPr>
                <w:rFonts w:hint="eastAsia" w:ascii="宋体" w:hAnsi="宋体" w:eastAsia="宋体" w:cs="宋体"/>
                <w:b/>
                <w:bCs/>
                <w:kern w:val="0"/>
                <w:sz w:val="21"/>
                <w:szCs w:val="21"/>
              </w:rPr>
              <w:t>建设内容</w:t>
            </w:r>
          </w:p>
        </w:tc>
      </w:tr>
      <w:tr w14:paraId="6C61400B">
        <w:tblPrEx>
          <w:tblCellMar>
            <w:top w:w="0" w:type="dxa"/>
            <w:left w:w="108" w:type="dxa"/>
            <w:bottom w:w="0" w:type="dxa"/>
            <w:right w:w="108" w:type="dxa"/>
          </w:tblCellMar>
        </w:tblPrEx>
        <w:trPr>
          <w:trHeight w:val="270" w:hRule="atLeast"/>
          <w:jc w:val="center"/>
        </w:trPr>
        <w:tc>
          <w:tcPr>
            <w:tcW w:w="634" w:type="pct"/>
            <w:tcBorders>
              <w:top w:val="single" w:color="000000" w:sz="4" w:space="0"/>
              <w:left w:val="single" w:color="000000" w:sz="4" w:space="0"/>
              <w:bottom w:val="single" w:color="000000" w:sz="4" w:space="0"/>
              <w:right w:val="single" w:color="000000" w:sz="4" w:space="0"/>
            </w:tcBorders>
            <w:vAlign w:val="center"/>
          </w:tcPr>
          <w:p w14:paraId="19C196F7">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二</w:t>
            </w:r>
          </w:p>
        </w:tc>
        <w:tc>
          <w:tcPr>
            <w:tcW w:w="4366" w:type="pct"/>
            <w:tcBorders>
              <w:top w:val="single" w:color="000000" w:sz="4" w:space="0"/>
              <w:left w:val="nil"/>
              <w:bottom w:val="single" w:color="000000" w:sz="4" w:space="0"/>
              <w:right w:val="single" w:color="000000" w:sz="4" w:space="0"/>
            </w:tcBorders>
            <w:vAlign w:val="center"/>
          </w:tcPr>
          <w:p w14:paraId="32C93775">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信息化管理平台建设</w:t>
            </w:r>
          </w:p>
        </w:tc>
      </w:tr>
      <w:tr w14:paraId="361B857E">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4DA02336">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4366" w:type="pct"/>
            <w:tcBorders>
              <w:top w:val="nil"/>
              <w:left w:val="nil"/>
              <w:bottom w:val="single" w:color="000000" w:sz="4" w:space="0"/>
              <w:right w:val="single" w:color="000000" w:sz="4" w:space="0"/>
            </w:tcBorders>
            <w:vAlign w:val="center"/>
          </w:tcPr>
          <w:p w14:paraId="585453B1">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灌溉试验管理平台</w:t>
            </w:r>
          </w:p>
        </w:tc>
      </w:tr>
      <w:tr w14:paraId="24DA9CF9">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58DD0498">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4366" w:type="pct"/>
            <w:tcBorders>
              <w:top w:val="nil"/>
              <w:left w:val="nil"/>
              <w:bottom w:val="single" w:color="000000" w:sz="4" w:space="0"/>
              <w:right w:val="single" w:color="000000" w:sz="4" w:space="0"/>
            </w:tcBorders>
            <w:vAlign w:val="center"/>
          </w:tcPr>
          <w:p w14:paraId="30681AD8">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实时监测</w:t>
            </w:r>
          </w:p>
        </w:tc>
      </w:tr>
      <w:tr w14:paraId="6EEC4261">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71C4C163">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2B8D8321">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实时监测与管控（实时监测数据来自试验站各试验区，含水稻需水灌溉、蒸渗测筒/坑、称重式测坑、设施农业、径流场、旱地、养殖用水循环、气象、园林绿化试验区，及中央灌溉渠、地下水观测井等，并对试验区可控制设备进行远程操控。）</w:t>
            </w:r>
          </w:p>
        </w:tc>
      </w:tr>
      <w:tr w14:paraId="27D14CC4">
        <w:tblPrEx>
          <w:tblCellMar>
            <w:top w:w="0" w:type="dxa"/>
            <w:left w:w="108" w:type="dxa"/>
            <w:bottom w:w="0" w:type="dxa"/>
            <w:right w:w="108" w:type="dxa"/>
          </w:tblCellMar>
        </w:tblPrEx>
        <w:trPr>
          <w:trHeight w:val="1080" w:hRule="atLeast"/>
          <w:jc w:val="center"/>
        </w:trPr>
        <w:tc>
          <w:tcPr>
            <w:tcW w:w="634" w:type="pct"/>
            <w:tcBorders>
              <w:top w:val="nil"/>
              <w:left w:val="single" w:color="000000" w:sz="4" w:space="0"/>
              <w:bottom w:val="single" w:color="000000" w:sz="4" w:space="0"/>
              <w:right w:val="single" w:color="000000" w:sz="4" w:space="0"/>
            </w:tcBorders>
            <w:vAlign w:val="center"/>
          </w:tcPr>
          <w:p w14:paraId="78BB88AF">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b</w:t>
            </w:r>
          </w:p>
        </w:tc>
        <w:tc>
          <w:tcPr>
            <w:tcW w:w="4366" w:type="pct"/>
            <w:tcBorders>
              <w:top w:val="nil"/>
              <w:left w:val="nil"/>
              <w:bottom w:val="single" w:color="000000" w:sz="4" w:space="0"/>
              <w:right w:val="single" w:color="000000" w:sz="4" w:space="0"/>
            </w:tcBorders>
            <w:vAlign w:val="center"/>
          </w:tcPr>
          <w:p w14:paraId="7EAC01E3">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智能预警与提醒（系统可实时接收气象站、土壤墒情仪等设备数据，结合预设灌溉计划自动判断是否调整灌溉策略，如遇暴雨自动预警，干旱致土壤含水量骤降时提醒提前灌溉。同时，系统能按设定维护周期，提前提醒检修保养灌溉设备，延长设备寿命，避免故障中断灌溉，保障工作连续稳定。）</w:t>
            </w:r>
          </w:p>
        </w:tc>
      </w:tr>
      <w:tr w14:paraId="3A26205B">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237AB2E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4366" w:type="pct"/>
            <w:tcBorders>
              <w:top w:val="nil"/>
              <w:left w:val="nil"/>
              <w:bottom w:val="single" w:color="000000" w:sz="4" w:space="0"/>
              <w:right w:val="single" w:color="000000" w:sz="4" w:space="0"/>
            </w:tcBorders>
            <w:vAlign w:val="center"/>
          </w:tcPr>
          <w:p w14:paraId="1D57535F">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灌溉制度管理</w:t>
            </w:r>
          </w:p>
        </w:tc>
      </w:tr>
      <w:tr w14:paraId="3F560760">
        <w:tblPrEx>
          <w:tblCellMar>
            <w:top w:w="0" w:type="dxa"/>
            <w:left w:w="108" w:type="dxa"/>
            <w:bottom w:w="0" w:type="dxa"/>
            <w:right w:w="108" w:type="dxa"/>
          </w:tblCellMar>
        </w:tblPrEx>
        <w:trPr>
          <w:trHeight w:val="1350" w:hRule="atLeast"/>
          <w:jc w:val="center"/>
        </w:trPr>
        <w:tc>
          <w:tcPr>
            <w:tcW w:w="634" w:type="pct"/>
            <w:tcBorders>
              <w:top w:val="nil"/>
              <w:left w:val="single" w:color="000000" w:sz="4" w:space="0"/>
              <w:bottom w:val="single" w:color="000000" w:sz="4" w:space="0"/>
              <w:right w:val="single" w:color="000000" w:sz="4" w:space="0"/>
            </w:tcBorders>
            <w:vAlign w:val="center"/>
          </w:tcPr>
          <w:p w14:paraId="63B4096A">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25AB7FE4">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制度制定与编辑（允许试验站管理人员根据桂林当地的气候特点（如年降水量分布、季节性温度变化）、土壤特性（不同区域的土壤质地、保水能力）以及种植作物种类（水稻、柑橘、蔬菜等各自的需水特性），精细定制灌溉制度。例如，针对水稻种植区，在插秧期、分蘖期、孕穗期等不同生长阶段，精准设定灌溉周期、单次灌水量、允许的土壤含水量上下限等参数。通过可视化的操作界面，方便管理人员可以轻松调整参数）</w:t>
            </w:r>
          </w:p>
        </w:tc>
      </w:tr>
      <w:tr w14:paraId="29B5E658">
        <w:tblPrEx>
          <w:tblCellMar>
            <w:top w:w="0" w:type="dxa"/>
            <w:left w:w="108" w:type="dxa"/>
            <w:bottom w:w="0" w:type="dxa"/>
            <w:right w:w="108" w:type="dxa"/>
          </w:tblCellMar>
        </w:tblPrEx>
        <w:trPr>
          <w:trHeight w:val="1080" w:hRule="atLeast"/>
          <w:jc w:val="center"/>
        </w:trPr>
        <w:tc>
          <w:tcPr>
            <w:tcW w:w="634" w:type="pct"/>
            <w:tcBorders>
              <w:top w:val="nil"/>
              <w:left w:val="single" w:color="000000" w:sz="4" w:space="0"/>
              <w:bottom w:val="single" w:color="000000" w:sz="4" w:space="0"/>
              <w:right w:val="single" w:color="000000" w:sz="4" w:space="0"/>
            </w:tcBorders>
            <w:vAlign w:val="center"/>
          </w:tcPr>
          <w:p w14:paraId="6265B488">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b</w:t>
            </w:r>
          </w:p>
        </w:tc>
        <w:tc>
          <w:tcPr>
            <w:tcW w:w="4366" w:type="pct"/>
            <w:tcBorders>
              <w:top w:val="nil"/>
              <w:left w:val="nil"/>
              <w:bottom w:val="single" w:color="000000" w:sz="4" w:space="0"/>
              <w:right w:val="single" w:color="000000" w:sz="4" w:space="0"/>
            </w:tcBorders>
            <w:vAlign w:val="center"/>
          </w:tcPr>
          <w:p w14:paraId="0A4F928D">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智能预警与提醒制度制定（（1）触发条件规则制定：根据野外站各试验区各作物的生长需求和各设备的运行要求，制定预警触发条件。</w:t>
            </w:r>
            <w:r>
              <w:rPr>
                <w:rFonts w:hint="eastAsia" w:ascii="宋体" w:hAnsi="宋体" w:eastAsia="宋体" w:cs="宋体"/>
                <w:kern w:val="0"/>
                <w:sz w:val="21"/>
                <w:szCs w:val="21"/>
              </w:rPr>
              <w:br w:type="textWrapping"/>
            </w:r>
            <w:r>
              <w:rPr>
                <w:rFonts w:hint="eastAsia" w:ascii="宋体" w:hAnsi="宋体" w:eastAsia="宋体" w:cs="宋体"/>
                <w:kern w:val="0"/>
                <w:sz w:val="21"/>
                <w:szCs w:val="21"/>
              </w:rPr>
              <w:t>（2）预警条件规则制定：根据水位、流量、土壤墒情、气象数据、水质、水泵、阀门等实时监测数据，制定预警规则。）</w:t>
            </w:r>
          </w:p>
        </w:tc>
      </w:tr>
      <w:tr w14:paraId="765EF39E">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42527D82">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4366" w:type="pct"/>
            <w:tcBorders>
              <w:top w:val="nil"/>
              <w:left w:val="nil"/>
              <w:bottom w:val="single" w:color="000000" w:sz="4" w:space="0"/>
              <w:right w:val="single" w:color="000000" w:sz="4" w:space="0"/>
            </w:tcBorders>
            <w:vAlign w:val="center"/>
          </w:tcPr>
          <w:p w14:paraId="7EA761C6">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灌溉预报系统</w:t>
            </w:r>
          </w:p>
        </w:tc>
      </w:tr>
      <w:tr w14:paraId="6A65D335">
        <w:tblPrEx>
          <w:tblCellMar>
            <w:top w:w="0" w:type="dxa"/>
            <w:left w:w="108" w:type="dxa"/>
            <w:bottom w:w="0" w:type="dxa"/>
            <w:right w:w="108" w:type="dxa"/>
          </w:tblCellMar>
        </w:tblPrEx>
        <w:trPr>
          <w:trHeight w:val="1080" w:hRule="atLeast"/>
          <w:jc w:val="center"/>
        </w:trPr>
        <w:tc>
          <w:tcPr>
            <w:tcW w:w="634" w:type="pct"/>
            <w:tcBorders>
              <w:top w:val="nil"/>
              <w:left w:val="single" w:color="000000" w:sz="4" w:space="0"/>
              <w:bottom w:val="single" w:color="000000" w:sz="4" w:space="0"/>
              <w:right w:val="single" w:color="000000" w:sz="4" w:space="0"/>
            </w:tcBorders>
            <w:vAlign w:val="center"/>
          </w:tcPr>
          <w:p w14:paraId="33B4FCFE">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47357F6A">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天气预报（接入气象数据，为科学预判气象条件对灌溉需求的影响奠定基础。系统集成多尺度天气预报，涵盖短期（实时、逐小时、逐日）与中长期（周、月、季度）预报，特别提供未来2小时的高精度短临降雨预测，为应对突发降雨争取主动。同时，实时接入官方气象灾害预警，助力有效规避灾害天气风险）</w:t>
            </w:r>
          </w:p>
        </w:tc>
      </w:tr>
      <w:tr w14:paraId="38342B95">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5F647FF4">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b</w:t>
            </w:r>
          </w:p>
        </w:tc>
        <w:tc>
          <w:tcPr>
            <w:tcW w:w="4366" w:type="pct"/>
            <w:tcBorders>
              <w:top w:val="nil"/>
              <w:left w:val="nil"/>
              <w:bottom w:val="single" w:color="000000" w:sz="4" w:space="0"/>
              <w:right w:val="single" w:color="000000" w:sz="4" w:space="0"/>
            </w:tcBorders>
            <w:vAlign w:val="center"/>
          </w:tcPr>
          <w:p w14:paraId="2CB85F7E">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实时信息（实时获取各试验区内的多种监测数据，通过布设各类传感器，持续采集土壤墒情、地下水位、灌溉渠道流量、水位等实时监测数据，为灌溉预报提供实时数据支撑。）</w:t>
            </w:r>
          </w:p>
        </w:tc>
      </w:tr>
      <w:tr w14:paraId="4EB6E826">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4478BF8E">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c</w:t>
            </w:r>
          </w:p>
        </w:tc>
        <w:tc>
          <w:tcPr>
            <w:tcW w:w="4366" w:type="pct"/>
            <w:tcBorders>
              <w:top w:val="nil"/>
              <w:left w:val="nil"/>
              <w:bottom w:val="single" w:color="000000" w:sz="4" w:space="0"/>
              <w:right w:val="single" w:color="000000" w:sz="4" w:space="0"/>
            </w:tcBorders>
            <w:vAlign w:val="center"/>
          </w:tcPr>
          <w:p w14:paraId="71CC8929">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灌溉计划（试验站人员根据不同作物，结合提供人机交互界面，编写各作物灌溉计划（包括灌溉时机、灌水频次与单次灌水定额），同时支持校核人员结合试验区实际情况对灌溉计划进行审核、微调与手动干预，确保灌溉计划的科学性。）</w:t>
            </w:r>
          </w:p>
        </w:tc>
      </w:tr>
      <w:tr w14:paraId="7A6FECB7">
        <w:tblPrEx>
          <w:tblCellMar>
            <w:top w:w="0" w:type="dxa"/>
            <w:left w:w="108" w:type="dxa"/>
            <w:bottom w:w="0" w:type="dxa"/>
            <w:right w:w="108" w:type="dxa"/>
          </w:tblCellMar>
        </w:tblPrEx>
        <w:trPr>
          <w:trHeight w:val="1080" w:hRule="atLeast"/>
          <w:jc w:val="center"/>
        </w:trPr>
        <w:tc>
          <w:tcPr>
            <w:tcW w:w="634" w:type="pct"/>
            <w:tcBorders>
              <w:top w:val="nil"/>
              <w:left w:val="single" w:color="000000" w:sz="4" w:space="0"/>
              <w:bottom w:val="single" w:color="000000" w:sz="4" w:space="0"/>
              <w:right w:val="single" w:color="000000" w:sz="4" w:space="0"/>
            </w:tcBorders>
            <w:vAlign w:val="center"/>
          </w:tcPr>
          <w:p w14:paraId="59F4D631">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d</w:t>
            </w:r>
          </w:p>
        </w:tc>
        <w:tc>
          <w:tcPr>
            <w:tcW w:w="4366" w:type="pct"/>
            <w:tcBorders>
              <w:top w:val="nil"/>
              <w:left w:val="nil"/>
              <w:bottom w:val="single" w:color="000000" w:sz="4" w:space="0"/>
              <w:right w:val="single" w:color="000000" w:sz="4" w:space="0"/>
            </w:tcBorders>
            <w:vAlign w:val="center"/>
          </w:tcPr>
          <w:p w14:paraId="7DC49AB4">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历史气象（整合试验站历年历史气象数据，其核心功能不仅限于历史数据查询与回溯，更侧重于深度分析历史气象规律对灌溉需求的影响。通过计算长期干旱指数、对比不同历史情景下的灌溉需水量，系统能为总结灌溉规律、训练灌溉预报模型提供关键的数据支撑。）</w:t>
            </w:r>
          </w:p>
        </w:tc>
      </w:tr>
      <w:tr w14:paraId="74C9769F">
        <w:tblPrEx>
          <w:tblCellMar>
            <w:top w:w="0" w:type="dxa"/>
            <w:left w:w="108" w:type="dxa"/>
            <w:bottom w:w="0" w:type="dxa"/>
            <w:right w:w="108" w:type="dxa"/>
          </w:tblCellMar>
        </w:tblPrEx>
        <w:trPr>
          <w:trHeight w:val="1890" w:hRule="atLeast"/>
          <w:jc w:val="center"/>
        </w:trPr>
        <w:tc>
          <w:tcPr>
            <w:tcW w:w="634" w:type="pct"/>
            <w:tcBorders>
              <w:top w:val="nil"/>
              <w:left w:val="single" w:color="000000" w:sz="4" w:space="0"/>
              <w:bottom w:val="single" w:color="000000" w:sz="4" w:space="0"/>
              <w:right w:val="single" w:color="000000" w:sz="4" w:space="0"/>
            </w:tcBorders>
            <w:vAlign w:val="center"/>
          </w:tcPr>
          <w:p w14:paraId="32D9161A">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e</w:t>
            </w:r>
          </w:p>
        </w:tc>
        <w:tc>
          <w:tcPr>
            <w:tcW w:w="4366" w:type="pct"/>
            <w:tcBorders>
              <w:top w:val="nil"/>
              <w:left w:val="nil"/>
              <w:bottom w:val="single" w:color="000000" w:sz="4" w:space="0"/>
              <w:right w:val="single" w:color="000000" w:sz="4" w:space="0"/>
            </w:tcBorders>
            <w:vAlign w:val="center"/>
          </w:tcPr>
          <w:p w14:paraId="06BBFC44">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灌溉预报（灌溉预报通过多源数据集成与处理，汇聚作物类型与生育阶段、实时土壤墒情、田间小气候等关键参数。采用实时滚动预报机制，生成未来数日内具体的灌溉时间、灌溉水量及灌溉时长等可操作性强的预报结果。该预报并非一成不变，当实际气象条件、实时采集数据发生变化时，系统能立即响应，实现灌溉计划的动态调整。用户可根据不同的管理目标（如节水优先或高产优先）选择或定制灌溉策略，系统将提供多方案比选，确保在任何气象条件下都能生成最优的灌溉方案，旨在提升各试验区的灌溉水利用效率，为实现农业水资源可持续利用提供核心技术支撑。）</w:t>
            </w:r>
          </w:p>
        </w:tc>
      </w:tr>
      <w:tr w14:paraId="2BB69FDC">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6FD89B42">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4366" w:type="pct"/>
            <w:tcBorders>
              <w:top w:val="nil"/>
              <w:left w:val="nil"/>
              <w:bottom w:val="single" w:color="000000" w:sz="4" w:space="0"/>
              <w:right w:val="single" w:color="000000" w:sz="4" w:space="0"/>
            </w:tcBorders>
            <w:vAlign w:val="center"/>
          </w:tcPr>
          <w:p w14:paraId="374D4E03">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种植生产过程管理系统</w:t>
            </w:r>
          </w:p>
        </w:tc>
      </w:tr>
      <w:tr w14:paraId="60FA96DF">
        <w:tblPrEx>
          <w:tblCellMar>
            <w:top w:w="0" w:type="dxa"/>
            <w:left w:w="108" w:type="dxa"/>
            <w:bottom w:w="0" w:type="dxa"/>
            <w:right w:w="108" w:type="dxa"/>
          </w:tblCellMar>
        </w:tblPrEx>
        <w:trPr>
          <w:trHeight w:val="1080" w:hRule="atLeast"/>
          <w:jc w:val="center"/>
        </w:trPr>
        <w:tc>
          <w:tcPr>
            <w:tcW w:w="634" w:type="pct"/>
            <w:tcBorders>
              <w:top w:val="nil"/>
              <w:left w:val="single" w:color="000000" w:sz="4" w:space="0"/>
              <w:bottom w:val="single" w:color="000000" w:sz="4" w:space="0"/>
              <w:right w:val="single" w:color="000000" w:sz="4" w:space="0"/>
            </w:tcBorders>
            <w:vAlign w:val="center"/>
          </w:tcPr>
          <w:p w14:paraId="181F7B7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4AF981EF">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试验区信息管理（系统基础支撑部分全面涵盖灌区试验站各试验地块详情，既有地理位置、面积、地形地貌、土壤类型及肥力等静态数据，也实时更新种植作物种类、生长阶段、种植时间等动态信息，并配以直观分布图，助用户快速定位地块、了解周边环境及生产设施分布，为种植规划、资源调配和农事安排提供精准依据。）</w:t>
            </w:r>
          </w:p>
        </w:tc>
      </w:tr>
      <w:tr w14:paraId="153D3E79">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087ADC2E">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b</w:t>
            </w:r>
          </w:p>
        </w:tc>
        <w:tc>
          <w:tcPr>
            <w:tcW w:w="4366" w:type="pct"/>
            <w:tcBorders>
              <w:top w:val="nil"/>
              <w:left w:val="nil"/>
              <w:bottom w:val="single" w:color="000000" w:sz="4" w:space="0"/>
              <w:right w:val="single" w:color="000000" w:sz="4" w:space="0"/>
            </w:tcBorders>
            <w:vAlign w:val="center"/>
          </w:tcPr>
          <w:p w14:paraId="5BB04B15">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农事记录（农事记录模块跟踪记录作物全生命周期。用户按预设模板记录育苗、种植各环节数据，系统还记录人员、地点、农资设备等信息，形成完整档案，既为一线人员提供作业指南，也为科研人员提供数据支撑。）</w:t>
            </w:r>
          </w:p>
        </w:tc>
      </w:tr>
      <w:tr w14:paraId="667696AA">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69925343">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c</w:t>
            </w:r>
          </w:p>
        </w:tc>
        <w:tc>
          <w:tcPr>
            <w:tcW w:w="4366" w:type="pct"/>
            <w:tcBorders>
              <w:top w:val="nil"/>
              <w:left w:val="nil"/>
              <w:bottom w:val="single" w:color="000000" w:sz="4" w:space="0"/>
              <w:right w:val="single" w:color="000000" w:sz="4" w:space="0"/>
            </w:tcBorders>
            <w:vAlign w:val="center"/>
          </w:tcPr>
          <w:p w14:paraId="361533F2">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巡检记录（巡检记录为试验站现场管理提供便捷方式。工作人员日常巡检时，可用移动终端实时记录作物长势、设备故障等问题，上传照片或视频辅助说明。系统自动记录巡检信息，形成完整档案，利于问题解决和工作追溯审查。）</w:t>
            </w:r>
          </w:p>
        </w:tc>
      </w:tr>
      <w:tr w14:paraId="35FF2DC4">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6E7EEA19">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4366" w:type="pct"/>
            <w:tcBorders>
              <w:top w:val="nil"/>
              <w:left w:val="nil"/>
              <w:bottom w:val="single" w:color="000000" w:sz="4" w:space="0"/>
              <w:right w:val="single" w:color="000000" w:sz="4" w:space="0"/>
            </w:tcBorders>
            <w:vAlign w:val="center"/>
          </w:tcPr>
          <w:p w14:paraId="723D5552">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试验数据分析</w:t>
            </w:r>
          </w:p>
        </w:tc>
      </w:tr>
      <w:tr w14:paraId="03F1BAB9">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198B7F2A">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0F211A11">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数据分析统计（数据统计功能是试验数据分析模块的基础支撑，能系统处理试验站多领域的报图报表数据。它支持多维度聚合统计，提供丰富可视化展示，还具备数据导出与共享功能，可导出为常见格式。）</w:t>
            </w:r>
          </w:p>
        </w:tc>
      </w:tr>
      <w:tr w14:paraId="698C146D">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6B94F5B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b</w:t>
            </w:r>
          </w:p>
        </w:tc>
        <w:tc>
          <w:tcPr>
            <w:tcW w:w="4366" w:type="pct"/>
            <w:tcBorders>
              <w:top w:val="nil"/>
              <w:left w:val="nil"/>
              <w:bottom w:val="single" w:color="000000" w:sz="4" w:space="0"/>
              <w:right w:val="single" w:color="000000" w:sz="4" w:space="0"/>
            </w:tcBorders>
            <w:vAlign w:val="center"/>
          </w:tcPr>
          <w:p w14:paraId="0C67148D">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报告生成（报告生成功能满足试验站管理决策需求，可自动生成标准化监测报告。它详细分析作物生长状态、评估指标并展示趋势，内置预警机制突出异常信息。系统提供多种模板，支持自定义设置，报告能以 PDF、Word 等格式输出，方便打印。）</w:t>
            </w:r>
          </w:p>
        </w:tc>
      </w:tr>
      <w:tr w14:paraId="67B489CD">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3DF88412">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c</w:t>
            </w:r>
          </w:p>
        </w:tc>
        <w:tc>
          <w:tcPr>
            <w:tcW w:w="4366" w:type="pct"/>
            <w:tcBorders>
              <w:top w:val="nil"/>
              <w:left w:val="nil"/>
              <w:bottom w:val="single" w:color="000000" w:sz="4" w:space="0"/>
              <w:right w:val="single" w:color="000000" w:sz="4" w:space="0"/>
            </w:tcBorders>
            <w:vAlign w:val="center"/>
          </w:tcPr>
          <w:p w14:paraId="5CC0B38A">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全区灌溉试验数据分析（该功能旨在为全区灌溉技术优化推广提供依据，推动水资源合理利用与农业可持续发展。它整合多地试验站数据，多维度剖析灌溉对作物产量的影响，找出关键因素，并以图表和报告呈现解读，辅助调整灌溉策略）</w:t>
            </w:r>
          </w:p>
        </w:tc>
      </w:tr>
      <w:tr w14:paraId="4F0D58C5">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1417780F">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4366" w:type="pct"/>
            <w:tcBorders>
              <w:top w:val="nil"/>
              <w:left w:val="nil"/>
              <w:bottom w:val="single" w:color="000000" w:sz="4" w:space="0"/>
              <w:right w:val="single" w:color="000000" w:sz="4" w:space="0"/>
            </w:tcBorders>
            <w:vAlign w:val="center"/>
          </w:tcPr>
          <w:p w14:paraId="4A80ECE8">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物联管控系统</w:t>
            </w:r>
          </w:p>
        </w:tc>
      </w:tr>
      <w:tr w14:paraId="4D8E365D">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4E136B43">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5007928E">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设备综合管理（设备综合管理功能是物联管控系统的基础，为灌区试验站内多样设备提供统一管理，优化资源配置。它记录设备基本信息支持全生命周期管理，可视化展示运行状态，分组管理并分配权限。）</w:t>
            </w:r>
          </w:p>
        </w:tc>
      </w:tr>
      <w:tr w14:paraId="48B9718F">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63C87363">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b</w:t>
            </w:r>
          </w:p>
        </w:tc>
        <w:tc>
          <w:tcPr>
            <w:tcW w:w="4366" w:type="pct"/>
            <w:tcBorders>
              <w:top w:val="nil"/>
              <w:left w:val="nil"/>
              <w:bottom w:val="single" w:color="000000" w:sz="4" w:space="0"/>
              <w:right w:val="single" w:color="000000" w:sz="4" w:space="0"/>
            </w:tcBorders>
            <w:vAlign w:val="center"/>
          </w:tcPr>
          <w:p w14:paraId="343DFA56">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物联设备监控（设备监控功能是保障物联网设备稳定运行，实现对试验站内各类设备运行情况的实时监测与远程调控，从而及时发现设备故障隐患，提升设备运行可靠性。）</w:t>
            </w:r>
          </w:p>
        </w:tc>
      </w:tr>
      <w:tr w14:paraId="59F81A75">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0D465D42">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c</w:t>
            </w:r>
          </w:p>
        </w:tc>
        <w:tc>
          <w:tcPr>
            <w:tcW w:w="4366" w:type="pct"/>
            <w:tcBorders>
              <w:top w:val="nil"/>
              <w:left w:val="nil"/>
              <w:bottom w:val="single" w:color="000000" w:sz="4" w:space="0"/>
              <w:right w:val="single" w:color="000000" w:sz="4" w:space="0"/>
            </w:tcBorders>
            <w:vAlign w:val="center"/>
          </w:tcPr>
          <w:p w14:paraId="1070FF20">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设备运行状态预警（系统能够对气象、土壤、水位数据进行实时监测和分析，当数据异常或达到预警阈值时，系统将自动触发警报，并提供及时的预警信息给用户。）</w:t>
            </w:r>
          </w:p>
        </w:tc>
      </w:tr>
      <w:tr w14:paraId="05CACC4A">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1E1BDE5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4366" w:type="pct"/>
            <w:tcBorders>
              <w:top w:val="nil"/>
              <w:left w:val="nil"/>
              <w:bottom w:val="single" w:color="000000" w:sz="4" w:space="0"/>
              <w:right w:val="single" w:color="000000" w:sz="4" w:space="0"/>
            </w:tcBorders>
            <w:vAlign w:val="center"/>
          </w:tcPr>
          <w:p w14:paraId="75B0416C">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科学普及</w:t>
            </w:r>
          </w:p>
        </w:tc>
      </w:tr>
      <w:tr w14:paraId="2F30E7AD">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500BF6B1">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4366" w:type="pct"/>
            <w:tcBorders>
              <w:top w:val="nil"/>
              <w:left w:val="nil"/>
              <w:bottom w:val="single" w:color="000000" w:sz="4" w:space="0"/>
              <w:right w:val="single" w:color="000000" w:sz="4" w:space="0"/>
            </w:tcBorders>
            <w:vAlign w:val="center"/>
          </w:tcPr>
          <w:p w14:paraId="0AD88347">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灌溉试验站介绍</w:t>
            </w:r>
          </w:p>
        </w:tc>
      </w:tr>
      <w:tr w14:paraId="72FAA68F">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0234AA1F">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78EB391B">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讲解水利部西南岩溶区节水减排防污野外科学观测研究站的职能、桂林市农田灌溉试验中心站的职能、首席科学家、团队成员、研究方向及取得的成果、承担的国家和省部级科研项目、科研条件、各研究方向的团队情况介绍等。</w:t>
            </w:r>
          </w:p>
        </w:tc>
      </w:tr>
      <w:tr w14:paraId="1DAA2831">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14D4AF91">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4366" w:type="pct"/>
            <w:tcBorders>
              <w:top w:val="nil"/>
              <w:left w:val="nil"/>
              <w:bottom w:val="single" w:color="000000" w:sz="4" w:space="0"/>
              <w:right w:val="single" w:color="000000" w:sz="4" w:space="0"/>
            </w:tcBorders>
            <w:vAlign w:val="center"/>
          </w:tcPr>
          <w:p w14:paraId="05AB74BD">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各试验区知识科普</w:t>
            </w:r>
          </w:p>
        </w:tc>
      </w:tr>
      <w:tr w14:paraId="40BEEAAE">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23D495C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64844103">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在灌溉试验中心站各关键点位设置二维码标识，访客通过扫描二维码即可获取各试验区的详细科普信息（文字+视频+照片）。</w:t>
            </w:r>
          </w:p>
        </w:tc>
      </w:tr>
      <w:tr w14:paraId="135B5591">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773DDFD6">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4366" w:type="pct"/>
            <w:tcBorders>
              <w:top w:val="nil"/>
              <w:left w:val="nil"/>
              <w:bottom w:val="single" w:color="000000" w:sz="4" w:space="0"/>
              <w:right w:val="single" w:color="000000" w:sz="4" w:space="0"/>
            </w:tcBorders>
            <w:vAlign w:val="center"/>
          </w:tcPr>
          <w:p w14:paraId="58CEDF5A">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节水案例知识科普</w:t>
            </w:r>
          </w:p>
        </w:tc>
      </w:tr>
      <w:tr w14:paraId="1D41EFFE">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31EE554C">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1E076888">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展示国内外节水灌溉标杆案例，提供技术参数、成本效益分析及可复制推广模式，助力用户科学决策。主要包含：灌溉基础知识、节水灌溉技术、节水灌溉技术、水资源管理、农业气象知识等内容。</w:t>
            </w:r>
          </w:p>
        </w:tc>
      </w:tr>
      <w:tr w14:paraId="5A6F1860">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05A09ACD">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4366" w:type="pct"/>
            <w:tcBorders>
              <w:top w:val="nil"/>
              <w:left w:val="nil"/>
              <w:bottom w:val="single" w:color="000000" w:sz="4" w:space="0"/>
              <w:right w:val="single" w:color="000000" w:sz="4" w:space="0"/>
            </w:tcBorders>
            <w:vAlign w:val="center"/>
          </w:tcPr>
          <w:p w14:paraId="4C50FFB8">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行业政策标准成果</w:t>
            </w:r>
          </w:p>
        </w:tc>
      </w:tr>
      <w:tr w14:paraId="5A93FC51">
        <w:tblPrEx>
          <w:tblCellMar>
            <w:top w:w="0" w:type="dxa"/>
            <w:left w:w="108" w:type="dxa"/>
            <w:bottom w:w="0" w:type="dxa"/>
            <w:right w:w="108" w:type="dxa"/>
          </w:tblCellMar>
        </w:tblPrEx>
        <w:trPr>
          <w:trHeight w:val="1080" w:hRule="atLeast"/>
          <w:jc w:val="center"/>
        </w:trPr>
        <w:tc>
          <w:tcPr>
            <w:tcW w:w="634" w:type="pct"/>
            <w:tcBorders>
              <w:top w:val="nil"/>
              <w:left w:val="single" w:color="000000" w:sz="4" w:space="0"/>
              <w:bottom w:val="single" w:color="000000" w:sz="4" w:space="0"/>
              <w:right w:val="single" w:color="000000" w:sz="4" w:space="0"/>
            </w:tcBorders>
            <w:vAlign w:val="center"/>
          </w:tcPr>
          <w:p w14:paraId="7306EF3E">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7E6A999C">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系统对公众开放，在线上以文字介绍、图片、视频、动画等多种形式介绍农业灌溉、节水相关政策及行业标准。可提供国家或行业的标准规范、科谱视频或手册、宣传资料、专业著作等技术文件在线浏览或下载权限，线上发放灌溉科普相关手册、海报、宣传单页等宣传资料。</w:t>
            </w:r>
          </w:p>
        </w:tc>
      </w:tr>
      <w:tr w14:paraId="0461D483">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7A4398FF">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4366" w:type="pct"/>
            <w:tcBorders>
              <w:top w:val="nil"/>
              <w:left w:val="nil"/>
              <w:bottom w:val="single" w:color="000000" w:sz="4" w:space="0"/>
              <w:right w:val="single" w:color="000000" w:sz="4" w:space="0"/>
            </w:tcBorders>
            <w:vAlign w:val="center"/>
          </w:tcPr>
          <w:p w14:paraId="64B1644D">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科普活动</w:t>
            </w:r>
          </w:p>
        </w:tc>
      </w:tr>
      <w:tr w14:paraId="51B245D6">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382266B4">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734C5052">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系统对公众开放，在线上以文字介绍、图片、视频、动画等多种形式进行科普活动的报道。</w:t>
            </w:r>
          </w:p>
        </w:tc>
      </w:tr>
      <w:tr w14:paraId="337B4B36">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3F2DF9E2">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4366" w:type="pct"/>
            <w:tcBorders>
              <w:top w:val="nil"/>
              <w:left w:val="nil"/>
              <w:bottom w:val="single" w:color="000000" w:sz="4" w:space="0"/>
              <w:right w:val="single" w:color="000000" w:sz="4" w:space="0"/>
            </w:tcBorders>
            <w:vAlign w:val="center"/>
          </w:tcPr>
          <w:p w14:paraId="3EADFACC">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党建管理</w:t>
            </w:r>
          </w:p>
        </w:tc>
      </w:tr>
      <w:tr w14:paraId="52F38F79">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1C012E1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4366" w:type="pct"/>
            <w:tcBorders>
              <w:top w:val="nil"/>
              <w:left w:val="nil"/>
              <w:bottom w:val="single" w:color="000000" w:sz="4" w:space="0"/>
              <w:right w:val="single" w:color="000000" w:sz="4" w:space="0"/>
            </w:tcBorders>
            <w:vAlign w:val="center"/>
          </w:tcPr>
          <w:p w14:paraId="5B07BD3C">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党支机构</w:t>
            </w:r>
          </w:p>
        </w:tc>
      </w:tr>
      <w:tr w14:paraId="20287BD6">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64D3E547">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68CD1EEE">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试验站党组织机构的信息总览和维护。</w:t>
            </w:r>
          </w:p>
        </w:tc>
      </w:tr>
      <w:tr w14:paraId="5B3CEEE8">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4C237F62">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4366" w:type="pct"/>
            <w:tcBorders>
              <w:top w:val="nil"/>
              <w:left w:val="nil"/>
              <w:bottom w:val="single" w:color="000000" w:sz="4" w:space="0"/>
              <w:right w:val="single" w:color="000000" w:sz="4" w:space="0"/>
            </w:tcBorders>
            <w:vAlign w:val="center"/>
          </w:tcPr>
          <w:p w14:paraId="473BC68D">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党员花名册</w:t>
            </w:r>
          </w:p>
        </w:tc>
      </w:tr>
      <w:tr w14:paraId="4DD5A38B">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4BA61266">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0DE2B8BB">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维护和更新党员花名册信息，花名册支持导出。</w:t>
            </w:r>
          </w:p>
        </w:tc>
      </w:tr>
      <w:tr w14:paraId="16DCDBB8">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17EFDB86">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4366" w:type="pct"/>
            <w:tcBorders>
              <w:top w:val="nil"/>
              <w:left w:val="nil"/>
              <w:bottom w:val="single" w:color="000000" w:sz="4" w:space="0"/>
              <w:right w:val="single" w:color="000000" w:sz="4" w:space="0"/>
            </w:tcBorders>
            <w:vAlign w:val="center"/>
          </w:tcPr>
          <w:p w14:paraId="18A1EBB9">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党建活动</w:t>
            </w:r>
          </w:p>
        </w:tc>
      </w:tr>
      <w:tr w14:paraId="605E0A88">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31E5EE92">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1EA5F96A">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对党建活动进行记录展示。</w:t>
            </w:r>
          </w:p>
        </w:tc>
      </w:tr>
      <w:tr w14:paraId="79419E5D">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12C6F7FF">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4366" w:type="pct"/>
            <w:tcBorders>
              <w:top w:val="nil"/>
              <w:left w:val="nil"/>
              <w:bottom w:val="single" w:color="000000" w:sz="4" w:space="0"/>
              <w:right w:val="single" w:color="000000" w:sz="4" w:space="0"/>
            </w:tcBorders>
            <w:vAlign w:val="center"/>
          </w:tcPr>
          <w:p w14:paraId="7A82714D">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制度及政策</w:t>
            </w:r>
          </w:p>
        </w:tc>
      </w:tr>
      <w:tr w14:paraId="24B7531B">
        <w:tblPrEx>
          <w:tblCellMar>
            <w:top w:w="0" w:type="dxa"/>
            <w:left w:w="108" w:type="dxa"/>
            <w:bottom w:w="0" w:type="dxa"/>
            <w:right w:w="108" w:type="dxa"/>
          </w:tblCellMar>
        </w:tblPrEx>
        <w:trPr>
          <w:trHeight w:val="1080" w:hRule="atLeast"/>
          <w:jc w:val="center"/>
        </w:trPr>
        <w:tc>
          <w:tcPr>
            <w:tcW w:w="634" w:type="pct"/>
            <w:tcBorders>
              <w:top w:val="nil"/>
              <w:left w:val="single" w:color="000000" w:sz="4" w:space="0"/>
              <w:bottom w:val="single" w:color="000000" w:sz="4" w:space="0"/>
              <w:right w:val="single" w:color="000000" w:sz="4" w:space="0"/>
            </w:tcBorders>
            <w:vAlign w:val="center"/>
          </w:tcPr>
          <w:p w14:paraId="65655EAD">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538EB4B5">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结合试验站实际，细化《党支部工作细则》、《党员教育管理办法》、《党务公开制度》等，明确本级党组织的职责边界、工作流程（如水利工程临时党支部的议事规则）。以及实时展示党中央关于水利改革、水资源节约、生态文明建设等最新政策文件，支持按关键词检索历史制度及政策文件，可下载或在线浏览。</w:t>
            </w:r>
          </w:p>
        </w:tc>
      </w:tr>
      <w:tr w14:paraId="7FBA1821">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27FBF3FF">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4366" w:type="pct"/>
            <w:tcBorders>
              <w:top w:val="nil"/>
              <w:left w:val="nil"/>
              <w:bottom w:val="single" w:color="000000" w:sz="4" w:space="0"/>
              <w:right w:val="single" w:color="000000" w:sz="4" w:space="0"/>
            </w:tcBorders>
            <w:vAlign w:val="center"/>
          </w:tcPr>
          <w:p w14:paraId="456CF32E">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党务管理</w:t>
            </w:r>
          </w:p>
        </w:tc>
      </w:tr>
      <w:tr w14:paraId="37EC091B">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213CA3D3">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0A4FF163">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对试验站及上级部门的党建活动和安排、党组织的民主生活会、组织生活会、党建工作会等活动内容进行集中展示和管理。</w:t>
            </w:r>
          </w:p>
        </w:tc>
      </w:tr>
      <w:tr w14:paraId="47E73824">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752615BD">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4366" w:type="pct"/>
            <w:tcBorders>
              <w:top w:val="nil"/>
              <w:left w:val="nil"/>
              <w:bottom w:val="single" w:color="000000" w:sz="4" w:space="0"/>
              <w:right w:val="single" w:color="000000" w:sz="4" w:space="0"/>
            </w:tcBorders>
            <w:vAlign w:val="center"/>
          </w:tcPr>
          <w:p w14:paraId="5F652FCA">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教育培训</w:t>
            </w:r>
          </w:p>
        </w:tc>
      </w:tr>
      <w:tr w14:paraId="208BB463">
        <w:tblPrEx>
          <w:tblCellMar>
            <w:top w:w="0" w:type="dxa"/>
            <w:left w:w="108" w:type="dxa"/>
            <w:bottom w:w="0" w:type="dxa"/>
            <w:right w:w="108" w:type="dxa"/>
          </w:tblCellMar>
        </w:tblPrEx>
        <w:trPr>
          <w:trHeight w:val="1080" w:hRule="atLeast"/>
          <w:jc w:val="center"/>
        </w:trPr>
        <w:tc>
          <w:tcPr>
            <w:tcW w:w="634" w:type="pct"/>
            <w:tcBorders>
              <w:top w:val="nil"/>
              <w:left w:val="single" w:color="000000" w:sz="4" w:space="0"/>
              <w:bottom w:val="single" w:color="000000" w:sz="4" w:space="0"/>
              <w:right w:val="single" w:color="000000" w:sz="4" w:space="0"/>
            </w:tcBorders>
            <w:vAlign w:val="center"/>
          </w:tcPr>
          <w:p w14:paraId="0C619C2A">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72757EBB">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通过开设《党章党规》、《试验站党史》、《警示教育大会》、《水利系统腐败案例纪录片》、《智慧水利技术》、《小型农田水利设施改造方案》、《农业节水灌溉》等专题课程，供党员在线学习，提升党员廉政教育和技能提升。有权限的管理员可通过后台管理界面进行相关学习教育资料的上传、编辑、删除等操作。</w:t>
            </w:r>
          </w:p>
        </w:tc>
      </w:tr>
      <w:tr w14:paraId="20E5FCB5">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2A93F589">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4366" w:type="pct"/>
            <w:tcBorders>
              <w:top w:val="nil"/>
              <w:left w:val="nil"/>
              <w:bottom w:val="single" w:color="000000" w:sz="4" w:space="0"/>
              <w:right w:val="single" w:color="000000" w:sz="4" w:space="0"/>
            </w:tcBorders>
            <w:vAlign w:val="center"/>
          </w:tcPr>
          <w:p w14:paraId="5C4A13C9">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安防监控</w:t>
            </w:r>
          </w:p>
        </w:tc>
      </w:tr>
      <w:tr w14:paraId="7A757A5E">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321C7ACE">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4366" w:type="pct"/>
            <w:tcBorders>
              <w:top w:val="nil"/>
              <w:left w:val="nil"/>
              <w:bottom w:val="single" w:color="000000" w:sz="4" w:space="0"/>
              <w:right w:val="single" w:color="000000" w:sz="4" w:space="0"/>
            </w:tcBorders>
            <w:vAlign w:val="center"/>
          </w:tcPr>
          <w:p w14:paraId="59A718F6">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视频监视点管理</w:t>
            </w:r>
          </w:p>
        </w:tc>
      </w:tr>
      <w:tr w14:paraId="1CF62FD7">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07E462A9">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09765DB9">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结合试验中心站平面布置图管理视频监视点，包括监视点位置和分布可视化展示、监视点添加、删除、信息修改等，结合试验中心站平面布置图实现“地图-属性”交互式查询。</w:t>
            </w:r>
          </w:p>
        </w:tc>
      </w:tr>
      <w:tr w14:paraId="454DECCA">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2B961656">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4366" w:type="pct"/>
            <w:tcBorders>
              <w:top w:val="nil"/>
              <w:left w:val="nil"/>
              <w:bottom w:val="single" w:color="000000" w:sz="4" w:space="0"/>
              <w:right w:val="single" w:color="000000" w:sz="4" w:space="0"/>
            </w:tcBorders>
            <w:vAlign w:val="center"/>
          </w:tcPr>
          <w:p w14:paraId="32E99034">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实时监控</w:t>
            </w:r>
          </w:p>
        </w:tc>
      </w:tr>
      <w:tr w14:paraId="50B72B40">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5981C95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346CE5C3">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多路图像接收、处理、显示。同时接收所有前端系统的图像，可根据监控地点内的镜头数量，调节图象显示尺寸，选择任意一路图像可扩大到全屏显示实时画面。</w:t>
            </w:r>
          </w:p>
        </w:tc>
      </w:tr>
      <w:tr w14:paraId="6E1B4F9B">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1E03260C">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4366" w:type="pct"/>
            <w:tcBorders>
              <w:top w:val="nil"/>
              <w:left w:val="nil"/>
              <w:bottom w:val="single" w:color="000000" w:sz="4" w:space="0"/>
              <w:right w:val="single" w:color="000000" w:sz="4" w:space="0"/>
            </w:tcBorders>
            <w:vAlign w:val="center"/>
          </w:tcPr>
          <w:p w14:paraId="53DD5BE5">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录像回放</w:t>
            </w:r>
          </w:p>
        </w:tc>
      </w:tr>
      <w:tr w14:paraId="4F670548">
        <w:tblPrEx>
          <w:tblCellMar>
            <w:top w:w="0" w:type="dxa"/>
            <w:left w:w="108" w:type="dxa"/>
            <w:bottom w:w="0" w:type="dxa"/>
            <w:right w:w="108" w:type="dxa"/>
          </w:tblCellMar>
        </w:tblPrEx>
        <w:trPr>
          <w:trHeight w:val="1080" w:hRule="atLeast"/>
          <w:jc w:val="center"/>
        </w:trPr>
        <w:tc>
          <w:tcPr>
            <w:tcW w:w="634" w:type="pct"/>
            <w:tcBorders>
              <w:top w:val="nil"/>
              <w:left w:val="single" w:color="000000" w:sz="4" w:space="0"/>
              <w:bottom w:val="single" w:color="000000" w:sz="4" w:space="0"/>
              <w:right w:val="single" w:color="000000" w:sz="4" w:space="0"/>
            </w:tcBorders>
            <w:vAlign w:val="center"/>
          </w:tcPr>
          <w:p w14:paraId="28C9F156">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2C8397E5">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用户可选择某个视频监视点，根据时间段条件检索录像，录像记录可以倍速、慢放或者正常的速度播放，用户也可以拖动进度条选择播放。支持回放视频的单帧抓拍，并可以在保存图片时由用户进行标注以方便查找。硬盘数据自动循环复写，各监测站的历史视频无须删除。</w:t>
            </w:r>
          </w:p>
        </w:tc>
      </w:tr>
      <w:tr w14:paraId="2995098A">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3E4273DF">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4366" w:type="pct"/>
            <w:tcBorders>
              <w:top w:val="nil"/>
              <w:left w:val="nil"/>
              <w:bottom w:val="single" w:color="000000" w:sz="4" w:space="0"/>
              <w:right w:val="single" w:color="000000" w:sz="4" w:space="0"/>
            </w:tcBorders>
            <w:vAlign w:val="center"/>
          </w:tcPr>
          <w:p w14:paraId="178377BB">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异常信息告警</w:t>
            </w:r>
          </w:p>
        </w:tc>
      </w:tr>
      <w:tr w14:paraId="6813557A">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559BCD58">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05A362D6">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对试验站区域内重要视频监控区域，提供精准的区域入侵、越界侦测联动预警并推送。</w:t>
            </w:r>
          </w:p>
        </w:tc>
      </w:tr>
      <w:tr w14:paraId="48C73599">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48C309D4">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4366" w:type="pct"/>
            <w:tcBorders>
              <w:top w:val="nil"/>
              <w:left w:val="nil"/>
              <w:bottom w:val="single" w:color="000000" w:sz="4" w:space="0"/>
              <w:right w:val="single" w:color="000000" w:sz="4" w:space="0"/>
            </w:tcBorders>
            <w:vAlign w:val="center"/>
          </w:tcPr>
          <w:p w14:paraId="6F591D55">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"数据驾驶舱(大屏展示系统)"</w:t>
            </w:r>
          </w:p>
        </w:tc>
      </w:tr>
      <w:tr w14:paraId="4E6A33DE">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1D6001D4">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4366" w:type="pct"/>
            <w:tcBorders>
              <w:top w:val="nil"/>
              <w:left w:val="nil"/>
              <w:bottom w:val="single" w:color="000000" w:sz="4" w:space="0"/>
              <w:right w:val="single" w:color="000000" w:sz="4" w:space="0"/>
            </w:tcBorders>
            <w:vAlign w:val="center"/>
          </w:tcPr>
          <w:p w14:paraId="48D27F4B">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总览</w:t>
            </w:r>
          </w:p>
        </w:tc>
      </w:tr>
      <w:tr w14:paraId="1A06C109">
        <w:tblPrEx>
          <w:tblCellMar>
            <w:top w:w="0" w:type="dxa"/>
            <w:left w:w="108" w:type="dxa"/>
            <w:bottom w:w="0" w:type="dxa"/>
            <w:right w:w="108" w:type="dxa"/>
          </w:tblCellMar>
        </w:tblPrEx>
        <w:trPr>
          <w:trHeight w:val="1350" w:hRule="atLeast"/>
          <w:jc w:val="center"/>
        </w:trPr>
        <w:tc>
          <w:tcPr>
            <w:tcW w:w="634" w:type="pct"/>
            <w:tcBorders>
              <w:top w:val="nil"/>
              <w:left w:val="single" w:color="000000" w:sz="4" w:space="0"/>
              <w:bottom w:val="single" w:color="000000" w:sz="4" w:space="0"/>
              <w:right w:val="single" w:color="000000" w:sz="4" w:space="0"/>
            </w:tcBorders>
            <w:vAlign w:val="center"/>
          </w:tcPr>
          <w:p w14:paraId="5B549A66">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32058D34">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VR全景漫游（基于VR全景拍摄技术真实还原试验站各功能区的实景环境，实现对各试验区、气象场、办公楼、培训基地等重要区域的360度全景漫游。系统支持在漫游过程中智能触发多媒体导览内容，当用户视角定位至特定区域或设施时，自动关联播放对应的讲解视频、图文介绍或历史资料，生动呈现试验站的发展历程、建设成果与技术演进。通过实景导航与多媒体解说深度融合，为用户提供兼具沉浸感与信息量的导览体验。）</w:t>
            </w:r>
          </w:p>
        </w:tc>
      </w:tr>
      <w:tr w14:paraId="55635B1D">
        <w:tblPrEx>
          <w:tblCellMar>
            <w:top w:w="0" w:type="dxa"/>
            <w:left w:w="108" w:type="dxa"/>
            <w:bottom w:w="0" w:type="dxa"/>
            <w:right w:w="108" w:type="dxa"/>
          </w:tblCellMar>
        </w:tblPrEx>
        <w:trPr>
          <w:trHeight w:val="1080" w:hRule="atLeast"/>
          <w:jc w:val="center"/>
        </w:trPr>
        <w:tc>
          <w:tcPr>
            <w:tcW w:w="634" w:type="pct"/>
            <w:tcBorders>
              <w:top w:val="nil"/>
              <w:left w:val="single" w:color="000000" w:sz="4" w:space="0"/>
              <w:bottom w:val="single" w:color="000000" w:sz="4" w:space="0"/>
              <w:right w:val="single" w:color="000000" w:sz="4" w:space="0"/>
            </w:tcBorders>
            <w:vAlign w:val="center"/>
          </w:tcPr>
          <w:p w14:paraId="10283224">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b</w:t>
            </w:r>
          </w:p>
        </w:tc>
        <w:tc>
          <w:tcPr>
            <w:tcW w:w="4366" w:type="pct"/>
            <w:tcBorders>
              <w:top w:val="nil"/>
              <w:left w:val="nil"/>
              <w:bottom w:val="single" w:color="000000" w:sz="4" w:space="0"/>
              <w:right w:val="single" w:color="000000" w:sz="4" w:space="0"/>
            </w:tcBorders>
            <w:vAlign w:val="center"/>
          </w:tcPr>
          <w:p w14:paraId="4B7EAA98">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综合成果展示（在VR全景界面中嵌入关键数据可视化窗口，当用户浏览至相关功能区域时，系统以悬浮信息面板、侧边栏图表等形式，动态展示试验站的核心运营数据、历史成果统计及经济效益指标（如技术推广成效、节水数据、作物产量等），实现实景展示与数据解读的有机结合。）</w:t>
            </w:r>
          </w:p>
        </w:tc>
      </w:tr>
      <w:tr w14:paraId="661A09D4">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5FAB55D4">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4366" w:type="pct"/>
            <w:tcBorders>
              <w:top w:val="nil"/>
              <w:left w:val="nil"/>
              <w:bottom w:val="single" w:color="000000" w:sz="4" w:space="0"/>
              <w:right w:val="single" w:color="000000" w:sz="4" w:space="0"/>
            </w:tcBorders>
            <w:vAlign w:val="center"/>
          </w:tcPr>
          <w:p w14:paraId="2245AD67">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实时监测数据展示</w:t>
            </w:r>
          </w:p>
        </w:tc>
      </w:tr>
      <w:tr w14:paraId="27E0924A">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0FF7F9D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60AB54C9">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实时数据动态展示（通过折线图、柱状图等可视化形式，实时展示近几小时土壤含水量、灌溉水量等变化趋势，帮助用户直观掌握数据走向。）</w:t>
            </w:r>
          </w:p>
        </w:tc>
      </w:tr>
      <w:tr w14:paraId="120A3DB7">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6D58F09B">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b</w:t>
            </w:r>
          </w:p>
        </w:tc>
        <w:tc>
          <w:tcPr>
            <w:tcW w:w="4366" w:type="pct"/>
            <w:tcBorders>
              <w:top w:val="nil"/>
              <w:left w:val="nil"/>
              <w:bottom w:val="single" w:color="000000" w:sz="4" w:space="0"/>
              <w:right w:val="single" w:color="000000" w:sz="4" w:space="0"/>
            </w:tcBorders>
            <w:vAlign w:val="center"/>
          </w:tcPr>
          <w:p w14:paraId="67B125F6">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核心指标聚焦展示（在大屏突出呈现土壤含水量、灌溉水量等关键数据，便于用户快速获取核心信息，完善灌溉制度。）</w:t>
            </w:r>
          </w:p>
        </w:tc>
      </w:tr>
      <w:tr w14:paraId="783DE7DE">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2DEE45D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c</w:t>
            </w:r>
          </w:p>
        </w:tc>
        <w:tc>
          <w:tcPr>
            <w:tcW w:w="4366" w:type="pct"/>
            <w:tcBorders>
              <w:top w:val="nil"/>
              <w:left w:val="nil"/>
              <w:bottom w:val="single" w:color="000000" w:sz="4" w:space="0"/>
              <w:right w:val="single" w:color="000000" w:sz="4" w:space="0"/>
            </w:tcBorders>
            <w:vAlign w:val="center"/>
          </w:tcPr>
          <w:p w14:paraId="720656D4">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多级告警展示（将设备故障、气象灾害、灌溉水量异常等预警信息分级，通过不同颜色、闪烁效果突出显示，引导用户快速响应。）</w:t>
            </w:r>
          </w:p>
        </w:tc>
      </w:tr>
      <w:tr w14:paraId="02CF4FE7">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79F51C5E">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4366" w:type="pct"/>
            <w:tcBorders>
              <w:top w:val="nil"/>
              <w:left w:val="nil"/>
              <w:bottom w:val="single" w:color="000000" w:sz="4" w:space="0"/>
              <w:right w:val="single" w:color="000000" w:sz="4" w:space="0"/>
            </w:tcBorders>
            <w:vAlign w:val="center"/>
          </w:tcPr>
          <w:p w14:paraId="11D0656A">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数据分析成果展示</w:t>
            </w:r>
          </w:p>
        </w:tc>
      </w:tr>
      <w:tr w14:paraId="66D33BA3">
        <w:tblPrEx>
          <w:tblCellMar>
            <w:top w:w="0" w:type="dxa"/>
            <w:left w:w="108" w:type="dxa"/>
            <w:bottom w:w="0" w:type="dxa"/>
            <w:right w:w="108" w:type="dxa"/>
          </w:tblCellMar>
        </w:tblPrEx>
        <w:trPr>
          <w:trHeight w:val="1350" w:hRule="atLeast"/>
          <w:jc w:val="center"/>
        </w:trPr>
        <w:tc>
          <w:tcPr>
            <w:tcW w:w="634" w:type="pct"/>
            <w:tcBorders>
              <w:top w:val="nil"/>
              <w:left w:val="single" w:color="000000" w:sz="4" w:space="0"/>
              <w:bottom w:val="single" w:color="000000" w:sz="4" w:space="0"/>
              <w:right w:val="single" w:color="000000" w:sz="4" w:space="0"/>
            </w:tcBorders>
            <w:vAlign w:val="center"/>
          </w:tcPr>
          <w:p w14:paraId="663913D4">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2DDBDDA8">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系统从时间、空间、作物种类、灌溉单元等多个维度进行交叉统计分析。集成柱状图、折线图、热力图、雷达图等多种图表类型，全面满足试验站人员不同分析场景需求。例如，试验站人员可通过柱状图横向对比不同作物在相同生育期的单位面积耗水差异，评估用水效率；也可利用折线图纵向分析特定田块历年同期的灌溉水量变化，研判长期趋势等</w:t>
            </w:r>
          </w:p>
        </w:tc>
      </w:tr>
      <w:tr w14:paraId="6DB81720">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50A3D29A">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4366" w:type="pct"/>
            <w:tcBorders>
              <w:top w:val="nil"/>
              <w:left w:val="nil"/>
              <w:bottom w:val="single" w:color="000000" w:sz="4" w:space="0"/>
              <w:right w:val="single" w:color="000000" w:sz="4" w:space="0"/>
            </w:tcBorders>
            <w:vAlign w:val="center"/>
          </w:tcPr>
          <w:p w14:paraId="3D046C36">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灌溉计划展示</w:t>
            </w:r>
          </w:p>
        </w:tc>
      </w:tr>
      <w:tr w14:paraId="77E0CA41">
        <w:tblPrEx>
          <w:tblCellMar>
            <w:top w:w="0" w:type="dxa"/>
            <w:left w:w="108" w:type="dxa"/>
            <w:bottom w:w="0" w:type="dxa"/>
            <w:right w:w="108" w:type="dxa"/>
          </w:tblCellMar>
        </w:tblPrEx>
        <w:trPr>
          <w:trHeight w:val="1350" w:hRule="atLeast"/>
          <w:jc w:val="center"/>
        </w:trPr>
        <w:tc>
          <w:tcPr>
            <w:tcW w:w="634" w:type="pct"/>
            <w:tcBorders>
              <w:top w:val="nil"/>
              <w:left w:val="single" w:color="000000" w:sz="4" w:space="0"/>
              <w:bottom w:val="single" w:color="000000" w:sz="4" w:space="0"/>
              <w:right w:val="single" w:color="000000" w:sz="4" w:space="0"/>
            </w:tcBorders>
            <w:vAlign w:val="center"/>
          </w:tcPr>
          <w:p w14:paraId="4A5C19B7">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7AE32A75">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提供各试验站（如南宁、北海、钦州等）及桂林中心站灌溉计划管理视图，以日历甘特图、时间轴等直观形式，集中展示不同试验站各试验区、不同作物在不同周期的详细灌溉计划安排。计划内容包含灌溉区域、作物类型、计划水量、执行时段等关键信息。试验站管理人员可宏观掌握全区灌溉节奏，各试验区工作人员则专注于本试验区的任务明细，从而实现灌溉任务的清晰化、可视化管理。</w:t>
            </w:r>
          </w:p>
        </w:tc>
      </w:tr>
      <w:tr w14:paraId="63564D58">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05BC1448">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4366" w:type="pct"/>
            <w:tcBorders>
              <w:top w:val="nil"/>
              <w:left w:val="nil"/>
              <w:bottom w:val="single" w:color="000000" w:sz="4" w:space="0"/>
              <w:right w:val="single" w:color="000000" w:sz="4" w:space="0"/>
            </w:tcBorders>
            <w:vAlign w:val="center"/>
          </w:tcPr>
          <w:p w14:paraId="359D01AE">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灌溉预报成果展示</w:t>
            </w:r>
          </w:p>
        </w:tc>
      </w:tr>
      <w:tr w14:paraId="15570E17">
        <w:tblPrEx>
          <w:tblCellMar>
            <w:top w:w="0" w:type="dxa"/>
            <w:left w:w="108" w:type="dxa"/>
            <w:bottom w:w="0" w:type="dxa"/>
            <w:right w:w="108" w:type="dxa"/>
          </w:tblCellMar>
        </w:tblPrEx>
        <w:trPr>
          <w:trHeight w:val="1080" w:hRule="atLeast"/>
          <w:jc w:val="center"/>
        </w:trPr>
        <w:tc>
          <w:tcPr>
            <w:tcW w:w="634" w:type="pct"/>
            <w:tcBorders>
              <w:top w:val="nil"/>
              <w:left w:val="single" w:color="000000" w:sz="4" w:space="0"/>
              <w:bottom w:val="single" w:color="000000" w:sz="4" w:space="0"/>
              <w:right w:val="single" w:color="000000" w:sz="4" w:space="0"/>
            </w:tcBorders>
            <w:vAlign w:val="center"/>
          </w:tcPr>
          <w:p w14:paraId="00E220B5">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668B9EC6">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气象预测成果展示（整合气象部门发布的未来多日（如3-7天）预报数据，通过趋势曲线图、降雨量柱状图及空间分布图等形式，直观展示未来降雨的起止时间、强度变化和空间分布。试验站人员可进一步结合作物当前生育期的需水特性及实时土壤墒情，对自然降雨的有效性及补充程度进行评估，判断是否需要延迟、减少或提前灌溉。）</w:t>
            </w:r>
          </w:p>
        </w:tc>
      </w:tr>
      <w:tr w14:paraId="34085C88">
        <w:tblPrEx>
          <w:tblCellMar>
            <w:top w:w="0" w:type="dxa"/>
            <w:left w:w="108" w:type="dxa"/>
            <w:bottom w:w="0" w:type="dxa"/>
            <w:right w:w="108" w:type="dxa"/>
          </w:tblCellMar>
        </w:tblPrEx>
        <w:trPr>
          <w:trHeight w:val="1350" w:hRule="atLeast"/>
          <w:jc w:val="center"/>
        </w:trPr>
        <w:tc>
          <w:tcPr>
            <w:tcW w:w="634" w:type="pct"/>
            <w:tcBorders>
              <w:top w:val="nil"/>
              <w:left w:val="single" w:color="000000" w:sz="4" w:space="0"/>
              <w:bottom w:val="single" w:color="000000" w:sz="4" w:space="0"/>
              <w:right w:val="single" w:color="000000" w:sz="4" w:space="0"/>
            </w:tcBorders>
            <w:vAlign w:val="center"/>
          </w:tcPr>
          <w:p w14:paraId="47C43B02">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b</w:t>
            </w:r>
          </w:p>
        </w:tc>
        <w:tc>
          <w:tcPr>
            <w:tcW w:w="4366" w:type="pct"/>
            <w:tcBorders>
              <w:top w:val="nil"/>
              <w:left w:val="nil"/>
              <w:bottom w:val="single" w:color="000000" w:sz="4" w:space="0"/>
              <w:right w:val="single" w:color="000000" w:sz="4" w:space="0"/>
            </w:tcBorders>
            <w:vAlign w:val="center"/>
          </w:tcPr>
          <w:p w14:paraId="1EF83B51">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气象灾害预警信息展示（建立与气象预警信号的实时同步机制，针对台风、暴雨、大风、冻害等可能影响试验站灌溉作业或作物生长的灾害性天气，进行全天候监控与可视化预警。预警信息不仅以分级（蓝、黄、橙、红）色块和列表形式在全局告警栏突出显示，使试验站管理人员能够快速评估灾害对试验站不同区域的潜在影响，启动不同的应急预案。）</w:t>
            </w:r>
          </w:p>
        </w:tc>
      </w:tr>
      <w:tr w14:paraId="195362BA">
        <w:tblPrEx>
          <w:tblCellMar>
            <w:top w:w="0" w:type="dxa"/>
            <w:left w:w="108" w:type="dxa"/>
            <w:bottom w:w="0" w:type="dxa"/>
            <w:right w:w="108" w:type="dxa"/>
          </w:tblCellMar>
        </w:tblPrEx>
        <w:trPr>
          <w:trHeight w:val="1080" w:hRule="atLeast"/>
          <w:jc w:val="center"/>
        </w:trPr>
        <w:tc>
          <w:tcPr>
            <w:tcW w:w="634" w:type="pct"/>
            <w:tcBorders>
              <w:top w:val="nil"/>
              <w:left w:val="single" w:color="000000" w:sz="4" w:space="0"/>
              <w:bottom w:val="single" w:color="000000" w:sz="4" w:space="0"/>
              <w:right w:val="single" w:color="000000" w:sz="4" w:space="0"/>
            </w:tcBorders>
            <w:vAlign w:val="center"/>
          </w:tcPr>
          <w:p w14:paraId="3FD29989">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c</w:t>
            </w:r>
          </w:p>
        </w:tc>
        <w:tc>
          <w:tcPr>
            <w:tcW w:w="4366" w:type="pct"/>
            <w:tcBorders>
              <w:top w:val="nil"/>
              <w:left w:val="nil"/>
              <w:bottom w:val="single" w:color="000000" w:sz="4" w:space="0"/>
              <w:right w:val="single" w:color="000000" w:sz="4" w:space="0"/>
            </w:tcBorders>
            <w:vAlign w:val="center"/>
          </w:tcPr>
          <w:p w14:paraId="265EAE59">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灌溉预测成果展示（接入实时滚动灌溉预报成果，明确未来数日内灌溉作业的具体时间、灌溉水量以及灌溉时长等关键信息。当实际气象条件发生改变时，系统可迅速感知并做出响应，即时对灌溉计划展开动态调整，以此有效应对天气变化所引发的不确定性，为科学灌溉决策提供可靠依据。）</w:t>
            </w:r>
          </w:p>
        </w:tc>
      </w:tr>
      <w:tr w14:paraId="261FB9A6">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2EFF3D9B">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4366" w:type="pct"/>
            <w:tcBorders>
              <w:top w:val="nil"/>
              <w:left w:val="nil"/>
              <w:bottom w:val="single" w:color="000000" w:sz="4" w:space="0"/>
              <w:right w:val="single" w:color="000000" w:sz="4" w:space="0"/>
            </w:tcBorders>
            <w:vAlign w:val="center"/>
          </w:tcPr>
          <w:p w14:paraId="2B2E3122">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办公助手</w:t>
            </w:r>
          </w:p>
        </w:tc>
      </w:tr>
      <w:tr w14:paraId="324DDB8C">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2A21D60B">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4366" w:type="pct"/>
            <w:tcBorders>
              <w:top w:val="nil"/>
              <w:left w:val="nil"/>
              <w:bottom w:val="single" w:color="000000" w:sz="4" w:space="0"/>
              <w:right w:val="single" w:color="000000" w:sz="4" w:space="0"/>
            </w:tcBorders>
            <w:vAlign w:val="center"/>
          </w:tcPr>
          <w:p w14:paraId="4F7E108D">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日常值班</w:t>
            </w:r>
          </w:p>
        </w:tc>
      </w:tr>
      <w:tr w14:paraId="1AC67BD0">
        <w:tblPrEx>
          <w:tblCellMar>
            <w:top w:w="0" w:type="dxa"/>
            <w:left w:w="108" w:type="dxa"/>
            <w:bottom w:w="0" w:type="dxa"/>
            <w:right w:w="108" w:type="dxa"/>
          </w:tblCellMar>
        </w:tblPrEx>
        <w:trPr>
          <w:trHeight w:val="1080" w:hRule="atLeast"/>
          <w:jc w:val="center"/>
        </w:trPr>
        <w:tc>
          <w:tcPr>
            <w:tcW w:w="634" w:type="pct"/>
            <w:tcBorders>
              <w:top w:val="nil"/>
              <w:left w:val="single" w:color="000000" w:sz="4" w:space="0"/>
              <w:bottom w:val="single" w:color="000000" w:sz="4" w:space="0"/>
              <w:right w:val="single" w:color="000000" w:sz="4" w:space="0"/>
            </w:tcBorders>
            <w:vAlign w:val="center"/>
          </w:tcPr>
          <w:p w14:paraId="6FEC5A08">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0C1B9F9A">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试验站值班人员手动记录当日值班记录和值班日志。值班记录包含：记录编号、值班人员、天气情况、重大隐患、交接班记录、接班人等信息。值班日志包含：值班日期、今日天气情况、值班班次（全天班、白班、晚班）、带班领导、值班人员；记录编号、日期、值班人员、天气情况、重大隐患、交接班记录、接班人员等。</w:t>
            </w:r>
          </w:p>
        </w:tc>
      </w:tr>
      <w:tr w14:paraId="7518B7EA">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4B889C2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4366" w:type="pct"/>
            <w:tcBorders>
              <w:top w:val="nil"/>
              <w:left w:val="nil"/>
              <w:bottom w:val="single" w:color="000000" w:sz="4" w:space="0"/>
              <w:right w:val="single" w:color="000000" w:sz="4" w:space="0"/>
            </w:tcBorders>
            <w:vAlign w:val="center"/>
          </w:tcPr>
          <w:p w14:paraId="1C15382C">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值班管理</w:t>
            </w:r>
          </w:p>
        </w:tc>
      </w:tr>
      <w:tr w14:paraId="5CC251A9">
        <w:tblPrEx>
          <w:tblCellMar>
            <w:top w:w="0" w:type="dxa"/>
            <w:left w:w="108" w:type="dxa"/>
            <w:bottom w:w="0" w:type="dxa"/>
            <w:right w:w="108" w:type="dxa"/>
          </w:tblCellMar>
        </w:tblPrEx>
        <w:trPr>
          <w:trHeight w:val="1080" w:hRule="atLeast"/>
          <w:jc w:val="center"/>
        </w:trPr>
        <w:tc>
          <w:tcPr>
            <w:tcW w:w="634" w:type="pct"/>
            <w:tcBorders>
              <w:top w:val="nil"/>
              <w:left w:val="single" w:color="000000" w:sz="4" w:space="0"/>
              <w:bottom w:val="single" w:color="000000" w:sz="4" w:space="0"/>
              <w:right w:val="single" w:color="000000" w:sz="4" w:space="0"/>
            </w:tcBorders>
            <w:vAlign w:val="center"/>
          </w:tcPr>
          <w:p w14:paraId="5054743B">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26030422">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记录试验站值班人员值班计划，可按月查询本人的值班情况。可按月查询试验站所有值班人员的值班计划，并可进行调班管理。班次设置：可编辑班次信息，包括班次名称、班次简称、上班时间、下班时间、班次颜色区分。值班人员管理：可编辑值班人员信息，包括：人员名称、角色、单位/部门名称、手机号、备注等。</w:t>
            </w:r>
          </w:p>
        </w:tc>
      </w:tr>
      <w:tr w14:paraId="70A0F098">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25C39AE9">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4366" w:type="pct"/>
            <w:tcBorders>
              <w:top w:val="nil"/>
              <w:left w:val="nil"/>
              <w:bottom w:val="single" w:color="000000" w:sz="4" w:space="0"/>
              <w:right w:val="single" w:color="000000" w:sz="4" w:space="0"/>
            </w:tcBorders>
            <w:vAlign w:val="center"/>
          </w:tcPr>
          <w:p w14:paraId="0484AB01">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考勤统计</w:t>
            </w:r>
          </w:p>
        </w:tc>
      </w:tr>
      <w:tr w14:paraId="2D216CA3">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693AF00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0E249980">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记录试验站人员的考勤信息，包括：日期、姓名、部门、状态、上班时间、下班时间、电话等。</w:t>
            </w:r>
          </w:p>
        </w:tc>
      </w:tr>
      <w:tr w14:paraId="2913CDC0">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76517856">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4366" w:type="pct"/>
            <w:tcBorders>
              <w:top w:val="nil"/>
              <w:left w:val="nil"/>
              <w:bottom w:val="single" w:color="000000" w:sz="4" w:space="0"/>
              <w:right w:val="single" w:color="000000" w:sz="4" w:space="0"/>
            </w:tcBorders>
            <w:vAlign w:val="center"/>
          </w:tcPr>
          <w:p w14:paraId="5DB2A293">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日常打卡</w:t>
            </w:r>
          </w:p>
        </w:tc>
      </w:tr>
      <w:tr w14:paraId="55B5EA88">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77C90B4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7893B5E4">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试验站人员可用此功能进行每日上下班打卡和请假申请等功能。</w:t>
            </w:r>
          </w:p>
        </w:tc>
      </w:tr>
      <w:tr w14:paraId="0F8CB60E">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3EF3433D">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4366" w:type="pct"/>
            <w:tcBorders>
              <w:top w:val="nil"/>
              <w:left w:val="nil"/>
              <w:bottom w:val="single" w:color="000000" w:sz="4" w:space="0"/>
              <w:right w:val="single" w:color="000000" w:sz="4" w:space="0"/>
            </w:tcBorders>
            <w:vAlign w:val="center"/>
          </w:tcPr>
          <w:p w14:paraId="3A093D98">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文件管理</w:t>
            </w:r>
          </w:p>
        </w:tc>
      </w:tr>
      <w:tr w14:paraId="3F30AE6C">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2430F5A7">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6F8E3FC0">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替代传统“纸质文件柜”，实现文档的集中存储、分类管理、权限控制和安全追溯，解决“文件丢失、版本混乱、查找难”问题。</w:t>
            </w:r>
          </w:p>
        </w:tc>
      </w:tr>
      <w:tr w14:paraId="2765D3D7">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49A040DF">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4366" w:type="pct"/>
            <w:tcBorders>
              <w:top w:val="nil"/>
              <w:left w:val="nil"/>
              <w:bottom w:val="single" w:color="000000" w:sz="4" w:space="0"/>
              <w:right w:val="single" w:color="000000" w:sz="4" w:space="0"/>
            </w:tcBorders>
            <w:vAlign w:val="center"/>
          </w:tcPr>
          <w:p w14:paraId="37FE072B">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任务管理</w:t>
            </w:r>
          </w:p>
        </w:tc>
      </w:tr>
      <w:tr w14:paraId="75846D1E">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087CA312">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0289A4D0">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创建任务并分配给成员，设置“截止时间、优先级”，成员实时更新进度（“进行中/已完成”），管理者可查看任务整体推进情况，避免“任务遗漏、责任不清”。</w:t>
            </w:r>
          </w:p>
        </w:tc>
      </w:tr>
      <w:tr w14:paraId="64D0A603">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745B0285">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(7)</w:t>
            </w:r>
          </w:p>
        </w:tc>
        <w:tc>
          <w:tcPr>
            <w:tcW w:w="4366" w:type="pct"/>
            <w:tcBorders>
              <w:top w:val="nil"/>
              <w:left w:val="nil"/>
              <w:bottom w:val="single" w:color="000000" w:sz="4" w:space="0"/>
              <w:right w:val="single" w:color="000000" w:sz="4" w:space="0"/>
            </w:tcBorders>
            <w:vAlign w:val="center"/>
          </w:tcPr>
          <w:p w14:paraId="63C70326">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通讯录</w:t>
            </w:r>
          </w:p>
        </w:tc>
      </w:tr>
      <w:tr w14:paraId="297F5616">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337DBFCB">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2BBA69F3">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对试验站员工手机号进行统计管理，与APP同步数据后方便移动端快速拨号。</w:t>
            </w:r>
          </w:p>
        </w:tc>
      </w:tr>
      <w:tr w14:paraId="33CE8277">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1516566C">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7</w:t>
            </w:r>
          </w:p>
        </w:tc>
        <w:tc>
          <w:tcPr>
            <w:tcW w:w="4366" w:type="pct"/>
            <w:tcBorders>
              <w:top w:val="nil"/>
              <w:left w:val="nil"/>
              <w:bottom w:val="single" w:color="000000" w:sz="4" w:space="0"/>
              <w:right w:val="single" w:color="000000" w:sz="4" w:space="0"/>
            </w:tcBorders>
            <w:vAlign w:val="center"/>
          </w:tcPr>
          <w:p w14:paraId="75CC25AE">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系统管理</w:t>
            </w:r>
          </w:p>
        </w:tc>
      </w:tr>
      <w:tr w14:paraId="0C6B7FD9">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146FEB9F">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4366" w:type="pct"/>
            <w:tcBorders>
              <w:top w:val="nil"/>
              <w:left w:val="nil"/>
              <w:bottom w:val="single" w:color="000000" w:sz="4" w:space="0"/>
              <w:right w:val="single" w:color="000000" w:sz="4" w:space="0"/>
            </w:tcBorders>
            <w:vAlign w:val="center"/>
          </w:tcPr>
          <w:p w14:paraId="648CE64A">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用户管理</w:t>
            </w:r>
          </w:p>
        </w:tc>
      </w:tr>
      <w:tr w14:paraId="731FD144">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13146EF1">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5F3AF041">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通过配置试验站组织结构，分部门添加系统用户信息，可对用户信息进行新增、修改、角色分配等管理功能，包括：登录账号、登录密码、姓名、邮箱、手机号、用户角色、重置密码等。</w:t>
            </w:r>
          </w:p>
        </w:tc>
      </w:tr>
      <w:tr w14:paraId="419A6FA1">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26AC0DDF">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4366" w:type="pct"/>
            <w:tcBorders>
              <w:top w:val="nil"/>
              <w:left w:val="nil"/>
              <w:bottom w:val="single" w:color="000000" w:sz="4" w:space="0"/>
              <w:right w:val="single" w:color="000000" w:sz="4" w:space="0"/>
            </w:tcBorders>
            <w:vAlign w:val="center"/>
          </w:tcPr>
          <w:p w14:paraId="6E4AAB4C">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角色管理</w:t>
            </w:r>
          </w:p>
        </w:tc>
      </w:tr>
      <w:tr w14:paraId="7E8FBC3F">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5CB9586A">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07CA7FA6">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通过严格的权限控制系统，保障数据安全，防止未经授权的访问，确保系统数据安全可靠。不同的角色配置对应的系统功能菜单访问地址。</w:t>
            </w:r>
          </w:p>
        </w:tc>
      </w:tr>
      <w:tr w14:paraId="1559B3AE">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6B35BEE3">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4366" w:type="pct"/>
            <w:tcBorders>
              <w:top w:val="nil"/>
              <w:left w:val="nil"/>
              <w:bottom w:val="single" w:color="000000" w:sz="4" w:space="0"/>
              <w:right w:val="single" w:color="000000" w:sz="4" w:space="0"/>
            </w:tcBorders>
            <w:vAlign w:val="center"/>
          </w:tcPr>
          <w:p w14:paraId="0D65CC42">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菜单管理</w:t>
            </w:r>
          </w:p>
        </w:tc>
      </w:tr>
      <w:tr w14:paraId="42260282">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2D4EDA6D">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37A14D7A">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负责实现菜单的动态配置、权限控制及层级展示。包括：菜单名称、显示国标、访问路径、权限、类型等。</w:t>
            </w:r>
          </w:p>
        </w:tc>
      </w:tr>
      <w:tr w14:paraId="434931C5">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473B101D">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4366" w:type="pct"/>
            <w:tcBorders>
              <w:top w:val="nil"/>
              <w:left w:val="nil"/>
              <w:bottom w:val="single" w:color="000000" w:sz="4" w:space="0"/>
              <w:right w:val="single" w:color="000000" w:sz="4" w:space="0"/>
            </w:tcBorders>
            <w:vAlign w:val="center"/>
          </w:tcPr>
          <w:p w14:paraId="77DBB8B0">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操作日志</w:t>
            </w:r>
          </w:p>
        </w:tc>
      </w:tr>
      <w:tr w14:paraId="4E62BE21">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6A0739E4">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1459A6DA">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系统用户登录后，记录其访问和操作系统功能的操作日志。包括：访问请求地址、求请IP地址、操作用户、创建时间等。</w:t>
            </w:r>
          </w:p>
        </w:tc>
      </w:tr>
      <w:tr w14:paraId="66408018">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3D24D606">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4366" w:type="pct"/>
            <w:tcBorders>
              <w:top w:val="nil"/>
              <w:left w:val="nil"/>
              <w:bottom w:val="single" w:color="000000" w:sz="4" w:space="0"/>
              <w:right w:val="single" w:color="000000" w:sz="4" w:space="0"/>
            </w:tcBorders>
            <w:vAlign w:val="center"/>
          </w:tcPr>
          <w:p w14:paraId="5739FA34">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登录日志</w:t>
            </w:r>
          </w:p>
        </w:tc>
      </w:tr>
      <w:tr w14:paraId="0423A37F">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537F057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6E95CE99">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规范记录系统用户登录日志，便于问题追踪与解决，为系统长期稳定运行提供支持。包括：登录账号名称、登录IP、状态、登录方式、失败原因、创建时间等。</w:t>
            </w:r>
          </w:p>
        </w:tc>
      </w:tr>
      <w:tr w14:paraId="72226CC1">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6643DF6E">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4366" w:type="pct"/>
            <w:tcBorders>
              <w:top w:val="nil"/>
              <w:left w:val="nil"/>
              <w:bottom w:val="single" w:color="000000" w:sz="4" w:space="0"/>
              <w:right w:val="single" w:color="000000" w:sz="4" w:space="0"/>
            </w:tcBorders>
            <w:vAlign w:val="center"/>
          </w:tcPr>
          <w:p w14:paraId="19050F23">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平台参数配置</w:t>
            </w:r>
          </w:p>
        </w:tc>
      </w:tr>
      <w:tr w14:paraId="077B04DD">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2DB32D6A">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706901E8">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提供灵活的系统参数配置功能，快速适应业务变化，满足不同用户多样化需求。可配置系统名称、可配置数据表格记录行数据、可配置邮件服务器地址和端口、可配置短信接口账号和密码等。</w:t>
            </w:r>
          </w:p>
        </w:tc>
      </w:tr>
      <w:tr w14:paraId="731E7A40">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15765533">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8</w:t>
            </w:r>
          </w:p>
        </w:tc>
        <w:tc>
          <w:tcPr>
            <w:tcW w:w="4366" w:type="pct"/>
            <w:tcBorders>
              <w:top w:val="nil"/>
              <w:left w:val="nil"/>
              <w:bottom w:val="single" w:color="000000" w:sz="4" w:space="0"/>
              <w:right w:val="single" w:color="000000" w:sz="4" w:space="0"/>
            </w:tcBorders>
            <w:vAlign w:val="center"/>
          </w:tcPr>
          <w:p w14:paraId="19587F75">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移动端APP（安卓版）</w:t>
            </w:r>
          </w:p>
        </w:tc>
      </w:tr>
      <w:tr w14:paraId="0278C496">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7344E5C7">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4366" w:type="pct"/>
            <w:tcBorders>
              <w:top w:val="nil"/>
              <w:left w:val="nil"/>
              <w:bottom w:val="single" w:color="000000" w:sz="4" w:space="0"/>
              <w:right w:val="single" w:color="000000" w:sz="4" w:space="0"/>
            </w:tcBorders>
            <w:vAlign w:val="center"/>
          </w:tcPr>
          <w:p w14:paraId="0D61F821">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灌溉预报</w:t>
            </w:r>
          </w:p>
        </w:tc>
      </w:tr>
      <w:tr w14:paraId="44A72213">
        <w:tblPrEx>
          <w:tblCellMar>
            <w:top w:w="0" w:type="dxa"/>
            <w:left w:w="108" w:type="dxa"/>
            <w:bottom w:w="0" w:type="dxa"/>
            <w:right w:w="108" w:type="dxa"/>
          </w:tblCellMar>
        </w:tblPrEx>
        <w:trPr>
          <w:trHeight w:val="1620" w:hRule="atLeast"/>
          <w:jc w:val="center"/>
        </w:trPr>
        <w:tc>
          <w:tcPr>
            <w:tcW w:w="634" w:type="pct"/>
            <w:tcBorders>
              <w:top w:val="nil"/>
              <w:left w:val="single" w:color="000000" w:sz="4" w:space="0"/>
              <w:bottom w:val="single" w:color="000000" w:sz="4" w:space="0"/>
              <w:right w:val="single" w:color="000000" w:sz="4" w:space="0"/>
            </w:tcBorders>
            <w:vAlign w:val="center"/>
          </w:tcPr>
          <w:p w14:paraId="6E1A639D">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2CF4C144">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天气预报（对接中国气象局气象数据服务平台等权威气象源，提供试验站位置的实时天气实况（气温、湿度、风速等）、2小时短时降雨预测、未来7天多时段气象预报（分时段温度、降水概率、日照时长等），并集成气象灾害预警（暴雨、高温、寒潮等预警等级与防御提示）。查看当日及未来几小时预报，若预报有暴雨且作物处于需水较少阶段，可决策暂停当日灌溉作业。依据精准气象信息提前调整农事与灌溉安排，避免气象不利因素影响作物生长或造成水资源浪费，辅助试验站人员科学决策农事活动。）</w:t>
            </w:r>
          </w:p>
        </w:tc>
      </w:tr>
      <w:tr w14:paraId="48B71A51">
        <w:tblPrEx>
          <w:tblCellMar>
            <w:top w:w="0" w:type="dxa"/>
            <w:left w:w="108" w:type="dxa"/>
            <w:bottom w:w="0" w:type="dxa"/>
            <w:right w:w="108" w:type="dxa"/>
          </w:tblCellMar>
        </w:tblPrEx>
        <w:trPr>
          <w:trHeight w:val="1890" w:hRule="atLeast"/>
          <w:jc w:val="center"/>
        </w:trPr>
        <w:tc>
          <w:tcPr>
            <w:tcW w:w="634" w:type="pct"/>
            <w:tcBorders>
              <w:top w:val="nil"/>
              <w:left w:val="single" w:color="000000" w:sz="4" w:space="0"/>
              <w:bottom w:val="single" w:color="000000" w:sz="4" w:space="0"/>
              <w:right w:val="single" w:color="000000" w:sz="4" w:space="0"/>
            </w:tcBorders>
            <w:vAlign w:val="center"/>
          </w:tcPr>
          <w:p w14:paraId="5AD2FA9B">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b</w:t>
            </w:r>
          </w:p>
        </w:tc>
        <w:tc>
          <w:tcPr>
            <w:tcW w:w="4366" w:type="pct"/>
            <w:tcBorders>
              <w:top w:val="nil"/>
              <w:left w:val="nil"/>
              <w:bottom w:val="single" w:color="000000" w:sz="4" w:space="0"/>
              <w:right w:val="single" w:color="000000" w:sz="4" w:space="0"/>
            </w:tcBorders>
            <w:vAlign w:val="center"/>
          </w:tcPr>
          <w:p w14:paraId="6F23BA83">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历史气象（通过国家气象信息中心授权接口，获取2008年至今试验站位置的历史气象数据（涵盖气温、降水、湿度、日照时长、风速风向等多参数）；支持按“年、季、月、日”维度查询，以折线图、柱状图、热力图等形式图表化分析（如对比近5年同期气温、某月份降雨量分布）。云端存储历史气象大数据，前端通过可视化组件渲染交互图表。试验站技术人员制定下一年灌溉制度时，查询近10年同期降雨量数据，结合图表分析降水规律，优化灌溉定额与周期。为基地长期经营管理（灌溉制度优化、作物品种选择等）提供历史气象规律依据，提升决策科学性与前瞻性。）</w:t>
            </w:r>
          </w:p>
        </w:tc>
      </w:tr>
      <w:tr w14:paraId="504A8B2C">
        <w:tblPrEx>
          <w:tblCellMar>
            <w:top w:w="0" w:type="dxa"/>
            <w:left w:w="108" w:type="dxa"/>
            <w:bottom w:w="0" w:type="dxa"/>
            <w:right w:w="108" w:type="dxa"/>
          </w:tblCellMar>
        </w:tblPrEx>
        <w:trPr>
          <w:trHeight w:val="1620" w:hRule="atLeast"/>
          <w:jc w:val="center"/>
        </w:trPr>
        <w:tc>
          <w:tcPr>
            <w:tcW w:w="634" w:type="pct"/>
            <w:tcBorders>
              <w:top w:val="nil"/>
              <w:left w:val="single" w:color="000000" w:sz="4" w:space="0"/>
              <w:bottom w:val="single" w:color="000000" w:sz="4" w:space="0"/>
              <w:right w:val="single" w:color="000000" w:sz="4" w:space="0"/>
            </w:tcBorders>
            <w:vAlign w:val="center"/>
          </w:tcPr>
          <w:p w14:paraId="33797077">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c</w:t>
            </w:r>
          </w:p>
        </w:tc>
        <w:tc>
          <w:tcPr>
            <w:tcW w:w="4366" w:type="pct"/>
            <w:tcBorders>
              <w:top w:val="nil"/>
              <w:left w:val="nil"/>
              <w:bottom w:val="single" w:color="000000" w:sz="4" w:space="0"/>
              <w:right w:val="single" w:color="000000" w:sz="4" w:space="0"/>
            </w:tcBorders>
            <w:vAlign w:val="center"/>
          </w:tcPr>
          <w:p w14:paraId="2374BB84">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历史灾情（获取对接国家灾害数据库，获取试验站所在区域实时及2008年至今超100种天气灾害预警数据（含灾害类型、等级、影响范围、持续时间、历史损失案例等）；以地图标注+详情弹窗形式展示。基于GIS地图实现灾害范围可视化，结合数据库存储灾害详情进行关联展示。查看试验站所在区域历史洪涝分布，针对性设置灌溉泵站与优化排水系统。从历史灾害总结风险规律，在灌溉设施建设、农事安排上提前规避风险，保障灌溉系统与作物生产稳定性。）</w:t>
            </w:r>
          </w:p>
        </w:tc>
      </w:tr>
      <w:tr w14:paraId="433718C1">
        <w:tblPrEx>
          <w:tblCellMar>
            <w:top w:w="0" w:type="dxa"/>
            <w:left w:w="108" w:type="dxa"/>
            <w:bottom w:w="0" w:type="dxa"/>
            <w:right w:w="108" w:type="dxa"/>
          </w:tblCellMar>
        </w:tblPrEx>
        <w:trPr>
          <w:trHeight w:val="2430" w:hRule="atLeast"/>
          <w:jc w:val="center"/>
        </w:trPr>
        <w:tc>
          <w:tcPr>
            <w:tcW w:w="634" w:type="pct"/>
            <w:tcBorders>
              <w:top w:val="nil"/>
              <w:left w:val="single" w:color="000000" w:sz="4" w:space="0"/>
              <w:bottom w:val="single" w:color="000000" w:sz="4" w:space="0"/>
              <w:right w:val="single" w:color="000000" w:sz="4" w:space="0"/>
            </w:tcBorders>
            <w:vAlign w:val="center"/>
          </w:tcPr>
          <w:p w14:paraId="56C9F71E">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d</w:t>
            </w:r>
          </w:p>
        </w:tc>
        <w:tc>
          <w:tcPr>
            <w:tcW w:w="4366" w:type="pct"/>
            <w:tcBorders>
              <w:top w:val="nil"/>
              <w:left w:val="nil"/>
              <w:bottom w:val="single" w:color="000000" w:sz="4" w:space="0"/>
              <w:right w:val="single" w:color="000000" w:sz="4" w:space="0"/>
            </w:tcBorders>
            <w:vAlign w:val="center"/>
          </w:tcPr>
          <w:p w14:paraId="0CB6285C">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积温积雨（基于试验站物联网传感器采集的气温、降雨数据，自动统计活动积温（某时段内日均温≥10℃的温度总和，反映作物生长热量条件）与累计降雨；支持“当前周期与历史同期（近3年/ 5年）、当前年份与对比年份（高产/受灾年份）”等多维度数据对比，以动态趋势图+数据看板呈现（点击图表可钻取具体日期明细）。</w:t>
            </w:r>
            <w:r>
              <w:rPr>
                <w:rFonts w:hint="eastAsia" w:ascii="宋体" w:hAnsi="宋体" w:eastAsia="宋体" w:cs="宋体"/>
                <w:kern w:val="0"/>
                <w:sz w:val="21"/>
                <w:szCs w:val="21"/>
              </w:rPr>
              <w:br w:type="textWrapping"/>
            </w:r>
            <w:r>
              <w:rPr>
                <w:rFonts w:hint="eastAsia" w:ascii="宋体" w:hAnsi="宋体" w:eastAsia="宋体" w:cs="宋体"/>
                <w:kern w:val="0"/>
                <w:sz w:val="21"/>
                <w:szCs w:val="21"/>
              </w:rPr>
              <w:t>运用大数据统计与对比算法，结合前端交互可视化技术实现多维度数据灵活对比。作物生长季内，农技人员每周查看积温积雨统计，对比今年与去年同期数据，若发现今年积温偏高、降雨偏少，结合作物需水模型提前调整灌溉频率与水量。从热量与水分维度量化当前作物生长环境与历史的差异，为灌溉调整提供量化依据，保障作物生长与需水的匹配度。）</w:t>
            </w:r>
          </w:p>
        </w:tc>
      </w:tr>
      <w:tr w14:paraId="1F76C942">
        <w:tblPrEx>
          <w:tblCellMar>
            <w:top w:w="0" w:type="dxa"/>
            <w:left w:w="108" w:type="dxa"/>
            <w:bottom w:w="0" w:type="dxa"/>
            <w:right w:w="108" w:type="dxa"/>
          </w:tblCellMar>
        </w:tblPrEx>
        <w:trPr>
          <w:trHeight w:val="1080" w:hRule="atLeast"/>
          <w:jc w:val="center"/>
        </w:trPr>
        <w:tc>
          <w:tcPr>
            <w:tcW w:w="634" w:type="pct"/>
            <w:tcBorders>
              <w:top w:val="nil"/>
              <w:left w:val="single" w:color="000000" w:sz="4" w:space="0"/>
              <w:bottom w:val="single" w:color="000000" w:sz="4" w:space="0"/>
              <w:right w:val="single" w:color="000000" w:sz="4" w:space="0"/>
            </w:tcBorders>
            <w:vAlign w:val="center"/>
          </w:tcPr>
          <w:p w14:paraId="33BD7AF5">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e</w:t>
            </w:r>
          </w:p>
        </w:tc>
        <w:tc>
          <w:tcPr>
            <w:tcW w:w="4366" w:type="pct"/>
            <w:tcBorders>
              <w:top w:val="nil"/>
              <w:left w:val="nil"/>
              <w:bottom w:val="single" w:color="000000" w:sz="4" w:space="0"/>
              <w:right w:val="single" w:color="000000" w:sz="4" w:space="0"/>
            </w:tcBorders>
            <w:vAlign w:val="center"/>
          </w:tcPr>
          <w:p w14:paraId="5DA509D3">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灌溉决策辅助（与网页端功能同步，移动端可查看短期（未来15天）、中长期（作物全生育期）需水量预报结果及系统修正后的灌溉计划。通过智能化需水预测与计划修正，让灌溉从“经验驱动”转向“数据 + 模型驱动”，提升灌溉精准性与科学性，减少水资源浪费与作物受旱风险。）</w:t>
            </w:r>
          </w:p>
        </w:tc>
      </w:tr>
      <w:tr w14:paraId="65E6C97F">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2B13A825">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4366" w:type="pct"/>
            <w:tcBorders>
              <w:top w:val="nil"/>
              <w:left w:val="nil"/>
              <w:bottom w:val="single" w:color="000000" w:sz="4" w:space="0"/>
              <w:right w:val="single" w:color="000000" w:sz="4" w:space="0"/>
            </w:tcBorders>
            <w:vAlign w:val="center"/>
          </w:tcPr>
          <w:p w14:paraId="54308EE5">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巡检</w:t>
            </w:r>
          </w:p>
        </w:tc>
      </w:tr>
      <w:tr w14:paraId="7B612EEC">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61CCF2F6">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08C4A7AC">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现场巡检</w:t>
            </w:r>
          </w:p>
        </w:tc>
      </w:tr>
      <w:tr w14:paraId="7A18C37F">
        <w:tblPrEx>
          <w:tblCellMar>
            <w:top w:w="0" w:type="dxa"/>
            <w:left w:w="108" w:type="dxa"/>
            <w:bottom w:w="0" w:type="dxa"/>
            <w:right w:w="108" w:type="dxa"/>
          </w:tblCellMar>
        </w:tblPrEx>
        <w:trPr>
          <w:trHeight w:val="1080" w:hRule="atLeast"/>
          <w:jc w:val="center"/>
        </w:trPr>
        <w:tc>
          <w:tcPr>
            <w:tcW w:w="634" w:type="pct"/>
            <w:tcBorders>
              <w:top w:val="nil"/>
              <w:left w:val="single" w:color="000000" w:sz="4" w:space="0"/>
              <w:bottom w:val="single" w:color="000000" w:sz="4" w:space="0"/>
              <w:right w:val="single" w:color="000000" w:sz="4" w:space="0"/>
            </w:tcBorders>
            <w:vAlign w:val="center"/>
          </w:tcPr>
          <w:p w14:paraId="5A5211D6">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595DAF3E">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现场巡检功能利用 AI 植物识别技术，帮助用户快速确认作物类型。用户只需拍摄作物图片，系统就能自动识别并提供相关信息，方便现场人员依据对应的灌溉制度进行操作。此外，系统还具备病虫害识别功能，能够快速甄别病害虫害，及时防治，避免病虫害影响作物需水规律，干扰正常灌溉制度的执行。</w:t>
            </w:r>
          </w:p>
        </w:tc>
      </w:tr>
      <w:tr w14:paraId="4430B667">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2310E782">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b</w:t>
            </w:r>
          </w:p>
        </w:tc>
        <w:tc>
          <w:tcPr>
            <w:tcW w:w="4366" w:type="pct"/>
            <w:tcBorders>
              <w:top w:val="nil"/>
              <w:left w:val="nil"/>
              <w:bottom w:val="single" w:color="000000" w:sz="4" w:space="0"/>
              <w:right w:val="single" w:color="000000" w:sz="4" w:space="0"/>
            </w:tcBorders>
            <w:vAlign w:val="center"/>
          </w:tcPr>
          <w:p w14:paraId="1BDB3944">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营养诊断</w:t>
            </w:r>
          </w:p>
        </w:tc>
      </w:tr>
      <w:tr w14:paraId="7F6AF94F">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1BD258F3">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11F85895">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营养诊断功能通过作物诊断、病虫害诊断以及作物物侯期诊断，从而帮助用户现场诊断作物的营养状况，指导精准施肥，维持作物健康生长，稳定灌溉需求，保障灌溉制度的有效性。</w:t>
            </w:r>
          </w:p>
        </w:tc>
      </w:tr>
      <w:tr w14:paraId="2C2C822E">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45EB39D8">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c</w:t>
            </w:r>
          </w:p>
        </w:tc>
        <w:tc>
          <w:tcPr>
            <w:tcW w:w="4366" w:type="pct"/>
            <w:tcBorders>
              <w:top w:val="nil"/>
              <w:left w:val="nil"/>
              <w:bottom w:val="single" w:color="000000" w:sz="4" w:space="0"/>
              <w:right w:val="single" w:color="000000" w:sz="4" w:space="0"/>
            </w:tcBorders>
            <w:vAlign w:val="center"/>
          </w:tcPr>
          <w:p w14:paraId="46B1C056">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巡检记录</w:t>
            </w:r>
          </w:p>
        </w:tc>
      </w:tr>
      <w:tr w14:paraId="7ED314EE">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428AD782">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695862CC">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巡检记录功能使得用户可以便捷地记录现场情况，留存工作痕迹，重点记录与灌溉相关的现场发现，如灌溉设施漏水、土壤异常湿润等，为后续调整灌溉制度提供参考。</w:t>
            </w:r>
          </w:p>
        </w:tc>
      </w:tr>
      <w:tr w14:paraId="1C161BA9">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02D6F317">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(3)</w:t>
            </w:r>
          </w:p>
        </w:tc>
        <w:tc>
          <w:tcPr>
            <w:tcW w:w="4366" w:type="pct"/>
            <w:tcBorders>
              <w:top w:val="nil"/>
              <w:left w:val="nil"/>
              <w:bottom w:val="single" w:color="000000" w:sz="4" w:space="0"/>
              <w:right w:val="single" w:color="000000" w:sz="4" w:space="0"/>
            </w:tcBorders>
            <w:vAlign w:val="center"/>
          </w:tcPr>
          <w:p w14:paraId="0BDF99A6">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远程监控</w:t>
            </w:r>
          </w:p>
        </w:tc>
      </w:tr>
      <w:tr w14:paraId="5AD58AB8">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172FECFB">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1DBC45FC">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实时监控（用户可随时随地查看站点实时状况，重点关注正在灌溉的区域、水量流速等数据，确保现场灌溉与计划一致，保障灌溉制度落地。）</w:t>
            </w:r>
          </w:p>
        </w:tc>
      </w:tr>
      <w:tr w14:paraId="34C10EE2">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4D379B32">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b</w:t>
            </w:r>
          </w:p>
        </w:tc>
        <w:tc>
          <w:tcPr>
            <w:tcW w:w="4366" w:type="pct"/>
            <w:tcBorders>
              <w:top w:val="nil"/>
              <w:left w:val="nil"/>
              <w:bottom w:val="single" w:color="000000" w:sz="4" w:space="0"/>
              <w:right w:val="single" w:color="000000" w:sz="4" w:space="0"/>
            </w:tcBorders>
            <w:vAlign w:val="center"/>
          </w:tcPr>
          <w:p w14:paraId="4A4ADB04">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设备状态监测（让用户可以掌控设备的运行健康状况，提前预警故障，避免设备突发问题打乱灌溉节奏，影响灌溉制度的执行。）</w:t>
            </w:r>
          </w:p>
        </w:tc>
      </w:tr>
      <w:tr w14:paraId="2A4390CB">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6D64B33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c</w:t>
            </w:r>
          </w:p>
        </w:tc>
        <w:tc>
          <w:tcPr>
            <w:tcW w:w="4366" w:type="pct"/>
            <w:tcBorders>
              <w:top w:val="nil"/>
              <w:left w:val="nil"/>
              <w:bottom w:val="single" w:color="000000" w:sz="4" w:space="0"/>
              <w:right w:val="single" w:color="000000" w:sz="4" w:space="0"/>
            </w:tcBorders>
            <w:vAlign w:val="center"/>
          </w:tcPr>
          <w:p w14:paraId="39A28135">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预警推送（主动推送气象灾害、设备故障等异常信息，确保用户及时知晓并调整灌溉策略，维护制度稳定性。）</w:t>
            </w:r>
          </w:p>
        </w:tc>
      </w:tr>
      <w:tr w14:paraId="1BD24E47">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7D167A9C">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d</w:t>
            </w:r>
          </w:p>
        </w:tc>
        <w:tc>
          <w:tcPr>
            <w:tcW w:w="4366" w:type="pct"/>
            <w:tcBorders>
              <w:top w:val="nil"/>
              <w:left w:val="nil"/>
              <w:bottom w:val="single" w:color="000000" w:sz="4" w:space="0"/>
              <w:right w:val="single" w:color="000000" w:sz="4" w:space="0"/>
            </w:tcBorders>
            <w:vAlign w:val="center"/>
          </w:tcPr>
          <w:p w14:paraId="2EE4D529">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远程控制（支持用户通过 APP 远程快速操作设备，应对突发情况，实现灌溉制度的灵活调整。）</w:t>
            </w:r>
          </w:p>
        </w:tc>
      </w:tr>
      <w:tr w14:paraId="68B51634">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6E11BF19">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(4)</w:t>
            </w:r>
          </w:p>
        </w:tc>
        <w:tc>
          <w:tcPr>
            <w:tcW w:w="4366" w:type="pct"/>
            <w:tcBorders>
              <w:top w:val="nil"/>
              <w:left w:val="nil"/>
              <w:bottom w:val="single" w:color="000000" w:sz="4" w:space="0"/>
              <w:right w:val="single" w:color="000000" w:sz="4" w:space="0"/>
            </w:tcBorders>
            <w:vAlign w:val="center"/>
          </w:tcPr>
          <w:p w14:paraId="7392FB06">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人工数据采集</w:t>
            </w:r>
          </w:p>
        </w:tc>
      </w:tr>
      <w:tr w14:paraId="5487132B">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0621C101">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13057C87">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通过APP进行人工数据采集，补充各个试验区数据（水位、灌排水量、棵间蒸发、排水水质、温湿气体、重量、土壤墒情、降雨量、降雨径流量、气象数据等），与物联网传感器自动采集数据形成互补。</w:t>
            </w:r>
          </w:p>
        </w:tc>
      </w:tr>
      <w:tr w14:paraId="012720AF">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5CF7477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(5)</w:t>
            </w:r>
          </w:p>
        </w:tc>
        <w:tc>
          <w:tcPr>
            <w:tcW w:w="4366" w:type="pct"/>
            <w:tcBorders>
              <w:top w:val="nil"/>
              <w:left w:val="nil"/>
              <w:bottom w:val="single" w:color="000000" w:sz="4" w:space="0"/>
              <w:right w:val="single" w:color="000000" w:sz="4" w:space="0"/>
            </w:tcBorders>
            <w:vAlign w:val="center"/>
          </w:tcPr>
          <w:p w14:paraId="653A1AE8">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视频监视</w:t>
            </w:r>
          </w:p>
        </w:tc>
      </w:tr>
      <w:tr w14:paraId="7EA6A9C4">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551D8A5A">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76F70C7A">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视频监控实现试验中心站全区域所有视频监视画面的接入，通过移动端实现实时视频监控画面浏览。</w:t>
            </w:r>
          </w:p>
        </w:tc>
      </w:tr>
      <w:tr w14:paraId="37E02805">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5ACBB15F">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(6)</w:t>
            </w:r>
          </w:p>
        </w:tc>
        <w:tc>
          <w:tcPr>
            <w:tcW w:w="4366" w:type="pct"/>
            <w:tcBorders>
              <w:top w:val="nil"/>
              <w:left w:val="nil"/>
              <w:bottom w:val="single" w:color="000000" w:sz="4" w:space="0"/>
              <w:right w:val="single" w:color="000000" w:sz="4" w:space="0"/>
            </w:tcBorders>
            <w:vAlign w:val="center"/>
          </w:tcPr>
          <w:p w14:paraId="37905A2C">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考勤打卡</w:t>
            </w:r>
          </w:p>
        </w:tc>
      </w:tr>
      <w:tr w14:paraId="0BCA8FA0">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2D6C2015">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2D255214">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试验站人员可用此功能进行每日上下班打卡和请假申请等功能。此功能与办公助手模块中的日常打卡数据同步，实现移动端上下班打卡。</w:t>
            </w:r>
          </w:p>
        </w:tc>
      </w:tr>
      <w:tr w14:paraId="05EB78C0">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74F4B61A">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(7)</w:t>
            </w:r>
          </w:p>
        </w:tc>
        <w:tc>
          <w:tcPr>
            <w:tcW w:w="4366" w:type="pct"/>
            <w:tcBorders>
              <w:top w:val="nil"/>
              <w:left w:val="nil"/>
              <w:bottom w:val="single" w:color="000000" w:sz="4" w:space="0"/>
              <w:right w:val="single" w:color="000000" w:sz="4" w:space="0"/>
            </w:tcBorders>
            <w:vAlign w:val="center"/>
          </w:tcPr>
          <w:p w14:paraId="3A4F0E7C">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通讯录</w:t>
            </w:r>
          </w:p>
        </w:tc>
      </w:tr>
      <w:tr w14:paraId="5C2AD73E">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35841F17">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08666B30">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对试验站员工手机号进行统一管理，此功能与办公助手模块中的通讯录数据同步，移动端可以快速拨号。</w:t>
            </w:r>
          </w:p>
        </w:tc>
      </w:tr>
      <w:tr w14:paraId="246D53CF">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7290585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(8)</w:t>
            </w:r>
          </w:p>
        </w:tc>
        <w:tc>
          <w:tcPr>
            <w:tcW w:w="4366" w:type="pct"/>
            <w:tcBorders>
              <w:top w:val="nil"/>
              <w:left w:val="nil"/>
              <w:bottom w:val="single" w:color="000000" w:sz="4" w:space="0"/>
              <w:right w:val="single" w:color="000000" w:sz="4" w:space="0"/>
            </w:tcBorders>
            <w:vAlign w:val="center"/>
          </w:tcPr>
          <w:p w14:paraId="50D8B38F">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个人中心</w:t>
            </w:r>
          </w:p>
        </w:tc>
      </w:tr>
      <w:tr w14:paraId="429D4556">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11350465">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37549322">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为用户可以通过个人信息管理本人基础信息；通过系统设置功能，自定义个人界面展示风格；通过通知消息设置功能定制个性化服务。提升用户对平台的操作体验与使用效率，助力用户更高效地开展灌溉相关工作。</w:t>
            </w:r>
          </w:p>
        </w:tc>
      </w:tr>
      <w:tr w14:paraId="4BCDE5EB">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2679C0BF">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9</w:t>
            </w:r>
          </w:p>
        </w:tc>
        <w:tc>
          <w:tcPr>
            <w:tcW w:w="4366" w:type="pct"/>
            <w:tcBorders>
              <w:top w:val="nil"/>
              <w:left w:val="nil"/>
              <w:bottom w:val="single" w:color="000000" w:sz="4" w:space="0"/>
              <w:right w:val="single" w:color="000000" w:sz="4" w:space="0"/>
            </w:tcBorders>
            <w:vAlign w:val="center"/>
          </w:tcPr>
          <w:p w14:paraId="76523BD2">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科学数据共享</w:t>
            </w:r>
          </w:p>
        </w:tc>
      </w:tr>
      <w:tr w14:paraId="55B8F44C">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34FA4150">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4366" w:type="pct"/>
            <w:tcBorders>
              <w:top w:val="nil"/>
              <w:left w:val="nil"/>
              <w:bottom w:val="single" w:color="000000" w:sz="4" w:space="0"/>
              <w:right w:val="single" w:color="000000" w:sz="4" w:space="0"/>
            </w:tcBorders>
            <w:vAlign w:val="center"/>
          </w:tcPr>
          <w:p w14:paraId="7A317095">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微信公众号平台</w:t>
            </w:r>
          </w:p>
        </w:tc>
      </w:tr>
      <w:tr w14:paraId="33175268">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3380DE4D">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48B717C2">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科普教育内容推送（通过微信公众号定期发布图文、视频等形式的农业科普知识，涵盖作物种植、灌溉技术、病虫害防治等内容，提升公众农业知识水平。）</w:t>
            </w:r>
          </w:p>
        </w:tc>
      </w:tr>
      <w:tr w14:paraId="33A3A170">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20C12CF6">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b</w:t>
            </w:r>
          </w:p>
        </w:tc>
        <w:tc>
          <w:tcPr>
            <w:tcW w:w="4366" w:type="pct"/>
            <w:tcBorders>
              <w:top w:val="nil"/>
              <w:left w:val="nil"/>
              <w:bottom w:val="single" w:color="000000" w:sz="4" w:space="0"/>
              <w:right w:val="single" w:color="000000" w:sz="4" w:space="0"/>
            </w:tcBorders>
            <w:vAlign w:val="center"/>
          </w:tcPr>
          <w:p w14:paraId="013A4632">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科研成果传播（将农业科研成果转化为通俗易懂的科普文章、案例分析，在公众号上推送，促进科研成果向社会需求的转化。）</w:t>
            </w:r>
          </w:p>
        </w:tc>
      </w:tr>
      <w:tr w14:paraId="02F14EA1">
        <w:tblPrEx>
          <w:tblCellMar>
            <w:top w:w="0" w:type="dxa"/>
            <w:left w:w="108" w:type="dxa"/>
            <w:bottom w:w="0" w:type="dxa"/>
            <w:right w:w="108" w:type="dxa"/>
          </w:tblCellMar>
        </w:tblPrEx>
        <w:trPr>
          <w:trHeight w:val="540" w:hRule="atLeast"/>
          <w:jc w:val="center"/>
        </w:trPr>
        <w:tc>
          <w:tcPr>
            <w:tcW w:w="634" w:type="pct"/>
            <w:tcBorders>
              <w:top w:val="nil"/>
              <w:left w:val="single" w:color="000000" w:sz="4" w:space="0"/>
              <w:bottom w:val="single" w:color="000000" w:sz="4" w:space="0"/>
              <w:right w:val="single" w:color="000000" w:sz="4" w:space="0"/>
            </w:tcBorders>
            <w:vAlign w:val="center"/>
          </w:tcPr>
          <w:p w14:paraId="27752526">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c</w:t>
            </w:r>
          </w:p>
        </w:tc>
        <w:tc>
          <w:tcPr>
            <w:tcW w:w="4366" w:type="pct"/>
            <w:tcBorders>
              <w:top w:val="nil"/>
              <w:left w:val="nil"/>
              <w:bottom w:val="single" w:color="000000" w:sz="4" w:space="0"/>
              <w:right w:val="single" w:color="000000" w:sz="4" w:space="0"/>
            </w:tcBorders>
            <w:vAlign w:val="center"/>
          </w:tcPr>
          <w:p w14:paraId="42243AD1">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数据共享服务（向公众开放部分农业气象、土壤墒情等数据，支持在线查询与下载，为公众开展农业研究、生产实践提供数据支撑。）</w:t>
            </w:r>
          </w:p>
        </w:tc>
      </w:tr>
      <w:tr w14:paraId="687439E7">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7E621CC6">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d</w:t>
            </w:r>
          </w:p>
        </w:tc>
        <w:tc>
          <w:tcPr>
            <w:tcW w:w="4366" w:type="pct"/>
            <w:tcBorders>
              <w:top w:val="nil"/>
              <w:left w:val="nil"/>
              <w:bottom w:val="single" w:color="000000" w:sz="4" w:space="0"/>
              <w:right w:val="single" w:color="000000" w:sz="4" w:space="0"/>
            </w:tcBorders>
            <w:vAlign w:val="center"/>
          </w:tcPr>
          <w:p w14:paraId="5BC32521">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在线互动（在线互动服务通过多种形式加强与公众的沟通交流。提供在线咨询服务，用户可通过留言、语音等方式咨询相关问题。组织线上科普活动，如知识竞赛、专题讲座、现场直播等，提高公众参与度。）</w:t>
            </w:r>
          </w:p>
        </w:tc>
      </w:tr>
      <w:tr w14:paraId="0DB27463">
        <w:tblPrEx>
          <w:tblCellMar>
            <w:top w:w="0" w:type="dxa"/>
            <w:left w:w="108" w:type="dxa"/>
            <w:bottom w:w="0" w:type="dxa"/>
            <w:right w:w="108" w:type="dxa"/>
          </w:tblCellMar>
        </w:tblPrEx>
        <w:trPr>
          <w:trHeight w:val="270" w:hRule="atLeast"/>
          <w:jc w:val="center"/>
        </w:trPr>
        <w:tc>
          <w:tcPr>
            <w:tcW w:w="634" w:type="pct"/>
            <w:tcBorders>
              <w:top w:val="nil"/>
              <w:left w:val="single" w:color="000000" w:sz="4" w:space="0"/>
              <w:bottom w:val="single" w:color="000000" w:sz="4" w:space="0"/>
              <w:right w:val="single" w:color="000000" w:sz="4" w:space="0"/>
            </w:tcBorders>
            <w:vAlign w:val="center"/>
          </w:tcPr>
          <w:p w14:paraId="4DDE47BB">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(2)</w:t>
            </w:r>
          </w:p>
        </w:tc>
        <w:tc>
          <w:tcPr>
            <w:tcW w:w="4366" w:type="pct"/>
            <w:tcBorders>
              <w:top w:val="nil"/>
              <w:left w:val="nil"/>
              <w:bottom w:val="single" w:color="000000" w:sz="4" w:space="0"/>
              <w:right w:val="single" w:color="000000" w:sz="4" w:space="0"/>
            </w:tcBorders>
            <w:vAlign w:val="center"/>
          </w:tcPr>
          <w:p w14:paraId="4213D3D5">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灌溉试验共享平台</w:t>
            </w:r>
          </w:p>
        </w:tc>
      </w:tr>
      <w:tr w14:paraId="4E04E3A3">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1227C3EC">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a</w:t>
            </w:r>
          </w:p>
        </w:tc>
        <w:tc>
          <w:tcPr>
            <w:tcW w:w="4366" w:type="pct"/>
            <w:tcBorders>
              <w:top w:val="nil"/>
              <w:left w:val="nil"/>
              <w:bottom w:val="single" w:color="000000" w:sz="4" w:space="0"/>
              <w:right w:val="single" w:color="000000" w:sz="4" w:space="0"/>
            </w:tcBorders>
            <w:vAlign w:val="center"/>
          </w:tcPr>
          <w:p w14:paraId="38DB3ECC">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水稻需水量与灌溉制度试验资料（收集和整理并导入桂林市、南宁市、北海市、玉林市1957年至2022年水稻需水量与灌溉制度试验资料。主要包括：各观测点水稻泡田定额、灌溉定额、灌溉制度和耗水量。日需水量、日蒸发量、日降雨量、日渗漏量。）</w:t>
            </w:r>
          </w:p>
        </w:tc>
      </w:tr>
      <w:tr w14:paraId="5D95EB9B">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2C9DC1A7">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b</w:t>
            </w:r>
          </w:p>
        </w:tc>
        <w:tc>
          <w:tcPr>
            <w:tcW w:w="4366" w:type="pct"/>
            <w:tcBorders>
              <w:top w:val="nil"/>
              <w:left w:val="nil"/>
              <w:bottom w:val="single" w:color="000000" w:sz="4" w:space="0"/>
              <w:right w:val="single" w:color="000000" w:sz="4" w:space="0"/>
            </w:tcBorders>
            <w:vAlign w:val="center"/>
          </w:tcPr>
          <w:p w14:paraId="12A4F69F">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广西主要经济作物灌溉试验资料（收集和整理并导入桂林市、南宁市、北海市、崇左市、来宾市1957年至今主要经济作物灌溉试验资料。主要包括：各观测点糖料蔗、柑橘、香蕉、芒果、荔枝等日需水量、灌溉定额、灌溉制度和耗水量。）</w:t>
            </w:r>
          </w:p>
        </w:tc>
      </w:tr>
      <w:tr w14:paraId="087782DE">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5B7C7BD7">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c</w:t>
            </w:r>
          </w:p>
        </w:tc>
        <w:tc>
          <w:tcPr>
            <w:tcW w:w="4366" w:type="pct"/>
            <w:tcBorders>
              <w:top w:val="nil"/>
              <w:left w:val="nil"/>
              <w:bottom w:val="single" w:color="000000" w:sz="4" w:space="0"/>
              <w:right w:val="single" w:color="000000" w:sz="4" w:space="0"/>
            </w:tcBorders>
            <w:vAlign w:val="center"/>
          </w:tcPr>
          <w:p w14:paraId="2ACFFF07">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广西农业典型区农业气象、土壤墒情数据（汇编桂林市、南宁市、北海市1957年至今农业典型区农业气象、土壤墒情数据。主要包括：逐日气温、降水、辐射、风速、风向、相对湿度、参考作物蒸散量；10cm-100cm处逐日土壤墒情和土壤温度。）</w:t>
            </w:r>
          </w:p>
        </w:tc>
      </w:tr>
      <w:tr w14:paraId="6ECE7458">
        <w:tblPrEx>
          <w:tblCellMar>
            <w:top w:w="0" w:type="dxa"/>
            <w:left w:w="108" w:type="dxa"/>
            <w:bottom w:w="0" w:type="dxa"/>
            <w:right w:w="108" w:type="dxa"/>
          </w:tblCellMar>
        </w:tblPrEx>
        <w:trPr>
          <w:trHeight w:val="810" w:hRule="atLeast"/>
          <w:jc w:val="center"/>
        </w:trPr>
        <w:tc>
          <w:tcPr>
            <w:tcW w:w="634" w:type="pct"/>
            <w:tcBorders>
              <w:top w:val="nil"/>
              <w:left w:val="single" w:color="000000" w:sz="4" w:space="0"/>
              <w:bottom w:val="single" w:color="000000" w:sz="4" w:space="0"/>
              <w:right w:val="single" w:color="000000" w:sz="4" w:space="0"/>
            </w:tcBorders>
            <w:vAlign w:val="center"/>
          </w:tcPr>
          <w:p w14:paraId="6BE43186">
            <w:pPr>
              <w:pageBreakBefore w:val="0"/>
              <w:widowControl/>
              <w:kinsoku/>
              <w:wordWrap/>
              <w:overflowPunct/>
              <w:topLinePunct w:val="0"/>
              <w:autoSpaceDE/>
              <w:autoSpaceDN/>
              <w:bidi w:val="0"/>
              <w:spacing w:line="400" w:lineRule="exact"/>
              <w:jc w:val="center"/>
              <w:rPr>
                <w:rFonts w:hint="eastAsia" w:ascii="宋体" w:hAnsi="宋体" w:eastAsia="宋体" w:cs="宋体"/>
                <w:kern w:val="0"/>
                <w:sz w:val="21"/>
                <w:szCs w:val="21"/>
              </w:rPr>
            </w:pPr>
            <w:r>
              <w:rPr>
                <w:rFonts w:hint="eastAsia" w:ascii="宋体" w:hAnsi="宋体" w:eastAsia="宋体" w:cs="宋体"/>
                <w:kern w:val="0"/>
                <w:sz w:val="21"/>
                <w:szCs w:val="21"/>
              </w:rPr>
              <w:t>d</w:t>
            </w:r>
          </w:p>
        </w:tc>
        <w:tc>
          <w:tcPr>
            <w:tcW w:w="4366" w:type="pct"/>
            <w:tcBorders>
              <w:top w:val="nil"/>
              <w:left w:val="nil"/>
              <w:bottom w:val="single" w:color="000000" w:sz="4" w:space="0"/>
              <w:right w:val="single" w:color="000000" w:sz="4" w:space="0"/>
            </w:tcBorders>
            <w:vAlign w:val="center"/>
          </w:tcPr>
          <w:p w14:paraId="18AE3907">
            <w:pPr>
              <w:pageBreakBefore w:val="0"/>
              <w:widowControl/>
              <w:kinsoku/>
              <w:wordWrap/>
              <w:overflowPunct/>
              <w:topLinePunct w:val="0"/>
              <w:autoSpaceDE/>
              <w:autoSpaceDN/>
              <w:bidi w:val="0"/>
              <w:spacing w:line="400" w:lineRule="exact"/>
              <w:jc w:val="left"/>
              <w:rPr>
                <w:rFonts w:hint="eastAsia" w:ascii="宋体" w:hAnsi="宋体" w:eastAsia="宋体" w:cs="宋体"/>
                <w:kern w:val="0"/>
                <w:sz w:val="21"/>
                <w:szCs w:val="21"/>
              </w:rPr>
            </w:pPr>
            <w:r>
              <w:rPr>
                <w:rFonts w:hint="eastAsia" w:ascii="宋体" w:hAnsi="宋体" w:eastAsia="宋体" w:cs="宋体"/>
                <w:kern w:val="0"/>
                <w:sz w:val="21"/>
                <w:szCs w:val="21"/>
              </w:rPr>
              <w:t>广西灌溉水有效利用系数测算数据（开展桂林市、南宁市、北海市、钦州市、防城港市灌溉水有效利用系数测算，积累2013至今灌溉水有效利用系数测算数据。主要包括：灌区净灌溉用水量、毛灌溉用水量、灌溉水有效利用系数。）</w:t>
            </w:r>
          </w:p>
        </w:tc>
      </w:tr>
    </w:tbl>
    <w:p w14:paraId="3C8619B1">
      <w:pPr>
        <w:pStyle w:val="6"/>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z w:val="21"/>
          <w:szCs w:val="21"/>
        </w:rPr>
      </w:pPr>
      <w:bookmarkStart w:id="70" w:name="_Toc10010"/>
      <w:bookmarkStart w:id="71" w:name="_Toc15059"/>
      <w:r>
        <w:rPr>
          <w:rFonts w:hint="eastAsia" w:ascii="宋体" w:hAnsi="宋体" w:eastAsia="宋体" w:cs="宋体"/>
          <w:sz w:val="21"/>
          <w:szCs w:val="21"/>
        </w:rPr>
        <w:t>1.2.2数据开放共享服务平台建设（微信公众号搭建）</w:t>
      </w:r>
      <w:bookmarkEnd w:id="70"/>
      <w:bookmarkEnd w:id="71"/>
    </w:p>
    <w:p w14:paraId="7F9467A6">
      <w:pPr>
        <w:pageBreakBefore w:val="0"/>
        <w:kinsoku/>
        <w:wordWrap/>
        <w:overflowPunct/>
        <w:topLinePunct w:val="0"/>
        <w:autoSpaceDE/>
        <w:autoSpaceDN/>
        <w:bidi w:val="0"/>
        <w:spacing w:line="400" w:lineRule="exact"/>
        <w:ind w:firstLine="420" w:firstLineChars="200"/>
        <w:rPr>
          <w:rFonts w:hint="eastAsia" w:ascii="宋体" w:hAnsi="宋体" w:eastAsia="宋体" w:cs="宋体"/>
          <w:snapToGrid w:val="0"/>
          <w:sz w:val="21"/>
          <w:szCs w:val="21"/>
        </w:rPr>
      </w:pPr>
      <w:r>
        <w:rPr>
          <w:rFonts w:hint="eastAsia" w:ascii="宋体" w:hAnsi="宋体" w:eastAsia="宋体" w:cs="宋体"/>
          <w:snapToGrid w:val="0"/>
          <w:sz w:val="21"/>
          <w:szCs w:val="21"/>
        </w:rPr>
        <w:t>公众服务平台基于微信公众号构建，面向社会公众提供科普教育和数据共享服务，是连接科研成果与社会需求的重要桥梁。</w:t>
      </w:r>
    </w:p>
    <w:p w14:paraId="7B594F06">
      <w:pPr>
        <w:pageBreakBefore w:val="0"/>
        <w:kinsoku/>
        <w:wordWrap/>
        <w:overflowPunct/>
        <w:topLinePunct w:val="0"/>
        <w:autoSpaceDE/>
        <w:autoSpaceDN/>
        <w:bidi w:val="0"/>
        <w:spacing w:line="400" w:lineRule="exact"/>
        <w:ind w:firstLine="420" w:firstLineChars="200"/>
        <w:rPr>
          <w:rFonts w:hint="eastAsia" w:ascii="宋体" w:hAnsi="宋体" w:eastAsia="宋体" w:cs="宋体"/>
          <w:snapToGrid w:val="0"/>
          <w:sz w:val="21"/>
          <w:szCs w:val="21"/>
        </w:rPr>
      </w:pPr>
      <w:r>
        <w:rPr>
          <w:rFonts w:hint="eastAsia" w:ascii="宋体" w:hAnsi="宋体" w:eastAsia="宋体" w:cs="宋体"/>
          <w:snapToGrid w:val="0"/>
          <w:sz w:val="21"/>
          <w:szCs w:val="21"/>
        </w:rPr>
        <w:t>1、科普内容发布</w:t>
      </w:r>
    </w:p>
    <w:p w14:paraId="4DA1B252">
      <w:pPr>
        <w:pageBreakBefore w:val="0"/>
        <w:kinsoku/>
        <w:wordWrap/>
        <w:overflowPunct/>
        <w:topLinePunct w:val="0"/>
        <w:autoSpaceDE/>
        <w:autoSpaceDN/>
        <w:bidi w:val="0"/>
        <w:spacing w:line="400" w:lineRule="exact"/>
        <w:ind w:firstLine="420" w:firstLineChars="200"/>
        <w:rPr>
          <w:rFonts w:hint="eastAsia" w:ascii="宋体" w:hAnsi="宋体" w:eastAsia="宋体" w:cs="宋体"/>
          <w:snapToGrid w:val="0"/>
          <w:sz w:val="21"/>
          <w:szCs w:val="21"/>
        </w:rPr>
      </w:pPr>
      <w:r>
        <w:rPr>
          <w:rFonts w:hint="eastAsia" w:ascii="宋体" w:hAnsi="宋体" w:eastAsia="宋体" w:cs="宋体"/>
          <w:snapToGrid w:val="0"/>
          <w:sz w:val="21"/>
          <w:szCs w:val="21"/>
        </w:rPr>
        <w:t>2、数据查询服务</w:t>
      </w:r>
    </w:p>
    <w:p w14:paraId="47ABAC62">
      <w:pPr>
        <w:pageBreakBefore w:val="0"/>
        <w:kinsoku/>
        <w:wordWrap/>
        <w:overflowPunct/>
        <w:topLinePunct w:val="0"/>
        <w:autoSpaceDE/>
        <w:autoSpaceDN/>
        <w:bidi w:val="0"/>
        <w:spacing w:line="400" w:lineRule="exact"/>
        <w:ind w:firstLine="420" w:firstLineChars="200"/>
        <w:rPr>
          <w:rFonts w:hint="eastAsia" w:ascii="宋体" w:hAnsi="宋体" w:eastAsia="宋体" w:cs="宋体"/>
          <w:snapToGrid w:val="0"/>
          <w:sz w:val="21"/>
          <w:szCs w:val="21"/>
        </w:rPr>
      </w:pPr>
      <w:r>
        <w:rPr>
          <w:rFonts w:hint="eastAsia" w:ascii="宋体" w:hAnsi="宋体" w:eastAsia="宋体" w:cs="宋体"/>
          <w:snapToGrid w:val="0"/>
          <w:sz w:val="21"/>
          <w:szCs w:val="21"/>
        </w:rPr>
        <w:t>3、在线互动服务</w:t>
      </w:r>
    </w:p>
    <w:p w14:paraId="615D3BAE">
      <w:pPr>
        <w:pStyle w:val="5"/>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napToGrid w:val="0"/>
          <w:sz w:val="21"/>
          <w:szCs w:val="21"/>
        </w:rPr>
      </w:pPr>
      <w:r>
        <w:rPr>
          <w:rFonts w:hint="eastAsia" w:ascii="宋体" w:hAnsi="宋体" w:eastAsia="宋体" w:cs="宋体"/>
          <w:snapToGrid w:val="0"/>
          <w:sz w:val="21"/>
          <w:szCs w:val="21"/>
        </w:rPr>
        <w:t>1.3野外站观测试验区观测试验基础建设</w:t>
      </w:r>
    </w:p>
    <w:p w14:paraId="50C76604">
      <w:pPr>
        <w:pStyle w:val="6"/>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z w:val="21"/>
          <w:szCs w:val="21"/>
        </w:rPr>
      </w:pPr>
      <w:bookmarkStart w:id="72" w:name="_Toc9916"/>
      <w:bookmarkStart w:id="73" w:name="_Toc9134"/>
      <w:r>
        <w:rPr>
          <w:rFonts w:hint="eastAsia" w:ascii="宋体" w:hAnsi="宋体" w:eastAsia="宋体" w:cs="宋体"/>
          <w:sz w:val="21"/>
          <w:szCs w:val="21"/>
        </w:rPr>
        <w:t>1.3.1水稻需水量、灌溉制度和农业面源污染治理研究试验区修缮和升级改造</w:t>
      </w:r>
      <w:bookmarkEnd w:id="72"/>
      <w:bookmarkEnd w:id="73"/>
    </w:p>
    <w:p w14:paraId="0CA17F33">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水稻需水量、灌溉制度和农业面源污染治理研究试验区由16个需水量试验区、18个灌溉制度试验区、4农业面源污染治理研究试验区和保护区组成，面积共计6亩。主要用于开展水稻需水量、灌溉制度和农业面源污染治理等研究。</w:t>
      </w:r>
    </w:p>
    <w:tbl>
      <w:tblPr>
        <w:tblStyle w:val="84"/>
        <w:tblW w:w="0" w:type="auto"/>
        <w:tblInd w:w="0" w:type="dxa"/>
        <w:tblLayout w:type="autofit"/>
        <w:tblCellMar>
          <w:top w:w="0" w:type="dxa"/>
          <w:left w:w="0" w:type="dxa"/>
          <w:bottom w:w="0" w:type="dxa"/>
          <w:right w:w="0" w:type="dxa"/>
        </w:tblCellMar>
      </w:tblPr>
      <w:tblGrid>
        <w:gridCol w:w="4155"/>
        <w:gridCol w:w="4155"/>
      </w:tblGrid>
      <w:tr w14:paraId="087C7B9A">
        <w:tblPrEx>
          <w:tblCellMar>
            <w:top w:w="0" w:type="dxa"/>
            <w:left w:w="0" w:type="dxa"/>
            <w:bottom w:w="0" w:type="dxa"/>
            <w:right w:w="0" w:type="dxa"/>
          </w:tblCellMar>
        </w:tblPrEx>
        <w:tc>
          <w:tcPr>
            <w:tcW w:w="8310" w:type="dxa"/>
            <w:gridSpan w:val="2"/>
          </w:tcPr>
          <w:p w14:paraId="7ACF9462">
            <w:pPr>
              <w:pageBreakBefore w:val="0"/>
              <w:kinsoku/>
              <w:wordWrap/>
              <w:overflowPunct/>
              <w:topLinePunct w:val="0"/>
              <w:autoSpaceDE/>
              <w:autoSpaceDN/>
              <w:bidi w:val="0"/>
              <w:spacing w:line="240" w:lineRule="auto"/>
              <w:jc w:val="both"/>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5263515" cy="2862580"/>
                  <wp:effectExtent l="0" t="0" r="13335"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0" cstate="print"/>
                          <a:srcRect/>
                          <a:stretch>
                            <a:fillRect/>
                          </a:stretch>
                        </pic:blipFill>
                        <pic:spPr>
                          <a:xfrm>
                            <a:off x="0" y="0"/>
                            <a:ext cx="5263515" cy="2862580"/>
                          </a:xfrm>
                          <a:prstGeom prst="rect">
                            <a:avLst/>
                          </a:prstGeom>
                          <a:noFill/>
                          <a:ln w="9525">
                            <a:noFill/>
                            <a:miter lim="800000"/>
                            <a:headEnd/>
                            <a:tailEnd/>
                          </a:ln>
                        </pic:spPr>
                      </pic:pic>
                    </a:graphicData>
                  </a:graphic>
                </wp:inline>
              </w:drawing>
            </w:r>
          </w:p>
        </w:tc>
      </w:tr>
      <w:tr w14:paraId="1B256D9B">
        <w:tblPrEx>
          <w:tblCellMar>
            <w:top w:w="0" w:type="dxa"/>
            <w:left w:w="0" w:type="dxa"/>
            <w:bottom w:w="0" w:type="dxa"/>
            <w:right w:w="0" w:type="dxa"/>
          </w:tblCellMar>
        </w:tblPrEx>
        <w:tc>
          <w:tcPr>
            <w:tcW w:w="4155" w:type="dxa"/>
          </w:tcPr>
          <w:p w14:paraId="2A9E6A22">
            <w:pPr>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600325" cy="1955800"/>
                  <wp:effectExtent l="0" t="0" r="9525" b="6350"/>
                  <wp:docPr id="7" name="图片 7" descr="02d3b150f5022146d5930b15a8c4d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2d3b150f5022146d5930b15a8c4d56"/>
                          <pic:cNvPicPr>
                            <a:picLocks noChangeAspect="1" noChangeArrowheads="1"/>
                          </pic:cNvPicPr>
                        </pic:nvPicPr>
                        <pic:blipFill>
                          <a:blip r:embed="rId21" cstate="print"/>
                          <a:srcRect/>
                          <a:stretch>
                            <a:fillRect/>
                          </a:stretch>
                        </pic:blipFill>
                        <pic:spPr>
                          <a:xfrm>
                            <a:off x="0" y="0"/>
                            <a:ext cx="2600325" cy="1955800"/>
                          </a:xfrm>
                          <a:prstGeom prst="rect">
                            <a:avLst/>
                          </a:prstGeom>
                          <a:noFill/>
                          <a:ln w="9525">
                            <a:noFill/>
                            <a:miter lim="800000"/>
                            <a:headEnd/>
                            <a:tailEnd/>
                          </a:ln>
                        </pic:spPr>
                      </pic:pic>
                    </a:graphicData>
                  </a:graphic>
                </wp:inline>
              </w:drawing>
            </w:r>
          </w:p>
        </w:tc>
        <w:tc>
          <w:tcPr>
            <w:tcW w:w="4155" w:type="dxa"/>
          </w:tcPr>
          <w:p w14:paraId="1A5A741E">
            <w:pPr>
              <w:pageBreakBefore w:val="0"/>
              <w:kinsoku/>
              <w:wordWrap/>
              <w:overflowPunct/>
              <w:topLinePunct w:val="0"/>
              <w:autoSpaceDE/>
              <w:autoSpaceDN/>
              <w:bidi w:val="0"/>
              <w:spacing w:line="240" w:lineRule="auto"/>
              <w:jc w:val="center"/>
              <w:rPr>
                <w:rFonts w:hint="eastAsia" w:ascii="宋体" w:hAnsi="宋体" w:eastAsia="宋体" w:cs="宋体"/>
                <w:sz w:val="21"/>
                <w:szCs w:val="21"/>
              </w:rPr>
            </w:pPr>
            <w:r>
              <w:rPr>
                <w:rFonts w:hint="eastAsia" w:ascii="宋体" w:hAnsi="宋体" w:eastAsia="宋体" w:cs="宋体"/>
                <w:sz w:val="21"/>
                <w:szCs w:val="21"/>
              </w:rPr>
              <w:drawing>
                <wp:inline distT="0" distB="0" distL="0" distR="0">
                  <wp:extent cx="2600325" cy="1955800"/>
                  <wp:effectExtent l="0" t="0" r="9525" b="6350"/>
                  <wp:docPr id="13" name="图片 13" descr="bddcb2e2e695e5d74b8ae130b6578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ddcb2e2e695e5d74b8ae130b65780b"/>
                          <pic:cNvPicPr>
                            <a:picLocks noChangeAspect="1" noChangeArrowheads="1"/>
                          </pic:cNvPicPr>
                        </pic:nvPicPr>
                        <pic:blipFill>
                          <a:blip r:embed="rId22" cstate="print"/>
                          <a:srcRect/>
                          <a:stretch>
                            <a:fillRect/>
                          </a:stretch>
                        </pic:blipFill>
                        <pic:spPr>
                          <a:xfrm>
                            <a:off x="0" y="0"/>
                            <a:ext cx="2600325" cy="1955800"/>
                          </a:xfrm>
                          <a:prstGeom prst="rect">
                            <a:avLst/>
                          </a:prstGeom>
                          <a:noFill/>
                          <a:ln w="9525">
                            <a:noFill/>
                            <a:miter lim="800000"/>
                            <a:headEnd/>
                            <a:tailEnd/>
                          </a:ln>
                        </pic:spPr>
                      </pic:pic>
                    </a:graphicData>
                  </a:graphic>
                </wp:inline>
              </w:drawing>
            </w:r>
          </w:p>
        </w:tc>
      </w:tr>
    </w:tbl>
    <w:p w14:paraId="05EA8A76">
      <w:pPr>
        <w:pageBreakBefore w:val="0"/>
        <w:kinsoku/>
        <w:wordWrap/>
        <w:overflowPunct/>
        <w:topLinePunct w:val="0"/>
        <w:autoSpaceDE/>
        <w:autoSpaceDN/>
        <w:bidi w:val="0"/>
        <w:spacing w:line="400" w:lineRule="exact"/>
        <w:ind w:firstLine="422" w:firstLineChars="200"/>
        <w:jc w:val="center"/>
        <w:rPr>
          <w:rFonts w:hint="eastAsia" w:ascii="宋体" w:hAnsi="宋体" w:eastAsia="宋体" w:cs="宋体"/>
          <w:b/>
          <w:bCs/>
          <w:snapToGrid w:val="0"/>
          <w:sz w:val="21"/>
          <w:szCs w:val="21"/>
        </w:rPr>
      </w:pPr>
      <w:r>
        <w:rPr>
          <w:rFonts w:hint="eastAsia" w:ascii="宋体" w:hAnsi="宋体" w:eastAsia="宋体" w:cs="宋体"/>
          <w:b/>
          <w:bCs/>
          <w:snapToGrid w:val="0"/>
          <w:sz w:val="21"/>
          <w:szCs w:val="21"/>
        </w:rPr>
        <w:t>水稻需水量、灌溉制度和农业面源污染治理研究试验区分布及现状图</w:t>
      </w:r>
    </w:p>
    <w:p w14:paraId="52553F76">
      <w:pPr>
        <w:pageBreakBefore w:val="0"/>
        <w:tabs>
          <w:tab w:val="left" w:pos="0"/>
        </w:tabs>
        <w:kinsoku/>
        <w:wordWrap/>
        <w:overflowPunct/>
        <w:topLinePunct w:val="0"/>
        <w:autoSpaceDE/>
        <w:autoSpaceDN/>
        <w:bidi w:val="0"/>
        <w:adjustRightInd w:val="0"/>
        <w:snapToGrid w:val="0"/>
        <w:spacing w:line="400" w:lineRule="exact"/>
        <w:ind w:firstLine="420" w:firstLineChars="200"/>
        <w:rPr>
          <w:rFonts w:hint="eastAsia" w:ascii="宋体" w:hAnsi="宋体" w:eastAsia="宋体" w:cs="宋体"/>
          <w:snapToGrid w:val="0"/>
          <w:sz w:val="21"/>
          <w:szCs w:val="21"/>
        </w:rPr>
      </w:pPr>
      <w:r>
        <w:rPr>
          <w:rFonts w:hint="eastAsia" w:ascii="宋体" w:hAnsi="宋体" w:eastAsia="宋体" w:cs="宋体"/>
          <w:snapToGrid w:val="0"/>
          <w:sz w:val="21"/>
          <w:szCs w:val="21"/>
        </w:rPr>
        <w:t>1.修缮方面</w:t>
      </w:r>
    </w:p>
    <w:p w14:paraId="2B7070E1">
      <w:pPr>
        <w:pageBreakBefore w:val="0"/>
        <w:tabs>
          <w:tab w:val="left" w:pos="0"/>
        </w:tabs>
        <w:kinsoku/>
        <w:wordWrap/>
        <w:overflowPunct/>
        <w:topLinePunct w:val="0"/>
        <w:autoSpaceDE/>
        <w:autoSpaceDN/>
        <w:bidi w:val="0"/>
        <w:adjustRightInd w:val="0"/>
        <w:snapToGrid w:val="0"/>
        <w:spacing w:line="400" w:lineRule="exact"/>
        <w:ind w:firstLine="420" w:firstLineChars="200"/>
        <w:rPr>
          <w:rFonts w:hint="eastAsia" w:ascii="宋体" w:hAnsi="宋体" w:eastAsia="宋体" w:cs="宋体"/>
          <w:snapToGrid w:val="0"/>
          <w:sz w:val="21"/>
          <w:szCs w:val="21"/>
        </w:rPr>
      </w:pPr>
      <w:r>
        <w:rPr>
          <w:rFonts w:hint="eastAsia" w:ascii="宋体" w:hAnsi="宋体" w:eastAsia="宋体" w:cs="宋体"/>
          <w:snapToGrid w:val="0"/>
          <w:sz w:val="21"/>
          <w:szCs w:val="21"/>
        </w:rPr>
        <w:t>（1）稻田试验小区隔离墙防水改造。主要包括混凝土防渗墙拆除重建、田间耕作层剥离堆置及回填。</w:t>
      </w:r>
    </w:p>
    <w:p w14:paraId="13A72781">
      <w:pPr>
        <w:pageBreakBefore w:val="0"/>
        <w:tabs>
          <w:tab w:val="left" w:pos="0"/>
        </w:tabs>
        <w:kinsoku/>
        <w:wordWrap/>
        <w:overflowPunct/>
        <w:topLinePunct w:val="0"/>
        <w:autoSpaceDE/>
        <w:autoSpaceDN/>
        <w:bidi w:val="0"/>
        <w:adjustRightInd w:val="0"/>
        <w:snapToGrid w:val="0"/>
        <w:spacing w:line="400" w:lineRule="exact"/>
        <w:ind w:firstLine="420" w:firstLineChars="200"/>
        <w:rPr>
          <w:rFonts w:hint="eastAsia" w:ascii="宋体" w:hAnsi="宋体" w:eastAsia="宋体" w:cs="宋体"/>
          <w:snapToGrid w:val="0"/>
          <w:sz w:val="21"/>
          <w:szCs w:val="21"/>
        </w:rPr>
      </w:pPr>
      <w:r>
        <w:rPr>
          <w:rFonts w:hint="eastAsia" w:ascii="宋体" w:hAnsi="宋体" w:eastAsia="宋体" w:cs="宋体"/>
          <w:snapToGrid w:val="0"/>
          <w:sz w:val="21"/>
          <w:szCs w:val="21"/>
        </w:rPr>
        <w:t>（2）田间排水沟升级改造。拆除、新建0.25×0.25m浆砌砖排水沟，水泥抹面。</w:t>
      </w:r>
    </w:p>
    <w:p w14:paraId="0EA34972">
      <w:pPr>
        <w:pageBreakBefore w:val="0"/>
        <w:tabs>
          <w:tab w:val="left" w:pos="0"/>
        </w:tabs>
        <w:kinsoku/>
        <w:wordWrap/>
        <w:overflowPunct/>
        <w:topLinePunct w:val="0"/>
        <w:autoSpaceDE/>
        <w:autoSpaceDN/>
        <w:bidi w:val="0"/>
        <w:adjustRightInd w:val="0"/>
        <w:snapToGrid w:val="0"/>
        <w:spacing w:line="400" w:lineRule="exact"/>
        <w:ind w:firstLine="420" w:firstLineChars="200"/>
        <w:rPr>
          <w:rFonts w:hint="eastAsia" w:ascii="宋体" w:hAnsi="宋体" w:eastAsia="宋体" w:cs="宋体"/>
          <w:snapToGrid w:val="0"/>
          <w:sz w:val="21"/>
          <w:szCs w:val="21"/>
        </w:rPr>
      </w:pPr>
      <w:r>
        <w:rPr>
          <w:rFonts w:hint="eastAsia" w:ascii="宋体" w:hAnsi="宋体" w:eastAsia="宋体" w:cs="宋体"/>
          <w:snapToGrid w:val="0"/>
          <w:sz w:val="21"/>
          <w:szCs w:val="21"/>
        </w:rPr>
        <w:t>（3）建设防鸟网。</w:t>
      </w:r>
    </w:p>
    <w:p w14:paraId="29455C21">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2.升级改造方面</w:t>
      </w:r>
    </w:p>
    <w:p w14:paraId="511EA01D">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水稻试验区改造及智能灌排量水系统建设。</w:t>
      </w:r>
    </w:p>
    <w:p w14:paraId="25154058">
      <w:pPr>
        <w:pStyle w:val="6"/>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z w:val="21"/>
          <w:szCs w:val="21"/>
        </w:rPr>
      </w:pPr>
      <w:bookmarkStart w:id="74" w:name="_Toc27897"/>
      <w:bookmarkStart w:id="75" w:name="_Toc22684"/>
      <w:r>
        <w:rPr>
          <w:rFonts w:hint="eastAsia" w:ascii="宋体" w:hAnsi="宋体" w:eastAsia="宋体" w:cs="宋体"/>
          <w:sz w:val="21"/>
          <w:szCs w:val="21"/>
        </w:rPr>
        <w:t>1.3.2 作物水分协迫大型测筒试验区修缮提升</w:t>
      </w:r>
      <w:bookmarkEnd w:id="74"/>
      <w:bookmarkEnd w:id="75"/>
    </w:p>
    <w:p w14:paraId="66F5452C">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作物水分胁迫大型测筒试验区由40个埋于地下的测筒组成（直径61.8cm、深80cm、净面积0.3m²），可同时开展13个处理3个重复的试验研究，主要用于水稻及旱作物需水量与需水规律、水分胁迫与水分生产函数、节水增产机理等研究。本次改造将重点升级防雨棚自动开闭系统、更换耐腐蚀测筒材质、安装自动化称量装置，并疏通重建排水系统，以提升试验精度和效率。</w:t>
      </w:r>
    </w:p>
    <w:p w14:paraId="6A6BA8BC">
      <w:pPr>
        <w:pStyle w:val="6"/>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z w:val="21"/>
          <w:szCs w:val="21"/>
        </w:rPr>
      </w:pPr>
      <w:bookmarkStart w:id="76" w:name="_Toc9665"/>
      <w:bookmarkStart w:id="77" w:name="_Toc18310"/>
      <w:r>
        <w:rPr>
          <w:rFonts w:hint="eastAsia" w:ascii="宋体" w:hAnsi="宋体" w:eastAsia="宋体" w:cs="宋体"/>
          <w:sz w:val="21"/>
          <w:szCs w:val="21"/>
        </w:rPr>
        <w:t>1.3.3 作物灌溉排水大型测坑试验区修缮提升</w:t>
      </w:r>
      <w:bookmarkEnd w:id="76"/>
      <w:bookmarkEnd w:id="77"/>
    </w:p>
    <w:p w14:paraId="12C4B285">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作物灌溉排水大型测坑试验区占地400m²，采用钢筋混凝土结构，由20个测坑、地下廊道、地下室及控制工作室组成，地上配套自动防雨棚和自控供水箱。本次改造重点包括：更新地下自动供排水系统，更换自动伸缩式透明防雨棚，升级土壤墒情监测设备，以恢复并提升试验区的科研功能。</w:t>
      </w:r>
    </w:p>
    <w:p w14:paraId="1F0158D5">
      <w:pPr>
        <w:pStyle w:val="6"/>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z w:val="21"/>
          <w:szCs w:val="21"/>
        </w:rPr>
      </w:pPr>
      <w:bookmarkStart w:id="78" w:name="_Toc3714"/>
      <w:bookmarkStart w:id="79" w:name="_Toc30383"/>
      <w:r>
        <w:rPr>
          <w:rFonts w:hint="eastAsia" w:ascii="宋体" w:hAnsi="宋体" w:eastAsia="宋体" w:cs="宋体"/>
          <w:sz w:val="21"/>
          <w:szCs w:val="21"/>
        </w:rPr>
        <w:t>1.3.4  称重式作物需水量测坑试验区修缮提升</w:t>
      </w:r>
      <w:bookmarkEnd w:id="78"/>
      <w:bookmarkEnd w:id="79"/>
    </w:p>
    <w:p w14:paraId="61B3D96C">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sz w:val="21"/>
          <w:szCs w:val="21"/>
        </w:rPr>
      </w:pPr>
      <w:r>
        <w:rPr>
          <w:rFonts w:hint="eastAsia" w:ascii="宋体" w:hAnsi="宋体" w:eastAsia="宋体" w:cs="宋体"/>
          <w:snapToGrid w:val="0"/>
          <w:sz w:val="21"/>
          <w:szCs w:val="21"/>
        </w:rPr>
        <w:t>称重式作物需水量测坑试验区由9个直径130cm的称重测坑组成，每个测坑包含地面和地下土壤、钢筒、称重系统、支架及水势传感器等部件，是研究农田蒸腾蒸发和地下水-土壤水转化的综合性标准试验设备。本次改造重点包括：重点包括更换称重台、电子秤和数据采集系统，以恢复并提升试验精度和稳定性。</w:t>
      </w:r>
      <w:bookmarkStart w:id="80" w:name="_Toc23130"/>
      <w:bookmarkStart w:id="81" w:name="_Toc9794"/>
    </w:p>
    <w:p w14:paraId="0ECB969C">
      <w:pPr>
        <w:pStyle w:val="6"/>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z w:val="21"/>
          <w:szCs w:val="21"/>
        </w:rPr>
      </w:pPr>
      <w:r>
        <w:rPr>
          <w:rFonts w:hint="eastAsia" w:ascii="宋体" w:hAnsi="宋体" w:eastAsia="宋体" w:cs="宋体"/>
          <w:sz w:val="21"/>
          <w:szCs w:val="21"/>
        </w:rPr>
        <w:t>1.3.5  1号设施农业需水量、灌溉制度试验区修缮</w:t>
      </w:r>
      <w:bookmarkEnd w:id="80"/>
      <w:bookmarkEnd w:id="81"/>
    </w:p>
    <w:p w14:paraId="335D9BF7">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1号设施农业需水量、灌溉制度试验区东西长28.8米，南北长32米，占地面积921.6平方米。改造及维修更换项目如下：</w:t>
      </w:r>
    </w:p>
    <w:p w14:paraId="29351C89">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1.温室覆盖材料为玻璃，包括顶部、东西南北立面，面积约1220余平方米。顶部的改造预案为：温室格构架（通俗理解为房屋的大梁）以下保留。格构架以上所有构件和材料，全部拆除。包括外遮阳系统亦同因而全部拆除。温室主体的顶部更换成新的加大雨槽、温室顶部骨架、铝型材、8毫米聚碳酸酯中空阳光板或2毫米厚耐力板（实心、温室专用），包含辅件辅料。温室外遮阳系统，原有的拆除，更换成新的骨架、传动、遮阳幕、动力。包含辅件辅料。温室顶部开窗更换成新的铝型材、动力、传动、阳光板。温室端面的人字尖部分由玻璃改造成阳光板。</w:t>
      </w:r>
    </w:p>
    <w:p w14:paraId="28F05565">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 xml:space="preserve"> 2.温室的电控箱、电线电缆因高温高湿太阳直射的工作环境，通常可靠工作期为10年。已经使用20年超期10年一并改造更新。</w:t>
      </w:r>
      <w:bookmarkStart w:id="82" w:name="_Toc26206"/>
      <w:bookmarkStart w:id="83" w:name="_Toc3623"/>
    </w:p>
    <w:p w14:paraId="4C2BE026">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sz w:val="21"/>
          <w:szCs w:val="21"/>
        </w:rPr>
      </w:pPr>
      <w:r>
        <w:rPr>
          <w:rFonts w:hint="eastAsia" w:ascii="宋体" w:hAnsi="宋体" w:eastAsia="宋体" w:cs="宋体"/>
          <w:snapToGrid w:val="0"/>
          <w:sz w:val="21"/>
          <w:szCs w:val="21"/>
        </w:rPr>
        <w:t>3. 升级自动化设备及数据传输设备，以恢复并提升试验区的科研功能。</w:t>
      </w:r>
    </w:p>
    <w:p w14:paraId="1569603D">
      <w:pPr>
        <w:pStyle w:val="6"/>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z w:val="21"/>
          <w:szCs w:val="21"/>
        </w:rPr>
      </w:pPr>
      <w:r>
        <w:rPr>
          <w:rFonts w:hint="eastAsia" w:ascii="宋体" w:hAnsi="宋体" w:eastAsia="宋体" w:cs="宋体"/>
          <w:sz w:val="21"/>
          <w:szCs w:val="21"/>
        </w:rPr>
        <w:t>1.3.6  2号、3号设施农业需水量、灌溉制度试验区修缮</w:t>
      </w:r>
      <w:bookmarkEnd w:id="82"/>
      <w:bookmarkEnd w:id="83"/>
    </w:p>
    <w:p w14:paraId="069DCCEB">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2号、3号设施农业试验区均为薄膜钢架结构，薄膜、防虫网、卡槽和卡簧设计使用寿命为3-4年，棚顶水槽设计使用寿命为6-7年，因些得定期更薄膜、防虫网、卡槽、卡簧设和棚顶水槽等。升级自动化设备及数据传输设备，以恢复并提升试验区的科研功能。</w:t>
      </w:r>
    </w:p>
    <w:p w14:paraId="4C1D270E">
      <w:pPr>
        <w:pStyle w:val="6"/>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z w:val="21"/>
          <w:szCs w:val="21"/>
        </w:rPr>
      </w:pPr>
      <w:bookmarkStart w:id="84" w:name="_Toc15834"/>
      <w:bookmarkStart w:id="85" w:name="_Toc6545"/>
      <w:r>
        <w:rPr>
          <w:rFonts w:hint="eastAsia" w:ascii="宋体" w:hAnsi="宋体" w:eastAsia="宋体" w:cs="宋体"/>
          <w:sz w:val="21"/>
          <w:szCs w:val="21"/>
        </w:rPr>
        <w:t>1.3.7 旱地节水灌溉技术试验区维修提升</w:t>
      </w:r>
      <w:bookmarkEnd w:id="84"/>
      <w:bookmarkEnd w:id="85"/>
    </w:p>
    <w:p w14:paraId="157034A2">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旱地节水灌溉技术试验区总共面积25亩，由五块方正的地块组成。是水利部西南岩溶区节水减排防污野外科学观测研究站的重要组成部分，为研究岩溶区特色经济作物高效节水灌溉技术提供了关键实验平台。</w:t>
      </w:r>
    </w:p>
    <w:p w14:paraId="392479B8">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sz w:val="21"/>
          <w:szCs w:val="21"/>
        </w:rPr>
      </w:pPr>
      <w:r>
        <w:rPr>
          <w:rFonts w:hint="eastAsia" w:ascii="宋体" w:hAnsi="宋体" w:eastAsia="宋体" w:cs="宋体"/>
          <w:snapToGrid w:val="0"/>
          <w:sz w:val="21"/>
          <w:szCs w:val="21"/>
        </w:rPr>
        <w:t>本次提升改造的核心目标是构建智能化精准灌溉技术体系，首先，安装自动精准灌溉设备（电子流量计、电磁阀、土壤墒情监测仪等）。其次，建设水肥药一体化系统，特别是葡萄灌溉制度与技术的优化。第三，数据采集和无线传输模块的应用。</w:t>
      </w:r>
    </w:p>
    <w:p w14:paraId="475E4942">
      <w:pPr>
        <w:pStyle w:val="6"/>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z w:val="21"/>
          <w:szCs w:val="21"/>
        </w:rPr>
      </w:pPr>
      <w:bookmarkStart w:id="86" w:name="_Toc9787"/>
      <w:bookmarkStart w:id="87" w:name="_Toc31031"/>
      <w:r>
        <w:rPr>
          <w:rFonts w:hint="eastAsia" w:ascii="宋体" w:hAnsi="宋体" w:eastAsia="宋体" w:cs="宋体"/>
          <w:sz w:val="21"/>
          <w:szCs w:val="21"/>
        </w:rPr>
        <w:t>1.3.8 水土流失径流观测场修缮提升</w:t>
      </w:r>
      <w:bookmarkEnd w:id="86"/>
      <w:bookmarkEnd w:id="87"/>
    </w:p>
    <w:p w14:paraId="072D3269">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水土流失径流场建于2010年，作为水利部西南岩溶区节水减排防污野外科学观测研究站的核心设施之一，在揭示岩溶坡面水土流失机理和评估防治措施效果方面具有不可替代的作用。该径流场通过5个不同坡度（5°、10°、15°）和面积（100㎡、50㎡）的径流小区，系统监测降雨-径流-泥沙的动态响应过程，为研究岩溶区特殊地表-地下二元水文结构下的水土流失规律提供了关键数据支撑。</w:t>
      </w:r>
    </w:p>
    <w:p w14:paraId="0B415F3A">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b/>
          <w:bCs/>
          <w:snapToGrid w:val="0"/>
          <w:sz w:val="21"/>
          <w:szCs w:val="21"/>
        </w:rPr>
      </w:pPr>
      <w:r>
        <w:rPr>
          <w:rFonts w:hint="eastAsia" w:ascii="宋体" w:hAnsi="宋体" w:eastAsia="宋体" w:cs="宋体"/>
          <w:snapToGrid w:val="0"/>
          <w:sz w:val="21"/>
          <w:szCs w:val="21"/>
        </w:rPr>
        <w:t>本次修缮提升旨在构建智能化、高精度的水土流失监测体系，首先，新型径流泥沙收集器和实时监测仪的安装。其次，土壤墒情监测仪的布设（0-100cm分层监测）。第三，径流收集区扩容、坡面墙体加固及坡度校正。</w:t>
      </w:r>
    </w:p>
    <w:p w14:paraId="65EEDC28">
      <w:pPr>
        <w:pStyle w:val="6"/>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z w:val="21"/>
          <w:szCs w:val="21"/>
        </w:rPr>
      </w:pPr>
      <w:bookmarkStart w:id="88" w:name="_Toc13061"/>
      <w:bookmarkStart w:id="89" w:name="_Toc15438"/>
      <w:r>
        <w:rPr>
          <w:rFonts w:hint="eastAsia" w:ascii="宋体" w:hAnsi="宋体" w:eastAsia="宋体" w:cs="宋体"/>
          <w:sz w:val="21"/>
          <w:szCs w:val="21"/>
        </w:rPr>
        <w:t>1.3.9 气象观测场修缮</w:t>
      </w:r>
      <w:bookmarkEnd w:id="88"/>
      <w:bookmarkEnd w:id="89"/>
    </w:p>
    <w:p w14:paraId="5643B79F">
      <w:pPr>
        <w:pageBreakBefore w:val="0"/>
        <w:tabs>
          <w:tab w:val="left" w:pos="0"/>
        </w:tabs>
        <w:kinsoku/>
        <w:wordWrap/>
        <w:overflowPunct/>
        <w:topLinePunct w:val="0"/>
        <w:autoSpaceDE/>
        <w:autoSpaceDN/>
        <w:bidi w:val="0"/>
        <w:adjustRightInd w:val="0"/>
        <w:snapToGrid w:val="0"/>
        <w:spacing w:line="400" w:lineRule="exact"/>
        <w:ind w:firstLine="420" w:firstLineChars="200"/>
        <w:jc w:val="left"/>
        <w:rPr>
          <w:rFonts w:hint="eastAsia" w:ascii="宋体" w:hAnsi="宋体" w:eastAsia="宋体" w:cs="宋体"/>
          <w:snapToGrid w:val="0"/>
          <w:sz w:val="21"/>
          <w:szCs w:val="21"/>
        </w:rPr>
      </w:pPr>
      <w:r>
        <w:rPr>
          <w:rFonts w:hint="eastAsia" w:ascii="宋体" w:hAnsi="宋体" w:eastAsia="宋体" w:cs="宋体"/>
          <w:snapToGrid w:val="0"/>
          <w:sz w:val="21"/>
          <w:szCs w:val="21"/>
        </w:rPr>
        <w:t>气象观测场作为水利部西南岩溶区节水减排防污野外科学观测研究站的关键数据源，其运行状态直接影响区域水循环与生态研究的科学性。气象场系统性修缮按最新规范调整设备位置，消除环境干扰、确保数据空间代表性的根本措施；场地平整并种植低矮致密（&lt;20cm）的马尼拉草，更换0.5米高、稀疏防木纹设计的铝合金围栏；升级防雷系统；新建户外显示屏，实现核心气象参数的实时可视化。</w:t>
      </w:r>
    </w:p>
    <w:p w14:paraId="0B2CB78D">
      <w:pPr>
        <w:pStyle w:val="6"/>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z w:val="21"/>
          <w:szCs w:val="21"/>
        </w:rPr>
      </w:pPr>
      <w:bookmarkStart w:id="90" w:name="_Toc8199"/>
      <w:bookmarkStart w:id="91" w:name="_Toc31072"/>
      <w:r>
        <w:rPr>
          <w:rFonts w:hint="eastAsia" w:ascii="宋体" w:hAnsi="宋体" w:eastAsia="宋体" w:cs="宋体"/>
          <w:sz w:val="21"/>
          <w:szCs w:val="21"/>
        </w:rPr>
        <w:t>1.3.10 灌溉井改造</w:t>
      </w:r>
      <w:bookmarkEnd w:id="90"/>
      <w:bookmarkEnd w:id="91"/>
    </w:p>
    <w:p w14:paraId="4D8A401D">
      <w:pPr>
        <w:pageBreakBefore w:val="0"/>
        <w:tabs>
          <w:tab w:val="left" w:pos="0"/>
        </w:tabs>
        <w:kinsoku/>
        <w:wordWrap/>
        <w:overflowPunct/>
        <w:topLinePunct w:val="0"/>
        <w:autoSpaceDE/>
        <w:autoSpaceDN/>
        <w:bidi w:val="0"/>
        <w:adjustRightInd w:val="0"/>
        <w:snapToGrid w:val="0"/>
        <w:spacing w:line="400" w:lineRule="exact"/>
        <w:ind w:firstLine="420" w:firstLineChars="200"/>
        <w:rPr>
          <w:rFonts w:hint="eastAsia" w:ascii="宋体" w:hAnsi="宋体" w:eastAsia="宋体" w:cs="宋体"/>
          <w:snapToGrid w:val="0"/>
          <w:sz w:val="21"/>
          <w:szCs w:val="21"/>
        </w:rPr>
      </w:pPr>
      <w:r>
        <w:rPr>
          <w:rFonts w:hint="eastAsia" w:ascii="宋体" w:hAnsi="宋体" w:eastAsia="宋体" w:cs="宋体"/>
          <w:snapToGrid w:val="0"/>
          <w:sz w:val="21"/>
          <w:szCs w:val="21"/>
        </w:rPr>
        <w:t>在野外站西侧的青狮潭水库西干渠进水口处新建一座直径5米、深10米的大口井，该井兼具蓄水和沉淀功能，既可在供水期蓄水并沉淀泥沙改善水质，又能在枯水期作为补充水源，从而确保全年稳定供水并延长灌溉系统使用寿命。</w:t>
      </w:r>
    </w:p>
    <w:p w14:paraId="13781D6D">
      <w:pPr>
        <w:pStyle w:val="6"/>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z w:val="21"/>
          <w:szCs w:val="21"/>
        </w:rPr>
      </w:pPr>
      <w:bookmarkStart w:id="92" w:name="_Toc15732"/>
      <w:bookmarkStart w:id="93" w:name="_Toc23469"/>
      <w:r>
        <w:rPr>
          <w:rFonts w:hint="eastAsia" w:ascii="宋体" w:hAnsi="宋体" w:eastAsia="宋体" w:cs="宋体"/>
          <w:sz w:val="21"/>
          <w:szCs w:val="21"/>
        </w:rPr>
        <w:t>1.3.11 试验资料保存室建设</w:t>
      </w:r>
      <w:bookmarkEnd w:id="92"/>
      <w:bookmarkEnd w:id="93"/>
    </w:p>
    <w:p w14:paraId="5D02FC13">
      <w:pPr>
        <w:pageBreakBefore w:val="0"/>
        <w:tabs>
          <w:tab w:val="left" w:pos="0"/>
        </w:tabs>
        <w:kinsoku/>
        <w:wordWrap/>
        <w:overflowPunct/>
        <w:topLinePunct w:val="0"/>
        <w:autoSpaceDE/>
        <w:autoSpaceDN/>
        <w:bidi w:val="0"/>
        <w:adjustRightInd w:val="0"/>
        <w:snapToGrid w:val="0"/>
        <w:spacing w:line="400" w:lineRule="exact"/>
        <w:ind w:firstLine="420" w:firstLineChars="200"/>
        <w:rPr>
          <w:rFonts w:hint="eastAsia" w:ascii="宋体" w:hAnsi="宋体" w:eastAsia="宋体" w:cs="宋体"/>
          <w:snapToGrid w:val="0"/>
          <w:sz w:val="21"/>
          <w:szCs w:val="21"/>
        </w:rPr>
      </w:pPr>
      <w:r>
        <w:rPr>
          <w:rFonts w:hint="eastAsia" w:ascii="宋体" w:hAnsi="宋体" w:eastAsia="宋体" w:cs="宋体"/>
          <w:snapToGrid w:val="0"/>
          <w:sz w:val="21"/>
          <w:szCs w:val="21"/>
        </w:rPr>
        <w:t>野外站每年有很多的试验原始观测、成果整编等资料。野外站依托单位没有标准的资料保存室，平时存于日常柜体中，很容易受潮、受虫蚀等原因而损坏。试验资料保存室改建主要是安装防火、防潮、防虫、防盗等设施，保障保管室的安全。配置10个橱柜，安装温湿度监测与控制设备，保持适宜的温湿度环境。安装空气净化和除尘设备，腐朽木地板更换和安装灭火设备等。</w:t>
      </w:r>
    </w:p>
    <w:p w14:paraId="2D40CD64">
      <w:pPr>
        <w:pStyle w:val="6"/>
        <w:pageBreakBefore w:val="0"/>
        <w:kinsoku/>
        <w:wordWrap/>
        <w:overflowPunct/>
        <w:topLinePunct w:val="0"/>
        <w:autoSpaceDE/>
        <w:autoSpaceDN/>
        <w:bidi w:val="0"/>
        <w:spacing w:before="0" w:after="0" w:line="400" w:lineRule="exact"/>
        <w:ind w:firstLine="0" w:firstLineChars="0"/>
        <w:rPr>
          <w:rFonts w:hint="eastAsia" w:ascii="宋体" w:hAnsi="宋体" w:eastAsia="宋体" w:cs="宋体"/>
          <w:sz w:val="21"/>
          <w:szCs w:val="21"/>
        </w:rPr>
      </w:pPr>
      <w:bookmarkStart w:id="94" w:name="_Toc27365"/>
      <w:bookmarkStart w:id="95" w:name="_Toc21450"/>
      <w:r>
        <w:rPr>
          <w:rFonts w:hint="eastAsia" w:ascii="宋体" w:hAnsi="宋体" w:eastAsia="宋体" w:cs="宋体"/>
          <w:sz w:val="21"/>
          <w:szCs w:val="21"/>
        </w:rPr>
        <w:t>1.3.12 野外站科普建设</w:t>
      </w:r>
      <w:bookmarkEnd w:id="94"/>
      <w:bookmarkEnd w:id="95"/>
    </w:p>
    <w:p w14:paraId="748C025A">
      <w:pPr>
        <w:pageBreakBefore w:val="0"/>
        <w:tabs>
          <w:tab w:val="left" w:pos="0"/>
        </w:tabs>
        <w:kinsoku/>
        <w:wordWrap/>
        <w:overflowPunct/>
        <w:topLinePunct w:val="0"/>
        <w:autoSpaceDE/>
        <w:autoSpaceDN/>
        <w:bidi w:val="0"/>
        <w:adjustRightInd w:val="0"/>
        <w:snapToGrid w:val="0"/>
        <w:spacing w:line="400" w:lineRule="exact"/>
        <w:ind w:firstLine="420" w:firstLineChars="200"/>
        <w:rPr>
          <w:rFonts w:hint="eastAsia" w:ascii="宋体" w:hAnsi="宋体" w:eastAsia="宋体" w:cs="宋体"/>
          <w:sz w:val="21"/>
          <w:szCs w:val="21"/>
        </w:rPr>
      </w:pPr>
      <w:r>
        <w:rPr>
          <w:rFonts w:hint="eastAsia" w:ascii="宋体" w:hAnsi="宋体" w:eastAsia="宋体" w:cs="宋体"/>
          <w:snapToGrid w:val="0"/>
          <w:sz w:val="21"/>
          <w:szCs w:val="21"/>
        </w:rPr>
        <w:t>根据《水利部野外科学观测研究站建设与运行管理暂行办法》其主要任务之一就是开展科学普及、教学、培训和实习等活动。依托单位在原建成广西节水教育基地基础上建设完善科普园区，注重互动性、科技性和地域特色。园区设置节水减排防污试验区、节水技术展示区和气象变化体验区，利用数字化手段增强科普趣味性。同时，结合广西特色农业，展示高效灌溉技术，让公众直观感受节水效益。在拓展科普方式上，采取“线上+线下”结合的模式，开发节水科普小程序、短视频科普、线上虚拟展馆等，扩大受众覆盖面。此外，桂林理工大学、广西水利电力职业技术学院等学校开展教学、培训和实习等活动，联合中小学开展科普研学，联合社区和面向公众开展节水竞赛、专家讲座等活动，增强公众参与感，形成长效科普机制，推动节水理念深入人心。</w:t>
      </w:r>
    </w:p>
    <w:p w14:paraId="4FEBCAE7">
      <w:pPr>
        <w:widowControl/>
        <w:jc w:val="left"/>
        <w:rPr>
          <w:rFonts w:hint="eastAsia" w:ascii="黑体" w:hAnsi="黑体" w:eastAsia="黑体" w:cs="黑体"/>
          <w:color w:val="auto"/>
          <w:sz w:val="32"/>
          <w:szCs w:val="32"/>
          <w:highlight w:val="none"/>
        </w:rPr>
      </w:pPr>
    </w:p>
    <w:p w14:paraId="7EFF4D6B">
      <w:pPr>
        <w:pStyle w:val="2"/>
        <w:rPr>
          <w:rFonts w:hint="eastAsia" w:ascii="黑体" w:hAnsi="黑体" w:eastAsia="黑体" w:cs="黑体"/>
          <w:color w:val="auto"/>
          <w:sz w:val="32"/>
          <w:szCs w:val="32"/>
          <w:highlight w:val="none"/>
        </w:rPr>
      </w:pPr>
    </w:p>
    <w:p w14:paraId="0E2B32FD">
      <w:pPr>
        <w:pStyle w:val="3"/>
        <w:rPr>
          <w:rFonts w:hint="eastAsia" w:ascii="黑体" w:hAnsi="黑体" w:eastAsia="黑体" w:cs="黑体"/>
          <w:color w:val="auto"/>
          <w:sz w:val="32"/>
          <w:szCs w:val="32"/>
          <w:highlight w:val="none"/>
        </w:rPr>
      </w:pPr>
    </w:p>
    <w:p w14:paraId="0C231475">
      <w:pPr>
        <w:rPr>
          <w:rFonts w:hint="eastAsia" w:ascii="黑体" w:hAnsi="黑体" w:eastAsia="黑体" w:cs="黑体"/>
          <w:color w:val="auto"/>
          <w:sz w:val="32"/>
          <w:szCs w:val="32"/>
          <w:highlight w:val="none"/>
        </w:rPr>
      </w:pPr>
    </w:p>
    <w:p w14:paraId="3A5BAE46">
      <w:pPr>
        <w:pStyle w:val="2"/>
        <w:rPr>
          <w:rFonts w:hint="eastAsia" w:ascii="黑体" w:hAnsi="黑体" w:eastAsia="黑体" w:cs="黑体"/>
          <w:color w:val="auto"/>
          <w:sz w:val="32"/>
          <w:szCs w:val="32"/>
          <w:highlight w:val="none"/>
        </w:rPr>
      </w:pPr>
    </w:p>
    <w:p w14:paraId="003DD2E4">
      <w:pPr>
        <w:pStyle w:val="3"/>
        <w:rPr>
          <w:rFonts w:hint="eastAsia" w:ascii="黑体" w:hAnsi="黑体" w:eastAsia="黑体" w:cs="黑体"/>
          <w:color w:val="auto"/>
          <w:sz w:val="32"/>
          <w:szCs w:val="32"/>
          <w:highlight w:val="none"/>
        </w:rPr>
      </w:pPr>
    </w:p>
    <w:p w14:paraId="5061549D">
      <w:pPr>
        <w:rPr>
          <w:rFonts w:hint="eastAsia" w:ascii="黑体" w:hAnsi="黑体" w:eastAsia="黑体" w:cs="黑体"/>
          <w:color w:val="auto"/>
          <w:sz w:val="32"/>
          <w:szCs w:val="32"/>
          <w:highlight w:val="none"/>
        </w:rPr>
      </w:pPr>
    </w:p>
    <w:p w14:paraId="38779BE5">
      <w:pPr>
        <w:pStyle w:val="2"/>
        <w:rPr>
          <w:rFonts w:hint="eastAsia" w:ascii="黑体" w:hAnsi="黑体" w:eastAsia="黑体" w:cs="黑体"/>
          <w:color w:val="auto"/>
          <w:sz w:val="32"/>
          <w:szCs w:val="32"/>
          <w:highlight w:val="none"/>
        </w:rPr>
      </w:pPr>
    </w:p>
    <w:p w14:paraId="5E393752">
      <w:pPr>
        <w:spacing w:line="400" w:lineRule="exact"/>
        <w:rPr>
          <w:rFonts w:hint="eastAsia" w:ascii="宋体" w:hAnsi="宋体" w:cs="宋体"/>
          <w:b/>
          <w:bCs/>
          <w:color w:val="auto"/>
          <w:sz w:val="24"/>
          <w:highlight w:val="none"/>
        </w:rPr>
      </w:pPr>
      <w:bookmarkStart w:id="96" w:name="_Toc7080"/>
      <w:bookmarkStart w:id="97" w:name="_Toc25688"/>
      <w:r>
        <w:rPr>
          <w:rFonts w:hint="eastAsia" w:ascii="宋体" w:hAnsi="宋体" w:cs="宋体"/>
          <w:b/>
          <w:bCs/>
          <w:color w:val="auto"/>
          <w:sz w:val="24"/>
          <w:highlight w:val="none"/>
        </w:rPr>
        <w:t>附表</w:t>
      </w:r>
      <w:bookmarkStart w:id="98" w:name="_Toc28361_WPSOffice_Level2"/>
    </w:p>
    <w:p w14:paraId="4665CA09">
      <w:pPr>
        <w:spacing w:line="400" w:lineRule="exact"/>
        <w:jc w:val="center"/>
        <w:rPr>
          <w:rFonts w:ascii="宋体" w:hAnsi="宋体" w:cs="宋体"/>
          <w:b/>
          <w:bCs/>
          <w:color w:val="auto"/>
          <w:kern w:val="0"/>
          <w:sz w:val="30"/>
          <w:szCs w:val="30"/>
          <w:highlight w:val="none"/>
        </w:rPr>
      </w:pPr>
      <w:r>
        <w:rPr>
          <w:rFonts w:hint="eastAsia" w:ascii="宋体" w:hAnsi="宋体" w:cs="宋体"/>
          <w:b/>
          <w:bCs/>
          <w:color w:val="auto"/>
          <w:kern w:val="0"/>
          <w:sz w:val="30"/>
          <w:szCs w:val="30"/>
          <w:highlight w:val="none"/>
        </w:rPr>
        <w:t>统计上大中小微型企业划分标准</w:t>
      </w:r>
      <w:bookmarkEnd w:id="98"/>
    </w:p>
    <w:tbl>
      <w:tblPr>
        <w:tblStyle w:val="8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8"/>
        <w:gridCol w:w="1372"/>
        <w:gridCol w:w="710"/>
        <w:gridCol w:w="1127"/>
        <w:gridCol w:w="1705"/>
        <w:gridCol w:w="1429"/>
        <w:gridCol w:w="994"/>
      </w:tblGrid>
      <w:tr w14:paraId="1D270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118" w:type="dxa"/>
            <w:shd w:val="clear" w:color="auto" w:fill="8DB3E2"/>
            <w:noWrap w:val="0"/>
            <w:vAlign w:val="center"/>
          </w:tcPr>
          <w:p w14:paraId="5D6BABEE">
            <w:pPr>
              <w:widowControl/>
              <w:spacing w:line="360" w:lineRule="auto"/>
              <w:jc w:val="center"/>
              <w:rPr>
                <w:rFonts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72" w:type="dxa"/>
            <w:shd w:val="clear" w:color="auto" w:fill="8DB3E2"/>
            <w:noWrap w:val="0"/>
            <w:vAlign w:val="center"/>
          </w:tcPr>
          <w:p w14:paraId="42F493FC">
            <w:pPr>
              <w:widowControl/>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10" w:type="dxa"/>
            <w:shd w:val="clear" w:color="auto" w:fill="8DB3E2"/>
            <w:noWrap w:val="0"/>
            <w:vAlign w:val="center"/>
          </w:tcPr>
          <w:p w14:paraId="2EE3C5C1">
            <w:pPr>
              <w:widowControl/>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计量</w:t>
            </w:r>
          </w:p>
          <w:p w14:paraId="29897EE4">
            <w:pPr>
              <w:widowControl/>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27" w:type="dxa"/>
            <w:shd w:val="clear" w:color="auto" w:fill="8DB3E2"/>
            <w:noWrap w:val="0"/>
            <w:vAlign w:val="center"/>
          </w:tcPr>
          <w:p w14:paraId="007ECC66">
            <w:pPr>
              <w:widowControl/>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5" w:type="dxa"/>
            <w:shd w:val="clear" w:color="auto" w:fill="8DB3E2"/>
            <w:noWrap w:val="0"/>
            <w:vAlign w:val="center"/>
          </w:tcPr>
          <w:p w14:paraId="74935B8B">
            <w:pPr>
              <w:widowControl/>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9" w:type="dxa"/>
            <w:shd w:val="clear" w:color="auto" w:fill="8DB3E2"/>
            <w:noWrap w:val="0"/>
            <w:vAlign w:val="center"/>
          </w:tcPr>
          <w:p w14:paraId="2567A81A">
            <w:pPr>
              <w:widowControl/>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4" w:type="dxa"/>
            <w:shd w:val="clear" w:color="auto" w:fill="8DB3E2"/>
            <w:noWrap w:val="0"/>
            <w:vAlign w:val="center"/>
          </w:tcPr>
          <w:p w14:paraId="390B9538">
            <w:pPr>
              <w:widowControl/>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0246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noWrap w:val="0"/>
            <w:vAlign w:val="center"/>
          </w:tcPr>
          <w:p w14:paraId="008469D5">
            <w:pPr>
              <w:widowControl/>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372" w:type="dxa"/>
            <w:noWrap w:val="0"/>
            <w:vAlign w:val="center"/>
          </w:tcPr>
          <w:p w14:paraId="38102B3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10" w:type="dxa"/>
            <w:noWrap w:val="0"/>
            <w:vAlign w:val="center"/>
          </w:tcPr>
          <w:p w14:paraId="7CF89460">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059ABCE9">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5" w:type="dxa"/>
            <w:noWrap w:val="0"/>
            <w:vAlign w:val="center"/>
          </w:tcPr>
          <w:p w14:paraId="2C883650">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9" w:type="dxa"/>
            <w:noWrap w:val="0"/>
            <w:vAlign w:val="center"/>
          </w:tcPr>
          <w:p w14:paraId="414F431C">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994" w:type="dxa"/>
            <w:noWrap w:val="0"/>
            <w:vAlign w:val="center"/>
          </w:tcPr>
          <w:p w14:paraId="2C71E15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1955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restart"/>
            <w:noWrap w:val="0"/>
            <w:vAlign w:val="center"/>
          </w:tcPr>
          <w:p w14:paraId="014D9053">
            <w:pPr>
              <w:widowControl/>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372" w:type="dxa"/>
            <w:noWrap w:val="0"/>
            <w:vAlign w:val="center"/>
          </w:tcPr>
          <w:p w14:paraId="020604EE">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10" w:type="dxa"/>
            <w:noWrap w:val="0"/>
            <w:vAlign w:val="center"/>
          </w:tcPr>
          <w:p w14:paraId="32288570">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7" w:type="dxa"/>
            <w:noWrap w:val="0"/>
            <w:vAlign w:val="center"/>
          </w:tcPr>
          <w:p w14:paraId="199D43C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5" w:type="dxa"/>
            <w:noWrap w:val="0"/>
            <w:vAlign w:val="center"/>
          </w:tcPr>
          <w:p w14:paraId="430CE97C">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9" w:type="dxa"/>
            <w:noWrap w:val="0"/>
            <w:vAlign w:val="center"/>
          </w:tcPr>
          <w:p w14:paraId="31543B5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4" w:type="dxa"/>
            <w:noWrap w:val="0"/>
            <w:vAlign w:val="center"/>
          </w:tcPr>
          <w:p w14:paraId="42716768">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7DA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continue"/>
            <w:noWrap w:val="0"/>
            <w:vAlign w:val="center"/>
          </w:tcPr>
          <w:p w14:paraId="0D90466F">
            <w:pPr>
              <w:widowControl/>
              <w:spacing w:line="360" w:lineRule="auto"/>
              <w:jc w:val="left"/>
              <w:rPr>
                <w:rFonts w:ascii="宋体" w:hAnsi="宋体" w:cs="宋体"/>
                <w:color w:val="auto"/>
                <w:kern w:val="0"/>
                <w:sz w:val="18"/>
                <w:szCs w:val="18"/>
                <w:highlight w:val="none"/>
              </w:rPr>
            </w:pPr>
          </w:p>
        </w:tc>
        <w:tc>
          <w:tcPr>
            <w:tcW w:w="1372" w:type="dxa"/>
            <w:noWrap w:val="0"/>
            <w:vAlign w:val="center"/>
          </w:tcPr>
          <w:p w14:paraId="435477A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10" w:type="dxa"/>
            <w:noWrap w:val="0"/>
            <w:vAlign w:val="center"/>
          </w:tcPr>
          <w:p w14:paraId="34EA4423">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54EE945C">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5" w:type="dxa"/>
            <w:noWrap w:val="0"/>
            <w:vAlign w:val="center"/>
          </w:tcPr>
          <w:p w14:paraId="3F35115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9" w:type="dxa"/>
            <w:noWrap w:val="0"/>
            <w:vAlign w:val="center"/>
          </w:tcPr>
          <w:p w14:paraId="57C3D122">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994" w:type="dxa"/>
            <w:noWrap w:val="0"/>
            <w:vAlign w:val="center"/>
          </w:tcPr>
          <w:p w14:paraId="2DC2900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72D34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restart"/>
            <w:noWrap w:val="0"/>
            <w:vAlign w:val="center"/>
          </w:tcPr>
          <w:p w14:paraId="76790074">
            <w:pPr>
              <w:widowControl/>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372" w:type="dxa"/>
            <w:noWrap w:val="0"/>
            <w:vAlign w:val="center"/>
          </w:tcPr>
          <w:p w14:paraId="02906524">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10" w:type="dxa"/>
            <w:noWrap w:val="0"/>
            <w:vAlign w:val="center"/>
          </w:tcPr>
          <w:p w14:paraId="4F7B7523">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02237BA9">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5" w:type="dxa"/>
            <w:noWrap w:val="0"/>
            <w:vAlign w:val="center"/>
          </w:tcPr>
          <w:p w14:paraId="3A8C199F">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9" w:type="dxa"/>
            <w:noWrap w:val="0"/>
            <w:vAlign w:val="center"/>
          </w:tcPr>
          <w:p w14:paraId="609760C2">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994" w:type="dxa"/>
            <w:noWrap w:val="0"/>
            <w:vAlign w:val="center"/>
          </w:tcPr>
          <w:p w14:paraId="485962A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66011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continue"/>
            <w:noWrap w:val="0"/>
            <w:vAlign w:val="center"/>
          </w:tcPr>
          <w:p w14:paraId="163234DE">
            <w:pPr>
              <w:widowControl/>
              <w:spacing w:line="360" w:lineRule="auto"/>
              <w:jc w:val="left"/>
              <w:rPr>
                <w:rFonts w:ascii="宋体" w:hAnsi="宋体" w:cs="宋体"/>
                <w:color w:val="auto"/>
                <w:kern w:val="0"/>
                <w:sz w:val="18"/>
                <w:szCs w:val="18"/>
                <w:highlight w:val="none"/>
              </w:rPr>
            </w:pPr>
          </w:p>
        </w:tc>
        <w:tc>
          <w:tcPr>
            <w:tcW w:w="1372" w:type="dxa"/>
            <w:noWrap w:val="0"/>
            <w:vAlign w:val="center"/>
          </w:tcPr>
          <w:p w14:paraId="724A6F72">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10" w:type="dxa"/>
            <w:noWrap w:val="0"/>
            <w:vAlign w:val="center"/>
          </w:tcPr>
          <w:p w14:paraId="48129384">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414919F4">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5" w:type="dxa"/>
            <w:noWrap w:val="0"/>
            <w:vAlign w:val="center"/>
          </w:tcPr>
          <w:p w14:paraId="42C26AB2">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9" w:type="dxa"/>
            <w:noWrap w:val="0"/>
            <w:vAlign w:val="center"/>
          </w:tcPr>
          <w:p w14:paraId="22A10736">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994" w:type="dxa"/>
            <w:noWrap w:val="0"/>
            <w:vAlign w:val="center"/>
          </w:tcPr>
          <w:p w14:paraId="60B78C2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303AA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restart"/>
            <w:noWrap w:val="0"/>
            <w:vAlign w:val="center"/>
          </w:tcPr>
          <w:p w14:paraId="675CD73C">
            <w:pPr>
              <w:widowControl/>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372" w:type="dxa"/>
            <w:noWrap w:val="0"/>
            <w:vAlign w:val="center"/>
          </w:tcPr>
          <w:p w14:paraId="20C96150">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10" w:type="dxa"/>
            <w:noWrap w:val="0"/>
            <w:vAlign w:val="center"/>
          </w:tcPr>
          <w:p w14:paraId="046E4D9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7" w:type="dxa"/>
            <w:noWrap w:val="0"/>
            <w:vAlign w:val="center"/>
          </w:tcPr>
          <w:p w14:paraId="435EE36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5" w:type="dxa"/>
            <w:noWrap w:val="0"/>
            <w:vAlign w:val="center"/>
          </w:tcPr>
          <w:p w14:paraId="0ECC10B7">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9" w:type="dxa"/>
            <w:noWrap w:val="0"/>
            <w:vAlign w:val="center"/>
          </w:tcPr>
          <w:p w14:paraId="789B02F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994" w:type="dxa"/>
            <w:noWrap w:val="0"/>
            <w:vAlign w:val="center"/>
          </w:tcPr>
          <w:p w14:paraId="5E73D4E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4C70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continue"/>
            <w:noWrap w:val="0"/>
            <w:vAlign w:val="center"/>
          </w:tcPr>
          <w:p w14:paraId="577AE311">
            <w:pPr>
              <w:widowControl/>
              <w:spacing w:line="360" w:lineRule="auto"/>
              <w:jc w:val="left"/>
              <w:rPr>
                <w:rFonts w:ascii="宋体" w:hAnsi="宋体" w:cs="宋体"/>
                <w:color w:val="auto"/>
                <w:kern w:val="0"/>
                <w:sz w:val="18"/>
                <w:szCs w:val="18"/>
                <w:highlight w:val="none"/>
              </w:rPr>
            </w:pPr>
          </w:p>
        </w:tc>
        <w:tc>
          <w:tcPr>
            <w:tcW w:w="1372" w:type="dxa"/>
            <w:noWrap w:val="0"/>
            <w:vAlign w:val="center"/>
          </w:tcPr>
          <w:p w14:paraId="7494AA8F">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10" w:type="dxa"/>
            <w:noWrap w:val="0"/>
            <w:vAlign w:val="center"/>
          </w:tcPr>
          <w:p w14:paraId="031973CF">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235194B8">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5" w:type="dxa"/>
            <w:noWrap w:val="0"/>
            <w:vAlign w:val="center"/>
          </w:tcPr>
          <w:p w14:paraId="46841E86">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9" w:type="dxa"/>
            <w:noWrap w:val="0"/>
            <w:vAlign w:val="center"/>
          </w:tcPr>
          <w:p w14:paraId="7468AA31">
            <w:pPr>
              <w:widowControl/>
              <w:spacing w:line="360" w:lineRule="auto"/>
              <w:ind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4" w:type="dxa"/>
            <w:noWrap w:val="0"/>
            <w:vAlign w:val="center"/>
          </w:tcPr>
          <w:p w14:paraId="43FC1CA5">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3488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restart"/>
            <w:noWrap w:val="0"/>
            <w:vAlign w:val="center"/>
          </w:tcPr>
          <w:p w14:paraId="51169A8F">
            <w:pPr>
              <w:widowControl/>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372" w:type="dxa"/>
            <w:noWrap w:val="0"/>
            <w:vAlign w:val="center"/>
          </w:tcPr>
          <w:p w14:paraId="437774D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10" w:type="dxa"/>
            <w:noWrap w:val="0"/>
            <w:vAlign w:val="center"/>
          </w:tcPr>
          <w:p w14:paraId="0705E0F8">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7" w:type="dxa"/>
            <w:noWrap w:val="0"/>
            <w:vAlign w:val="center"/>
          </w:tcPr>
          <w:p w14:paraId="0A85C3F3">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5" w:type="dxa"/>
            <w:noWrap w:val="0"/>
            <w:vAlign w:val="center"/>
          </w:tcPr>
          <w:p w14:paraId="156958E4">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9" w:type="dxa"/>
            <w:noWrap w:val="0"/>
            <w:vAlign w:val="center"/>
          </w:tcPr>
          <w:p w14:paraId="0AC1A4A8">
            <w:pPr>
              <w:widowControl/>
              <w:spacing w:line="360" w:lineRule="auto"/>
              <w:ind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4" w:type="dxa"/>
            <w:noWrap w:val="0"/>
            <w:vAlign w:val="center"/>
          </w:tcPr>
          <w:p w14:paraId="5E7C9F1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BDE7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continue"/>
            <w:noWrap w:val="0"/>
            <w:vAlign w:val="center"/>
          </w:tcPr>
          <w:p w14:paraId="609DCB6B">
            <w:pPr>
              <w:widowControl/>
              <w:spacing w:line="360" w:lineRule="auto"/>
              <w:jc w:val="left"/>
              <w:rPr>
                <w:rFonts w:ascii="宋体" w:hAnsi="宋体" w:cs="宋体"/>
                <w:color w:val="auto"/>
                <w:kern w:val="0"/>
                <w:sz w:val="18"/>
                <w:szCs w:val="18"/>
                <w:highlight w:val="none"/>
              </w:rPr>
            </w:pPr>
          </w:p>
        </w:tc>
        <w:tc>
          <w:tcPr>
            <w:tcW w:w="1372" w:type="dxa"/>
            <w:noWrap w:val="0"/>
            <w:vAlign w:val="center"/>
          </w:tcPr>
          <w:p w14:paraId="0ADDF3A2">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10" w:type="dxa"/>
            <w:noWrap w:val="0"/>
            <w:vAlign w:val="center"/>
          </w:tcPr>
          <w:p w14:paraId="538020E7">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03178123">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5" w:type="dxa"/>
            <w:noWrap w:val="0"/>
            <w:vAlign w:val="center"/>
          </w:tcPr>
          <w:p w14:paraId="46879E1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9" w:type="dxa"/>
            <w:noWrap w:val="0"/>
            <w:vAlign w:val="center"/>
          </w:tcPr>
          <w:p w14:paraId="496398C0">
            <w:pPr>
              <w:widowControl/>
              <w:spacing w:line="360" w:lineRule="auto"/>
              <w:ind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994" w:type="dxa"/>
            <w:noWrap w:val="0"/>
            <w:vAlign w:val="center"/>
          </w:tcPr>
          <w:p w14:paraId="7DCE924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3A3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restart"/>
            <w:noWrap w:val="0"/>
            <w:vAlign w:val="center"/>
          </w:tcPr>
          <w:p w14:paraId="4C6C9866">
            <w:pPr>
              <w:widowControl/>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372" w:type="dxa"/>
            <w:noWrap w:val="0"/>
            <w:vAlign w:val="center"/>
          </w:tcPr>
          <w:p w14:paraId="499882C9">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10" w:type="dxa"/>
            <w:noWrap w:val="0"/>
            <w:vAlign w:val="center"/>
          </w:tcPr>
          <w:p w14:paraId="1BB2501A">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7" w:type="dxa"/>
            <w:noWrap w:val="0"/>
            <w:vAlign w:val="center"/>
          </w:tcPr>
          <w:p w14:paraId="14A1BB62">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5" w:type="dxa"/>
            <w:noWrap w:val="0"/>
            <w:vAlign w:val="center"/>
          </w:tcPr>
          <w:p w14:paraId="4E7E1009">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9" w:type="dxa"/>
            <w:noWrap w:val="0"/>
            <w:vAlign w:val="center"/>
          </w:tcPr>
          <w:p w14:paraId="548C4AE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4" w:type="dxa"/>
            <w:noWrap w:val="0"/>
            <w:vAlign w:val="center"/>
          </w:tcPr>
          <w:p w14:paraId="174BBE46">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39F2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continue"/>
            <w:noWrap w:val="0"/>
            <w:vAlign w:val="center"/>
          </w:tcPr>
          <w:p w14:paraId="06E61D70">
            <w:pPr>
              <w:widowControl/>
              <w:spacing w:line="360" w:lineRule="auto"/>
              <w:jc w:val="left"/>
              <w:rPr>
                <w:rFonts w:ascii="宋体" w:hAnsi="宋体" w:cs="宋体"/>
                <w:color w:val="auto"/>
                <w:kern w:val="0"/>
                <w:sz w:val="18"/>
                <w:szCs w:val="18"/>
                <w:highlight w:val="none"/>
              </w:rPr>
            </w:pPr>
          </w:p>
        </w:tc>
        <w:tc>
          <w:tcPr>
            <w:tcW w:w="1372" w:type="dxa"/>
            <w:noWrap w:val="0"/>
            <w:vAlign w:val="center"/>
          </w:tcPr>
          <w:p w14:paraId="190679E2">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10" w:type="dxa"/>
            <w:noWrap w:val="0"/>
            <w:vAlign w:val="center"/>
          </w:tcPr>
          <w:p w14:paraId="4A8EDD24">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2E4D4EEA">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5" w:type="dxa"/>
            <w:noWrap w:val="0"/>
            <w:vAlign w:val="center"/>
          </w:tcPr>
          <w:p w14:paraId="339D6C85">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9" w:type="dxa"/>
            <w:noWrap w:val="0"/>
            <w:vAlign w:val="center"/>
          </w:tcPr>
          <w:p w14:paraId="45BF405A">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994" w:type="dxa"/>
            <w:noWrap w:val="0"/>
            <w:vAlign w:val="center"/>
          </w:tcPr>
          <w:p w14:paraId="08DE61A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56308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restart"/>
            <w:noWrap w:val="0"/>
            <w:vAlign w:val="center"/>
          </w:tcPr>
          <w:p w14:paraId="165AEF6F">
            <w:pPr>
              <w:widowControl/>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372" w:type="dxa"/>
            <w:noWrap w:val="0"/>
            <w:vAlign w:val="center"/>
          </w:tcPr>
          <w:p w14:paraId="7AB5947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10" w:type="dxa"/>
            <w:noWrap w:val="0"/>
            <w:vAlign w:val="center"/>
          </w:tcPr>
          <w:p w14:paraId="0C9D990F">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7" w:type="dxa"/>
            <w:noWrap w:val="0"/>
            <w:vAlign w:val="center"/>
          </w:tcPr>
          <w:p w14:paraId="7E36935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5" w:type="dxa"/>
            <w:noWrap w:val="0"/>
            <w:vAlign w:val="center"/>
          </w:tcPr>
          <w:p w14:paraId="44774545">
            <w:pPr>
              <w:widowControl/>
              <w:spacing w:line="360" w:lineRule="auto"/>
              <w:ind w:left="108"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9" w:type="dxa"/>
            <w:noWrap w:val="0"/>
            <w:vAlign w:val="center"/>
          </w:tcPr>
          <w:p w14:paraId="1023CCFF">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994" w:type="dxa"/>
            <w:noWrap w:val="0"/>
            <w:vAlign w:val="center"/>
          </w:tcPr>
          <w:p w14:paraId="3189E656">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16E8B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continue"/>
            <w:noWrap w:val="0"/>
            <w:vAlign w:val="center"/>
          </w:tcPr>
          <w:p w14:paraId="16BFB165">
            <w:pPr>
              <w:widowControl/>
              <w:spacing w:line="360" w:lineRule="auto"/>
              <w:jc w:val="left"/>
              <w:rPr>
                <w:rFonts w:ascii="宋体" w:hAnsi="宋体" w:cs="宋体"/>
                <w:color w:val="auto"/>
                <w:kern w:val="0"/>
                <w:sz w:val="18"/>
                <w:szCs w:val="18"/>
                <w:highlight w:val="none"/>
              </w:rPr>
            </w:pPr>
          </w:p>
        </w:tc>
        <w:tc>
          <w:tcPr>
            <w:tcW w:w="1372" w:type="dxa"/>
            <w:noWrap w:val="0"/>
            <w:vAlign w:val="center"/>
          </w:tcPr>
          <w:p w14:paraId="24DAB892">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10" w:type="dxa"/>
            <w:noWrap w:val="0"/>
            <w:vAlign w:val="center"/>
          </w:tcPr>
          <w:p w14:paraId="6BD2671A">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6D6E932E">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5" w:type="dxa"/>
            <w:noWrap w:val="0"/>
            <w:vAlign w:val="center"/>
          </w:tcPr>
          <w:p w14:paraId="02578B4A">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9" w:type="dxa"/>
            <w:noWrap w:val="0"/>
            <w:vAlign w:val="center"/>
          </w:tcPr>
          <w:p w14:paraId="3727FC9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4" w:type="dxa"/>
            <w:noWrap w:val="0"/>
            <w:vAlign w:val="center"/>
          </w:tcPr>
          <w:p w14:paraId="24381CF6">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3D4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restart"/>
            <w:noWrap w:val="0"/>
            <w:vAlign w:val="center"/>
          </w:tcPr>
          <w:p w14:paraId="1303D8C2">
            <w:pPr>
              <w:widowControl/>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372" w:type="dxa"/>
            <w:noWrap w:val="0"/>
            <w:vAlign w:val="center"/>
          </w:tcPr>
          <w:p w14:paraId="7CD35C2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10" w:type="dxa"/>
            <w:noWrap w:val="0"/>
            <w:vAlign w:val="center"/>
          </w:tcPr>
          <w:p w14:paraId="7490FE0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7" w:type="dxa"/>
            <w:noWrap w:val="0"/>
            <w:vAlign w:val="center"/>
          </w:tcPr>
          <w:p w14:paraId="25E19BF3">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5" w:type="dxa"/>
            <w:noWrap w:val="0"/>
            <w:vAlign w:val="center"/>
          </w:tcPr>
          <w:p w14:paraId="7A50EEAA">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9" w:type="dxa"/>
            <w:noWrap w:val="0"/>
            <w:vAlign w:val="center"/>
          </w:tcPr>
          <w:p w14:paraId="10ECE7B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4" w:type="dxa"/>
            <w:noWrap w:val="0"/>
            <w:vAlign w:val="center"/>
          </w:tcPr>
          <w:p w14:paraId="19CFCA6C">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6E33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continue"/>
            <w:noWrap w:val="0"/>
            <w:vAlign w:val="center"/>
          </w:tcPr>
          <w:p w14:paraId="188F0FD1">
            <w:pPr>
              <w:widowControl/>
              <w:spacing w:line="360" w:lineRule="auto"/>
              <w:jc w:val="left"/>
              <w:rPr>
                <w:rFonts w:ascii="宋体" w:hAnsi="宋体" w:cs="宋体"/>
                <w:color w:val="auto"/>
                <w:kern w:val="0"/>
                <w:sz w:val="18"/>
                <w:szCs w:val="18"/>
                <w:highlight w:val="none"/>
              </w:rPr>
            </w:pPr>
          </w:p>
        </w:tc>
        <w:tc>
          <w:tcPr>
            <w:tcW w:w="1372" w:type="dxa"/>
            <w:noWrap w:val="0"/>
            <w:vAlign w:val="center"/>
          </w:tcPr>
          <w:p w14:paraId="7525CCF7">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10" w:type="dxa"/>
            <w:noWrap w:val="0"/>
            <w:vAlign w:val="center"/>
          </w:tcPr>
          <w:p w14:paraId="72F7621F">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4725A812">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5" w:type="dxa"/>
            <w:noWrap w:val="0"/>
            <w:vAlign w:val="center"/>
          </w:tcPr>
          <w:p w14:paraId="6C349DA6">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9" w:type="dxa"/>
            <w:noWrap w:val="0"/>
            <w:vAlign w:val="center"/>
          </w:tcPr>
          <w:p w14:paraId="0DF59250">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4" w:type="dxa"/>
            <w:noWrap w:val="0"/>
            <w:vAlign w:val="center"/>
          </w:tcPr>
          <w:p w14:paraId="22B72FA7">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3EF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restart"/>
            <w:noWrap w:val="0"/>
            <w:vAlign w:val="center"/>
          </w:tcPr>
          <w:p w14:paraId="29E82077">
            <w:pPr>
              <w:widowControl/>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372" w:type="dxa"/>
            <w:noWrap w:val="0"/>
            <w:vAlign w:val="center"/>
          </w:tcPr>
          <w:p w14:paraId="6178BB2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10" w:type="dxa"/>
            <w:noWrap w:val="0"/>
            <w:vAlign w:val="center"/>
          </w:tcPr>
          <w:p w14:paraId="5D9220F9">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7" w:type="dxa"/>
            <w:noWrap w:val="0"/>
            <w:vAlign w:val="center"/>
          </w:tcPr>
          <w:p w14:paraId="73F4F1B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5" w:type="dxa"/>
            <w:noWrap w:val="0"/>
            <w:vAlign w:val="center"/>
          </w:tcPr>
          <w:p w14:paraId="660B6847">
            <w:pPr>
              <w:widowControl/>
              <w:spacing w:line="360" w:lineRule="auto"/>
              <w:ind w:left="108"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9" w:type="dxa"/>
            <w:noWrap w:val="0"/>
            <w:vAlign w:val="center"/>
          </w:tcPr>
          <w:p w14:paraId="203B52F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4" w:type="dxa"/>
            <w:noWrap w:val="0"/>
            <w:vAlign w:val="center"/>
          </w:tcPr>
          <w:p w14:paraId="0337E5D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64D0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continue"/>
            <w:noWrap w:val="0"/>
            <w:vAlign w:val="center"/>
          </w:tcPr>
          <w:p w14:paraId="3906204D">
            <w:pPr>
              <w:widowControl/>
              <w:spacing w:line="360" w:lineRule="auto"/>
              <w:jc w:val="left"/>
              <w:rPr>
                <w:rFonts w:ascii="宋体" w:hAnsi="宋体" w:cs="宋体"/>
                <w:color w:val="auto"/>
                <w:kern w:val="0"/>
                <w:sz w:val="18"/>
                <w:szCs w:val="18"/>
                <w:highlight w:val="none"/>
              </w:rPr>
            </w:pPr>
          </w:p>
        </w:tc>
        <w:tc>
          <w:tcPr>
            <w:tcW w:w="1372" w:type="dxa"/>
            <w:noWrap w:val="0"/>
            <w:vAlign w:val="center"/>
          </w:tcPr>
          <w:p w14:paraId="6F27D8F8">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10" w:type="dxa"/>
            <w:noWrap w:val="0"/>
            <w:vAlign w:val="center"/>
          </w:tcPr>
          <w:p w14:paraId="0152E4AF">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01867BC9">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5" w:type="dxa"/>
            <w:noWrap w:val="0"/>
            <w:vAlign w:val="center"/>
          </w:tcPr>
          <w:p w14:paraId="2D76C674">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9" w:type="dxa"/>
            <w:noWrap w:val="0"/>
            <w:vAlign w:val="center"/>
          </w:tcPr>
          <w:p w14:paraId="5D5E966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4" w:type="dxa"/>
            <w:noWrap w:val="0"/>
            <w:vAlign w:val="center"/>
          </w:tcPr>
          <w:p w14:paraId="6143341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2CF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restart"/>
            <w:noWrap w:val="0"/>
            <w:vAlign w:val="center"/>
          </w:tcPr>
          <w:p w14:paraId="1C157D93">
            <w:pPr>
              <w:widowControl/>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372" w:type="dxa"/>
            <w:noWrap w:val="0"/>
            <w:vAlign w:val="center"/>
          </w:tcPr>
          <w:p w14:paraId="69DDF373">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10" w:type="dxa"/>
            <w:noWrap w:val="0"/>
            <w:vAlign w:val="center"/>
          </w:tcPr>
          <w:p w14:paraId="4FDE5765">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7" w:type="dxa"/>
            <w:noWrap w:val="0"/>
            <w:vAlign w:val="center"/>
          </w:tcPr>
          <w:p w14:paraId="1CC94FC3">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5" w:type="dxa"/>
            <w:noWrap w:val="0"/>
            <w:vAlign w:val="center"/>
          </w:tcPr>
          <w:p w14:paraId="512E690D">
            <w:pPr>
              <w:widowControl/>
              <w:spacing w:line="360" w:lineRule="auto"/>
              <w:ind w:left="108"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9" w:type="dxa"/>
            <w:noWrap w:val="0"/>
            <w:vAlign w:val="center"/>
          </w:tcPr>
          <w:p w14:paraId="34687F25">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4" w:type="dxa"/>
            <w:noWrap w:val="0"/>
            <w:vAlign w:val="center"/>
          </w:tcPr>
          <w:p w14:paraId="579964D3">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595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continue"/>
            <w:noWrap w:val="0"/>
            <w:vAlign w:val="center"/>
          </w:tcPr>
          <w:p w14:paraId="41E8AFAF">
            <w:pPr>
              <w:widowControl/>
              <w:spacing w:line="360" w:lineRule="auto"/>
              <w:jc w:val="left"/>
              <w:rPr>
                <w:rFonts w:ascii="宋体" w:hAnsi="宋体" w:cs="宋体"/>
                <w:color w:val="auto"/>
                <w:kern w:val="0"/>
                <w:sz w:val="18"/>
                <w:szCs w:val="18"/>
                <w:highlight w:val="none"/>
              </w:rPr>
            </w:pPr>
          </w:p>
        </w:tc>
        <w:tc>
          <w:tcPr>
            <w:tcW w:w="1372" w:type="dxa"/>
            <w:noWrap w:val="0"/>
            <w:vAlign w:val="center"/>
          </w:tcPr>
          <w:p w14:paraId="78E0E5AE">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10" w:type="dxa"/>
            <w:noWrap w:val="0"/>
            <w:vAlign w:val="center"/>
          </w:tcPr>
          <w:p w14:paraId="3602651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129304A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5" w:type="dxa"/>
            <w:noWrap w:val="0"/>
            <w:vAlign w:val="center"/>
          </w:tcPr>
          <w:p w14:paraId="3DD9B016">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9" w:type="dxa"/>
            <w:noWrap w:val="0"/>
            <w:vAlign w:val="center"/>
          </w:tcPr>
          <w:p w14:paraId="44F142F5">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4" w:type="dxa"/>
            <w:noWrap w:val="0"/>
            <w:vAlign w:val="center"/>
          </w:tcPr>
          <w:p w14:paraId="1B59DE56">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72AD8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restart"/>
            <w:noWrap w:val="0"/>
            <w:vAlign w:val="center"/>
          </w:tcPr>
          <w:p w14:paraId="4ADBA5B7">
            <w:pPr>
              <w:widowControl/>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372" w:type="dxa"/>
            <w:noWrap w:val="0"/>
            <w:vAlign w:val="center"/>
          </w:tcPr>
          <w:p w14:paraId="1B7F232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10" w:type="dxa"/>
            <w:noWrap w:val="0"/>
            <w:vAlign w:val="center"/>
          </w:tcPr>
          <w:p w14:paraId="2B7A4C78">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7" w:type="dxa"/>
            <w:noWrap w:val="0"/>
            <w:vAlign w:val="center"/>
          </w:tcPr>
          <w:p w14:paraId="208CE376">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5" w:type="dxa"/>
            <w:noWrap w:val="0"/>
            <w:vAlign w:val="center"/>
          </w:tcPr>
          <w:p w14:paraId="1A76F0C9">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9" w:type="dxa"/>
            <w:noWrap w:val="0"/>
            <w:vAlign w:val="center"/>
          </w:tcPr>
          <w:p w14:paraId="33A63CD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4" w:type="dxa"/>
            <w:noWrap w:val="0"/>
            <w:vAlign w:val="center"/>
          </w:tcPr>
          <w:p w14:paraId="00AAD98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56F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continue"/>
            <w:noWrap w:val="0"/>
            <w:vAlign w:val="center"/>
          </w:tcPr>
          <w:p w14:paraId="29AC90CD">
            <w:pPr>
              <w:widowControl/>
              <w:spacing w:line="360" w:lineRule="auto"/>
              <w:jc w:val="left"/>
              <w:rPr>
                <w:rFonts w:ascii="宋体" w:hAnsi="宋体" w:cs="宋体"/>
                <w:color w:val="auto"/>
                <w:kern w:val="0"/>
                <w:sz w:val="18"/>
                <w:szCs w:val="18"/>
                <w:highlight w:val="none"/>
              </w:rPr>
            </w:pPr>
          </w:p>
        </w:tc>
        <w:tc>
          <w:tcPr>
            <w:tcW w:w="1372" w:type="dxa"/>
            <w:noWrap w:val="0"/>
            <w:vAlign w:val="center"/>
          </w:tcPr>
          <w:p w14:paraId="5A8CA2F8">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10" w:type="dxa"/>
            <w:noWrap w:val="0"/>
            <w:vAlign w:val="center"/>
          </w:tcPr>
          <w:p w14:paraId="36EF7F8F">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3A55CCA0">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5" w:type="dxa"/>
            <w:noWrap w:val="0"/>
            <w:vAlign w:val="center"/>
          </w:tcPr>
          <w:p w14:paraId="69A6AEF6">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429" w:type="dxa"/>
            <w:noWrap w:val="0"/>
            <w:vAlign w:val="center"/>
          </w:tcPr>
          <w:p w14:paraId="0FE20DFC">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4" w:type="dxa"/>
            <w:noWrap w:val="0"/>
            <w:vAlign w:val="center"/>
          </w:tcPr>
          <w:p w14:paraId="44E7070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DD2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restart"/>
            <w:noWrap w:val="0"/>
            <w:vAlign w:val="center"/>
          </w:tcPr>
          <w:p w14:paraId="7F80EC8B">
            <w:pPr>
              <w:widowControl/>
              <w:spacing w:line="360" w:lineRule="auto"/>
              <w:jc w:val="left"/>
              <w:rPr>
                <w:rFonts w:ascii="宋体" w:hAnsi="宋体" w:cs="宋体"/>
                <w:color w:val="auto"/>
                <w:spacing w:val="-12"/>
                <w:kern w:val="0"/>
                <w:sz w:val="18"/>
                <w:szCs w:val="18"/>
                <w:highlight w:val="none"/>
              </w:rPr>
            </w:pPr>
            <w:r>
              <w:rPr>
                <w:rFonts w:hint="eastAsia" w:ascii="宋体" w:hAnsi="宋体" w:cs="宋体"/>
                <w:color w:val="auto"/>
                <w:kern w:val="0"/>
                <w:sz w:val="18"/>
                <w:szCs w:val="18"/>
                <w:highlight w:val="none"/>
              </w:rPr>
              <w:t>软件和信息技术服务业</w:t>
            </w:r>
          </w:p>
        </w:tc>
        <w:tc>
          <w:tcPr>
            <w:tcW w:w="1372" w:type="dxa"/>
            <w:noWrap w:val="0"/>
            <w:vAlign w:val="center"/>
          </w:tcPr>
          <w:p w14:paraId="5366318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10" w:type="dxa"/>
            <w:noWrap w:val="0"/>
            <w:vAlign w:val="center"/>
          </w:tcPr>
          <w:p w14:paraId="46D024B3">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7" w:type="dxa"/>
            <w:noWrap w:val="0"/>
            <w:vAlign w:val="center"/>
          </w:tcPr>
          <w:p w14:paraId="45FDC14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5" w:type="dxa"/>
            <w:noWrap w:val="0"/>
            <w:vAlign w:val="center"/>
          </w:tcPr>
          <w:p w14:paraId="170B8188">
            <w:pPr>
              <w:widowControl/>
              <w:spacing w:line="360" w:lineRule="auto"/>
              <w:ind w:left="108"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9" w:type="dxa"/>
            <w:noWrap w:val="0"/>
            <w:vAlign w:val="center"/>
          </w:tcPr>
          <w:p w14:paraId="4451510A">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4" w:type="dxa"/>
            <w:noWrap w:val="0"/>
            <w:vAlign w:val="center"/>
          </w:tcPr>
          <w:p w14:paraId="7786880C">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862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continue"/>
            <w:noWrap w:val="0"/>
            <w:vAlign w:val="center"/>
          </w:tcPr>
          <w:p w14:paraId="14D5A870">
            <w:pPr>
              <w:widowControl/>
              <w:spacing w:line="360" w:lineRule="auto"/>
              <w:jc w:val="left"/>
              <w:rPr>
                <w:rFonts w:ascii="宋体" w:hAnsi="宋体" w:cs="宋体"/>
                <w:color w:val="auto"/>
                <w:spacing w:val="-12"/>
                <w:kern w:val="0"/>
                <w:sz w:val="18"/>
                <w:szCs w:val="18"/>
                <w:highlight w:val="none"/>
              </w:rPr>
            </w:pPr>
          </w:p>
        </w:tc>
        <w:tc>
          <w:tcPr>
            <w:tcW w:w="1372" w:type="dxa"/>
            <w:noWrap w:val="0"/>
            <w:vAlign w:val="center"/>
          </w:tcPr>
          <w:p w14:paraId="28AAD01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10" w:type="dxa"/>
            <w:noWrap w:val="0"/>
            <w:vAlign w:val="center"/>
          </w:tcPr>
          <w:p w14:paraId="780A93AF">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671AE40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5" w:type="dxa"/>
            <w:noWrap w:val="0"/>
            <w:vAlign w:val="center"/>
          </w:tcPr>
          <w:p w14:paraId="0A6398C5">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9" w:type="dxa"/>
            <w:noWrap w:val="0"/>
            <w:vAlign w:val="center"/>
          </w:tcPr>
          <w:p w14:paraId="53035EC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994" w:type="dxa"/>
            <w:noWrap w:val="0"/>
            <w:vAlign w:val="center"/>
          </w:tcPr>
          <w:p w14:paraId="55195243">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2D37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restart"/>
            <w:noWrap w:val="0"/>
            <w:vAlign w:val="center"/>
          </w:tcPr>
          <w:p w14:paraId="0A1313E1">
            <w:pPr>
              <w:widowControl/>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372" w:type="dxa"/>
            <w:noWrap w:val="0"/>
            <w:vAlign w:val="center"/>
          </w:tcPr>
          <w:p w14:paraId="6BB66EC0">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10" w:type="dxa"/>
            <w:noWrap w:val="0"/>
            <w:vAlign w:val="center"/>
          </w:tcPr>
          <w:p w14:paraId="741CAB1A">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2B02952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5" w:type="dxa"/>
            <w:noWrap w:val="0"/>
            <w:vAlign w:val="center"/>
          </w:tcPr>
          <w:p w14:paraId="60DBD3E6">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429" w:type="dxa"/>
            <w:noWrap w:val="0"/>
            <w:vAlign w:val="center"/>
          </w:tcPr>
          <w:p w14:paraId="53D401B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4" w:type="dxa"/>
            <w:noWrap w:val="0"/>
            <w:vAlign w:val="center"/>
          </w:tcPr>
          <w:p w14:paraId="255933C9">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5AB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continue"/>
            <w:noWrap w:val="0"/>
            <w:vAlign w:val="center"/>
          </w:tcPr>
          <w:p w14:paraId="25AB29C9">
            <w:pPr>
              <w:widowControl/>
              <w:spacing w:line="360" w:lineRule="auto"/>
              <w:jc w:val="left"/>
              <w:rPr>
                <w:rFonts w:ascii="宋体" w:hAnsi="宋体" w:cs="宋体"/>
                <w:color w:val="auto"/>
                <w:kern w:val="0"/>
                <w:sz w:val="18"/>
                <w:szCs w:val="18"/>
                <w:highlight w:val="none"/>
              </w:rPr>
            </w:pPr>
          </w:p>
        </w:tc>
        <w:tc>
          <w:tcPr>
            <w:tcW w:w="1372" w:type="dxa"/>
            <w:noWrap w:val="0"/>
            <w:vAlign w:val="center"/>
          </w:tcPr>
          <w:p w14:paraId="4E83B3F5">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10" w:type="dxa"/>
            <w:noWrap w:val="0"/>
            <w:vAlign w:val="center"/>
          </w:tcPr>
          <w:p w14:paraId="02D771C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58A51929">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5" w:type="dxa"/>
            <w:noWrap w:val="0"/>
            <w:vAlign w:val="center"/>
          </w:tcPr>
          <w:p w14:paraId="554E5DF4">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9" w:type="dxa"/>
            <w:noWrap w:val="0"/>
            <w:vAlign w:val="center"/>
          </w:tcPr>
          <w:p w14:paraId="3CE35C6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994" w:type="dxa"/>
            <w:noWrap w:val="0"/>
            <w:vAlign w:val="center"/>
          </w:tcPr>
          <w:p w14:paraId="499B63BA">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45B9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restart"/>
            <w:noWrap w:val="0"/>
            <w:vAlign w:val="center"/>
          </w:tcPr>
          <w:p w14:paraId="73212567">
            <w:pPr>
              <w:widowControl/>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372" w:type="dxa"/>
            <w:noWrap w:val="0"/>
            <w:vAlign w:val="center"/>
          </w:tcPr>
          <w:p w14:paraId="19207FC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10" w:type="dxa"/>
            <w:noWrap w:val="0"/>
            <w:vAlign w:val="center"/>
          </w:tcPr>
          <w:p w14:paraId="35B5C7C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7" w:type="dxa"/>
            <w:noWrap w:val="0"/>
            <w:vAlign w:val="center"/>
          </w:tcPr>
          <w:p w14:paraId="19A80FDE">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5" w:type="dxa"/>
            <w:noWrap w:val="0"/>
            <w:vAlign w:val="center"/>
          </w:tcPr>
          <w:p w14:paraId="7455B83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9" w:type="dxa"/>
            <w:noWrap w:val="0"/>
            <w:vAlign w:val="center"/>
          </w:tcPr>
          <w:p w14:paraId="7FB061ED">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994" w:type="dxa"/>
            <w:noWrap w:val="0"/>
            <w:vAlign w:val="center"/>
          </w:tcPr>
          <w:p w14:paraId="43791590">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003DC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continue"/>
            <w:noWrap w:val="0"/>
            <w:vAlign w:val="center"/>
          </w:tcPr>
          <w:p w14:paraId="3E1F0590">
            <w:pPr>
              <w:widowControl/>
              <w:spacing w:line="360" w:lineRule="auto"/>
              <w:jc w:val="left"/>
              <w:rPr>
                <w:rFonts w:ascii="宋体" w:hAnsi="宋体" w:cs="宋体"/>
                <w:color w:val="auto"/>
                <w:kern w:val="0"/>
                <w:sz w:val="18"/>
                <w:szCs w:val="18"/>
                <w:highlight w:val="none"/>
              </w:rPr>
            </w:pPr>
          </w:p>
        </w:tc>
        <w:tc>
          <w:tcPr>
            <w:tcW w:w="1372" w:type="dxa"/>
            <w:noWrap w:val="0"/>
            <w:vAlign w:val="center"/>
          </w:tcPr>
          <w:p w14:paraId="48B9D48F">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10" w:type="dxa"/>
            <w:noWrap w:val="0"/>
            <w:vAlign w:val="center"/>
          </w:tcPr>
          <w:p w14:paraId="2385CB4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2A92CE4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5" w:type="dxa"/>
            <w:noWrap w:val="0"/>
            <w:vAlign w:val="center"/>
          </w:tcPr>
          <w:p w14:paraId="6AE674BF">
            <w:pPr>
              <w:widowControl/>
              <w:spacing w:line="360" w:lineRule="auto"/>
              <w:ind w:left="108"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29" w:type="dxa"/>
            <w:noWrap w:val="0"/>
            <w:vAlign w:val="center"/>
          </w:tcPr>
          <w:p w14:paraId="416E77BB">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994" w:type="dxa"/>
            <w:noWrap w:val="0"/>
            <w:vAlign w:val="center"/>
          </w:tcPr>
          <w:p w14:paraId="65706E8F">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2438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restart"/>
            <w:noWrap w:val="0"/>
            <w:vAlign w:val="center"/>
          </w:tcPr>
          <w:p w14:paraId="6B3D144A">
            <w:pPr>
              <w:widowControl/>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372" w:type="dxa"/>
            <w:noWrap w:val="0"/>
            <w:vAlign w:val="center"/>
          </w:tcPr>
          <w:p w14:paraId="540BA300">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10" w:type="dxa"/>
            <w:noWrap w:val="0"/>
            <w:vAlign w:val="center"/>
          </w:tcPr>
          <w:p w14:paraId="7C47B444">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7" w:type="dxa"/>
            <w:noWrap w:val="0"/>
            <w:vAlign w:val="center"/>
          </w:tcPr>
          <w:p w14:paraId="52F1AB92">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5" w:type="dxa"/>
            <w:noWrap w:val="0"/>
            <w:vAlign w:val="center"/>
          </w:tcPr>
          <w:p w14:paraId="255EF137">
            <w:pPr>
              <w:widowControl/>
              <w:spacing w:line="360" w:lineRule="auto"/>
              <w:ind w:left="108"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9" w:type="dxa"/>
            <w:noWrap w:val="0"/>
            <w:vAlign w:val="center"/>
          </w:tcPr>
          <w:p w14:paraId="3A3B384C">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4" w:type="dxa"/>
            <w:noWrap w:val="0"/>
            <w:vAlign w:val="center"/>
          </w:tcPr>
          <w:p w14:paraId="512E2958">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7087F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vMerge w:val="continue"/>
            <w:noWrap w:val="0"/>
            <w:vAlign w:val="center"/>
          </w:tcPr>
          <w:p w14:paraId="1303EDB2">
            <w:pPr>
              <w:widowControl/>
              <w:spacing w:line="360" w:lineRule="auto"/>
              <w:jc w:val="left"/>
              <w:rPr>
                <w:rFonts w:ascii="宋体" w:hAnsi="宋体" w:cs="宋体"/>
                <w:color w:val="auto"/>
                <w:kern w:val="0"/>
                <w:sz w:val="18"/>
                <w:szCs w:val="18"/>
                <w:highlight w:val="none"/>
              </w:rPr>
            </w:pPr>
          </w:p>
        </w:tc>
        <w:tc>
          <w:tcPr>
            <w:tcW w:w="1372" w:type="dxa"/>
            <w:noWrap w:val="0"/>
            <w:vAlign w:val="center"/>
          </w:tcPr>
          <w:p w14:paraId="63D32D8A">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10" w:type="dxa"/>
            <w:noWrap w:val="0"/>
            <w:vAlign w:val="center"/>
          </w:tcPr>
          <w:p w14:paraId="3345F19A">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7" w:type="dxa"/>
            <w:noWrap w:val="0"/>
            <w:vAlign w:val="center"/>
          </w:tcPr>
          <w:p w14:paraId="60DD3C6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5" w:type="dxa"/>
            <w:noWrap w:val="0"/>
            <w:vAlign w:val="center"/>
          </w:tcPr>
          <w:p w14:paraId="2BEA7791">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429" w:type="dxa"/>
            <w:noWrap w:val="0"/>
            <w:vAlign w:val="center"/>
          </w:tcPr>
          <w:p w14:paraId="304C0DD6">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994" w:type="dxa"/>
            <w:noWrap w:val="0"/>
            <w:vAlign w:val="center"/>
          </w:tcPr>
          <w:p w14:paraId="1E990D13">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6D2B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18" w:type="dxa"/>
            <w:noWrap w:val="0"/>
            <w:vAlign w:val="center"/>
          </w:tcPr>
          <w:p w14:paraId="6698033E">
            <w:pPr>
              <w:widowControl/>
              <w:spacing w:line="360" w:lineRule="auto"/>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372" w:type="dxa"/>
            <w:noWrap w:val="0"/>
            <w:vAlign w:val="center"/>
          </w:tcPr>
          <w:p w14:paraId="176954BC">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10" w:type="dxa"/>
            <w:noWrap w:val="0"/>
            <w:vAlign w:val="center"/>
          </w:tcPr>
          <w:p w14:paraId="46A3D232">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7" w:type="dxa"/>
            <w:noWrap w:val="0"/>
            <w:vAlign w:val="center"/>
          </w:tcPr>
          <w:p w14:paraId="0700AB0E">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5" w:type="dxa"/>
            <w:noWrap w:val="0"/>
            <w:vAlign w:val="center"/>
          </w:tcPr>
          <w:p w14:paraId="5FE579B6">
            <w:pPr>
              <w:widowControl/>
              <w:spacing w:line="360" w:lineRule="auto"/>
              <w:ind w:left="108"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9" w:type="dxa"/>
            <w:noWrap w:val="0"/>
            <w:vAlign w:val="center"/>
          </w:tcPr>
          <w:p w14:paraId="1C6100FC">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4" w:type="dxa"/>
            <w:noWrap w:val="0"/>
            <w:vAlign w:val="center"/>
          </w:tcPr>
          <w:p w14:paraId="4B5A74C0">
            <w:pPr>
              <w:widowControl/>
              <w:spacing w:line="360" w:lineRule="auto"/>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592CFECC">
      <w:pPr>
        <w:widowControl/>
        <w:spacing w:line="460" w:lineRule="exact"/>
        <w:rPr>
          <w:rFonts w:ascii="宋体" w:hAnsi="宋体" w:cs="宋体"/>
          <w:color w:val="auto"/>
          <w:spacing w:val="8"/>
          <w:kern w:val="0"/>
          <w:szCs w:val="21"/>
          <w:highlight w:val="none"/>
        </w:rPr>
      </w:pPr>
      <w:r>
        <w:rPr>
          <w:rFonts w:hint="eastAsia" w:ascii="宋体" w:hAnsi="宋体" w:cs="宋体"/>
          <w:color w:val="auto"/>
          <w:spacing w:val="8"/>
          <w:kern w:val="0"/>
          <w:szCs w:val="21"/>
          <w:highlight w:val="none"/>
        </w:rPr>
        <w:t>说明：</w:t>
      </w:r>
    </w:p>
    <w:p w14:paraId="31CECE5F">
      <w:pPr>
        <w:pStyle w:val="43"/>
        <w:adjustRightInd w:val="0"/>
        <w:spacing w:line="460" w:lineRule="exact"/>
        <w:ind w:firstLine="432" w:firstLineChars="200"/>
        <w:contextualSpacing/>
        <w:rPr>
          <w:rFonts w:hAnsi="宋体" w:cs="宋体"/>
          <w:color w:val="auto"/>
          <w:spacing w:val="8"/>
          <w:kern w:val="0"/>
          <w:szCs w:val="21"/>
          <w:highlight w:val="none"/>
        </w:rPr>
      </w:pPr>
      <w:r>
        <w:rPr>
          <w:rFonts w:hint="eastAsia" w:hAnsi="宋体" w:cs="宋体"/>
          <w:color w:val="auto"/>
          <w:spacing w:val="8"/>
          <w:kern w:val="0"/>
          <w:szCs w:val="21"/>
          <w:highlight w:val="none"/>
        </w:rPr>
        <w:t>1.大型、中型和小型企业须同时满足所列指标的下限，否则下划一档；微型企业只须满足所列指标中的一项即可。</w:t>
      </w:r>
    </w:p>
    <w:p w14:paraId="078F969A">
      <w:pPr>
        <w:pStyle w:val="43"/>
        <w:adjustRightInd w:val="0"/>
        <w:spacing w:line="460" w:lineRule="exact"/>
        <w:ind w:firstLine="432" w:firstLineChars="200"/>
        <w:contextualSpacing/>
        <w:rPr>
          <w:rFonts w:hAnsi="宋体" w:cs="宋体"/>
          <w:color w:val="auto"/>
          <w:spacing w:val="8"/>
          <w:kern w:val="0"/>
          <w:szCs w:val="21"/>
          <w:highlight w:val="none"/>
        </w:rPr>
      </w:pPr>
      <w:r>
        <w:rPr>
          <w:rFonts w:hint="eastAsia" w:hAnsi="宋体" w:cs="宋体"/>
          <w:color w:val="auto"/>
          <w:spacing w:val="8"/>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3720EFCA">
      <w:pPr>
        <w:pStyle w:val="43"/>
        <w:spacing w:line="460" w:lineRule="exact"/>
        <w:ind w:firstLine="432" w:firstLineChars="200"/>
        <w:rPr>
          <w:rFonts w:hAnsi="宋体" w:cs="宋体"/>
          <w:color w:val="auto"/>
          <w:spacing w:val="8"/>
          <w:kern w:val="0"/>
          <w:sz w:val="24"/>
          <w:szCs w:val="24"/>
          <w:highlight w:val="none"/>
        </w:rPr>
      </w:pPr>
      <w:r>
        <w:rPr>
          <w:rFonts w:hint="eastAsia" w:hAnsi="宋体" w:cs="宋体"/>
          <w:color w:val="auto"/>
          <w:spacing w:val="8"/>
          <w:kern w:val="0"/>
          <w:szCs w:val="21"/>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F2148AE">
      <w:pPr>
        <w:rPr>
          <w:rFonts w:hint="eastAsia"/>
          <w:color w:val="auto"/>
          <w:highlight w:val="none"/>
        </w:rPr>
      </w:pPr>
      <w:r>
        <w:rPr>
          <w:rFonts w:hint="eastAsia"/>
          <w:color w:val="auto"/>
          <w:highlight w:val="none"/>
        </w:rPr>
        <w:br w:type="page"/>
      </w:r>
    </w:p>
    <w:p w14:paraId="3597229C">
      <w:pPr>
        <w:pStyle w:val="4"/>
        <w:keepNext w:val="0"/>
        <w:keepLines w:val="0"/>
        <w:tabs>
          <w:tab w:val="left" w:pos="0"/>
          <w:tab w:val="left" w:pos="3165"/>
          <w:tab w:val="center" w:pos="4153"/>
        </w:tabs>
        <w:autoSpaceDE w:val="0"/>
        <w:autoSpaceDN w:val="0"/>
        <w:adjustRightInd w:val="0"/>
        <w:spacing w:before="0" w:after="0" w:line="360" w:lineRule="auto"/>
        <w:jc w:val="center"/>
        <w:rPr>
          <w:color w:val="auto"/>
          <w:highlight w:val="none"/>
        </w:rPr>
      </w:pPr>
      <w:r>
        <w:rPr>
          <w:rFonts w:hint="eastAsia"/>
          <w:color w:val="auto"/>
          <w:highlight w:val="none"/>
        </w:rPr>
        <w:t>第三章  投标人须知</w:t>
      </w:r>
      <w:bookmarkEnd w:id="96"/>
      <w:bookmarkEnd w:id="97"/>
    </w:p>
    <w:p w14:paraId="02177A24">
      <w:pPr>
        <w:jc w:val="center"/>
        <w:rPr>
          <w:color w:val="auto"/>
          <w:sz w:val="36"/>
          <w:szCs w:val="36"/>
          <w:highlight w:val="none"/>
        </w:rPr>
      </w:pPr>
      <w:bookmarkStart w:id="99" w:name="_Toc254970667"/>
      <w:bookmarkStart w:id="100" w:name="_Toc254970526"/>
      <w:r>
        <w:rPr>
          <w:rFonts w:hint="eastAsia"/>
          <w:color w:val="auto"/>
          <w:sz w:val="36"/>
          <w:szCs w:val="36"/>
          <w:highlight w:val="none"/>
        </w:rPr>
        <w:t>投标人须知前附表</w:t>
      </w:r>
      <w:bookmarkEnd w:id="99"/>
      <w:bookmarkEnd w:id="100"/>
    </w:p>
    <w:tbl>
      <w:tblPr>
        <w:tblStyle w:val="8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4"/>
        <w:gridCol w:w="8895"/>
      </w:tblGrid>
      <w:tr w14:paraId="4FB449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59B564C8">
            <w:pPr>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条款号</w:t>
            </w:r>
          </w:p>
        </w:tc>
        <w:tc>
          <w:tcPr>
            <w:tcW w:w="8895" w:type="dxa"/>
            <w:tcBorders>
              <w:top w:val="single" w:color="auto" w:sz="4" w:space="0"/>
              <w:left w:val="single" w:color="auto" w:sz="4" w:space="0"/>
              <w:bottom w:val="single" w:color="auto" w:sz="4" w:space="0"/>
              <w:right w:val="single" w:color="auto" w:sz="4" w:space="0"/>
            </w:tcBorders>
            <w:vAlign w:val="center"/>
          </w:tcPr>
          <w:p w14:paraId="1EE84538">
            <w:pPr>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编列内容</w:t>
            </w:r>
          </w:p>
        </w:tc>
      </w:tr>
      <w:tr w14:paraId="6E59E8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527F990F">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w:t>
            </w:r>
          </w:p>
        </w:tc>
        <w:tc>
          <w:tcPr>
            <w:tcW w:w="8895" w:type="dxa"/>
            <w:tcBorders>
              <w:top w:val="single" w:color="auto" w:sz="4" w:space="0"/>
              <w:left w:val="single" w:color="auto" w:sz="4" w:space="0"/>
              <w:bottom w:val="single" w:color="auto" w:sz="4" w:space="0"/>
              <w:right w:val="single" w:color="auto" w:sz="4" w:space="0"/>
            </w:tcBorders>
            <w:vAlign w:val="center"/>
          </w:tcPr>
          <w:p w14:paraId="041FA3A7">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1.投标人的资格要求详见招标公告。</w:t>
            </w:r>
          </w:p>
          <w:p w14:paraId="4CD5F0EB">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2.投标人出现下列情形之一的，不得参加政府采购活动：</w:t>
            </w:r>
          </w:p>
          <w:p w14:paraId="46884A80">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759EF640">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2.2对在“信用中国”网站（www.creditchina.gov.cn）、中国政府采购网（www.ccgp.gov.cn）被列入失信被执行人、重大税收违法失信主体、政府采购严重违法失信行为记录名单及其他不符合《中华人民共和国政府采购法》第二十二条规定条件的供应商，不得参与政府采购活动。</w:t>
            </w:r>
          </w:p>
        </w:tc>
      </w:tr>
      <w:tr w14:paraId="41E9AE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0A418AE0">
            <w:pPr>
              <w:spacing w:line="400" w:lineRule="exact"/>
              <w:jc w:val="center"/>
              <w:rPr>
                <w:rFonts w:hint="eastAsia" w:ascii="宋体" w:hAnsi="宋体" w:cs="宋体"/>
                <w:color w:val="auto"/>
                <w:szCs w:val="21"/>
                <w:highlight w:val="none"/>
              </w:rPr>
            </w:pPr>
            <w:bookmarkStart w:id="101" w:name="_5"/>
            <w:bookmarkEnd w:id="101"/>
            <w:bookmarkStart w:id="102" w:name="_9.2"/>
            <w:bookmarkEnd w:id="102"/>
            <w:bookmarkStart w:id="103" w:name="_8.1"/>
            <w:bookmarkEnd w:id="103"/>
            <w:r>
              <w:rPr>
                <w:rFonts w:hint="eastAsia" w:ascii="宋体" w:hAnsi="宋体" w:cs="宋体"/>
                <w:color w:val="auto"/>
                <w:szCs w:val="21"/>
                <w:highlight w:val="none"/>
              </w:rPr>
              <w:t>6.1</w:t>
            </w:r>
          </w:p>
        </w:tc>
        <w:tc>
          <w:tcPr>
            <w:tcW w:w="8895" w:type="dxa"/>
            <w:tcBorders>
              <w:top w:val="single" w:color="auto" w:sz="4" w:space="0"/>
              <w:left w:val="single" w:color="auto" w:sz="4" w:space="0"/>
              <w:bottom w:val="single" w:color="auto" w:sz="4" w:space="0"/>
              <w:right w:val="single" w:color="auto" w:sz="4" w:space="0"/>
            </w:tcBorders>
            <w:vAlign w:val="center"/>
          </w:tcPr>
          <w:p w14:paraId="0F79777D">
            <w:pPr>
              <w:pStyle w:val="28"/>
              <w:spacing w:line="400" w:lineRule="exact"/>
              <w:rPr>
                <w:rFonts w:hint="eastAsia" w:ascii="宋体" w:hAnsi="宋体" w:cs="宋体"/>
                <w:color w:val="auto"/>
                <w:szCs w:val="21"/>
                <w:highlight w:val="none"/>
              </w:rPr>
            </w:pPr>
            <w:r>
              <w:rPr>
                <w:rFonts w:hint="eastAsia" w:ascii="宋体" w:hAnsi="宋体" w:cs="宋体"/>
                <w:color w:val="auto"/>
                <w:szCs w:val="21"/>
                <w:highlight w:val="none"/>
              </w:rPr>
              <w:t>本项目是否接受联合体投标：详见招标公告。</w:t>
            </w:r>
          </w:p>
        </w:tc>
      </w:tr>
      <w:tr w14:paraId="0FF343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3CCB13C4">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6.2</w:t>
            </w:r>
          </w:p>
        </w:tc>
        <w:tc>
          <w:tcPr>
            <w:tcW w:w="8895" w:type="dxa"/>
            <w:tcBorders>
              <w:top w:val="single" w:color="auto" w:sz="4" w:space="0"/>
              <w:left w:val="single" w:color="auto" w:sz="4" w:space="0"/>
              <w:bottom w:val="single" w:color="auto" w:sz="4" w:space="0"/>
              <w:right w:val="single" w:color="auto" w:sz="4" w:space="0"/>
            </w:tcBorders>
            <w:vAlign w:val="center"/>
          </w:tcPr>
          <w:p w14:paraId="55C21ADF">
            <w:pPr>
              <w:pStyle w:val="28"/>
              <w:spacing w:line="400" w:lineRule="exact"/>
              <w:rPr>
                <w:rFonts w:hint="eastAsia" w:ascii="宋体" w:hAnsi="宋体" w:cs="宋体"/>
                <w:color w:val="auto"/>
                <w:szCs w:val="21"/>
                <w:highlight w:val="none"/>
              </w:rPr>
            </w:pPr>
            <w:bookmarkStart w:id="104" w:name="_Hlk54105293"/>
            <w:r>
              <w:rPr>
                <w:rFonts w:hint="eastAsia" w:ascii="宋体" w:hAnsi="宋体" w:cs="宋体"/>
                <w:color w:val="auto"/>
                <w:szCs w:val="21"/>
                <w:highlight w:val="none"/>
              </w:rPr>
              <w:t>如接受联合体投标，</w:t>
            </w:r>
            <w:bookmarkEnd w:id="104"/>
            <w:r>
              <w:rPr>
                <w:rFonts w:hint="eastAsia" w:ascii="宋体" w:hAnsi="宋体" w:cs="宋体"/>
                <w:color w:val="auto"/>
                <w:szCs w:val="21"/>
                <w:highlight w:val="none"/>
              </w:rPr>
              <w:t>联合体投标要求如下：</w:t>
            </w:r>
          </w:p>
          <w:p w14:paraId="128DC098">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1.两个以上投标人可以组成一个投标联合体，以一个投标人的身份共同参加投标。联合体投标的，须提供《联合体投标协议书》（格式后附）。</w:t>
            </w:r>
          </w:p>
          <w:p w14:paraId="63224A0E">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357FD5D3">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3.联合体各方之间必须签订联合投标协议，协议书必须明确主体方（或者牵头方）并明确约定联合体各方承担的工作和相应的责任</w:t>
            </w:r>
            <w:r>
              <w:rPr>
                <w:rFonts w:hint="eastAsia" w:ascii="宋体" w:hAnsi="宋体" w:cs="宋体"/>
                <w:b/>
                <w:bCs/>
                <w:color w:val="auto"/>
                <w:szCs w:val="21"/>
                <w:highlight w:val="none"/>
              </w:rPr>
              <w:t>（各方承担责任与义务的分工必须符合采购需求，否则，联合体投标无效）</w:t>
            </w:r>
            <w:r>
              <w:rPr>
                <w:rFonts w:hint="eastAsia" w:ascii="宋体" w:hAnsi="宋体" w:cs="宋体"/>
                <w:color w:val="auto"/>
                <w:szCs w:val="21"/>
                <w:highlight w:val="none"/>
              </w:rPr>
              <w:t>，并将联合投标协议放入投标文件。联合体各方必须共同与采购人签订采购合同，就采购合同约定的事项对采购人承担连带责任。</w:t>
            </w:r>
          </w:p>
          <w:p w14:paraId="043AD839">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4.以联合体形式参加政府采购活动的，联合体各方不得再单独参加或者与其他投标人另外组成联合体参加同一合同项下的政府采购活动。</w:t>
            </w:r>
          </w:p>
          <w:p w14:paraId="6085AAA4">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5.联合体中有同类资质的投标人按照联合体分工承担相同工作的，应当按照资质等级较低的投标人确定资质等级。</w:t>
            </w:r>
          </w:p>
          <w:p w14:paraId="02F04EAB">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6.联合体投标业绩、履约能力按照联合体各方其中较高的一方认定并计算（招标文件另有规定的除外）。</w:t>
            </w:r>
          </w:p>
          <w:p w14:paraId="5806979D">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7.联合体各方均应按照招标文件的规定提交资格证明文件。</w:t>
            </w:r>
          </w:p>
          <w:p w14:paraId="2D725E6F">
            <w:pPr>
              <w:snapToGrid w:val="0"/>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8.联合体最多由2个投标人组成一个联合体。</w:t>
            </w:r>
          </w:p>
        </w:tc>
      </w:tr>
      <w:tr w14:paraId="20B369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02697C40">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7.2</w:t>
            </w:r>
          </w:p>
        </w:tc>
        <w:tc>
          <w:tcPr>
            <w:tcW w:w="8895" w:type="dxa"/>
            <w:tcBorders>
              <w:top w:val="single" w:color="auto" w:sz="4" w:space="0"/>
              <w:left w:val="single" w:color="auto" w:sz="4" w:space="0"/>
              <w:bottom w:val="single" w:color="auto" w:sz="4" w:space="0"/>
              <w:right w:val="single" w:color="auto" w:sz="4" w:space="0"/>
            </w:tcBorders>
            <w:vAlign w:val="center"/>
          </w:tcPr>
          <w:p w14:paraId="23D05B39">
            <w:pPr>
              <w:pStyle w:val="28"/>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□不允许分包</w:t>
            </w:r>
          </w:p>
          <w:p w14:paraId="0B48677D">
            <w:pPr>
              <w:pStyle w:val="28"/>
              <w:spacing w:line="400" w:lineRule="exact"/>
              <w:rPr>
                <w:rFonts w:hint="eastAsia" w:ascii="宋体" w:hAnsi="宋体" w:cs="宋体"/>
                <w:color w:val="auto"/>
                <w:szCs w:val="21"/>
                <w:highlight w:val="none"/>
              </w:rPr>
            </w:pPr>
            <w:r>
              <w:rPr>
                <w:rFonts w:hint="eastAsia" w:ascii="宋体" w:hAnsi="宋体" w:cs="宋体"/>
                <w:color w:val="auto"/>
                <w:szCs w:val="21"/>
                <w:highlight w:val="none"/>
              </w:rPr>
              <w:t>☑允许分包</w:t>
            </w:r>
          </w:p>
          <w:p w14:paraId="73B6DF5A">
            <w:pPr>
              <w:pStyle w:val="28"/>
              <w:spacing w:line="400" w:lineRule="exact"/>
              <w:rPr>
                <w:rFonts w:hint="eastAsia" w:ascii="宋体" w:hAnsi="宋体" w:cs="宋体"/>
                <w:color w:val="auto"/>
                <w:szCs w:val="21"/>
                <w:highlight w:val="none"/>
              </w:rPr>
            </w:pPr>
            <w:r>
              <w:rPr>
                <w:rFonts w:hint="eastAsia" w:ascii="宋体" w:hAnsi="宋体" w:cs="宋体"/>
                <w:color w:val="auto"/>
                <w:szCs w:val="21"/>
                <w:highlight w:val="none"/>
              </w:rPr>
              <w:t>分包内容：建设规模描述范围内的含其附属配套设施工程部分非主体、非关键性工作。</w:t>
            </w:r>
          </w:p>
          <w:p w14:paraId="49A381B2">
            <w:pPr>
              <w:pStyle w:val="28"/>
              <w:spacing w:line="400" w:lineRule="exact"/>
              <w:rPr>
                <w:rFonts w:hint="eastAsia" w:ascii="宋体" w:hAnsi="宋体" w:cs="宋体"/>
                <w:color w:val="auto"/>
                <w:szCs w:val="21"/>
                <w:highlight w:val="none"/>
              </w:rPr>
            </w:pPr>
            <w:r>
              <w:rPr>
                <w:rFonts w:hint="eastAsia" w:ascii="宋体" w:hAnsi="宋体" w:cs="宋体"/>
                <w:color w:val="auto"/>
                <w:szCs w:val="21"/>
                <w:highlight w:val="none"/>
              </w:rPr>
              <w:t>分包金额或者比例：分包意向协议约定合同份额不低于60.61%由小微企业承担。</w:t>
            </w:r>
          </w:p>
        </w:tc>
      </w:tr>
      <w:tr w14:paraId="265E9B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vMerge w:val="restart"/>
            <w:tcBorders>
              <w:top w:val="single" w:color="auto" w:sz="4" w:space="0"/>
              <w:left w:val="single" w:color="auto" w:sz="4" w:space="0"/>
              <w:right w:val="single" w:color="auto" w:sz="4" w:space="0"/>
            </w:tcBorders>
            <w:vAlign w:val="center"/>
          </w:tcPr>
          <w:p w14:paraId="1DD793B5">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11.2</w:t>
            </w:r>
          </w:p>
        </w:tc>
        <w:tc>
          <w:tcPr>
            <w:tcW w:w="8895" w:type="dxa"/>
            <w:tcBorders>
              <w:top w:val="single" w:color="auto" w:sz="4" w:space="0"/>
              <w:left w:val="single" w:color="auto" w:sz="4" w:space="0"/>
              <w:bottom w:val="single" w:color="auto" w:sz="4" w:space="0"/>
              <w:right w:val="single" w:color="auto" w:sz="4" w:space="0"/>
            </w:tcBorders>
            <w:vAlign w:val="center"/>
          </w:tcPr>
          <w:p w14:paraId="724A59D9">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☑不组织现场考察</w:t>
            </w:r>
          </w:p>
          <w:p w14:paraId="2965C488">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□组织现场考察：</w:t>
            </w:r>
          </w:p>
          <w:p w14:paraId="4031620F">
            <w:pPr>
              <w:snapToGrid w:val="0"/>
              <w:spacing w:line="400" w:lineRule="exact"/>
              <w:rPr>
                <w:rFonts w:hint="eastAsia" w:ascii="宋体" w:hAnsi="宋体" w:eastAsia="宋体" w:cs="宋体"/>
                <w:color w:val="auto"/>
                <w:szCs w:val="21"/>
                <w:highlight w:val="none"/>
                <w:u w:val="single"/>
                <w:lang w:eastAsia="zh-CN"/>
              </w:rPr>
            </w:pPr>
            <w:r>
              <w:rPr>
                <w:rFonts w:hint="eastAsia" w:ascii="宋体" w:hAnsi="宋体" w:cs="宋体"/>
                <w:color w:val="auto"/>
                <w:szCs w:val="21"/>
                <w:highlight w:val="none"/>
              </w:rPr>
              <w:t>集中时间：</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，逾期后果自负。集中地点：</w:t>
            </w:r>
            <w:r>
              <w:rPr>
                <w:rFonts w:hint="eastAsia" w:ascii="宋体" w:hAnsi="宋体" w:cs="宋体"/>
                <w:color w:val="auto"/>
                <w:szCs w:val="21"/>
                <w:highlight w:val="none"/>
                <w:lang w:val="en-US" w:eastAsia="zh-CN"/>
              </w:rPr>
              <w:t>/</w:t>
            </w:r>
            <w:r>
              <w:rPr>
                <w:rFonts w:hint="eastAsia" w:ascii="宋体" w:hAnsi="宋体" w:cs="宋体"/>
                <w:color w:val="auto"/>
                <w:szCs w:val="21"/>
                <w:highlight w:val="none"/>
                <w:lang w:eastAsia="zh-CN"/>
              </w:rPr>
              <w:t>；</w:t>
            </w:r>
          </w:p>
          <w:p w14:paraId="418BAC52">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none"/>
              </w:rPr>
              <w:t>：</w:t>
            </w:r>
            <w:r>
              <w:rPr>
                <w:rFonts w:hint="eastAsia" w:ascii="宋体" w:hAnsi="宋体" w:cs="宋体"/>
                <w:color w:val="auto"/>
                <w:szCs w:val="21"/>
                <w:highlight w:val="none"/>
                <w:u w:val="none"/>
                <w:lang w:val="en-US" w:eastAsia="zh-CN"/>
              </w:rPr>
              <w:t xml:space="preserve">/ </w:t>
            </w:r>
            <w:r>
              <w:rPr>
                <w:rFonts w:hint="eastAsia" w:ascii="宋体" w:hAnsi="宋体" w:cs="宋体"/>
                <w:color w:val="auto"/>
                <w:szCs w:val="21"/>
                <w:highlight w:val="none"/>
                <w:u w:val="none"/>
              </w:rPr>
              <w:t>；</w:t>
            </w:r>
            <w:r>
              <w:rPr>
                <w:rFonts w:hint="eastAsia" w:ascii="宋体" w:hAnsi="宋体" w:cs="宋体"/>
                <w:color w:val="auto"/>
                <w:szCs w:val="21"/>
                <w:highlight w:val="none"/>
              </w:rPr>
              <w:t>联系电话：</w:t>
            </w:r>
            <w:r>
              <w:rPr>
                <w:rFonts w:hint="eastAsia" w:ascii="宋体" w:hAnsi="宋体" w:cs="宋体"/>
                <w:color w:val="auto"/>
                <w:szCs w:val="21"/>
                <w:highlight w:val="none"/>
                <w:lang w:val="en-US" w:eastAsia="zh-CN"/>
              </w:rPr>
              <w:t>/</w:t>
            </w:r>
            <w:r>
              <w:rPr>
                <w:rFonts w:hint="eastAsia" w:ascii="宋体" w:hAnsi="宋体" w:cs="宋体"/>
                <w:color w:val="auto"/>
                <w:szCs w:val="21"/>
                <w:highlight w:val="none"/>
                <w:lang w:eastAsia="zh-CN"/>
              </w:rPr>
              <w:t>；</w:t>
            </w:r>
          </w:p>
        </w:tc>
      </w:tr>
      <w:tr w14:paraId="7B0BDC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vMerge w:val="continue"/>
            <w:tcBorders>
              <w:left w:val="single" w:color="auto" w:sz="4" w:space="0"/>
              <w:bottom w:val="single" w:color="auto" w:sz="4" w:space="0"/>
              <w:right w:val="single" w:color="auto" w:sz="4" w:space="0"/>
            </w:tcBorders>
            <w:vAlign w:val="center"/>
          </w:tcPr>
          <w:p w14:paraId="16837C26">
            <w:pPr>
              <w:spacing w:line="400" w:lineRule="exact"/>
              <w:jc w:val="center"/>
              <w:rPr>
                <w:rFonts w:hint="eastAsia" w:ascii="宋体" w:hAnsi="宋体" w:cs="宋体"/>
                <w:color w:val="auto"/>
                <w:szCs w:val="21"/>
                <w:highlight w:val="none"/>
              </w:rPr>
            </w:pPr>
          </w:p>
        </w:tc>
        <w:tc>
          <w:tcPr>
            <w:tcW w:w="8895" w:type="dxa"/>
            <w:tcBorders>
              <w:top w:val="single" w:color="auto" w:sz="4" w:space="0"/>
              <w:left w:val="single" w:color="auto" w:sz="4" w:space="0"/>
              <w:bottom w:val="single" w:color="auto" w:sz="4" w:space="0"/>
              <w:right w:val="single" w:color="auto" w:sz="4" w:space="0"/>
            </w:tcBorders>
            <w:vAlign w:val="center"/>
          </w:tcPr>
          <w:p w14:paraId="4D3E6930">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☑不组织召开开标前答疑会</w:t>
            </w:r>
          </w:p>
          <w:p w14:paraId="6E5636CB">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□组织召开开标前答疑会</w:t>
            </w:r>
          </w:p>
          <w:p w14:paraId="7C80FA36">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会议开始时间：</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时</w:t>
            </w:r>
            <w:r>
              <w:rPr>
                <w:rFonts w:hint="eastAsia" w:ascii="宋体" w:hAnsi="宋体" w:cs="宋体"/>
                <w:color w:val="auto"/>
                <w:szCs w:val="21"/>
                <w:highlight w:val="none"/>
                <w:lang w:val="en-US" w:eastAsia="zh-CN"/>
              </w:rPr>
              <w:t>/</w:t>
            </w:r>
            <w:r>
              <w:rPr>
                <w:rFonts w:hint="eastAsia" w:ascii="宋体" w:hAnsi="宋体" w:cs="宋体"/>
                <w:color w:val="auto"/>
                <w:szCs w:val="21"/>
                <w:highlight w:val="none"/>
                <w:u w:val="none"/>
              </w:rPr>
              <w:t>分</w:t>
            </w:r>
            <w:r>
              <w:rPr>
                <w:rFonts w:hint="eastAsia" w:ascii="宋体" w:hAnsi="宋体" w:cs="宋体"/>
                <w:color w:val="auto"/>
                <w:szCs w:val="21"/>
                <w:highlight w:val="none"/>
              </w:rPr>
              <w:t>，逾期后果自负。会议地点：</w:t>
            </w:r>
            <w:r>
              <w:rPr>
                <w:rFonts w:hint="eastAsia" w:ascii="宋体" w:hAnsi="宋体" w:cs="宋体"/>
                <w:color w:val="auto"/>
                <w:szCs w:val="21"/>
                <w:highlight w:val="none"/>
                <w:lang w:val="en-US" w:eastAsia="zh-CN"/>
              </w:rPr>
              <w:t>/；</w:t>
            </w:r>
          </w:p>
        </w:tc>
      </w:tr>
      <w:tr w14:paraId="7E57FC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vMerge w:val="restart"/>
            <w:tcBorders>
              <w:top w:val="single" w:color="auto" w:sz="4" w:space="0"/>
              <w:left w:val="single" w:color="auto" w:sz="4" w:space="0"/>
              <w:right w:val="single" w:color="auto" w:sz="4" w:space="0"/>
            </w:tcBorders>
            <w:vAlign w:val="center"/>
          </w:tcPr>
          <w:p w14:paraId="110AC694">
            <w:pPr>
              <w:spacing w:line="400" w:lineRule="exact"/>
              <w:jc w:val="center"/>
              <w:rPr>
                <w:rFonts w:hint="eastAsia" w:ascii="宋体" w:hAnsi="宋体" w:cs="宋体"/>
                <w:color w:val="auto"/>
                <w:szCs w:val="21"/>
                <w:highlight w:val="none"/>
              </w:rPr>
            </w:pPr>
            <w:bookmarkStart w:id="105" w:name="_13.1"/>
            <w:bookmarkEnd w:id="105"/>
            <w:r>
              <w:rPr>
                <w:rFonts w:hint="eastAsia" w:ascii="宋体" w:hAnsi="宋体" w:cs="宋体"/>
                <w:color w:val="auto"/>
                <w:szCs w:val="21"/>
                <w:highlight w:val="none"/>
              </w:rPr>
              <w:t>13</w:t>
            </w:r>
          </w:p>
        </w:tc>
        <w:tc>
          <w:tcPr>
            <w:tcW w:w="8895" w:type="dxa"/>
            <w:tcBorders>
              <w:top w:val="single" w:color="auto" w:sz="4" w:space="0"/>
              <w:left w:val="single" w:color="auto" w:sz="4" w:space="0"/>
              <w:bottom w:val="single" w:color="auto" w:sz="4" w:space="0"/>
              <w:right w:val="single" w:color="auto" w:sz="4" w:space="0"/>
            </w:tcBorders>
            <w:vAlign w:val="center"/>
          </w:tcPr>
          <w:p w14:paraId="6570C499">
            <w:pPr>
              <w:snapToGrid w:val="0"/>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报价文件：</w:t>
            </w:r>
          </w:p>
          <w:p w14:paraId="32332190">
            <w:pPr>
              <w:tabs>
                <w:tab w:val="left" w:pos="459"/>
              </w:tabs>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1.投标函（格式后附）；</w:t>
            </w:r>
            <w:r>
              <w:rPr>
                <w:rFonts w:hint="eastAsia" w:ascii="宋体" w:hAnsi="宋体" w:cs="宋体"/>
                <w:b/>
                <w:color w:val="auto"/>
                <w:szCs w:val="21"/>
                <w:highlight w:val="none"/>
              </w:rPr>
              <w:t>（必须提供，否则按无效投标处理）</w:t>
            </w:r>
          </w:p>
          <w:p w14:paraId="6E9B4E14">
            <w:pPr>
              <w:tabs>
                <w:tab w:val="left" w:pos="459"/>
              </w:tabs>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2.投标人针对报价需要说明的其他文件和说明（格式自拟）。</w:t>
            </w:r>
          </w:p>
          <w:p w14:paraId="570F3B04">
            <w:pPr>
              <w:tabs>
                <w:tab w:val="left" w:pos="15"/>
              </w:tabs>
              <w:snapToGrid w:val="0"/>
              <w:spacing w:line="400" w:lineRule="exact"/>
              <w:ind w:firstLine="403" w:firstLineChars="191"/>
              <w:jc w:val="left"/>
              <w:rPr>
                <w:rFonts w:hint="eastAsia" w:ascii="宋体" w:hAnsi="宋体" w:cs="宋体"/>
                <w:color w:val="auto"/>
                <w:szCs w:val="21"/>
                <w:highlight w:val="none"/>
              </w:rPr>
            </w:pPr>
            <w:r>
              <w:rPr>
                <w:rFonts w:hint="eastAsia" w:ascii="宋体" w:hAnsi="宋体" w:cs="宋体"/>
                <w:b/>
                <w:color w:val="auto"/>
                <w:szCs w:val="21"/>
                <w:highlight w:val="none"/>
              </w:rPr>
              <w:t>注：</w:t>
            </w:r>
            <w:r>
              <w:rPr>
                <w:rFonts w:hint="eastAsia" w:ascii="宋体" w:hAnsi="宋体" w:cs="宋体"/>
                <w:b/>
                <w:bCs/>
                <w:color w:val="auto"/>
                <w:szCs w:val="21"/>
                <w:highlight w:val="none"/>
              </w:rPr>
              <w:t>以上标明“必须提供”的材料，格式</w:t>
            </w:r>
            <w:r>
              <w:rPr>
                <w:rFonts w:hint="eastAsia" w:ascii="宋体" w:hAnsi="宋体" w:cs="宋体"/>
                <w:b/>
                <w:color w:val="auto"/>
                <w:szCs w:val="21"/>
                <w:highlight w:val="none"/>
              </w:rPr>
              <w:t>中有要求法定代表人或者委托代理人签字的，必须按要求签字</w:t>
            </w:r>
            <w:r>
              <w:rPr>
                <w:rFonts w:hint="eastAsia" w:ascii="宋体" w:hAnsi="宋体" w:cs="宋体"/>
                <w:b/>
                <w:bCs/>
                <w:color w:val="auto"/>
                <w:szCs w:val="21"/>
                <w:highlight w:val="none"/>
              </w:rPr>
              <w:t>（或者电子签名）</w:t>
            </w:r>
            <w:r>
              <w:rPr>
                <w:rFonts w:hint="eastAsia" w:ascii="宋体" w:hAnsi="宋体" w:cs="宋体"/>
                <w:b/>
                <w:color w:val="auto"/>
                <w:szCs w:val="21"/>
                <w:highlight w:val="none"/>
              </w:rPr>
              <w:t>并加盖投标人电子签章</w:t>
            </w:r>
            <w:r>
              <w:rPr>
                <w:rFonts w:hint="eastAsia" w:ascii="宋体" w:hAnsi="宋体" w:cs="宋体"/>
                <w:b/>
                <w:bCs/>
                <w:color w:val="auto"/>
                <w:szCs w:val="21"/>
                <w:highlight w:val="none"/>
              </w:rPr>
              <w:t>，否则按无效投标</w:t>
            </w:r>
            <w:r>
              <w:rPr>
                <w:rFonts w:hint="eastAsia" w:ascii="宋体" w:hAnsi="宋体" w:cs="宋体"/>
                <w:b/>
                <w:color w:val="auto"/>
                <w:szCs w:val="21"/>
                <w:highlight w:val="none"/>
              </w:rPr>
              <w:t>处理。</w:t>
            </w:r>
          </w:p>
        </w:tc>
      </w:tr>
      <w:tr w14:paraId="0E87C4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vMerge w:val="continue"/>
            <w:tcBorders>
              <w:left w:val="single" w:color="auto" w:sz="4" w:space="0"/>
              <w:right w:val="single" w:color="auto" w:sz="4" w:space="0"/>
            </w:tcBorders>
            <w:vAlign w:val="center"/>
          </w:tcPr>
          <w:p w14:paraId="106DFC6F">
            <w:pPr>
              <w:spacing w:line="400" w:lineRule="exact"/>
              <w:jc w:val="center"/>
              <w:rPr>
                <w:rFonts w:hint="eastAsia" w:ascii="宋体" w:hAnsi="宋体" w:cs="宋体"/>
                <w:color w:val="auto"/>
                <w:szCs w:val="21"/>
                <w:highlight w:val="none"/>
              </w:rPr>
            </w:pPr>
            <w:bookmarkStart w:id="106" w:name="_13.2"/>
            <w:bookmarkEnd w:id="106"/>
          </w:p>
        </w:tc>
        <w:tc>
          <w:tcPr>
            <w:tcW w:w="8895" w:type="dxa"/>
            <w:tcBorders>
              <w:top w:val="single" w:color="auto" w:sz="4" w:space="0"/>
              <w:left w:val="single" w:color="auto" w:sz="4" w:space="0"/>
              <w:bottom w:val="single" w:color="auto" w:sz="4" w:space="0"/>
              <w:right w:val="single" w:color="auto" w:sz="4" w:space="0"/>
            </w:tcBorders>
            <w:vAlign w:val="center"/>
          </w:tcPr>
          <w:p w14:paraId="6679E34C">
            <w:pPr>
              <w:snapToGrid w:val="0"/>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资格证明文件</w:t>
            </w:r>
          </w:p>
          <w:p w14:paraId="6D11C48E">
            <w:pPr>
              <w:snapToGrid w:val="0"/>
              <w:spacing w:line="400" w:lineRule="exact"/>
              <w:ind w:firstLine="420" w:firstLineChars="200"/>
              <w:jc w:val="left"/>
              <w:rPr>
                <w:rFonts w:hint="eastAsia" w:ascii="宋体" w:hAnsi="宋体" w:cs="宋体"/>
                <w:b/>
                <w:color w:val="auto"/>
                <w:szCs w:val="21"/>
                <w:highlight w:val="none"/>
              </w:rPr>
            </w:pPr>
            <w:r>
              <w:rPr>
                <w:rFonts w:hint="eastAsia" w:ascii="宋体" w:hAnsi="宋体" w:cs="宋体"/>
                <w:color w:val="auto"/>
                <w:szCs w:val="21"/>
                <w:highlight w:val="none"/>
              </w:rPr>
              <w:t>1.投标人为法人或者其他组织的，提供营业执照等证明文件（如营业执照或者事业单位法人证书或者</w:t>
            </w:r>
            <w:r>
              <w:rPr>
                <w:rStyle w:val="140"/>
                <w:rFonts w:hint="eastAsia"/>
                <w:color w:val="auto"/>
                <w:sz w:val="21"/>
                <w:szCs w:val="21"/>
                <w:highlight w:val="none"/>
              </w:rPr>
              <w:t>执业许可证</w:t>
            </w:r>
            <w:r>
              <w:rPr>
                <w:rFonts w:hint="eastAsia" w:ascii="宋体" w:hAnsi="宋体" w:cs="宋体"/>
                <w:color w:val="auto"/>
                <w:szCs w:val="21"/>
                <w:highlight w:val="none"/>
              </w:rPr>
              <w:t>或者登记证书等），投标人为自然人的，提供身份证复印件；（</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5DAE75A5">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2.法定代表人身份证明；</w:t>
            </w:r>
          </w:p>
          <w:p w14:paraId="08E410BD">
            <w:pPr>
              <w:snapToGrid w:val="0"/>
              <w:spacing w:line="400" w:lineRule="exact"/>
              <w:ind w:firstLine="420" w:firstLineChars="200"/>
              <w:jc w:val="left"/>
              <w:rPr>
                <w:rFonts w:hint="eastAsia" w:ascii="宋体" w:hAnsi="宋体" w:cs="宋体"/>
                <w:b/>
                <w:color w:val="auto"/>
                <w:szCs w:val="21"/>
                <w:highlight w:val="none"/>
              </w:rPr>
            </w:pPr>
            <w:r>
              <w:rPr>
                <w:rFonts w:hint="eastAsia" w:ascii="宋体" w:hAnsi="宋体" w:cs="宋体"/>
                <w:color w:val="auto"/>
                <w:szCs w:val="21"/>
                <w:highlight w:val="none"/>
              </w:rPr>
              <w:t>附：供应商相应的法定代表人、负责人、自然人身份证正反两面复印件（扫描件）；（</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3062D550">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供应商的授权委托书原件、委托代理人身份证正反面复印件（扫描件）以及由县级以上（含县级）社会养老保险经办机构出具的供应商为委托代理人交纳的响应文件递交截止时间前一个月社保证明复印件（扫描件），除供应商为以下三种情形的：</w:t>
            </w:r>
          </w:p>
          <w:p w14:paraId="5A9E2FCF">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①如供应商为响应文件提交截止时间前60日以内成立的公司，可以提供供应商与委托代理人签订的劳动合同复印件（扫描件）代替社保证明复印件（扫描件）；②如供应商为事业单位，可以提供事业单位机构编制管理证复印件（扫描件）或事业单位机构为其发放工资的工资条复印件（扫描件）代替社保证明复印件（扫描件）；③如委托代理人为免缴纳社保人员，提供免缴纳社保的证明材料复印件（扫描件）及供应商与委托代理人签订的劳动合同复印件（扫描件）代替养老保险证明复印件（扫描件）。【属自然人的应提供由县级以上（含县级）社会养老保险经办机构出具的自然人本人及委托代理人所交纳的响应文件递交截止时间前一个月社保证明复印件（扫描件））】</w:t>
            </w:r>
            <w:r>
              <w:rPr>
                <w:rFonts w:hint="eastAsia" w:ascii="宋体" w:hAnsi="宋体" w:cs="宋体"/>
                <w:b/>
                <w:bCs/>
                <w:color w:val="auto"/>
                <w:szCs w:val="21"/>
                <w:highlight w:val="none"/>
              </w:rPr>
              <w:t>（委托代理时必须提供）</w:t>
            </w:r>
          </w:p>
          <w:p w14:paraId="019CF890">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4.投标人直接管理关系信息表（格式后附）；（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7DF8500D">
            <w:pPr>
              <w:snapToGrid w:val="0"/>
              <w:spacing w:line="400" w:lineRule="exact"/>
              <w:ind w:firstLine="420" w:firstLineChars="200"/>
              <w:jc w:val="left"/>
              <w:rPr>
                <w:rFonts w:hint="eastAsia" w:ascii="宋体" w:hAnsi="宋体" w:cs="宋体"/>
                <w:b/>
                <w:color w:val="auto"/>
                <w:szCs w:val="21"/>
                <w:highlight w:val="none"/>
              </w:rPr>
            </w:pPr>
            <w:r>
              <w:rPr>
                <w:rFonts w:hint="eastAsia" w:ascii="宋体" w:hAnsi="宋体" w:cs="宋体"/>
                <w:color w:val="auto"/>
                <w:szCs w:val="21"/>
                <w:highlight w:val="none"/>
              </w:rPr>
              <w:t>5.投标声明（格式后附）；（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3A23F537">
            <w:pPr>
              <w:snapToGrid w:val="0"/>
              <w:spacing w:line="400" w:lineRule="exact"/>
              <w:ind w:firstLine="420" w:firstLineChars="200"/>
              <w:jc w:val="left"/>
              <w:rPr>
                <w:rFonts w:hint="eastAsia" w:ascii="宋体" w:hAnsi="宋体" w:cs="宋体"/>
                <w:b/>
                <w:color w:val="auto"/>
                <w:szCs w:val="21"/>
                <w:highlight w:val="none"/>
              </w:rPr>
            </w:pPr>
            <w:r>
              <w:rPr>
                <w:rFonts w:hint="eastAsia" w:ascii="宋体" w:hAnsi="宋体" w:cs="宋体"/>
                <w:color w:val="auto"/>
                <w:szCs w:val="21"/>
                <w:highlight w:val="none"/>
              </w:rPr>
              <w:t>6.联合体协议书（格式后附）；（</w:t>
            </w:r>
            <w:r>
              <w:rPr>
                <w:rFonts w:hint="eastAsia" w:ascii="宋体" w:hAnsi="宋体" w:cs="宋体"/>
                <w:b/>
                <w:color w:val="auto"/>
                <w:szCs w:val="21"/>
                <w:highlight w:val="none"/>
              </w:rPr>
              <w:t>联合体投标时必须提供，否则按无效投标处理</w:t>
            </w:r>
            <w:r>
              <w:rPr>
                <w:rFonts w:hint="eastAsia" w:ascii="宋体" w:hAnsi="宋体" w:cs="宋体"/>
                <w:color w:val="auto"/>
                <w:szCs w:val="21"/>
                <w:highlight w:val="none"/>
              </w:rPr>
              <w:t>）</w:t>
            </w:r>
          </w:p>
          <w:p w14:paraId="108312FA">
            <w:pPr>
              <w:snapToGrid w:val="0"/>
              <w:spacing w:line="400" w:lineRule="exact"/>
              <w:ind w:firstLine="420" w:firstLineChars="200"/>
              <w:jc w:val="left"/>
              <w:rPr>
                <w:rFonts w:hint="eastAsia" w:ascii="宋体" w:hAnsi="宋体" w:cs="宋体"/>
                <w:b/>
                <w:color w:val="auto"/>
                <w:szCs w:val="21"/>
                <w:highlight w:val="none"/>
              </w:rPr>
            </w:pPr>
            <w:r>
              <w:rPr>
                <w:rFonts w:hint="eastAsia" w:ascii="宋体" w:hAnsi="宋体" w:cs="宋体"/>
                <w:color w:val="auto"/>
                <w:szCs w:val="21"/>
                <w:highlight w:val="none"/>
              </w:rPr>
              <w:t>7.特定资格要求设置供应商提供的资格证明材料：详见公告；（</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0F7BCC0D">
            <w:pPr>
              <w:snapToGrid w:val="0"/>
              <w:spacing w:line="400" w:lineRule="exact"/>
              <w:ind w:firstLine="420" w:firstLineChars="200"/>
              <w:jc w:val="left"/>
              <w:rPr>
                <w:rFonts w:hint="eastAsia" w:ascii="宋体" w:hAnsi="宋体" w:cs="宋体"/>
                <w:b/>
                <w:color w:val="auto"/>
                <w:szCs w:val="21"/>
                <w:highlight w:val="none"/>
              </w:rPr>
            </w:pPr>
            <w:r>
              <w:rPr>
                <w:rFonts w:hint="eastAsia" w:ascii="宋体" w:hAnsi="宋体" w:cs="宋体"/>
                <w:color w:val="auto"/>
                <w:szCs w:val="21"/>
                <w:highlight w:val="none"/>
              </w:rPr>
              <w:t>8.《中小企业声明函》或《残疾人福利性单位声明函》或监狱企业的证明文件（</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1B4FD04A">
            <w:pPr>
              <w:snapToGrid w:val="0"/>
              <w:spacing w:line="400" w:lineRule="exact"/>
              <w:ind w:firstLine="420" w:firstLineChars="200"/>
              <w:jc w:val="left"/>
              <w:rPr>
                <w:rFonts w:hint="eastAsia" w:ascii="宋体" w:hAnsi="宋体" w:cs="宋体"/>
                <w:b/>
                <w:color w:val="auto"/>
                <w:szCs w:val="21"/>
                <w:highlight w:val="none"/>
              </w:rPr>
            </w:pPr>
            <w:r>
              <w:rPr>
                <w:rFonts w:hint="eastAsia" w:ascii="宋体" w:hAnsi="宋体" w:cs="宋体"/>
                <w:color w:val="auto"/>
                <w:szCs w:val="21"/>
                <w:highlight w:val="none"/>
              </w:rPr>
              <w:t>9.除招标文件规定必须提供以外，投标人认为需要提供的其他证明材料。</w:t>
            </w:r>
          </w:p>
          <w:p w14:paraId="5FF657E2">
            <w:pPr>
              <w:snapToGrid w:val="0"/>
              <w:spacing w:line="400" w:lineRule="exact"/>
              <w:jc w:val="left"/>
              <w:rPr>
                <w:rFonts w:hint="eastAsia" w:ascii="宋体" w:hAnsi="宋体" w:cs="宋体"/>
                <w:b/>
                <w:color w:val="auto"/>
                <w:szCs w:val="21"/>
                <w:highlight w:val="none"/>
              </w:rPr>
            </w:pPr>
            <w:r>
              <w:rPr>
                <w:rFonts w:hint="eastAsia" w:ascii="宋体" w:hAnsi="宋体" w:cs="宋体"/>
                <w:b/>
                <w:bCs/>
                <w:color w:val="auto"/>
                <w:szCs w:val="21"/>
                <w:highlight w:val="none"/>
              </w:rPr>
              <w:t>注：1.以上标明“必须提供”的材料，格式</w:t>
            </w:r>
            <w:r>
              <w:rPr>
                <w:rFonts w:hint="eastAsia" w:ascii="宋体" w:hAnsi="宋体" w:cs="宋体"/>
                <w:b/>
                <w:color w:val="auto"/>
                <w:szCs w:val="21"/>
                <w:highlight w:val="none"/>
              </w:rPr>
              <w:t>中有要求法定代表人或者委托代理人签字的，必须按要求签字并加盖投标人电子签章</w:t>
            </w:r>
            <w:r>
              <w:rPr>
                <w:rFonts w:hint="eastAsia" w:ascii="宋体" w:hAnsi="宋体" w:cs="宋体"/>
                <w:b/>
                <w:bCs/>
                <w:color w:val="auto"/>
                <w:szCs w:val="21"/>
                <w:highlight w:val="none"/>
              </w:rPr>
              <w:t>，否则按无效投标</w:t>
            </w:r>
            <w:r>
              <w:rPr>
                <w:rFonts w:hint="eastAsia" w:ascii="宋体" w:hAnsi="宋体" w:cs="宋体"/>
                <w:b/>
                <w:color w:val="auto"/>
                <w:szCs w:val="21"/>
                <w:highlight w:val="none"/>
              </w:rPr>
              <w:t>处理。</w:t>
            </w:r>
          </w:p>
          <w:p w14:paraId="0896715D">
            <w:pPr>
              <w:snapToGrid w:val="0"/>
              <w:spacing w:line="400" w:lineRule="exact"/>
              <w:ind w:firstLine="422" w:firstLineChars="200"/>
              <w:jc w:val="left"/>
              <w:rPr>
                <w:rFonts w:hint="eastAsia" w:ascii="宋体" w:hAnsi="宋体" w:cs="宋体"/>
                <w:b/>
                <w:bCs/>
                <w:color w:val="auto"/>
                <w:szCs w:val="21"/>
                <w:highlight w:val="none"/>
              </w:rPr>
            </w:pPr>
            <w:r>
              <w:rPr>
                <w:rFonts w:hint="eastAsia" w:ascii="宋体" w:hAnsi="宋体" w:cs="宋体"/>
                <w:b/>
                <w:bCs/>
                <w:color w:val="auto"/>
                <w:szCs w:val="21"/>
                <w:highlight w:val="none"/>
              </w:rPr>
              <w:t>2.联合体投标时，第1、2、4、7、8、10项资格证明文件联合体各方均必须分别提供，</w:t>
            </w:r>
            <w:r>
              <w:rPr>
                <w:rFonts w:hint="eastAsia" w:ascii="宋体" w:hAnsi="宋体" w:cs="宋体"/>
                <w:b/>
                <w:color w:val="auto"/>
                <w:szCs w:val="21"/>
                <w:highlight w:val="none"/>
              </w:rPr>
              <w:t>并由联合体牵头人加盖电子签章，规定签字处签字</w:t>
            </w:r>
            <w:r>
              <w:rPr>
                <w:rFonts w:hint="eastAsia" w:ascii="宋体" w:hAnsi="宋体" w:cs="宋体"/>
                <w:b/>
                <w:bCs/>
                <w:color w:val="auto"/>
                <w:szCs w:val="21"/>
                <w:highlight w:val="none"/>
              </w:rPr>
              <w:t>（或者电子签名），否则按无效投标</w:t>
            </w:r>
            <w:r>
              <w:rPr>
                <w:rFonts w:hint="eastAsia" w:ascii="宋体" w:hAnsi="宋体" w:cs="宋体"/>
                <w:b/>
                <w:color w:val="auto"/>
                <w:szCs w:val="21"/>
                <w:highlight w:val="none"/>
              </w:rPr>
              <w:t>处理</w:t>
            </w:r>
            <w:r>
              <w:rPr>
                <w:rFonts w:hint="eastAsia" w:ascii="宋体" w:hAnsi="宋体" w:cs="宋体"/>
                <w:b/>
                <w:bCs/>
                <w:color w:val="auto"/>
                <w:szCs w:val="21"/>
                <w:highlight w:val="none"/>
              </w:rPr>
              <w:t>。</w:t>
            </w:r>
          </w:p>
        </w:tc>
      </w:tr>
      <w:tr w14:paraId="211A0E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vMerge w:val="continue"/>
            <w:tcBorders>
              <w:left w:val="single" w:color="auto" w:sz="4" w:space="0"/>
              <w:right w:val="single" w:color="auto" w:sz="4" w:space="0"/>
            </w:tcBorders>
            <w:vAlign w:val="center"/>
          </w:tcPr>
          <w:p w14:paraId="099288B6">
            <w:pPr>
              <w:spacing w:line="400" w:lineRule="exact"/>
              <w:jc w:val="center"/>
              <w:rPr>
                <w:rFonts w:hint="eastAsia" w:ascii="宋体" w:hAnsi="宋体" w:cs="宋体"/>
                <w:color w:val="auto"/>
                <w:szCs w:val="21"/>
                <w:highlight w:val="none"/>
              </w:rPr>
            </w:pPr>
            <w:bookmarkStart w:id="107" w:name="_13.3"/>
            <w:bookmarkEnd w:id="107"/>
          </w:p>
        </w:tc>
        <w:tc>
          <w:tcPr>
            <w:tcW w:w="8895" w:type="dxa"/>
            <w:tcBorders>
              <w:top w:val="single" w:color="auto" w:sz="4" w:space="0"/>
              <w:left w:val="single" w:color="auto" w:sz="4" w:space="0"/>
              <w:bottom w:val="single" w:color="auto" w:sz="4" w:space="0"/>
              <w:right w:val="single" w:color="auto" w:sz="4" w:space="0"/>
            </w:tcBorders>
            <w:vAlign w:val="center"/>
          </w:tcPr>
          <w:p w14:paraId="559354A1">
            <w:pPr>
              <w:snapToGrid w:val="0"/>
              <w:spacing w:line="400" w:lineRule="exact"/>
              <w:jc w:val="left"/>
              <w:rPr>
                <w:rFonts w:hint="eastAsia" w:ascii="宋体" w:hAnsi="宋体" w:cs="宋体"/>
                <w:b/>
                <w:color w:val="auto"/>
                <w:szCs w:val="21"/>
                <w:highlight w:val="none"/>
              </w:rPr>
            </w:pPr>
            <w:r>
              <w:rPr>
                <w:rFonts w:hint="eastAsia" w:ascii="宋体" w:hAnsi="宋体" w:cs="宋体"/>
                <w:b/>
                <w:color w:val="auto"/>
                <w:kern w:val="0"/>
                <w:szCs w:val="21"/>
                <w:highlight w:val="none"/>
                <w:u w:val="single"/>
              </w:rPr>
              <w:t>商务及技术文件</w:t>
            </w:r>
            <w:r>
              <w:rPr>
                <w:rFonts w:hint="eastAsia" w:ascii="宋体" w:hAnsi="宋体" w:cs="宋体"/>
                <w:b/>
                <w:color w:val="auto"/>
                <w:szCs w:val="21"/>
                <w:highlight w:val="none"/>
              </w:rPr>
              <w:t>：</w:t>
            </w:r>
          </w:p>
          <w:p w14:paraId="10228C44">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1.无串通投标行为的承诺函（格式后附）；（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186BD623">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2.偏离表（格式后附）；（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7C02B07D">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3.项目实施人员一览表（格式后附）；（</w:t>
            </w:r>
            <w:r>
              <w:rPr>
                <w:rFonts w:hint="eastAsia" w:ascii="宋体" w:hAnsi="宋体" w:cs="宋体"/>
                <w:b/>
                <w:color w:val="auto"/>
                <w:szCs w:val="21"/>
                <w:highlight w:val="none"/>
              </w:rPr>
              <w:t>必须提供，否则按无效投标处理</w:t>
            </w:r>
            <w:r>
              <w:rPr>
                <w:rFonts w:hint="eastAsia" w:ascii="宋体" w:hAnsi="宋体" w:cs="宋体"/>
                <w:color w:val="auto"/>
                <w:szCs w:val="21"/>
                <w:highlight w:val="none"/>
              </w:rPr>
              <w:t>）</w:t>
            </w:r>
          </w:p>
          <w:p w14:paraId="0E3998F5">
            <w:pPr>
              <w:snapToGrid w:val="0"/>
              <w:spacing w:line="400" w:lineRule="exact"/>
              <w:ind w:firstLine="420" w:firstLineChars="200"/>
              <w:jc w:val="left"/>
              <w:rPr>
                <w:rFonts w:hint="eastAsia" w:ascii="宋体" w:hAnsi="宋体" w:cs="宋体"/>
                <w:i/>
                <w:color w:val="auto"/>
                <w:szCs w:val="21"/>
                <w:highlight w:val="none"/>
              </w:rPr>
            </w:pPr>
            <w:r>
              <w:rPr>
                <w:rFonts w:hint="eastAsia" w:ascii="宋体" w:hAnsi="宋体" w:cs="宋体"/>
                <w:color w:val="auto"/>
                <w:szCs w:val="21"/>
                <w:highlight w:val="none"/>
              </w:rPr>
              <w:t>4.方案（格式自拟）；</w:t>
            </w:r>
          </w:p>
          <w:p w14:paraId="52ADB80F">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5.除招标文件规定必须提供以外，投标人认为需要提供的其他证明材料（格式自拟）。（投标人根据“第二章采购需求”及“第四章评标方法及评标标准”提供有关证明材料）。</w:t>
            </w:r>
          </w:p>
          <w:p w14:paraId="6D7AF51B">
            <w:pPr>
              <w:snapToGrid w:val="0"/>
              <w:spacing w:line="400" w:lineRule="exact"/>
              <w:jc w:val="left"/>
              <w:rPr>
                <w:rFonts w:hint="eastAsia" w:ascii="宋体" w:hAnsi="宋体" w:cs="宋体"/>
                <w:b/>
                <w:color w:val="auto"/>
                <w:szCs w:val="21"/>
                <w:highlight w:val="none"/>
              </w:rPr>
            </w:pPr>
            <w:r>
              <w:rPr>
                <w:rFonts w:hint="eastAsia" w:ascii="宋体" w:hAnsi="宋体" w:cs="宋体"/>
                <w:b/>
                <w:bCs/>
                <w:color w:val="auto"/>
                <w:szCs w:val="21"/>
                <w:highlight w:val="none"/>
              </w:rPr>
              <w:t>注：以上标明“必须提供”的材料，格式</w:t>
            </w:r>
            <w:r>
              <w:rPr>
                <w:rFonts w:hint="eastAsia" w:ascii="宋体" w:hAnsi="宋体" w:cs="宋体"/>
                <w:b/>
                <w:color w:val="auto"/>
                <w:szCs w:val="21"/>
                <w:highlight w:val="none"/>
              </w:rPr>
              <w:t>中有要求法定代表人或者委托代理人签字的，必须按要求签字</w:t>
            </w:r>
            <w:r>
              <w:rPr>
                <w:rFonts w:hint="eastAsia" w:ascii="宋体" w:hAnsi="宋体" w:cs="宋体"/>
                <w:b/>
                <w:bCs/>
                <w:color w:val="auto"/>
                <w:szCs w:val="21"/>
                <w:highlight w:val="none"/>
              </w:rPr>
              <w:t>（或者电子签名）</w:t>
            </w:r>
            <w:r>
              <w:rPr>
                <w:rFonts w:hint="eastAsia" w:ascii="宋体" w:hAnsi="宋体" w:cs="宋体"/>
                <w:b/>
                <w:color w:val="auto"/>
                <w:szCs w:val="21"/>
                <w:highlight w:val="none"/>
              </w:rPr>
              <w:t>并加盖投标人电子签章</w:t>
            </w:r>
            <w:r>
              <w:rPr>
                <w:rFonts w:hint="eastAsia" w:ascii="宋体" w:hAnsi="宋体" w:cs="宋体"/>
                <w:b/>
                <w:bCs/>
                <w:color w:val="auto"/>
                <w:szCs w:val="21"/>
                <w:highlight w:val="none"/>
              </w:rPr>
              <w:t>，否则按无效投标</w:t>
            </w:r>
            <w:r>
              <w:rPr>
                <w:rFonts w:hint="eastAsia" w:ascii="宋体" w:hAnsi="宋体" w:cs="宋体"/>
                <w:b/>
                <w:color w:val="auto"/>
                <w:szCs w:val="21"/>
                <w:highlight w:val="none"/>
              </w:rPr>
              <w:t>处理。</w:t>
            </w:r>
          </w:p>
        </w:tc>
      </w:tr>
      <w:tr w14:paraId="775963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7FBCBA78">
            <w:pPr>
              <w:spacing w:line="400" w:lineRule="exact"/>
              <w:jc w:val="center"/>
              <w:rPr>
                <w:rFonts w:hint="eastAsia" w:ascii="宋体" w:hAnsi="宋体" w:cs="宋体"/>
                <w:color w:val="auto"/>
                <w:szCs w:val="21"/>
                <w:highlight w:val="none"/>
              </w:rPr>
            </w:pPr>
            <w:bookmarkStart w:id="108" w:name="_16.2"/>
            <w:bookmarkEnd w:id="108"/>
            <w:bookmarkStart w:id="109" w:name="_13.5"/>
            <w:bookmarkEnd w:id="109"/>
            <w:bookmarkStart w:id="110" w:name="_13.4"/>
            <w:bookmarkEnd w:id="110"/>
            <w:r>
              <w:rPr>
                <w:rFonts w:hint="eastAsia" w:ascii="宋体" w:hAnsi="宋体" w:cs="宋体"/>
                <w:color w:val="auto"/>
                <w:szCs w:val="21"/>
                <w:highlight w:val="none"/>
              </w:rPr>
              <w:t>16</w:t>
            </w:r>
            <w:bookmarkStart w:id="111" w:name="_Hlt19693759"/>
            <w:bookmarkStart w:id="112" w:name="_Hlt19693758"/>
            <w:bookmarkStart w:id="113" w:name="_Hlt19194067"/>
            <w:bookmarkStart w:id="114" w:name="_Hlt19194066"/>
            <w:r>
              <w:rPr>
                <w:rFonts w:hint="eastAsia" w:ascii="宋体" w:hAnsi="宋体" w:cs="宋体"/>
                <w:color w:val="auto"/>
                <w:szCs w:val="21"/>
                <w:highlight w:val="none"/>
              </w:rPr>
              <w:t>.</w:t>
            </w:r>
            <w:bookmarkEnd w:id="111"/>
            <w:bookmarkEnd w:id="112"/>
            <w:bookmarkEnd w:id="113"/>
            <w:bookmarkEnd w:id="114"/>
            <w:r>
              <w:rPr>
                <w:rFonts w:hint="eastAsia" w:ascii="宋体" w:hAnsi="宋体" w:cs="宋体"/>
                <w:color w:val="auto"/>
                <w:szCs w:val="21"/>
                <w:highlight w:val="none"/>
              </w:rPr>
              <w:t>2</w:t>
            </w:r>
          </w:p>
        </w:tc>
        <w:tc>
          <w:tcPr>
            <w:tcW w:w="8895" w:type="dxa"/>
            <w:tcBorders>
              <w:top w:val="single" w:color="auto" w:sz="4" w:space="0"/>
              <w:left w:val="single" w:color="auto" w:sz="4" w:space="0"/>
              <w:bottom w:val="single" w:color="auto" w:sz="4" w:space="0"/>
              <w:right w:val="single" w:color="auto" w:sz="4" w:space="0"/>
            </w:tcBorders>
            <w:vAlign w:val="center"/>
          </w:tcPr>
          <w:p w14:paraId="064A9C43">
            <w:pPr>
              <w:snapToGrid w:val="0"/>
              <w:spacing w:line="400" w:lineRule="exact"/>
              <w:rPr>
                <w:rFonts w:hint="eastAsia" w:ascii="宋体" w:hAnsi="宋体" w:cs="宋体"/>
                <w:b/>
                <w:i/>
                <w:color w:val="auto"/>
                <w:szCs w:val="21"/>
                <w:highlight w:val="none"/>
              </w:rPr>
            </w:pPr>
            <w:r>
              <w:rPr>
                <w:rFonts w:hint="eastAsia" w:ascii="宋体" w:hAnsi="宋体" w:cs="宋体"/>
                <w:color w:val="auto"/>
                <w:szCs w:val="21"/>
                <w:highlight w:val="none"/>
              </w:rPr>
              <w:t>投标报价是履行合同的最终价格，包括了为实施和完成合同工程所需的施工、劳务、材料、机械、质检（自检）、安装、缺陷修复、管理、保险、税费、利润等费用，以及合同明示或暗示的所有责任、义务和一般风险。</w:t>
            </w:r>
          </w:p>
        </w:tc>
      </w:tr>
      <w:tr w14:paraId="010744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3B5752F2">
            <w:pPr>
              <w:spacing w:line="400" w:lineRule="exact"/>
              <w:jc w:val="center"/>
              <w:rPr>
                <w:rFonts w:hint="eastAsia" w:ascii="宋体" w:hAnsi="宋体" w:cs="宋体"/>
                <w:color w:val="auto"/>
                <w:szCs w:val="21"/>
                <w:highlight w:val="none"/>
              </w:rPr>
            </w:pPr>
            <w:bookmarkStart w:id="115" w:name="_17.1"/>
            <w:bookmarkEnd w:id="115"/>
            <w:r>
              <w:rPr>
                <w:rFonts w:hint="eastAsia" w:ascii="宋体" w:hAnsi="宋体" w:cs="宋体"/>
                <w:color w:val="auto"/>
                <w:szCs w:val="21"/>
                <w:highlight w:val="none"/>
              </w:rPr>
              <w:t>17.2</w:t>
            </w:r>
          </w:p>
        </w:tc>
        <w:tc>
          <w:tcPr>
            <w:tcW w:w="8895" w:type="dxa"/>
            <w:tcBorders>
              <w:top w:val="single" w:color="auto" w:sz="4" w:space="0"/>
              <w:left w:val="single" w:color="auto" w:sz="4" w:space="0"/>
              <w:bottom w:val="single" w:color="auto" w:sz="4" w:space="0"/>
              <w:right w:val="single" w:color="auto" w:sz="4" w:space="0"/>
            </w:tcBorders>
            <w:vAlign w:val="center"/>
          </w:tcPr>
          <w:p w14:paraId="2015D7DF">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投标有效期：自投标截止之日起</w:t>
            </w:r>
            <w:r>
              <w:rPr>
                <w:rFonts w:hint="eastAsia" w:ascii="宋体" w:hAnsi="宋体" w:cs="宋体"/>
                <w:color w:val="auto"/>
                <w:szCs w:val="21"/>
                <w:highlight w:val="none"/>
                <w:u w:val="single"/>
              </w:rPr>
              <w:t>60</w:t>
            </w:r>
            <w:r>
              <w:rPr>
                <w:rFonts w:hint="eastAsia" w:ascii="宋体" w:hAnsi="宋体" w:cs="宋体"/>
                <w:color w:val="auto"/>
                <w:szCs w:val="21"/>
                <w:highlight w:val="none"/>
              </w:rPr>
              <w:t>日。</w:t>
            </w:r>
          </w:p>
        </w:tc>
      </w:tr>
      <w:tr w14:paraId="15E2DB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0ED04F97">
            <w:pPr>
              <w:spacing w:line="400" w:lineRule="exact"/>
              <w:jc w:val="center"/>
              <w:rPr>
                <w:rFonts w:hint="eastAsia" w:ascii="宋体" w:hAnsi="宋体" w:cs="宋体"/>
                <w:color w:val="auto"/>
                <w:szCs w:val="21"/>
                <w:highlight w:val="none"/>
              </w:rPr>
            </w:pPr>
            <w:bookmarkStart w:id="116" w:name="_18"/>
            <w:bookmarkEnd w:id="116"/>
            <w:r>
              <w:rPr>
                <w:rFonts w:hint="eastAsia" w:ascii="宋体" w:hAnsi="宋体" w:cs="宋体"/>
                <w:color w:val="auto"/>
                <w:szCs w:val="21"/>
                <w:highlight w:val="none"/>
              </w:rPr>
              <w:t>18.1</w:t>
            </w:r>
          </w:p>
        </w:tc>
        <w:tc>
          <w:tcPr>
            <w:tcW w:w="8895" w:type="dxa"/>
            <w:tcBorders>
              <w:top w:val="single" w:color="auto" w:sz="4" w:space="0"/>
              <w:left w:val="single" w:color="auto" w:sz="4" w:space="0"/>
              <w:bottom w:val="single" w:color="auto" w:sz="4" w:space="0"/>
              <w:right w:val="single" w:color="auto" w:sz="4" w:space="0"/>
            </w:tcBorders>
            <w:vAlign w:val="center"/>
          </w:tcPr>
          <w:p w14:paraId="688A1F62">
            <w:pPr>
              <w:snapToGrid w:val="0"/>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☑本项目不收取投标保证金。</w:t>
            </w:r>
          </w:p>
        </w:tc>
      </w:tr>
      <w:tr w14:paraId="502AD7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3B0D12B4">
            <w:pPr>
              <w:spacing w:line="400" w:lineRule="exact"/>
              <w:jc w:val="center"/>
              <w:rPr>
                <w:rFonts w:hint="eastAsia" w:ascii="宋体" w:hAnsi="宋体" w:cs="宋体"/>
                <w:color w:val="auto"/>
                <w:szCs w:val="21"/>
                <w:highlight w:val="none"/>
              </w:rPr>
            </w:pPr>
            <w:bookmarkStart w:id="117" w:name="_19.2"/>
            <w:bookmarkEnd w:id="117"/>
            <w:bookmarkStart w:id="118" w:name="_21.1"/>
            <w:bookmarkEnd w:id="118"/>
            <w:r>
              <w:rPr>
                <w:rFonts w:hint="eastAsia" w:ascii="宋体" w:hAnsi="宋体" w:cs="宋体"/>
                <w:color w:val="auto"/>
                <w:szCs w:val="21"/>
                <w:highlight w:val="none"/>
              </w:rPr>
              <w:t>20</w:t>
            </w:r>
          </w:p>
        </w:tc>
        <w:tc>
          <w:tcPr>
            <w:tcW w:w="8895" w:type="dxa"/>
            <w:tcBorders>
              <w:top w:val="single" w:color="auto" w:sz="4" w:space="0"/>
              <w:left w:val="single" w:color="auto" w:sz="4" w:space="0"/>
              <w:bottom w:val="single" w:color="auto" w:sz="4" w:space="0"/>
              <w:right w:val="single" w:color="auto" w:sz="4" w:space="0"/>
            </w:tcBorders>
            <w:vAlign w:val="center"/>
          </w:tcPr>
          <w:p w14:paraId="7F93477F">
            <w:pPr>
              <w:autoSpaceDE w:val="0"/>
              <w:autoSpaceDN w:val="0"/>
              <w:adjustRightIn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☑本项目不接受电子备份投标文件；</w:t>
            </w:r>
          </w:p>
        </w:tc>
      </w:tr>
      <w:tr w14:paraId="0682CD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169E5AE9">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21.1</w:t>
            </w:r>
          </w:p>
        </w:tc>
        <w:tc>
          <w:tcPr>
            <w:tcW w:w="8895" w:type="dxa"/>
            <w:tcBorders>
              <w:top w:val="single" w:color="auto" w:sz="4" w:space="0"/>
              <w:left w:val="single" w:color="auto" w:sz="4" w:space="0"/>
              <w:bottom w:val="single" w:color="auto" w:sz="4" w:space="0"/>
              <w:right w:val="single" w:color="auto" w:sz="4" w:space="0"/>
            </w:tcBorders>
            <w:vAlign w:val="center"/>
          </w:tcPr>
          <w:p w14:paraId="54124AF3">
            <w:pPr>
              <w:snapToGrid w:val="0"/>
              <w:spacing w:line="400" w:lineRule="exact"/>
              <w:rPr>
                <w:rFonts w:hint="eastAsia" w:ascii="宋体" w:hAnsi="宋体" w:cs="宋体"/>
                <w:color w:val="auto"/>
                <w:szCs w:val="21"/>
                <w:highlight w:val="none"/>
                <w:u w:val="single"/>
              </w:rPr>
            </w:pPr>
            <w:r>
              <w:rPr>
                <w:rFonts w:hint="eastAsia" w:ascii="宋体" w:hAnsi="宋体" w:cs="宋体"/>
                <w:color w:val="auto"/>
                <w:szCs w:val="21"/>
                <w:highlight w:val="none"/>
              </w:rPr>
              <w:t>1.提交投标文件截止时间：详见招标公告</w:t>
            </w:r>
          </w:p>
          <w:p w14:paraId="5CD22FDB">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2.投标地点：详见招标公告</w:t>
            </w:r>
          </w:p>
        </w:tc>
      </w:tr>
      <w:tr w14:paraId="6A3940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631C6637">
            <w:pPr>
              <w:spacing w:line="400" w:lineRule="exact"/>
              <w:jc w:val="center"/>
              <w:rPr>
                <w:rFonts w:hint="eastAsia" w:ascii="宋体" w:hAnsi="宋体" w:cs="宋体"/>
                <w:color w:val="auto"/>
                <w:szCs w:val="21"/>
                <w:highlight w:val="none"/>
              </w:rPr>
            </w:pPr>
            <w:bookmarkStart w:id="119" w:name="_23"/>
            <w:bookmarkEnd w:id="119"/>
            <w:r>
              <w:rPr>
                <w:rFonts w:hint="eastAsia" w:ascii="宋体" w:hAnsi="宋体" w:cs="宋体"/>
                <w:color w:val="auto"/>
                <w:szCs w:val="21"/>
                <w:highlight w:val="none"/>
              </w:rPr>
              <w:t>23</w:t>
            </w:r>
          </w:p>
        </w:tc>
        <w:tc>
          <w:tcPr>
            <w:tcW w:w="8895" w:type="dxa"/>
            <w:tcBorders>
              <w:top w:val="single" w:color="auto" w:sz="4" w:space="0"/>
              <w:left w:val="single" w:color="auto" w:sz="4" w:space="0"/>
              <w:bottom w:val="single" w:color="auto" w:sz="4" w:space="0"/>
              <w:right w:val="single" w:color="auto" w:sz="4" w:space="0"/>
            </w:tcBorders>
            <w:vAlign w:val="center"/>
          </w:tcPr>
          <w:p w14:paraId="538A248B">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1.开标时间：详见招标公告</w:t>
            </w:r>
          </w:p>
          <w:p w14:paraId="75A8DD28">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2.开标地点：详见招标公告</w:t>
            </w:r>
          </w:p>
        </w:tc>
      </w:tr>
      <w:tr w14:paraId="5FF8BF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3170B542">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24.3（1）</w:t>
            </w:r>
          </w:p>
        </w:tc>
        <w:tc>
          <w:tcPr>
            <w:tcW w:w="8895" w:type="dxa"/>
            <w:tcBorders>
              <w:top w:val="single" w:color="auto" w:sz="4" w:space="0"/>
              <w:left w:val="single" w:color="auto" w:sz="4" w:space="0"/>
              <w:bottom w:val="single" w:color="auto" w:sz="4" w:space="0"/>
              <w:right w:val="single" w:color="auto" w:sz="4" w:space="0"/>
            </w:tcBorders>
            <w:vAlign w:val="center"/>
          </w:tcPr>
          <w:p w14:paraId="4BE65FDF">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电子投标文件解密时间：</w:t>
            </w:r>
            <w:r>
              <w:rPr>
                <w:rFonts w:hint="eastAsia" w:ascii="宋体" w:hAnsi="宋体" w:cs="宋体"/>
                <w:color w:val="auto"/>
                <w:szCs w:val="21"/>
                <w:highlight w:val="none"/>
                <w:u w:val="single"/>
              </w:rPr>
              <w:t>30</w:t>
            </w:r>
            <w:r>
              <w:rPr>
                <w:rFonts w:hint="eastAsia" w:ascii="宋体" w:hAnsi="宋体" w:cs="宋体"/>
                <w:color w:val="auto"/>
                <w:szCs w:val="21"/>
                <w:highlight w:val="none"/>
              </w:rPr>
              <w:t>分钟</w:t>
            </w:r>
          </w:p>
        </w:tc>
      </w:tr>
      <w:tr w14:paraId="2B118D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64C49720">
            <w:pPr>
              <w:spacing w:line="400" w:lineRule="exact"/>
              <w:jc w:val="center"/>
              <w:rPr>
                <w:rFonts w:hint="eastAsia" w:ascii="宋体" w:hAnsi="宋体" w:cs="宋体"/>
                <w:color w:val="auto"/>
                <w:szCs w:val="21"/>
                <w:highlight w:val="none"/>
              </w:rPr>
            </w:pPr>
            <w:bookmarkStart w:id="120" w:name="_25.3"/>
            <w:bookmarkEnd w:id="120"/>
            <w:r>
              <w:rPr>
                <w:rFonts w:hint="eastAsia" w:ascii="宋体" w:hAnsi="宋体" w:cs="宋体"/>
                <w:color w:val="auto"/>
                <w:szCs w:val="21"/>
                <w:highlight w:val="none"/>
              </w:rPr>
              <w:t>25.3（2）</w:t>
            </w:r>
          </w:p>
        </w:tc>
        <w:tc>
          <w:tcPr>
            <w:tcW w:w="8895" w:type="dxa"/>
            <w:tcBorders>
              <w:top w:val="single" w:color="auto" w:sz="4" w:space="0"/>
              <w:left w:val="single" w:color="auto" w:sz="4" w:space="0"/>
              <w:bottom w:val="single" w:color="auto" w:sz="4" w:space="0"/>
              <w:right w:val="single" w:color="auto" w:sz="4" w:space="0"/>
            </w:tcBorders>
            <w:vAlign w:val="center"/>
          </w:tcPr>
          <w:p w14:paraId="64E699F0">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采购人或者采购代理机构在资格审查结束前，对投标人进行信用查询。</w:t>
            </w:r>
          </w:p>
          <w:p w14:paraId="7DAC7AEE">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查询渠道：“信用中国”网站（www.creditchina.gov.cn）、中国政府采购网（www.ccgp.gov.cn）。</w:t>
            </w:r>
          </w:p>
          <w:p w14:paraId="5CF4E822">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信用查询截止时点：资格审查结束前</w:t>
            </w:r>
          </w:p>
          <w:p w14:paraId="3A7A3AF1">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查询记录和证据留存方式：在查询网站中直接截图查询记录，截图作为在广西政府采购云平台（</w:t>
            </w:r>
            <w:r>
              <w:rPr>
                <w:rFonts w:hint="eastAsia" w:ascii="宋体" w:hAnsi="宋体" w:cs="宋体"/>
                <w:bCs/>
                <w:color w:val="auto"/>
                <w:szCs w:val="21"/>
                <w:highlight w:val="none"/>
              </w:rPr>
              <w:t>https://www.gcy.zfcg.gxzf.gov.cn/</w:t>
            </w:r>
            <w:r>
              <w:rPr>
                <w:rFonts w:hint="eastAsia" w:ascii="宋体" w:hAnsi="宋体" w:cs="宋体"/>
                <w:color w:val="auto"/>
                <w:szCs w:val="21"/>
                <w:highlight w:val="none"/>
              </w:rPr>
              <w:t>）作为附件上传保存。</w:t>
            </w:r>
          </w:p>
          <w:p w14:paraId="7E33FA2D">
            <w:pPr>
              <w:snapToGrid w:val="0"/>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信用信息使用规则：对在“信用中国”网站（www.creditchina.gov.cn）、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14:paraId="03D2D7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5B64C8A9">
            <w:pPr>
              <w:spacing w:line="400" w:lineRule="exact"/>
              <w:jc w:val="center"/>
              <w:rPr>
                <w:rFonts w:hint="eastAsia" w:ascii="宋体" w:hAnsi="宋体" w:cs="宋体"/>
                <w:color w:val="auto"/>
                <w:szCs w:val="21"/>
                <w:highlight w:val="none"/>
              </w:rPr>
            </w:pPr>
            <w:bookmarkStart w:id="121" w:name="_26"/>
            <w:bookmarkEnd w:id="121"/>
            <w:r>
              <w:rPr>
                <w:rFonts w:hint="eastAsia" w:ascii="宋体" w:hAnsi="宋体" w:cs="宋体"/>
                <w:color w:val="auto"/>
                <w:szCs w:val="21"/>
                <w:highlight w:val="none"/>
              </w:rPr>
              <w:t>26.1</w:t>
            </w:r>
          </w:p>
        </w:tc>
        <w:tc>
          <w:tcPr>
            <w:tcW w:w="8895" w:type="dxa"/>
            <w:tcBorders>
              <w:top w:val="single" w:color="auto" w:sz="4" w:space="0"/>
              <w:left w:val="single" w:color="auto" w:sz="4" w:space="0"/>
              <w:bottom w:val="single" w:color="auto" w:sz="4" w:space="0"/>
              <w:right w:val="single" w:color="auto" w:sz="4" w:space="0"/>
            </w:tcBorders>
            <w:vAlign w:val="center"/>
          </w:tcPr>
          <w:p w14:paraId="4472D143">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评标委员会的人数：</w:t>
            </w:r>
            <w:r>
              <w:rPr>
                <w:rFonts w:hint="eastAsia" w:ascii="宋体" w:hAnsi="宋体" w:cs="宋体"/>
                <w:color w:val="auto"/>
                <w:szCs w:val="21"/>
                <w:highlight w:val="none"/>
                <w:u w:val="single"/>
              </w:rPr>
              <w:t>5</w:t>
            </w:r>
            <w:r>
              <w:rPr>
                <w:rFonts w:hint="eastAsia" w:ascii="宋体" w:hAnsi="宋体" w:cs="宋体"/>
                <w:color w:val="auto"/>
                <w:szCs w:val="21"/>
                <w:highlight w:val="none"/>
              </w:rPr>
              <w:t>人</w:t>
            </w:r>
          </w:p>
        </w:tc>
      </w:tr>
      <w:tr w14:paraId="452AD2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4A9B58C7">
            <w:pPr>
              <w:spacing w:line="400" w:lineRule="exact"/>
              <w:jc w:val="center"/>
              <w:rPr>
                <w:rFonts w:hint="eastAsia" w:ascii="宋体" w:hAnsi="宋体" w:cs="宋体"/>
                <w:color w:val="auto"/>
                <w:szCs w:val="21"/>
                <w:highlight w:val="none"/>
              </w:rPr>
            </w:pPr>
            <w:bookmarkStart w:id="122" w:name="_28.3"/>
            <w:bookmarkEnd w:id="122"/>
            <w:r>
              <w:rPr>
                <w:rFonts w:hint="eastAsia" w:ascii="宋体" w:hAnsi="宋体" w:cs="宋体"/>
                <w:color w:val="auto"/>
                <w:szCs w:val="21"/>
                <w:highlight w:val="none"/>
              </w:rPr>
              <w:t>29.1</w:t>
            </w:r>
          </w:p>
        </w:tc>
        <w:tc>
          <w:tcPr>
            <w:tcW w:w="8895" w:type="dxa"/>
            <w:tcBorders>
              <w:top w:val="single" w:color="auto" w:sz="4" w:space="0"/>
              <w:left w:val="single" w:color="auto" w:sz="4" w:space="0"/>
              <w:bottom w:val="single" w:color="auto" w:sz="4" w:space="0"/>
              <w:right w:val="single" w:color="auto" w:sz="4" w:space="0"/>
            </w:tcBorders>
            <w:vAlign w:val="center"/>
          </w:tcPr>
          <w:p w14:paraId="44A9AB07">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评标方法：</w:t>
            </w:r>
          </w:p>
          <w:p w14:paraId="3C12F220">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☑综合评分法</w:t>
            </w:r>
          </w:p>
          <w:p w14:paraId="3DDF9383">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□最低评标价法</w:t>
            </w:r>
          </w:p>
        </w:tc>
      </w:tr>
      <w:tr w14:paraId="522347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16EA6268">
            <w:pPr>
              <w:spacing w:line="400" w:lineRule="exact"/>
              <w:jc w:val="center"/>
              <w:rPr>
                <w:rFonts w:hint="eastAsia" w:ascii="宋体" w:hAnsi="宋体" w:cs="宋体"/>
                <w:color w:val="auto"/>
                <w:szCs w:val="21"/>
                <w:highlight w:val="none"/>
              </w:rPr>
            </w:pPr>
            <w:bookmarkStart w:id="123" w:name="_29.2.2（2）"/>
            <w:bookmarkEnd w:id="123"/>
            <w:r>
              <w:rPr>
                <w:rFonts w:hint="eastAsia" w:ascii="宋体" w:hAnsi="宋体" w:cs="宋体"/>
                <w:color w:val="auto"/>
                <w:szCs w:val="21"/>
                <w:highlight w:val="none"/>
              </w:rPr>
              <w:t>29.2</w:t>
            </w:r>
          </w:p>
        </w:tc>
        <w:tc>
          <w:tcPr>
            <w:tcW w:w="8895" w:type="dxa"/>
            <w:tcBorders>
              <w:top w:val="single" w:color="auto" w:sz="4" w:space="0"/>
              <w:left w:val="single" w:color="auto" w:sz="4" w:space="0"/>
              <w:right w:val="single" w:color="auto" w:sz="4" w:space="0"/>
            </w:tcBorders>
            <w:vAlign w:val="center"/>
          </w:tcPr>
          <w:p w14:paraId="38CDEBE0">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p w14:paraId="4EDEBDC6">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hint="eastAsia" w:ascii="宋体" w:hAnsi="宋体" w:cs="宋体"/>
                <w:color w:val="auto"/>
                <w:szCs w:val="21"/>
                <w:highlight w:val="none"/>
                <w:u w:val="single"/>
              </w:rPr>
              <w:t>0</w:t>
            </w:r>
            <w:r>
              <w:rPr>
                <w:rFonts w:hint="eastAsia" w:ascii="宋体" w:hAnsi="宋体" w:cs="宋体"/>
                <w:color w:val="auto"/>
                <w:szCs w:val="21"/>
                <w:highlight w:val="none"/>
              </w:rPr>
              <w:t>项。</w:t>
            </w:r>
          </w:p>
        </w:tc>
      </w:tr>
      <w:tr w14:paraId="76FFDD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right w:val="single" w:color="auto" w:sz="4" w:space="0"/>
            </w:tcBorders>
            <w:vAlign w:val="center"/>
          </w:tcPr>
          <w:p w14:paraId="2E6C4335">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29.3</w:t>
            </w:r>
          </w:p>
        </w:tc>
        <w:tc>
          <w:tcPr>
            <w:tcW w:w="8895" w:type="dxa"/>
            <w:tcBorders>
              <w:top w:val="single" w:color="auto" w:sz="4" w:space="0"/>
              <w:left w:val="single" w:color="auto" w:sz="4" w:space="0"/>
              <w:right w:val="single" w:color="auto" w:sz="4" w:space="0"/>
            </w:tcBorders>
            <w:vAlign w:val="center"/>
          </w:tcPr>
          <w:p w14:paraId="0A5B2505">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中标候选人推荐数量：</w:t>
            </w:r>
          </w:p>
          <w:p w14:paraId="65A7DF58">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color w:val="auto"/>
                <w:szCs w:val="21"/>
                <w:highlight w:val="none"/>
                <w:u w:val="single"/>
              </w:rPr>
              <w:t>3</w:t>
            </w:r>
            <w:r>
              <w:rPr>
                <w:rFonts w:hint="eastAsia" w:ascii="宋体" w:hAnsi="宋体" w:cs="宋体"/>
                <w:color w:val="auto"/>
                <w:szCs w:val="21"/>
                <w:highlight w:val="none"/>
              </w:rPr>
              <w:t>名</w:t>
            </w:r>
          </w:p>
          <w:p w14:paraId="74302B73">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□根据[总得分由高到低（综合评分法）/评标报价从低到高（最低评标价法）]排列次序并全部推荐为中标候选人</w:t>
            </w:r>
          </w:p>
        </w:tc>
      </w:tr>
      <w:tr w14:paraId="3343CB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50F39BC2">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30.1</w:t>
            </w:r>
          </w:p>
        </w:tc>
        <w:tc>
          <w:tcPr>
            <w:tcW w:w="8895" w:type="dxa"/>
            <w:tcBorders>
              <w:top w:val="single" w:color="auto" w:sz="4" w:space="0"/>
              <w:left w:val="single" w:color="auto" w:sz="4" w:space="0"/>
              <w:bottom w:val="single" w:color="auto" w:sz="4" w:space="0"/>
              <w:right w:val="single" w:color="auto" w:sz="4" w:space="0"/>
            </w:tcBorders>
            <w:vAlign w:val="center"/>
          </w:tcPr>
          <w:p w14:paraId="2CAB3686">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采用综合评分法的采购项目，采购人确定中标人时，出现中标候选人并列的情形，采购人按以下的方式确定中标人：</w:t>
            </w:r>
          </w:p>
          <w:p w14:paraId="3F576C60">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w:t>
            </w:r>
            <w:r>
              <w:rPr>
                <w:rFonts w:hint="eastAsia" w:ascii="宋体" w:hAnsi="宋体" w:cs="宋体"/>
                <w:iCs/>
                <w:color w:val="auto"/>
                <w:szCs w:val="21"/>
                <w:highlight w:val="none"/>
              </w:rPr>
              <w:t>依次按投标报价低的优先、技术评分高的优先、商务评分高的优先的顺序确定；</w:t>
            </w:r>
          </w:p>
          <w:p w14:paraId="17E57379">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□随机抽取；</w:t>
            </w:r>
          </w:p>
          <w:p w14:paraId="588B9F34">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w:t>
            </w:r>
          </w:p>
          <w:p w14:paraId="7F677B35">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采用最低评标价法的采购项目，采购人确定中标人时，出现中标候选人并列的情形，采购人按以下的方式确定中标人：</w:t>
            </w:r>
          </w:p>
          <w:p w14:paraId="3FEEA0FB">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□依次按投标报价低的优先、节能及环保产品累计金额高的优先、带“▲”的实质性要求正偏离项数多的优先、均无正偏离或者正偏离项数一致时负偏离项数少的优先、故障响应时间短优先……的顺序确定。</w:t>
            </w:r>
          </w:p>
          <w:p w14:paraId="40A2996C">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□随机抽取；</w:t>
            </w:r>
          </w:p>
          <w:p w14:paraId="38E48EB7">
            <w:pPr>
              <w:snapToGrid w:val="0"/>
              <w:spacing w:line="400" w:lineRule="exact"/>
              <w:rPr>
                <w:rFonts w:hint="eastAsia" w:ascii="宋体" w:hAnsi="宋体" w:cs="宋体"/>
                <w:b/>
                <w:color w:val="auto"/>
                <w:szCs w:val="21"/>
                <w:highlight w:val="none"/>
              </w:rPr>
            </w:pPr>
            <w:r>
              <w:rPr>
                <w:rFonts w:hint="eastAsia" w:ascii="宋体" w:hAnsi="宋体" w:cs="宋体"/>
                <w:color w:val="auto"/>
                <w:szCs w:val="21"/>
                <w:highlight w:val="none"/>
              </w:rPr>
              <w:t>□……</w:t>
            </w:r>
          </w:p>
        </w:tc>
      </w:tr>
      <w:tr w14:paraId="53A68A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4AD2E535">
            <w:pPr>
              <w:spacing w:line="400" w:lineRule="exact"/>
              <w:jc w:val="center"/>
              <w:rPr>
                <w:rFonts w:hint="eastAsia" w:ascii="宋体" w:hAnsi="宋体" w:cs="宋体"/>
                <w:color w:val="auto"/>
                <w:szCs w:val="21"/>
                <w:highlight w:val="none"/>
              </w:rPr>
            </w:pPr>
            <w:bookmarkStart w:id="124" w:name="_39.1"/>
            <w:bookmarkEnd w:id="124"/>
            <w:r>
              <w:rPr>
                <w:rFonts w:hint="eastAsia" w:ascii="宋体" w:hAnsi="宋体" w:cs="宋体"/>
                <w:color w:val="auto"/>
                <w:szCs w:val="21"/>
                <w:highlight w:val="none"/>
              </w:rPr>
              <w:t>35.1</w:t>
            </w:r>
          </w:p>
        </w:tc>
        <w:tc>
          <w:tcPr>
            <w:tcW w:w="8895" w:type="dxa"/>
            <w:tcBorders>
              <w:top w:val="single" w:color="auto" w:sz="4" w:space="0"/>
              <w:left w:val="single" w:color="auto" w:sz="4" w:space="0"/>
              <w:bottom w:val="single" w:color="auto" w:sz="4" w:space="0"/>
              <w:right w:val="single" w:color="auto" w:sz="4" w:space="0"/>
            </w:tcBorders>
            <w:vAlign w:val="center"/>
          </w:tcPr>
          <w:p w14:paraId="17AFF068">
            <w:pPr>
              <w:spacing w:line="400" w:lineRule="exact"/>
              <w:jc w:val="left"/>
              <w:rPr>
                <w:rFonts w:hint="eastAsia" w:ascii="宋体" w:hAnsi="宋体" w:cs="宋体"/>
                <w:color w:val="auto"/>
                <w:kern w:val="0"/>
                <w:szCs w:val="21"/>
                <w:highlight w:val="none"/>
              </w:rPr>
            </w:pPr>
            <w:r>
              <w:rPr>
                <w:rFonts w:hint="eastAsia" w:ascii="宋体" w:hAnsi="宋体" w:cs="宋体"/>
                <w:color w:val="auto"/>
                <w:szCs w:val="21"/>
                <w:highlight w:val="none"/>
              </w:rPr>
              <w:t>☑本项目不收取履约保证金。</w:t>
            </w:r>
          </w:p>
        </w:tc>
      </w:tr>
      <w:tr w14:paraId="10A90E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371EACC6">
            <w:pPr>
              <w:spacing w:line="400" w:lineRule="exact"/>
              <w:jc w:val="center"/>
              <w:rPr>
                <w:rFonts w:hint="eastAsia" w:ascii="宋体" w:hAnsi="宋体" w:cs="宋体"/>
                <w:color w:val="auto"/>
                <w:szCs w:val="21"/>
                <w:highlight w:val="none"/>
              </w:rPr>
            </w:pPr>
            <w:bookmarkStart w:id="125" w:name="_40.1"/>
            <w:bookmarkEnd w:id="125"/>
            <w:r>
              <w:rPr>
                <w:rFonts w:hint="eastAsia" w:ascii="宋体" w:hAnsi="宋体" w:cs="宋体"/>
                <w:color w:val="auto"/>
                <w:szCs w:val="21"/>
                <w:highlight w:val="none"/>
              </w:rPr>
              <w:t>36.1</w:t>
            </w:r>
          </w:p>
        </w:tc>
        <w:tc>
          <w:tcPr>
            <w:tcW w:w="8895" w:type="dxa"/>
            <w:tcBorders>
              <w:top w:val="single" w:color="auto" w:sz="4" w:space="0"/>
              <w:left w:val="single" w:color="auto" w:sz="4" w:space="0"/>
              <w:bottom w:val="single" w:color="auto" w:sz="4" w:space="0"/>
              <w:right w:val="single" w:color="auto" w:sz="4" w:space="0"/>
            </w:tcBorders>
            <w:vAlign w:val="center"/>
          </w:tcPr>
          <w:p w14:paraId="2ED70870">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签订合同携带的证明材料：</w:t>
            </w:r>
          </w:p>
          <w:p w14:paraId="0A6B88BB">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委托代理人负责签订合同的，须携带授权委托书及委托代理人身份证原件等其他资格证件。</w:t>
            </w:r>
          </w:p>
          <w:p w14:paraId="5A6931D1">
            <w:pPr>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rPr>
              <w:t>法定代表人负责签订合同的，须携带法定代表人身份证明原件及身份证原件等其他证明材料。</w:t>
            </w:r>
          </w:p>
        </w:tc>
      </w:tr>
      <w:tr w14:paraId="3D89FD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409DE35F">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38.2</w:t>
            </w:r>
          </w:p>
        </w:tc>
        <w:tc>
          <w:tcPr>
            <w:tcW w:w="8895" w:type="dxa"/>
            <w:tcBorders>
              <w:top w:val="single" w:color="auto" w:sz="4" w:space="0"/>
              <w:left w:val="single" w:color="auto" w:sz="4" w:space="0"/>
              <w:bottom w:val="single" w:color="auto" w:sz="4" w:space="0"/>
              <w:right w:val="single" w:color="auto" w:sz="4" w:space="0"/>
            </w:tcBorders>
            <w:vAlign w:val="center"/>
          </w:tcPr>
          <w:p w14:paraId="04288710">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接收质疑函方式：以书面形式</w:t>
            </w:r>
          </w:p>
          <w:p w14:paraId="21D2123C">
            <w:pPr>
              <w:pStyle w:val="43"/>
              <w:snapToGrid w:val="0"/>
              <w:spacing w:line="400" w:lineRule="exact"/>
              <w:rPr>
                <w:rFonts w:hint="eastAsia" w:hAnsi="宋体" w:cs="宋体"/>
                <w:color w:val="auto"/>
                <w:sz w:val="21"/>
                <w:highlight w:val="none"/>
              </w:rPr>
            </w:pPr>
            <w:r>
              <w:rPr>
                <w:rFonts w:hint="eastAsia" w:hAnsi="宋体" w:cs="宋体"/>
                <w:color w:val="auto"/>
                <w:sz w:val="21"/>
                <w:highlight w:val="none"/>
              </w:rPr>
              <w:t>质疑联系部门及联系方式：</w:t>
            </w:r>
            <w:r>
              <w:rPr>
                <w:rFonts w:hint="eastAsia" w:hAnsi="宋体" w:cs="宋体"/>
                <w:color w:val="auto"/>
                <w:kern w:val="2"/>
                <w:sz w:val="21"/>
                <w:highlight w:val="none"/>
              </w:rPr>
              <w:t>广西卓源工程招标咨询有限公司，联系电话：0773-2535286，通讯地址：桂林市叠彩区站前路1号恒大广场10栋2301室。</w:t>
            </w:r>
          </w:p>
          <w:p w14:paraId="13123BBA">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业务时间：工作日每天上午8时00分到12时00分，下午3时00分到6时00分。</w:t>
            </w:r>
          </w:p>
        </w:tc>
      </w:tr>
      <w:tr w14:paraId="1070C3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71C8402D">
            <w:pPr>
              <w:spacing w:line="400" w:lineRule="exact"/>
              <w:jc w:val="center"/>
              <w:rPr>
                <w:rFonts w:hint="eastAsia" w:ascii="宋体" w:hAnsi="宋体" w:cs="宋体"/>
                <w:color w:val="auto"/>
                <w:szCs w:val="21"/>
                <w:highlight w:val="none"/>
              </w:rPr>
            </w:pPr>
            <w:bookmarkStart w:id="126" w:name="_41"/>
            <w:bookmarkEnd w:id="126"/>
            <w:bookmarkStart w:id="127" w:name="_42"/>
            <w:bookmarkEnd w:id="127"/>
            <w:bookmarkStart w:id="128" w:name="_Hlt17709148"/>
            <w:r>
              <w:rPr>
                <w:rFonts w:hint="eastAsia" w:ascii="宋体" w:hAnsi="宋体" w:cs="宋体"/>
                <w:color w:val="auto"/>
                <w:szCs w:val="21"/>
                <w:highlight w:val="none"/>
              </w:rPr>
              <w:t>3</w:t>
            </w:r>
            <w:bookmarkEnd w:id="128"/>
            <w:r>
              <w:rPr>
                <w:rFonts w:hint="eastAsia" w:ascii="宋体" w:hAnsi="宋体" w:cs="宋体"/>
                <w:color w:val="auto"/>
                <w:szCs w:val="21"/>
                <w:highlight w:val="none"/>
              </w:rPr>
              <w:t>9.1</w:t>
            </w:r>
          </w:p>
        </w:tc>
        <w:tc>
          <w:tcPr>
            <w:tcW w:w="8895" w:type="dxa"/>
            <w:tcBorders>
              <w:top w:val="single" w:color="auto" w:sz="4" w:space="0"/>
              <w:left w:val="single" w:color="auto" w:sz="4" w:space="0"/>
              <w:bottom w:val="single" w:color="auto" w:sz="4" w:space="0"/>
              <w:right w:val="single" w:color="auto" w:sz="4" w:space="0"/>
            </w:tcBorders>
            <w:vAlign w:val="center"/>
          </w:tcPr>
          <w:p w14:paraId="2A52F530">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1.采购代理费支付方式：</w:t>
            </w:r>
          </w:p>
          <w:p w14:paraId="4B94E936">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☑本项目代理服务费由中标人一次性向采购代理机构支付。</w:t>
            </w:r>
          </w:p>
          <w:p w14:paraId="2AC38DFE">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□采购人支付。</w:t>
            </w:r>
          </w:p>
          <w:p w14:paraId="2B2B06CB">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2.采购代理费收取标准：</w:t>
            </w:r>
          </w:p>
          <w:p w14:paraId="2CB05218">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☑以分标（☑中标金额/□采购预算/□暂定中标金额/□其他）为计费额，按本须知正文第39.2条规定的收费计算标准（</w:t>
            </w:r>
            <w:r>
              <w:rPr>
                <w:rFonts w:hint="eastAsia" w:ascii="宋体" w:hAnsi="宋体" w:cs="宋体"/>
                <w:color w:val="auto"/>
                <w:szCs w:val="21"/>
                <w:highlight w:val="none"/>
                <w:lang w:eastAsia="zh-CN"/>
              </w:rPr>
              <w:t>□</w:t>
            </w:r>
            <w:r>
              <w:rPr>
                <w:rFonts w:hint="eastAsia" w:ascii="宋体" w:hAnsi="宋体" w:cs="宋体"/>
                <w:color w:val="auto"/>
                <w:szCs w:val="21"/>
                <w:highlight w:val="none"/>
              </w:rPr>
              <w:t>货物招标/</w:t>
            </w:r>
            <w:r>
              <w:rPr>
                <w:rFonts w:hint="eastAsia" w:ascii="宋体" w:hAnsi="宋体" w:cs="宋体"/>
                <w:color w:val="auto"/>
                <w:szCs w:val="21"/>
                <w:highlight w:val="none"/>
                <w:lang w:eastAsia="zh-CN"/>
              </w:rPr>
              <w:t>☑</w:t>
            </w:r>
            <w:r>
              <w:rPr>
                <w:rFonts w:hint="eastAsia" w:ascii="宋体" w:hAnsi="宋体" w:cs="宋体"/>
                <w:color w:val="auto"/>
                <w:szCs w:val="21"/>
                <w:highlight w:val="none"/>
              </w:rPr>
              <w:t>服务招标/</w:t>
            </w:r>
            <w:r>
              <w:rPr>
                <w:rFonts w:hint="eastAsia" w:ascii="宋体" w:hAnsi="宋体" w:cs="宋体"/>
                <w:color w:val="auto"/>
                <w:szCs w:val="21"/>
                <w:highlight w:val="none"/>
                <w:lang w:eastAsia="zh-CN"/>
              </w:rPr>
              <w:t>□</w:t>
            </w:r>
            <w:r>
              <w:rPr>
                <w:rFonts w:hint="eastAsia" w:ascii="宋体" w:hAnsi="宋体" w:cs="宋体"/>
                <w:color w:val="auto"/>
                <w:szCs w:val="21"/>
                <w:highlight w:val="none"/>
              </w:rPr>
              <w:t>工程招标）采用差额定率累进法计算出收费基准价格，采购代理收费以（☑收费基准价格/□收费基准价格下浮%/□收费基准价格上浮%）收取。</w:t>
            </w:r>
          </w:p>
          <w:p w14:paraId="034A2CFA">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□固定采购代理收费。</w:t>
            </w:r>
          </w:p>
          <w:p w14:paraId="4FAC2685">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3.开户名称：广西卓源工程招标咨询有限公司</w:t>
            </w:r>
          </w:p>
          <w:p w14:paraId="1A4EA2E6">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开户银行：桂林银行股份有限公司城北支行</w:t>
            </w:r>
          </w:p>
          <w:p w14:paraId="55CC0F38">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银行账号：6600 0001 6202 7000 16</w:t>
            </w:r>
          </w:p>
        </w:tc>
      </w:tr>
      <w:tr w14:paraId="2C5D0C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511BA949">
            <w:pPr>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40.1</w:t>
            </w:r>
          </w:p>
        </w:tc>
        <w:tc>
          <w:tcPr>
            <w:tcW w:w="8895" w:type="dxa"/>
            <w:tcBorders>
              <w:top w:val="single" w:color="auto" w:sz="4" w:space="0"/>
              <w:left w:val="single" w:color="auto" w:sz="4" w:space="0"/>
              <w:bottom w:val="single" w:color="auto" w:sz="4" w:space="0"/>
              <w:right w:val="single" w:color="auto" w:sz="4" w:space="0"/>
            </w:tcBorders>
            <w:vAlign w:val="center"/>
          </w:tcPr>
          <w:p w14:paraId="2D3A3056">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4F4BD8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08B208B1">
            <w:pPr>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40.2</w:t>
            </w:r>
          </w:p>
        </w:tc>
        <w:tc>
          <w:tcPr>
            <w:tcW w:w="8895" w:type="dxa"/>
            <w:tcBorders>
              <w:top w:val="single" w:color="auto" w:sz="4" w:space="0"/>
              <w:left w:val="single" w:color="auto" w:sz="4" w:space="0"/>
              <w:bottom w:val="single" w:color="auto" w:sz="4" w:space="0"/>
              <w:right w:val="single" w:color="auto" w:sz="4" w:space="0"/>
            </w:tcBorders>
            <w:vAlign w:val="center"/>
          </w:tcPr>
          <w:p w14:paraId="31041B09">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058DEC9C">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本招标文件所称的“电子签章”、“电子签名”，是指经广西政府采购云平台认可的CA认证的电子签名数据为表现形式的印章，可用于签署电子投标文件，电子印章与实物印章具有同等法律效力，不因其采用电子化表现形式而否定其法律效力。</w:t>
            </w:r>
          </w:p>
          <w:p w14:paraId="30BAC2F6">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07D62A3E">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4.本招标文件中描述投标人的“签字”是指投标人的法定代表人或者委托代理人亲自在文件规定签字处亲笔写上个人的名字的行为，私章、签字章、印鉴、影印等其他形式均不能代替亲笔签字。</w:t>
            </w:r>
          </w:p>
          <w:p w14:paraId="3E1F3BF4">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5.本招标文件所称的“以上”“以下”“以内”“届满”，包括本数；所称的“不满”“超过”“以外”，不包括本数。</w:t>
            </w:r>
          </w:p>
        </w:tc>
      </w:tr>
      <w:tr w14:paraId="570072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064" w:type="dxa"/>
            <w:tcBorders>
              <w:top w:val="single" w:color="auto" w:sz="4" w:space="0"/>
              <w:left w:val="single" w:color="auto" w:sz="4" w:space="0"/>
              <w:bottom w:val="single" w:color="auto" w:sz="4" w:space="0"/>
              <w:right w:val="single" w:color="auto" w:sz="4" w:space="0"/>
            </w:tcBorders>
            <w:vAlign w:val="center"/>
          </w:tcPr>
          <w:p w14:paraId="2DFB5323">
            <w:pPr>
              <w:snapToGrid w:val="0"/>
              <w:spacing w:line="400" w:lineRule="exact"/>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41</w:t>
            </w:r>
          </w:p>
        </w:tc>
        <w:tc>
          <w:tcPr>
            <w:tcW w:w="8895" w:type="dxa"/>
            <w:tcBorders>
              <w:top w:val="single" w:color="auto" w:sz="4" w:space="0"/>
              <w:left w:val="single" w:color="auto" w:sz="4" w:space="0"/>
              <w:bottom w:val="single" w:color="auto" w:sz="4" w:space="0"/>
              <w:right w:val="single" w:color="auto" w:sz="4" w:space="0"/>
            </w:tcBorders>
            <w:vAlign w:val="center"/>
          </w:tcPr>
          <w:p w14:paraId="220E51F6">
            <w:pPr>
              <w:snapToGrid w:val="0"/>
              <w:spacing w:line="400" w:lineRule="exact"/>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监督管理机构：桂林市财政局；联系电话：0773-2862142。</w:t>
            </w:r>
          </w:p>
        </w:tc>
      </w:tr>
    </w:tbl>
    <w:p w14:paraId="539EDCD5">
      <w:pPr>
        <w:snapToGrid w:val="0"/>
        <w:rPr>
          <w:rFonts w:hint="eastAsia" w:ascii="宋体" w:hAnsi="宋体"/>
          <w:color w:val="auto"/>
          <w:sz w:val="24"/>
          <w:szCs w:val="20"/>
          <w:highlight w:val="none"/>
        </w:rPr>
      </w:pPr>
    </w:p>
    <w:p w14:paraId="04B090A8">
      <w:pPr>
        <w:snapToGrid w:val="0"/>
        <w:rPr>
          <w:rFonts w:hint="eastAsia" w:ascii="宋体" w:hAnsi="宋体"/>
          <w:color w:val="auto"/>
          <w:sz w:val="24"/>
          <w:szCs w:val="20"/>
          <w:highlight w:val="none"/>
        </w:rPr>
      </w:pPr>
    </w:p>
    <w:p w14:paraId="04AA20C7">
      <w:pPr>
        <w:pStyle w:val="6"/>
        <w:keepNext w:val="0"/>
        <w:keepLines w:val="0"/>
        <w:spacing w:before="0" w:after="0" w:line="400" w:lineRule="exact"/>
        <w:jc w:val="center"/>
        <w:rPr>
          <w:rFonts w:hint="eastAsia" w:ascii="宋体" w:hAnsi="宋体" w:cs="宋体"/>
          <w:color w:val="auto"/>
          <w:sz w:val="21"/>
          <w:szCs w:val="21"/>
          <w:highlight w:val="none"/>
        </w:rPr>
      </w:pPr>
      <w:r>
        <w:rPr>
          <w:color w:val="auto"/>
          <w:highlight w:val="none"/>
        </w:rPr>
        <w:br w:type="page"/>
      </w:r>
      <w:r>
        <w:rPr>
          <w:rFonts w:hint="eastAsia" w:ascii="宋体" w:hAnsi="宋体" w:cs="宋体"/>
          <w:color w:val="auto"/>
          <w:sz w:val="21"/>
          <w:szCs w:val="21"/>
          <w:highlight w:val="none"/>
        </w:rPr>
        <w:t>投标人须知正文</w:t>
      </w:r>
    </w:p>
    <w:p w14:paraId="0DB8180F">
      <w:pPr>
        <w:pStyle w:val="6"/>
        <w:keepNext w:val="0"/>
        <w:keepLines w:val="0"/>
        <w:spacing w:before="0" w:after="0"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一、总则</w:t>
      </w:r>
    </w:p>
    <w:p w14:paraId="6A7FBFE7">
      <w:pPr>
        <w:pStyle w:val="8"/>
        <w:keepNext w:val="0"/>
        <w:keepLines w:val="0"/>
        <w:spacing w:before="0" w:after="0" w:line="400" w:lineRule="exact"/>
        <w:rPr>
          <w:rFonts w:hint="eastAsia" w:ascii="宋体" w:hAnsi="宋体" w:cs="宋体"/>
          <w:color w:val="auto"/>
          <w:sz w:val="21"/>
          <w:szCs w:val="21"/>
          <w:highlight w:val="none"/>
        </w:rPr>
      </w:pPr>
      <w:bookmarkStart w:id="129" w:name="_Toc254970527"/>
      <w:bookmarkStart w:id="130" w:name="_Toc254970668"/>
      <w:r>
        <w:rPr>
          <w:rFonts w:hint="eastAsia" w:ascii="宋体" w:hAnsi="宋体" w:cs="宋体"/>
          <w:color w:val="auto"/>
          <w:sz w:val="21"/>
          <w:szCs w:val="21"/>
          <w:highlight w:val="none"/>
        </w:rPr>
        <w:t>1.适用范围</w:t>
      </w:r>
      <w:bookmarkEnd w:id="129"/>
      <w:bookmarkEnd w:id="130"/>
    </w:p>
    <w:p w14:paraId="41F1F38F">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7A198B57">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1.2本招标文件</w:t>
      </w:r>
      <w:r>
        <w:rPr>
          <w:rFonts w:hint="eastAsia" w:ascii="宋体" w:hAnsi="宋体" w:cs="宋体"/>
          <w:color w:val="auto"/>
          <w:spacing w:val="-6"/>
          <w:szCs w:val="21"/>
          <w:highlight w:val="none"/>
        </w:rPr>
        <w:t>适用于本项目的所有采购程序和环节（法律、法规另有规定的，从其规定）。</w:t>
      </w:r>
    </w:p>
    <w:p w14:paraId="41037301">
      <w:pPr>
        <w:pStyle w:val="8"/>
        <w:keepNext w:val="0"/>
        <w:keepLines w:val="0"/>
        <w:spacing w:before="0" w:after="0" w:line="400" w:lineRule="exact"/>
        <w:rPr>
          <w:rFonts w:hint="eastAsia" w:ascii="宋体" w:hAnsi="宋体" w:cs="宋体"/>
          <w:color w:val="auto"/>
          <w:sz w:val="21"/>
          <w:szCs w:val="21"/>
          <w:highlight w:val="none"/>
        </w:rPr>
      </w:pPr>
      <w:bookmarkStart w:id="131" w:name="_Toc254970528"/>
      <w:bookmarkStart w:id="132" w:name="_Toc254970669"/>
      <w:r>
        <w:rPr>
          <w:rFonts w:hint="eastAsia" w:ascii="宋体" w:hAnsi="宋体" w:cs="宋体"/>
          <w:color w:val="auto"/>
          <w:sz w:val="21"/>
          <w:szCs w:val="21"/>
          <w:highlight w:val="none"/>
        </w:rPr>
        <w:t>2.定义</w:t>
      </w:r>
      <w:bookmarkEnd w:id="131"/>
      <w:bookmarkEnd w:id="132"/>
    </w:p>
    <w:p w14:paraId="3C5FC481">
      <w:pPr>
        <w:pStyle w:val="9"/>
        <w:spacing w:line="400" w:lineRule="exact"/>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41026C38">
      <w:pPr>
        <w:pStyle w:val="9"/>
        <w:spacing w:line="400" w:lineRule="exact"/>
        <w:rPr>
          <w:rFonts w:hint="eastAsia" w:ascii="宋体" w:hAnsi="宋体" w:cs="宋体"/>
          <w:color w:val="auto"/>
          <w:szCs w:val="21"/>
          <w:highlight w:val="none"/>
        </w:rPr>
      </w:pPr>
      <w:r>
        <w:rPr>
          <w:rFonts w:hint="eastAsia" w:ascii="宋体" w:hAnsi="宋体" w:cs="宋体"/>
          <w:color w:val="auto"/>
          <w:szCs w:val="21"/>
          <w:highlight w:val="none"/>
        </w:rPr>
        <w:t>2.2“采购代理机构”是指政府采购集中采购机构和集中采购机构以外的采购代理机构。</w:t>
      </w:r>
    </w:p>
    <w:p w14:paraId="14FE74A4">
      <w:pPr>
        <w:pStyle w:val="9"/>
        <w:spacing w:line="400" w:lineRule="exact"/>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00CD7852">
      <w:pPr>
        <w:pStyle w:val="9"/>
        <w:spacing w:line="400" w:lineRule="exact"/>
        <w:rPr>
          <w:rFonts w:hint="eastAsia" w:ascii="宋体" w:hAnsi="宋体" w:cs="宋体"/>
          <w:color w:val="auto"/>
          <w:szCs w:val="21"/>
          <w:highlight w:val="none"/>
        </w:rPr>
      </w:pPr>
      <w:r>
        <w:rPr>
          <w:rFonts w:hint="eastAsia" w:ascii="宋体" w:hAnsi="宋体" w:cs="宋体"/>
          <w:color w:val="auto"/>
          <w:szCs w:val="21"/>
          <w:highlight w:val="none"/>
        </w:rPr>
        <w:t>2.4“投标人”是指响应招标、参加投标竞争的法人、其他组织或者自然人。</w:t>
      </w:r>
    </w:p>
    <w:p w14:paraId="30009F02">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2.5“服务”是指除货物和工程以外的其他政府采购对象。</w:t>
      </w:r>
    </w:p>
    <w:p w14:paraId="658D92DD">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2.6“书面形式”是指合同书、信件和数据电文（包括电报、电传、传真、电子数据交换和电子邮件）等可以有形地表现所载内容的形式。</w:t>
      </w:r>
    </w:p>
    <w:p w14:paraId="0220C23B">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2.7“实质性要求”是指招标文件中已经指明不满足则投标无效的条款，或者不能负偏离的条款，或者采购需求中带“▲”的条款。</w:t>
      </w:r>
    </w:p>
    <w:p w14:paraId="3DC80BA8">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2.8“正偏离”，是指投标文件对招标文件“采购需求”中有关条款作出的响应优于条款要求并有利于采购人的情形。</w:t>
      </w:r>
    </w:p>
    <w:p w14:paraId="3E73FBAD">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2.9“负偏离”，是指投标文件对招标文件“采购需求”中有关条款作出的响应不满足条款要求，导致采购人要求不能得到满足的情形。</w:t>
      </w:r>
    </w:p>
    <w:p w14:paraId="028AF145">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bookmarkStart w:id="133" w:name="_Toc254970529"/>
      <w:bookmarkStart w:id="134" w:name="_Toc254970670"/>
    </w:p>
    <w:p w14:paraId="27569A3E">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w:t>
      </w:r>
      <w:bookmarkEnd w:id="133"/>
      <w:bookmarkEnd w:id="134"/>
      <w:r>
        <w:rPr>
          <w:rFonts w:hint="eastAsia" w:ascii="宋体" w:hAnsi="宋体" w:cs="宋体"/>
          <w:color w:val="auto"/>
          <w:sz w:val="21"/>
          <w:szCs w:val="21"/>
          <w:highlight w:val="none"/>
        </w:rPr>
        <w:t>投标人的资格要求</w:t>
      </w:r>
    </w:p>
    <w:p w14:paraId="4067FC84">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投标人的资格要求详见“投标人须知前附表”。</w:t>
      </w:r>
    </w:p>
    <w:p w14:paraId="704F2313">
      <w:pPr>
        <w:pStyle w:val="8"/>
        <w:keepNext w:val="0"/>
        <w:keepLines w:val="0"/>
        <w:spacing w:before="0" w:after="0" w:line="400" w:lineRule="exact"/>
        <w:rPr>
          <w:rFonts w:hint="eastAsia" w:ascii="宋体" w:hAnsi="宋体" w:cs="宋体"/>
          <w:color w:val="auto"/>
          <w:sz w:val="21"/>
          <w:szCs w:val="21"/>
          <w:highlight w:val="none"/>
        </w:rPr>
      </w:pPr>
      <w:bookmarkStart w:id="135" w:name="_Toc254970530"/>
      <w:bookmarkStart w:id="136" w:name="_Toc254970671"/>
      <w:r>
        <w:rPr>
          <w:rFonts w:hint="eastAsia" w:ascii="宋体" w:hAnsi="宋体" w:cs="宋体"/>
          <w:color w:val="auto"/>
          <w:sz w:val="21"/>
          <w:szCs w:val="21"/>
          <w:highlight w:val="none"/>
        </w:rPr>
        <w:t>4.投标委托</w:t>
      </w:r>
      <w:bookmarkEnd w:id="135"/>
      <w:bookmarkEnd w:id="136"/>
    </w:p>
    <w:p w14:paraId="270188EA">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投标人代表参加投标活动过程中必须携带个人有效身份证件。如投标人代表不是法定代表人，须持有授权委托书（按第六章要求格式填写）。</w:t>
      </w:r>
    </w:p>
    <w:p w14:paraId="00EE39FA">
      <w:pPr>
        <w:pStyle w:val="8"/>
        <w:keepNext w:val="0"/>
        <w:keepLines w:val="0"/>
        <w:spacing w:before="0" w:after="0" w:line="400" w:lineRule="exact"/>
        <w:rPr>
          <w:rFonts w:hint="eastAsia" w:ascii="宋体" w:hAnsi="宋体" w:cs="宋体"/>
          <w:color w:val="auto"/>
          <w:sz w:val="21"/>
          <w:szCs w:val="21"/>
          <w:highlight w:val="none"/>
        </w:rPr>
      </w:pPr>
      <w:bookmarkStart w:id="137" w:name="_5.投标费用"/>
      <w:bookmarkEnd w:id="137"/>
      <w:bookmarkStart w:id="138" w:name="_Toc254970531"/>
      <w:bookmarkStart w:id="139" w:name="_Toc254970672"/>
      <w:r>
        <w:rPr>
          <w:rFonts w:hint="eastAsia" w:ascii="宋体" w:hAnsi="宋体" w:cs="宋体"/>
          <w:color w:val="auto"/>
          <w:sz w:val="21"/>
          <w:szCs w:val="21"/>
          <w:highlight w:val="none"/>
        </w:rPr>
        <w:t>5.投标费用</w:t>
      </w:r>
      <w:bookmarkEnd w:id="138"/>
      <w:bookmarkEnd w:id="139"/>
    </w:p>
    <w:p w14:paraId="4E32CB71">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0DB37A8F">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6.联合体投标</w:t>
      </w:r>
    </w:p>
    <w:p w14:paraId="397169FC">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6.1本项目是否接受联合体投标，详见“投标人须知前附表”。</w:t>
      </w:r>
    </w:p>
    <w:p w14:paraId="4EFBBE90">
      <w:pPr>
        <w:snapToGrid w:val="0"/>
        <w:spacing w:line="400" w:lineRule="exact"/>
        <w:ind w:firstLine="420" w:firstLineChars="200"/>
        <w:jc w:val="left"/>
        <w:rPr>
          <w:rFonts w:hint="eastAsia" w:ascii="宋体" w:hAnsi="宋体" w:cs="宋体"/>
          <w:bCs/>
          <w:color w:val="auto"/>
          <w:szCs w:val="21"/>
          <w:highlight w:val="none"/>
        </w:rPr>
      </w:pPr>
      <w:r>
        <w:rPr>
          <w:rFonts w:hint="eastAsia" w:ascii="宋体" w:hAnsi="宋体" w:cs="宋体"/>
          <w:bCs/>
          <w:color w:val="auto"/>
          <w:szCs w:val="21"/>
          <w:highlight w:val="none"/>
        </w:rPr>
        <w:t>6.2如接受联合体投标，联合体投标要求详见“投标人须知前附表”。</w:t>
      </w:r>
    </w:p>
    <w:p w14:paraId="2ACA883C">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7.转包与分包</w:t>
      </w:r>
    </w:p>
    <w:p w14:paraId="36D92B2E">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bookmarkStart w:id="140" w:name="_Toc254970673"/>
      <w:bookmarkStart w:id="141" w:name="_Toc254970532"/>
      <w:r>
        <w:rPr>
          <w:rFonts w:hint="eastAsia" w:ascii="宋体" w:hAnsi="宋体" w:cs="宋体"/>
          <w:b w:val="0"/>
          <w:color w:val="auto"/>
          <w:sz w:val="21"/>
          <w:szCs w:val="21"/>
          <w:highlight w:val="none"/>
        </w:rPr>
        <w:t>7.1本项目不允许转包。</w:t>
      </w:r>
    </w:p>
    <w:p w14:paraId="445A6531">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5AE8EEB4">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7.3投标人根据招标文件的规定和采购项目的实际情况，拟在中标后将中标项目的非主体、非关键性工作分包的，应当在投标文件中载明分包承担主体，分包承担主体应当具备相应资质条件且不得再次分包。</w:t>
      </w:r>
    </w:p>
    <w:p w14:paraId="351A4A6E">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8.特别说明</w:t>
      </w:r>
      <w:bookmarkEnd w:id="140"/>
      <w:bookmarkEnd w:id="141"/>
    </w:p>
    <w:p w14:paraId="4CA62C09">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8.1如果本招标文件要求提供投标人或制造商的资格、信誉、荣誉、业绩与企业认证等材料的，资格、信誉、荣誉、业绩与企业认证等必须为投标人或者制造商所拥有或自身获得。</w:t>
      </w:r>
    </w:p>
    <w:p w14:paraId="1DF43973">
      <w:pPr>
        <w:pStyle w:val="8"/>
        <w:keepNext w:val="0"/>
        <w:keepLines w:val="0"/>
        <w:spacing w:before="0" w:after="0" w:line="400" w:lineRule="exact"/>
        <w:ind w:firstLine="367" w:firstLineChars="175"/>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8.2投标人应仔细阅读招标文件的所有内容，按照招标文件的要求提交投标文件，并对所提供的全部资料的真实性承担法律责任。</w:t>
      </w:r>
    </w:p>
    <w:p w14:paraId="3D4CC4FF">
      <w:pPr>
        <w:pStyle w:val="8"/>
        <w:keepNext w:val="0"/>
        <w:keepLines w:val="0"/>
        <w:spacing w:before="0" w:after="0" w:line="400" w:lineRule="exact"/>
        <w:ind w:firstLine="367" w:firstLineChars="175"/>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8.3投标人在投标活动中提供任何虚假材料，将报监管部门查处；中标后发现的，中标人须依照《中华人民共和国消费者权益保护法》规定赔偿采购人，且民事赔偿并不免除违法投标人的行政与刑事责任。</w:t>
      </w:r>
    </w:p>
    <w:p w14:paraId="452E4AC5">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9.回避与串通投标</w:t>
      </w:r>
    </w:p>
    <w:p w14:paraId="1BF74322">
      <w:pPr>
        <w:pStyle w:val="8"/>
        <w:keepNext w:val="0"/>
        <w:keepLines w:val="0"/>
        <w:spacing w:before="0" w:after="0" w:line="400" w:lineRule="exact"/>
        <w:ind w:firstLine="367" w:firstLineChars="175"/>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9.1在政府采购活动中，采购人员及相关人员与供应商有下列利害关系之一的，应当回避：</w:t>
      </w:r>
    </w:p>
    <w:p w14:paraId="77D7217A">
      <w:pPr>
        <w:pStyle w:val="43"/>
        <w:snapToGrid w:val="0"/>
        <w:spacing w:line="400" w:lineRule="exact"/>
        <w:ind w:firstLine="420" w:firstLineChars="200"/>
        <w:rPr>
          <w:rFonts w:hint="eastAsia" w:hAnsi="宋体" w:cs="宋体"/>
          <w:color w:val="auto"/>
          <w:kern w:val="2"/>
          <w:sz w:val="21"/>
          <w:highlight w:val="none"/>
        </w:rPr>
      </w:pPr>
      <w:r>
        <w:rPr>
          <w:rFonts w:hint="eastAsia" w:hAnsi="宋体" w:cs="宋体"/>
          <w:color w:val="auto"/>
          <w:kern w:val="2"/>
          <w:sz w:val="21"/>
          <w:highlight w:val="none"/>
        </w:rPr>
        <w:t>（1）参加采购活动前3年内与供应商存在劳动关系；</w:t>
      </w:r>
    </w:p>
    <w:p w14:paraId="132C3305">
      <w:pPr>
        <w:pStyle w:val="43"/>
        <w:snapToGrid w:val="0"/>
        <w:spacing w:line="400" w:lineRule="exact"/>
        <w:ind w:firstLine="420" w:firstLineChars="200"/>
        <w:rPr>
          <w:rFonts w:hint="eastAsia" w:hAnsi="宋体" w:cs="宋体"/>
          <w:color w:val="auto"/>
          <w:kern w:val="2"/>
          <w:sz w:val="21"/>
          <w:highlight w:val="none"/>
        </w:rPr>
      </w:pPr>
      <w:r>
        <w:rPr>
          <w:rFonts w:hint="eastAsia" w:hAnsi="宋体" w:cs="宋体"/>
          <w:color w:val="auto"/>
          <w:kern w:val="2"/>
          <w:sz w:val="21"/>
          <w:highlight w:val="none"/>
        </w:rPr>
        <w:t>（2）参加采购活动前3年内担任供应商的董事、监事；</w:t>
      </w:r>
    </w:p>
    <w:p w14:paraId="21ADF74C">
      <w:pPr>
        <w:pStyle w:val="43"/>
        <w:snapToGrid w:val="0"/>
        <w:spacing w:line="400" w:lineRule="exact"/>
        <w:ind w:firstLine="420" w:firstLineChars="200"/>
        <w:rPr>
          <w:rFonts w:hint="eastAsia" w:hAnsi="宋体" w:cs="宋体"/>
          <w:color w:val="auto"/>
          <w:kern w:val="2"/>
          <w:sz w:val="21"/>
          <w:highlight w:val="none"/>
        </w:rPr>
      </w:pPr>
      <w:r>
        <w:rPr>
          <w:rFonts w:hint="eastAsia" w:hAnsi="宋体" w:cs="宋体"/>
          <w:color w:val="auto"/>
          <w:kern w:val="2"/>
          <w:sz w:val="21"/>
          <w:highlight w:val="none"/>
        </w:rPr>
        <w:t>（3）参加采购活动前3年内是供应商的控股股东或者实际控制人；</w:t>
      </w:r>
    </w:p>
    <w:p w14:paraId="29F4E618">
      <w:pPr>
        <w:pStyle w:val="43"/>
        <w:snapToGrid w:val="0"/>
        <w:spacing w:line="400" w:lineRule="exact"/>
        <w:ind w:firstLine="420" w:firstLineChars="200"/>
        <w:rPr>
          <w:rFonts w:hint="eastAsia" w:hAnsi="宋体" w:cs="宋体"/>
          <w:color w:val="auto"/>
          <w:kern w:val="2"/>
          <w:sz w:val="21"/>
          <w:highlight w:val="none"/>
        </w:rPr>
      </w:pPr>
      <w:r>
        <w:rPr>
          <w:rFonts w:hint="eastAsia" w:hAnsi="宋体" w:cs="宋体"/>
          <w:color w:val="auto"/>
          <w:kern w:val="2"/>
          <w:sz w:val="21"/>
          <w:highlight w:val="none"/>
        </w:rPr>
        <w:t>（4）与供应商的法定代表人或者负责人有夫妻、直系血亲、三代以内旁系血亲或者近姻亲关系；</w:t>
      </w:r>
    </w:p>
    <w:p w14:paraId="332BE523">
      <w:pPr>
        <w:pStyle w:val="43"/>
        <w:snapToGrid w:val="0"/>
        <w:spacing w:line="400" w:lineRule="exact"/>
        <w:ind w:firstLine="420" w:firstLineChars="200"/>
        <w:rPr>
          <w:rFonts w:hint="eastAsia" w:hAnsi="宋体" w:cs="宋体"/>
          <w:color w:val="auto"/>
          <w:kern w:val="2"/>
          <w:sz w:val="21"/>
          <w:highlight w:val="none"/>
        </w:rPr>
      </w:pPr>
      <w:r>
        <w:rPr>
          <w:rFonts w:hint="eastAsia" w:hAnsi="宋体" w:cs="宋体"/>
          <w:color w:val="auto"/>
          <w:kern w:val="2"/>
          <w:sz w:val="21"/>
          <w:highlight w:val="none"/>
        </w:rPr>
        <w:t>（5）与供应商有其他可能影响政府采购活动公平、公正进行的关系。</w:t>
      </w:r>
    </w:p>
    <w:p w14:paraId="36022EF5">
      <w:pPr>
        <w:pStyle w:val="43"/>
        <w:snapToGrid w:val="0"/>
        <w:spacing w:line="400" w:lineRule="exact"/>
        <w:ind w:firstLine="420" w:firstLineChars="200"/>
        <w:rPr>
          <w:rFonts w:hint="eastAsia" w:hAnsi="宋体" w:cs="宋体"/>
          <w:color w:val="auto"/>
          <w:kern w:val="2"/>
          <w:sz w:val="21"/>
          <w:highlight w:val="none"/>
        </w:rPr>
      </w:pPr>
      <w:r>
        <w:rPr>
          <w:rFonts w:hint="eastAsia" w:hAnsi="宋体" w:cs="宋体"/>
          <w:color w:val="auto"/>
          <w:kern w:val="2"/>
          <w:sz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0CD02C2C">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9.2有下列情形之一的视为投标人相互串通投标，投标文件将被视为无效：</w:t>
      </w:r>
    </w:p>
    <w:p w14:paraId="293B4C2F">
      <w:pPr>
        <w:pStyle w:val="43"/>
        <w:snapToGrid w:val="0"/>
        <w:spacing w:line="400" w:lineRule="exact"/>
        <w:ind w:firstLine="422" w:firstLineChars="200"/>
        <w:rPr>
          <w:rFonts w:hint="eastAsia" w:hAnsi="宋体" w:cs="宋体"/>
          <w:b/>
          <w:color w:val="auto"/>
          <w:kern w:val="2"/>
          <w:sz w:val="21"/>
          <w:highlight w:val="none"/>
        </w:rPr>
      </w:pPr>
      <w:r>
        <w:rPr>
          <w:rFonts w:hint="eastAsia" w:hAnsi="宋体" w:cs="宋体"/>
          <w:b/>
          <w:color w:val="auto"/>
          <w:kern w:val="2"/>
          <w:sz w:val="21"/>
          <w:highlight w:val="none"/>
        </w:rPr>
        <w:t>（1）不同投标人的投标文件由同一单位或者个人编制；</w:t>
      </w:r>
    </w:p>
    <w:p w14:paraId="62E66364">
      <w:pPr>
        <w:pStyle w:val="43"/>
        <w:snapToGrid w:val="0"/>
        <w:spacing w:line="400" w:lineRule="exact"/>
        <w:ind w:firstLine="422" w:firstLineChars="200"/>
        <w:rPr>
          <w:rFonts w:hint="eastAsia" w:hAnsi="宋体" w:cs="宋体"/>
          <w:b/>
          <w:color w:val="auto"/>
          <w:kern w:val="2"/>
          <w:sz w:val="21"/>
          <w:highlight w:val="none"/>
        </w:rPr>
      </w:pPr>
      <w:r>
        <w:rPr>
          <w:rFonts w:hint="eastAsia" w:hAnsi="宋体" w:cs="宋体"/>
          <w:b/>
          <w:color w:val="auto"/>
          <w:kern w:val="2"/>
          <w:sz w:val="21"/>
          <w:highlight w:val="none"/>
        </w:rPr>
        <w:t>（2）不同投标人委托同一单位或者个人办理投标事宜；</w:t>
      </w:r>
    </w:p>
    <w:p w14:paraId="3B7FD5A2">
      <w:pPr>
        <w:pStyle w:val="43"/>
        <w:snapToGrid w:val="0"/>
        <w:spacing w:line="400" w:lineRule="exact"/>
        <w:ind w:firstLine="422" w:firstLineChars="200"/>
        <w:rPr>
          <w:rFonts w:hint="eastAsia" w:hAnsi="宋体" w:cs="宋体"/>
          <w:b/>
          <w:color w:val="auto"/>
          <w:kern w:val="2"/>
          <w:sz w:val="21"/>
          <w:highlight w:val="none"/>
        </w:rPr>
      </w:pPr>
      <w:r>
        <w:rPr>
          <w:rFonts w:hint="eastAsia" w:hAnsi="宋体" w:cs="宋体"/>
          <w:b/>
          <w:color w:val="auto"/>
          <w:kern w:val="2"/>
          <w:sz w:val="21"/>
          <w:highlight w:val="none"/>
        </w:rPr>
        <w:t>（3）不同的投标人的投标文件载明的项目管理员为同一个人；</w:t>
      </w:r>
    </w:p>
    <w:p w14:paraId="32338DAE">
      <w:pPr>
        <w:pStyle w:val="43"/>
        <w:snapToGrid w:val="0"/>
        <w:spacing w:line="400" w:lineRule="exact"/>
        <w:ind w:firstLine="422" w:firstLineChars="200"/>
        <w:rPr>
          <w:rFonts w:hint="eastAsia" w:hAnsi="宋体" w:cs="宋体"/>
          <w:b/>
          <w:color w:val="auto"/>
          <w:kern w:val="2"/>
          <w:sz w:val="21"/>
          <w:highlight w:val="none"/>
        </w:rPr>
      </w:pPr>
      <w:r>
        <w:rPr>
          <w:rFonts w:hint="eastAsia" w:hAnsi="宋体" w:cs="宋体"/>
          <w:b/>
          <w:color w:val="auto"/>
          <w:kern w:val="2"/>
          <w:sz w:val="21"/>
          <w:highlight w:val="none"/>
        </w:rPr>
        <w:t>（4）不同投标人的投标文件异常一致或者投标报价呈规律性差异；</w:t>
      </w:r>
    </w:p>
    <w:p w14:paraId="7ECF2047">
      <w:pPr>
        <w:pStyle w:val="43"/>
        <w:snapToGrid w:val="0"/>
        <w:spacing w:line="400" w:lineRule="exact"/>
        <w:ind w:firstLine="422" w:firstLineChars="200"/>
        <w:rPr>
          <w:rFonts w:hint="eastAsia" w:hAnsi="宋体" w:cs="宋体"/>
          <w:b/>
          <w:color w:val="auto"/>
          <w:kern w:val="2"/>
          <w:sz w:val="21"/>
          <w:highlight w:val="none"/>
        </w:rPr>
      </w:pPr>
      <w:r>
        <w:rPr>
          <w:rFonts w:hint="eastAsia" w:hAnsi="宋体" w:cs="宋体"/>
          <w:b/>
          <w:color w:val="auto"/>
          <w:kern w:val="2"/>
          <w:sz w:val="21"/>
          <w:highlight w:val="none"/>
        </w:rPr>
        <w:t>（5）不同投标人的投标文件相互混装；</w:t>
      </w:r>
    </w:p>
    <w:p w14:paraId="6B163C5A">
      <w:pPr>
        <w:pStyle w:val="43"/>
        <w:snapToGrid w:val="0"/>
        <w:spacing w:line="400" w:lineRule="exact"/>
        <w:ind w:firstLine="422" w:firstLineChars="200"/>
        <w:rPr>
          <w:rFonts w:hint="eastAsia" w:hAnsi="宋体" w:cs="宋体"/>
          <w:b/>
          <w:color w:val="auto"/>
          <w:kern w:val="2"/>
          <w:sz w:val="21"/>
          <w:highlight w:val="none"/>
        </w:rPr>
      </w:pPr>
      <w:r>
        <w:rPr>
          <w:rFonts w:hint="eastAsia" w:hAnsi="宋体" w:cs="宋体"/>
          <w:b/>
          <w:color w:val="auto"/>
          <w:kern w:val="2"/>
          <w:sz w:val="21"/>
          <w:highlight w:val="none"/>
        </w:rPr>
        <w:t>（6）不同投标人的投标保证金从同一单位或者个人账户转出。</w:t>
      </w:r>
    </w:p>
    <w:p w14:paraId="4F162C93">
      <w:pPr>
        <w:pStyle w:val="8"/>
        <w:keepNext w:val="0"/>
        <w:keepLines w:val="0"/>
        <w:spacing w:before="0" w:after="0" w:line="400" w:lineRule="exact"/>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9.3供应商有下列情形之一的，属于恶意串通行为，将报同级监督管理部门：</w:t>
      </w:r>
    </w:p>
    <w:p w14:paraId="20B8E230">
      <w:pPr>
        <w:pStyle w:val="43"/>
        <w:snapToGrid w:val="0"/>
        <w:spacing w:line="400" w:lineRule="exact"/>
        <w:ind w:firstLine="420" w:firstLineChars="200"/>
        <w:rPr>
          <w:rFonts w:hint="eastAsia" w:hAnsi="宋体" w:cs="宋体"/>
          <w:color w:val="auto"/>
          <w:kern w:val="2"/>
          <w:sz w:val="21"/>
          <w:highlight w:val="none"/>
        </w:rPr>
      </w:pPr>
      <w:r>
        <w:rPr>
          <w:rFonts w:hint="eastAsia" w:hAnsi="宋体" w:cs="宋体"/>
          <w:color w:val="auto"/>
          <w:kern w:val="2"/>
          <w:sz w:val="21"/>
          <w:highlight w:val="none"/>
        </w:rPr>
        <w:t>（1）供应商直接或者间接从采购人或者采购代理机构处获得其他供应商的相关信息并修改其投标文件或者响应文件；</w:t>
      </w:r>
    </w:p>
    <w:p w14:paraId="6FCA1CA8">
      <w:pPr>
        <w:pStyle w:val="43"/>
        <w:snapToGrid w:val="0"/>
        <w:spacing w:line="400" w:lineRule="exact"/>
        <w:ind w:firstLine="420" w:firstLineChars="200"/>
        <w:rPr>
          <w:rFonts w:hint="eastAsia" w:hAnsi="宋体" w:cs="宋体"/>
          <w:color w:val="auto"/>
          <w:kern w:val="2"/>
          <w:sz w:val="21"/>
          <w:highlight w:val="none"/>
        </w:rPr>
      </w:pPr>
      <w:r>
        <w:rPr>
          <w:rFonts w:hint="eastAsia" w:hAnsi="宋体" w:cs="宋体"/>
          <w:color w:val="auto"/>
          <w:kern w:val="2"/>
          <w:sz w:val="21"/>
          <w:highlight w:val="none"/>
        </w:rPr>
        <w:t>（2）供应商按照采购人或者采购代理机构的授意撤换、修改投标文件或者响应文件；</w:t>
      </w:r>
    </w:p>
    <w:p w14:paraId="37BA5557">
      <w:pPr>
        <w:pStyle w:val="43"/>
        <w:snapToGrid w:val="0"/>
        <w:spacing w:line="400" w:lineRule="exact"/>
        <w:ind w:firstLine="420" w:firstLineChars="200"/>
        <w:rPr>
          <w:rFonts w:hint="eastAsia" w:hAnsi="宋体" w:cs="宋体"/>
          <w:color w:val="auto"/>
          <w:kern w:val="2"/>
          <w:sz w:val="21"/>
          <w:highlight w:val="none"/>
        </w:rPr>
      </w:pPr>
      <w:r>
        <w:rPr>
          <w:rFonts w:hint="eastAsia" w:hAnsi="宋体" w:cs="宋体"/>
          <w:color w:val="auto"/>
          <w:kern w:val="2"/>
          <w:sz w:val="21"/>
          <w:highlight w:val="none"/>
        </w:rPr>
        <w:t>（3）供应商之间协商报价、技术方案等投标文件或者响应文件的实质性内容；</w:t>
      </w:r>
    </w:p>
    <w:p w14:paraId="0268AB46">
      <w:pPr>
        <w:pStyle w:val="43"/>
        <w:snapToGrid w:val="0"/>
        <w:spacing w:line="400" w:lineRule="exact"/>
        <w:ind w:firstLine="420" w:firstLineChars="200"/>
        <w:rPr>
          <w:rFonts w:hint="eastAsia" w:hAnsi="宋体" w:cs="宋体"/>
          <w:color w:val="auto"/>
          <w:kern w:val="2"/>
          <w:sz w:val="21"/>
          <w:highlight w:val="none"/>
        </w:rPr>
      </w:pPr>
      <w:r>
        <w:rPr>
          <w:rFonts w:hint="eastAsia" w:hAnsi="宋体" w:cs="宋体"/>
          <w:color w:val="auto"/>
          <w:kern w:val="2"/>
          <w:sz w:val="21"/>
          <w:highlight w:val="none"/>
        </w:rPr>
        <w:t>（4）属于同一集团、协会、商会等组织成员的供应商按照该组织要求协同参加政府采购活动；</w:t>
      </w:r>
    </w:p>
    <w:p w14:paraId="047F468B">
      <w:pPr>
        <w:pStyle w:val="43"/>
        <w:snapToGrid w:val="0"/>
        <w:spacing w:line="400" w:lineRule="exact"/>
        <w:ind w:firstLine="420" w:firstLineChars="200"/>
        <w:rPr>
          <w:rFonts w:hint="eastAsia" w:hAnsi="宋体" w:cs="宋体"/>
          <w:color w:val="auto"/>
          <w:kern w:val="2"/>
          <w:sz w:val="21"/>
          <w:highlight w:val="none"/>
        </w:rPr>
      </w:pPr>
      <w:r>
        <w:rPr>
          <w:rFonts w:hint="eastAsia" w:hAnsi="宋体" w:cs="宋体"/>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21C1F920">
      <w:pPr>
        <w:pStyle w:val="43"/>
        <w:snapToGrid w:val="0"/>
        <w:spacing w:line="400" w:lineRule="exact"/>
        <w:ind w:firstLine="420" w:firstLineChars="200"/>
        <w:rPr>
          <w:rFonts w:hint="eastAsia" w:hAnsi="宋体" w:cs="宋体"/>
          <w:color w:val="auto"/>
          <w:kern w:val="2"/>
          <w:sz w:val="21"/>
          <w:highlight w:val="none"/>
        </w:rPr>
      </w:pPr>
      <w:r>
        <w:rPr>
          <w:rFonts w:hint="eastAsia" w:hAnsi="宋体" w:cs="宋体"/>
          <w:color w:val="auto"/>
          <w:kern w:val="2"/>
          <w:sz w:val="21"/>
          <w:highlight w:val="none"/>
        </w:rPr>
        <w:t>（6）供应商之间商定部分供应商放弃参加政府采购活动或者放弃中标；</w:t>
      </w:r>
    </w:p>
    <w:p w14:paraId="297EF4B1">
      <w:pPr>
        <w:pStyle w:val="43"/>
        <w:snapToGrid w:val="0"/>
        <w:spacing w:line="400" w:lineRule="exact"/>
        <w:ind w:firstLine="420" w:firstLineChars="200"/>
        <w:rPr>
          <w:rFonts w:hint="eastAsia" w:hAnsi="宋体" w:cs="宋体"/>
          <w:color w:val="auto"/>
          <w:kern w:val="2"/>
          <w:sz w:val="21"/>
          <w:highlight w:val="none"/>
        </w:rPr>
      </w:pPr>
      <w:r>
        <w:rPr>
          <w:rFonts w:hint="eastAsia" w:hAnsi="宋体" w:cs="宋体"/>
          <w:color w:val="auto"/>
          <w:kern w:val="2"/>
          <w:sz w:val="21"/>
          <w:highlight w:val="none"/>
        </w:rPr>
        <w:t>（7）供应商与采购人或者采购代理机构之间、供应商相互之间，为谋求特定供应商中标或者排斥其他供应商的其他串通行为。</w:t>
      </w:r>
    </w:p>
    <w:p w14:paraId="067DFE1D">
      <w:pPr>
        <w:pStyle w:val="6"/>
        <w:keepNext w:val="0"/>
        <w:keepLines w:val="0"/>
        <w:spacing w:before="0" w:after="0" w:line="400" w:lineRule="exact"/>
        <w:jc w:val="center"/>
        <w:rPr>
          <w:rFonts w:hint="eastAsia" w:ascii="宋体" w:hAnsi="宋体" w:cs="宋体"/>
          <w:color w:val="auto"/>
          <w:sz w:val="21"/>
          <w:szCs w:val="21"/>
          <w:highlight w:val="none"/>
        </w:rPr>
      </w:pPr>
      <w:bookmarkStart w:id="142" w:name="_Toc254970534"/>
      <w:bookmarkStart w:id="143" w:name="_Toc254970675"/>
      <w:r>
        <w:rPr>
          <w:rFonts w:hint="eastAsia" w:ascii="宋体" w:hAnsi="宋体" w:cs="宋体"/>
          <w:color w:val="auto"/>
          <w:sz w:val="21"/>
          <w:szCs w:val="21"/>
          <w:highlight w:val="none"/>
        </w:rPr>
        <w:t>二、招标文件</w:t>
      </w:r>
      <w:bookmarkEnd w:id="142"/>
      <w:bookmarkEnd w:id="143"/>
    </w:p>
    <w:p w14:paraId="2A8A452A">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10.招标文件的组成</w:t>
      </w:r>
    </w:p>
    <w:p w14:paraId="158C14F2">
      <w:pPr>
        <w:snapToGrid w:val="0"/>
        <w:spacing w:line="4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（1）招标公告；</w:t>
      </w:r>
    </w:p>
    <w:p w14:paraId="3A0C37FB">
      <w:pPr>
        <w:snapToGrid w:val="0"/>
        <w:spacing w:line="4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（2）采购需求；</w:t>
      </w:r>
    </w:p>
    <w:p w14:paraId="01CC72E3">
      <w:pPr>
        <w:snapToGrid w:val="0"/>
        <w:spacing w:line="4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（3）投标人须知；</w:t>
      </w:r>
    </w:p>
    <w:p w14:paraId="1B603068">
      <w:pPr>
        <w:snapToGrid w:val="0"/>
        <w:spacing w:line="4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（4）评标方法及评标标准；</w:t>
      </w:r>
    </w:p>
    <w:p w14:paraId="542DB344">
      <w:pPr>
        <w:snapToGrid w:val="0"/>
        <w:spacing w:line="4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（5）拟签订的合同文本；</w:t>
      </w:r>
    </w:p>
    <w:p w14:paraId="78430BFF">
      <w:pPr>
        <w:snapToGrid w:val="0"/>
        <w:spacing w:line="4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（6）投标文件格式。</w:t>
      </w:r>
    </w:p>
    <w:p w14:paraId="3F301CBD">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11.招标文件的澄清、修改、现场考察和答疑会</w:t>
      </w:r>
    </w:p>
    <w:p w14:paraId="33CB561A">
      <w:pPr>
        <w:pStyle w:val="8"/>
        <w:keepNext w:val="0"/>
        <w:keepLines w:val="0"/>
        <w:spacing w:before="0" w:after="0" w:line="4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1AB2FC50">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5F864CDF">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11.2</w:t>
      </w:r>
      <w:bookmarkStart w:id="144" w:name="_Hlk53134511"/>
      <w:r>
        <w:rPr>
          <w:rFonts w:hint="eastAsia" w:hAnsi="宋体" w:cs="宋体"/>
          <w:color w:val="auto"/>
          <w:sz w:val="21"/>
          <w:highlight w:val="none"/>
        </w:rPr>
        <w:t>采购人或者采购代理机构可以在招标文件提供期限截止后，组织已获取招标文件的潜在投标人现场考察或者召开开标前答疑会，具体详见“投标人须知前附表”。</w:t>
      </w:r>
    </w:p>
    <w:bookmarkEnd w:id="144"/>
    <w:p w14:paraId="3E3FEF9D">
      <w:pPr>
        <w:pStyle w:val="6"/>
        <w:keepNext w:val="0"/>
        <w:keepLines w:val="0"/>
        <w:spacing w:before="0" w:after="0" w:line="400" w:lineRule="exact"/>
        <w:jc w:val="center"/>
        <w:rPr>
          <w:rFonts w:hint="eastAsia" w:ascii="宋体" w:hAnsi="宋体" w:cs="宋体"/>
          <w:color w:val="auto"/>
          <w:sz w:val="21"/>
          <w:szCs w:val="21"/>
          <w:highlight w:val="none"/>
        </w:rPr>
      </w:pPr>
      <w:bookmarkStart w:id="145" w:name="_Toc254970676"/>
      <w:bookmarkStart w:id="146" w:name="_Toc254970535"/>
      <w:r>
        <w:rPr>
          <w:rFonts w:hint="eastAsia" w:ascii="宋体" w:hAnsi="宋体" w:cs="宋体"/>
          <w:color w:val="auto"/>
          <w:sz w:val="21"/>
          <w:szCs w:val="21"/>
          <w:highlight w:val="none"/>
        </w:rPr>
        <w:t>三、投标文件的编制</w:t>
      </w:r>
      <w:bookmarkEnd w:id="145"/>
      <w:bookmarkEnd w:id="146"/>
    </w:p>
    <w:p w14:paraId="35D82364">
      <w:pPr>
        <w:pStyle w:val="8"/>
        <w:keepNext w:val="0"/>
        <w:keepLines w:val="0"/>
        <w:spacing w:before="0" w:after="0" w:line="400" w:lineRule="exact"/>
        <w:rPr>
          <w:rFonts w:hint="eastAsia" w:ascii="宋体" w:hAnsi="宋体" w:cs="宋体"/>
          <w:color w:val="auto"/>
          <w:sz w:val="21"/>
          <w:szCs w:val="21"/>
          <w:highlight w:val="none"/>
        </w:rPr>
      </w:pPr>
      <w:bookmarkStart w:id="147" w:name="_Toc254970677"/>
      <w:bookmarkStart w:id="148" w:name="_Toc254970536"/>
      <w:r>
        <w:rPr>
          <w:rFonts w:hint="eastAsia" w:ascii="宋体" w:hAnsi="宋体" w:cs="宋体"/>
          <w:color w:val="auto"/>
          <w:sz w:val="21"/>
          <w:szCs w:val="21"/>
          <w:highlight w:val="none"/>
        </w:rPr>
        <w:t>12.投标文件的编制原则</w:t>
      </w:r>
    </w:p>
    <w:p w14:paraId="3FD28680">
      <w:pPr>
        <w:snapToGrid w:val="0"/>
        <w:spacing w:line="400" w:lineRule="exact"/>
        <w:ind w:firstLine="420"/>
        <w:jc w:val="left"/>
        <w:rPr>
          <w:rFonts w:hint="eastAsia" w:ascii="宋体" w:hAnsi="宋体" w:cs="宋体"/>
          <w:color w:val="auto"/>
          <w:szCs w:val="21"/>
          <w:highlight w:val="none"/>
        </w:rPr>
      </w:pPr>
      <w:r>
        <w:rPr>
          <w:rFonts w:hint="eastAsia" w:ascii="宋体" w:hAnsi="宋体" w:cs="宋体"/>
          <w:color w:val="auto"/>
          <w:szCs w:val="21"/>
          <w:highlight w:val="none"/>
        </w:rPr>
        <w:t>投标人必须按照招标文件的要求编制投标文件。投标文件必须对招标文件提出的要求和条件作出明确响应。</w:t>
      </w:r>
    </w:p>
    <w:p w14:paraId="0A7EA7CE">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13.投标文件的组成</w:t>
      </w:r>
      <w:bookmarkEnd w:id="147"/>
      <w:bookmarkEnd w:id="148"/>
    </w:p>
    <w:p w14:paraId="37F8525E">
      <w:pPr>
        <w:snapToGrid w:val="0"/>
        <w:spacing w:line="40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投标文件由报价文件、资格证明文件、商务及技术文件三部分组成。</w:t>
      </w:r>
    </w:p>
    <w:p w14:paraId="4C7CB365">
      <w:pPr>
        <w:pStyle w:val="43"/>
        <w:snapToGrid w:val="0"/>
        <w:spacing w:line="400" w:lineRule="exact"/>
        <w:ind w:firstLine="420" w:firstLineChars="200"/>
        <w:rPr>
          <w:rFonts w:hint="eastAsia" w:hAnsi="宋体" w:cs="宋体"/>
          <w:color w:val="auto"/>
          <w:kern w:val="2"/>
          <w:sz w:val="21"/>
          <w:highlight w:val="none"/>
        </w:rPr>
      </w:pPr>
      <w:bookmarkStart w:id="149" w:name="_13.1报价文件:_具体材料见“投标人须知前附表”。"/>
      <w:bookmarkEnd w:id="149"/>
      <w:r>
        <w:rPr>
          <w:rFonts w:hint="eastAsia" w:hAnsi="宋体" w:cs="宋体"/>
          <w:color w:val="auto"/>
          <w:kern w:val="2"/>
          <w:sz w:val="21"/>
          <w:highlight w:val="none"/>
        </w:rPr>
        <w:t>（1）报价文件：具体材料见“投标人须知前附表”。</w:t>
      </w:r>
    </w:p>
    <w:p w14:paraId="66FAFBF6">
      <w:pPr>
        <w:pStyle w:val="43"/>
        <w:snapToGrid w:val="0"/>
        <w:spacing w:line="400" w:lineRule="exact"/>
        <w:ind w:firstLine="420" w:firstLineChars="200"/>
        <w:rPr>
          <w:rFonts w:hint="eastAsia" w:hAnsi="宋体" w:cs="宋体"/>
          <w:color w:val="auto"/>
          <w:kern w:val="2"/>
          <w:sz w:val="21"/>
          <w:highlight w:val="none"/>
        </w:rPr>
      </w:pPr>
      <w:bookmarkStart w:id="150" w:name="_13.2资格证明文件：具体材料见“投标人须知前附表”。"/>
      <w:bookmarkEnd w:id="150"/>
      <w:r>
        <w:rPr>
          <w:rFonts w:hint="eastAsia" w:hAnsi="宋体" w:cs="宋体"/>
          <w:color w:val="auto"/>
          <w:kern w:val="2"/>
          <w:sz w:val="21"/>
          <w:highlight w:val="none"/>
        </w:rPr>
        <w:t>（2）资格证明文件：具体材料见“投标人须知前附表”。</w:t>
      </w:r>
    </w:p>
    <w:p w14:paraId="45A0F724">
      <w:pPr>
        <w:pStyle w:val="43"/>
        <w:snapToGrid w:val="0"/>
        <w:spacing w:line="400" w:lineRule="exact"/>
        <w:ind w:firstLine="420" w:firstLineChars="200"/>
        <w:rPr>
          <w:rFonts w:hint="eastAsia" w:hAnsi="宋体" w:cs="宋体"/>
          <w:color w:val="auto"/>
          <w:kern w:val="2"/>
          <w:sz w:val="21"/>
          <w:highlight w:val="none"/>
        </w:rPr>
      </w:pPr>
      <w:bookmarkStart w:id="151" w:name="_13.3商务文件:_具体材料见“投标人须知前附表”。"/>
      <w:bookmarkEnd w:id="151"/>
      <w:r>
        <w:rPr>
          <w:rFonts w:hint="eastAsia" w:hAnsi="宋体" w:cs="宋体"/>
          <w:color w:val="auto"/>
          <w:kern w:val="2"/>
          <w:sz w:val="21"/>
          <w:highlight w:val="none"/>
        </w:rPr>
        <w:t>（3）商务及技术文件：具体材料见“投标人须知前附表”。</w:t>
      </w:r>
    </w:p>
    <w:p w14:paraId="4B35F3B3">
      <w:pPr>
        <w:pStyle w:val="8"/>
        <w:keepNext w:val="0"/>
        <w:keepLines w:val="0"/>
        <w:spacing w:before="0" w:after="0" w:line="400" w:lineRule="exact"/>
        <w:rPr>
          <w:rFonts w:hint="eastAsia" w:ascii="宋体" w:hAnsi="宋体" w:cs="宋体"/>
          <w:color w:val="auto"/>
          <w:sz w:val="21"/>
          <w:szCs w:val="21"/>
          <w:highlight w:val="none"/>
        </w:rPr>
      </w:pPr>
      <w:bookmarkStart w:id="152" w:name="_13.5投标文件电子版：具体材料见“投标人须知前附表”。"/>
      <w:bookmarkEnd w:id="152"/>
      <w:bookmarkStart w:id="153" w:name="_13.4技术文件：具体材料见“投标人须知前附表”。"/>
      <w:bookmarkEnd w:id="153"/>
      <w:bookmarkStart w:id="154" w:name="_Toc254970678"/>
      <w:bookmarkStart w:id="155" w:name="_Toc254970537"/>
      <w:r>
        <w:rPr>
          <w:rFonts w:hint="eastAsia" w:ascii="宋体" w:hAnsi="宋体" w:cs="宋体"/>
          <w:color w:val="auto"/>
          <w:sz w:val="21"/>
          <w:szCs w:val="21"/>
          <w:highlight w:val="none"/>
        </w:rPr>
        <w:t>14.投标文件的语言及计量</w:t>
      </w:r>
      <w:bookmarkEnd w:id="154"/>
      <w:bookmarkEnd w:id="155"/>
    </w:p>
    <w:p w14:paraId="6FD2E8C6">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14.1语言文字</w:t>
      </w:r>
    </w:p>
    <w:p w14:paraId="0938F077">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686DB482">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14.2投标计量单位</w:t>
      </w:r>
    </w:p>
    <w:p w14:paraId="53B2D0AB">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招标文件已有明确规定的，使用招标文件规定的计量单位；招标文件没有规定的，应采用中华人民共和国法定计量单位，货币种类为人民币</w:t>
      </w:r>
      <w:r>
        <w:rPr>
          <w:rFonts w:hint="eastAsia" w:ascii="宋体" w:hAnsi="宋体" w:cs="宋体"/>
          <w:bCs/>
          <w:color w:val="auto"/>
          <w:sz w:val="21"/>
          <w:szCs w:val="21"/>
          <w:highlight w:val="none"/>
        </w:rPr>
        <w:t>，否则视同未响应。</w:t>
      </w:r>
    </w:p>
    <w:p w14:paraId="0DFC0A1D">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15.投标的风险</w:t>
      </w:r>
    </w:p>
    <w:p w14:paraId="191CB3C8">
      <w:pPr>
        <w:pStyle w:val="43"/>
        <w:snapToGrid w:val="0"/>
        <w:spacing w:line="400" w:lineRule="exact"/>
        <w:ind w:firstLine="420" w:firstLineChars="200"/>
        <w:jc w:val="left"/>
        <w:rPr>
          <w:rFonts w:hint="eastAsia" w:hAnsi="宋体" w:cs="宋体"/>
          <w:color w:val="auto"/>
          <w:sz w:val="21"/>
          <w:highlight w:val="none"/>
        </w:rPr>
      </w:pPr>
      <w:r>
        <w:rPr>
          <w:rFonts w:hint="eastAsia" w:hAnsi="宋体" w:cs="宋体"/>
          <w:color w:val="auto"/>
          <w:sz w:val="21"/>
          <w:highlight w:val="none"/>
        </w:rPr>
        <w:t>投标人没有按照招标文件要求提供全部资料，或者投标人没有对招标文件作出实质性响应是投标人的风险，并可能导致其投标被拒绝。</w:t>
      </w:r>
    </w:p>
    <w:p w14:paraId="7D29D0CD">
      <w:pPr>
        <w:pStyle w:val="8"/>
        <w:keepNext w:val="0"/>
        <w:keepLines w:val="0"/>
        <w:spacing w:before="0" w:after="0" w:line="400" w:lineRule="exact"/>
        <w:rPr>
          <w:rFonts w:hint="eastAsia" w:ascii="宋体" w:hAnsi="宋体" w:cs="宋体"/>
          <w:color w:val="auto"/>
          <w:sz w:val="21"/>
          <w:szCs w:val="21"/>
          <w:highlight w:val="none"/>
        </w:rPr>
      </w:pPr>
      <w:bookmarkStart w:id="156" w:name="_Toc254970679"/>
      <w:bookmarkStart w:id="157" w:name="_Toc254970538"/>
      <w:r>
        <w:rPr>
          <w:rFonts w:hint="eastAsia" w:ascii="宋体" w:hAnsi="宋体" w:cs="宋体"/>
          <w:color w:val="auto"/>
          <w:sz w:val="21"/>
          <w:szCs w:val="21"/>
          <w:highlight w:val="none"/>
        </w:rPr>
        <w:t>16.投标报价</w:t>
      </w:r>
      <w:bookmarkEnd w:id="156"/>
      <w:bookmarkEnd w:id="157"/>
    </w:p>
    <w:p w14:paraId="483C3DCF">
      <w:pPr>
        <w:pStyle w:val="8"/>
        <w:keepNext w:val="0"/>
        <w:keepLines w:val="0"/>
        <w:spacing w:before="0" w:after="0" w:line="400" w:lineRule="exact"/>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16.1投标报价应按“第六章投标文件格式”中“开标一览表”格式填写。</w:t>
      </w:r>
    </w:p>
    <w:p w14:paraId="4A1C196C">
      <w:pPr>
        <w:pStyle w:val="8"/>
        <w:keepNext w:val="0"/>
        <w:keepLines w:val="0"/>
        <w:spacing w:before="0" w:after="0" w:line="400" w:lineRule="exact"/>
        <w:rPr>
          <w:rFonts w:hint="eastAsia" w:ascii="宋体" w:hAnsi="宋体" w:cs="宋体"/>
          <w:b w:val="0"/>
          <w:color w:val="auto"/>
          <w:sz w:val="21"/>
          <w:szCs w:val="21"/>
          <w:highlight w:val="none"/>
        </w:rPr>
      </w:pPr>
      <w:bookmarkStart w:id="158" w:name="_16.2投标报价具体定义见投标人须知前附表。"/>
      <w:bookmarkEnd w:id="158"/>
      <w:r>
        <w:rPr>
          <w:rFonts w:hint="eastAsia" w:ascii="宋体" w:hAnsi="宋体" w:cs="宋体"/>
          <w:b w:val="0"/>
          <w:color w:val="auto"/>
          <w:sz w:val="21"/>
          <w:szCs w:val="21"/>
          <w:highlight w:val="none"/>
        </w:rPr>
        <w:t>16.2投标报价具体包括内容详见“投标人须知前附表”。</w:t>
      </w:r>
    </w:p>
    <w:p w14:paraId="33081B4D">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16.3投标人必须就所投每个分标的全部内容分别作完整唯一总价报价，不得存在漏项报价；投标人必须就所投分标的单项内容作唯一报价。</w:t>
      </w:r>
    </w:p>
    <w:p w14:paraId="590C355C">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17.投标有效期</w:t>
      </w:r>
    </w:p>
    <w:p w14:paraId="4467E2D6">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bookmarkStart w:id="159" w:name="_17.1投标有效期应按“投标人须知中的前附表”规定的期限。"/>
      <w:bookmarkEnd w:id="159"/>
      <w:r>
        <w:rPr>
          <w:rFonts w:hint="eastAsia" w:ascii="宋体" w:hAnsi="宋体" w:cs="宋体"/>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60761278">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17.2</w:t>
      </w:r>
      <w:bookmarkStart w:id="160" w:name="_Toc254970540"/>
      <w:bookmarkStart w:id="161" w:name="_Toc254970681"/>
      <w:r>
        <w:rPr>
          <w:rFonts w:hint="eastAsia" w:ascii="宋体" w:hAnsi="宋体" w:cs="宋体"/>
          <w:b w:val="0"/>
          <w:color w:val="auto"/>
          <w:sz w:val="21"/>
          <w:szCs w:val="21"/>
          <w:highlight w:val="none"/>
        </w:rPr>
        <w:t>投标有效期应按招标文件规定的期限作出承诺，具体详见“投标人须知前附表”。</w:t>
      </w:r>
      <w:r>
        <w:rPr>
          <w:rFonts w:hint="eastAsia" w:ascii="宋体" w:hAnsi="宋体" w:cs="宋体"/>
          <w:color w:val="auto"/>
          <w:sz w:val="21"/>
          <w:szCs w:val="21"/>
          <w:highlight w:val="none"/>
        </w:rPr>
        <w:t>承诺的投标有效期低于招标文件规定期限的，按无效投标处理。</w:t>
      </w:r>
    </w:p>
    <w:p w14:paraId="2CAF608F">
      <w:pPr>
        <w:pStyle w:val="8"/>
        <w:keepNext w:val="0"/>
        <w:keepLines w:val="0"/>
        <w:spacing w:before="0" w:after="0" w:line="400" w:lineRule="exact"/>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17.3投标人的投标文件在投标有效期内均保持有效。</w:t>
      </w:r>
      <w:bookmarkEnd w:id="160"/>
      <w:bookmarkEnd w:id="161"/>
    </w:p>
    <w:p w14:paraId="5F18150E">
      <w:pPr>
        <w:pStyle w:val="8"/>
        <w:keepNext w:val="0"/>
        <w:keepLines w:val="0"/>
        <w:spacing w:before="0" w:after="0" w:line="400" w:lineRule="exact"/>
        <w:rPr>
          <w:rFonts w:hint="eastAsia" w:ascii="宋体" w:hAnsi="宋体" w:cs="宋体"/>
          <w:color w:val="auto"/>
          <w:sz w:val="21"/>
          <w:szCs w:val="21"/>
          <w:highlight w:val="none"/>
        </w:rPr>
      </w:pPr>
      <w:bookmarkStart w:id="162" w:name="_18.投标保证金"/>
      <w:bookmarkEnd w:id="162"/>
      <w:bookmarkStart w:id="163" w:name="_Toc254970682"/>
      <w:bookmarkStart w:id="164" w:name="_Toc254970541"/>
      <w:r>
        <w:rPr>
          <w:rFonts w:hint="eastAsia" w:ascii="宋体" w:hAnsi="宋体" w:cs="宋体"/>
          <w:color w:val="auto"/>
          <w:sz w:val="21"/>
          <w:szCs w:val="21"/>
          <w:highlight w:val="none"/>
        </w:rPr>
        <w:t>18.投标保证金</w:t>
      </w:r>
      <w:bookmarkEnd w:id="163"/>
      <w:bookmarkEnd w:id="164"/>
    </w:p>
    <w:p w14:paraId="39ECA263">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18.1投标人须按“投标人须知前附表”的规定提交投标保证金。</w:t>
      </w:r>
    </w:p>
    <w:p w14:paraId="461E83CF">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18.2投标保证金的退还</w:t>
      </w:r>
    </w:p>
    <w:p w14:paraId="1BB37FDB">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未中标人的投标保证金自中标通知书发出之日起5个工作日内退还；中标人的投标保证金自政府采购合同签订之日起5个工作日内退还。</w:t>
      </w:r>
    </w:p>
    <w:p w14:paraId="503CBE5D">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18.3除逾期退还投标保证金和终止招标的情形以外，投标保证金不计息。</w:t>
      </w:r>
    </w:p>
    <w:p w14:paraId="455FCC67">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18.4投标人有下列情形之一的，投标保证金将不予退还：</w:t>
      </w:r>
    </w:p>
    <w:p w14:paraId="0731645D">
      <w:pPr>
        <w:snapToGrid w:val="0"/>
        <w:spacing w:line="400" w:lineRule="exact"/>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（1）投标人在投标有效期内撤销投标文件的；</w:t>
      </w:r>
    </w:p>
    <w:p w14:paraId="0CE3E834">
      <w:pPr>
        <w:snapToGrid w:val="0"/>
        <w:spacing w:line="400" w:lineRule="exact"/>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（2）未按规定提交履约保证金的；</w:t>
      </w:r>
    </w:p>
    <w:p w14:paraId="1E4FD102">
      <w:pPr>
        <w:snapToGrid w:val="0"/>
        <w:spacing w:line="400" w:lineRule="exact"/>
        <w:ind w:firstLine="411" w:firstLineChars="196"/>
        <w:jc w:val="left"/>
        <w:rPr>
          <w:rFonts w:hint="eastAsia" w:ascii="宋体" w:hAnsi="宋体" w:cs="宋体"/>
          <w:color w:val="auto"/>
          <w:szCs w:val="21"/>
          <w:highlight w:val="none"/>
        </w:rPr>
      </w:pPr>
      <w:r>
        <w:rPr>
          <w:rFonts w:hint="eastAsia" w:ascii="宋体" w:hAnsi="宋体" w:cs="宋体"/>
          <w:color w:val="auto"/>
          <w:szCs w:val="21"/>
          <w:highlight w:val="none"/>
        </w:rPr>
        <w:t>（3）投标人在投标过程中弄虚作假，提供虚假材料的；</w:t>
      </w:r>
    </w:p>
    <w:p w14:paraId="77120374">
      <w:pPr>
        <w:snapToGrid w:val="0"/>
        <w:spacing w:line="400" w:lineRule="exact"/>
        <w:ind w:firstLine="411" w:firstLineChars="196"/>
        <w:rPr>
          <w:rFonts w:hint="eastAsia" w:ascii="宋体" w:hAnsi="宋体" w:cs="宋体"/>
          <w:color w:val="auto"/>
          <w:szCs w:val="21"/>
          <w:highlight w:val="none"/>
        </w:rPr>
      </w:pPr>
      <w:r>
        <w:rPr>
          <w:rFonts w:hint="eastAsia" w:ascii="宋体" w:hAnsi="宋体" w:cs="宋体"/>
          <w:color w:val="auto"/>
          <w:szCs w:val="21"/>
          <w:highlight w:val="none"/>
        </w:rPr>
        <w:t>（4）中标人无正当理由不与采购人签订合同的；</w:t>
      </w:r>
    </w:p>
    <w:p w14:paraId="091B6F28">
      <w:pPr>
        <w:snapToGrid w:val="0"/>
        <w:spacing w:line="400" w:lineRule="exact"/>
        <w:ind w:firstLine="420" w:firstLineChars="200"/>
        <w:rPr>
          <w:rFonts w:hint="eastAsia" w:ascii="宋体" w:hAnsi="宋体" w:cs="宋体"/>
          <w:color w:val="auto"/>
          <w:szCs w:val="21"/>
          <w:highlight w:val="none"/>
        </w:rPr>
      </w:pPr>
      <w:bookmarkStart w:id="165" w:name="_Toc254970542"/>
      <w:bookmarkStart w:id="166" w:name="_Toc254970683"/>
      <w:r>
        <w:rPr>
          <w:rFonts w:hint="eastAsia" w:ascii="宋体" w:hAnsi="宋体" w:cs="宋体"/>
          <w:color w:val="auto"/>
          <w:szCs w:val="21"/>
          <w:highlight w:val="none"/>
        </w:rPr>
        <w:t>（5）投标人出现本章第9.2、9.3情形的；</w:t>
      </w:r>
    </w:p>
    <w:p w14:paraId="7C84084D">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（6）法律法规规定的其他情形。</w:t>
      </w:r>
    </w:p>
    <w:bookmarkEnd w:id="165"/>
    <w:bookmarkEnd w:id="166"/>
    <w:p w14:paraId="703F69B5">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19.投标文件的编制</w:t>
      </w:r>
    </w:p>
    <w:p w14:paraId="4BC728C8">
      <w:pPr>
        <w:pStyle w:val="8"/>
        <w:keepNext w:val="0"/>
        <w:keepLines w:val="0"/>
        <w:spacing w:before="0" w:after="0" w:line="4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19.1投标人应按照本项目招标文件规定的格式和顺序和广西政府采购云平台的要求编制投标文件并加密。投标文件内容不完整、编排混乱导致投标文件被误读、漏读或者查找不到相关内容的，由此引发的后果由投标人承担。</w:t>
      </w:r>
    </w:p>
    <w:p w14:paraId="32746D61">
      <w:pPr>
        <w:pStyle w:val="8"/>
        <w:keepNext w:val="0"/>
        <w:keepLines w:val="0"/>
        <w:spacing w:before="0" w:after="0" w:line="400" w:lineRule="exact"/>
        <w:ind w:firstLine="315" w:firstLineChars="150"/>
        <w:rPr>
          <w:rFonts w:hint="eastAsia" w:ascii="宋体" w:hAnsi="宋体" w:cs="宋体"/>
          <w:b w:val="0"/>
          <w:color w:val="auto"/>
          <w:sz w:val="21"/>
          <w:szCs w:val="21"/>
          <w:highlight w:val="none"/>
        </w:rPr>
      </w:pPr>
      <w:bookmarkStart w:id="167" w:name="_19.2投标文件应按报价文件、资格证明文件、商务文件、技术文件分别编制"/>
      <w:bookmarkEnd w:id="167"/>
      <w:r>
        <w:rPr>
          <w:rFonts w:hint="eastAsia" w:ascii="宋体" w:hAnsi="宋体" w:cs="宋体"/>
          <w:b w:val="0"/>
          <w:color w:val="auto"/>
          <w:sz w:val="21"/>
          <w:szCs w:val="21"/>
          <w:highlight w:val="none"/>
        </w:rPr>
        <w:t>19.2为确保网上操作合法、有效和安全，投标人应当在投标截止时间前完成在广西政府采购云平台的身份认证，确保在电子投标过程中能够对相关数据电文进行加密和使用电子签章。</w:t>
      </w:r>
    </w:p>
    <w:p w14:paraId="3794EB38">
      <w:pPr>
        <w:pStyle w:val="8"/>
        <w:keepNext w:val="0"/>
        <w:keepLines w:val="0"/>
        <w:spacing w:before="0" w:after="0" w:line="400" w:lineRule="exact"/>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19.3投标文件须由投标人在规定位置签字（或者电子签名）、盖章（具体以投标人须知前附表或投标文件格式规定为准），</w:t>
      </w:r>
      <w:r>
        <w:rPr>
          <w:rFonts w:hint="eastAsia" w:ascii="宋体" w:hAnsi="宋体" w:cs="宋体"/>
          <w:bCs/>
          <w:color w:val="auto"/>
          <w:sz w:val="21"/>
          <w:szCs w:val="21"/>
          <w:highlight w:val="none"/>
        </w:rPr>
        <w:t>否则按无效投标处理</w:t>
      </w:r>
      <w:r>
        <w:rPr>
          <w:rFonts w:hint="eastAsia" w:ascii="宋体" w:hAnsi="宋体" w:cs="宋体"/>
          <w:b w:val="0"/>
          <w:color w:val="auto"/>
          <w:sz w:val="21"/>
          <w:szCs w:val="21"/>
          <w:highlight w:val="none"/>
        </w:rPr>
        <w:t>。</w:t>
      </w:r>
    </w:p>
    <w:p w14:paraId="67109A09">
      <w:pPr>
        <w:pStyle w:val="8"/>
        <w:keepNext w:val="0"/>
        <w:keepLines w:val="0"/>
        <w:spacing w:before="0" w:after="0" w:line="4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19.4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Pr>
          <w:rFonts w:hint="eastAsia" w:ascii="宋体" w:hAnsi="宋体" w:cs="宋体"/>
          <w:color w:val="auto"/>
          <w:sz w:val="21"/>
          <w:szCs w:val="21"/>
          <w:highlight w:val="none"/>
        </w:rPr>
        <w:t>否则按无效投标处理</w:t>
      </w:r>
      <w:r>
        <w:rPr>
          <w:rFonts w:hint="eastAsia" w:ascii="宋体" w:hAnsi="宋体" w:cs="宋体"/>
          <w:b w:val="0"/>
          <w:color w:val="auto"/>
          <w:sz w:val="21"/>
          <w:szCs w:val="21"/>
          <w:highlight w:val="none"/>
        </w:rPr>
        <w:t>。</w:t>
      </w:r>
    </w:p>
    <w:p w14:paraId="02F22B2F">
      <w:pPr>
        <w:pStyle w:val="8"/>
        <w:keepNext w:val="0"/>
        <w:keepLines w:val="0"/>
        <w:spacing w:before="0" w:after="0" w:line="4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19.5投标文件应尽量避免涂改、行间插字或者删除。如果出现上述情况，改动之处应由投标人的法定代表人或者其委托代理人签字（或者电子签名）或者加盖公章或者加盖电子签章。投标文件因字迹潦草或者表达不清所引起的后果由投标人承担。</w:t>
      </w:r>
    </w:p>
    <w:p w14:paraId="1F6F4A5F">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20.电子备份投标文件</w:t>
      </w:r>
    </w:p>
    <w:p w14:paraId="0B84DD02">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电子备份投标文件是指通过在线编制生成且后缀名为“bfbs”的文件，是否接受电子备份投标文件</w:t>
      </w:r>
      <w:r>
        <w:rPr>
          <w:rFonts w:hint="eastAsia" w:ascii="宋体" w:hAnsi="宋体" w:cs="宋体"/>
          <w:bCs/>
          <w:color w:val="auto"/>
          <w:szCs w:val="21"/>
          <w:highlight w:val="none"/>
        </w:rPr>
        <w:t>详见在“投标人须知前附表”。</w:t>
      </w:r>
    </w:p>
    <w:p w14:paraId="031F4C94">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21.投标文件的提交</w:t>
      </w:r>
    </w:p>
    <w:p w14:paraId="62C97BBE">
      <w:pPr>
        <w:spacing w:line="400" w:lineRule="exact"/>
        <w:ind w:firstLine="420" w:firstLineChars="200"/>
        <w:rPr>
          <w:rFonts w:hint="eastAsia" w:ascii="宋体" w:hAnsi="宋体" w:cs="宋体"/>
          <w:b/>
          <w:color w:val="auto"/>
          <w:szCs w:val="21"/>
          <w:highlight w:val="none"/>
        </w:rPr>
      </w:pPr>
      <w:bookmarkStart w:id="168" w:name="_21.1投标人必须在“投标人须知中的前附表”规定的投标文件接收时间和投"/>
      <w:bookmarkEnd w:id="168"/>
      <w:r>
        <w:rPr>
          <w:rFonts w:hint="eastAsia" w:ascii="宋体" w:hAnsi="宋体" w:cs="宋体"/>
          <w:bCs/>
          <w:color w:val="auto"/>
          <w:szCs w:val="21"/>
          <w:highlight w:val="none"/>
        </w:rPr>
        <w:t>21.1投标人必须在“投标人须知前附表”规定的</w:t>
      </w:r>
      <w:r>
        <w:rPr>
          <w:rFonts w:hint="eastAsia" w:ascii="宋体" w:hAnsi="宋体" w:cs="宋体"/>
          <w:color w:val="auto"/>
          <w:szCs w:val="21"/>
          <w:highlight w:val="none"/>
        </w:rPr>
        <w:t>提交投标文件截止时间前将</w:t>
      </w:r>
      <w:r>
        <w:rPr>
          <w:rFonts w:hint="eastAsia" w:ascii="宋体" w:hAnsi="宋体" w:cs="宋体"/>
          <w:bCs/>
          <w:color w:val="auto"/>
          <w:szCs w:val="21"/>
          <w:highlight w:val="none"/>
        </w:rPr>
        <w:t>电子投标文件提交至投标地点。电子投标文件应在制作完成后，在投标截止时间前通过有效数字证书（CA认证锁）进行电子签章、加密，然后通过网络将加密的电子投标文件递交至</w:t>
      </w:r>
      <w:r>
        <w:rPr>
          <w:rFonts w:hint="eastAsia" w:ascii="宋体" w:hAnsi="宋体" w:cs="宋体"/>
          <w:b/>
          <w:color w:val="auto"/>
          <w:szCs w:val="21"/>
          <w:highlight w:val="none"/>
        </w:rPr>
        <w:t>广西政府采购云平台</w:t>
      </w:r>
      <w:r>
        <w:rPr>
          <w:rFonts w:hint="eastAsia" w:ascii="宋体" w:hAnsi="宋体" w:cs="宋体"/>
          <w:bCs/>
          <w:color w:val="auto"/>
          <w:szCs w:val="21"/>
          <w:highlight w:val="none"/>
        </w:rPr>
        <w:t>。</w:t>
      </w:r>
    </w:p>
    <w:p w14:paraId="669D07C8">
      <w:pPr>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21.2未在规定时间内提交或者未按照招标文件要求加密的电子投标文件，广西政府采购云平台将拒收。</w:t>
      </w:r>
    </w:p>
    <w:p w14:paraId="314079BF">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22.投标文件的补充、修改、撤回与退回</w:t>
      </w:r>
    </w:p>
    <w:p w14:paraId="118B520E">
      <w:pPr>
        <w:snapToGrid w:val="0"/>
        <w:spacing w:line="400" w:lineRule="exact"/>
        <w:ind w:firstLine="420"/>
        <w:jc w:val="left"/>
        <w:rPr>
          <w:rFonts w:hint="eastAsia" w:ascii="宋体" w:hAnsi="宋体" w:cs="宋体"/>
          <w:color w:val="auto"/>
          <w:szCs w:val="21"/>
          <w:highlight w:val="none"/>
        </w:rPr>
      </w:pPr>
      <w:bookmarkStart w:id="169" w:name="_Toc254970543"/>
      <w:bookmarkStart w:id="170" w:name="_Toc254970684"/>
      <w:r>
        <w:rPr>
          <w:rFonts w:hint="eastAsia" w:ascii="宋体" w:hAnsi="宋体" w:cs="宋体"/>
          <w:color w:val="auto"/>
          <w:szCs w:val="21"/>
          <w:highlight w:val="none"/>
        </w:rPr>
        <w:t>22.1</w:t>
      </w:r>
      <w:r>
        <w:rPr>
          <w:rFonts w:hint="eastAsia" w:ascii="宋体" w:hAnsi="宋体" w:cs="宋体"/>
          <w:bCs/>
          <w:color w:val="auto"/>
          <w:szCs w:val="21"/>
          <w:highlight w:val="none"/>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广西政府采购云平台将予以拒收。</w:t>
      </w:r>
      <w:r>
        <w:rPr>
          <w:rFonts w:hint="eastAsia" w:ascii="宋体" w:hAnsi="宋体" w:cs="宋体"/>
          <w:color w:val="auto"/>
          <w:szCs w:val="21"/>
          <w:highlight w:val="none"/>
        </w:rPr>
        <w:t>（补充、修改或者撤回方式可登录</w:t>
      </w:r>
      <w:r>
        <w:rPr>
          <w:rFonts w:hint="eastAsia" w:ascii="宋体" w:hAnsi="宋体" w:cs="宋体"/>
          <w:color w:val="auto"/>
          <w:kern w:val="0"/>
          <w:szCs w:val="21"/>
          <w:highlight w:val="none"/>
        </w:rPr>
        <w:t>广西政府采购云平台，</w:t>
      </w:r>
      <w:r>
        <w:rPr>
          <w:rFonts w:hint="eastAsia" w:ascii="宋体" w:hAnsi="宋体" w:cs="宋体"/>
          <w:color w:val="auto"/>
          <w:szCs w:val="21"/>
          <w:highlight w:val="none"/>
        </w:rPr>
        <w:t>依次进入“服务中心”中查看“电子投标文件制作与投送教程”）</w:t>
      </w:r>
    </w:p>
    <w:bookmarkEnd w:id="169"/>
    <w:bookmarkEnd w:id="170"/>
    <w:p w14:paraId="28D7A95F">
      <w:pPr>
        <w:pStyle w:val="169"/>
        <w:spacing w:before="0" w:line="400" w:lineRule="exact"/>
        <w:ind w:firstLine="420"/>
        <w:rPr>
          <w:rFonts w:hint="eastAsia" w:ascii="宋体" w:hAnsi="宋体" w:cs="宋体"/>
          <w:color w:val="auto"/>
          <w:sz w:val="21"/>
          <w:szCs w:val="21"/>
          <w:highlight w:val="none"/>
        </w:rPr>
      </w:pPr>
      <w:r>
        <w:rPr>
          <w:rFonts w:hint="eastAsia" w:ascii="宋体" w:hAnsi="宋体" w:cs="宋体"/>
          <w:color w:val="auto"/>
          <w:sz w:val="21"/>
          <w:szCs w:val="21"/>
          <w:highlight w:val="none"/>
        </w:rPr>
        <w:t>22.2“广西政府采购云平台收到投标文件后向供应商发出确认回执通知。在投标截止时间前，除供应商补充、修改或者撤回投标文件外，任何单位和个人不得解密或提取投标文件。</w:t>
      </w:r>
    </w:p>
    <w:p w14:paraId="74896385">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22.3在投标截止时间后，采购人和采购代理机构对已提交的投标文件概不退回。</w:t>
      </w:r>
    </w:p>
    <w:p w14:paraId="55BBE67E">
      <w:pPr>
        <w:pStyle w:val="6"/>
        <w:keepNext w:val="0"/>
        <w:keepLines w:val="0"/>
        <w:spacing w:before="0" w:after="0" w:line="400" w:lineRule="exact"/>
        <w:jc w:val="center"/>
        <w:rPr>
          <w:rFonts w:hint="eastAsia" w:ascii="宋体" w:hAnsi="宋体" w:cs="宋体"/>
          <w:color w:val="auto"/>
          <w:sz w:val="21"/>
          <w:szCs w:val="21"/>
          <w:highlight w:val="none"/>
        </w:rPr>
      </w:pPr>
      <w:bookmarkStart w:id="171" w:name="_Toc254970544"/>
      <w:bookmarkStart w:id="172" w:name="_Toc254970685"/>
      <w:r>
        <w:rPr>
          <w:rFonts w:hint="eastAsia" w:ascii="宋体" w:hAnsi="宋体" w:cs="宋体"/>
          <w:color w:val="auto"/>
          <w:sz w:val="21"/>
          <w:szCs w:val="21"/>
          <w:highlight w:val="none"/>
        </w:rPr>
        <w:t>四、开标</w:t>
      </w:r>
      <w:bookmarkEnd w:id="171"/>
      <w:bookmarkEnd w:id="172"/>
    </w:p>
    <w:p w14:paraId="24864F4F">
      <w:pPr>
        <w:pStyle w:val="8"/>
        <w:keepNext w:val="0"/>
        <w:keepLines w:val="0"/>
        <w:spacing w:before="0" w:after="0" w:line="400" w:lineRule="exact"/>
        <w:rPr>
          <w:rFonts w:hint="eastAsia" w:ascii="宋体" w:hAnsi="宋体" w:cs="宋体"/>
          <w:color w:val="auto"/>
          <w:sz w:val="21"/>
          <w:szCs w:val="21"/>
          <w:highlight w:val="none"/>
        </w:rPr>
      </w:pPr>
      <w:bookmarkStart w:id="173" w:name="_23.开标时间和地点"/>
      <w:bookmarkEnd w:id="173"/>
      <w:r>
        <w:rPr>
          <w:rFonts w:hint="eastAsia" w:ascii="宋体" w:hAnsi="宋体" w:cs="宋体"/>
          <w:color w:val="auto"/>
          <w:sz w:val="21"/>
          <w:szCs w:val="21"/>
          <w:highlight w:val="none"/>
        </w:rPr>
        <w:t>23.开标时间和地点</w:t>
      </w:r>
    </w:p>
    <w:p w14:paraId="4F9D53E1">
      <w:pPr>
        <w:spacing w:line="400" w:lineRule="exact"/>
        <w:ind w:firstLine="420" w:firstLineChars="200"/>
        <w:rPr>
          <w:rFonts w:hint="eastAsia" w:ascii="宋体" w:hAnsi="宋体" w:cs="宋体"/>
          <w:bCs/>
          <w:color w:val="auto"/>
          <w:szCs w:val="21"/>
          <w:highlight w:val="none"/>
        </w:rPr>
      </w:pPr>
      <w:r>
        <w:rPr>
          <w:rFonts w:hint="eastAsia" w:ascii="宋体" w:hAnsi="宋体" w:cs="宋体"/>
          <w:bCs/>
          <w:color w:val="auto"/>
          <w:szCs w:val="21"/>
          <w:highlight w:val="none"/>
        </w:rPr>
        <w:t>开标时间及地点详见“投标人须知前附表”</w:t>
      </w:r>
    </w:p>
    <w:p w14:paraId="61A7B1D5">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24.开标程序</w:t>
      </w:r>
    </w:p>
    <w:p w14:paraId="795E2313">
      <w:pPr>
        <w:pStyle w:val="9"/>
        <w:spacing w:line="400" w:lineRule="exact"/>
        <w:rPr>
          <w:rFonts w:hint="eastAsia" w:ascii="宋体" w:hAnsi="宋体" w:cs="宋体"/>
          <w:color w:val="auto"/>
          <w:szCs w:val="21"/>
          <w:highlight w:val="none"/>
        </w:rPr>
      </w:pPr>
      <w:r>
        <w:rPr>
          <w:rFonts w:hint="eastAsia" w:ascii="宋体" w:hAnsi="宋体" w:cs="宋体"/>
          <w:color w:val="auto"/>
          <w:szCs w:val="21"/>
          <w:highlight w:val="none"/>
        </w:rPr>
        <w:t>24.1提交投标文件截止时间止，投标人不足3家的，不得开标。</w:t>
      </w:r>
    </w:p>
    <w:p w14:paraId="2B7482EB">
      <w:pPr>
        <w:pStyle w:val="9"/>
        <w:spacing w:line="400" w:lineRule="exact"/>
        <w:rPr>
          <w:rFonts w:hint="eastAsia" w:ascii="宋体" w:hAnsi="宋体" w:cs="宋体"/>
          <w:color w:val="auto"/>
          <w:szCs w:val="21"/>
          <w:highlight w:val="none"/>
        </w:rPr>
      </w:pPr>
      <w:r>
        <w:rPr>
          <w:rFonts w:hint="eastAsia" w:ascii="宋体" w:hAnsi="宋体" w:cs="宋体"/>
          <w:color w:val="auto"/>
          <w:szCs w:val="21"/>
          <w:highlight w:val="none"/>
        </w:rPr>
        <w:t>24.2采购代理机构将按照招标文件规定的时间通过广西政府采购云平台组织线上开标活动，所有供应商均应当准时在线参加，投标人因未在线参加开标而导致投标文件无法按时解密等一切后果由投标人自己承担。</w:t>
      </w:r>
    </w:p>
    <w:p w14:paraId="2FCF4451">
      <w:pPr>
        <w:pStyle w:val="9"/>
        <w:spacing w:line="400" w:lineRule="exact"/>
        <w:rPr>
          <w:rFonts w:hint="eastAsia" w:ascii="宋体" w:hAnsi="宋体" w:cs="宋体"/>
          <w:color w:val="auto"/>
          <w:szCs w:val="21"/>
          <w:highlight w:val="none"/>
        </w:rPr>
      </w:pPr>
      <w:r>
        <w:rPr>
          <w:rFonts w:hint="eastAsia" w:ascii="宋体" w:hAnsi="宋体" w:cs="宋体"/>
          <w:color w:val="auto"/>
          <w:szCs w:val="21"/>
          <w:highlight w:val="none"/>
        </w:rPr>
        <w:t>24.3开标程序</w:t>
      </w:r>
    </w:p>
    <w:p w14:paraId="3D7CB430">
      <w:pPr>
        <w:pStyle w:val="9"/>
        <w:spacing w:line="400" w:lineRule="exact"/>
        <w:rPr>
          <w:rFonts w:hint="eastAsia" w:ascii="宋体" w:hAnsi="宋体" w:cs="宋体"/>
          <w:color w:val="auto"/>
          <w:szCs w:val="21"/>
          <w:highlight w:val="none"/>
        </w:rPr>
      </w:pPr>
      <w:r>
        <w:rPr>
          <w:rFonts w:hint="eastAsia" w:ascii="宋体" w:hAnsi="宋体" w:cs="宋体"/>
          <w:color w:val="auto"/>
          <w:szCs w:val="21"/>
          <w:highlight w:val="none"/>
        </w:rPr>
        <w:t>（1）解密电子投标文件。“广西政府采购云平台按开标时间自动提取所有投标文件。采购代理机构依托广西政府采购云平台向各投标人发出电子加密投标文件【开始解密】通知，由投标人按</w:t>
      </w:r>
      <w:r>
        <w:rPr>
          <w:rFonts w:hint="eastAsia" w:ascii="宋体" w:hAnsi="宋体" w:cs="宋体"/>
          <w:bCs/>
          <w:color w:val="auto"/>
          <w:szCs w:val="21"/>
          <w:highlight w:val="none"/>
        </w:rPr>
        <w:t>“投标人须知前附表”</w:t>
      </w:r>
      <w:r>
        <w:rPr>
          <w:rFonts w:hint="eastAsia" w:ascii="宋体" w:hAnsi="宋体" w:cs="宋体"/>
          <w:color w:val="auto"/>
          <w:szCs w:val="21"/>
          <w:highlight w:val="none"/>
        </w:rPr>
        <w:t>规定的时间内自行进行投标文件解密。投标人的法定代表人或其委托代理人须凭加密时所用的CA锁准时登录到广西政府采购云平台电子开标大厅签到并对电子投标文件解密。</w:t>
      </w:r>
      <w:r>
        <w:rPr>
          <w:rFonts w:hint="eastAsia" w:ascii="宋体" w:hAnsi="宋体" w:cs="宋体"/>
          <w:b/>
          <w:color w:val="auto"/>
          <w:szCs w:val="21"/>
          <w:highlight w:val="none"/>
        </w:rPr>
        <w:t>投标人未在规定的时间内解密投标文件或者解密失败的，投标人的投标文件作无效处理。</w:t>
      </w:r>
    </w:p>
    <w:p w14:paraId="74196A54">
      <w:pPr>
        <w:pStyle w:val="9"/>
        <w:spacing w:line="400" w:lineRule="exact"/>
        <w:rPr>
          <w:rFonts w:hint="eastAsia" w:ascii="宋体" w:hAnsi="宋体" w:cs="宋体"/>
          <w:color w:val="auto"/>
          <w:szCs w:val="21"/>
          <w:highlight w:val="none"/>
        </w:rPr>
      </w:pPr>
      <w:r>
        <w:rPr>
          <w:rFonts w:hint="eastAsia" w:ascii="宋体" w:hAnsi="宋体" w:cs="宋体"/>
          <w:color w:val="auto"/>
          <w:szCs w:val="21"/>
          <w:highlight w:val="none"/>
        </w:rPr>
        <w:t>（2）电子唱标。投标文件解密结束，宣布的内容均在广西政府采购云平台远程开标大厅展示，具体详见</w:t>
      </w:r>
      <w:r>
        <w:rPr>
          <w:rFonts w:hint="eastAsia" w:ascii="宋体" w:hAnsi="宋体" w:cs="宋体"/>
          <w:bCs/>
          <w:color w:val="auto"/>
          <w:szCs w:val="21"/>
          <w:highlight w:val="none"/>
        </w:rPr>
        <w:t>“投标人须知前附表”</w:t>
      </w:r>
      <w:r>
        <w:rPr>
          <w:rFonts w:hint="eastAsia" w:ascii="宋体" w:hAnsi="宋体" w:cs="宋体"/>
          <w:color w:val="auto"/>
          <w:szCs w:val="21"/>
          <w:highlight w:val="none"/>
        </w:rPr>
        <w:t>；</w:t>
      </w:r>
    </w:p>
    <w:p w14:paraId="0E111101">
      <w:pPr>
        <w:pStyle w:val="9"/>
        <w:spacing w:line="400" w:lineRule="exact"/>
        <w:rPr>
          <w:rFonts w:hint="eastAsia" w:ascii="宋体" w:hAnsi="宋体" w:cs="宋体"/>
          <w:color w:val="auto"/>
          <w:szCs w:val="21"/>
          <w:highlight w:val="none"/>
        </w:rPr>
      </w:pPr>
      <w:r>
        <w:rPr>
          <w:rFonts w:hint="eastAsia" w:ascii="宋体" w:hAnsi="宋体" w:cs="宋体"/>
          <w:color w:val="auto"/>
          <w:szCs w:val="21"/>
          <w:highlight w:val="none"/>
        </w:rPr>
        <w:t>（3）开标过程由采购代理机构如实记录，并电子留痕，由参加电子开标的各投标人代表对电子开标记录在开标记录公布后15分钟内进行当场校核及勘误，并线上确认是否有异议，未确认的视同认可开标结果。</w:t>
      </w:r>
    </w:p>
    <w:p w14:paraId="3FC609D6">
      <w:pPr>
        <w:pStyle w:val="9"/>
        <w:spacing w:line="400" w:lineRule="exact"/>
        <w:rPr>
          <w:rFonts w:hint="eastAsia" w:ascii="宋体" w:hAnsi="宋体" w:cs="宋体"/>
          <w:color w:val="auto"/>
          <w:szCs w:val="21"/>
          <w:highlight w:val="none"/>
        </w:rPr>
      </w:pPr>
      <w:r>
        <w:rPr>
          <w:rFonts w:hint="eastAsia" w:ascii="宋体" w:hAnsi="宋体" w:cs="宋体"/>
          <w:color w:val="auto"/>
          <w:szCs w:val="21"/>
          <w:highlight w:val="none"/>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2B74329B">
      <w:pPr>
        <w:pStyle w:val="9"/>
        <w:spacing w:line="400" w:lineRule="exact"/>
        <w:rPr>
          <w:rFonts w:hint="eastAsia" w:ascii="宋体" w:hAnsi="宋体" w:cs="宋体"/>
          <w:color w:val="auto"/>
          <w:szCs w:val="21"/>
          <w:highlight w:val="none"/>
        </w:rPr>
      </w:pPr>
      <w:r>
        <w:rPr>
          <w:rFonts w:hint="eastAsia" w:ascii="宋体" w:hAnsi="宋体" w:cs="宋体"/>
          <w:color w:val="auto"/>
          <w:szCs w:val="21"/>
          <w:highlight w:val="none"/>
        </w:rPr>
        <w:t>（5）开标结束。</w:t>
      </w:r>
    </w:p>
    <w:p w14:paraId="23C63250">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特别说明：如遇广西政府采购云平台电子化开标或评审程序调整的，按调整后执行。</w:t>
      </w:r>
    </w:p>
    <w:p w14:paraId="0584DDEA">
      <w:pPr>
        <w:pStyle w:val="6"/>
        <w:keepNext w:val="0"/>
        <w:keepLines w:val="0"/>
        <w:spacing w:before="0" w:after="0"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五、资格审查</w:t>
      </w:r>
    </w:p>
    <w:p w14:paraId="55420BFC">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25.资格审查</w:t>
      </w:r>
    </w:p>
    <w:p w14:paraId="61D2A24E">
      <w:pPr>
        <w:pStyle w:val="8"/>
        <w:keepNext w:val="0"/>
        <w:keepLines w:val="0"/>
        <w:spacing w:before="0" w:after="0" w:line="4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25.1开标结束后，采购人或者采购代理机构通过电子开评标系统依据招标文件对电子投标文件进行线上资格审查。</w:t>
      </w:r>
    </w:p>
    <w:p w14:paraId="68A9696B">
      <w:pPr>
        <w:pStyle w:val="8"/>
        <w:keepNext w:val="0"/>
        <w:keepLines w:val="0"/>
        <w:spacing w:before="0" w:after="0" w:line="4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25.2资格审查标准为本招标文件中载明对投标人资格要求的条件。本项目资格审查采用合格制，凡符合招标文件规定的投标人资格要求的投标人均通过资格审查。</w:t>
      </w:r>
    </w:p>
    <w:p w14:paraId="463E1AF7">
      <w:pPr>
        <w:pStyle w:val="8"/>
        <w:keepNext w:val="0"/>
        <w:keepLines w:val="0"/>
        <w:spacing w:before="0" w:after="0" w:line="400" w:lineRule="exact"/>
        <w:ind w:firstLine="422" w:firstLineChars="200"/>
        <w:rPr>
          <w:rFonts w:hint="eastAsia" w:ascii="宋体" w:hAnsi="宋体" w:cs="宋体"/>
          <w:color w:val="auto"/>
          <w:sz w:val="21"/>
          <w:szCs w:val="21"/>
          <w:highlight w:val="none"/>
        </w:rPr>
      </w:pPr>
      <w:bookmarkStart w:id="174" w:name="_25.3_投标人有下列情形之一的，资格审查不通过而导致其投标无效："/>
      <w:bookmarkEnd w:id="174"/>
      <w:r>
        <w:rPr>
          <w:rFonts w:hint="eastAsia" w:ascii="宋体" w:hAnsi="宋体" w:cs="宋体"/>
          <w:color w:val="auto"/>
          <w:sz w:val="21"/>
          <w:szCs w:val="21"/>
          <w:highlight w:val="none"/>
        </w:rPr>
        <w:t>25.3投标人有下列情形之一的，资格审查不通过，作无效投标处理：</w:t>
      </w:r>
    </w:p>
    <w:p w14:paraId="579D618D">
      <w:pPr>
        <w:pStyle w:val="43"/>
        <w:snapToGrid w:val="0"/>
        <w:spacing w:line="400" w:lineRule="exact"/>
        <w:ind w:firstLine="422" w:firstLineChars="200"/>
        <w:rPr>
          <w:rFonts w:hint="eastAsia" w:hAnsi="宋体" w:cs="宋体"/>
          <w:b/>
          <w:color w:val="auto"/>
          <w:sz w:val="21"/>
          <w:highlight w:val="none"/>
        </w:rPr>
      </w:pPr>
      <w:r>
        <w:rPr>
          <w:rFonts w:hint="eastAsia" w:hAnsi="宋体" w:cs="宋体"/>
          <w:b/>
          <w:color w:val="auto"/>
          <w:sz w:val="21"/>
          <w:highlight w:val="none"/>
        </w:rPr>
        <w:t>（1）不具备招标文件中规定的资格要求的；</w:t>
      </w:r>
    </w:p>
    <w:p w14:paraId="4BB446AC">
      <w:pPr>
        <w:pStyle w:val="43"/>
        <w:snapToGrid w:val="0"/>
        <w:spacing w:line="400" w:lineRule="exact"/>
        <w:ind w:firstLine="422" w:firstLineChars="200"/>
        <w:rPr>
          <w:rFonts w:hint="eastAsia" w:hAnsi="宋体" w:cs="宋体"/>
          <w:b/>
          <w:color w:val="auto"/>
          <w:sz w:val="21"/>
          <w:highlight w:val="none"/>
        </w:rPr>
      </w:pPr>
      <w:r>
        <w:rPr>
          <w:rFonts w:hint="eastAsia" w:hAnsi="宋体" w:cs="宋体"/>
          <w:b/>
          <w:color w:val="auto"/>
          <w:sz w:val="21"/>
          <w:highlight w:val="none"/>
        </w:rPr>
        <w:t>（2）在“信用中国”网站（www.creditchina.gov.cn）、中国政府采购网（www.ccgp.gov.cn）被列入失信被执行人、重大税收违法失信主体、政府采购严重违法失信行为记录名单及其他不符合《中华人民共和国政府采购法》第二十二条规定条件的；（注：其中信用查询规则见“投标人须知前附表”）</w:t>
      </w:r>
    </w:p>
    <w:p w14:paraId="5E081644">
      <w:pPr>
        <w:pStyle w:val="43"/>
        <w:snapToGrid w:val="0"/>
        <w:spacing w:line="400" w:lineRule="exact"/>
        <w:ind w:firstLine="422" w:firstLineChars="200"/>
        <w:rPr>
          <w:rFonts w:hint="eastAsia" w:hAnsi="宋体" w:cs="宋体"/>
          <w:b/>
          <w:color w:val="auto"/>
          <w:sz w:val="21"/>
          <w:highlight w:val="none"/>
        </w:rPr>
      </w:pPr>
      <w:r>
        <w:rPr>
          <w:rFonts w:hint="eastAsia" w:hAnsi="宋体" w:cs="宋体"/>
          <w:b/>
          <w:color w:val="auto"/>
          <w:sz w:val="21"/>
          <w:highlight w:val="none"/>
        </w:rPr>
        <w:t>（3）同一合同项下的不同投标人，单位负责人为同一人或者存在直接控股、管理关系的；为本项目提供过整体设计、规范编制或者项目管理、监理、检测等服务的供应商，再参加该采购项目的其他采购活动的；</w:t>
      </w:r>
    </w:p>
    <w:p w14:paraId="774B0A1D">
      <w:pPr>
        <w:pStyle w:val="43"/>
        <w:snapToGrid w:val="0"/>
        <w:spacing w:line="400" w:lineRule="exact"/>
        <w:ind w:firstLine="422" w:firstLineChars="200"/>
        <w:rPr>
          <w:rFonts w:hint="eastAsia" w:hAnsi="宋体" w:cs="宋体"/>
          <w:b/>
          <w:color w:val="auto"/>
          <w:sz w:val="21"/>
          <w:highlight w:val="none"/>
        </w:rPr>
      </w:pPr>
      <w:r>
        <w:rPr>
          <w:rFonts w:hint="eastAsia" w:hAnsi="宋体" w:cs="宋体"/>
          <w:b/>
          <w:color w:val="auto"/>
          <w:sz w:val="21"/>
          <w:highlight w:val="none"/>
        </w:rPr>
        <w:t>（4）投标文件中的资格证明文件缺少任一项“投标人须知前附表”资格证明文件规定“必须提供”的文件资料的；</w:t>
      </w:r>
    </w:p>
    <w:p w14:paraId="14CFEB74">
      <w:pPr>
        <w:pStyle w:val="43"/>
        <w:snapToGrid w:val="0"/>
        <w:spacing w:line="400" w:lineRule="exact"/>
        <w:ind w:firstLine="422" w:firstLineChars="200"/>
        <w:rPr>
          <w:rFonts w:hint="eastAsia" w:hAnsi="宋体" w:cs="宋体"/>
          <w:b/>
          <w:color w:val="auto"/>
          <w:sz w:val="21"/>
          <w:highlight w:val="none"/>
        </w:rPr>
      </w:pPr>
      <w:r>
        <w:rPr>
          <w:rFonts w:hint="eastAsia" w:hAnsi="宋体" w:cs="宋体"/>
          <w:b/>
          <w:color w:val="auto"/>
          <w:sz w:val="21"/>
          <w:highlight w:val="none"/>
        </w:rPr>
        <w:t>（5）投标文件中的资格证明文件出现任一项不符合“投标人须知前附表”资格证明文件规定“必须提供”的文件资料要求或者无效的。</w:t>
      </w:r>
    </w:p>
    <w:p w14:paraId="078890CB">
      <w:pPr>
        <w:pStyle w:val="8"/>
        <w:keepNext w:val="0"/>
        <w:keepLines w:val="0"/>
        <w:spacing w:before="0" w:after="0" w:line="400" w:lineRule="exact"/>
        <w:rPr>
          <w:rFonts w:hint="eastAsia" w:ascii="宋体" w:hAnsi="宋体" w:cs="宋体"/>
          <w:b w:val="0"/>
          <w:color w:val="auto"/>
          <w:sz w:val="21"/>
          <w:szCs w:val="21"/>
          <w:highlight w:val="none"/>
        </w:rPr>
      </w:pPr>
      <w:r>
        <w:rPr>
          <w:rFonts w:hint="eastAsia" w:ascii="宋体" w:hAnsi="宋体" w:cs="宋体"/>
          <w:color w:val="auto"/>
          <w:sz w:val="21"/>
          <w:szCs w:val="21"/>
          <w:highlight w:val="none"/>
        </w:rPr>
        <w:t>25.4合格投标人不足3家的，不得评标。</w:t>
      </w:r>
    </w:p>
    <w:p w14:paraId="1D277272">
      <w:pPr>
        <w:pStyle w:val="6"/>
        <w:keepNext w:val="0"/>
        <w:keepLines w:val="0"/>
        <w:spacing w:before="0" w:after="0" w:line="400" w:lineRule="exact"/>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六、评标</w:t>
      </w:r>
    </w:p>
    <w:p w14:paraId="0D5E49D2">
      <w:pPr>
        <w:pStyle w:val="8"/>
        <w:keepNext w:val="0"/>
        <w:keepLines w:val="0"/>
        <w:spacing w:before="0" w:after="0" w:line="400" w:lineRule="exact"/>
        <w:rPr>
          <w:rFonts w:hint="eastAsia" w:ascii="宋体" w:hAnsi="宋体" w:cs="宋体"/>
          <w:color w:val="auto"/>
          <w:sz w:val="21"/>
          <w:szCs w:val="21"/>
          <w:highlight w:val="none"/>
        </w:rPr>
      </w:pPr>
      <w:bookmarkStart w:id="175" w:name="_26.组建评标委员会"/>
      <w:bookmarkEnd w:id="175"/>
      <w:r>
        <w:rPr>
          <w:rFonts w:hint="eastAsia" w:ascii="宋体" w:hAnsi="宋体" w:cs="宋体"/>
          <w:color w:val="auto"/>
          <w:sz w:val="21"/>
          <w:szCs w:val="21"/>
          <w:highlight w:val="none"/>
        </w:rPr>
        <w:t>26.组建评标委员会</w:t>
      </w:r>
    </w:p>
    <w:p w14:paraId="7542BEEC">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26.1评标委员会由采购人代表和评审专家组成，具体人数详见“投标人须知前附表”，其中评审专家不得少于成员总数的三分之二。</w:t>
      </w:r>
    </w:p>
    <w:p w14:paraId="1CA3686F">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26.2参加过采购项目前期咨询论证的专家，不得参加该采购项目的评审活动。</w:t>
      </w:r>
    </w:p>
    <w:p w14:paraId="43EA382D">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26.3</w:t>
      </w:r>
      <w:r>
        <w:rPr>
          <w:rFonts w:hint="eastAsia" w:hAnsi="宋体" w:cs="宋体"/>
          <w:bCs/>
          <w:color w:val="auto"/>
          <w:sz w:val="21"/>
          <w:highlight w:val="none"/>
        </w:rPr>
        <w:t>采购代理机构应当基于广西政府采购云平台抽（选）取评审专家。</w:t>
      </w:r>
    </w:p>
    <w:p w14:paraId="0B79E5A0">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27.评标的依据</w:t>
      </w:r>
    </w:p>
    <w:p w14:paraId="5E6AE558">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评标委员会以“第四章评标方法和评标标准”为依据对投标文件进行评审，没有规定的方法、评审因素和标准，不作为评标依据。</w:t>
      </w:r>
    </w:p>
    <w:p w14:paraId="45ED3FFA">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28.评标原则</w:t>
      </w:r>
    </w:p>
    <w:p w14:paraId="39BC3FF3">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05EE16DC">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28.2</w:t>
      </w:r>
      <w:bookmarkStart w:id="176" w:name="_28.3评标方法。本项目将按须知前附表规定的评标办法进行评标，具体评标"/>
      <w:bookmarkEnd w:id="176"/>
      <w:r>
        <w:rPr>
          <w:rFonts w:hint="eastAsia" w:hAnsi="宋体" w:cs="宋体"/>
          <w:color w:val="auto"/>
          <w:sz w:val="21"/>
          <w:highlight w:val="none"/>
        </w:rPr>
        <w:t>评委表决。评标委员会成员对需要共同认定的事项存在争议的，应当按照少数服从多数的原则作出结论。</w:t>
      </w:r>
    </w:p>
    <w:p w14:paraId="19EFB7A3">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1C64A728">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28.4评标过程的监控。本项目电子评标过程实行网上留痕、全程录音、录像监控，</w:t>
      </w:r>
      <w:r>
        <w:rPr>
          <w:rFonts w:hint="eastAsia" w:hAnsi="宋体" w:cs="宋体"/>
          <w:b/>
          <w:color w:val="auto"/>
          <w:sz w:val="21"/>
          <w:highlight w:val="none"/>
        </w:rPr>
        <w:t>投标人在评标过程中所进行的试图影响评标结果的不公正活动，可能导致其投标按无效处理。</w:t>
      </w:r>
    </w:p>
    <w:p w14:paraId="5C6D732F">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29.评标方法及中标候选人推荐</w:t>
      </w:r>
    </w:p>
    <w:p w14:paraId="6DE8C11E">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29.1本项目的评标方法详见“投标人须知前附表”。</w:t>
      </w:r>
    </w:p>
    <w:p w14:paraId="15457D15">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29.2商务/技术要求允许负偏离的条款数详见“投标人须知前附表”。</w:t>
      </w:r>
    </w:p>
    <w:p w14:paraId="25DC58BC">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29.3中标候选人推荐数量详见“投标人须知前附表”。</w:t>
      </w:r>
    </w:p>
    <w:p w14:paraId="1144F06D">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29.4电子交易活动的中止。采购过程中出现以下情形，导致电子交易平台无法正常运行，或者无法保证电子交易的公平、公正和安全时，采购代理机构可以中止电子交易活动：</w:t>
      </w:r>
    </w:p>
    <w:p w14:paraId="1CC84E0E">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（1）电子交易平台发生故障而无法登录访问的；</w:t>
      </w:r>
    </w:p>
    <w:p w14:paraId="4B673B5D">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（2）电子交易平台应用或数据库出现错误，不能进行正常操作的；</w:t>
      </w:r>
    </w:p>
    <w:p w14:paraId="525D352D">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（3）电子交易平台发现严重安全漏洞，有潜在泄密危险的；</w:t>
      </w:r>
    </w:p>
    <w:p w14:paraId="5CCDE9BF">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（4）病毒发作导致不能进行正常操作的；</w:t>
      </w:r>
    </w:p>
    <w:p w14:paraId="628D1B87">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（5）其他无法保证电子交易的公平、公正和安全的情况。</w:t>
      </w:r>
    </w:p>
    <w:p w14:paraId="5A65ED66">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作出妥善保密处理，并报财政部门备案。</w:t>
      </w:r>
    </w:p>
    <w:p w14:paraId="1351365A">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29.5出现下列情形之一的，应予废标：</w:t>
      </w:r>
    </w:p>
    <w:p w14:paraId="2D9EDB6F">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（1）符合专业条件的供应商或者对招标文件作实质响应的供应商不足三家的；</w:t>
      </w:r>
    </w:p>
    <w:p w14:paraId="425508C4">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（2）出现影响采购公正的违法、违规行为的；</w:t>
      </w:r>
    </w:p>
    <w:p w14:paraId="533E2011">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（3）投标人的报价均超过了采购预算，采购人不能支付的；</w:t>
      </w:r>
    </w:p>
    <w:p w14:paraId="1161165A">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（4）因重大变故，采购任务取消的。</w:t>
      </w:r>
    </w:p>
    <w:p w14:paraId="54A33CEE">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废标后，采购人应当将废标理由通知所有投标人。</w:t>
      </w:r>
    </w:p>
    <w:p w14:paraId="1565662F">
      <w:pPr>
        <w:pStyle w:val="6"/>
        <w:keepNext w:val="0"/>
        <w:keepLines w:val="0"/>
        <w:spacing w:before="0" w:after="0" w:line="400" w:lineRule="exact"/>
        <w:jc w:val="center"/>
        <w:rPr>
          <w:rFonts w:hint="eastAsia" w:ascii="宋体" w:hAnsi="宋体" w:cs="宋体"/>
          <w:color w:val="auto"/>
          <w:sz w:val="21"/>
          <w:szCs w:val="21"/>
          <w:highlight w:val="none"/>
        </w:rPr>
      </w:pPr>
      <w:bookmarkStart w:id="177" w:name="_Toc254970687"/>
      <w:bookmarkStart w:id="178" w:name="_Toc254970546"/>
      <w:r>
        <w:rPr>
          <w:rFonts w:hint="eastAsia" w:ascii="宋体" w:hAnsi="宋体" w:cs="宋体"/>
          <w:color w:val="auto"/>
          <w:sz w:val="21"/>
          <w:szCs w:val="21"/>
          <w:highlight w:val="none"/>
        </w:rPr>
        <w:t>七、</w:t>
      </w:r>
      <w:bookmarkEnd w:id="177"/>
      <w:bookmarkEnd w:id="178"/>
      <w:r>
        <w:rPr>
          <w:rFonts w:hint="eastAsia" w:ascii="宋体" w:hAnsi="宋体" w:cs="宋体"/>
          <w:color w:val="auto"/>
          <w:sz w:val="21"/>
          <w:szCs w:val="21"/>
          <w:highlight w:val="none"/>
        </w:rPr>
        <w:t>中标和合同</w:t>
      </w:r>
    </w:p>
    <w:p w14:paraId="6E0DC5E1">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30确定中标人</w:t>
      </w:r>
    </w:p>
    <w:p w14:paraId="216D3A68">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30.1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76667062">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30.2采购人在收到评标报告5个工作日内未按评标报告推荐的中标候选人顺序确定中标人，又不能说明合法理由的，视同按评标报告推荐的顺序确定排名第一的中标候选人为中标人。</w:t>
      </w:r>
    </w:p>
    <w:p w14:paraId="52F2602D">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31.结果公告</w:t>
      </w:r>
    </w:p>
    <w:p w14:paraId="376092DD">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31.1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14:paraId="0EEEED13">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以上信息查询记录及相关证据与招标文件一并保存。</w:t>
      </w:r>
    </w:p>
    <w:p w14:paraId="7F099BA2">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31.2中标供应商享受《政府采购促进中小企业发展管理办法》（财库〔2020〕46号）规定的中小企业扶持政策的，采购人、采购代理机构应当随中标结果公开中标供应商的《中小企业声明函》。</w:t>
      </w:r>
    </w:p>
    <w:p w14:paraId="2EA49CB9">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32.发出中标通知书</w:t>
      </w:r>
    </w:p>
    <w:p w14:paraId="7C1D3D3F">
      <w:pPr>
        <w:pStyle w:val="8"/>
        <w:keepNext w:val="0"/>
        <w:keepLines w:val="0"/>
        <w:spacing w:before="0" w:after="0" w:line="400" w:lineRule="exact"/>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在发布中标公告的同时，采购代理机构向中标人通过广西政府采购云平台发出电子中标通知书。对未通过资格审查的投标人，应当告知其未通过的原因；采用综合评分办法评审的，还应当告知未中标人本人的评审得分与排序。</w:t>
      </w:r>
    </w:p>
    <w:p w14:paraId="513C83E5">
      <w:pPr>
        <w:pStyle w:val="8"/>
        <w:keepNext w:val="0"/>
        <w:keepLines w:val="0"/>
        <w:spacing w:before="0" w:after="0" w:line="400" w:lineRule="exact"/>
        <w:rPr>
          <w:rFonts w:hint="eastAsia" w:ascii="宋体" w:hAnsi="宋体" w:cs="宋体"/>
          <w:b w:val="0"/>
          <w:color w:val="auto"/>
          <w:sz w:val="21"/>
          <w:szCs w:val="21"/>
          <w:highlight w:val="none"/>
        </w:rPr>
      </w:pPr>
      <w:r>
        <w:rPr>
          <w:rFonts w:hint="eastAsia" w:ascii="宋体" w:hAnsi="宋体" w:cs="宋体"/>
          <w:color w:val="auto"/>
          <w:sz w:val="21"/>
          <w:szCs w:val="21"/>
          <w:highlight w:val="none"/>
        </w:rPr>
        <w:t>33.无义务解释未中标原因</w:t>
      </w:r>
    </w:p>
    <w:p w14:paraId="4FB0FC12">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采购代理机构无义务向未中标的投标人解释未中标原因。</w:t>
      </w:r>
    </w:p>
    <w:p w14:paraId="53C311B5">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34.合同授予标准</w:t>
      </w:r>
    </w:p>
    <w:p w14:paraId="7D8B3E6B">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合同将授予被确定实质上响应招标文件要求，具备履行合同能力的中标人。</w:t>
      </w:r>
    </w:p>
    <w:p w14:paraId="61E67DC3">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35.履约保证金</w:t>
      </w:r>
    </w:p>
    <w:p w14:paraId="62739B72">
      <w:pPr>
        <w:pStyle w:val="8"/>
        <w:keepNext w:val="0"/>
        <w:keepLines w:val="0"/>
        <w:spacing w:before="0" w:after="0" w:line="400" w:lineRule="exact"/>
        <w:ind w:firstLine="315" w:firstLineChars="150"/>
        <w:rPr>
          <w:rFonts w:hint="eastAsia" w:ascii="宋体" w:hAnsi="宋体" w:cs="宋体"/>
          <w:b w:val="0"/>
          <w:color w:val="auto"/>
          <w:sz w:val="21"/>
          <w:szCs w:val="21"/>
          <w:highlight w:val="none"/>
        </w:rPr>
      </w:pPr>
      <w:bookmarkStart w:id="179" w:name="_39.1中标人须于签订合同前按本须知前附表规定的金额转账或电汇到指定账"/>
      <w:bookmarkEnd w:id="179"/>
      <w:r>
        <w:rPr>
          <w:rFonts w:hint="eastAsia" w:ascii="宋体" w:hAnsi="宋体" w:cs="宋体"/>
          <w:b w:val="0"/>
          <w:color w:val="auto"/>
          <w:sz w:val="21"/>
          <w:szCs w:val="21"/>
          <w:highlight w:val="none"/>
        </w:rPr>
        <w:t>35.1履约保证金的金额、提交方式、缴纳期限、退付的时间和条件详见“投标人须知前附表”。中标人未按规定提交履约保证金的，视为拒绝与采购人签订合同。</w:t>
      </w:r>
    </w:p>
    <w:p w14:paraId="081F5D0D">
      <w:pPr>
        <w:pStyle w:val="8"/>
        <w:keepNext w:val="0"/>
        <w:keepLines w:val="0"/>
        <w:spacing w:before="0" w:after="0" w:line="400" w:lineRule="exact"/>
        <w:ind w:firstLine="315" w:firstLineChars="150"/>
        <w:rPr>
          <w:rFonts w:hint="eastAsia" w:ascii="宋体" w:hAnsi="宋体" w:cs="宋体"/>
          <w:color w:val="auto"/>
          <w:sz w:val="21"/>
          <w:szCs w:val="21"/>
          <w:highlight w:val="none"/>
        </w:rPr>
      </w:pPr>
      <w:r>
        <w:rPr>
          <w:rFonts w:hint="eastAsia" w:ascii="宋体" w:hAnsi="宋体" w:cs="宋体"/>
          <w:b w:val="0"/>
          <w:bCs/>
          <w:color w:val="auto"/>
          <w:sz w:val="21"/>
          <w:szCs w:val="21"/>
          <w:highlight w:val="none"/>
        </w:rPr>
        <w:t>35.2在履约保证金退还日期前，若中标人的开户名称、开户银行、账号有变动的，请以书面形式通知履约保证金收取单位，否则由此产生的后果由中标人自行承担。</w:t>
      </w:r>
    </w:p>
    <w:p w14:paraId="36418022">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36.签订合同</w:t>
      </w:r>
    </w:p>
    <w:p w14:paraId="09DD6BFA">
      <w:pPr>
        <w:pStyle w:val="8"/>
        <w:keepNext w:val="0"/>
        <w:keepLines w:val="0"/>
        <w:spacing w:before="0" w:after="0" w:line="400" w:lineRule="exact"/>
        <w:ind w:firstLine="316" w:firstLineChars="150"/>
        <w:rPr>
          <w:rFonts w:hint="eastAsia" w:ascii="宋体" w:hAnsi="宋体" w:cs="宋体"/>
          <w:b w:val="0"/>
          <w:color w:val="auto"/>
          <w:sz w:val="21"/>
          <w:szCs w:val="21"/>
          <w:highlight w:val="none"/>
        </w:rPr>
      </w:pPr>
      <w:bookmarkStart w:id="180" w:name="_40.1投标人接到中标通知书后，按须知前附表规定向采购人出示相关资格证"/>
      <w:bookmarkEnd w:id="180"/>
      <w:r>
        <w:rPr>
          <w:rFonts w:hint="eastAsia" w:ascii="宋体" w:hAnsi="宋体" w:cs="宋体"/>
          <w:color w:val="auto"/>
          <w:sz w:val="21"/>
          <w:szCs w:val="21"/>
          <w:highlight w:val="none"/>
        </w:rPr>
        <w:t>36.1签订电子采购合同：中标人领取电子中标通知书后，</w:t>
      </w:r>
      <w:r>
        <w:rPr>
          <w:rFonts w:hint="eastAsia" w:ascii="宋体" w:hAnsi="宋体" w:cs="宋体"/>
          <w:color w:val="auto"/>
          <w:kern w:val="0"/>
          <w:sz w:val="21"/>
          <w:szCs w:val="21"/>
          <w:highlight w:val="none"/>
        </w:rPr>
        <w:t>在</w:t>
      </w:r>
      <w:r>
        <w:rPr>
          <w:rFonts w:hint="eastAsia" w:ascii="宋体" w:hAnsi="宋体" w:cs="宋体"/>
          <w:color w:val="auto"/>
          <w:kern w:val="0"/>
          <w:sz w:val="21"/>
          <w:szCs w:val="21"/>
          <w:highlight w:val="none"/>
          <w:lang w:val="zh-CN"/>
        </w:rPr>
        <w:t>规定的日期、时间、地点，由法定代表人或其授权代表与采购人代表签订电子采购合同。如中标人为联合体的，由联合体成员各方法定代表人或其授权代表与采购人代表签订合同。</w:t>
      </w:r>
    </w:p>
    <w:p w14:paraId="0E83FE36">
      <w:pPr>
        <w:pStyle w:val="8"/>
        <w:keepNext w:val="0"/>
        <w:keepLines w:val="0"/>
        <w:spacing w:before="0" w:after="0" w:line="4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线下签订纸质合同：投标人领取中标通知书后，按“投标人须知前附表”规定向采购人出示相关证明材料，经采购人核验合格后方可签订合同。</w:t>
      </w:r>
    </w:p>
    <w:p w14:paraId="78BC0D6B">
      <w:pPr>
        <w:pStyle w:val="8"/>
        <w:keepNext w:val="0"/>
        <w:keepLines w:val="0"/>
        <w:spacing w:before="0" w:after="0" w:line="400" w:lineRule="exact"/>
        <w:ind w:firstLine="420" w:firstLineChars="20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36.2签订合同时间：按中标通知书规定的时间与采购人签订合同。</w:t>
      </w:r>
    </w:p>
    <w:p w14:paraId="615BBDBA">
      <w:pPr>
        <w:pStyle w:val="8"/>
        <w:keepNext w:val="0"/>
        <w:keepLines w:val="0"/>
        <w:spacing w:before="0" w:after="0" w:line="400" w:lineRule="exact"/>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36.3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商造成损失的，中标供应商可追究采购人承担相应的法律责任。</w:t>
      </w:r>
    </w:p>
    <w:p w14:paraId="178A6C27">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3463D701">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36.5采购人或中标供应商不得单方面向合同另一方提出任何招标文件没有约定的条件或不合理的要求，作为签订合同的条件；也不得协商另行订立背离招标文件和合同实质性内容的协议。</w:t>
      </w:r>
    </w:p>
    <w:p w14:paraId="753C1C19">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36.6如签订合同并生效后，供应商无故拒绝或延期，除按照合同条款处理外，将承担相应的法律责任。</w:t>
      </w:r>
    </w:p>
    <w:p w14:paraId="1E0EEA03">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36.7政府采购合同履行中，采购人需追加与合同标的相同的货物、工程或者服务的，在不改变合同其他条款的前提下，可以与供应商协商签订补充合同，但所有补充合同的采购金额不得超过原合同采购金额的10%。</w:t>
      </w:r>
    </w:p>
    <w:p w14:paraId="3D34438A">
      <w:pPr>
        <w:pStyle w:val="8"/>
        <w:keepNext w:val="0"/>
        <w:keepLines w:val="0"/>
        <w:spacing w:before="0" w:after="0" w:line="400" w:lineRule="exact"/>
        <w:rPr>
          <w:rFonts w:hint="eastAsia" w:ascii="宋体" w:hAnsi="宋体" w:cs="宋体"/>
          <w:color w:val="auto"/>
          <w:sz w:val="21"/>
          <w:szCs w:val="21"/>
          <w:highlight w:val="none"/>
        </w:rPr>
      </w:pPr>
      <w:bookmarkStart w:id="181" w:name="_41.政府采购合同公告"/>
      <w:bookmarkEnd w:id="181"/>
      <w:r>
        <w:rPr>
          <w:rFonts w:hint="eastAsia" w:ascii="宋体" w:hAnsi="宋体" w:cs="宋体"/>
          <w:color w:val="auto"/>
          <w:sz w:val="21"/>
          <w:szCs w:val="21"/>
          <w:highlight w:val="none"/>
        </w:rPr>
        <w:t>37.政府采购合同公告</w:t>
      </w:r>
    </w:p>
    <w:p w14:paraId="190FE5CB">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采购人或者受托采购代理机构应当自政府采购合同签订之日起2个工作日内，将政府采购合同在省级以上人民政府财政部门指定的媒体上公告，但政府采购合同中涉及国家秘密、商业秘密的内容除外。</w:t>
      </w:r>
    </w:p>
    <w:p w14:paraId="11EF5C5D">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38.询问、质疑和投诉</w:t>
      </w:r>
    </w:p>
    <w:p w14:paraId="26B7176E">
      <w:pPr>
        <w:pStyle w:val="9"/>
        <w:spacing w:line="400" w:lineRule="exact"/>
        <w:rPr>
          <w:rFonts w:hint="eastAsia" w:ascii="宋体" w:hAnsi="宋体" w:cs="宋体"/>
          <w:color w:val="auto"/>
          <w:szCs w:val="21"/>
          <w:highlight w:val="none"/>
        </w:rPr>
      </w:pPr>
      <w:r>
        <w:rPr>
          <w:rFonts w:hint="eastAsia" w:ascii="宋体" w:hAnsi="宋体" w:cs="宋体"/>
          <w:color w:val="auto"/>
          <w:szCs w:val="21"/>
          <w:highlight w:val="none"/>
        </w:rPr>
        <w:t>38.1供应商对政府采购活动事项有疑问的，可以向采购人提出询问，采购人或者采购代理机构应当在3个工作日内对供应商依法提出的询问作出答复，但答复的内容不得涉及商业秘密。</w:t>
      </w:r>
    </w:p>
    <w:p w14:paraId="590AA0EA">
      <w:pPr>
        <w:pStyle w:val="8"/>
        <w:keepNext w:val="0"/>
        <w:keepLines w:val="0"/>
        <w:spacing w:before="0" w:after="0" w:line="400" w:lineRule="exact"/>
        <w:ind w:firstLine="315" w:firstLineChars="150"/>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38.2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w:t>
      </w:r>
    </w:p>
    <w:p w14:paraId="07CC1591">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（1）对可以质疑的招标文件提出质疑的，为收到招标文件之日或者招标文件公告期限届满之日；</w:t>
      </w:r>
    </w:p>
    <w:p w14:paraId="3B640603">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（2）对采购过程提出质疑的，为各采购程序环节结束之日；</w:t>
      </w:r>
    </w:p>
    <w:p w14:paraId="07476C9F">
      <w:pPr>
        <w:pStyle w:val="43"/>
        <w:snapToGrid w:val="0"/>
        <w:spacing w:line="400" w:lineRule="exact"/>
        <w:ind w:firstLine="420" w:firstLineChars="200"/>
        <w:rPr>
          <w:rFonts w:hint="eastAsia" w:hAnsi="宋体" w:cs="宋体"/>
          <w:bCs/>
          <w:color w:val="auto"/>
          <w:sz w:val="21"/>
          <w:highlight w:val="none"/>
        </w:rPr>
      </w:pPr>
      <w:r>
        <w:rPr>
          <w:rFonts w:hint="eastAsia" w:hAnsi="宋体" w:cs="宋体"/>
          <w:color w:val="auto"/>
          <w:sz w:val="21"/>
          <w:highlight w:val="none"/>
        </w:rPr>
        <w:t>（3）对中标结果提出质疑的，为中标结果公告期限届满之日。</w:t>
      </w:r>
    </w:p>
    <w:p w14:paraId="5A1EC6D5">
      <w:pPr>
        <w:pStyle w:val="8"/>
        <w:keepNext w:val="0"/>
        <w:keepLines w:val="0"/>
        <w:spacing w:before="0" w:after="0" w:line="400" w:lineRule="exact"/>
        <w:ind w:firstLine="315" w:firstLineChars="150"/>
        <w:rPr>
          <w:rFonts w:hint="eastAsia" w:ascii="宋体" w:hAnsi="宋体" w:cs="宋体"/>
          <w:b w:val="0"/>
          <w:color w:val="auto"/>
          <w:sz w:val="21"/>
          <w:szCs w:val="21"/>
          <w:highlight w:val="none"/>
        </w:rPr>
      </w:pPr>
      <w:bookmarkStart w:id="182" w:name="_9.2质疑、投诉应当采用书面形式，质疑函、投诉书均应明确阐述招标文件、"/>
      <w:bookmarkEnd w:id="182"/>
      <w:r>
        <w:rPr>
          <w:rFonts w:hint="eastAsia" w:ascii="宋体" w:hAnsi="宋体" w:cs="宋体"/>
          <w:b w:val="0"/>
          <w:color w:val="auto"/>
          <w:sz w:val="21"/>
          <w:szCs w:val="21"/>
          <w:highlight w:val="none"/>
        </w:rPr>
        <w:t>38.3</w:t>
      </w:r>
      <w:r>
        <w:rPr>
          <w:rFonts w:hint="eastAsia" w:ascii="宋体" w:hAnsi="宋体" w:cs="宋体"/>
          <w:b w:val="0"/>
          <w:bCs/>
          <w:color w:val="auto"/>
          <w:sz w:val="21"/>
          <w:szCs w:val="21"/>
          <w:highlight w:val="none"/>
        </w:rPr>
        <w:t>供应商提出质疑应当提交质疑函和必要的证明材料，针对同一采购程序环节的质疑必须在法定质疑期内一次性提出。质疑函应当包括下列内容（质疑函格式后附）：</w:t>
      </w:r>
    </w:p>
    <w:p w14:paraId="69BEC69F">
      <w:pPr>
        <w:pStyle w:val="43"/>
        <w:snapToGrid w:val="0"/>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（1）供应商的姓名或者名称、地址、邮编、联系人及联系电话；</w:t>
      </w:r>
    </w:p>
    <w:p w14:paraId="56D6BB85">
      <w:pPr>
        <w:pStyle w:val="43"/>
        <w:snapToGrid w:val="0"/>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（2）质疑项目的名称、编号；</w:t>
      </w:r>
    </w:p>
    <w:p w14:paraId="06E4BD87">
      <w:pPr>
        <w:pStyle w:val="43"/>
        <w:snapToGrid w:val="0"/>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（3）具体、明确的质疑事项和与质疑事项相关的请求；</w:t>
      </w:r>
    </w:p>
    <w:p w14:paraId="1047A037">
      <w:pPr>
        <w:pStyle w:val="43"/>
        <w:snapToGrid w:val="0"/>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（4）事实依据；</w:t>
      </w:r>
    </w:p>
    <w:p w14:paraId="26DA0BFD">
      <w:pPr>
        <w:pStyle w:val="43"/>
        <w:snapToGrid w:val="0"/>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（5）必要的法律依据；</w:t>
      </w:r>
    </w:p>
    <w:p w14:paraId="160AB09F">
      <w:pPr>
        <w:pStyle w:val="43"/>
        <w:snapToGrid w:val="0"/>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（6）提出质疑的日期。</w:t>
      </w:r>
    </w:p>
    <w:p w14:paraId="332670B8">
      <w:pPr>
        <w:pStyle w:val="43"/>
        <w:snapToGrid w:val="0"/>
        <w:spacing w:line="400" w:lineRule="exact"/>
        <w:ind w:firstLine="420" w:firstLineChars="200"/>
        <w:rPr>
          <w:rFonts w:hint="eastAsia" w:hAnsi="宋体" w:cs="宋体"/>
          <w:bCs/>
          <w:color w:val="auto"/>
          <w:sz w:val="21"/>
          <w:highlight w:val="none"/>
        </w:rPr>
      </w:pPr>
      <w:r>
        <w:rPr>
          <w:rFonts w:hint="eastAsia" w:hAnsi="宋体" w:cs="宋体"/>
          <w:bCs/>
          <w:color w:val="auto"/>
          <w:sz w:val="21"/>
          <w:highlight w:val="none"/>
        </w:rPr>
        <w:t>供应商为自然人的，应当由本人签字；供应商为法人或者其他组织的，应当由法定代表人、主要负责人，或者其委托代理人签字或者盖章，并加盖公章。</w:t>
      </w:r>
    </w:p>
    <w:p w14:paraId="2521C271">
      <w:pPr>
        <w:pStyle w:val="8"/>
        <w:keepNext w:val="0"/>
        <w:keepLines w:val="0"/>
        <w:snapToGrid w:val="0"/>
        <w:spacing w:before="0" w:after="0" w:line="400" w:lineRule="exact"/>
        <w:ind w:firstLine="420" w:firstLineChars="200"/>
        <w:rPr>
          <w:rFonts w:hint="eastAsia" w:ascii="宋体" w:hAnsi="宋体" w:cs="宋体"/>
          <w:b w:val="0"/>
          <w:bCs/>
          <w:color w:val="auto"/>
          <w:sz w:val="21"/>
          <w:szCs w:val="21"/>
          <w:highlight w:val="none"/>
        </w:rPr>
      </w:pPr>
      <w:r>
        <w:rPr>
          <w:rFonts w:hint="eastAsia" w:ascii="宋体" w:hAnsi="宋体" w:cs="宋体"/>
          <w:b w:val="0"/>
          <w:color w:val="auto"/>
          <w:sz w:val="21"/>
          <w:szCs w:val="21"/>
          <w:highlight w:val="none"/>
        </w:rPr>
        <w:t>3</w:t>
      </w:r>
      <w:r>
        <w:rPr>
          <w:rFonts w:hint="eastAsia" w:ascii="宋体" w:hAnsi="宋体" w:cs="宋体"/>
          <w:b w:val="0"/>
          <w:bCs/>
          <w:color w:val="auto"/>
          <w:sz w:val="21"/>
          <w:szCs w:val="21"/>
          <w:highlight w:val="none"/>
        </w:rPr>
        <w:t>8.4采购人、采购代理机构认为供应商质疑不成立，或者成立但未对中标结果构成影响的，继续开展采购活动；认为供应商质疑成立且影响或者可能影响中标结果的，按照下列情况处理：</w:t>
      </w:r>
    </w:p>
    <w:p w14:paraId="330B0AD2">
      <w:pPr>
        <w:pStyle w:val="8"/>
        <w:keepNext w:val="0"/>
        <w:keepLines w:val="0"/>
        <w:snapToGrid w:val="0"/>
        <w:spacing w:before="0" w:after="0" w:line="400" w:lineRule="exact"/>
        <w:ind w:firstLine="422" w:firstLineChars="200"/>
        <w:rPr>
          <w:rFonts w:hint="eastAsia" w:hAnsi="宋体" w:cs="宋体"/>
          <w:bCs/>
          <w:color w:val="auto"/>
          <w:sz w:val="21"/>
          <w:highlight w:val="none"/>
        </w:rPr>
      </w:pPr>
      <w:r>
        <w:rPr>
          <w:rFonts w:hint="eastAsia" w:hAnsi="宋体" w:cs="宋体"/>
          <w:bCs/>
          <w:color w:val="auto"/>
          <w:sz w:val="21"/>
          <w:highlight w:val="none"/>
        </w:rPr>
        <w:t>（一）对招标文件提出的质疑，依法通过澄清或者修改可以继续开展采购活动的，澄清或者修改招标文件后继续开展采购活动；否则应当修改招标文件后重新开展采购活动。</w:t>
      </w:r>
    </w:p>
    <w:p w14:paraId="676CF626">
      <w:pPr>
        <w:pStyle w:val="8"/>
        <w:keepNext w:val="0"/>
        <w:keepLines w:val="0"/>
        <w:snapToGrid w:val="0"/>
        <w:spacing w:before="0" w:after="0" w:line="400" w:lineRule="exact"/>
        <w:ind w:firstLine="422" w:firstLineChars="200"/>
        <w:rPr>
          <w:rFonts w:hint="eastAsia" w:hAnsi="宋体" w:cs="宋体"/>
          <w:bCs/>
          <w:color w:val="auto"/>
          <w:sz w:val="21"/>
          <w:highlight w:val="none"/>
        </w:rPr>
      </w:pPr>
      <w:r>
        <w:rPr>
          <w:rFonts w:hint="eastAsia" w:hAnsi="宋体" w:cs="宋体"/>
          <w:bCs/>
          <w:color w:val="auto"/>
          <w:sz w:val="21"/>
          <w:highlight w:val="none"/>
        </w:rPr>
        <w:t>（二）对采购过程、中标结果提出的质疑，合格供应商符合法定数量时，可以从合格的中标候选人中另行确定中标供应商的，应当依法另行确定中标供应商；否则应当重新开展采购活动。</w:t>
      </w:r>
    </w:p>
    <w:p w14:paraId="5A2C0165">
      <w:pPr>
        <w:pStyle w:val="43"/>
        <w:snapToGrid w:val="0"/>
        <w:spacing w:line="400" w:lineRule="exact"/>
        <w:ind w:firstLine="420"/>
        <w:rPr>
          <w:rFonts w:hint="eastAsia" w:hAnsi="宋体" w:cs="宋体"/>
          <w:bCs/>
          <w:color w:val="auto"/>
          <w:sz w:val="21"/>
          <w:highlight w:val="none"/>
        </w:rPr>
      </w:pPr>
      <w:r>
        <w:rPr>
          <w:rFonts w:hint="eastAsia" w:hAnsi="宋体" w:cs="宋体"/>
          <w:bCs/>
          <w:color w:val="auto"/>
          <w:sz w:val="21"/>
          <w:highlight w:val="none"/>
        </w:rPr>
        <w:t>质疑答复导致中标结果改变的，采购人或者采购代理机构应当将有关情况书面报告本级财政部门。</w:t>
      </w:r>
    </w:p>
    <w:p w14:paraId="653E679D">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2619EFC4">
      <w:pPr>
        <w:pStyle w:val="6"/>
        <w:keepNext w:val="0"/>
        <w:keepLines w:val="0"/>
        <w:spacing w:before="0" w:after="0" w:line="400" w:lineRule="exact"/>
        <w:jc w:val="center"/>
        <w:rPr>
          <w:rFonts w:hint="eastAsia" w:ascii="宋体" w:hAnsi="宋体" w:cs="宋体"/>
          <w:color w:val="auto"/>
          <w:sz w:val="21"/>
          <w:szCs w:val="21"/>
          <w:highlight w:val="none"/>
        </w:rPr>
      </w:pPr>
      <w:bookmarkStart w:id="183" w:name="_八、其他事项"/>
      <w:bookmarkEnd w:id="183"/>
      <w:r>
        <w:rPr>
          <w:rFonts w:hint="eastAsia" w:ascii="宋体" w:hAnsi="宋体" w:cs="宋体"/>
          <w:color w:val="auto"/>
          <w:sz w:val="21"/>
          <w:szCs w:val="21"/>
          <w:highlight w:val="none"/>
        </w:rPr>
        <w:t>八、其他事项</w:t>
      </w:r>
    </w:p>
    <w:p w14:paraId="4C100419">
      <w:pPr>
        <w:pStyle w:val="8"/>
        <w:keepNext w:val="0"/>
        <w:keepLines w:val="0"/>
        <w:spacing w:before="0" w:after="0" w:line="400" w:lineRule="exact"/>
        <w:rPr>
          <w:rFonts w:hint="eastAsia" w:ascii="宋体" w:hAnsi="宋体" w:cs="宋体"/>
          <w:color w:val="auto"/>
          <w:sz w:val="21"/>
          <w:szCs w:val="21"/>
          <w:highlight w:val="none"/>
        </w:rPr>
      </w:pPr>
      <w:bookmarkStart w:id="184" w:name="_42.代理服务费"/>
      <w:bookmarkEnd w:id="184"/>
      <w:r>
        <w:rPr>
          <w:rFonts w:hint="eastAsia" w:ascii="宋体" w:hAnsi="宋体" w:cs="宋体"/>
          <w:color w:val="auto"/>
          <w:sz w:val="21"/>
          <w:szCs w:val="21"/>
          <w:highlight w:val="none"/>
        </w:rPr>
        <w:t>39.代理服务费</w:t>
      </w:r>
    </w:p>
    <w:p w14:paraId="1D7A2161">
      <w:pPr>
        <w:pStyle w:val="8"/>
        <w:keepNext w:val="0"/>
        <w:keepLines w:val="0"/>
        <w:spacing w:before="0" w:after="0" w:line="400" w:lineRule="exact"/>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39.1代理服务收取标准及缴费账户详见“投标人须知前附表”，投标人为联合体的，可以由联合体中的一方或者多方共同交纳代理服务费。</w:t>
      </w:r>
    </w:p>
    <w:p w14:paraId="715F4819">
      <w:pPr>
        <w:pStyle w:val="8"/>
        <w:keepNext w:val="0"/>
        <w:keepLines w:val="0"/>
        <w:spacing w:before="0" w:after="0" w:line="400" w:lineRule="exact"/>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39.2代理服务收费标准：</w:t>
      </w:r>
    </w:p>
    <w:tbl>
      <w:tblPr>
        <w:tblStyle w:val="84"/>
        <w:tblW w:w="8477"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3B7BE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6F5DDA52">
            <w:pPr>
              <w:spacing w:line="360" w:lineRule="auto"/>
              <w:rPr>
                <w:rFonts w:hint="eastAsia" w:ascii="宋体" w:hAnsi="宋体"/>
                <w:color w:val="auto"/>
                <w:szCs w:val="21"/>
                <w:highlight w:val="none"/>
              </w:rPr>
            </w:pPr>
            <w:r>
              <w:rPr>
                <w:rFonts w:hint="eastAsia" w:ascii="宋体" w:hAnsi="宋体"/>
                <w:color w:val="auto"/>
                <w:szCs w:val="21"/>
                <w:highlight w:val="none"/>
              </w:rPr>
              <w:t>费率</w:t>
            </w:r>
          </w:p>
          <w:p w14:paraId="7E8D63B6">
            <w:pPr>
              <w:spacing w:line="360" w:lineRule="auto"/>
              <w:rPr>
                <w:rFonts w:hint="eastAsia" w:ascii="宋体" w:hAnsi="宋体"/>
                <w:color w:val="auto"/>
                <w:szCs w:val="21"/>
                <w:highlight w:val="none"/>
              </w:rPr>
            </w:pPr>
            <w:r>
              <w:rPr>
                <w:rFonts w:hint="eastAsia" w:ascii="宋体" w:hAnsi="宋体"/>
                <w:color w:val="auto"/>
                <w:szCs w:val="21"/>
                <w:highlight w:val="none"/>
              </w:rPr>
              <w:t>中标金额</w:t>
            </w:r>
          </w:p>
        </w:tc>
        <w:tc>
          <w:tcPr>
            <w:tcW w:w="1659" w:type="dxa"/>
            <w:vAlign w:val="center"/>
          </w:tcPr>
          <w:p w14:paraId="11373AED">
            <w:pPr>
              <w:spacing w:line="360" w:lineRule="auto"/>
              <w:ind w:firstLine="105" w:firstLineChars="50"/>
              <w:jc w:val="center"/>
              <w:rPr>
                <w:rFonts w:hint="eastAsia" w:ascii="宋体" w:hAnsi="宋体"/>
                <w:color w:val="auto"/>
                <w:szCs w:val="21"/>
                <w:highlight w:val="none"/>
              </w:rPr>
            </w:pPr>
            <w:r>
              <w:rPr>
                <w:rFonts w:hint="eastAsia" w:ascii="宋体" w:hAnsi="宋体"/>
                <w:color w:val="auto"/>
                <w:szCs w:val="21"/>
                <w:highlight w:val="none"/>
              </w:rPr>
              <w:t>货物招标</w:t>
            </w:r>
          </w:p>
        </w:tc>
        <w:tc>
          <w:tcPr>
            <w:tcW w:w="1687" w:type="dxa"/>
            <w:vAlign w:val="center"/>
          </w:tcPr>
          <w:p w14:paraId="0EDC48AD">
            <w:pPr>
              <w:spacing w:line="360" w:lineRule="auto"/>
              <w:jc w:val="center"/>
              <w:rPr>
                <w:rFonts w:hint="eastAsia" w:ascii="宋体" w:hAnsi="宋体"/>
                <w:color w:val="auto"/>
                <w:szCs w:val="21"/>
                <w:highlight w:val="none"/>
              </w:rPr>
            </w:pPr>
            <w:r>
              <w:rPr>
                <w:rFonts w:hint="eastAsia" w:ascii="宋体" w:hAnsi="宋体"/>
                <w:color w:val="auto"/>
                <w:szCs w:val="21"/>
                <w:highlight w:val="none"/>
              </w:rPr>
              <w:t>服务招标</w:t>
            </w:r>
          </w:p>
        </w:tc>
        <w:tc>
          <w:tcPr>
            <w:tcW w:w="1659" w:type="dxa"/>
            <w:vAlign w:val="center"/>
          </w:tcPr>
          <w:p w14:paraId="33DCDFA1">
            <w:pPr>
              <w:spacing w:line="360" w:lineRule="auto"/>
              <w:jc w:val="center"/>
              <w:rPr>
                <w:rFonts w:hint="eastAsia" w:ascii="宋体" w:hAnsi="宋体"/>
                <w:color w:val="auto"/>
                <w:szCs w:val="21"/>
                <w:highlight w:val="none"/>
              </w:rPr>
            </w:pPr>
            <w:r>
              <w:rPr>
                <w:rFonts w:hint="eastAsia" w:ascii="宋体" w:hAnsi="宋体"/>
                <w:color w:val="auto"/>
                <w:szCs w:val="21"/>
                <w:highlight w:val="none"/>
              </w:rPr>
              <w:t>工程招标</w:t>
            </w:r>
          </w:p>
        </w:tc>
      </w:tr>
      <w:tr w14:paraId="5C7A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A8AC10A">
            <w:pPr>
              <w:spacing w:line="360" w:lineRule="auto"/>
              <w:rPr>
                <w:rFonts w:hint="eastAsia" w:ascii="宋体" w:hAnsi="宋体"/>
                <w:color w:val="auto"/>
                <w:szCs w:val="21"/>
                <w:highlight w:val="none"/>
              </w:rPr>
            </w:pPr>
            <w:r>
              <w:rPr>
                <w:rFonts w:hint="eastAsia" w:ascii="宋体" w:hAnsi="宋体"/>
                <w:color w:val="auto"/>
                <w:szCs w:val="21"/>
                <w:highlight w:val="none"/>
              </w:rPr>
              <w:t>100万元以下</w:t>
            </w:r>
          </w:p>
        </w:tc>
        <w:tc>
          <w:tcPr>
            <w:tcW w:w="1659" w:type="dxa"/>
          </w:tcPr>
          <w:p w14:paraId="581C6C48">
            <w:pPr>
              <w:spacing w:line="360" w:lineRule="auto"/>
              <w:jc w:val="center"/>
              <w:rPr>
                <w:rFonts w:hint="eastAsia" w:ascii="宋体" w:hAnsi="宋体"/>
                <w:color w:val="auto"/>
                <w:szCs w:val="21"/>
                <w:highlight w:val="none"/>
              </w:rPr>
            </w:pPr>
            <w:r>
              <w:rPr>
                <w:rFonts w:ascii="宋体" w:hAnsi="宋体" w:cs="宋体"/>
                <w:color w:val="auto"/>
                <w:kern w:val="0"/>
                <w:szCs w:val="21"/>
                <w:highlight w:val="none"/>
              </w:rPr>
              <w:t>1.5%</w:t>
            </w:r>
          </w:p>
        </w:tc>
        <w:tc>
          <w:tcPr>
            <w:tcW w:w="1687" w:type="dxa"/>
          </w:tcPr>
          <w:p w14:paraId="5572E337">
            <w:pPr>
              <w:spacing w:line="360" w:lineRule="auto"/>
              <w:ind w:firstLine="210" w:firstLineChars="100"/>
              <w:jc w:val="center"/>
              <w:rPr>
                <w:rFonts w:hint="eastAsia" w:ascii="宋体" w:hAnsi="宋体"/>
                <w:color w:val="auto"/>
                <w:szCs w:val="21"/>
                <w:highlight w:val="none"/>
              </w:rPr>
            </w:pPr>
            <w:r>
              <w:rPr>
                <w:rFonts w:ascii="宋体" w:hAnsi="宋体" w:cs="宋体"/>
                <w:color w:val="auto"/>
                <w:kern w:val="0"/>
                <w:szCs w:val="21"/>
                <w:highlight w:val="none"/>
              </w:rPr>
              <w:t>1.5%</w:t>
            </w:r>
          </w:p>
        </w:tc>
        <w:tc>
          <w:tcPr>
            <w:tcW w:w="1659" w:type="dxa"/>
          </w:tcPr>
          <w:p w14:paraId="3383A5C0">
            <w:pPr>
              <w:spacing w:line="360" w:lineRule="auto"/>
              <w:ind w:firstLine="210" w:firstLineChars="100"/>
              <w:jc w:val="center"/>
              <w:rPr>
                <w:rFonts w:hint="eastAsia" w:ascii="宋体" w:hAnsi="宋体"/>
                <w:color w:val="auto"/>
                <w:szCs w:val="21"/>
                <w:highlight w:val="none"/>
              </w:rPr>
            </w:pPr>
            <w:r>
              <w:rPr>
                <w:rFonts w:ascii="宋体" w:hAnsi="宋体" w:cs="宋体"/>
                <w:color w:val="auto"/>
                <w:kern w:val="0"/>
                <w:szCs w:val="21"/>
                <w:highlight w:val="none"/>
              </w:rPr>
              <w:t>1.0%</w:t>
            </w:r>
          </w:p>
        </w:tc>
      </w:tr>
      <w:tr w14:paraId="419E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61694C4C">
            <w:pPr>
              <w:spacing w:line="360" w:lineRule="auto"/>
              <w:rPr>
                <w:rFonts w:hint="eastAsia" w:ascii="宋体" w:hAnsi="宋体"/>
                <w:color w:val="auto"/>
                <w:szCs w:val="21"/>
                <w:highlight w:val="none"/>
              </w:rPr>
            </w:pPr>
            <w:r>
              <w:rPr>
                <w:rFonts w:hint="eastAsia" w:ascii="宋体" w:hAnsi="宋体"/>
                <w:color w:val="auto"/>
                <w:szCs w:val="21"/>
                <w:highlight w:val="none"/>
              </w:rPr>
              <w:t>100万元～500万元</w:t>
            </w:r>
          </w:p>
        </w:tc>
        <w:tc>
          <w:tcPr>
            <w:tcW w:w="1659" w:type="dxa"/>
          </w:tcPr>
          <w:p w14:paraId="1FA0F3C0">
            <w:pPr>
              <w:spacing w:line="360" w:lineRule="auto"/>
              <w:ind w:firstLine="210" w:firstLineChars="100"/>
              <w:jc w:val="center"/>
              <w:rPr>
                <w:rFonts w:hint="eastAsia" w:ascii="宋体" w:hAnsi="宋体"/>
                <w:color w:val="auto"/>
                <w:szCs w:val="21"/>
                <w:highlight w:val="none"/>
              </w:rPr>
            </w:pPr>
            <w:r>
              <w:rPr>
                <w:rFonts w:ascii="宋体" w:hAnsi="宋体" w:cs="宋体"/>
                <w:color w:val="auto"/>
                <w:kern w:val="0"/>
                <w:szCs w:val="21"/>
                <w:highlight w:val="none"/>
              </w:rPr>
              <w:t>1.1%</w:t>
            </w:r>
          </w:p>
        </w:tc>
        <w:tc>
          <w:tcPr>
            <w:tcW w:w="1687" w:type="dxa"/>
          </w:tcPr>
          <w:p w14:paraId="7CB3D50D">
            <w:pPr>
              <w:spacing w:line="360" w:lineRule="auto"/>
              <w:ind w:firstLine="210" w:firstLineChars="100"/>
              <w:jc w:val="center"/>
              <w:rPr>
                <w:rFonts w:hint="eastAsia" w:ascii="宋体" w:hAnsi="宋体"/>
                <w:color w:val="auto"/>
                <w:szCs w:val="21"/>
                <w:highlight w:val="none"/>
              </w:rPr>
            </w:pPr>
            <w:r>
              <w:rPr>
                <w:rFonts w:ascii="宋体" w:hAnsi="宋体" w:cs="宋体"/>
                <w:color w:val="auto"/>
                <w:kern w:val="0"/>
                <w:szCs w:val="21"/>
                <w:highlight w:val="none"/>
              </w:rPr>
              <w:t>0.8%</w:t>
            </w:r>
          </w:p>
        </w:tc>
        <w:tc>
          <w:tcPr>
            <w:tcW w:w="1659" w:type="dxa"/>
          </w:tcPr>
          <w:p w14:paraId="1A015ECB">
            <w:pPr>
              <w:spacing w:line="360" w:lineRule="auto"/>
              <w:ind w:firstLine="210" w:firstLineChars="100"/>
              <w:jc w:val="center"/>
              <w:rPr>
                <w:rFonts w:hint="eastAsia" w:ascii="宋体" w:hAnsi="宋体"/>
                <w:color w:val="auto"/>
                <w:szCs w:val="21"/>
                <w:highlight w:val="none"/>
              </w:rPr>
            </w:pPr>
            <w:r>
              <w:rPr>
                <w:rFonts w:ascii="宋体" w:hAnsi="宋体" w:cs="宋体"/>
                <w:color w:val="auto"/>
                <w:kern w:val="0"/>
                <w:szCs w:val="21"/>
                <w:highlight w:val="none"/>
              </w:rPr>
              <w:t>0.7%</w:t>
            </w:r>
          </w:p>
        </w:tc>
      </w:tr>
      <w:tr w14:paraId="654D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08A6519">
            <w:pPr>
              <w:spacing w:line="360" w:lineRule="auto"/>
              <w:rPr>
                <w:rFonts w:hint="eastAsia" w:ascii="宋体" w:hAnsi="宋体"/>
                <w:color w:val="auto"/>
                <w:szCs w:val="21"/>
                <w:highlight w:val="none"/>
              </w:rPr>
            </w:pPr>
            <w:r>
              <w:rPr>
                <w:rFonts w:hint="eastAsia" w:ascii="宋体" w:hAnsi="宋体"/>
                <w:color w:val="auto"/>
                <w:szCs w:val="21"/>
                <w:highlight w:val="none"/>
              </w:rPr>
              <w:t>500万元～1000万元</w:t>
            </w:r>
          </w:p>
        </w:tc>
        <w:tc>
          <w:tcPr>
            <w:tcW w:w="1659" w:type="dxa"/>
          </w:tcPr>
          <w:p w14:paraId="085574A2">
            <w:pPr>
              <w:spacing w:line="360" w:lineRule="auto"/>
              <w:jc w:val="center"/>
              <w:rPr>
                <w:rFonts w:hint="eastAsia" w:ascii="宋体" w:hAnsi="宋体"/>
                <w:color w:val="auto"/>
                <w:szCs w:val="21"/>
                <w:highlight w:val="none"/>
              </w:rPr>
            </w:pPr>
            <w:r>
              <w:rPr>
                <w:rFonts w:ascii="宋体" w:hAnsi="宋体" w:cs="宋体"/>
                <w:color w:val="auto"/>
                <w:kern w:val="0"/>
                <w:szCs w:val="21"/>
                <w:highlight w:val="none"/>
              </w:rPr>
              <w:t>0.8%</w:t>
            </w:r>
          </w:p>
        </w:tc>
        <w:tc>
          <w:tcPr>
            <w:tcW w:w="1687" w:type="dxa"/>
          </w:tcPr>
          <w:p w14:paraId="51682AC4">
            <w:pPr>
              <w:spacing w:line="360" w:lineRule="auto"/>
              <w:ind w:firstLine="210" w:firstLineChars="100"/>
              <w:jc w:val="center"/>
              <w:rPr>
                <w:rFonts w:hint="eastAsia" w:ascii="宋体" w:hAnsi="宋体"/>
                <w:color w:val="auto"/>
                <w:szCs w:val="21"/>
                <w:highlight w:val="none"/>
              </w:rPr>
            </w:pPr>
            <w:r>
              <w:rPr>
                <w:rFonts w:ascii="宋体" w:hAnsi="宋体" w:cs="宋体"/>
                <w:color w:val="auto"/>
                <w:kern w:val="0"/>
                <w:szCs w:val="21"/>
                <w:highlight w:val="none"/>
              </w:rPr>
              <w:t>0.45%</w:t>
            </w:r>
          </w:p>
        </w:tc>
        <w:tc>
          <w:tcPr>
            <w:tcW w:w="1659" w:type="dxa"/>
          </w:tcPr>
          <w:p w14:paraId="243D78B9">
            <w:pPr>
              <w:spacing w:line="360" w:lineRule="auto"/>
              <w:ind w:firstLine="210" w:firstLineChars="100"/>
              <w:jc w:val="center"/>
              <w:rPr>
                <w:rFonts w:hint="eastAsia" w:ascii="宋体" w:hAnsi="宋体"/>
                <w:color w:val="auto"/>
                <w:szCs w:val="21"/>
                <w:highlight w:val="none"/>
              </w:rPr>
            </w:pPr>
            <w:r>
              <w:rPr>
                <w:rFonts w:ascii="宋体" w:hAnsi="宋体" w:cs="宋体"/>
                <w:color w:val="auto"/>
                <w:kern w:val="0"/>
                <w:szCs w:val="21"/>
                <w:highlight w:val="none"/>
              </w:rPr>
              <w:t>0.55%</w:t>
            </w:r>
          </w:p>
        </w:tc>
      </w:tr>
      <w:tr w14:paraId="7300B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79F74E6">
            <w:pPr>
              <w:spacing w:line="360" w:lineRule="auto"/>
              <w:rPr>
                <w:rFonts w:hint="eastAsia" w:ascii="宋体" w:hAnsi="宋体"/>
                <w:color w:val="auto"/>
                <w:szCs w:val="21"/>
                <w:highlight w:val="none"/>
              </w:rPr>
            </w:pPr>
            <w:r>
              <w:rPr>
                <w:rFonts w:hint="eastAsia" w:ascii="宋体" w:hAnsi="宋体"/>
                <w:color w:val="auto"/>
                <w:szCs w:val="21"/>
                <w:highlight w:val="none"/>
              </w:rPr>
              <w:t>1000万元～5000万元</w:t>
            </w:r>
          </w:p>
        </w:tc>
        <w:tc>
          <w:tcPr>
            <w:tcW w:w="1659" w:type="dxa"/>
          </w:tcPr>
          <w:p w14:paraId="1B548488">
            <w:pPr>
              <w:spacing w:line="360" w:lineRule="auto"/>
              <w:ind w:firstLine="210" w:firstLineChars="100"/>
              <w:jc w:val="center"/>
              <w:rPr>
                <w:rFonts w:hint="eastAsia" w:ascii="宋体" w:hAnsi="宋体"/>
                <w:color w:val="auto"/>
                <w:szCs w:val="21"/>
                <w:highlight w:val="none"/>
              </w:rPr>
            </w:pPr>
            <w:r>
              <w:rPr>
                <w:rFonts w:ascii="宋体" w:hAnsi="宋体" w:cs="宋体"/>
                <w:color w:val="auto"/>
                <w:kern w:val="0"/>
                <w:szCs w:val="21"/>
                <w:highlight w:val="none"/>
              </w:rPr>
              <w:t>0.5%</w:t>
            </w:r>
          </w:p>
        </w:tc>
        <w:tc>
          <w:tcPr>
            <w:tcW w:w="1687" w:type="dxa"/>
          </w:tcPr>
          <w:p w14:paraId="146D1B3E">
            <w:pPr>
              <w:spacing w:line="360" w:lineRule="auto"/>
              <w:ind w:firstLine="210" w:firstLineChars="100"/>
              <w:jc w:val="center"/>
              <w:rPr>
                <w:rFonts w:hint="eastAsia" w:ascii="宋体" w:hAnsi="宋体"/>
                <w:color w:val="auto"/>
                <w:szCs w:val="21"/>
                <w:highlight w:val="none"/>
              </w:rPr>
            </w:pPr>
            <w:r>
              <w:rPr>
                <w:rFonts w:ascii="宋体" w:hAnsi="宋体" w:cs="宋体"/>
                <w:color w:val="auto"/>
                <w:kern w:val="0"/>
                <w:szCs w:val="21"/>
                <w:highlight w:val="none"/>
              </w:rPr>
              <w:t>0.25%</w:t>
            </w:r>
          </w:p>
        </w:tc>
        <w:tc>
          <w:tcPr>
            <w:tcW w:w="1659" w:type="dxa"/>
          </w:tcPr>
          <w:p w14:paraId="38BAD817">
            <w:pPr>
              <w:spacing w:line="360" w:lineRule="auto"/>
              <w:ind w:firstLine="210" w:firstLineChars="100"/>
              <w:jc w:val="center"/>
              <w:rPr>
                <w:rFonts w:hint="eastAsia" w:ascii="宋体" w:hAnsi="宋体"/>
                <w:color w:val="auto"/>
                <w:szCs w:val="21"/>
                <w:highlight w:val="none"/>
              </w:rPr>
            </w:pPr>
            <w:r>
              <w:rPr>
                <w:rFonts w:ascii="宋体" w:hAnsi="宋体" w:cs="宋体"/>
                <w:color w:val="auto"/>
                <w:kern w:val="0"/>
                <w:szCs w:val="21"/>
                <w:highlight w:val="none"/>
              </w:rPr>
              <w:t>0.35%</w:t>
            </w:r>
          </w:p>
        </w:tc>
      </w:tr>
      <w:tr w14:paraId="1732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D8DB9B0">
            <w:pPr>
              <w:spacing w:line="360" w:lineRule="auto"/>
              <w:rPr>
                <w:rFonts w:hint="eastAsia" w:ascii="宋体" w:hAnsi="宋体"/>
                <w:color w:val="auto"/>
                <w:szCs w:val="21"/>
                <w:highlight w:val="none"/>
              </w:rPr>
            </w:pPr>
            <w:r>
              <w:rPr>
                <w:rFonts w:hint="eastAsia" w:ascii="宋体" w:hAnsi="宋体"/>
                <w:color w:val="auto"/>
                <w:szCs w:val="21"/>
                <w:highlight w:val="none"/>
              </w:rPr>
              <w:t>5000万元～1亿元</w:t>
            </w:r>
          </w:p>
        </w:tc>
        <w:tc>
          <w:tcPr>
            <w:tcW w:w="1659" w:type="dxa"/>
          </w:tcPr>
          <w:p w14:paraId="41199AAF">
            <w:pPr>
              <w:spacing w:line="360" w:lineRule="auto"/>
              <w:ind w:firstLine="210" w:firstLineChars="100"/>
              <w:jc w:val="center"/>
              <w:rPr>
                <w:rFonts w:hint="eastAsia" w:ascii="宋体" w:hAnsi="宋体"/>
                <w:color w:val="auto"/>
                <w:szCs w:val="21"/>
                <w:highlight w:val="none"/>
              </w:rPr>
            </w:pPr>
            <w:r>
              <w:rPr>
                <w:rFonts w:ascii="宋体" w:hAnsi="宋体" w:cs="宋体"/>
                <w:color w:val="auto"/>
                <w:kern w:val="0"/>
                <w:szCs w:val="21"/>
                <w:highlight w:val="none"/>
              </w:rPr>
              <w:t>0.25%</w:t>
            </w:r>
          </w:p>
        </w:tc>
        <w:tc>
          <w:tcPr>
            <w:tcW w:w="1687" w:type="dxa"/>
          </w:tcPr>
          <w:p w14:paraId="0E500E42">
            <w:pPr>
              <w:spacing w:line="360" w:lineRule="auto"/>
              <w:ind w:firstLine="210" w:firstLineChars="100"/>
              <w:jc w:val="center"/>
              <w:rPr>
                <w:rFonts w:hint="eastAsia" w:ascii="宋体" w:hAnsi="宋体"/>
                <w:color w:val="auto"/>
                <w:szCs w:val="21"/>
                <w:highlight w:val="none"/>
              </w:rPr>
            </w:pPr>
            <w:r>
              <w:rPr>
                <w:rFonts w:ascii="宋体" w:hAnsi="宋体" w:cs="宋体"/>
                <w:color w:val="auto"/>
                <w:kern w:val="0"/>
                <w:szCs w:val="21"/>
                <w:highlight w:val="none"/>
              </w:rPr>
              <w:t>0.1%</w:t>
            </w:r>
          </w:p>
        </w:tc>
        <w:tc>
          <w:tcPr>
            <w:tcW w:w="1659" w:type="dxa"/>
          </w:tcPr>
          <w:p w14:paraId="303FB5EC">
            <w:pPr>
              <w:spacing w:line="360" w:lineRule="auto"/>
              <w:ind w:firstLine="210" w:firstLineChars="100"/>
              <w:jc w:val="center"/>
              <w:rPr>
                <w:rFonts w:hint="eastAsia" w:ascii="宋体" w:hAnsi="宋体"/>
                <w:color w:val="auto"/>
                <w:szCs w:val="21"/>
                <w:highlight w:val="none"/>
              </w:rPr>
            </w:pPr>
            <w:r>
              <w:rPr>
                <w:rFonts w:ascii="宋体" w:hAnsi="宋体" w:cs="宋体"/>
                <w:color w:val="auto"/>
                <w:kern w:val="0"/>
                <w:szCs w:val="21"/>
                <w:highlight w:val="none"/>
              </w:rPr>
              <w:t>0.2%</w:t>
            </w:r>
          </w:p>
        </w:tc>
      </w:tr>
    </w:tbl>
    <w:p w14:paraId="15831E9A">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w:t>
      </w:r>
    </w:p>
    <w:p w14:paraId="6239A5C7">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（1）按本表费率计算的收费为采购代理的收费基准价格；</w:t>
      </w:r>
    </w:p>
    <w:p w14:paraId="3F34366D">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40.需要补充的其他内容</w:t>
      </w:r>
    </w:p>
    <w:p w14:paraId="5118BC47">
      <w:pPr>
        <w:pStyle w:val="43"/>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40.1本招标文件解释规则详见“投标人须知前附表”。</w:t>
      </w:r>
    </w:p>
    <w:p w14:paraId="3CFBD0FA">
      <w:pPr>
        <w:pStyle w:val="43"/>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40.2其他事项详见“投标人须知前附表”。</w:t>
      </w:r>
    </w:p>
    <w:p w14:paraId="238CD0DA">
      <w:pPr>
        <w:pStyle w:val="43"/>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6C35005A">
      <w:pPr>
        <w:pStyle w:val="43"/>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485B6FA3">
      <w:pPr>
        <w:pStyle w:val="43"/>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（2）在工程采购项目中，工程由中小企业承建，即工程施工单位为中小企业，不对其中涉及的货物的制造商和服务的承接商作出要求；</w:t>
      </w:r>
    </w:p>
    <w:p w14:paraId="76D68C44">
      <w:pPr>
        <w:pStyle w:val="43"/>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1FCFF48E">
      <w:pPr>
        <w:pStyle w:val="43"/>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2E008F40">
      <w:pPr>
        <w:pStyle w:val="43"/>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依据本招标文件规定享受扶持政策获得政府采购合同的，小微企业不得将合同分包给大中型企业，中型企业不得将合同分包给大型企业。</w:t>
      </w:r>
    </w:p>
    <w:p w14:paraId="07E5BC23">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监督管理机构：</w:t>
      </w:r>
      <w:r>
        <w:rPr>
          <w:rFonts w:hint="eastAsia" w:ascii="宋体" w:hAnsi="宋体" w:cs="宋体"/>
          <w:b w:val="0"/>
          <w:bCs/>
          <w:color w:val="auto"/>
          <w:sz w:val="21"/>
          <w:szCs w:val="21"/>
          <w:highlight w:val="none"/>
          <w:lang w:val="en-US" w:eastAsia="zh-CN"/>
        </w:rPr>
        <w:t>桂林市财政局；联系电话：0773-2862142。</w:t>
      </w:r>
      <w:r>
        <w:rPr>
          <w:rFonts w:hint="eastAsia" w:ascii="宋体" w:hAnsi="宋体" w:cs="宋体"/>
          <w:color w:val="auto"/>
          <w:sz w:val="21"/>
          <w:szCs w:val="21"/>
          <w:highlight w:val="none"/>
        </w:rPr>
        <w:br w:type="page"/>
      </w:r>
    </w:p>
    <w:p w14:paraId="136F484F">
      <w:pPr>
        <w:pStyle w:val="43"/>
        <w:snapToGrid w:val="0"/>
        <w:spacing w:before="120" w:after="120"/>
        <w:rPr>
          <w:rFonts w:hint="eastAsia" w:hAnsi="宋体"/>
          <w:color w:val="auto"/>
          <w:highlight w:val="none"/>
        </w:rPr>
      </w:pPr>
    </w:p>
    <w:p w14:paraId="2F35BE04">
      <w:pPr>
        <w:pStyle w:val="43"/>
        <w:snapToGrid w:val="0"/>
        <w:spacing w:before="120" w:after="120"/>
        <w:rPr>
          <w:rFonts w:hint="eastAsia" w:hAnsi="宋体"/>
          <w:color w:val="auto"/>
          <w:highlight w:val="none"/>
        </w:rPr>
      </w:pPr>
    </w:p>
    <w:p w14:paraId="3BC76596">
      <w:pPr>
        <w:pStyle w:val="43"/>
        <w:snapToGrid w:val="0"/>
        <w:spacing w:before="120" w:after="120"/>
        <w:rPr>
          <w:rFonts w:hint="eastAsia" w:hAnsi="宋体"/>
          <w:color w:val="auto"/>
          <w:highlight w:val="none"/>
        </w:rPr>
      </w:pPr>
    </w:p>
    <w:p w14:paraId="6B9105EE">
      <w:pPr>
        <w:pStyle w:val="43"/>
        <w:snapToGrid w:val="0"/>
        <w:spacing w:before="120" w:after="120"/>
        <w:rPr>
          <w:rFonts w:hint="eastAsia" w:hAnsi="宋体"/>
          <w:color w:val="auto"/>
          <w:highlight w:val="none"/>
        </w:rPr>
      </w:pPr>
    </w:p>
    <w:p w14:paraId="359D5E84">
      <w:pPr>
        <w:pStyle w:val="43"/>
        <w:snapToGrid w:val="0"/>
        <w:spacing w:before="120" w:after="120"/>
        <w:rPr>
          <w:rFonts w:hint="eastAsia" w:hAnsi="宋体"/>
          <w:color w:val="auto"/>
          <w:highlight w:val="none"/>
        </w:rPr>
      </w:pPr>
    </w:p>
    <w:p w14:paraId="713FCCE2">
      <w:pPr>
        <w:pStyle w:val="43"/>
        <w:snapToGrid w:val="0"/>
        <w:spacing w:before="120" w:after="120"/>
        <w:rPr>
          <w:rFonts w:hint="eastAsia" w:hAnsi="宋体"/>
          <w:color w:val="auto"/>
          <w:highlight w:val="none"/>
        </w:rPr>
      </w:pPr>
    </w:p>
    <w:p w14:paraId="37A3FFA0">
      <w:pPr>
        <w:pStyle w:val="43"/>
        <w:snapToGrid w:val="0"/>
        <w:spacing w:before="120" w:after="120"/>
        <w:rPr>
          <w:rFonts w:hint="eastAsia" w:hAnsi="宋体"/>
          <w:color w:val="auto"/>
          <w:highlight w:val="none"/>
        </w:rPr>
      </w:pPr>
    </w:p>
    <w:p w14:paraId="29926AFA">
      <w:pPr>
        <w:pStyle w:val="43"/>
        <w:snapToGrid w:val="0"/>
        <w:spacing w:before="120" w:after="120"/>
        <w:rPr>
          <w:rFonts w:hint="eastAsia" w:hAnsi="宋体"/>
          <w:color w:val="auto"/>
          <w:highlight w:val="none"/>
        </w:rPr>
      </w:pPr>
    </w:p>
    <w:p w14:paraId="711EC817">
      <w:pPr>
        <w:pStyle w:val="43"/>
        <w:snapToGrid w:val="0"/>
        <w:spacing w:before="120" w:after="120"/>
        <w:rPr>
          <w:rFonts w:hint="eastAsia" w:hAnsi="宋体"/>
          <w:color w:val="auto"/>
          <w:highlight w:val="none"/>
        </w:rPr>
      </w:pPr>
    </w:p>
    <w:p w14:paraId="44EF214D">
      <w:pPr>
        <w:pStyle w:val="43"/>
        <w:snapToGrid w:val="0"/>
        <w:spacing w:before="120" w:after="120"/>
        <w:rPr>
          <w:rFonts w:hint="eastAsia" w:hAnsi="宋体"/>
          <w:color w:val="auto"/>
          <w:highlight w:val="none"/>
        </w:rPr>
      </w:pPr>
    </w:p>
    <w:p w14:paraId="24DD660F">
      <w:pPr>
        <w:pStyle w:val="43"/>
        <w:snapToGrid w:val="0"/>
        <w:spacing w:before="120" w:after="120"/>
        <w:rPr>
          <w:rFonts w:hint="eastAsia" w:hAnsi="宋体"/>
          <w:color w:val="auto"/>
          <w:highlight w:val="none"/>
        </w:rPr>
      </w:pPr>
    </w:p>
    <w:p w14:paraId="5CA1142E">
      <w:pPr>
        <w:pStyle w:val="43"/>
        <w:snapToGrid w:val="0"/>
        <w:spacing w:before="120" w:after="120"/>
        <w:rPr>
          <w:rFonts w:hint="eastAsia" w:hAnsi="宋体"/>
          <w:color w:val="auto"/>
          <w:highlight w:val="none"/>
        </w:rPr>
      </w:pPr>
    </w:p>
    <w:p w14:paraId="2A901489">
      <w:pPr>
        <w:pStyle w:val="43"/>
        <w:snapToGrid w:val="0"/>
        <w:spacing w:before="120" w:after="120"/>
        <w:rPr>
          <w:rFonts w:hint="eastAsia" w:hAnsi="宋体"/>
          <w:color w:val="auto"/>
          <w:highlight w:val="none"/>
        </w:rPr>
      </w:pPr>
    </w:p>
    <w:p w14:paraId="74708DDA">
      <w:pPr>
        <w:pStyle w:val="4"/>
        <w:jc w:val="center"/>
        <w:rPr>
          <w:color w:val="auto"/>
          <w:highlight w:val="none"/>
        </w:rPr>
      </w:pPr>
      <w:bookmarkStart w:id="185" w:name="_Toc330456896"/>
      <w:bookmarkStart w:id="186" w:name="_Toc254970689"/>
      <w:bookmarkStart w:id="187" w:name="_Toc625"/>
      <w:bookmarkStart w:id="188" w:name="_Toc254970548"/>
      <w:bookmarkStart w:id="189" w:name="_Toc15687"/>
      <w:r>
        <w:rPr>
          <w:rFonts w:hint="eastAsia"/>
          <w:color w:val="auto"/>
          <w:highlight w:val="none"/>
        </w:rPr>
        <w:t>第四章  评标方法及评标标准</w:t>
      </w:r>
      <w:bookmarkEnd w:id="185"/>
      <w:bookmarkEnd w:id="186"/>
      <w:bookmarkEnd w:id="187"/>
      <w:bookmarkEnd w:id="188"/>
      <w:bookmarkEnd w:id="189"/>
    </w:p>
    <w:p w14:paraId="1CFEEC58">
      <w:pPr>
        <w:rPr>
          <w:color w:val="auto"/>
          <w:highlight w:val="none"/>
        </w:rPr>
      </w:pPr>
      <w:bookmarkStart w:id="190" w:name="_Toc254970690"/>
      <w:bookmarkStart w:id="191" w:name="_Toc254970549"/>
    </w:p>
    <w:bookmarkEnd w:id="190"/>
    <w:bookmarkEnd w:id="191"/>
    <w:p w14:paraId="7ABDA117">
      <w:pPr>
        <w:rPr>
          <w:color w:val="auto"/>
          <w:highlight w:val="none"/>
        </w:rPr>
      </w:pPr>
    </w:p>
    <w:p w14:paraId="57D9E73D">
      <w:pPr>
        <w:rPr>
          <w:color w:val="auto"/>
          <w:highlight w:val="none"/>
        </w:rPr>
      </w:pPr>
    </w:p>
    <w:p w14:paraId="5D8900FA">
      <w:pPr>
        <w:rPr>
          <w:color w:val="auto"/>
          <w:highlight w:val="none"/>
        </w:rPr>
      </w:pPr>
    </w:p>
    <w:p w14:paraId="6BF74D49">
      <w:pPr>
        <w:rPr>
          <w:color w:val="auto"/>
          <w:highlight w:val="none"/>
        </w:rPr>
      </w:pPr>
    </w:p>
    <w:p w14:paraId="095CDAE4">
      <w:pPr>
        <w:rPr>
          <w:color w:val="auto"/>
          <w:highlight w:val="none"/>
        </w:rPr>
      </w:pPr>
    </w:p>
    <w:p w14:paraId="4A46098F">
      <w:pPr>
        <w:rPr>
          <w:color w:val="auto"/>
          <w:highlight w:val="none"/>
        </w:rPr>
      </w:pPr>
    </w:p>
    <w:p w14:paraId="7BE99DA5">
      <w:pPr>
        <w:rPr>
          <w:color w:val="auto"/>
          <w:highlight w:val="none"/>
        </w:rPr>
      </w:pPr>
    </w:p>
    <w:p w14:paraId="4C51B5F5">
      <w:pPr>
        <w:rPr>
          <w:color w:val="auto"/>
          <w:highlight w:val="none"/>
        </w:rPr>
      </w:pPr>
    </w:p>
    <w:p w14:paraId="75BE4AF2">
      <w:pPr>
        <w:spacing w:before="120" w:beforeLines="50" w:after="120" w:afterLines="50" w:line="400" w:lineRule="exact"/>
        <w:rPr>
          <w:rFonts w:hint="eastAsia" w:ascii="宋体" w:hAnsi="宋体"/>
          <w:b/>
          <w:color w:val="auto"/>
          <w:sz w:val="24"/>
          <w:highlight w:val="none"/>
        </w:rPr>
      </w:pPr>
    </w:p>
    <w:p w14:paraId="204E290A">
      <w:pPr>
        <w:spacing w:before="120" w:beforeLines="50" w:after="120" w:afterLines="50" w:line="400" w:lineRule="exact"/>
        <w:rPr>
          <w:rFonts w:hint="eastAsia" w:ascii="宋体" w:hAnsi="宋体"/>
          <w:b/>
          <w:color w:val="auto"/>
          <w:sz w:val="24"/>
          <w:highlight w:val="none"/>
        </w:rPr>
      </w:pPr>
    </w:p>
    <w:p w14:paraId="718939AC">
      <w:pPr>
        <w:pStyle w:val="43"/>
        <w:spacing w:line="360" w:lineRule="exact"/>
        <w:rPr>
          <w:rFonts w:hint="eastAsia" w:hAnsi="宋体"/>
          <w:b/>
          <w:color w:val="auto"/>
          <w:sz w:val="24"/>
          <w:highlight w:val="none"/>
        </w:rPr>
      </w:pPr>
    </w:p>
    <w:p w14:paraId="387681E8">
      <w:pPr>
        <w:pStyle w:val="43"/>
        <w:spacing w:line="360" w:lineRule="exact"/>
        <w:rPr>
          <w:rFonts w:hint="eastAsia" w:hAnsi="宋体"/>
          <w:b/>
          <w:color w:val="auto"/>
          <w:sz w:val="24"/>
          <w:highlight w:val="none"/>
        </w:rPr>
      </w:pPr>
    </w:p>
    <w:p w14:paraId="35627607">
      <w:pPr>
        <w:pStyle w:val="43"/>
        <w:spacing w:line="360" w:lineRule="exact"/>
        <w:rPr>
          <w:rFonts w:hint="eastAsia" w:hAnsi="宋体"/>
          <w:b/>
          <w:color w:val="auto"/>
          <w:sz w:val="24"/>
          <w:highlight w:val="none"/>
        </w:rPr>
      </w:pPr>
    </w:p>
    <w:p w14:paraId="1D56AEBB">
      <w:pPr>
        <w:pStyle w:val="43"/>
        <w:spacing w:line="360" w:lineRule="exact"/>
        <w:rPr>
          <w:rFonts w:hint="eastAsia" w:hAnsi="宋体"/>
          <w:b/>
          <w:color w:val="auto"/>
          <w:sz w:val="24"/>
          <w:highlight w:val="none"/>
        </w:rPr>
      </w:pPr>
    </w:p>
    <w:p w14:paraId="2179FAA7">
      <w:pPr>
        <w:pStyle w:val="43"/>
        <w:spacing w:line="360" w:lineRule="exact"/>
        <w:rPr>
          <w:rFonts w:hint="eastAsia" w:hAnsi="宋体"/>
          <w:b/>
          <w:color w:val="auto"/>
          <w:sz w:val="24"/>
          <w:highlight w:val="none"/>
        </w:rPr>
      </w:pPr>
    </w:p>
    <w:p w14:paraId="5F918D6A">
      <w:pPr>
        <w:pStyle w:val="43"/>
        <w:spacing w:line="360" w:lineRule="exact"/>
        <w:rPr>
          <w:rFonts w:hint="eastAsia" w:hAnsi="宋体"/>
          <w:b/>
          <w:color w:val="auto"/>
          <w:sz w:val="24"/>
          <w:highlight w:val="none"/>
        </w:rPr>
      </w:pPr>
    </w:p>
    <w:p w14:paraId="6DEB16EA">
      <w:pPr>
        <w:pStyle w:val="43"/>
        <w:spacing w:line="360" w:lineRule="exact"/>
        <w:rPr>
          <w:rFonts w:hint="eastAsia" w:hAnsi="宋体"/>
          <w:b/>
          <w:color w:val="auto"/>
          <w:sz w:val="24"/>
          <w:highlight w:val="none"/>
        </w:rPr>
      </w:pPr>
    </w:p>
    <w:p w14:paraId="6EDAEF10">
      <w:pPr>
        <w:pStyle w:val="43"/>
        <w:spacing w:line="360" w:lineRule="exact"/>
        <w:rPr>
          <w:rFonts w:hint="eastAsia" w:hAnsi="宋体"/>
          <w:bCs/>
          <w:color w:val="auto"/>
          <w:highlight w:val="none"/>
        </w:rPr>
      </w:pPr>
    </w:p>
    <w:p w14:paraId="601233EB">
      <w:pPr>
        <w:rPr>
          <w:color w:val="auto"/>
          <w:highlight w:val="none"/>
        </w:rPr>
      </w:pPr>
      <w:r>
        <w:rPr>
          <w:rFonts w:hint="eastAsia"/>
          <w:color w:val="auto"/>
          <w:highlight w:val="none"/>
        </w:rPr>
        <w:br w:type="page"/>
      </w:r>
    </w:p>
    <w:p w14:paraId="355EA8FF">
      <w:pPr>
        <w:pStyle w:val="6"/>
        <w:keepNext w:val="0"/>
        <w:keepLines w:val="0"/>
        <w:spacing w:before="0" w:after="0" w:line="400" w:lineRule="exact"/>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一、评标方法</w:t>
      </w:r>
    </w:p>
    <w:p w14:paraId="0B860453">
      <w:pPr>
        <w:pStyle w:val="43"/>
        <w:spacing w:line="400" w:lineRule="exact"/>
        <w:ind w:firstLine="420"/>
        <w:rPr>
          <w:rFonts w:hint="eastAsia" w:hAnsi="宋体" w:cs="宋体"/>
          <w:color w:val="auto"/>
          <w:sz w:val="21"/>
          <w:highlight w:val="none"/>
        </w:rPr>
      </w:pPr>
      <w:r>
        <w:rPr>
          <w:rFonts w:hint="eastAsia" w:hAnsi="宋体" w:cs="宋体"/>
          <w:color w:val="auto"/>
          <w:sz w:val="21"/>
          <w:highlight w:val="none"/>
        </w:rPr>
        <w:t>综合评分法，是指投标文件满足招标文件全部实质性要求，且按照评审因素的量化指标评审得分最高的投标人为中标候选人的评标方法。</w:t>
      </w:r>
    </w:p>
    <w:p w14:paraId="2F6094C8">
      <w:pPr>
        <w:pStyle w:val="43"/>
        <w:spacing w:line="400" w:lineRule="exact"/>
        <w:ind w:firstLine="420"/>
        <w:rPr>
          <w:rFonts w:hint="eastAsia" w:hAnsi="宋体" w:cs="宋体"/>
          <w:color w:val="auto"/>
          <w:sz w:val="21"/>
          <w:highlight w:val="none"/>
        </w:rPr>
      </w:pPr>
      <w:r>
        <w:rPr>
          <w:rFonts w:hint="eastAsia" w:hAnsi="宋体" w:cs="宋体"/>
          <w:color w:val="auto"/>
          <w:sz w:val="21"/>
          <w:highlight w:val="none"/>
        </w:rPr>
        <w:t>最低评标价法，是指投标文件满足招标文件全部实质性要求，且投标报价最低的投标人为中标候选人的评标方法。</w:t>
      </w:r>
    </w:p>
    <w:p w14:paraId="27389214">
      <w:pPr>
        <w:pStyle w:val="6"/>
        <w:keepNext w:val="0"/>
        <w:keepLines w:val="0"/>
        <w:spacing w:before="0" w:after="0" w:line="400" w:lineRule="exact"/>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二、评标程序</w:t>
      </w:r>
    </w:p>
    <w:p w14:paraId="4048BF70">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1.符合性审查</w:t>
      </w:r>
    </w:p>
    <w:p w14:paraId="41E5120A">
      <w:pPr>
        <w:pStyle w:val="43"/>
        <w:snapToGrid w:val="0"/>
        <w:spacing w:line="400" w:lineRule="exact"/>
        <w:ind w:firstLine="420"/>
        <w:rPr>
          <w:rFonts w:hint="eastAsia" w:hAnsi="宋体" w:cs="宋体"/>
          <w:b/>
          <w:color w:val="auto"/>
          <w:kern w:val="2"/>
          <w:sz w:val="21"/>
          <w:highlight w:val="none"/>
        </w:rPr>
      </w:pPr>
      <w:r>
        <w:rPr>
          <w:rFonts w:hint="eastAsia" w:hAnsi="宋体" w:cs="宋体"/>
          <w:b/>
          <w:color w:val="auto"/>
          <w:kern w:val="2"/>
          <w:sz w:val="21"/>
          <w:highlight w:val="none"/>
        </w:rPr>
        <w:t>评标委员会应当对符合资格的投标人的投标文件进行投标报价、商务、技术等实质性内容符合性审查，以确定其是否满足招标文件的实质性要求。</w:t>
      </w:r>
    </w:p>
    <w:p w14:paraId="0BF1E81F">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2.符合性审查不通过而导致投标无效的情形</w:t>
      </w:r>
    </w:p>
    <w:p w14:paraId="5A62A29C">
      <w:pPr>
        <w:snapToGrid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投标人的投标文件中存在对招标文件的任何实质性要求和条件的负偏离，将被视为投标无效。</w:t>
      </w:r>
    </w:p>
    <w:p w14:paraId="1505211A">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2.1在报价评审时，如发现下列情形之一的，将被视为投标无效：</w:t>
      </w:r>
    </w:p>
    <w:p w14:paraId="00D3A18A">
      <w:pPr>
        <w:pStyle w:val="9"/>
        <w:numPr>
          <w:ilvl w:val="0"/>
          <w:numId w:val="1"/>
        </w:numPr>
        <w:spacing w:line="400" w:lineRule="exact"/>
        <w:ind w:firstLine="398" w:firstLineChars="200"/>
        <w:rPr>
          <w:rFonts w:hint="eastAsia" w:ascii="宋体" w:hAnsi="宋体" w:cs="宋体"/>
          <w:b/>
          <w:color w:val="auto"/>
          <w:spacing w:val="-6"/>
          <w:szCs w:val="21"/>
          <w:highlight w:val="none"/>
        </w:rPr>
      </w:pPr>
      <w:r>
        <w:rPr>
          <w:rFonts w:hint="eastAsia" w:ascii="宋体" w:hAnsi="宋体" w:cs="宋体"/>
          <w:b/>
          <w:color w:val="auto"/>
          <w:spacing w:val="-6"/>
          <w:szCs w:val="21"/>
          <w:highlight w:val="none"/>
        </w:rPr>
        <w:t>报价文件未提供“投标人须知前附表”第13条</w:t>
      </w:r>
      <w:r>
        <w:rPr>
          <w:rFonts w:hint="eastAsia" w:ascii="宋体" w:hAnsi="宋体" w:cs="宋体"/>
          <w:b/>
          <w:color w:val="auto"/>
          <w:szCs w:val="21"/>
          <w:highlight w:val="none"/>
        </w:rPr>
        <w:t>“报价文件”</w:t>
      </w:r>
      <w:r>
        <w:rPr>
          <w:rFonts w:hint="eastAsia" w:ascii="宋体" w:hAnsi="宋体" w:cs="宋体"/>
          <w:b/>
          <w:color w:val="auto"/>
          <w:spacing w:val="-6"/>
          <w:szCs w:val="21"/>
          <w:highlight w:val="none"/>
        </w:rPr>
        <w:t>规定中“必须提供”的文件资料的；</w:t>
      </w:r>
    </w:p>
    <w:p w14:paraId="51E8DC5C">
      <w:pPr>
        <w:pStyle w:val="9"/>
        <w:numPr>
          <w:ilvl w:val="0"/>
          <w:numId w:val="1"/>
        </w:numPr>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未采用人民币报价或者未按照招标文件标明的币种报价的；</w:t>
      </w:r>
    </w:p>
    <w:p w14:paraId="6D5A9C39">
      <w:pPr>
        <w:pStyle w:val="9"/>
        <w:numPr>
          <w:ilvl w:val="0"/>
          <w:numId w:val="1"/>
        </w:numPr>
        <w:spacing w:line="400" w:lineRule="exact"/>
        <w:ind w:firstLine="422"/>
        <w:rPr>
          <w:rFonts w:hint="eastAsia" w:ascii="宋体" w:hAnsi="宋体" w:cs="宋体"/>
          <w:b/>
          <w:color w:val="auto"/>
          <w:spacing w:val="-6"/>
          <w:szCs w:val="21"/>
          <w:highlight w:val="none"/>
        </w:rPr>
      </w:pPr>
      <w:r>
        <w:rPr>
          <w:rFonts w:hint="eastAsia" w:ascii="宋体" w:hAnsi="宋体" w:cs="宋体"/>
          <w:b/>
          <w:color w:val="auto"/>
          <w:spacing w:val="-6"/>
          <w:szCs w:val="21"/>
          <w:highlight w:val="none"/>
        </w:rPr>
        <w:t>报价超出招标文件规定最高限价，或者超出相应采购预算金额的；</w:t>
      </w:r>
    </w:p>
    <w:p w14:paraId="4828241A">
      <w:pPr>
        <w:pStyle w:val="9"/>
        <w:numPr>
          <w:ilvl w:val="0"/>
          <w:numId w:val="1"/>
        </w:numPr>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投标人未就所投</w:t>
      </w:r>
      <w:r>
        <w:rPr>
          <w:rFonts w:hint="eastAsia" w:ascii="宋体" w:hAnsi="宋体" w:cs="宋体"/>
          <w:b/>
          <w:color w:val="auto"/>
          <w:szCs w:val="21"/>
          <w:highlight w:val="none"/>
          <w:lang w:val="en-US" w:eastAsia="zh-CN"/>
        </w:rPr>
        <w:t>项目</w:t>
      </w:r>
      <w:r>
        <w:rPr>
          <w:rFonts w:hint="eastAsia" w:ascii="宋体" w:hAnsi="宋体" w:cs="宋体"/>
          <w:b/>
          <w:color w:val="auto"/>
          <w:szCs w:val="21"/>
          <w:highlight w:val="none"/>
        </w:rPr>
        <w:t>进行报价或者存在漏项报价；投标人未就所投</w:t>
      </w:r>
      <w:r>
        <w:rPr>
          <w:rFonts w:hint="eastAsia" w:ascii="宋体" w:hAnsi="宋体" w:cs="宋体"/>
          <w:b/>
          <w:color w:val="auto"/>
          <w:szCs w:val="21"/>
          <w:highlight w:val="none"/>
          <w:lang w:val="en-US" w:eastAsia="zh-CN"/>
        </w:rPr>
        <w:t>项目</w:t>
      </w:r>
      <w:r>
        <w:rPr>
          <w:rFonts w:hint="eastAsia" w:ascii="宋体" w:hAnsi="宋体" w:cs="宋体"/>
          <w:b/>
          <w:color w:val="auto"/>
          <w:szCs w:val="21"/>
          <w:highlight w:val="none"/>
        </w:rPr>
        <w:t>的单项内容作唯一报价；投标人未就所投</w:t>
      </w:r>
      <w:r>
        <w:rPr>
          <w:rFonts w:hint="eastAsia" w:ascii="宋体" w:hAnsi="宋体" w:cs="宋体"/>
          <w:b/>
          <w:color w:val="auto"/>
          <w:szCs w:val="21"/>
          <w:highlight w:val="none"/>
          <w:lang w:val="en-US" w:eastAsia="zh-CN"/>
        </w:rPr>
        <w:t>项目</w:t>
      </w:r>
      <w:r>
        <w:rPr>
          <w:rFonts w:hint="eastAsia" w:ascii="宋体" w:hAnsi="宋体" w:cs="宋体"/>
          <w:b/>
          <w:color w:val="auto"/>
          <w:szCs w:val="21"/>
          <w:highlight w:val="none"/>
        </w:rPr>
        <w:t>的全部内容作完整唯一总价报价；存在有选择、有条件报价的（招标文件允许有备选方案或者其他约定的除外）；</w:t>
      </w:r>
    </w:p>
    <w:p w14:paraId="46FDDAC7">
      <w:pPr>
        <w:pStyle w:val="9"/>
        <w:numPr>
          <w:ilvl w:val="0"/>
          <w:numId w:val="1"/>
        </w:numPr>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修正后的报价，投标人不确认的；</w:t>
      </w:r>
    </w:p>
    <w:p w14:paraId="13BEDC43">
      <w:pPr>
        <w:pStyle w:val="9"/>
        <w:numPr>
          <w:ilvl w:val="0"/>
          <w:numId w:val="1"/>
        </w:numPr>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投标人属于本章第5.1条（2）或者第5.2条（2）项情形的。</w:t>
      </w:r>
    </w:p>
    <w:p w14:paraId="1C14B342">
      <w:pPr>
        <w:pStyle w:val="9"/>
        <w:numPr>
          <w:ilvl w:val="0"/>
          <w:numId w:val="1"/>
        </w:numPr>
        <w:spacing w:line="400" w:lineRule="exact"/>
        <w:ind w:firstLine="398" w:firstLineChars="200"/>
        <w:rPr>
          <w:rFonts w:hint="eastAsia" w:ascii="宋体" w:hAnsi="宋体" w:cs="宋体"/>
          <w:b/>
          <w:color w:val="auto"/>
          <w:szCs w:val="21"/>
          <w:highlight w:val="none"/>
        </w:rPr>
      </w:pPr>
      <w:r>
        <w:rPr>
          <w:rFonts w:hint="eastAsia" w:ascii="宋体" w:hAnsi="宋体" w:cs="宋体"/>
          <w:b/>
          <w:color w:val="auto"/>
          <w:spacing w:val="-6"/>
          <w:szCs w:val="21"/>
          <w:highlight w:val="none"/>
        </w:rPr>
        <w:t>报价文件</w:t>
      </w:r>
      <w:r>
        <w:rPr>
          <w:rFonts w:hint="eastAsia" w:ascii="宋体" w:hAnsi="宋体" w:cs="宋体"/>
          <w:b/>
          <w:color w:val="auto"/>
          <w:szCs w:val="21"/>
          <w:highlight w:val="none"/>
        </w:rPr>
        <w:t>响应的标的数量及单位与招标文件要求实质性不一致的。</w:t>
      </w:r>
    </w:p>
    <w:p w14:paraId="612DB84D">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2.2在商务及技术评审时，如发现下列情形之一的，将被视为投标无效：</w:t>
      </w:r>
    </w:p>
    <w:p w14:paraId="32044D32">
      <w:pPr>
        <w:numPr>
          <w:ilvl w:val="0"/>
          <w:numId w:val="2"/>
        </w:numPr>
        <w:snapToGrid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投标文件未按招标文件要求签署、盖章的；</w:t>
      </w:r>
    </w:p>
    <w:p w14:paraId="6A124E3A">
      <w:pPr>
        <w:numPr>
          <w:ilvl w:val="0"/>
          <w:numId w:val="2"/>
        </w:numPr>
        <w:snapToGrid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投标文件未提供“投标人须知前附表”第13条“商务及技术文件”规定中“必须提供”或者“委托时必须提供”的文件资料的；</w:t>
      </w:r>
    </w:p>
    <w:p w14:paraId="5B5009D2">
      <w:pPr>
        <w:numPr>
          <w:ilvl w:val="0"/>
          <w:numId w:val="2"/>
        </w:numPr>
        <w:snapToGrid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商务要求评审允许负偏离的条款数超过“投标人须知前附表”规定项数的；</w:t>
      </w:r>
    </w:p>
    <w:p w14:paraId="289595B5">
      <w:pPr>
        <w:numPr>
          <w:ilvl w:val="0"/>
          <w:numId w:val="2"/>
        </w:numPr>
        <w:snapToGrid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投标文件的实质性内容未使用中文表述、使用计量单位不符合招标文件要求的；</w:t>
      </w:r>
    </w:p>
    <w:p w14:paraId="0D9D011F">
      <w:pPr>
        <w:numPr>
          <w:ilvl w:val="0"/>
          <w:numId w:val="2"/>
        </w:numPr>
        <w:snapToGrid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投标文件中的文件资料因填写不齐全或者内容虚假或者出现其他情形而导致被评标委员会认定无效的；</w:t>
      </w:r>
    </w:p>
    <w:p w14:paraId="5B40B6DC">
      <w:pPr>
        <w:numPr>
          <w:ilvl w:val="0"/>
          <w:numId w:val="2"/>
        </w:numPr>
        <w:snapToGrid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投标文件含有采购人不能接受的附加条件的；</w:t>
      </w:r>
    </w:p>
    <w:p w14:paraId="5CB40364">
      <w:pPr>
        <w:numPr>
          <w:ilvl w:val="0"/>
          <w:numId w:val="2"/>
        </w:numPr>
        <w:snapToGrid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属于投标人须知正文第9.2条情形的；</w:t>
      </w:r>
    </w:p>
    <w:p w14:paraId="00F2FBA2">
      <w:pPr>
        <w:numPr>
          <w:ilvl w:val="0"/>
          <w:numId w:val="2"/>
        </w:numPr>
        <w:snapToGrid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投标文件中承诺的投标有效期低于招标文件要求的期限的；</w:t>
      </w:r>
    </w:p>
    <w:p w14:paraId="04AC2356">
      <w:pPr>
        <w:numPr>
          <w:ilvl w:val="0"/>
          <w:numId w:val="2"/>
        </w:numPr>
        <w:snapToGrid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虚假投标，或者出现其他情形而导致被评标委员会认定无效的；</w:t>
      </w:r>
    </w:p>
    <w:p w14:paraId="5AD45789">
      <w:pPr>
        <w:numPr>
          <w:ilvl w:val="0"/>
          <w:numId w:val="2"/>
        </w:numPr>
        <w:snapToGrid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招标文件未载明允许提供备选（替代）投标方案或明确不允许提供备选（替代）投标方案时，投标人提供了备选（替代）投标方案的；</w:t>
      </w:r>
    </w:p>
    <w:p w14:paraId="1F2EF813">
      <w:pPr>
        <w:numPr>
          <w:ilvl w:val="0"/>
          <w:numId w:val="2"/>
        </w:numPr>
        <w:snapToGrid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未响应招标文件实质性要求的。</w:t>
      </w:r>
    </w:p>
    <w:p w14:paraId="67EFA833">
      <w:pPr>
        <w:numPr>
          <w:ilvl w:val="0"/>
          <w:numId w:val="2"/>
        </w:numPr>
        <w:snapToGrid w:val="0"/>
        <w:spacing w:line="400" w:lineRule="exact"/>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法律、法规和招标文件规定的其他无效情形。</w:t>
      </w:r>
    </w:p>
    <w:p w14:paraId="70148850">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3.澄清补正</w:t>
      </w:r>
    </w:p>
    <w:p w14:paraId="5EBE5275">
      <w:pPr>
        <w:spacing w:line="4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投标人电子签章后在线上传至评标委员会。投标人的澄清、说明或者补正不得超出投标文件的范围或者改变投标文件的实质性内容。</w:t>
      </w:r>
    </w:p>
    <w:p w14:paraId="466E33D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0CC770B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未按评标委员会的要求作出明确澄清、说明或者更正的投标人的投标文件将按照有利于采购人的原则由评标委员会进行判定。</w:t>
      </w:r>
    </w:p>
    <w:p w14:paraId="5A3BB308">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4.投标文件修正</w:t>
      </w:r>
    </w:p>
    <w:p w14:paraId="3F502D99">
      <w:pPr>
        <w:pStyle w:val="8"/>
        <w:keepNext w:val="0"/>
        <w:keepLines w:val="0"/>
        <w:spacing w:before="0" w:after="0" w:line="400" w:lineRule="exact"/>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4.1投标文件报价出现前后不一致的，按照下列规定修正：</w:t>
      </w:r>
    </w:p>
    <w:p w14:paraId="01F20B72">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（1）投标文件中开标一览表（报价表）内容与投标文件中相应内容不一致的，以开标一览表（报价表）为准；</w:t>
      </w:r>
    </w:p>
    <w:p w14:paraId="3DADC51E">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（2）大写金额和小写金额不一致的，以大写金额为准；</w:t>
      </w:r>
    </w:p>
    <w:p w14:paraId="4E6FEC49">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（3）单价金额小数点或者百分比有明显错位的，以开标一览表的总价为准，并修改单价；</w:t>
      </w:r>
    </w:p>
    <w:p w14:paraId="36C89BF0">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（4）总价金额与按单价汇总金额不一致的，以单价金额计算结果为准。</w:t>
      </w:r>
    </w:p>
    <w:p w14:paraId="491323D9">
      <w:pPr>
        <w:pStyle w:val="43"/>
        <w:snapToGrid w:val="0"/>
        <w:spacing w:line="400" w:lineRule="exact"/>
        <w:ind w:firstLine="420" w:firstLineChars="200"/>
        <w:rPr>
          <w:rFonts w:hint="eastAsia" w:hAnsi="宋体" w:cs="宋体"/>
          <w:color w:val="auto"/>
          <w:sz w:val="21"/>
          <w:highlight w:val="none"/>
        </w:rPr>
      </w:pPr>
      <w:r>
        <w:rPr>
          <w:rFonts w:hint="eastAsia" w:hAnsi="宋体" w:cs="宋体"/>
          <w:color w:val="auto"/>
          <w:sz w:val="21"/>
          <w:highlight w:val="none"/>
        </w:rPr>
        <w:t>同时出现两种以上不一致的，按照以上（1）-（4）规定的顺序修正。修正后的报价经投标人确认后产生约束力，投标人不确认的，</w:t>
      </w:r>
      <w:r>
        <w:rPr>
          <w:rFonts w:hint="eastAsia" w:hAnsi="宋体" w:cs="宋体"/>
          <w:b/>
          <w:color w:val="auto"/>
          <w:kern w:val="2"/>
          <w:sz w:val="21"/>
          <w:highlight w:val="none"/>
        </w:rPr>
        <w:t>其投标无效</w:t>
      </w:r>
      <w:r>
        <w:rPr>
          <w:rFonts w:hint="eastAsia" w:hAnsi="宋体" w:cs="宋体"/>
          <w:color w:val="auto"/>
          <w:sz w:val="21"/>
          <w:highlight w:val="none"/>
        </w:rPr>
        <w:t>。</w:t>
      </w:r>
    </w:p>
    <w:p w14:paraId="7E53179E">
      <w:pPr>
        <w:pStyle w:val="8"/>
        <w:keepNext w:val="0"/>
        <w:keepLines w:val="0"/>
        <w:spacing w:before="0" w:after="0" w:line="400" w:lineRule="exact"/>
        <w:rPr>
          <w:rFonts w:hint="eastAsia" w:ascii="宋体" w:hAnsi="宋体" w:cs="宋体"/>
          <w:b w:val="0"/>
          <w:color w:val="auto"/>
          <w:sz w:val="21"/>
          <w:szCs w:val="21"/>
          <w:highlight w:val="none"/>
        </w:rPr>
      </w:pPr>
      <w:r>
        <w:rPr>
          <w:rFonts w:hint="eastAsia" w:ascii="宋体" w:hAnsi="宋体" w:cs="宋体"/>
          <w:b w:val="0"/>
          <w:color w:val="auto"/>
          <w:sz w:val="21"/>
          <w:szCs w:val="21"/>
          <w:highlight w:val="none"/>
        </w:rPr>
        <w:t>4.2经投标人确认修正后的报价若超过采购预算金额或者最高限价，</w:t>
      </w:r>
      <w:r>
        <w:rPr>
          <w:rFonts w:hint="eastAsia" w:ascii="宋体" w:hAnsi="宋体" w:cs="宋体"/>
          <w:color w:val="auto"/>
          <w:sz w:val="21"/>
          <w:szCs w:val="21"/>
          <w:highlight w:val="none"/>
        </w:rPr>
        <w:t>投标人的投标文件作无效投标处理</w:t>
      </w:r>
      <w:r>
        <w:rPr>
          <w:rFonts w:hint="eastAsia" w:ascii="宋体" w:hAnsi="宋体" w:cs="宋体"/>
          <w:b w:val="0"/>
          <w:color w:val="auto"/>
          <w:sz w:val="21"/>
          <w:szCs w:val="21"/>
          <w:highlight w:val="none"/>
        </w:rPr>
        <w:t>。</w:t>
      </w:r>
    </w:p>
    <w:p w14:paraId="54BDF5CB">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4.3经投标人确认修正后的报价作为签订合同的依据，并以此报价计算价格分。</w:t>
      </w:r>
    </w:p>
    <w:p w14:paraId="168B4E15">
      <w:pPr>
        <w:pStyle w:val="8"/>
        <w:keepNext w:val="0"/>
        <w:keepLines w:val="0"/>
        <w:spacing w:before="0" w:after="0"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5.比较与评价</w:t>
      </w:r>
    </w:p>
    <w:p w14:paraId="793F2D3A">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5.1采用综合评分法的</w:t>
      </w:r>
    </w:p>
    <w:p w14:paraId="07B713B8">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（1）评标委员会按照招标文件中规定的评标方法及评标标准，对符合性审查合格的投标文件进行商务和技术评估，综合比较与评价。</w:t>
      </w:r>
    </w:p>
    <w:p w14:paraId="157C20E2">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（2）评标委员会独立对每个投标人的投标文件进行评价，并汇总每个投标人的得分。</w:t>
      </w:r>
    </w:p>
    <w:p w14:paraId="560649EE">
      <w:pPr>
        <w:snapToGrid w:val="0"/>
        <w:spacing w:line="400" w:lineRule="exact"/>
        <w:ind w:firstLine="420" w:firstLineChars="200"/>
        <w:rPr>
          <w:rFonts w:hint="eastAsia" w:ascii="宋体" w:hAnsi="宋体" w:cs="宋体"/>
          <w:b/>
          <w:color w:val="auto"/>
          <w:szCs w:val="21"/>
          <w:highlight w:val="none"/>
        </w:rPr>
      </w:pPr>
      <w:r>
        <w:rPr>
          <w:rFonts w:hint="eastAsia" w:ascii="宋体" w:hAnsi="宋体"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cs="宋体"/>
          <w:b/>
          <w:color w:val="auto"/>
          <w:szCs w:val="21"/>
          <w:highlight w:val="none"/>
        </w:rPr>
        <w:t>投标人不能证明其报价合理性的，评标委员会应当将其作为无效投标处理。</w:t>
      </w:r>
    </w:p>
    <w:p w14:paraId="4A4F0268">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（3）评标委员会按照招标文件中规定的评标方法和标准计算各投标人的报价得分。在计算过程中，不得去掉最高报价或者最低报价。</w:t>
      </w:r>
    </w:p>
    <w:p w14:paraId="541C2C8B">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（4）各投标人的得分为所有评委的有效评分的算术平均数。</w:t>
      </w:r>
    </w:p>
    <w:p w14:paraId="57E5A564">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（5）评标委员会按照招标文件中的规定推荐中标候选人。</w:t>
      </w:r>
    </w:p>
    <w:p w14:paraId="2006BF74">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3DEB7B9D">
      <w:pPr>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5.2采用最低评标价法的</w:t>
      </w:r>
    </w:p>
    <w:p w14:paraId="0DF211E7">
      <w:pPr>
        <w:snapToGrid w:val="0"/>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（1）评标委员会按照招标文件中规定的评标方法及评标标准，对符合性审查合格的投标文件报价进行比较。</w:t>
      </w:r>
    </w:p>
    <w:p w14:paraId="1AA5728F">
      <w:pPr>
        <w:snapToGrid w:val="0"/>
        <w:spacing w:line="400" w:lineRule="exact"/>
        <w:ind w:firstLine="424" w:firstLineChars="202"/>
        <w:jc w:val="left"/>
        <w:rPr>
          <w:rFonts w:hint="eastAsia" w:ascii="宋体" w:hAnsi="宋体" w:cs="宋体"/>
          <w:b/>
          <w:color w:val="auto"/>
          <w:szCs w:val="21"/>
          <w:highlight w:val="none"/>
        </w:rPr>
      </w:pPr>
      <w:r>
        <w:rPr>
          <w:rFonts w:hint="eastAsia" w:ascii="宋体" w:hAnsi="宋体" w:cs="宋体"/>
          <w:color w:val="auto"/>
          <w:szCs w:val="21"/>
          <w:highlight w:val="none"/>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hint="eastAsia" w:ascii="宋体" w:hAnsi="宋体" w:cs="宋体"/>
          <w:b/>
          <w:color w:val="auto"/>
          <w:szCs w:val="21"/>
          <w:highlight w:val="none"/>
        </w:rPr>
        <w:t>投标人不能证明其报价合理性的，评标委员会将其作为无效投标处理。</w:t>
      </w:r>
    </w:p>
    <w:p w14:paraId="58288ECC">
      <w:pPr>
        <w:snapToGrid w:val="0"/>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（3）评标委员会按照招标文件中的规定推荐中标候选人。</w:t>
      </w:r>
    </w:p>
    <w:p w14:paraId="26FB0074">
      <w:pPr>
        <w:snapToGrid w:val="0"/>
        <w:spacing w:line="400" w:lineRule="exact"/>
        <w:ind w:firstLine="424" w:firstLineChars="202"/>
        <w:jc w:val="left"/>
        <w:rPr>
          <w:rFonts w:hint="eastAsia" w:ascii="宋体" w:hAnsi="宋体" w:cs="宋体"/>
          <w:color w:val="auto"/>
          <w:szCs w:val="21"/>
          <w:highlight w:val="none"/>
        </w:rPr>
      </w:pPr>
      <w:r>
        <w:rPr>
          <w:rFonts w:hint="eastAsia" w:ascii="宋体" w:hAnsi="宋体" w:cs="宋体"/>
          <w:color w:val="auto"/>
          <w:szCs w:val="21"/>
          <w:highlight w:val="none"/>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064D1B8A">
      <w:pPr>
        <w:snapToGrid w:val="0"/>
        <w:spacing w:line="400" w:lineRule="exact"/>
        <w:jc w:val="both"/>
        <w:rPr>
          <w:rFonts w:hint="eastAsia" w:ascii="宋体" w:hAnsi="宋体" w:cs="宋体"/>
          <w:b/>
          <w:bCs/>
          <w:color w:val="auto"/>
          <w:szCs w:val="21"/>
          <w:highlight w:val="none"/>
        </w:rPr>
      </w:pPr>
      <w:bookmarkStart w:id="192" w:name="_Hlk71707917"/>
      <w:r>
        <w:rPr>
          <w:rFonts w:hint="eastAsia" w:ascii="宋体" w:hAnsi="宋体" w:cs="宋体"/>
          <w:b/>
          <w:bCs/>
          <w:color w:val="auto"/>
          <w:szCs w:val="21"/>
          <w:highlight w:val="none"/>
        </w:rPr>
        <w:t>三、评标标准</w:t>
      </w:r>
    </w:p>
    <w:p w14:paraId="572635DA">
      <w:pPr>
        <w:snapToGrid w:val="0"/>
        <w:spacing w:line="400" w:lineRule="exact"/>
        <w:jc w:val="center"/>
        <w:rPr>
          <w:rFonts w:hint="eastAsia" w:ascii="宋体" w:hAnsi="宋体" w:cs="宋体"/>
          <w:b/>
          <w:bCs/>
          <w:color w:val="auto"/>
          <w:szCs w:val="21"/>
          <w:highlight w:val="none"/>
        </w:rPr>
      </w:pPr>
      <w:r>
        <w:rPr>
          <w:rFonts w:hint="eastAsia" w:ascii="宋体" w:hAnsi="宋体" w:cs="宋体"/>
          <w:b/>
          <w:bCs/>
          <w:color w:val="auto"/>
          <w:szCs w:val="21"/>
          <w:highlight w:val="none"/>
        </w:rPr>
        <w:t>综合评分法</w:t>
      </w:r>
      <w:bookmarkEnd w:id="192"/>
    </w:p>
    <w:tbl>
      <w:tblPr>
        <w:tblStyle w:val="8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1657"/>
        <w:gridCol w:w="1964"/>
        <w:gridCol w:w="5731"/>
      </w:tblGrid>
      <w:tr w14:paraId="1904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244" w:type="dxa"/>
            <w:gridSpan w:val="2"/>
            <w:vAlign w:val="center"/>
          </w:tcPr>
          <w:p w14:paraId="2B17C70C">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1964" w:type="dxa"/>
            <w:vAlign w:val="center"/>
          </w:tcPr>
          <w:p w14:paraId="4A3BEE33">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评审因素</w:t>
            </w:r>
          </w:p>
        </w:tc>
        <w:tc>
          <w:tcPr>
            <w:tcW w:w="5731" w:type="dxa"/>
            <w:vAlign w:val="center"/>
          </w:tcPr>
          <w:p w14:paraId="782E085E">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评标标准</w:t>
            </w:r>
          </w:p>
        </w:tc>
      </w:tr>
      <w:tr w14:paraId="0B7E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dxa"/>
            <w:vAlign w:val="center"/>
          </w:tcPr>
          <w:p w14:paraId="4AE5418F">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57" w:type="dxa"/>
            <w:vAlign w:val="center"/>
          </w:tcPr>
          <w:p w14:paraId="5810F772">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价格分（满分</w:t>
            </w:r>
            <w:r>
              <w:rPr>
                <w:rFonts w:hint="eastAsia" w:ascii="宋体" w:hAnsi="宋体" w:eastAsia="宋体" w:cs="宋体"/>
                <w:b/>
                <w:bCs/>
                <w:color w:val="auto"/>
                <w:sz w:val="21"/>
                <w:szCs w:val="21"/>
                <w:highlight w:val="none"/>
                <w:u w:val="single"/>
              </w:rPr>
              <w:t xml:space="preserve">10 </w:t>
            </w:r>
            <w:r>
              <w:rPr>
                <w:rFonts w:hint="eastAsia" w:ascii="宋体" w:hAnsi="宋体" w:eastAsia="宋体" w:cs="宋体"/>
                <w:b/>
                <w:bCs/>
                <w:color w:val="auto"/>
                <w:sz w:val="21"/>
                <w:szCs w:val="21"/>
                <w:highlight w:val="none"/>
              </w:rPr>
              <w:t>分）</w:t>
            </w:r>
          </w:p>
        </w:tc>
        <w:tc>
          <w:tcPr>
            <w:tcW w:w="1964" w:type="dxa"/>
            <w:vAlign w:val="center"/>
          </w:tcPr>
          <w:p w14:paraId="1DF1AADB">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投标报价</w:t>
            </w:r>
          </w:p>
        </w:tc>
        <w:tc>
          <w:tcPr>
            <w:tcW w:w="5731" w:type="dxa"/>
            <w:vAlign w:val="center"/>
          </w:tcPr>
          <w:p w14:paraId="5B345040">
            <w:pPr>
              <w:keepNext w:val="0"/>
              <w:keepLines w:val="0"/>
              <w:pageBreakBefore w:val="0"/>
              <w:widowControl w:val="0"/>
              <w:kinsoku/>
              <w:wordWrap/>
              <w:overflowPunct/>
              <w:topLinePunct w:val="0"/>
              <w:autoSpaceDE/>
              <w:autoSpaceDN/>
              <w:bidi w:val="0"/>
              <w:snapToGrid w:val="0"/>
              <w:spacing w:line="400" w:lineRule="exact"/>
              <w:ind w:left="0" w:right="0" w:firstLine="233" w:firstLineChars="111"/>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（1）本项目</w:t>
            </w:r>
            <w:r>
              <w:rPr>
                <w:rFonts w:hint="eastAsia" w:ascii="宋体" w:hAnsi="宋体" w:eastAsia="宋体" w:cs="宋体"/>
                <w:color w:val="auto"/>
                <w:sz w:val="21"/>
                <w:szCs w:val="21"/>
                <w:highlight w:val="none"/>
              </w:rPr>
              <w:t>是专门面向中小微企业采购的项目，不需要进行政策扣除。</w:t>
            </w:r>
          </w:p>
          <w:p w14:paraId="00F7860A">
            <w:pPr>
              <w:keepNext w:val="0"/>
              <w:keepLines w:val="0"/>
              <w:pageBreakBefore w:val="0"/>
              <w:widowControl w:val="0"/>
              <w:kinsoku/>
              <w:wordWrap/>
              <w:overflowPunct/>
              <w:topLinePunct w:val="0"/>
              <w:autoSpaceDE/>
              <w:autoSpaceDN/>
              <w:bidi w:val="0"/>
              <w:snapToGrid w:val="0"/>
              <w:spacing w:line="400" w:lineRule="exact"/>
              <w:ind w:left="0" w:right="0" w:firstLine="233" w:firstLineChars="111"/>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（2）满足招标文件要求且评标报价最低的评标报价为评标基准价，其价格分为满分。</w:t>
            </w:r>
          </w:p>
          <w:p w14:paraId="5BDEE74C">
            <w:pPr>
              <w:keepNext w:val="0"/>
              <w:keepLines w:val="0"/>
              <w:pageBreakBefore w:val="0"/>
              <w:widowControl w:val="0"/>
              <w:kinsoku/>
              <w:wordWrap/>
              <w:overflowPunct/>
              <w:topLinePunct w:val="0"/>
              <w:autoSpaceDE/>
              <w:autoSpaceDN/>
              <w:bidi w:val="0"/>
              <w:spacing w:line="400" w:lineRule="exact"/>
              <w:ind w:left="0" w:right="0" w:firstLine="233" w:firstLineChars="111"/>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（3）价格分计算公式：</w:t>
            </w:r>
          </w:p>
          <w:p w14:paraId="03C72FB9">
            <w:pPr>
              <w:keepNext w:val="0"/>
              <w:keepLines w:val="0"/>
              <w:pageBreakBefore w:val="0"/>
              <w:widowControl w:val="0"/>
              <w:kinsoku/>
              <w:wordWrap/>
              <w:overflowPunct/>
              <w:topLinePunct w:val="0"/>
              <w:autoSpaceDE/>
              <w:autoSpaceDN/>
              <w:bidi w:val="0"/>
              <w:spacing w:line="400" w:lineRule="exact"/>
              <w:ind w:left="0" w:right="0" w:firstLine="233" w:firstLineChars="111"/>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价格分=（</w:t>
            </w:r>
            <w:bookmarkStart w:id="193" w:name="OLE_LINK2"/>
            <w:r>
              <w:rPr>
                <w:rFonts w:hint="eastAsia" w:ascii="宋体" w:hAnsi="宋体" w:eastAsia="宋体" w:cs="宋体"/>
                <w:bCs/>
                <w:color w:val="auto"/>
                <w:sz w:val="21"/>
                <w:szCs w:val="21"/>
                <w:highlight w:val="none"/>
              </w:rPr>
              <w:t>评标基准价</w:t>
            </w:r>
            <w:bookmarkEnd w:id="193"/>
            <w:r>
              <w:rPr>
                <w:rFonts w:hint="eastAsia" w:ascii="宋体" w:hAnsi="宋体" w:eastAsia="宋体" w:cs="宋体"/>
                <w:bCs/>
                <w:color w:val="auto"/>
                <w:sz w:val="21"/>
                <w:szCs w:val="21"/>
                <w:highlight w:val="none"/>
              </w:rPr>
              <w:t>／评标报价）×</w:t>
            </w:r>
            <w:r>
              <w:rPr>
                <w:rFonts w:hint="eastAsia" w:ascii="宋体" w:hAnsi="宋体" w:eastAsia="宋体" w:cs="宋体"/>
                <w:bCs/>
                <w:color w:val="auto"/>
                <w:sz w:val="21"/>
                <w:szCs w:val="21"/>
                <w:highlight w:val="none"/>
                <w:u w:val="single"/>
              </w:rPr>
              <w:t>10</w:t>
            </w:r>
            <w:r>
              <w:rPr>
                <w:rFonts w:hint="eastAsia" w:ascii="宋体" w:hAnsi="宋体" w:eastAsia="宋体" w:cs="宋体"/>
                <w:bCs/>
                <w:color w:val="auto"/>
                <w:sz w:val="21"/>
                <w:szCs w:val="21"/>
                <w:highlight w:val="none"/>
              </w:rPr>
              <w:t>分</w:t>
            </w:r>
          </w:p>
        </w:tc>
      </w:tr>
      <w:tr w14:paraId="20BE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dxa"/>
            <w:vMerge w:val="restart"/>
            <w:vAlign w:val="center"/>
          </w:tcPr>
          <w:p w14:paraId="0CE5B5FB">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57" w:type="dxa"/>
            <w:vMerge w:val="restart"/>
            <w:vAlign w:val="center"/>
          </w:tcPr>
          <w:p w14:paraId="63831956">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技术分</w:t>
            </w:r>
          </w:p>
          <w:p w14:paraId="376FF4D0">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color w:val="auto"/>
                <w:spacing w:val="-18"/>
                <w:sz w:val="21"/>
                <w:szCs w:val="21"/>
                <w:highlight w:val="none"/>
              </w:rPr>
            </w:pP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满分</w:t>
            </w:r>
            <w:r>
              <w:rPr>
                <w:rFonts w:hint="eastAsia" w:ascii="宋体" w:hAnsi="宋体" w:eastAsia="宋体" w:cs="宋体"/>
                <w:color w:val="auto"/>
                <w:sz w:val="21"/>
                <w:szCs w:val="21"/>
                <w:highlight w:val="none"/>
                <w:u w:val="single"/>
              </w:rPr>
              <w:t>35</w:t>
            </w:r>
            <w:r>
              <w:rPr>
                <w:rFonts w:hint="eastAsia" w:ascii="宋体" w:hAnsi="宋体" w:eastAsia="宋体" w:cs="宋体"/>
                <w:color w:val="auto"/>
                <w:sz w:val="21"/>
                <w:szCs w:val="21"/>
                <w:highlight w:val="none"/>
              </w:rPr>
              <w:t>分</w:t>
            </w:r>
            <w:r>
              <w:rPr>
                <w:rFonts w:hint="eastAsia" w:ascii="宋体" w:hAnsi="宋体" w:eastAsia="宋体" w:cs="宋体"/>
                <w:bCs/>
                <w:color w:val="auto"/>
                <w:sz w:val="21"/>
                <w:szCs w:val="21"/>
                <w:highlight w:val="none"/>
              </w:rPr>
              <w:t>）</w:t>
            </w:r>
          </w:p>
        </w:tc>
        <w:tc>
          <w:tcPr>
            <w:tcW w:w="1964" w:type="dxa"/>
            <w:vAlign w:val="center"/>
          </w:tcPr>
          <w:p w14:paraId="39E3289F">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野外站达标工程基础建设方案</w:t>
            </w:r>
            <w:r>
              <w:rPr>
                <w:rFonts w:hint="eastAsia" w:ascii="宋体" w:hAnsi="宋体" w:eastAsia="宋体" w:cs="宋体"/>
                <w:color w:val="auto"/>
                <w:sz w:val="21"/>
                <w:szCs w:val="21"/>
                <w:highlight w:val="none"/>
              </w:rPr>
              <w:t>（5分）</w:t>
            </w:r>
          </w:p>
        </w:tc>
        <w:tc>
          <w:tcPr>
            <w:tcW w:w="5731" w:type="dxa"/>
            <w:vAlign w:val="center"/>
          </w:tcPr>
          <w:p w14:paraId="22F13813">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pacing w:val="-2"/>
                <w:sz w:val="21"/>
                <w:szCs w:val="21"/>
                <w:highlight w:val="none"/>
                <w:lang w:eastAsia="zh-CN"/>
              </w:rPr>
              <w:t>野外站达标工程基础建设</w:t>
            </w:r>
            <w:r>
              <w:rPr>
                <w:rFonts w:hint="eastAsia" w:ascii="宋体" w:hAnsi="宋体" w:eastAsia="宋体" w:cs="宋体"/>
                <w:color w:val="auto"/>
                <w:sz w:val="21"/>
                <w:szCs w:val="21"/>
                <w:highlight w:val="none"/>
                <w:lang w:eastAsia="zh-CN"/>
              </w:rPr>
              <w:t>技术方案功能分析是否全面、科学、安全、合理；实施流程、</w:t>
            </w:r>
            <w:bookmarkStart w:id="194" w:name="OLE_LINK5"/>
            <w:r>
              <w:rPr>
                <w:rFonts w:hint="eastAsia" w:ascii="宋体" w:hAnsi="宋体" w:eastAsia="宋体" w:cs="宋体"/>
                <w:color w:val="auto"/>
                <w:sz w:val="21"/>
                <w:szCs w:val="21"/>
                <w:highlight w:val="none"/>
                <w:lang w:eastAsia="zh-CN"/>
              </w:rPr>
              <w:t>安装调试技术要求等方案内容完整、方案</w:t>
            </w:r>
            <w:bookmarkEnd w:id="194"/>
            <w:r>
              <w:rPr>
                <w:rFonts w:hint="eastAsia" w:ascii="宋体" w:hAnsi="宋体" w:eastAsia="宋体" w:cs="宋体"/>
                <w:color w:val="auto"/>
                <w:sz w:val="21"/>
                <w:szCs w:val="21"/>
                <w:highlight w:val="none"/>
                <w:lang w:eastAsia="zh-CN"/>
              </w:rPr>
              <w:t>是否合理、可行；实施进度计划是否满足本项目要求；酌情赋分：</w:t>
            </w:r>
          </w:p>
          <w:p w14:paraId="1B010101">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优（5分）：技术方案功能完整、规范、安全、合理；技术要求等方案内容完整、方案合理、可行；实施进度满足或优于项目进度要求。</w:t>
            </w:r>
          </w:p>
          <w:p w14:paraId="10903D83">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良（3.5分）：技术方案功能完整、规范、安全、合理；技术要求等方案内容完整、方案基本合理、可行；实施进度满足项目进度要求。</w:t>
            </w:r>
          </w:p>
          <w:p w14:paraId="08947C45">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一般（2.0分）：技术方案基本完整；技术要求等基本合理、可行；实施进度满足项目进度要求。</w:t>
            </w:r>
          </w:p>
          <w:p w14:paraId="3AA68163">
            <w:pPr>
              <w:pStyle w:val="1518"/>
              <w:keepNext w:val="0"/>
              <w:keepLines w:val="0"/>
              <w:pageBreakBefore w:val="0"/>
              <w:widowControl w:val="0"/>
              <w:kinsoku/>
              <w:wordWrap/>
              <w:overflowPunct/>
              <w:topLinePunct w:val="0"/>
              <w:autoSpaceDE/>
              <w:autoSpaceDN/>
              <w:bidi w:val="0"/>
              <w:spacing w:line="400" w:lineRule="exact"/>
              <w:ind w:left="0" w:right="0"/>
              <w:rPr>
                <w:rFonts w:hint="eastAsia" w:ascii="宋体" w:hAnsi="宋体" w:eastAsia="宋体" w:cs="宋体"/>
                <w:i/>
                <w:color w:val="auto"/>
                <w:w w:val="115"/>
                <w:sz w:val="21"/>
                <w:szCs w:val="21"/>
                <w:highlight w:val="none"/>
                <w:lang w:eastAsia="zh-CN"/>
              </w:rPr>
            </w:pPr>
            <w:r>
              <w:rPr>
                <w:rFonts w:hint="eastAsia" w:ascii="宋体" w:hAnsi="宋体" w:eastAsia="宋体" w:cs="宋体"/>
                <w:color w:val="auto"/>
                <w:sz w:val="21"/>
                <w:szCs w:val="21"/>
                <w:highlight w:val="none"/>
                <w:lang w:eastAsia="zh-CN"/>
              </w:rPr>
              <w:t>差（1分）：技术方案存在明显缺陷；实施进度满足项目进度要求。</w:t>
            </w:r>
          </w:p>
        </w:tc>
      </w:tr>
      <w:tr w14:paraId="09EB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dxa"/>
            <w:vMerge w:val="continue"/>
          </w:tcPr>
          <w:p w14:paraId="3161215B">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color w:val="auto"/>
                <w:sz w:val="21"/>
                <w:szCs w:val="21"/>
                <w:highlight w:val="none"/>
              </w:rPr>
            </w:pPr>
          </w:p>
        </w:tc>
        <w:tc>
          <w:tcPr>
            <w:tcW w:w="1657" w:type="dxa"/>
            <w:vMerge w:val="continue"/>
          </w:tcPr>
          <w:p w14:paraId="764965D0">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color w:val="auto"/>
                <w:sz w:val="21"/>
                <w:szCs w:val="21"/>
                <w:highlight w:val="none"/>
              </w:rPr>
            </w:pPr>
          </w:p>
        </w:tc>
        <w:tc>
          <w:tcPr>
            <w:tcW w:w="1964" w:type="dxa"/>
            <w:tcMar>
              <w:left w:w="57" w:type="dxa"/>
              <w:right w:w="57" w:type="dxa"/>
            </w:tcMar>
            <w:vAlign w:val="center"/>
          </w:tcPr>
          <w:p w14:paraId="78D3E0E2">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野外站信息化管理平台建设</w:t>
            </w:r>
            <w:r>
              <w:rPr>
                <w:rFonts w:hint="eastAsia" w:ascii="宋体" w:hAnsi="宋体" w:eastAsia="宋体" w:cs="宋体"/>
                <w:color w:val="auto"/>
                <w:sz w:val="21"/>
                <w:szCs w:val="21"/>
                <w:highlight w:val="none"/>
              </w:rPr>
              <w:t>（5分）</w:t>
            </w:r>
          </w:p>
        </w:tc>
        <w:tc>
          <w:tcPr>
            <w:tcW w:w="5731" w:type="dxa"/>
            <w:vAlign w:val="center"/>
          </w:tcPr>
          <w:p w14:paraId="736735E9">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对野外站信息化管理平台各业务应用功能是否全面、详细、科学、合理、具可扩展性，对项目技术方案理解是否透彻，能否达到本项目对于业务应用的需求，酌情赋分：</w:t>
            </w:r>
          </w:p>
          <w:p w14:paraId="598C1691">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优（5分）：系统架构设计合理、全面、详实、扩展性强，方案描述清晰准确，设计功能完全满足或优于招标文件技术要求。</w:t>
            </w:r>
          </w:p>
          <w:p w14:paraId="6E4A9A4E">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良（3.5分）：系统架构设计合理、全面，方案描述可行，设计功能基本满足招标文件技术要求。</w:t>
            </w:r>
          </w:p>
          <w:p w14:paraId="3F0E962D">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一般（2.0分）：系统架构设计基本合理，设计功能基本满足招标文件技术求。</w:t>
            </w:r>
          </w:p>
          <w:p w14:paraId="2DA40F4B">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i/>
                <w:color w:val="auto"/>
                <w:w w:val="115"/>
                <w:sz w:val="21"/>
                <w:szCs w:val="21"/>
                <w:highlight w:val="none"/>
                <w:lang w:eastAsia="zh-CN"/>
              </w:rPr>
            </w:pPr>
            <w:r>
              <w:rPr>
                <w:rFonts w:hint="eastAsia" w:ascii="宋体" w:hAnsi="宋体" w:eastAsia="宋体" w:cs="宋体"/>
                <w:color w:val="auto"/>
                <w:sz w:val="21"/>
                <w:szCs w:val="21"/>
                <w:highlight w:val="none"/>
                <w:lang w:eastAsia="zh-CN"/>
              </w:rPr>
              <w:t>差（1分）：系统架构设计不合理，设计功能不满足招标文件技术要求。</w:t>
            </w:r>
          </w:p>
        </w:tc>
      </w:tr>
      <w:tr w14:paraId="3C0BF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dxa"/>
            <w:vMerge w:val="continue"/>
          </w:tcPr>
          <w:p w14:paraId="2C8D5A9F">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color w:val="auto"/>
                <w:sz w:val="21"/>
                <w:szCs w:val="21"/>
                <w:highlight w:val="none"/>
              </w:rPr>
            </w:pPr>
          </w:p>
        </w:tc>
        <w:tc>
          <w:tcPr>
            <w:tcW w:w="1657" w:type="dxa"/>
            <w:vMerge w:val="continue"/>
          </w:tcPr>
          <w:p w14:paraId="45DA57E2">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color w:val="auto"/>
                <w:sz w:val="21"/>
                <w:szCs w:val="21"/>
                <w:highlight w:val="none"/>
              </w:rPr>
            </w:pPr>
          </w:p>
        </w:tc>
        <w:tc>
          <w:tcPr>
            <w:tcW w:w="1964" w:type="dxa"/>
            <w:tcMar>
              <w:left w:w="57" w:type="dxa"/>
              <w:right w:w="57" w:type="dxa"/>
            </w:tcMar>
            <w:vAlign w:val="center"/>
          </w:tcPr>
          <w:p w14:paraId="646A55F0">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集成系统建设方案</w:t>
            </w:r>
            <w:r>
              <w:rPr>
                <w:rFonts w:hint="eastAsia" w:ascii="宋体" w:hAnsi="宋体" w:eastAsia="宋体" w:cs="宋体"/>
                <w:color w:val="auto"/>
                <w:sz w:val="21"/>
                <w:szCs w:val="21"/>
                <w:highlight w:val="none"/>
              </w:rPr>
              <w:t>（5分）</w:t>
            </w:r>
          </w:p>
        </w:tc>
        <w:tc>
          <w:tcPr>
            <w:tcW w:w="5731" w:type="dxa"/>
            <w:vAlign w:val="center"/>
          </w:tcPr>
          <w:p w14:paraId="5E6FB40C">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总集成方案是否符合项目实际，技术路线科学、安全、合理；集成建设实施过程中应对措施是否得当；实施进度计划是否满足本项目要求；酌情赋分：</w:t>
            </w:r>
          </w:p>
          <w:p w14:paraId="7E5B24B8">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优（5.0分）：集成方案与技术路线符合项目实际、科学、安全、合理；集成建设实施过程中应对措施得当；实施进度计划满足或优于本项目要求。</w:t>
            </w:r>
          </w:p>
          <w:p w14:paraId="099CAA6C">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良（3.5分）：集成方案与技术路线符合项目实际、科学、安全、合理；集成建设实施过程中应对措施基本得当；实施进度计划满足本项目要求。</w:t>
            </w:r>
          </w:p>
          <w:p w14:paraId="5A42A336">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一般（2.0分）：集成方案与技术路线符合项目实际、基本合理；集成建设实施过程中应对措施基本得当；实施进度计划满足本项目要求。</w:t>
            </w:r>
          </w:p>
          <w:p w14:paraId="497C2E60">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差（1.0分）：集成方案与技术路线存在明显缺陷；实施进度计划满足本项目要求。在明显缺陷；实施进度计划满足本项目要求。</w:t>
            </w:r>
          </w:p>
        </w:tc>
      </w:tr>
      <w:tr w14:paraId="7A618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dxa"/>
            <w:vMerge w:val="continue"/>
          </w:tcPr>
          <w:p w14:paraId="32345F1A">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color w:val="auto"/>
                <w:sz w:val="21"/>
                <w:szCs w:val="21"/>
                <w:highlight w:val="none"/>
              </w:rPr>
            </w:pPr>
          </w:p>
        </w:tc>
        <w:tc>
          <w:tcPr>
            <w:tcW w:w="1657" w:type="dxa"/>
            <w:vMerge w:val="continue"/>
          </w:tcPr>
          <w:p w14:paraId="1E312DE8">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color w:val="auto"/>
                <w:sz w:val="21"/>
                <w:szCs w:val="21"/>
                <w:highlight w:val="none"/>
              </w:rPr>
            </w:pPr>
          </w:p>
        </w:tc>
        <w:tc>
          <w:tcPr>
            <w:tcW w:w="1964" w:type="dxa"/>
            <w:tcMar>
              <w:left w:w="57" w:type="dxa"/>
              <w:right w:w="57" w:type="dxa"/>
            </w:tcMar>
            <w:vAlign w:val="center"/>
          </w:tcPr>
          <w:p w14:paraId="5FBADF5E">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设备安装调试方案</w:t>
            </w:r>
            <w:r>
              <w:rPr>
                <w:rFonts w:hint="eastAsia" w:ascii="宋体" w:hAnsi="宋体" w:eastAsia="宋体" w:cs="宋体"/>
                <w:color w:val="auto"/>
                <w:sz w:val="21"/>
                <w:szCs w:val="21"/>
                <w:highlight w:val="none"/>
              </w:rPr>
              <w:t>（5分）</w:t>
            </w:r>
          </w:p>
        </w:tc>
        <w:tc>
          <w:tcPr>
            <w:tcW w:w="5731" w:type="dxa"/>
            <w:vAlign w:val="center"/>
          </w:tcPr>
          <w:p w14:paraId="1F17FAEF">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优（5.0分）：提供的设备安装调试方案能够满足本项目的总体建设要求，结合本项目特点，切合实际，先进可行，具有可操作性。</w:t>
            </w:r>
          </w:p>
          <w:p w14:paraId="760257DF">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良（3.5分）：提供的设备安装调试方案能够满足本项目的总体建设要求，结合本项目特点，可行，可操作性良好。</w:t>
            </w:r>
          </w:p>
          <w:p w14:paraId="52F1F6EE">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一般（2.0分）：提供的设备安装调试方案能够满足本项目的总体建设要求，基本能结合本项目特点，基本可行，可操作性一般。</w:t>
            </w:r>
          </w:p>
          <w:p w14:paraId="279AD81D">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差（1.0分）：提供的方案简单，不能很好的结合本项目特点，不切合实际，可操作性差。</w:t>
            </w:r>
          </w:p>
        </w:tc>
      </w:tr>
      <w:tr w14:paraId="017E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dxa"/>
            <w:vMerge w:val="continue"/>
          </w:tcPr>
          <w:p w14:paraId="0A8DD334">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color w:val="auto"/>
                <w:sz w:val="21"/>
                <w:szCs w:val="21"/>
                <w:highlight w:val="none"/>
              </w:rPr>
            </w:pPr>
          </w:p>
        </w:tc>
        <w:tc>
          <w:tcPr>
            <w:tcW w:w="1657" w:type="dxa"/>
            <w:vMerge w:val="continue"/>
          </w:tcPr>
          <w:p w14:paraId="7DEC3399">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color w:val="auto"/>
                <w:sz w:val="21"/>
                <w:szCs w:val="21"/>
                <w:highlight w:val="none"/>
              </w:rPr>
            </w:pPr>
          </w:p>
        </w:tc>
        <w:tc>
          <w:tcPr>
            <w:tcW w:w="1964" w:type="dxa"/>
            <w:tcMar>
              <w:left w:w="57" w:type="dxa"/>
              <w:right w:w="57" w:type="dxa"/>
            </w:tcMar>
            <w:vAlign w:val="center"/>
          </w:tcPr>
          <w:p w14:paraId="6984803F">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pacing w:val="-2"/>
                <w:sz w:val="21"/>
                <w:szCs w:val="21"/>
                <w:highlight w:val="none"/>
              </w:rPr>
              <w:t>进度控制方案</w:t>
            </w:r>
            <w:r>
              <w:rPr>
                <w:rFonts w:hint="eastAsia" w:ascii="宋体" w:hAnsi="宋体" w:eastAsia="宋体" w:cs="宋体"/>
                <w:color w:val="auto"/>
                <w:sz w:val="21"/>
                <w:szCs w:val="21"/>
                <w:highlight w:val="none"/>
              </w:rPr>
              <w:t>（5分）</w:t>
            </w:r>
          </w:p>
        </w:tc>
        <w:tc>
          <w:tcPr>
            <w:tcW w:w="5731" w:type="dxa"/>
            <w:vAlign w:val="center"/>
          </w:tcPr>
          <w:p w14:paraId="1B38E0E8">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优（5.0分）：制定有项目工作流程、进度计划横道图，项目进度控制措施完整合理、切实可行，保障措施考虑周全、具体、先进、有效。</w:t>
            </w:r>
          </w:p>
          <w:p w14:paraId="7018ECF6">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良（3.5分）：制定有项目工作流程、进度计划横道图，项目进度控制措施完整合理、切实可行，保障措施考虑详细，较为具体。</w:t>
            </w:r>
          </w:p>
          <w:p w14:paraId="07477A8E">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一般（2.0分）：制定有项目工作流程、进度计划横道图，项目进度控制措施完整合理、切实可行，保障措施考虑一般，不够具体。</w:t>
            </w:r>
          </w:p>
          <w:p w14:paraId="5C353D53">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差（1.0分）：无项目工作流程、进度计划横道图，项目进度控制措施不合理、不可行，无保障措施考虑。</w:t>
            </w:r>
          </w:p>
        </w:tc>
      </w:tr>
      <w:tr w14:paraId="1F70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dxa"/>
            <w:vMerge w:val="continue"/>
          </w:tcPr>
          <w:p w14:paraId="32AB421E">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color w:val="auto"/>
                <w:sz w:val="21"/>
                <w:szCs w:val="21"/>
                <w:highlight w:val="none"/>
              </w:rPr>
            </w:pPr>
          </w:p>
        </w:tc>
        <w:tc>
          <w:tcPr>
            <w:tcW w:w="1657" w:type="dxa"/>
            <w:vMerge w:val="continue"/>
          </w:tcPr>
          <w:p w14:paraId="6F1459A1">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color w:val="auto"/>
                <w:sz w:val="21"/>
                <w:szCs w:val="21"/>
                <w:highlight w:val="none"/>
              </w:rPr>
            </w:pPr>
          </w:p>
        </w:tc>
        <w:tc>
          <w:tcPr>
            <w:tcW w:w="1964" w:type="dxa"/>
            <w:tcMar>
              <w:left w:w="57" w:type="dxa"/>
              <w:right w:w="57" w:type="dxa"/>
            </w:tcMar>
            <w:vAlign w:val="center"/>
          </w:tcPr>
          <w:p w14:paraId="7ABF626E">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color w:val="auto"/>
                <w:spacing w:val="-2"/>
                <w:sz w:val="21"/>
                <w:szCs w:val="21"/>
                <w:highlight w:val="none"/>
              </w:rPr>
            </w:pPr>
            <w:r>
              <w:rPr>
                <w:rFonts w:hint="eastAsia" w:ascii="宋体" w:hAnsi="宋体" w:eastAsia="宋体" w:cs="宋体"/>
                <w:color w:val="auto"/>
                <w:spacing w:val="-1"/>
                <w:sz w:val="21"/>
                <w:szCs w:val="21"/>
                <w:highlight w:val="none"/>
              </w:rPr>
              <w:t>售后运行维护</w:t>
            </w:r>
            <w:r>
              <w:rPr>
                <w:rFonts w:hint="eastAsia" w:ascii="宋体" w:hAnsi="宋体" w:eastAsia="宋体" w:cs="宋体"/>
                <w:color w:val="auto"/>
                <w:spacing w:val="-2"/>
                <w:sz w:val="21"/>
                <w:szCs w:val="21"/>
                <w:highlight w:val="none"/>
              </w:rPr>
              <w:t>服务方案（5分）</w:t>
            </w:r>
          </w:p>
        </w:tc>
        <w:tc>
          <w:tcPr>
            <w:tcW w:w="5731" w:type="dxa"/>
            <w:vAlign w:val="center"/>
          </w:tcPr>
          <w:p w14:paraId="7F77764D">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优（5.0分）：售后运行维护服务方案全面、可行，包含有项目服务维护、应急保障方案、保密承诺等，且描述了项目维护和应急保障方案的方法以及实现方式，服务措施到位，8小时内响应并到达招标人指定地点解决问题；</w:t>
            </w:r>
          </w:p>
          <w:p w14:paraId="2502566B">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良（3.5分）：售后运维服务方案全面、可行，服务措施到位，12小时内响应并到达招标人指定地点解决问题；</w:t>
            </w:r>
          </w:p>
          <w:p w14:paraId="65BA16D1">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一般（2.0分）：售后运维服务方案满足基本可行，能于16小时内响应并到达招标人指定地点解决问题；</w:t>
            </w:r>
          </w:p>
          <w:p w14:paraId="1B301A5D">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差（1分）：运维管理目标不明确，运维方案不切合实际，不具有可操作性。</w:t>
            </w:r>
          </w:p>
        </w:tc>
      </w:tr>
      <w:tr w14:paraId="2FF6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dxa"/>
            <w:vMerge w:val="continue"/>
          </w:tcPr>
          <w:p w14:paraId="6883CF90">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color w:val="auto"/>
                <w:sz w:val="21"/>
                <w:szCs w:val="21"/>
                <w:highlight w:val="none"/>
              </w:rPr>
            </w:pPr>
          </w:p>
        </w:tc>
        <w:tc>
          <w:tcPr>
            <w:tcW w:w="1657" w:type="dxa"/>
            <w:vMerge w:val="continue"/>
          </w:tcPr>
          <w:p w14:paraId="23BEAD38">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color w:val="auto"/>
                <w:sz w:val="21"/>
                <w:szCs w:val="21"/>
                <w:highlight w:val="none"/>
              </w:rPr>
            </w:pPr>
          </w:p>
        </w:tc>
        <w:tc>
          <w:tcPr>
            <w:tcW w:w="1964" w:type="dxa"/>
            <w:tcMar>
              <w:left w:w="57" w:type="dxa"/>
              <w:right w:w="57" w:type="dxa"/>
            </w:tcMar>
            <w:vAlign w:val="center"/>
          </w:tcPr>
          <w:p w14:paraId="370CD0A1">
            <w:pPr>
              <w:pStyle w:val="155"/>
              <w:keepNext w:val="0"/>
              <w:keepLines w:val="0"/>
              <w:pageBreakBefore w:val="0"/>
              <w:widowControl w:val="0"/>
              <w:kinsoku/>
              <w:wordWrap/>
              <w:overflowPunct/>
              <w:topLinePunct w:val="0"/>
              <w:autoSpaceDE/>
              <w:autoSpaceDN/>
              <w:bidi w:val="0"/>
              <w:spacing w:line="400" w:lineRule="exact"/>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培训方案</w:t>
            </w:r>
          </w:p>
          <w:p w14:paraId="6507F204">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（5分）</w:t>
            </w:r>
          </w:p>
        </w:tc>
        <w:tc>
          <w:tcPr>
            <w:tcW w:w="5731" w:type="dxa"/>
            <w:vAlign w:val="center"/>
          </w:tcPr>
          <w:p w14:paraId="191BDD22">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优（5.0分）：培训内容、培训目标、培训对象、培训方式、培训计划等项目培训方案考虑周全、内容详细、针对性强。</w:t>
            </w:r>
          </w:p>
          <w:p w14:paraId="5CFF0E15">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良（3.5分）：培训内容、培训目标、培训对象、培训方式、培训计划等项目培训方案内容完整且较详细，方案基本合理。</w:t>
            </w:r>
          </w:p>
          <w:p w14:paraId="3FCC2654">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一般（2分）：培训内容、培训目标、培训对象、培训方式、培训计划等项目培训方案基本完整，可操作性一般。</w:t>
            </w:r>
          </w:p>
          <w:p w14:paraId="6B04BDEA">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差（1分）：培训内容、培训目标、培训对象、培训方 式、培训计划等项目培训方案粗糙，操作性差。</w:t>
            </w:r>
          </w:p>
        </w:tc>
      </w:tr>
      <w:tr w14:paraId="2D816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dxa"/>
            <w:vMerge w:val="restart"/>
            <w:vAlign w:val="center"/>
          </w:tcPr>
          <w:p w14:paraId="26F67F81">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657" w:type="dxa"/>
            <w:vMerge w:val="restart"/>
            <w:vAlign w:val="center"/>
          </w:tcPr>
          <w:p w14:paraId="598642A4">
            <w:pPr>
              <w:keepNext w:val="0"/>
              <w:keepLines w:val="0"/>
              <w:pageBreakBefore w:val="0"/>
              <w:widowControl w:val="0"/>
              <w:kinsoku/>
              <w:wordWrap/>
              <w:overflowPunct/>
              <w:topLinePunct w:val="0"/>
              <w:autoSpaceDE/>
              <w:autoSpaceDN/>
              <w:bidi w:val="0"/>
              <w:adjustRightInd w:val="0"/>
              <w:snapToGrid w:val="0"/>
              <w:spacing w:line="400" w:lineRule="exact"/>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商务分（满分55分）</w:t>
            </w:r>
          </w:p>
        </w:tc>
        <w:tc>
          <w:tcPr>
            <w:tcW w:w="1964" w:type="dxa"/>
            <w:vAlign w:val="center"/>
          </w:tcPr>
          <w:p w14:paraId="0EB7720F">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资信综合实力（26分）</w:t>
            </w:r>
          </w:p>
        </w:tc>
        <w:tc>
          <w:tcPr>
            <w:tcW w:w="5731" w:type="dxa"/>
            <w:vAlign w:val="center"/>
          </w:tcPr>
          <w:p w14:paraId="46C34073">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、投标人具有有效的ISO9001质量管理体系认证证书、ISO14001环境管理体系认证证书、ISO45001职业健康安全管理体系认证证书、GB/T31950企业诚信管理体系认证证书，每个得0.5分。本项最多得2分。</w:t>
            </w:r>
          </w:p>
          <w:p w14:paraId="4B8C63DA">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2、ISO/IEC27001信息安全管理体系认证证书，ISO/IEC20000信息技术服务管理体系认证证书、SL/Z503-2016水安全管理体系认证证书，CCRC信息安全服务资质认证证书每个得1分。本项最多得4分。</w:t>
            </w:r>
          </w:p>
          <w:p w14:paraId="63DF877F">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（注：须在投标文件中提供有效的认证证书复印件并加盖公章，联合体投标时，联合体投标的任意一方提供均可。）</w:t>
            </w:r>
          </w:p>
          <w:p w14:paraId="115E0328">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①投标人具有有效的1级CS信息系统建设和服务能力等级证书的得0.5分；具有有效的2级（含）以上CS信息系统建设和服务能力等级证书的得1分。②投标人具有有效的三级（含）以上ITSS信息技术服务标准符合性证书的得1分；其它不得分，本项满分2分。</w:t>
            </w:r>
          </w:p>
          <w:p w14:paraId="5EABDE36">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（注：须在投标文件中提供有效的认证证书复印件并加盖公章，联合体投标时，联合体投标的任意一方提供均可。）</w:t>
            </w:r>
          </w:p>
          <w:p w14:paraId="02789ECE">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4、2022年1月1日以来，企业承建或完成的水利水电工程获得省级 （或以上）水利行业协（学）会颁发文明工地奖，每个得2分，最多得12分。（提供证书及批文扫描件，时间以证书颁发时间为准。联合体投标的任意一方提供均可。）</w:t>
            </w:r>
          </w:p>
          <w:p w14:paraId="4E946206">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5、2022年1月1日以来，企业获得过市级科学技术进步奖的，得3分。企业获得省部级及以上科学技术进步奖的，得6分。满分6分。（以证书标明时间为准，提供证书扫描件。联合体投标的任意一方提供均可。）</w:t>
            </w:r>
          </w:p>
        </w:tc>
      </w:tr>
      <w:tr w14:paraId="77BB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dxa"/>
            <w:vMerge w:val="continue"/>
            <w:vAlign w:val="center"/>
          </w:tcPr>
          <w:p w14:paraId="57DCF2AD">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p>
        </w:tc>
        <w:tc>
          <w:tcPr>
            <w:tcW w:w="1657" w:type="dxa"/>
            <w:vMerge w:val="continue"/>
            <w:vAlign w:val="center"/>
          </w:tcPr>
          <w:p w14:paraId="5256B196">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z w:val="21"/>
                <w:szCs w:val="21"/>
                <w:highlight w:val="none"/>
                <w:lang w:eastAsia="zh-CN"/>
              </w:rPr>
            </w:pPr>
          </w:p>
        </w:tc>
        <w:tc>
          <w:tcPr>
            <w:tcW w:w="1964" w:type="dxa"/>
            <w:vAlign w:val="center"/>
          </w:tcPr>
          <w:p w14:paraId="62E7A00E">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z w:val="21"/>
                <w:szCs w:val="21"/>
                <w:highlight w:val="none"/>
              </w:rPr>
              <w:t>类似项目业绩（10分）</w:t>
            </w:r>
          </w:p>
        </w:tc>
        <w:tc>
          <w:tcPr>
            <w:tcW w:w="5731" w:type="dxa"/>
            <w:vAlign w:val="center"/>
          </w:tcPr>
          <w:p w14:paraId="6AF42DBF">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投标人自2022年1月至投标截止之日承接过国内水利工程信息化建设业绩（时间以中标通知书或合同协议书的日期为准），每个得2分，最高得分10分；</w:t>
            </w:r>
          </w:p>
          <w:p w14:paraId="348BF179">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pacing w:val="-1"/>
                <w:sz w:val="21"/>
                <w:szCs w:val="21"/>
                <w:highlight w:val="none"/>
                <w:lang w:eastAsia="zh-CN"/>
              </w:rPr>
            </w:pPr>
            <w:r>
              <w:rPr>
                <w:rFonts w:hint="eastAsia" w:ascii="宋体" w:hAnsi="宋体" w:eastAsia="宋体" w:cs="宋体"/>
                <w:color w:val="auto"/>
                <w:sz w:val="21"/>
                <w:szCs w:val="21"/>
                <w:highlight w:val="none"/>
                <w:lang w:eastAsia="zh-CN"/>
              </w:rPr>
              <w:t>注：业绩证明材料包括中标通知书、合同协议书等；如联合体投标时，联合体任牵头人提供；</w:t>
            </w:r>
          </w:p>
        </w:tc>
      </w:tr>
      <w:tr w14:paraId="0173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dxa"/>
            <w:vMerge w:val="continue"/>
            <w:vAlign w:val="center"/>
          </w:tcPr>
          <w:p w14:paraId="6DC9EAD1">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pacing w:val="-1"/>
                <w:sz w:val="21"/>
                <w:szCs w:val="21"/>
                <w:highlight w:val="none"/>
                <w:lang w:eastAsia="zh-CN"/>
              </w:rPr>
            </w:pPr>
          </w:p>
        </w:tc>
        <w:tc>
          <w:tcPr>
            <w:tcW w:w="1657" w:type="dxa"/>
            <w:vMerge w:val="continue"/>
            <w:vAlign w:val="center"/>
          </w:tcPr>
          <w:p w14:paraId="76424B6F">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pacing w:val="-1"/>
                <w:sz w:val="21"/>
                <w:szCs w:val="21"/>
                <w:highlight w:val="none"/>
                <w:lang w:eastAsia="zh-CN"/>
              </w:rPr>
            </w:pPr>
          </w:p>
        </w:tc>
        <w:tc>
          <w:tcPr>
            <w:tcW w:w="1964" w:type="dxa"/>
            <w:vAlign w:val="center"/>
          </w:tcPr>
          <w:p w14:paraId="6854D6BC">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color w:val="auto"/>
                <w:sz w:val="21"/>
                <w:szCs w:val="21"/>
                <w:highlight w:val="none"/>
              </w:rPr>
            </w:pPr>
          </w:p>
          <w:p w14:paraId="19BEDC6A">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z w:val="21"/>
                <w:szCs w:val="21"/>
                <w:highlight w:val="none"/>
              </w:rPr>
              <w:t>项目负责人资历（5分）</w:t>
            </w:r>
          </w:p>
        </w:tc>
        <w:tc>
          <w:tcPr>
            <w:tcW w:w="5731" w:type="dxa"/>
            <w:vAlign w:val="center"/>
          </w:tcPr>
          <w:p w14:paraId="6280CED9">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项目负责人（项目经理）：</w:t>
            </w:r>
          </w:p>
          <w:p w14:paraId="77C5F134">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具有有效的电子与智能化工程类相关专业（包括计算机、电子、通信信息、自动化、电气等专业）高级职称得4分，中级及以下职称得1分；</w:t>
            </w:r>
          </w:p>
          <w:p w14:paraId="1F37EB19">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项目负责人自2022年1月至投标截止之日担任过水利</w:t>
            </w:r>
            <w:r>
              <w:rPr>
                <w:rFonts w:hint="eastAsia" w:cs="宋体"/>
                <w:color w:val="auto"/>
                <w:sz w:val="21"/>
                <w:szCs w:val="21"/>
                <w:highlight w:val="none"/>
                <w:lang w:val="en-US" w:eastAsia="zh-CN"/>
              </w:rPr>
              <w:t>工程</w:t>
            </w:r>
            <w:r>
              <w:rPr>
                <w:rFonts w:hint="eastAsia" w:ascii="宋体" w:hAnsi="宋体" w:eastAsia="宋体" w:cs="宋体"/>
                <w:color w:val="auto"/>
                <w:sz w:val="21"/>
                <w:szCs w:val="21"/>
                <w:highlight w:val="none"/>
                <w:lang w:eastAsia="zh-CN"/>
              </w:rPr>
              <w:t>信息化项目项目负责人（项目经理）的，一个业绩得1分，本项满分1分。</w:t>
            </w:r>
          </w:p>
          <w:p w14:paraId="3F42D1B5">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注：须在投标文件中附人员有效的相关职称或证书、近3个月的社保证明、业绩证明材料，否则不得分。</w:t>
            </w:r>
          </w:p>
        </w:tc>
      </w:tr>
      <w:tr w14:paraId="4E662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dxa"/>
            <w:vMerge w:val="continue"/>
            <w:vAlign w:val="center"/>
          </w:tcPr>
          <w:p w14:paraId="573F7CEE">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pacing w:val="-1"/>
                <w:sz w:val="21"/>
                <w:szCs w:val="21"/>
                <w:highlight w:val="none"/>
                <w:lang w:eastAsia="zh-CN"/>
              </w:rPr>
            </w:pPr>
          </w:p>
        </w:tc>
        <w:tc>
          <w:tcPr>
            <w:tcW w:w="1657" w:type="dxa"/>
            <w:vMerge w:val="continue"/>
            <w:vAlign w:val="center"/>
          </w:tcPr>
          <w:p w14:paraId="39A8ABCD">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pacing w:val="-1"/>
                <w:sz w:val="21"/>
                <w:szCs w:val="21"/>
                <w:highlight w:val="none"/>
                <w:lang w:eastAsia="zh-CN"/>
              </w:rPr>
            </w:pPr>
          </w:p>
        </w:tc>
        <w:tc>
          <w:tcPr>
            <w:tcW w:w="1964" w:type="dxa"/>
            <w:vAlign w:val="center"/>
          </w:tcPr>
          <w:p w14:paraId="16D3A7A6">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color w:val="auto"/>
                <w:spacing w:val="-1"/>
                <w:sz w:val="21"/>
                <w:szCs w:val="21"/>
                <w:highlight w:val="none"/>
              </w:rPr>
            </w:pPr>
            <w:r>
              <w:rPr>
                <w:rFonts w:hint="eastAsia" w:ascii="宋体" w:hAnsi="宋体" w:eastAsia="宋体" w:cs="宋体"/>
                <w:color w:val="auto"/>
                <w:sz w:val="21"/>
                <w:szCs w:val="21"/>
                <w:highlight w:val="none"/>
              </w:rPr>
              <w:t>项目技术负责人（4分）</w:t>
            </w:r>
          </w:p>
        </w:tc>
        <w:tc>
          <w:tcPr>
            <w:tcW w:w="5731" w:type="dxa"/>
            <w:vAlign w:val="center"/>
          </w:tcPr>
          <w:p w14:paraId="50D34C6B">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技术负责人：</w:t>
            </w:r>
          </w:p>
          <w:p w14:paraId="092CB672">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具有有效的水利水电类相关专业高级职称得3分；</w:t>
            </w:r>
          </w:p>
          <w:p w14:paraId="7CEEF0EF">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自2022年1月至投标截止之日担任过水利</w:t>
            </w:r>
            <w:r>
              <w:rPr>
                <w:rFonts w:hint="eastAsia" w:cs="宋体"/>
                <w:color w:val="auto"/>
                <w:sz w:val="21"/>
                <w:szCs w:val="21"/>
                <w:highlight w:val="none"/>
                <w:lang w:val="en-US" w:eastAsia="zh-CN"/>
              </w:rPr>
              <w:t>工程</w:t>
            </w:r>
            <w:r>
              <w:rPr>
                <w:rFonts w:hint="eastAsia" w:ascii="宋体" w:hAnsi="宋体" w:eastAsia="宋体" w:cs="宋体"/>
                <w:color w:val="auto"/>
                <w:sz w:val="21"/>
                <w:szCs w:val="21"/>
                <w:highlight w:val="none"/>
                <w:lang w:eastAsia="zh-CN"/>
              </w:rPr>
              <w:t>信息化项目项目负责人（项目经理）或者技术负责人的，一个业绩得0.5分，本项满分1分。</w:t>
            </w:r>
          </w:p>
          <w:p w14:paraId="6A72BA68">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注：须在投标文件中附人员有效的相关职称或证书、近3个月的社保证明、否则不得分。</w:t>
            </w:r>
          </w:p>
        </w:tc>
      </w:tr>
      <w:tr w14:paraId="25240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87" w:type="dxa"/>
            <w:vMerge w:val="continue"/>
            <w:vAlign w:val="center"/>
          </w:tcPr>
          <w:p w14:paraId="3FAB8522">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pacing w:val="-1"/>
                <w:sz w:val="21"/>
                <w:szCs w:val="21"/>
                <w:highlight w:val="none"/>
                <w:lang w:eastAsia="zh-CN"/>
              </w:rPr>
            </w:pPr>
          </w:p>
        </w:tc>
        <w:tc>
          <w:tcPr>
            <w:tcW w:w="1657" w:type="dxa"/>
            <w:vMerge w:val="continue"/>
            <w:vAlign w:val="center"/>
          </w:tcPr>
          <w:p w14:paraId="321F45E4">
            <w:pPr>
              <w:pStyle w:val="1518"/>
              <w:keepNext w:val="0"/>
              <w:keepLines w:val="0"/>
              <w:pageBreakBefore w:val="0"/>
              <w:widowControl w:val="0"/>
              <w:kinsoku/>
              <w:wordWrap/>
              <w:overflowPunct/>
              <w:topLinePunct w:val="0"/>
              <w:autoSpaceDE/>
              <w:autoSpaceDN/>
              <w:bidi w:val="0"/>
              <w:spacing w:line="400" w:lineRule="exact"/>
              <w:ind w:left="0" w:right="0" w:hanging="2"/>
              <w:rPr>
                <w:rFonts w:hint="eastAsia" w:ascii="宋体" w:hAnsi="宋体" w:eastAsia="宋体" w:cs="宋体"/>
                <w:color w:val="auto"/>
                <w:spacing w:val="-1"/>
                <w:sz w:val="21"/>
                <w:szCs w:val="21"/>
                <w:highlight w:val="none"/>
                <w:lang w:eastAsia="zh-CN"/>
              </w:rPr>
            </w:pPr>
          </w:p>
        </w:tc>
        <w:tc>
          <w:tcPr>
            <w:tcW w:w="1964" w:type="dxa"/>
            <w:vAlign w:val="center"/>
          </w:tcPr>
          <w:p w14:paraId="74C8FBD0">
            <w:pPr>
              <w:keepNext w:val="0"/>
              <w:keepLines w:val="0"/>
              <w:pageBreakBefore w:val="0"/>
              <w:widowControl w:val="0"/>
              <w:kinsoku/>
              <w:wordWrap/>
              <w:overflowPunct/>
              <w:topLinePunct w:val="0"/>
              <w:autoSpaceDE/>
              <w:autoSpaceDN/>
              <w:bidi w:val="0"/>
              <w:adjustRightInd w:val="0"/>
              <w:spacing w:line="400" w:lineRule="exact"/>
              <w:ind w:left="0" w:right="0"/>
              <w:jc w:val="center"/>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其他主要人员资历（10分）</w:t>
            </w:r>
          </w:p>
        </w:tc>
        <w:tc>
          <w:tcPr>
            <w:tcW w:w="5731" w:type="dxa"/>
            <w:vAlign w:val="center"/>
          </w:tcPr>
          <w:p w14:paraId="5D715F69">
            <w:pPr>
              <w:pStyle w:val="1518"/>
              <w:keepNext w:val="0"/>
              <w:keepLines w:val="0"/>
              <w:pageBreakBefore w:val="0"/>
              <w:widowControl w:val="0"/>
              <w:kinsoku/>
              <w:wordWrap/>
              <w:overflowPunct/>
              <w:topLinePunct w:val="0"/>
              <w:autoSpaceDE/>
              <w:autoSpaceDN/>
              <w:bidi w:val="0"/>
              <w:spacing w:line="400" w:lineRule="exact"/>
              <w:ind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拟派项目组人员（不含项目负责人以及技术负责人）：具有信息系统项目管理师、电子信息、水土保持、水利环境保护、工程测量与测绘专业、水文地质与工程地质、电力系统其自动化、水利水电信息工程职称、项目组人员具有上述高级及以上专业职称，得10分；具有上述中级及以上职称的</w:t>
            </w:r>
            <w:r>
              <w:rPr>
                <w:rFonts w:hint="eastAsia" w:ascii="宋体" w:hAnsi="宋体" w:eastAsia="宋体" w:cs="宋体"/>
                <w:b/>
                <w:bCs/>
                <w:color w:val="auto"/>
                <w:sz w:val="21"/>
                <w:szCs w:val="21"/>
                <w:highlight w:val="none"/>
                <w:u w:val="single"/>
                <w:lang w:eastAsia="zh-CN"/>
              </w:rPr>
              <w:t>（如：8人中任意1人</w:t>
            </w:r>
            <w:r>
              <w:rPr>
                <w:rFonts w:hint="eastAsia" w:ascii="宋体" w:hAnsi="宋体" w:eastAsia="宋体" w:cs="宋体"/>
                <w:b/>
                <w:bCs/>
                <w:color w:val="auto"/>
                <w:sz w:val="21"/>
                <w:szCs w:val="21"/>
                <w:highlight w:val="none"/>
                <w:u w:val="single"/>
                <w:lang w:val="en-US" w:eastAsia="zh-CN"/>
              </w:rPr>
              <w:t>或多人</w:t>
            </w:r>
            <w:r>
              <w:rPr>
                <w:rFonts w:hint="eastAsia" w:ascii="宋体" w:hAnsi="宋体" w:eastAsia="宋体" w:cs="宋体"/>
                <w:b/>
                <w:bCs/>
                <w:color w:val="auto"/>
                <w:sz w:val="21"/>
                <w:szCs w:val="21"/>
                <w:highlight w:val="none"/>
                <w:u w:val="single"/>
                <w:lang w:eastAsia="zh-CN"/>
              </w:rPr>
              <w:t>为中级职称的得此项分数</w:t>
            </w:r>
            <w:r>
              <w:rPr>
                <w:rFonts w:hint="eastAsia" w:ascii="宋体" w:hAnsi="宋体" w:eastAsia="宋体" w:cs="宋体"/>
                <w:color w:val="auto"/>
                <w:sz w:val="21"/>
                <w:szCs w:val="21"/>
                <w:highlight w:val="none"/>
                <w:lang w:eastAsia="zh-CN"/>
              </w:rPr>
              <w:t>），得5分，缺任意一项职称专业本项不得分。（附职称证书扫描件，职称专业以职称证书上注明专业为准。）。</w:t>
            </w:r>
          </w:p>
          <w:p w14:paraId="61661AEE">
            <w:pPr>
              <w:pStyle w:val="1518"/>
              <w:keepNext w:val="0"/>
              <w:keepLines w:val="0"/>
              <w:pageBreakBefore w:val="0"/>
              <w:widowControl w:val="0"/>
              <w:kinsoku/>
              <w:wordWrap/>
              <w:overflowPunct/>
              <w:topLinePunct w:val="0"/>
              <w:autoSpaceDE/>
              <w:autoSpaceDN/>
              <w:bidi w:val="0"/>
              <w:spacing w:line="400" w:lineRule="exact"/>
              <w:ind w:left="0" w:right="0" w:hanging="11"/>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注：须在投标文件中附人员有效的相关职称或资格证书、近3个月的社保证明；同一人具备多种职称、资格证书的，只能计一人次；不同的人员具</w:t>
            </w:r>
            <w:bookmarkStart w:id="426" w:name="_GoBack"/>
            <w:bookmarkEnd w:id="426"/>
            <w:r>
              <w:rPr>
                <w:rFonts w:hint="eastAsia" w:ascii="宋体" w:hAnsi="宋体" w:eastAsia="宋体" w:cs="宋体"/>
                <w:color w:val="auto"/>
                <w:sz w:val="21"/>
                <w:szCs w:val="21"/>
                <w:highlight w:val="none"/>
                <w:lang w:eastAsia="zh-CN"/>
              </w:rPr>
              <w:t>有同一专业职称、资格证书的，也只能计一人次；须同时提供相应人员有效的资格证书复印件，否则不计分。</w:t>
            </w:r>
          </w:p>
        </w:tc>
      </w:tr>
      <w:tr w14:paraId="54EA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939" w:type="dxa"/>
            <w:gridSpan w:val="4"/>
            <w:vAlign w:val="center"/>
          </w:tcPr>
          <w:p w14:paraId="2291F82E">
            <w:pPr>
              <w:pStyle w:val="43"/>
              <w:keepNext w:val="0"/>
              <w:keepLines w:val="0"/>
              <w:pageBreakBefore w:val="0"/>
              <w:widowControl w:val="0"/>
              <w:kinsoku/>
              <w:wordWrap/>
              <w:overflowPunct/>
              <w:topLinePunct w:val="0"/>
              <w:autoSpaceDE/>
              <w:autoSpaceDN/>
              <w:bidi w:val="0"/>
              <w:snapToGrid w:val="0"/>
              <w:spacing w:line="400" w:lineRule="exact"/>
              <w:ind w:left="0" w:right="0"/>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总得分=1+2+3</w:t>
            </w:r>
          </w:p>
        </w:tc>
      </w:tr>
    </w:tbl>
    <w:p w14:paraId="6502E4DA">
      <w:pPr>
        <w:pStyle w:val="43"/>
        <w:spacing w:line="400" w:lineRule="exact"/>
        <w:ind w:firstLine="420"/>
        <w:rPr>
          <w:rFonts w:hint="eastAsia" w:hAnsi="宋体" w:cs="宋体"/>
          <w:bCs/>
          <w:color w:val="auto"/>
          <w:sz w:val="21"/>
          <w:highlight w:val="none"/>
        </w:rPr>
      </w:pPr>
      <w:r>
        <w:rPr>
          <w:rFonts w:hint="eastAsia" w:hAnsi="宋体" w:cs="宋体"/>
          <w:bCs/>
          <w:color w:val="auto"/>
          <w:sz w:val="21"/>
          <w:highlight w:val="none"/>
        </w:rPr>
        <w:t>注：计分方法按四舍五入取至百分位</w:t>
      </w:r>
    </w:p>
    <w:p w14:paraId="3B125D15">
      <w:pPr>
        <w:pStyle w:val="6"/>
        <w:keepNext w:val="0"/>
        <w:keepLines w:val="0"/>
        <w:spacing w:before="0" w:after="0" w:line="400" w:lineRule="exact"/>
        <w:jc w:val="both"/>
        <w:rPr>
          <w:rFonts w:hint="eastAsia" w:ascii="宋体" w:hAnsi="宋体" w:cs="宋体"/>
          <w:color w:val="auto"/>
          <w:sz w:val="21"/>
          <w:szCs w:val="21"/>
          <w:highlight w:val="none"/>
        </w:rPr>
      </w:pPr>
      <w:r>
        <w:rPr>
          <w:rFonts w:hint="eastAsia" w:ascii="宋体" w:hAnsi="宋体" w:cs="宋体"/>
          <w:color w:val="auto"/>
          <w:sz w:val="21"/>
          <w:szCs w:val="21"/>
          <w:highlight w:val="none"/>
        </w:rPr>
        <w:t>四、中标候选人推荐原则</w:t>
      </w:r>
    </w:p>
    <w:p w14:paraId="4A89B8F5">
      <w:pPr>
        <w:pStyle w:val="43"/>
        <w:spacing w:line="400" w:lineRule="exact"/>
        <w:contextualSpacing/>
        <w:rPr>
          <w:rFonts w:hint="eastAsia" w:hAnsi="宋体" w:cs="宋体"/>
          <w:b/>
          <w:bCs/>
          <w:color w:val="auto"/>
          <w:sz w:val="21"/>
          <w:highlight w:val="none"/>
        </w:rPr>
      </w:pPr>
      <w:r>
        <w:rPr>
          <w:rFonts w:hint="eastAsia" w:hAnsi="宋体" w:cs="宋体"/>
          <w:b/>
          <w:bCs/>
          <w:color w:val="auto"/>
          <w:sz w:val="21"/>
          <w:highlight w:val="none"/>
        </w:rPr>
        <w:t>（一）综合评分法</w:t>
      </w:r>
    </w:p>
    <w:p w14:paraId="2089700A">
      <w:pPr>
        <w:pStyle w:val="43"/>
        <w:spacing w:line="400" w:lineRule="exact"/>
        <w:ind w:firstLine="420" w:firstLineChars="200"/>
        <w:contextualSpacing/>
        <w:rPr>
          <w:rFonts w:hint="eastAsia" w:hAnsi="宋体" w:cs="宋体"/>
          <w:color w:val="auto"/>
          <w:sz w:val="21"/>
          <w:highlight w:val="none"/>
        </w:rPr>
      </w:pPr>
      <w:r>
        <w:rPr>
          <w:rFonts w:hint="eastAsia" w:hAnsi="宋体" w:cs="宋体"/>
          <w:color w:val="auto"/>
          <w:sz w:val="21"/>
          <w:highlight w:val="none"/>
        </w:rPr>
        <w:t>1.评标委员会根据原始评标记录和评标结果编写评标报告，并通过电子交易平台向采购人、采购代理机构提交。</w:t>
      </w:r>
    </w:p>
    <w:p w14:paraId="539BEBB9">
      <w:pPr>
        <w:pStyle w:val="43"/>
        <w:spacing w:line="400" w:lineRule="exact"/>
        <w:ind w:firstLine="420" w:firstLineChars="200"/>
        <w:contextualSpacing/>
        <w:rPr>
          <w:rFonts w:hint="eastAsia" w:hAnsi="宋体" w:cs="宋体"/>
          <w:color w:val="auto"/>
          <w:sz w:val="21"/>
          <w:highlight w:val="none"/>
        </w:rPr>
      </w:pPr>
      <w:r>
        <w:rPr>
          <w:rFonts w:hint="eastAsia" w:hAnsi="宋体" w:cs="宋体"/>
          <w:color w:val="auto"/>
          <w:sz w:val="21"/>
          <w:highlight w:val="none"/>
        </w:rPr>
        <w:t>2.评标委员会将根据总得分由高到低排列次序并推荐中标候选人。得分相同的，以投标报价由低到高顺序排列。得分相同且投标报价相同的并列，投标文件满足招标文件全部实质性要求，且按照评审因素的量化指标评审得分最高的投标人为排名第一的中标候选人。</w:t>
      </w:r>
    </w:p>
    <w:p w14:paraId="1FAF0BF9">
      <w:pPr>
        <w:pStyle w:val="43"/>
        <w:spacing w:line="400" w:lineRule="exact"/>
        <w:contextualSpacing/>
        <w:rPr>
          <w:rFonts w:hint="eastAsia" w:hAnsi="宋体" w:cs="宋体"/>
          <w:b/>
          <w:bCs/>
          <w:color w:val="auto"/>
          <w:sz w:val="21"/>
          <w:highlight w:val="none"/>
        </w:rPr>
      </w:pPr>
      <w:r>
        <w:rPr>
          <w:rFonts w:hint="eastAsia" w:hAnsi="宋体" w:cs="宋体"/>
          <w:b/>
          <w:bCs/>
          <w:color w:val="auto"/>
          <w:sz w:val="21"/>
          <w:highlight w:val="none"/>
        </w:rPr>
        <w:t>（二）最低评标价法</w:t>
      </w:r>
    </w:p>
    <w:p w14:paraId="196B1B4A">
      <w:pPr>
        <w:spacing w:line="400" w:lineRule="exact"/>
        <w:ind w:firstLine="420" w:firstLineChars="200"/>
        <w:contextualSpacing/>
        <w:rPr>
          <w:rFonts w:hint="eastAsia" w:ascii="宋体" w:hAnsi="宋体" w:cs="宋体"/>
          <w:color w:val="auto"/>
          <w:szCs w:val="21"/>
          <w:highlight w:val="none"/>
        </w:rPr>
      </w:pPr>
      <w:r>
        <w:rPr>
          <w:rFonts w:hint="eastAsia" w:ascii="宋体" w:hAnsi="宋体" w:cs="宋体"/>
          <w:color w:val="auto"/>
          <w:szCs w:val="21"/>
          <w:highlight w:val="none"/>
        </w:rPr>
        <w:t>1.评标委员会根据原始评标记录和评标结果编写评标报告，并通过电子交易平台向采购人、采购代理机构提交。</w:t>
      </w:r>
    </w:p>
    <w:p w14:paraId="3D029277">
      <w:pPr>
        <w:spacing w:line="400" w:lineRule="exact"/>
        <w:ind w:firstLine="420" w:firstLineChars="200"/>
        <w:contextualSpacing/>
        <w:rPr>
          <w:rFonts w:hint="eastAsia" w:ascii="宋体" w:hAnsi="宋体" w:cs="宋体"/>
          <w:b/>
          <w:color w:val="auto"/>
          <w:szCs w:val="21"/>
          <w:highlight w:val="none"/>
        </w:rPr>
      </w:pPr>
      <w:r>
        <w:rPr>
          <w:rFonts w:hint="eastAsia" w:ascii="宋体" w:hAnsi="宋体" w:cs="宋体"/>
          <w:color w:val="auto"/>
          <w:szCs w:val="21"/>
          <w:highlight w:val="none"/>
        </w:rPr>
        <w:t>2.评标委员会按照评标报价从低到高排序并推荐中标候选人，评标报价相同的并列。投标文件满足招标文件全部实质性要求且评标报价最低的投标人为排名第一的中标候选人。</w:t>
      </w:r>
    </w:p>
    <w:p w14:paraId="26B9BBFE">
      <w:pPr>
        <w:pStyle w:val="6"/>
        <w:keepNext w:val="0"/>
        <w:keepLines w:val="0"/>
        <w:jc w:val="center"/>
        <w:rPr>
          <w:rFonts w:hint="eastAsia" w:hAnsi="宋体"/>
          <w:color w:val="auto"/>
          <w:sz w:val="21"/>
          <w:highlight w:val="none"/>
        </w:rPr>
      </w:pPr>
      <w:r>
        <w:rPr>
          <w:rFonts w:hAnsi="宋体"/>
          <w:b w:val="0"/>
          <w:color w:val="auto"/>
          <w:sz w:val="24"/>
          <w:highlight w:val="none"/>
        </w:rPr>
        <w:br w:type="page"/>
      </w:r>
    </w:p>
    <w:p w14:paraId="3E6DD42B">
      <w:pPr>
        <w:spacing w:before="120" w:beforeLines="50" w:after="120" w:afterLines="50" w:line="400" w:lineRule="exact"/>
        <w:rPr>
          <w:rFonts w:hint="eastAsia" w:ascii="宋体" w:hAnsi="宋体"/>
          <w:b/>
          <w:color w:val="auto"/>
          <w:sz w:val="24"/>
          <w:highlight w:val="none"/>
        </w:rPr>
      </w:pPr>
    </w:p>
    <w:p w14:paraId="167147BF">
      <w:pPr>
        <w:spacing w:before="120" w:beforeLines="50" w:after="120" w:afterLines="50" w:line="400" w:lineRule="exact"/>
        <w:rPr>
          <w:rFonts w:hint="eastAsia" w:ascii="宋体" w:hAnsi="宋体"/>
          <w:b/>
          <w:color w:val="auto"/>
          <w:sz w:val="24"/>
          <w:highlight w:val="none"/>
        </w:rPr>
      </w:pPr>
    </w:p>
    <w:p w14:paraId="12DA20DD">
      <w:pPr>
        <w:spacing w:before="120" w:beforeLines="50" w:after="120" w:afterLines="50" w:line="400" w:lineRule="exact"/>
        <w:rPr>
          <w:rFonts w:hint="eastAsia" w:ascii="宋体" w:hAnsi="宋体"/>
          <w:b/>
          <w:color w:val="auto"/>
          <w:sz w:val="24"/>
          <w:highlight w:val="none"/>
        </w:rPr>
      </w:pPr>
    </w:p>
    <w:p w14:paraId="552B73C8">
      <w:pPr>
        <w:spacing w:before="120" w:beforeLines="50" w:after="120" w:afterLines="50" w:line="400" w:lineRule="exact"/>
        <w:rPr>
          <w:rFonts w:hint="eastAsia" w:ascii="宋体" w:hAnsi="宋体"/>
          <w:b/>
          <w:color w:val="auto"/>
          <w:sz w:val="24"/>
          <w:highlight w:val="none"/>
        </w:rPr>
      </w:pPr>
    </w:p>
    <w:p w14:paraId="7F05B404">
      <w:pPr>
        <w:spacing w:before="120" w:beforeLines="50" w:after="120" w:afterLines="50" w:line="400" w:lineRule="exact"/>
        <w:rPr>
          <w:rFonts w:hint="eastAsia" w:ascii="宋体" w:hAnsi="宋体"/>
          <w:b/>
          <w:color w:val="auto"/>
          <w:sz w:val="24"/>
          <w:highlight w:val="none"/>
        </w:rPr>
      </w:pPr>
    </w:p>
    <w:p w14:paraId="18D80108">
      <w:pPr>
        <w:spacing w:before="120" w:beforeLines="50" w:after="120" w:afterLines="50" w:line="400" w:lineRule="exact"/>
        <w:rPr>
          <w:rFonts w:hint="eastAsia" w:ascii="宋体" w:hAnsi="宋体"/>
          <w:b/>
          <w:color w:val="auto"/>
          <w:sz w:val="24"/>
          <w:highlight w:val="none"/>
        </w:rPr>
      </w:pPr>
    </w:p>
    <w:p w14:paraId="31AC41E2">
      <w:pPr>
        <w:spacing w:before="120" w:beforeLines="50" w:after="120" w:afterLines="50" w:line="400" w:lineRule="exact"/>
        <w:rPr>
          <w:rFonts w:hint="eastAsia" w:ascii="宋体" w:hAnsi="宋体"/>
          <w:b/>
          <w:color w:val="auto"/>
          <w:sz w:val="24"/>
          <w:highlight w:val="none"/>
        </w:rPr>
      </w:pPr>
    </w:p>
    <w:p w14:paraId="38685ADC">
      <w:pPr>
        <w:spacing w:before="120" w:beforeLines="50" w:after="120" w:afterLines="50" w:line="400" w:lineRule="exact"/>
        <w:rPr>
          <w:rFonts w:hint="eastAsia" w:ascii="宋体" w:hAnsi="宋体"/>
          <w:b/>
          <w:color w:val="auto"/>
          <w:sz w:val="24"/>
          <w:highlight w:val="none"/>
        </w:rPr>
      </w:pPr>
    </w:p>
    <w:p w14:paraId="16728902">
      <w:pPr>
        <w:spacing w:before="120" w:beforeLines="50" w:after="120" w:afterLines="50" w:line="400" w:lineRule="exact"/>
        <w:rPr>
          <w:rFonts w:hint="eastAsia" w:ascii="宋体" w:hAnsi="宋体"/>
          <w:b/>
          <w:color w:val="auto"/>
          <w:sz w:val="24"/>
          <w:highlight w:val="none"/>
        </w:rPr>
      </w:pPr>
    </w:p>
    <w:p w14:paraId="42FED876">
      <w:pPr>
        <w:spacing w:before="120" w:beforeLines="50" w:after="120" w:afterLines="50" w:line="400" w:lineRule="exact"/>
        <w:rPr>
          <w:rFonts w:hint="eastAsia" w:ascii="宋体" w:hAnsi="宋体"/>
          <w:b/>
          <w:color w:val="auto"/>
          <w:sz w:val="24"/>
          <w:highlight w:val="none"/>
        </w:rPr>
      </w:pPr>
    </w:p>
    <w:p w14:paraId="45C2EC53">
      <w:pPr>
        <w:spacing w:before="120" w:beforeLines="50" w:after="120" w:afterLines="50" w:line="400" w:lineRule="exact"/>
        <w:rPr>
          <w:rFonts w:hint="eastAsia" w:ascii="宋体" w:hAnsi="宋体"/>
          <w:b/>
          <w:color w:val="auto"/>
          <w:sz w:val="24"/>
          <w:highlight w:val="none"/>
        </w:rPr>
      </w:pPr>
    </w:p>
    <w:p w14:paraId="61F1149A">
      <w:pPr>
        <w:pStyle w:val="4"/>
        <w:jc w:val="center"/>
        <w:rPr>
          <w:color w:val="auto"/>
          <w:highlight w:val="none"/>
        </w:rPr>
      </w:pPr>
      <w:bookmarkStart w:id="195" w:name="_Toc2748"/>
      <w:bookmarkStart w:id="196" w:name="_Toc25250"/>
      <w:r>
        <w:rPr>
          <w:rFonts w:hint="eastAsia"/>
          <w:color w:val="auto"/>
          <w:highlight w:val="none"/>
        </w:rPr>
        <w:t>第五章  拟签订的合同文本</w:t>
      </w:r>
      <w:bookmarkEnd w:id="195"/>
      <w:bookmarkEnd w:id="196"/>
    </w:p>
    <w:p w14:paraId="78B039B9">
      <w:pPr>
        <w:snapToGrid w:val="0"/>
        <w:jc w:val="center"/>
        <w:rPr>
          <w:rFonts w:hint="eastAsia" w:ascii="宋体" w:hAnsi="宋体"/>
          <w:bCs/>
          <w:color w:val="auto"/>
          <w:sz w:val="32"/>
          <w:szCs w:val="32"/>
          <w:highlight w:val="none"/>
        </w:rPr>
      </w:pPr>
    </w:p>
    <w:p w14:paraId="1BA36FFC">
      <w:pPr>
        <w:snapToGrid w:val="0"/>
        <w:jc w:val="center"/>
        <w:rPr>
          <w:rFonts w:hint="eastAsia" w:ascii="宋体" w:hAnsi="宋体"/>
          <w:bCs/>
          <w:color w:val="auto"/>
          <w:sz w:val="32"/>
          <w:szCs w:val="32"/>
          <w:highlight w:val="none"/>
        </w:rPr>
      </w:pPr>
    </w:p>
    <w:p w14:paraId="680BE119">
      <w:pPr>
        <w:snapToGrid w:val="0"/>
        <w:jc w:val="center"/>
        <w:rPr>
          <w:rFonts w:hint="eastAsia" w:ascii="宋体" w:hAnsi="宋体"/>
          <w:bCs/>
          <w:color w:val="auto"/>
          <w:sz w:val="32"/>
          <w:szCs w:val="32"/>
          <w:highlight w:val="none"/>
        </w:rPr>
      </w:pPr>
    </w:p>
    <w:p w14:paraId="2AC77205">
      <w:pPr>
        <w:snapToGrid w:val="0"/>
        <w:jc w:val="center"/>
        <w:rPr>
          <w:rFonts w:hint="eastAsia" w:ascii="宋体" w:hAnsi="宋体"/>
          <w:bCs/>
          <w:color w:val="auto"/>
          <w:sz w:val="32"/>
          <w:szCs w:val="32"/>
          <w:highlight w:val="none"/>
        </w:rPr>
      </w:pPr>
    </w:p>
    <w:p w14:paraId="406DFFE9">
      <w:pPr>
        <w:snapToGrid w:val="0"/>
        <w:jc w:val="center"/>
        <w:rPr>
          <w:rFonts w:hint="eastAsia" w:ascii="宋体" w:hAnsi="宋体"/>
          <w:bCs/>
          <w:color w:val="auto"/>
          <w:sz w:val="32"/>
          <w:szCs w:val="32"/>
          <w:highlight w:val="none"/>
        </w:rPr>
      </w:pPr>
    </w:p>
    <w:p w14:paraId="56FF5C2B">
      <w:pPr>
        <w:snapToGrid w:val="0"/>
        <w:jc w:val="center"/>
        <w:rPr>
          <w:rFonts w:hint="eastAsia" w:ascii="宋体" w:hAnsi="宋体"/>
          <w:bCs/>
          <w:color w:val="auto"/>
          <w:sz w:val="32"/>
          <w:szCs w:val="32"/>
          <w:highlight w:val="none"/>
        </w:rPr>
      </w:pPr>
    </w:p>
    <w:p w14:paraId="1D7FC540">
      <w:pPr>
        <w:snapToGrid w:val="0"/>
        <w:jc w:val="center"/>
        <w:rPr>
          <w:rFonts w:hint="eastAsia" w:ascii="宋体" w:hAnsi="宋体"/>
          <w:bCs/>
          <w:color w:val="auto"/>
          <w:sz w:val="32"/>
          <w:szCs w:val="32"/>
          <w:highlight w:val="none"/>
        </w:rPr>
      </w:pPr>
    </w:p>
    <w:p w14:paraId="49BEE3BE">
      <w:pPr>
        <w:snapToGrid w:val="0"/>
        <w:jc w:val="center"/>
        <w:rPr>
          <w:rFonts w:hint="eastAsia" w:ascii="宋体" w:hAnsi="宋体"/>
          <w:bCs/>
          <w:color w:val="auto"/>
          <w:sz w:val="32"/>
          <w:szCs w:val="32"/>
          <w:highlight w:val="none"/>
        </w:rPr>
      </w:pPr>
    </w:p>
    <w:p w14:paraId="3B33D268">
      <w:pPr>
        <w:snapToGrid w:val="0"/>
        <w:jc w:val="center"/>
        <w:rPr>
          <w:rFonts w:hint="eastAsia" w:ascii="宋体" w:hAnsi="宋体"/>
          <w:bCs/>
          <w:color w:val="auto"/>
          <w:sz w:val="32"/>
          <w:szCs w:val="32"/>
          <w:highlight w:val="none"/>
        </w:rPr>
      </w:pPr>
    </w:p>
    <w:p w14:paraId="4E1BA637">
      <w:pPr>
        <w:snapToGrid w:val="0"/>
        <w:jc w:val="center"/>
        <w:rPr>
          <w:rFonts w:hint="eastAsia" w:ascii="宋体" w:hAnsi="宋体"/>
          <w:bCs/>
          <w:color w:val="auto"/>
          <w:sz w:val="32"/>
          <w:szCs w:val="32"/>
          <w:highlight w:val="none"/>
        </w:rPr>
      </w:pPr>
    </w:p>
    <w:p w14:paraId="15C45BEF">
      <w:pPr>
        <w:snapToGrid w:val="0"/>
        <w:jc w:val="center"/>
        <w:rPr>
          <w:rFonts w:hint="eastAsia" w:ascii="宋体" w:hAnsi="宋体"/>
          <w:bCs/>
          <w:color w:val="auto"/>
          <w:sz w:val="32"/>
          <w:szCs w:val="32"/>
          <w:highlight w:val="none"/>
        </w:rPr>
      </w:pPr>
    </w:p>
    <w:p w14:paraId="29078C09">
      <w:pPr>
        <w:pStyle w:val="190"/>
        <w:keepNext/>
        <w:keepLines/>
        <w:spacing w:line="400" w:lineRule="exact"/>
        <w:jc w:val="center"/>
        <w:outlineLvl w:val="1"/>
        <w:rPr>
          <w:rFonts w:hint="eastAsia" w:ascii="宋体" w:hAnsi="宋体" w:cs="宋体"/>
          <w:b/>
          <w:bCs/>
          <w:color w:val="auto"/>
          <w:szCs w:val="21"/>
          <w:highlight w:val="none"/>
        </w:rPr>
      </w:pPr>
      <w:r>
        <w:rPr>
          <w:rFonts w:ascii="宋体" w:hAnsi="宋体"/>
          <w:bCs/>
          <w:color w:val="auto"/>
          <w:highlight w:val="none"/>
        </w:rPr>
        <w:br w:type="page"/>
      </w:r>
      <w:bookmarkStart w:id="197" w:name="_Toc1482789990"/>
      <w:bookmarkStart w:id="198" w:name="_Toc1688627786"/>
      <w:bookmarkStart w:id="199" w:name="_Toc256000025"/>
      <w:bookmarkStart w:id="200" w:name="_Toc54862164"/>
      <w:bookmarkStart w:id="201" w:name="_Toc1878591532"/>
      <w:bookmarkStart w:id="202" w:name="_Toc5607808"/>
      <w:bookmarkStart w:id="203" w:name="_Toc2142547445"/>
      <w:bookmarkStart w:id="204" w:name="_Toc363044392"/>
      <w:bookmarkStart w:id="205" w:name="_Toc2097431066"/>
      <w:bookmarkStart w:id="206" w:name="_Toc59203066"/>
      <w:bookmarkStart w:id="207" w:name="_Toc559869417"/>
      <w:bookmarkStart w:id="208" w:name="_Toc433579629"/>
      <w:bookmarkStart w:id="209" w:name="_Toc1514962366"/>
      <w:bookmarkStart w:id="210" w:name="_Toc1428926652"/>
      <w:bookmarkStart w:id="211" w:name="_Toc1582657412"/>
      <w:bookmarkStart w:id="212" w:name="_Toc433988695"/>
      <w:bookmarkStart w:id="213" w:name="_Toc419320206"/>
      <w:bookmarkStart w:id="214" w:name="_Toc419363662"/>
      <w:bookmarkStart w:id="215" w:name="_Toc419364333"/>
      <w:bookmarkStart w:id="216" w:name="_Toc419321242"/>
      <w:bookmarkStart w:id="217" w:name="_Toc57191193"/>
      <w:r>
        <w:rPr>
          <w:rFonts w:hint="eastAsia" w:ascii="宋体" w:hAnsi="宋体" w:cs="宋体"/>
          <w:b/>
          <w:bCs/>
          <w:color w:val="auto"/>
          <w:szCs w:val="21"/>
          <w:highlight w:val="none"/>
        </w:rPr>
        <w:t>第一部分 合同协议书</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bookmarkEnd w:id="212"/>
    <w:bookmarkEnd w:id="213"/>
    <w:bookmarkEnd w:id="214"/>
    <w:bookmarkEnd w:id="215"/>
    <w:bookmarkEnd w:id="216"/>
    <w:bookmarkEnd w:id="217"/>
    <w:p w14:paraId="2193EF31">
      <w:pPr>
        <w:spacing w:line="400" w:lineRule="exact"/>
        <w:ind w:firstLine="630" w:firstLineChars="300"/>
        <w:rPr>
          <w:rFonts w:hint="eastAsia" w:ascii="宋体" w:hAnsi="宋体" w:cs="宋体"/>
          <w:color w:val="auto"/>
          <w:szCs w:val="21"/>
          <w:highlight w:val="none"/>
        </w:rPr>
      </w:pPr>
      <w:bookmarkStart w:id="218" w:name="_Toc889454023"/>
      <w:bookmarkStart w:id="219" w:name="_Toc1873515717"/>
      <w:bookmarkStart w:id="220" w:name="_Toc1606368372"/>
      <w:bookmarkStart w:id="221" w:name="_Toc663550046"/>
      <w:bookmarkStart w:id="222" w:name="_Toc992852199"/>
      <w:bookmarkStart w:id="223" w:name="_Toc1161845266"/>
      <w:bookmarkStart w:id="224" w:name="_Toc1303999317"/>
      <w:bookmarkStart w:id="225" w:name="_Toc402748066"/>
      <w:bookmarkStart w:id="226" w:name="_Toc1707290295"/>
      <w:bookmarkStart w:id="227" w:name="_Toc29401646"/>
      <w:bookmarkStart w:id="228" w:name="_Toc59203078"/>
      <w:bookmarkStart w:id="229" w:name="_Toc1163606127"/>
      <w:bookmarkStart w:id="230" w:name="_Toc789678376"/>
      <w:bookmarkStart w:id="231" w:name="_Toc57191194"/>
      <w:bookmarkStart w:id="232" w:name="_Toc256000037"/>
      <w:r>
        <w:rPr>
          <w:rFonts w:hint="eastAsia" w:ascii="宋体" w:hAnsi="宋体" w:cs="宋体"/>
          <w:color w:val="auto"/>
          <w:szCs w:val="21"/>
          <w:highlight w:val="none"/>
          <w:u w:val="single"/>
        </w:rPr>
        <w:t xml:space="preserve">                 </w:t>
      </w:r>
      <w:r>
        <w:rPr>
          <w:rFonts w:hint="eastAsia" w:ascii="宋体" w:hAnsi="宋体" w:cs="宋体"/>
          <w:color w:val="auto"/>
          <w:spacing w:val="-9"/>
          <w:szCs w:val="21"/>
          <w:highlight w:val="none"/>
        </w:rPr>
        <w:t>（发包人名称，以下简称“发包人”）为获得</w:t>
      </w:r>
      <w:r>
        <w:rPr>
          <w:rFonts w:hint="eastAsia" w:ascii="宋体" w:hAnsi="宋体" w:cs="宋体"/>
          <w:color w:val="auto"/>
          <w:spacing w:val="-9"/>
          <w:szCs w:val="21"/>
          <w:highlight w:val="none"/>
          <w:u w:val="single"/>
        </w:rPr>
        <w:t xml:space="preserve">                  </w:t>
      </w:r>
      <w:r>
        <w:rPr>
          <w:rFonts w:hint="eastAsia" w:ascii="宋体" w:hAnsi="宋体" w:cs="宋体"/>
          <w:color w:val="auto"/>
          <w:spacing w:val="-1"/>
          <w:szCs w:val="21"/>
          <w:highlight w:val="none"/>
        </w:rPr>
        <w:t>（自动化监测系统工程以及配套房屋建筑工程名称）</w:t>
      </w:r>
      <w:r>
        <w:rPr>
          <w:rFonts w:hint="eastAsia" w:ascii="宋体" w:hAnsi="宋体" w:cs="宋体"/>
          <w:color w:val="auto"/>
          <w:szCs w:val="21"/>
          <w:highlight w:val="none"/>
        </w:rPr>
        <w:t>合同设备、建筑和相关服务，已接受</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（承包人名称，以下简称“承包人”）为提供上述合同设备、建筑和技术服务以及质量保质期服务所作的投标，发包人和承包人共同达成如下协议：</w:t>
      </w:r>
    </w:p>
    <w:p w14:paraId="434BEDF0">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1. 本协议书与下列文件一起构成合同文件：</w:t>
      </w:r>
    </w:p>
    <w:p w14:paraId="52F3E06F">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（1）中标通知书；</w:t>
      </w:r>
    </w:p>
    <w:p w14:paraId="70F5F0C4">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（2）投标函及投标函附录；</w:t>
      </w:r>
    </w:p>
    <w:p w14:paraId="2622855E">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（3）商务和技术偏差表；</w:t>
      </w:r>
    </w:p>
    <w:p w14:paraId="15632BDC">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（4）专用合同条款；</w:t>
      </w:r>
    </w:p>
    <w:p w14:paraId="1896600E">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（5）通用合同条款；</w:t>
      </w:r>
    </w:p>
    <w:p w14:paraId="5BEFB75A">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（6）供货要求与技术标准和要求（合同技术条款）及图纸；</w:t>
      </w:r>
    </w:p>
    <w:p w14:paraId="1659CF5D">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（7）分项报价表与已标价工程量清单；</w:t>
      </w:r>
    </w:p>
    <w:p w14:paraId="0E74EA32">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（8）中标设备技术性能指标的详细描述；</w:t>
      </w:r>
    </w:p>
    <w:p w14:paraId="3649379D">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（9）技术服务和质量保质期服务计划；</w:t>
      </w:r>
    </w:p>
    <w:p w14:paraId="31E74566">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（10）其他合同文件。</w:t>
      </w:r>
    </w:p>
    <w:p w14:paraId="105E18D9">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2. 上述合同文件互相补充和解释。如果合同文件之间存在矛盾或不一致之处，以上述文件的排列顺序在先者为准。</w:t>
      </w:r>
    </w:p>
    <w:p w14:paraId="04EBF88E">
      <w:pPr>
        <w:spacing w:line="400" w:lineRule="exact"/>
        <w:ind w:firstLine="420"/>
        <w:rPr>
          <w:rFonts w:hint="eastAsia" w:ascii="宋体" w:hAnsi="宋体" w:cs="宋体"/>
          <w:color w:val="auto"/>
          <w:szCs w:val="21"/>
          <w:highlight w:val="none"/>
        </w:rPr>
      </w:pPr>
      <w:r>
        <w:rPr>
          <w:rFonts w:hint="eastAsia" w:ascii="宋体" w:hAnsi="宋体" w:cs="宋体"/>
          <w:color w:val="auto"/>
          <w:spacing w:val="-3"/>
          <w:szCs w:val="21"/>
          <w:highlight w:val="none"/>
        </w:rPr>
        <w:t>3. 签</w:t>
      </w:r>
      <w:r>
        <w:rPr>
          <w:rFonts w:hint="eastAsia" w:ascii="宋体" w:hAnsi="宋体" w:cs="宋体"/>
          <w:color w:val="auto"/>
          <w:szCs w:val="21"/>
          <w:highlight w:val="none"/>
        </w:rPr>
        <w:t>约</w:t>
      </w:r>
      <w:r>
        <w:rPr>
          <w:rFonts w:hint="eastAsia" w:ascii="宋体" w:hAnsi="宋体" w:cs="宋体"/>
          <w:color w:val="auto"/>
          <w:spacing w:val="-3"/>
          <w:szCs w:val="21"/>
          <w:highlight w:val="none"/>
        </w:rPr>
        <w:t>合</w:t>
      </w:r>
      <w:r>
        <w:rPr>
          <w:rFonts w:hint="eastAsia" w:ascii="宋体" w:hAnsi="宋体" w:cs="宋体"/>
          <w:color w:val="auto"/>
          <w:szCs w:val="21"/>
          <w:highlight w:val="none"/>
        </w:rPr>
        <w:t>同</w:t>
      </w:r>
      <w:r>
        <w:rPr>
          <w:rFonts w:hint="eastAsia" w:ascii="宋体" w:hAnsi="宋体" w:cs="宋体"/>
          <w:color w:val="auto"/>
          <w:spacing w:val="-3"/>
          <w:szCs w:val="21"/>
          <w:highlight w:val="none"/>
        </w:rPr>
        <w:t>价</w:t>
      </w:r>
      <w:r>
        <w:rPr>
          <w:rFonts w:hint="eastAsia" w:ascii="宋体" w:hAnsi="宋体" w:cs="宋体"/>
          <w:color w:val="auto"/>
          <w:szCs w:val="21"/>
          <w:highlight w:val="none"/>
        </w:rPr>
        <w:t>：</w:t>
      </w:r>
      <w:r>
        <w:rPr>
          <w:rFonts w:hint="eastAsia" w:ascii="宋体" w:hAnsi="宋体" w:cs="宋体"/>
          <w:color w:val="auto"/>
          <w:spacing w:val="-3"/>
          <w:szCs w:val="21"/>
          <w:highlight w:val="none"/>
        </w:rPr>
        <w:t>人</w:t>
      </w:r>
      <w:r>
        <w:rPr>
          <w:rFonts w:hint="eastAsia" w:ascii="宋体" w:hAnsi="宋体" w:cs="宋体"/>
          <w:color w:val="auto"/>
          <w:szCs w:val="21"/>
          <w:highlight w:val="none"/>
        </w:rPr>
        <w:t>民</w:t>
      </w:r>
      <w:r>
        <w:rPr>
          <w:rFonts w:hint="eastAsia" w:ascii="宋体" w:hAnsi="宋体" w:cs="宋体"/>
          <w:color w:val="auto"/>
          <w:spacing w:val="-3"/>
          <w:szCs w:val="21"/>
          <w:highlight w:val="none"/>
        </w:rPr>
        <w:t>币（</w:t>
      </w:r>
      <w:r>
        <w:rPr>
          <w:rFonts w:hint="eastAsia" w:ascii="宋体" w:hAnsi="宋体" w:cs="宋体"/>
          <w:color w:val="auto"/>
          <w:szCs w:val="21"/>
          <w:highlight w:val="none"/>
        </w:rPr>
        <w:t>大写</w:t>
      </w:r>
      <w:r>
        <w:rPr>
          <w:rFonts w:hint="eastAsia" w:ascii="宋体" w:hAnsi="宋体" w:cs="宋体"/>
          <w:color w:val="auto"/>
          <w:spacing w:val="-3"/>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spacing w:val="-6"/>
          <w:szCs w:val="21"/>
          <w:highlight w:val="none"/>
        </w:rPr>
        <w:t>¥</w:t>
      </w:r>
      <w:r>
        <w:rPr>
          <w:rFonts w:hint="eastAsia" w:ascii="宋体" w:hAnsi="宋体" w:cs="宋体"/>
          <w:color w:val="auto"/>
          <w:szCs w:val="21"/>
          <w:highlight w:val="none"/>
          <w:u w:val="single"/>
        </w:rPr>
        <w:t xml:space="preserve">              </w:t>
      </w:r>
      <w:r>
        <w:rPr>
          <w:rFonts w:hint="eastAsia" w:ascii="宋体" w:hAnsi="宋体" w:cs="宋体"/>
          <w:color w:val="auto"/>
          <w:spacing w:val="-106"/>
          <w:szCs w:val="21"/>
          <w:highlight w:val="none"/>
        </w:rPr>
        <w:t>）</w:t>
      </w:r>
      <w:r>
        <w:rPr>
          <w:rFonts w:hint="eastAsia" w:ascii="宋体" w:hAnsi="宋体" w:cs="宋体"/>
          <w:color w:val="auto"/>
          <w:szCs w:val="21"/>
          <w:highlight w:val="none"/>
        </w:rPr>
        <w:t>。合同承包方式：</w:t>
      </w:r>
      <w:r>
        <w:rPr>
          <w:rFonts w:hint="eastAsia" w:ascii="宋体" w:hAnsi="宋体" w:cs="宋体"/>
          <w:color w:val="auto"/>
          <w:szCs w:val="21"/>
          <w:highlight w:val="none"/>
          <w:u w:val="single"/>
        </w:rPr>
        <w:t>总价控制，单价结算。</w:t>
      </w:r>
    </w:p>
    <w:p w14:paraId="6BAB0A25">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3.1. 承包人项目经理：</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BB10DE0">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3.2. 工程质量符合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标准。</w:t>
      </w:r>
    </w:p>
    <w:p w14:paraId="726E1B85">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4. 承包人承诺保证完全按照合同约定提供合同设备、建筑和技术服务以及质量保质期服务并修补缺陷。</w:t>
      </w:r>
    </w:p>
    <w:p w14:paraId="0522B2A8">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5. 买方承诺保证按照合同约定的条件、时间和方式向卖方支付合同价款。</w:t>
      </w:r>
    </w:p>
    <w:p w14:paraId="1F2C9BE5">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6.</w:t>
      </w:r>
      <w:r>
        <w:rPr>
          <w:rFonts w:hint="eastAsia" w:ascii="宋体" w:hAnsi="宋体" w:cs="宋体"/>
          <w:color w:val="auto"/>
          <w:spacing w:val="51"/>
          <w:szCs w:val="21"/>
          <w:highlight w:val="none"/>
        </w:rPr>
        <w:t xml:space="preserve"> </w:t>
      </w:r>
      <w:r>
        <w:rPr>
          <w:rFonts w:hint="eastAsia" w:ascii="宋体" w:hAnsi="宋体" w:cs="宋体"/>
          <w:color w:val="auto"/>
          <w:szCs w:val="21"/>
          <w:highlight w:val="none"/>
        </w:rPr>
        <w:t>本合同协议书一式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份，合同双方各执</w:t>
      </w:r>
      <w:r>
        <w:rPr>
          <w:rFonts w:hint="eastAsia" w:ascii="宋体" w:hAnsi="宋体" w:cs="宋体"/>
          <w:color w:val="auto"/>
          <w:szCs w:val="21"/>
          <w:highlight w:val="none"/>
          <w:u w:val="single"/>
        </w:rPr>
        <w:t xml:space="preserve">          </w:t>
      </w:r>
      <w:r>
        <w:rPr>
          <w:rFonts w:hint="eastAsia" w:ascii="宋体" w:hAnsi="宋体" w:cs="宋体"/>
          <w:color w:val="auto"/>
          <w:spacing w:val="-3"/>
          <w:szCs w:val="21"/>
          <w:highlight w:val="none"/>
        </w:rPr>
        <w:t>份。</w:t>
      </w:r>
    </w:p>
    <w:p w14:paraId="0D6550E6">
      <w:pPr>
        <w:spacing w:line="400" w:lineRule="exact"/>
        <w:ind w:firstLine="420"/>
        <w:rPr>
          <w:rFonts w:hint="eastAsia" w:ascii="宋体" w:hAnsi="宋体" w:cs="宋体"/>
          <w:color w:val="auto"/>
          <w:szCs w:val="21"/>
          <w:highlight w:val="none"/>
        </w:rPr>
      </w:pPr>
      <w:r>
        <w:rPr>
          <w:rFonts w:hint="eastAsia" w:ascii="宋体" w:hAnsi="宋体" w:cs="宋体"/>
          <w:color w:val="auto"/>
          <w:szCs w:val="21"/>
          <w:highlight w:val="none"/>
        </w:rPr>
        <w:t>7. 合同未尽事宜，双方另行签订补充协议，补充协议是合同的组成部分。</w:t>
      </w:r>
    </w:p>
    <w:p w14:paraId="02DD3D95">
      <w:pPr>
        <w:pStyle w:val="2"/>
        <w:tabs>
          <w:tab w:val="left" w:pos="2620"/>
          <w:tab w:val="left" w:pos="4512"/>
          <w:tab w:val="left" w:pos="7344"/>
        </w:tabs>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发包人：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rPr>
        <w:tab/>
      </w:r>
      <w:r>
        <w:rPr>
          <w:rFonts w:hint="eastAsia" w:ascii="宋体" w:hAnsi="宋体" w:cs="宋体"/>
          <w:color w:val="auto"/>
          <w:sz w:val="21"/>
          <w:szCs w:val="21"/>
          <w:highlight w:val="none"/>
        </w:rPr>
        <w:t>（盖单位公章）</w:t>
      </w:r>
      <w:r>
        <w:rPr>
          <w:rFonts w:hint="eastAsia" w:ascii="宋体" w:hAnsi="宋体" w:cs="宋体"/>
          <w:color w:val="auto"/>
          <w:sz w:val="21"/>
          <w:szCs w:val="21"/>
          <w:highlight w:val="none"/>
        </w:rPr>
        <w:tab/>
      </w:r>
      <w:r>
        <w:rPr>
          <w:rFonts w:hint="eastAsia" w:ascii="宋体" w:hAnsi="宋体" w:cs="宋体"/>
          <w:color w:val="auto"/>
          <w:sz w:val="21"/>
          <w:szCs w:val="21"/>
          <w:highlight w:val="none"/>
        </w:rPr>
        <w:t>承包人：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rPr>
        <w:tab/>
      </w:r>
      <w:r>
        <w:rPr>
          <w:rFonts w:hint="eastAsia" w:ascii="宋体" w:hAnsi="宋体" w:cs="宋体"/>
          <w:color w:val="auto"/>
          <w:sz w:val="21"/>
          <w:szCs w:val="21"/>
          <w:highlight w:val="none"/>
        </w:rPr>
        <w:t>（盖单位公章）</w:t>
      </w:r>
    </w:p>
    <w:p w14:paraId="7C902F2D">
      <w:pPr>
        <w:pStyle w:val="2"/>
        <w:tabs>
          <w:tab w:val="left" w:pos="3254"/>
          <w:tab w:val="left" w:pos="4515"/>
          <w:tab w:val="left" w:pos="7877"/>
        </w:tabs>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法定代表人或其委托代理人：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rPr>
        <w:tab/>
      </w:r>
      <w:r>
        <w:rPr>
          <w:rFonts w:hint="eastAsia" w:ascii="宋体" w:hAnsi="宋体" w:cs="宋体"/>
          <w:color w:val="auto"/>
          <w:sz w:val="21"/>
          <w:szCs w:val="21"/>
          <w:highlight w:val="none"/>
        </w:rPr>
        <w:t>（签字）</w:t>
      </w:r>
      <w:r>
        <w:rPr>
          <w:rFonts w:hint="eastAsia" w:ascii="宋体" w:hAnsi="宋体" w:cs="宋体"/>
          <w:color w:val="auto"/>
          <w:sz w:val="21"/>
          <w:szCs w:val="21"/>
          <w:highlight w:val="none"/>
        </w:rPr>
        <w:tab/>
      </w:r>
      <w:r>
        <w:rPr>
          <w:rFonts w:hint="eastAsia" w:ascii="宋体" w:hAnsi="宋体" w:cs="宋体"/>
          <w:color w:val="auto"/>
          <w:sz w:val="21"/>
          <w:szCs w:val="21"/>
          <w:highlight w:val="none"/>
        </w:rPr>
        <w:t>法定代表人或其委托代理人：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rPr>
        <w:tab/>
      </w:r>
      <w:r>
        <w:rPr>
          <w:rFonts w:hint="eastAsia" w:ascii="宋体" w:hAnsi="宋体" w:cs="宋体"/>
          <w:color w:val="auto"/>
          <w:sz w:val="21"/>
          <w:szCs w:val="21"/>
          <w:highlight w:val="none"/>
        </w:rPr>
        <w:t>（签字）</w:t>
      </w:r>
    </w:p>
    <w:p w14:paraId="426EDE71">
      <w:pPr>
        <w:pStyle w:val="2"/>
        <w:tabs>
          <w:tab w:val="left" w:pos="1045"/>
          <w:tab w:val="left" w:pos="2310"/>
          <w:tab w:val="left" w:pos="7710"/>
          <w:tab w:val="left" w:pos="7770"/>
        </w:tabs>
        <w:spacing w:line="400" w:lineRule="exact"/>
        <w:ind w:firstLine="945" w:firstLineChars="450"/>
        <w:rPr>
          <w:rFonts w:hint="eastAsia" w:ascii="宋体" w:hAnsi="宋体" w:cs="宋体"/>
          <w:color w:val="auto"/>
          <w:sz w:val="21"/>
          <w:szCs w:val="21"/>
          <w:highlight w:val="none"/>
        </w:rPr>
      </w:pP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u w:val="single"/>
        </w:rPr>
        <w:tab/>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日                       </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年</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月</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日</w:t>
      </w:r>
    </w:p>
    <w:p w14:paraId="325860A8">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br w:type="page"/>
      </w:r>
    </w:p>
    <w:p w14:paraId="0380CB13">
      <w:pPr>
        <w:pStyle w:val="190"/>
        <w:keepNext/>
        <w:keepLines/>
        <w:spacing w:line="400" w:lineRule="exact"/>
        <w:jc w:val="center"/>
        <w:outlineLvl w:val="1"/>
        <w:rPr>
          <w:rFonts w:hint="eastAsia" w:ascii="宋体" w:hAnsi="宋体" w:cs="宋体"/>
          <w:b/>
          <w:bCs/>
          <w:color w:val="auto"/>
          <w:szCs w:val="21"/>
          <w:highlight w:val="none"/>
        </w:rPr>
      </w:pPr>
      <w:r>
        <w:rPr>
          <w:rFonts w:hint="eastAsia" w:ascii="宋体" w:hAnsi="宋体" w:cs="宋体"/>
          <w:b/>
          <w:bCs/>
          <w:color w:val="auto"/>
          <w:szCs w:val="21"/>
          <w:highlight w:val="none"/>
        </w:rPr>
        <w:t>第二部分  通用合同条款</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7EFB5AA9">
      <w:pPr>
        <w:pStyle w:val="6"/>
        <w:spacing w:before="0" w:after="0" w:line="400" w:lineRule="exact"/>
        <w:jc w:val="center"/>
        <w:rPr>
          <w:rFonts w:hint="eastAsia" w:ascii="宋体" w:hAnsi="宋体" w:cs="宋体"/>
          <w:color w:val="auto"/>
          <w:sz w:val="21"/>
          <w:szCs w:val="21"/>
          <w:highlight w:val="none"/>
        </w:rPr>
      </w:pPr>
      <w:bookmarkStart w:id="233" w:name="_Toc16560"/>
      <w:r>
        <w:rPr>
          <w:rFonts w:hint="eastAsia" w:ascii="宋体" w:hAnsi="宋体" w:cs="宋体"/>
          <w:color w:val="auto"/>
          <w:sz w:val="21"/>
          <w:szCs w:val="21"/>
          <w:highlight w:val="none"/>
        </w:rPr>
        <w:t>第一节  通用合同条款</w:t>
      </w:r>
      <w:bookmarkEnd w:id="233"/>
      <w:bookmarkStart w:id="234" w:name="_bookmark105"/>
      <w:bookmarkEnd w:id="234"/>
    </w:p>
    <w:p w14:paraId="1244BAE2">
      <w:pPr>
        <w:pStyle w:val="6"/>
        <w:spacing w:before="0" w:after="0" w:line="400" w:lineRule="exact"/>
        <w:rPr>
          <w:rFonts w:hint="eastAsia" w:ascii="宋体" w:hAnsi="宋体" w:cs="宋体"/>
          <w:color w:val="auto"/>
          <w:sz w:val="21"/>
          <w:szCs w:val="21"/>
          <w:highlight w:val="none"/>
        </w:rPr>
      </w:pPr>
      <w:bookmarkStart w:id="235" w:name="_Toc30775"/>
      <w:r>
        <w:rPr>
          <w:rFonts w:hint="eastAsia" w:ascii="宋体" w:hAnsi="宋体" w:cs="宋体"/>
          <w:color w:val="auto"/>
          <w:sz w:val="21"/>
          <w:szCs w:val="21"/>
          <w:highlight w:val="none"/>
        </w:rPr>
        <w:t>1.一般约定</w:t>
      </w:r>
      <w:bookmarkEnd w:id="235"/>
    </w:p>
    <w:p w14:paraId="71C22599">
      <w:pPr>
        <w:pStyle w:val="7"/>
        <w:spacing w:before="0" w:after="0" w:line="400" w:lineRule="exact"/>
        <w:rPr>
          <w:rFonts w:hint="eastAsia" w:ascii="宋体" w:hAnsi="宋体" w:eastAsia="宋体" w:cs="宋体"/>
          <w:color w:val="auto"/>
          <w:sz w:val="21"/>
          <w:szCs w:val="21"/>
          <w:highlight w:val="none"/>
        </w:rPr>
      </w:pPr>
      <w:bookmarkStart w:id="236" w:name="_bookmark106"/>
      <w:bookmarkEnd w:id="236"/>
      <w:bookmarkStart w:id="237" w:name="_Toc14687"/>
      <w:r>
        <w:rPr>
          <w:rFonts w:hint="eastAsia" w:ascii="宋体" w:hAnsi="宋体" w:eastAsia="宋体" w:cs="宋体"/>
          <w:color w:val="auto"/>
          <w:sz w:val="21"/>
          <w:szCs w:val="21"/>
          <w:highlight w:val="none"/>
        </w:rPr>
        <w:t>1.1 词语定义</w:t>
      </w:r>
      <w:bookmarkEnd w:id="237"/>
    </w:p>
    <w:p w14:paraId="402952F2">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除专用合同条款另有约定外，合同中的下列词语应具有本款所赋予的含义。</w:t>
      </w:r>
    </w:p>
    <w:p w14:paraId="0C5FEB34">
      <w:pPr>
        <w:pStyle w:val="2"/>
        <w:spacing w:line="400" w:lineRule="exact"/>
        <w:rPr>
          <w:rFonts w:hint="eastAsia" w:ascii="宋体" w:hAnsi="宋体" w:cs="宋体"/>
          <w:b/>
          <w:color w:val="auto"/>
          <w:sz w:val="21"/>
          <w:szCs w:val="21"/>
          <w:highlight w:val="none"/>
        </w:rPr>
      </w:pPr>
      <w:bookmarkStart w:id="238" w:name="_Toc20470956"/>
      <w:r>
        <w:rPr>
          <w:rFonts w:hint="eastAsia" w:ascii="宋体" w:hAnsi="宋体" w:cs="宋体"/>
          <w:b/>
          <w:color w:val="auto"/>
          <w:sz w:val="21"/>
          <w:szCs w:val="21"/>
          <w:highlight w:val="none"/>
        </w:rPr>
        <w:t>1.1.1  合同</w:t>
      </w:r>
      <w:bookmarkEnd w:id="238"/>
    </w:p>
    <w:p w14:paraId="56CEE2D6">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1.1.1.1 </w:t>
      </w:r>
      <w:r>
        <w:rPr>
          <w:rFonts w:hint="eastAsia" w:ascii="宋体" w:hAnsi="宋体" w:cs="宋体"/>
          <w:color w:val="auto"/>
          <w:spacing w:val="-3"/>
          <w:sz w:val="21"/>
          <w:szCs w:val="21"/>
          <w:highlight w:val="none"/>
        </w:rPr>
        <w:t>合</w:t>
      </w:r>
      <w:r>
        <w:rPr>
          <w:rFonts w:hint="eastAsia" w:ascii="宋体" w:hAnsi="宋体" w:cs="宋体"/>
          <w:color w:val="auto"/>
          <w:sz w:val="21"/>
          <w:szCs w:val="21"/>
          <w:highlight w:val="none"/>
        </w:rPr>
        <w:t>同</w:t>
      </w:r>
      <w:r>
        <w:rPr>
          <w:rFonts w:hint="eastAsia" w:ascii="宋体" w:hAnsi="宋体" w:cs="宋体"/>
          <w:color w:val="auto"/>
          <w:spacing w:val="-3"/>
          <w:sz w:val="21"/>
          <w:szCs w:val="21"/>
          <w:highlight w:val="none"/>
        </w:rPr>
        <w:t>文</w:t>
      </w:r>
      <w:r>
        <w:rPr>
          <w:rFonts w:hint="eastAsia" w:ascii="宋体" w:hAnsi="宋体" w:cs="宋体"/>
          <w:color w:val="auto"/>
          <w:spacing w:val="-27"/>
          <w:sz w:val="21"/>
          <w:szCs w:val="21"/>
          <w:highlight w:val="none"/>
        </w:rPr>
        <w:t>件</w:t>
      </w:r>
      <w:r>
        <w:rPr>
          <w:rFonts w:hint="eastAsia" w:ascii="宋体" w:hAnsi="宋体" w:cs="宋体"/>
          <w:color w:val="auto"/>
          <w:sz w:val="21"/>
          <w:szCs w:val="21"/>
          <w:highlight w:val="none"/>
        </w:rPr>
        <w:t>（</w:t>
      </w:r>
      <w:r>
        <w:rPr>
          <w:rFonts w:hint="eastAsia" w:ascii="宋体" w:hAnsi="宋体" w:cs="宋体"/>
          <w:color w:val="auto"/>
          <w:spacing w:val="-3"/>
          <w:sz w:val="21"/>
          <w:szCs w:val="21"/>
          <w:highlight w:val="none"/>
        </w:rPr>
        <w:t>或</w:t>
      </w:r>
      <w:r>
        <w:rPr>
          <w:rFonts w:hint="eastAsia" w:ascii="宋体" w:hAnsi="宋体" w:cs="宋体"/>
          <w:color w:val="auto"/>
          <w:sz w:val="21"/>
          <w:szCs w:val="21"/>
          <w:highlight w:val="none"/>
        </w:rPr>
        <w:t>称</w:t>
      </w:r>
      <w:r>
        <w:rPr>
          <w:rFonts w:hint="eastAsia" w:ascii="宋体" w:hAnsi="宋体" w:cs="宋体"/>
          <w:color w:val="auto"/>
          <w:spacing w:val="-3"/>
          <w:sz w:val="21"/>
          <w:szCs w:val="21"/>
          <w:highlight w:val="none"/>
        </w:rPr>
        <w:t>合</w:t>
      </w:r>
      <w:r>
        <w:rPr>
          <w:rFonts w:hint="eastAsia" w:ascii="宋体" w:hAnsi="宋体" w:cs="宋体"/>
          <w:color w:val="auto"/>
          <w:sz w:val="21"/>
          <w:szCs w:val="21"/>
          <w:highlight w:val="none"/>
        </w:rPr>
        <w:t>同</w:t>
      </w:r>
      <w:r>
        <w:rPr>
          <w:rFonts w:hint="eastAsia" w:ascii="宋体" w:hAnsi="宋体" w:cs="宋体"/>
          <w:color w:val="auto"/>
          <w:spacing w:val="-106"/>
          <w:sz w:val="21"/>
          <w:szCs w:val="21"/>
          <w:highlight w:val="none"/>
        </w:rPr>
        <w:t>）</w:t>
      </w:r>
      <w:r>
        <w:rPr>
          <w:rFonts w:hint="eastAsia" w:ascii="宋体" w:hAnsi="宋体" w:cs="宋体"/>
          <w:color w:val="auto"/>
          <w:spacing w:val="-27"/>
          <w:sz w:val="21"/>
          <w:szCs w:val="21"/>
          <w:highlight w:val="none"/>
        </w:rPr>
        <w:t>：</w:t>
      </w:r>
      <w:r>
        <w:rPr>
          <w:rFonts w:hint="eastAsia" w:ascii="宋体" w:hAnsi="宋体" w:cs="宋体"/>
          <w:color w:val="auto"/>
          <w:spacing w:val="-3"/>
          <w:sz w:val="21"/>
          <w:szCs w:val="21"/>
          <w:highlight w:val="none"/>
        </w:rPr>
        <w:t>指</w:t>
      </w:r>
      <w:r>
        <w:rPr>
          <w:rFonts w:hint="eastAsia" w:ascii="宋体" w:hAnsi="宋体" w:cs="宋体"/>
          <w:color w:val="auto"/>
          <w:sz w:val="21"/>
          <w:szCs w:val="21"/>
          <w:highlight w:val="none"/>
        </w:rPr>
        <w:t>合</w:t>
      </w:r>
      <w:r>
        <w:rPr>
          <w:rFonts w:hint="eastAsia" w:ascii="宋体" w:hAnsi="宋体" w:cs="宋体"/>
          <w:color w:val="auto"/>
          <w:spacing w:val="-3"/>
          <w:sz w:val="21"/>
          <w:szCs w:val="21"/>
          <w:highlight w:val="none"/>
        </w:rPr>
        <w:t>同</w:t>
      </w:r>
      <w:r>
        <w:rPr>
          <w:rFonts w:hint="eastAsia" w:ascii="宋体" w:hAnsi="宋体" w:cs="宋体"/>
          <w:color w:val="auto"/>
          <w:sz w:val="21"/>
          <w:szCs w:val="21"/>
          <w:highlight w:val="none"/>
        </w:rPr>
        <w:t>协</w:t>
      </w:r>
      <w:r>
        <w:rPr>
          <w:rFonts w:hint="eastAsia" w:ascii="宋体" w:hAnsi="宋体" w:cs="宋体"/>
          <w:color w:val="auto"/>
          <w:spacing w:val="-3"/>
          <w:sz w:val="21"/>
          <w:szCs w:val="21"/>
          <w:highlight w:val="none"/>
        </w:rPr>
        <w:t>议</w:t>
      </w:r>
      <w:r>
        <w:rPr>
          <w:rFonts w:hint="eastAsia" w:ascii="宋体" w:hAnsi="宋体" w:cs="宋体"/>
          <w:color w:val="auto"/>
          <w:sz w:val="21"/>
          <w:szCs w:val="21"/>
          <w:highlight w:val="none"/>
        </w:rPr>
        <w:t>书</w:t>
      </w:r>
      <w:r>
        <w:rPr>
          <w:rFonts w:hint="eastAsia" w:ascii="宋体" w:hAnsi="宋体" w:cs="宋体"/>
          <w:color w:val="auto"/>
          <w:spacing w:val="-27"/>
          <w:sz w:val="21"/>
          <w:szCs w:val="21"/>
          <w:highlight w:val="none"/>
        </w:rPr>
        <w:t>、</w:t>
      </w:r>
      <w:r>
        <w:rPr>
          <w:rFonts w:hint="eastAsia" w:ascii="宋体" w:hAnsi="宋体" w:cs="宋体"/>
          <w:color w:val="auto"/>
          <w:spacing w:val="-3"/>
          <w:sz w:val="21"/>
          <w:szCs w:val="21"/>
          <w:highlight w:val="none"/>
        </w:rPr>
        <w:t>中标</w:t>
      </w:r>
      <w:r>
        <w:rPr>
          <w:rFonts w:hint="eastAsia" w:ascii="宋体" w:hAnsi="宋体" w:cs="宋体"/>
          <w:color w:val="auto"/>
          <w:sz w:val="21"/>
          <w:szCs w:val="21"/>
          <w:highlight w:val="none"/>
        </w:rPr>
        <w:t>通知</w:t>
      </w:r>
      <w:r>
        <w:rPr>
          <w:rFonts w:hint="eastAsia" w:ascii="宋体" w:hAnsi="宋体" w:cs="宋体"/>
          <w:color w:val="auto"/>
          <w:spacing w:val="-3"/>
          <w:sz w:val="21"/>
          <w:szCs w:val="21"/>
          <w:highlight w:val="none"/>
        </w:rPr>
        <w:t>书</w:t>
      </w:r>
      <w:r>
        <w:rPr>
          <w:rFonts w:hint="eastAsia" w:ascii="宋体" w:hAnsi="宋体" w:cs="宋体"/>
          <w:color w:val="auto"/>
          <w:spacing w:val="-27"/>
          <w:sz w:val="21"/>
          <w:szCs w:val="21"/>
          <w:highlight w:val="none"/>
        </w:rPr>
        <w:t>、</w:t>
      </w:r>
      <w:r>
        <w:rPr>
          <w:rFonts w:hint="eastAsia" w:ascii="宋体" w:hAnsi="宋体" w:cs="宋体"/>
          <w:color w:val="auto"/>
          <w:spacing w:val="-3"/>
          <w:sz w:val="21"/>
          <w:szCs w:val="21"/>
          <w:highlight w:val="none"/>
        </w:rPr>
        <w:t>投</w:t>
      </w:r>
      <w:r>
        <w:rPr>
          <w:rFonts w:hint="eastAsia" w:ascii="宋体" w:hAnsi="宋体" w:cs="宋体"/>
          <w:color w:val="auto"/>
          <w:sz w:val="21"/>
          <w:szCs w:val="21"/>
          <w:highlight w:val="none"/>
        </w:rPr>
        <w:t>标函</w:t>
      </w:r>
      <w:r>
        <w:rPr>
          <w:rFonts w:hint="eastAsia" w:ascii="宋体" w:hAnsi="宋体" w:cs="宋体"/>
          <w:color w:val="auto"/>
          <w:spacing w:val="-29"/>
          <w:sz w:val="21"/>
          <w:szCs w:val="21"/>
          <w:highlight w:val="none"/>
        </w:rPr>
        <w:t>、</w:t>
      </w:r>
      <w:r>
        <w:rPr>
          <w:rFonts w:hint="eastAsia" w:ascii="宋体" w:hAnsi="宋体" w:cs="宋体"/>
          <w:color w:val="auto"/>
          <w:sz w:val="21"/>
          <w:szCs w:val="21"/>
          <w:highlight w:val="none"/>
        </w:rPr>
        <w:t>商</w:t>
      </w:r>
      <w:r>
        <w:rPr>
          <w:rFonts w:hint="eastAsia" w:ascii="宋体" w:hAnsi="宋体" w:cs="宋体"/>
          <w:color w:val="auto"/>
          <w:spacing w:val="-3"/>
          <w:sz w:val="21"/>
          <w:szCs w:val="21"/>
          <w:highlight w:val="none"/>
        </w:rPr>
        <w:t>务和</w:t>
      </w:r>
      <w:r>
        <w:rPr>
          <w:rFonts w:hint="eastAsia" w:ascii="宋体" w:hAnsi="宋体" w:cs="宋体"/>
          <w:color w:val="auto"/>
          <w:sz w:val="21"/>
          <w:szCs w:val="21"/>
          <w:highlight w:val="none"/>
        </w:rPr>
        <w:t>技术</w:t>
      </w:r>
      <w:r>
        <w:rPr>
          <w:rFonts w:hint="eastAsia" w:ascii="宋体" w:hAnsi="宋体" w:cs="宋体"/>
          <w:color w:val="auto"/>
          <w:spacing w:val="-3"/>
          <w:sz w:val="21"/>
          <w:szCs w:val="21"/>
          <w:highlight w:val="none"/>
        </w:rPr>
        <w:t>偏</w:t>
      </w:r>
      <w:r>
        <w:rPr>
          <w:rFonts w:hint="eastAsia" w:ascii="宋体" w:hAnsi="宋体" w:cs="宋体"/>
          <w:color w:val="auto"/>
          <w:sz w:val="21"/>
          <w:szCs w:val="21"/>
          <w:highlight w:val="none"/>
        </w:rPr>
        <w:t>差</w:t>
      </w:r>
      <w:r>
        <w:rPr>
          <w:rFonts w:hint="eastAsia" w:ascii="宋体" w:hAnsi="宋体" w:cs="宋体"/>
          <w:color w:val="auto"/>
          <w:spacing w:val="-3"/>
          <w:sz w:val="21"/>
          <w:szCs w:val="21"/>
          <w:highlight w:val="none"/>
        </w:rPr>
        <w:t>表</w:t>
      </w:r>
      <w:r>
        <w:rPr>
          <w:rFonts w:hint="eastAsia" w:ascii="宋体" w:hAnsi="宋体" w:cs="宋体"/>
          <w:color w:val="auto"/>
          <w:sz w:val="21"/>
          <w:szCs w:val="21"/>
          <w:highlight w:val="none"/>
        </w:rPr>
        <w:t xml:space="preserve">、 </w:t>
      </w:r>
      <w:r>
        <w:rPr>
          <w:rFonts w:hint="eastAsia" w:ascii="宋体" w:hAnsi="宋体" w:cs="宋体"/>
          <w:color w:val="auto"/>
          <w:spacing w:val="-1"/>
          <w:sz w:val="21"/>
          <w:szCs w:val="21"/>
          <w:highlight w:val="none"/>
        </w:rPr>
        <w:t xml:space="preserve">专用合同条款、通用合同条款、供货要求、分项报价表、中标设备技术性能指标的详细描述、 </w:t>
      </w:r>
      <w:r>
        <w:rPr>
          <w:rFonts w:hint="eastAsia" w:ascii="宋体" w:hAnsi="宋体" w:cs="宋体"/>
          <w:color w:val="auto"/>
          <w:sz w:val="21"/>
          <w:szCs w:val="21"/>
          <w:highlight w:val="none"/>
        </w:rPr>
        <w:t>技术服务和质保期服务计划，以及其他构成合同组成部分的文件。</w:t>
      </w:r>
    </w:p>
    <w:p w14:paraId="59E10761">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1.1.1.2 合同协议书：指买方和卖方共同签署的合同协议书。</w:t>
      </w:r>
    </w:p>
    <w:p w14:paraId="28E4F3B3">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1.1.1.3 中标通知书：指买方通知卖方中标的函件。</w:t>
      </w:r>
    </w:p>
    <w:p w14:paraId="7265DD3C">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1.1.1.4 投标函：指由卖方填写并签署的，名为“投标函”的函件。</w:t>
      </w:r>
    </w:p>
    <w:p w14:paraId="48E54460">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1.1.1.5 商务和技术偏差表：指卖方投标文件中的商务和技术偏差表。</w:t>
      </w:r>
    </w:p>
    <w:p w14:paraId="1E7D0133">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1.1.1.6 供货要求：指合同文件中名为“供货要求”的文件。</w:t>
      </w:r>
    </w:p>
    <w:p w14:paraId="3CA3D1B3">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1.1.1.7 中标设备技术性能指标的详细描述：指卖方投标文件中的投标设备技术性能指标的详细描述。</w:t>
      </w:r>
    </w:p>
    <w:p w14:paraId="73B0A780">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1.1.1.8 技术服务和质保期服务计划：指卖方投标文件中的技术服务和质保期服务计划。</w:t>
      </w:r>
    </w:p>
    <w:p w14:paraId="5B16D3C8">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1.1.1.9 分项报价表：指卖方投标文件中的分项报价表。</w:t>
      </w:r>
    </w:p>
    <w:p w14:paraId="15C78A48">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1.1.1.10 其他合同文件：指经合同双方当事人确认构成合同文件的其他文件。</w:t>
      </w:r>
    </w:p>
    <w:p w14:paraId="2310B1D7">
      <w:pPr>
        <w:pStyle w:val="2"/>
        <w:spacing w:line="400" w:lineRule="exact"/>
        <w:rPr>
          <w:rFonts w:hint="eastAsia" w:ascii="宋体" w:hAnsi="宋体" w:cs="宋体"/>
          <w:b/>
          <w:color w:val="auto"/>
          <w:sz w:val="21"/>
          <w:szCs w:val="21"/>
          <w:highlight w:val="none"/>
        </w:rPr>
      </w:pPr>
      <w:bookmarkStart w:id="239" w:name="_Toc20470957"/>
      <w:r>
        <w:rPr>
          <w:rFonts w:hint="eastAsia" w:ascii="宋体" w:hAnsi="宋体" w:cs="宋体"/>
          <w:b/>
          <w:color w:val="auto"/>
          <w:sz w:val="21"/>
          <w:szCs w:val="21"/>
          <w:highlight w:val="none"/>
        </w:rPr>
        <w:t>1.1.2  合同当事人</w:t>
      </w:r>
      <w:bookmarkEnd w:id="239"/>
    </w:p>
    <w:p w14:paraId="52835C19">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1.1.2.1 合同当事人：指买方和（或）卖方。</w:t>
      </w:r>
    </w:p>
    <w:p w14:paraId="14710081">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1.1.2.2 买方：指与卖方签订合同协议书，购买合同设备和技术服务和质保期服务的当事人，及其合法继承人。</w:t>
      </w:r>
    </w:p>
    <w:p w14:paraId="4E2D0B09">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1.1.2.3 卖方：指与买方签订合同协议书，提供合同设备和技术服务和质保期服务的当事人，及其合法继承人。</w:t>
      </w:r>
    </w:p>
    <w:p w14:paraId="310D3E9F">
      <w:pPr>
        <w:pStyle w:val="2"/>
        <w:spacing w:line="400" w:lineRule="exact"/>
        <w:rPr>
          <w:rFonts w:hint="eastAsia" w:ascii="宋体" w:hAnsi="宋体" w:cs="宋体"/>
          <w:b/>
          <w:color w:val="auto"/>
          <w:sz w:val="21"/>
          <w:szCs w:val="21"/>
          <w:highlight w:val="none"/>
        </w:rPr>
      </w:pPr>
      <w:bookmarkStart w:id="240" w:name="_Toc20470958"/>
      <w:r>
        <w:rPr>
          <w:rFonts w:hint="eastAsia" w:ascii="宋体" w:hAnsi="宋体" w:cs="宋体"/>
          <w:b/>
          <w:color w:val="auto"/>
          <w:sz w:val="21"/>
          <w:szCs w:val="21"/>
          <w:highlight w:val="none"/>
        </w:rPr>
        <w:t>1.1.3  合同价格</w:t>
      </w:r>
      <w:bookmarkEnd w:id="240"/>
    </w:p>
    <w:p w14:paraId="6428383F">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1.1.3.1 签约合同价：是签订合同时合同协议书中写明的合同总金额。</w:t>
      </w:r>
    </w:p>
    <w:p w14:paraId="7602A499">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1.1.3.2 合同价格：指卖方按合同约定履行了全部合同义务后，买方应付给卖方的金额。</w:t>
      </w:r>
    </w:p>
    <w:p w14:paraId="5E716802">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1.1.4  合同设备：指卖方按合同约定应向买方提供的设备、装置、备品、备件、易损易耗件、配套使用的软件或其他辅助电子应用程序及技术资料，或其中任何一部分。</w:t>
      </w:r>
    </w:p>
    <w:p w14:paraId="3FAFFA41">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1.1.5  技术资料：指各种纸质及电子载体的与合同设备的设计、检验、安装、调试、考核、 操作、维修以及保养等有关的技术指标、规格、图纸和说明文件。</w:t>
      </w:r>
    </w:p>
    <w:p w14:paraId="5D206E2C">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1.1.6  </w:t>
      </w:r>
      <w:r>
        <w:rPr>
          <w:rFonts w:hint="eastAsia" w:ascii="宋体" w:hAnsi="宋体" w:cs="宋体"/>
          <w:color w:val="auto"/>
          <w:spacing w:val="-4"/>
          <w:sz w:val="21"/>
          <w:szCs w:val="21"/>
          <w:highlight w:val="none"/>
        </w:rPr>
        <w:t>安装：指对合同设备进行的组装、连接以及根据需要将合同设备固定在施工场地内一</w:t>
      </w:r>
      <w:r>
        <w:rPr>
          <w:rFonts w:hint="eastAsia" w:ascii="宋体" w:hAnsi="宋体" w:cs="宋体"/>
          <w:color w:val="auto"/>
          <w:sz w:val="21"/>
          <w:szCs w:val="21"/>
          <w:highlight w:val="none"/>
        </w:rPr>
        <w:t>定的位置上，使其就位并与相关设备、工程实现连接。</w:t>
      </w:r>
    </w:p>
    <w:p w14:paraId="402F70AA">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1.1.7  调试：指在合同设备安装完成后，对合同设备所进行的调校和测试。</w:t>
      </w:r>
    </w:p>
    <w:p w14:paraId="77020C10">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1.1.8  </w:t>
      </w:r>
      <w:r>
        <w:rPr>
          <w:rFonts w:hint="eastAsia" w:ascii="宋体" w:hAnsi="宋体" w:cs="宋体"/>
          <w:color w:val="auto"/>
          <w:spacing w:val="-4"/>
          <w:sz w:val="21"/>
          <w:szCs w:val="21"/>
          <w:highlight w:val="none"/>
        </w:rPr>
        <w:t>考核：指在合同设备调试完成后，对合同设备进行的用于确定其是否达到合同约定的</w:t>
      </w:r>
      <w:r>
        <w:rPr>
          <w:rFonts w:hint="eastAsia" w:ascii="宋体" w:hAnsi="宋体" w:cs="宋体"/>
          <w:color w:val="auto"/>
          <w:sz w:val="21"/>
          <w:szCs w:val="21"/>
          <w:highlight w:val="none"/>
        </w:rPr>
        <w:t>技术性能考核指标的考核。</w:t>
      </w:r>
    </w:p>
    <w:p w14:paraId="2495A7A4">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1.1.9  </w:t>
      </w:r>
      <w:r>
        <w:rPr>
          <w:rFonts w:hint="eastAsia" w:ascii="宋体" w:hAnsi="宋体" w:cs="宋体"/>
          <w:color w:val="auto"/>
          <w:spacing w:val="-4"/>
          <w:sz w:val="21"/>
          <w:szCs w:val="21"/>
          <w:highlight w:val="none"/>
        </w:rPr>
        <w:t>验收：指合同设备通过考核达到合同约定的技术性能考核指标后，买方作出接受合同</w:t>
      </w:r>
      <w:r>
        <w:rPr>
          <w:rFonts w:hint="eastAsia" w:ascii="宋体" w:hAnsi="宋体" w:cs="宋体"/>
          <w:color w:val="auto"/>
          <w:sz w:val="21"/>
          <w:szCs w:val="21"/>
          <w:highlight w:val="none"/>
        </w:rPr>
        <w:t>设备的确认。</w:t>
      </w:r>
    </w:p>
    <w:p w14:paraId="1C4D12BA">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1.1.10  </w:t>
      </w:r>
      <w:r>
        <w:rPr>
          <w:rFonts w:hint="eastAsia" w:ascii="宋体" w:hAnsi="宋体" w:cs="宋体"/>
          <w:color w:val="auto"/>
          <w:spacing w:val="-7"/>
          <w:sz w:val="21"/>
          <w:szCs w:val="21"/>
          <w:highlight w:val="none"/>
        </w:rPr>
        <w:t>技术服务：指卖方按合同约定，在合同设备验收前，向买方提供的安装、调试服务，</w:t>
      </w:r>
      <w:r>
        <w:rPr>
          <w:rFonts w:hint="eastAsia" w:ascii="宋体" w:hAnsi="宋体" w:cs="宋体"/>
          <w:color w:val="auto"/>
          <w:sz w:val="21"/>
          <w:szCs w:val="21"/>
          <w:highlight w:val="none"/>
        </w:rPr>
        <w:t>或者在由买方负责的安装、调试、考核中对买方进行的技术指导、协助、监督和培训等。</w:t>
      </w:r>
    </w:p>
    <w:p w14:paraId="53D41C5F">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1.1.11  质量保证期：指合同设备验收后，卖方按合同约定保证合同设备适当、稳定运行，并负责消除合同设备故障的期限。</w:t>
      </w:r>
    </w:p>
    <w:p w14:paraId="0B514833">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1.1.12  </w:t>
      </w:r>
      <w:r>
        <w:rPr>
          <w:rFonts w:hint="eastAsia" w:ascii="宋体" w:hAnsi="宋体" w:cs="宋体"/>
          <w:color w:val="auto"/>
          <w:spacing w:val="-7"/>
          <w:sz w:val="21"/>
          <w:szCs w:val="21"/>
          <w:highlight w:val="none"/>
        </w:rPr>
        <w:t>质保期服务：指在质量保证期内，卖方向买方提供的合同设备维护服务、咨询服务、</w:t>
      </w:r>
      <w:r>
        <w:rPr>
          <w:rFonts w:hint="eastAsia" w:ascii="宋体" w:hAnsi="宋体" w:cs="宋体"/>
          <w:color w:val="auto"/>
          <w:sz w:val="21"/>
          <w:szCs w:val="21"/>
          <w:highlight w:val="none"/>
        </w:rPr>
        <w:t>技术指导、协助以及对出现故障的合同设备进行修理或更换的服务。</w:t>
      </w:r>
    </w:p>
    <w:p w14:paraId="484B7E48">
      <w:pPr>
        <w:pStyle w:val="2"/>
        <w:spacing w:line="400" w:lineRule="exact"/>
        <w:ind w:firstLine="419"/>
        <w:rPr>
          <w:rFonts w:hint="eastAsia" w:ascii="宋体" w:hAnsi="宋体" w:cs="宋体"/>
          <w:color w:val="auto"/>
          <w:sz w:val="21"/>
          <w:szCs w:val="21"/>
          <w:highlight w:val="none"/>
        </w:rPr>
      </w:pPr>
      <w:bookmarkStart w:id="241" w:name="_Toc20470959"/>
      <w:r>
        <w:rPr>
          <w:rFonts w:hint="eastAsia" w:ascii="宋体" w:hAnsi="宋体" w:cs="宋体"/>
          <w:color w:val="auto"/>
          <w:sz w:val="21"/>
          <w:szCs w:val="21"/>
          <w:highlight w:val="none"/>
        </w:rPr>
        <w:t>1.1.13  工程</w:t>
      </w:r>
      <w:bookmarkEnd w:id="241"/>
    </w:p>
    <w:p w14:paraId="13385B03">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1.1.13.1 工程：指在专用合同条款中指明的，安装运行合同设备的工程。</w:t>
      </w:r>
    </w:p>
    <w:p w14:paraId="7408472C">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1.1.13</w:t>
      </w:r>
      <w:r>
        <w:rPr>
          <w:rFonts w:hint="eastAsia" w:ascii="宋体" w:hAnsi="宋体" w:cs="宋体"/>
          <w:color w:val="auto"/>
          <w:spacing w:val="-3"/>
          <w:sz w:val="21"/>
          <w:szCs w:val="21"/>
          <w:highlight w:val="none"/>
        </w:rPr>
        <w:t>.</w:t>
      </w:r>
      <w:r>
        <w:rPr>
          <w:rFonts w:hint="eastAsia" w:ascii="宋体" w:hAnsi="宋体" w:cs="宋体"/>
          <w:color w:val="auto"/>
          <w:sz w:val="21"/>
          <w:szCs w:val="21"/>
          <w:highlight w:val="none"/>
        </w:rPr>
        <w:t xml:space="preserve">2 </w:t>
      </w:r>
      <w:r>
        <w:rPr>
          <w:rFonts w:hint="eastAsia" w:ascii="宋体" w:hAnsi="宋体" w:cs="宋体"/>
          <w:color w:val="auto"/>
          <w:spacing w:val="-3"/>
          <w:sz w:val="21"/>
          <w:szCs w:val="21"/>
          <w:highlight w:val="none"/>
        </w:rPr>
        <w:t>施</w:t>
      </w:r>
      <w:r>
        <w:rPr>
          <w:rFonts w:hint="eastAsia" w:ascii="宋体" w:hAnsi="宋体" w:cs="宋体"/>
          <w:color w:val="auto"/>
          <w:sz w:val="21"/>
          <w:szCs w:val="21"/>
          <w:highlight w:val="none"/>
        </w:rPr>
        <w:t>工</w:t>
      </w:r>
      <w:r>
        <w:rPr>
          <w:rFonts w:hint="eastAsia" w:ascii="宋体" w:hAnsi="宋体" w:cs="宋体"/>
          <w:color w:val="auto"/>
          <w:spacing w:val="-3"/>
          <w:sz w:val="21"/>
          <w:szCs w:val="21"/>
          <w:highlight w:val="none"/>
        </w:rPr>
        <w:t>场</w:t>
      </w:r>
      <w:r>
        <w:rPr>
          <w:rFonts w:hint="eastAsia" w:ascii="宋体" w:hAnsi="宋体" w:cs="宋体"/>
          <w:color w:val="auto"/>
          <w:sz w:val="21"/>
          <w:szCs w:val="21"/>
          <w:highlight w:val="none"/>
        </w:rPr>
        <w:t>地</w:t>
      </w:r>
      <w:r>
        <w:rPr>
          <w:rFonts w:hint="eastAsia" w:ascii="宋体" w:hAnsi="宋体" w:cs="宋体"/>
          <w:color w:val="auto"/>
          <w:spacing w:val="-3"/>
          <w:sz w:val="21"/>
          <w:szCs w:val="21"/>
          <w:highlight w:val="none"/>
        </w:rPr>
        <w:t>（</w:t>
      </w:r>
      <w:r>
        <w:rPr>
          <w:rFonts w:hint="eastAsia" w:ascii="宋体" w:hAnsi="宋体" w:cs="宋体"/>
          <w:color w:val="auto"/>
          <w:sz w:val="21"/>
          <w:szCs w:val="21"/>
          <w:highlight w:val="none"/>
        </w:rPr>
        <w:t>或</w:t>
      </w:r>
      <w:r>
        <w:rPr>
          <w:rFonts w:hint="eastAsia" w:ascii="宋体" w:hAnsi="宋体" w:cs="宋体"/>
          <w:color w:val="auto"/>
          <w:spacing w:val="-3"/>
          <w:sz w:val="21"/>
          <w:szCs w:val="21"/>
          <w:highlight w:val="none"/>
        </w:rPr>
        <w:t>称</w:t>
      </w:r>
      <w:r>
        <w:rPr>
          <w:rFonts w:hint="eastAsia" w:ascii="宋体" w:hAnsi="宋体" w:cs="宋体"/>
          <w:color w:val="auto"/>
          <w:sz w:val="21"/>
          <w:szCs w:val="21"/>
          <w:highlight w:val="none"/>
        </w:rPr>
        <w:t>工地</w:t>
      </w:r>
      <w:r>
        <w:rPr>
          <w:rFonts w:hint="eastAsia" w:ascii="宋体" w:hAnsi="宋体" w:cs="宋体"/>
          <w:color w:val="auto"/>
          <w:spacing w:val="-3"/>
          <w:sz w:val="21"/>
          <w:szCs w:val="21"/>
          <w:highlight w:val="none"/>
        </w:rPr>
        <w:t>、</w:t>
      </w:r>
      <w:r>
        <w:rPr>
          <w:rFonts w:hint="eastAsia" w:ascii="宋体" w:hAnsi="宋体" w:cs="宋体"/>
          <w:color w:val="auto"/>
          <w:sz w:val="21"/>
          <w:szCs w:val="21"/>
          <w:highlight w:val="none"/>
        </w:rPr>
        <w:t>施</w:t>
      </w:r>
      <w:r>
        <w:rPr>
          <w:rFonts w:hint="eastAsia" w:ascii="宋体" w:hAnsi="宋体" w:cs="宋体"/>
          <w:color w:val="auto"/>
          <w:spacing w:val="-3"/>
          <w:sz w:val="21"/>
          <w:szCs w:val="21"/>
          <w:highlight w:val="none"/>
        </w:rPr>
        <w:t>工</w:t>
      </w:r>
      <w:r>
        <w:rPr>
          <w:rFonts w:hint="eastAsia" w:ascii="宋体" w:hAnsi="宋体" w:cs="宋体"/>
          <w:color w:val="auto"/>
          <w:sz w:val="21"/>
          <w:szCs w:val="21"/>
          <w:highlight w:val="none"/>
        </w:rPr>
        <w:t>现</w:t>
      </w:r>
      <w:r>
        <w:rPr>
          <w:rFonts w:hint="eastAsia" w:ascii="宋体" w:hAnsi="宋体" w:cs="宋体"/>
          <w:color w:val="auto"/>
          <w:spacing w:val="-3"/>
          <w:sz w:val="21"/>
          <w:szCs w:val="21"/>
          <w:highlight w:val="none"/>
        </w:rPr>
        <w:t>场</w:t>
      </w:r>
      <w:r>
        <w:rPr>
          <w:rFonts w:hint="eastAsia" w:ascii="宋体" w:hAnsi="宋体" w:cs="宋体"/>
          <w:color w:val="auto"/>
          <w:spacing w:val="-106"/>
          <w:sz w:val="21"/>
          <w:szCs w:val="21"/>
          <w:highlight w:val="none"/>
        </w:rPr>
        <w:t>）</w:t>
      </w:r>
      <w:r>
        <w:rPr>
          <w:rFonts w:hint="eastAsia" w:ascii="宋体" w:hAnsi="宋体" w:cs="宋体"/>
          <w:color w:val="auto"/>
          <w:spacing w:val="-3"/>
          <w:sz w:val="21"/>
          <w:szCs w:val="21"/>
          <w:highlight w:val="none"/>
        </w:rPr>
        <w:t>：</w:t>
      </w:r>
      <w:r>
        <w:rPr>
          <w:rFonts w:hint="eastAsia" w:ascii="宋体" w:hAnsi="宋体" w:cs="宋体"/>
          <w:color w:val="auto"/>
          <w:sz w:val="21"/>
          <w:szCs w:val="21"/>
          <w:highlight w:val="none"/>
        </w:rPr>
        <w:t>指</w:t>
      </w:r>
      <w:r>
        <w:rPr>
          <w:rFonts w:hint="eastAsia" w:ascii="宋体" w:hAnsi="宋体" w:cs="宋体"/>
          <w:color w:val="auto"/>
          <w:spacing w:val="-3"/>
          <w:sz w:val="21"/>
          <w:szCs w:val="21"/>
          <w:highlight w:val="none"/>
        </w:rPr>
        <w:t>专用</w:t>
      </w:r>
      <w:r>
        <w:rPr>
          <w:rFonts w:hint="eastAsia" w:ascii="宋体" w:hAnsi="宋体" w:cs="宋体"/>
          <w:color w:val="auto"/>
          <w:sz w:val="21"/>
          <w:szCs w:val="21"/>
          <w:highlight w:val="none"/>
        </w:rPr>
        <w:t>合同</w:t>
      </w:r>
      <w:r>
        <w:rPr>
          <w:rFonts w:hint="eastAsia" w:ascii="宋体" w:hAnsi="宋体" w:cs="宋体"/>
          <w:color w:val="auto"/>
          <w:spacing w:val="-3"/>
          <w:sz w:val="21"/>
          <w:szCs w:val="21"/>
          <w:highlight w:val="none"/>
        </w:rPr>
        <w:t>条</w:t>
      </w:r>
      <w:r>
        <w:rPr>
          <w:rFonts w:hint="eastAsia" w:ascii="宋体" w:hAnsi="宋体" w:cs="宋体"/>
          <w:color w:val="auto"/>
          <w:sz w:val="21"/>
          <w:szCs w:val="21"/>
          <w:highlight w:val="none"/>
        </w:rPr>
        <w:t>款</w:t>
      </w:r>
      <w:r>
        <w:rPr>
          <w:rFonts w:hint="eastAsia" w:ascii="宋体" w:hAnsi="宋体" w:cs="宋体"/>
          <w:color w:val="auto"/>
          <w:spacing w:val="-3"/>
          <w:sz w:val="21"/>
          <w:szCs w:val="21"/>
          <w:highlight w:val="none"/>
        </w:rPr>
        <w:t>中</w:t>
      </w:r>
      <w:r>
        <w:rPr>
          <w:rFonts w:hint="eastAsia" w:ascii="宋体" w:hAnsi="宋体" w:cs="宋体"/>
          <w:color w:val="auto"/>
          <w:sz w:val="21"/>
          <w:szCs w:val="21"/>
          <w:highlight w:val="none"/>
        </w:rPr>
        <w:t>指</w:t>
      </w:r>
      <w:r>
        <w:rPr>
          <w:rFonts w:hint="eastAsia" w:ascii="宋体" w:hAnsi="宋体" w:cs="宋体"/>
          <w:color w:val="auto"/>
          <w:spacing w:val="-3"/>
          <w:sz w:val="21"/>
          <w:szCs w:val="21"/>
          <w:highlight w:val="none"/>
        </w:rPr>
        <w:t>明</w:t>
      </w:r>
      <w:r>
        <w:rPr>
          <w:rFonts w:hint="eastAsia" w:ascii="宋体" w:hAnsi="宋体" w:cs="宋体"/>
          <w:color w:val="auto"/>
          <w:sz w:val="21"/>
          <w:szCs w:val="21"/>
          <w:highlight w:val="none"/>
        </w:rPr>
        <w:t>的</w:t>
      </w:r>
      <w:r>
        <w:rPr>
          <w:rFonts w:hint="eastAsia" w:ascii="宋体" w:hAnsi="宋体" w:cs="宋体"/>
          <w:color w:val="auto"/>
          <w:spacing w:val="-3"/>
          <w:sz w:val="21"/>
          <w:szCs w:val="21"/>
          <w:highlight w:val="none"/>
        </w:rPr>
        <w:t>工</w:t>
      </w:r>
      <w:r>
        <w:rPr>
          <w:rFonts w:hint="eastAsia" w:ascii="宋体" w:hAnsi="宋体" w:cs="宋体"/>
          <w:color w:val="auto"/>
          <w:sz w:val="21"/>
          <w:szCs w:val="21"/>
          <w:highlight w:val="none"/>
        </w:rPr>
        <w:t>程</w:t>
      </w:r>
      <w:r>
        <w:rPr>
          <w:rFonts w:hint="eastAsia" w:ascii="宋体" w:hAnsi="宋体" w:cs="宋体"/>
          <w:color w:val="auto"/>
          <w:spacing w:val="-3"/>
          <w:sz w:val="21"/>
          <w:szCs w:val="21"/>
          <w:highlight w:val="none"/>
        </w:rPr>
        <w:t>所</w:t>
      </w:r>
      <w:r>
        <w:rPr>
          <w:rFonts w:hint="eastAsia" w:ascii="宋体" w:hAnsi="宋体" w:cs="宋体"/>
          <w:color w:val="auto"/>
          <w:sz w:val="21"/>
          <w:szCs w:val="21"/>
          <w:highlight w:val="none"/>
        </w:rPr>
        <w:t>在场</w:t>
      </w:r>
      <w:r>
        <w:rPr>
          <w:rFonts w:hint="eastAsia" w:ascii="宋体" w:hAnsi="宋体" w:cs="宋体"/>
          <w:color w:val="auto"/>
          <w:spacing w:val="-3"/>
          <w:sz w:val="21"/>
          <w:szCs w:val="21"/>
          <w:highlight w:val="none"/>
        </w:rPr>
        <w:t>所</w:t>
      </w:r>
      <w:r>
        <w:rPr>
          <w:rFonts w:hint="eastAsia" w:ascii="宋体" w:hAnsi="宋体" w:cs="宋体"/>
          <w:color w:val="auto"/>
          <w:sz w:val="21"/>
          <w:szCs w:val="21"/>
          <w:highlight w:val="none"/>
        </w:rPr>
        <w:t>。</w:t>
      </w:r>
    </w:p>
    <w:p w14:paraId="7C9F4EF4">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1.1.14  </w:t>
      </w:r>
      <w:r>
        <w:rPr>
          <w:rFonts w:hint="eastAsia" w:ascii="宋体" w:hAnsi="宋体" w:cs="宋体"/>
          <w:color w:val="auto"/>
          <w:spacing w:val="-58"/>
          <w:sz w:val="21"/>
          <w:szCs w:val="21"/>
          <w:highlight w:val="none"/>
        </w:rPr>
        <w:t>天</w:t>
      </w:r>
      <w:r>
        <w:rPr>
          <w:rFonts w:hint="eastAsia" w:ascii="宋体" w:hAnsi="宋体" w:cs="宋体"/>
          <w:color w:val="auto"/>
          <w:spacing w:val="-3"/>
          <w:sz w:val="21"/>
          <w:szCs w:val="21"/>
          <w:highlight w:val="none"/>
        </w:rPr>
        <w:t>（</w:t>
      </w:r>
      <w:r>
        <w:rPr>
          <w:rFonts w:hint="eastAsia" w:ascii="宋体" w:hAnsi="宋体" w:cs="宋体"/>
          <w:color w:val="auto"/>
          <w:sz w:val="21"/>
          <w:szCs w:val="21"/>
          <w:highlight w:val="none"/>
        </w:rPr>
        <w:t>或</w:t>
      </w:r>
      <w:r>
        <w:rPr>
          <w:rFonts w:hint="eastAsia" w:ascii="宋体" w:hAnsi="宋体" w:cs="宋体"/>
          <w:color w:val="auto"/>
          <w:spacing w:val="-3"/>
          <w:sz w:val="21"/>
          <w:szCs w:val="21"/>
          <w:highlight w:val="none"/>
        </w:rPr>
        <w:t>称</w:t>
      </w:r>
      <w:r>
        <w:rPr>
          <w:rFonts w:hint="eastAsia" w:ascii="宋体" w:hAnsi="宋体" w:cs="宋体"/>
          <w:color w:val="auto"/>
          <w:sz w:val="21"/>
          <w:szCs w:val="21"/>
          <w:highlight w:val="none"/>
        </w:rPr>
        <w:t>日</w:t>
      </w:r>
      <w:r>
        <w:rPr>
          <w:rFonts w:hint="eastAsia" w:ascii="宋体" w:hAnsi="宋体" w:cs="宋体"/>
          <w:color w:val="auto"/>
          <w:spacing w:val="-106"/>
          <w:sz w:val="21"/>
          <w:szCs w:val="21"/>
          <w:highlight w:val="none"/>
        </w:rPr>
        <w:t>）</w:t>
      </w:r>
      <w:r>
        <w:rPr>
          <w:rFonts w:hint="eastAsia" w:ascii="宋体" w:hAnsi="宋体" w:cs="宋体"/>
          <w:color w:val="auto"/>
          <w:spacing w:val="-60"/>
          <w:sz w:val="21"/>
          <w:szCs w:val="21"/>
          <w:highlight w:val="none"/>
        </w:rPr>
        <w:t>：</w:t>
      </w:r>
      <w:r>
        <w:rPr>
          <w:rFonts w:hint="eastAsia" w:ascii="宋体" w:hAnsi="宋体" w:cs="宋体"/>
          <w:color w:val="auto"/>
          <w:sz w:val="21"/>
          <w:szCs w:val="21"/>
          <w:highlight w:val="none"/>
        </w:rPr>
        <w:t>除</w:t>
      </w:r>
      <w:r>
        <w:rPr>
          <w:rFonts w:hint="eastAsia" w:ascii="宋体" w:hAnsi="宋体" w:cs="宋体"/>
          <w:color w:val="auto"/>
          <w:spacing w:val="-3"/>
          <w:sz w:val="21"/>
          <w:szCs w:val="21"/>
          <w:highlight w:val="none"/>
        </w:rPr>
        <w:t>特</w:t>
      </w:r>
      <w:r>
        <w:rPr>
          <w:rFonts w:hint="eastAsia" w:ascii="宋体" w:hAnsi="宋体" w:cs="宋体"/>
          <w:color w:val="auto"/>
          <w:sz w:val="21"/>
          <w:szCs w:val="21"/>
          <w:highlight w:val="none"/>
        </w:rPr>
        <w:t>别指</w:t>
      </w:r>
      <w:r>
        <w:rPr>
          <w:rFonts w:hint="eastAsia" w:ascii="宋体" w:hAnsi="宋体" w:cs="宋体"/>
          <w:color w:val="auto"/>
          <w:spacing w:val="-3"/>
          <w:sz w:val="21"/>
          <w:szCs w:val="21"/>
          <w:highlight w:val="none"/>
        </w:rPr>
        <w:t>明</w:t>
      </w:r>
      <w:r>
        <w:rPr>
          <w:rFonts w:hint="eastAsia" w:ascii="宋体" w:hAnsi="宋体" w:cs="宋体"/>
          <w:color w:val="auto"/>
          <w:sz w:val="21"/>
          <w:szCs w:val="21"/>
          <w:highlight w:val="none"/>
        </w:rPr>
        <w:t>外</w:t>
      </w:r>
      <w:r>
        <w:rPr>
          <w:rFonts w:hint="eastAsia" w:ascii="宋体" w:hAnsi="宋体" w:cs="宋体"/>
          <w:color w:val="auto"/>
          <w:spacing w:val="-60"/>
          <w:sz w:val="21"/>
          <w:szCs w:val="21"/>
          <w:highlight w:val="none"/>
        </w:rPr>
        <w:t>，</w:t>
      </w:r>
      <w:r>
        <w:rPr>
          <w:rFonts w:hint="eastAsia" w:ascii="宋体" w:hAnsi="宋体" w:cs="宋体"/>
          <w:color w:val="auto"/>
          <w:sz w:val="21"/>
          <w:szCs w:val="21"/>
          <w:highlight w:val="none"/>
        </w:rPr>
        <w:t>指</w:t>
      </w:r>
      <w:r>
        <w:rPr>
          <w:rFonts w:hint="eastAsia" w:ascii="宋体" w:hAnsi="宋体" w:cs="宋体"/>
          <w:color w:val="auto"/>
          <w:spacing w:val="-3"/>
          <w:sz w:val="21"/>
          <w:szCs w:val="21"/>
          <w:highlight w:val="none"/>
        </w:rPr>
        <w:t>日</w:t>
      </w:r>
      <w:r>
        <w:rPr>
          <w:rFonts w:hint="eastAsia" w:ascii="宋体" w:hAnsi="宋体" w:cs="宋体"/>
          <w:color w:val="auto"/>
          <w:sz w:val="21"/>
          <w:szCs w:val="21"/>
          <w:highlight w:val="none"/>
        </w:rPr>
        <w:t>历天</w:t>
      </w:r>
      <w:r>
        <w:rPr>
          <w:rFonts w:hint="eastAsia" w:ascii="宋体" w:hAnsi="宋体" w:cs="宋体"/>
          <w:color w:val="auto"/>
          <w:spacing w:val="-60"/>
          <w:sz w:val="21"/>
          <w:szCs w:val="21"/>
          <w:highlight w:val="none"/>
        </w:rPr>
        <w:t>。</w:t>
      </w:r>
      <w:r>
        <w:rPr>
          <w:rFonts w:hint="eastAsia" w:ascii="宋体" w:hAnsi="宋体" w:cs="宋体"/>
          <w:color w:val="auto"/>
          <w:sz w:val="21"/>
          <w:szCs w:val="21"/>
          <w:highlight w:val="none"/>
        </w:rPr>
        <w:t>合</w:t>
      </w:r>
      <w:r>
        <w:rPr>
          <w:rFonts w:hint="eastAsia" w:ascii="宋体" w:hAnsi="宋体" w:cs="宋体"/>
          <w:color w:val="auto"/>
          <w:spacing w:val="-3"/>
          <w:sz w:val="21"/>
          <w:szCs w:val="21"/>
          <w:highlight w:val="none"/>
        </w:rPr>
        <w:t>同</w:t>
      </w:r>
      <w:r>
        <w:rPr>
          <w:rFonts w:hint="eastAsia" w:ascii="宋体" w:hAnsi="宋体" w:cs="宋体"/>
          <w:color w:val="auto"/>
          <w:sz w:val="21"/>
          <w:szCs w:val="21"/>
          <w:highlight w:val="none"/>
        </w:rPr>
        <w:t>中按</w:t>
      </w:r>
      <w:r>
        <w:rPr>
          <w:rFonts w:hint="eastAsia" w:ascii="宋体" w:hAnsi="宋体" w:cs="宋体"/>
          <w:color w:val="auto"/>
          <w:spacing w:val="-3"/>
          <w:sz w:val="21"/>
          <w:szCs w:val="21"/>
          <w:highlight w:val="none"/>
        </w:rPr>
        <w:t>天</w:t>
      </w:r>
      <w:r>
        <w:rPr>
          <w:rFonts w:hint="eastAsia" w:ascii="宋体" w:hAnsi="宋体" w:cs="宋体"/>
          <w:color w:val="auto"/>
          <w:sz w:val="21"/>
          <w:szCs w:val="21"/>
          <w:highlight w:val="none"/>
        </w:rPr>
        <w:t>计</w:t>
      </w:r>
      <w:r>
        <w:rPr>
          <w:rFonts w:hint="eastAsia" w:ascii="宋体" w:hAnsi="宋体" w:cs="宋体"/>
          <w:color w:val="auto"/>
          <w:spacing w:val="-3"/>
          <w:sz w:val="21"/>
          <w:szCs w:val="21"/>
          <w:highlight w:val="none"/>
        </w:rPr>
        <w:t>算</w:t>
      </w:r>
      <w:r>
        <w:rPr>
          <w:rFonts w:hint="eastAsia" w:ascii="宋体" w:hAnsi="宋体" w:cs="宋体"/>
          <w:color w:val="auto"/>
          <w:sz w:val="21"/>
          <w:szCs w:val="21"/>
          <w:highlight w:val="none"/>
        </w:rPr>
        <w:t>时</w:t>
      </w:r>
      <w:r>
        <w:rPr>
          <w:rFonts w:hint="eastAsia" w:ascii="宋体" w:hAnsi="宋体" w:cs="宋体"/>
          <w:color w:val="auto"/>
          <w:spacing w:val="-3"/>
          <w:sz w:val="21"/>
          <w:szCs w:val="21"/>
          <w:highlight w:val="none"/>
        </w:rPr>
        <w:t>间</w:t>
      </w:r>
      <w:r>
        <w:rPr>
          <w:rFonts w:hint="eastAsia" w:ascii="宋体" w:hAnsi="宋体" w:cs="宋体"/>
          <w:color w:val="auto"/>
          <w:sz w:val="21"/>
          <w:szCs w:val="21"/>
          <w:highlight w:val="none"/>
        </w:rPr>
        <w:t>的</w:t>
      </w:r>
      <w:r>
        <w:rPr>
          <w:rFonts w:hint="eastAsia" w:ascii="宋体" w:hAnsi="宋体" w:cs="宋体"/>
          <w:color w:val="auto"/>
          <w:spacing w:val="-60"/>
          <w:sz w:val="21"/>
          <w:szCs w:val="21"/>
          <w:highlight w:val="none"/>
        </w:rPr>
        <w:t>，</w:t>
      </w:r>
      <w:r>
        <w:rPr>
          <w:rFonts w:hint="eastAsia" w:ascii="宋体" w:hAnsi="宋体" w:cs="宋体"/>
          <w:color w:val="auto"/>
          <w:sz w:val="21"/>
          <w:szCs w:val="21"/>
          <w:highlight w:val="none"/>
        </w:rPr>
        <w:t>开</w:t>
      </w:r>
      <w:r>
        <w:rPr>
          <w:rFonts w:hint="eastAsia" w:ascii="宋体" w:hAnsi="宋体" w:cs="宋体"/>
          <w:color w:val="auto"/>
          <w:spacing w:val="-3"/>
          <w:sz w:val="21"/>
          <w:szCs w:val="21"/>
          <w:highlight w:val="none"/>
        </w:rPr>
        <w:t>始</w:t>
      </w:r>
      <w:r>
        <w:rPr>
          <w:rFonts w:hint="eastAsia" w:ascii="宋体" w:hAnsi="宋体" w:cs="宋体"/>
          <w:color w:val="auto"/>
          <w:sz w:val="21"/>
          <w:szCs w:val="21"/>
          <w:highlight w:val="none"/>
        </w:rPr>
        <w:t>当天</w:t>
      </w:r>
      <w:r>
        <w:rPr>
          <w:rFonts w:hint="eastAsia" w:ascii="宋体" w:hAnsi="宋体" w:cs="宋体"/>
          <w:color w:val="auto"/>
          <w:spacing w:val="-3"/>
          <w:sz w:val="21"/>
          <w:szCs w:val="21"/>
          <w:highlight w:val="none"/>
        </w:rPr>
        <w:t>不</w:t>
      </w:r>
      <w:r>
        <w:rPr>
          <w:rFonts w:hint="eastAsia" w:ascii="宋体" w:hAnsi="宋体" w:cs="宋体"/>
          <w:color w:val="auto"/>
          <w:sz w:val="21"/>
          <w:szCs w:val="21"/>
          <w:highlight w:val="none"/>
        </w:rPr>
        <w:t>计</w:t>
      </w:r>
      <w:r>
        <w:rPr>
          <w:rFonts w:hint="eastAsia" w:ascii="宋体" w:hAnsi="宋体" w:cs="宋体"/>
          <w:color w:val="auto"/>
          <w:spacing w:val="-3"/>
          <w:sz w:val="21"/>
          <w:szCs w:val="21"/>
          <w:highlight w:val="none"/>
        </w:rPr>
        <w:t>入</w:t>
      </w:r>
      <w:r>
        <w:rPr>
          <w:rFonts w:hint="eastAsia" w:ascii="宋体" w:hAnsi="宋体" w:cs="宋体"/>
          <w:color w:val="auto"/>
          <w:sz w:val="21"/>
          <w:szCs w:val="21"/>
          <w:highlight w:val="none"/>
        </w:rPr>
        <w:t>，</w:t>
      </w:r>
      <w:r>
        <w:rPr>
          <w:rFonts w:hint="eastAsia" w:ascii="宋体" w:hAnsi="宋体" w:cs="宋体"/>
          <w:color w:val="auto"/>
          <w:spacing w:val="-1"/>
          <w:sz w:val="21"/>
          <w:szCs w:val="21"/>
          <w:highlight w:val="none"/>
        </w:rPr>
        <w:t xml:space="preserve">从次日开始计算。合同约定的期间的最后一天是星期日或者其他法定休假日的，以休假日的次 </w:t>
      </w:r>
      <w:r>
        <w:rPr>
          <w:rFonts w:hint="eastAsia" w:ascii="宋体" w:hAnsi="宋体" w:cs="宋体"/>
          <w:color w:val="auto"/>
          <w:sz w:val="21"/>
          <w:szCs w:val="21"/>
          <w:highlight w:val="none"/>
        </w:rPr>
        <w:t>日为期间的最后一天。</w:t>
      </w:r>
    </w:p>
    <w:p w14:paraId="06A4DD1B">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1.1.15  </w:t>
      </w:r>
      <w:r>
        <w:rPr>
          <w:rFonts w:hint="eastAsia" w:ascii="宋体" w:hAnsi="宋体" w:cs="宋体"/>
          <w:color w:val="auto"/>
          <w:spacing w:val="-7"/>
          <w:sz w:val="21"/>
          <w:szCs w:val="21"/>
          <w:highlight w:val="none"/>
        </w:rPr>
        <w:t>月：按照公历月计算。合同中按月计算时间的，开始当天不计入，从次日开始计算。</w:t>
      </w:r>
      <w:r>
        <w:rPr>
          <w:rFonts w:hint="eastAsia" w:ascii="宋体" w:hAnsi="宋体" w:cs="宋体"/>
          <w:color w:val="auto"/>
          <w:spacing w:val="-1"/>
          <w:sz w:val="21"/>
          <w:szCs w:val="21"/>
          <w:highlight w:val="none"/>
        </w:rPr>
        <w:t xml:space="preserve">合同约定的期间的最后一天是星期日或者其他法定休假日的，以休假日的次日为期间的最后一 </w:t>
      </w:r>
      <w:r>
        <w:rPr>
          <w:rFonts w:hint="eastAsia" w:ascii="宋体" w:hAnsi="宋体" w:cs="宋体"/>
          <w:color w:val="auto"/>
          <w:sz w:val="21"/>
          <w:szCs w:val="21"/>
          <w:highlight w:val="none"/>
        </w:rPr>
        <w:t>天。</w:t>
      </w:r>
    </w:p>
    <w:p w14:paraId="7DC30F06">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1.1.16  书面形式：指合同文件、信件和数据电文（包括电报、电传、传真、电子数据交换和电子邮件）等可以有形地表现所载内容的形式。</w:t>
      </w:r>
    </w:p>
    <w:p w14:paraId="3F245E8D">
      <w:pPr>
        <w:pStyle w:val="7"/>
        <w:spacing w:before="0" w:after="0" w:line="400" w:lineRule="exact"/>
        <w:rPr>
          <w:rFonts w:hint="eastAsia" w:ascii="宋体" w:hAnsi="宋体" w:eastAsia="宋体" w:cs="宋体"/>
          <w:color w:val="auto"/>
          <w:sz w:val="21"/>
          <w:szCs w:val="21"/>
          <w:highlight w:val="none"/>
        </w:rPr>
      </w:pPr>
      <w:bookmarkStart w:id="242" w:name="_bookmark107"/>
      <w:bookmarkEnd w:id="242"/>
      <w:bookmarkStart w:id="243" w:name="_Toc8609"/>
      <w:r>
        <w:rPr>
          <w:rFonts w:hint="eastAsia" w:ascii="宋体" w:hAnsi="宋体" w:eastAsia="宋体" w:cs="宋体"/>
          <w:color w:val="auto"/>
          <w:sz w:val="21"/>
          <w:szCs w:val="21"/>
          <w:highlight w:val="none"/>
        </w:rPr>
        <w:t>1.2 语言文字</w:t>
      </w:r>
      <w:bookmarkEnd w:id="243"/>
    </w:p>
    <w:p w14:paraId="714C2D59">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合同使用的语言文字为中文。专用术语使用外文的，应附有中文注释。</w:t>
      </w:r>
    </w:p>
    <w:p w14:paraId="12749F47">
      <w:pPr>
        <w:pStyle w:val="7"/>
        <w:spacing w:before="0" w:after="0" w:line="400" w:lineRule="exact"/>
        <w:rPr>
          <w:rFonts w:hint="eastAsia" w:ascii="宋体" w:hAnsi="宋体" w:eastAsia="宋体" w:cs="宋体"/>
          <w:color w:val="auto"/>
          <w:sz w:val="21"/>
          <w:szCs w:val="21"/>
          <w:highlight w:val="none"/>
        </w:rPr>
      </w:pPr>
      <w:bookmarkStart w:id="244" w:name="_bookmark108"/>
      <w:bookmarkEnd w:id="244"/>
      <w:bookmarkStart w:id="245" w:name="_Toc31960"/>
      <w:r>
        <w:rPr>
          <w:rFonts w:hint="eastAsia" w:ascii="宋体" w:hAnsi="宋体" w:eastAsia="宋体" w:cs="宋体"/>
          <w:color w:val="auto"/>
          <w:sz w:val="21"/>
          <w:szCs w:val="21"/>
          <w:highlight w:val="none"/>
        </w:rPr>
        <w:t>1.3 合同文件的优先顺序</w:t>
      </w:r>
      <w:bookmarkEnd w:id="245"/>
    </w:p>
    <w:p w14:paraId="1F0F28A8">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组成合同的各项文件应互相解释，互为说明。除专用合同条款另有约定外，解释合同文件的优先顺序如下：</w:t>
      </w:r>
    </w:p>
    <w:p w14:paraId="239781E9">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（1）合同协议书；</w:t>
      </w:r>
    </w:p>
    <w:p w14:paraId="065F8910">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（2）中标通知书；</w:t>
      </w:r>
    </w:p>
    <w:p w14:paraId="1A19CDE2">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（3）投标函；</w:t>
      </w:r>
    </w:p>
    <w:p w14:paraId="6AFC0AE0">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（4）商务和技术偏差表；</w:t>
      </w:r>
    </w:p>
    <w:p w14:paraId="623A20EB">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（5）专用合同条款；</w:t>
      </w:r>
    </w:p>
    <w:p w14:paraId="6B0DC6CA">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（6）通用合同条款；</w:t>
      </w:r>
    </w:p>
    <w:p w14:paraId="0A90110C">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（7）供货要求；</w:t>
      </w:r>
    </w:p>
    <w:p w14:paraId="53EAAEEF">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（8）分项报价表；</w:t>
      </w:r>
    </w:p>
    <w:p w14:paraId="6D45DBCA">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（9）中标设备技术性能指标的详细描述；</w:t>
      </w:r>
    </w:p>
    <w:p w14:paraId="2C0DD3D6">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（10）技术服务和质保期服务计划；</w:t>
      </w:r>
    </w:p>
    <w:p w14:paraId="29849189">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（11）其他合同文件。</w:t>
      </w:r>
    </w:p>
    <w:p w14:paraId="5DCFF19C">
      <w:pPr>
        <w:pStyle w:val="7"/>
        <w:spacing w:before="0" w:after="0" w:line="400" w:lineRule="exact"/>
        <w:rPr>
          <w:rFonts w:hint="eastAsia" w:ascii="宋体" w:hAnsi="宋体" w:eastAsia="宋体" w:cs="宋体"/>
          <w:color w:val="auto"/>
          <w:sz w:val="21"/>
          <w:szCs w:val="21"/>
          <w:highlight w:val="none"/>
        </w:rPr>
      </w:pPr>
      <w:bookmarkStart w:id="246" w:name="_bookmark109"/>
      <w:bookmarkEnd w:id="246"/>
      <w:bookmarkStart w:id="247" w:name="_Toc10672"/>
      <w:r>
        <w:rPr>
          <w:rFonts w:hint="eastAsia" w:ascii="宋体" w:hAnsi="宋体" w:eastAsia="宋体" w:cs="宋体"/>
          <w:color w:val="auto"/>
          <w:sz w:val="21"/>
          <w:szCs w:val="21"/>
          <w:highlight w:val="none"/>
        </w:rPr>
        <w:t>1.4 合同的生效及变更</w:t>
      </w:r>
      <w:bookmarkEnd w:id="247"/>
    </w:p>
    <w:p w14:paraId="0D74DA65">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1.4.1 除专用合同条款另有约定外，买方和卖方的法定代表人（单位负责人）或其授权代表在合同协议书上签字并加盖单位公章后，合同生效。</w:t>
      </w:r>
    </w:p>
    <w:p w14:paraId="56EB1DAC">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1.4.2 除专用合同条款另有约定外，在合同履行过程中，如需对合同进行变更，双方应签订书面协议，并经双方法定代表人（单位负责人）或其授权代表签字并加盖单位公章后生效。</w:t>
      </w:r>
    </w:p>
    <w:p w14:paraId="14DE262E">
      <w:pPr>
        <w:pStyle w:val="7"/>
        <w:spacing w:before="0" w:after="0" w:line="400" w:lineRule="exact"/>
        <w:rPr>
          <w:rFonts w:hint="eastAsia" w:ascii="宋体" w:hAnsi="宋体" w:eastAsia="宋体" w:cs="宋体"/>
          <w:color w:val="auto"/>
          <w:sz w:val="21"/>
          <w:szCs w:val="21"/>
          <w:highlight w:val="none"/>
        </w:rPr>
      </w:pPr>
      <w:bookmarkStart w:id="248" w:name="_bookmark110"/>
      <w:bookmarkEnd w:id="248"/>
      <w:bookmarkStart w:id="249" w:name="_Toc14434"/>
      <w:r>
        <w:rPr>
          <w:rFonts w:hint="eastAsia" w:ascii="宋体" w:hAnsi="宋体" w:eastAsia="宋体" w:cs="宋体"/>
          <w:color w:val="auto"/>
          <w:sz w:val="21"/>
          <w:szCs w:val="21"/>
          <w:highlight w:val="none"/>
        </w:rPr>
        <w:t>1.5 联络</w:t>
      </w:r>
      <w:bookmarkEnd w:id="249"/>
    </w:p>
    <w:p w14:paraId="296B6C42">
      <w:pPr>
        <w:spacing w:line="400" w:lineRule="exact"/>
        <w:ind w:firstLine="420" w:firstLineChars="200"/>
        <w:rPr>
          <w:rFonts w:hint="eastAsia" w:ascii="宋体" w:hAnsi="宋体" w:cs="宋体"/>
          <w:color w:val="auto"/>
          <w:szCs w:val="21"/>
          <w:highlight w:val="none"/>
        </w:rPr>
      </w:pPr>
      <w:bookmarkStart w:id="250" w:name="_Toc6796"/>
      <w:r>
        <w:rPr>
          <w:rFonts w:hint="eastAsia" w:ascii="宋体" w:hAnsi="宋体" w:cs="宋体"/>
          <w:color w:val="auto"/>
          <w:szCs w:val="21"/>
          <w:highlight w:val="none"/>
        </w:rPr>
        <w:t>1.5.1 买卖双方应就合同履行中有关的事项及时进行联络，重要事项应通过书面形式进行联络或确认。合同履行过程中的任何联络及相关文件的签署，均应通过专用合同条款指定的联系人和联系方式进行。合同履行过程中，双方可以书面形式增加或变更指定联系人。</w:t>
      </w:r>
      <w:bookmarkEnd w:id="250"/>
    </w:p>
    <w:p w14:paraId="1924E6A3">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 合同履行中或与合同有关的任何联络，送达到第 1.5.1 项指定的联系人即视为送达。</w:t>
      </w:r>
    </w:p>
    <w:p w14:paraId="37B0B9B5">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 买方可以安排监理等相关人员作为买方人员，与卖方进行联络或参加合同设备的监造（如有）、交货前检验（如有）、开箱检验、安装、调试、考核、验收等，但应按照第 1.5.1 项的约定事先书面通知卖方。</w:t>
      </w:r>
    </w:p>
    <w:p w14:paraId="11D11AF7">
      <w:pPr>
        <w:pStyle w:val="7"/>
        <w:spacing w:before="0" w:after="0" w:line="400" w:lineRule="exact"/>
        <w:rPr>
          <w:rFonts w:hint="eastAsia" w:ascii="宋体" w:hAnsi="宋体" w:eastAsia="宋体" w:cs="宋体"/>
          <w:color w:val="auto"/>
          <w:sz w:val="21"/>
          <w:szCs w:val="21"/>
          <w:highlight w:val="none"/>
        </w:rPr>
      </w:pPr>
      <w:bookmarkStart w:id="251" w:name="_bookmark111"/>
      <w:bookmarkEnd w:id="251"/>
      <w:bookmarkStart w:id="252" w:name="_Toc8064"/>
      <w:r>
        <w:rPr>
          <w:rFonts w:hint="eastAsia" w:ascii="宋体" w:hAnsi="宋体" w:eastAsia="宋体" w:cs="宋体"/>
          <w:color w:val="auto"/>
          <w:sz w:val="21"/>
          <w:szCs w:val="21"/>
          <w:highlight w:val="none"/>
        </w:rPr>
        <w:t>1.6 联合体</w:t>
      </w:r>
      <w:bookmarkEnd w:id="252"/>
    </w:p>
    <w:p w14:paraId="1E0430C7">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1.6.1 卖方为联合体的，联合体各方应当共同与买方签订合同，并向买方为履行合同承担连带责任。</w:t>
      </w:r>
    </w:p>
    <w:p w14:paraId="21CFFADE">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1.6.2 </w:t>
      </w:r>
      <w:r>
        <w:rPr>
          <w:rFonts w:hint="eastAsia" w:ascii="宋体" w:hAnsi="宋体" w:cs="宋体"/>
          <w:color w:val="auto"/>
          <w:spacing w:val="-4"/>
          <w:sz w:val="21"/>
          <w:szCs w:val="21"/>
          <w:highlight w:val="none"/>
        </w:rPr>
        <w:t>在合同履行过程中，未经买方同意，不得修改联合体协议。联合体协议中关于联合体</w:t>
      </w:r>
      <w:r>
        <w:rPr>
          <w:rFonts w:hint="eastAsia" w:ascii="宋体" w:hAnsi="宋体" w:cs="宋体"/>
          <w:color w:val="auto"/>
          <w:sz w:val="21"/>
          <w:szCs w:val="21"/>
          <w:highlight w:val="none"/>
        </w:rPr>
        <w:t>成员间权利义务的划分，并不影响或减损联合体各方应就履行合同向买方承担的连带责任。</w:t>
      </w:r>
    </w:p>
    <w:p w14:paraId="42D7CF72">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1.6.3 </w:t>
      </w:r>
      <w:r>
        <w:rPr>
          <w:rFonts w:hint="eastAsia" w:ascii="宋体" w:hAnsi="宋体" w:cs="宋体"/>
          <w:color w:val="auto"/>
          <w:spacing w:val="-4"/>
          <w:sz w:val="21"/>
          <w:szCs w:val="21"/>
          <w:highlight w:val="none"/>
        </w:rPr>
        <w:t>联合体牵头人代表联合体与买方联系，并接受指示，负责组织联合体各成员全面履行</w:t>
      </w:r>
      <w:r>
        <w:rPr>
          <w:rFonts w:hint="eastAsia" w:ascii="宋体" w:hAnsi="宋体" w:cs="宋体"/>
          <w:color w:val="auto"/>
          <w:spacing w:val="-1"/>
          <w:sz w:val="21"/>
          <w:szCs w:val="21"/>
          <w:highlight w:val="none"/>
        </w:rPr>
        <w:t>合同。除非专用合同条款另有约定，牵头人在履行合同中的所有行为均视为已获得联合体各方的授权。买方可将合同价款全部支付给牵头人并视为其已适当履行了付款义务。如牵头人的行</w:t>
      </w:r>
      <w:r>
        <w:rPr>
          <w:rFonts w:hint="eastAsia" w:ascii="宋体" w:hAnsi="宋体" w:cs="宋体"/>
          <w:color w:val="auto"/>
          <w:sz w:val="21"/>
          <w:szCs w:val="21"/>
          <w:highlight w:val="none"/>
        </w:rPr>
        <w:t>为将构成对合同内容的变更，则牵头人须事先获得联合体各方的特别授权。</w:t>
      </w:r>
    </w:p>
    <w:p w14:paraId="6C3E161D">
      <w:pPr>
        <w:pStyle w:val="7"/>
        <w:spacing w:before="0" w:after="0" w:line="400" w:lineRule="exact"/>
        <w:rPr>
          <w:rFonts w:hint="eastAsia" w:ascii="宋体" w:hAnsi="宋体" w:eastAsia="宋体" w:cs="宋体"/>
          <w:color w:val="auto"/>
          <w:sz w:val="21"/>
          <w:szCs w:val="21"/>
          <w:highlight w:val="none"/>
        </w:rPr>
      </w:pPr>
      <w:bookmarkStart w:id="253" w:name="_bookmark112"/>
      <w:bookmarkEnd w:id="253"/>
      <w:bookmarkStart w:id="254" w:name="_Toc19394"/>
      <w:r>
        <w:rPr>
          <w:rFonts w:hint="eastAsia" w:ascii="宋体" w:hAnsi="宋体" w:eastAsia="宋体" w:cs="宋体"/>
          <w:color w:val="auto"/>
          <w:sz w:val="21"/>
          <w:szCs w:val="21"/>
          <w:highlight w:val="none"/>
        </w:rPr>
        <w:t>1.7 转让</w:t>
      </w:r>
      <w:bookmarkEnd w:id="254"/>
    </w:p>
    <w:p w14:paraId="24E33E3D">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未经对方当事人书面同意，合同任何一方均不得转让其在合同项下的权利和（或）义务。</w:t>
      </w:r>
    </w:p>
    <w:p w14:paraId="3CD76C9F">
      <w:pPr>
        <w:pStyle w:val="2"/>
        <w:spacing w:line="400" w:lineRule="exact"/>
        <w:ind w:firstLine="419"/>
        <w:rPr>
          <w:rFonts w:hint="eastAsia" w:ascii="宋体" w:hAnsi="宋体" w:cs="宋体"/>
          <w:color w:val="auto"/>
          <w:sz w:val="21"/>
          <w:szCs w:val="21"/>
          <w:highlight w:val="none"/>
        </w:rPr>
      </w:pPr>
    </w:p>
    <w:p w14:paraId="2F6EEE06">
      <w:pPr>
        <w:pStyle w:val="6"/>
        <w:spacing w:before="0" w:after="0" w:line="400" w:lineRule="exact"/>
        <w:rPr>
          <w:rFonts w:hint="eastAsia" w:ascii="宋体" w:hAnsi="宋体" w:cs="宋体"/>
          <w:color w:val="auto"/>
          <w:sz w:val="21"/>
          <w:szCs w:val="21"/>
          <w:highlight w:val="none"/>
        </w:rPr>
      </w:pPr>
      <w:bookmarkStart w:id="255" w:name="_bookmark113"/>
      <w:bookmarkEnd w:id="255"/>
      <w:bookmarkStart w:id="256" w:name="_Toc7505"/>
      <w:r>
        <w:rPr>
          <w:rFonts w:hint="eastAsia" w:ascii="宋体" w:hAnsi="宋体" w:cs="宋体"/>
          <w:color w:val="auto"/>
          <w:sz w:val="21"/>
          <w:szCs w:val="21"/>
          <w:highlight w:val="none"/>
        </w:rPr>
        <w:t>2.合同范围</w:t>
      </w:r>
      <w:bookmarkEnd w:id="256"/>
    </w:p>
    <w:p w14:paraId="4DAE22FD">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卖方应根据供货要求、中标设备技术性能指标的详细描述、技术服务和质保期服务计划等合同文件的约定向买方提供合同设备、技术服务和质保期服务。</w:t>
      </w:r>
    </w:p>
    <w:p w14:paraId="2C811057">
      <w:pPr>
        <w:pStyle w:val="6"/>
        <w:spacing w:before="0" w:after="0" w:line="400" w:lineRule="exact"/>
        <w:rPr>
          <w:rFonts w:hint="eastAsia" w:ascii="宋体" w:hAnsi="宋体" w:cs="宋体"/>
          <w:color w:val="auto"/>
          <w:sz w:val="21"/>
          <w:szCs w:val="21"/>
          <w:highlight w:val="none"/>
        </w:rPr>
      </w:pPr>
      <w:bookmarkStart w:id="257" w:name="_bookmark114"/>
      <w:bookmarkEnd w:id="257"/>
      <w:bookmarkStart w:id="258" w:name="_Toc20116"/>
      <w:r>
        <w:rPr>
          <w:rFonts w:hint="eastAsia" w:ascii="宋体" w:hAnsi="宋体" w:cs="宋体"/>
          <w:color w:val="auto"/>
          <w:sz w:val="21"/>
          <w:szCs w:val="21"/>
          <w:highlight w:val="none"/>
        </w:rPr>
        <w:t>3.合同价格与支付</w:t>
      </w:r>
      <w:bookmarkEnd w:id="258"/>
    </w:p>
    <w:p w14:paraId="6E5C9792">
      <w:pPr>
        <w:pStyle w:val="7"/>
        <w:spacing w:before="0" w:after="0" w:line="400" w:lineRule="exact"/>
        <w:rPr>
          <w:rFonts w:hint="eastAsia" w:ascii="宋体" w:hAnsi="宋体" w:eastAsia="宋体" w:cs="宋体"/>
          <w:color w:val="auto"/>
          <w:sz w:val="21"/>
          <w:szCs w:val="21"/>
          <w:highlight w:val="none"/>
        </w:rPr>
      </w:pPr>
      <w:bookmarkStart w:id="259" w:name="_bookmark115"/>
      <w:bookmarkEnd w:id="259"/>
      <w:bookmarkStart w:id="260" w:name="_Toc3627"/>
      <w:r>
        <w:rPr>
          <w:rFonts w:hint="eastAsia" w:ascii="宋体" w:hAnsi="宋体" w:eastAsia="宋体" w:cs="宋体"/>
          <w:color w:val="auto"/>
          <w:sz w:val="21"/>
          <w:szCs w:val="21"/>
          <w:highlight w:val="none"/>
        </w:rPr>
        <w:t>3.1 合同价格</w:t>
      </w:r>
      <w:bookmarkEnd w:id="260"/>
    </w:p>
    <w:p w14:paraId="712F9E31">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3.1.1 合同协议书中载明的签约合同价包括卖方为完成合同全部义务应承担的一切成本、费用和支出以及卖方的合理利润。</w:t>
      </w:r>
    </w:p>
    <w:p w14:paraId="4AD4BC34">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3.1.2 除专用合同条款另有约定外，签约合同价为固定价格。</w:t>
      </w:r>
    </w:p>
    <w:p w14:paraId="5E450136">
      <w:pPr>
        <w:pStyle w:val="7"/>
        <w:spacing w:before="0" w:after="0" w:line="400" w:lineRule="exact"/>
        <w:rPr>
          <w:rFonts w:hint="eastAsia" w:ascii="宋体" w:hAnsi="宋体" w:eastAsia="宋体" w:cs="宋体"/>
          <w:color w:val="auto"/>
          <w:sz w:val="21"/>
          <w:szCs w:val="21"/>
          <w:highlight w:val="none"/>
        </w:rPr>
      </w:pPr>
      <w:bookmarkStart w:id="261" w:name="_bookmark116"/>
      <w:bookmarkEnd w:id="261"/>
      <w:bookmarkStart w:id="262" w:name="_Toc17841"/>
      <w:r>
        <w:rPr>
          <w:rFonts w:hint="eastAsia" w:ascii="宋体" w:hAnsi="宋体" w:eastAsia="宋体" w:cs="宋体"/>
          <w:color w:val="auto"/>
          <w:sz w:val="21"/>
          <w:szCs w:val="21"/>
          <w:highlight w:val="none"/>
        </w:rPr>
        <w:t>3.2 合同价款的支付</w:t>
      </w:r>
      <w:bookmarkEnd w:id="262"/>
    </w:p>
    <w:p w14:paraId="184C6B28">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除专用合同条款另有约定外，买方应通过以下方式和比例向卖方支付合同价款：</w:t>
      </w:r>
    </w:p>
    <w:p w14:paraId="46B79EA5">
      <w:pPr>
        <w:pStyle w:val="2"/>
        <w:spacing w:line="400" w:lineRule="exact"/>
        <w:ind w:firstLine="525" w:firstLineChars="25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3.2.1 预付款 </w:t>
      </w:r>
    </w:p>
    <w:p w14:paraId="0D4DF3DD">
      <w:pPr>
        <w:pStyle w:val="2"/>
        <w:spacing w:line="400" w:lineRule="exact"/>
        <w:ind w:firstLine="525" w:firstLineChars="250"/>
        <w:rPr>
          <w:rFonts w:hint="eastAsia" w:ascii="宋体" w:hAnsi="宋体" w:cs="宋体"/>
          <w:color w:val="auto"/>
          <w:sz w:val="21"/>
          <w:szCs w:val="21"/>
          <w:highlight w:val="none"/>
        </w:rPr>
      </w:pPr>
      <w:r>
        <w:rPr>
          <w:rFonts w:hint="eastAsia" w:ascii="宋体" w:hAnsi="宋体" w:cs="宋体"/>
          <w:color w:val="auto"/>
          <w:sz w:val="21"/>
          <w:szCs w:val="21"/>
          <w:highlight w:val="none"/>
        </w:rPr>
        <w:t>合同生效后，买方在收到卖方开具的注明应付预付款金额的财务收据正本一份并经审核无误后</w:t>
      </w:r>
      <w:r>
        <w:rPr>
          <w:rFonts w:hint="eastAsia" w:ascii="宋体" w:hAnsi="宋体" w:cs="宋体"/>
          <w:color w:val="auto"/>
          <w:spacing w:val="-55"/>
          <w:sz w:val="21"/>
          <w:szCs w:val="21"/>
          <w:highlight w:val="none"/>
        </w:rPr>
        <w:t xml:space="preserve"> </w:t>
      </w:r>
      <w:r>
        <w:rPr>
          <w:rFonts w:hint="eastAsia" w:ascii="宋体" w:hAnsi="宋体" w:cs="宋体"/>
          <w:color w:val="auto"/>
          <w:sz w:val="21"/>
          <w:szCs w:val="21"/>
          <w:highlight w:val="none"/>
        </w:rPr>
        <w:t>28 日内，向卖方支付签约合同价的</w:t>
      </w:r>
      <w:r>
        <w:rPr>
          <w:rFonts w:hint="eastAsia" w:ascii="宋体" w:hAnsi="宋体" w:cs="宋体"/>
          <w:color w:val="auto"/>
          <w:spacing w:val="-55"/>
          <w:sz w:val="21"/>
          <w:szCs w:val="21"/>
          <w:highlight w:val="none"/>
        </w:rPr>
        <w:t xml:space="preserve"> </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0%作为预付款。</w:t>
      </w:r>
    </w:p>
    <w:p w14:paraId="0291298D">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买方支付预付款后，如卖方未履行合同义务，则买方有权收回预付款；如卖方依约履行了合同义务，则预付款抵作合同价款。</w:t>
      </w:r>
    </w:p>
    <w:p w14:paraId="15F3A58C">
      <w:pPr>
        <w:pStyle w:val="2"/>
        <w:spacing w:line="400" w:lineRule="exact"/>
        <w:ind w:firstLine="525" w:firstLineChars="25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3.2.2 交货款 </w:t>
      </w:r>
    </w:p>
    <w:p w14:paraId="3F229C7E">
      <w:pPr>
        <w:pStyle w:val="2"/>
        <w:spacing w:line="400" w:lineRule="exact"/>
        <w:ind w:firstLine="525" w:firstLineChars="250"/>
        <w:rPr>
          <w:rFonts w:hint="eastAsia" w:ascii="宋体" w:hAnsi="宋体" w:cs="宋体"/>
          <w:color w:val="auto"/>
          <w:sz w:val="21"/>
          <w:szCs w:val="21"/>
          <w:highlight w:val="none"/>
        </w:rPr>
      </w:pPr>
      <w:r>
        <w:rPr>
          <w:rFonts w:hint="eastAsia" w:ascii="宋体" w:hAnsi="宋体" w:cs="宋体"/>
          <w:color w:val="auto"/>
          <w:sz w:val="21"/>
          <w:szCs w:val="21"/>
          <w:highlight w:val="none"/>
        </w:rPr>
        <w:t>卖方按合同约定交付全部合同设备后，买方在收到卖方提交的下列全部单据并经审核无误后</w:t>
      </w:r>
      <w:r>
        <w:rPr>
          <w:rFonts w:hint="eastAsia" w:ascii="宋体" w:hAnsi="宋体" w:cs="宋体"/>
          <w:color w:val="auto"/>
          <w:spacing w:val="-54"/>
          <w:sz w:val="21"/>
          <w:szCs w:val="21"/>
          <w:highlight w:val="none"/>
        </w:rPr>
        <w:t xml:space="preserve"> </w:t>
      </w:r>
      <w:r>
        <w:rPr>
          <w:rFonts w:hint="eastAsia" w:ascii="宋体" w:hAnsi="宋体" w:cs="宋体"/>
          <w:color w:val="auto"/>
          <w:sz w:val="21"/>
          <w:szCs w:val="21"/>
          <w:highlight w:val="none"/>
        </w:rPr>
        <w:t>28 日内，向卖方支付合同价格的</w:t>
      </w:r>
      <w:r>
        <w:rPr>
          <w:rFonts w:hint="eastAsia" w:ascii="宋体" w:hAnsi="宋体" w:cs="宋体"/>
          <w:color w:val="auto"/>
          <w:spacing w:val="-54"/>
          <w:sz w:val="21"/>
          <w:szCs w:val="21"/>
          <w:highlight w:val="none"/>
        </w:rPr>
        <w:t xml:space="preserve"> </w:t>
      </w:r>
      <w:r>
        <w:rPr>
          <w:rFonts w:hint="eastAsia" w:ascii="宋体" w:hAnsi="宋体" w:cs="宋体"/>
          <w:color w:val="auto"/>
          <w:sz w:val="21"/>
          <w:szCs w:val="21"/>
          <w:highlight w:val="none"/>
        </w:rPr>
        <w:t>60%：</w:t>
      </w:r>
    </w:p>
    <w:p w14:paraId="2DDA53D5">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（1）卖方出具的交货清单正本一份；</w:t>
      </w:r>
    </w:p>
    <w:p w14:paraId="2BCEE5DA">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（2）买方签署的收货清单正本一份；</w:t>
      </w:r>
    </w:p>
    <w:p w14:paraId="3B549D02">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（3）制造商出具的出厂质量合格证正本一份；</w:t>
      </w:r>
    </w:p>
    <w:p w14:paraId="38183423">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（4）合同价格100%金额的增值税发票正本一份。</w:t>
      </w:r>
    </w:p>
    <w:p w14:paraId="1394F776">
      <w:pPr>
        <w:pStyle w:val="2"/>
        <w:spacing w:line="400" w:lineRule="exact"/>
        <w:ind w:firstLine="525" w:firstLineChars="25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3.2.3 验收款 </w:t>
      </w:r>
    </w:p>
    <w:p w14:paraId="54E62E0D">
      <w:pPr>
        <w:pStyle w:val="2"/>
        <w:spacing w:line="400" w:lineRule="exact"/>
        <w:ind w:firstLine="525" w:firstLineChars="250"/>
        <w:rPr>
          <w:rFonts w:hint="eastAsia" w:ascii="宋体" w:hAnsi="宋体" w:cs="宋体"/>
          <w:color w:val="auto"/>
          <w:sz w:val="21"/>
          <w:szCs w:val="21"/>
          <w:highlight w:val="none"/>
        </w:rPr>
      </w:pPr>
      <w:r>
        <w:rPr>
          <w:rFonts w:hint="eastAsia" w:ascii="宋体" w:hAnsi="宋体" w:cs="宋体"/>
          <w:color w:val="auto"/>
          <w:sz w:val="21"/>
          <w:szCs w:val="21"/>
          <w:highlight w:val="none"/>
        </w:rPr>
        <w:t>买方在收到卖方提交的买卖双方签署的合同设备验收证书或已生效的验收款支付函正本一份并经审核无误后 28 日内，向卖方支付合同价格的 25%。</w:t>
      </w:r>
    </w:p>
    <w:p w14:paraId="1D818DCE">
      <w:pPr>
        <w:pStyle w:val="2"/>
        <w:spacing w:line="400" w:lineRule="exact"/>
        <w:ind w:firstLine="525" w:firstLineChars="25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3.2.4 结清款  </w:t>
      </w:r>
    </w:p>
    <w:p w14:paraId="0E29CC97">
      <w:pPr>
        <w:pStyle w:val="2"/>
        <w:spacing w:line="400" w:lineRule="exact"/>
        <w:ind w:firstLine="525" w:firstLineChars="250"/>
        <w:rPr>
          <w:rFonts w:hint="eastAsia" w:ascii="宋体" w:hAnsi="宋体" w:cs="宋体"/>
          <w:color w:val="auto"/>
          <w:sz w:val="21"/>
          <w:szCs w:val="21"/>
          <w:highlight w:val="none"/>
        </w:rPr>
      </w:pPr>
      <w:r>
        <w:rPr>
          <w:rFonts w:hint="eastAsia" w:ascii="宋体" w:hAnsi="宋体" w:cs="宋体"/>
          <w:color w:val="auto"/>
          <w:sz w:val="21"/>
          <w:szCs w:val="21"/>
          <w:highlight w:val="none"/>
        </w:rPr>
        <w:t>买方在收到卖方提交的买方签署的质量保证期届满证书或已生效的结清款支付函正本一份并经审核无误后 28 日内，向卖方支付合同价格的 5%。</w:t>
      </w:r>
    </w:p>
    <w:p w14:paraId="749A6B88">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如果依照合同第 9.1 项，卖方应向买方支付费用的，买方有权从结清款中直接扣除该笔费用。</w:t>
      </w:r>
    </w:p>
    <w:p w14:paraId="631C46D3">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pacing w:val="-1"/>
          <w:sz w:val="21"/>
          <w:szCs w:val="21"/>
          <w:highlight w:val="none"/>
        </w:rPr>
        <w:t>除专用合同条款另有约定外，在买方向卖方支付验收款的同时或其后的任何时间内，卖方</w:t>
      </w:r>
      <w:r>
        <w:rPr>
          <w:rFonts w:hint="eastAsia" w:ascii="宋体" w:hAnsi="宋体" w:cs="宋体"/>
          <w:color w:val="auto"/>
          <w:sz w:val="21"/>
          <w:szCs w:val="21"/>
          <w:highlight w:val="none"/>
        </w:rPr>
        <w:t>可在</w:t>
      </w:r>
      <w:r>
        <w:rPr>
          <w:rFonts w:hint="eastAsia" w:ascii="宋体" w:hAnsi="宋体" w:cs="宋体"/>
          <w:color w:val="auto"/>
          <w:spacing w:val="-3"/>
          <w:sz w:val="21"/>
          <w:szCs w:val="21"/>
          <w:highlight w:val="none"/>
        </w:rPr>
        <w:t>向</w:t>
      </w:r>
      <w:r>
        <w:rPr>
          <w:rFonts w:hint="eastAsia" w:ascii="宋体" w:hAnsi="宋体" w:cs="宋体"/>
          <w:color w:val="auto"/>
          <w:sz w:val="21"/>
          <w:szCs w:val="21"/>
          <w:highlight w:val="none"/>
        </w:rPr>
        <w:t>买</w:t>
      </w:r>
      <w:r>
        <w:rPr>
          <w:rFonts w:hint="eastAsia" w:ascii="宋体" w:hAnsi="宋体" w:cs="宋体"/>
          <w:color w:val="auto"/>
          <w:spacing w:val="-3"/>
          <w:sz w:val="21"/>
          <w:szCs w:val="21"/>
          <w:highlight w:val="none"/>
        </w:rPr>
        <w:t>方</w:t>
      </w:r>
      <w:r>
        <w:rPr>
          <w:rFonts w:hint="eastAsia" w:ascii="宋体" w:hAnsi="宋体" w:cs="宋体"/>
          <w:color w:val="auto"/>
          <w:sz w:val="21"/>
          <w:szCs w:val="21"/>
          <w:highlight w:val="none"/>
        </w:rPr>
        <w:t>提</w:t>
      </w:r>
      <w:r>
        <w:rPr>
          <w:rFonts w:hint="eastAsia" w:ascii="宋体" w:hAnsi="宋体" w:cs="宋体"/>
          <w:color w:val="auto"/>
          <w:spacing w:val="-3"/>
          <w:sz w:val="21"/>
          <w:szCs w:val="21"/>
          <w:highlight w:val="none"/>
        </w:rPr>
        <w:t>交</w:t>
      </w:r>
      <w:r>
        <w:rPr>
          <w:rFonts w:hint="eastAsia" w:ascii="宋体" w:hAnsi="宋体" w:cs="宋体"/>
          <w:color w:val="auto"/>
          <w:sz w:val="21"/>
          <w:szCs w:val="21"/>
          <w:highlight w:val="none"/>
        </w:rPr>
        <w:t>买</w:t>
      </w:r>
      <w:r>
        <w:rPr>
          <w:rFonts w:hint="eastAsia" w:ascii="宋体" w:hAnsi="宋体" w:cs="宋体"/>
          <w:color w:val="auto"/>
          <w:spacing w:val="-3"/>
          <w:sz w:val="21"/>
          <w:szCs w:val="21"/>
          <w:highlight w:val="none"/>
        </w:rPr>
        <w:t>方</w:t>
      </w:r>
      <w:r>
        <w:rPr>
          <w:rFonts w:hint="eastAsia" w:ascii="宋体" w:hAnsi="宋体" w:cs="宋体"/>
          <w:color w:val="auto"/>
          <w:sz w:val="21"/>
          <w:szCs w:val="21"/>
          <w:highlight w:val="none"/>
        </w:rPr>
        <w:t>可</w:t>
      </w:r>
      <w:r>
        <w:rPr>
          <w:rFonts w:hint="eastAsia" w:ascii="宋体" w:hAnsi="宋体" w:cs="宋体"/>
          <w:color w:val="auto"/>
          <w:spacing w:val="-3"/>
          <w:sz w:val="21"/>
          <w:szCs w:val="21"/>
          <w:highlight w:val="none"/>
        </w:rPr>
        <w:t>接</w:t>
      </w:r>
      <w:r>
        <w:rPr>
          <w:rFonts w:hint="eastAsia" w:ascii="宋体" w:hAnsi="宋体" w:cs="宋体"/>
          <w:color w:val="auto"/>
          <w:sz w:val="21"/>
          <w:szCs w:val="21"/>
          <w:highlight w:val="none"/>
        </w:rPr>
        <w:t>受的</w:t>
      </w:r>
      <w:r>
        <w:rPr>
          <w:rFonts w:hint="eastAsia" w:ascii="宋体" w:hAnsi="宋体" w:cs="宋体"/>
          <w:color w:val="auto"/>
          <w:spacing w:val="-3"/>
          <w:sz w:val="21"/>
          <w:szCs w:val="21"/>
          <w:highlight w:val="none"/>
        </w:rPr>
        <w:t>金</w:t>
      </w:r>
      <w:r>
        <w:rPr>
          <w:rFonts w:hint="eastAsia" w:ascii="宋体" w:hAnsi="宋体" w:cs="宋体"/>
          <w:color w:val="auto"/>
          <w:sz w:val="21"/>
          <w:szCs w:val="21"/>
          <w:highlight w:val="none"/>
        </w:rPr>
        <w:t>额</w:t>
      </w:r>
      <w:r>
        <w:rPr>
          <w:rFonts w:hint="eastAsia" w:ascii="宋体" w:hAnsi="宋体" w:cs="宋体"/>
          <w:color w:val="auto"/>
          <w:spacing w:val="-3"/>
          <w:sz w:val="21"/>
          <w:szCs w:val="21"/>
          <w:highlight w:val="none"/>
        </w:rPr>
        <w:t>为</w:t>
      </w:r>
      <w:r>
        <w:rPr>
          <w:rFonts w:hint="eastAsia" w:ascii="宋体" w:hAnsi="宋体" w:cs="宋体"/>
          <w:color w:val="auto"/>
          <w:sz w:val="21"/>
          <w:szCs w:val="21"/>
          <w:highlight w:val="none"/>
        </w:rPr>
        <w:t>合</w:t>
      </w:r>
      <w:r>
        <w:rPr>
          <w:rFonts w:hint="eastAsia" w:ascii="宋体" w:hAnsi="宋体" w:cs="宋体"/>
          <w:color w:val="auto"/>
          <w:spacing w:val="-3"/>
          <w:sz w:val="21"/>
          <w:szCs w:val="21"/>
          <w:highlight w:val="none"/>
        </w:rPr>
        <w:t>同价</w:t>
      </w:r>
      <w:r>
        <w:rPr>
          <w:rFonts w:hint="eastAsia" w:ascii="宋体" w:hAnsi="宋体" w:cs="宋体"/>
          <w:color w:val="auto"/>
          <w:sz w:val="21"/>
          <w:szCs w:val="21"/>
          <w:highlight w:val="none"/>
        </w:rPr>
        <w:t>格</w:t>
      </w:r>
      <w:r>
        <w:rPr>
          <w:rFonts w:hint="eastAsia" w:ascii="宋体" w:hAnsi="宋体" w:cs="宋体"/>
          <w:color w:val="auto"/>
          <w:spacing w:val="-53"/>
          <w:sz w:val="21"/>
          <w:szCs w:val="21"/>
          <w:highlight w:val="none"/>
        </w:rPr>
        <w:t xml:space="preserve"> </w:t>
      </w:r>
      <w:r>
        <w:rPr>
          <w:rFonts w:hint="eastAsia" w:ascii="宋体" w:hAnsi="宋体" w:cs="宋体"/>
          <w:color w:val="auto"/>
          <w:sz w:val="21"/>
          <w:szCs w:val="21"/>
          <w:highlight w:val="none"/>
        </w:rPr>
        <w:t>5</w:t>
      </w:r>
      <w:r>
        <w:rPr>
          <w:rFonts w:hint="eastAsia" w:ascii="宋体" w:hAnsi="宋体" w:cs="宋体"/>
          <w:color w:val="auto"/>
          <w:spacing w:val="-1"/>
          <w:sz w:val="21"/>
          <w:szCs w:val="21"/>
          <w:highlight w:val="none"/>
        </w:rPr>
        <w:t>%</w:t>
      </w:r>
      <w:r>
        <w:rPr>
          <w:rFonts w:hint="eastAsia" w:ascii="宋体" w:hAnsi="宋体" w:cs="宋体"/>
          <w:color w:val="auto"/>
          <w:spacing w:val="-3"/>
          <w:sz w:val="21"/>
          <w:szCs w:val="21"/>
          <w:highlight w:val="none"/>
        </w:rPr>
        <w:t>的</w:t>
      </w:r>
      <w:r>
        <w:rPr>
          <w:rFonts w:hint="eastAsia" w:ascii="宋体" w:hAnsi="宋体" w:cs="宋体"/>
          <w:color w:val="auto"/>
          <w:sz w:val="21"/>
          <w:szCs w:val="21"/>
          <w:highlight w:val="none"/>
        </w:rPr>
        <w:t>合同</w:t>
      </w:r>
      <w:r>
        <w:rPr>
          <w:rFonts w:hint="eastAsia" w:ascii="宋体" w:hAnsi="宋体" w:cs="宋体"/>
          <w:color w:val="auto"/>
          <w:spacing w:val="-3"/>
          <w:sz w:val="21"/>
          <w:szCs w:val="21"/>
          <w:highlight w:val="none"/>
        </w:rPr>
        <w:t>结</w:t>
      </w:r>
      <w:r>
        <w:rPr>
          <w:rFonts w:hint="eastAsia" w:ascii="宋体" w:hAnsi="宋体" w:cs="宋体"/>
          <w:color w:val="auto"/>
          <w:sz w:val="21"/>
          <w:szCs w:val="21"/>
          <w:highlight w:val="none"/>
        </w:rPr>
        <w:t>清</w:t>
      </w:r>
      <w:r>
        <w:rPr>
          <w:rFonts w:hint="eastAsia" w:ascii="宋体" w:hAnsi="宋体" w:cs="宋体"/>
          <w:color w:val="auto"/>
          <w:spacing w:val="-3"/>
          <w:sz w:val="21"/>
          <w:szCs w:val="21"/>
          <w:highlight w:val="none"/>
        </w:rPr>
        <w:t>款</w:t>
      </w:r>
      <w:r>
        <w:rPr>
          <w:rFonts w:hint="eastAsia" w:ascii="宋体" w:hAnsi="宋体" w:cs="宋体"/>
          <w:color w:val="auto"/>
          <w:sz w:val="21"/>
          <w:szCs w:val="21"/>
          <w:highlight w:val="none"/>
        </w:rPr>
        <w:t>保</w:t>
      </w:r>
      <w:r>
        <w:rPr>
          <w:rFonts w:hint="eastAsia" w:ascii="宋体" w:hAnsi="宋体" w:cs="宋体"/>
          <w:color w:val="auto"/>
          <w:spacing w:val="-3"/>
          <w:sz w:val="21"/>
          <w:szCs w:val="21"/>
          <w:highlight w:val="none"/>
        </w:rPr>
        <w:t>函</w:t>
      </w:r>
      <w:r>
        <w:rPr>
          <w:rFonts w:hint="eastAsia" w:ascii="宋体" w:hAnsi="宋体" w:cs="宋体"/>
          <w:color w:val="auto"/>
          <w:sz w:val="21"/>
          <w:szCs w:val="21"/>
          <w:highlight w:val="none"/>
        </w:rPr>
        <w:t>的</w:t>
      </w:r>
      <w:r>
        <w:rPr>
          <w:rFonts w:hint="eastAsia" w:ascii="宋体" w:hAnsi="宋体" w:cs="宋体"/>
          <w:color w:val="auto"/>
          <w:spacing w:val="-3"/>
          <w:sz w:val="21"/>
          <w:szCs w:val="21"/>
          <w:highlight w:val="none"/>
        </w:rPr>
        <w:t>前</w:t>
      </w:r>
      <w:r>
        <w:rPr>
          <w:rFonts w:hint="eastAsia" w:ascii="宋体" w:hAnsi="宋体" w:cs="宋体"/>
          <w:color w:val="auto"/>
          <w:sz w:val="21"/>
          <w:szCs w:val="21"/>
          <w:highlight w:val="none"/>
        </w:rPr>
        <w:t>提下</w:t>
      </w:r>
      <w:r>
        <w:rPr>
          <w:rFonts w:hint="eastAsia" w:ascii="宋体" w:hAnsi="宋体" w:cs="宋体"/>
          <w:color w:val="auto"/>
          <w:spacing w:val="-97"/>
          <w:sz w:val="21"/>
          <w:szCs w:val="21"/>
          <w:highlight w:val="none"/>
        </w:rPr>
        <w:t>，</w:t>
      </w:r>
      <w:r>
        <w:rPr>
          <w:rFonts w:hint="eastAsia" w:ascii="宋体" w:hAnsi="宋体" w:cs="宋体"/>
          <w:color w:val="auto"/>
          <w:sz w:val="21"/>
          <w:szCs w:val="21"/>
          <w:highlight w:val="none"/>
        </w:rPr>
        <w:t>要求</w:t>
      </w:r>
      <w:r>
        <w:rPr>
          <w:rFonts w:hint="eastAsia" w:ascii="宋体" w:hAnsi="宋体" w:cs="宋体"/>
          <w:color w:val="auto"/>
          <w:spacing w:val="-3"/>
          <w:sz w:val="21"/>
          <w:szCs w:val="21"/>
          <w:highlight w:val="none"/>
        </w:rPr>
        <w:t>买</w:t>
      </w:r>
      <w:r>
        <w:rPr>
          <w:rFonts w:hint="eastAsia" w:ascii="宋体" w:hAnsi="宋体" w:cs="宋体"/>
          <w:color w:val="auto"/>
          <w:sz w:val="21"/>
          <w:szCs w:val="21"/>
          <w:highlight w:val="none"/>
        </w:rPr>
        <w:t>方</w:t>
      </w:r>
      <w:r>
        <w:rPr>
          <w:rFonts w:hint="eastAsia" w:ascii="宋体" w:hAnsi="宋体" w:cs="宋体"/>
          <w:color w:val="auto"/>
          <w:spacing w:val="-3"/>
          <w:sz w:val="21"/>
          <w:szCs w:val="21"/>
          <w:highlight w:val="none"/>
        </w:rPr>
        <w:t>支付</w:t>
      </w:r>
      <w:r>
        <w:rPr>
          <w:rFonts w:hint="eastAsia" w:ascii="宋体" w:hAnsi="宋体" w:cs="宋体"/>
          <w:color w:val="auto"/>
          <w:sz w:val="21"/>
          <w:szCs w:val="21"/>
          <w:highlight w:val="none"/>
        </w:rPr>
        <w:t>合同结清款，买方不得拒绝。</w:t>
      </w:r>
    </w:p>
    <w:p w14:paraId="4ED607C2">
      <w:pPr>
        <w:pStyle w:val="7"/>
        <w:spacing w:before="0" w:after="0" w:line="400" w:lineRule="exact"/>
        <w:rPr>
          <w:rFonts w:hint="eastAsia" w:ascii="宋体" w:hAnsi="宋体" w:eastAsia="宋体" w:cs="宋体"/>
          <w:color w:val="auto"/>
          <w:sz w:val="21"/>
          <w:szCs w:val="21"/>
          <w:highlight w:val="none"/>
        </w:rPr>
      </w:pPr>
      <w:bookmarkStart w:id="263" w:name="_bookmark117"/>
      <w:bookmarkEnd w:id="263"/>
      <w:bookmarkStart w:id="264" w:name="_Toc10988"/>
      <w:r>
        <w:rPr>
          <w:rFonts w:hint="eastAsia" w:ascii="宋体" w:hAnsi="宋体" w:eastAsia="宋体" w:cs="宋体"/>
          <w:color w:val="auto"/>
          <w:sz w:val="21"/>
          <w:szCs w:val="21"/>
          <w:highlight w:val="none"/>
        </w:rPr>
        <w:t>3.3 买方扣款的权利</w:t>
      </w:r>
      <w:bookmarkEnd w:id="264"/>
    </w:p>
    <w:p w14:paraId="03F48807">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当卖方应向买方支付合同项下的违约金或赔偿金时，买方有权从上述任何一笔应付款中予 以直接扣除和（或）兑付履约保证金。</w:t>
      </w:r>
    </w:p>
    <w:p w14:paraId="57133342">
      <w:pPr>
        <w:pStyle w:val="6"/>
        <w:spacing w:before="0" w:after="0" w:line="400" w:lineRule="exact"/>
        <w:rPr>
          <w:rFonts w:hint="eastAsia" w:ascii="宋体" w:hAnsi="宋体" w:cs="宋体"/>
          <w:color w:val="auto"/>
          <w:sz w:val="21"/>
          <w:szCs w:val="21"/>
          <w:highlight w:val="none"/>
        </w:rPr>
      </w:pPr>
      <w:bookmarkStart w:id="265" w:name="_bookmark118"/>
      <w:bookmarkEnd w:id="265"/>
      <w:bookmarkStart w:id="266" w:name="_Toc19398"/>
      <w:r>
        <w:rPr>
          <w:rFonts w:hint="eastAsia" w:ascii="宋体" w:hAnsi="宋体" w:cs="宋体"/>
          <w:color w:val="auto"/>
          <w:sz w:val="21"/>
          <w:szCs w:val="21"/>
          <w:highlight w:val="none"/>
        </w:rPr>
        <w:t>4.监造及交货前检验</w:t>
      </w:r>
      <w:bookmarkEnd w:id="266"/>
    </w:p>
    <w:p w14:paraId="16A24618">
      <w:pPr>
        <w:pStyle w:val="7"/>
        <w:spacing w:before="0" w:after="0" w:line="400" w:lineRule="exact"/>
        <w:rPr>
          <w:rFonts w:hint="eastAsia" w:ascii="宋体" w:hAnsi="宋体" w:eastAsia="宋体" w:cs="宋体"/>
          <w:color w:val="auto"/>
          <w:sz w:val="21"/>
          <w:szCs w:val="21"/>
          <w:highlight w:val="none"/>
        </w:rPr>
      </w:pPr>
      <w:bookmarkStart w:id="267" w:name="_bookmark119"/>
      <w:bookmarkEnd w:id="267"/>
      <w:bookmarkStart w:id="268" w:name="_Toc23495"/>
      <w:r>
        <w:rPr>
          <w:rFonts w:hint="eastAsia" w:ascii="宋体" w:hAnsi="宋体" w:eastAsia="宋体" w:cs="宋体"/>
          <w:color w:val="auto"/>
          <w:sz w:val="21"/>
          <w:szCs w:val="21"/>
          <w:highlight w:val="none"/>
        </w:rPr>
        <w:t>4.1 监造</w:t>
      </w:r>
      <w:bookmarkEnd w:id="268"/>
    </w:p>
    <w:p w14:paraId="6A67B566">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专用合同条款约定买方对合同设备进行监造的，双方应按本款及专用合同条款约定履行。</w:t>
      </w:r>
    </w:p>
    <w:p w14:paraId="27A6EA1D">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4.1.1 在合同设备的制造过程中，买方可派出监造人员，对合同设备的生产制造进行监造，监督合同设备制造、检验等情况。监造的范围、方式等应符合专用合同条款和（或）供货要求等合同文件的约定。</w:t>
      </w:r>
    </w:p>
    <w:p w14:paraId="49702F21">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4.1.2 </w:t>
      </w:r>
      <w:r>
        <w:rPr>
          <w:rFonts w:hint="eastAsia" w:ascii="宋体" w:hAnsi="宋体" w:cs="宋体"/>
          <w:color w:val="auto"/>
          <w:spacing w:val="-4"/>
          <w:sz w:val="21"/>
          <w:szCs w:val="21"/>
          <w:highlight w:val="none"/>
        </w:rPr>
        <w:t>除专用合同条款和（或）供货要求等合同文件另有约定外，买方监造人员可到合同设</w:t>
      </w:r>
      <w:r>
        <w:rPr>
          <w:rFonts w:hint="eastAsia" w:ascii="宋体" w:hAnsi="宋体" w:cs="宋体"/>
          <w:color w:val="auto"/>
          <w:spacing w:val="-1"/>
          <w:sz w:val="21"/>
          <w:szCs w:val="21"/>
          <w:highlight w:val="none"/>
        </w:rPr>
        <w:t>备及其关键部件的生产制造现场进行监造，卖方应予配合。卖方应免费为买方监造人员提供工作条件及便利，包括但不限于必要的办公场所、技术资料、检测工具及出入许可等。除专用合</w:t>
      </w:r>
      <w:r>
        <w:rPr>
          <w:rFonts w:hint="eastAsia" w:ascii="宋体" w:hAnsi="宋体" w:cs="宋体"/>
          <w:color w:val="auto"/>
          <w:sz w:val="21"/>
          <w:szCs w:val="21"/>
          <w:highlight w:val="none"/>
        </w:rPr>
        <w:t>同条款另有约定外，买方监造人员的交通、食宿费用由买方承担。</w:t>
      </w:r>
    </w:p>
    <w:p w14:paraId="6FCCE199">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4.1.3 </w:t>
      </w:r>
      <w:r>
        <w:rPr>
          <w:rFonts w:hint="eastAsia" w:ascii="宋体" w:hAnsi="宋体" w:cs="宋体"/>
          <w:color w:val="auto"/>
          <w:spacing w:val="-4"/>
          <w:sz w:val="21"/>
          <w:szCs w:val="21"/>
          <w:highlight w:val="none"/>
        </w:rPr>
        <w:t>卖方制订生产制造合同设备的进度计划时，应将买方监造纳入计划安排，并提前通知</w:t>
      </w:r>
      <w:r>
        <w:rPr>
          <w:rFonts w:hint="eastAsia" w:ascii="宋体" w:hAnsi="宋体" w:cs="宋体"/>
          <w:color w:val="auto"/>
          <w:spacing w:val="-1"/>
          <w:sz w:val="21"/>
          <w:szCs w:val="21"/>
          <w:highlight w:val="none"/>
        </w:rPr>
        <w:t>买方；买方进行监造不应影响合同设备的正常生产。除专用合同条款和（或）供货要求等合同</w:t>
      </w:r>
      <w:r>
        <w:rPr>
          <w:rFonts w:hint="eastAsia" w:ascii="宋体" w:hAnsi="宋体" w:cs="宋体"/>
          <w:color w:val="auto"/>
          <w:sz w:val="21"/>
          <w:szCs w:val="21"/>
          <w:highlight w:val="none"/>
        </w:rPr>
        <w:t>文件另有约定外，卖方应提前 7</w:t>
      </w:r>
      <w:r>
        <w:rPr>
          <w:rFonts w:hint="eastAsia" w:ascii="宋体" w:hAnsi="宋体" w:cs="宋体"/>
          <w:color w:val="auto"/>
          <w:spacing w:val="-29"/>
          <w:sz w:val="21"/>
          <w:szCs w:val="21"/>
          <w:highlight w:val="none"/>
        </w:rPr>
        <w:t xml:space="preserve"> </w:t>
      </w:r>
      <w:r>
        <w:rPr>
          <w:rFonts w:hint="eastAsia" w:ascii="宋体" w:hAnsi="宋体" w:cs="宋体"/>
          <w:color w:val="auto"/>
          <w:sz w:val="21"/>
          <w:szCs w:val="21"/>
          <w:highlight w:val="none"/>
        </w:rPr>
        <w:t>日将需要买方监造人员现场监造事项通知买方；如买方监造人员未</w:t>
      </w:r>
      <w:r>
        <w:rPr>
          <w:rFonts w:hint="eastAsia" w:ascii="宋体" w:hAnsi="宋体" w:cs="宋体"/>
          <w:color w:val="auto"/>
          <w:spacing w:val="-3"/>
          <w:sz w:val="21"/>
          <w:szCs w:val="21"/>
          <w:highlight w:val="none"/>
        </w:rPr>
        <w:t>按</w:t>
      </w:r>
      <w:r>
        <w:rPr>
          <w:rFonts w:hint="eastAsia" w:ascii="宋体" w:hAnsi="宋体" w:cs="宋体"/>
          <w:color w:val="auto"/>
          <w:sz w:val="21"/>
          <w:szCs w:val="21"/>
          <w:highlight w:val="none"/>
        </w:rPr>
        <w:t>通</w:t>
      </w:r>
      <w:r>
        <w:rPr>
          <w:rFonts w:hint="eastAsia" w:ascii="宋体" w:hAnsi="宋体" w:cs="宋体"/>
          <w:color w:val="auto"/>
          <w:spacing w:val="-3"/>
          <w:sz w:val="21"/>
          <w:szCs w:val="21"/>
          <w:highlight w:val="none"/>
        </w:rPr>
        <w:t>知</w:t>
      </w:r>
      <w:r>
        <w:rPr>
          <w:rFonts w:hint="eastAsia" w:ascii="宋体" w:hAnsi="宋体" w:cs="宋体"/>
          <w:color w:val="auto"/>
          <w:sz w:val="21"/>
          <w:szCs w:val="21"/>
          <w:highlight w:val="none"/>
        </w:rPr>
        <w:t>出席</w:t>
      </w:r>
      <w:r>
        <w:rPr>
          <w:rFonts w:hint="eastAsia" w:ascii="宋体" w:hAnsi="宋体" w:cs="宋体"/>
          <w:color w:val="auto"/>
          <w:spacing w:val="-94"/>
          <w:sz w:val="21"/>
          <w:szCs w:val="21"/>
          <w:highlight w:val="none"/>
        </w:rPr>
        <w:t>，</w:t>
      </w:r>
      <w:r>
        <w:rPr>
          <w:rFonts w:hint="eastAsia" w:ascii="宋体" w:hAnsi="宋体" w:cs="宋体"/>
          <w:color w:val="auto"/>
          <w:sz w:val="21"/>
          <w:szCs w:val="21"/>
          <w:highlight w:val="none"/>
        </w:rPr>
        <w:t>不</w:t>
      </w:r>
      <w:r>
        <w:rPr>
          <w:rFonts w:hint="eastAsia" w:ascii="宋体" w:hAnsi="宋体" w:cs="宋体"/>
          <w:color w:val="auto"/>
          <w:spacing w:val="-3"/>
          <w:sz w:val="21"/>
          <w:szCs w:val="21"/>
          <w:highlight w:val="none"/>
        </w:rPr>
        <w:t>影</w:t>
      </w:r>
      <w:r>
        <w:rPr>
          <w:rFonts w:hint="eastAsia" w:ascii="宋体" w:hAnsi="宋体" w:cs="宋体"/>
          <w:color w:val="auto"/>
          <w:sz w:val="21"/>
          <w:szCs w:val="21"/>
          <w:highlight w:val="none"/>
        </w:rPr>
        <w:t>响</w:t>
      </w:r>
      <w:r>
        <w:rPr>
          <w:rFonts w:hint="eastAsia" w:ascii="宋体" w:hAnsi="宋体" w:cs="宋体"/>
          <w:color w:val="auto"/>
          <w:spacing w:val="-3"/>
          <w:sz w:val="21"/>
          <w:szCs w:val="21"/>
          <w:highlight w:val="none"/>
        </w:rPr>
        <w:t>合</w:t>
      </w:r>
      <w:r>
        <w:rPr>
          <w:rFonts w:hint="eastAsia" w:ascii="宋体" w:hAnsi="宋体" w:cs="宋体"/>
          <w:color w:val="auto"/>
          <w:sz w:val="21"/>
          <w:szCs w:val="21"/>
          <w:highlight w:val="none"/>
        </w:rPr>
        <w:t>同设</w:t>
      </w:r>
      <w:r>
        <w:rPr>
          <w:rFonts w:hint="eastAsia" w:ascii="宋体" w:hAnsi="宋体" w:cs="宋体"/>
          <w:color w:val="auto"/>
          <w:spacing w:val="-3"/>
          <w:sz w:val="21"/>
          <w:szCs w:val="21"/>
          <w:highlight w:val="none"/>
        </w:rPr>
        <w:t>备</w:t>
      </w:r>
      <w:r>
        <w:rPr>
          <w:rFonts w:hint="eastAsia" w:ascii="宋体" w:hAnsi="宋体" w:cs="宋体"/>
          <w:color w:val="auto"/>
          <w:sz w:val="21"/>
          <w:szCs w:val="21"/>
          <w:highlight w:val="none"/>
        </w:rPr>
        <w:t>及</w:t>
      </w:r>
      <w:r>
        <w:rPr>
          <w:rFonts w:hint="eastAsia" w:ascii="宋体" w:hAnsi="宋体" w:cs="宋体"/>
          <w:color w:val="auto"/>
          <w:spacing w:val="-3"/>
          <w:sz w:val="21"/>
          <w:szCs w:val="21"/>
          <w:highlight w:val="none"/>
        </w:rPr>
        <w:t>其</w:t>
      </w:r>
      <w:r>
        <w:rPr>
          <w:rFonts w:hint="eastAsia" w:ascii="宋体" w:hAnsi="宋体" w:cs="宋体"/>
          <w:color w:val="auto"/>
          <w:sz w:val="21"/>
          <w:szCs w:val="21"/>
          <w:highlight w:val="none"/>
        </w:rPr>
        <w:t>关</w:t>
      </w:r>
      <w:r>
        <w:rPr>
          <w:rFonts w:hint="eastAsia" w:ascii="宋体" w:hAnsi="宋体" w:cs="宋体"/>
          <w:color w:val="auto"/>
          <w:spacing w:val="-3"/>
          <w:sz w:val="21"/>
          <w:szCs w:val="21"/>
          <w:highlight w:val="none"/>
        </w:rPr>
        <w:t>键</w:t>
      </w:r>
      <w:r>
        <w:rPr>
          <w:rFonts w:hint="eastAsia" w:ascii="宋体" w:hAnsi="宋体" w:cs="宋体"/>
          <w:color w:val="auto"/>
          <w:sz w:val="21"/>
          <w:szCs w:val="21"/>
          <w:highlight w:val="none"/>
        </w:rPr>
        <w:t>部</w:t>
      </w:r>
      <w:r>
        <w:rPr>
          <w:rFonts w:hint="eastAsia" w:ascii="宋体" w:hAnsi="宋体" w:cs="宋体"/>
          <w:color w:val="auto"/>
          <w:spacing w:val="-3"/>
          <w:sz w:val="21"/>
          <w:szCs w:val="21"/>
          <w:highlight w:val="none"/>
        </w:rPr>
        <w:t>件</w:t>
      </w:r>
      <w:r>
        <w:rPr>
          <w:rFonts w:hint="eastAsia" w:ascii="宋体" w:hAnsi="宋体" w:cs="宋体"/>
          <w:color w:val="auto"/>
          <w:sz w:val="21"/>
          <w:szCs w:val="21"/>
          <w:highlight w:val="none"/>
        </w:rPr>
        <w:t>的</w:t>
      </w:r>
      <w:r>
        <w:rPr>
          <w:rFonts w:hint="eastAsia" w:ascii="宋体" w:hAnsi="宋体" w:cs="宋体"/>
          <w:color w:val="auto"/>
          <w:spacing w:val="-3"/>
          <w:sz w:val="21"/>
          <w:szCs w:val="21"/>
          <w:highlight w:val="none"/>
        </w:rPr>
        <w:t>制</w:t>
      </w:r>
      <w:r>
        <w:rPr>
          <w:rFonts w:hint="eastAsia" w:ascii="宋体" w:hAnsi="宋体" w:cs="宋体"/>
          <w:color w:val="auto"/>
          <w:sz w:val="21"/>
          <w:szCs w:val="21"/>
          <w:highlight w:val="none"/>
        </w:rPr>
        <w:t>造或</w:t>
      </w:r>
      <w:r>
        <w:rPr>
          <w:rFonts w:hint="eastAsia" w:ascii="宋体" w:hAnsi="宋体" w:cs="宋体"/>
          <w:color w:val="auto"/>
          <w:spacing w:val="-3"/>
          <w:sz w:val="21"/>
          <w:szCs w:val="21"/>
          <w:highlight w:val="none"/>
        </w:rPr>
        <w:t>检</w:t>
      </w:r>
      <w:r>
        <w:rPr>
          <w:rFonts w:hint="eastAsia" w:ascii="宋体" w:hAnsi="宋体" w:cs="宋体"/>
          <w:color w:val="auto"/>
          <w:sz w:val="21"/>
          <w:szCs w:val="21"/>
          <w:highlight w:val="none"/>
        </w:rPr>
        <w:t>验</w:t>
      </w:r>
      <w:r>
        <w:rPr>
          <w:rFonts w:hint="eastAsia" w:ascii="宋体" w:hAnsi="宋体" w:cs="宋体"/>
          <w:color w:val="auto"/>
          <w:spacing w:val="-92"/>
          <w:sz w:val="21"/>
          <w:szCs w:val="21"/>
          <w:highlight w:val="none"/>
        </w:rPr>
        <w:t>，</w:t>
      </w:r>
      <w:r>
        <w:rPr>
          <w:rFonts w:hint="eastAsia" w:ascii="宋体" w:hAnsi="宋体" w:cs="宋体"/>
          <w:color w:val="auto"/>
          <w:spacing w:val="-3"/>
          <w:sz w:val="21"/>
          <w:szCs w:val="21"/>
          <w:highlight w:val="none"/>
        </w:rPr>
        <w:t>但</w:t>
      </w:r>
      <w:r>
        <w:rPr>
          <w:rFonts w:hint="eastAsia" w:ascii="宋体" w:hAnsi="宋体" w:cs="宋体"/>
          <w:color w:val="auto"/>
          <w:sz w:val="21"/>
          <w:szCs w:val="21"/>
          <w:highlight w:val="none"/>
        </w:rPr>
        <w:t>买</w:t>
      </w:r>
      <w:r>
        <w:rPr>
          <w:rFonts w:hint="eastAsia" w:ascii="宋体" w:hAnsi="宋体" w:cs="宋体"/>
          <w:color w:val="auto"/>
          <w:spacing w:val="-3"/>
          <w:sz w:val="21"/>
          <w:szCs w:val="21"/>
          <w:highlight w:val="none"/>
        </w:rPr>
        <w:t>方</w:t>
      </w:r>
      <w:r>
        <w:rPr>
          <w:rFonts w:hint="eastAsia" w:ascii="宋体" w:hAnsi="宋体" w:cs="宋体"/>
          <w:color w:val="auto"/>
          <w:sz w:val="21"/>
          <w:szCs w:val="21"/>
          <w:highlight w:val="none"/>
        </w:rPr>
        <w:t>监</w:t>
      </w:r>
      <w:r>
        <w:rPr>
          <w:rFonts w:hint="eastAsia" w:ascii="宋体" w:hAnsi="宋体" w:cs="宋体"/>
          <w:color w:val="auto"/>
          <w:spacing w:val="-3"/>
          <w:sz w:val="21"/>
          <w:szCs w:val="21"/>
          <w:highlight w:val="none"/>
        </w:rPr>
        <w:t>造</w:t>
      </w:r>
      <w:r>
        <w:rPr>
          <w:rFonts w:hint="eastAsia" w:ascii="宋体" w:hAnsi="宋体" w:cs="宋体"/>
          <w:color w:val="auto"/>
          <w:sz w:val="21"/>
          <w:szCs w:val="21"/>
          <w:highlight w:val="none"/>
        </w:rPr>
        <w:t>人</w:t>
      </w:r>
      <w:r>
        <w:rPr>
          <w:rFonts w:hint="eastAsia" w:ascii="宋体" w:hAnsi="宋体" w:cs="宋体"/>
          <w:color w:val="auto"/>
          <w:spacing w:val="-3"/>
          <w:sz w:val="21"/>
          <w:szCs w:val="21"/>
          <w:highlight w:val="none"/>
        </w:rPr>
        <w:t>员</w:t>
      </w:r>
      <w:r>
        <w:rPr>
          <w:rFonts w:hint="eastAsia" w:ascii="宋体" w:hAnsi="宋体" w:cs="宋体"/>
          <w:color w:val="auto"/>
          <w:sz w:val="21"/>
          <w:szCs w:val="21"/>
          <w:highlight w:val="none"/>
        </w:rPr>
        <w:t>有权</w:t>
      </w:r>
      <w:r>
        <w:rPr>
          <w:rFonts w:hint="eastAsia" w:ascii="宋体" w:hAnsi="宋体" w:cs="宋体"/>
          <w:color w:val="auto"/>
          <w:spacing w:val="-3"/>
          <w:sz w:val="21"/>
          <w:szCs w:val="21"/>
          <w:highlight w:val="none"/>
        </w:rPr>
        <w:t>事</w:t>
      </w:r>
      <w:r>
        <w:rPr>
          <w:rFonts w:hint="eastAsia" w:ascii="宋体" w:hAnsi="宋体" w:cs="宋体"/>
          <w:color w:val="auto"/>
          <w:sz w:val="21"/>
          <w:szCs w:val="21"/>
          <w:highlight w:val="none"/>
        </w:rPr>
        <w:t>后</w:t>
      </w:r>
      <w:r>
        <w:rPr>
          <w:rFonts w:hint="eastAsia" w:ascii="宋体" w:hAnsi="宋体" w:cs="宋体"/>
          <w:color w:val="auto"/>
          <w:spacing w:val="-3"/>
          <w:sz w:val="21"/>
          <w:szCs w:val="21"/>
          <w:highlight w:val="none"/>
        </w:rPr>
        <w:t>了解</w:t>
      </w:r>
      <w:r>
        <w:rPr>
          <w:rFonts w:hint="eastAsia" w:ascii="宋体" w:hAnsi="宋体" w:cs="宋体"/>
          <w:color w:val="auto"/>
          <w:sz w:val="21"/>
          <w:szCs w:val="21"/>
          <w:highlight w:val="none"/>
        </w:rPr>
        <w:t>、查阅、复制相关制造或检验记录。</w:t>
      </w:r>
    </w:p>
    <w:p w14:paraId="21F797E8">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4.1.4 </w:t>
      </w:r>
      <w:r>
        <w:rPr>
          <w:rFonts w:hint="eastAsia" w:ascii="宋体" w:hAnsi="宋体" w:cs="宋体"/>
          <w:color w:val="auto"/>
          <w:spacing w:val="-4"/>
          <w:sz w:val="21"/>
          <w:szCs w:val="21"/>
          <w:highlight w:val="none"/>
        </w:rPr>
        <w:t>买方监造人员在监造中如发现合同设备及其关键部件不符合合同约定的标准，则有权</w:t>
      </w:r>
      <w:r>
        <w:rPr>
          <w:rFonts w:hint="eastAsia" w:ascii="宋体" w:hAnsi="宋体" w:cs="宋体"/>
          <w:color w:val="auto"/>
          <w:spacing w:val="-1"/>
          <w:sz w:val="21"/>
          <w:szCs w:val="21"/>
          <w:highlight w:val="none"/>
        </w:rPr>
        <w:t>提出意见和建议。卖方应采取必要措施消除合同设备的不符，由此增加的费用和（或）造成的</w:t>
      </w:r>
      <w:r>
        <w:rPr>
          <w:rFonts w:hint="eastAsia" w:ascii="宋体" w:hAnsi="宋体" w:cs="宋体"/>
          <w:color w:val="auto"/>
          <w:sz w:val="21"/>
          <w:szCs w:val="21"/>
          <w:highlight w:val="none"/>
        </w:rPr>
        <w:t>延误由卖方负责。</w:t>
      </w:r>
    </w:p>
    <w:p w14:paraId="328B535C">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4.1.5 </w:t>
      </w:r>
      <w:r>
        <w:rPr>
          <w:rFonts w:hint="eastAsia" w:ascii="宋体" w:hAnsi="宋体" w:cs="宋体"/>
          <w:color w:val="auto"/>
          <w:spacing w:val="-4"/>
          <w:sz w:val="21"/>
          <w:szCs w:val="21"/>
          <w:highlight w:val="none"/>
        </w:rPr>
        <w:t>买方监造人员对合同设备的监造，不视为对合同设备质量的确认，不影响卖方交货后</w:t>
      </w:r>
      <w:r>
        <w:rPr>
          <w:rFonts w:hint="eastAsia" w:ascii="宋体" w:hAnsi="宋体" w:cs="宋体"/>
          <w:color w:val="auto"/>
          <w:spacing w:val="-1"/>
          <w:sz w:val="21"/>
          <w:szCs w:val="21"/>
          <w:highlight w:val="none"/>
        </w:rPr>
        <w:t>买方依照合同约定对合同设备提出质量异议和（或）退货的权利，也不免除卖方依照合同约定</w:t>
      </w:r>
      <w:r>
        <w:rPr>
          <w:rFonts w:hint="eastAsia" w:ascii="宋体" w:hAnsi="宋体" w:cs="宋体"/>
          <w:color w:val="auto"/>
          <w:sz w:val="21"/>
          <w:szCs w:val="21"/>
          <w:highlight w:val="none"/>
        </w:rPr>
        <w:t>对合同设备所应承担的任何义务或责任。</w:t>
      </w:r>
    </w:p>
    <w:p w14:paraId="2609AD1E">
      <w:pPr>
        <w:pStyle w:val="7"/>
        <w:spacing w:before="0" w:after="0" w:line="400" w:lineRule="exact"/>
        <w:rPr>
          <w:rFonts w:hint="eastAsia" w:ascii="宋体" w:hAnsi="宋体" w:eastAsia="宋体" w:cs="宋体"/>
          <w:color w:val="auto"/>
          <w:sz w:val="21"/>
          <w:szCs w:val="21"/>
          <w:highlight w:val="none"/>
        </w:rPr>
      </w:pPr>
      <w:bookmarkStart w:id="269" w:name="_bookmark120"/>
      <w:bookmarkEnd w:id="269"/>
      <w:bookmarkStart w:id="270" w:name="_Toc26506"/>
      <w:r>
        <w:rPr>
          <w:rFonts w:hint="eastAsia" w:ascii="宋体" w:hAnsi="宋体" w:eastAsia="宋体" w:cs="宋体"/>
          <w:color w:val="auto"/>
          <w:sz w:val="21"/>
          <w:szCs w:val="21"/>
          <w:highlight w:val="none"/>
        </w:rPr>
        <w:t>4.2 交货前检验</w:t>
      </w:r>
      <w:bookmarkEnd w:id="270"/>
    </w:p>
    <w:p w14:paraId="5C431051">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专用合同条款约定买方参与交货前检验的，双方应按本款及专用合同条款约定履行。</w:t>
      </w:r>
    </w:p>
    <w:p w14:paraId="13D5EB04">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4.2.1 </w:t>
      </w:r>
      <w:r>
        <w:rPr>
          <w:rFonts w:hint="eastAsia" w:ascii="宋体" w:hAnsi="宋体" w:cs="宋体"/>
          <w:color w:val="auto"/>
          <w:spacing w:val="-4"/>
          <w:sz w:val="21"/>
          <w:szCs w:val="21"/>
          <w:highlight w:val="none"/>
        </w:rPr>
        <w:t>合同设备交货前，卖方应会同买方代表根据合同约定对合同设备进行交货前检验并出</w:t>
      </w:r>
      <w:r>
        <w:rPr>
          <w:rFonts w:hint="eastAsia" w:ascii="宋体" w:hAnsi="宋体" w:cs="宋体"/>
          <w:color w:val="auto"/>
          <w:spacing w:val="-1"/>
          <w:sz w:val="21"/>
          <w:szCs w:val="21"/>
          <w:highlight w:val="none"/>
        </w:rPr>
        <w:t>具交货前检验记录，有关费用由卖方承担。卖方应免费为买方代表提供工作条件及便利，包括但不限于必要的办公场所、技术资料、检测工具及出入许可等。除专用合同条款另有约定外，</w:t>
      </w:r>
      <w:r>
        <w:rPr>
          <w:rFonts w:hint="eastAsia" w:ascii="宋体" w:hAnsi="宋体" w:cs="宋体"/>
          <w:color w:val="auto"/>
          <w:sz w:val="21"/>
          <w:szCs w:val="21"/>
          <w:highlight w:val="none"/>
        </w:rPr>
        <w:t>买方代表的交通、食宿费用由买方承担。</w:t>
      </w:r>
    </w:p>
    <w:p w14:paraId="10A5A809">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4.2.2 </w:t>
      </w:r>
      <w:r>
        <w:rPr>
          <w:rFonts w:hint="eastAsia" w:ascii="宋体" w:hAnsi="宋体" w:cs="宋体"/>
          <w:color w:val="auto"/>
          <w:spacing w:val="-4"/>
          <w:sz w:val="21"/>
          <w:szCs w:val="21"/>
          <w:highlight w:val="none"/>
        </w:rPr>
        <w:t xml:space="preserve">除专用合同条款和（或）供货要求等合同文件另有约定外，卖方应提前 </w:t>
      </w:r>
      <w:r>
        <w:rPr>
          <w:rFonts w:hint="eastAsia" w:ascii="宋体" w:hAnsi="宋体" w:cs="宋体"/>
          <w:color w:val="auto"/>
          <w:sz w:val="21"/>
          <w:szCs w:val="21"/>
          <w:highlight w:val="none"/>
        </w:rPr>
        <w:t>7 日将需要买</w:t>
      </w:r>
      <w:r>
        <w:rPr>
          <w:rFonts w:hint="eastAsia" w:ascii="宋体" w:hAnsi="宋体" w:cs="宋体"/>
          <w:color w:val="auto"/>
          <w:spacing w:val="-1"/>
          <w:sz w:val="21"/>
          <w:szCs w:val="21"/>
          <w:highlight w:val="none"/>
        </w:rPr>
        <w:t>方代表检验事项通知买方；如买方代表未按通知出席，不影响合同设备的检验。若卖方未依照合同约定提前通知买方而自行检验，则买方有权要求卖方暂停发货并重新进行检验，由此增加</w:t>
      </w:r>
      <w:r>
        <w:rPr>
          <w:rFonts w:hint="eastAsia" w:ascii="宋体" w:hAnsi="宋体" w:cs="宋体"/>
          <w:color w:val="auto"/>
          <w:sz w:val="21"/>
          <w:szCs w:val="21"/>
          <w:highlight w:val="none"/>
        </w:rPr>
        <w:t>的费用和（或）造成的延误由卖方负责。</w:t>
      </w:r>
    </w:p>
    <w:p w14:paraId="3E2C21DC">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4.2.3 </w:t>
      </w:r>
      <w:r>
        <w:rPr>
          <w:rFonts w:hint="eastAsia" w:ascii="宋体" w:hAnsi="宋体" w:cs="宋体"/>
          <w:color w:val="auto"/>
          <w:spacing w:val="-4"/>
          <w:sz w:val="21"/>
          <w:szCs w:val="21"/>
          <w:highlight w:val="none"/>
        </w:rPr>
        <w:t xml:space="preserve">买方代表在检验中如发现合同设备不符合合同约定的标准，则有权提出异议。卖方应 </w:t>
      </w:r>
      <w:r>
        <w:rPr>
          <w:rFonts w:hint="eastAsia" w:ascii="宋体" w:hAnsi="宋体" w:cs="宋体"/>
          <w:color w:val="auto"/>
          <w:sz w:val="21"/>
          <w:szCs w:val="21"/>
          <w:highlight w:val="none"/>
        </w:rPr>
        <w:t>采取必要措施消除合同设备的不符，由此增加的费用和（或）造成的延误由卖方负责。</w:t>
      </w:r>
    </w:p>
    <w:p w14:paraId="3E1BBE6D">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4.2.4 </w:t>
      </w:r>
      <w:r>
        <w:rPr>
          <w:rFonts w:hint="eastAsia" w:ascii="宋体" w:hAnsi="宋体" w:cs="宋体"/>
          <w:color w:val="auto"/>
          <w:spacing w:val="-4"/>
          <w:sz w:val="21"/>
          <w:szCs w:val="21"/>
          <w:highlight w:val="none"/>
        </w:rPr>
        <w:t>买方代表参与交货前检验及签署交货前检验记录的行为，不视为对合同设备质量的确</w:t>
      </w:r>
      <w:r>
        <w:rPr>
          <w:rFonts w:hint="eastAsia" w:ascii="宋体" w:hAnsi="宋体" w:cs="宋体"/>
          <w:color w:val="auto"/>
          <w:spacing w:val="-1"/>
          <w:sz w:val="21"/>
          <w:szCs w:val="21"/>
          <w:highlight w:val="none"/>
        </w:rPr>
        <w:t>认，不影响卖方交货后买方依照合同约定对合同设备提出质量异议和（或）退货的权利，也不</w:t>
      </w:r>
      <w:r>
        <w:rPr>
          <w:rFonts w:hint="eastAsia" w:ascii="宋体" w:hAnsi="宋体" w:cs="宋体"/>
          <w:color w:val="auto"/>
          <w:sz w:val="21"/>
          <w:szCs w:val="21"/>
          <w:highlight w:val="none"/>
        </w:rPr>
        <w:t>免除卖方依照合同约定对合同设备所应承担的任何义务或责任。</w:t>
      </w:r>
    </w:p>
    <w:p w14:paraId="49653CB4">
      <w:pPr>
        <w:pStyle w:val="6"/>
        <w:spacing w:before="0" w:after="0" w:line="400" w:lineRule="exact"/>
        <w:rPr>
          <w:rFonts w:hint="eastAsia" w:ascii="宋体" w:hAnsi="宋体" w:cs="宋体"/>
          <w:color w:val="auto"/>
          <w:sz w:val="21"/>
          <w:szCs w:val="21"/>
          <w:highlight w:val="none"/>
        </w:rPr>
      </w:pPr>
      <w:bookmarkStart w:id="271" w:name="_bookmark121"/>
      <w:bookmarkEnd w:id="271"/>
      <w:bookmarkStart w:id="272" w:name="_Toc5792"/>
      <w:r>
        <w:rPr>
          <w:rFonts w:hint="eastAsia" w:ascii="宋体" w:hAnsi="宋体" w:cs="宋体"/>
          <w:color w:val="auto"/>
          <w:sz w:val="21"/>
          <w:szCs w:val="21"/>
          <w:highlight w:val="none"/>
        </w:rPr>
        <w:t>5.包装、标记、运输和交付</w:t>
      </w:r>
      <w:bookmarkEnd w:id="272"/>
    </w:p>
    <w:p w14:paraId="4BD6AED0">
      <w:pPr>
        <w:pStyle w:val="7"/>
        <w:spacing w:before="0" w:after="0" w:line="400" w:lineRule="exact"/>
        <w:rPr>
          <w:rFonts w:hint="eastAsia" w:ascii="宋体" w:hAnsi="宋体" w:eastAsia="宋体" w:cs="宋体"/>
          <w:color w:val="auto"/>
          <w:sz w:val="21"/>
          <w:szCs w:val="21"/>
          <w:highlight w:val="none"/>
        </w:rPr>
      </w:pPr>
      <w:bookmarkStart w:id="273" w:name="_bookmark122"/>
      <w:bookmarkEnd w:id="273"/>
      <w:bookmarkStart w:id="274" w:name="_Toc16687"/>
      <w:r>
        <w:rPr>
          <w:rFonts w:hint="eastAsia" w:ascii="宋体" w:hAnsi="宋体" w:eastAsia="宋体" w:cs="宋体"/>
          <w:color w:val="auto"/>
          <w:sz w:val="21"/>
          <w:szCs w:val="21"/>
          <w:highlight w:val="none"/>
        </w:rPr>
        <w:t>5.1 包装</w:t>
      </w:r>
      <w:bookmarkEnd w:id="274"/>
    </w:p>
    <w:p w14:paraId="05FD5136">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5.1.1 卖方应对合同设备进行妥善包装，以满足合同设备运至施工场地及在施工场地保管的需要。包装应采取防潮、防晒、防锈、防腐蚀、防震动及防止其它损坏的必要保护措施，从而保护合同设备能够经受多次搬运、装卸、长途运输并适宜保管。</w:t>
      </w:r>
    </w:p>
    <w:p w14:paraId="62212A74">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5.1.2 每个独立包装箱内应附装箱清单、质量合格证、装配图、说明书、操作指南等资料。</w:t>
      </w:r>
    </w:p>
    <w:p w14:paraId="2D6699EE">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5.1.3 除专用合同条款另有约定外，买方无需将包装物退还给卖方。</w:t>
      </w:r>
    </w:p>
    <w:p w14:paraId="542C079E">
      <w:pPr>
        <w:pStyle w:val="7"/>
        <w:spacing w:before="0" w:after="0" w:line="400" w:lineRule="exact"/>
        <w:rPr>
          <w:rFonts w:hint="eastAsia" w:ascii="宋体" w:hAnsi="宋体" w:eastAsia="宋体" w:cs="宋体"/>
          <w:color w:val="auto"/>
          <w:sz w:val="21"/>
          <w:szCs w:val="21"/>
          <w:highlight w:val="none"/>
        </w:rPr>
      </w:pPr>
      <w:bookmarkStart w:id="275" w:name="_bookmark123"/>
      <w:bookmarkEnd w:id="275"/>
      <w:bookmarkStart w:id="276" w:name="_Toc19770"/>
      <w:r>
        <w:rPr>
          <w:rFonts w:hint="eastAsia" w:ascii="宋体" w:hAnsi="宋体" w:eastAsia="宋体" w:cs="宋体"/>
          <w:color w:val="auto"/>
          <w:sz w:val="21"/>
          <w:szCs w:val="21"/>
          <w:highlight w:val="none"/>
        </w:rPr>
        <w:t>5.2 标记</w:t>
      </w:r>
      <w:bookmarkEnd w:id="276"/>
    </w:p>
    <w:p w14:paraId="382D0F2B">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5.2.1 除专用合同条款另有约定外，卖方应在每一包装箱相邻的四个侧面以不可擦除的、明显的方式标记必要的装运信息和标记，以满足合同设备运输和保管的需要。</w:t>
      </w:r>
    </w:p>
    <w:p w14:paraId="33ABA523">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5.2.2 根据合同设备的特点和运输、保管的不同要求，卖方应在包装箱上清楚地标注“小心轻放”、“此端朝上，请勿倒置”、“保持干燥”等字样和其他适当标记。对于专用合同条款约定的超大超重件，卖方应在包装箱两侧标注“重心”和“起吊点”以便装卸和搬运。如果发运合同设备中含有易燃易爆物品、腐蚀物品、放射性物质等危险品，则应在包装箱上标明危险品标志。</w:t>
      </w:r>
    </w:p>
    <w:p w14:paraId="5AEAF240">
      <w:pPr>
        <w:pStyle w:val="7"/>
        <w:spacing w:before="0" w:after="0" w:line="400" w:lineRule="exact"/>
        <w:rPr>
          <w:rFonts w:hint="eastAsia" w:ascii="宋体" w:hAnsi="宋体" w:eastAsia="宋体" w:cs="宋体"/>
          <w:color w:val="auto"/>
          <w:sz w:val="21"/>
          <w:szCs w:val="21"/>
          <w:highlight w:val="none"/>
        </w:rPr>
      </w:pPr>
      <w:bookmarkStart w:id="277" w:name="_bookmark124"/>
      <w:bookmarkEnd w:id="277"/>
      <w:bookmarkStart w:id="278" w:name="_Toc11363"/>
      <w:r>
        <w:rPr>
          <w:rFonts w:hint="eastAsia" w:ascii="宋体" w:hAnsi="宋体" w:eastAsia="宋体" w:cs="宋体"/>
          <w:color w:val="auto"/>
          <w:sz w:val="21"/>
          <w:szCs w:val="21"/>
          <w:highlight w:val="none"/>
        </w:rPr>
        <w:t>5.3 运输</w:t>
      </w:r>
      <w:bookmarkEnd w:id="278"/>
    </w:p>
    <w:p w14:paraId="025C667B">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5.3.1 卖方应自行选择适宜的运输工具及线路安排合同设备运输。</w:t>
      </w:r>
    </w:p>
    <w:p w14:paraId="2DD43F5F">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5.3.2 </w:t>
      </w:r>
      <w:r>
        <w:rPr>
          <w:rFonts w:hint="eastAsia" w:ascii="宋体" w:hAnsi="宋体" w:cs="宋体"/>
          <w:color w:val="auto"/>
          <w:spacing w:val="-4"/>
          <w:sz w:val="21"/>
          <w:szCs w:val="21"/>
          <w:highlight w:val="none"/>
        </w:rPr>
        <w:t>除专用合同条款另有约定外，每件能够独立运行的设备应整套装运。该设备安装、调</w:t>
      </w:r>
      <w:r>
        <w:rPr>
          <w:rFonts w:hint="eastAsia" w:ascii="宋体" w:hAnsi="宋体" w:cs="宋体"/>
          <w:color w:val="auto"/>
          <w:sz w:val="21"/>
          <w:szCs w:val="21"/>
          <w:highlight w:val="none"/>
        </w:rPr>
        <w:t>试、考核和运行所使用的备品、备件、易损易耗件等应随相关的主机一齐装运。</w:t>
      </w:r>
    </w:p>
    <w:p w14:paraId="428FEC51">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5.3.3 除专用合同条款另有约定外，卖方应在合同设备预计启运 7 日前，将合同设备名称、数量</w:t>
      </w:r>
      <w:r>
        <w:rPr>
          <w:rFonts w:hint="eastAsia" w:ascii="宋体" w:hAnsi="宋体" w:cs="宋体"/>
          <w:color w:val="auto"/>
          <w:spacing w:val="-3"/>
          <w:sz w:val="21"/>
          <w:szCs w:val="21"/>
          <w:highlight w:val="none"/>
        </w:rPr>
        <w:t>、</w:t>
      </w:r>
      <w:r>
        <w:rPr>
          <w:rFonts w:hint="eastAsia" w:ascii="宋体" w:hAnsi="宋体" w:cs="宋体"/>
          <w:color w:val="auto"/>
          <w:sz w:val="21"/>
          <w:szCs w:val="21"/>
          <w:highlight w:val="none"/>
        </w:rPr>
        <w:t>箱</w:t>
      </w:r>
      <w:r>
        <w:rPr>
          <w:rFonts w:hint="eastAsia" w:ascii="宋体" w:hAnsi="宋体" w:cs="宋体"/>
          <w:color w:val="auto"/>
          <w:spacing w:val="-3"/>
          <w:sz w:val="21"/>
          <w:szCs w:val="21"/>
          <w:highlight w:val="none"/>
        </w:rPr>
        <w:t>数</w:t>
      </w:r>
      <w:r>
        <w:rPr>
          <w:rFonts w:hint="eastAsia" w:ascii="宋体" w:hAnsi="宋体" w:cs="宋体"/>
          <w:color w:val="auto"/>
          <w:sz w:val="21"/>
          <w:szCs w:val="21"/>
          <w:highlight w:val="none"/>
        </w:rPr>
        <w:t>、</w:t>
      </w:r>
      <w:r>
        <w:rPr>
          <w:rFonts w:hint="eastAsia" w:ascii="宋体" w:hAnsi="宋体" w:cs="宋体"/>
          <w:color w:val="auto"/>
          <w:spacing w:val="-3"/>
          <w:sz w:val="21"/>
          <w:szCs w:val="21"/>
          <w:highlight w:val="none"/>
        </w:rPr>
        <w:t>总</w:t>
      </w:r>
      <w:r>
        <w:rPr>
          <w:rFonts w:hint="eastAsia" w:ascii="宋体" w:hAnsi="宋体" w:cs="宋体"/>
          <w:color w:val="auto"/>
          <w:sz w:val="21"/>
          <w:szCs w:val="21"/>
          <w:highlight w:val="none"/>
        </w:rPr>
        <w:t>毛重</w:t>
      </w:r>
      <w:r>
        <w:rPr>
          <w:rFonts w:hint="eastAsia" w:ascii="宋体" w:hAnsi="宋体" w:cs="宋体"/>
          <w:color w:val="auto"/>
          <w:spacing w:val="-3"/>
          <w:sz w:val="21"/>
          <w:szCs w:val="21"/>
          <w:highlight w:val="none"/>
        </w:rPr>
        <w:t>、总</w:t>
      </w:r>
      <w:r>
        <w:rPr>
          <w:rFonts w:hint="eastAsia" w:ascii="宋体" w:hAnsi="宋体" w:cs="宋体"/>
          <w:color w:val="auto"/>
          <w:sz w:val="21"/>
          <w:szCs w:val="21"/>
          <w:highlight w:val="none"/>
        </w:rPr>
        <w:t>体积</w:t>
      </w:r>
      <w:r>
        <w:rPr>
          <w:rFonts w:hint="eastAsia" w:ascii="宋体" w:hAnsi="宋体" w:cs="宋体"/>
          <w:color w:val="auto"/>
          <w:spacing w:val="-3"/>
          <w:sz w:val="21"/>
          <w:szCs w:val="21"/>
          <w:highlight w:val="none"/>
        </w:rPr>
        <w:t>（</w:t>
      </w:r>
      <w:r>
        <w:rPr>
          <w:rFonts w:hint="eastAsia" w:ascii="宋体" w:hAnsi="宋体" w:cs="宋体"/>
          <w:color w:val="auto"/>
          <w:sz w:val="21"/>
          <w:szCs w:val="21"/>
          <w:highlight w:val="none"/>
        </w:rPr>
        <w:t xml:space="preserve">用 </w:t>
      </w:r>
      <w:r>
        <w:rPr>
          <w:rFonts w:hint="eastAsia" w:ascii="宋体" w:hAnsi="宋体" w:cs="宋体"/>
          <w:color w:val="auto"/>
          <w:spacing w:val="-4"/>
          <w:sz w:val="21"/>
          <w:szCs w:val="21"/>
          <w:highlight w:val="none"/>
        </w:rPr>
        <w:t>m</w:t>
      </w:r>
      <w:r>
        <w:rPr>
          <w:rFonts w:hint="eastAsia" w:ascii="宋体" w:hAnsi="宋体" w:cs="宋体"/>
          <w:color w:val="auto"/>
          <w:position w:val="6"/>
          <w:sz w:val="21"/>
          <w:szCs w:val="21"/>
          <w:highlight w:val="none"/>
        </w:rPr>
        <w:t xml:space="preserve">3  </w:t>
      </w:r>
      <w:r>
        <w:rPr>
          <w:rFonts w:hint="eastAsia" w:ascii="宋体" w:hAnsi="宋体" w:cs="宋体"/>
          <w:color w:val="auto"/>
          <w:sz w:val="21"/>
          <w:szCs w:val="21"/>
          <w:highlight w:val="none"/>
        </w:rPr>
        <w:t>表示</w:t>
      </w:r>
      <w:r>
        <w:rPr>
          <w:rFonts w:hint="eastAsia" w:ascii="宋体" w:hAnsi="宋体" w:cs="宋体"/>
          <w:color w:val="auto"/>
          <w:spacing w:val="-108"/>
          <w:sz w:val="21"/>
          <w:szCs w:val="21"/>
          <w:highlight w:val="none"/>
        </w:rPr>
        <w:t>）</w:t>
      </w:r>
      <w:r>
        <w:rPr>
          <w:rFonts w:hint="eastAsia" w:ascii="宋体" w:hAnsi="宋体" w:cs="宋体"/>
          <w:color w:val="auto"/>
          <w:sz w:val="21"/>
          <w:szCs w:val="21"/>
          <w:highlight w:val="none"/>
        </w:rPr>
        <w:t>、</w:t>
      </w:r>
      <w:r>
        <w:rPr>
          <w:rFonts w:hint="eastAsia" w:ascii="宋体" w:hAnsi="宋体" w:cs="宋体"/>
          <w:color w:val="auto"/>
          <w:spacing w:val="-3"/>
          <w:sz w:val="21"/>
          <w:szCs w:val="21"/>
          <w:highlight w:val="none"/>
        </w:rPr>
        <w:t>每箱</w:t>
      </w:r>
      <w:r>
        <w:rPr>
          <w:rFonts w:hint="eastAsia" w:ascii="宋体" w:hAnsi="宋体" w:cs="宋体"/>
          <w:color w:val="auto"/>
          <w:sz w:val="21"/>
          <w:szCs w:val="21"/>
          <w:highlight w:val="none"/>
        </w:rPr>
        <w:t>尺寸</w:t>
      </w:r>
      <w:r>
        <w:rPr>
          <w:rFonts w:hint="eastAsia" w:ascii="宋体" w:hAnsi="宋体" w:cs="宋体"/>
          <w:color w:val="auto"/>
          <w:spacing w:val="-3"/>
          <w:sz w:val="21"/>
          <w:szCs w:val="21"/>
          <w:highlight w:val="none"/>
        </w:rPr>
        <w:t>（</w:t>
      </w:r>
      <w:r>
        <w:rPr>
          <w:rFonts w:hint="eastAsia" w:ascii="宋体" w:hAnsi="宋体" w:cs="宋体"/>
          <w:color w:val="auto"/>
          <w:spacing w:val="2"/>
          <w:sz w:val="21"/>
          <w:szCs w:val="21"/>
          <w:highlight w:val="none"/>
        </w:rPr>
        <w:t>长</w:t>
      </w:r>
      <w:r>
        <w:rPr>
          <w:rFonts w:hint="eastAsia" w:ascii="宋体" w:hAnsi="宋体" w:cs="宋体"/>
          <w:color w:val="auto"/>
          <w:spacing w:val="-4"/>
          <w:sz w:val="21"/>
          <w:szCs w:val="21"/>
          <w:highlight w:val="none"/>
        </w:rPr>
        <w:t>×</w:t>
      </w:r>
      <w:r>
        <w:rPr>
          <w:rFonts w:hint="eastAsia" w:ascii="宋体" w:hAnsi="宋体" w:cs="宋体"/>
          <w:color w:val="auto"/>
          <w:spacing w:val="2"/>
          <w:sz w:val="21"/>
          <w:szCs w:val="21"/>
          <w:highlight w:val="none"/>
        </w:rPr>
        <w:t>宽</w:t>
      </w:r>
      <w:r>
        <w:rPr>
          <w:rFonts w:hint="eastAsia" w:ascii="宋体" w:hAnsi="宋体" w:cs="宋体"/>
          <w:color w:val="auto"/>
          <w:spacing w:val="-4"/>
          <w:sz w:val="21"/>
          <w:szCs w:val="21"/>
          <w:highlight w:val="none"/>
        </w:rPr>
        <w:t>×</w:t>
      </w:r>
      <w:r>
        <w:rPr>
          <w:rFonts w:hint="eastAsia" w:ascii="宋体" w:hAnsi="宋体" w:cs="宋体"/>
          <w:color w:val="auto"/>
          <w:sz w:val="21"/>
          <w:szCs w:val="21"/>
          <w:highlight w:val="none"/>
        </w:rPr>
        <w:t>高</w:t>
      </w:r>
      <w:r>
        <w:rPr>
          <w:rFonts w:hint="eastAsia" w:ascii="宋体" w:hAnsi="宋体" w:cs="宋体"/>
          <w:color w:val="auto"/>
          <w:spacing w:val="-108"/>
          <w:sz w:val="21"/>
          <w:szCs w:val="21"/>
          <w:highlight w:val="none"/>
        </w:rPr>
        <w:t>）</w:t>
      </w:r>
      <w:r>
        <w:rPr>
          <w:rFonts w:hint="eastAsia" w:ascii="宋体" w:hAnsi="宋体" w:cs="宋体"/>
          <w:color w:val="auto"/>
          <w:sz w:val="21"/>
          <w:szCs w:val="21"/>
          <w:highlight w:val="none"/>
        </w:rPr>
        <w:t>、装</w:t>
      </w:r>
      <w:r>
        <w:rPr>
          <w:rFonts w:hint="eastAsia" w:ascii="宋体" w:hAnsi="宋体" w:cs="宋体"/>
          <w:color w:val="auto"/>
          <w:spacing w:val="-3"/>
          <w:sz w:val="21"/>
          <w:szCs w:val="21"/>
          <w:highlight w:val="none"/>
        </w:rPr>
        <w:t>运合</w:t>
      </w:r>
      <w:r>
        <w:rPr>
          <w:rFonts w:hint="eastAsia" w:ascii="宋体" w:hAnsi="宋体" w:cs="宋体"/>
          <w:color w:val="auto"/>
          <w:sz w:val="21"/>
          <w:szCs w:val="21"/>
          <w:highlight w:val="none"/>
        </w:rPr>
        <w:t>同设</w:t>
      </w:r>
      <w:r>
        <w:rPr>
          <w:rFonts w:hint="eastAsia" w:ascii="宋体" w:hAnsi="宋体" w:cs="宋体"/>
          <w:color w:val="auto"/>
          <w:spacing w:val="-3"/>
          <w:sz w:val="21"/>
          <w:szCs w:val="21"/>
          <w:highlight w:val="none"/>
        </w:rPr>
        <w:t>备</w:t>
      </w:r>
      <w:r>
        <w:rPr>
          <w:rFonts w:hint="eastAsia" w:ascii="宋体" w:hAnsi="宋体" w:cs="宋体"/>
          <w:color w:val="auto"/>
          <w:sz w:val="21"/>
          <w:szCs w:val="21"/>
          <w:highlight w:val="none"/>
        </w:rPr>
        <w:t>总</w:t>
      </w:r>
      <w:r>
        <w:rPr>
          <w:rFonts w:hint="eastAsia" w:ascii="宋体" w:hAnsi="宋体" w:cs="宋体"/>
          <w:color w:val="auto"/>
          <w:spacing w:val="-3"/>
          <w:sz w:val="21"/>
          <w:szCs w:val="21"/>
          <w:highlight w:val="none"/>
        </w:rPr>
        <w:t>金</w:t>
      </w:r>
      <w:r>
        <w:rPr>
          <w:rFonts w:hint="eastAsia" w:ascii="宋体" w:hAnsi="宋体" w:cs="宋体"/>
          <w:color w:val="auto"/>
          <w:sz w:val="21"/>
          <w:szCs w:val="21"/>
          <w:highlight w:val="none"/>
        </w:rPr>
        <w:t>额、运输方式、预计交付日期和合同设备在运输、装卸、保管中的注意事项等预通知买方，并在合同设备启运后</w:t>
      </w:r>
      <w:r>
        <w:rPr>
          <w:rFonts w:hint="eastAsia" w:ascii="宋体" w:hAnsi="宋体" w:cs="宋体"/>
          <w:color w:val="auto"/>
          <w:spacing w:val="-56"/>
          <w:sz w:val="21"/>
          <w:szCs w:val="21"/>
          <w:highlight w:val="none"/>
        </w:rPr>
        <w:t xml:space="preserve"> </w:t>
      </w:r>
      <w:r>
        <w:rPr>
          <w:rFonts w:hint="eastAsia" w:ascii="宋体" w:hAnsi="宋体" w:cs="宋体"/>
          <w:color w:val="auto"/>
          <w:sz w:val="21"/>
          <w:szCs w:val="21"/>
          <w:highlight w:val="none"/>
        </w:rPr>
        <w:t>24 小时之内正式通知买方。</w:t>
      </w:r>
    </w:p>
    <w:p w14:paraId="2669B0E0">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5.3.4 卖方在根据第 5.3.3 项进行通知时，如果发运合同设备中包括专用合同条款约定的超大超重包装，则卖方应将超大和（或）超重的每个包装箱的重量和尺寸通知买方；如果发运合同设备中包括易燃易爆物品、腐蚀物品、放射性物质等危险品，则危险品的品名、性质、在运 输、装卸、保管方面的特殊要求、注意事项和处理意外情况的方法等，也应一并通知买方。</w:t>
      </w:r>
    </w:p>
    <w:p w14:paraId="3FB345DC">
      <w:pPr>
        <w:pStyle w:val="7"/>
        <w:spacing w:before="0" w:after="0" w:line="400" w:lineRule="exact"/>
        <w:rPr>
          <w:rFonts w:hint="eastAsia" w:ascii="宋体" w:hAnsi="宋体" w:eastAsia="宋体" w:cs="宋体"/>
          <w:color w:val="auto"/>
          <w:sz w:val="21"/>
          <w:szCs w:val="21"/>
          <w:highlight w:val="none"/>
        </w:rPr>
      </w:pPr>
      <w:bookmarkStart w:id="279" w:name="_bookmark125"/>
      <w:bookmarkEnd w:id="279"/>
      <w:bookmarkStart w:id="280" w:name="_Toc20919"/>
      <w:r>
        <w:rPr>
          <w:rFonts w:hint="eastAsia" w:ascii="宋体" w:hAnsi="宋体" w:eastAsia="宋体" w:cs="宋体"/>
          <w:color w:val="auto"/>
          <w:sz w:val="21"/>
          <w:szCs w:val="21"/>
          <w:highlight w:val="none"/>
        </w:rPr>
        <w:t>5.4 交付</w:t>
      </w:r>
      <w:bookmarkEnd w:id="280"/>
    </w:p>
    <w:p w14:paraId="5B8BE382">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5.4.1 </w:t>
      </w:r>
      <w:r>
        <w:rPr>
          <w:rFonts w:hint="eastAsia" w:ascii="宋体" w:hAnsi="宋体" w:cs="宋体"/>
          <w:color w:val="auto"/>
          <w:spacing w:val="-4"/>
          <w:sz w:val="21"/>
          <w:szCs w:val="21"/>
          <w:highlight w:val="none"/>
        </w:rPr>
        <w:t>除专用合同条款另有约定外，卖方应根据合同约定的交付时间和批次在施工场地车面</w:t>
      </w:r>
      <w:r>
        <w:rPr>
          <w:rFonts w:hint="eastAsia" w:ascii="宋体" w:hAnsi="宋体" w:cs="宋体"/>
          <w:color w:val="auto"/>
          <w:spacing w:val="-1"/>
          <w:sz w:val="21"/>
          <w:szCs w:val="21"/>
          <w:highlight w:val="none"/>
        </w:rPr>
        <w:t>上将合同设备交付给买方。买方对卖方交付的包装的合同设备的外观及件数进行清点核验后应 签发收货清单，并自负风险和费用进行卸货。买方签发收货清单不代表对合同设备的接受，双</w:t>
      </w:r>
      <w:r>
        <w:rPr>
          <w:rFonts w:hint="eastAsia" w:ascii="宋体" w:hAnsi="宋体" w:cs="宋体"/>
          <w:color w:val="auto"/>
          <w:sz w:val="21"/>
          <w:szCs w:val="21"/>
          <w:highlight w:val="none"/>
        </w:rPr>
        <w:t>方还应按合同约定进行后续的检验和验收。</w:t>
      </w:r>
    </w:p>
    <w:p w14:paraId="20A3E338">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5.4.2 </w:t>
      </w:r>
      <w:r>
        <w:rPr>
          <w:rFonts w:hint="eastAsia" w:ascii="宋体" w:hAnsi="宋体" w:cs="宋体"/>
          <w:color w:val="auto"/>
          <w:spacing w:val="-4"/>
          <w:sz w:val="21"/>
          <w:szCs w:val="21"/>
          <w:highlight w:val="none"/>
        </w:rPr>
        <w:t>合同设备的所有权和风险自交付时起由卖方转移至买方，合同设备交付给买方之前包</w:t>
      </w:r>
      <w:r>
        <w:rPr>
          <w:rFonts w:hint="eastAsia" w:ascii="宋体" w:hAnsi="宋体" w:cs="宋体"/>
          <w:color w:val="auto"/>
          <w:sz w:val="21"/>
          <w:szCs w:val="21"/>
          <w:highlight w:val="none"/>
        </w:rPr>
        <w:t>括运输在内的所有风险均由卖方承担。</w:t>
      </w:r>
    </w:p>
    <w:p w14:paraId="4A50B1E3">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5.4.3   除专用合同条款另有约定外，买方如果发现技术资料存在短缺和（或）损坏，卖方应在收到买方的通知后 7 日内免费补齐短缺和（或）损坏的部分。如果买方发现卖方提供的技术资料</w:t>
      </w:r>
      <w:r>
        <w:rPr>
          <w:rFonts w:hint="eastAsia" w:ascii="宋体" w:hAnsi="宋体" w:cs="宋体"/>
          <w:color w:val="auto"/>
          <w:spacing w:val="-3"/>
          <w:sz w:val="21"/>
          <w:szCs w:val="21"/>
          <w:highlight w:val="none"/>
        </w:rPr>
        <w:t>有</w:t>
      </w:r>
      <w:r>
        <w:rPr>
          <w:rFonts w:hint="eastAsia" w:ascii="宋体" w:hAnsi="宋体" w:cs="宋体"/>
          <w:color w:val="auto"/>
          <w:sz w:val="21"/>
          <w:szCs w:val="21"/>
          <w:highlight w:val="none"/>
        </w:rPr>
        <w:t>误</w:t>
      </w:r>
      <w:r>
        <w:rPr>
          <w:rFonts w:hint="eastAsia" w:ascii="宋体" w:hAnsi="宋体" w:cs="宋体"/>
          <w:color w:val="auto"/>
          <w:spacing w:val="-99"/>
          <w:sz w:val="21"/>
          <w:szCs w:val="21"/>
          <w:highlight w:val="none"/>
        </w:rPr>
        <w:t>，</w:t>
      </w:r>
      <w:r>
        <w:rPr>
          <w:rFonts w:hint="eastAsia" w:ascii="宋体" w:hAnsi="宋体" w:cs="宋体"/>
          <w:color w:val="auto"/>
          <w:sz w:val="21"/>
          <w:szCs w:val="21"/>
          <w:highlight w:val="none"/>
        </w:rPr>
        <w:t>卖</w:t>
      </w:r>
      <w:r>
        <w:rPr>
          <w:rFonts w:hint="eastAsia" w:ascii="宋体" w:hAnsi="宋体" w:cs="宋体"/>
          <w:color w:val="auto"/>
          <w:spacing w:val="-3"/>
          <w:sz w:val="21"/>
          <w:szCs w:val="21"/>
          <w:highlight w:val="none"/>
        </w:rPr>
        <w:t>方</w:t>
      </w:r>
      <w:r>
        <w:rPr>
          <w:rFonts w:hint="eastAsia" w:ascii="宋体" w:hAnsi="宋体" w:cs="宋体"/>
          <w:color w:val="auto"/>
          <w:sz w:val="21"/>
          <w:szCs w:val="21"/>
          <w:highlight w:val="none"/>
        </w:rPr>
        <w:t>应</w:t>
      </w:r>
      <w:r>
        <w:rPr>
          <w:rFonts w:hint="eastAsia" w:ascii="宋体" w:hAnsi="宋体" w:cs="宋体"/>
          <w:color w:val="auto"/>
          <w:spacing w:val="-3"/>
          <w:sz w:val="21"/>
          <w:szCs w:val="21"/>
          <w:highlight w:val="none"/>
        </w:rPr>
        <w:t>在</w:t>
      </w:r>
      <w:r>
        <w:rPr>
          <w:rFonts w:hint="eastAsia" w:ascii="宋体" w:hAnsi="宋体" w:cs="宋体"/>
          <w:color w:val="auto"/>
          <w:sz w:val="21"/>
          <w:szCs w:val="21"/>
          <w:highlight w:val="none"/>
        </w:rPr>
        <w:t>收</w:t>
      </w:r>
      <w:r>
        <w:rPr>
          <w:rFonts w:hint="eastAsia" w:ascii="宋体" w:hAnsi="宋体" w:cs="宋体"/>
          <w:color w:val="auto"/>
          <w:spacing w:val="-3"/>
          <w:sz w:val="21"/>
          <w:szCs w:val="21"/>
          <w:highlight w:val="none"/>
        </w:rPr>
        <w:t>到买</w:t>
      </w:r>
      <w:r>
        <w:rPr>
          <w:rFonts w:hint="eastAsia" w:ascii="宋体" w:hAnsi="宋体" w:cs="宋体"/>
          <w:color w:val="auto"/>
          <w:sz w:val="21"/>
          <w:szCs w:val="21"/>
          <w:highlight w:val="none"/>
        </w:rPr>
        <w:t>方通</w:t>
      </w:r>
      <w:r>
        <w:rPr>
          <w:rFonts w:hint="eastAsia" w:ascii="宋体" w:hAnsi="宋体" w:cs="宋体"/>
          <w:color w:val="auto"/>
          <w:spacing w:val="-3"/>
          <w:sz w:val="21"/>
          <w:szCs w:val="21"/>
          <w:highlight w:val="none"/>
        </w:rPr>
        <w:t>知</w:t>
      </w:r>
      <w:r>
        <w:rPr>
          <w:rFonts w:hint="eastAsia" w:ascii="宋体" w:hAnsi="宋体" w:cs="宋体"/>
          <w:color w:val="auto"/>
          <w:sz w:val="21"/>
          <w:szCs w:val="21"/>
          <w:highlight w:val="none"/>
        </w:rPr>
        <w:t>后</w:t>
      </w:r>
      <w:r>
        <w:rPr>
          <w:rFonts w:hint="eastAsia" w:ascii="宋体" w:hAnsi="宋体" w:cs="宋体"/>
          <w:color w:val="auto"/>
          <w:spacing w:val="-53"/>
          <w:sz w:val="21"/>
          <w:szCs w:val="21"/>
          <w:highlight w:val="none"/>
        </w:rPr>
        <w:t xml:space="preserve"> </w:t>
      </w:r>
      <w:r>
        <w:rPr>
          <w:rFonts w:hint="eastAsia" w:ascii="宋体" w:hAnsi="宋体" w:cs="宋体"/>
          <w:color w:val="auto"/>
          <w:sz w:val="21"/>
          <w:szCs w:val="21"/>
          <w:highlight w:val="none"/>
        </w:rPr>
        <w:t>7</w:t>
      </w:r>
      <w:r>
        <w:rPr>
          <w:rFonts w:hint="eastAsia" w:ascii="宋体" w:hAnsi="宋体" w:cs="宋体"/>
          <w:color w:val="auto"/>
          <w:spacing w:val="-3"/>
          <w:sz w:val="21"/>
          <w:szCs w:val="21"/>
          <w:highlight w:val="none"/>
        </w:rPr>
        <w:t xml:space="preserve"> </w:t>
      </w:r>
      <w:r>
        <w:rPr>
          <w:rFonts w:hint="eastAsia" w:ascii="宋体" w:hAnsi="宋体" w:cs="宋体"/>
          <w:color w:val="auto"/>
          <w:sz w:val="21"/>
          <w:szCs w:val="21"/>
          <w:highlight w:val="none"/>
        </w:rPr>
        <w:t>日</w:t>
      </w:r>
      <w:r>
        <w:rPr>
          <w:rFonts w:hint="eastAsia" w:ascii="宋体" w:hAnsi="宋体" w:cs="宋体"/>
          <w:color w:val="auto"/>
          <w:spacing w:val="-3"/>
          <w:sz w:val="21"/>
          <w:szCs w:val="21"/>
          <w:highlight w:val="none"/>
        </w:rPr>
        <w:t>内</w:t>
      </w:r>
      <w:r>
        <w:rPr>
          <w:rFonts w:hint="eastAsia" w:ascii="宋体" w:hAnsi="宋体" w:cs="宋体"/>
          <w:color w:val="auto"/>
          <w:sz w:val="21"/>
          <w:szCs w:val="21"/>
          <w:highlight w:val="none"/>
        </w:rPr>
        <w:t>免</w:t>
      </w:r>
      <w:r>
        <w:rPr>
          <w:rFonts w:hint="eastAsia" w:ascii="宋体" w:hAnsi="宋体" w:cs="宋体"/>
          <w:color w:val="auto"/>
          <w:spacing w:val="-3"/>
          <w:sz w:val="21"/>
          <w:szCs w:val="21"/>
          <w:highlight w:val="none"/>
        </w:rPr>
        <w:t>费</w:t>
      </w:r>
      <w:r>
        <w:rPr>
          <w:rFonts w:hint="eastAsia" w:ascii="宋体" w:hAnsi="宋体" w:cs="宋体"/>
          <w:color w:val="auto"/>
          <w:sz w:val="21"/>
          <w:szCs w:val="21"/>
          <w:highlight w:val="none"/>
        </w:rPr>
        <w:t>替</w:t>
      </w:r>
      <w:r>
        <w:rPr>
          <w:rFonts w:hint="eastAsia" w:ascii="宋体" w:hAnsi="宋体" w:cs="宋体"/>
          <w:color w:val="auto"/>
          <w:spacing w:val="-3"/>
          <w:sz w:val="21"/>
          <w:szCs w:val="21"/>
          <w:highlight w:val="none"/>
        </w:rPr>
        <w:t>换</w:t>
      </w:r>
      <w:r>
        <w:rPr>
          <w:rFonts w:hint="eastAsia" w:ascii="宋体" w:hAnsi="宋体" w:cs="宋体"/>
          <w:color w:val="auto"/>
          <w:spacing w:val="-99"/>
          <w:sz w:val="21"/>
          <w:szCs w:val="21"/>
          <w:highlight w:val="none"/>
        </w:rPr>
        <w:t>。</w:t>
      </w:r>
      <w:r>
        <w:rPr>
          <w:rFonts w:hint="eastAsia" w:ascii="宋体" w:hAnsi="宋体" w:cs="宋体"/>
          <w:color w:val="auto"/>
          <w:sz w:val="21"/>
          <w:szCs w:val="21"/>
          <w:highlight w:val="none"/>
        </w:rPr>
        <w:t>如由</w:t>
      </w:r>
      <w:r>
        <w:rPr>
          <w:rFonts w:hint="eastAsia" w:ascii="宋体" w:hAnsi="宋体" w:cs="宋体"/>
          <w:color w:val="auto"/>
          <w:spacing w:val="-3"/>
          <w:sz w:val="21"/>
          <w:szCs w:val="21"/>
          <w:highlight w:val="none"/>
        </w:rPr>
        <w:t>于</w:t>
      </w:r>
      <w:r>
        <w:rPr>
          <w:rFonts w:hint="eastAsia" w:ascii="宋体" w:hAnsi="宋体" w:cs="宋体"/>
          <w:color w:val="auto"/>
          <w:sz w:val="21"/>
          <w:szCs w:val="21"/>
          <w:highlight w:val="none"/>
        </w:rPr>
        <w:t>买</w:t>
      </w:r>
      <w:r>
        <w:rPr>
          <w:rFonts w:hint="eastAsia" w:ascii="宋体" w:hAnsi="宋体" w:cs="宋体"/>
          <w:color w:val="auto"/>
          <w:spacing w:val="-3"/>
          <w:sz w:val="21"/>
          <w:szCs w:val="21"/>
          <w:highlight w:val="none"/>
        </w:rPr>
        <w:t>方</w:t>
      </w:r>
      <w:r>
        <w:rPr>
          <w:rFonts w:hint="eastAsia" w:ascii="宋体" w:hAnsi="宋体" w:cs="宋体"/>
          <w:color w:val="auto"/>
          <w:sz w:val="21"/>
          <w:szCs w:val="21"/>
          <w:highlight w:val="none"/>
        </w:rPr>
        <w:t>原</w:t>
      </w:r>
      <w:r>
        <w:rPr>
          <w:rFonts w:hint="eastAsia" w:ascii="宋体" w:hAnsi="宋体" w:cs="宋体"/>
          <w:color w:val="auto"/>
          <w:spacing w:val="-3"/>
          <w:sz w:val="21"/>
          <w:szCs w:val="21"/>
          <w:highlight w:val="none"/>
        </w:rPr>
        <w:t>因</w:t>
      </w:r>
      <w:r>
        <w:rPr>
          <w:rFonts w:hint="eastAsia" w:ascii="宋体" w:hAnsi="宋体" w:cs="宋体"/>
          <w:color w:val="auto"/>
          <w:sz w:val="21"/>
          <w:szCs w:val="21"/>
          <w:highlight w:val="none"/>
        </w:rPr>
        <w:t>导</w:t>
      </w:r>
      <w:r>
        <w:rPr>
          <w:rFonts w:hint="eastAsia" w:ascii="宋体" w:hAnsi="宋体" w:cs="宋体"/>
          <w:color w:val="auto"/>
          <w:spacing w:val="-3"/>
          <w:sz w:val="21"/>
          <w:szCs w:val="21"/>
          <w:highlight w:val="none"/>
        </w:rPr>
        <w:t>致</w:t>
      </w:r>
      <w:r>
        <w:rPr>
          <w:rFonts w:hint="eastAsia" w:ascii="宋体" w:hAnsi="宋体" w:cs="宋体"/>
          <w:color w:val="auto"/>
          <w:sz w:val="21"/>
          <w:szCs w:val="21"/>
          <w:highlight w:val="none"/>
        </w:rPr>
        <w:t>技</w:t>
      </w:r>
      <w:r>
        <w:rPr>
          <w:rFonts w:hint="eastAsia" w:ascii="宋体" w:hAnsi="宋体" w:cs="宋体"/>
          <w:color w:val="auto"/>
          <w:spacing w:val="-3"/>
          <w:sz w:val="21"/>
          <w:szCs w:val="21"/>
          <w:highlight w:val="none"/>
        </w:rPr>
        <w:t>术</w:t>
      </w:r>
      <w:r>
        <w:rPr>
          <w:rFonts w:hint="eastAsia" w:ascii="宋体" w:hAnsi="宋体" w:cs="宋体"/>
          <w:color w:val="auto"/>
          <w:sz w:val="21"/>
          <w:szCs w:val="21"/>
          <w:highlight w:val="none"/>
        </w:rPr>
        <w:t>资料</w:t>
      </w:r>
      <w:r>
        <w:rPr>
          <w:rFonts w:hint="eastAsia" w:ascii="宋体" w:hAnsi="宋体" w:cs="宋体"/>
          <w:color w:val="auto"/>
          <w:spacing w:val="-3"/>
          <w:sz w:val="21"/>
          <w:szCs w:val="21"/>
          <w:highlight w:val="none"/>
        </w:rPr>
        <w:t>丢</w:t>
      </w:r>
      <w:r>
        <w:rPr>
          <w:rFonts w:hint="eastAsia" w:ascii="宋体" w:hAnsi="宋体" w:cs="宋体"/>
          <w:color w:val="auto"/>
          <w:sz w:val="21"/>
          <w:szCs w:val="21"/>
          <w:highlight w:val="none"/>
        </w:rPr>
        <w:t>失</w:t>
      </w:r>
      <w:r>
        <w:rPr>
          <w:rFonts w:hint="eastAsia" w:ascii="宋体" w:hAnsi="宋体" w:cs="宋体"/>
          <w:color w:val="auto"/>
          <w:spacing w:val="-99"/>
          <w:sz w:val="21"/>
          <w:szCs w:val="21"/>
          <w:highlight w:val="none"/>
        </w:rPr>
        <w:t>和</w:t>
      </w:r>
      <w:r>
        <w:rPr>
          <w:rFonts w:hint="eastAsia" w:ascii="宋体" w:hAnsi="宋体" w:cs="宋体"/>
          <w:color w:val="auto"/>
          <w:sz w:val="21"/>
          <w:szCs w:val="21"/>
          <w:highlight w:val="none"/>
        </w:rPr>
        <w:t>（或）损坏，卖方应在收到买方的通知后 7 日内补齐丢失和（或）损坏的部分，但买方应向卖方支付合理的复制、邮寄费用。</w:t>
      </w:r>
    </w:p>
    <w:p w14:paraId="14C52370">
      <w:pPr>
        <w:pStyle w:val="6"/>
        <w:spacing w:before="0" w:after="0" w:line="400" w:lineRule="exact"/>
        <w:rPr>
          <w:rFonts w:hint="eastAsia" w:ascii="宋体" w:hAnsi="宋体" w:cs="宋体"/>
          <w:color w:val="auto"/>
          <w:sz w:val="21"/>
          <w:szCs w:val="21"/>
          <w:highlight w:val="none"/>
        </w:rPr>
      </w:pPr>
      <w:bookmarkStart w:id="281" w:name="_bookmark126"/>
      <w:bookmarkEnd w:id="281"/>
      <w:bookmarkStart w:id="282" w:name="_Toc29505"/>
      <w:r>
        <w:rPr>
          <w:rFonts w:hint="eastAsia" w:ascii="宋体" w:hAnsi="宋体" w:cs="宋体"/>
          <w:color w:val="auto"/>
          <w:sz w:val="21"/>
          <w:szCs w:val="21"/>
          <w:highlight w:val="none"/>
        </w:rPr>
        <w:t>6.开箱检验、安装、调试、考核、验收</w:t>
      </w:r>
      <w:bookmarkEnd w:id="282"/>
    </w:p>
    <w:p w14:paraId="69ED4E96">
      <w:pPr>
        <w:pStyle w:val="7"/>
        <w:spacing w:before="0" w:after="0" w:line="400" w:lineRule="exact"/>
        <w:rPr>
          <w:rFonts w:hint="eastAsia" w:ascii="宋体" w:hAnsi="宋体" w:eastAsia="宋体" w:cs="宋体"/>
          <w:color w:val="auto"/>
          <w:sz w:val="21"/>
          <w:szCs w:val="21"/>
          <w:highlight w:val="none"/>
        </w:rPr>
      </w:pPr>
      <w:bookmarkStart w:id="283" w:name="_bookmark127"/>
      <w:bookmarkEnd w:id="283"/>
      <w:bookmarkStart w:id="284" w:name="_Toc3135"/>
      <w:r>
        <w:rPr>
          <w:rFonts w:hint="eastAsia" w:ascii="宋体" w:hAnsi="宋体" w:eastAsia="宋体" w:cs="宋体"/>
          <w:color w:val="auto"/>
          <w:sz w:val="21"/>
          <w:szCs w:val="21"/>
          <w:highlight w:val="none"/>
        </w:rPr>
        <w:t>6.1 开箱检验</w:t>
      </w:r>
      <w:bookmarkEnd w:id="284"/>
    </w:p>
    <w:p w14:paraId="4FECB499">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6.1.1 合同设备交付后应进行开箱检验，即合同设备数量及外观检验。开箱检验在专用合同条款约定的下列任一种时间进行：</w:t>
      </w:r>
    </w:p>
    <w:p w14:paraId="46D91ED5">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（1）合同设备交付时；</w:t>
      </w:r>
    </w:p>
    <w:p w14:paraId="1280B5A3">
      <w:pPr>
        <w:pStyle w:val="2"/>
        <w:spacing w:line="400" w:lineRule="exact"/>
        <w:ind w:firstLine="518" w:firstLineChars="247"/>
        <w:rPr>
          <w:rFonts w:hint="eastAsia" w:ascii="宋体" w:hAnsi="宋体" w:cs="宋体"/>
          <w:color w:val="auto"/>
          <w:sz w:val="21"/>
          <w:szCs w:val="21"/>
          <w:highlight w:val="none"/>
        </w:rPr>
      </w:pPr>
      <w:r>
        <w:rPr>
          <w:rFonts w:hint="eastAsia" w:ascii="宋体" w:hAnsi="宋体" w:cs="宋体"/>
          <w:color w:val="auto"/>
          <w:sz w:val="21"/>
          <w:szCs w:val="21"/>
          <w:highlight w:val="none"/>
        </w:rPr>
        <w:t>（2）合同设备交付后的一定期限内。 如开箱检验不在合同设备交付时进行，买方应在开箱检验 3 日前将开箱检验的时间和地点通知卖方。</w:t>
      </w:r>
    </w:p>
    <w:p w14:paraId="6EC4E309">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6.1.2 除专用合同条款另有约定外，合同设备的开箱检验应在施工场地进行。</w:t>
      </w:r>
    </w:p>
    <w:p w14:paraId="1246D2A6">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6.1.3 开箱检验由买卖双方共同进行，卖方应自负费用派遣代表到场参加开箱检验。</w:t>
      </w:r>
    </w:p>
    <w:p w14:paraId="420BDFE1">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6.1.4 在开箱检验中，买方和卖方应共同签署数量、外观检验报告，报告应列明检验结果，包括检验合格或发现的任何短缺、损坏或其它与合同约定不符的情形。</w:t>
      </w:r>
    </w:p>
    <w:p w14:paraId="5C988FB5">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6.1.5 </w:t>
      </w:r>
      <w:r>
        <w:rPr>
          <w:rFonts w:hint="eastAsia" w:ascii="宋体" w:hAnsi="宋体" w:cs="宋体"/>
          <w:color w:val="auto"/>
          <w:spacing w:val="-4"/>
          <w:sz w:val="21"/>
          <w:szCs w:val="21"/>
          <w:highlight w:val="none"/>
        </w:rPr>
        <w:t>如果卖方代表未能依约或按买方通知到场参加开箱检验，买方有权在卖方代表未在场</w:t>
      </w:r>
      <w:r>
        <w:rPr>
          <w:rFonts w:hint="eastAsia" w:ascii="宋体" w:hAnsi="宋体" w:cs="宋体"/>
          <w:color w:val="auto"/>
          <w:spacing w:val="-1"/>
          <w:sz w:val="21"/>
          <w:szCs w:val="21"/>
          <w:highlight w:val="none"/>
        </w:rPr>
        <w:t>的情况下进行开箱检验，并签署数量、外观检验报告，对于该检验报告和检验结果，视为卖方</w:t>
      </w:r>
      <w:r>
        <w:rPr>
          <w:rFonts w:hint="eastAsia" w:ascii="宋体" w:hAnsi="宋体" w:cs="宋体"/>
          <w:color w:val="auto"/>
          <w:sz w:val="21"/>
          <w:szCs w:val="21"/>
          <w:highlight w:val="none"/>
        </w:rPr>
        <w:t>已接受，但卖方确有合理理由且事先与买方协商推迟开箱检验时间的除外。</w:t>
      </w:r>
    </w:p>
    <w:p w14:paraId="63CDEBD7">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6.1.6 如开箱检验不在合同设备交付时进行，则合同设备交付以后到开箱检验之前，应由买方负责按交货时外包装原样对合同设备进行妥善保管。除专用合同条款另有约定外，在开箱检验时如果合同设备外包装与交货时一致，则开箱检验中发现的合同设备的短缺、损坏或其它与合同约定不符的情形，由卖方负责，卖方应补齐、更换及采取其他补救措施。如果在开箱检验时合同设备外包装不是交货时的包装或虽是交货时的包装但与交货时不一致且出现很可能导致合同设备短缺或损坏的包装破损，则开箱检验中发现合同设备短缺、损坏或其它与合同约定不符的情形的风险，由买方承担，但买方能够证明是由于卖方原因或合同设备交付前非买方原因导致的除外。</w:t>
      </w:r>
    </w:p>
    <w:p w14:paraId="6DDD962E">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6.1.7 </w:t>
      </w:r>
      <w:r>
        <w:rPr>
          <w:rFonts w:hint="eastAsia" w:ascii="宋体" w:hAnsi="宋体" w:cs="宋体"/>
          <w:color w:val="auto"/>
          <w:spacing w:val="-4"/>
          <w:sz w:val="21"/>
          <w:szCs w:val="21"/>
          <w:highlight w:val="none"/>
        </w:rPr>
        <w:t>如双方在专用合同条款和（或）供货要求等合同文件中约定由第三方检测机构对合同</w:t>
      </w:r>
      <w:r>
        <w:rPr>
          <w:rFonts w:hint="eastAsia" w:ascii="宋体" w:hAnsi="宋体" w:cs="宋体"/>
          <w:color w:val="auto"/>
          <w:spacing w:val="-1"/>
          <w:sz w:val="21"/>
          <w:szCs w:val="21"/>
          <w:highlight w:val="none"/>
        </w:rPr>
        <w:t xml:space="preserve">设备进行开箱检验或在开箱检验过程中另行约定由第三方检验的，则第三方检测机构的检验结 </w:t>
      </w:r>
      <w:r>
        <w:rPr>
          <w:rFonts w:hint="eastAsia" w:ascii="宋体" w:hAnsi="宋体" w:cs="宋体"/>
          <w:color w:val="auto"/>
          <w:sz w:val="21"/>
          <w:szCs w:val="21"/>
          <w:highlight w:val="none"/>
        </w:rPr>
        <w:t>果对双方均具有约束力。</w:t>
      </w:r>
    </w:p>
    <w:p w14:paraId="68D7654F">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6.1.8 </w:t>
      </w:r>
      <w:r>
        <w:rPr>
          <w:rFonts w:hint="eastAsia" w:ascii="宋体" w:hAnsi="宋体" w:cs="宋体"/>
          <w:color w:val="auto"/>
          <w:spacing w:val="-4"/>
          <w:sz w:val="21"/>
          <w:szCs w:val="21"/>
          <w:highlight w:val="none"/>
        </w:rPr>
        <w:t>开箱检验的检验结果不能对抗在合同设备的安装、调试、考核、验收中及质量保证期</w:t>
      </w:r>
      <w:r>
        <w:rPr>
          <w:rFonts w:hint="eastAsia" w:ascii="宋体" w:hAnsi="宋体" w:cs="宋体"/>
          <w:color w:val="auto"/>
          <w:spacing w:val="-1"/>
          <w:sz w:val="21"/>
          <w:szCs w:val="21"/>
          <w:highlight w:val="none"/>
        </w:rPr>
        <w:t xml:space="preserve">内发现的合同设备质量问题，也不能免除或影响卖方依照合同约定对买方负有的包括合同设备 </w:t>
      </w:r>
      <w:r>
        <w:rPr>
          <w:rFonts w:hint="eastAsia" w:ascii="宋体" w:hAnsi="宋体" w:cs="宋体"/>
          <w:color w:val="auto"/>
          <w:sz w:val="21"/>
          <w:szCs w:val="21"/>
          <w:highlight w:val="none"/>
        </w:rPr>
        <w:t>质量在内的任何义务或责任。</w:t>
      </w:r>
    </w:p>
    <w:p w14:paraId="2A56789E">
      <w:pPr>
        <w:pStyle w:val="7"/>
        <w:spacing w:before="0" w:after="0" w:line="400" w:lineRule="exact"/>
        <w:rPr>
          <w:rFonts w:hint="eastAsia" w:ascii="宋体" w:hAnsi="宋体" w:eastAsia="宋体" w:cs="宋体"/>
          <w:color w:val="auto"/>
          <w:sz w:val="21"/>
          <w:szCs w:val="21"/>
          <w:highlight w:val="none"/>
        </w:rPr>
      </w:pPr>
      <w:bookmarkStart w:id="285" w:name="_bookmark128"/>
      <w:bookmarkEnd w:id="285"/>
      <w:bookmarkStart w:id="286" w:name="_Toc29156"/>
      <w:r>
        <w:rPr>
          <w:rFonts w:hint="eastAsia" w:ascii="宋体" w:hAnsi="宋体" w:eastAsia="宋体" w:cs="宋体"/>
          <w:color w:val="auto"/>
          <w:sz w:val="21"/>
          <w:szCs w:val="21"/>
          <w:highlight w:val="none"/>
        </w:rPr>
        <w:t>6.2 安装、调试</w:t>
      </w:r>
      <w:bookmarkEnd w:id="286"/>
    </w:p>
    <w:p w14:paraId="525E14F9">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6.2.1 开箱检验完成后，双方应对合同设备进行安装、调试，以使其具备考核的状态。安装、调试应按照专用合同条款约定的下列任一种方式进行：</w:t>
      </w:r>
    </w:p>
    <w:p w14:paraId="7E576A8C">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（1）卖方按照合同约定完成合同设备的安装、调试工作；</w:t>
      </w:r>
    </w:p>
    <w:p w14:paraId="7A9F71BF">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（2）</w:t>
      </w:r>
      <w:r>
        <w:rPr>
          <w:rFonts w:hint="eastAsia" w:ascii="宋体" w:hAnsi="宋体" w:cs="宋体"/>
          <w:color w:val="auto"/>
          <w:spacing w:val="-9"/>
          <w:sz w:val="21"/>
          <w:szCs w:val="21"/>
          <w:highlight w:val="none"/>
        </w:rPr>
        <w:t>买方</w:t>
      </w:r>
      <w:r>
        <w:rPr>
          <w:rFonts w:hint="eastAsia" w:ascii="宋体" w:hAnsi="宋体" w:cs="宋体"/>
          <w:color w:val="auto"/>
          <w:sz w:val="21"/>
          <w:szCs w:val="21"/>
          <w:highlight w:val="none"/>
        </w:rPr>
        <w:t>或买方安排第三方负责合同设备的安装、调试工作，卖方提供技术服务。除专用合同条款另有约定外，在安装、调试过程中，如由于买方或买方安排的第三方未按照卖方现场服务人员的指导导致安装、调试不成功和（或）出现合同设备损坏，买方应自行承担责任。如在买方或买方安排的第三方按照卖方现场服务人员的指导进行安装、调试的情况下出现安装、调试不成功和（或）造成合同设备损坏的情况，卖方应承担责任。</w:t>
      </w:r>
    </w:p>
    <w:p w14:paraId="51DB9403">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6.2.2 </w:t>
      </w:r>
      <w:r>
        <w:rPr>
          <w:rFonts w:hint="eastAsia" w:ascii="宋体" w:hAnsi="宋体" w:cs="宋体"/>
          <w:color w:val="auto"/>
          <w:spacing w:val="-4"/>
          <w:sz w:val="21"/>
          <w:szCs w:val="21"/>
          <w:highlight w:val="none"/>
        </w:rPr>
        <w:t>除专用合同条款另有约定外，安装、调试中合同设备运行需要的用水、用电、其他动</w:t>
      </w:r>
      <w:r>
        <w:rPr>
          <w:rFonts w:hint="eastAsia" w:ascii="宋体" w:hAnsi="宋体" w:cs="宋体"/>
          <w:color w:val="auto"/>
          <w:sz w:val="21"/>
          <w:szCs w:val="21"/>
          <w:highlight w:val="none"/>
        </w:rPr>
        <w:t>力和原材料（如需要）等均由买方承担。</w:t>
      </w:r>
    </w:p>
    <w:p w14:paraId="6FCA1905">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6.2.3</w:t>
      </w:r>
      <w:r>
        <w:rPr>
          <w:rFonts w:hint="eastAsia" w:ascii="宋体" w:hAnsi="宋体" w:cs="宋体"/>
          <w:color w:val="auto"/>
          <w:spacing w:val="50"/>
          <w:sz w:val="21"/>
          <w:szCs w:val="21"/>
          <w:highlight w:val="none"/>
        </w:rPr>
        <w:t xml:space="preserve"> </w:t>
      </w:r>
      <w:r>
        <w:rPr>
          <w:rFonts w:hint="eastAsia" w:ascii="宋体" w:hAnsi="宋体" w:cs="宋体"/>
          <w:color w:val="auto"/>
          <w:sz w:val="21"/>
          <w:szCs w:val="21"/>
          <w:highlight w:val="none"/>
        </w:rPr>
        <w:t>双方应对合同设备的安装、调试情况共同及时进行记录。</w:t>
      </w:r>
    </w:p>
    <w:p w14:paraId="372EBE2B">
      <w:pPr>
        <w:pStyle w:val="7"/>
        <w:spacing w:before="0" w:after="0" w:line="400" w:lineRule="exact"/>
        <w:rPr>
          <w:rFonts w:hint="eastAsia" w:ascii="宋体" w:hAnsi="宋体" w:eastAsia="宋体" w:cs="宋体"/>
          <w:color w:val="auto"/>
          <w:sz w:val="21"/>
          <w:szCs w:val="21"/>
          <w:highlight w:val="none"/>
        </w:rPr>
      </w:pPr>
      <w:bookmarkStart w:id="287" w:name="_bookmark129"/>
      <w:bookmarkEnd w:id="287"/>
      <w:bookmarkStart w:id="288" w:name="_Toc29389"/>
      <w:r>
        <w:rPr>
          <w:rFonts w:hint="eastAsia" w:ascii="宋体" w:hAnsi="宋体" w:eastAsia="宋体" w:cs="宋体"/>
          <w:color w:val="auto"/>
          <w:sz w:val="21"/>
          <w:szCs w:val="21"/>
          <w:highlight w:val="none"/>
        </w:rPr>
        <w:t>6.3 考核</w:t>
      </w:r>
      <w:bookmarkEnd w:id="288"/>
    </w:p>
    <w:p w14:paraId="17423A16">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6.3.1 安装、调试完成后，双方应对合同设备进行考核，以确定合同设备是否达到合同约定的技术性能考核指标。除专用合同条款另有约定外，考核中合同设备运行需要的用水、用电、其他动力和原材料（如需要）等均由买方承担。</w:t>
      </w:r>
    </w:p>
    <w:p w14:paraId="62BB15E3">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6.3.2 </w:t>
      </w:r>
      <w:r>
        <w:rPr>
          <w:rFonts w:hint="eastAsia" w:ascii="宋体" w:hAnsi="宋体" w:cs="宋体"/>
          <w:color w:val="auto"/>
          <w:spacing w:val="-4"/>
          <w:sz w:val="21"/>
          <w:szCs w:val="21"/>
          <w:highlight w:val="none"/>
        </w:rPr>
        <w:t>如由于卖方原因合同设备在考核中未能达到合同约定的技术性能考核指标，则卖方应</w:t>
      </w:r>
      <w:r>
        <w:rPr>
          <w:rFonts w:hint="eastAsia" w:ascii="宋体" w:hAnsi="宋体" w:cs="宋体"/>
          <w:color w:val="auto"/>
          <w:spacing w:val="-1"/>
          <w:sz w:val="21"/>
          <w:szCs w:val="21"/>
          <w:highlight w:val="none"/>
        </w:rPr>
        <w:t>在双方同意的期限内采取措施消除合同设备中存在的缺陷，并在缺陷消除以后，尽快进行再次</w:t>
      </w:r>
      <w:r>
        <w:rPr>
          <w:rFonts w:hint="eastAsia" w:ascii="宋体" w:hAnsi="宋体" w:cs="宋体"/>
          <w:color w:val="auto"/>
          <w:sz w:val="21"/>
          <w:szCs w:val="21"/>
          <w:highlight w:val="none"/>
        </w:rPr>
        <w:t>考核。</w:t>
      </w:r>
    </w:p>
    <w:p w14:paraId="3E4392A3">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6.3.3 </w:t>
      </w:r>
      <w:r>
        <w:rPr>
          <w:rFonts w:hint="eastAsia" w:ascii="宋体" w:hAnsi="宋体" w:cs="宋体"/>
          <w:color w:val="auto"/>
          <w:spacing w:val="-3"/>
          <w:sz w:val="21"/>
          <w:szCs w:val="21"/>
          <w:highlight w:val="none"/>
        </w:rPr>
        <w:t>由于卖方原因未能达到技术性能考核指标时，为卖方进行考核的机会不超过三次。如</w:t>
      </w:r>
      <w:r>
        <w:rPr>
          <w:rFonts w:hint="eastAsia" w:ascii="宋体" w:hAnsi="宋体" w:cs="宋体"/>
          <w:color w:val="auto"/>
          <w:spacing w:val="-1"/>
          <w:sz w:val="21"/>
          <w:szCs w:val="21"/>
          <w:highlight w:val="none"/>
        </w:rPr>
        <w:t xml:space="preserve">果由于卖方原因，三次考核均未能达到合同约定的技术性能考核指标，则买卖双方应就合同的后续履行进行协商，协商不成的，买方有权解除合同。但如合同中约定了或双方在考核中另行 达成了合同设备的最低技术性能考核指标，且合同设备达到了最低技术性能考核指标的，视为 合同设备已达到技术性能考核指标，买方无权解除合同，且应接受合同设备，但卖方应按专用 </w:t>
      </w:r>
      <w:r>
        <w:rPr>
          <w:rFonts w:hint="eastAsia" w:ascii="宋体" w:hAnsi="宋体" w:cs="宋体"/>
          <w:color w:val="auto"/>
          <w:sz w:val="21"/>
          <w:szCs w:val="21"/>
          <w:highlight w:val="none"/>
        </w:rPr>
        <w:t>合同条款的约定进行减价或向买方支付补偿金。</w:t>
      </w:r>
    </w:p>
    <w:p w14:paraId="415D43A4">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6.3.4 </w:t>
      </w:r>
      <w:r>
        <w:rPr>
          <w:rFonts w:hint="eastAsia" w:ascii="宋体" w:hAnsi="宋体" w:cs="宋体"/>
          <w:color w:val="auto"/>
          <w:spacing w:val="-4"/>
          <w:sz w:val="21"/>
          <w:szCs w:val="21"/>
          <w:highlight w:val="none"/>
        </w:rPr>
        <w:t>如由于买方原因合同设备在考核中未能达到合同约定的技术性能考核指标，则卖方应</w:t>
      </w:r>
      <w:r>
        <w:rPr>
          <w:rFonts w:hint="eastAsia" w:ascii="宋体" w:hAnsi="宋体" w:cs="宋体"/>
          <w:color w:val="auto"/>
          <w:spacing w:val="-1"/>
          <w:sz w:val="21"/>
          <w:szCs w:val="21"/>
          <w:highlight w:val="none"/>
        </w:rPr>
        <w:t>协助买方安排再次考核。由于买方原因未能达到技术性能考核指标时，为买方进行考核的机会</w:t>
      </w:r>
      <w:r>
        <w:rPr>
          <w:rFonts w:hint="eastAsia" w:ascii="宋体" w:hAnsi="宋体" w:cs="宋体"/>
          <w:color w:val="auto"/>
          <w:sz w:val="21"/>
          <w:szCs w:val="21"/>
          <w:highlight w:val="none"/>
        </w:rPr>
        <w:t>不超过三次。</w:t>
      </w:r>
    </w:p>
    <w:p w14:paraId="31F8CEE9">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6.3.5 考核期间，双方应及时共同记录合同设备的用水、用电、其他动力和原材料（如有）的使用及设备考核情况。对于未达到技术性能考核指标的，应如实记录设备表现、可能原因及处理情况等。</w:t>
      </w:r>
    </w:p>
    <w:p w14:paraId="31267C70">
      <w:pPr>
        <w:pStyle w:val="7"/>
        <w:spacing w:before="0" w:after="0" w:line="400" w:lineRule="exact"/>
        <w:rPr>
          <w:rFonts w:hint="eastAsia" w:ascii="宋体" w:hAnsi="宋体" w:eastAsia="宋体" w:cs="宋体"/>
          <w:color w:val="auto"/>
          <w:sz w:val="21"/>
          <w:szCs w:val="21"/>
          <w:highlight w:val="none"/>
        </w:rPr>
      </w:pPr>
      <w:bookmarkStart w:id="289" w:name="_bookmark130"/>
      <w:bookmarkEnd w:id="289"/>
      <w:bookmarkStart w:id="290" w:name="_Toc20345"/>
      <w:r>
        <w:rPr>
          <w:rFonts w:hint="eastAsia" w:ascii="宋体" w:hAnsi="宋体" w:eastAsia="宋体" w:cs="宋体"/>
          <w:color w:val="auto"/>
          <w:sz w:val="21"/>
          <w:szCs w:val="21"/>
          <w:highlight w:val="none"/>
        </w:rPr>
        <w:t>6.4 验收</w:t>
      </w:r>
      <w:bookmarkEnd w:id="290"/>
    </w:p>
    <w:p w14:paraId="2C80AC94">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6.4.1 如合同设备在考核中达到或视为达到技术性能考核指标，则买卖双方应在考核完成后7 日内或专用合同条款另行约定的时间内签署合同设备验收证书一式二份，双方各持一份。验收日期应为合同设备达到或视为达到技术性能考核指标的日期。</w:t>
      </w:r>
    </w:p>
    <w:p w14:paraId="5F698613">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6.4.2 如由于买方原因合同设备在三次考核中均未能达到技术性能考核指标，买卖双方应在考核结束后</w:t>
      </w:r>
      <w:r>
        <w:rPr>
          <w:rFonts w:hint="eastAsia" w:ascii="宋体" w:hAnsi="宋体" w:cs="宋体"/>
          <w:color w:val="auto"/>
          <w:spacing w:val="-57"/>
          <w:sz w:val="21"/>
          <w:szCs w:val="21"/>
          <w:highlight w:val="none"/>
        </w:rPr>
        <w:t xml:space="preserve"> </w:t>
      </w:r>
      <w:r>
        <w:rPr>
          <w:rFonts w:hint="eastAsia" w:ascii="宋体" w:hAnsi="宋体" w:cs="宋体"/>
          <w:color w:val="auto"/>
          <w:sz w:val="21"/>
          <w:szCs w:val="21"/>
          <w:highlight w:val="none"/>
        </w:rPr>
        <w:t>7 日内或专用合同条款另行约定的时间内签署验收款支付函。</w:t>
      </w:r>
    </w:p>
    <w:p w14:paraId="6E497EB6">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pacing w:val="-5"/>
          <w:sz w:val="21"/>
          <w:szCs w:val="21"/>
          <w:highlight w:val="none"/>
        </w:rPr>
        <w:t xml:space="preserve">除专用合同条款另有约定外，卖方有义务在验收款支付函签署后 </w:t>
      </w:r>
      <w:r>
        <w:rPr>
          <w:rFonts w:hint="eastAsia" w:ascii="宋体" w:hAnsi="宋体" w:cs="宋体"/>
          <w:color w:val="auto"/>
          <w:sz w:val="21"/>
          <w:szCs w:val="21"/>
          <w:highlight w:val="none"/>
        </w:rPr>
        <w:t>12 个月内应买方要求提供</w:t>
      </w:r>
      <w:r>
        <w:rPr>
          <w:rFonts w:hint="eastAsia" w:ascii="宋体" w:hAnsi="宋体" w:cs="宋体"/>
          <w:color w:val="auto"/>
          <w:spacing w:val="-1"/>
          <w:sz w:val="21"/>
          <w:szCs w:val="21"/>
          <w:highlight w:val="none"/>
        </w:rPr>
        <w:t>相关技术服务，协助买方采取一切必要措施使合同设备达到技术性能考核指标。买方应承担卖</w:t>
      </w:r>
      <w:r>
        <w:rPr>
          <w:rFonts w:hint="eastAsia" w:ascii="宋体" w:hAnsi="宋体" w:cs="宋体"/>
          <w:color w:val="auto"/>
          <w:sz w:val="21"/>
          <w:szCs w:val="21"/>
          <w:highlight w:val="none"/>
        </w:rPr>
        <w:t>方因此产生的全部费用。</w:t>
      </w:r>
    </w:p>
    <w:p w14:paraId="148EF6F8">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在上述 12 个月的期限内，如合同设备经过考核达到或视为达到技术性能考核指标，则买卖双方应按照第</w:t>
      </w:r>
      <w:r>
        <w:rPr>
          <w:rFonts w:hint="eastAsia" w:ascii="宋体" w:hAnsi="宋体" w:cs="宋体"/>
          <w:color w:val="auto"/>
          <w:spacing w:val="-59"/>
          <w:sz w:val="21"/>
          <w:szCs w:val="21"/>
          <w:highlight w:val="none"/>
        </w:rPr>
        <w:t xml:space="preserve"> </w:t>
      </w:r>
      <w:r>
        <w:rPr>
          <w:rFonts w:hint="eastAsia" w:ascii="宋体" w:hAnsi="宋体" w:cs="宋体"/>
          <w:color w:val="auto"/>
          <w:sz w:val="21"/>
          <w:szCs w:val="21"/>
          <w:highlight w:val="none"/>
        </w:rPr>
        <w:t>6.4.1 项的约定签署合同设备验收证书。</w:t>
      </w:r>
    </w:p>
    <w:p w14:paraId="4BA53C78">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6.4.3  除专用合同条款另有约定外，如由于买方原因在最后一批合同设备交货后 6 个月内未能开始考核，则买卖双方应在上述期限届满后 7 日内或专用合同条款另行约定的时间内签署验收款支付函。</w:t>
      </w:r>
    </w:p>
    <w:p w14:paraId="1D0DA029">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除专用合同条款另有约定外，卖方有义务在验收款支付函签署后 6 个月内应买方要求提供不超出合同范围的技术服务，协助买方采取一切必要措施使合同设备达到技术性能考核指标，且买方无需因此向卖方支付费用。</w:t>
      </w:r>
    </w:p>
    <w:p w14:paraId="2EC61332">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在上述 6 个月的期限内，如合同设备经过考核达到或视为达到技术性能考核指标，则买卖双方应按照第</w:t>
      </w:r>
      <w:r>
        <w:rPr>
          <w:rFonts w:hint="eastAsia" w:ascii="宋体" w:hAnsi="宋体" w:cs="宋体"/>
          <w:color w:val="auto"/>
          <w:spacing w:val="-59"/>
          <w:sz w:val="21"/>
          <w:szCs w:val="21"/>
          <w:highlight w:val="none"/>
        </w:rPr>
        <w:t xml:space="preserve"> </w:t>
      </w:r>
      <w:r>
        <w:rPr>
          <w:rFonts w:hint="eastAsia" w:ascii="宋体" w:hAnsi="宋体" w:cs="宋体"/>
          <w:color w:val="auto"/>
          <w:sz w:val="21"/>
          <w:szCs w:val="21"/>
          <w:highlight w:val="none"/>
        </w:rPr>
        <w:t>6.4.1 项的约定签署合同设备验收证书。</w:t>
      </w:r>
    </w:p>
    <w:p w14:paraId="7FDB37E2">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6.4.4  在第 6.4.2 项和第</w:t>
      </w:r>
      <w:r>
        <w:rPr>
          <w:rFonts w:hint="eastAsia" w:ascii="宋体" w:hAnsi="宋体" w:cs="宋体"/>
          <w:color w:val="auto"/>
          <w:spacing w:val="-54"/>
          <w:sz w:val="21"/>
          <w:szCs w:val="21"/>
          <w:highlight w:val="none"/>
        </w:rPr>
        <w:t xml:space="preserve"> </w:t>
      </w:r>
      <w:r>
        <w:rPr>
          <w:rFonts w:hint="eastAsia" w:ascii="宋体" w:hAnsi="宋体" w:cs="宋体"/>
          <w:color w:val="auto"/>
          <w:sz w:val="21"/>
          <w:szCs w:val="21"/>
          <w:highlight w:val="none"/>
        </w:rPr>
        <w:t xml:space="preserve">6.4.3 </w:t>
      </w:r>
      <w:r>
        <w:rPr>
          <w:rFonts w:hint="eastAsia" w:ascii="宋体" w:hAnsi="宋体" w:cs="宋体"/>
          <w:color w:val="auto"/>
          <w:spacing w:val="-5"/>
          <w:sz w:val="21"/>
          <w:szCs w:val="21"/>
          <w:highlight w:val="none"/>
        </w:rPr>
        <w:t>项情形下，卖方也可单方签署验收款支付函提交买方，如果买</w:t>
      </w:r>
      <w:r>
        <w:rPr>
          <w:rFonts w:hint="eastAsia" w:ascii="宋体" w:hAnsi="宋体" w:cs="宋体"/>
          <w:color w:val="auto"/>
          <w:sz w:val="21"/>
          <w:szCs w:val="21"/>
          <w:highlight w:val="none"/>
        </w:rPr>
        <w:t xml:space="preserve">方在收到卖方签署的验收款支付函后 14 </w:t>
      </w:r>
      <w:r>
        <w:rPr>
          <w:rFonts w:hint="eastAsia" w:ascii="宋体" w:hAnsi="宋体" w:cs="宋体"/>
          <w:color w:val="auto"/>
          <w:spacing w:val="-5"/>
          <w:sz w:val="21"/>
          <w:szCs w:val="21"/>
          <w:highlight w:val="none"/>
        </w:rPr>
        <w:t>日内未向卖方提出书面异议，则验收款支付函自签署之</w:t>
      </w:r>
      <w:r>
        <w:rPr>
          <w:rFonts w:hint="eastAsia" w:ascii="宋体" w:hAnsi="宋体" w:cs="宋体"/>
          <w:color w:val="auto"/>
          <w:sz w:val="21"/>
          <w:szCs w:val="21"/>
          <w:highlight w:val="none"/>
        </w:rPr>
        <w:t>日起生效。</w:t>
      </w:r>
    </w:p>
    <w:p w14:paraId="17FBC753">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6.4.5 合同设备验收证书的签署不能免除卖方在质量保证期内对合同设备应承担的保证责任。</w:t>
      </w:r>
    </w:p>
    <w:p w14:paraId="311A761F">
      <w:pPr>
        <w:pStyle w:val="6"/>
        <w:spacing w:before="0" w:after="0" w:line="400" w:lineRule="exact"/>
        <w:rPr>
          <w:rFonts w:hint="eastAsia" w:ascii="宋体" w:hAnsi="宋体" w:cs="宋体"/>
          <w:color w:val="auto"/>
          <w:sz w:val="21"/>
          <w:szCs w:val="21"/>
          <w:highlight w:val="none"/>
        </w:rPr>
      </w:pPr>
      <w:bookmarkStart w:id="291" w:name="_bookmark131"/>
      <w:bookmarkEnd w:id="291"/>
      <w:bookmarkStart w:id="292" w:name="_Toc31856"/>
      <w:r>
        <w:rPr>
          <w:rFonts w:hint="eastAsia" w:ascii="宋体" w:hAnsi="宋体" w:cs="宋体"/>
          <w:color w:val="auto"/>
          <w:sz w:val="21"/>
          <w:szCs w:val="21"/>
          <w:highlight w:val="none"/>
        </w:rPr>
        <w:t>7.技术服务</w:t>
      </w:r>
      <w:bookmarkEnd w:id="292"/>
    </w:p>
    <w:p w14:paraId="5F325B3A">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7.1 卖方应派遣技术熟练、称职的技术人员到施工场地为买方提供技术服务。卖方的技术服务应符合合同的约定。</w:t>
      </w:r>
    </w:p>
    <w:p w14:paraId="29E2A35A">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7.2 买方应免费为卖方技术人员提供工作条件及便利，包括但不限于必要的办公场所、技术资料及出入许可等。除专用合同条款另有约定外，卖方技术人员的交通、食宿费用由卖方承担。</w:t>
      </w:r>
    </w:p>
    <w:p w14:paraId="76A18105">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7.3 卖方技术人员应遵守买方施工现场的各项规章制度和安全操作规程，并服从买方的现场管理。</w:t>
      </w:r>
    </w:p>
    <w:p w14:paraId="2CDF880A">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7.4 如果任何技术人员不合格，买方有权要求卖方撤换，因撤换而产生的费用应由卖方承担。在不影响技术服务并且征得买方同意的条件下，卖方也可自负费用更换其技术人员。</w:t>
      </w:r>
    </w:p>
    <w:p w14:paraId="1672BEC7">
      <w:pPr>
        <w:pStyle w:val="6"/>
        <w:spacing w:before="0" w:after="0" w:line="400" w:lineRule="exact"/>
        <w:rPr>
          <w:rFonts w:hint="eastAsia" w:ascii="宋体" w:hAnsi="宋体" w:cs="宋体"/>
          <w:color w:val="auto"/>
          <w:sz w:val="21"/>
          <w:szCs w:val="21"/>
          <w:highlight w:val="none"/>
        </w:rPr>
      </w:pPr>
      <w:bookmarkStart w:id="293" w:name="_bookmark132"/>
      <w:bookmarkEnd w:id="293"/>
      <w:bookmarkStart w:id="294" w:name="_Toc18694"/>
      <w:r>
        <w:rPr>
          <w:rFonts w:hint="eastAsia" w:ascii="宋体" w:hAnsi="宋体" w:cs="宋体"/>
          <w:color w:val="auto"/>
          <w:sz w:val="21"/>
          <w:szCs w:val="21"/>
          <w:highlight w:val="none"/>
        </w:rPr>
        <w:t>8.质量保证期</w:t>
      </w:r>
      <w:bookmarkEnd w:id="294"/>
    </w:p>
    <w:p w14:paraId="4B0D9549">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8.1   除专用合同条款和（或）供货要求等合同文件另有约定外，合同设备整体质量保证期为验收之日起 12 个月。如对合同设备中关键部件的质量保证期有特殊要求的，买卖双方可在专用合同条款中约定。在合同第 6.4.2 项情形下，无论合同设备何时验收，其质量保证期最长为签署验收款支付函后 12 个月。在合同第</w:t>
      </w:r>
      <w:r>
        <w:rPr>
          <w:rFonts w:hint="eastAsia" w:ascii="宋体" w:hAnsi="宋体" w:cs="宋体"/>
          <w:color w:val="auto"/>
          <w:spacing w:val="-82"/>
          <w:sz w:val="21"/>
          <w:szCs w:val="21"/>
          <w:highlight w:val="none"/>
        </w:rPr>
        <w:t xml:space="preserve"> </w:t>
      </w:r>
      <w:r>
        <w:rPr>
          <w:rFonts w:hint="eastAsia" w:ascii="宋体" w:hAnsi="宋体" w:cs="宋体"/>
          <w:color w:val="auto"/>
          <w:sz w:val="21"/>
          <w:szCs w:val="21"/>
          <w:highlight w:val="none"/>
        </w:rPr>
        <w:t>6.4.3 项情形下，无论合同设备何时验收，其质量保证期最长为签署验收款支付函后</w:t>
      </w:r>
      <w:r>
        <w:rPr>
          <w:rFonts w:hint="eastAsia" w:ascii="宋体" w:hAnsi="宋体" w:cs="宋体"/>
          <w:color w:val="auto"/>
          <w:spacing w:val="-52"/>
          <w:sz w:val="21"/>
          <w:szCs w:val="21"/>
          <w:highlight w:val="none"/>
        </w:rPr>
        <w:t xml:space="preserve"> </w:t>
      </w:r>
      <w:r>
        <w:rPr>
          <w:rFonts w:hint="eastAsia" w:ascii="宋体" w:hAnsi="宋体" w:cs="宋体"/>
          <w:color w:val="auto"/>
          <w:sz w:val="21"/>
          <w:szCs w:val="21"/>
          <w:highlight w:val="none"/>
        </w:rPr>
        <w:t>6 个月。</w:t>
      </w:r>
    </w:p>
    <w:p w14:paraId="6324E5D0">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8.2 在质量保证期内如果合同设备出现故障，卖方应自负费用提供质保期服务，对相关合同设备进行修理或更换以消除故障。更换的合同设备和（或）关键部件的质量保证期应重新计算。但如果合同设备的故障是由于买方原因造成的，则对合同设备进行修理和更换的费用应由买方承担。</w:t>
      </w:r>
    </w:p>
    <w:p w14:paraId="199143AB">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8.3 质量保证期届满后，买方应在 7 日内或专用合同条款另行约定的时间内向卖方出具合同设备的质量保证期届满证书。</w:t>
      </w:r>
    </w:p>
    <w:p w14:paraId="74DDA832">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8.4 在合同第 6.4.2 项情形下，如在验收款支付函签署后12 个月内由于买方原因合同设备仍未能达到技术性能考核指标，则买卖双方应在该 12 个月届满后7 日内或专用合同条款另行约定的时间内签署结清款支付函。</w:t>
      </w:r>
    </w:p>
    <w:p w14:paraId="768A8564">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8.5 在合同第 6.4.3 项情形下，如在验收款支付函签署后 6 个月内由于买方原因合同设备仍未进行考核或仍未达到技术性能考核指标，则买卖双方应在该 6 个月届满后 7 日内或专用合同条款另行约定的时间内签署结清款支付函。</w:t>
      </w:r>
    </w:p>
    <w:p w14:paraId="3B2C37A7">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8.6 在第 8.4 款和第 8.5 款情形下，卖方也可单方签署结清款支付函提交买方，如果买方在收到卖方签署的结清款支付函后 14 日内未向卖方提出书面异议，则结清款支付函自签署之日起生效。</w:t>
      </w:r>
    </w:p>
    <w:p w14:paraId="2A5FD1EB">
      <w:pPr>
        <w:pStyle w:val="6"/>
        <w:spacing w:before="0" w:after="0" w:line="400" w:lineRule="exact"/>
        <w:rPr>
          <w:rFonts w:hint="eastAsia" w:ascii="宋体" w:hAnsi="宋体" w:cs="宋体"/>
          <w:color w:val="auto"/>
          <w:sz w:val="21"/>
          <w:szCs w:val="21"/>
          <w:highlight w:val="none"/>
        </w:rPr>
      </w:pPr>
      <w:bookmarkStart w:id="295" w:name="_bookmark133"/>
      <w:bookmarkEnd w:id="295"/>
      <w:bookmarkStart w:id="296" w:name="_Toc21379"/>
      <w:r>
        <w:rPr>
          <w:rFonts w:hint="eastAsia" w:ascii="宋体" w:hAnsi="宋体" w:cs="宋体"/>
          <w:color w:val="auto"/>
          <w:sz w:val="21"/>
          <w:szCs w:val="21"/>
          <w:highlight w:val="none"/>
        </w:rPr>
        <w:t>9.质保期服务</w:t>
      </w:r>
      <w:bookmarkEnd w:id="296"/>
    </w:p>
    <w:p w14:paraId="3904EC74">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9.1 卖方应为质保期服务配备充足的技术人员、工具和备件并保证提供的联系方式畅通。除专用合同条款和（或）供货要求等合同文件另有约定外，卖方应在收到买方通知后 24 小时内做出响应，如需卖方到合同设备现场，卖方应在收到买方通知后 48 小时内到达，并在到达后 7 日内解决合同设备的故障（重大故障除外）。如果卖方未在上述时间内作出响应，则买方有权自行或委托他人解决相关问题或查找和解决合同设备的故障，卖方应承担由此发生的全部费用。</w:t>
      </w:r>
    </w:p>
    <w:p w14:paraId="0CEFEDF1">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9.2 如卖方技术人员需到合同设备现场进行质保期服务，则买方应免费为卖方技术人员提供工作条件及便利，包括但不限于必要的办公场所、技术资料及出入许可等。除专用合同条款另有约定外，卖方技术人员的交通、食宿费用由卖方承担。卖方技术人员应遵守买方施工现场的各项规章制度和安全操作规程，并服从买方的现场管理。</w:t>
      </w:r>
    </w:p>
    <w:p w14:paraId="6B87FB2F">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9.3 如果任何技术人员不合格，买方有权要求卖方撤换，因撤换而产生的费用应由卖方承担。在不影响质保期服务并且征得买方同意的条件下，卖方也可自负费用更换其技术人员。</w:t>
      </w:r>
    </w:p>
    <w:p w14:paraId="5ABC2299">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9.4 除专用合同条款另有约定外，卖方应就在施工现场进行质保期服务的情况进行记录，记载合同设备故障发生的时间、原因及解决情况等，由买方签字确认，并在质量保证期结束后提交给买方。</w:t>
      </w:r>
    </w:p>
    <w:p w14:paraId="7E883067">
      <w:pPr>
        <w:pStyle w:val="6"/>
        <w:spacing w:before="0" w:after="0" w:line="400" w:lineRule="exact"/>
        <w:rPr>
          <w:rFonts w:hint="eastAsia" w:ascii="宋体" w:hAnsi="宋体" w:cs="宋体"/>
          <w:color w:val="auto"/>
          <w:sz w:val="21"/>
          <w:szCs w:val="21"/>
          <w:highlight w:val="none"/>
        </w:rPr>
      </w:pPr>
      <w:bookmarkStart w:id="297" w:name="_bookmark134"/>
      <w:bookmarkEnd w:id="297"/>
      <w:bookmarkStart w:id="298" w:name="_Toc25407"/>
      <w:r>
        <w:rPr>
          <w:rFonts w:hint="eastAsia" w:ascii="宋体" w:hAnsi="宋体" w:cs="宋体"/>
          <w:color w:val="auto"/>
          <w:sz w:val="21"/>
          <w:szCs w:val="21"/>
          <w:highlight w:val="none"/>
        </w:rPr>
        <w:t>10.履约保证金</w:t>
      </w:r>
      <w:bookmarkEnd w:id="298"/>
    </w:p>
    <w:p w14:paraId="49B5E40A">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除专用合同条款另有约定外，履约保证金自合同生效之日起生效，在合同设备验收证书或验收款支付函签署之日起 28 </w:t>
      </w:r>
      <w:r>
        <w:rPr>
          <w:rFonts w:hint="eastAsia" w:ascii="宋体" w:hAnsi="宋体" w:cs="宋体"/>
          <w:color w:val="auto"/>
          <w:spacing w:val="-4"/>
          <w:sz w:val="21"/>
          <w:szCs w:val="21"/>
          <w:highlight w:val="none"/>
        </w:rPr>
        <w:t>日后失效。如果卖方不履行合同约定的义务或其履行不符合合同的</w:t>
      </w:r>
      <w:r>
        <w:rPr>
          <w:rFonts w:hint="eastAsia" w:ascii="宋体" w:hAnsi="宋体" w:cs="宋体"/>
          <w:color w:val="auto"/>
          <w:sz w:val="21"/>
          <w:szCs w:val="21"/>
          <w:highlight w:val="none"/>
        </w:rPr>
        <w:t>约定，买方有权扣划相应金额的履约保证金。</w:t>
      </w:r>
    </w:p>
    <w:p w14:paraId="61FA40F4">
      <w:pPr>
        <w:pStyle w:val="6"/>
        <w:spacing w:before="0" w:after="0" w:line="400" w:lineRule="exact"/>
        <w:rPr>
          <w:rFonts w:hint="eastAsia" w:ascii="宋体" w:hAnsi="宋体" w:cs="宋体"/>
          <w:color w:val="auto"/>
          <w:sz w:val="21"/>
          <w:szCs w:val="21"/>
          <w:highlight w:val="none"/>
        </w:rPr>
      </w:pPr>
      <w:bookmarkStart w:id="299" w:name="_bookmark135"/>
      <w:bookmarkEnd w:id="299"/>
      <w:bookmarkStart w:id="300" w:name="_Toc26275"/>
      <w:r>
        <w:rPr>
          <w:rFonts w:hint="eastAsia" w:ascii="宋体" w:hAnsi="宋体" w:cs="宋体"/>
          <w:color w:val="auto"/>
          <w:sz w:val="21"/>
          <w:szCs w:val="21"/>
          <w:highlight w:val="none"/>
        </w:rPr>
        <w:t>11.保证</w:t>
      </w:r>
      <w:bookmarkEnd w:id="300"/>
    </w:p>
    <w:p w14:paraId="589AAB01">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11.1 卖方保证其具有完全的能力履行本合同项下的全部义务。</w:t>
      </w:r>
    </w:p>
    <w:p w14:paraId="409F2173">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11.2 卖方保证其所提供的合同设备及对合同的履行符合所有应适用的法律、行政法规、地方性法规、自治条例和单行条例、规章及其他规范性文件的强制性规定。</w:t>
      </w:r>
    </w:p>
    <w:p w14:paraId="33D31BAF">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11.3 卖方保证其对合同设备的销售不损害任何第三方的合法权益和社会公众利益。任何第三方不会因卖方原因而基于所有权、抵押权、留置权或其他任何权利或事由对合同设备主张权利。</w:t>
      </w:r>
    </w:p>
    <w:p w14:paraId="44D9D96C">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11.4 卖方保证合同设备符合合同约定的规格、标准、技术性能考核指标等，能够安全和稳定地运行，且合同设备（包括全部部件）全新、完整、未使用过，除非专用合同条款和（或）供货要求等合同文件另有约定。</w:t>
      </w:r>
    </w:p>
    <w:p w14:paraId="7476DDB2">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11.5 卖方保证，卖方所提供的技术资料完整、清晰、准确，符合合同约定并且能够满足合同设备的安装、调试、考核、操作以及维修和保养的需要。</w:t>
      </w:r>
    </w:p>
    <w:p w14:paraId="0F23F139">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11.6 卖方保证合同范围内提供的备品备件能够满足合同设备在质量保证期结束前正常运行及维修的需要，如在质量保证期结束前因卖方原因出现备品备件短缺影响合同设备正常运行的，卖方应免费提供。</w:t>
      </w:r>
    </w:p>
    <w:p w14:paraId="70E9DF69">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11.7 除专用合同条款和（或）供货要求等合同文件另有约定外，如果在合同设备设计使用寿命期内发生合同项下备品备件停止生产的情况，卖方应事先将拟停止生产的计划通知买方，使买方有足够的时间考虑备品备件的需求量。根据买方要求，卖方应：</w:t>
      </w:r>
    </w:p>
    <w:p w14:paraId="572CB8D4">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pacing w:val="-4"/>
          <w:sz w:val="21"/>
          <w:szCs w:val="21"/>
          <w:highlight w:val="none"/>
        </w:rPr>
        <w:t>（1）以不高于同期市场价格或其向任何第三方销售同类产品的价格提供合同设备正常运行</w:t>
      </w:r>
      <w:r>
        <w:rPr>
          <w:rFonts w:hint="eastAsia" w:ascii="宋体" w:hAnsi="宋体" w:cs="宋体"/>
          <w:color w:val="auto"/>
          <w:sz w:val="21"/>
          <w:szCs w:val="21"/>
          <w:highlight w:val="none"/>
        </w:rPr>
        <w:t>所需的全部备品备件。或</w:t>
      </w:r>
    </w:p>
    <w:p w14:paraId="69BB7641">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pacing w:val="-4"/>
          <w:sz w:val="21"/>
          <w:szCs w:val="21"/>
          <w:highlight w:val="none"/>
        </w:rPr>
        <w:t>（2）免费提供可供买方或第三方制造停产备品备件所需的全部技术资料，以便买方持续获</w:t>
      </w:r>
      <w:r>
        <w:rPr>
          <w:rFonts w:hint="eastAsia" w:ascii="宋体" w:hAnsi="宋体" w:cs="宋体"/>
          <w:color w:val="auto"/>
          <w:spacing w:val="-1"/>
          <w:sz w:val="21"/>
          <w:szCs w:val="21"/>
          <w:highlight w:val="none"/>
        </w:rPr>
        <w:t>得上述备品备件以满足合同设备在寿命期内正常运行的需要。卖方保证买方或买方委托的第三</w:t>
      </w:r>
      <w:r>
        <w:rPr>
          <w:rFonts w:hint="eastAsia" w:ascii="宋体" w:hAnsi="宋体" w:cs="宋体"/>
          <w:color w:val="auto"/>
          <w:sz w:val="21"/>
          <w:szCs w:val="21"/>
          <w:highlight w:val="none"/>
        </w:rPr>
        <w:t>方制造及买方使用这些备品备件不侵犯任何人的知识产权。</w:t>
      </w:r>
    </w:p>
    <w:p w14:paraId="57B48244">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11.8 卖方保证，在合同设备设计使用寿命期内，如果卖方发现合同设备由于设计、制造、 标识等原因存在足以危及人身、财产安全的缺陷，卖方将及时通知买方并及时采取修正或者补充标识、修理、更换等措施消除缺陷。</w:t>
      </w:r>
    </w:p>
    <w:p w14:paraId="42F63EB3">
      <w:pPr>
        <w:pStyle w:val="6"/>
        <w:spacing w:before="0" w:after="0" w:line="400" w:lineRule="exact"/>
        <w:rPr>
          <w:rFonts w:hint="eastAsia" w:ascii="宋体" w:hAnsi="宋体" w:cs="宋体"/>
          <w:color w:val="auto"/>
          <w:sz w:val="21"/>
          <w:szCs w:val="21"/>
          <w:highlight w:val="none"/>
        </w:rPr>
      </w:pPr>
      <w:bookmarkStart w:id="301" w:name="_bookmark136"/>
      <w:bookmarkEnd w:id="301"/>
      <w:bookmarkStart w:id="302" w:name="_Toc17435"/>
      <w:r>
        <w:rPr>
          <w:rFonts w:hint="eastAsia" w:ascii="宋体" w:hAnsi="宋体" w:cs="宋体"/>
          <w:color w:val="auto"/>
          <w:sz w:val="21"/>
          <w:szCs w:val="21"/>
          <w:highlight w:val="none"/>
        </w:rPr>
        <w:t>12.知识产权</w:t>
      </w:r>
      <w:bookmarkEnd w:id="302"/>
    </w:p>
    <w:p w14:paraId="7BD02441">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12.1 买方在履行合同过程中提供给卖方的全部图纸、文件和其他含有数据和信息的资料，其知识产权属于买方。</w:t>
      </w:r>
    </w:p>
    <w:p w14:paraId="7B0BB989">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12.2 除专用合同条款另有约定外，买方不因签署和履行合同而享有卖方在履行合同过程中提供给买方的图纸、文件、配套软件、电子辅助程序和其他含有数据和信息的资料的知识产权。 </w:t>
      </w:r>
    </w:p>
    <w:p w14:paraId="0BD9BA94">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12.3如合同设备涉及知识产权，则卖方保证买方在使用合同设备过程中免于受到第三方提出的有关知识产权侵权的主张、索赔或诉讼的伤害。</w:t>
      </w:r>
    </w:p>
    <w:p w14:paraId="3AD77258">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12.4 如果买方收到任何第三方有关知识产权的主张、索赔或诉讼，卖方在收到买方通知后，应以买方名义并在买方的协助下，自负费用处理与第三方的索赔或诉讼，并赔偿买方因此发生的费用和遭受的损失。除专用合同条款另有约定外，如果卖方拒绝处理前述索赔或诉讼或在收到买方通知后28 日内未作表示，买方可以自己的名义进行这些索赔或诉讼，因此发生的费用和遭受的损失均应由卖方承担。</w:t>
      </w:r>
    </w:p>
    <w:p w14:paraId="764A64BF">
      <w:pPr>
        <w:pStyle w:val="6"/>
        <w:spacing w:before="0" w:after="0" w:line="400" w:lineRule="exact"/>
        <w:rPr>
          <w:rFonts w:hint="eastAsia" w:ascii="宋体" w:hAnsi="宋体" w:cs="宋体"/>
          <w:color w:val="auto"/>
          <w:sz w:val="21"/>
          <w:szCs w:val="21"/>
          <w:highlight w:val="none"/>
        </w:rPr>
      </w:pPr>
      <w:bookmarkStart w:id="303" w:name="_bookmark137"/>
      <w:bookmarkEnd w:id="303"/>
      <w:bookmarkStart w:id="304" w:name="_Toc13943"/>
      <w:r>
        <w:rPr>
          <w:rFonts w:hint="eastAsia" w:ascii="宋体" w:hAnsi="宋体" w:cs="宋体"/>
          <w:color w:val="auto"/>
          <w:sz w:val="21"/>
          <w:szCs w:val="21"/>
          <w:highlight w:val="none"/>
        </w:rPr>
        <w:t>13.保密</w:t>
      </w:r>
      <w:bookmarkEnd w:id="304"/>
    </w:p>
    <w:p w14:paraId="1F07D7DE">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合同双方应对因履行合同而取得的另一方当事人的信息、资料等予以保密。未经另一方当事人书面同意，任何一方均不得为与履行合同无关的目的使用或向第三方披露另一方当事人提供的信息、资料。</w:t>
      </w:r>
    </w:p>
    <w:p w14:paraId="0AF12975">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合同当事人的保密义务不适用于下列信息：</w:t>
      </w:r>
    </w:p>
    <w:p w14:paraId="60D01DC2">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（1）非因接受信息一方的过失现在或以后进入公共领域的信息；</w:t>
      </w:r>
    </w:p>
    <w:p w14:paraId="2B12746B">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（2）接受信息一方当事人合法地从第三方获得并且据其善意了解第三方也不对此承担保密义务的信息；</w:t>
      </w:r>
    </w:p>
    <w:p w14:paraId="7E08F7A5">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（3）法律或法律的执行要求披露的信息。</w:t>
      </w:r>
    </w:p>
    <w:p w14:paraId="39117FC9">
      <w:pPr>
        <w:pStyle w:val="6"/>
        <w:spacing w:before="0" w:after="0" w:line="400" w:lineRule="exact"/>
        <w:rPr>
          <w:rFonts w:hint="eastAsia" w:ascii="宋体" w:hAnsi="宋体" w:cs="宋体"/>
          <w:color w:val="auto"/>
          <w:sz w:val="21"/>
          <w:szCs w:val="21"/>
          <w:highlight w:val="none"/>
        </w:rPr>
      </w:pPr>
      <w:bookmarkStart w:id="305" w:name="_bookmark138"/>
      <w:bookmarkEnd w:id="305"/>
      <w:bookmarkStart w:id="306" w:name="_Toc14862"/>
      <w:r>
        <w:rPr>
          <w:rFonts w:hint="eastAsia" w:ascii="宋体" w:hAnsi="宋体" w:cs="宋体"/>
          <w:color w:val="auto"/>
          <w:sz w:val="21"/>
          <w:szCs w:val="21"/>
          <w:highlight w:val="none"/>
        </w:rPr>
        <w:t>14.违约责任</w:t>
      </w:r>
      <w:bookmarkEnd w:id="306"/>
    </w:p>
    <w:p w14:paraId="6F600BD2">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14.1 合同一方不履行合同义务、履行合同义务不符合约定或者违反合同项下所作保证的，应向对方承担继续履行、采取修理、更换、退货等补救措施或者赔偿损失等违约责任。</w:t>
      </w:r>
    </w:p>
    <w:p w14:paraId="52B27445">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14.2 </w:t>
      </w:r>
      <w:r>
        <w:rPr>
          <w:rFonts w:hint="eastAsia" w:ascii="宋体" w:hAnsi="宋体" w:cs="宋体"/>
          <w:color w:val="auto"/>
          <w:spacing w:val="-3"/>
          <w:sz w:val="21"/>
          <w:szCs w:val="21"/>
          <w:highlight w:val="none"/>
        </w:rPr>
        <w:t xml:space="preserve">卖方未能按时交付合同设备（包括仅迟延交付技术资料但足以导致合同设备安装、调 </w:t>
      </w:r>
      <w:r>
        <w:rPr>
          <w:rFonts w:hint="eastAsia" w:ascii="宋体" w:hAnsi="宋体" w:cs="宋体"/>
          <w:color w:val="auto"/>
          <w:spacing w:val="-6"/>
          <w:sz w:val="21"/>
          <w:szCs w:val="21"/>
          <w:highlight w:val="none"/>
        </w:rPr>
        <w:t>试、考核、验收工作推迟的）的，应向买方支付迟延交付违约金。除专用合同条款另有约定外，</w:t>
      </w:r>
      <w:r>
        <w:rPr>
          <w:rFonts w:hint="eastAsia" w:ascii="宋体" w:hAnsi="宋体" w:cs="宋体"/>
          <w:color w:val="auto"/>
          <w:sz w:val="21"/>
          <w:szCs w:val="21"/>
          <w:highlight w:val="none"/>
        </w:rPr>
        <w:t>迟延交付违约金的计算方法如下：</w:t>
      </w:r>
    </w:p>
    <w:p w14:paraId="23235402">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（1）从迟交的第一周到第四周，每周迟延交付违约金为迟交合同设备价格的 0.5%；</w:t>
      </w:r>
    </w:p>
    <w:p w14:paraId="1D5A9B82">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（2）从迟交的第五周到第八周，每周迟延交付违约金为迟交合同设备价格的 1%；</w:t>
      </w:r>
    </w:p>
    <w:p w14:paraId="380C8858">
      <w:pPr>
        <w:pStyle w:val="2"/>
        <w:spacing w:line="400" w:lineRule="exact"/>
        <w:ind w:firstLine="525" w:firstLineChars="250"/>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（3）从迟交第九周起，每周迟延交付违约金为迟交合同设备价格的 1.5%。 在计算迟延交付违约金时，迟交不足一周的按一周计算。迟延交付违约金的总额不得超过合同价格的 10%。 </w:t>
      </w:r>
    </w:p>
    <w:p w14:paraId="53D761B3">
      <w:pPr>
        <w:pStyle w:val="2"/>
        <w:spacing w:line="400" w:lineRule="exact"/>
        <w:ind w:firstLine="525" w:firstLineChars="250"/>
        <w:rPr>
          <w:rFonts w:hint="eastAsia" w:ascii="宋体" w:hAnsi="宋体" w:cs="宋体"/>
          <w:color w:val="auto"/>
          <w:sz w:val="21"/>
          <w:szCs w:val="21"/>
          <w:highlight w:val="none"/>
        </w:rPr>
      </w:pPr>
      <w:r>
        <w:rPr>
          <w:rFonts w:hint="eastAsia" w:ascii="宋体" w:hAnsi="宋体" w:cs="宋体"/>
          <w:color w:val="auto"/>
          <w:sz w:val="21"/>
          <w:szCs w:val="21"/>
          <w:highlight w:val="none"/>
        </w:rPr>
        <w:t>迟延交付违约金的支付不能免除卖方继续交付相关合同设备的义务，但如迟延交付必然导致合同设备安装、调试、考核、验收工作推迟的，相关工作应相应顺延。</w:t>
      </w:r>
    </w:p>
    <w:p w14:paraId="08CBDFAE">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14.3 买方未能按合同约定支付合同价款的，应向卖方支付延迟付款违约金。除专用合同条款另有约定外，迟延付款违约金的计算方法如下：</w:t>
      </w:r>
    </w:p>
    <w:p w14:paraId="1050CCE9">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（1）从迟付的第一周到第四周，每周迟延付款违约金为迟延付款金额的 0.5%；</w:t>
      </w:r>
    </w:p>
    <w:p w14:paraId="06D1D10D">
      <w:pPr>
        <w:pStyle w:val="2"/>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（2）从迟付的第五周到第八周，每周迟延付款违约金为迟延付款金额的 1%；</w:t>
      </w:r>
    </w:p>
    <w:p w14:paraId="3A4DA15C">
      <w:pPr>
        <w:pStyle w:val="2"/>
        <w:spacing w:line="400" w:lineRule="exact"/>
        <w:ind w:firstLine="518" w:firstLineChars="247"/>
        <w:rPr>
          <w:rFonts w:hint="eastAsia" w:ascii="宋体" w:hAnsi="宋体" w:cs="宋体"/>
          <w:color w:val="auto"/>
          <w:sz w:val="21"/>
          <w:szCs w:val="21"/>
          <w:highlight w:val="none"/>
        </w:rPr>
      </w:pPr>
      <w:r>
        <w:rPr>
          <w:rFonts w:hint="eastAsia" w:ascii="宋体" w:hAnsi="宋体" w:cs="宋体"/>
          <w:color w:val="auto"/>
          <w:sz w:val="21"/>
          <w:szCs w:val="21"/>
          <w:highlight w:val="none"/>
        </w:rPr>
        <w:t>（3）从迟付第九周起，每周迟延付款违约金为迟延付款金额的 1.5%。在计算迟延付款违约金时，迟付不足一周的按一周计算。迟延付款违约金的总额不得超过合同价格的</w:t>
      </w:r>
      <w:r>
        <w:rPr>
          <w:rFonts w:hint="eastAsia" w:ascii="宋体" w:hAnsi="宋体" w:cs="宋体"/>
          <w:color w:val="auto"/>
          <w:spacing w:val="-54"/>
          <w:sz w:val="21"/>
          <w:szCs w:val="21"/>
          <w:highlight w:val="none"/>
        </w:rPr>
        <w:t xml:space="preserve"> </w:t>
      </w:r>
      <w:r>
        <w:rPr>
          <w:rFonts w:hint="eastAsia" w:ascii="宋体" w:hAnsi="宋体" w:cs="宋体"/>
          <w:color w:val="auto"/>
          <w:sz w:val="21"/>
          <w:szCs w:val="21"/>
          <w:highlight w:val="none"/>
        </w:rPr>
        <w:t>10%。</w:t>
      </w:r>
    </w:p>
    <w:p w14:paraId="4F3424C2">
      <w:pPr>
        <w:pStyle w:val="6"/>
        <w:spacing w:before="0" w:after="0" w:line="400" w:lineRule="exact"/>
        <w:rPr>
          <w:rFonts w:hint="eastAsia" w:ascii="宋体" w:hAnsi="宋体" w:cs="宋体"/>
          <w:color w:val="auto"/>
          <w:sz w:val="21"/>
          <w:szCs w:val="21"/>
          <w:highlight w:val="none"/>
        </w:rPr>
      </w:pPr>
      <w:bookmarkStart w:id="307" w:name="_bookmark139"/>
      <w:bookmarkEnd w:id="307"/>
      <w:bookmarkStart w:id="308" w:name="_Toc28282"/>
      <w:r>
        <w:rPr>
          <w:rFonts w:hint="eastAsia" w:ascii="宋体" w:hAnsi="宋体" w:cs="宋体"/>
          <w:color w:val="auto"/>
          <w:sz w:val="21"/>
          <w:szCs w:val="21"/>
          <w:highlight w:val="none"/>
        </w:rPr>
        <w:t>15.合同的解除</w:t>
      </w:r>
      <w:bookmarkEnd w:id="308"/>
    </w:p>
    <w:p w14:paraId="1E72F441">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除专用合同条款另有约定外，有下述情形之一，当事人可发出书面通知全部或部分地解除合同，合同自通知到达对方时全部或部分地解除：</w:t>
      </w:r>
    </w:p>
    <w:p w14:paraId="3B1129EB">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（1）卖方迟延交付合同设备超过 3 个月；</w:t>
      </w:r>
    </w:p>
    <w:p w14:paraId="1C820114">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2）合同设备由于卖方原因三次考核均未能达到技术性能考核指标或在合同约定了或双方在考核中另行达成了最低技术性能考核指标时均未能达到最低技术性能考核指标，且买卖双方未就合同的后续履行协商达成一致；</w:t>
      </w:r>
    </w:p>
    <w:p w14:paraId="42701489">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（3）买方迟延付款超过 3 个月；</w:t>
      </w:r>
    </w:p>
    <w:p w14:paraId="60D0B56B">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（4）合同一方当事人未能履行合同项下任何其它义务（细微义务除外），或在未事先征得另一方当事人同意的情况下，从事任何可能在实质上不利影响其履行合同能力的活动，经另一方当事人书面通知后 14 日内或在专用合同条款约定的其他期限内未能对其行为作出补救；</w:t>
      </w:r>
    </w:p>
    <w:p w14:paraId="41CCA80E">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（5）合同一方当事人出现破产、清算、资不抵债、成为失信被执行人等可能丧失履约能力的情形，且未能提供令对方满意的履约保证金。</w:t>
      </w:r>
    </w:p>
    <w:p w14:paraId="63580749">
      <w:pPr>
        <w:pStyle w:val="6"/>
        <w:spacing w:before="0" w:after="0" w:line="400" w:lineRule="exact"/>
        <w:rPr>
          <w:rFonts w:hint="eastAsia" w:ascii="宋体" w:hAnsi="宋体" w:cs="宋体"/>
          <w:color w:val="auto"/>
          <w:sz w:val="21"/>
          <w:szCs w:val="21"/>
          <w:highlight w:val="none"/>
        </w:rPr>
      </w:pPr>
      <w:bookmarkStart w:id="309" w:name="_bookmark140"/>
      <w:bookmarkEnd w:id="309"/>
      <w:bookmarkStart w:id="310" w:name="_Toc26127"/>
      <w:r>
        <w:rPr>
          <w:rFonts w:hint="eastAsia" w:ascii="宋体" w:hAnsi="宋体" w:cs="宋体"/>
          <w:color w:val="auto"/>
          <w:sz w:val="21"/>
          <w:szCs w:val="21"/>
          <w:highlight w:val="none"/>
        </w:rPr>
        <w:t>16.不可抗力</w:t>
      </w:r>
      <w:bookmarkEnd w:id="310"/>
    </w:p>
    <w:p w14:paraId="431C726E">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16.1 </w:t>
      </w:r>
      <w:r>
        <w:rPr>
          <w:rFonts w:hint="eastAsia" w:ascii="宋体" w:hAnsi="宋体" w:cs="宋体"/>
          <w:color w:val="auto"/>
          <w:spacing w:val="-3"/>
          <w:sz w:val="21"/>
          <w:szCs w:val="21"/>
          <w:highlight w:val="none"/>
        </w:rPr>
        <w:t>如果任何一方当事人受到不能预见、不能避免且不能克服的不可抗力事件的影响，例</w:t>
      </w:r>
      <w:r>
        <w:rPr>
          <w:rFonts w:hint="eastAsia" w:ascii="宋体" w:hAnsi="宋体" w:cs="宋体"/>
          <w:color w:val="auto"/>
          <w:spacing w:val="-1"/>
          <w:sz w:val="21"/>
          <w:szCs w:val="21"/>
          <w:highlight w:val="none"/>
        </w:rPr>
        <w:t>如战争、严重的火灾、台风、地震、洪水和专用合同条款约定的其他情形，而无法履行合同项下的任何义务，则受影响的一方当事人应立即将此类事件的发生通知另一方当事人，并应在不</w:t>
      </w:r>
      <w:r>
        <w:rPr>
          <w:rFonts w:hint="eastAsia" w:ascii="宋体" w:hAnsi="宋体" w:cs="宋体"/>
          <w:color w:val="auto"/>
          <w:sz w:val="21"/>
          <w:szCs w:val="21"/>
          <w:highlight w:val="none"/>
        </w:rPr>
        <w:t>可抗力事件发生后</w:t>
      </w:r>
      <w:r>
        <w:rPr>
          <w:rFonts w:hint="eastAsia" w:ascii="宋体" w:hAnsi="宋体" w:cs="宋体"/>
          <w:color w:val="auto"/>
          <w:spacing w:val="-58"/>
          <w:sz w:val="21"/>
          <w:szCs w:val="21"/>
          <w:highlight w:val="none"/>
        </w:rPr>
        <w:t xml:space="preserve"> </w:t>
      </w:r>
      <w:r>
        <w:rPr>
          <w:rFonts w:hint="eastAsia" w:ascii="宋体" w:hAnsi="宋体" w:cs="宋体"/>
          <w:color w:val="auto"/>
          <w:sz w:val="21"/>
          <w:szCs w:val="21"/>
          <w:highlight w:val="none"/>
        </w:rPr>
        <w:t>28 日内将有关当局或机构出具的证明文件提交给另一方当事人。</w:t>
      </w:r>
    </w:p>
    <w:p w14:paraId="355EC9EB">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16.2 受不可抗力事件影响的一方当事人对于不可抗力事件导致的任何合同义务的迟延履行或不能履行不承担违约责任。但该方当事人应尽快将不可抗力事件结束或消除的情况通知另 一方当事人。</w:t>
      </w:r>
    </w:p>
    <w:p w14:paraId="1074FBB0">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16.3 双方当事人应在不可抗力事件结束或其影响消除后立即继续履行其合同义务，合同期限也应相应顺延。除专用合同条款另有约定外，如果不可抗力事件的影响持续超过 140 日，则任何一方当事人均有权以书面通知解除合同。</w:t>
      </w:r>
    </w:p>
    <w:p w14:paraId="72E85511">
      <w:pPr>
        <w:pStyle w:val="6"/>
        <w:spacing w:before="0" w:after="0" w:line="400" w:lineRule="exact"/>
        <w:rPr>
          <w:rFonts w:hint="eastAsia" w:ascii="宋体" w:hAnsi="宋体" w:cs="宋体"/>
          <w:color w:val="auto"/>
          <w:sz w:val="21"/>
          <w:szCs w:val="21"/>
          <w:highlight w:val="none"/>
        </w:rPr>
      </w:pPr>
      <w:bookmarkStart w:id="311" w:name="_bookmark141"/>
      <w:bookmarkEnd w:id="311"/>
      <w:bookmarkStart w:id="312" w:name="_Toc2419"/>
      <w:r>
        <w:rPr>
          <w:rFonts w:hint="eastAsia" w:ascii="宋体" w:hAnsi="宋体" w:cs="宋体"/>
          <w:color w:val="auto"/>
          <w:sz w:val="21"/>
          <w:szCs w:val="21"/>
          <w:highlight w:val="none"/>
        </w:rPr>
        <w:t>17.争议的解决</w:t>
      </w:r>
      <w:bookmarkEnd w:id="312"/>
    </w:p>
    <w:p w14:paraId="56146DFA">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因本合同引起的或与本合同有关的任何争议，双方可通过友好协商解决。友好协商解决不成的，可在专用合同条款中约定下列一种方式解决：</w:t>
      </w:r>
    </w:p>
    <w:p w14:paraId="68CBF2F3">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（1）向约定的仲裁委员会申请仲裁；</w:t>
      </w:r>
    </w:p>
    <w:p w14:paraId="73343A07">
      <w:pPr>
        <w:pStyle w:val="2"/>
        <w:spacing w:line="400" w:lineRule="exact"/>
        <w:ind w:firstLine="419"/>
        <w:rPr>
          <w:rFonts w:hint="eastAsia" w:ascii="宋体" w:hAnsi="宋体" w:cs="宋体"/>
          <w:color w:val="auto"/>
          <w:sz w:val="21"/>
          <w:szCs w:val="21"/>
          <w:highlight w:val="none"/>
        </w:rPr>
      </w:pPr>
      <w:r>
        <w:rPr>
          <w:rFonts w:hint="eastAsia" w:ascii="宋体" w:hAnsi="宋体" w:cs="宋体"/>
          <w:color w:val="auto"/>
          <w:sz w:val="21"/>
          <w:szCs w:val="21"/>
          <w:highlight w:val="none"/>
        </w:rPr>
        <w:t>（2）向有管辖权的人民法院提起诉讼。</w:t>
      </w:r>
    </w:p>
    <w:p w14:paraId="22EBDE4C">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br w:type="page"/>
      </w:r>
    </w:p>
    <w:p w14:paraId="4DBBD6A3">
      <w:pPr>
        <w:keepNext/>
        <w:keepLines/>
        <w:spacing w:line="400" w:lineRule="exact"/>
        <w:ind w:firstLine="602"/>
        <w:jc w:val="center"/>
        <w:outlineLvl w:val="1"/>
        <w:rPr>
          <w:rFonts w:hint="eastAsia" w:ascii="宋体" w:hAnsi="宋体" w:cs="宋体"/>
          <w:b/>
          <w:bCs/>
          <w:color w:val="auto"/>
          <w:szCs w:val="21"/>
          <w:highlight w:val="none"/>
        </w:rPr>
      </w:pPr>
      <w:bookmarkStart w:id="313" w:name="_Toc1855821887"/>
      <w:bookmarkStart w:id="314" w:name="_Toc1544548515"/>
      <w:bookmarkStart w:id="315" w:name="_Toc959814862"/>
      <w:bookmarkStart w:id="316" w:name="_Toc59203230"/>
      <w:bookmarkStart w:id="317" w:name="_Toc1213986937"/>
      <w:bookmarkStart w:id="318" w:name="_Toc1396605535"/>
      <w:bookmarkStart w:id="319" w:name="_Toc684863254"/>
      <w:bookmarkStart w:id="320" w:name="_Toc1692509930"/>
      <w:bookmarkStart w:id="321" w:name="_Toc1965653373"/>
      <w:bookmarkStart w:id="322" w:name="_Toc2085264998"/>
      <w:bookmarkStart w:id="323" w:name="_Toc286203225"/>
      <w:bookmarkStart w:id="324" w:name="_Toc256000189"/>
      <w:bookmarkStart w:id="325" w:name="_Toc54862331"/>
      <w:bookmarkStart w:id="326" w:name="_Toc895188118"/>
      <w:bookmarkStart w:id="327" w:name="_Toc264308264"/>
      <w:r>
        <w:rPr>
          <w:rFonts w:hint="eastAsia" w:ascii="宋体" w:hAnsi="宋体" w:cs="宋体"/>
          <w:b/>
          <w:bCs/>
          <w:color w:val="auto"/>
          <w:szCs w:val="21"/>
          <w:highlight w:val="none"/>
        </w:rPr>
        <w:t>第三部分 专用合同条件</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5E0A4DDD">
      <w:pPr>
        <w:pStyle w:val="6"/>
        <w:spacing w:before="0" w:after="0" w:line="400" w:lineRule="exact"/>
        <w:rPr>
          <w:rFonts w:hint="eastAsia" w:ascii="宋体" w:hAnsi="宋体" w:cs="宋体"/>
          <w:color w:val="auto"/>
          <w:sz w:val="21"/>
          <w:szCs w:val="21"/>
          <w:highlight w:val="none"/>
        </w:rPr>
      </w:pPr>
      <w:bookmarkStart w:id="328" w:name="_Toc1590"/>
      <w:bookmarkStart w:id="329" w:name="bookmark1582"/>
      <w:bookmarkStart w:id="330" w:name="_Toc30818"/>
      <w:bookmarkStart w:id="331" w:name="bookmark1579"/>
      <w:bookmarkStart w:id="332" w:name="bookmark1580"/>
      <w:bookmarkStart w:id="333" w:name="_Toc21852"/>
      <w:bookmarkStart w:id="334" w:name="_Toc14710438"/>
      <w:r>
        <w:rPr>
          <w:rFonts w:hint="eastAsia" w:ascii="宋体" w:hAnsi="宋体" w:cs="宋体"/>
          <w:color w:val="auto"/>
          <w:sz w:val="21"/>
          <w:szCs w:val="21"/>
          <w:highlight w:val="none"/>
        </w:rPr>
        <w:t>1.一般约定</w:t>
      </w:r>
      <w:bookmarkEnd w:id="328"/>
    </w:p>
    <w:p w14:paraId="4C59F22C">
      <w:pPr>
        <w:pStyle w:val="7"/>
        <w:spacing w:before="0" w:after="0" w:line="400" w:lineRule="exact"/>
        <w:rPr>
          <w:rFonts w:hint="eastAsia" w:ascii="宋体" w:hAnsi="宋体" w:eastAsia="宋体" w:cs="宋体"/>
          <w:color w:val="auto"/>
          <w:sz w:val="21"/>
          <w:szCs w:val="21"/>
          <w:highlight w:val="none"/>
        </w:rPr>
      </w:pPr>
      <w:bookmarkStart w:id="335" w:name="_Toc5869"/>
      <w:r>
        <w:rPr>
          <w:rFonts w:hint="eastAsia" w:ascii="宋体" w:hAnsi="宋体" w:eastAsia="宋体" w:cs="宋体"/>
          <w:color w:val="auto"/>
          <w:sz w:val="21"/>
          <w:szCs w:val="21"/>
          <w:highlight w:val="none"/>
        </w:rPr>
        <w:t>1.1 词语定义</w:t>
      </w:r>
      <w:bookmarkEnd w:id="335"/>
    </w:p>
    <w:p w14:paraId="31AC687D">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1.1.2  合同当事人</w:t>
      </w:r>
    </w:p>
    <w:p w14:paraId="3E314978">
      <w:pPr>
        <w:spacing w:line="400" w:lineRule="exact"/>
        <w:ind w:firstLine="539" w:firstLineChars="257"/>
        <w:rPr>
          <w:rFonts w:hint="eastAsia" w:ascii="宋体" w:hAnsi="宋体" w:cs="宋体"/>
          <w:color w:val="auto"/>
          <w:szCs w:val="21"/>
          <w:highlight w:val="none"/>
          <w:u w:val="single"/>
        </w:rPr>
      </w:pPr>
      <w:r>
        <w:rPr>
          <w:rFonts w:hint="eastAsia" w:ascii="宋体" w:hAnsi="宋体" w:cs="宋体"/>
          <w:color w:val="auto"/>
          <w:szCs w:val="21"/>
          <w:highlight w:val="none"/>
        </w:rPr>
        <w:t>1.1.2.2 买方（发包人）：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3DC5411">
      <w:pPr>
        <w:spacing w:line="400" w:lineRule="exact"/>
        <w:ind w:firstLine="539" w:firstLineChars="257"/>
        <w:rPr>
          <w:rFonts w:hint="eastAsia" w:ascii="宋体" w:hAnsi="宋体" w:cs="宋体"/>
          <w:color w:val="auto"/>
          <w:szCs w:val="21"/>
          <w:highlight w:val="none"/>
        </w:rPr>
      </w:pPr>
      <w:r>
        <w:rPr>
          <w:rFonts w:hint="eastAsia" w:ascii="宋体" w:hAnsi="宋体" w:cs="宋体"/>
          <w:color w:val="auto"/>
          <w:szCs w:val="21"/>
          <w:highlight w:val="none"/>
        </w:rPr>
        <w:t>1.1.2.3 卖方（承包人）：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691D0FD">
      <w:pPr>
        <w:pStyle w:val="7"/>
        <w:spacing w:before="0" w:after="0" w:line="400" w:lineRule="exact"/>
        <w:rPr>
          <w:rFonts w:hint="eastAsia" w:ascii="宋体" w:hAnsi="宋体" w:eastAsia="宋体" w:cs="宋体"/>
          <w:color w:val="auto"/>
          <w:sz w:val="21"/>
          <w:szCs w:val="21"/>
          <w:highlight w:val="none"/>
        </w:rPr>
      </w:pPr>
      <w:bookmarkStart w:id="336" w:name="_Toc6116"/>
      <w:r>
        <w:rPr>
          <w:rFonts w:hint="eastAsia" w:ascii="宋体" w:hAnsi="宋体" w:eastAsia="宋体" w:cs="宋体"/>
          <w:color w:val="auto"/>
          <w:sz w:val="21"/>
          <w:szCs w:val="21"/>
          <w:highlight w:val="none"/>
        </w:rPr>
        <w:t>1.3 合同文件的优先顺序</w:t>
      </w:r>
      <w:bookmarkEnd w:id="336"/>
    </w:p>
    <w:p w14:paraId="130B5853">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解释合同文件的优先顺序如下：</w:t>
      </w:r>
    </w:p>
    <w:p w14:paraId="35481689">
      <w:pPr>
        <w:spacing w:line="400" w:lineRule="exact"/>
        <w:ind w:firstLine="539" w:firstLineChars="257"/>
        <w:rPr>
          <w:rFonts w:hint="eastAsia" w:ascii="宋体" w:hAnsi="宋体" w:cs="宋体"/>
          <w:color w:val="auto"/>
          <w:szCs w:val="21"/>
          <w:highlight w:val="none"/>
        </w:rPr>
      </w:pPr>
      <w:r>
        <w:rPr>
          <w:rFonts w:hint="eastAsia" w:ascii="宋体" w:hAnsi="宋体" w:cs="宋体"/>
          <w:color w:val="auto"/>
          <w:szCs w:val="21"/>
          <w:highlight w:val="none"/>
        </w:rPr>
        <w:t>（1）合同协议书；</w:t>
      </w:r>
    </w:p>
    <w:p w14:paraId="299549F5">
      <w:pPr>
        <w:spacing w:line="400" w:lineRule="exact"/>
        <w:ind w:firstLine="539" w:firstLineChars="257"/>
        <w:rPr>
          <w:rFonts w:hint="eastAsia" w:ascii="宋体" w:hAnsi="宋体" w:cs="宋体"/>
          <w:color w:val="auto"/>
          <w:szCs w:val="21"/>
          <w:highlight w:val="none"/>
        </w:rPr>
      </w:pPr>
      <w:r>
        <w:rPr>
          <w:rFonts w:hint="eastAsia" w:ascii="宋体" w:hAnsi="宋体" w:cs="宋体"/>
          <w:color w:val="auto"/>
          <w:szCs w:val="21"/>
          <w:highlight w:val="none"/>
        </w:rPr>
        <w:t>（2）中标通知书；</w:t>
      </w:r>
    </w:p>
    <w:p w14:paraId="5F42FAB8">
      <w:pPr>
        <w:spacing w:line="400" w:lineRule="exact"/>
        <w:ind w:firstLine="539" w:firstLineChars="257"/>
        <w:rPr>
          <w:rFonts w:hint="eastAsia" w:ascii="宋体" w:hAnsi="宋体" w:cs="宋体"/>
          <w:color w:val="auto"/>
          <w:szCs w:val="21"/>
          <w:highlight w:val="none"/>
        </w:rPr>
      </w:pPr>
      <w:r>
        <w:rPr>
          <w:rFonts w:hint="eastAsia" w:ascii="宋体" w:hAnsi="宋体" w:cs="宋体"/>
          <w:color w:val="auto"/>
          <w:szCs w:val="21"/>
          <w:highlight w:val="none"/>
        </w:rPr>
        <w:t>（3）投标函；</w:t>
      </w:r>
    </w:p>
    <w:p w14:paraId="27993FF5">
      <w:pPr>
        <w:spacing w:line="400" w:lineRule="exact"/>
        <w:ind w:firstLine="539" w:firstLineChars="257"/>
        <w:rPr>
          <w:rFonts w:hint="eastAsia" w:ascii="宋体" w:hAnsi="宋体" w:cs="宋体"/>
          <w:color w:val="auto"/>
          <w:szCs w:val="21"/>
          <w:highlight w:val="none"/>
        </w:rPr>
      </w:pPr>
      <w:r>
        <w:rPr>
          <w:rFonts w:hint="eastAsia" w:ascii="宋体" w:hAnsi="宋体" w:cs="宋体"/>
          <w:color w:val="auto"/>
          <w:szCs w:val="21"/>
          <w:highlight w:val="none"/>
        </w:rPr>
        <w:t>（4）商务和技术偏差表；</w:t>
      </w:r>
    </w:p>
    <w:p w14:paraId="3D376F0C">
      <w:pPr>
        <w:spacing w:line="400" w:lineRule="exact"/>
        <w:ind w:firstLine="539" w:firstLineChars="257"/>
        <w:rPr>
          <w:rFonts w:hint="eastAsia" w:ascii="宋体" w:hAnsi="宋体" w:cs="宋体"/>
          <w:color w:val="auto"/>
          <w:szCs w:val="21"/>
          <w:highlight w:val="none"/>
        </w:rPr>
      </w:pPr>
      <w:r>
        <w:rPr>
          <w:rFonts w:hint="eastAsia" w:ascii="宋体" w:hAnsi="宋体" w:cs="宋体"/>
          <w:color w:val="auto"/>
          <w:szCs w:val="21"/>
          <w:highlight w:val="none"/>
        </w:rPr>
        <w:t>（5）专用合同条款；</w:t>
      </w:r>
    </w:p>
    <w:p w14:paraId="12ABFF6C">
      <w:pPr>
        <w:spacing w:line="400" w:lineRule="exact"/>
        <w:ind w:firstLine="539" w:firstLineChars="257"/>
        <w:rPr>
          <w:rFonts w:hint="eastAsia" w:ascii="宋体" w:hAnsi="宋体" w:cs="宋体"/>
          <w:color w:val="auto"/>
          <w:szCs w:val="21"/>
          <w:highlight w:val="none"/>
        </w:rPr>
      </w:pPr>
      <w:r>
        <w:rPr>
          <w:rFonts w:hint="eastAsia" w:ascii="宋体" w:hAnsi="宋体" w:cs="宋体"/>
          <w:color w:val="auto"/>
          <w:szCs w:val="21"/>
          <w:highlight w:val="none"/>
        </w:rPr>
        <w:t>（6）通用合同条款；</w:t>
      </w:r>
    </w:p>
    <w:p w14:paraId="6B728076">
      <w:pPr>
        <w:spacing w:line="400" w:lineRule="exact"/>
        <w:ind w:firstLine="539" w:firstLineChars="257"/>
        <w:rPr>
          <w:rFonts w:hint="eastAsia" w:ascii="宋体" w:hAnsi="宋体" w:cs="宋体"/>
          <w:color w:val="auto"/>
          <w:szCs w:val="21"/>
          <w:highlight w:val="none"/>
        </w:rPr>
      </w:pPr>
      <w:r>
        <w:rPr>
          <w:rFonts w:hint="eastAsia" w:ascii="宋体" w:hAnsi="宋体" w:cs="宋体"/>
          <w:color w:val="auto"/>
          <w:szCs w:val="21"/>
          <w:highlight w:val="none"/>
        </w:rPr>
        <w:t>（7）供货要求；</w:t>
      </w:r>
    </w:p>
    <w:p w14:paraId="22B731D8">
      <w:pPr>
        <w:spacing w:line="400" w:lineRule="exact"/>
        <w:ind w:firstLine="539" w:firstLineChars="257"/>
        <w:rPr>
          <w:rFonts w:hint="eastAsia" w:ascii="宋体" w:hAnsi="宋体" w:cs="宋体"/>
          <w:color w:val="auto"/>
          <w:szCs w:val="21"/>
          <w:highlight w:val="none"/>
        </w:rPr>
      </w:pPr>
      <w:r>
        <w:rPr>
          <w:rFonts w:hint="eastAsia" w:ascii="宋体" w:hAnsi="宋体" w:cs="宋体"/>
          <w:color w:val="auto"/>
          <w:szCs w:val="21"/>
          <w:highlight w:val="none"/>
        </w:rPr>
        <w:t>（8）分项报价表；</w:t>
      </w:r>
    </w:p>
    <w:p w14:paraId="68FFF26C">
      <w:pPr>
        <w:spacing w:line="400" w:lineRule="exact"/>
        <w:ind w:firstLine="539" w:firstLineChars="257"/>
        <w:rPr>
          <w:rFonts w:hint="eastAsia" w:ascii="宋体" w:hAnsi="宋体" w:cs="宋体"/>
          <w:color w:val="auto"/>
          <w:szCs w:val="21"/>
          <w:highlight w:val="none"/>
        </w:rPr>
      </w:pPr>
      <w:r>
        <w:rPr>
          <w:rFonts w:hint="eastAsia" w:ascii="宋体" w:hAnsi="宋体" w:cs="宋体"/>
          <w:color w:val="auto"/>
          <w:szCs w:val="21"/>
          <w:highlight w:val="none"/>
        </w:rPr>
        <w:t>（9）中标设备技术性能指标的详细描述；</w:t>
      </w:r>
    </w:p>
    <w:p w14:paraId="3E0419F6">
      <w:pPr>
        <w:spacing w:line="400" w:lineRule="exact"/>
        <w:ind w:firstLine="539" w:firstLineChars="257"/>
        <w:rPr>
          <w:rFonts w:hint="eastAsia" w:ascii="宋体" w:hAnsi="宋体" w:cs="宋体"/>
          <w:color w:val="auto"/>
          <w:szCs w:val="21"/>
          <w:highlight w:val="none"/>
        </w:rPr>
      </w:pPr>
      <w:r>
        <w:rPr>
          <w:rFonts w:hint="eastAsia" w:ascii="宋体" w:hAnsi="宋体" w:cs="宋体"/>
          <w:color w:val="auto"/>
          <w:szCs w:val="21"/>
          <w:highlight w:val="none"/>
        </w:rPr>
        <w:t>（10）技术服务和质保期服务计划；</w:t>
      </w:r>
    </w:p>
    <w:p w14:paraId="3E64CE74">
      <w:pPr>
        <w:spacing w:line="400" w:lineRule="exact"/>
        <w:ind w:firstLine="539" w:firstLineChars="257"/>
        <w:rPr>
          <w:rFonts w:hint="eastAsia" w:ascii="宋体" w:hAnsi="宋体" w:cs="宋体"/>
          <w:color w:val="auto"/>
          <w:szCs w:val="21"/>
          <w:highlight w:val="none"/>
        </w:rPr>
      </w:pPr>
      <w:r>
        <w:rPr>
          <w:rFonts w:hint="eastAsia" w:ascii="宋体" w:hAnsi="宋体" w:cs="宋体"/>
          <w:color w:val="auto"/>
          <w:szCs w:val="21"/>
          <w:highlight w:val="none"/>
        </w:rPr>
        <w:t>（11）其他合同文件。</w:t>
      </w:r>
    </w:p>
    <w:p w14:paraId="3C511B0C">
      <w:pPr>
        <w:pStyle w:val="7"/>
        <w:spacing w:before="0" w:after="0" w:line="400" w:lineRule="exact"/>
        <w:rPr>
          <w:rFonts w:hint="eastAsia" w:ascii="宋体" w:hAnsi="宋体" w:eastAsia="宋体" w:cs="宋体"/>
          <w:color w:val="auto"/>
          <w:sz w:val="21"/>
          <w:szCs w:val="21"/>
          <w:highlight w:val="none"/>
        </w:rPr>
      </w:pPr>
      <w:bookmarkStart w:id="337" w:name="_Toc15516"/>
      <w:r>
        <w:rPr>
          <w:rFonts w:hint="eastAsia" w:ascii="宋体" w:hAnsi="宋体" w:eastAsia="宋体" w:cs="宋体"/>
          <w:color w:val="auto"/>
          <w:sz w:val="21"/>
          <w:szCs w:val="21"/>
          <w:highlight w:val="none"/>
        </w:rPr>
        <w:t>1.4 合同的生效及变更</w:t>
      </w:r>
      <w:bookmarkEnd w:id="337"/>
    </w:p>
    <w:p w14:paraId="0E876C36">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1.4.1合同生效的约定：</w:t>
      </w:r>
      <w:r>
        <w:rPr>
          <w:rFonts w:hint="eastAsia" w:ascii="宋体" w:hAnsi="宋体" w:cs="宋体"/>
          <w:color w:val="auto"/>
          <w:szCs w:val="21"/>
          <w:highlight w:val="none"/>
          <w:u w:val="single"/>
          <w:lang w:bidi="zh-CN"/>
        </w:rPr>
        <w:t xml:space="preserve">  经双方法定代表人或其委托代理人在合同文件上签字，加盖单位公章或合同专用章后，合同生效   </w:t>
      </w:r>
      <w:r>
        <w:rPr>
          <w:rFonts w:hint="eastAsia" w:ascii="宋体" w:hAnsi="宋体" w:cs="宋体"/>
          <w:color w:val="auto"/>
          <w:szCs w:val="21"/>
          <w:highlight w:val="none"/>
          <w:lang w:bidi="zh-CN"/>
        </w:rPr>
        <w:t>。</w:t>
      </w:r>
    </w:p>
    <w:p w14:paraId="7C4F06B7">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lang w:bidi="zh-CN"/>
        </w:rPr>
        <w:t>1.4.2合同变更的约定：</w:t>
      </w:r>
      <w:r>
        <w:rPr>
          <w:rFonts w:hint="eastAsia" w:ascii="宋体" w:hAnsi="宋体" w:cs="宋体"/>
          <w:color w:val="auto"/>
          <w:szCs w:val="21"/>
          <w:highlight w:val="none"/>
          <w:u w:val="single"/>
          <w:lang w:bidi="zh-CN"/>
        </w:rPr>
        <w:t xml:space="preserve"> 变更的范围和内容在履行合同中发生以下情形之一，应按照本条规定进行变更。</w:t>
      </w:r>
    </w:p>
    <w:p w14:paraId="7EC19609">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（1）取消合同中任何一项工作， 但被取消的工作不能转由买方或其它人实施；</w:t>
      </w:r>
    </w:p>
    <w:p w14:paraId="63A5C556">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（2）改变合同中任何一项工作的质量或其它特性；</w:t>
      </w:r>
    </w:p>
    <w:p w14:paraId="69906E00">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（3）改变合同工程的基线、标高、位置或尺寸；</w:t>
      </w:r>
    </w:p>
    <w:p w14:paraId="64D8D635">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（4）改变合同中任何一项工作的施工试件或改变已批准的施工工艺或顺序；</w:t>
      </w:r>
    </w:p>
    <w:p w14:paraId="6D9E91C8">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（5）为完成工程需要追加的额外工作。</w:t>
      </w:r>
    </w:p>
    <w:p w14:paraId="774BA063">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（6）增加或减少工程量清单中的单项项目工程量须经过设计单位及买方书面同意方可实施变更和结算。</w:t>
      </w:r>
    </w:p>
    <w:p w14:paraId="2B54E430">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（7）增加或减少工程量清单中的项目须经过设计单位及买方书面同意方可实施并结算；其中，增加的项目单价由卖方、监理人及买方市场询价确定。</w:t>
      </w:r>
    </w:p>
    <w:p w14:paraId="72C2C067">
      <w:pPr>
        <w:pStyle w:val="7"/>
        <w:spacing w:before="0" w:after="0" w:line="400" w:lineRule="exact"/>
        <w:rPr>
          <w:rFonts w:hint="eastAsia" w:ascii="宋体" w:hAnsi="宋体" w:eastAsia="宋体" w:cs="宋体"/>
          <w:color w:val="auto"/>
          <w:sz w:val="21"/>
          <w:szCs w:val="21"/>
          <w:highlight w:val="none"/>
        </w:rPr>
      </w:pPr>
      <w:bookmarkStart w:id="338" w:name="_Toc21708"/>
      <w:r>
        <w:rPr>
          <w:rFonts w:hint="eastAsia" w:ascii="宋体" w:hAnsi="宋体" w:eastAsia="宋体" w:cs="宋体"/>
          <w:color w:val="auto"/>
          <w:sz w:val="21"/>
          <w:szCs w:val="21"/>
          <w:highlight w:val="none"/>
        </w:rPr>
        <w:t>1.5 联络</w:t>
      </w:r>
      <w:bookmarkEnd w:id="338"/>
    </w:p>
    <w:p w14:paraId="345C2DC0">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1.5.1买方指定联系人：姓名：</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、身份证号：</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、联系电话：</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w:t>
      </w:r>
    </w:p>
    <w:p w14:paraId="4F53DBD1">
      <w:pPr>
        <w:spacing w:line="400" w:lineRule="exact"/>
        <w:ind w:firstLine="1050" w:firstLineChars="500"/>
        <w:rPr>
          <w:rFonts w:hint="eastAsia" w:ascii="宋体" w:hAnsi="宋体" w:cs="宋体"/>
          <w:color w:val="auto"/>
          <w:szCs w:val="21"/>
          <w:highlight w:val="none"/>
          <w:lang w:bidi="zh-CN"/>
        </w:rPr>
      </w:pPr>
      <w:r>
        <w:rPr>
          <w:rFonts w:hint="eastAsia" w:ascii="宋体" w:hAnsi="宋体" w:cs="宋体"/>
          <w:color w:val="auto"/>
          <w:szCs w:val="21"/>
          <w:highlight w:val="none"/>
          <w:lang w:bidi="zh-CN"/>
        </w:rPr>
        <w:t>卖方指定联系人：姓名：</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、身份证号：</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、联系电话：</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w:t>
      </w:r>
    </w:p>
    <w:p w14:paraId="5F24BC30">
      <w:pPr>
        <w:spacing w:line="400" w:lineRule="exact"/>
        <w:ind w:firstLine="420" w:firstLineChars="200"/>
        <w:rPr>
          <w:rFonts w:hint="eastAsia" w:ascii="宋体" w:hAnsi="宋体" w:cs="宋体"/>
          <w:color w:val="auto"/>
          <w:szCs w:val="21"/>
          <w:highlight w:val="none"/>
          <w:u w:val="single"/>
          <w:lang w:bidi="zh-CN"/>
        </w:rPr>
      </w:pPr>
      <w:r>
        <w:rPr>
          <w:rFonts w:hint="eastAsia" w:ascii="宋体" w:hAnsi="宋体" w:cs="宋体"/>
          <w:color w:val="auto"/>
          <w:szCs w:val="21"/>
          <w:highlight w:val="none"/>
          <w:lang w:bidi="zh-CN"/>
        </w:rPr>
        <w:t>卖方</w:t>
      </w:r>
      <w:r>
        <w:rPr>
          <w:rFonts w:hint="eastAsia" w:ascii="宋体" w:hAnsi="宋体" w:cs="宋体"/>
          <w:color w:val="auto"/>
          <w:szCs w:val="21"/>
          <w:highlight w:val="none"/>
          <w:u w:val="single"/>
          <w:lang w:bidi="zh-CN"/>
        </w:rPr>
        <w:t>应按合同协议书的约定指派项目经理，并在约定的期限内到职。</w:t>
      </w:r>
      <w:r>
        <w:rPr>
          <w:rFonts w:hint="eastAsia" w:ascii="宋体" w:hAnsi="宋体" w:cs="宋体"/>
          <w:color w:val="auto"/>
          <w:szCs w:val="21"/>
          <w:highlight w:val="none"/>
          <w:lang w:bidi="zh-CN"/>
        </w:rPr>
        <w:t>卖方</w:t>
      </w:r>
      <w:r>
        <w:rPr>
          <w:rFonts w:hint="eastAsia" w:ascii="宋体" w:hAnsi="宋体" w:cs="宋体"/>
          <w:color w:val="auto"/>
          <w:szCs w:val="21"/>
          <w:highlight w:val="none"/>
          <w:u w:val="single"/>
          <w:lang w:bidi="zh-CN"/>
        </w:rPr>
        <w:t>更换项目经理应事先征得</w:t>
      </w:r>
      <w:r>
        <w:rPr>
          <w:rFonts w:hint="eastAsia" w:ascii="宋体" w:hAnsi="宋体" w:cs="宋体"/>
          <w:color w:val="auto"/>
          <w:szCs w:val="21"/>
          <w:highlight w:val="none"/>
          <w:lang w:bidi="zh-CN"/>
        </w:rPr>
        <w:t>买方</w:t>
      </w:r>
      <w:r>
        <w:rPr>
          <w:rFonts w:hint="eastAsia" w:ascii="宋体" w:hAnsi="宋体" w:cs="宋体"/>
          <w:color w:val="auto"/>
          <w:szCs w:val="21"/>
          <w:highlight w:val="none"/>
          <w:u w:val="single"/>
          <w:lang w:bidi="zh-CN"/>
        </w:rPr>
        <w:t>同意，并应在更换 14 天前将拟更换的项目经理的姓名和详细资料提交</w:t>
      </w:r>
      <w:r>
        <w:rPr>
          <w:rFonts w:hint="eastAsia" w:ascii="宋体" w:hAnsi="宋体" w:cs="宋体"/>
          <w:color w:val="auto"/>
          <w:szCs w:val="21"/>
          <w:highlight w:val="none"/>
          <w:lang w:bidi="zh-CN"/>
        </w:rPr>
        <w:t>买方</w:t>
      </w:r>
      <w:r>
        <w:rPr>
          <w:rFonts w:hint="eastAsia" w:ascii="宋体" w:hAnsi="宋体" w:cs="宋体"/>
          <w:color w:val="auto"/>
          <w:szCs w:val="21"/>
          <w:highlight w:val="none"/>
          <w:u w:val="single"/>
          <w:lang w:bidi="zh-CN"/>
        </w:rPr>
        <w:t>和监理人。卖方项目经理 2 天内不能履行职责的，应事先征得监理人同意，并委派代表代行其职责。在情况紧急且无法与监理人取得联系时，可采取保证工程和人员生命财产安全的紧急措施，并在采取措施后 24 小时内向监理人提交书面报告。</w:t>
      </w:r>
      <w:r>
        <w:rPr>
          <w:rFonts w:hint="eastAsia" w:ascii="宋体" w:hAnsi="宋体" w:cs="宋体"/>
          <w:color w:val="auto"/>
          <w:szCs w:val="21"/>
          <w:highlight w:val="none"/>
          <w:lang w:bidi="zh-CN"/>
        </w:rPr>
        <w:t>卖方</w:t>
      </w:r>
      <w:r>
        <w:rPr>
          <w:rFonts w:hint="eastAsia" w:ascii="宋体" w:hAnsi="宋体" w:cs="宋体"/>
          <w:color w:val="auto"/>
          <w:szCs w:val="21"/>
          <w:highlight w:val="none"/>
          <w:u w:val="single"/>
          <w:lang w:bidi="zh-CN"/>
        </w:rPr>
        <w:t>为履行合同发出的一切函件均应盖有</w:t>
      </w:r>
      <w:r>
        <w:rPr>
          <w:rFonts w:hint="eastAsia" w:ascii="宋体" w:hAnsi="宋体" w:cs="宋体"/>
          <w:color w:val="auto"/>
          <w:szCs w:val="21"/>
          <w:highlight w:val="none"/>
          <w:lang w:bidi="zh-CN"/>
        </w:rPr>
        <w:t>卖方</w:t>
      </w:r>
      <w:r>
        <w:rPr>
          <w:rFonts w:hint="eastAsia" w:ascii="宋体" w:hAnsi="宋体" w:cs="宋体"/>
          <w:color w:val="auto"/>
          <w:szCs w:val="21"/>
          <w:highlight w:val="none"/>
          <w:u w:val="single"/>
          <w:lang w:bidi="zh-CN"/>
        </w:rPr>
        <w:t>单位公章或由卖方项目经理签字。</w:t>
      </w:r>
    </w:p>
    <w:p w14:paraId="1F54606C">
      <w:pPr>
        <w:spacing w:line="400" w:lineRule="exact"/>
        <w:ind w:firstLine="420" w:firstLineChars="200"/>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卖方项目经理可以授权其下属人员履行其某项职责，但事先应将这些人员的姓名和授权范围书面通知买方和监理人。</w:t>
      </w:r>
    </w:p>
    <w:p w14:paraId="0303C0B1">
      <w:pPr>
        <w:spacing w:line="400" w:lineRule="exact"/>
        <w:ind w:firstLine="420" w:firstLineChars="200"/>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卖方应在接到开始工作通知之日起14天内，向监理人提交卖方的项目管理机构以及人员安排的报告，其内容应包括项目管理机构的设置、各主要岗位的技术和管理人员名单及其资格，以及设计人员和各工种技术工人的安排状况。卖方安排的主要管理人员和技术人员应相对稳定，更换主要管理人员和技术人员的，应取得监理人的同意，并向监理人提交继任人员的资格、管理经验等资料。卖方安排的主要管理人员包括项目经理、技术负责人以及其他人员等；其他人员（除项目经理、技术负责人外）包括承包人投入本项目的人员。</w:t>
      </w:r>
    </w:p>
    <w:p w14:paraId="4203F548">
      <w:pPr>
        <w:spacing w:line="400" w:lineRule="exact"/>
        <w:ind w:firstLine="420" w:firstLineChars="200"/>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卖方的其他人员应由具有国家规定和发包人要求中约定的资格，并具有从事本项目所必需的经验与能力。</w:t>
      </w:r>
    </w:p>
    <w:p w14:paraId="2CE5A0BA">
      <w:pPr>
        <w:spacing w:line="400" w:lineRule="exact"/>
        <w:ind w:firstLine="420" w:firstLineChars="200"/>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卖方应保证其投入人员(包括分包人的人员)在合同期限内的任何时候，都能按时参加买方或其委托的监理人组织的工作会议。</w:t>
      </w:r>
    </w:p>
    <w:p w14:paraId="0053DAB0">
      <w:pPr>
        <w:spacing w:line="400" w:lineRule="exact"/>
        <w:ind w:firstLine="420" w:firstLineChars="200"/>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国家规定应当持证上岗的工作人员均应持有相应的资格证明，监理人有权随时检查。监理人认为有必要时，可进行现场考核。</w:t>
      </w:r>
    </w:p>
    <w:p w14:paraId="2BF9409F">
      <w:pPr>
        <w:spacing w:line="400" w:lineRule="exact"/>
        <w:ind w:firstLine="420" w:firstLineChars="200"/>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除专用合同条款另有约定外，卖方的主要施工管理人员离开施工现场连续超过 3 天的，应事先征得监理人同意。卖方擅自更换项目经理或主要施 工管理人员，或前述人员未经监理人许可擅自离开施工现场连续超过 3 天的， 应按照专用合同条款约定承担违约责任。</w:t>
      </w:r>
    </w:p>
    <w:p w14:paraId="1430CD76">
      <w:pPr>
        <w:spacing w:line="400" w:lineRule="exact"/>
        <w:ind w:firstLine="420" w:firstLineChars="200"/>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1.6 撤换卖方项目经理和其他人员</w:t>
      </w:r>
    </w:p>
    <w:p w14:paraId="2F46E47C">
      <w:pPr>
        <w:spacing w:line="400" w:lineRule="exact"/>
        <w:ind w:firstLine="420" w:firstLineChars="200"/>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卖方应对其项目经理和其他人员进行有效管理。监理人要求撤换不能胜任 本职工作、行为不端或玩忽职守的承包人项目经理和其他人员的，卖方应予以撤换。</w:t>
      </w:r>
    </w:p>
    <w:p w14:paraId="4DB840DD">
      <w:pPr>
        <w:spacing w:line="400" w:lineRule="exact"/>
        <w:ind w:firstLine="420" w:firstLineChars="200"/>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1.7 保障卖方人员的合法权益</w:t>
      </w:r>
    </w:p>
    <w:p w14:paraId="309D33A1">
      <w:pPr>
        <w:spacing w:line="400" w:lineRule="exact"/>
        <w:ind w:firstLine="420" w:firstLineChars="200"/>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卖方应与其雇佣的人员签订劳动合同，并按时发放工资。</w:t>
      </w:r>
    </w:p>
    <w:p w14:paraId="19D27D0F">
      <w:pPr>
        <w:spacing w:line="400" w:lineRule="exact"/>
        <w:ind w:firstLine="420" w:firstLineChars="200"/>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卖方应按劳动法的规定安排工作时间，保证其雇佣人员享有休息和休假的权利。因设计、施工的特殊需要占用休假日或延长工作时间的，应不超过法律规定的限度，并按法律规定给予补休或付酬。</w:t>
      </w:r>
    </w:p>
    <w:p w14:paraId="3B146C8F">
      <w:pPr>
        <w:spacing w:line="400" w:lineRule="exact"/>
        <w:ind w:firstLine="420" w:firstLineChars="200"/>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卖方应为其雇佣人员提供必要的食宿条件，以及符合环境保护和卫生要求的生活环境，在远离城镇的施工场地，还应配备必要的伤病防治和急救的医务人员与医疗设施。</w:t>
      </w:r>
    </w:p>
    <w:p w14:paraId="19958810">
      <w:pPr>
        <w:spacing w:line="400" w:lineRule="exact"/>
        <w:ind w:firstLine="420" w:firstLineChars="200"/>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卖方应按国家有关劳动保护的规定，采取有效的防止粉尘、降低噪声、控制有害气体和保障高温、高寒、高空作业安全等劳动保护措施。其雇佣人员在施工中受到伤害的，承包人应立即采取有效措施进行抢救和治疗。</w:t>
      </w:r>
    </w:p>
    <w:p w14:paraId="189186B0">
      <w:pPr>
        <w:spacing w:line="400" w:lineRule="exact"/>
        <w:ind w:firstLine="420" w:firstLineChars="200"/>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卖方应按有关法律规定和合同约定，为其雇佣人员办理保险。</w:t>
      </w:r>
    </w:p>
    <w:p w14:paraId="21E8BC3F">
      <w:pPr>
        <w:spacing w:line="400" w:lineRule="exact"/>
        <w:ind w:firstLine="420" w:firstLineChars="200"/>
        <w:rPr>
          <w:rFonts w:hint="eastAsia" w:ascii="宋体" w:hAnsi="宋体" w:cs="宋体"/>
          <w:color w:val="auto"/>
          <w:szCs w:val="21"/>
          <w:highlight w:val="none"/>
          <w:lang w:bidi="zh-CN"/>
        </w:rPr>
      </w:pPr>
      <w:r>
        <w:rPr>
          <w:rFonts w:hint="eastAsia" w:ascii="宋体" w:hAnsi="宋体" w:cs="宋体"/>
          <w:color w:val="auto"/>
          <w:szCs w:val="21"/>
          <w:highlight w:val="none"/>
          <w:u w:val="single"/>
          <w:lang w:bidi="zh-CN"/>
        </w:rPr>
        <w:t>卖方应负责处理其雇佣人员因工伤亡事故的善后事宜。</w:t>
      </w:r>
    </w:p>
    <w:p w14:paraId="788A7A1A">
      <w:pPr>
        <w:pStyle w:val="6"/>
        <w:spacing w:before="0" w:after="0" w:line="400" w:lineRule="exact"/>
        <w:rPr>
          <w:rFonts w:hint="eastAsia" w:ascii="宋体" w:hAnsi="宋体" w:cs="宋体"/>
          <w:color w:val="auto"/>
          <w:sz w:val="21"/>
          <w:szCs w:val="21"/>
          <w:highlight w:val="none"/>
        </w:rPr>
      </w:pPr>
      <w:bookmarkStart w:id="339" w:name="_Toc16804"/>
      <w:r>
        <w:rPr>
          <w:rFonts w:hint="eastAsia" w:ascii="宋体" w:hAnsi="宋体" w:cs="宋体"/>
          <w:color w:val="auto"/>
          <w:sz w:val="21"/>
          <w:szCs w:val="21"/>
          <w:highlight w:val="none"/>
        </w:rPr>
        <w:t>2.合同范围</w:t>
      </w:r>
      <w:bookmarkEnd w:id="339"/>
    </w:p>
    <w:p w14:paraId="737B20A4">
      <w:pPr>
        <w:spacing w:line="400" w:lineRule="exact"/>
        <w:ind w:firstLine="525" w:firstLineChars="250"/>
        <w:rPr>
          <w:rFonts w:hint="eastAsia" w:ascii="宋体" w:hAnsi="宋体" w:cs="宋体"/>
          <w:color w:val="auto"/>
          <w:szCs w:val="21"/>
          <w:highlight w:val="none"/>
          <w:lang w:bidi="zh-CN"/>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lang w:bidi="zh-CN"/>
        </w:rPr>
        <w:t>。</w:t>
      </w:r>
    </w:p>
    <w:p w14:paraId="55A034AE">
      <w:pPr>
        <w:pStyle w:val="6"/>
        <w:spacing w:before="0" w:after="0" w:line="400" w:lineRule="exact"/>
        <w:rPr>
          <w:rFonts w:hint="eastAsia" w:ascii="宋体" w:hAnsi="宋体" w:cs="宋体"/>
          <w:color w:val="auto"/>
          <w:sz w:val="21"/>
          <w:szCs w:val="21"/>
          <w:highlight w:val="none"/>
        </w:rPr>
      </w:pPr>
      <w:bookmarkStart w:id="340" w:name="_Toc16782"/>
      <w:r>
        <w:rPr>
          <w:rFonts w:hint="eastAsia" w:ascii="宋体" w:hAnsi="宋体" w:cs="宋体"/>
          <w:color w:val="auto"/>
          <w:sz w:val="21"/>
          <w:szCs w:val="21"/>
          <w:highlight w:val="none"/>
        </w:rPr>
        <w:t>3.合同价格与支付</w:t>
      </w:r>
      <w:bookmarkEnd w:id="340"/>
    </w:p>
    <w:p w14:paraId="7E11CFD9">
      <w:pPr>
        <w:pStyle w:val="7"/>
        <w:spacing w:before="0" w:after="0" w:line="400" w:lineRule="exact"/>
        <w:rPr>
          <w:rFonts w:hint="eastAsia" w:ascii="宋体" w:hAnsi="宋体" w:eastAsia="宋体" w:cs="宋体"/>
          <w:color w:val="auto"/>
          <w:sz w:val="21"/>
          <w:szCs w:val="21"/>
          <w:highlight w:val="none"/>
        </w:rPr>
      </w:pPr>
      <w:bookmarkStart w:id="341" w:name="_Toc31338"/>
      <w:r>
        <w:rPr>
          <w:rFonts w:hint="eastAsia" w:ascii="宋体" w:hAnsi="宋体" w:eastAsia="宋体" w:cs="宋体"/>
          <w:color w:val="auto"/>
          <w:sz w:val="21"/>
          <w:szCs w:val="21"/>
          <w:highlight w:val="none"/>
        </w:rPr>
        <w:t>3.2 合同价款的支付</w:t>
      </w:r>
      <w:bookmarkEnd w:id="341"/>
    </w:p>
    <w:p w14:paraId="0C5FB378">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3.2.1 预付款</w:t>
      </w:r>
    </w:p>
    <w:p w14:paraId="4E74AAFB">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合同生效后，买方在收到卖方开具的注明应付预付款金额的财务收据正本一份并经审核无误后 28 日内，向卖方支付签约合同价的 30 %作为预付款。（卖方申请支付预付款时需同时提交与申请预付款同等金额的工程预付款保函。预付款保函应由投标人基本账户所在银行开具）</w:t>
      </w:r>
    </w:p>
    <w:p w14:paraId="6CD03559">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预付款在第一、二、三期进度款支付时扣完，每期扣还比例为预付款总额的三分之一。</w:t>
      </w:r>
    </w:p>
    <w:p w14:paraId="0A9B9331">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 xml:space="preserve">3.2.2 </w:t>
      </w:r>
      <w:r>
        <w:rPr>
          <w:rFonts w:hint="eastAsia" w:ascii="宋体" w:hAnsi="宋体" w:cs="宋体"/>
          <w:color w:val="auto"/>
          <w:szCs w:val="21"/>
          <w:highlight w:val="none"/>
          <w:lang w:val="en-US" w:bidi="zh-CN"/>
        </w:rPr>
        <w:t>进度</w:t>
      </w:r>
      <w:r>
        <w:rPr>
          <w:rFonts w:hint="eastAsia" w:ascii="宋体" w:hAnsi="宋体" w:cs="宋体"/>
          <w:color w:val="auto"/>
          <w:szCs w:val="21"/>
          <w:highlight w:val="none"/>
          <w:lang w:bidi="zh-CN"/>
        </w:rPr>
        <w:t xml:space="preserve">款 </w:t>
      </w:r>
    </w:p>
    <w:p w14:paraId="73CEA958">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按月支付，合同内月进度款支付限额为已完成工程量的80%，工程完成竣工累计支付至建安工程费合同价款的80%；合同外（设计变更）累计增加的变更额在合同价的10%以内（含10%），按照计量的80%支付；累计增加的变更金额超出合同价的10%部分，不进行进度款计量支付，留待工程结算时一并研究后支付；工程完工验收达到质量要求后，工程款支付至结算总价的97%（含已支付的）；按工程价款结算总额的3%预留工程质量保证金，待工程缺陷责任期满后返还（无息）；支付工程款费用同时开具足额合法有效的增值税发票至发包人。</w:t>
      </w:r>
    </w:p>
    <w:p w14:paraId="5A4389A1">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3.2.3 验收及结算款</w:t>
      </w:r>
    </w:p>
    <w:p w14:paraId="6C03DEA5">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卖方申请结算报送给买方，经财政评审后确认结算金额并出具结算书，支付至结算总造价的 97%，具体支付金额以财政审核确认为准。</w:t>
      </w:r>
    </w:p>
    <w:p w14:paraId="6B815520">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3.2.4 质保期及结清款</w:t>
      </w:r>
    </w:p>
    <w:p w14:paraId="5BABB01F">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质保金为结算总价的3%，运行维护期为</w:t>
      </w:r>
      <w:r>
        <w:rPr>
          <w:rFonts w:hint="eastAsia" w:ascii="宋体" w:hAnsi="宋体" w:cs="宋体"/>
          <w:color w:val="auto"/>
          <w:szCs w:val="21"/>
          <w:highlight w:val="none"/>
          <w:lang w:val="en-US" w:bidi="zh-CN"/>
        </w:rPr>
        <w:t>24</w:t>
      </w:r>
      <w:r>
        <w:rPr>
          <w:rFonts w:hint="eastAsia" w:ascii="宋体" w:hAnsi="宋体" w:cs="宋体"/>
          <w:color w:val="auto"/>
          <w:szCs w:val="21"/>
          <w:highlight w:val="none"/>
          <w:lang w:bidi="zh-CN"/>
        </w:rPr>
        <w:t>个月（含质保期）：其中质保期为</w:t>
      </w:r>
      <w:r>
        <w:rPr>
          <w:rFonts w:hint="eastAsia" w:ascii="宋体" w:hAnsi="宋体" w:cs="宋体"/>
          <w:color w:val="auto"/>
          <w:szCs w:val="21"/>
          <w:highlight w:val="none"/>
          <w:lang w:val="en-US" w:bidi="zh-CN"/>
        </w:rPr>
        <w:t>1</w:t>
      </w:r>
      <w:r>
        <w:rPr>
          <w:rFonts w:hint="eastAsia" w:ascii="宋体" w:hAnsi="宋体" w:cs="宋体"/>
          <w:color w:val="auto"/>
          <w:szCs w:val="21"/>
          <w:highlight w:val="none"/>
          <w:lang w:bidi="zh-CN"/>
        </w:rPr>
        <w:t>年（在项目合同完工验收合格后质保期内的维修及维护由卖方负责），质保期在项目合同完工验收合格后并出具验收合格证明起计</w:t>
      </w:r>
      <w:r>
        <w:rPr>
          <w:rFonts w:hint="eastAsia" w:ascii="宋体" w:hAnsi="宋体" w:cs="宋体"/>
          <w:color w:val="auto"/>
          <w:szCs w:val="21"/>
          <w:highlight w:val="none"/>
          <w:lang w:val="en-US" w:bidi="zh-CN"/>
        </w:rPr>
        <w:t>1</w:t>
      </w:r>
      <w:r>
        <w:rPr>
          <w:rFonts w:hint="eastAsia" w:ascii="宋体" w:hAnsi="宋体" w:cs="宋体"/>
          <w:color w:val="auto"/>
          <w:szCs w:val="21"/>
          <w:highlight w:val="none"/>
          <w:lang w:bidi="zh-CN"/>
        </w:rPr>
        <w:t>年，质保期满后买方无息返还质保金给卖方；另加1年的运行维护期。</w:t>
      </w:r>
    </w:p>
    <w:p w14:paraId="64908D12">
      <w:pPr>
        <w:pStyle w:val="6"/>
        <w:spacing w:before="0" w:after="0" w:line="400" w:lineRule="exact"/>
        <w:rPr>
          <w:rFonts w:hint="eastAsia" w:ascii="宋体" w:hAnsi="宋体" w:cs="宋体"/>
          <w:color w:val="auto"/>
          <w:sz w:val="21"/>
          <w:szCs w:val="21"/>
          <w:highlight w:val="none"/>
        </w:rPr>
      </w:pPr>
      <w:bookmarkStart w:id="342" w:name="_Toc56792811"/>
      <w:bookmarkStart w:id="343" w:name="_Toc40275035"/>
      <w:bookmarkStart w:id="344" w:name="_Toc38436721"/>
      <w:bookmarkStart w:id="345" w:name="_Toc16955"/>
      <w:bookmarkStart w:id="346" w:name="_Toc38478291"/>
      <w:r>
        <w:rPr>
          <w:rFonts w:hint="eastAsia" w:ascii="宋体" w:hAnsi="宋体" w:cs="宋体"/>
          <w:color w:val="auto"/>
          <w:sz w:val="21"/>
          <w:szCs w:val="21"/>
          <w:highlight w:val="none"/>
        </w:rPr>
        <w:t>4．监造及交货前检验</w:t>
      </w:r>
      <w:bookmarkEnd w:id="342"/>
      <w:bookmarkEnd w:id="343"/>
      <w:bookmarkEnd w:id="344"/>
      <w:bookmarkEnd w:id="345"/>
      <w:bookmarkEnd w:id="346"/>
    </w:p>
    <w:p w14:paraId="1880D664">
      <w:pPr>
        <w:pStyle w:val="7"/>
        <w:spacing w:before="0" w:after="0" w:line="400" w:lineRule="exact"/>
        <w:rPr>
          <w:rFonts w:hint="eastAsia" w:ascii="宋体" w:hAnsi="宋体" w:eastAsia="宋体" w:cs="宋体"/>
          <w:color w:val="auto"/>
          <w:sz w:val="21"/>
          <w:szCs w:val="21"/>
          <w:highlight w:val="none"/>
        </w:rPr>
      </w:pPr>
      <w:bookmarkStart w:id="347" w:name="_Toc32524"/>
      <w:r>
        <w:rPr>
          <w:rFonts w:hint="eastAsia" w:ascii="宋体" w:hAnsi="宋体" w:eastAsia="宋体" w:cs="宋体"/>
          <w:color w:val="auto"/>
          <w:sz w:val="21"/>
          <w:szCs w:val="21"/>
          <w:highlight w:val="none"/>
        </w:rPr>
        <w:t>4.1 监造</w:t>
      </w:r>
      <w:bookmarkEnd w:id="347"/>
    </w:p>
    <w:p w14:paraId="21AD6E8E">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本合同条款约定，买方对合同设备</w:t>
      </w:r>
      <w:r>
        <w:rPr>
          <w:rFonts w:hint="eastAsia" w:ascii="宋体" w:hAnsi="宋体" w:cs="宋体"/>
          <w:color w:val="auto"/>
          <w:szCs w:val="21"/>
          <w:highlight w:val="none"/>
          <w:u w:val="single"/>
          <w:lang w:bidi="zh-CN"/>
        </w:rPr>
        <w:t xml:space="preserve">  不进行  </w:t>
      </w:r>
      <w:r>
        <w:rPr>
          <w:rFonts w:hint="eastAsia" w:ascii="宋体" w:hAnsi="宋体" w:cs="宋体"/>
          <w:color w:val="auto"/>
          <w:szCs w:val="21"/>
          <w:highlight w:val="none"/>
          <w:lang w:bidi="zh-CN"/>
        </w:rPr>
        <w:t>（进行/不进行）监造。</w:t>
      </w:r>
    </w:p>
    <w:p w14:paraId="15770838">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4.1.1 监造范围：</w:t>
      </w:r>
      <w:r>
        <w:rPr>
          <w:rFonts w:hint="eastAsia" w:ascii="宋体" w:hAnsi="宋体" w:cs="宋体"/>
          <w:color w:val="auto"/>
          <w:szCs w:val="21"/>
          <w:highlight w:val="none"/>
          <w:u w:val="single"/>
          <w:lang w:bidi="zh-CN"/>
        </w:rPr>
        <w:t xml:space="preserve">             /                </w:t>
      </w:r>
      <w:r>
        <w:rPr>
          <w:rFonts w:hint="eastAsia" w:ascii="宋体" w:hAnsi="宋体" w:cs="宋体"/>
          <w:color w:val="auto"/>
          <w:szCs w:val="21"/>
          <w:highlight w:val="none"/>
          <w:lang w:bidi="zh-CN"/>
        </w:rPr>
        <w:t>。</w:t>
      </w:r>
    </w:p>
    <w:p w14:paraId="1282FC87">
      <w:pPr>
        <w:spacing w:line="400" w:lineRule="exact"/>
        <w:ind w:firstLine="1050" w:firstLineChars="500"/>
        <w:rPr>
          <w:rFonts w:hint="eastAsia" w:ascii="宋体" w:hAnsi="宋体" w:cs="宋体"/>
          <w:color w:val="auto"/>
          <w:szCs w:val="21"/>
          <w:highlight w:val="none"/>
          <w:lang w:bidi="zh-CN"/>
        </w:rPr>
      </w:pPr>
      <w:r>
        <w:rPr>
          <w:rFonts w:hint="eastAsia" w:ascii="宋体" w:hAnsi="宋体" w:cs="宋体"/>
          <w:color w:val="auto"/>
          <w:szCs w:val="21"/>
          <w:highlight w:val="none"/>
          <w:lang w:bidi="zh-CN"/>
        </w:rPr>
        <w:t>监造方式：</w:t>
      </w:r>
      <w:r>
        <w:rPr>
          <w:rFonts w:hint="eastAsia" w:ascii="宋体" w:hAnsi="宋体" w:cs="宋体"/>
          <w:color w:val="auto"/>
          <w:szCs w:val="21"/>
          <w:highlight w:val="none"/>
          <w:u w:val="single"/>
          <w:lang w:bidi="zh-CN"/>
        </w:rPr>
        <w:t xml:space="preserve">            /                </w:t>
      </w:r>
      <w:r>
        <w:rPr>
          <w:rFonts w:hint="eastAsia" w:ascii="宋体" w:hAnsi="宋体" w:cs="宋体"/>
          <w:color w:val="auto"/>
          <w:szCs w:val="21"/>
          <w:highlight w:val="none"/>
          <w:lang w:bidi="zh-CN"/>
        </w:rPr>
        <w:t xml:space="preserve"> 。</w:t>
      </w:r>
    </w:p>
    <w:p w14:paraId="461E72A7">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4.1.2 卖方为买方监造人员提供以下工作条件及便利：</w:t>
      </w:r>
      <w:r>
        <w:rPr>
          <w:rFonts w:hint="eastAsia" w:ascii="宋体" w:hAnsi="宋体" w:cs="宋体"/>
          <w:color w:val="auto"/>
          <w:szCs w:val="21"/>
          <w:highlight w:val="none"/>
          <w:u w:val="single"/>
          <w:lang w:bidi="zh-CN"/>
        </w:rPr>
        <w:t xml:space="preserve">            /            </w:t>
      </w:r>
      <w:r>
        <w:rPr>
          <w:rFonts w:hint="eastAsia" w:ascii="宋体" w:hAnsi="宋体" w:cs="宋体"/>
          <w:color w:val="auto"/>
          <w:szCs w:val="21"/>
          <w:highlight w:val="none"/>
          <w:lang w:bidi="zh-CN"/>
        </w:rPr>
        <w:t>；买方监造人员的交通、食宿费用由</w:t>
      </w:r>
      <w:r>
        <w:rPr>
          <w:rFonts w:hint="eastAsia" w:ascii="宋体" w:hAnsi="宋体" w:cs="宋体"/>
          <w:color w:val="auto"/>
          <w:szCs w:val="21"/>
          <w:highlight w:val="none"/>
          <w:u w:val="single"/>
          <w:lang w:bidi="zh-CN"/>
        </w:rPr>
        <w:t xml:space="preserve">     /    </w:t>
      </w:r>
      <w:r>
        <w:rPr>
          <w:rFonts w:hint="eastAsia" w:ascii="宋体" w:hAnsi="宋体" w:cs="宋体"/>
          <w:color w:val="auto"/>
          <w:szCs w:val="21"/>
          <w:highlight w:val="none"/>
          <w:lang w:bidi="zh-CN"/>
        </w:rPr>
        <w:t>负责承担。</w:t>
      </w:r>
    </w:p>
    <w:p w14:paraId="19213F92">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4.1.6 双方权利和义务约定如下：                       。</w:t>
      </w:r>
    </w:p>
    <w:p w14:paraId="2B9081C8">
      <w:pPr>
        <w:pStyle w:val="7"/>
        <w:spacing w:before="0" w:after="0" w:line="400" w:lineRule="exact"/>
        <w:rPr>
          <w:rFonts w:hint="eastAsia" w:ascii="宋体" w:hAnsi="宋体" w:eastAsia="宋体" w:cs="宋体"/>
          <w:color w:val="auto"/>
          <w:sz w:val="21"/>
          <w:szCs w:val="21"/>
          <w:highlight w:val="none"/>
        </w:rPr>
      </w:pPr>
      <w:bookmarkStart w:id="348" w:name="_Toc2431"/>
      <w:r>
        <w:rPr>
          <w:rFonts w:hint="eastAsia" w:ascii="宋体" w:hAnsi="宋体" w:eastAsia="宋体" w:cs="宋体"/>
          <w:color w:val="auto"/>
          <w:sz w:val="21"/>
          <w:szCs w:val="21"/>
          <w:highlight w:val="none"/>
        </w:rPr>
        <w:t>4.2 交货前检验</w:t>
      </w:r>
      <w:bookmarkEnd w:id="348"/>
    </w:p>
    <w:p w14:paraId="61CFA2E8">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本合同条款约定，买方</w:t>
      </w:r>
      <w:r>
        <w:rPr>
          <w:rFonts w:hint="eastAsia" w:ascii="宋体" w:hAnsi="宋体" w:cs="宋体"/>
          <w:color w:val="auto"/>
          <w:szCs w:val="21"/>
          <w:highlight w:val="none"/>
          <w:u w:val="single"/>
          <w:lang w:bidi="zh-CN"/>
        </w:rPr>
        <w:t xml:space="preserve">    不参与     </w:t>
      </w:r>
      <w:r>
        <w:rPr>
          <w:rFonts w:hint="eastAsia" w:ascii="宋体" w:hAnsi="宋体" w:cs="宋体"/>
          <w:color w:val="auto"/>
          <w:szCs w:val="21"/>
          <w:highlight w:val="none"/>
          <w:lang w:bidi="zh-CN"/>
        </w:rPr>
        <w:t>（参与/不参与）交货前检验。</w:t>
      </w:r>
    </w:p>
    <w:p w14:paraId="75A98288">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4.2.1 买方代表的交通、食宿费用由</w:t>
      </w:r>
      <w:r>
        <w:rPr>
          <w:rFonts w:hint="eastAsia" w:ascii="宋体" w:hAnsi="宋体" w:cs="宋体"/>
          <w:color w:val="auto"/>
          <w:szCs w:val="21"/>
          <w:highlight w:val="none"/>
          <w:u w:val="single"/>
          <w:lang w:bidi="zh-CN"/>
        </w:rPr>
        <w:t xml:space="preserve">      卖方        </w:t>
      </w:r>
      <w:r>
        <w:rPr>
          <w:rFonts w:hint="eastAsia" w:ascii="宋体" w:hAnsi="宋体" w:cs="宋体"/>
          <w:color w:val="auto"/>
          <w:szCs w:val="21"/>
          <w:highlight w:val="none"/>
          <w:lang w:bidi="zh-CN"/>
        </w:rPr>
        <w:t>（买方/卖方）承担。如由卖方承担的，此费用已包含在合同总价中，买方不另行支付。</w:t>
      </w:r>
    </w:p>
    <w:p w14:paraId="03019CF6">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lang w:bidi="zh-CN"/>
        </w:rPr>
        <w:t>4.2.5 双方权利和义务约定如下：</w:t>
      </w:r>
      <w:r>
        <w:rPr>
          <w:rFonts w:hint="eastAsia" w:ascii="宋体" w:hAnsi="宋体" w:cs="宋体"/>
          <w:color w:val="auto"/>
          <w:szCs w:val="21"/>
          <w:highlight w:val="none"/>
          <w:u w:val="single"/>
          <w:lang w:bidi="zh-CN"/>
        </w:rPr>
        <w:t>用于实施本合同工程的所有设备均由卖方采购。</w:t>
      </w:r>
    </w:p>
    <w:p w14:paraId="6FEF3F17">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1）卖方在投标文件中拟投入的主要工程监测仪器设备，如采用的是国外进口设备，未经买方批准，不得改为国产设备。国产监测仪器设备须为国内知名品牌。</w:t>
      </w:r>
    </w:p>
    <w:p w14:paraId="48543843">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2）卖方在投标文件中拟投入的各型监测仪器设备生产厂家必须有相应生产许可，获得ISO国际质量体系认证，卖方需承诺中标后提供。</w:t>
      </w:r>
    </w:p>
    <w:p w14:paraId="61FF4A43">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3）卖方在投标文件中拟投入的各型监测仪器设备，其型号、规格、技术参数及配置数量等，未经买方批准，不得擅自改变。</w:t>
      </w:r>
    </w:p>
    <w:p w14:paraId="19D0EA12">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4）卖方采购的用于本工程的监测仪器设备到货的验收，须通知监理人参加，接受监理人的监督。卖方应对工程的监测仪器设备的规格、数量、质量及到货时间负责。</w:t>
      </w:r>
    </w:p>
    <w:p w14:paraId="7EB0866F">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5）卖方采购的工程监测仪器设备应有产品检验、质量检验证明和产品合格证，必要时还有检测试验证明。监理人在整个合同有效期内， 在任何地点都有权对卖方采购的工程监测仪器设备进行抽检或全部检查或测试、试验。卖方必须配合监理人。</w:t>
      </w:r>
    </w:p>
    <w:p w14:paraId="55223E9E">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6）除合同另有规定外，为完成本合同各项工作所需的材料和监测仪器设备，均由卖方负责采购（租赁）、验收、运输和保管。未列入工程量清单的工具型仪器（设备）等，除合同另有规定外，均由卖方提供，并计入相关报价中。</w:t>
      </w:r>
    </w:p>
    <w:p w14:paraId="1DC91BA0">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7）卖方负责采购的主要材料和监测仪器（设备）一经与供货厂家签订供货协议，应将一份副本提交买方和监理人。交货验收时，应有监理人参加。</w:t>
      </w:r>
    </w:p>
    <w:p w14:paraId="47359600">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8）任何永久工程仪器（设备）所附带的工器具，经监理人同意可以在安装中使用。在安装 完毕后，这些工器具在移交发包人时应具有良好的状况。买方应承担由于使用和保管不当导致的仪器（设备）附带工具和附件的遗失、损坏所带来的后果。</w:t>
      </w:r>
    </w:p>
    <w:p w14:paraId="6DC865C6">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u w:val="single"/>
          <w:lang w:bidi="zh-CN"/>
        </w:rPr>
        <w:t>9）卖方提供的工具型仪器（设备）等应满足技术标准和有关规范规定。监理人有权随时 抽查卖方使用的工具型仪器设备等设备，并有权要求卖方更换不符合要求或不能满足监测精度要求的设备</w:t>
      </w:r>
      <w:r>
        <w:rPr>
          <w:rFonts w:hint="eastAsia" w:ascii="宋体" w:hAnsi="宋体" w:cs="宋体"/>
          <w:color w:val="auto"/>
          <w:szCs w:val="21"/>
          <w:highlight w:val="none"/>
          <w:lang w:bidi="zh-CN"/>
        </w:rPr>
        <w:t>。</w:t>
      </w:r>
    </w:p>
    <w:p w14:paraId="3BF54CB9">
      <w:pPr>
        <w:pStyle w:val="6"/>
        <w:spacing w:before="0" w:after="0" w:line="400" w:lineRule="exact"/>
        <w:rPr>
          <w:rFonts w:hint="eastAsia" w:ascii="宋体" w:hAnsi="宋体" w:cs="宋体"/>
          <w:color w:val="auto"/>
          <w:sz w:val="21"/>
          <w:szCs w:val="21"/>
          <w:highlight w:val="none"/>
        </w:rPr>
      </w:pPr>
      <w:bookmarkStart w:id="349" w:name="_Toc28262"/>
      <w:r>
        <w:rPr>
          <w:rFonts w:hint="eastAsia" w:ascii="宋体" w:hAnsi="宋体" w:cs="宋体"/>
          <w:color w:val="auto"/>
          <w:sz w:val="21"/>
          <w:szCs w:val="21"/>
          <w:highlight w:val="none"/>
        </w:rPr>
        <w:t>5.包装、标记、运输和交付</w:t>
      </w:r>
      <w:bookmarkEnd w:id="349"/>
    </w:p>
    <w:p w14:paraId="4C8D2F58">
      <w:pPr>
        <w:pStyle w:val="7"/>
        <w:spacing w:before="0" w:after="0" w:line="400" w:lineRule="exact"/>
        <w:rPr>
          <w:rFonts w:hint="eastAsia" w:ascii="宋体" w:hAnsi="宋体" w:eastAsia="宋体" w:cs="宋体"/>
          <w:color w:val="auto"/>
          <w:sz w:val="21"/>
          <w:szCs w:val="21"/>
          <w:highlight w:val="none"/>
        </w:rPr>
      </w:pPr>
      <w:bookmarkStart w:id="350" w:name="_Toc7708"/>
      <w:r>
        <w:rPr>
          <w:rFonts w:hint="eastAsia" w:ascii="宋体" w:hAnsi="宋体" w:eastAsia="宋体" w:cs="宋体"/>
          <w:color w:val="auto"/>
          <w:sz w:val="21"/>
          <w:szCs w:val="21"/>
          <w:highlight w:val="none"/>
        </w:rPr>
        <w:t>5.1包装</w:t>
      </w:r>
      <w:bookmarkEnd w:id="350"/>
    </w:p>
    <w:p w14:paraId="5F5E3083">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5.1.1水利重大项目涉及松木质包装材料的，执行自治区关于松材线虫病防控工作的有关规定，并配合林业部门做好检疫工作。</w:t>
      </w:r>
    </w:p>
    <w:p w14:paraId="3B7800DC">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5.1.3包装退还的约定：</w:t>
      </w:r>
      <w:r>
        <w:rPr>
          <w:rFonts w:hint="eastAsia" w:ascii="宋体" w:hAnsi="宋体" w:cs="宋体"/>
          <w:color w:val="auto"/>
          <w:szCs w:val="21"/>
          <w:highlight w:val="none"/>
          <w:u w:val="single"/>
          <w:lang w:bidi="zh-CN"/>
        </w:rPr>
        <w:t>不退还。</w:t>
      </w:r>
    </w:p>
    <w:p w14:paraId="05C5C7A6">
      <w:pPr>
        <w:pStyle w:val="7"/>
        <w:spacing w:before="0" w:after="0" w:line="400" w:lineRule="exact"/>
        <w:rPr>
          <w:rFonts w:hint="eastAsia" w:ascii="宋体" w:hAnsi="宋体" w:eastAsia="宋体" w:cs="宋体"/>
          <w:color w:val="auto"/>
          <w:sz w:val="21"/>
          <w:szCs w:val="21"/>
          <w:highlight w:val="none"/>
        </w:rPr>
      </w:pPr>
      <w:bookmarkStart w:id="351" w:name="_Toc29220"/>
      <w:r>
        <w:rPr>
          <w:rFonts w:hint="eastAsia" w:ascii="宋体" w:hAnsi="宋体" w:eastAsia="宋体" w:cs="宋体"/>
          <w:color w:val="auto"/>
          <w:sz w:val="21"/>
          <w:szCs w:val="21"/>
          <w:highlight w:val="none"/>
        </w:rPr>
        <w:t>5.2 标记</w:t>
      </w:r>
      <w:bookmarkEnd w:id="351"/>
      <w:r>
        <w:rPr>
          <w:rFonts w:hint="eastAsia" w:ascii="宋体" w:hAnsi="宋体" w:eastAsia="宋体" w:cs="宋体"/>
          <w:color w:val="auto"/>
          <w:sz w:val="21"/>
          <w:szCs w:val="21"/>
          <w:highlight w:val="none"/>
        </w:rPr>
        <w:t xml:space="preserve"> </w:t>
      </w:r>
    </w:p>
    <w:p w14:paraId="0F88E8F9">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5.2.1 包装箱标记内容和方式：</w:t>
      </w:r>
      <w:r>
        <w:rPr>
          <w:rFonts w:hint="eastAsia" w:ascii="宋体" w:hAnsi="宋体" w:cs="宋体"/>
          <w:color w:val="auto"/>
          <w:szCs w:val="21"/>
          <w:highlight w:val="none"/>
          <w:u w:val="single"/>
          <w:lang w:bidi="zh-CN"/>
        </w:rPr>
        <w:t xml:space="preserve">   按通用条款 5.2.1 执行    </w:t>
      </w:r>
      <w:r>
        <w:rPr>
          <w:rFonts w:hint="eastAsia" w:ascii="宋体" w:hAnsi="宋体" w:cs="宋体"/>
          <w:color w:val="auto"/>
          <w:szCs w:val="21"/>
          <w:highlight w:val="none"/>
          <w:lang w:bidi="zh-CN"/>
        </w:rPr>
        <w:t xml:space="preserve"> 。</w:t>
      </w:r>
    </w:p>
    <w:p w14:paraId="125E5EBE">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5.2.2 超大超重件约定：</w:t>
      </w:r>
      <w:r>
        <w:rPr>
          <w:rFonts w:hint="eastAsia" w:ascii="宋体" w:hAnsi="宋体" w:cs="宋体"/>
          <w:color w:val="auto"/>
          <w:szCs w:val="21"/>
          <w:highlight w:val="none"/>
          <w:u w:val="single"/>
          <w:lang w:bidi="zh-CN"/>
        </w:rPr>
        <w:t xml:space="preserve">     按通用条款 5.2.1 执行      </w:t>
      </w:r>
      <w:r>
        <w:rPr>
          <w:rFonts w:hint="eastAsia" w:ascii="宋体" w:hAnsi="宋体" w:cs="宋体"/>
          <w:color w:val="auto"/>
          <w:szCs w:val="21"/>
          <w:highlight w:val="none"/>
          <w:lang w:bidi="zh-CN"/>
        </w:rPr>
        <w:t xml:space="preserve"> 。</w:t>
      </w:r>
    </w:p>
    <w:p w14:paraId="49656109">
      <w:pPr>
        <w:pStyle w:val="7"/>
        <w:spacing w:before="0" w:after="0" w:line="400" w:lineRule="exact"/>
        <w:rPr>
          <w:rFonts w:hint="eastAsia" w:ascii="宋体" w:hAnsi="宋体" w:eastAsia="宋体" w:cs="宋体"/>
          <w:color w:val="auto"/>
          <w:sz w:val="21"/>
          <w:szCs w:val="21"/>
          <w:highlight w:val="none"/>
        </w:rPr>
      </w:pPr>
      <w:bookmarkStart w:id="352" w:name="_Toc4417"/>
      <w:r>
        <w:rPr>
          <w:rFonts w:hint="eastAsia" w:ascii="宋体" w:hAnsi="宋体" w:eastAsia="宋体" w:cs="宋体"/>
          <w:color w:val="auto"/>
          <w:sz w:val="21"/>
          <w:szCs w:val="21"/>
          <w:highlight w:val="none"/>
        </w:rPr>
        <w:t>5.3运输</w:t>
      </w:r>
      <w:bookmarkEnd w:id="352"/>
    </w:p>
    <w:p w14:paraId="51487115">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5.3.3 除专用合同条款另有约定外，卖方应在合同设备预计启运</w:t>
      </w:r>
      <w:r>
        <w:rPr>
          <w:rFonts w:hint="eastAsia" w:ascii="宋体" w:hAnsi="宋体" w:cs="宋体"/>
          <w:color w:val="auto"/>
          <w:szCs w:val="21"/>
          <w:highlight w:val="none"/>
          <w:u w:val="single"/>
          <w:lang w:bidi="zh-CN"/>
        </w:rPr>
        <w:t xml:space="preserve">  7   </w:t>
      </w:r>
      <w:r>
        <w:rPr>
          <w:rFonts w:hint="eastAsia" w:ascii="宋体" w:hAnsi="宋体" w:cs="宋体"/>
          <w:color w:val="auto"/>
          <w:szCs w:val="21"/>
          <w:highlight w:val="none"/>
          <w:lang w:bidi="zh-CN"/>
        </w:rPr>
        <w:t>日前，将合同设备名称、数量、箱数、总毛重、总体积（用 m</w:t>
      </w:r>
      <w:r>
        <w:rPr>
          <w:rFonts w:hint="eastAsia" w:ascii="宋体" w:hAnsi="宋体" w:cs="宋体"/>
          <w:color w:val="auto"/>
          <w:szCs w:val="21"/>
          <w:highlight w:val="none"/>
          <w:vertAlign w:val="superscript"/>
          <w:lang w:bidi="zh-CN"/>
        </w:rPr>
        <w:t>3</w:t>
      </w:r>
      <w:r>
        <w:rPr>
          <w:rFonts w:hint="eastAsia" w:ascii="宋体" w:hAnsi="宋体" w:cs="宋体"/>
          <w:color w:val="auto"/>
          <w:szCs w:val="21"/>
          <w:highlight w:val="none"/>
          <w:lang w:bidi="zh-CN"/>
        </w:rPr>
        <w:t xml:space="preserve"> 表示）、每箱尺寸（长×宽×高）、装运合同设备总金额、运输方式、预计交付日期和合同设备在运输、装卸、保管中的注意事项等预通知买方，并在合同设备启运后</w:t>
      </w:r>
      <w:r>
        <w:rPr>
          <w:rFonts w:hint="eastAsia" w:ascii="宋体" w:hAnsi="宋体" w:cs="宋体"/>
          <w:color w:val="auto"/>
          <w:szCs w:val="21"/>
          <w:highlight w:val="none"/>
          <w:u w:val="single"/>
          <w:lang w:bidi="zh-CN"/>
        </w:rPr>
        <w:t xml:space="preserve">  1   </w:t>
      </w:r>
      <w:r>
        <w:rPr>
          <w:rFonts w:hint="eastAsia" w:ascii="宋体" w:hAnsi="宋体" w:cs="宋体"/>
          <w:color w:val="auto"/>
          <w:szCs w:val="21"/>
          <w:highlight w:val="none"/>
          <w:lang w:bidi="zh-CN"/>
        </w:rPr>
        <w:t>小时之内正式通知买方。</w:t>
      </w:r>
    </w:p>
    <w:p w14:paraId="63271229">
      <w:pPr>
        <w:pStyle w:val="7"/>
        <w:spacing w:before="0" w:after="0" w:line="400" w:lineRule="exact"/>
        <w:rPr>
          <w:rFonts w:hint="eastAsia" w:ascii="宋体" w:hAnsi="宋体" w:eastAsia="宋体" w:cs="宋体"/>
          <w:color w:val="auto"/>
          <w:sz w:val="21"/>
          <w:szCs w:val="21"/>
          <w:highlight w:val="none"/>
        </w:rPr>
      </w:pPr>
      <w:bookmarkStart w:id="353" w:name="_Toc21565"/>
      <w:r>
        <w:rPr>
          <w:rFonts w:hint="eastAsia" w:ascii="宋体" w:hAnsi="宋体" w:eastAsia="宋体" w:cs="宋体"/>
          <w:color w:val="auto"/>
          <w:sz w:val="21"/>
          <w:szCs w:val="21"/>
          <w:highlight w:val="none"/>
        </w:rPr>
        <w:t>5.4 交付</w:t>
      </w:r>
      <w:bookmarkEnd w:id="353"/>
    </w:p>
    <w:p w14:paraId="6CF09F6F">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5.4.1 合同约定的交付时间和批次：</w:t>
      </w:r>
      <w:r>
        <w:rPr>
          <w:rFonts w:hint="eastAsia" w:ascii="宋体" w:hAnsi="宋体" w:cs="宋体"/>
          <w:color w:val="auto"/>
          <w:szCs w:val="21"/>
          <w:highlight w:val="none"/>
          <w:u w:val="single"/>
          <w:lang w:bidi="zh-CN"/>
        </w:rPr>
        <w:t xml:space="preserve">   以发包人的书面通知为准   </w:t>
      </w:r>
      <w:r>
        <w:rPr>
          <w:rFonts w:hint="eastAsia" w:ascii="宋体" w:hAnsi="宋体" w:cs="宋体"/>
          <w:color w:val="auto"/>
          <w:szCs w:val="21"/>
          <w:highlight w:val="none"/>
          <w:lang w:bidi="zh-CN"/>
        </w:rPr>
        <w:t>。交付地点及方式：</w:t>
      </w:r>
      <w:r>
        <w:rPr>
          <w:rFonts w:hint="eastAsia" w:ascii="宋体" w:hAnsi="宋体" w:cs="宋体"/>
          <w:color w:val="auto"/>
          <w:szCs w:val="21"/>
          <w:highlight w:val="none"/>
          <w:u w:val="single"/>
          <w:lang w:bidi="zh-CN"/>
        </w:rPr>
        <w:t xml:space="preserve">   发包人指定地址  </w:t>
      </w:r>
      <w:r>
        <w:rPr>
          <w:rFonts w:hint="eastAsia" w:ascii="宋体" w:hAnsi="宋体" w:cs="宋体"/>
          <w:color w:val="auto"/>
          <w:szCs w:val="21"/>
          <w:highlight w:val="none"/>
          <w:lang w:bidi="zh-CN"/>
        </w:rPr>
        <w:t xml:space="preserve"> 。</w:t>
      </w:r>
    </w:p>
    <w:p w14:paraId="66215EC8">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5.4.3 除专用合同条款另有约定外，买方如果发现技术资料存在短缺和（或）损坏，卖方应在收到买方的通知后</w:t>
      </w:r>
      <w:r>
        <w:rPr>
          <w:rFonts w:hint="eastAsia" w:ascii="宋体" w:hAnsi="宋体" w:cs="宋体"/>
          <w:color w:val="auto"/>
          <w:szCs w:val="21"/>
          <w:highlight w:val="none"/>
          <w:u w:val="single"/>
          <w:lang w:bidi="zh-CN"/>
        </w:rPr>
        <w:t xml:space="preserve">  7  </w:t>
      </w:r>
      <w:r>
        <w:rPr>
          <w:rFonts w:hint="eastAsia" w:ascii="宋体" w:hAnsi="宋体" w:cs="宋体"/>
          <w:color w:val="auto"/>
          <w:szCs w:val="21"/>
          <w:highlight w:val="none"/>
          <w:lang w:bidi="zh-CN"/>
        </w:rPr>
        <w:t>日内免费补齐短缺和（或）损坏的部分。如果买方发现卖方提供的技术资料有误，卖方应在收到买方通知后</w:t>
      </w:r>
      <w:r>
        <w:rPr>
          <w:rFonts w:hint="eastAsia" w:ascii="宋体" w:hAnsi="宋体" w:cs="宋体"/>
          <w:color w:val="auto"/>
          <w:szCs w:val="21"/>
          <w:highlight w:val="none"/>
          <w:u w:val="single"/>
          <w:lang w:bidi="zh-CN"/>
        </w:rPr>
        <w:t xml:space="preserve">  7  </w:t>
      </w:r>
      <w:r>
        <w:rPr>
          <w:rFonts w:hint="eastAsia" w:ascii="宋体" w:hAnsi="宋体" w:cs="宋体"/>
          <w:color w:val="auto"/>
          <w:szCs w:val="21"/>
          <w:highlight w:val="none"/>
          <w:lang w:bidi="zh-CN"/>
        </w:rPr>
        <w:t>日内免费替换。如由于买方原因导致技术资料丢失和（或）损坏，卖方应在收到买方的通知后</w:t>
      </w:r>
      <w:r>
        <w:rPr>
          <w:rFonts w:hint="eastAsia" w:ascii="宋体" w:hAnsi="宋体" w:cs="宋体"/>
          <w:color w:val="auto"/>
          <w:szCs w:val="21"/>
          <w:highlight w:val="none"/>
          <w:u w:val="single"/>
          <w:lang w:bidi="zh-CN"/>
        </w:rPr>
        <w:t xml:space="preserve">  7  </w:t>
      </w:r>
      <w:r>
        <w:rPr>
          <w:rFonts w:hint="eastAsia" w:ascii="宋体" w:hAnsi="宋体" w:cs="宋体"/>
          <w:color w:val="auto"/>
          <w:szCs w:val="21"/>
          <w:highlight w:val="none"/>
          <w:lang w:bidi="zh-CN"/>
        </w:rPr>
        <w:t>日内补齐丢失和（或）损坏的部分，但买方应向卖方支付合理的复制、邮寄费用。</w:t>
      </w:r>
    </w:p>
    <w:p w14:paraId="293E096E">
      <w:pPr>
        <w:pStyle w:val="6"/>
        <w:spacing w:before="0" w:after="0" w:line="400" w:lineRule="exact"/>
        <w:rPr>
          <w:rFonts w:hint="eastAsia" w:ascii="宋体" w:hAnsi="宋体" w:cs="宋体"/>
          <w:color w:val="auto"/>
          <w:sz w:val="21"/>
          <w:szCs w:val="21"/>
          <w:highlight w:val="none"/>
        </w:rPr>
      </w:pPr>
      <w:bookmarkStart w:id="354" w:name="_Toc5243"/>
      <w:r>
        <w:rPr>
          <w:rFonts w:hint="eastAsia" w:ascii="宋体" w:hAnsi="宋体" w:cs="宋体"/>
          <w:color w:val="auto"/>
          <w:sz w:val="21"/>
          <w:szCs w:val="21"/>
          <w:highlight w:val="none"/>
        </w:rPr>
        <w:t>6.开箱检验、安装、调试、考核、验收</w:t>
      </w:r>
      <w:bookmarkEnd w:id="354"/>
    </w:p>
    <w:p w14:paraId="4BFC9495">
      <w:pPr>
        <w:pStyle w:val="7"/>
        <w:spacing w:before="0" w:after="0" w:line="400" w:lineRule="exact"/>
        <w:rPr>
          <w:rFonts w:hint="eastAsia" w:ascii="宋体" w:hAnsi="宋体" w:eastAsia="宋体" w:cs="宋体"/>
          <w:color w:val="auto"/>
          <w:sz w:val="21"/>
          <w:szCs w:val="21"/>
          <w:highlight w:val="none"/>
        </w:rPr>
      </w:pPr>
      <w:bookmarkStart w:id="355" w:name="_Toc14750"/>
      <w:r>
        <w:rPr>
          <w:rFonts w:hint="eastAsia" w:ascii="宋体" w:hAnsi="宋体" w:eastAsia="宋体" w:cs="宋体"/>
          <w:color w:val="auto"/>
          <w:sz w:val="21"/>
          <w:szCs w:val="21"/>
          <w:highlight w:val="none"/>
        </w:rPr>
        <w:t>6.1 开箱检验</w:t>
      </w:r>
      <w:bookmarkEnd w:id="355"/>
      <w:r>
        <w:rPr>
          <w:rFonts w:hint="eastAsia" w:ascii="宋体" w:hAnsi="宋体" w:eastAsia="宋体" w:cs="宋体"/>
          <w:color w:val="auto"/>
          <w:sz w:val="21"/>
          <w:szCs w:val="21"/>
          <w:highlight w:val="none"/>
        </w:rPr>
        <w:t xml:space="preserve"> </w:t>
      </w:r>
    </w:p>
    <w:p w14:paraId="33DCE6E1">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6.1.1 开箱检验时间的约定：</w:t>
      </w:r>
      <w:r>
        <w:rPr>
          <w:rFonts w:hint="eastAsia" w:ascii="宋体" w:hAnsi="宋体" w:cs="宋体"/>
          <w:color w:val="auto"/>
          <w:szCs w:val="21"/>
          <w:highlight w:val="none"/>
          <w:u w:val="single"/>
          <w:lang w:bidi="zh-CN"/>
        </w:rPr>
        <w:t xml:space="preserve">  合同设备交付时  </w:t>
      </w:r>
      <w:r>
        <w:rPr>
          <w:rFonts w:hint="eastAsia" w:ascii="宋体" w:hAnsi="宋体" w:cs="宋体"/>
          <w:color w:val="auto"/>
          <w:szCs w:val="21"/>
          <w:highlight w:val="none"/>
          <w:lang w:bidi="zh-CN"/>
        </w:rPr>
        <w:t>。</w:t>
      </w:r>
    </w:p>
    <w:p w14:paraId="3C921BE8">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6.1.2 开箱检验约定地点：</w:t>
      </w:r>
      <w:r>
        <w:rPr>
          <w:rFonts w:hint="eastAsia" w:ascii="宋体" w:hAnsi="宋体" w:cs="宋体"/>
          <w:color w:val="auto"/>
          <w:szCs w:val="21"/>
          <w:highlight w:val="none"/>
          <w:u w:val="single"/>
          <w:lang w:bidi="zh-CN"/>
        </w:rPr>
        <w:t xml:space="preserve">  施工现场  </w:t>
      </w:r>
      <w:r>
        <w:rPr>
          <w:rFonts w:hint="eastAsia" w:ascii="宋体" w:hAnsi="宋体" w:cs="宋体"/>
          <w:color w:val="auto"/>
          <w:szCs w:val="21"/>
          <w:highlight w:val="none"/>
          <w:lang w:bidi="zh-CN"/>
        </w:rPr>
        <w:t>。</w:t>
      </w:r>
    </w:p>
    <w:p w14:paraId="4C4568C6">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6.1.6 开箱检验中发现合同设备短缺、损坏或其它与合同约定不符的情形，买卖双方责任划分的约定：</w:t>
      </w:r>
      <w:r>
        <w:rPr>
          <w:rFonts w:hint="eastAsia" w:ascii="宋体" w:hAnsi="宋体" w:cs="宋体"/>
          <w:color w:val="auto"/>
          <w:szCs w:val="21"/>
          <w:highlight w:val="none"/>
          <w:u w:val="single"/>
          <w:lang w:bidi="zh-CN"/>
        </w:rPr>
        <w:t xml:space="preserve">  买卖双方责任的短缺、损坏或其它与 合同约定不符的情形，由卖方负责，卖方应补齐、更换及采取其他补救措施。</w:t>
      </w:r>
      <w:r>
        <w:rPr>
          <w:rFonts w:hint="eastAsia" w:ascii="宋体" w:hAnsi="宋体" w:cs="宋体"/>
          <w:color w:val="auto"/>
          <w:szCs w:val="21"/>
          <w:highlight w:val="none"/>
          <w:lang w:bidi="zh-CN"/>
        </w:rPr>
        <w:t>。</w:t>
      </w:r>
    </w:p>
    <w:p w14:paraId="1DD15770">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lang w:bidi="zh-CN"/>
        </w:rPr>
        <w:t xml:space="preserve">6.1.7 第三方检测的约定： </w:t>
      </w:r>
      <w:r>
        <w:rPr>
          <w:rFonts w:hint="eastAsia" w:ascii="宋体" w:hAnsi="宋体" w:cs="宋体"/>
          <w:color w:val="auto"/>
          <w:szCs w:val="21"/>
          <w:highlight w:val="none"/>
          <w:u w:val="single"/>
          <w:lang w:bidi="zh-CN"/>
        </w:rPr>
        <w:t xml:space="preserve">  买方对卖方提供的合同设备质量有疑问时，有权请第三方检测机构对合同设备进行检验，如合同设备检测不合格，卖方应更换合格的合同设备，由此发生的设备更换费用及检测费用由卖方承担  </w:t>
      </w:r>
      <w:r>
        <w:rPr>
          <w:rFonts w:hint="eastAsia" w:ascii="宋体" w:hAnsi="宋体" w:cs="宋体"/>
          <w:color w:val="auto"/>
          <w:szCs w:val="21"/>
          <w:highlight w:val="none"/>
          <w:lang w:bidi="zh-CN"/>
        </w:rPr>
        <w:t>。</w:t>
      </w:r>
    </w:p>
    <w:p w14:paraId="03141F8F">
      <w:pPr>
        <w:pStyle w:val="7"/>
        <w:spacing w:before="0" w:after="0" w:line="400" w:lineRule="exact"/>
        <w:rPr>
          <w:rFonts w:hint="eastAsia" w:ascii="宋体" w:hAnsi="宋体" w:eastAsia="宋体" w:cs="宋体"/>
          <w:color w:val="auto"/>
          <w:sz w:val="21"/>
          <w:szCs w:val="21"/>
          <w:highlight w:val="none"/>
        </w:rPr>
      </w:pPr>
      <w:bookmarkStart w:id="356" w:name="_Toc21588"/>
      <w:r>
        <w:rPr>
          <w:rFonts w:hint="eastAsia" w:ascii="宋体" w:hAnsi="宋体" w:eastAsia="宋体" w:cs="宋体"/>
          <w:color w:val="auto"/>
          <w:sz w:val="21"/>
          <w:szCs w:val="21"/>
          <w:highlight w:val="none"/>
        </w:rPr>
        <w:t>6.2 安装、调试</w:t>
      </w:r>
      <w:bookmarkEnd w:id="356"/>
    </w:p>
    <w:p w14:paraId="360B6972">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6.2.1 开箱检验完成后，双方应对合同设备进行安装、调试，以使其具备考核的状态。安装、调试应按照下列</w:t>
      </w:r>
      <w:r>
        <w:rPr>
          <w:rFonts w:hint="eastAsia" w:ascii="宋体" w:hAnsi="宋体" w:cs="宋体"/>
          <w:color w:val="auto"/>
          <w:szCs w:val="21"/>
          <w:highlight w:val="none"/>
          <w:u w:val="single"/>
        </w:rPr>
        <w:t xml:space="preserve">  （1）   </w:t>
      </w:r>
      <w:r>
        <w:rPr>
          <w:rFonts w:hint="eastAsia" w:ascii="宋体" w:hAnsi="宋体" w:cs="宋体"/>
          <w:color w:val="auto"/>
          <w:szCs w:val="21"/>
          <w:highlight w:val="none"/>
          <w:lang w:bidi="zh-CN"/>
        </w:rPr>
        <w:t>种方式进行：</w:t>
      </w:r>
    </w:p>
    <w:p w14:paraId="6ED9129B">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（1）卖方按照合同约定完成合同设备的安装、调试工作；</w:t>
      </w:r>
    </w:p>
    <w:p w14:paraId="18ABAD23">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2）买方或买方安排第三方负责合同设备的安装、调试工作，卖方提供技术服务。除专用合同条款另有约定外，在安装、调试过程中，如由于买方或买方安排的第三方未按照卖方现场服务人员的指导导致安装、调试不成功和（或）出现合同设备损坏，买方应自行承担责任。如在买方或买方安排的第三方按照卖方现场服务人员的指导进行安装、调试的情况下出现安装、调试不成功和（或）造成合同设备损坏的情况，卖方应承担责任。</w:t>
      </w:r>
    </w:p>
    <w:p w14:paraId="0D1DCFB1">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6.2.2 安装、调试中合同设备运行需要的用水、用电、其他动力和原材料（如需要）等均由</w:t>
      </w:r>
      <w:r>
        <w:rPr>
          <w:rFonts w:hint="eastAsia" w:ascii="宋体" w:hAnsi="宋体" w:cs="宋体"/>
          <w:color w:val="auto"/>
          <w:szCs w:val="21"/>
          <w:highlight w:val="none"/>
          <w:u w:val="single"/>
          <w:lang w:bidi="zh-CN"/>
        </w:rPr>
        <w:t xml:space="preserve">   卖方    </w:t>
      </w:r>
      <w:r>
        <w:rPr>
          <w:rFonts w:hint="eastAsia" w:ascii="宋体" w:hAnsi="宋体" w:cs="宋体"/>
          <w:color w:val="auto"/>
          <w:szCs w:val="21"/>
          <w:highlight w:val="none"/>
          <w:lang w:bidi="zh-CN"/>
        </w:rPr>
        <w:t>（买方/卖方）承担。</w:t>
      </w:r>
    </w:p>
    <w:p w14:paraId="4BB560B6">
      <w:pPr>
        <w:pStyle w:val="7"/>
        <w:spacing w:before="0" w:after="0" w:line="400" w:lineRule="exact"/>
        <w:rPr>
          <w:rFonts w:hint="eastAsia" w:ascii="宋体" w:hAnsi="宋体" w:eastAsia="宋体" w:cs="宋体"/>
          <w:color w:val="auto"/>
          <w:sz w:val="21"/>
          <w:szCs w:val="21"/>
          <w:highlight w:val="none"/>
        </w:rPr>
      </w:pPr>
      <w:bookmarkStart w:id="357" w:name="_Toc29381"/>
      <w:r>
        <w:rPr>
          <w:rFonts w:hint="eastAsia" w:ascii="宋体" w:hAnsi="宋体" w:eastAsia="宋体" w:cs="宋体"/>
          <w:color w:val="auto"/>
          <w:sz w:val="21"/>
          <w:szCs w:val="21"/>
          <w:highlight w:val="none"/>
        </w:rPr>
        <w:t>6.3 考核</w:t>
      </w:r>
      <w:bookmarkEnd w:id="357"/>
    </w:p>
    <w:p w14:paraId="084C14CA">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6.3.1考核中合同设备运行需要的用水、用电、其他动力和原材料（如需要）等均由</w:t>
      </w:r>
      <w:r>
        <w:rPr>
          <w:rFonts w:hint="eastAsia" w:ascii="宋体" w:hAnsi="宋体" w:cs="宋体"/>
          <w:color w:val="auto"/>
          <w:szCs w:val="21"/>
          <w:highlight w:val="none"/>
          <w:u w:val="single"/>
          <w:lang w:bidi="zh-CN"/>
        </w:rPr>
        <w:t xml:space="preserve">    卖方   </w:t>
      </w:r>
      <w:r>
        <w:rPr>
          <w:rFonts w:hint="eastAsia" w:ascii="宋体" w:hAnsi="宋体" w:cs="宋体"/>
          <w:color w:val="auto"/>
          <w:szCs w:val="21"/>
          <w:highlight w:val="none"/>
          <w:lang w:bidi="zh-CN"/>
        </w:rPr>
        <w:t>（买方/卖方）承担。</w:t>
      </w:r>
    </w:p>
    <w:p w14:paraId="69C647B9">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6.3.3 合同设备的最低技术性能考核指标的约定：</w:t>
      </w:r>
      <w:r>
        <w:rPr>
          <w:rFonts w:hint="eastAsia" w:ascii="宋体" w:hAnsi="宋体" w:cs="宋体"/>
          <w:color w:val="auto"/>
          <w:szCs w:val="21"/>
          <w:highlight w:val="none"/>
          <w:u w:val="single"/>
          <w:lang w:bidi="zh-CN"/>
        </w:rPr>
        <w:t xml:space="preserve">   按达到设计使用最低技术要求      </w:t>
      </w:r>
      <w:r>
        <w:rPr>
          <w:rFonts w:hint="eastAsia" w:ascii="宋体" w:hAnsi="宋体" w:cs="宋体"/>
          <w:color w:val="auto"/>
          <w:szCs w:val="21"/>
          <w:highlight w:val="none"/>
          <w:lang w:bidi="zh-CN"/>
        </w:rPr>
        <w:t>；合同设备达到了最低技术性能考核指标的，卖方应</w:t>
      </w:r>
      <w:r>
        <w:rPr>
          <w:rFonts w:hint="eastAsia" w:ascii="宋体" w:hAnsi="宋体" w:cs="宋体"/>
          <w:color w:val="auto"/>
          <w:szCs w:val="21"/>
          <w:highlight w:val="none"/>
          <w:u w:val="single"/>
          <w:lang w:bidi="zh-CN"/>
        </w:rPr>
        <w:t xml:space="preserve">进行减价  </w:t>
      </w:r>
      <w:r>
        <w:rPr>
          <w:rFonts w:hint="eastAsia" w:ascii="宋体" w:hAnsi="宋体" w:cs="宋体"/>
          <w:color w:val="auto"/>
          <w:szCs w:val="21"/>
          <w:highlight w:val="none"/>
          <w:lang w:bidi="zh-CN"/>
        </w:rPr>
        <w:t>（进行减价/向买方支付补偿金），减价或补偿金金额的约定：</w:t>
      </w:r>
      <w:r>
        <w:rPr>
          <w:rFonts w:hint="eastAsia" w:ascii="宋体" w:hAnsi="宋体" w:cs="宋体"/>
          <w:color w:val="auto"/>
          <w:szCs w:val="21"/>
          <w:highlight w:val="none"/>
          <w:u w:val="single"/>
          <w:lang w:bidi="zh-CN"/>
        </w:rPr>
        <w:t xml:space="preserve">  另行约定    </w:t>
      </w:r>
      <w:r>
        <w:rPr>
          <w:rFonts w:hint="eastAsia" w:ascii="宋体" w:hAnsi="宋体" w:cs="宋体"/>
          <w:color w:val="auto"/>
          <w:szCs w:val="21"/>
          <w:highlight w:val="none"/>
          <w:lang w:bidi="zh-CN"/>
        </w:rPr>
        <w:t>。双方在考核中另行达成了合同设备的最低技术性能考核指标，双方应签订补充协议。</w:t>
      </w:r>
    </w:p>
    <w:p w14:paraId="76BA62D7">
      <w:pPr>
        <w:pStyle w:val="7"/>
        <w:spacing w:before="0" w:after="0" w:line="400" w:lineRule="exact"/>
        <w:rPr>
          <w:rFonts w:hint="eastAsia" w:ascii="宋体" w:hAnsi="宋体" w:eastAsia="宋体" w:cs="宋体"/>
          <w:color w:val="auto"/>
          <w:sz w:val="21"/>
          <w:szCs w:val="21"/>
          <w:highlight w:val="none"/>
        </w:rPr>
      </w:pPr>
      <w:bookmarkStart w:id="358" w:name="_Toc25829"/>
      <w:r>
        <w:rPr>
          <w:rFonts w:hint="eastAsia" w:ascii="宋体" w:hAnsi="宋体" w:eastAsia="宋体" w:cs="宋体"/>
          <w:color w:val="auto"/>
          <w:sz w:val="21"/>
          <w:szCs w:val="21"/>
          <w:highlight w:val="none"/>
        </w:rPr>
        <w:t>6.4 验收</w:t>
      </w:r>
      <w:bookmarkEnd w:id="358"/>
    </w:p>
    <w:p w14:paraId="676EBBC1">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6.4.1 如合同设备在考核中达到或视为达到技术性能考核指标，则买卖双方应在考核完成后</w:t>
      </w:r>
      <w:r>
        <w:rPr>
          <w:rFonts w:hint="eastAsia" w:ascii="宋体" w:hAnsi="宋体" w:cs="宋体"/>
          <w:color w:val="auto"/>
          <w:szCs w:val="21"/>
          <w:highlight w:val="none"/>
          <w:u w:val="single"/>
          <w:lang w:bidi="zh-CN"/>
        </w:rPr>
        <w:t xml:space="preserve">  30    </w:t>
      </w:r>
      <w:r>
        <w:rPr>
          <w:rFonts w:hint="eastAsia" w:ascii="宋体" w:hAnsi="宋体" w:cs="宋体"/>
          <w:color w:val="auto"/>
          <w:szCs w:val="21"/>
          <w:highlight w:val="none"/>
          <w:lang w:bidi="zh-CN"/>
        </w:rPr>
        <w:t>日内签署合同设备验收证书一式二份，双方各持一份。验收日期应为合同设备达到或视为达到技术性能考核指标的日期。</w:t>
      </w:r>
    </w:p>
    <w:p w14:paraId="1E25B973">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6.4.2 如由于买方原因合同设备在三次考核中均未能达到技术性能考核指标，买卖双方应在考核结束后</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日内签署验收款支付函。</w:t>
      </w:r>
    </w:p>
    <w:p w14:paraId="28483E8E">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lang w:bidi="zh-CN"/>
        </w:rPr>
        <w:t>卖方后续服务的约定：</w:t>
      </w:r>
      <w:r>
        <w:rPr>
          <w:rFonts w:hint="eastAsia" w:ascii="宋体" w:hAnsi="宋体" w:cs="宋体"/>
          <w:color w:val="auto"/>
          <w:szCs w:val="21"/>
          <w:highlight w:val="none"/>
          <w:u w:val="single"/>
          <w:lang w:bidi="zh-CN"/>
        </w:rPr>
        <w:t xml:space="preserve">   签订合同时另行约定   </w:t>
      </w:r>
      <w:r>
        <w:rPr>
          <w:rFonts w:hint="eastAsia" w:ascii="宋体" w:hAnsi="宋体" w:cs="宋体"/>
          <w:color w:val="auto"/>
          <w:szCs w:val="21"/>
          <w:highlight w:val="none"/>
          <w:lang w:bidi="zh-CN"/>
        </w:rPr>
        <w:t>。</w:t>
      </w:r>
    </w:p>
    <w:p w14:paraId="769495E4">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6.4.3 由于买方原因在最后一批合同设备交货后</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个月内未能开始考核，则买卖双方应在上述期限届满后</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日内签署验收款支付函。</w:t>
      </w:r>
    </w:p>
    <w:p w14:paraId="3D473088">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lang w:bidi="zh-CN"/>
        </w:rPr>
        <w:t>卖方后续服务的约定：</w:t>
      </w:r>
      <w:r>
        <w:rPr>
          <w:rFonts w:hint="eastAsia" w:ascii="宋体" w:hAnsi="宋体" w:cs="宋体"/>
          <w:color w:val="auto"/>
          <w:szCs w:val="21"/>
          <w:highlight w:val="none"/>
          <w:u w:val="single"/>
          <w:lang w:bidi="zh-CN"/>
        </w:rPr>
        <w:t xml:space="preserve">          /              </w:t>
      </w:r>
      <w:r>
        <w:rPr>
          <w:rFonts w:hint="eastAsia" w:ascii="宋体" w:hAnsi="宋体" w:cs="宋体"/>
          <w:color w:val="auto"/>
          <w:szCs w:val="21"/>
          <w:highlight w:val="none"/>
          <w:lang w:bidi="zh-CN"/>
        </w:rPr>
        <w:t>。</w:t>
      </w:r>
    </w:p>
    <w:p w14:paraId="6F1DB00A">
      <w:pPr>
        <w:pStyle w:val="6"/>
        <w:spacing w:before="0" w:after="0" w:line="400" w:lineRule="exact"/>
        <w:rPr>
          <w:rFonts w:hint="eastAsia" w:ascii="宋体" w:hAnsi="宋体" w:cs="宋体"/>
          <w:color w:val="auto"/>
          <w:sz w:val="21"/>
          <w:szCs w:val="21"/>
          <w:highlight w:val="none"/>
        </w:rPr>
      </w:pPr>
      <w:bookmarkStart w:id="359" w:name="_Toc38436724"/>
      <w:bookmarkStart w:id="360" w:name="_Toc40275038"/>
      <w:bookmarkStart w:id="361" w:name="_Toc56792814"/>
      <w:bookmarkStart w:id="362" w:name="_Toc38478294"/>
      <w:bookmarkStart w:id="363" w:name="_Toc6813"/>
      <w:r>
        <w:rPr>
          <w:rFonts w:hint="eastAsia" w:ascii="宋体" w:hAnsi="宋体" w:cs="宋体"/>
          <w:color w:val="auto"/>
          <w:sz w:val="21"/>
          <w:szCs w:val="21"/>
          <w:highlight w:val="none"/>
        </w:rPr>
        <w:t>7．技术服务</w:t>
      </w:r>
      <w:bookmarkEnd w:id="359"/>
      <w:bookmarkEnd w:id="360"/>
      <w:bookmarkEnd w:id="361"/>
      <w:bookmarkEnd w:id="362"/>
      <w:bookmarkEnd w:id="363"/>
      <w:r>
        <w:rPr>
          <w:rFonts w:hint="eastAsia" w:ascii="宋体" w:hAnsi="宋体" w:cs="宋体"/>
          <w:color w:val="auto"/>
          <w:sz w:val="21"/>
          <w:szCs w:val="21"/>
          <w:highlight w:val="none"/>
        </w:rPr>
        <w:t xml:space="preserve"> </w:t>
      </w:r>
    </w:p>
    <w:p w14:paraId="60F75948">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7.2 卖方技术人员的交通、食宿费用由</w:t>
      </w:r>
      <w:r>
        <w:rPr>
          <w:rFonts w:hint="eastAsia" w:ascii="宋体" w:hAnsi="宋体" w:cs="宋体"/>
          <w:color w:val="auto"/>
          <w:szCs w:val="21"/>
          <w:highlight w:val="none"/>
          <w:u w:val="single"/>
          <w:lang w:bidi="zh-CN"/>
        </w:rPr>
        <w:t xml:space="preserve"> 卖方</w:t>
      </w:r>
      <w:r>
        <w:rPr>
          <w:rFonts w:hint="eastAsia" w:ascii="宋体" w:hAnsi="宋体" w:cs="宋体"/>
          <w:color w:val="auto"/>
          <w:szCs w:val="21"/>
          <w:highlight w:val="none"/>
          <w:lang w:bidi="zh-CN"/>
        </w:rPr>
        <w:t>（买方/卖方）承担。</w:t>
      </w:r>
    </w:p>
    <w:p w14:paraId="0C28FD7F">
      <w:pPr>
        <w:spacing w:line="400" w:lineRule="exact"/>
        <w:ind w:firstLine="539" w:firstLineChars="257"/>
        <w:rPr>
          <w:rFonts w:hint="eastAsia" w:ascii="宋体" w:hAnsi="宋体" w:cs="宋体"/>
          <w:color w:val="auto"/>
          <w:szCs w:val="21"/>
          <w:highlight w:val="none"/>
          <w:u w:val="single"/>
          <w:lang w:bidi="zh-CN"/>
        </w:rPr>
      </w:pPr>
      <w:r>
        <w:rPr>
          <w:rFonts w:hint="eastAsia" w:ascii="宋体" w:hAnsi="宋体" w:cs="宋体"/>
          <w:color w:val="auto"/>
          <w:szCs w:val="21"/>
          <w:highlight w:val="none"/>
          <w:lang w:bidi="zh-CN"/>
        </w:rPr>
        <w:t>7.5本项目其他技术服务要求：</w:t>
      </w:r>
      <w:r>
        <w:rPr>
          <w:rFonts w:hint="eastAsia" w:ascii="宋体" w:hAnsi="宋体" w:cs="宋体"/>
          <w:color w:val="auto"/>
          <w:spacing w:val="-1"/>
          <w:szCs w:val="21"/>
          <w:highlight w:val="none"/>
          <w:u w:val="single"/>
        </w:rPr>
        <w:t>质保期届满后，卖方负责再提供12个月的设备维护和网络、数据通讯服务，所需费用由卖方承担</w:t>
      </w:r>
      <w:r>
        <w:rPr>
          <w:rFonts w:hint="eastAsia" w:ascii="宋体" w:hAnsi="宋体" w:cs="宋体"/>
          <w:color w:val="auto"/>
          <w:spacing w:val="-2"/>
          <w:szCs w:val="21"/>
          <w:highlight w:val="none"/>
          <w:u w:val="single"/>
        </w:rPr>
        <w:t>。</w:t>
      </w:r>
      <w:r>
        <w:rPr>
          <w:rFonts w:hint="eastAsia" w:ascii="宋体" w:hAnsi="宋体" w:cs="宋体"/>
          <w:color w:val="auto"/>
          <w:szCs w:val="21"/>
          <w:highlight w:val="none"/>
          <w:u w:val="single"/>
          <w:lang w:bidi="zh-CN"/>
        </w:rPr>
        <w:t xml:space="preserve">        </w:t>
      </w:r>
    </w:p>
    <w:p w14:paraId="1B91988D">
      <w:pPr>
        <w:pStyle w:val="6"/>
        <w:spacing w:before="0" w:after="0" w:line="400" w:lineRule="exact"/>
        <w:rPr>
          <w:rFonts w:hint="eastAsia" w:ascii="宋体" w:hAnsi="宋体" w:cs="宋体"/>
          <w:color w:val="auto"/>
          <w:sz w:val="21"/>
          <w:szCs w:val="21"/>
          <w:highlight w:val="none"/>
        </w:rPr>
      </w:pPr>
      <w:bookmarkStart w:id="364" w:name="_Toc14299"/>
      <w:r>
        <w:rPr>
          <w:rFonts w:hint="eastAsia" w:ascii="宋体" w:hAnsi="宋体" w:cs="宋体"/>
          <w:color w:val="auto"/>
          <w:sz w:val="21"/>
          <w:szCs w:val="21"/>
          <w:highlight w:val="none"/>
        </w:rPr>
        <w:t>8.质量保证期</w:t>
      </w:r>
      <w:bookmarkEnd w:id="364"/>
    </w:p>
    <w:p w14:paraId="3B962187">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8.1 合同设备整体质量保证期为验收之日起</w:t>
      </w:r>
      <w:r>
        <w:rPr>
          <w:rFonts w:hint="eastAsia" w:ascii="宋体" w:hAnsi="宋体" w:cs="宋体"/>
          <w:color w:val="auto"/>
          <w:szCs w:val="21"/>
          <w:highlight w:val="none"/>
          <w:u w:val="single"/>
          <w:lang w:bidi="zh-CN"/>
        </w:rPr>
        <w:t xml:space="preserve">    24    </w:t>
      </w:r>
      <w:r>
        <w:rPr>
          <w:rFonts w:hint="eastAsia" w:ascii="宋体" w:hAnsi="宋体" w:cs="宋体"/>
          <w:color w:val="auto"/>
          <w:szCs w:val="21"/>
          <w:highlight w:val="none"/>
          <w:lang w:bidi="zh-CN"/>
        </w:rPr>
        <w:t>个月。合同设备中关键部件的质量保证期特殊要求：</w:t>
      </w:r>
      <w:r>
        <w:rPr>
          <w:rFonts w:hint="eastAsia" w:ascii="宋体" w:hAnsi="宋体" w:cs="宋体"/>
          <w:color w:val="auto"/>
          <w:szCs w:val="21"/>
          <w:highlight w:val="none"/>
          <w:u w:val="single"/>
          <w:lang w:bidi="zh-CN"/>
        </w:rPr>
        <w:t xml:space="preserve">    卖方在接到买方要求进场服务通知 24 小时内必须派相关技术人员到达现场进行技术服务，承包人技术人员没有按时到达现场的，买方有权要求承包人支付 500 元/天的违约金    </w:t>
      </w:r>
      <w:r>
        <w:rPr>
          <w:rFonts w:hint="eastAsia" w:ascii="宋体" w:hAnsi="宋体" w:cs="宋体"/>
          <w:color w:val="auto"/>
          <w:szCs w:val="21"/>
          <w:highlight w:val="none"/>
          <w:lang w:bidi="zh-CN"/>
        </w:rPr>
        <w:t>。</w:t>
      </w:r>
    </w:p>
    <w:p w14:paraId="09911CC0">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8.3 质量保证期届满后，买方应在</w:t>
      </w:r>
      <w:r>
        <w:rPr>
          <w:rFonts w:hint="eastAsia" w:ascii="宋体" w:hAnsi="宋体" w:cs="宋体"/>
          <w:color w:val="auto"/>
          <w:szCs w:val="21"/>
          <w:highlight w:val="none"/>
          <w:u w:val="single"/>
          <w:lang w:bidi="zh-CN"/>
        </w:rPr>
        <w:t xml:space="preserve">    30     </w:t>
      </w:r>
      <w:r>
        <w:rPr>
          <w:rFonts w:hint="eastAsia" w:ascii="宋体" w:hAnsi="宋体" w:cs="宋体"/>
          <w:color w:val="auto"/>
          <w:szCs w:val="21"/>
          <w:highlight w:val="none"/>
          <w:lang w:bidi="zh-CN"/>
        </w:rPr>
        <w:t>日内向卖方出具合同设备的质量保证期届满证书。</w:t>
      </w:r>
    </w:p>
    <w:p w14:paraId="1F08AA06">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8.4 在合同第 6.4.2 项情形下，如在验收款支付函签署后 12 个月内由于买方原因合同设备仍未能达到技术性能考核指标，则买卖双方应在</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内签署结清款支付函。</w:t>
      </w:r>
    </w:p>
    <w:p w14:paraId="2A6F6B78">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8.5 在合同第 6.4.3 项情形下，如在验收款支付函签署后 6 个月内由于买方原因合同设备仍未进行考核或仍未达到技术性能考核指标，则买卖双方应在</w:t>
      </w:r>
      <w:r>
        <w:rPr>
          <w:rFonts w:hint="eastAsia" w:ascii="宋体" w:hAnsi="宋体" w:cs="宋体"/>
          <w:color w:val="auto"/>
          <w:szCs w:val="21"/>
          <w:highlight w:val="none"/>
          <w:u w:val="single"/>
          <w:lang w:bidi="zh-CN"/>
        </w:rPr>
        <w:t xml:space="preserve">    /      </w:t>
      </w:r>
      <w:r>
        <w:rPr>
          <w:rFonts w:hint="eastAsia" w:ascii="宋体" w:hAnsi="宋体" w:cs="宋体"/>
          <w:color w:val="auto"/>
          <w:szCs w:val="21"/>
          <w:highlight w:val="none"/>
          <w:lang w:bidi="zh-CN"/>
        </w:rPr>
        <w:t>内签署结清款支付函。</w:t>
      </w:r>
    </w:p>
    <w:p w14:paraId="0F7A926B">
      <w:pPr>
        <w:pStyle w:val="6"/>
        <w:spacing w:before="0" w:after="0" w:line="400" w:lineRule="exact"/>
        <w:rPr>
          <w:rFonts w:hint="eastAsia" w:ascii="宋体" w:hAnsi="宋体" w:cs="宋体"/>
          <w:color w:val="auto"/>
          <w:sz w:val="21"/>
          <w:szCs w:val="21"/>
          <w:highlight w:val="none"/>
        </w:rPr>
      </w:pPr>
      <w:bookmarkStart w:id="365" w:name="_Toc38478296"/>
      <w:bookmarkStart w:id="366" w:name="_Toc40275040"/>
      <w:bookmarkStart w:id="367" w:name="_Toc56792816"/>
      <w:bookmarkStart w:id="368" w:name="_Toc38436726"/>
      <w:bookmarkStart w:id="369" w:name="_Toc15584"/>
      <w:r>
        <w:rPr>
          <w:rFonts w:hint="eastAsia" w:ascii="宋体" w:hAnsi="宋体" w:cs="宋体"/>
          <w:color w:val="auto"/>
          <w:sz w:val="21"/>
          <w:szCs w:val="21"/>
          <w:highlight w:val="none"/>
        </w:rPr>
        <w:t>9．质保期服务</w:t>
      </w:r>
      <w:bookmarkEnd w:id="365"/>
      <w:bookmarkEnd w:id="366"/>
      <w:bookmarkEnd w:id="367"/>
      <w:bookmarkEnd w:id="368"/>
      <w:bookmarkEnd w:id="369"/>
    </w:p>
    <w:p w14:paraId="6C4FD2B5">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9.1 质保期服务卖方响应时间的约定：</w:t>
      </w:r>
      <w:r>
        <w:rPr>
          <w:rFonts w:hint="eastAsia" w:ascii="宋体" w:hAnsi="宋体" w:cs="宋体"/>
          <w:color w:val="auto"/>
          <w:szCs w:val="21"/>
          <w:highlight w:val="none"/>
          <w:u w:val="single"/>
          <w:lang w:bidi="zh-CN"/>
        </w:rPr>
        <w:t xml:space="preserve">    </w:t>
      </w:r>
      <w:r>
        <w:rPr>
          <w:rFonts w:hint="eastAsia" w:ascii="宋体" w:hAnsi="宋体" w:cs="宋体"/>
          <w:color w:val="auto"/>
          <w:spacing w:val="-1"/>
          <w:szCs w:val="21"/>
          <w:highlight w:val="none"/>
          <w:u w:val="single"/>
        </w:rPr>
        <w:t xml:space="preserve"> 24 小时内 </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 xml:space="preserve"> 。</w:t>
      </w:r>
    </w:p>
    <w:p w14:paraId="4D5360AA">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9.2 卖方技术人员的交通、食宿费用由</w:t>
      </w:r>
      <w:r>
        <w:rPr>
          <w:rFonts w:hint="eastAsia" w:ascii="宋体" w:hAnsi="宋体" w:cs="宋体"/>
          <w:color w:val="auto"/>
          <w:szCs w:val="21"/>
          <w:highlight w:val="none"/>
          <w:u w:val="single"/>
          <w:lang w:bidi="zh-CN"/>
        </w:rPr>
        <w:t xml:space="preserve">     卖方   </w:t>
      </w:r>
      <w:r>
        <w:rPr>
          <w:rFonts w:hint="eastAsia" w:ascii="宋体" w:hAnsi="宋体" w:cs="宋体"/>
          <w:color w:val="auto"/>
          <w:szCs w:val="21"/>
          <w:highlight w:val="none"/>
          <w:lang w:bidi="zh-CN"/>
        </w:rPr>
        <w:t>（买方/卖方）承担。</w:t>
      </w:r>
    </w:p>
    <w:p w14:paraId="12B03DCA">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9.4 质保期服务情况记录的约定：</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w:t>
      </w:r>
    </w:p>
    <w:p w14:paraId="0E3F34AB">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9.5质保期服务其他要求：</w:t>
      </w:r>
      <w:r>
        <w:rPr>
          <w:rFonts w:hint="eastAsia" w:ascii="宋体" w:hAnsi="宋体" w:cs="宋体"/>
          <w:color w:val="auto"/>
          <w:szCs w:val="21"/>
          <w:highlight w:val="none"/>
          <w:u w:val="single"/>
          <w:lang w:bidi="zh-CN"/>
        </w:rPr>
        <w:t xml:space="preserve"> 质保期的设备维护及网络、数据通信费用由卖方承担   </w:t>
      </w:r>
      <w:r>
        <w:rPr>
          <w:rFonts w:hint="eastAsia" w:ascii="宋体" w:hAnsi="宋体" w:cs="宋体"/>
          <w:color w:val="auto"/>
          <w:szCs w:val="21"/>
          <w:highlight w:val="none"/>
          <w:lang w:bidi="zh-CN"/>
        </w:rPr>
        <w:t>。</w:t>
      </w:r>
    </w:p>
    <w:p w14:paraId="29D44622">
      <w:pPr>
        <w:pStyle w:val="6"/>
        <w:spacing w:before="0" w:after="0" w:line="400" w:lineRule="exact"/>
        <w:rPr>
          <w:rFonts w:hint="eastAsia" w:ascii="宋体" w:hAnsi="宋体" w:cs="宋体"/>
          <w:color w:val="auto"/>
          <w:sz w:val="21"/>
          <w:szCs w:val="21"/>
          <w:highlight w:val="none"/>
        </w:rPr>
      </w:pPr>
      <w:bookmarkStart w:id="370" w:name="_Toc4034"/>
      <w:r>
        <w:rPr>
          <w:rFonts w:hint="eastAsia" w:ascii="宋体" w:hAnsi="宋体" w:cs="宋体"/>
          <w:color w:val="auto"/>
          <w:sz w:val="21"/>
          <w:szCs w:val="21"/>
          <w:highlight w:val="none"/>
        </w:rPr>
        <w:t>10.履约保证金</w:t>
      </w:r>
      <w:bookmarkEnd w:id="370"/>
    </w:p>
    <w:p w14:paraId="4F93612A">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本合同卖方</w:t>
      </w:r>
      <w:r>
        <w:rPr>
          <w:rFonts w:hint="eastAsia" w:ascii="宋体" w:hAnsi="宋体" w:cs="宋体"/>
          <w:color w:val="auto"/>
          <w:szCs w:val="21"/>
          <w:highlight w:val="none"/>
          <w:u w:val="single"/>
          <w:lang w:bidi="zh-CN"/>
        </w:rPr>
        <w:t>提交</w:t>
      </w:r>
      <w:r>
        <w:rPr>
          <w:rFonts w:hint="eastAsia" w:ascii="宋体" w:hAnsi="宋体" w:cs="宋体"/>
          <w:color w:val="auto"/>
          <w:szCs w:val="21"/>
          <w:highlight w:val="none"/>
          <w:lang w:bidi="zh-CN"/>
        </w:rPr>
        <w:t>履约担保。履约保证金为合同价款的</w:t>
      </w:r>
      <w:r>
        <w:rPr>
          <w:rFonts w:hint="eastAsia" w:ascii="宋体" w:hAnsi="宋体" w:cs="宋体"/>
          <w:color w:val="auto"/>
          <w:szCs w:val="21"/>
          <w:highlight w:val="none"/>
          <w:u w:val="single"/>
          <w:lang w:bidi="zh-CN"/>
        </w:rPr>
        <w:t xml:space="preserve">  3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%，且</w:t>
      </w:r>
      <w:r>
        <w:rPr>
          <w:rFonts w:hint="eastAsia" w:ascii="宋体" w:hAnsi="宋体" w:cs="宋体"/>
          <w:color w:val="auto"/>
          <w:szCs w:val="21"/>
          <w:highlight w:val="none"/>
          <w:lang w:bidi="zh-CN"/>
        </w:rPr>
        <w:t>自合同生效之日起生效，在合同工程完工验收证书或验收款支付函签署之日起</w:t>
      </w:r>
      <w:r>
        <w:rPr>
          <w:rFonts w:hint="eastAsia" w:ascii="宋体" w:hAnsi="宋体" w:cs="宋体"/>
          <w:color w:val="auto"/>
          <w:szCs w:val="21"/>
          <w:highlight w:val="none"/>
          <w:u w:val="single"/>
          <w:lang w:bidi="zh-CN"/>
        </w:rPr>
        <w:t>28</w:t>
      </w:r>
      <w:r>
        <w:rPr>
          <w:rFonts w:hint="eastAsia" w:ascii="宋体" w:hAnsi="宋体" w:cs="宋体"/>
          <w:color w:val="auto"/>
          <w:szCs w:val="21"/>
          <w:highlight w:val="none"/>
          <w:lang w:bidi="zh-CN"/>
        </w:rPr>
        <w:t>日后失效。</w:t>
      </w:r>
    </w:p>
    <w:p w14:paraId="640367CA">
      <w:pPr>
        <w:pStyle w:val="6"/>
        <w:spacing w:before="0" w:after="0" w:line="400" w:lineRule="exact"/>
        <w:rPr>
          <w:rFonts w:hint="eastAsia" w:ascii="宋体" w:hAnsi="宋体" w:cs="宋体"/>
          <w:color w:val="auto"/>
          <w:sz w:val="21"/>
          <w:szCs w:val="21"/>
          <w:highlight w:val="none"/>
        </w:rPr>
      </w:pPr>
      <w:bookmarkStart w:id="371" w:name="_Toc38478298"/>
      <w:bookmarkStart w:id="372" w:name="_Toc38436728"/>
      <w:bookmarkStart w:id="373" w:name="_Toc56792818"/>
      <w:bookmarkStart w:id="374" w:name="_Toc18621"/>
      <w:bookmarkStart w:id="375" w:name="_Toc40275042"/>
      <w:r>
        <w:rPr>
          <w:rFonts w:hint="eastAsia" w:ascii="宋体" w:hAnsi="宋体" w:cs="宋体"/>
          <w:color w:val="auto"/>
          <w:sz w:val="21"/>
          <w:szCs w:val="21"/>
          <w:highlight w:val="none"/>
        </w:rPr>
        <w:t>11．保证</w:t>
      </w:r>
      <w:bookmarkEnd w:id="371"/>
      <w:bookmarkEnd w:id="372"/>
      <w:bookmarkEnd w:id="373"/>
      <w:bookmarkEnd w:id="374"/>
      <w:bookmarkEnd w:id="375"/>
    </w:p>
    <w:p w14:paraId="71B1A0EC">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11.4  修改本条款如下：</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 xml:space="preserve"> 。</w:t>
      </w:r>
    </w:p>
    <w:p w14:paraId="46777731">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11.7  修改本条款如下：</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 xml:space="preserve"> 。</w:t>
      </w:r>
    </w:p>
    <w:p w14:paraId="70247D92">
      <w:pPr>
        <w:pStyle w:val="6"/>
        <w:spacing w:before="0" w:after="0" w:line="400" w:lineRule="exact"/>
        <w:rPr>
          <w:rFonts w:hint="eastAsia" w:ascii="宋体" w:hAnsi="宋体" w:cs="宋体"/>
          <w:color w:val="auto"/>
          <w:sz w:val="21"/>
          <w:szCs w:val="21"/>
          <w:highlight w:val="none"/>
        </w:rPr>
      </w:pPr>
      <w:bookmarkStart w:id="376" w:name="_Toc40275043"/>
      <w:bookmarkStart w:id="377" w:name="_Toc56792819"/>
      <w:bookmarkStart w:id="378" w:name="_Toc17046"/>
      <w:bookmarkStart w:id="379" w:name="_Toc38436729"/>
      <w:bookmarkStart w:id="380" w:name="_Toc38478299"/>
      <w:r>
        <w:rPr>
          <w:rFonts w:hint="eastAsia" w:ascii="宋体" w:hAnsi="宋体" w:cs="宋体"/>
          <w:color w:val="auto"/>
          <w:sz w:val="21"/>
          <w:szCs w:val="21"/>
          <w:highlight w:val="none"/>
        </w:rPr>
        <w:t>12．知识产权</w:t>
      </w:r>
      <w:bookmarkEnd w:id="376"/>
      <w:bookmarkEnd w:id="377"/>
      <w:bookmarkEnd w:id="378"/>
      <w:bookmarkEnd w:id="379"/>
      <w:bookmarkEnd w:id="380"/>
    </w:p>
    <w:p w14:paraId="42F24406">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12.2 修改本条款如下：</w:t>
      </w:r>
      <w:r>
        <w:rPr>
          <w:rFonts w:hint="eastAsia" w:ascii="宋体" w:hAnsi="宋体" w:cs="宋体"/>
          <w:color w:val="auto"/>
          <w:szCs w:val="21"/>
          <w:highlight w:val="none"/>
          <w:u w:val="single"/>
          <w:lang w:bidi="zh-CN"/>
        </w:rPr>
        <w:t xml:space="preserve">  按通用条款执行     </w:t>
      </w:r>
      <w:r>
        <w:rPr>
          <w:rFonts w:hint="eastAsia" w:ascii="宋体" w:hAnsi="宋体" w:cs="宋体"/>
          <w:color w:val="auto"/>
          <w:szCs w:val="21"/>
          <w:highlight w:val="none"/>
          <w:lang w:bidi="zh-CN"/>
        </w:rPr>
        <w:t xml:space="preserve"> 。</w:t>
      </w:r>
    </w:p>
    <w:p w14:paraId="632868ED">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12.4 如果卖方拒绝处理前述索赔或诉讼或在收到买方通知后 28 日内未作表示，本款约定：</w:t>
      </w:r>
      <w:r>
        <w:rPr>
          <w:rFonts w:hint="eastAsia" w:ascii="宋体" w:hAnsi="宋体" w:cs="宋体"/>
          <w:color w:val="auto"/>
          <w:szCs w:val="21"/>
          <w:highlight w:val="none"/>
          <w:u w:val="single"/>
          <w:lang w:bidi="zh-CN"/>
        </w:rPr>
        <w:t xml:space="preserve">    按通用条款执行     </w:t>
      </w:r>
      <w:r>
        <w:rPr>
          <w:rFonts w:hint="eastAsia" w:ascii="宋体" w:hAnsi="宋体" w:cs="宋体"/>
          <w:color w:val="auto"/>
          <w:szCs w:val="21"/>
          <w:highlight w:val="none"/>
          <w:lang w:bidi="zh-CN"/>
        </w:rPr>
        <w:t xml:space="preserve"> 。</w:t>
      </w:r>
    </w:p>
    <w:p w14:paraId="204E48A1">
      <w:pPr>
        <w:pStyle w:val="6"/>
        <w:spacing w:before="0" w:after="0" w:line="400" w:lineRule="exact"/>
        <w:rPr>
          <w:rFonts w:hint="eastAsia" w:ascii="宋体" w:hAnsi="宋体" w:cs="宋体"/>
          <w:color w:val="auto"/>
          <w:sz w:val="21"/>
          <w:szCs w:val="21"/>
          <w:highlight w:val="none"/>
        </w:rPr>
      </w:pPr>
      <w:bookmarkStart w:id="381" w:name="_Toc31138"/>
      <w:bookmarkStart w:id="382" w:name="_Toc38478300"/>
      <w:bookmarkStart w:id="383" w:name="_Toc38436730"/>
      <w:bookmarkStart w:id="384" w:name="_Toc56792820"/>
      <w:bookmarkStart w:id="385" w:name="_Toc40275044"/>
      <w:r>
        <w:rPr>
          <w:rFonts w:hint="eastAsia" w:ascii="宋体" w:hAnsi="宋体" w:cs="宋体"/>
          <w:color w:val="auto"/>
          <w:sz w:val="21"/>
          <w:szCs w:val="21"/>
          <w:highlight w:val="none"/>
        </w:rPr>
        <w:t>14.违约责任</w:t>
      </w:r>
      <w:bookmarkEnd w:id="381"/>
      <w:bookmarkEnd w:id="382"/>
      <w:bookmarkEnd w:id="383"/>
      <w:bookmarkEnd w:id="384"/>
      <w:bookmarkEnd w:id="385"/>
    </w:p>
    <w:p w14:paraId="76451DFA">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14.2 迟延交付违约金的计算方法：</w:t>
      </w:r>
      <w:r>
        <w:rPr>
          <w:rFonts w:hint="eastAsia" w:ascii="宋体" w:hAnsi="宋体" w:cs="宋体"/>
          <w:color w:val="auto"/>
          <w:szCs w:val="21"/>
          <w:highlight w:val="none"/>
          <w:u w:val="single"/>
          <w:lang w:bidi="zh-CN"/>
        </w:rPr>
        <w:t xml:space="preserve">    另行约定     </w:t>
      </w:r>
      <w:r>
        <w:rPr>
          <w:rFonts w:hint="eastAsia" w:ascii="宋体" w:hAnsi="宋体" w:cs="宋体"/>
          <w:color w:val="auto"/>
          <w:szCs w:val="21"/>
          <w:highlight w:val="none"/>
          <w:lang w:bidi="zh-CN"/>
        </w:rPr>
        <w:t xml:space="preserve"> 。</w:t>
      </w:r>
    </w:p>
    <w:p w14:paraId="549C09B0">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14.3迟延付款违约金的计算方法：</w:t>
      </w:r>
      <w:r>
        <w:rPr>
          <w:rFonts w:hint="eastAsia" w:ascii="宋体" w:hAnsi="宋体" w:cs="宋体"/>
          <w:color w:val="auto"/>
          <w:szCs w:val="21"/>
          <w:highlight w:val="none"/>
          <w:u w:val="single"/>
          <w:lang w:bidi="zh-CN"/>
        </w:rPr>
        <w:t xml:space="preserve">        /              </w:t>
      </w:r>
      <w:r>
        <w:rPr>
          <w:rFonts w:hint="eastAsia" w:ascii="宋体" w:hAnsi="宋体" w:cs="宋体"/>
          <w:color w:val="auto"/>
          <w:szCs w:val="21"/>
          <w:highlight w:val="none"/>
          <w:lang w:bidi="zh-CN"/>
        </w:rPr>
        <w:t>。</w:t>
      </w:r>
    </w:p>
    <w:p w14:paraId="012C872C">
      <w:pPr>
        <w:pStyle w:val="6"/>
        <w:spacing w:before="0" w:after="0" w:line="400" w:lineRule="exact"/>
        <w:rPr>
          <w:rFonts w:hint="eastAsia" w:ascii="宋体" w:hAnsi="宋体" w:cs="宋体"/>
          <w:color w:val="auto"/>
          <w:sz w:val="21"/>
          <w:szCs w:val="21"/>
          <w:highlight w:val="none"/>
        </w:rPr>
      </w:pPr>
      <w:bookmarkStart w:id="386" w:name="_Toc38478301"/>
      <w:bookmarkStart w:id="387" w:name="_Toc38436731"/>
      <w:bookmarkStart w:id="388" w:name="_Toc40275045"/>
      <w:bookmarkStart w:id="389" w:name="_Toc56792821"/>
      <w:bookmarkStart w:id="390" w:name="_Toc28134"/>
      <w:r>
        <w:rPr>
          <w:rFonts w:hint="eastAsia" w:ascii="宋体" w:hAnsi="宋体" w:cs="宋体"/>
          <w:color w:val="auto"/>
          <w:sz w:val="21"/>
          <w:szCs w:val="21"/>
          <w:highlight w:val="none"/>
        </w:rPr>
        <w:t>15．合同的解除</w:t>
      </w:r>
      <w:bookmarkEnd w:id="386"/>
      <w:bookmarkEnd w:id="387"/>
      <w:bookmarkEnd w:id="388"/>
      <w:bookmarkEnd w:id="389"/>
      <w:bookmarkEnd w:id="390"/>
    </w:p>
    <w:p w14:paraId="244A5B7B">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当事人可发出书面通知全部或部分地解除合同，合同自通知到达对方时全部或部分地解除的情形：</w:t>
      </w:r>
      <w:r>
        <w:rPr>
          <w:rFonts w:hint="eastAsia" w:ascii="宋体" w:hAnsi="宋体" w:cs="宋体"/>
          <w:color w:val="auto"/>
          <w:szCs w:val="21"/>
          <w:highlight w:val="none"/>
          <w:u w:val="single"/>
          <w:lang w:bidi="zh-CN"/>
        </w:rPr>
        <w:t xml:space="preserve">           /             </w:t>
      </w:r>
      <w:r>
        <w:rPr>
          <w:rFonts w:hint="eastAsia" w:ascii="宋体" w:hAnsi="宋体" w:cs="宋体"/>
          <w:color w:val="auto"/>
          <w:szCs w:val="21"/>
          <w:highlight w:val="none"/>
          <w:lang w:bidi="zh-CN"/>
        </w:rPr>
        <w:t>。</w:t>
      </w:r>
    </w:p>
    <w:p w14:paraId="53A455E0">
      <w:pPr>
        <w:pStyle w:val="6"/>
        <w:spacing w:before="0" w:after="0" w:line="400" w:lineRule="exact"/>
        <w:rPr>
          <w:rFonts w:hint="eastAsia" w:ascii="宋体" w:hAnsi="宋体" w:cs="宋体"/>
          <w:color w:val="auto"/>
          <w:sz w:val="21"/>
          <w:szCs w:val="21"/>
          <w:highlight w:val="none"/>
        </w:rPr>
      </w:pPr>
      <w:bookmarkStart w:id="391" w:name="_Toc38478302"/>
      <w:bookmarkStart w:id="392" w:name="_Toc40275046"/>
      <w:bookmarkStart w:id="393" w:name="_Toc28500"/>
      <w:bookmarkStart w:id="394" w:name="_Toc56792822"/>
      <w:bookmarkStart w:id="395" w:name="_Toc38436732"/>
      <w:r>
        <w:rPr>
          <w:rFonts w:hint="eastAsia" w:ascii="宋体" w:hAnsi="宋体" w:cs="宋体"/>
          <w:color w:val="auto"/>
          <w:sz w:val="21"/>
          <w:szCs w:val="21"/>
          <w:highlight w:val="none"/>
        </w:rPr>
        <w:t>16．不可抗力</w:t>
      </w:r>
      <w:bookmarkEnd w:id="391"/>
      <w:bookmarkEnd w:id="392"/>
      <w:bookmarkEnd w:id="393"/>
      <w:bookmarkEnd w:id="394"/>
      <w:bookmarkEnd w:id="395"/>
    </w:p>
    <w:p w14:paraId="627F4FB2">
      <w:pPr>
        <w:pStyle w:val="1142"/>
        <w:tabs>
          <w:tab w:val="left" w:pos="903"/>
          <w:tab w:val="left" w:pos="2959"/>
          <w:tab w:val="left" w:pos="5261"/>
        </w:tabs>
        <w:spacing w:line="400" w:lineRule="exact"/>
        <w:rPr>
          <w:rFonts w:hint="eastAsia" w:ascii="宋体" w:hAnsi="宋体" w:cs="宋体"/>
          <w:color w:val="auto"/>
          <w:szCs w:val="21"/>
          <w:highlight w:val="none"/>
          <w:lang w:bidi="zh-CN"/>
        </w:rPr>
      </w:pPr>
      <w:r>
        <w:rPr>
          <w:rFonts w:hint="eastAsia" w:ascii="宋体" w:hAnsi="宋体" w:cs="宋体"/>
          <w:color w:val="auto"/>
          <w:szCs w:val="21"/>
          <w:highlight w:val="none"/>
          <w:lang w:bidi="zh-CN"/>
        </w:rPr>
        <w:t>16.1 不可抗力其他情形的约定：</w:t>
      </w:r>
      <w:r>
        <w:rPr>
          <w:rFonts w:hint="eastAsia" w:ascii="宋体" w:hAnsi="宋体" w:cs="宋体"/>
          <w:color w:val="auto"/>
          <w:szCs w:val="21"/>
          <w:highlight w:val="none"/>
          <w:u w:val="single"/>
          <w:lang w:bidi="zh-CN"/>
        </w:rPr>
        <w:t xml:space="preserve"> （1）</w:t>
      </w:r>
      <w:r>
        <w:rPr>
          <w:rFonts w:hint="eastAsia" w:ascii="宋体" w:hAnsi="宋体" w:cs="宋体"/>
          <w:color w:val="auto"/>
          <w:szCs w:val="21"/>
          <w:highlight w:val="none"/>
          <w:u w:val="single"/>
          <w:lang w:val="zh-CN" w:bidi="zh-CN"/>
        </w:rPr>
        <w:t>日降雨量大于2</w:t>
      </w:r>
      <w:r>
        <w:rPr>
          <w:rFonts w:hint="eastAsia" w:ascii="宋体" w:hAnsi="宋体" w:cs="宋体"/>
          <w:color w:val="auto"/>
          <w:szCs w:val="21"/>
          <w:highlight w:val="none"/>
          <w:u w:val="single"/>
          <w:lang w:bidi="zh-CN"/>
        </w:rPr>
        <w:t>5</w:t>
      </w:r>
      <w:r>
        <w:rPr>
          <w:rFonts w:hint="eastAsia" w:ascii="宋体" w:hAnsi="宋体" w:cs="宋体"/>
          <w:color w:val="auto"/>
          <w:szCs w:val="21"/>
          <w:highlight w:val="none"/>
          <w:u w:val="single"/>
          <w:lang w:val="zh-CN" w:bidi="zh-CN"/>
        </w:rPr>
        <w:t>0</w:t>
      </w:r>
      <w:r>
        <w:rPr>
          <w:rFonts w:hint="eastAsia" w:ascii="宋体" w:hAnsi="宋体" w:cs="宋体"/>
          <w:color w:val="auto"/>
          <w:szCs w:val="21"/>
          <w:highlight w:val="none"/>
          <w:u w:val="single"/>
        </w:rPr>
        <w:t>mm</w:t>
      </w:r>
      <w:r>
        <w:rPr>
          <w:rFonts w:hint="eastAsia" w:ascii="宋体" w:hAnsi="宋体" w:cs="宋体"/>
          <w:color w:val="auto"/>
          <w:szCs w:val="21"/>
          <w:highlight w:val="none"/>
          <w:u w:val="single"/>
          <w:lang w:val="zh-CN" w:bidi="zh-CN"/>
        </w:rPr>
        <w:t>的雨日超过</w:t>
      </w:r>
      <w:r>
        <w:rPr>
          <w:rFonts w:hint="eastAsia" w:ascii="宋体" w:hAnsi="宋体" w:cs="宋体"/>
          <w:color w:val="auto"/>
          <w:szCs w:val="21"/>
          <w:highlight w:val="none"/>
          <w:u w:val="single"/>
          <w:lang w:bidi="zh-CN"/>
        </w:rPr>
        <w:t>3</w:t>
      </w:r>
      <w:r>
        <w:rPr>
          <w:rFonts w:hint="eastAsia" w:ascii="宋体" w:hAnsi="宋体" w:cs="宋体"/>
          <w:color w:val="auto"/>
          <w:szCs w:val="21"/>
          <w:highlight w:val="none"/>
          <w:u w:val="single"/>
          <w:lang w:val="zh-CN" w:bidi="zh-CN"/>
        </w:rPr>
        <w:t>天；(2)</w:t>
      </w:r>
      <w:r>
        <w:rPr>
          <w:rFonts w:hint="eastAsia" w:ascii="宋体" w:hAnsi="宋体" w:cs="宋体"/>
          <w:color w:val="auto"/>
          <w:szCs w:val="21"/>
          <w:highlight w:val="none"/>
          <w:u w:val="single"/>
          <w:lang w:bidi="zh-CN"/>
        </w:rPr>
        <w:t>风力</w:t>
      </w:r>
      <w:r>
        <w:rPr>
          <w:rFonts w:hint="eastAsia" w:ascii="宋体" w:hAnsi="宋体" w:cs="宋体"/>
          <w:color w:val="auto"/>
          <w:szCs w:val="21"/>
          <w:highlight w:val="none"/>
          <w:u w:val="single"/>
          <w:lang w:val="zh-CN" w:bidi="zh-CN"/>
        </w:rPr>
        <w:t>1</w:t>
      </w:r>
      <w:r>
        <w:rPr>
          <w:rFonts w:hint="eastAsia" w:ascii="宋体" w:hAnsi="宋体" w:cs="宋体"/>
          <w:color w:val="auto"/>
          <w:szCs w:val="21"/>
          <w:highlight w:val="none"/>
          <w:u w:val="single"/>
          <w:lang w:bidi="zh-CN"/>
        </w:rPr>
        <w:t>2</w:t>
      </w:r>
      <w:r>
        <w:rPr>
          <w:rFonts w:hint="eastAsia" w:ascii="宋体" w:hAnsi="宋体" w:cs="宋体"/>
          <w:color w:val="auto"/>
          <w:szCs w:val="21"/>
          <w:highlight w:val="none"/>
          <w:u w:val="single"/>
          <w:lang w:val="zh-CN" w:bidi="zh-CN"/>
        </w:rPr>
        <w:t>级</w:t>
      </w:r>
      <w:r>
        <w:rPr>
          <w:rFonts w:hint="eastAsia" w:ascii="宋体" w:hAnsi="宋体" w:cs="宋体"/>
          <w:color w:val="auto"/>
          <w:szCs w:val="21"/>
          <w:highlight w:val="none"/>
          <w:u w:val="single"/>
          <w:lang w:bidi="zh-CN"/>
        </w:rPr>
        <w:t>及以上的</w:t>
      </w:r>
      <w:r>
        <w:rPr>
          <w:rFonts w:hint="eastAsia" w:ascii="宋体" w:hAnsi="宋体" w:cs="宋体"/>
          <w:color w:val="auto"/>
          <w:szCs w:val="21"/>
          <w:highlight w:val="none"/>
          <w:u w:val="single"/>
          <w:lang w:val="zh-CN" w:bidi="zh-CN"/>
        </w:rPr>
        <w:t>台风</w:t>
      </w:r>
      <w:r>
        <w:rPr>
          <w:rFonts w:hint="eastAsia" w:ascii="宋体" w:hAnsi="宋体" w:cs="宋体"/>
          <w:color w:val="auto"/>
          <w:szCs w:val="21"/>
          <w:highlight w:val="none"/>
          <w:u w:val="single"/>
          <w:lang w:bidi="zh-CN"/>
        </w:rPr>
        <w:t>天气</w:t>
      </w:r>
      <w:r>
        <w:rPr>
          <w:rFonts w:hint="eastAsia" w:ascii="宋体" w:hAnsi="宋体" w:cs="宋体"/>
          <w:color w:val="auto"/>
          <w:szCs w:val="21"/>
          <w:highlight w:val="none"/>
          <w:u w:val="single"/>
          <w:lang w:val="zh-CN" w:bidi="zh-CN"/>
        </w:rPr>
        <w:t>；(3)日气温超过40</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val="zh-CN" w:bidi="zh-CN"/>
        </w:rPr>
        <w:t>的高温大于2天；(4)日气温低于-10</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val="zh-CN" w:bidi="zh-CN"/>
        </w:rPr>
        <w:t>的严寒大于2天。(5)造成工程损坏的冰雹和大雪灾害；(6)</w:t>
      </w:r>
      <w:r>
        <w:rPr>
          <w:rFonts w:hint="eastAsia" w:ascii="宋体" w:hAnsi="宋体" w:cs="宋体"/>
          <w:color w:val="auto"/>
          <w:szCs w:val="21"/>
          <w:highlight w:val="none"/>
          <w:u w:val="single"/>
          <w:lang w:bidi="zh-CN"/>
        </w:rPr>
        <w:t>6</w:t>
      </w:r>
      <w:r>
        <w:rPr>
          <w:rFonts w:hint="eastAsia" w:ascii="宋体" w:hAnsi="宋体" w:cs="宋体"/>
          <w:color w:val="auto"/>
          <w:szCs w:val="21"/>
          <w:highlight w:val="none"/>
          <w:u w:val="single"/>
          <w:lang w:val="zh-CN" w:bidi="zh-CN"/>
        </w:rPr>
        <w:t>级以上的地震；(7)</w:t>
      </w:r>
      <w:r>
        <w:rPr>
          <w:rFonts w:hint="eastAsia" w:ascii="宋体" w:hAnsi="宋体" w:cs="宋体"/>
          <w:color w:val="auto"/>
          <w:szCs w:val="21"/>
          <w:highlight w:val="none"/>
          <w:u w:val="single"/>
          <w:lang w:bidi="zh-CN"/>
        </w:rPr>
        <w:t>50</w:t>
      </w:r>
      <w:r>
        <w:rPr>
          <w:rFonts w:hint="eastAsia" w:ascii="宋体" w:hAnsi="宋体" w:cs="宋体"/>
          <w:color w:val="auto"/>
          <w:szCs w:val="21"/>
          <w:highlight w:val="none"/>
          <w:u w:val="single"/>
          <w:lang w:val="zh-CN" w:bidi="zh-CN"/>
        </w:rPr>
        <w:t>年一遇及以上的洪水</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w:t>
      </w:r>
    </w:p>
    <w:p w14:paraId="4921559A">
      <w:pPr>
        <w:spacing w:line="400" w:lineRule="exact"/>
        <w:ind w:firstLine="539" w:firstLineChars="257"/>
        <w:rPr>
          <w:rFonts w:hint="eastAsia" w:ascii="宋体" w:hAnsi="宋体" w:cs="宋体"/>
          <w:color w:val="auto"/>
          <w:szCs w:val="21"/>
          <w:highlight w:val="none"/>
          <w:lang w:bidi="zh-CN"/>
        </w:rPr>
      </w:pPr>
      <w:r>
        <w:rPr>
          <w:rFonts w:hint="eastAsia" w:ascii="宋体" w:hAnsi="宋体" w:cs="宋体"/>
          <w:color w:val="auto"/>
          <w:szCs w:val="21"/>
          <w:highlight w:val="none"/>
          <w:lang w:bidi="zh-CN"/>
        </w:rPr>
        <w:t>16.3 不可抗力事件的影响持续超过</w:t>
      </w:r>
      <w:r>
        <w:rPr>
          <w:rFonts w:hint="eastAsia" w:ascii="宋体" w:hAnsi="宋体" w:cs="宋体"/>
          <w:color w:val="auto"/>
          <w:szCs w:val="21"/>
          <w:highlight w:val="none"/>
          <w:u w:val="single"/>
          <w:lang w:bidi="zh-CN"/>
        </w:rPr>
        <w:t>140</w:t>
      </w:r>
      <w:r>
        <w:rPr>
          <w:rFonts w:hint="eastAsia" w:ascii="宋体" w:hAnsi="宋体" w:cs="宋体"/>
          <w:color w:val="auto"/>
          <w:szCs w:val="21"/>
          <w:highlight w:val="none"/>
          <w:lang w:bidi="zh-CN"/>
        </w:rPr>
        <w:t xml:space="preserve"> 日，</w:t>
      </w:r>
      <w:r>
        <w:rPr>
          <w:rFonts w:hint="eastAsia" w:ascii="宋体" w:hAnsi="宋体" w:cs="宋体"/>
          <w:color w:val="auto"/>
          <w:szCs w:val="21"/>
          <w:highlight w:val="none"/>
          <w:u w:val="single"/>
          <w:lang w:bidi="zh-CN"/>
        </w:rPr>
        <w:t xml:space="preserve">任何一方当事人均有权以书面通知解除合同       </w:t>
      </w:r>
      <w:r>
        <w:rPr>
          <w:rFonts w:hint="eastAsia" w:ascii="宋体" w:hAnsi="宋体" w:cs="宋体"/>
          <w:color w:val="auto"/>
          <w:szCs w:val="21"/>
          <w:highlight w:val="none"/>
          <w:lang w:bidi="zh-CN"/>
        </w:rPr>
        <w:t xml:space="preserve"> 。</w:t>
      </w:r>
    </w:p>
    <w:p w14:paraId="1EDDCB0A">
      <w:pPr>
        <w:pStyle w:val="6"/>
        <w:spacing w:before="0" w:after="0" w:line="400" w:lineRule="exact"/>
        <w:rPr>
          <w:rFonts w:hint="eastAsia" w:ascii="宋体" w:hAnsi="宋体" w:cs="宋体"/>
          <w:color w:val="auto"/>
          <w:sz w:val="21"/>
          <w:szCs w:val="21"/>
          <w:highlight w:val="none"/>
        </w:rPr>
      </w:pPr>
      <w:bookmarkStart w:id="396" w:name="_Toc4368"/>
      <w:r>
        <w:rPr>
          <w:rFonts w:hint="eastAsia" w:ascii="宋体" w:hAnsi="宋体" w:cs="宋体"/>
          <w:color w:val="auto"/>
          <w:sz w:val="21"/>
          <w:szCs w:val="21"/>
          <w:highlight w:val="none"/>
        </w:rPr>
        <w:t>17.争议的解决</w:t>
      </w:r>
      <w:bookmarkEnd w:id="396"/>
    </w:p>
    <w:bookmarkEnd w:id="329"/>
    <w:bookmarkEnd w:id="330"/>
    <w:bookmarkEnd w:id="331"/>
    <w:bookmarkEnd w:id="332"/>
    <w:bookmarkEnd w:id="333"/>
    <w:bookmarkEnd w:id="334"/>
    <w:p w14:paraId="3DC30D28">
      <w:pPr>
        <w:spacing w:line="400" w:lineRule="exact"/>
        <w:ind w:firstLine="539" w:firstLineChars="257"/>
        <w:rPr>
          <w:rFonts w:hint="eastAsia" w:ascii="宋体" w:hAnsi="宋体" w:cs="宋体"/>
          <w:color w:val="auto"/>
          <w:szCs w:val="21"/>
          <w:highlight w:val="none"/>
        </w:rPr>
      </w:pPr>
      <w:r>
        <w:rPr>
          <w:rFonts w:hint="eastAsia" w:ascii="宋体" w:hAnsi="宋体" w:cs="宋体"/>
          <w:color w:val="auto"/>
          <w:szCs w:val="21"/>
          <w:highlight w:val="none"/>
        </w:rPr>
        <w:t>因本合同引起的或与本合同有关的任何争议,双方可通过友好协商解决。友好协商解决不成的，向</w:t>
      </w:r>
      <w:r>
        <w:rPr>
          <w:rFonts w:hint="eastAsia" w:ascii="宋体" w:hAnsi="宋体" w:cs="宋体"/>
          <w:color w:val="auto"/>
          <w:szCs w:val="21"/>
          <w:highlight w:val="none"/>
          <w:u w:val="single"/>
        </w:rPr>
        <w:t>项目所在地</w:t>
      </w:r>
      <w:r>
        <w:rPr>
          <w:rFonts w:hint="eastAsia" w:ascii="宋体" w:hAnsi="宋体" w:cs="宋体"/>
          <w:color w:val="auto"/>
          <w:szCs w:val="21"/>
          <w:highlight w:val="none"/>
        </w:rPr>
        <w:t>人民法院提起诉讼方式解决。</w:t>
      </w:r>
    </w:p>
    <w:p w14:paraId="7EDC9F27">
      <w:pPr>
        <w:spacing w:line="400" w:lineRule="exact"/>
        <w:rPr>
          <w:rFonts w:hint="eastAsia" w:ascii="宋体" w:hAnsi="宋体" w:cs="宋体"/>
          <w:color w:val="auto"/>
          <w:szCs w:val="21"/>
          <w:highlight w:val="none"/>
        </w:rPr>
      </w:pPr>
    </w:p>
    <w:p w14:paraId="5336F847">
      <w:pPr>
        <w:spacing w:line="400" w:lineRule="exact"/>
        <w:rPr>
          <w:rFonts w:hint="eastAsia" w:ascii="宋体" w:hAnsi="宋体" w:cs="宋体"/>
          <w:color w:val="auto"/>
          <w:szCs w:val="21"/>
          <w:highlight w:val="none"/>
        </w:rPr>
      </w:pPr>
    </w:p>
    <w:p w14:paraId="0FFB77D1">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p>
    <w:p w14:paraId="7EDF993A">
      <w:pPr>
        <w:pStyle w:val="7"/>
        <w:spacing w:before="0" w:after="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附件：预付款担保函格式</w:t>
      </w:r>
    </w:p>
    <w:p w14:paraId="63063350">
      <w:pPr>
        <w:pStyle w:val="1142"/>
        <w:spacing w:line="400" w:lineRule="exact"/>
        <w:jc w:val="center"/>
        <w:rPr>
          <w:rFonts w:hint="eastAsia" w:ascii="宋体" w:hAnsi="宋体" w:cs="宋体"/>
          <w:b/>
          <w:color w:val="auto"/>
          <w:szCs w:val="21"/>
          <w:highlight w:val="none"/>
        </w:rPr>
      </w:pPr>
      <w:bookmarkStart w:id="397" w:name="bookmark1930"/>
      <w:bookmarkStart w:id="398" w:name="bookmark1932"/>
      <w:bookmarkStart w:id="399" w:name="bookmark1931"/>
      <w:r>
        <w:rPr>
          <w:rFonts w:hint="eastAsia" w:ascii="宋体" w:hAnsi="宋体" w:cs="宋体"/>
          <w:b/>
          <w:color w:val="auto"/>
          <w:szCs w:val="21"/>
          <w:highlight w:val="none"/>
        </w:rPr>
        <w:t>预付款担保函</w:t>
      </w:r>
      <w:bookmarkEnd w:id="397"/>
      <w:bookmarkEnd w:id="398"/>
      <w:bookmarkEnd w:id="399"/>
    </w:p>
    <w:p w14:paraId="7FEB7DF8">
      <w:pPr>
        <w:pStyle w:val="1142"/>
        <w:spacing w:line="400" w:lineRule="exact"/>
        <w:jc w:val="center"/>
        <w:rPr>
          <w:rFonts w:hint="eastAsia" w:ascii="宋体" w:hAnsi="宋体" w:cs="宋体"/>
          <w:b/>
          <w:color w:val="auto"/>
          <w:szCs w:val="21"/>
          <w:highlight w:val="none"/>
        </w:rPr>
      </w:pPr>
    </w:p>
    <w:p w14:paraId="084C813E">
      <w:pPr>
        <w:pStyle w:val="1142"/>
        <w:tabs>
          <w:tab w:val="left" w:pos="1870"/>
        </w:tabs>
        <w:spacing w:line="400" w:lineRule="exact"/>
        <w:rPr>
          <w:rFonts w:hint="eastAsia" w:ascii="宋体" w:hAnsi="宋体" w:cs="宋体"/>
          <w:color w:val="auto"/>
          <w:szCs w:val="21"/>
          <w:highlight w:val="none"/>
          <w:lang w:val="zh-CN" w:bidi="zh-CN"/>
        </w:rPr>
      </w:pPr>
      <w:r>
        <w:rPr>
          <w:rFonts w:hint="eastAsia" w:ascii="宋体" w:hAnsi="宋体" w:cs="宋体"/>
          <w:color w:val="auto"/>
          <w:szCs w:val="21"/>
          <w:highlight w:val="none"/>
          <w:u w:val="single"/>
          <w:lang w:val="zh-CN" w:bidi="zh-CN"/>
        </w:rPr>
        <w:tab/>
      </w:r>
      <w:r>
        <w:rPr>
          <w:rFonts w:hint="eastAsia" w:ascii="宋体" w:hAnsi="宋体" w:cs="宋体"/>
          <w:color w:val="auto"/>
          <w:szCs w:val="21"/>
          <w:highlight w:val="none"/>
          <w:lang w:val="zh-CN" w:bidi="zh-CN"/>
        </w:rPr>
        <w:t>（发包人名称）:</w:t>
      </w:r>
    </w:p>
    <w:p w14:paraId="7A06DB98">
      <w:pPr>
        <w:pStyle w:val="1142"/>
        <w:tabs>
          <w:tab w:val="left" w:pos="1870"/>
          <w:tab w:val="left" w:pos="2707"/>
          <w:tab w:val="left" w:pos="5004"/>
          <w:tab w:val="left" w:pos="5033"/>
          <w:tab w:val="left" w:pos="6163"/>
          <w:tab w:val="left" w:pos="7322"/>
          <w:tab w:val="left" w:pos="8333"/>
        </w:tabs>
        <w:spacing w:line="400" w:lineRule="exact"/>
        <w:ind w:firstLine="420"/>
        <w:rPr>
          <w:rFonts w:hint="eastAsia" w:ascii="宋体" w:hAnsi="宋体" w:cs="宋体"/>
          <w:color w:val="auto"/>
          <w:szCs w:val="21"/>
          <w:highlight w:val="none"/>
          <w:lang w:val="zh-CN" w:bidi="zh-CN"/>
        </w:rPr>
      </w:pPr>
      <w:r>
        <w:rPr>
          <w:rFonts w:hint="eastAsia" w:ascii="宋体" w:hAnsi="宋体" w:cs="宋体"/>
          <w:color w:val="auto"/>
          <w:szCs w:val="21"/>
          <w:highlight w:val="none"/>
          <w:lang w:val="zh-CN" w:bidi="zh-CN"/>
        </w:rPr>
        <w:t>根据</w:t>
      </w:r>
      <w:r>
        <w:rPr>
          <w:rFonts w:hint="eastAsia" w:ascii="宋体" w:hAnsi="宋体" w:cs="宋体"/>
          <w:color w:val="auto"/>
          <w:szCs w:val="21"/>
          <w:highlight w:val="none"/>
          <w:u w:val="single"/>
          <w:lang w:val="zh-CN" w:bidi="zh-CN"/>
        </w:rPr>
        <w:tab/>
      </w:r>
      <w:r>
        <w:rPr>
          <w:rFonts w:hint="eastAsia" w:ascii="宋体" w:hAnsi="宋体" w:cs="宋体"/>
          <w:color w:val="auto"/>
          <w:szCs w:val="21"/>
          <w:highlight w:val="none"/>
          <w:lang w:val="zh-CN" w:bidi="zh-CN"/>
        </w:rPr>
        <w:t>（承包人名称，以下称“承包人”）与</w:t>
      </w:r>
      <w:r>
        <w:rPr>
          <w:rFonts w:hint="eastAsia" w:ascii="宋体" w:hAnsi="宋体" w:cs="宋体"/>
          <w:color w:val="auto"/>
          <w:szCs w:val="21"/>
          <w:highlight w:val="none"/>
          <w:u w:val="single"/>
          <w:lang w:val="zh-CN" w:bidi="zh-CN"/>
        </w:rPr>
        <w:tab/>
      </w:r>
      <w:r>
        <w:rPr>
          <w:rFonts w:hint="eastAsia" w:ascii="宋体" w:hAnsi="宋体" w:cs="宋体"/>
          <w:color w:val="auto"/>
          <w:szCs w:val="21"/>
          <w:highlight w:val="none"/>
          <w:lang w:val="zh-CN" w:bidi="zh-CN"/>
        </w:rPr>
        <w:t xml:space="preserve"> （发包人名称，以下简称“发包人”）于</w:t>
      </w:r>
      <w:r>
        <w:rPr>
          <w:rFonts w:hint="eastAsia" w:ascii="宋体" w:hAnsi="宋体" w:cs="宋体"/>
          <w:color w:val="auto"/>
          <w:szCs w:val="21"/>
          <w:highlight w:val="none"/>
          <w:u w:val="single"/>
          <w:lang w:val="zh-CN" w:bidi="zh-CN"/>
        </w:rPr>
        <w:tab/>
      </w:r>
      <w:r>
        <w:rPr>
          <w:rFonts w:hint="eastAsia" w:ascii="宋体" w:hAnsi="宋体" w:cs="宋体"/>
          <w:color w:val="auto"/>
          <w:szCs w:val="21"/>
          <w:highlight w:val="none"/>
          <w:u w:val="single"/>
          <w:lang w:val="zh-CN" w:bidi="zh-CN"/>
        </w:rPr>
        <w:t xml:space="preserve">  </w:t>
      </w:r>
      <w:r>
        <w:rPr>
          <w:rFonts w:hint="eastAsia" w:ascii="宋体" w:hAnsi="宋体" w:cs="宋体"/>
          <w:color w:val="auto"/>
          <w:szCs w:val="21"/>
          <w:highlight w:val="none"/>
          <w:lang w:val="zh-CN" w:bidi="zh-CN"/>
        </w:rPr>
        <w:t>年</w:t>
      </w:r>
      <w:r>
        <w:rPr>
          <w:rFonts w:hint="eastAsia" w:ascii="宋体" w:hAnsi="宋体" w:cs="宋体"/>
          <w:color w:val="auto"/>
          <w:szCs w:val="21"/>
          <w:highlight w:val="none"/>
          <w:u w:val="single"/>
          <w:lang w:val="zh-CN" w:bidi="zh-CN"/>
        </w:rPr>
        <w:tab/>
      </w:r>
      <w:r>
        <w:rPr>
          <w:rFonts w:hint="eastAsia" w:ascii="宋体" w:hAnsi="宋体" w:cs="宋体"/>
          <w:color w:val="auto"/>
          <w:szCs w:val="21"/>
          <w:highlight w:val="none"/>
          <w:lang w:val="zh-CN" w:bidi="zh-CN"/>
        </w:rPr>
        <w:t>月</w:t>
      </w:r>
      <w:r>
        <w:rPr>
          <w:rFonts w:hint="eastAsia" w:ascii="宋体" w:hAnsi="宋体" w:cs="宋体"/>
          <w:color w:val="auto"/>
          <w:szCs w:val="21"/>
          <w:highlight w:val="none"/>
          <w:u w:val="single"/>
          <w:lang w:val="zh-CN" w:bidi="zh-CN"/>
        </w:rPr>
        <w:t xml:space="preserve">     </w:t>
      </w:r>
      <w:r>
        <w:rPr>
          <w:rFonts w:hint="eastAsia" w:ascii="宋体" w:hAnsi="宋体" w:cs="宋体"/>
          <w:color w:val="auto"/>
          <w:szCs w:val="21"/>
          <w:highlight w:val="none"/>
          <w:lang w:val="zh-CN" w:bidi="zh-CN"/>
        </w:rPr>
        <w:t xml:space="preserve">日签订的 </w:t>
      </w:r>
      <w:r>
        <w:rPr>
          <w:rFonts w:hint="eastAsia" w:ascii="宋体" w:hAnsi="宋体" w:cs="宋体"/>
          <w:color w:val="auto"/>
          <w:szCs w:val="21"/>
          <w:highlight w:val="none"/>
          <w:u w:val="single"/>
          <w:lang w:val="zh-CN" w:bidi="zh-CN"/>
        </w:rPr>
        <w:tab/>
      </w:r>
      <w:r>
        <w:rPr>
          <w:rFonts w:hint="eastAsia" w:ascii="宋体" w:hAnsi="宋体" w:cs="宋体"/>
          <w:color w:val="auto"/>
          <w:szCs w:val="21"/>
          <w:highlight w:val="none"/>
          <w:lang w:val="zh-CN" w:bidi="zh-CN"/>
        </w:rPr>
        <w:t>（项目名称）</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val="zh-CN" w:bidi="zh-CN"/>
        </w:rPr>
        <w:t>（标段名称）合同协议书，承包人 按约定的金额向发包人提交一份预付款担保，即有权得到发包人支付相等金额的预付款。 我方愿意就你方提供给承包人的预付款提供担保。</w:t>
      </w:r>
    </w:p>
    <w:p w14:paraId="74235FA2">
      <w:pPr>
        <w:pStyle w:val="1142"/>
        <w:numPr>
          <w:ilvl w:val="0"/>
          <w:numId w:val="3"/>
        </w:numPr>
        <w:tabs>
          <w:tab w:val="left" w:pos="719"/>
          <w:tab w:val="left" w:pos="4879"/>
          <w:tab w:val="left" w:pos="7402"/>
        </w:tabs>
        <w:spacing w:line="400" w:lineRule="exact"/>
        <w:rPr>
          <w:rFonts w:hint="eastAsia" w:ascii="宋体" w:hAnsi="宋体" w:cs="宋体"/>
          <w:color w:val="auto"/>
          <w:szCs w:val="21"/>
          <w:highlight w:val="none"/>
          <w:lang w:val="zh-CN" w:bidi="zh-CN"/>
        </w:rPr>
      </w:pPr>
      <w:bookmarkStart w:id="400" w:name="bookmark1933"/>
      <w:bookmarkEnd w:id="400"/>
      <w:r>
        <w:rPr>
          <w:rFonts w:hint="eastAsia" w:ascii="宋体" w:hAnsi="宋体" w:cs="宋体"/>
          <w:color w:val="auto"/>
          <w:szCs w:val="21"/>
          <w:highlight w:val="none"/>
          <w:lang w:val="zh-CN" w:bidi="zh-CN"/>
        </w:rPr>
        <w:t>担保金额人民币（大写）</w:t>
      </w:r>
      <w:r>
        <w:rPr>
          <w:rFonts w:hint="eastAsia" w:ascii="宋体" w:hAnsi="宋体" w:cs="宋体"/>
          <w:color w:val="auto"/>
          <w:szCs w:val="21"/>
          <w:highlight w:val="none"/>
          <w:u w:val="single"/>
          <w:lang w:val="zh-CN" w:bidi="zh-CN"/>
        </w:rPr>
        <w:tab/>
      </w:r>
      <w:r>
        <w:rPr>
          <w:rFonts w:hint="eastAsia" w:ascii="宋体" w:hAnsi="宋体" w:cs="宋体"/>
          <w:color w:val="auto"/>
          <w:szCs w:val="21"/>
          <w:highlight w:val="none"/>
          <w:lang w:val="zh-CN" w:bidi="zh-CN"/>
        </w:rPr>
        <w:t>元（¥</w:t>
      </w:r>
      <w:r>
        <w:rPr>
          <w:rFonts w:hint="eastAsia" w:ascii="宋体" w:hAnsi="宋体" w:cs="宋体"/>
          <w:color w:val="auto"/>
          <w:szCs w:val="21"/>
          <w:highlight w:val="none"/>
          <w:u w:val="single"/>
          <w:lang w:val="zh-CN" w:bidi="zh-CN"/>
        </w:rPr>
        <w:tab/>
      </w:r>
      <w:r>
        <w:rPr>
          <w:rFonts w:hint="eastAsia" w:ascii="宋体" w:hAnsi="宋体" w:cs="宋体"/>
          <w:color w:val="auto"/>
          <w:szCs w:val="21"/>
          <w:highlight w:val="none"/>
        </w:rPr>
        <w:t>）</w:t>
      </w:r>
      <w:r>
        <w:rPr>
          <w:rFonts w:hint="eastAsia" w:ascii="宋体" w:hAnsi="宋体" w:cs="宋体"/>
          <w:color w:val="auto"/>
          <w:szCs w:val="21"/>
          <w:highlight w:val="none"/>
          <w:vertAlign w:val="subscript"/>
        </w:rPr>
        <w:t>o</w:t>
      </w:r>
    </w:p>
    <w:p w14:paraId="0C18CF27">
      <w:pPr>
        <w:pStyle w:val="1142"/>
        <w:numPr>
          <w:ilvl w:val="0"/>
          <w:numId w:val="3"/>
        </w:numPr>
        <w:tabs>
          <w:tab w:val="left" w:pos="726"/>
        </w:tabs>
        <w:spacing w:line="400" w:lineRule="exact"/>
        <w:rPr>
          <w:rFonts w:hint="eastAsia" w:ascii="宋体" w:hAnsi="宋体" w:cs="宋体"/>
          <w:color w:val="auto"/>
          <w:szCs w:val="21"/>
          <w:highlight w:val="none"/>
          <w:lang w:val="zh-CN" w:bidi="zh-CN"/>
        </w:rPr>
      </w:pPr>
      <w:bookmarkStart w:id="401" w:name="bookmark1934"/>
      <w:bookmarkEnd w:id="401"/>
      <w:r>
        <w:rPr>
          <w:rFonts w:hint="eastAsia" w:ascii="宋体" w:hAnsi="宋体" w:cs="宋体"/>
          <w:color w:val="auto"/>
          <w:szCs w:val="21"/>
          <w:highlight w:val="none"/>
          <w:lang w:val="zh-CN" w:bidi="zh-CN"/>
        </w:rPr>
        <w:t>担保有效期自预付款支付给承包人起生效，至发包人签发的进度付款证书说明已完全扣清止。</w:t>
      </w:r>
    </w:p>
    <w:p w14:paraId="2ECFC40A">
      <w:pPr>
        <w:pStyle w:val="1142"/>
        <w:numPr>
          <w:ilvl w:val="0"/>
          <w:numId w:val="3"/>
        </w:numPr>
        <w:tabs>
          <w:tab w:val="left" w:pos="731"/>
        </w:tabs>
        <w:spacing w:line="400" w:lineRule="exact"/>
        <w:rPr>
          <w:rFonts w:hint="eastAsia" w:ascii="宋体" w:hAnsi="宋体" w:cs="宋体"/>
          <w:color w:val="auto"/>
          <w:szCs w:val="21"/>
          <w:highlight w:val="none"/>
          <w:lang w:val="zh-CN" w:bidi="zh-CN"/>
        </w:rPr>
      </w:pPr>
      <w:bookmarkStart w:id="402" w:name="bookmark1935"/>
      <w:bookmarkEnd w:id="402"/>
      <w:r>
        <w:rPr>
          <w:rFonts w:hint="eastAsia" w:ascii="宋体" w:hAnsi="宋体" w:cs="宋体"/>
          <w:color w:val="auto"/>
          <w:szCs w:val="21"/>
          <w:highlight w:val="none"/>
          <w:lang w:val="zh-CN" w:bidi="zh-CN"/>
        </w:rPr>
        <w:t>在本担保有效期内，因承包人违反合同约定的义务而要求收回预付款时，我方在收到你方的书面通知后，无条件地在7天内予以支付。但本担保的担保金额，在任何时候不应超过预付款金额减去发包人按合同约定在向承包人签发的进度付款证书中已扣回的金额。</w:t>
      </w:r>
      <w:bookmarkStart w:id="403" w:name="bookmark1936"/>
      <w:bookmarkEnd w:id="403"/>
    </w:p>
    <w:p w14:paraId="73A0884D">
      <w:pPr>
        <w:pStyle w:val="1142"/>
        <w:numPr>
          <w:ilvl w:val="0"/>
          <w:numId w:val="3"/>
        </w:numPr>
        <w:tabs>
          <w:tab w:val="left" w:pos="731"/>
        </w:tabs>
        <w:spacing w:line="400" w:lineRule="exact"/>
        <w:rPr>
          <w:rFonts w:hint="eastAsia" w:ascii="宋体" w:hAnsi="宋体" w:cs="宋体"/>
          <w:color w:val="auto"/>
          <w:szCs w:val="21"/>
          <w:highlight w:val="none"/>
          <w:lang w:val="zh-CN" w:bidi="zh-CN"/>
        </w:rPr>
      </w:pPr>
      <w:r>
        <w:rPr>
          <w:rFonts w:hint="eastAsia" w:ascii="宋体" w:hAnsi="宋体" w:cs="宋体"/>
          <w:color w:val="auto"/>
          <w:szCs w:val="21"/>
          <w:highlight w:val="none"/>
          <w:lang w:val="zh-CN" w:bidi="zh-CN"/>
        </w:rPr>
        <w:t>发包人和承包人按《通用合同条款》第15条变更合同时，我方承担本担保规定的义务不变。</w:t>
      </w:r>
    </w:p>
    <w:p w14:paraId="7099D58D">
      <w:pPr>
        <w:pStyle w:val="1142"/>
        <w:tabs>
          <w:tab w:val="left" w:pos="731"/>
        </w:tabs>
        <w:spacing w:line="400" w:lineRule="exact"/>
        <w:rPr>
          <w:rFonts w:hint="eastAsia" w:ascii="宋体" w:hAnsi="宋体" w:cs="宋体"/>
          <w:color w:val="auto"/>
          <w:szCs w:val="21"/>
          <w:highlight w:val="none"/>
          <w:lang w:val="zh-CN" w:bidi="zh-CN"/>
        </w:rPr>
      </w:pPr>
    </w:p>
    <w:p w14:paraId="58A26B7F">
      <w:pPr>
        <w:pStyle w:val="1142"/>
        <w:tabs>
          <w:tab w:val="left" w:pos="731"/>
        </w:tabs>
        <w:spacing w:line="400" w:lineRule="exact"/>
        <w:rPr>
          <w:rFonts w:hint="eastAsia" w:ascii="宋体" w:hAnsi="宋体" w:cs="宋体"/>
          <w:color w:val="auto"/>
          <w:szCs w:val="21"/>
          <w:highlight w:val="none"/>
          <w:lang w:val="zh-CN" w:bidi="zh-CN"/>
        </w:rPr>
      </w:pPr>
    </w:p>
    <w:p w14:paraId="6A02C8EA">
      <w:pPr>
        <w:pStyle w:val="1142"/>
        <w:spacing w:line="400" w:lineRule="exact"/>
        <w:jc w:val="right"/>
        <w:rPr>
          <w:rFonts w:hint="eastAsia" w:ascii="宋体" w:hAnsi="宋体" w:cs="宋体"/>
          <w:color w:val="auto"/>
          <w:szCs w:val="21"/>
          <w:highlight w:val="none"/>
        </w:rPr>
      </w:pPr>
      <w:r>
        <w:rPr>
          <w:rFonts w:hint="eastAsia" w:ascii="宋体" w:hAnsi="宋体" w:cs="宋体"/>
          <w:color w:val="auto"/>
          <w:szCs w:val="21"/>
          <w:highlight w:val="none"/>
        </w:rPr>
        <w:t>担  保 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（盖单位公章） </w:t>
      </w:r>
    </w:p>
    <w:p w14:paraId="07E2BACA">
      <w:pPr>
        <w:pStyle w:val="1142"/>
        <w:spacing w:line="400" w:lineRule="exact"/>
        <w:jc w:val="right"/>
        <w:rPr>
          <w:rFonts w:hint="eastAsia" w:ascii="宋体" w:hAnsi="宋体" w:cs="宋体"/>
          <w:color w:val="auto"/>
          <w:szCs w:val="21"/>
          <w:highlight w:val="none"/>
        </w:rPr>
      </w:pPr>
      <w:r>
        <w:rPr>
          <w:rFonts w:hint="eastAsia" w:ascii="宋体" w:hAnsi="宋体" w:cs="宋体"/>
          <w:color w:val="auto"/>
          <w:szCs w:val="21"/>
          <w:highlight w:val="none"/>
        </w:rPr>
        <w:t>法定代表人(或委托代理人)：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（签字）</w:t>
      </w:r>
    </w:p>
    <w:p w14:paraId="20247B93">
      <w:pPr>
        <w:pStyle w:val="1142"/>
        <w:spacing w:line="400" w:lineRule="exact"/>
        <w:ind w:firstLine="1890" w:firstLineChars="900"/>
        <w:rPr>
          <w:rFonts w:hint="eastAsia" w:ascii="宋体" w:hAnsi="宋体" w:cs="宋体"/>
          <w:color w:val="auto"/>
          <w:szCs w:val="21"/>
          <w:highlight w:val="none"/>
          <w:u w:val="single"/>
        </w:rPr>
      </w:pPr>
      <w:r>
        <w:rPr>
          <w:rFonts w:hint="eastAsia" w:ascii="宋体" w:hAnsi="宋体" w:cs="宋体"/>
          <w:color w:val="auto"/>
          <w:szCs w:val="21"/>
          <w:highlight w:val="none"/>
        </w:rPr>
        <w:t>地       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p>
    <w:p w14:paraId="32A585FA">
      <w:pPr>
        <w:pStyle w:val="1142"/>
        <w:spacing w:line="400" w:lineRule="exact"/>
        <w:ind w:firstLine="1890" w:firstLineChars="900"/>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3119DEA">
      <w:pPr>
        <w:pStyle w:val="1142"/>
        <w:spacing w:line="400" w:lineRule="exact"/>
        <w:ind w:firstLine="1890" w:firstLineChars="900"/>
        <w:rPr>
          <w:rFonts w:hint="eastAsia" w:ascii="宋体" w:hAnsi="宋体" w:cs="宋体"/>
          <w:color w:val="auto"/>
          <w:szCs w:val="21"/>
          <w:highlight w:val="none"/>
          <w:u w:val="single"/>
        </w:rPr>
      </w:pPr>
      <w:r>
        <w:rPr>
          <w:rFonts w:hint="eastAsia" w:ascii="宋体" w:hAnsi="宋体" w:cs="宋体"/>
          <w:color w:val="auto"/>
          <w:szCs w:val="21"/>
          <w:highlight w:val="none"/>
        </w:rPr>
        <w:t xml:space="preserve"> 电        话：</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25E3E889">
      <w:pPr>
        <w:pStyle w:val="1142"/>
        <w:spacing w:line="400" w:lineRule="exact"/>
        <w:ind w:firstLine="2100" w:firstLineChars="1000"/>
        <w:rPr>
          <w:rFonts w:hint="eastAsia" w:ascii="宋体" w:hAnsi="宋体" w:cs="宋体"/>
          <w:color w:val="auto"/>
          <w:szCs w:val="21"/>
          <w:highlight w:val="none"/>
        </w:rPr>
      </w:pPr>
      <w:r>
        <w:rPr>
          <w:rFonts w:hint="eastAsia" w:ascii="宋体" w:hAnsi="宋体" w:cs="宋体"/>
          <w:color w:val="auto"/>
          <w:szCs w:val="21"/>
          <w:highlight w:val="none"/>
        </w:rPr>
        <w:t>传        真：</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ab/>
      </w:r>
    </w:p>
    <w:p w14:paraId="335C9108">
      <w:pPr>
        <w:pStyle w:val="1142"/>
        <w:spacing w:line="400" w:lineRule="exact"/>
        <w:ind w:firstLine="2940" w:firstLineChars="1400"/>
        <w:rPr>
          <w:rFonts w:hint="eastAsia" w:ascii="宋体" w:hAnsi="宋体" w:cs="宋体"/>
          <w:color w:val="auto"/>
          <w:szCs w:val="21"/>
          <w:highlight w:val="none"/>
        </w:rPr>
      </w:pP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ab/>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日     </w:t>
      </w:r>
    </w:p>
    <w:p w14:paraId="0134C1C4">
      <w:pPr>
        <w:pStyle w:val="1142"/>
        <w:tabs>
          <w:tab w:val="left" w:pos="726"/>
        </w:tabs>
        <w:spacing w:line="400" w:lineRule="exact"/>
        <w:rPr>
          <w:rFonts w:hint="eastAsia" w:ascii="宋体" w:hAnsi="宋体" w:cs="宋体"/>
          <w:color w:val="auto"/>
          <w:szCs w:val="21"/>
          <w:highlight w:val="none"/>
          <w:lang w:val="zh-CN" w:bidi="zh-CN"/>
        </w:rPr>
      </w:pPr>
    </w:p>
    <w:p w14:paraId="5FFA3838">
      <w:pPr>
        <w:pStyle w:val="1142"/>
        <w:tabs>
          <w:tab w:val="left" w:pos="726"/>
        </w:tabs>
        <w:spacing w:line="400" w:lineRule="exact"/>
        <w:rPr>
          <w:rFonts w:hint="eastAsia" w:ascii="宋体" w:hAnsi="宋体" w:cs="宋体"/>
          <w:color w:val="auto"/>
          <w:szCs w:val="21"/>
          <w:highlight w:val="none"/>
          <w:lang w:val="zh-CN" w:bidi="zh-CN"/>
        </w:rPr>
      </w:pPr>
      <w:r>
        <w:rPr>
          <w:rFonts w:hint="eastAsia" w:ascii="宋体" w:hAnsi="宋体" w:cs="宋体"/>
          <w:color w:val="auto"/>
          <w:szCs w:val="21"/>
          <w:highlight w:val="none"/>
          <w:lang w:val="zh-CN" w:bidi="zh-CN"/>
        </w:rPr>
        <w:t>注：</w:t>
      </w:r>
    </w:p>
    <w:p w14:paraId="1D4BA925">
      <w:pPr>
        <w:pStyle w:val="1142"/>
        <w:numPr>
          <w:ilvl w:val="0"/>
          <w:numId w:val="4"/>
        </w:numPr>
        <w:tabs>
          <w:tab w:val="left" w:pos="699"/>
        </w:tabs>
        <w:spacing w:line="400" w:lineRule="exact"/>
        <w:rPr>
          <w:rFonts w:hint="eastAsia" w:ascii="宋体" w:hAnsi="宋体" w:cs="宋体"/>
          <w:color w:val="auto"/>
          <w:szCs w:val="21"/>
          <w:highlight w:val="none"/>
          <w:lang w:val="zh-CN" w:bidi="zh-CN"/>
        </w:rPr>
      </w:pPr>
      <w:bookmarkStart w:id="404" w:name="bookmark1937"/>
      <w:bookmarkEnd w:id="404"/>
      <w:r>
        <w:rPr>
          <w:rFonts w:hint="eastAsia" w:ascii="宋体" w:hAnsi="宋体" w:cs="宋体"/>
          <w:color w:val="auto"/>
          <w:szCs w:val="21"/>
          <w:highlight w:val="none"/>
          <w:lang w:val="zh-CN" w:bidi="zh-CN"/>
        </w:rPr>
        <w:t>担保人必须是投标人单位基本账户的开户银行。</w:t>
      </w:r>
    </w:p>
    <w:p w14:paraId="7AA4A57D">
      <w:pPr>
        <w:pStyle w:val="1142"/>
        <w:numPr>
          <w:ilvl w:val="0"/>
          <w:numId w:val="4"/>
        </w:numPr>
        <w:tabs>
          <w:tab w:val="left" w:pos="716"/>
        </w:tabs>
        <w:spacing w:line="400" w:lineRule="exact"/>
        <w:rPr>
          <w:rFonts w:hint="eastAsia" w:ascii="宋体" w:hAnsi="宋体" w:cs="宋体"/>
          <w:color w:val="auto"/>
          <w:szCs w:val="21"/>
          <w:highlight w:val="none"/>
          <w:lang w:val="zh-CN" w:bidi="zh-CN"/>
        </w:rPr>
      </w:pPr>
      <w:bookmarkStart w:id="405" w:name="bookmark1938"/>
      <w:bookmarkEnd w:id="405"/>
      <w:r>
        <w:rPr>
          <w:rFonts w:hint="eastAsia" w:ascii="宋体" w:hAnsi="宋体" w:cs="宋体"/>
          <w:color w:val="auto"/>
          <w:szCs w:val="21"/>
          <w:highlight w:val="none"/>
          <w:lang w:val="zh-CN" w:bidi="zh-CN"/>
        </w:rPr>
        <w:t>委托代理人应附授权委托书</w:t>
      </w:r>
    </w:p>
    <w:p w14:paraId="196D9D54">
      <w:pPr>
        <w:pStyle w:val="7"/>
        <w:spacing w:before="0" w:after="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br w:type="page"/>
      </w:r>
      <w:r>
        <w:rPr>
          <w:rFonts w:hint="eastAsia" w:ascii="宋体" w:hAnsi="宋体" w:eastAsia="宋体" w:cs="宋体"/>
          <w:color w:val="auto"/>
          <w:sz w:val="21"/>
          <w:szCs w:val="21"/>
          <w:highlight w:val="none"/>
        </w:rPr>
        <w:t>附件：合同设备供货范围及数量</w:t>
      </w:r>
    </w:p>
    <w:p w14:paraId="1D396F2B">
      <w:pPr>
        <w:pStyle w:val="181"/>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   </w:t>
      </w:r>
    </w:p>
    <w:tbl>
      <w:tblPr>
        <w:tblStyle w:val="84"/>
        <w:tblW w:w="8055"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980"/>
        <w:gridCol w:w="2306"/>
        <w:gridCol w:w="834"/>
        <w:gridCol w:w="588"/>
        <w:gridCol w:w="916"/>
        <w:gridCol w:w="779"/>
        <w:gridCol w:w="889"/>
        <w:gridCol w:w="314"/>
      </w:tblGrid>
      <w:tr w14:paraId="3C69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449" w:type="dxa"/>
            <w:tcBorders>
              <w:top w:val="single" w:color="auto" w:sz="4" w:space="0"/>
              <w:left w:val="single" w:color="auto" w:sz="4" w:space="0"/>
              <w:bottom w:val="single" w:color="auto" w:sz="4" w:space="0"/>
              <w:right w:val="single" w:color="auto" w:sz="4" w:space="0"/>
            </w:tcBorders>
            <w:noWrap/>
            <w:vAlign w:val="center"/>
          </w:tcPr>
          <w:p w14:paraId="3F6A7B52">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 号</w:t>
            </w:r>
          </w:p>
        </w:tc>
        <w:tc>
          <w:tcPr>
            <w:tcW w:w="980" w:type="dxa"/>
            <w:tcBorders>
              <w:top w:val="single" w:color="auto" w:sz="4" w:space="0"/>
              <w:left w:val="single" w:color="auto" w:sz="4" w:space="0"/>
              <w:bottom w:val="single" w:color="auto" w:sz="4" w:space="0"/>
              <w:right w:val="single" w:color="auto" w:sz="4" w:space="0"/>
            </w:tcBorders>
            <w:noWrap/>
            <w:vAlign w:val="center"/>
          </w:tcPr>
          <w:p w14:paraId="7309C331">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货物名称</w:t>
            </w:r>
          </w:p>
        </w:tc>
        <w:tc>
          <w:tcPr>
            <w:tcW w:w="2306" w:type="dxa"/>
            <w:tcBorders>
              <w:top w:val="single" w:color="auto" w:sz="4" w:space="0"/>
              <w:left w:val="single" w:color="auto" w:sz="4" w:space="0"/>
              <w:bottom w:val="single" w:color="auto" w:sz="4" w:space="0"/>
              <w:right w:val="single" w:color="auto" w:sz="4" w:space="0"/>
            </w:tcBorders>
            <w:noWrap/>
            <w:vAlign w:val="center"/>
          </w:tcPr>
          <w:p w14:paraId="589216CD">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规格型号</w:t>
            </w:r>
          </w:p>
        </w:tc>
        <w:tc>
          <w:tcPr>
            <w:tcW w:w="834" w:type="dxa"/>
            <w:tcBorders>
              <w:top w:val="single" w:color="auto" w:sz="4" w:space="0"/>
              <w:left w:val="single" w:color="auto" w:sz="4" w:space="0"/>
              <w:bottom w:val="single" w:color="auto" w:sz="4" w:space="0"/>
              <w:right w:val="single" w:color="auto" w:sz="4" w:space="0"/>
            </w:tcBorders>
            <w:noWrap/>
            <w:vAlign w:val="center"/>
          </w:tcPr>
          <w:p w14:paraId="778194CE">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588" w:type="dxa"/>
            <w:tcBorders>
              <w:top w:val="single" w:color="auto" w:sz="4" w:space="0"/>
              <w:left w:val="single" w:color="auto" w:sz="4" w:space="0"/>
              <w:bottom w:val="single" w:color="auto" w:sz="4" w:space="0"/>
              <w:right w:val="single" w:color="auto" w:sz="4" w:space="0"/>
            </w:tcBorders>
            <w:noWrap/>
            <w:vAlign w:val="center"/>
          </w:tcPr>
          <w:p w14:paraId="413696FA">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916" w:type="dxa"/>
            <w:tcBorders>
              <w:top w:val="single" w:color="auto" w:sz="4" w:space="0"/>
              <w:left w:val="single" w:color="auto" w:sz="4" w:space="0"/>
              <w:bottom w:val="single" w:color="auto" w:sz="4" w:space="0"/>
              <w:right w:val="single" w:color="auto" w:sz="4" w:space="0"/>
            </w:tcBorders>
            <w:noWrap/>
            <w:vAlign w:val="center"/>
          </w:tcPr>
          <w:p w14:paraId="664ABD46">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单价（元）</w:t>
            </w:r>
          </w:p>
        </w:tc>
        <w:tc>
          <w:tcPr>
            <w:tcW w:w="779" w:type="dxa"/>
            <w:tcBorders>
              <w:top w:val="single" w:color="auto" w:sz="4" w:space="0"/>
              <w:left w:val="single" w:color="auto" w:sz="4" w:space="0"/>
              <w:bottom w:val="single" w:color="auto" w:sz="4" w:space="0"/>
              <w:right w:val="single" w:color="auto" w:sz="4" w:space="0"/>
            </w:tcBorders>
            <w:noWrap/>
            <w:vAlign w:val="center"/>
          </w:tcPr>
          <w:p w14:paraId="5C4C1912">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合价（元）</w:t>
            </w:r>
          </w:p>
        </w:tc>
        <w:tc>
          <w:tcPr>
            <w:tcW w:w="889" w:type="dxa"/>
            <w:tcBorders>
              <w:top w:val="single" w:color="auto" w:sz="4" w:space="0"/>
              <w:left w:val="single" w:color="auto" w:sz="4" w:space="0"/>
              <w:bottom w:val="single" w:color="auto" w:sz="4" w:space="0"/>
              <w:right w:val="single" w:color="auto" w:sz="4" w:space="0"/>
            </w:tcBorders>
            <w:noWrap/>
            <w:vAlign w:val="center"/>
          </w:tcPr>
          <w:p w14:paraId="6E6A9DEE">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品牌/厂家/产地</w:t>
            </w:r>
          </w:p>
        </w:tc>
        <w:tc>
          <w:tcPr>
            <w:tcW w:w="314" w:type="dxa"/>
            <w:tcBorders>
              <w:top w:val="single" w:color="auto" w:sz="4" w:space="0"/>
              <w:left w:val="single" w:color="auto" w:sz="4" w:space="0"/>
              <w:bottom w:val="single" w:color="auto" w:sz="4" w:space="0"/>
              <w:right w:val="single" w:color="auto" w:sz="4" w:space="0"/>
            </w:tcBorders>
            <w:noWrap/>
            <w:vAlign w:val="center"/>
          </w:tcPr>
          <w:p w14:paraId="0B399DDD">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6444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49" w:type="dxa"/>
            <w:tcBorders>
              <w:top w:val="single" w:color="auto" w:sz="4" w:space="0"/>
              <w:left w:val="single" w:color="auto" w:sz="4" w:space="0"/>
              <w:bottom w:val="single" w:color="auto" w:sz="4" w:space="0"/>
              <w:right w:val="single" w:color="auto" w:sz="4" w:space="0"/>
            </w:tcBorders>
            <w:noWrap/>
            <w:vAlign w:val="center"/>
          </w:tcPr>
          <w:p w14:paraId="4392C12B">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80" w:type="dxa"/>
            <w:tcBorders>
              <w:top w:val="single" w:color="auto" w:sz="4" w:space="0"/>
              <w:left w:val="single" w:color="auto" w:sz="4" w:space="0"/>
              <w:bottom w:val="single" w:color="auto" w:sz="4" w:space="0"/>
              <w:right w:val="single" w:color="auto" w:sz="4" w:space="0"/>
            </w:tcBorders>
            <w:noWrap/>
            <w:vAlign w:val="center"/>
          </w:tcPr>
          <w:p w14:paraId="700962EA">
            <w:pPr>
              <w:pStyle w:val="1529"/>
              <w:widowControl/>
              <w:spacing w:line="400" w:lineRule="exact"/>
              <w:jc w:val="center"/>
              <w:rPr>
                <w:rFonts w:hint="eastAsia" w:ascii="宋体" w:hAnsi="宋体" w:eastAsia="宋体" w:cs="宋体"/>
                <w:color w:val="auto"/>
                <w:sz w:val="21"/>
                <w:szCs w:val="21"/>
                <w:highlight w:val="none"/>
              </w:rPr>
            </w:pPr>
          </w:p>
        </w:tc>
        <w:tc>
          <w:tcPr>
            <w:tcW w:w="2306" w:type="dxa"/>
            <w:tcBorders>
              <w:top w:val="single" w:color="auto" w:sz="4" w:space="0"/>
              <w:left w:val="single" w:color="auto" w:sz="4" w:space="0"/>
              <w:bottom w:val="single" w:color="auto" w:sz="4" w:space="0"/>
              <w:right w:val="single" w:color="auto" w:sz="4" w:space="0"/>
            </w:tcBorders>
            <w:noWrap/>
            <w:vAlign w:val="center"/>
          </w:tcPr>
          <w:p w14:paraId="3324921C">
            <w:pPr>
              <w:pStyle w:val="1529"/>
              <w:widowControl/>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834" w:type="dxa"/>
            <w:tcBorders>
              <w:top w:val="single" w:color="auto" w:sz="4" w:space="0"/>
              <w:left w:val="single" w:color="auto" w:sz="4" w:space="0"/>
              <w:bottom w:val="single" w:color="auto" w:sz="4" w:space="0"/>
              <w:right w:val="single" w:color="auto" w:sz="4" w:space="0"/>
            </w:tcBorders>
            <w:noWrap/>
            <w:vAlign w:val="center"/>
          </w:tcPr>
          <w:p w14:paraId="1D06139E">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588" w:type="dxa"/>
            <w:tcBorders>
              <w:top w:val="single" w:color="auto" w:sz="4" w:space="0"/>
              <w:left w:val="single" w:color="auto" w:sz="4" w:space="0"/>
              <w:bottom w:val="single" w:color="auto" w:sz="4" w:space="0"/>
              <w:right w:val="single" w:color="auto" w:sz="4" w:space="0"/>
            </w:tcBorders>
            <w:noWrap/>
            <w:vAlign w:val="center"/>
          </w:tcPr>
          <w:p w14:paraId="0D2B46E7">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916" w:type="dxa"/>
            <w:tcBorders>
              <w:top w:val="single" w:color="auto" w:sz="4" w:space="0"/>
              <w:left w:val="single" w:color="auto" w:sz="4" w:space="0"/>
              <w:bottom w:val="single" w:color="auto" w:sz="4" w:space="0"/>
              <w:right w:val="single" w:color="auto" w:sz="4" w:space="0"/>
            </w:tcBorders>
            <w:noWrap/>
            <w:vAlign w:val="center"/>
          </w:tcPr>
          <w:p w14:paraId="504BCFBA">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779" w:type="dxa"/>
            <w:tcBorders>
              <w:top w:val="single" w:color="auto" w:sz="4" w:space="0"/>
              <w:left w:val="single" w:color="auto" w:sz="4" w:space="0"/>
              <w:bottom w:val="single" w:color="auto" w:sz="4" w:space="0"/>
              <w:right w:val="single" w:color="auto" w:sz="4" w:space="0"/>
            </w:tcBorders>
            <w:noWrap/>
            <w:vAlign w:val="center"/>
          </w:tcPr>
          <w:p w14:paraId="076CFB2D">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889" w:type="dxa"/>
            <w:tcBorders>
              <w:top w:val="single" w:color="auto" w:sz="4" w:space="0"/>
              <w:left w:val="single" w:color="auto" w:sz="4" w:space="0"/>
              <w:bottom w:val="single" w:color="auto" w:sz="4" w:space="0"/>
              <w:right w:val="single" w:color="auto" w:sz="4" w:space="0"/>
            </w:tcBorders>
            <w:noWrap/>
            <w:vAlign w:val="center"/>
          </w:tcPr>
          <w:p w14:paraId="7AEC9056">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314" w:type="dxa"/>
            <w:tcBorders>
              <w:top w:val="single" w:color="auto" w:sz="4" w:space="0"/>
              <w:left w:val="single" w:color="auto" w:sz="4" w:space="0"/>
              <w:bottom w:val="single" w:color="auto" w:sz="4" w:space="0"/>
              <w:right w:val="single" w:color="auto" w:sz="4" w:space="0"/>
            </w:tcBorders>
            <w:noWrap/>
            <w:vAlign w:val="center"/>
          </w:tcPr>
          <w:p w14:paraId="606A2CC6">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6414A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49" w:type="dxa"/>
            <w:tcBorders>
              <w:top w:val="single" w:color="auto" w:sz="4" w:space="0"/>
              <w:left w:val="single" w:color="auto" w:sz="4" w:space="0"/>
              <w:bottom w:val="single" w:color="auto" w:sz="4" w:space="0"/>
              <w:right w:val="single" w:color="auto" w:sz="4" w:space="0"/>
            </w:tcBorders>
            <w:noWrap/>
            <w:vAlign w:val="center"/>
          </w:tcPr>
          <w:p w14:paraId="36CB0ADB">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980" w:type="dxa"/>
            <w:tcBorders>
              <w:top w:val="single" w:color="auto" w:sz="4" w:space="0"/>
              <w:left w:val="single" w:color="auto" w:sz="4" w:space="0"/>
              <w:bottom w:val="single" w:color="auto" w:sz="4" w:space="0"/>
              <w:right w:val="single" w:color="auto" w:sz="4" w:space="0"/>
            </w:tcBorders>
            <w:noWrap/>
            <w:vAlign w:val="center"/>
          </w:tcPr>
          <w:p w14:paraId="266C3E90">
            <w:pPr>
              <w:pStyle w:val="1529"/>
              <w:widowControl/>
              <w:spacing w:line="400" w:lineRule="exact"/>
              <w:jc w:val="center"/>
              <w:rPr>
                <w:rFonts w:hint="eastAsia" w:ascii="宋体" w:hAnsi="宋体" w:eastAsia="宋体" w:cs="宋体"/>
                <w:color w:val="auto"/>
                <w:sz w:val="21"/>
                <w:szCs w:val="21"/>
                <w:highlight w:val="none"/>
              </w:rPr>
            </w:pPr>
          </w:p>
        </w:tc>
        <w:tc>
          <w:tcPr>
            <w:tcW w:w="2306" w:type="dxa"/>
            <w:tcBorders>
              <w:top w:val="single" w:color="auto" w:sz="4" w:space="0"/>
              <w:left w:val="single" w:color="auto" w:sz="4" w:space="0"/>
              <w:bottom w:val="single" w:color="auto" w:sz="4" w:space="0"/>
              <w:right w:val="single" w:color="auto" w:sz="4" w:space="0"/>
            </w:tcBorders>
            <w:noWrap/>
            <w:vAlign w:val="center"/>
          </w:tcPr>
          <w:p w14:paraId="21A8ED56">
            <w:pPr>
              <w:pStyle w:val="1529"/>
              <w:widowControl/>
              <w:spacing w:line="400" w:lineRule="exact"/>
              <w:rPr>
                <w:rFonts w:hint="eastAsia" w:ascii="宋体" w:hAnsi="宋体" w:eastAsia="宋体" w:cs="宋体"/>
                <w:color w:val="auto"/>
                <w:sz w:val="21"/>
                <w:szCs w:val="21"/>
                <w:highlight w:val="none"/>
              </w:rPr>
            </w:pPr>
          </w:p>
        </w:tc>
        <w:tc>
          <w:tcPr>
            <w:tcW w:w="834" w:type="dxa"/>
            <w:tcBorders>
              <w:top w:val="single" w:color="auto" w:sz="4" w:space="0"/>
              <w:left w:val="single" w:color="auto" w:sz="4" w:space="0"/>
              <w:bottom w:val="single" w:color="auto" w:sz="4" w:space="0"/>
              <w:right w:val="single" w:color="auto" w:sz="4" w:space="0"/>
            </w:tcBorders>
            <w:noWrap/>
            <w:vAlign w:val="center"/>
          </w:tcPr>
          <w:p w14:paraId="68A5B99B">
            <w:pPr>
              <w:pStyle w:val="1529"/>
              <w:widowControl/>
              <w:spacing w:line="400" w:lineRule="exact"/>
              <w:jc w:val="center"/>
              <w:rPr>
                <w:rFonts w:hint="eastAsia" w:ascii="宋体" w:hAnsi="宋体" w:eastAsia="宋体" w:cs="宋体"/>
                <w:color w:val="auto"/>
                <w:sz w:val="21"/>
                <w:szCs w:val="21"/>
                <w:highlight w:val="none"/>
              </w:rPr>
            </w:pPr>
          </w:p>
        </w:tc>
        <w:tc>
          <w:tcPr>
            <w:tcW w:w="588" w:type="dxa"/>
            <w:tcBorders>
              <w:top w:val="single" w:color="auto" w:sz="4" w:space="0"/>
              <w:left w:val="single" w:color="auto" w:sz="4" w:space="0"/>
              <w:bottom w:val="single" w:color="auto" w:sz="4" w:space="0"/>
              <w:right w:val="single" w:color="auto" w:sz="4" w:space="0"/>
            </w:tcBorders>
            <w:noWrap/>
            <w:vAlign w:val="center"/>
          </w:tcPr>
          <w:p w14:paraId="38CE6672">
            <w:pPr>
              <w:pStyle w:val="1529"/>
              <w:widowControl/>
              <w:spacing w:line="400" w:lineRule="exact"/>
              <w:jc w:val="center"/>
              <w:rPr>
                <w:rFonts w:hint="eastAsia" w:ascii="宋体" w:hAnsi="宋体" w:eastAsia="宋体" w:cs="宋体"/>
                <w:color w:val="auto"/>
                <w:sz w:val="21"/>
                <w:szCs w:val="21"/>
                <w:highlight w:val="none"/>
              </w:rPr>
            </w:pPr>
          </w:p>
        </w:tc>
        <w:tc>
          <w:tcPr>
            <w:tcW w:w="916" w:type="dxa"/>
            <w:tcBorders>
              <w:top w:val="single" w:color="auto" w:sz="4" w:space="0"/>
              <w:left w:val="single" w:color="auto" w:sz="4" w:space="0"/>
              <w:bottom w:val="single" w:color="auto" w:sz="4" w:space="0"/>
              <w:right w:val="single" w:color="auto" w:sz="4" w:space="0"/>
            </w:tcBorders>
            <w:noWrap/>
            <w:vAlign w:val="center"/>
          </w:tcPr>
          <w:p w14:paraId="613CF5E9">
            <w:pPr>
              <w:pStyle w:val="1529"/>
              <w:widowControl/>
              <w:spacing w:line="400" w:lineRule="exact"/>
              <w:jc w:val="center"/>
              <w:rPr>
                <w:rFonts w:hint="eastAsia" w:ascii="宋体" w:hAnsi="宋体" w:eastAsia="宋体" w:cs="宋体"/>
                <w:color w:val="auto"/>
                <w:sz w:val="21"/>
                <w:szCs w:val="21"/>
                <w:highlight w:val="none"/>
              </w:rPr>
            </w:pPr>
          </w:p>
        </w:tc>
        <w:tc>
          <w:tcPr>
            <w:tcW w:w="779" w:type="dxa"/>
            <w:tcBorders>
              <w:top w:val="single" w:color="auto" w:sz="4" w:space="0"/>
              <w:left w:val="single" w:color="auto" w:sz="4" w:space="0"/>
              <w:bottom w:val="single" w:color="auto" w:sz="4" w:space="0"/>
              <w:right w:val="single" w:color="auto" w:sz="4" w:space="0"/>
            </w:tcBorders>
            <w:noWrap/>
            <w:vAlign w:val="center"/>
          </w:tcPr>
          <w:p w14:paraId="7AB2C4F5">
            <w:pPr>
              <w:pStyle w:val="1529"/>
              <w:widowControl/>
              <w:spacing w:line="400" w:lineRule="exact"/>
              <w:jc w:val="center"/>
              <w:rPr>
                <w:rFonts w:hint="eastAsia" w:ascii="宋体" w:hAnsi="宋体" w:eastAsia="宋体" w:cs="宋体"/>
                <w:color w:val="auto"/>
                <w:sz w:val="21"/>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ign w:val="center"/>
          </w:tcPr>
          <w:p w14:paraId="373AD8A0">
            <w:pPr>
              <w:pStyle w:val="1529"/>
              <w:widowControl/>
              <w:spacing w:line="400" w:lineRule="exact"/>
              <w:jc w:val="center"/>
              <w:rPr>
                <w:rFonts w:hint="eastAsia" w:ascii="宋体" w:hAnsi="宋体" w:eastAsia="宋体" w:cs="宋体"/>
                <w:color w:val="auto"/>
                <w:sz w:val="21"/>
                <w:szCs w:val="21"/>
                <w:highlight w:val="none"/>
              </w:rPr>
            </w:pPr>
          </w:p>
        </w:tc>
        <w:tc>
          <w:tcPr>
            <w:tcW w:w="314" w:type="dxa"/>
            <w:tcBorders>
              <w:top w:val="single" w:color="auto" w:sz="4" w:space="0"/>
              <w:left w:val="single" w:color="auto" w:sz="4" w:space="0"/>
              <w:bottom w:val="single" w:color="auto" w:sz="4" w:space="0"/>
              <w:right w:val="single" w:color="auto" w:sz="4" w:space="0"/>
            </w:tcBorders>
            <w:noWrap/>
            <w:vAlign w:val="center"/>
          </w:tcPr>
          <w:p w14:paraId="67954212">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5B856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49" w:type="dxa"/>
            <w:tcBorders>
              <w:top w:val="single" w:color="auto" w:sz="4" w:space="0"/>
              <w:left w:val="single" w:color="auto" w:sz="4" w:space="0"/>
              <w:bottom w:val="single" w:color="auto" w:sz="4" w:space="0"/>
              <w:right w:val="single" w:color="auto" w:sz="4" w:space="0"/>
            </w:tcBorders>
            <w:noWrap/>
            <w:vAlign w:val="center"/>
          </w:tcPr>
          <w:p w14:paraId="071CF33E">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980" w:type="dxa"/>
            <w:tcBorders>
              <w:top w:val="single" w:color="auto" w:sz="4" w:space="0"/>
              <w:left w:val="single" w:color="auto" w:sz="4" w:space="0"/>
              <w:bottom w:val="single" w:color="auto" w:sz="4" w:space="0"/>
              <w:right w:val="single" w:color="auto" w:sz="4" w:space="0"/>
            </w:tcBorders>
            <w:noWrap/>
            <w:vAlign w:val="center"/>
          </w:tcPr>
          <w:p w14:paraId="7CAC54A8">
            <w:pPr>
              <w:pStyle w:val="1529"/>
              <w:widowControl/>
              <w:spacing w:line="400" w:lineRule="exact"/>
              <w:jc w:val="center"/>
              <w:rPr>
                <w:rFonts w:hint="eastAsia" w:ascii="宋体" w:hAnsi="宋体" w:eastAsia="宋体" w:cs="宋体"/>
                <w:color w:val="auto"/>
                <w:sz w:val="21"/>
                <w:szCs w:val="21"/>
                <w:highlight w:val="none"/>
              </w:rPr>
            </w:pPr>
          </w:p>
        </w:tc>
        <w:tc>
          <w:tcPr>
            <w:tcW w:w="2306" w:type="dxa"/>
            <w:tcBorders>
              <w:top w:val="single" w:color="auto" w:sz="4" w:space="0"/>
              <w:left w:val="single" w:color="auto" w:sz="4" w:space="0"/>
              <w:bottom w:val="single" w:color="auto" w:sz="4" w:space="0"/>
              <w:right w:val="single" w:color="auto" w:sz="4" w:space="0"/>
            </w:tcBorders>
            <w:noWrap/>
            <w:vAlign w:val="center"/>
          </w:tcPr>
          <w:p w14:paraId="7A38A7A4">
            <w:pPr>
              <w:pStyle w:val="1529"/>
              <w:widowControl/>
              <w:spacing w:line="400" w:lineRule="exact"/>
              <w:rPr>
                <w:rFonts w:hint="eastAsia" w:ascii="宋体" w:hAnsi="宋体" w:eastAsia="宋体" w:cs="宋体"/>
                <w:color w:val="auto"/>
                <w:sz w:val="21"/>
                <w:szCs w:val="21"/>
                <w:highlight w:val="none"/>
              </w:rPr>
            </w:pPr>
          </w:p>
        </w:tc>
        <w:tc>
          <w:tcPr>
            <w:tcW w:w="834" w:type="dxa"/>
            <w:tcBorders>
              <w:top w:val="single" w:color="auto" w:sz="4" w:space="0"/>
              <w:left w:val="single" w:color="auto" w:sz="4" w:space="0"/>
              <w:bottom w:val="single" w:color="auto" w:sz="4" w:space="0"/>
              <w:right w:val="single" w:color="auto" w:sz="4" w:space="0"/>
            </w:tcBorders>
            <w:noWrap/>
            <w:vAlign w:val="center"/>
          </w:tcPr>
          <w:p w14:paraId="6A842D18">
            <w:pPr>
              <w:pStyle w:val="1529"/>
              <w:widowControl/>
              <w:spacing w:line="400" w:lineRule="exact"/>
              <w:jc w:val="center"/>
              <w:rPr>
                <w:rFonts w:hint="eastAsia" w:ascii="宋体" w:hAnsi="宋体" w:eastAsia="宋体" w:cs="宋体"/>
                <w:color w:val="auto"/>
                <w:sz w:val="21"/>
                <w:szCs w:val="21"/>
                <w:highlight w:val="none"/>
              </w:rPr>
            </w:pPr>
          </w:p>
        </w:tc>
        <w:tc>
          <w:tcPr>
            <w:tcW w:w="588" w:type="dxa"/>
            <w:tcBorders>
              <w:top w:val="single" w:color="auto" w:sz="4" w:space="0"/>
              <w:left w:val="single" w:color="auto" w:sz="4" w:space="0"/>
              <w:bottom w:val="single" w:color="auto" w:sz="4" w:space="0"/>
              <w:right w:val="single" w:color="auto" w:sz="4" w:space="0"/>
            </w:tcBorders>
            <w:noWrap/>
            <w:vAlign w:val="center"/>
          </w:tcPr>
          <w:p w14:paraId="6BC2EEEC">
            <w:pPr>
              <w:pStyle w:val="1529"/>
              <w:widowControl/>
              <w:spacing w:line="400" w:lineRule="exact"/>
              <w:jc w:val="center"/>
              <w:rPr>
                <w:rFonts w:hint="eastAsia" w:ascii="宋体" w:hAnsi="宋体" w:eastAsia="宋体" w:cs="宋体"/>
                <w:color w:val="auto"/>
                <w:sz w:val="21"/>
                <w:szCs w:val="21"/>
                <w:highlight w:val="none"/>
              </w:rPr>
            </w:pPr>
          </w:p>
        </w:tc>
        <w:tc>
          <w:tcPr>
            <w:tcW w:w="916" w:type="dxa"/>
            <w:tcBorders>
              <w:top w:val="single" w:color="auto" w:sz="4" w:space="0"/>
              <w:left w:val="single" w:color="auto" w:sz="4" w:space="0"/>
              <w:bottom w:val="single" w:color="auto" w:sz="4" w:space="0"/>
              <w:right w:val="single" w:color="auto" w:sz="4" w:space="0"/>
            </w:tcBorders>
            <w:noWrap/>
            <w:vAlign w:val="center"/>
          </w:tcPr>
          <w:p w14:paraId="3054C195">
            <w:pPr>
              <w:pStyle w:val="1529"/>
              <w:widowControl/>
              <w:spacing w:line="400" w:lineRule="exact"/>
              <w:jc w:val="center"/>
              <w:rPr>
                <w:rFonts w:hint="eastAsia" w:ascii="宋体" w:hAnsi="宋体" w:eastAsia="宋体" w:cs="宋体"/>
                <w:color w:val="auto"/>
                <w:sz w:val="21"/>
                <w:szCs w:val="21"/>
                <w:highlight w:val="none"/>
              </w:rPr>
            </w:pPr>
          </w:p>
        </w:tc>
        <w:tc>
          <w:tcPr>
            <w:tcW w:w="779" w:type="dxa"/>
            <w:tcBorders>
              <w:top w:val="single" w:color="auto" w:sz="4" w:space="0"/>
              <w:left w:val="single" w:color="auto" w:sz="4" w:space="0"/>
              <w:bottom w:val="single" w:color="auto" w:sz="4" w:space="0"/>
              <w:right w:val="single" w:color="auto" w:sz="4" w:space="0"/>
            </w:tcBorders>
            <w:noWrap/>
            <w:vAlign w:val="center"/>
          </w:tcPr>
          <w:p w14:paraId="3E932FB2">
            <w:pPr>
              <w:pStyle w:val="1529"/>
              <w:widowControl/>
              <w:spacing w:line="400" w:lineRule="exact"/>
              <w:jc w:val="center"/>
              <w:rPr>
                <w:rFonts w:hint="eastAsia" w:ascii="宋体" w:hAnsi="宋体" w:eastAsia="宋体" w:cs="宋体"/>
                <w:color w:val="auto"/>
                <w:sz w:val="21"/>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ign w:val="center"/>
          </w:tcPr>
          <w:p w14:paraId="2F998CD7">
            <w:pPr>
              <w:pStyle w:val="1529"/>
              <w:widowControl/>
              <w:spacing w:line="400" w:lineRule="exact"/>
              <w:jc w:val="center"/>
              <w:rPr>
                <w:rFonts w:hint="eastAsia" w:ascii="宋体" w:hAnsi="宋体" w:eastAsia="宋体" w:cs="宋体"/>
                <w:color w:val="auto"/>
                <w:sz w:val="21"/>
                <w:szCs w:val="21"/>
                <w:highlight w:val="none"/>
              </w:rPr>
            </w:pPr>
          </w:p>
        </w:tc>
        <w:tc>
          <w:tcPr>
            <w:tcW w:w="314" w:type="dxa"/>
            <w:tcBorders>
              <w:top w:val="single" w:color="auto" w:sz="4" w:space="0"/>
              <w:left w:val="single" w:color="auto" w:sz="4" w:space="0"/>
              <w:bottom w:val="single" w:color="auto" w:sz="4" w:space="0"/>
              <w:right w:val="single" w:color="auto" w:sz="4" w:space="0"/>
            </w:tcBorders>
            <w:noWrap/>
            <w:vAlign w:val="center"/>
          </w:tcPr>
          <w:p w14:paraId="30BCF164">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4ABBE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49" w:type="dxa"/>
            <w:tcBorders>
              <w:top w:val="single" w:color="auto" w:sz="4" w:space="0"/>
              <w:left w:val="single" w:color="auto" w:sz="4" w:space="0"/>
              <w:bottom w:val="single" w:color="auto" w:sz="4" w:space="0"/>
              <w:right w:val="single" w:color="auto" w:sz="4" w:space="0"/>
            </w:tcBorders>
            <w:noWrap/>
            <w:vAlign w:val="center"/>
          </w:tcPr>
          <w:p w14:paraId="280C10DB">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980" w:type="dxa"/>
            <w:tcBorders>
              <w:top w:val="single" w:color="auto" w:sz="4" w:space="0"/>
              <w:left w:val="single" w:color="auto" w:sz="4" w:space="0"/>
              <w:bottom w:val="single" w:color="auto" w:sz="4" w:space="0"/>
              <w:right w:val="single" w:color="auto" w:sz="4" w:space="0"/>
            </w:tcBorders>
            <w:noWrap/>
            <w:vAlign w:val="center"/>
          </w:tcPr>
          <w:p w14:paraId="71EF5AA7">
            <w:pPr>
              <w:pStyle w:val="1529"/>
              <w:widowControl/>
              <w:spacing w:line="400" w:lineRule="exact"/>
              <w:jc w:val="center"/>
              <w:rPr>
                <w:rFonts w:hint="eastAsia" w:ascii="宋体" w:hAnsi="宋体" w:eastAsia="宋体" w:cs="宋体"/>
                <w:color w:val="auto"/>
                <w:sz w:val="21"/>
                <w:szCs w:val="21"/>
                <w:highlight w:val="none"/>
              </w:rPr>
            </w:pPr>
          </w:p>
        </w:tc>
        <w:tc>
          <w:tcPr>
            <w:tcW w:w="2306" w:type="dxa"/>
            <w:tcBorders>
              <w:top w:val="single" w:color="auto" w:sz="4" w:space="0"/>
              <w:left w:val="single" w:color="auto" w:sz="4" w:space="0"/>
              <w:bottom w:val="single" w:color="auto" w:sz="4" w:space="0"/>
              <w:right w:val="single" w:color="auto" w:sz="4" w:space="0"/>
            </w:tcBorders>
            <w:noWrap/>
            <w:vAlign w:val="center"/>
          </w:tcPr>
          <w:p w14:paraId="0675A23F">
            <w:pPr>
              <w:pStyle w:val="1529"/>
              <w:widowControl/>
              <w:spacing w:line="400" w:lineRule="exact"/>
              <w:rPr>
                <w:rFonts w:hint="eastAsia" w:ascii="宋体" w:hAnsi="宋体" w:eastAsia="宋体" w:cs="宋体"/>
                <w:color w:val="auto"/>
                <w:sz w:val="21"/>
                <w:szCs w:val="21"/>
                <w:highlight w:val="none"/>
              </w:rPr>
            </w:pPr>
          </w:p>
        </w:tc>
        <w:tc>
          <w:tcPr>
            <w:tcW w:w="834" w:type="dxa"/>
            <w:tcBorders>
              <w:top w:val="single" w:color="auto" w:sz="4" w:space="0"/>
              <w:left w:val="single" w:color="auto" w:sz="4" w:space="0"/>
              <w:bottom w:val="single" w:color="auto" w:sz="4" w:space="0"/>
              <w:right w:val="single" w:color="auto" w:sz="4" w:space="0"/>
            </w:tcBorders>
            <w:noWrap/>
            <w:vAlign w:val="center"/>
          </w:tcPr>
          <w:p w14:paraId="69DDFBD0">
            <w:pPr>
              <w:pStyle w:val="1529"/>
              <w:widowControl/>
              <w:spacing w:line="400" w:lineRule="exact"/>
              <w:jc w:val="center"/>
              <w:rPr>
                <w:rFonts w:hint="eastAsia" w:ascii="宋体" w:hAnsi="宋体" w:eastAsia="宋体" w:cs="宋体"/>
                <w:color w:val="auto"/>
                <w:sz w:val="21"/>
                <w:szCs w:val="21"/>
                <w:highlight w:val="none"/>
              </w:rPr>
            </w:pPr>
          </w:p>
        </w:tc>
        <w:tc>
          <w:tcPr>
            <w:tcW w:w="588" w:type="dxa"/>
            <w:tcBorders>
              <w:top w:val="single" w:color="auto" w:sz="4" w:space="0"/>
              <w:left w:val="single" w:color="auto" w:sz="4" w:space="0"/>
              <w:bottom w:val="single" w:color="auto" w:sz="4" w:space="0"/>
              <w:right w:val="single" w:color="auto" w:sz="4" w:space="0"/>
            </w:tcBorders>
            <w:noWrap/>
            <w:vAlign w:val="center"/>
          </w:tcPr>
          <w:p w14:paraId="04124BDC">
            <w:pPr>
              <w:pStyle w:val="1529"/>
              <w:widowControl/>
              <w:spacing w:line="400" w:lineRule="exact"/>
              <w:jc w:val="center"/>
              <w:rPr>
                <w:rFonts w:hint="eastAsia" w:ascii="宋体" w:hAnsi="宋体" w:eastAsia="宋体" w:cs="宋体"/>
                <w:color w:val="auto"/>
                <w:sz w:val="21"/>
                <w:szCs w:val="21"/>
                <w:highlight w:val="none"/>
              </w:rPr>
            </w:pPr>
          </w:p>
        </w:tc>
        <w:tc>
          <w:tcPr>
            <w:tcW w:w="916" w:type="dxa"/>
            <w:tcBorders>
              <w:top w:val="single" w:color="auto" w:sz="4" w:space="0"/>
              <w:left w:val="single" w:color="auto" w:sz="4" w:space="0"/>
              <w:bottom w:val="single" w:color="auto" w:sz="4" w:space="0"/>
              <w:right w:val="single" w:color="auto" w:sz="4" w:space="0"/>
            </w:tcBorders>
            <w:noWrap/>
            <w:vAlign w:val="center"/>
          </w:tcPr>
          <w:p w14:paraId="4CF4DC9C">
            <w:pPr>
              <w:pStyle w:val="1529"/>
              <w:widowControl/>
              <w:spacing w:line="400" w:lineRule="exact"/>
              <w:rPr>
                <w:rFonts w:hint="eastAsia" w:ascii="宋体" w:hAnsi="宋体" w:eastAsia="宋体" w:cs="宋体"/>
                <w:color w:val="auto"/>
                <w:sz w:val="21"/>
                <w:szCs w:val="21"/>
                <w:highlight w:val="none"/>
              </w:rPr>
            </w:pPr>
          </w:p>
        </w:tc>
        <w:tc>
          <w:tcPr>
            <w:tcW w:w="779" w:type="dxa"/>
            <w:tcBorders>
              <w:top w:val="single" w:color="auto" w:sz="4" w:space="0"/>
              <w:left w:val="single" w:color="auto" w:sz="4" w:space="0"/>
              <w:bottom w:val="single" w:color="auto" w:sz="4" w:space="0"/>
              <w:right w:val="single" w:color="auto" w:sz="4" w:space="0"/>
            </w:tcBorders>
            <w:noWrap/>
            <w:vAlign w:val="center"/>
          </w:tcPr>
          <w:p w14:paraId="68C03485">
            <w:pPr>
              <w:pStyle w:val="1529"/>
              <w:widowControl/>
              <w:spacing w:line="400" w:lineRule="exact"/>
              <w:rPr>
                <w:rFonts w:hint="eastAsia" w:ascii="宋体" w:hAnsi="宋体" w:eastAsia="宋体" w:cs="宋体"/>
                <w:color w:val="auto"/>
                <w:sz w:val="21"/>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ign w:val="center"/>
          </w:tcPr>
          <w:p w14:paraId="30ABC914">
            <w:pPr>
              <w:pStyle w:val="1529"/>
              <w:widowControl/>
              <w:spacing w:line="400" w:lineRule="exact"/>
              <w:rPr>
                <w:rFonts w:hint="eastAsia" w:ascii="宋体" w:hAnsi="宋体" w:eastAsia="宋体" w:cs="宋体"/>
                <w:color w:val="auto"/>
                <w:sz w:val="21"/>
                <w:szCs w:val="21"/>
                <w:highlight w:val="none"/>
              </w:rPr>
            </w:pPr>
          </w:p>
        </w:tc>
        <w:tc>
          <w:tcPr>
            <w:tcW w:w="314" w:type="dxa"/>
            <w:tcBorders>
              <w:top w:val="single" w:color="auto" w:sz="4" w:space="0"/>
              <w:left w:val="single" w:color="auto" w:sz="4" w:space="0"/>
              <w:bottom w:val="single" w:color="auto" w:sz="4" w:space="0"/>
              <w:right w:val="single" w:color="auto" w:sz="4" w:space="0"/>
            </w:tcBorders>
            <w:noWrap/>
            <w:vAlign w:val="center"/>
          </w:tcPr>
          <w:p w14:paraId="494DDA48">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35449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49" w:type="dxa"/>
            <w:tcBorders>
              <w:top w:val="single" w:color="auto" w:sz="4" w:space="0"/>
              <w:left w:val="single" w:color="auto" w:sz="4" w:space="0"/>
              <w:bottom w:val="single" w:color="auto" w:sz="4" w:space="0"/>
              <w:right w:val="single" w:color="auto" w:sz="4" w:space="0"/>
            </w:tcBorders>
            <w:noWrap/>
            <w:vAlign w:val="center"/>
          </w:tcPr>
          <w:p w14:paraId="260FC6A7">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980" w:type="dxa"/>
            <w:tcBorders>
              <w:top w:val="single" w:color="auto" w:sz="4" w:space="0"/>
              <w:left w:val="single" w:color="auto" w:sz="4" w:space="0"/>
              <w:bottom w:val="single" w:color="auto" w:sz="4" w:space="0"/>
              <w:right w:val="single" w:color="auto" w:sz="4" w:space="0"/>
            </w:tcBorders>
            <w:noWrap/>
            <w:vAlign w:val="center"/>
          </w:tcPr>
          <w:p w14:paraId="4644AFC9">
            <w:pPr>
              <w:pStyle w:val="1529"/>
              <w:widowControl/>
              <w:spacing w:line="400" w:lineRule="exact"/>
              <w:jc w:val="center"/>
              <w:rPr>
                <w:rFonts w:hint="eastAsia" w:ascii="宋体" w:hAnsi="宋体" w:eastAsia="宋体" w:cs="宋体"/>
                <w:color w:val="auto"/>
                <w:sz w:val="21"/>
                <w:szCs w:val="21"/>
                <w:highlight w:val="none"/>
              </w:rPr>
            </w:pPr>
          </w:p>
        </w:tc>
        <w:tc>
          <w:tcPr>
            <w:tcW w:w="2306" w:type="dxa"/>
            <w:tcBorders>
              <w:top w:val="single" w:color="auto" w:sz="4" w:space="0"/>
              <w:left w:val="single" w:color="auto" w:sz="4" w:space="0"/>
              <w:bottom w:val="single" w:color="auto" w:sz="4" w:space="0"/>
              <w:right w:val="single" w:color="auto" w:sz="4" w:space="0"/>
            </w:tcBorders>
            <w:noWrap/>
            <w:vAlign w:val="center"/>
          </w:tcPr>
          <w:p w14:paraId="541897EC">
            <w:pPr>
              <w:pStyle w:val="1529"/>
              <w:widowControl/>
              <w:spacing w:line="400" w:lineRule="exact"/>
              <w:rPr>
                <w:rFonts w:hint="eastAsia" w:ascii="宋体" w:hAnsi="宋体" w:eastAsia="宋体" w:cs="宋体"/>
                <w:color w:val="auto"/>
                <w:sz w:val="21"/>
                <w:szCs w:val="21"/>
                <w:highlight w:val="none"/>
              </w:rPr>
            </w:pPr>
          </w:p>
        </w:tc>
        <w:tc>
          <w:tcPr>
            <w:tcW w:w="834" w:type="dxa"/>
            <w:tcBorders>
              <w:top w:val="single" w:color="auto" w:sz="4" w:space="0"/>
              <w:left w:val="single" w:color="auto" w:sz="4" w:space="0"/>
              <w:bottom w:val="single" w:color="auto" w:sz="4" w:space="0"/>
              <w:right w:val="single" w:color="auto" w:sz="4" w:space="0"/>
            </w:tcBorders>
            <w:noWrap/>
            <w:vAlign w:val="center"/>
          </w:tcPr>
          <w:p w14:paraId="4E8913C6">
            <w:pPr>
              <w:pStyle w:val="1529"/>
              <w:widowControl/>
              <w:spacing w:line="400" w:lineRule="exact"/>
              <w:jc w:val="center"/>
              <w:rPr>
                <w:rFonts w:hint="eastAsia" w:ascii="宋体" w:hAnsi="宋体" w:eastAsia="宋体" w:cs="宋体"/>
                <w:color w:val="auto"/>
                <w:sz w:val="21"/>
                <w:szCs w:val="21"/>
                <w:highlight w:val="none"/>
              </w:rPr>
            </w:pPr>
          </w:p>
        </w:tc>
        <w:tc>
          <w:tcPr>
            <w:tcW w:w="588" w:type="dxa"/>
            <w:tcBorders>
              <w:top w:val="single" w:color="auto" w:sz="4" w:space="0"/>
              <w:left w:val="single" w:color="auto" w:sz="4" w:space="0"/>
              <w:bottom w:val="single" w:color="auto" w:sz="4" w:space="0"/>
              <w:right w:val="single" w:color="auto" w:sz="4" w:space="0"/>
            </w:tcBorders>
            <w:noWrap/>
            <w:vAlign w:val="center"/>
          </w:tcPr>
          <w:p w14:paraId="7BC86100">
            <w:pPr>
              <w:pStyle w:val="1529"/>
              <w:widowControl/>
              <w:spacing w:line="400" w:lineRule="exact"/>
              <w:jc w:val="center"/>
              <w:rPr>
                <w:rFonts w:hint="eastAsia" w:ascii="宋体" w:hAnsi="宋体" w:eastAsia="宋体" w:cs="宋体"/>
                <w:color w:val="auto"/>
                <w:sz w:val="21"/>
                <w:szCs w:val="21"/>
                <w:highlight w:val="none"/>
              </w:rPr>
            </w:pPr>
          </w:p>
        </w:tc>
        <w:tc>
          <w:tcPr>
            <w:tcW w:w="916" w:type="dxa"/>
            <w:tcBorders>
              <w:top w:val="single" w:color="auto" w:sz="4" w:space="0"/>
              <w:left w:val="single" w:color="auto" w:sz="4" w:space="0"/>
              <w:bottom w:val="single" w:color="auto" w:sz="4" w:space="0"/>
              <w:right w:val="single" w:color="auto" w:sz="4" w:space="0"/>
            </w:tcBorders>
            <w:noWrap/>
            <w:vAlign w:val="center"/>
          </w:tcPr>
          <w:p w14:paraId="513E478B">
            <w:pPr>
              <w:pStyle w:val="1529"/>
              <w:widowControl/>
              <w:spacing w:line="400" w:lineRule="exact"/>
              <w:jc w:val="center"/>
              <w:rPr>
                <w:rFonts w:hint="eastAsia" w:ascii="宋体" w:hAnsi="宋体" w:eastAsia="宋体" w:cs="宋体"/>
                <w:color w:val="auto"/>
                <w:sz w:val="21"/>
                <w:szCs w:val="21"/>
                <w:highlight w:val="none"/>
              </w:rPr>
            </w:pPr>
          </w:p>
        </w:tc>
        <w:tc>
          <w:tcPr>
            <w:tcW w:w="779" w:type="dxa"/>
            <w:tcBorders>
              <w:top w:val="single" w:color="auto" w:sz="4" w:space="0"/>
              <w:left w:val="single" w:color="auto" w:sz="4" w:space="0"/>
              <w:bottom w:val="single" w:color="auto" w:sz="4" w:space="0"/>
              <w:right w:val="single" w:color="auto" w:sz="4" w:space="0"/>
            </w:tcBorders>
            <w:noWrap/>
            <w:vAlign w:val="center"/>
          </w:tcPr>
          <w:p w14:paraId="5D4B73CA">
            <w:pPr>
              <w:pStyle w:val="1529"/>
              <w:widowControl/>
              <w:spacing w:line="400" w:lineRule="exact"/>
              <w:jc w:val="center"/>
              <w:rPr>
                <w:rFonts w:hint="eastAsia" w:ascii="宋体" w:hAnsi="宋体" w:eastAsia="宋体" w:cs="宋体"/>
                <w:color w:val="auto"/>
                <w:sz w:val="21"/>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ign w:val="center"/>
          </w:tcPr>
          <w:p w14:paraId="32A5F37C">
            <w:pPr>
              <w:pStyle w:val="1529"/>
              <w:widowControl/>
              <w:spacing w:line="400" w:lineRule="exact"/>
              <w:jc w:val="center"/>
              <w:rPr>
                <w:rFonts w:hint="eastAsia" w:ascii="宋体" w:hAnsi="宋体" w:eastAsia="宋体" w:cs="宋体"/>
                <w:color w:val="auto"/>
                <w:sz w:val="21"/>
                <w:szCs w:val="21"/>
                <w:highlight w:val="none"/>
              </w:rPr>
            </w:pPr>
          </w:p>
        </w:tc>
        <w:tc>
          <w:tcPr>
            <w:tcW w:w="314" w:type="dxa"/>
            <w:tcBorders>
              <w:top w:val="single" w:color="auto" w:sz="4" w:space="0"/>
              <w:left w:val="single" w:color="auto" w:sz="4" w:space="0"/>
              <w:bottom w:val="single" w:color="auto" w:sz="4" w:space="0"/>
              <w:right w:val="single" w:color="auto" w:sz="4" w:space="0"/>
            </w:tcBorders>
            <w:noWrap/>
            <w:vAlign w:val="center"/>
          </w:tcPr>
          <w:p w14:paraId="237AB37E">
            <w:pPr>
              <w:pStyle w:val="1529"/>
              <w:widowControl/>
              <w:spacing w:line="400" w:lineRule="exact"/>
              <w:jc w:val="center"/>
              <w:rPr>
                <w:rFonts w:hint="eastAsia" w:ascii="宋体" w:hAnsi="宋体" w:eastAsia="宋体" w:cs="宋体"/>
                <w:color w:val="auto"/>
                <w:sz w:val="21"/>
                <w:szCs w:val="21"/>
                <w:highlight w:val="none"/>
              </w:rPr>
            </w:pPr>
          </w:p>
        </w:tc>
      </w:tr>
      <w:tr w14:paraId="5E82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49" w:type="dxa"/>
            <w:tcBorders>
              <w:top w:val="single" w:color="auto" w:sz="4" w:space="0"/>
              <w:left w:val="single" w:color="auto" w:sz="4" w:space="0"/>
              <w:bottom w:val="single" w:color="auto" w:sz="4" w:space="0"/>
              <w:right w:val="single" w:color="auto" w:sz="4" w:space="0"/>
            </w:tcBorders>
            <w:noWrap/>
            <w:vAlign w:val="center"/>
          </w:tcPr>
          <w:p w14:paraId="2405B69B">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980" w:type="dxa"/>
            <w:tcBorders>
              <w:top w:val="single" w:color="auto" w:sz="4" w:space="0"/>
              <w:left w:val="single" w:color="auto" w:sz="4" w:space="0"/>
              <w:bottom w:val="single" w:color="auto" w:sz="4" w:space="0"/>
              <w:right w:val="single" w:color="auto" w:sz="4" w:space="0"/>
            </w:tcBorders>
            <w:noWrap/>
            <w:vAlign w:val="center"/>
          </w:tcPr>
          <w:p w14:paraId="0A3B1A8C">
            <w:pPr>
              <w:pStyle w:val="1529"/>
              <w:widowControl/>
              <w:spacing w:line="400" w:lineRule="exact"/>
              <w:jc w:val="center"/>
              <w:rPr>
                <w:rFonts w:hint="eastAsia" w:ascii="宋体" w:hAnsi="宋体" w:eastAsia="宋体" w:cs="宋体"/>
                <w:color w:val="auto"/>
                <w:sz w:val="21"/>
                <w:szCs w:val="21"/>
                <w:highlight w:val="none"/>
              </w:rPr>
            </w:pPr>
          </w:p>
        </w:tc>
        <w:tc>
          <w:tcPr>
            <w:tcW w:w="2306" w:type="dxa"/>
            <w:tcBorders>
              <w:top w:val="single" w:color="auto" w:sz="4" w:space="0"/>
              <w:left w:val="single" w:color="auto" w:sz="4" w:space="0"/>
              <w:bottom w:val="single" w:color="auto" w:sz="4" w:space="0"/>
              <w:right w:val="single" w:color="auto" w:sz="4" w:space="0"/>
            </w:tcBorders>
            <w:noWrap/>
            <w:vAlign w:val="center"/>
          </w:tcPr>
          <w:p w14:paraId="18763638">
            <w:pPr>
              <w:pStyle w:val="1529"/>
              <w:widowControl/>
              <w:spacing w:line="400" w:lineRule="exact"/>
              <w:rPr>
                <w:rFonts w:hint="eastAsia" w:ascii="宋体" w:hAnsi="宋体" w:eastAsia="宋体" w:cs="宋体"/>
                <w:color w:val="auto"/>
                <w:sz w:val="21"/>
                <w:szCs w:val="21"/>
                <w:highlight w:val="none"/>
              </w:rPr>
            </w:pPr>
          </w:p>
        </w:tc>
        <w:tc>
          <w:tcPr>
            <w:tcW w:w="834" w:type="dxa"/>
            <w:tcBorders>
              <w:top w:val="single" w:color="auto" w:sz="4" w:space="0"/>
              <w:left w:val="single" w:color="auto" w:sz="4" w:space="0"/>
              <w:bottom w:val="single" w:color="auto" w:sz="4" w:space="0"/>
              <w:right w:val="single" w:color="auto" w:sz="4" w:space="0"/>
            </w:tcBorders>
            <w:noWrap/>
            <w:vAlign w:val="center"/>
          </w:tcPr>
          <w:p w14:paraId="0A0AAF28">
            <w:pPr>
              <w:pStyle w:val="1529"/>
              <w:widowControl/>
              <w:spacing w:line="400" w:lineRule="exact"/>
              <w:jc w:val="center"/>
              <w:rPr>
                <w:rFonts w:hint="eastAsia" w:ascii="宋体" w:hAnsi="宋体" w:eastAsia="宋体" w:cs="宋体"/>
                <w:color w:val="auto"/>
                <w:sz w:val="21"/>
                <w:szCs w:val="21"/>
                <w:highlight w:val="none"/>
              </w:rPr>
            </w:pPr>
          </w:p>
        </w:tc>
        <w:tc>
          <w:tcPr>
            <w:tcW w:w="588" w:type="dxa"/>
            <w:tcBorders>
              <w:top w:val="single" w:color="auto" w:sz="4" w:space="0"/>
              <w:left w:val="single" w:color="auto" w:sz="4" w:space="0"/>
              <w:bottom w:val="single" w:color="auto" w:sz="4" w:space="0"/>
              <w:right w:val="single" w:color="auto" w:sz="4" w:space="0"/>
            </w:tcBorders>
            <w:noWrap/>
            <w:vAlign w:val="center"/>
          </w:tcPr>
          <w:p w14:paraId="56EE3678">
            <w:pPr>
              <w:pStyle w:val="1529"/>
              <w:widowControl/>
              <w:spacing w:line="400" w:lineRule="exact"/>
              <w:jc w:val="center"/>
              <w:rPr>
                <w:rFonts w:hint="eastAsia" w:ascii="宋体" w:hAnsi="宋体" w:eastAsia="宋体" w:cs="宋体"/>
                <w:color w:val="auto"/>
                <w:sz w:val="21"/>
                <w:szCs w:val="21"/>
                <w:highlight w:val="none"/>
              </w:rPr>
            </w:pPr>
          </w:p>
        </w:tc>
        <w:tc>
          <w:tcPr>
            <w:tcW w:w="916" w:type="dxa"/>
            <w:tcBorders>
              <w:top w:val="single" w:color="auto" w:sz="4" w:space="0"/>
              <w:left w:val="single" w:color="auto" w:sz="4" w:space="0"/>
              <w:bottom w:val="single" w:color="auto" w:sz="4" w:space="0"/>
              <w:right w:val="single" w:color="auto" w:sz="4" w:space="0"/>
            </w:tcBorders>
            <w:noWrap/>
            <w:vAlign w:val="center"/>
          </w:tcPr>
          <w:p w14:paraId="0BAC887E">
            <w:pPr>
              <w:pStyle w:val="1529"/>
              <w:widowControl/>
              <w:spacing w:line="400" w:lineRule="exact"/>
              <w:jc w:val="center"/>
              <w:rPr>
                <w:rFonts w:hint="eastAsia" w:ascii="宋体" w:hAnsi="宋体" w:eastAsia="宋体" w:cs="宋体"/>
                <w:color w:val="auto"/>
                <w:sz w:val="21"/>
                <w:szCs w:val="21"/>
                <w:highlight w:val="none"/>
              </w:rPr>
            </w:pPr>
          </w:p>
        </w:tc>
        <w:tc>
          <w:tcPr>
            <w:tcW w:w="779" w:type="dxa"/>
            <w:tcBorders>
              <w:top w:val="single" w:color="auto" w:sz="4" w:space="0"/>
              <w:left w:val="single" w:color="auto" w:sz="4" w:space="0"/>
              <w:bottom w:val="single" w:color="auto" w:sz="4" w:space="0"/>
              <w:right w:val="single" w:color="auto" w:sz="4" w:space="0"/>
            </w:tcBorders>
            <w:noWrap/>
            <w:vAlign w:val="center"/>
          </w:tcPr>
          <w:p w14:paraId="74FCF6A7">
            <w:pPr>
              <w:pStyle w:val="1529"/>
              <w:widowControl/>
              <w:spacing w:line="400" w:lineRule="exact"/>
              <w:jc w:val="center"/>
              <w:rPr>
                <w:rFonts w:hint="eastAsia" w:ascii="宋体" w:hAnsi="宋体" w:eastAsia="宋体" w:cs="宋体"/>
                <w:color w:val="auto"/>
                <w:sz w:val="21"/>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ign w:val="center"/>
          </w:tcPr>
          <w:p w14:paraId="278F5D4E">
            <w:pPr>
              <w:pStyle w:val="1529"/>
              <w:widowControl/>
              <w:spacing w:line="400" w:lineRule="exact"/>
              <w:jc w:val="center"/>
              <w:rPr>
                <w:rFonts w:hint="eastAsia" w:ascii="宋体" w:hAnsi="宋体" w:eastAsia="宋体" w:cs="宋体"/>
                <w:color w:val="auto"/>
                <w:sz w:val="21"/>
                <w:szCs w:val="21"/>
                <w:highlight w:val="none"/>
              </w:rPr>
            </w:pPr>
          </w:p>
        </w:tc>
        <w:tc>
          <w:tcPr>
            <w:tcW w:w="314" w:type="dxa"/>
            <w:tcBorders>
              <w:top w:val="single" w:color="auto" w:sz="4" w:space="0"/>
              <w:left w:val="single" w:color="auto" w:sz="4" w:space="0"/>
              <w:bottom w:val="single" w:color="auto" w:sz="4" w:space="0"/>
              <w:right w:val="single" w:color="auto" w:sz="4" w:space="0"/>
            </w:tcBorders>
            <w:noWrap/>
            <w:vAlign w:val="center"/>
          </w:tcPr>
          <w:p w14:paraId="41FB3DE5">
            <w:pPr>
              <w:pStyle w:val="1529"/>
              <w:widowControl/>
              <w:spacing w:line="400" w:lineRule="exact"/>
              <w:jc w:val="center"/>
              <w:rPr>
                <w:rFonts w:hint="eastAsia" w:ascii="宋体" w:hAnsi="宋体" w:eastAsia="宋体" w:cs="宋体"/>
                <w:color w:val="auto"/>
                <w:sz w:val="21"/>
                <w:szCs w:val="21"/>
                <w:highlight w:val="none"/>
              </w:rPr>
            </w:pPr>
          </w:p>
        </w:tc>
      </w:tr>
      <w:tr w14:paraId="7BBF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49" w:type="dxa"/>
            <w:tcBorders>
              <w:top w:val="single" w:color="auto" w:sz="4" w:space="0"/>
              <w:left w:val="single" w:color="auto" w:sz="4" w:space="0"/>
              <w:bottom w:val="single" w:color="auto" w:sz="4" w:space="0"/>
              <w:right w:val="single" w:color="auto" w:sz="4" w:space="0"/>
            </w:tcBorders>
            <w:noWrap/>
            <w:vAlign w:val="center"/>
          </w:tcPr>
          <w:p w14:paraId="4A069B42">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980" w:type="dxa"/>
            <w:tcBorders>
              <w:top w:val="single" w:color="auto" w:sz="4" w:space="0"/>
              <w:left w:val="single" w:color="auto" w:sz="4" w:space="0"/>
              <w:bottom w:val="single" w:color="auto" w:sz="4" w:space="0"/>
              <w:right w:val="single" w:color="auto" w:sz="4" w:space="0"/>
            </w:tcBorders>
            <w:noWrap/>
            <w:vAlign w:val="center"/>
          </w:tcPr>
          <w:p w14:paraId="7A7F09E4">
            <w:pPr>
              <w:pStyle w:val="1529"/>
              <w:widowControl/>
              <w:spacing w:line="400" w:lineRule="exact"/>
              <w:jc w:val="center"/>
              <w:rPr>
                <w:rFonts w:hint="eastAsia" w:ascii="宋体" w:hAnsi="宋体" w:eastAsia="宋体" w:cs="宋体"/>
                <w:color w:val="auto"/>
                <w:sz w:val="21"/>
                <w:szCs w:val="21"/>
                <w:highlight w:val="none"/>
              </w:rPr>
            </w:pPr>
          </w:p>
        </w:tc>
        <w:tc>
          <w:tcPr>
            <w:tcW w:w="2306" w:type="dxa"/>
            <w:tcBorders>
              <w:top w:val="single" w:color="auto" w:sz="4" w:space="0"/>
              <w:left w:val="single" w:color="auto" w:sz="4" w:space="0"/>
              <w:bottom w:val="single" w:color="auto" w:sz="4" w:space="0"/>
              <w:right w:val="single" w:color="auto" w:sz="4" w:space="0"/>
            </w:tcBorders>
            <w:noWrap/>
            <w:vAlign w:val="center"/>
          </w:tcPr>
          <w:p w14:paraId="76AB64A3">
            <w:pPr>
              <w:pStyle w:val="1529"/>
              <w:widowControl/>
              <w:spacing w:line="400" w:lineRule="exact"/>
              <w:rPr>
                <w:rFonts w:hint="eastAsia" w:ascii="宋体" w:hAnsi="宋体" w:eastAsia="宋体" w:cs="宋体"/>
                <w:color w:val="auto"/>
                <w:sz w:val="21"/>
                <w:szCs w:val="21"/>
                <w:highlight w:val="none"/>
              </w:rPr>
            </w:pPr>
          </w:p>
        </w:tc>
        <w:tc>
          <w:tcPr>
            <w:tcW w:w="834" w:type="dxa"/>
            <w:tcBorders>
              <w:top w:val="single" w:color="auto" w:sz="4" w:space="0"/>
              <w:left w:val="single" w:color="auto" w:sz="4" w:space="0"/>
              <w:bottom w:val="single" w:color="auto" w:sz="4" w:space="0"/>
              <w:right w:val="single" w:color="auto" w:sz="4" w:space="0"/>
            </w:tcBorders>
            <w:noWrap/>
            <w:vAlign w:val="center"/>
          </w:tcPr>
          <w:p w14:paraId="2840C850">
            <w:pPr>
              <w:pStyle w:val="1529"/>
              <w:widowControl/>
              <w:spacing w:line="400" w:lineRule="exact"/>
              <w:jc w:val="center"/>
              <w:rPr>
                <w:rFonts w:hint="eastAsia" w:ascii="宋体" w:hAnsi="宋体" w:eastAsia="宋体" w:cs="宋体"/>
                <w:color w:val="auto"/>
                <w:sz w:val="21"/>
                <w:szCs w:val="21"/>
                <w:highlight w:val="none"/>
              </w:rPr>
            </w:pPr>
          </w:p>
        </w:tc>
        <w:tc>
          <w:tcPr>
            <w:tcW w:w="588" w:type="dxa"/>
            <w:tcBorders>
              <w:top w:val="single" w:color="auto" w:sz="4" w:space="0"/>
              <w:left w:val="single" w:color="auto" w:sz="4" w:space="0"/>
              <w:bottom w:val="single" w:color="auto" w:sz="4" w:space="0"/>
              <w:right w:val="single" w:color="auto" w:sz="4" w:space="0"/>
            </w:tcBorders>
            <w:noWrap/>
            <w:vAlign w:val="center"/>
          </w:tcPr>
          <w:p w14:paraId="58516BB8">
            <w:pPr>
              <w:pStyle w:val="1529"/>
              <w:widowControl/>
              <w:spacing w:line="400" w:lineRule="exact"/>
              <w:jc w:val="center"/>
              <w:rPr>
                <w:rFonts w:hint="eastAsia" w:ascii="宋体" w:hAnsi="宋体" w:eastAsia="宋体" w:cs="宋体"/>
                <w:color w:val="auto"/>
                <w:sz w:val="21"/>
                <w:szCs w:val="21"/>
                <w:highlight w:val="none"/>
              </w:rPr>
            </w:pPr>
          </w:p>
        </w:tc>
        <w:tc>
          <w:tcPr>
            <w:tcW w:w="916" w:type="dxa"/>
            <w:tcBorders>
              <w:top w:val="single" w:color="auto" w:sz="4" w:space="0"/>
              <w:left w:val="single" w:color="auto" w:sz="4" w:space="0"/>
              <w:bottom w:val="single" w:color="auto" w:sz="4" w:space="0"/>
              <w:right w:val="single" w:color="auto" w:sz="4" w:space="0"/>
            </w:tcBorders>
            <w:noWrap/>
            <w:vAlign w:val="center"/>
          </w:tcPr>
          <w:p w14:paraId="469E56B2">
            <w:pPr>
              <w:pStyle w:val="1529"/>
              <w:widowControl/>
              <w:spacing w:line="400" w:lineRule="exact"/>
              <w:jc w:val="center"/>
              <w:rPr>
                <w:rFonts w:hint="eastAsia" w:ascii="宋体" w:hAnsi="宋体" w:eastAsia="宋体" w:cs="宋体"/>
                <w:color w:val="auto"/>
                <w:sz w:val="21"/>
                <w:szCs w:val="21"/>
                <w:highlight w:val="none"/>
              </w:rPr>
            </w:pPr>
          </w:p>
        </w:tc>
        <w:tc>
          <w:tcPr>
            <w:tcW w:w="779" w:type="dxa"/>
            <w:tcBorders>
              <w:top w:val="single" w:color="auto" w:sz="4" w:space="0"/>
              <w:left w:val="single" w:color="auto" w:sz="4" w:space="0"/>
              <w:bottom w:val="single" w:color="auto" w:sz="4" w:space="0"/>
              <w:right w:val="single" w:color="auto" w:sz="4" w:space="0"/>
            </w:tcBorders>
            <w:noWrap/>
            <w:vAlign w:val="center"/>
          </w:tcPr>
          <w:p w14:paraId="4370D73C">
            <w:pPr>
              <w:pStyle w:val="1529"/>
              <w:widowControl/>
              <w:spacing w:line="400" w:lineRule="exact"/>
              <w:jc w:val="center"/>
              <w:rPr>
                <w:rFonts w:hint="eastAsia" w:ascii="宋体" w:hAnsi="宋体" w:eastAsia="宋体" w:cs="宋体"/>
                <w:color w:val="auto"/>
                <w:sz w:val="21"/>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ign w:val="center"/>
          </w:tcPr>
          <w:p w14:paraId="5AFDFA34">
            <w:pPr>
              <w:pStyle w:val="1529"/>
              <w:widowControl/>
              <w:spacing w:line="400" w:lineRule="exact"/>
              <w:jc w:val="center"/>
              <w:rPr>
                <w:rFonts w:hint="eastAsia" w:ascii="宋体" w:hAnsi="宋体" w:eastAsia="宋体" w:cs="宋体"/>
                <w:color w:val="auto"/>
                <w:sz w:val="21"/>
                <w:szCs w:val="21"/>
                <w:highlight w:val="none"/>
              </w:rPr>
            </w:pPr>
          </w:p>
        </w:tc>
        <w:tc>
          <w:tcPr>
            <w:tcW w:w="314" w:type="dxa"/>
            <w:tcBorders>
              <w:top w:val="single" w:color="auto" w:sz="4" w:space="0"/>
              <w:left w:val="single" w:color="auto" w:sz="4" w:space="0"/>
              <w:bottom w:val="single" w:color="auto" w:sz="4" w:space="0"/>
              <w:right w:val="single" w:color="auto" w:sz="4" w:space="0"/>
            </w:tcBorders>
            <w:noWrap/>
            <w:vAlign w:val="center"/>
          </w:tcPr>
          <w:p w14:paraId="5C747BD3">
            <w:pPr>
              <w:pStyle w:val="1529"/>
              <w:widowControl/>
              <w:spacing w:line="400" w:lineRule="exact"/>
              <w:jc w:val="center"/>
              <w:rPr>
                <w:rFonts w:hint="eastAsia" w:ascii="宋体" w:hAnsi="宋体" w:eastAsia="宋体" w:cs="宋体"/>
                <w:color w:val="auto"/>
                <w:sz w:val="21"/>
                <w:szCs w:val="21"/>
                <w:highlight w:val="none"/>
              </w:rPr>
            </w:pPr>
          </w:p>
        </w:tc>
      </w:tr>
      <w:tr w14:paraId="58015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49" w:type="dxa"/>
            <w:tcBorders>
              <w:top w:val="single" w:color="auto" w:sz="4" w:space="0"/>
              <w:left w:val="single" w:color="auto" w:sz="4" w:space="0"/>
              <w:bottom w:val="single" w:color="auto" w:sz="4" w:space="0"/>
              <w:right w:val="single" w:color="auto" w:sz="4" w:space="0"/>
            </w:tcBorders>
            <w:noWrap/>
            <w:vAlign w:val="center"/>
          </w:tcPr>
          <w:p w14:paraId="7026F543">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980" w:type="dxa"/>
            <w:tcBorders>
              <w:top w:val="single" w:color="auto" w:sz="4" w:space="0"/>
              <w:left w:val="single" w:color="auto" w:sz="4" w:space="0"/>
              <w:bottom w:val="single" w:color="auto" w:sz="4" w:space="0"/>
              <w:right w:val="single" w:color="auto" w:sz="4" w:space="0"/>
            </w:tcBorders>
            <w:noWrap/>
            <w:vAlign w:val="center"/>
          </w:tcPr>
          <w:p w14:paraId="219BF31E">
            <w:pPr>
              <w:pStyle w:val="1529"/>
              <w:widowControl/>
              <w:spacing w:line="400" w:lineRule="exact"/>
              <w:jc w:val="center"/>
              <w:rPr>
                <w:rFonts w:hint="eastAsia" w:ascii="宋体" w:hAnsi="宋体" w:eastAsia="宋体" w:cs="宋体"/>
                <w:color w:val="auto"/>
                <w:sz w:val="21"/>
                <w:szCs w:val="21"/>
                <w:highlight w:val="none"/>
              </w:rPr>
            </w:pPr>
          </w:p>
        </w:tc>
        <w:tc>
          <w:tcPr>
            <w:tcW w:w="2306" w:type="dxa"/>
            <w:tcBorders>
              <w:top w:val="single" w:color="auto" w:sz="4" w:space="0"/>
              <w:left w:val="single" w:color="auto" w:sz="4" w:space="0"/>
              <w:bottom w:val="single" w:color="auto" w:sz="4" w:space="0"/>
              <w:right w:val="single" w:color="auto" w:sz="4" w:space="0"/>
            </w:tcBorders>
            <w:noWrap/>
            <w:vAlign w:val="center"/>
          </w:tcPr>
          <w:p w14:paraId="76CA8F66">
            <w:pPr>
              <w:pStyle w:val="1529"/>
              <w:widowControl/>
              <w:spacing w:line="400" w:lineRule="exact"/>
              <w:rPr>
                <w:rFonts w:hint="eastAsia" w:ascii="宋体" w:hAnsi="宋体" w:eastAsia="宋体" w:cs="宋体"/>
                <w:color w:val="auto"/>
                <w:sz w:val="21"/>
                <w:szCs w:val="21"/>
                <w:highlight w:val="none"/>
              </w:rPr>
            </w:pPr>
          </w:p>
        </w:tc>
        <w:tc>
          <w:tcPr>
            <w:tcW w:w="834" w:type="dxa"/>
            <w:tcBorders>
              <w:top w:val="single" w:color="auto" w:sz="4" w:space="0"/>
              <w:left w:val="single" w:color="auto" w:sz="4" w:space="0"/>
              <w:bottom w:val="single" w:color="auto" w:sz="4" w:space="0"/>
              <w:right w:val="single" w:color="auto" w:sz="4" w:space="0"/>
            </w:tcBorders>
            <w:noWrap/>
            <w:vAlign w:val="center"/>
          </w:tcPr>
          <w:p w14:paraId="53EC4386">
            <w:pPr>
              <w:pStyle w:val="1529"/>
              <w:widowControl/>
              <w:spacing w:line="400" w:lineRule="exact"/>
              <w:jc w:val="center"/>
              <w:rPr>
                <w:rFonts w:hint="eastAsia" w:ascii="宋体" w:hAnsi="宋体" w:eastAsia="宋体" w:cs="宋体"/>
                <w:color w:val="auto"/>
                <w:sz w:val="21"/>
                <w:szCs w:val="21"/>
                <w:highlight w:val="none"/>
              </w:rPr>
            </w:pPr>
          </w:p>
        </w:tc>
        <w:tc>
          <w:tcPr>
            <w:tcW w:w="588" w:type="dxa"/>
            <w:tcBorders>
              <w:top w:val="single" w:color="auto" w:sz="4" w:space="0"/>
              <w:left w:val="single" w:color="auto" w:sz="4" w:space="0"/>
              <w:bottom w:val="single" w:color="auto" w:sz="4" w:space="0"/>
              <w:right w:val="single" w:color="auto" w:sz="4" w:space="0"/>
            </w:tcBorders>
            <w:noWrap/>
            <w:vAlign w:val="center"/>
          </w:tcPr>
          <w:p w14:paraId="29E7551B">
            <w:pPr>
              <w:pStyle w:val="1529"/>
              <w:widowControl/>
              <w:spacing w:line="400" w:lineRule="exact"/>
              <w:jc w:val="center"/>
              <w:rPr>
                <w:rFonts w:hint="eastAsia" w:ascii="宋体" w:hAnsi="宋体" w:eastAsia="宋体" w:cs="宋体"/>
                <w:color w:val="auto"/>
                <w:sz w:val="21"/>
                <w:szCs w:val="21"/>
                <w:highlight w:val="none"/>
              </w:rPr>
            </w:pPr>
          </w:p>
        </w:tc>
        <w:tc>
          <w:tcPr>
            <w:tcW w:w="916" w:type="dxa"/>
            <w:tcBorders>
              <w:top w:val="single" w:color="auto" w:sz="4" w:space="0"/>
              <w:left w:val="single" w:color="auto" w:sz="4" w:space="0"/>
              <w:bottom w:val="single" w:color="auto" w:sz="4" w:space="0"/>
              <w:right w:val="single" w:color="auto" w:sz="4" w:space="0"/>
            </w:tcBorders>
            <w:noWrap/>
            <w:vAlign w:val="center"/>
          </w:tcPr>
          <w:p w14:paraId="2AB8B617">
            <w:pPr>
              <w:pStyle w:val="1529"/>
              <w:widowControl/>
              <w:spacing w:line="400" w:lineRule="exact"/>
              <w:jc w:val="center"/>
              <w:rPr>
                <w:rFonts w:hint="eastAsia" w:ascii="宋体" w:hAnsi="宋体" w:eastAsia="宋体" w:cs="宋体"/>
                <w:color w:val="auto"/>
                <w:sz w:val="21"/>
                <w:szCs w:val="21"/>
                <w:highlight w:val="none"/>
              </w:rPr>
            </w:pPr>
          </w:p>
        </w:tc>
        <w:tc>
          <w:tcPr>
            <w:tcW w:w="779" w:type="dxa"/>
            <w:tcBorders>
              <w:top w:val="single" w:color="auto" w:sz="4" w:space="0"/>
              <w:left w:val="single" w:color="auto" w:sz="4" w:space="0"/>
              <w:bottom w:val="single" w:color="auto" w:sz="4" w:space="0"/>
              <w:right w:val="single" w:color="auto" w:sz="4" w:space="0"/>
            </w:tcBorders>
            <w:noWrap/>
            <w:vAlign w:val="center"/>
          </w:tcPr>
          <w:p w14:paraId="0B2E5C90">
            <w:pPr>
              <w:pStyle w:val="1529"/>
              <w:widowControl/>
              <w:spacing w:line="400" w:lineRule="exact"/>
              <w:jc w:val="center"/>
              <w:rPr>
                <w:rFonts w:hint="eastAsia" w:ascii="宋体" w:hAnsi="宋体" w:eastAsia="宋体" w:cs="宋体"/>
                <w:color w:val="auto"/>
                <w:sz w:val="21"/>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ign w:val="center"/>
          </w:tcPr>
          <w:p w14:paraId="0CA1A960">
            <w:pPr>
              <w:pStyle w:val="1529"/>
              <w:widowControl/>
              <w:spacing w:line="400" w:lineRule="exact"/>
              <w:jc w:val="center"/>
              <w:rPr>
                <w:rFonts w:hint="eastAsia" w:ascii="宋体" w:hAnsi="宋体" w:eastAsia="宋体" w:cs="宋体"/>
                <w:color w:val="auto"/>
                <w:sz w:val="21"/>
                <w:szCs w:val="21"/>
                <w:highlight w:val="none"/>
              </w:rPr>
            </w:pPr>
          </w:p>
        </w:tc>
        <w:tc>
          <w:tcPr>
            <w:tcW w:w="314" w:type="dxa"/>
            <w:tcBorders>
              <w:top w:val="single" w:color="auto" w:sz="4" w:space="0"/>
              <w:left w:val="single" w:color="auto" w:sz="4" w:space="0"/>
              <w:bottom w:val="single" w:color="auto" w:sz="4" w:space="0"/>
              <w:right w:val="single" w:color="auto" w:sz="4" w:space="0"/>
            </w:tcBorders>
            <w:noWrap/>
            <w:vAlign w:val="center"/>
          </w:tcPr>
          <w:p w14:paraId="30EB9008">
            <w:pPr>
              <w:pStyle w:val="1529"/>
              <w:widowControl/>
              <w:spacing w:line="400" w:lineRule="exact"/>
              <w:jc w:val="center"/>
              <w:rPr>
                <w:rFonts w:hint="eastAsia" w:ascii="宋体" w:hAnsi="宋体" w:eastAsia="宋体" w:cs="宋体"/>
                <w:color w:val="auto"/>
                <w:sz w:val="21"/>
                <w:szCs w:val="21"/>
                <w:highlight w:val="none"/>
              </w:rPr>
            </w:pPr>
          </w:p>
        </w:tc>
      </w:tr>
      <w:tr w14:paraId="2436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49" w:type="dxa"/>
            <w:tcBorders>
              <w:top w:val="single" w:color="auto" w:sz="4" w:space="0"/>
              <w:left w:val="single" w:color="auto" w:sz="4" w:space="0"/>
              <w:bottom w:val="single" w:color="auto" w:sz="4" w:space="0"/>
              <w:right w:val="single" w:color="auto" w:sz="4" w:space="0"/>
            </w:tcBorders>
            <w:noWrap/>
            <w:vAlign w:val="center"/>
          </w:tcPr>
          <w:p w14:paraId="46DA025C">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980" w:type="dxa"/>
            <w:tcBorders>
              <w:top w:val="single" w:color="auto" w:sz="4" w:space="0"/>
              <w:left w:val="single" w:color="auto" w:sz="4" w:space="0"/>
              <w:bottom w:val="single" w:color="auto" w:sz="4" w:space="0"/>
              <w:right w:val="single" w:color="auto" w:sz="4" w:space="0"/>
            </w:tcBorders>
            <w:noWrap/>
            <w:vAlign w:val="center"/>
          </w:tcPr>
          <w:p w14:paraId="34996C53">
            <w:pPr>
              <w:pStyle w:val="1529"/>
              <w:widowControl/>
              <w:spacing w:line="400" w:lineRule="exact"/>
              <w:jc w:val="center"/>
              <w:rPr>
                <w:rFonts w:hint="eastAsia" w:ascii="宋体" w:hAnsi="宋体" w:eastAsia="宋体" w:cs="宋体"/>
                <w:color w:val="auto"/>
                <w:sz w:val="21"/>
                <w:szCs w:val="21"/>
                <w:highlight w:val="none"/>
              </w:rPr>
            </w:pPr>
          </w:p>
        </w:tc>
        <w:tc>
          <w:tcPr>
            <w:tcW w:w="2306" w:type="dxa"/>
            <w:tcBorders>
              <w:top w:val="single" w:color="auto" w:sz="4" w:space="0"/>
              <w:left w:val="single" w:color="auto" w:sz="4" w:space="0"/>
              <w:bottom w:val="single" w:color="auto" w:sz="4" w:space="0"/>
              <w:right w:val="single" w:color="auto" w:sz="4" w:space="0"/>
            </w:tcBorders>
            <w:noWrap/>
            <w:vAlign w:val="center"/>
          </w:tcPr>
          <w:p w14:paraId="7CDD6B04">
            <w:pPr>
              <w:pStyle w:val="1529"/>
              <w:widowControl/>
              <w:spacing w:line="400" w:lineRule="exact"/>
              <w:rPr>
                <w:rFonts w:hint="eastAsia" w:ascii="宋体" w:hAnsi="宋体" w:eastAsia="宋体" w:cs="宋体"/>
                <w:color w:val="auto"/>
                <w:sz w:val="21"/>
                <w:szCs w:val="21"/>
                <w:highlight w:val="none"/>
              </w:rPr>
            </w:pPr>
          </w:p>
        </w:tc>
        <w:tc>
          <w:tcPr>
            <w:tcW w:w="834" w:type="dxa"/>
            <w:tcBorders>
              <w:top w:val="single" w:color="auto" w:sz="4" w:space="0"/>
              <w:left w:val="single" w:color="auto" w:sz="4" w:space="0"/>
              <w:bottom w:val="single" w:color="auto" w:sz="4" w:space="0"/>
              <w:right w:val="single" w:color="auto" w:sz="4" w:space="0"/>
            </w:tcBorders>
            <w:noWrap/>
            <w:vAlign w:val="center"/>
          </w:tcPr>
          <w:p w14:paraId="555F6180">
            <w:pPr>
              <w:pStyle w:val="1529"/>
              <w:widowControl/>
              <w:spacing w:line="400" w:lineRule="exact"/>
              <w:jc w:val="center"/>
              <w:rPr>
                <w:rFonts w:hint="eastAsia" w:ascii="宋体" w:hAnsi="宋体" w:eastAsia="宋体" w:cs="宋体"/>
                <w:color w:val="auto"/>
                <w:sz w:val="21"/>
                <w:szCs w:val="21"/>
                <w:highlight w:val="none"/>
              </w:rPr>
            </w:pPr>
          </w:p>
        </w:tc>
        <w:tc>
          <w:tcPr>
            <w:tcW w:w="588" w:type="dxa"/>
            <w:tcBorders>
              <w:top w:val="single" w:color="auto" w:sz="4" w:space="0"/>
              <w:left w:val="single" w:color="auto" w:sz="4" w:space="0"/>
              <w:bottom w:val="single" w:color="auto" w:sz="4" w:space="0"/>
              <w:right w:val="single" w:color="auto" w:sz="4" w:space="0"/>
            </w:tcBorders>
            <w:noWrap/>
            <w:vAlign w:val="center"/>
          </w:tcPr>
          <w:p w14:paraId="472C5ED1">
            <w:pPr>
              <w:pStyle w:val="1529"/>
              <w:widowControl/>
              <w:spacing w:line="400" w:lineRule="exact"/>
              <w:jc w:val="center"/>
              <w:rPr>
                <w:rFonts w:hint="eastAsia" w:ascii="宋体" w:hAnsi="宋体" w:eastAsia="宋体" w:cs="宋体"/>
                <w:color w:val="auto"/>
                <w:sz w:val="21"/>
                <w:szCs w:val="21"/>
                <w:highlight w:val="none"/>
              </w:rPr>
            </w:pPr>
          </w:p>
        </w:tc>
        <w:tc>
          <w:tcPr>
            <w:tcW w:w="916" w:type="dxa"/>
            <w:tcBorders>
              <w:top w:val="single" w:color="auto" w:sz="4" w:space="0"/>
              <w:left w:val="single" w:color="auto" w:sz="4" w:space="0"/>
              <w:bottom w:val="single" w:color="auto" w:sz="4" w:space="0"/>
              <w:right w:val="single" w:color="auto" w:sz="4" w:space="0"/>
            </w:tcBorders>
            <w:noWrap/>
            <w:vAlign w:val="center"/>
          </w:tcPr>
          <w:p w14:paraId="0C3E404F">
            <w:pPr>
              <w:pStyle w:val="1529"/>
              <w:widowControl/>
              <w:spacing w:line="400" w:lineRule="exact"/>
              <w:jc w:val="center"/>
              <w:rPr>
                <w:rFonts w:hint="eastAsia" w:ascii="宋体" w:hAnsi="宋体" w:eastAsia="宋体" w:cs="宋体"/>
                <w:color w:val="auto"/>
                <w:sz w:val="21"/>
                <w:szCs w:val="21"/>
                <w:highlight w:val="none"/>
              </w:rPr>
            </w:pPr>
          </w:p>
        </w:tc>
        <w:tc>
          <w:tcPr>
            <w:tcW w:w="779" w:type="dxa"/>
            <w:tcBorders>
              <w:top w:val="single" w:color="auto" w:sz="4" w:space="0"/>
              <w:left w:val="single" w:color="auto" w:sz="4" w:space="0"/>
              <w:bottom w:val="single" w:color="auto" w:sz="4" w:space="0"/>
              <w:right w:val="single" w:color="auto" w:sz="4" w:space="0"/>
            </w:tcBorders>
            <w:noWrap/>
            <w:vAlign w:val="center"/>
          </w:tcPr>
          <w:p w14:paraId="4B35DC02">
            <w:pPr>
              <w:pStyle w:val="1529"/>
              <w:widowControl/>
              <w:spacing w:line="400" w:lineRule="exact"/>
              <w:jc w:val="center"/>
              <w:rPr>
                <w:rFonts w:hint="eastAsia" w:ascii="宋体" w:hAnsi="宋体" w:eastAsia="宋体" w:cs="宋体"/>
                <w:color w:val="auto"/>
                <w:sz w:val="21"/>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ign w:val="center"/>
          </w:tcPr>
          <w:p w14:paraId="6C46133D">
            <w:pPr>
              <w:pStyle w:val="1529"/>
              <w:widowControl/>
              <w:spacing w:line="400" w:lineRule="exact"/>
              <w:jc w:val="center"/>
              <w:rPr>
                <w:rFonts w:hint="eastAsia" w:ascii="宋体" w:hAnsi="宋体" w:eastAsia="宋体" w:cs="宋体"/>
                <w:color w:val="auto"/>
                <w:sz w:val="21"/>
                <w:szCs w:val="21"/>
                <w:highlight w:val="none"/>
              </w:rPr>
            </w:pPr>
          </w:p>
        </w:tc>
        <w:tc>
          <w:tcPr>
            <w:tcW w:w="314" w:type="dxa"/>
            <w:tcBorders>
              <w:top w:val="single" w:color="auto" w:sz="4" w:space="0"/>
              <w:left w:val="single" w:color="auto" w:sz="4" w:space="0"/>
              <w:bottom w:val="single" w:color="auto" w:sz="4" w:space="0"/>
              <w:right w:val="single" w:color="auto" w:sz="4" w:space="0"/>
            </w:tcBorders>
            <w:noWrap/>
            <w:vAlign w:val="center"/>
          </w:tcPr>
          <w:p w14:paraId="575CF52F">
            <w:pPr>
              <w:pStyle w:val="1529"/>
              <w:widowControl/>
              <w:spacing w:line="400" w:lineRule="exact"/>
              <w:jc w:val="center"/>
              <w:rPr>
                <w:rFonts w:hint="eastAsia" w:ascii="宋体" w:hAnsi="宋体" w:eastAsia="宋体" w:cs="宋体"/>
                <w:color w:val="auto"/>
                <w:sz w:val="21"/>
                <w:szCs w:val="21"/>
                <w:highlight w:val="none"/>
              </w:rPr>
            </w:pPr>
          </w:p>
        </w:tc>
      </w:tr>
      <w:tr w14:paraId="72BCE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49" w:type="dxa"/>
            <w:tcBorders>
              <w:top w:val="single" w:color="auto" w:sz="4" w:space="0"/>
              <w:left w:val="single" w:color="auto" w:sz="4" w:space="0"/>
              <w:bottom w:val="single" w:color="auto" w:sz="4" w:space="0"/>
              <w:right w:val="single" w:color="auto" w:sz="4" w:space="0"/>
            </w:tcBorders>
            <w:noWrap/>
            <w:vAlign w:val="center"/>
          </w:tcPr>
          <w:p w14:paraId="69419220">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980" w:type="dxa"/>
            <w:tcBorders>
              <w:top w:val="single" w:color="auto" w:sz="4" w:space="0"/>
              <w:left w:val="single" w:color="auto" w:sz="4" w:space="0"/>
              <w:bottom w:val="single" w:color="auto" w:sz="4" w:space="0"/>
              <w:right w:val="single" w:color="auto" w:sz="4" w:space="0"/>
            </w:tcBorders>
            <w:noWrap/>
            <w:vAlign w:val="center"/>
          </w:tcPr>
          <w:p w14:paraId="138FCA4B">
            <w:pPr>
              <w:pStyle w:val="1529"/>
              <w:widowControl/>
              <w:spacing w:line="400" w:lineRule="exact"/>
              <w:jc w:val="center"/>
              <w:rPr>
                <w:rFonts w:hint="eastAsia" w:ascii="宋体" w:hAnsi="宋体" w:eastAsia="宋体" w:cs="宋体"/>
                <w:color w:val="auto"/>
                <w:sz w:val="21"/>
                <w:szCs w:val="21"/>
                <w:highlight w:val="none"/>
              </w:rPr>
            </w:pPr>
          </w:p>
        </w:tc>
        <w:tc>
          <w:tcPr>
            <w:tcW w:w="2306" w:type="dxa"/>
            <w:tcBorders>
              <w:top w:val="single" w:color="auto" w:sz="4" w:space="0"/>
              <w:left w:val="single" w:color="auto" w:sz="4" w:space="0"/>
              <w:bottom w:val="single" w:color="auto" w:sz="4" w:space="0"/>
              <w:right w:val="single" w:color="auto" w:sz="4" w:space="0"/>
            </w:tcBorders>
            <w:noWrap/>
            <w:vAlign w:val="center"/>
          </w:tcPr>
          <w:p w14:paraId="0E504B9B">
            <w:pPr>
              <w:pStyle w:val="1529"/>
              <w:widowControl/>
              <w:spacing w:line="400" w:lineRule="exact"/>
              <w:rPr>
                <w:rFonts w:hint="eastAsia" w:ascii="宋体" w:hAnsi="宋体" w:eastAsia="宋体" w:cs="宋体"/>
                <w:color w:val="auto"/>
                <w:sz w:val="21"/>
                <w:szCs w:val="21"/>
                <w:highlight w:val="none"/>
              </w:rPr>
            </w:pPr>
          </w:p>
        </w:tc>
        <w:tc>
          <w:tcPr>
            <w:tcW w:w="834" w:type="dxa"/>
            <w:tcBorders>
              <w:top w:val="single" w:color="auto" w:sz="4" w:space="0"/>
              <w:left w:val="single" w:color="auto" w:sz="4" w:space="0"/>
              <w:bottom w:val="single" w:color="auto" w:sz="4" w:space="0"/>
              <w:right w:val="single" w:color="auto" w:sz="4" w:space="0"/>
            </w:tcBorders>
            <w:noWrap/>
            <w:vAlign w:val="center"/>
          </w:tcPr>
          <w:p w14:paraId="3971412A">
            <w:pPr>
              <w:pStyle w:val="1529"/>
              <w:widowControl/>
              <w:spacing w:line="400" w:lineRule="exact"/>
              <w:jc w:val="center"/>
              <w:rPr>
                <w:rFonts w:hint="eastAsia" w:ascii="宋体" w:hAnsi="宋体" w:eastAsia="宋体" w:cs="宋体"/>
                <w:color w:val="auto"/>
                <w:sz w:val="21"/>
                <w:szCs w:val="21"/>
                <w:highlight w:val="none"/>
              </w:rPr>
            </w:pPr>
          </w:p>
        </w:tc>
        <w:tc>
          <w:tcPr>
            <w:tcW w:w="588" w:type="dxa"/>
            <w:tcBorders>
              <w:top w:val="single" w:color="auto" w:sz="4" w:space="0"/>
              <w:left w:val="single" w:color="auto" w:sz="4" w:space="0"/>
              <w:bottom w:val="single" w:color="auto" w:sz="4" w:space="0"/>
              <w:right w:val="single" w:color="auto" w:sz="4" w:space="0"/>
            </w:tcBorders>
            <w:noWrap/>
            <w:vAlign w:val="center"/>
          </w:tcPr>
          <w:p w14:paraId="48DDC984">
            <w:pPr>
              <w:pStyle w:val="1529"/>
              <w:widowControl/>
              <w:spacing w:line="400" w:lineRule="exact"/>
              <w:jc w:val="center"/>
              <w:rPr>
                <w:rFonts w:hint="eastAsia" w:ascii="宋体" w:hAnsi="宋体" w:eastAsia="宋体" w:cs="宋体"/>
                <w:color w:val="auto"/>
                <w:sz w:val="21"/>
                <w:szCs w:val="21"/>
                <w:highlight w:val="none"/>
              </w:rPr>
            </w:pPr>
          </w:p>
        </w:tc>
        <w:tc>
          <w:tcPr>
            <w:tcW w:w="916" w:type="dxa"/>
            <w:tcBorders>
              <w:top w:val="single" w:color="auto" w:sz="4" w:space="0"/>
              <w:left w:val="single" w:color="auto" w:sz="4" w:space="0"/>
              <w:bottom w:val="single" w:color="auto" w:sz="4" w:space="0"/>
              <w:right w:val="single" w:color="auto" w:sz="4" w:space="0"/>
            </w:tcBorders>
            <w:noWrap/>
            <w:vAlign w:val="center"/>
          </w:tcPr>
          <w:p w14:paraId="7F889DF2">
            <w:pPr>
              <w:pStyle w:val="1529"/>
              <w:widowControl/>
              <w:spacing w:line="400" w:lineRule="exact"/>
              <w:jc w:val="center"/>
              <w:rPr>
                <w:rFonts w:hint="eastAsia" w:ascii="宋体" w:hAnsi="宋体" w:eastAsia="宋体" w:cs="宋体"/>
                <w:color w:val="auto"/>
                <w:sz w:val="21"/>
                <w:szCs w:val="21"/>
                <w:highlight w:val="none"/>
              </w:rPr>
            </w:pPr>
          </w:p>
        </w:tc>
        <w:tc>
          <w:tcPr>
            <w:tcW w:w="779" w:type="dxa"/>
            <w:tcBorders>
              <w:top w:val="single" w:color="auto" w:sz="4" w:space="0"/>
              <w:left w:val="single" w:color="auto" w:sz="4" w:space="0"/>
              <w:bottom w:val="single" w:color="auto" w:sz="4" w:space="0"/>
              <w:right w:val="single" w:color="auto" w:sz="4" w:space="0"/>
            </w:tcBorders>
            <w:noWrap/>
            <w:vAlign w:val="center"/>
          </w:tcPr>
          <w:p w14:paraId="37205AAE">
            <w:pPr>
              <w:pStyle w:val="1529"/>
              <w:widowControl/>
              <w:spacing w:line="400" w:lineRule="exact"/>
              <w:jc w:val="center"/>
              <w:rPr>
                <w:rFonts w:hint="eastAsia" w:ascii="宋体" w:hAnsi="宋体" w:eastAsia="宋体" w:cs="宋体"/>
                <w:color w:val="auto"/>
                <w:sz w:val="21"/>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ign w:val="center"/>
          </w:tcPr>
          <w:p w14:paraId="6F439229">
            <w:pPr>
              <w:pStyle w:val="1529"/>
              <w:widowControl/>
              <w:spacing w:line="400" w:lineRule="exact"/>
              <w:jc w:val="center"/>
              <w:rPr>
                <w:rFonts w:hint="eastAsia" w:ascii="宋体" w:hAnsi="宋体" w:eastAsia="宋体" w:cs="宋体"/>
                <w:color w:val="auto"/>
                <w:sz w:val="21"/>
                <w:szCs w:val="21"/>
                <w:highlight w:val="none"/>
              </w:rPr>
            </w:pPr>
          </w:p>
        </w:tc>
        <w:tc>
          <w:tcPr>
            <w:tcW w:w="314" w:type="dxa"/>
            <w:tcBorders>
              <w:top w:val="single" w:color="auto" w:sz="4" w:space="0"/>
              <w:left w:val="single" w:color="auto" w:sz="4" w:space="0"/>
              <w:bottom w:val="single" w:color="auto" w:sz="4" w:space="0"/>
              <w:right w:val="single" w:color="auto" w:sz="4" w:space="0"/>
            </w:tcBorders>
            <w:noWrap/>
            <w:vAlign w:val="center"/>
          </w:tcPr>
          <w:p w14:paraId="0E4B1DA4">
            <w:pPr>
              <w:pStyle w:val="1529"/>
              <w:widowControl/>
              <w:spacing w:line="400" w:lineRule="exact"/>
              <w:jc w:val="center"/>
              <w:rPr>
                <w:rFonts w:hint="eastAsia" w:ascii="宋体" w:hAnsi="宋体" w:eastAsia="宋体" w:cs="宋体"/>
                <w:color w:val="auto"/>
                <w:sz w:val="21"/>
                <w:szCs w:val="21"/>
                <w:highlight w:val="none"/>
              </w:rPr>
            </w:pPr>
          </w:p>
        </w:tc>
      </w:tr>
      <w:tr w14:paraId="7D4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449" w:type="dxa"/>
            <w:tcBorders>
              <w:top w:val="single" w:color="auto" w:sz="4" w:space="0"/>
              <w:left w:val="single" w:color="auto" w:sz="4" w:space="0"/>
              <w:bottom w:val="single" w:color="auto" w:sz="4" w:space="0"/>
              <w:right w:val="single" w:color="auto" w:sz="4" w:space="0"/>
            </w:tcBorders>
            <w:noWrap/>
            <w:vAlign w:val="center"/>
          </w:tcPr>
          <w:p w14:paraId="53385BB8">
            <w:pPr>
              <w:pStyle w:val="1529"/>
              <w:widowControl/>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980" w:type="dxa"/>
            <w:tcBorders>
              <w:top w:val="single" w:color="auto" w:sz="4" w:space="0"/>
              <w:left w:val="single" w:color="auto" w:sz="4" w:space="0"/>
              <w:bottom w:val="single" w:color="auto" w:sz="4" w:space="0"/>
              <w:right w:val="single" w:color="auto" w:sz="4" w:space="0"/>
            </w:tcBorders>
            <w:noWrap/>
            <w:vAlign w:val="center"/>
          </w:tcPr>
          <w:p w14:paraId="342383C7">
            <w:pPr>
              <w:pStyle w:val="1529"/>
              <w:widowControl/>
              <w:spacing w:line="400" w:lineRule="exact"/>
              <w:jc w:val="center"/>
              <w:rPr>
                <w:rFonts w:hint="eastAsia" w:ascii="宋体" w:hAnsi="宋体" w:eastAsia="宋体" w:cs="宋体"/>
                <w:color w:val="auto"/>
                <w:sz w:val="21"/>
                <w:szCs w:val="21"/>
                <w:highlight w:val="none"/>
              </w:rPr>
            </w:pPr>
          </w:p>
        </w:tc>
        <w:tc>
          <w:tcPr>
            <w:tcW w:w="2306" w:type="dxa"/>
            <w:tcBorders>
              <w:top w:val="single" w:color="auto" w:sz="4" w:space="0"/>
              <w:left w:val="single" w:color="auto" w:sz="4" w:space="0"/>
              <w:bottom w:val="single" w:color="auto" w:sz="4" w:space="0"/>
              <w:right w:val="single" w:color="auto" w:sz="4" w:space="0"/>
            </w:tcBorders>
            <w:noWrap/>
            <w:vAlign w:val="center"/>
          </w:tcPr>
          <w:p w14:paraId="51832C47">
            <w:pPr>
              <w:pStyle w:val="1529"/>
              <w:widowControl/>
              <w:spacing w:line="400" w:lineRule="exact"/>
              <w:rPr>
                <w:rFonts w:hint="eastAsia" w:ascii="宋体" w:hAnsi="宋体" w:eastAsia="宋体" w:cs="宋体"/>
                <w:color w:val="auto"/>
                <w:sz w:val="21"/>
                <w:szCs w:val="21"/>
                <w:highlight w:val="none"/>
              </w:rPr>
            </w:pPr>
          </w:p>
        </w:tc>
        <w:tc>
          <w:tcPr>
            <w:tcW w:w="834" w:type="dxa"/>
            <w:tcBorders>
              <w:top w:val="single" w:color="auto" w:sz="4" w:space="0"/>
              <w:left w:val="single" w:color="auto" w:sz="4" w:space="0"/>
              <w:bottom w:val="single" w:color="auto" w:sz="4" w:space="0"/>
              <w:right w:val="single" w:color="auto" w:sz="4" w:space="0"/>
            </w:tcBorders>
            <w:noWrap/>
            <w:vAlign w:val="center"/>
          </w:tcPr>
          <w:p w14:paraId="30468878">
            <w:pPr>
              <w:pStyle w:val="1529"/>
              <w:widowControl/>
              <w:spacing w:line="400" w:lineRule="exact"/>
              <w:jc w:val="center"/>
              <w:rPr>
                <w:rFonts w:hint="eastAsia" w:ascii="宋体" w:hAnsi="宋体" w:eastAsia="宋体" w:cs="宋体"/>
                <w:color w:val="auto"/>
                <w:sz w:val="21"/>
                <w:szCs w:val="21"/>
                <w:highlight w:val="none"/>
              </w:rPr>
            </w:pPr>
          </w:p>
        </w:tc>
        <w:tc>
          <w:tcPr>
            <w:tcW w:w="588" w:type="dxa"/>
            <w:tcBorders>
              <w:top w:val="single" w:color="auto" w:sz="4" w:space="0"/>
              <w:left w:val="single" w:color="auto" w:sz="4" w:space="0"/>
              <w:bottom w:val="single" w:color="auto" w:sz="4" w:space="0"/>
              <w:right w:val="single" w:color="auto" w:sz="4" w:space="0"/>
            </w:tcBorders>
            <w:noWrap/>
            <w:vAlign w:val="center"/>
          </w:tcPr>
          <w:p w14:paraId="1CEE33EB">
            <w:pPr>
              <w:pStyle w:val="1529"/>
              <w:widowControl/>
              <w:spacing w:line="400" w:lineRule="exact"/>
              <w:jc w:val="center"/>
              <w:rPr>
                <w:rFonts w:hint="eastAsia" w:ascii="宋体" w:hAnsi="宋体" w:eastAsia="宋体" w:cs="宋体"/>
                <w:color w:val="auto"/>
                <w:sz w:val="21"/>
                <w:szCs w:val="21"/>
                <w:highlight w:val="none"/>
              </w:rPr>
            </w:pPr>
          </w:p>
        </w:tc>
        <w:tc>
          <w:tcPr>
            <w:tcW w:w="916" w:type="dxa"/>
            <w:tcBorders>
              <w:top w:val="single" w:color="auto" w:sz="4" w:space="0"/>
              <w:left w:val="single" w:color="auto" w:sz="4" w:space="0"/>
              <w:bottom w:val="single" w:color="auto" w:sz="4" w:space="0"/>
              <w:right w:val="single" w:color="auto" w:sz="4" w:space="0"/>
            </w:tcBorders>
            <w:noWrap/>
            <w:vAlign w:val="center"/>
          </w:tcPr>
          <w:p w14:paraId="794A8D6B">
            <w:pPr>
              <w:pStyle w:val="1529"/>
              <w:widowControl/>
              <w:spacing w:line="400" w:lineRule="exact"/>
              <w:jc w:val="center"/>
              <w:rPr>
                <w:rFonts w:hint="eastAsia" w:ascii="宋体" w:hAnsi="宋体" w:eastAsia="宋体" w:cs="宋体"/>
                <w:color w:val="auto"/>
                <w:sz w:val="21"/>
                <w:szCs w:val="21"/>
                <w:highlight w:val="none"/>
              </w:rPr>
            </w:pPr>
          </w:p>
        </w:tc>
        <w:tc>
          <w:tcPr>
            <w:tcW w:w="779" w:type="dxa"/>
            <w:tcBorders>
              <w:top w:val="single" w:color="auto" w:sz="4" w:space="0"/>
              <w:left w:val="single" w:color="auto" w:sz="4" w:space="0"/>
              <w:bottom w:val="single" w:color="auto" w:sz="4" w:space="0"/>
              <w:right w:val="single" w:color="auto" w:sz="4" w:space="0"/>
            </w:tcBorders>
            <w:noWrap/>
            <w:vAlign w:val="center"/>
          </w:tcPr>
          <w:p w14:paraId="3C2033EA">
            <w:pPr>
              <w:pStyle w:val="1529"/>
              <w:widowControl/>
              <w:spacing w:line="400" w:lineRule="exact"/>
              <w:jc w:val="center"/>
              <w:rPr>
                <w:rFonts w:hint="eastAsia" w:ascii="宋体" w:hAnsi="宋体" w:eastAsia="宋体" w:cs="宋体"/>
                <w:color w:val="auto"/>
                <w:sz w:val="21"/>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ign w:val="center"/>
          </w:tcPr>
          <w:p w14:paraId="3A745D2B">
            <w:pPr>
              <w:pStyle w:val="1529"/>
              <w:widowControl/>
              <w:spacing w:line="400" w:lineRule="exact"/>
              <w:jc w:val="center"/>
              <w:rPr>
                <w:rFonts w:hint="eastAsia" w:ascii="宋体" w:hAnsi="宋体" w:eastAsia="宋体" w:cs="宋体"/>
                <w:color w:val="auto"/>
                <w:sz w:val="21"/>
                <w:szCs w:val="21"/>
                <w:highlight w:val="none"/>
              </w:rPr>
            </w:pPr>
          </w:p>
        </w:tc>
        <w:tc>
          <w:tcPr>
            <w:tcW w:w="314" w:type="dxa"/>
            <w:tcBorders>
              <w:top w:val="single" w:color="auto" w:sz="4" w:space="0"/>
              <w:left w:val="single" w:color="auto" w:sz="4" w:space="0"/>
              <w:bottom w:val="single" w:color="auto" w:sz="4" w:space="0"/>
              <w:right w:val="single" w:color="auto" w:sz="4" w:space="0"/>
            </w:tcBorders>
            <w:noWrap/>
            <w:vAlign w:val="center"/>
          </w:tcPr>
          <w:p w14:paraId="1D270733">
            <w:pPr>
              <w:pStyle w:val="1529"/>
              <w:widowControl/>
              <w:spacing w:line="400" w:lineRule="exact"/>
              <w:jc w:val="center"/>
              <w:rPr>
                <w:rFonts w:hint="eastAsia" w:ascii="宋体" w:hAnsi="宋体" w:eastAsia="宋体" w:cs="宋体"/>
                <w:color w:val="auto"/>
                <w:sz w:val="21"/>
                <w:szCs w:val="21"/>
                <w:highlight w:val="none"/>
              </w:rPr>
            </w:pPr>
          </w:p>
        </w:tc>
      </w:tr>
      <w:tr w14:paraId="7C9EF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49" w:type="dxa"/>
            <w:tcBorders>
              <w:top w:val="single" w:color="auto" w:sz="4" w:space="0"/>
              <w:left w:val="single" w:color="auto" w:sz="4" w:space="0"/>
              <w:bottom w:val="single" w:color="auto" w:sz="4" w:space="0"/>
              <w:right w:val="single" w:color="auto" w:sz="4" w:space="0"/>
            </w:tcBorders>
            <w:noWrap/>
            <w:vAlign w:val="center"/>
          </w:tcPr>
          <w:p w14:paraId="66F984DF">
            <w:pPr>
              <w:pStyle w:val="1529"/>
              <w:widowControl/>
              <w:spacing w:line="400" w:lineRule="exact"/>
              <w:jc w:val="center"/>
              <w:rPr>
                <w:rFonts w:hint="eastAsia" w:ascii="宋体" w:hAnsi="宋体" w:eastAsia="宋体" w:cs="宋体"/>
                <w:color w:val="auto"/>
                <w:sz w:val="21"/>
                <w:szCs w:val="21"/>
                <w:highlight w:val="none"/>
              </w:rPr>
            </w:pPr>
          </w:p>
        </w:tc>
        <w:tc>
          <w:tcPr>
            <w:tcW w:w="980" w:type="dxa"/>
            <w:tcBorders>
              <w:top w:val="single" w:color="auto" w:sz="4" w:space="0"/>
              <w:left w:val="single" w:color="auto" w:sz="4" w:space="0"/>
              <w:bottom w:val="single" w:color="auto" w:sz="4" w:space="0"/>
              <w:right w:val="single" w:color="auto" w:sz="4" w:space="0"/>
            </w:tcBorders>
            <w:noWrap/>
            <w:vAlign w:val="center"/>
          </w:tcPr>
          <w:p w14:paraId="0D6B5E05">
            <w:pPr>
              <w:pStyle w:val="1529"/>
              <w:widowControl/>
              <w:spacing w:line="40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总合计</w:t>
            </w:r>
          </w:p>
        </w:tc>
        <w:tc>
          <w:tcPr>
            <w:tcW w:w="2306" w:type="dxa"/>
            <w:tcBorders>
              <w:top w:val="single" w:color="auto" w:sz="4" w:space="0"/>
              <w:left w:val="single" w:color="auto" w:sz="4" w:space="0"/>
              <w:bottom w:val="single" w:color="auto" w:sz="4" w:space="0"/>
              <w:right w:val="single" w:color="auto" w:sz="4" w:space="0"/>
            </w:tcBorders>
            <w:noWrap/>
            <w:vAlign w:val="center"/>
          </w:tcPr>
          <w:p w14:paraId="6B0294B8">
            <w:pPr>
              <w:pStyle w:val="1529"/>
              <w:widowControl/>
              <w:spacing w:line="400" w:lineRule="exact"/>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 xml:space="preserve">人民币： </w:t>
            </w:r>
          </w:p>
        </w:tc>
        <w:tc>
          <w:tcPr>
            <w:tcW w:w="834" w:type="dxa"/>
            <w:tcBorders>
              <w:top w:val="single" w:color="auto" w:sz="4" w:space="0"/>
              <w:left w:val="single" w:color="auto" w:sz="4" w:space="0"/>
              <w:bottom w:val="single" w:color="auto" w:sz="4" w:space="0"/>
              <w:right w:val="single" w:color="auto" w:sz="4" w:space="0"/>
            </w:tcBorders>
            <w:noWrap/>
            <w:vAlign w:val="center"/>
          </w:tcPr>
          <w:p w14:paraId="5D104BCE">
            <w:pPr>
              <w:pStyle w:val="1529"/>
              <w:widowControl/>
              <w:spacing w:line="400" w:lineRule="exact"/>
              <w:jc w:val="center"/>
              <w:rPr>
                <w:rFonts w:hint="eastAsia" w:ascii="宋体" w:hAnsi="宋体" w:eastAsia="宋体" w:cs="宋体"/>
                <w:b/>
                <w:bCs/>
                <w:color w:val="auto"/>
                <w:sz w:val="21"/>
                <w:szCs w:val="21"/>
                <w:highlight w:val="none"/>
              </w:rPr>
            </w:pPr>
          </w:p>
        </w:tc>
        <w:tc>
          <w:tcPr>
            <w:tcW w:w="588" w:type="dxa"/>
            <w:tcBorders>
              <w:top w:val="single" w:color="auto" w:sz="4" w:space="0"/>
              <w:left w:val="single" w:color="auto" w:sz="4" w:space="0"/>
              <w:bottom w:val="single" w:color="auto" w:sz="4" w:space="0"/>
              <w:right w:val="single" w:color="auto" w:sz="4" w:space="0"/>
            </w:tcBorders>
            <w:noWrap/>
            <w:vAlign w:val="center"/>
          </w:tcPr>
          <w:p w14:paraId="55390C81">
            <w:pPr>
              <w:pStyle w:val="1529"/>
              <w:widowControl/>
              <w:spacing w:line="400" w:lineRule="exact"/>
              <w:jc w:val="center"/>
              <w:rPr>
                <w:rFonts w:hint="eastAsia" w:ascii="宋体" w:hAnsi="宋体" w:eastAsia="宋体" w:cs="宋体"/>
                <w:b/>
                <w:bCs/>
                <w:color w:val="auto"/>
                <w:sz w:val="21"/>
                <w:szCs w:val="21"/>
                <w:highlight w:val="none"/>
              </w:rPr>
            </w:pPr>
          </w:p>
        </w:tc>
        <w:tc>
          <w:tcPr>
            <w:tcW w:w="916" w:type="dxa"/>
            <w:tcBorders>
              <w:top w:val="single" w:color="auto" w:sz="4" w:space="0"/>
              <w:left w:val="single" w:color="auto" w:sz="4" w:space="0"/>
              <w:bottom w:val="single" w:color="auto" w:sz="4" w:space="0"/>
              <w:right w:val="single" w:color="auto" w:sz="4" w:space="0"/>
            </w:tcBorders>
            <w:noWrap/>
            <w:vAlign w:val="center"/>
          </w:tcPr>
          <w:p w14:paraId="08A19592">
            <w:pPr>
              <w:pStyle w:val="1529"/>
              <w:widowControl/>
              <w:spacing w:line="400" w:lineRule="exact"/>
              <w:jc w:val="center"/>
              <w:rPr>
                <w:rFonts w:hint="eastAsia" w:ascii="宋体" w:hAnsi="宋体" w:eastAsia="宋体" w:cs="宋体"/>
                <w:b/>
                <w:bCs/>
                <w:color w:val="auto"/>
                <w:sz w:val="21"/>
                <w:szCs w:val="21"/>
                <w:highlight w:val="none"/>
              </w:rPr>
            </w:pPr>
          </w:p>
        </w:tc>
        <w:tc>
          <w:tcPr>
            <w:tcW w:w="779" w:type="dxa"/>
            <w:tcBorders>
              <w:top w:val="single" w:color="auto" w:sz="4" w:space="0"/>
              <w:left w:val="single" w:color="auto" w:sz="4" w:space="0"/>
              <w:bottom w:val="single" w:color="auto" w:sz="4" w:space="0"/>
              <w:right w:val="single" w:color="auto" w:sz="4" w:space="0"/>
            </w:tcBorders>
            <w:noWrap/>
            <w:vAlign w:val="center"/>
          </w:tcPr>
          <w:p w14:paraId="39F3BA50">
            <w:pPr>
              <w:pStyle w:val="1529"/>
              <w:widowControl/>
              <w:spacing w:line="400" w:lineRule="exact"/>
              <w:jc w:val="center"/>
              <w:rPr>
                <w:rFonts w:hint="eastAsia" w:ascii="宋体" w:hAnsi="宋体" w:eastAsia="宋体" w:cs="宋体"/>
                <w:b/>
                <w:bCs/>
                <w:color w:val="auto"/>
                <w:sz w:val="21"/>
                <w:szCs w:val="21"/>
                <w:highlight w:val="none"/>
              </w:rPr>
            </w:pPr>
          </w:p>
        </w:tc>
        <w:tc>
          <w:tcPr>
            <w:tcW w:w="889" w:type="dxa"/>
            <w:tcBorders>
              <w:top w:val="single" w:color="auto" w:sz="4" w:space="0"/>
              <w:left w:val="single" w:color="auto" w:sz="4" w:space="0"/>
              <w:bottom w:val="single" w:color="auto" w:sz="4" w:space="0"/>
              <w:right w:val="single" w:color="auto" w:sz="4" w:space="0"/>
            </w:tcBorders>
            <w:noWrap/>
            <w:vAlign w:val="center"/>
          </w:tcPr>
          <w:p w14:paraId="563F5259">
            <w:pPr>
              <w:pStyle w:val="1529"/>
              <w:widowControl/>
              <w:spacing w:line="400" w:lineRule="exact"/>
              <w:jc w:val="center"/>
              <w:rPr>
                <w:rFonts w:hint="eastAsia" w:ascii="宋体" w:hAnsi="宋体" w:eastAsia="宋体" w:cs="宋体"/>
                <w:b/>
                <w:bCs/>
                <w:color w:val="auto"/>
                <w:sz w:val="21"/>
                <w:szCs w:val="21"/>
                <w:highlight w:val="none"/>
              </w:rPr>
            </w:pPr>
          </w:p>
        </w:tc>
        <w:tc>
          <w:tcPr>
            <w:tcW w:w="314" w:type="dxa"/>
            <w:tcBorders>
              <w:top w:val="single" w:color="auto" w:sz="4" w:space="0"/>
              <w:left w:val="single" w:color="auto" w:sz="4" w:space="0"/>
              <w:bottom w:val="single" w:color="auto" w:sz="4" w:space="0"/>
              <w:right w:val="single" w:color="auto" w:sz="4" w:space="0"/>
            </w:tcBorders>
            <w:noWrap/>
            <w:vAlign w:val="center"/>
          </w:tcPr>
          <w:p w14:paraId="5646FE84">
            <w:pPr>
              <w:pStyle w:val="1529"/>
              <w:widowControl/>
              <w:spacing w:line="400" w:lineRule="exact"/>
              <w:jc w:val="center"/>
              <w:rPr>
                <w:rFonts w:hint="eastAsia" w:ascii="宋体" w:hAnsi="宋体" w:eastAsia="宋体" w:cs="宋体"/>
                <w:color w:val="auto"/>
                <w:sz w:val="21"/>
                <w:szCs w:val="21"/>
                <w:highlight w:val="none"/>
              </w:rPr>
            </w:pPr>
          </w:p>
        </w:tc>
      </w:tr>
    </w:tbl>
    <w:p w14:paraId="79097313">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br w:type="page"/>
      </w:r>
    </w:p>
    <w:p w14:paraId="7A90AA4B">
      <w:pPr>
        <w:snapToGrid w:val="0"/>
        <w:spacing w:line="480" w:lineRule="auto"/>
        <w:rPr>
          <w:rFonts w:hint="eastAsia" w:ascii="宋体" w:hAnsi="宋体"/>
          <w:bCs/>
          <w:color w:val="auto"/>
          <w:sz w:val="32"/>
          <w:szCs w:val="32"/>
          <w:highlight w:val="none"/>
        </w:rPr>
      </w:pPr>
    </w:p>
    <w:p w14:paraId="1AE1EBF8">
      <w:pPr>
        <w:snapToGrid w:val="0"/>
        <w:jc w:val="center"/>
        <w:rPr>
          <w:rFonts w:hint="eastAsia" w:ascii="宋体" w:hAnsi="宋体"/>
          <w:bCs/>
          <w:color w:val="auto"/>
          <w:sz w:val="32"/>
          <w:szCs w:val="32"/>
          <w:highlight w:val="none"/>
        </w:rPr>
      </w:pPr>
    </w:p>
    <w:p w14:paraId="68265226">
      <w:pPr>
        <w:snapToGrid w:val="0"/>
        <w:jc w:val="center"/>
        <w:rPr>
          <w:rFonts w:hint="eastAsia" w:ascii="宋体" w:hAnsi="宋体"/>
          <w:bCs/>
          <w:color w:val="auto"/>
          <w:sz w:val="32"/>
          <w:szCs w:val="32"/>
          <w:highlight w:val="none"/>
        </w:rPr>
      </w:pPr>
    </w:p>
    <w:p w14:paraId="212A5978">
      <w:pPr>
        <w:snapToGrid w:val="0"/>
        <w:jc w:val="center"/>
        <w:rPr>
          <w:rFonts w:hint="eastAsia" w:ascii="宋体" w:hAnsi="宋体"/>
          <w:bCs/>
          <w:color w:val="auto"/>
          <w:sz w:val="32"/>
          <w:szCs w:val="32"/>
          <w:highlight w:val="none"/>
        </w:rPr>
      </w:pPr>
    </w:p>
    <w:p w14:paraId="70B70604">
      <w:pPr>
        <w:snapToGrid w:val="0"/>
        <w:jc w:val="center"/>
        <w:rPr>
          <w:rFonts w:hint="eastAsia" w:ascii="宋体" w:hAnsi="宋体"/>
          <w:bCs/>
          <w:color w:val="auto"/>
          <w:sz w:val="32"/>
          <w:szCs w:val="32"/>
          <w:highlight w:val="none"/>
        </w:rPr>
      </w:pPr>
    </w:p>
    <w:p w14:paraId="386EB4D9">
      <w:pPr>
        <w:snapToGrid w:val="0"/>
        <w:jc w:val="center"/>
        <w:rPr>
          <w:rFonts w:hint="eastAsia" w:ascii="宋体" w:hAnsi="宋体"/>
          <w:bCs/>
          <w:color w:val="auto"/>
          <w:sz w:val="32"/>
          <w:szCs w:val="32"/>
          <w:highlight w:val="none"/>
        </w:rPr>
      </w:pPr>
    </w:p>
    <w:p w14:paraId="0A1CCA2B">
      <w:pPr>
        <w:snapToGrid w:val="0"/>
        <w:jc w:val="center"/>
        <w:rPr>
          <w:rFonts w:hint="eastAsia" w:ascii="宋体" w:hAnsi="宋体"/>
          <w:bCs/>
          <w:color w:val="auto"/>
          <w:sz w:val="32"/>
          <w:szCs w:val="32"/>
          <w:highlight w:val="none"/>
        </w:rPr>
      </w:pPr>
    </w:p>
    <w:p w14:paraId="0D84853A">
      <w:pPr>
        <w:snapToGrid w:val="0"/>
        <w:jc w:val="center"/>
        <w:rPr>
          <w:rFonts w:hint="eastAsia" w:ascii="宋体" w:hAnsi="宋体"/>
          <w:bCs/>
          <w:color w:val="auto"/>
          <w:sz w:val="32"/>
          <w:szCs w:val="32"/>
          <w:highlight w:val="none"/>
        </w:rPr>
      </w:pPr>
    </w:p>
    <w:p w14:paraId="2FF7BEFD">
      <w:pPr>
        <w:snapToGrid w:val="0"/>
        <w:jc w:val="center"/>
        <w:rPr>
          <w:rFonts w:hint="eastAsia" w:ascii="宋体" w:hAnsi="宋体"/>
          <w:bCs/>
          <w:color w:val="auto"/>
          <w:sz w:val="32"/>
          <w:szCs w:val="32"/>
          <w:highlight w:val="none"/>
        </w:rPr>
      </w:pPr>
    </w:p>
    <w:p w14:paraId="4E66BD3C">
      <w:pPr>
        <w:snapToGrid w:val="0"/>
        <w:jc w:val="center"/>
        <w:rPr>
          <w:rFonts w:hint="eastAsia" w:ascii="宋体" w:hAnsi="宋体"/>
          <w:bCs/>
          <w:color w:val="auto"/>
          <w:sz w:val="32"/>
          <w:szCs w:val="32"/>
          <w:highlight w:val="none"/>
        </w:rPr>
      </w:pPr>
    </w:p>
    <w:p w14:paraId="56769205">
      <w:pPr>
        <w:snapToGrid w:val="0"/>
        <w:jc w:val="center"/>
        <w:rPr>
          <w:rFonts w:hint="eastAsia" w:ascii="宋体" w:hAnsi="宋体"/>
          <w:bCs/>
          <w:color w:val="auto"/>
          <w:sz w:val="32"/>
          <w:szCs w:val="32"/>
          <w:highlight w:val="none"/>
        </w:rPr>
      </w:pPr>
    </w:p>
    <w:p w14:paraId="1DCCA0E3">
      <w:pPr>
        <w:snapToGrid w:val="0"/>
        <w:jc w:val="center"/>
        <w:rPr>
          <w:rFonts w:hint="eastAsia" w:ascii="宋体" w:hAnsi="宋体"/>
          <w:bCs/>
          <w:color w:val="auto"/>
          <w:sz w:val="32"/>
          <w:szCs w:val="32"/>
          <w:highlight w:val="none"/>
        </w:rPr>
      </w:pPr>
    </w:p>
    <w:p w14:paraId="4E44DA7D">
      <w:pPr>
        <w:pStyle w:val="4"/>
        <w:jc w:val="center"/>
        <w:rPr>
          <w:color w:val="auto"/>
          <w:highlight w:val="none"/>
        </w:rPr>
      </w:pPr>
      <w:bookmarkStart w:id="406" w:name="_Toc22811"/>
      <w:bookmarkStart w:id="407" w:name="_Toc25289"/>
      <w:r>
        <w:rPr>
          <w:rFonts w:hint="eastAsia"/>
          <w:color w:val="auto"/>
          <w:highlight w:val="none"/>
        </w:rPr>
        <w:t>第六章　投标文件格式</w:t>
      </w:r>
      <w:bookmarkEnd w:id="406"/>
      <w:bookmarkEnd w:id="407"/>
    </w:p>
    <w:p w14:paraId="427EC5D3">
      <w:pPr>
        <w:snapToGrid w:val="0"/>
        <w:spacing w:before="50" w:after="50"/>
        <w:outlineLvl w:val="1"/>
        <w:rPr>
          <w:rFonts w:hint="eastAsia" w:ascii="宋体" w:hAnsi="宋体"/>
          <w:color w:val="auto"/>
          <w:sz w:val="32"/>
          <w:szCs w:val="20"/>
          <w:highlight w:val="none"/>
        </w:rPr>
      </w:pPr>
    </w:p>
    <w:p w14:paraId="14781662">
      <w:pPr>
        <w:snapToGrid w:val="0"/>
        <w:spacing w:before="50" w:after="50"/>
        <w:outlineLvl w:val="1"/>
        <w:rPr>
          <w:rFonts w:hint="eastAsia" w:ascii="宋体" w:hAnsi="宋体"/>
          <w:color w:val="auto"/>
          <w:sz w:val="32"/>
          <w:szCs w:val="20"/>
          <w:highlight w:val="none"/>
        </w:rPr>
      </w:pPr>
    </w:p>
    <w:p w14:paraId="5DFF6233">
      <w:pPr>
        <w:snapToGrid w:val="0"/>
        <w:spacing w:before="50" w:after="50"/>
        <w:outlineLvl w:val="1"/>
        <w:rPr>
          <w:rFonts w:hint="eastAsia" w:ascii="宋体" w:hAnsi="宋体"/>
          <w:color w:val="auto"/>
          <w:sz w:val="32"/>
          <w:szCs w:val="20"/>
          <w:highlight w:val="none"/>
        </w:rPr>
      </w:pPr>
    </w:p>
    <w:p w14:paraId="29672C00">
      <w:pPr>
        <w:snapToGrid w:val="0"/>
        <w:spacing w:before="50" w:after="50"/>
        <w:outlineLvl w:val="1"/>
        <w:rPr>
          <w:rFonts w:hint="eastAsia" w:ascii="宋体" w:hAnsi="宋体"/>
          <w:color w:val="auto"/>
          <w:sz w:val="32"/>
          <w:szCs w:val="20"/>
          <w:highlight w:val="none"/>
        </w:rPr>
      </w:pPr>
    </w:p>
    <w:p w14:paraId="760FBDEF">
      <w:pPr>
        <w:snapToGrid w:val="0"/>
        <w:spacing w:before="50" w:after="50"/>
        <w:outlineLvl w:val="1"/>
        <w:rPr>
          <w:rFonts w:hint="eastAsia" w:ascii="宋体" w:hAnsi="宋体"/>
          <w:color w:val="auto"/>
          <w:sz w:val="32"/>
          <w:szCs w:val="20"/>
          <w:highlight w:val="none"/>
        </w:rPr>
      </w:pPr>
    </w:p>
    <w:p w14:paraId="54F67408">
      <w:pPr>
        <w:snapToGrid w:val="0"/>
        <w:spacing w:before="50" w:after="50"/>
        <w:outlineLvl w:val="1"/>
        <w:rPr>
          <w:rFonts w:hint="eastAsia" w:ascii="宋体" w:hAnsi="宋体"/>
          <w:color w:val="auto"/>
          <w:sz w:val="32"/>
          <w:szCs w:val="20"/>
          <w:highlight w:val="none"/>
        </w:rPr>
      </w:pPr>
    </w:p>
    <w:p w14:paraId="0DCE3AA4">
      <w:pPr>
        <w:snapToGrid w:val="0"/>
        <w:spacing w:before="50" w:after="50"/>
        <w:outlineLvl w:val="1"/>
        <w:rPr>
          <w:rFonts w:hint="eastAsia" w:ascii="宋体" w:hAnsi="宋体"/>
          <w:color w:val="auto"/>
          <w:sz w:val="32"/>
          <w:szCs w:val="20"/>
          <w:highlight w:val="none"/>
        </w:rPr>
      </w:pPr>
    </w:p>
    <w:p w14:paraId="3BAC4FFD">
      <w:pPr>
        <w:snapToGrid w:val="0"/>
        <w:spacing w:before="50" w:after="50"/>
        <w:outlineLvl w:val="1"/>
        <w:rPr>
          <w:rFonts w:hint="eastAsia" w:ascii="宋体" w:hAnsi="宋体"/>
          <w:color w:val="auto"/>
          <w:sz w:val="32"/>
          <w:szCs w:val="20"/>
          <w:highlight w:val="none"/>
        </w:rPr>
      </w:pPr>
    </w:p>
    <w:p w14:paraId="5C856F68">
      <w:pPr>
        <w:snapToGrid w:val="0"/>
        <w:spacing w:before="50" w:after="50"/>
        <w:outlineLvl w:val="1"/>
        <w:rPr>
          <w:rFonts w:hint="eastAsia" w:ascii="宋体" w:hAnsi="宋体"/>
          <w:color w:val="auto"/>
          <w:sz w:val="32"/>
          <w:szCs w:val="20"/>
          <w:highlight w:val="none"/>
        </w:rPr>
      </w:pPr>
    </w:p>
    <w:p w14:paraId="060FC21A">
      <w:pPr>
        <w:snapToGrid w:val="0"/>
        <w:spacing w:before="50" w:after="50"/>
        <w:outlineLvl w:val="1"/>
        <w:rPr>
          <w:rFonts w:hint="eastAsia" w:ascii="宋体" w:hAnsi="宋体"/>
          <w:color w:val="auto"/>
          <w:sz w:val="32"/>
          <w:szCs w:val="20"/>
          <w:highlight w:val="none"/>
        </w:rPr>
      </w:pPr>
    </w:p>
    <w:p w14:paraId="25960057">
      <w:pPr>
        <w:snapToGrid w:val="0"/>
        <w:spacing w:before="50" w:after="50"/>
        <w:outlineLvl w:val="1"/>
        <w:rPr>
          <w:rFonts w:hint="eastAsia" w:ascii="宋体" w:hAnsi="宋体"/>
          <w:color w:val="auto"/>
          <w:sz w:val="32"/>
          <w:szCs w:val="20"/>
          <w:highlight w:val="none"/>
        </w:rPr>
      </w:pPr>
    </w:p>
    <w:p w14:paraId="0697D97C">
      <w:pPr>
        <w:snapToGrid w:val="0"/>
        <w:spacing w:before="50" w:after="50"/>
        <w:outlineLvl w:val="1"/>
        <w:rPr>
          <w:rFonts w:hint="eastAsia" w:ascii="宋体" w:hAnsi="宋体"/>
          <w:color w:val="auto"/>
          <w:sz w:val="32"/>
          <w:szCs w:val="20"/>
          <w:highlight w:val="none"/>
        </w:rPr>
      </w:pPr>
    </w:p>
    <w:p w14:paraId="0A7F0F4A">
      <w:pPr>
        <w:rPr>
          <w:b/>
          <w:color w:val="auto"/>
          <w:sz w:val="28"/>
          <w:szCs w:val="28"/>
          <w:highlight w:val="none"/>
        </w:rPr>
      </w:pPr>
      <w:r>
        <w:rPr>
          <w:color w:val="auto"/>
          <w:sz w:val="32"/>
          <w:szCs w:val="20"/>
          <w:highlight w:val="none"/>
        </w:rPr>
        <w:br w:type="page"/>
      </w:r>
      <w:bookmarkStart w:id="408" w:name="_Toc19686836"/>
      <w:bookmarkStart w:id="409" w:name="_Toc254970557"/>
      <w:bookmarkStart w:id="410" w:name="_Toc254970698"/>
      <w:r>
        <w:rPr>
          <w:rFonts w:hint="eastAsia"/>
          <w:b/>
          <w:color w:val="auto"/>
          <w:sz w:val="28"/>
          <w:szCs w:val="28"/>
          <w:highlight w:val="none"/>
        </w:rPr>
        <w:t>一、报价文件格式</w:t>
      </w:r>
      <w:bookmarkEnd w:id="408"/>
    </w:p>
    <w:p w14:paraId="477A47EC">
      <w:pPr>
        <w:snapToGrid w:val="0"/>
        <w:spacing w:before="120" w:beforeLines="50" w:after="50" w:line="360" w:lineRule="auto"/>
        <w:ind w:left="142"/>
        <w:jc w:val="center"/>
        <w:rPr>
          <w:rFonts w:hint="eastAsia" w:ascii="宋体" w:hAnsi="宋体" w:eastAsia="方正小标宋简体"/>
          <w:bCs/>
          <w:color w:val="auto"/>
          <w:sz w:val="48"/>
          <w:szCs w:val="48"/>
          <w:highlight w:val="none"/>
        </w:rPr>
      </w:pPr>
      <w:r>
        <w:rPr>
          <w:rFonts w:hint="eastAsia" w:ascii="宋体" w:hAnsi="宋体" w:eastAsia="方正小标宋简体"/>
          <w:bCs/>
          <w:color w:val="auto"/>
          <w:sz w:val="48"/>
          <w:szCs w:val="48"/>
          <w:highlight w:val="none"/>
        </w:rPr>
        <w:t>电子投标文件</w:t>
      </w:r>
    </w:p>
    <w:p w14:paraId="392611DC">
      <w:pPr>
        <w:snapToGrid w:val="0"/>
        <w:spacing w:before="120" w:beforeLines="50" w:after="50" w:line="400" w:lineRule="exact"/>
        <w:rPr>
          <w:rFonts w:hint="eastAsia" w:ascii="宋体" w:hAnsi="宋体"/>
          <w:bCs/>
          <w:color w:val="auto"/>
          <w:sz w:val="32"/>
          <w:szCs w:val="20"/>
          <w:highlight w:val="none"/>
        </w:rPr>
      </w:pPr>
    </w:p>
    <w:p w14:paraId="0487F8B2">
      <w:pPr>
        <w:snapToGrid w:val="0"/>
        <w:spacing w:before="120" w:beforeLines="50" w:after="50" w:line="400" w:lineRule="exact"/>
        <w:jc w:val="center"/>
        <w:rPr>
          <w:rFonts w:hint="eastAsia" w:ascii="宋体" w:hAnsi="宋体"/>
          <w:bCs/>
          <w:color w:val="auto"/>
          <w:sz w:val="24"/>
          <w:szCs w:val="20"/>
          <w:highlight w:val="none"/>
        </w:rPr>
      </w:pPr>
    </w:p>
    <w:p w14:paraId="6F5C7AFC">
      <w:pPr>
        <w:snapToGrid w:val="0"/>
        <w:spacing w:before="120" w:beforeLines="50" w:after="50" w:line="400" w:lineRule="exact"/>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报价文件</w:t>
      </w:r>
    </w:p>
    <w:p w14:paraId="49E709D6">
      <w:pPr>
        <w:snapToGrid w:val="0"/>
        <w:spacing w:before="120" w:beforeLines="50" w:after="50" w:line="400" w:lineRule="exact"/>
        <w:rPr>
          <w:rFonts w:hint="eastAsia" w:ascii="宋体" w:hAnsi="宋体"/>
          <w:bCs/>
          <w:color w:val="auto"/>
          <w:sz w:val="24"/>
          <w:szCs w:val="20"/>
          <w:highlight w:val="none"/>
        </w:rPr>
      </w:pPr>
    </w:p>
    <w:p w14:paraId="3F712CFC">
      <w:pPr>
        <w:snapToGrid w:val="0"/>
        <w:spacing w:before="120" w:beforeLines="50" w:after="50" w:line="400" w:lineRule="exact"/>
        <w:rPr>
          <w:rFonts w:hint="eastAsia" w:ascii="宋体" w:hAnsi="宋体"/>
          <w:bCs/>
          <w:color w:val="auto"/>
          <w:sz w:val="24"/>
          <w:szCs w:val="20"/>
          <w:highlight w:val="none"/>
        </w:rPr>
      </w:pPr>
    </w:p>
    <w:p w14:paraId="73D79C01">
      <w:pPr>
        <w:snapToGrid w:val="0"/>
        <w:spacing w:before="120" w:beforeLines="50" w:after="50" w:line="400" w:lineRule="exact"/>
        <w:rPr>
          <w:rFonts w:hint="eastAsia" w:ascii="宋体" w:hAnsi="宋体"/>
          <w:bCs/>
          <w:color w:val="auto"/>
          <w:sz w:val="24"/>
          <w:szCs w:val="20"/>
          <w:highlight w:val="none"/>
        </w:rPr>
      </w:pPr>
    </w:p>
    <w:p w14:paraId="3188D81D">
      <w:pPr>
        <w:snapToGrid w:val="0"/>
        <w:spacing w:before="120" w:beforeLines="50" w:after="50" w:line="400" w:lineRule="exact"/>
        <w:rPr>
          <w:rFonts w:hint="eastAsia" w:ascii="宋体" w:hAnsi="宋体"/>
          <w:bCs/>
          <w:color w:val="auto"/>
          <w:sz w:val="24"/>
          <w:szCs w:val="20"/>
          <w:highlight w:val="none"/>
        </w:rPr>
      </w:pPr>
    </w:p>
    <w:p w14:paraId="69D78CDA">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项目名称： </w:t>
      </w:r>
    </w:p>
    <w:p w14:paraId="0D436981">
      <w:pPr>
        <w:snapToGrid w:val="0"/>
        <w:spacing w:before="120" w:beforeLines="50" w:after="50" w:line="400" w:lineRule="exact"/>
        <w:ind w:firstLine="360" w:firstLineChars="150"/>
        <w:rPr>
          <w:rFonts w:hint="eastAsia" w:ascii="宋体" w:hAnsi="宋体"/>
          <w:bCs/>
          <w:color w:val="auto"/>
          <w:sz w:val="24"/>
          <w:highlight w:val="none"/>
        </w:rPr>
      </w:pPr>
    </w:p>
    <w:p w14:paraId="6E333953">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项目编号： </w:t>
      </w:r>
    </w:p>
    <w:p w14:paraId="3E2B1F96">
      <w:pPr>
        <w:snapToGrid w:val="0"/>
        <w:spacing w:before="120" w:beforeLines="50" w:after="50" w:line="400" w:lineRule="exact"/>
        <w:ind w:firstLine="360" w:firstLineChars="150"/>
        <w:rPr>
          <w:rFonts w:hint="eastAsia" w:ascii="宋体" w:hAnsi="宋体"/>
          <w:bCs/>
          <w:color w:val="auto"/>
          <w:sz w:val="24"/>
          <w:highlight w:val="none"/>
        </w:rPr>
      </w:pPr>
    </w:p>
    <w:p w14:paraId="17678FD7">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14:paraId="7B05F67B">
      <w:pPr>
        <w:snapToGrid w:val="0"/>
        <w:spacing w:before="120" w:beforeLines="50" w:after="50" w:line="400" w:lineRule="exact"/>
        <w:ind w:firstLine="360" w:firstLineChars="150"/>
        <w:rPr>
          <w:rFonts w:hint="eastAsia" w:ascii="宋体" w:hAnsi="宋体"/>
          <w:bCs/>
          <w:color w:val="auto"/>
          <w:sz w:val="24"/>
          <w:highlight w:val="none"/>
        </w:rPr>
      </w:pPr>
    </w:p>
    <w:p w14:paraId="2ECDC28C">
      <w:pPr>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26AD440F">
      <w:pPr>
        <w:pStyle w:val="9"/>
        <w:snapToGrid w:val="0"/>
        <w:spacing w:before="50" w:after="50" w:line="400" w:lineRule="exact"/>
        <w:ind w:firstLine="960" w:firstLineChars="400"/>
        <w:rPr>
          <w:rFonts w:hint="eastAsia" w:ascii="宋体" w:hAnsi="宋体"/>
          <w:bCs/>
          <w:color w:val="auto"/>
          <w:sz w:val="24"/>
          <w:szCs w:val="24"/>
          <w:highlight w:val="none"/>
        </w:rPr>
      </w:pPr>
    </w:p>
    <w:p w14:paraId="6018CD10">
      <w:pPr>
        <w:snapToGrid w:val="0"/>
        <w:spacing w:before="120" w:beforeLines="50" w:after="50" w:line="400" w:lineRule="exact"/>
        <w:rPr>
          <w:rFonts w:hint="eastAsia" w:ascii="宋体" w:hAnsi="宋体"/>
          <w:color w:val="auto"/>
          <w:sz w:val="30"/>
          <w:szCs w:val="20"/>
          <w:highlight w:val="none"/>
        </w:rPr>
      </w:pPr>
      <w:r>
        <w:rPr>
          <w:rFonts w:hint="eastAsia" w:ascii="宋体" w:hAnsi="宋体"/>
          <w:color w:val="auto"/>
          <w:sz w:val="24"/>
          <w:highlight w:val="none"/>
        </w:rPr>
        <w:t xml:space="preserve">                                   年  月  日</w:t>
      </w:r>
    </w:p>
    <w:p w14:paraId="327FC1F2">
      <w:pPr>
        <w:snapToGrid w:val="0"/>
        <w:spacing w:before="120" w:beforeLines="50" w:after="50" w:line="360" w:lineRule="auto"/>
        <w:jc w:val="left"/>
        <w:rPr>
          <w:rFonts w:hint="eastAsia" w:ascii="宋体" w:hAnsi="宋体"/>
          <w:color w:val="auto"/>
          <w:sz w:val="24"/>
          <w:szCs w:val="20"/>
          <w:highlight w:val="none"/>
        </w:rPr>
      </w:pPr>
      <w:r>
        <w:rPr>
          <w:rFonts w:ascii="宋体" w:hAnsi="宋体"/>
          <w:b/>
          <w:color w:val="auto"/>
          <w:sz w:val="24"/>
          <w:highlight w:val="none"/>
        </w:rPr>
        <w:br w:type="page"/>
      </w:r>
      <w:r>
        <w:rPr>
          <w:rFonts w:hint="eastAsia" w:ascii="宋体" w:hAnsi="宋体"/>
          <w:b/>
          <w:bCs/>
          <w:color w:val="auto"/>
          <w:sz w:val="24"/>
          <w:highlight w:val="none"/>
        </w:rPr>
        <w:t>报价文件目录</w:t>
      </w:r>
    </w:p>
    <w:p w14:paraId="6A40204D">
      <w:pPr>
        <w:snapToGrid w:val="0"/>
        <w:spacing w:before="50" w:after="120" w:afterLines="50" w:line="360" w:lineRule="auto"/>
        <w:jc w:val="left"/>
        <w:rPr>
          <w:rFonts w:hint="eastAsia" w:ascii="宋体" w:hAnsi="宋体"/>
          <w:b/>
          <w:color w:val="auto"/>
          <w:sz w:val="24"/>
          <w:highlight w:val="none"/>
        </w:rPr>
      </w:pPr>
      <w:r>
        <w:rPr>
          <w:rFonts w:hint="eastAsia" w:ascii="宋体" w:hAnsi="宋体"/>
          <w:color w:val="auto"/>
          <w:szCs w:val="21"/>
          <w:highlight w:val="none"/>
        </w:rPr>
        <w:t>根据招标文件规定及投标人提供的材料自行编写目录。</w:t>
      </w:r>
    </w:p>
    <w:p w14:paraId="39241D70">
      <w:pPr>
        <w:snapToGrid w:val="0"/>
        <w:spacing w:before="120" w:beforeLines="50" w:after="50"/>
        <w:rPr>
          <w:rFonts w:hint="eastAsia" w:ascii="宋体" w:hAnsi="宋体"/>
          <w:b/>
          <w:color w:val="auto"/>
          <w:sz w:val="24"/>
          <w:highlight w:val="none"/>
        </w:rPr>
      </w:pPr>
    </w:p>
    <w:p w14:paraId="398A2801">
      <w:pPr>
        <w:snapToGrid w:val="0"/>
        <w:spacing w:before="120" w:beforeLines="50" w:after="50"/>
        <w:rPr>
          <w:rFonts w:hint="eastAsia" w:ascii="宋体" w:hAnsi="宋体"/>
          <w:b/>
          <w:color w:val="auto"/>
          <w:sz w:val="24"/>
          <w:highlight w:val="none"/>
        </w:rPr>
      </w:pPr>
    </w:p>
    <w:p w14:paraId="042D91CC">
      <w:pPr>
        <w:snapToGrid w:val="0"/>
        <w:spacing w:before="120" w:beforeLines="50" w:after="50"/>
        <w:rPr>
          <w:rFonts w:hint="eastAsia" w:ascii="宋体" w:hAnsi="宋体"/>
          <w:b/>
          <w:color w:val="auto"/>
          <w:sz w:val="24"/>
          <w:highlight w:val="none"/>
        </w:rPr>
      </w:pPr>
    </w:p>
    <w:p w14:paraId="633EF402">
      <w:pPr>
        <w:snapToGrid w:val="0"/>
        <w:spacing w:line="400" w:lineRule="exact"/>
        <w:jc w:val="left"/>
        <w:rPr>
          <w:rFonts w:hint="eastAsia" w:ascii="宋体" w:hAnsi="宋体" w:cs="宋体"/>
          <w:b/>
          <w:color w:val="auto"/>
          <w:szCs w:val="21"/>
          <w:highlight w:val="none"/>
        </w:rPr>
      </w:pPr>
      <w:r>
        <w:rPr>
          <w:rFonts w:ascii="宋体" w:hAnsi="宋体"/>
          <w:b/>
          <w:color w:val="auto"/>
          <w:sz w:val="24"/>
          <w:highlight w:val="none"/>
        </w:rPr>
        <w:br w:type="page"/>
      </w:r>
      <w:r>
        <w:rPr>
          <w:rFonts w:hint="eastAsia" w:ascii="宋体" w:hAnsi="宋体" w:cs="宋体"/>
          <w:b/>
          <w:color w:val="auto"/>
          <w:szCs w:val="21"/>
          <w:highlight w:val="none"/>
        </w:rPr>
        <w:t>1. 投标函格式：</w:t>
      </w:r>
    </w:p>
    <w:p w14:paraId="0123D3B6">
      <w:pPr>
        <w:snapToGrid w:val="0"/>
        <w:spacing w:line="40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投标函</w:t>
      </w:r>
    </w:p>
    <w:p w14:paraId="567D9E92">
      <w:pPr>
        <w:pStyle w:val="5"/>
        <w:spacing w:before="0" w:after="0" w:line="400" w:lineRule="exact"/>
        <w:rPr>
          <w:rFonts w:hint="eastAsia" w:ascii="宋体" w:hAnsi="宋体" w:eastAsia="宋体" w:cs="宋体"/>
          <w:color w:val="auto"/>
          <w:sz w:val="21"/>
          <w:szCs w:val="21"/>
          <w:highlight w:val="none"/>
        </w:rPr>
      </w:pPr>
      <w:bookmarkStart w:id="411" w:name="_Toc455670872"/>
      <w:bookmarkStart w:id="412" w:name="_Toc207443036"/>
      <w:bookmarkStart w:id="413" w:name="_Toc21030"/>
      <w:bookmarkStart w:id="414" w:name="_Toc6531"/>
      <w:bookmarkStart w:id="415" w:name="_Toc267582089"/>
      <w:bookmarkStart w:id="416" w:name="_Toc389146023"/>
      <w:bookmarkStart w:id="417" w:name="_Toc369505656"/>
      <w:bookmarkStart w:id="418" w:name="_Toc14732"/>
      <w:bookmarkStart w:id="419" w:name="_Toc23050"/>
      <w:r>
        <w:rPr>
          <w:rFonts w:hint="eastAsia" w:ascii="宋体" w:hAnsi="宋体" w:eastAsia="宋体" w:cs="宋体"/>
          <w:color w:val="auto"/>
          <w:sz w:val="21"/>
          <w:szCs w:val="21"/>
          <w:highlight w:val="none"/>
        </w:rPr>
        <w:t>（1）投标函</w:t>
      </w:r>
      <w:bookmarkEnd w:id="411"/>
      <w:bookmarkEnd w:id="412"/>
      <w:bookmarkEnd w:id="413"/>
      <w:bookmarkEnd w:id="414"/>
      <w:bookmarkEnd w:id="415"/>
      <w:bookmarkEnd w:id="416"/>
      <w:bookmarkEnd w:id="417"/>
      <w:bookmarkEnd w:id="418"/>
      <w:bookmarkEnd w:id="419"/>
      <w:r>
        <w:rPr>
          <w:rFonts w:hint="eastAsia" w:ascii="宋体" w:hAnsi="宋体" w:eastAsia="宋体" w:cs="宋体"/>
          <w:color w:val="auto"/>
          <w:sz w:val="21"/>
          <w:szCs w:val="21"/>
          <w:highlight w:val="none"/>
        </w:rPr>
        <w:t>（非联合体格式）</w:t>
      </w:r>
    </w:p>
    <w:p w14:paraId="2C391C63">
      <w:pPr>
        <w:widowControl/>
        <w:tabs>
          <w:tab w:val="left" w:pos="7560"/>
        </w:tabs>
        <w:spacing w:line="400" w:lineRule="exact"/>
        <w:ind w:firstLine="442"/>
        <w:rPr>
          <w:rFonts w:hint="eastAsia" w:ascii="宋体" w:hAnsi="宋体" w:cs="宋体"/>
          <w:color w:val="auto"/>
          <w:szCs w:val="21"/>
          <w:highlight w:val="none"/>
        </w:rPr>
      </w:pPr>
      <w:r>
        <w:rPr>
          <w:rFonts w:hint="eastAsia" w:ascii="宋体" w:hAnsi="宋体" w:cs="宋体"/>
          <w:color w:val="auto"/>
          <w:kern w:val="0"/>
          <w:szCs w:val="21"/>
          <w:highlight w:val="none"/>
        </w:rPr>
        <w:t>1、根据你方项目编号为</w:t>
      </w:r>
      <w:r>
        <w:rPr>
          <w:rFonts w:hint="eastAsia" w:ascii="宋体" w:hAnsi="宋体" w:cs="宋体"/>
          <w:color w:val="auto"/>
          <w:kern w:val="0"/>
          <w:szCs w:val="21"/>
          <w:highlight w:val="none"/>
          <w:u w:val="single"/>
        </w:rPr>
        <w:t xml:space="preserve">  （项目编号）  </w:t>
      </w:r>
      <w:r>
        <w:rPr>
          <w:rFonts w:hint="eastAsia" w:ascii="宋体" w:hAnsi="宋体" w:cs="宋体"/>
          <w:color w:val="auto"/>
          <w:kern w:val="0"/>
          <w:szCs w:val="21"/>
          <w:highlight w:val="none"/>
        </w:rPr>
        <w:t>的</w:t>
      </w:r>
      <w:r>
        <w:rPr>
          <w:rFonts w:hint="eastAsia" w:ascii="宋体" w:hAnsi="宋体" w:cs="宋体"/>
          <w:color w:val="auto"/>
          <w:kern w:val="0"/>
          <w:szCs w:val="21"/>
          <w:highlight w:val="none"/>
          <w:u w:val="single"/>
        </w:rPr>
        <w:t xml:space="preserve">  （工程项目名称）  </w:t>
      </w:r>
      <w:r>
        <w:rPr>
          <w:rFonts w:hint="eastAsia" w:ascii="宋体" w:hAnsi="宋体" w:cs="宋体"/>
          <w:color w:val="auto"/>
          <w:kern w:val="0"/>
          <w:szCs w:val="21"/>
          <w:highlight w:val="none"/>
        </w:rPr>
        <w:t>工程招标文件，遵照《中华人民共和国招标投标法》等有关规定，经研究上述招标文件的投标须知、合同条款、图纸、工程建设标准和工程量清单及其他有关文件后，我方愿意以工程总造价人民币（大写）</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 xml:space="preserve">元(￥ </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元)，并按上述图纸、合同条款、工程建设标准和工程量清单（如有时）的条件要求承包上述工程的施工、竣工，并承担任何质量缺陷保修责任。我方保证工程质量达到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等级。</w:t>
      </w:r>
    </w:p>
    <w:p w14:paraId="2602BCA3">
      <w:pPr>
        <w:widowControl/>
        <w:spacing w:line="400" w:lineRule="exact"/>
        <w:ind w:firstLine="442"/>
        <w:rPr>
          <w:rFonts w:hint="eastAsia" w:ascii="宋体" w:hAnsi="宋体" w:cs="宋体"/>
          <w:color w:val="auto"/>
          <w:szCs w:val="21"/>
          <w:highlight w:val="none"/>
        </w:rPr>
      </w:pPr>
      <w:r>
        <w:rPr>
          <w:rFonts w:hint="eastAsia" w:ascii="宋体" w:hAnsi="宋体" w:cs="宋体"/>
          <w:color w:val="auto"/>
          <w:kern w:val="0"/>
          <w:szCs w:val="21"/>
          <w:highlight w:val="none"/>
        </w:rPr>
        <w:t>2、我方已详细审核全部招标文件，包括修改文件（如有时）及有关附件。</w:t>
      </w:r>
    </w:p>
    <w:p w14:paraId="520B754E">
      <w:pPr>
        <w:widowControl/>
        <w:spacing w:line="400" w:lineRule="exact"/>
        <w:ind w:firstLine="442"/>
        <w:rPr>
          <w:rFonts w:hint="eastAsia" w:ascii="宋体" w:hAnsi="宋体" w:cs="宋体"/>
          <w:color w:val="auto"/>
          <w:szCs w:val="21"/>
          <w:highlight w:val="none"/>
        </w:rPr>
      </w:pPr>
      <w:r>
        <w:rPr>
          <w:rFonts w:hint="eastAsia" w:ascii="宋体" w:hAnsi="宋体" w:cs="宋体"/>
          <w:color w:val="auto"/>
          <w:kern w:val="0"/>
          <w:szCs w:val="21"/>
          <w:highlight w:val="none"/>
        </w:rPr>
        <w:t>3、我方承认投标函附录是我方投标函的组成部分。</w:t>
      </w:r>
    </w:p>
    <w:p w14:paraId="1CA0251A">
      <w:pPr>
        <w:widowControl/>
        <w:spacing w:line="400" w:lineRule="exact"/>
        <w:ind w:firstLine="442"/>
        <w:rPr>
          <w:rFonts w:hint="eastAsia" w:ascii="宋体" w:hAnsi="宋体" w:cs="宋体"/>
          <w:color w:val="auto"/>
          <w:kern w:val="0"/>
          <w:szCs w:val="21"/>
          <w:highlight w:val="none"/>
        </w:rPr>
      </w:pPr>
      <w:r>
        <w:rPr>
          <w:rFonts w:hint="eastAsia" w:ascii="宋体" w:hAnsi="宋体" w:cs="宋体"/>
          <w:color w:val="auto"/>
          <w:kern w:val="0"/>
          <w:szCs w:val="21"/>
          <w:highlight w:val="none"/>
        </w:rPr>
        <w:t>4、一旦我方中标，我方保证按合同书中规定的工期</w:t>
      </w:r>
      <w:r>
        <w:rPr>
          <w:rFonts w:hint="eastAsia" w:ascii="宋体" w:hAnsi="宋体" w:cs="宋体"/>
          <w:color w:val="auto"/>
          <w:kern w:val="0"/>
          <w:szCs w:val="21"/>
          <w:highlight w:val="none"/>
          <w:u w:val="single"/>
        </w:rPr>
        <w:t xml:space="preserve"> （工期）  </w:t>
      </w:r>
      <w:r>
        <w:rPr>
          <w:rFonts w:hint="eastAsia" w:ascii="宋体" w:hAnsi="宋体" w:cs="宋体"/>
          <w:color w:val="auto"/>
          <w:kern w:val="0"/>
          <w:szCs w:val="21"/>
          <w:highlight w:val="none"/>
        </w:rPr>
        <w:t>日历天内完成并移交全部工程。</w:t>
      </w:r>
    </w:p>
    <w:p w14:paraId="46BC2246">
      <w:pPr>
        <w:widowControl/>
        <w:spacing w:line="400" w:lineRule="exact"/>
        <w:ind w:firstLine="442"/>
        <w:rPr>
          <w:rFonts w:hint="eastAsia" w:ascii="宋体" w:hAnsi="宋体" w:cs="宋体"/>
          <w:color w:val="auto"/>
          <w:kern w:val="0"/>
          <w:szCs w:val="21"/>
          <w:highlight w:val="none"/>
        </w:rPr>
      </w:pPr>
      <w:r>
        <w:rPr>
          <w:rFonts w:hint="eastAsia" w:ascii="宋体" w:hAnsi="宋体" w:cs="宋体"/>
          <w:color w:val="auto"/>
          <w:kern w:val="0"/>
          <w:szCs w:val="21"/>
          <w:highlight w:val="none"/>
        </w:rPr>
        <w:t>5、一旦我方中标，我方保证按合同书中规定的合同履行期限内完成并移交全部工程。</w:t>
      </w:r>
    </w:p>
    <w:p w14:paraId="3A7BAA60">
      <w:pPr>
        <w:widowControl/>
        <w:spacing w:line="400" w:lineRule="exact"/>
        <w:ind w:firstLine="442"/>
        <w:rPr>
          <w:rFonts w:hint="eastAsia" w:ascii="宋体" w:hAnsi="宋体" w:cs="宋体"/>
          <w:color w:val="auto"/>
          <w:szCs w:val="21"/>
          <w:highlight w:val="none"/>
        </w:rPr>
      </w:pPr>
      <w:r>
        <w:rPr>
          <w:rFonts w:hint="eastAsia" w:ascii="宋体" w:hAnsi="宋体" w:cs="宋体"/>
          <w:color w:val="auto"/>
          <w:kern w:val="0"/>
          <w:szCs w:val="21"/>
          <w:highlight w:val="none"/>
        </w:rPr>
        <w:t>6、如果我方中标，我方将按照文件规定提交履约保证金作为履约担保。</w:t>
      </w:r>
    </w:p>
    <w:p w14:paraId="354401A3">
      <w:pPr>
        <w:widowControl/>
        <w:spacing w:line="400" w:lineRule="exact"/>
        <w:ind w:firstLine="442"/>
        <w:rPr>
          <w:rFonts w:hint="eastAsia" w:ascii="宋体" w:hAnsi="宋体" w:cs="宋体"/>
          <w:color w:val="auto"/>
          <w:szCs w:val="21"/>
          <w:highlight w:val="none"/>
        </w:rPr>
      </w:pPr>
      <w:r>
        <w:rPr>
          <w:rFonts w:hint="eastAsia" w:ascii="宋体" w:hAnsi="宋体" w:cs="宋体"/>
          <w:color w:val="auto"/>
          <w:kern w:val="0"/>
          <w:szCs w:val="21"/>
          <w:highlight w:val="none"/>
        </w:rPr>
        <w:t>7、我方同意所提交的投标文件在招标文件的投标须知中第3.3.1条规定的投标有效期内有效，在此期间内如果中标，我方将受此约束。</w:t>
      </w:r>
    </w:p>
    <w:p w14:paraId="0CFF9F1D">
      <w:pPr>
        <w:widowControl/>
        <w:spacing w:line="400" w:lineRule="exact"/>
        <w:ind w:firstLine="442"/>
        <w:rPr>
          <w:rFonts w:hint="eastAsia" w:ascii="宋体" w:hAnsi="宋体" w:cs="宋体"/>
          <w:color w:val="auto"/>
          <w:szCs w:val="21"/>
          <w:highlight w:val="none"/>
        </w:rPr>
      </w:pPr>
      <w:r>
        <w:rPr>
          <w:rFonts w:hint="eastAsia" w:ascii="宋体" w:hAnsi="宋体" w:cs="宋体"/>
          <w:color w:val="auto"/>
          <w:kern w:val="0"/>
          <w:szCs w:val="21"/>
          <w:highlight w:val="none"/>
        </w:rPr>
        <w:t>8、除非另外达成协议并生效，你方的中标通知书和本投标文件将成为约束双方的合同文件的组成部分。</w:t>
      </w:r>
    </w:p>
    <w:p w14:paraId="4587C74B">
      <w:pPr>
        <w:widowControl/>
        <w:spacing w:line="400" w:lineRule="exact"/>
        <w:ind w:firstLine="420" w:firstLineChars="200"/>
        <w:rPr>
          <w:rFonts w:hint="eastAsia" w:ascii="宋体" w:hAnsi="宋体" w:cs="宋体"/>
          <w:color w:val="auto"/>
          <w:szCs w:val="21"/>
          <w:highlight w:val="none"/>
        </w:rPr>
      </w:pPr>
      <w:r>
        <w:rPr>
          <w:rFonts w:hint="eastAsia" w:ascii="宋体" w:hAnsi="宋体" w:cs="宋体"/>
          <w:color w:val="auto"/>
          <w:kern w:val="0"/>
          <w:szCs w:val="21"/>
          <w:highlight w:val="none"/>
        </w:rPr>
        <w:t xml:space="preserve"> </w:t>
      </w:r>
    </w:p>
    <w:p w14:paraId="04F56516">
      <w:pPr>
        <w:widowControl/>
        <w:spacing w:line="400" w:lineRule="exact"/>
        <w:rPr>
          <w:rFonts w:hint="eastAsia" w:ascii="宋体" w:hAnsi="宋体" w:cs="宋体"/>
          <w:color w:val="auto"/>
          <w:szCs w:val="21"/>
          <w:highlight w:val="none"/>
        </w:rPr>
      </w:pPr>
      <w:r>
        <w:rPr>
          <w:rFonts w:hint="eastAsia" w:ascii="宋体" w:hAnsi="宋体" w:cs="宋体"/>
          <w:color w:val="auto"/>
          <w:kern w:val="0"/>
          <w:szCs w:val="21"/>
          <w:highlight w:val="none"/>
        </w:rPr>
        <w:t xml:space="preserve">         投 标 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  [公章(CA签章)]            </w:t>
      </w:r>
    </w:p>
    <w:p w14:paraId="7E7277FA">
      <w:pPr>
        <w:widowControl/>
        <w:spacing w:line="400" w:lineRule="exact"/>
        <w:ind w:firstLine="840" w:firstLineChars="400"/>
        <w:rPr>
          <w:rFonts w:hint="eastAsia" w:ascii="宋体" w:hAnsi="宋体" w:cs="宋体"/>
          <w:color w:val="auto"/>
          <w:kern w:val="0"/>
          <w:szCs w:val="21"/>
          <w:highlight w:val="none"/>
          <w:u w:val="single"/>
        </w:rPr>
      </w:pPr>
      <w:r>
        <w:rPr>
          <w:rFonts w:hint="eastAsia" w:ascii="宋体" w:hAnsi="宋体" w:cs="宋体"/>
          <w:color w:val="auto"/>
          <w:kern w:val="0"/>
          <w:szCs w:val="21"/>
          <w:highlight w:val="none"/>
        </w:rPr>
        <w:t xml:space="preserve"> 单位地址：</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p>
    <w:p w14:paraId="3B5359C6">
      <w:pPr>
        <w:widowControl/>
        <w:spacing w:line="400" w:lineRule="exact"/>
        <w:ind w:firstLine="840" w:firstLineChars="400"/>
        <w:rPr>
          <w:rFonts w:hint="eastAsia" w:hAnsi="宋体" w:cs="宋体"/>
          <w:color w:val="auto"/>
          <w:sz w:val="21"/>
          <w:highlight w:val="none"/>
        </w:rPr>
      </w:pPr>
      <w:r>
        <w:rPr>
          <w:rFonts w:hint="eastAsia" w:hAnsi="宋体" w:cs="宋体"/>
          <w:color w:val="auto"/>
          <w:sz w:val="21"/>
          <w:highlight w:val="none"/>
        </w:rPr>
        <w:t>法定代表人或其委托代理人：</w:t>
      </w:r>
      <w:r>
        <w:rPr>
          <w:rFonts w:hint="eastAsia" w:hAnsi="宋体" w:cs="宋体"/>
          <w:color w:val="auto"/>
          <w:sz w:val="21"/>
          <w:highlight w:val="none"/>
          <w:u w:val="single"/>
        </w:rPr>
        <w:t xml:space="preserve">         </w:t>
      </w:r>
      <w:r>
        <w:rPr>
          <w:rFonts w:hint="eastAsia" w:hAnsi="宋体" w:cs="宋体"/>
          <w:color w:val="auto"/>
          <w:sz w:val="21"/>
          <w:highlight w:val="none"/>
        </w:rPr>
        <w:t>[签字或盖章(个人CA签章)]</w:t>
      </w:r>
    </w:p>
    <w:p w14:paraId="07A7DE25">
      <w:pPr>
        <w:widowControl/>
        <w:spacing w:line="400" w:lineRule="exact"/>
        <w:rPr>
          <w:rFonts w:hint="eastAsia" w:ascii="宋体" w:hAnsi="宋体" w:cs="宋体"/>
          <w:color w:val="auto"/>
          <w:szCs w:val="21"/>
          <w:highlight w:val="none"/>
          <w:u w:val="single"/>
        </w:rPr>
      </w:pPr>
    </w:p>
    <w:p w14:paraId="4E01E36B">
      <w:pPr>
        <w:widowControl/>
        <w:spacing w:line="400" w:lineRule="exact"/>
        <w:rPr>
          <w:rFonts w:hint="eastAsia" w:ascii="宋体" w:hAnsi="宋体" w:cs="宋体"/>
          <w:color w:val="auto"/>
          <w:szCs w:val="21"/>
          <w:highlight w:val="none"/>
        </w:rPr>
      </w:pPr>
      <w:r>
        <w:rPr>
          <w:rFonts w:hint="eastAsia" w:ascii="宋体" w:hAnsi="宋体" w:cs="宋体"/>
          <w:color w:val="auto"/>
          <w:kern w:val="0"/>
          <w:szCs w:val="21"/>
          <w:highlight w:val="none"/>
        </w:rPr>
        <w:t xml:space="preserve">         邮政编码：</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电话：</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rPr>
        <w:t xml:space="preserve"> 传真：</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p>
    <w:p w14:paraId="397E5FA1">
      <w:pPr>
        <w:widowControl/>
        <w:spacing w:line="400" w:lineRule="exact"/>
        <w:rPr>
          <w:rFonts w:hint="eastAsia" w:ascii="宋体" w:hAnsi="宋体" w:cs="宋体"/>
          <w:color w:val="auto"/>
          <w:szCs w:val="21"/>
          <w:highlight w:val="none"/>
        </w:rPr>
      </w:pPr>
      <w:r>
        <w:rPr>
          <w:rFonts w:hint="eastAsia" w:ascii="宋体" w:hAnsi="宋体" w:cs="宋体"/>
          <w:color w:val="auto"/>
          <w:kern w:val="0"/>
          <w:szCs w:val="21"/>
          <w:highlight w:val="none"/>
        </w:rPr>
        <w:t xml:space="preserve">         开户银行名称：</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p>
    <w:p w14:paraId="40278293">
      <w:pPr>
        <w:widowControl/>
        <w:spacing w:line="400" w:lineRule="exact"/>
        <w:rPr>
          <w:rFonts w:hint="eastAsia" w:ascii="宋体" w:hAnsi="宋体" w:cs="宋体"/>
          <w:color w:val="auto"/>
          <w:szCs w:val="21"/>
          <w:highlight w:val="none"/>
        </w:rPr>
      </w:pPr>
      <w:r>
        <w:rPr>
          <w:rFonts w:hint="eastAsia" w:ascii="宋体" w:hAnsi="宋体" w:cs="宋体"/>
          <w:color w:val="auto"/>
          <w:kern w:val="0"/>
          <w:szCs w:val="21"/>
          <w:highlight w:val="none"/>
        </w:rPr>
        <w:t xml:space="preserve">         开户银行账号：</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p>
    <w:p w14:paraId="46C90822">
      <w:pPr>
        <w:widowControl/>
        <w:spacing w:line="400" w:lineRule="exact"/>
        <w:rPr>
          <w:rFonts w:hint="eastAsia" w:ascii="宋体" w:hAnsi="宋体" w:cs="宋体"/>
          <w:color w:val="auto"/>
          <w:szCs w:val="21"/>
          <w:highlight w:val="none"/>
        </w:rPr>
      </w:pPr>
      <w:r>
        <w:rPr>
          <w:rFonts w:hint="eastAsia" w:ascii="宋体" w:hAnsi="宋体" w:cs="宋体"/>
          <w:color w:val="auto"/>
          <w:kern w:val="0"/>
          <w:szCs w:val="21"/>
          <w:highlight w:val="none"/>
        </w:rPr>
        <w:t xml:space="preserve">         开户银行地址：</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p>
    <w:p w14:paraId="2949EC2D">
      <w:pPr>
        <w:widowControl/>
        <w:spacing w:line="400" w:lineRule="exact"/>
        <w:rPr>
          <w:rFonts w:hint="eastAsia" w:ascii="宋体" w:hAnsi="宋体" w:cs="宋体"/>
          <w:color w:val="auto"/>
          <w:szCs w:val="21"/>
          <w:highlight w:val="none"/>
        </w:rPr>
      </w:pPr>
      <w:r>
        <w:rPr>
          <w:rFonts w:hint="eastAsia" w:ascii="宋体" w:hAnsi="宋体" w:cs="宋体"/>
          <w:color w:val="auto"/>
          <w:kern w:val="0"/>
          <w:szCs w:val="21"/>
          <w:highlight w:val="none"/>
        </w:rPr>
        <w:t xml:space="preserve">         开户银行电话：</w:t>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r>
        <w:rPr>
          <w:rFonts w:hint="eastAsia" w:ascii="宋体" w:hAnsi="宋体" w:cs="宋体"/>
          <w:color w:val="auto"/>
          <w:kern w:val="0"/>
          <w:szCs w:val="21"/>
          <w:highlight w:val="none"/>
          <w:u w:val="single"/>
        </w:rPr>
        <w:tab/>
      </w:r>
    </w:p>
    <w:p w14:paraId="13F63C70">
      <w:pPr>
        <w:widowControl/>
        <w:spacing w:line="400" w:lineRule="exact"/>
        <w:ind w:firstLine="1974" w:firstLineChars="940"/>
        <w:rPr>
          <w:rFonts w:hint="eastAsia" w:ascii="宋体" w:hAnsi="宋体" w:cs="宋体"/>
          <w:color w:val="auto"/>
          <w:szCs w:val="21"/>
          <w:highlight w:val="none"/>
        </w:rPr>
      </w:pPr>
      <w:r>
        <w:rPr>
          <w:rFonts w:hint="eastAsia" w:ascii="宋体" w:hAnsi="宋体" w:cs="宋体"/>
          <w:color w:val="auto"/>
          <w:kern w:val="0"/>
          <w:szCs w:val="21"/>
          <w:highlight w:val="none"/>
        </w:rPr>
        <w:t>日期：</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月</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日</w:t>
      </w:r>
    </w:p>
    <w:p w14:paraId="6879501A">
      <w:pPr>
        <w:rPr>
          <w:rFonts w:hint="eastAsia" w:ascii="宋体" w:hAnsi="宋体" w:cs="宋体"/>
          <w:color w:val="auto"/>
          <w:szCs w:val="21"/>
          <w:highlight w:val="none"/>
        </w:rPr>
      </w:pPr>
      <w:r>
        <w:rPr>
          <w:rFonts w:hint="eastAsia" w:ascii="宋体" w:hAnsi="宋体" w:cs="宋体"/>
          <w:color w:val="auto"/>
          <w:szCs w:val="21"/>
          <w:highlight w:val="none"/>
        </w:rPr>
        <w:br w:type="page"/>
      </w:r>
    </w:p>
    <w:p w14:paraId="1102F739">
      <w:pPr>
        <w:pStyle w:val="6"/>
        <w:spacing w:before="0" w:after="0" w:line="400" w:lineRule="exact"/>
        <w:jc w:val="center"/>
        <w:rPr>
          <w:rFonts w:hint="eastAsia" w:ascii="宋体" w:hAnsi="宋体" w:cs="宋体"/>
          <w:b w:val="0"/>
          <w:color w:val="auto"/>
          <w:sz w:val="21"/>
          <w:szCs w:val="21"/>
          <w:highlight w:val="none"/>
        </w:rPr>
      </w:pPr>
      <w:r>
        <w:rPr>
          <w:rFonts w:hint="eastAsia" w:ascii="宋体" w:hAnsi="宋体" w:cs="宋体"/>
          <w:color w:val="auto"/>
          <w:sz w:val="21"/>
          <w:szCs w:val="21"/>
          <w:highlight w:val="none"/>
        </w:rPr>
        <w:t>投标函（联合体格式）</w:t>
      </w:r>
    </w:p>
    <w:p w14:paraId="39D31043">
      <w:pPr>
        <w:spacing w:line="400" w:lineRule="exact"/>
        <w:jc w:val="center"/>
        <w:rPr>
          <w:rFonts w:hint="eastAsia" w:ascii="宋体" w:hAnsi="宋体" w:cs="宋体"/>
          <w:color w:val="auto"/>
          <w:szCs w:val="21"/>
          <w:highlight w:val="none"/>
        </w:rPr>
      </w:pPr>
    </w:p>
    <w:p w14:paraId="7123A9E9">
      <w:pPr>
        <w:widowControl/>
        <w:tabs>
          <w:tab w:val="left" w:pos="7560"/>
        </w:tabs>
        <w:spacing w:line="400" w:lineRule="exact"/>
        <w:ind w:firstLine="442"/>
        <w:rPr>
          <w:rFonts w:hint="eastAsia" w:ascii="宋体" w:hAnsi="宋体" w:cs="宋体"/>
          <w:color w:val="auto"/>
          <w:szCs w:val="21"/>
          <w:highlight w:val="none"/>
        </w:rPr>
      </w:pPr>
      <w:r>
        <w:rPr>
          <w:rFonts w:hint="eastAsia" w:ascii="宋体" w:hAnsi="宋体" w:cs="宋体"/>
          <w:color w:val="auto"/>
          <w:kern w:val="0"/>
          <w:szCs w:val="21"/>
          <w:highlight w:val="none"/>
        </w:rPr>
        <w:t>1、根据你方项目编号为</w:t>
      </w:r>
      <w:r>
        <w:rPr>
          <w:rFonts w:hint="eastAsia" w:ascii="宋体" w:hAnsi="宋体" w:cs="宋体"/>
          <w:color w:val="auto"/>
          <w:kern w:val="0"/>
          <w:szCs w:val="21"/>
          <w:highlight w:val="none"/>
          <w:u w:val="single"/>
        </w:rPr>
        <w:t xml:space="preserve">  （项目编号）  </w:t>
      </w:r>
      <w:r>
        <w:rPr>
          <w:rFonts w:hint="eastAsia" w:ascii="宋体" w:hAnsi="宋体" w:cs="宋体"/>
          <w:color w:val="auto"/>
          <w:kern w:val="0"/>
          <w:szCs w:val="21"/>
          <w:highlight w:val="none"/>
        </w:rPr>
        <w:t>的</w:t>
      </w:r>
      <w:r>
        <w:rPr>
          <w:rFonts w:hint="eastAsia" w:ascii="宋体" w:hAnsi="宋体" w:cs="宋体"/>
          <w:color w:val="auto"/>
          <w:kern w:val="0"/>
          <w:szCs w:val="21"/>
          <w:highlight w:val="none"/>
          <w:u w:val="single"/>
        </w:rPr>
        <w:t xml:space="preserve">  （工程项目名称）  </w:t>
      </w:r>
      <w:r>
        <w:rPr>
          <w:rFonts w:hint="eastAsia" w:ascii="宋体" w:hAnsi="宋体" w:cs="宋体"/>
          <w:color w:val="auto"/>
          <w:kern w:val="0"/>
          <w:szCs w:val="21"/>
          <w:highlight w:val="none"/>
        </w:rPr>
        <w:t>工程招标文件，遵照《中华人民共和国招标投标法》等有关规定，经研究上述招标文件的投标须知、合同条款、图纸、工程建设标准和工程量清单及其他有关文件后，我方愿意以工程总造价人民币（大写）</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 xml:space="preserve">元(￥ </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元)，并按上述图纸、合同条款、工程建设标准和工程量清单（如有时）的条件要求承包上述工程的施工、竣工，并承担任何质量缺陷保修责任。我方保证工程质量达到</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等级。</w:t>
      </w:r>
    </w:p>
    <w:p w14:paraId="003A4C1B">
      <w:pPr>
        <w:widowControl/>
        <w:spacing w:line="400" w:lineRule="exact"/>
        <w:ind w:firstLine="442"/>
        <w:rPr>
          <w:rFonts w:hint="eastAsia" w:ascii="宋体" w:hAnsi="宋体" w:cs="宋体"/>
          <w:color w:val="auto"/>
          <w:szCs w:val="21"/>
          <w:highlight w:val="none"/>
        </w:rPr>
      </w:pPr>
      <w:r>
        <w:rPr>
          <w:rFonts w:hint="eastAsia" w:ascii="宋体" w:hAnsi="宋体" w:cs="宋体"/>
          <w:color w:val="auto"/>
          <w:kern w:val="0"/>
          <w:szCs w:val="21"/>
          <w:highlight w:val="none"/>
        </w:rPr>
        <w:t>2、我方已详细审核全部招标文件，包括修改文件（如有时）及有关附件。</w:t>
      </w:r>
    </w:p>
    <w:p w14:paraId="5786500B">
      <w:pPr>
        <w:widowControl/>
        <w:spacing w:line="400" w:lineRule="exact"/>
        <w:ind w:firstLine="442"/>
        <w:rPr>
          <w:rFonts w:hint="eastAsia" w:ascii="宋体" w:hAnsi="宋体" w:cs="宋体"/>
          <w:color w:val="auto"/>
          <w:szCs w:val="21"/>
          <w:highlight w:val="none"/>
        </w:rPr>
      </w:pPr>
      <w:r>
        <w:rPr>
          <w:rFonts w:hint="eastAsia" w:ascii="宋体" w:hAnsi="宋体" w:cs="宋体"/>
          <w:color w:val="auto"/>
          <w:kern w:val="0"/>
          <w:szCs w:val="21"/>
          <w:highlight w:val="none"/>
        </w:rPr>
        <w:t>3、我方承认投标函附录是我方投标函的组成部分。</w:t>
      </w:r>
    </w:p>
    <w:p w14:paraId="56B9A497">
      <w:pPr>
        <w:widowControl/>
        <w:spacing w:line="400" w:lineRule="exact"/>
        <w:ind w:firstLine="442"/>
        <w:rPr>
          <w:rFonts w:hint="eastAsia" w:ascii="宋体" w:hAnsi="宋体" w:cs="宋体"/>
          <w:color w:val="auto"/>
          <w:kern w:val="0"/>
          <w:szCs w:val="21"/>
          <w:highlight w:val="none"/>
        </w:rPr>
      </w:pPr>
      <w:r>
        <w:rPr>
          <w:rFonts w:hint="eastAsia" w:ascii="宋体" w:hAnsi="宋体" w:cs="宋体"/>
          <w:color w:val="auto"/>
          <w:kern w:val="0"/>
          <w:szCs w:val="21"/>
          <w:highlight w:val="none"/>
        </w:rPr>
        <w:t>4、一旦我方中标，我方保证按合同书中规定的工期</w:t>
      </w:r>
      <w:r>
        <w:rPr>
          <w:rFonts w:hint="eastAsia" w:ascii="宋体" w:hAnsi="宋体" w:cs="宋体"/>
          <w:color w:val="auto"/>
          <w:kern w:val="0"/>
          <w:szCs w:val="21"/>
          <w:highlight w:val="none"/>
          <w:u w:val="single"/>
        </w:rPr>
        <w:t xml:space="preserve"> （工期）  </w:t>
      </w:r>
      <w:r>
        <w:rPr>
          <w:rFonts w:hint="eastAsia" w:ascii="宋体" w:hAnsi="宋体" w:cs="宋体"/>
          <w:color w:val="auto"/>
          <w:kern w:val="0"/>
          <w:szCs w:val="21"/>
          <w:highlight w:val="none"/>
        </w:rPr>
        <w:t>日历天内完成并移交全部工程。</w:t>
      </w:r>
    </w:p>
    <w:p w14:paraId="2AEC20FB">
      <w:pPr>
        <w:widowControl/>
        <w:spacing w:line="400" w:lineRule="exact"/>
        <w:ind w:firstLine="442"/>
        <w:rPr>
          <w:rFonts w:hint="eastAsia" w:ascii="宋体" w:hAnsi="宋体" w:cs="宋体"/>
          <w:color w:val="auto"/>
          <w:kern w:val="0"/>
          <w:szCs w:val="21"/>
          <w:highlight w:val="none"/>
        </w:rPr>
      </w:pPr>
      <w:r>
        <w:rPr>
          <w:rFonts w:hint="eastAsia" w:ascii="宋体" w:hAnsi="宋体" w:cs="宋体"/>
          <w:color w:val="auto"/>
          <w:kern w:val="0"/>
          <w:szCs w:val="21"/>
          <w:highlight w:val="none"/>
        </w:rPr>
        <w:t>5、一旦我方中标，我方保证按合同书中规定的合同履行期限内完成并移交全部工程。</w:t>
      </w:r>
    </w:p>
    <w:p w14:paraId="3FB9F4C8">
      <w:pPr>
        <w:widowControl/>
        <w:spacing w:line="400" w:lineRule="exact"/>
        <w:ind w:firstLine="442"/>
        <w:rPr>
          <w:rFonts w:hint="eastAsia" w:ascii="宋体" w:hAnsi="宋体" w:cs="宋体"/>
          <w:color w:val="auto"/>
          <w:szCs w:val="21"/>
          <w:highlight w:val="none"/>
        </w:rPr>
      </w:pPr>
      <w:r>
        <w:rPr>
          <w:rFonts w:hint="eastAsia" w:ascii="宋体" w:hAnsi="宋体" w:cs="宋体"/>
          <w:color w:val="auto"/>
          <w:kern w:val="0"/>
          <w:szCs w:val="21"/>
          <w:highlight w:val="none"/>
        </w:rPr>
        <w:t>6、如果我方中标，我方将按照文件规定提交履约保证金作为履约担保。</w:t>
      </w:r>
    </w:p>
    <w:p w14:paraId="5BF06DF4">
      <w:pPr>
        <w:widowControl/>
        <w:spacing w:line="400" w:lineRule="exact"/>
        <w:ind w:firstLine="442"/>
        <w:rPr>
          <w:rFonts w:hint="eastAsia" w:ascii="宋体" w:hAnsi="宋体" w:cs="宋体"/>
          <w:color w:val="auto"/>
          <w:szCs w:val="21"/>
          <w:highlight w:val="none"/>
        </w:rPr>
      </w:pPr>
      <w:r>
        <w:rPr>
          <w:rFonts w:hint="eastAsia" w:ascii="宋体" w:hAnsi="宋体" w:cs="宋体"/>
          <w:color w:val="auto"/>
          <w:kern w:val="0"/>
          <w:szCs w:val="21"/>
          <w:highlight w:val="none"/>
        </w:rPr>
        <w:t>7、我方同意所提交的投标文件在招标文件的投标须知中第3.3.1条规定的投标有效期内有效，在此期间内如果中标，我方将受此约束。</w:t>
      </w:r>
    </w:p>
    <w:p w14:paraId="31B7068E">
      <w:pPr>
        <w:widowControl/>
        <w:spacing w:line="400" w:lineRule="exact"/>
        <w:ind w:firstLine="442"/>
        <w:rPr>
          <w:rFonts w:hint="eastAsia" w:ascii="宋体" w:hAnsi="宋体" w:cs="宋体"/>
          <w:color w:val="auto"/>
          <w:szCs w:val="21"/>
          <w:highlight w:val="none"/>
        </w:rPr>
      </w:pPr>
      <w:r>
        <w:rPr>
          <w:rFonts w:hint="eastAsia" w:ascii="宋体" w:hAnsi="宋体" w:cs="宋体"/>
          <w:color w:val="auto"/>
          <w:kern w:val="0"/>
          <w:szCs w:val="21"/>
          <w:highlight w:val="none"/>
        </w:rPr>
        <w:t>8、除非另外达成协议并生效，你方的中标通知书和本投标文件将成为约束双方的合同文件的组成部分。</w:t>
      </w:r>
    </w:p>
    <w:p w14:paraId="5583320D">
      <w:pPr>
        <w:spacing w:line="400" w:lineRule="exact"/>
        <w:rPr>
          <w:rFonts w:hint="eastAsia" w:ascii="宋体" w:hAnsi="宋体" w:cs="宋体"/>
          <w:color w:val="auto"/>
          <w:szCs w:val="21"/>
          <w:highlight w:val="none"/>
        </w:rPr>
      </w:pPr>
    </w:p>
    <w:p w14:paraId="25240CF8">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投标人：</w:t>
      </w:r>
      <w:r>
        <w:rPr>
          <w:rFonts w:hint="eastAsia" w:ascii="宋体" w:hAnsi="宋体" w:cs="宋体"/>
          <w:color w:val="auto"/>
          <w:szCs w:val="21"/>
          <w:highlight w:val="none"/>
          <w:u w:val="single"/>
        </w:rPr>
        <w:t xml:space="preserve"> </w:t>
      </w:r>
      <w:r>
        <w:rPr>
          <w:rFonts w:hint="eastAsia" w:ascii="宋体" w:hAnsi="宋体" w:cs="宋体"/>
          <w:b/>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r>
        <w:rPr>
          <w:rFonts w:hint="eastAsia" w:ascii="宋体" w:hAnsi="宋体" w:cs="宋体"/>
          <w:color w:val="auto"/>
          <w:kern w:val="0"/>
          <w:szCs w:val="21"/>
          <w:highlight w:val="none"/>
        </w:rPr>
        <w:t>公章(CA签章)</w:t>
      </w:r>
      <w:r>
        <w:rPr>
          <w:rFonts w:hint="eastAsia" w:ascii="宋体" w:hAnsi="宋体" w:cs="宋体"/>
          <w:color w:val="auto"/>
          <w:szCs w:val="21"/>
          <w:highlight w:val="none"/>
        </w:rPr>
        <w:t xml:space="preserve">） </w:t>
      </w:r>
    </w:p>
    <w:p w14:paraId="73123D50">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传真：</w:t>
      </w:r>
      <w:r>
        <w:rPr>
          <w:rFonts w:hint="eastAsia" w:ascii="宋体" w:hAnsi="宋体" w:cs="宋体"/>
          <w:color w:val="auto"/>
          <w:szCs w:val="21"/>
          <w:highlight w:val="none"/>
          <w:u w:val="single"/>
        </w:rPr>
        <w:t xml:space="preserve">          </w:t>
      </w:r>
    </w:p>
    <w:p w14:paraId="1DC7213F">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开户银行名称：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7B533909">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开户银行账号：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2C01597">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开户银行地址：</w:t>
      </w:r>
      <w:r>
        <w:rPr>
          <w:rFonts w:hint="eastAsia" w:ascii="宋体" w:hAnsi="宋体" w:cs="宋体"/>
          <w:color w:val="auto"/>
          <w:szCs w:val="21"/>
          <w:highlight w:val="none"/>
          <w:u w:val="single"/>
        </w:rPr>
        <w:t xml:space="preserve">                                </w:t>
      </w:r>
    </w:p>
    <w:p w14:paraId="5E091D7E">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开户银行电话：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1EBD4A3C">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5ED5A302">
      <w:pPr>
        <w:spacing w:line="400" w:lineRule="exact"/>
        <w:rPr>
          <w:rFonts w:hint="eastAsia" w:ascii="宋体" w:hAnsi="宋体" w:cs="宋体"/>
          <w:color w:val="auto"/>
          <w:szCs w:val="21"/>
          <w:highlight w:val="none"/>
        </w:rPr>
      </w:pPr>
    </w:p>
    <w:p w14:paraId="44DB5AF1">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投标人：</w:t>
      </w:r>
      <w:r>
        <w:rPr>
          <w:rFonts w:hint="eastAsia" w:ascii="宋体" w:hAnsi="宋体" w:cs="宋体"/>
          <w:color w:val="auto"/>
          <w:szCs w:val="21"/>
          <w:highlight w:val="none"/>
          <w:u w:val="single"/>
        </w:rPr>
        <w:t xml:space="preserve"> </w:t>
      </w:r>
      <w:r>
        <w:rPr>
          <w:rFonts w:hint="eastAsia" w:ascii="宋体" w:hAnsi="宋体" w:cs="宋体"/>
          <w:b/>
          <w:color w:val="auto"/>
          <w:szCs w:val="21"/>
          <w:highlight w:val="none"/>
          <w:u w:val="singl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（盖单位章）</w:t>
      </w:r>
    </w:p>
    <w:p w14:paraId="2E3CB9E0">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邮政编码：</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传真：</w:t>
      </w:r>
      <w:r>
        <w:rPr>
          <w:rFonts w:hint="eastAsia" w:ascii="宋体" w:hAnsi="宋体" w:cs="宋体"/>
          <w:color w:val="auto"/>
          <w:szCs w:val="21"/>
          <w:highlight w:val="none"/>
          <w:u w:val="single"/>
        </w:rPr>
        <w:t xml:space="preserve">          </w:t>
      </w:r>
    </w:p>
    <w:p w14:paraId="6AB3968C">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开户银行名称：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06A36057">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开户银行账号：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44B39729">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开户银行地址：</w:t>
      </w:r>
      <w:r>
        <w:rPr>
          <w:rFonts w:hint="eastAsia" w:ascii="宋体" w:hAnsi="宋体" w:cs="宋体"/>
          <w:color w:val="auto"/>
          <w:szCs w:val="21"/>
          <w:highlight w:val="none"/>
          <w:u w:val="single"/>
        </w:rPr>
        <w:t xml:space="preserve">                                </w:t>
      </w:r>
    </w:p>
    <w:p w14:paraId="38BAEA85">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开户银行电话：</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75C3B5FF">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日期：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029F4FD">
      <w:pPr>
        <w:snapToGrid w:val="0"/>
        <w:spacing w:line="400" w:lineRule="exact"/>
        <w:ind w:left="25" w:hanging="25" w:hangingChars="12"/>
        <w:rPr>
          <w:rFonts w:hint="eastAsia" w:ascii="宋体" w:hAnsi="宋体" w:cs="宋体"/>
          <w:b/>
          <w:color w:val="auto"/>
          <w:szCs w:val="21"/>
          <w:highlight w:val="none"/>
        </w:rPr>
      </w:pPr>
    </w:p>
    <w:p w14:paraId="14A889C5">
      <w:pPr>
        <w:snapToGrid w:val="0"/>
        <w:spacing w:line="400" w:lineRule="exact"/>
        <w:ind w:left="25" w:hanging="25" w:hangingChars="12"/>
        <w:rPr>
          <w:rFonts w:hint="eastAsia" w:ascii="宋体" w:hAnsi="宋体" w:cs="宋体"/>
          <w:b/>
          <w:color w:val="auto"/>
          <w:szCs w:val="21"/>
          <w:highlight w:val="none"/>
        </w:rPr>
      </w:pPr>
    </w:p>
    <w:p w14:paraId="20BA07C9">
      <w:pPr>
        <w:snapToGrid w:val="0"/>
        <w:spacing w:line="400" w:lineRule="exact"/>
        <w:ind w:left="25" w:hanging="25" w:hangingChars="12"/>
        <w:rPr>
          <w:rFonts w:hint="eastAsia" w:ascii="宋体" w:hAnsi="宋体" w:cs="宋体"/>
          <w:b/>
          <w:color w:val="auto"/>
          <w:szCs w:val="21"/>
          <w:highlight w:val="none"/>
        </w:rPr>
      </w:pPr>
    </w:p>
    <w:p w14:paraId="1BC96CDC">
      <w:pPr>
        <w:snapToGrid w:val="0"/>
        <w:spacing w:line="400" w:lineRule="exact"/>
        <w:ind w:left="25" w:hanging="25" w:hangingChars="12"/>
        <w:rPr>
          <w:b/>
          <w:color w:val="auto"/>
          <w:sz w:val="28"/>
          <w:szCs w:val="28"/>
          <w:highlight w:val="none"/>
        </w:rPr>
      </w:pPr>
      <w:r>
        <w:rPr>
          <w:rFonts w:hint="eastAsia" w:ascii="宋体" w:hAnsi="宋体" w:cs="宋体"/>
          <w:b/>
          <w:color w:val="auto"/>
          <w:szCs w:val="21"/>
          <w:highlight w:val="none"/>
        </w:rPr>
        <w:t>2.投标人针对报价需要说明的其他文件和说明（格式自拟）</w:t>
      </w:r>
      <w:r>
        <w:rPr>
          <w:rFonts w:hint="eastAsia" w:ascii="宋体" w:hAnsi="宋体" w:cs="宋体"/>
          <w:b/>
          <w:bCs/>
          <w:color w:val="auto"/>
          <w:szCs w:val="21"/>
          <w:highlight w:val="none"/>
        </w:rPr>
        <w:t>。</w:t>
      </w:r>
      <w:r>
        <w:rPr>
          <w:rFonts w:hint="eastAsia" w:ascii="宋体" w:hAnsi="宋体" w:cs="宋体"/>
          <w:b/>
          <w:bCs/>
          <w:color w:val="auto"/>
          <w:szCs w:val="21"/>
          <w:highlight w:val="none"/>
        </w:rPr>
        <w:br w:type="page"/>
      </w:r>
      <w:bookmarkStart w:id="420" w:name="_Toc19686837"/>
      <w:r>
        <w:rPr>
          <w:rFonts w:hint="eastAsia"/>
          <w:b/>
          <w:color w:val="auto"/>
          <w:sz w:val="28"/>
          <w:szCs w:val="28"/>
          <w:highlight w:val="none"/>
        </w:rPr>
        <w:t>二、资格证明文件格式</w:t>
      </w:r>
      <w:bookmarkEnd w:id="409"/>
      <w:bookmarkEnd w:id="410"/>
      <w:bookmarkEnd w:id="420"/>
    </w:p>
    <w:p w14:paraId="1961E84D">
      <w:pPr>
        <w:snapToGrid w:val="0"/>
        <w:spacing w:before="120" w:beforeLines="50" w:after="50" w:line="360" w:lineRule="auto"/>
        <w:jc w:val="left"/>
        <w:rPr>
          <w:rFonts w:hint="eastAsia" w:ascii="宋体" w:hAnsi="宋体"/>
          <w:b/>
          <w:color w:val="auto"/>
          <w:sz w:val="24"/>
          <w:highlight w:val="none"/>
        </w:rPr>
      </w:pPr>
      <w:r>
        <w:rPr>
          <w:rFonts w:hint="eastAsia" w:ascii="宋体" w:hAnsi="宋体"/>
          <w:b/>
          <w:color w:val="auto"/>
          <w:sz w:val="24"/>
          <w:highlight w:val="none"/>
        </w:rPr>
        <w:t xml:space="preserve">资格证明文件封面格式： </w:t>
      </w:r>
    </w:p>
    <w:p w14:paraId="5C19842C">
      <w:pPr>
        <w:snapToGrid w:val="0"/>
        <w:spacing w:before="120" w:beforeLines="50" w:after="50"/>
        <w:jc w:val="center"/>
        <w:rPr>
          <w:rFonts w:hint="eastAsia" w:ascii="宋体" w:hAnsi="宋体" w:eastAsia="方正小标宋简体"/>
          <w:bCs/>
          <w:color w:val="auto"/>
          <w:sz w:val="48"/>
          <w:szCs w:val="48"/>
          <w:highlight w:val="none"/>
        </w:rPr>
      </w:pPr>
      <w:r>
        <w:rPr>
          <w:rFonts w:hint="eastAsia" w:ascii="宋体" w:hAnsi="宋体" w:eastAsia="方正小标宋简体"/>
          <w:bCs/>
          <w:color w:val="auto"/>
          <w:sz w:val="48"/>
          <w:szCs w:val="48"/>
          <w:highlight w:val="none"/>
        </w:rPr>
        <w:t>电子投标文件</w:t>
      </w:r>
    </w:p>
    <w:p w14:paraId="59F080A5">
      <w:pPr>
        <w:snapToGrid w:val="0"/>
        <w:spacing w:before="120" w:beforeLines="50" w:after="50"/>
        <w:rPr>
          <w:rFonts w:hint="eastAsia" w:ascii="宋体" w:hAnsi="宋体"/>
          <w:color w:val="auto"/>
          <w:sz w:val="24"/>
          <w:szCs w:val="20"/>
          <w:highlight w:val="none"/>
        </w:rPr>
      </w:pPr>
    </w:p>
    <w:p w14:paraId="7A843306">
      <w:pPr>
        <w:snapToGrid w:val="0"/>
        <w:spacing w:before="120"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资格证明文件</w:t>
      </w:r>
    </w:p>
    <w:p w14:paraId="3CA65B66">
      <w:pPr>
        <w:snapToGrid w:val="0"/>
        <w:spacing w:before="120" w:beforeLines="50" w:after="50"/>
        <w:rPr>
          <w:rFonts w:hint="eastAsia" w:ascii="宋体" w:hAnsi="宋体"/>
          <w:bCs/>
          <w:color w:val="auto"/>
          <w:sz w:val="24"/>
          <w:szCs w:val="20"/>
          <w:highlight w:val="none"/>
        </w:rPr>
      </w:pPr>
    </w:p>
    <w:p w14:paraId="550D3963">
      <w:pPr>
        <w:snapToGrid w:val="0"/>
        <w:spacing w:before="120" w:beforeLines="50" w:after="50"/>
        <w:rPr>
          <w:rFonts w:hint="eastAsia" w:ascii="宋体" w:hAnsi="宋体"/>
          <w:bCs/>
          <w:color w:val="auto"/>
          <w:sz w:val="24"/>
          <w:szCs w:val="20"/>
          <w:highlight w:val="none"/>
        </w:rPr>
      </w:pPr>
    </w:p>
    <w:p w14:paraId="775F62ED">
      <w:pPr>
        <w:snapToGrid w:val="0"/>
        <w:spacing w:before="120" w:beforeLines="50" w:after="50"/>
        <w:rPr>
          <w:rFonts w:hint="eastAsia" w:ascii="宋体" w:hAnsi="宋体"/>
          <w:bCs/>
          <w:color w:val="auto"/>
          <w:sz w:val="24"/>
          <w:szCs w:val="20"/>
          <w:highlight w:val="none"/>
        </w:rPr>
      </w:pPr>
    </w:p>
    <w:p w14:paraId="216327BE">
      <w:pPr>
        <w:snapToGrid w:val="0"/>
        <w:spacing w:before="120" w:beforeLines="50" w:after="50"/>
        <w:rPr>
          <w:rFonts w:hint="eastAsia" w:ascii="宋体" w:hAnsi="宋体"/>
          <w:bCs/>
          <w:color w:val="auto"/>
          <w:sz w:val="24"/>
          <w:szCs w:val="20"/>
          <w:highlight w:val="none"/>
        </w:rPr>
      </w:pPr>
    </w:p>
    <w:p w14:paraId="73F8716C">
      <w:pPr>
        <w:snapToGrid w:val="0"/>
        <w:spacing w:before="120" w:beforeLines="50" w:after="50"/>
        <w:rPr>
          <w:rFonts w:hint="eastAsia" w:ascii="宋体" w:hAnsi="宋体"/>
          <w:bCs/>
          <w:color w:val="auto"/>
          <w:sz w:val="24"/>
          <w:szCs w:val="20"/>
          <w:highlight w:val="none"/>
        </w:rPr>
      </w:pPr>
    </w:p>
    <w:p w14:paraId="1D242E6D">
      <w:pPr>
        <w:snapToGrid w:val="0"/>
        <w:spacing w:before="120" w:beforeLines="50" w:after="50"/>
        <w:rPr>
          <w:rFonts w:hint="eastAsia" w:ascii="宋体" w:hAnsi="宋体"/>
          <w:bCs/>
          <w:color w:val="auto"/>
          <w:sz w:val="24"/>
          <w:szCs w:val="20"/>
          <w:highlight w:val="none"/>
        </w:rPr>
      </w:pPr>
    </w:p>
    <w:p w14:paraId="1015DE8C">
      <w:pPr>
        <w:snapToGrid w:val="0"/>
        <w:spacing w:before="120" w:beforeLines="50" w:after="50"/>
        <w:rPr>
          <w:rFonts w:hint="eastAsia" w:ascii="宋体" w:hAnsi="宋体"/>
          <w:bCs/>
          <w:color w:val="auto"/>
          <w:sz w:val="24"/>
          <w:szCs w:val="20"/>
          <w:highlight w:val="none"/>
        </w:rPr>
      </w:pPr>
    </w:p>
    <w:p w14:paraId="32075742">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14:paraId="5EAB53DE">
      <w:pPr>
        <w:snapToGrid w:val="0"/>
        <w:spacing w:before="120" w:beforeLines="50" w:after="50"/>
        <w:ind w:firstLine="540" w:firstLineChars="225"/>
        <w:rPr>
          <w:rFonts w:hint="eastAsia" w:ascii="宋体" w:hAnsi="宋体"/>
          <w:bCs/>
          <w:color w:val="auto"/>
          <w:sz w:val="24"/>
          <w:szCs w:val="20"/>
          <w:highlight w:val="none"/>
        </w:rPr>
      </w:pPr>
    </w:p>
    <w:p w14:paraId="6DBD6421">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15B74931">
      <w:pPr>
        <w:snapToGrid w:val="0"/>
        <w:spacing w:before="120" w:beforeLines="50" w:after="50"/>
        <w:ind w:firstLine="540" w:firstLineChars="225"/>
        <w:rPr>
          <w:rFonts w:hint="eastAsia" w:ascii="宋体" w:hAnsi="宋体"/>
          <w:bCs/>
          <w:color w:val="auto"/>
          <w:sz w:val="24"/>
          <w:szCs w:val="20"/>
          <w:highlight w:val="none"/>
        </w:rPr>
      </w:pPr>
    </w:p>
    <w:p w14:paraId="337F9260">
      <w:pPr>
        <w:pStyle w:val="9"/>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401F41D8">
      <w:pPr>
        <w:pStyle w:val="9"/>
        <w:snapToGrid w:val="0"/>
        <w:spacing w:before="50" w:after="50"/>
        <w:ind w:firstLine="540" w:firstLineChars="225"/>
        <w:rPr>
          <w:rFonts w:hint="eastAsia" w:ascii="宋体" w:hAnsi="宋体"/>
          <w:bCs/>
          <w:color w:val="auto"/>
          <w:sz w:val="24"/>
          <w:szCs w:val="24"/>
          <w:highlight w:val="none"/>
        </w:rPr>
      </w:pPr>
    </w:p>
    <w:p w14:paraId="0A2DD490">
      <w:pPr>
        <w:pStyle w:val="9"/>
        <w:snapToGrid w:val="0"/>
        <w:spacing w:before="50" w:after="50"/>
        <w:ind w:firstLine="960" w:firstLineChars="400"/>
        <w:rPr>
          <w:rFonts w:hint="eastAsia" w:ascii="宋体" w:hAnsi="宋体"/>
          <w:bCs/>
          <w:color w:val="auto"/>
          <w:sz w:val="24"/>
          <w:szCs w:val="24"/>
          <w:highlight w:val="none"/>
        </w:rPr>
      </w:pPr>
    </w:p>
    <w:p w14:paraId="1B404AAB">
      <w:pPr>
        <w:snapToGrid w:val="0"/>
        <w:spacing w:before="120" w:beforeLines="50" w:after="50"/>
        <w:ind w:firstLine="645"/>
        <w:jc w:val="center"/>
        <w:rPr>
          <w:rFonts w:hint="eastAsia" w:ascii="宋体" w:hAnsi="宋体"/>
          <w:color w:val="auto"/>
          <w:sz w:val="24"/>
          <w:highlight w:val="none"/>
        </w:rPr>
      </w:pPr>
      <w:r>
        <w:rPr>
          <w:rFonts w:hint="eastAsia" w:ascii="宋体" w:hAnsi="宋体"/>
          <w:color w:val="auto"/>
          <w:sz w:val="24"/>
          <w:highlight w:val="none"/>
        </w:rPr>
        <w:t>年  月  日</w:t>
      </w:r>
    </w:p>
    <w:p w14:paraId="0C7D37FF">
      <w:pPr>
        <w:snapToGrid w:val="0"/>
        <w:spacing w:before="120" w:beforeLines="50" w:after="50"/>
        <w:rPr>
          <w:rFonts w:hint="eastAsia" w:ascii="宋体" w:hAnsi="宋体"/>
          <w:color w:val="auto"/>
          <w:sz w:val="24"/>
          <w:szCs w:val="20"/>
          <w:highlight w:val="none"/>
        </w:rPr>
      </w:pPr>
    </w:p>
    <w:p w14:paraId="3AD9FC1E">
      <w:pPr>
        <w:snapToGrid w:val="0"/>
        <w:spacing w:before="120" w:beforeLines="50" w:after="50"/>
        <w:rPr>
          <w:rFonts w:hint="eastAsia" w:ascii="宋体" w:hAnsi="宋体"/>
          <w:color w:val="auto"/>
          <w:sz w:val="24"/>
          <w:szCs w:val="20"/>
          <w:highlight w:val="none"/>
        </w:rPr>
      </w:pPr>
    </w:p>
    <w:p w14:paraId="57A9D381">
      <w:pPr>
        <w:snapToGrid w:val="0"/>
        <w:spacing w:before="120" w:beforeLines="50" w:after="50" w:line="360" w:lineRule="auto"/>
        <w:jc w:val="left"/>
        <w:rPr>
          <w:rFonts w:hint="eastAsia" w:ascii="宋体" w:hAnsi="宋体"/>
          <w:color w:val="auto"/>
          <w:sz w:val="24"/>
          <w:szCs w:val="20"/>
          <w:highlight w:val="none"/>
        </w:rPr>
      </w:pPr>
      <w:r>
        <w:rPr>
          <w:rFonts w:ascii="宋体" w:hAnsi="宋体"/>
          <w:b/>
          <w:bCs/>
          <w:color w:val="auto"/>
          <w:sz w:val="24"/>
          <w:highlight w:val="none"/>
        </w:rPr>
        <w:br w:type="page"/>
      </w:r>
      <w:r>
        <w:rPr>
          <w:rFonts w:hint="eastAsia" w:ascii="宋体" w:hAnsi="宋体"/>
          <w:b/>
          <w:bCs/>
          <w:color w:val="auto"/>
          <w:sz w:val="24"/>
          <w:highlight w:val="none"/>
        </w:rPr>
        <w:t>资格证明文件目录</w:t>
      </w:r>
    </w:p>
    <w:p w14:paraId="2923D614">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根据招标文件规定及投标人提供的材料自行编写目录。</w:t>
      </w:r>
    </w:p>
    <w:p w14:paraId="5ED88B6A">
      <w:pPr>
        <w:snapToGrid w:val="0"/>
        <w:spacing w:before="50" w:after="120" w:afterLines="50"/>
        <w:jc w:val="left"/>
        <w:rPr>
          <w:rFonts w:hint="eastAsia" w:ascii="宋体" w:hAnsi="宋体"/>
          <w:color w:val="auto"/>
          <w:sz w:val="24"/>
          <w:highlight w:val="none"/>
        </w:rPr>
      </w:pPr>
    </w:p>
    <w:p w14:paraId="34694CA8">
      <w:pPr>
        <w:snapToGrid w:val="0"/>
        <w:spacing w:before="50" w:after="120" w:afterLines="50"/>
        <w:jc w:val="left"/>
        <w:rPr>
          <w:rFonts w:hint="eastAsia" w:ascii="宋体" w:hAnsi="宋体"/>
          <w:color w:val="auto"/>
          <w:sz w:val="24"/>
          <w:highlight w:val="none"/>
        </w:rPr>
      </w:pPr>
    </w:p>
    <w:p w14:paraId="46AE9921">
      <w:pPr>
        <w:snapToGrid w:val="0"/>
        <w:spacing w:line="400" w:lineRule="exact"/>
        <w:jc w:val="left"/>
        <w:rPr>
          <w:rFonts w:hint="eastAsia" w:ascii="宋体" w:hAnsi="宋体" w:cs="宋体"/>
          <w:b/>
          <w:color w:val="auto"/>
          <w:szCs w:val="21"/>
          <w:highlight w:val="none"/>
        </w:rPr>
      </w:pPr>
      <w:r>
        <w:rPr>
          <w:rFonts w:ascii="宋体" w:hAnsi="宋体"/>
          <w:b/>
          <w:color w:val="auto"/>
          <w:sz w:val="24"/>
          <w:highlight w:val="none"/>
        </w:rPr>
        <w:br w:type="page"/>
      </w:r>
      <w:r>
        <w:rPr>
          <w:rFonts w:hint="eastAsia" w:ascii="宋体" w:hAnsi="宋体" w:cs="宋体"/>
          <w:b/>
          <w:color w:val="auto"/>
          <w:szCs w:val="21"/>
          <w:highlight w:val="none"/>
        </w:rPr>
        <w:t>1.投标人为法人或者其他组织的，提供营业执照等证明文件（如营业执照或者事业单位法人证书或者执业许可证或者登记证书等），投标人为自然人的，提供身份证复印件；</w:t>
      </w:r>
    </w:p>
    <w:p w14:paraId="3335677F">
      <w:pPr>
        <w:snapToGrid w:val="0"/>
        <w:spacing w:line="400" w:lineRule="exact"/>
        <w:jc w:val="left"/>
        <w:rPr>
          <w:rFonts w:hint="eastAsia" w:ascii="宋体" w:hAnsi="宋体" w:cs="宋体"/>
          <w:b/>
          <w:color w:val="auto"/>
          <w:szCs w:val="21"/>
          <w:highlight w:val="none"/>
        </w:rPr>
      </w:pPr>
    </w:p>
    <w:p w14:paraId="22D04B2E">
      <w:pPr>
        <w:snapToGrid w:val="0"/>
        <w:spacing w:line="400" w:lineRule="exact"/>
        <w:jc w:val="left"/>
        <w:rPr>
          <w:rFonts w:hint="eastAsia" w:ascii="宋体" w:hAnsi="宋体" w:cs="宋体"/>
          <w:b/>
          <w:color w:val="auto"/>
          <w:szCs w:val="21"/>
          <w:highlight w:val="none"/>
        </w:rPr>
      </w:pPr>
    </w:p>
    <w:p w14:paraId="2BE0E799">
      <w:pPr>
        <w:snapToGrid w:val="0"/>
        <w:spacing w:line="400" w:lineRule="exact"/>
        <w:jc w:val="left"/>
        <w:rPr>
          <w:rFonts w:hint="eastAsia" w:ascii="宋体" w:hAnsi="宋体" w:cs="宋体"/>
          <w:b/>
          <w:color w:val="auto"/>
          <w:szCs w:val="21"/>
          <w:highlight w:val="none"/>
        </w:rPr>
      </w:pPr>
    </w:p>
    <w:p w14:paraId="6E21A1C9">
      <w:pPr>
        <w:snapToGrid w:val="0"/>
        <w:spacing w:line="400" w:lineRule="exact"/>
        <w:jc w:val="left"/>
        <w:rPr>
          <w:rFonts w:hint="eastAsia" w:ascii="宋体" w:hAnsi="宋体" w:cs="宋体"/>
          <w:b/>
          <w:color w:val="auto"/>
          <w:szCs w:val="21"/>
          <w:highlight w:val="none"/>
        </w:rPr>
      </w:pPr>
    </w:p>
    <w:p w14:paraId="373A81BB">
      <w:pPr>
        <w:snapToGrid w:val="0"/>
        <w:spacing w:line="400" w:lineRule="exact"/>
        <w:jc w:val="left"/>
        <w:rPr>
          <w:rFonts w:hint="eastAsia" w:ascii="宋体" w:hAnsi="宋体" w:cs="宋体"/>
          <w:b/>
          <w:color w:val="auto"/>
          <w:szCs w:val="21"/>
          <w:highlight w:val="none"/>
        </w:rPr>
      </w:pPr>
    </w:p>
    <w:p w14:paraId="693B90A4">
      <w:pPr>
        <w:snapToGrid w:val="0"/>
        <w:spacing w:line="400" w:lineRule="exact"/>
        <w:jc w:val="left"/>
        <w:rPr>
          <w:rFonts w:hint="eastAsia" w:ascii="宋体" w:hAnsi="宋体" w:cs="宋体"/>
          <w:b/>
          <w:color w:val="auto"/>
          <w:szCs w:val="21"/>
          <w:highlight w:val="none"/>
        </w:rPr>
      </w:pPr>
    </w:p>
    <w:p w14:paraId="1B48879E">
      <w:pPr>
        <w:snapToGrid w:val="0"/>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2.法定代表人身份证明；</w:t>
      </w:r>
    </w:p>
    <w:p w14:paraId="48878BF1">
      <w:pPr>
        <w:spacing w:line="400" w:lineRule="exact"/>
        <w:jc w:val="center"/>
        <w:rPr>
          <w:rFonts w:hint="eastAsia" w:ascii="宋体" w:hAnsi="宋体" w:cs="宋体"/>
          <w:bCs/>
          <w:color w:val="auto"/>
          <w:szCs w:val="21"/>
          <w:highlight w:val="none"/>
        </w:rPr>
      </w:pPr>
      <w:r>
        <w:rPr>
          <w:rFonts w:hint="eastAsia" w:ascii="宋体" w:hAnsi="宋体" w:cs="宋体"/>
          <w:bCs/>
          <w:color w:val="auto"/>
          <w:szCs w:val="21"/>
          <w:highlight w:val="none"/>
        </w:rPr>
        <w:t>法定代表人身份证明</w:t>
      </w:r>
    </w:p>
    <w:p w14:paraId="13108AB3">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投 标 人：</w:t>
      </w:r>
    </w:p>
    <w:p w14:paraId="7CA5A8F3">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地    址：</w:t>
      </w:r>
    </w:p>
    <w:p w14:paraId="7A4F6DC2">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姓    名：</w:t>
      </w:r>
    </w:p>
    <w:p w14:paraId="54329281">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性    别：</w:t>
      </w:r>
    </w:p>
    <w:p w14:paraId="332B2F6A">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年    龄：</w:t>
      </w:r>
    </w:p>
    <w:p w14:paraId="1AC6B31A">
      <w:pPr>
        <w:spacing w:line="400" w:lineRule="exact"/>
        <w:rPr>
          <w:rFonts w:hint="eastAsia" w:ascii="宋体" w:hAnsi="宋体" w:cs="宋体"/>
          <w:color w:val="auto"/>
          <w:szCs w:val="21"/>
          <w:highlight w:val="none"/>
          <w:u w:val="single"/>
        </w:rPr>
      </w:pPr>
      <w:r>
        <w:rPr>
          <w:rFonts w:hint="eastAsia" w:ascii="宋体" w:hAnsi="宋体" w:cs="宋体"/>
          <w:color w:val="auto"/>
          <w:szCs w:val="21"/>
          <w:highlight w:val="none"/>
        </w:rPr>
        <w:t>职    务：</w:t>
      </w:r>
    </w:p>
    <w:p w14:paraId="53D1ABC2">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身份证号码：</w:t>
      </w:r>
    </w:p>
    <w:p w14:paraId="2DB71DF9">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系</w:t>
      </w:r>
      <w:r>
        <w:rPr>
          <w:rFonts w:hint="eastAsia" w:ascii="宋体" w:hAnsi="宋体" w:cs="宋体"/>
          <w:color w:val="auto"/>
          <w:szCs w:val="21"/>
          <w:highlight w:val="none"/>
          <w:u w:val="single"/>
        </w:rPr>
        <w:t xml:space="preserve">            （投标人名称）              </w:t>
      </w:r>
      <w:r>
        <w:rPr>
          <w:rFonts w:hint="eastAsia" w:ascii="宋体" w:hAnsi="宋体" w:cs="宋体"/>
          <w:color w:val="auto"/>
          <w:szCs w:val="21"/>
          <w:highlight w:val="none"/>
        </w:rPr>
        <w:t>的法定代表人。</w:t>
      </w:r>
    </w:p>
    <w:p w14:paraId="6505B3E5">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特此证明。</w:t>
      </w:r>
    </w:p>
    <w:p w14:paraId="26D33B40">
      <w:pPr>
        <w:spacing w:line="400" w:lineRule="exact"/>
        <w:rPr>
          <w:rFonts w:hint="eastAsia" w:ascii="宋体" w:hAnsi="宋体" w:cs="宋体"/>
          <w:color w:val="auto"/>
          <w:szCs w:val="21"/>
          <w:highlight w:val="none"/>
        </w:rPr>
      </w:pPr>
    </w:p>
    <w:p w14:paraId="1094BEAD">
      <w:pPr>
        <w:spacing w:line="400" w:lineRule="exact"/>
        <w:rPr>
          <w:rFonts w:hint="eastAsia" w:ascii="宋体" w:hAnsi="宋体" w:cs="宋体"/>
          <w:color w:val="auto"/>
          <w:szCs w:val="21"/>
          <w:highlight w:val="none"/>
        </w:rPr>
      </w:pPr>
    </w:p>
    <w:p w14:paraId="35639DB5">
      <w:pPr>
        <w:spacing w:line="400" w:lineRule="exact"/>
        <w:rPr>
          <w:rFonts w:hint="eastAsia" w:ascii="宋体" w:hAnsi="宋体" w:cs="宋体"/>
          <w:color w:val="auto"/>
          <w:szCs w:val="21"/>
          <w:highlight w:val="none"/>
        </w:rPr>
      </w:pPr>
      <w:r>
        <w:rPr>
          <w:rFonts w:hint="eastAsia" w:ascii="宋体" w:hAnsi="宋体" w:cs="宋体"/>
          <w:color w:val="auto"/>
          <w:szCs w:val="21"/>
          <w:highlight w:val="none"/>
        </w:rPr>
        <w:t>附件：法定代表人有效身份证正反面复印件</w:t>
      </w:r>
    </w:p>
    <w:p w14:paraId="49A5FEB2">
      <w:pPr>
        <w:spacing w:line="400" w:lineRule="exact"/>
        <w:rPr>
          <w:rFonts w:hint="eastAsia" w:ascii="宋体" w:hAnsi="宋体" w:cs="宋体"/>
          <w:color w:val="auto"/>
          <w:szCs w:val="21"/>
          <w:highlight w:val="none"/>
        </w:rPr>
      </w:pPr>
    </w:p>
    <w:p w14:paraId="0028D99F">
      <w:pPr>
        <w:wordWrap w:val="0"/>
        <w:spacing w:line="400" w:lineRule="exact"/>
        <w:jc w:val="right"/>
        <w:rPr>
          <w:rFonts w:hint="eastAsia" w:ascii="宋体" w:hAnsi="宋体" w:cs="宋体"/>
          <w:color w:val="auto"/>
          <w:szCs w:val="21"/>
          <w:highlight w:val="none"/>
        </w:rPr>
      </w:pPr>
      <w:r>
        <w:rPr>
          <w:rFonts w:hint="eastAsia" w:ascii="宋体" w:hAnsi="宋体" w:cs="宋体"/>
          <w:color w:val="auto"/>
          <w:szCs w:val="21"/>
          <w:highlight w:val="none"/>
        </w:rPr>
        <w:t>投标人名称（电子签章）</w:t>
      </w:r>
      <w:r>
        <w:rPr>
          <w:rFonts w:hint="eastAsia" w:ascii="宋体" w:hAnsi="宋体" w:cs="宋体"/>
          <w:color w:val="auto"/>
          <w:szCs w:val="21"/>
          <w:highlight w:val="none"/>
          <w:u w:val="single"/>
        </w:rPr>
        <w:t xml:space="preserve">             </w:t>
      </w:r>
    </w:p>
    <w:p w14:paraId="3A314BE7">
      <w:pPr>
        <w:snapToGrid w:val="0"/>
        <w:spacing w:line="400" w:lineRule="exact"/>
        <w:jc w:val="right"/>
        <w:rPr>
          <w:rFonts w:hint="eastAsia" w:ascii="宋体" w:hAnsi="宋体" w:cs="宋体"/>
          <w:color w:val="auto"/>
          <w:szCs w:val="21"/>
          <w:highlight w:val="none"/>
        </w:rPr>
      </w:pPr>
      <w:r>
        <w:rPr>
          <w:rFonts w:hint="eastAsia" w:ascii="宋体" w:hAnsi="宋体" w:cs="宋体"/>
          <w:color w:val="auto"/>
          <w:szCs w:val="21"/>
          <w:highlight w:val="none"/>
        </w:rPr>
        <w:t>年   月   日</w:t>
      </w:r>
    </w:p>
    <w:p w14:paraId="1039BE08">
      <w:pPr>
        <w:snapToGrid w:val="0"/>
        <w:spacing w:line="400" w:lineRule="exact"/>
        <w:jc w:val="center"/>
        <w:rPr>
          <w:rFonts w:hint="eastAsia" w:ascii="宋体" w:hAnsi="宋体" w:cs="宋体"/>
          <w:b/>
          <w:color w:val="auto"/>
          <w:szCs w:val="21"/>
          <w:highlight w:val="none"/>
        </w:rPr>
      </w:pPr>
    </w:p>
    <w:p w14:paraId="123BE3FE">
      <w:pPr>
        <w:snapToGrid w:val="0"/>
        <w:spacing w:line="400" w:lineRule="exact"/>
        <w:jc w:val="left"/>
        <w:rPr>
          <w:rFonts w:hint="eastAsia" w:ascii="宋体" w:hAnsi="宋体" w:cs="宋体"/>
          <w:b/>
          <w:color w:val="auto"/>
          <w:szCs w:val="21"/>
          <w:highlight w:val="none"/>
        </w:rPr>
      </w:pPr>
      <w:r>
        <w:rPr>
          <w:rFonts w:hint="eastAsia" w:ascii="宋体" w:hAnsi="宋体" w:cs="宋体"/>
          <w:color w:val="auto"/>
          <w:szCs w:val="21"/>
          <w:highlight w:val="none"/>
        </w:rPr>
        <w:t>注：自然人投标的无需提供</w:t>
      </w:r>
    </w:p>
    <w:p w14:paraId="1EA64BC3">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br w:type="page"/>
      </w:r>
    </w:p>
    <w:p w14:paraId="6CB52C10">
      <w:pPr>
        <w:snapToGrid w:val="0"/>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3.供应商的授权委托书原件、委托代理人身份证正反面复印件（扫描件）以及由县级以上（含县级）社会养老保险经办机构出具的供应商为委托代理人交纳的响应文件递交截止时间前一个月社保证明复印件（扫描件）</w:t>
      </w:r>
    </w:p>
    <w:p w14:paraId="7D6852CD">
      <w:pPr>
        <w:snapToGrid w:val="0"/>
        <w:spacing w:line="40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授权委托书</w:t>
      </w:r>
    </w:p>
    <w:p w14:paraId="263D7F61">
      <w:pPr>
        <w:snapToGrid w:val="0"/>
        <w:spacing w:line="40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（非联合体投标格式）</w:t>
      </w:r>
    </w:p>
    <w:p w14:paraId="204C7E49">
      <w:pPr>
        <w:snapToGrid w:val="0"/>
        <w:spacing w:line="40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（如有委托时）</w:t>
      </w:r>
    </w:p>
    <w:p w14:paraId="31958C63">
      <w:pPr>
        <w:snapToGrid w:val="0"/>
        <w:spacing w:line="400" w:lineRule="exact"/>
        <w:jc w:val="center"/>
        <w:rPr>
          <w:rFonts w:hint="eastAsia" w:ascii="宋体" w:hAnsi="宋体" w:cs="宋体"/>
          <w:b/>
          <w:color w:val="auto"/>
          <w:szCs w:val="21"/>
          <w:highlight w:val="none"/>
        </w:rPr>
      </w:pPr>
    </w:p>
    <w:p w14:paraId="513791F2">
      <w:pPr>
        <w:spacing w:line="400" w:lineRule="exact"/>
        <w:contextualSpacing/>
        <w:rPr>
          <w:rFonts w:hint="eastAsia" w:ascii="宋体" w:hAnsi="宋体" w:cs="宋体"/>
          <w:b/>
          <w:bCs/>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采购人名称</w:t>
      </w:r>
      <w:r>
        <w:rPr>
          <w:rFonts w:hint="eastAsia" w:ascii="宋体" w:hAnsi="宋体" w:cs="宋体"/>
          <w:color w:val="auto"/>
          <w:szCs w:val="21"/>
          <w:highlight w:val="none"/>
        </w:rPr>
        <w:t>：</w:t>
      </w:r>
    </w:p>
    <w:p w14:paraId="5BE6E4E7">
      <w:pPr>
        <w:spacing w:line="40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我（姓名）系（投标人名称）的法定代表人，现授权委托</w:t>
      </w:r>
      <w:r>
        <w:rPr>
          <w:rFonts w:hint="eastAsia" w:ascii="宋体" w:hAnsi="宋体" w:cs="宋体"/>
          <w:color w:val="auto"/>
          <w:szCs w:val="21"/>
          <w:highlight w:val="none"/>
          <w:u w:val="single"/>
        </w:rPr>
        <w:t xml:space="preserve">              （姓名）</w:t>
      </w:r>
      <w:r>
        <w:rPr>
          <w:rFonts w:hint="eastAsia" w:ascii="宋体" w:hAnsi="宋体" w:cs="宋体"/>
          <w:color w:val="auto"/>
          <w:szCs w:val="21"/>
          <w:highlight w:val="none"/>
        </w:rPr>
        <w:t>以我方的名义参加项目的投标活动，并代表我方全权办理针对上述项目的所有采购程序和环节的具体事务和签署相关文件。</w:t>
      </w:r>
    </w:p>
    <w:p w14:paraId="43E852A7">
      <w:pPr>
        <w:spacing w:line="40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 xml:space="preserve">    我方对委托代理人的签字或者电子签名事项负全部责任。</w:t>
      </w:r>
    </w:p>
    <w:p w14:paraId="42B79740">
      <w:pPr>
        <w:spacing w:line="400" w:lineRule="exact"/>
        <w:ind w:firstLine="480"/>
        <w:contextualSpacing/>
        <w:rPr>
          <w:rFonts w:hint="eastAsia" w:ascii="宋体" w:hAnsi="宋体" w:cs="宋体"/>
          <w:color w:val="auto"/>
          <w:szCs w:val="21"/>
          <w:highlight w:val="none"/>
        </w:rPr>
      </w:pPr>
      <w:r>
        <w:rPr>
          <w:rFonts w:hint="eastAsia" w:ascii="宋体" w:hAnsi="宋体" w:cs="宋体"/>
          <w:color w:val="auto"/>
          <w:szCs w:val="21"/>
          <w:highlight w:val="none"/>
          <w:u w:val="single"/>
        </w:rPr>
        <w:t>本授权书自签署之日起生效，在撤销授权的书面通知以前，本授权书一直有效。委托代理人在授权书有效期内签署的所有文件不因授权的撤销而失效。</w:t>
      </w:r>
    </w:p>
    <w:p w14:paraId="18325023">
      <w:pPr>
        <w:spacing w:line="400" w:lineRule="exact"/>
        <w:ind w:firstLine="480"/>
        <w:contextualSpacing/>
        <w:rPr>
          <w:rFonts w:hint="eastAsia" w:ascii="宋体" w:hAnsi="宋体" w:cs="宋体"/>
          <w:color w:val="auto"/>
          <w:szCs w:val="21"/>
          <w:highlight w:val="none"/>
        </w:rPr>
      </w:pPr>
      <w:r>
        <w:rPr>
          <w:rFonts w:hint="eastAsia" w:ascii="宋体" w:hAnsi="宋体" w:cs="宋体"/>
          <w:color w:val="auto"/>
          <w:szCs w:val="21"/>
          <w:highlight w:val="none"/>
        </w:rPr>
        <w:t>委托代理人无转委托权，特此委托。</w:t>
      </w:r>
    </w:p>
    <w:p w14:paraId="5D39190B">
      <w:pPr>
        <w:spacing w:line="400" w:lineRule="exact"/>
        <w:ind w:firstLine="480"/>
        <w:contextualSpacing/>
        <w:rPr>
          <w:rFonts w:hint="eastAsia" w:ascii="宋体" w:hAnsi="宋体" w:cs="宋体"/>
          <w:color w:val="auto"/>
          <w:szCs w:val="21"/>
          <w:highlight w:val="none"/>
        </w:rPr>
      </w:pPr>
      <w:r>
        <w:rPr>
          <w:rFonts w:hint="eastAsia" w:ascii="宋体" w:hAnsi="宋体" w:cs="宋体"/>
          <w:color w:val="auto"/>
          <w:szCs w:val="21"/>
          <w:highlight w:val="none"/>
        </w:rPr>
        <w:t>附：法定代表人身份证明及委托代理人有效身份证正反面复印件</w:t>
      </w:r>
    </w:p>
    <w:p w14:paraId="72829C07">
      <w:pPr>
        <w:spacing w:line="400" w:lineRule="exact"/>
        <w:contextualSpacing/>
        <w:rPr>
          <w:rFonts w:hint="eastAsia" w:ascii="宋体" w:hAnsi="宋体" w:cs="宋体"/>
          <w:color w:val="auto"/>
          <w:szCs w:val="21"/>
          <w:highlight w:val="none"/>
        </w:rPr>
      </w:pPr>
    </w:p>
    <w:p w14:paraId="17A89B00">
      <w:pPr>
        <w:spacing w:line="40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委托代理人（签字或者电子签名）：</w:t>
      </w:r>
    </w:p>
    <w:p w14:paraId="3A4F1C8D">
      <w:pPr>
        <w:spacing w:line="400" w:lineRule="exact"/>
        <w:contextualSpacing/>
        <w:rPr>
          <w:rFonts w:hint="eastAsia" w:ascii="宋体" w:hAnsi="宋体" w:cs="宋体"/>
          <w:color w:val="auto"/>
          <w:szCs w:val="21"/>
          <w:highlight w:val="none"/>
          <w:u w:val="single"/>
        </w:rPr>
      </w:pPr>
      <w:r>
        <w:rPr>
          <w:rFonts w:hint="eastAsia" w:ascii="宋体" w:hAnsi="宋体" w:cs="宋体"/>
          <w:color w:val="auto"/>
          <w:szCs w:val="21"/>
          <w:highlight w:val="none"/>
        </w:rPr>
        <w:t>委托代理人身份证号码：</w:t>
      </w:r>
    </w:p>
    <w:p w14:paraId="080726FE">
      <w:pPr>
        <w:spacing w:line="400" w:lineRule="exact"/>
        <w:contextualSpacing/>
        <w:rPr>
          <w:rFonts w:hint="eastAsia" w:ascii="宋体" w:hAnsi="宋体" w:cs="宋体"/>
          <w:color w:val="auto"/>
          <w:szCs w:val="21"/>
          <w:highlight w:val="none"/>
          <w:u w:val="single"/>
        </w:rPr>
      </w:pPr>
      <w:r>
        <w:rPr>
          <w:rFonts w:hint="eastAsia" w:ascii="宋体" w:hAnsi="宋体" w:cs="宋体"/>
          <w:color w:val="auto"/>
          <w:szCs w:val="21"/>
          <w:highlight w:val="none"/>
        </w:rPr>
        <w:t>法定代表人（签字或者盖章或者电子签名）：</w:t>
      </w:r>
    </w:p>
    <w:p w14:paraId="156F829E">
      <w:pPr>
        <w:spacing w:line="400" w:lineRule="exact"/>
        <w:contextualSpacing/>
        <w:rPr>
          <w:rFonts w:hint="eastAsia" w:ascii="宋体" w:hAnsi="宋体" w:cs="宋体"/>
          <w:color w:val="auto"/>
          <w:szCs w:val="21"/>
          <w:highlight w:val="none"/>
        </w:rPr>
      </w:pPr>
    </w:p>
    <w:p w14:paraId="71F29E8B">
      <w:pPr>
        <w:spacing w:line="400" w:lineRule="exact"/>
        <w:contextualSpacing/>
        <w:jc w:val="center"/>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03B92EB7">
      <w:pPr>
        <w:spacing w:line="400" w:lineRule="exact"/>
        <w:contextualSpacing/>
        <w:jc w:val="right"/>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p w14:paraId="7241CB77">
      <w:pPr>
        <w:spacing w:line="40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注：1.</w:t>
      </w:r>
      <w:bookmarkStart w:id="421" w:name="_Hlk65851555"/>
      <w:bookmarkStart w:id="422" w:name="_Hlk65851620"/>
      <w:r>
        <w:rPr>
          <w:rFonts w:hint="eastAsia" w:ascii="宋体" w:hAnsi="宋体" w:cs="宋体"/>
          <w:color w:val="auto"/>
          <w:szCs w:val="21"/>
          <w:highlight w:val="none"/>
        </w:rPr>
        <w:t>法定代表人必须在授权委托书上签字或者盖章或者电子签名，</w:t>
      </w:r>
      <w:bookmarkEnd w:id="421"/>
      <w:r>
        <w:rPr>
          <w:rFonts w:hint="eastAsia" w:ascii="宋体" w:hAnsi="宋体" w:cs="宋体"/>
          <w:color w:val="auto"/>
          <w:szCs w:val="21"/>
          <w:highlight w:val="none"/>
        </w:rPr>
        <w:t>委托代理人必须在授权委托书上签字或者电子签名，</w:t>
      </w:r>
      <w:r>
        <w:rPr>
          <w:rFonts w:hint="eastAsia" w:ascii="宋体" w:hAnsi="宋体" w:cs="宋体"/>
          <w:b/>
          <w:bCs/>
          <w:color w:val="auto"/>
          <w:szCs w:val="21"/>
          <w:highlight w:val="none"/>
        </w:rPr>
        <w:t>否则按无效投标处理</w:t>
      </w:r>
      <w:r>
        <w:rPr>
          <w:rFonts w:hint="eastAsia" w:ascii="宋体" w:hAnsi="宋体" w:cs="宋体"/>
          <w:color w:val="auto"/>
          <w:szCs w:val="21"/>
          <w:highlight w:val="none"/>
        </w:rPr>
        <w:t>；</w:t>
      </w:r>
      <w:bookmarkEnd w:id="422"/>
    </w:p>
    <w:p w14:paraId="61277BC8">
      <w:pPr>
        <w:spacing w:line="40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2.法人、其他组织投标时“我方”是指“我单位”，自然人投标时“我方”是指“本人”。</w:t>
      </w:r>
    </w:p>
    <w:p w14:paraId="42C482B2">
      <w:pPr>
        <w:snapToGrid w:val="0"/>
        <w:spacing w:line="400" w:lineRule="exact"/>
        <w:ind w:firstLine="495" w:firstLineChars="236"/>
        <w:jc w:val="center"/>
        <w:rPr>
          <w:rFonts w:hint="eastAsia" w:ascii="宋体" w:hAnsi="宋体" w:cs="宋体"/>
          <w:b/>
          <w:bCs/>
          <w:color w:val="auto"/>
          <w:szCs w:val="21"/>
          <w:highlight w:val="none"/>
        </w:rPr>
      </w:pPr>
      <w:r>
        <w:rPr>
          <w:rFonts w:hint="eastAsia" w:ascii="宋体" w:hAnsi="宋体" w:cs="宋体"/>
          <w:color w:val="auto"/>
          <w:szCs w:val="21"/>
          <w:highlight w:val="none"/>
        </w:rPr>
        <w:br w:type="page"/>
      </w:r>
      <w:r>
        <w:rPr>
          <w:rFonts w:hint="eastAsia" w:ascii="宋体" w:hAnsi="宋体" w:cs="宋体"/>
          <w:b/>
          <w:bCs/>
          <w:color w:val="auto"/>
          <w:szCs w:val="21"/>
          <w:highlight w:val="none"/>
        </w:rPr>
        <w:t>授权委托书</w:t>
      </w:r>
    </w:p>
    <w:p w14:paraId="07D6B4BE">
      <w:pPr>
        <w:snapToGrid w:val="0"/>
        <w:spacing w:line="400" w:lineRule="exact"/>
        <w:ind w:firstLine="498" w:firstLineChars="236"/>
        <w:jc w:val="center"/>
        <w:rPr>
          <w:rFonts w:hint="eastAsia" w:ascii="宋体" w:hAnsi="宋体" w:cs="宋体"/>
          <w:b/>
          <w:bCs/>
          <w:color w:val="auto"/>
          <w:szCs w:val="21"/>
          <w:highlight w:val="none"/>
        </w:rPr>
      </w:pPr>
      <w:r>
        <w:rPr>
          <w:rFonts w:hint="eastAsia" w:ascii="宋体" w:hAnsi="宋体" w:cs="宋体"/>
          <w:b/>
          <w:bCs/>
          <w:color w:val="auto"/>
          <w:szCs w:val="21"/>
          <w:highlight w:val="none"/>
        </w:rPr>
        <w:t>（联合体投标格式）</w:t>
      </w:r>
    </w:p>
    <w:p w14:paraId="52E09AD7">
      <w:pPr>
        <w:snapToGrid w:val="0"/>
        <w:spacing w:line="400" w:lineRule="exact"/>
        <w:ind w:firstLine="498" w:firstLineChars="236"/>
        <w:jc w:val="center"/>
        <w:rPr>
          <w:rFonts w:hint="eastAsia" w:ascii="宋体" w:hAnsi="宋体" w:cs="宋体"/>
          <w:color w:val="auto"/>
          <w:szCs w:val="21"/>
          <w:highlight w:val="none"/>
        </w:rPr>
      </w:pPr>
      <w:r>
        <w:rPr>
          <w:rFonts w:hint="eastAsia" w:ascii="宋体" w:hAnsi="宋体" w:cs="宋体"/>
          <w:b/>
          <w:bCs/>
          <w:color w:val="auto"/>
          <w:szCs w:val="21"/>
          <w:highlight w:val="none"/>
        </w:rPr>
        <w:t>（如有委托时）</w:t>
      </w:r>
    </w:p>
    <w:p w14:paraId="0DA0FE54">
      <w:pPr>
        <w:spacing w:line="400" w:lineRule="exact"/>
        <w:contextualSpacing/>
        <w:jc w:val="left"/>
        <w:rPr>
          <w:rFonts w:hint="eastAsia" w:ascii="宋体" w:hAnsi="宋体" w:cs="宋体"/>
          <w:color w:val="auto"/>
          <w:szCs w:val="21"/>
          <w:highlight w:val="none"/>
        </w:rPr>
      </w:pPr>
      <w:r>
        <w:rPr>
          <w:rFonts w:hint="eastAsia" w:ascii="宋体" w:hAnsi="宋体" w:cs="宋体"/>
          <w:bCs/>
          <w:color w:val="auto"/>
          <w:szCs w:val="21"/>
          <w:highlight w:val="none"/>
        </w:rPr>
        <w:t>致：</w:t>
      </w:r>
      <w:r>
        <w:rPr>
          <w:rFonts w:hint="eastAsia" w:ascii="宋体" w:hAnsi="宋体" w:cs="宋体"/>
          <w:color w:val="auto"/>
          <w:szCs w:val="21"/>
          <w:highlight w:val="none"/>
          <w:u w:val="single"/>
        </w:rPr>
        <w:t>采购人名称</w:t>
      </w:r>
      <w:r>
        <w:rPr>
          <w:rFonts w:hint="eastAsia" w:ascii="宋体" w:hAnsi="宋体" w:cs="宋体"/>
          <w:color w:val="auto"/>
          <w:szCs w:val="21"/>
          <w:highlight w:val="none"/>
        </w:rPr>
        <w:t>：</w:t>
      </w:r>
    </w:p>
    <w:p w14:paraId="74499648">
      <w:pPr>
        <w:spacing w:line="40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 xml:space="preserve">根据 </w:t>
      </w:r>
      <w:r>
        <w:rPr>
          <w:rFonts w:hint="eastAsia" w:ascii="宋体" w:hAnsi="宋体" w:cs="宋体"/>
          <w:color w:val="auto"/>
          <w:szCs w:val="21"/>
          <w:highlight w:val="none"/>
          <w:u w:val="single"/>
        </w:rPr>
        <w:t xml:space="preserve"> （牵头人名称）</w:t>
      </w:r>
      <w:r>
        <w:rPr>
          <w:rFonts w:hint="eastAsia" w:ascii="宋体" w:hAnsi="宋体" w:cs="宋体"/>
          <w:color w:val="auto"/>
          <w:szCs w:val="21"/>
          <w:highlight w:val="none"/>
        </w:rPr>
        <w:t>与</w:t>
      </w:r>
      <w:r>
        <w:rPr>
          <w:rFonts w:hint="eastAsia" w:ascii="宋体" w:hAnsi="宋体" w:cs="宋体"/>
          <w:color w:val="auto"/>
          <w:szCs w:val="21"/>
          <w:highlight w:val="none"/>
          <w:u w:val="single"/>
        </w:rPr>
        <w:t>（联合体其他成员名称）</w:t>
      </w:r>
      <w:r>
        <w:rPr>
          <w:rFonts w:hint="eastAsia" w:ascii="宋体" w:hAnsi="宋体" w:cs="宋体"/>
          <w:color w:val="auto"/>
          <w:szCs w:val="21"/>
          <w:highlight w:val="none"/>
        </w:rPr>
        <w:t>签订的《联合体投标协议书》的内容，</w:t>
      </w:r>
      <w:r>
        <w:rPr>
          <w:rFonts w:hint="eastAsia" w:ascii="宋体" w:hAnsi="宋体" w:cs="宋体"/>
          <w:color w:val="auto"/>
          <w:szCs w:val="21"/>
          <w:highlight w:val="none"/>
          <w:u w:val="single"/>
        </w:rPr>
        <w:t>（牵头人名称）</w:t>
      </w:r>
      <w:r>
        <w:rPr>
          <w:rFonts w:hint="eastAsia" w:ascii="宋体" w:hAnsi="宋体" w:cs="宋体"/>
          <w:color w:val="auto"/>
          <w:szCs w:val="21"/>
          <w:highlight w:val="none"/>
        </w:rPr>
        <w:t>的法定代表人</w:t>
      </w:r>
      <w:r>
        <w:rPr>
          <w:rFonts w:hint="eastAsia" w:ascii="宋体" w:hAnsi="宋体" w:cs="宋体"/>
          <w:color w:val="auto"/>
          <w:szCs w:val="21"/>
          <w:highlight w:val="none"/>
          <w:u w:val="single"/>
        </w:rPr>
        <w:t>（姓名）</w:t>
      </w:r>
      <w:r>
        <w:rPr>
          <w:rFonts w:hint="eastAsia" w:ascii="宋体" w:hAnsi="宋体" w:cs="宋体"/>
          <w:color w:val="auto"/>
          <w:szCs w:val="21"/>
          <w:highlight w:val="none"/>
        </w:rPr>
        <w:t>现授权委托</w:t>
      </w:r>
      <w:r>
        <w:rPr>
          <w:rFonts w:hint="eastAsia" w:ascii="宋体" w:hAnsi="宋体" w:cs="宋体"/>
          <w:color w:val="auto"/>
          <w:szCs w:val="21"/>
          <w:highlight w:val="none"/>
          <w:u w:val="single"/>
        </w:rPr>
        <w:t xml:space="preserve">              （姓名）</w:t>
      </w:r>
      <w:r>
        <w:rPr>
          <w:rFonts w:hint="eastAsia" w:ascii="宋体" w:hAnsi="宋体" w:cs="宋体"/>
          <w:color w:val="auto"/>
          <w:szCs w:val="21"/>
          <w:highlight w:val="none"/>
        </w:rPr>
        <w:t>以我方的名义参加项目的投标活动，并代表我方全权办理针对上述项目的所有采购程序和环节的具体事务和签署相关文件。</w:t>
      </w:r>
    </w:p>
    <w:p w14:paraId="46174A15">
      <w:pPr>
        <w:spacing w:line="400" w:lineRule="exact"/>
        <w:ind w:firstLine="495" w:firstLineChars="236"/>
        <w:contextualSpacing/>
        <w:rPr>
          <w:rFonts w:hint="eastAsia" w:ascii="宋体" w:hAnsi="宋体" w:cs="宋体"/>
          <w:color w:val="auto"/>
          <w:szCs w:val="21"/>
          <w:highlight w:val="none"/>
        </w:rPr>
      </w:pPr>
      <w:bookmarkStart w:id="423" w:name="_Hlk65852658"/>
      <w:r>
        <w:rPr>
          <w:rFonts w:hint="eastAsia" w:ascii="宋体" w:hAnsi="宋体" w:cs="宋体"/>
          <w:color w:val="auto"/>
          <w:szCs w:val="21"/>
          <w:highlight w:val="none"/>
        </w:rPr>
        <w:t>我方对委托代理人的签字或者电子签名事项负全部责任。</w:t>
      </w:r>
    </w:p>
    <w:p w14:paraId="0681E046">
      <w:pPr>
        <w:spacing w:line="40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本授权书自签署之日起生效，在撤销授权的书面通知以前，本授权书一直有效。委托代理人在授权书有效期内签署的所有文件不因授权的撤销而失效。</w:t>
      </w:r>
    </w:p>
    <w:p w14:paraId="3F858C56">
      <w:pPr>
        <w:spacing w:line="40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委托代理人无转委托权，特此委托。</w:t>
      </w:r>
    </w:p>
    <w:p w14:paraId="01658DD9">
      <w:pPr>
        <w:spacing w:line="40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附：牵头人法定代表人身份证明及委托代理人有效身份证正反面复印件</w:t>
      </w:r>
    </w:p>
    <w:p w14:paraId="2FFF5FB3">
      <w:pPr>
        <w:spacing w:line="400" w:lineRule="exact"/>
        <w:ind w:firstLine="495" w:firstLineChars="236"/>
        <w:contextualSpacing/>
        <w:rPr>
          <w:rFonts w:hint="eastAsia" w:ascii="宋体" w:hAnsi="宋体" w:cs="宋体"/>
          <w:color w:val="auto"/>
          <w:szCs w:val="21"/>
          <w:highlight w:val="none"/>
        </w:rPr>
      </w:pPr>
    </w:p>
    <w:p w14:paraId="730733C3">
      <w:pPr>
        <w:spacing w:line="40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牵头人（电子签章）：</w:t>
      </w:r>
    </w:p>
    <w:p w14:paraId="7659AE18">
      <w:pPr>
        <w:spacing w:line="40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牵头人法定代表人（签字或者盖章或者电子签名）：</w:t>
      </w:r>
    </w:p>
    <w:p w14:paraId="6978C6AD">
      <w:pPr>
        <w:spacing w:line="40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596AD3B5">
      <w:pPr>
        <w:spacing w:line="400" w:lineRule="exact"/>
        <w:ind w:firstLine="495" w:firstLineChars="236"/>
        <w:contextualSpacing/>
        <w:rPr>
          <w:rFonts w:hint="eastAsia" w:ascii="宋体" w:hAnsi="宋体" w:cs="宋体"/>
          <w:color w:val="auto"/>
          <w:szCs w:val="21"/>
          <w:highlight w:val="none"/>
        </w:rPr>
      </w:pPr>
    </w:p>
    <w:p w14:paraId="7248A011">
      <w:pPr>
        <w:spacing w:line="40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被授权人（签字或者电子签名）：</w:t>
      </w:r>
    </w:p>
    <w:p w14:paraId="673199CB">
      <w:pPr>
        <w:spacing w:line="400" w:lineRule="exact"/>
        <w:ind w:firstLine="495" w:firstLineChars="236"/>
        <w:contextualSpacing/>
        <w:rPr>
          <w:rFonts w:hint="eastAsia" w:ascii="宋体" w:hAnsi="宋体" w:cs="宋体"/>
          <w:color w:val="auto"/>
          <w:szCs w:val="21"/>
          <w:highlight w:val="none"/>
        </w:rPr>
      </w:pPr>
      <w:r>
        <w:rPr>
          <w:rFonts w:hint="eastAsia" w:ascii="宋体" w:hAnsi="宋体" w:cs="宋体"/>
          <w:color w:val="auto"/>
          <w:szCs w:val="21"/>
          <w:highlight w:val="none"/>
        </w:rPr>
        <w:t>日期：    年   月   日</w:t>
      </w:r>
    </w:p>
    <w:p w14:paraId="74E5F70E">
      <w:pPr>
        <w:spacing w:line="400" w:lineRule="exact"/>
        <w:contextualSpacing/>
        <w:rPr>
          <w:rFonts w:hint="eastAsia" w:ascii="宋体" w:hAnsi="宋体" w:cs="宋体"/>
          <w:color w:val="auto"/>
          <w:szCs w:val="21"/>
          <w:highlight w:val="none"/>
        </w:rPr>
      </w:pPr>
      <w:r>
        <w:rPr>
          <w:rFonts w:hint="eastAsia" w:ascii="宋体" w:hAnsi="宋体" w:cs="宋体"/>
          <w:color w:val="auto"/>
          <w:szCs w:val="21"/>
          <w:highlight w:val="none"/>
        </w:rPr>
        <w:t>注：1.法定代表人必须在授权委托书上签字或者盖章或者电子签名，委托代理人必须在授权委托书上签字或者电子签名，</w:t>
      </w:r>
      <w:r>
        <w:rPr>
          <w:rFonts w:hint="eastAsia" w:ascii="宋体" w:hAnsi="宋体" w:cs="宋体"/>
          <w:b/>
          <w:bCs/>
          <w:color w:val="auto"/>
          <w:szCs w:val="21"/>
          <w:highlight w:val="none"/>
        </w:rPr>
        <w:t>否则按无效投标处理</w:t>
      </w:r>
      <w:r>
        <w:rPr>
          <w:rFonts w:hint="eastAsia" w:ascii="宋体" w:hAnsi="宋体" w:cs="宋体"/>
          <w:color w:val="auto"/>
          <w:szCs w:val="21"/>
          <w:highlight w:val="none"/>
        </w:rPr>
        <w:t>；</w:t>
      </w:r>
    </w:p>
    <w:p w14:paraId="3543CD05">
      <w:pPr>
        <w:spacing w:line="40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2.法人、其他组织投标时“我方”是指“我单位”，自然人投标时“我方”是指“本人”。</w:t>
      </w:r>
    </w:p>
    <w:p w14:paraId="051D1941">
      <w:pPr>
        <w:spacing w:line="400" w:lineRule="exact"/>
        <w:contextualSpacing/>
        <w:rPr>
          <w:rFonts w:hint="eastAsia" w:ascii="宋体" w:hAnsi="宋体" w:cs="宋体"/>
          <w:color w:val="auto"/>
          <w:szCs w:val="21"/>
          <w:highlight w:val="none"/>
        </w:rPr>
      </w:pPr>
    </w:p>
    <w:bookmarkEnd w:id="423"/>
    <w:p w14:paraId="485E7D52">
      <w:pPr>
        <w:snapToGrid w:val="0"/>
        <w:spacing w:line="400" w:lineRule="exact"/>
        <w:ind w:firstLine="420" w:firstLineChars="200"/>
        <w:jc w:val="left"/>
        <w:rPr>
          <w:rFonts w:hint="eastAsia" w:ascii="宋体" w:hAnsi="宋体" w:cs="宋体"/>
          <w:color w:val="auto"/>
          <w:szCs w:val="21"/>
          <w:highlight w:val="none"/>
        </w:rPr>
        <w:sectPr>
          <w:footerReference r:id="rId9" w:type="first"/>
          <w:footerReference r:id="rId8" w:type="default"/>
          <w:pgSz w:w="11906" w:h="16838"/>
          <w:pgMar w:top="1440" w:right="1080" w:bottom="1440" w:left="1080" w:header="851" w:footer="992" w:gutter="0"/>
          <w:pgNumType w:fmt="decimal" w:start="1"/>
          <w:cols w:space="720" w:num="1"/>
          <w:titlePg/>
          <w:docGrid w:linePitch="312" w:charSpace="0"/>
        </w:sectPr>
      </w:pPr>
    </w:p>
    <w:p w14:paraId="6BFAA128">
      <w:pPr>
        <w:snapToGrid w:val="0"/>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4.投标人直接控股股东信息表</w:t>
      </w:r>
    </w:p>
    <w:p w14:paraId="09056ABA">
      <w:pPr>
        <w:snapToGrid w:val="0"/>
        <w:spacing w:line="400" w:lineRule="exact"/>
        <w:jc w:val="center"/>
        <w:rPr>
          <w:rFonts w:hint="eastAsia" w:ascii="宋体" w:hAnsi="宋体" w:cs="宋体"/>
          <w:b/>
          <w:color w:val="auto"/>
          <w:szCs w:val="21"/>
          <w:highlight w:val="none"/>
        </w:rPr>
      </w:pPr>
    </w:p>
    <w:p w14:paraId="2FDC2A54">
      <w:pPr>
        <w:snapToGrid w:val="0"/>
        <w:spacing w:line="40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投标人直接控股股东信息表</w:t>
      </w:r>
    </w:p>
    <w:tbl>
      <w:tblPr>
        <w:tblStyle w:val="84"/>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33AC0249">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C509A4E">
            <w:pPr>
              <w:spacing w:line="4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2B3C683F">
            <w:pPr>
              <w:spacing w:line="4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777FE6C">
            <w:pPr>
              <w:spacing w:line="4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1683E4A">
            <w:pPr>
              <w:spacing w:line="4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72A7A8A">
            <w:pPr>
              <w:spacing w:line="400" w:lineRule="exact"/>
              <w:jc w:val="center"/>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备注</w:t>
            </w:r>
          </w:p>
        </w:tc>
      </w:tr>
      <w:tr w14:paraId="7514B7A3">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8E071A0">
            <w:pPr>
              <w:spacing w:line="4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573EF6E">
            <w:pPr>
              <w:spacing w:line="400" w:lineRule="exact"/>
              <w:jc w:val="center"/>
              <w:rPr>
                <w:rFonts w:hint="eastAsia" w:ascii="宋体" w:hAnsi="宋体" w:cs="宋体"/>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BB4FC71">
            <w:pPr>
              <w:spacing w:line="400" w:lineRule="exact"/>
              <w:jc w:val="center"/>
              <w:rPr>
                <w:rFonts w:hint="eastAsia" w:ascii="宋体" w:hAnsi="宋体" w:cs="宋体"/>
                <w:color w:val="auto"/>
                <w:kern w:val="0"/>
                <w:szCs w:val="21"/>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455EB4">
            <w:pPr>
              <w:spacing w:line="400" w:lineRule="exact"/>
              <w:jc w:val="center"/>
              <w:rPr>
                <w:rFonts w:hint="eastAsia" w:ascii="宋体" w:hAnsi="宋体" w:cs="宋体"/>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4F0F8E">
            <w:pPr>
              <w:spacing w:line="400" w:lineRule="exact"/>
              <w:jc w:val="center"/>
              <w:rPr>
                <w:rFonts w:hint="eastAsia" w:ascii="宋体" w:hAnsi="宋体" w:cs="宋体"/>
                <w:color w:val="auto"/>
                <w:kern w:val="0"/>
                <w:szCs w:val="21"/>
                <w:highlight w:val="none"/>
              </w:rPr>
            </w:pPr>
          </w:p>
        </w:tc>
      </w:tr>
      <w:tr w14:paraId="132EF9C3">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6D5EE90">
            <w:pPr>
              <w:spacing w:line="4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2DD803">
            <w:pPr>
              <w:spacing w:line="400" w:lineRule="exact"/>
              <w:jc w:val="center"/>
              <w:rPr>
                <w:rFonts w:hint="eastAsia" w:ascii="宋体" w:hAnsi="宋体" w:cs="宋体"/>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1C4D2CB">
            <w:pPr>
              <w:spacing w:line="400" w:lineRule="exact"/>
              <w:jc w:val="center"/>
              <w:rPr>
                <w:rFonts w:hint="eastAsia" w:ascii="宋体" w:hAnsi="宋体" w:cs="宋体"/>
                <w:color w:val="auto"/>
                <w:kern w:val="0"/>
                <w:szCs w:val="21"/>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D77836">
            <w:pPr>
              <w:spacing w:line="400" w:lineRule="exact"/>
              <w:jc w:val="center"/>
              <w:rPr>
                <w:rFonts w:hint="eastAsia" w:ascii="宋体" w:hAnsi="宋体" w:cs="宋体"/>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32B6783">
            <w:pPr>
              <w:spacing w:line="400" w:lineRule="exact"/>
              <w:jc w:val="center"/>
              <w:rPr>
                <w:rFonts w:hint="eastAsia" w:ascii="宋体" w:hAnsi="宋体" w:cs="宋体"/>
                <w:color w:val="auto"/>
                <w:kern w:val="0"/>
                <w:szCs w:val="21"/>
                <w:highlight w:val="none"/>
              </w:rPr>
            </w:pPr>
          </w:p>
        </w:tc>
      </w:tr>
      <w:tr w14:paraId="10B090D7">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307A45">
            <w:pPr>
              <w:spacing w:line="4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CF6708">
            <w:pPr>
              <w:spacing w:line="400" w:lineRule="exact"/>
              <w:jc w:val="center"/>
              <w:rPr>
                <w:rFonts w:hint="eastAsia" w:ascii="宋体" w:hAnsi="宋体" w:cs="宋体"/>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1B08010">
            <w:pPr>
              <w:spacing w:line="400" w:lineRule="exact"/>
              <w:jc w:val="center"/>
              <w:rPr>
                <w:rFonts w:hint="eastAsia" w:ascii="宋体" w:hAnsi="宋体" w:cs="宋体"/>
                <w:color w:val="auto"/>
                <w:kern w:val="0"/>
                <w:szCs w:val="21"/>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B2DBDB4">
            <w:pPr>
              <w:spacing w:line="400" w:lineRule="exact"/>
              <w:jc w:val="center"/>
              <w:rPr>
                <w:rFonts w:hint="eastAsia" w:ascii="宋体" w:hAnsi="宋体" w:cs="宋体"/>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4D37EB5">
            <w:pPr>
              <w:spacing w:line="400" w:lineRule="exact"/>
              <w:jc w:val="center"/>
              <w:rPr>
                <w:rFonts w:hint="eastAsia" w:ascii="宋体" w:hAnsi="宋体" w:cs="宋体"/>
                <w:color w:val="auto"/>
                <w:kern w:val="0"/>
                <w:szCs w:val="21"/>
                <w:highlight w:val="none"/>
              </w:rPr>
            </w:pPr>
          </w:p>
        </w:tc>
      </w:tr>
      <w:tr w14:paraId="1024DDB6">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0B14C97">
            <w:pPr>
              <w:spacing w:line="400" w:lineRule="exact"/>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CD41772">
            <w:pPr>
              <w:spacing w:line="400" w:lineRule="exact"/>
              <w:jc w:val="center"/>
              <w:rPr>
                <w:rFonts w:hint="eastAsia" w:ascii="宋体" w:hAnsi="宋体" w:cs="宋体"/>
                <w:color w:val="auto"/>
                <w:kern w:val="0"/>
                <w:szCs w:val="21"/>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F943B0B">
            <w:pPr>
              <w:spacing w:line="400" w:lineRule="exact"/>
              <w:jc w:val="center"/>
              <w:rPr>
                <w:rFonts w:hint="eastAsia" w:ascii="宋体" w:hAnsi="宋体" w:cs="宋体"/>
                <w:color w:val="auto"/>
                <w:kern w:val="0"/>
                <w:szCs w:val="21"/>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4A9EB8A">
            <w:pPr>
              <w:spacing w:line="400" w:lineRule="exact"/>
              <w:jc w:val="center"/>
              <w:rPr>
                <w:rFonts w:hint="eastAsia" w:ascii="宋体" w:hAnsi="宋体" w:cs="宋体"/>
                <w:color w:val="auto"/>
                <w:kern w:val="0"/>
                <w:szCs w:val="21"/>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5BDDF1A">
            <w:pPr>
              <w:spacing w:line="400" w:lineRule="exact"/>
              <w:jc w:val="center"/>
              <w:rPr>
                <w:rFonts w:hint="eastAsia" w:ascii="宋体" w:hAnsi="宋体" w:cs="宋体"/>
                <w:color w:val="auto"/>
                <w:kern w:val="0"/>
                <w:szCs w:val="21"/>
                <w:highlight w:val="none"/>
              </w:rPr>
            </w:pPr>
          </w:p>
        </w:tc>
      </w:tr>
    </w:tbl>
    <w:p w14:paraId="715A4CEE">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注：</w:t>
      </w:r>
    </w:p>
    <w:p w14:paraId="3046410B">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23A2322">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2.本表所指的控股关系仅限于直接控股关系，不包括间接的控股关系。公司实际控制人与公司之间的关系不属于本表所指的直接控股关系。</w:t>
      </w:r>
    </w:p>
    <w:p w14:paraId="5B62848D">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3.供应商不存在直接控股股东的，则在“</w:t>
      </w:r>
      <w:r>
        <w:rPr>
          <w:rFonts w:hint="eastAsia" w:ascii="宋体" w:hAnsi="宋体" w:cs="宋体"/>
          <w:b/>
          <w:bCs/>
          <w:color w:val="auto"/>
          <w:kern w:val="0"/>
          <w:szCs w:val="21"/>
          <w:highlight w:val="none"/>
        </w:rPr>
        <w:t>直接控股股东名称</w:t>
      </w:r>
      <w:r>
        <w:rPr>
          <w:rFonts w:hint="eastAsia" w:ascii="宋体" w:hAnsi="宋体" w:cs="宋体"/>
          <w:color w:val="auto"/>
          <w:szCs w:val="21"/>
          <w:highlight w:val="none"/>
        </w:rPr>
        <w:t>”中填“无”。</w:t>
      </w:r>
    </w:p>
    <w:p w14:paraId="6D83EDB6">
      <w:pPr>
        <w:snapToGrid w:val="0"/>
        <w:spacing w:line="400" w:lineRule="exact"/>
        <w:jc w:val="left"/>
        <w:rPr>
          <w:rFonts w:hint="eastAsia" w:ascii="宋体" w:hAnsi="宋体" w:cs="宋体"/>
          <w:color w:val="auto"/>
          <w:szCs w:val="21"/>
          <w:highlight w:val="none"/>
        </w:rPr>
      </w:pPr>
    </w:p>
    <w:p w14:paraId="79434CCF">
      <w:pPr>
        <w:snapToGrid w:val="0"/>
        <w:spacing w:line="400" w:lineRule="exact"/>
        <w:jc w:val="left"/>
        <w:rPr>
          <w:rFonts w:hint="eastAsia" w:ascii="宋体" w:hAnsi="宋体" w:cs="宋体"/>
          <w:color w:val="auto"/>
          <w:szCs w:val="21"/>
          <w:highlight w:val="none"/>
        </w:rPr>
      </w:pPr>
    </w:p>
    <w:p w14:paraId="25E69E68">
      <w:pPr>
        <w:snapToGrid w:val="0"/>
        <w:spacing w:line="400" w:lineRule="exact"/>
        <w:jc w:val="left"/>
        <w:rPr>
          <w:rFonts w:hint="eastAsia" w:ascii="宋体" w:hAnsi="宋体" w:cs="宋体"/>
          <w:color w:val="auto"/>
          <w:szCs w:val="21"/>
          <w:highlight w:val="none"/>
        </w:rPr>
      </w:pPr>
    </w:p>
    <w:p w14:paraId="1B57C357">
      <w:pPr>
        <w:snapToGrid w:val="0"/>
        <w:spacing w:line="400" w:lineRule="exact"/>
        <w:rPr>
          <w:rFonts w:hint="eastAsia" w:ascii="宋体" w:hAnsi="宋体" w:cs="宋体"/>
          <w:color w:val="auto"/>
          <w:szCs w:val="21"/>
          <w:highlight w:val="none"/>
        </w:rPr>
      </w:pPr>
      <w:r>
        <w:rPr>
          <w:rFonts w:hint="eastAsia" w:ascii="宋体" w:hAnsi="宋体" w:cs="宋体"/>
          <w:color w:val="auto"/>
          <w:szCs w:val="21"/>
          <w:highlight w:val="none"/>
        </w:rPr>
        <w:t xml:space="preserve">             法定代表人或者委托代理人（签字或者电子签名）：</w:t>
      </w:r>
    </w:p>
    <w:p w14:paraId="10EDA5FE">
      <w:pPr>
        <w:snapToGrid w:val="0"/>
        <w:spacing w:line="400" w:lineRule="exact"/>
        <w:ind w:left="25" w:hanging="25" w:hangingChars="12"/>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0805BC65">
      <w:pPr>
        <w:snapToGrid w:val="0"/>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                                    日期：    年   月   日</w:t>
      </w:r>
    </w:p>
    <w:p w14:paraId="5F192E3B">
      <w:pPr>
        <w:snapToGrid w:val="0"/>
        <w:spacing w:line="400" w:lineRule="exact"/>
        <w:jc w:val="left"/>
        <w:rPr>
          <w:rFonts w:hint="eastAsia" w:ascii="宋体" w:hAnsi="宋体" w:cs="宋体"/>
          <w:b/>
          <w:color w:val="auto"/>
          <w:szCs w:val="21"/>
          <w:highlight w:val="none"/>
        </w:rPr>
      </w:pPr>
    </w:p>
    <w:p w14:paraId="640F6878">
      <w:pPr>
        <w:snapToGrid w:val="0"/>
        <w:spacing w:line="400" w:lineRule="exact"/>
        <w:jc w:val="left"/>
        <w:rPr>
          <w:rFonts w:hint="eastAsia" w:ascii="宋体" w:hAnsi="宋体" w:cs="宋体"/>
          <w:b/>
          <w:color w:val="auto"/>
          <w:szCs w:val="21"/>
          <w:highlight w:val="none"/>
        </w:rPr>
      </w:pPr>
    </w:p>
    <w:p w14:paraId="3E27B808">
      <w:pPr>
        <w:snapToGrid w:val="0"/>
        <w:spacing w:line="400" w:lineRule="exact"/>
        <w:jc w:val="left"/>
        <w:rPr>
          <w:rFonts w:hint="eastAsia" w:ascii="宋体" w:hAnsi="宋体" w:cs="宋体"/>
          <w:b/>
          <w:color w:val="auto"/>
          <w:szCs w:val="21"/>
          <w:highlight w:val="none"/>
        </w:rPr>
      </w:pPr>
    </w:p>
    <w:p w14:paraId="14CBEF17">
      <w:pPr>
        <w:rPr>
          <w:rFonts w:hint="eastAsia" w:ascii="宋体" w:hAnsi="宋体" w:cs="宋体"/>
          <w:b/>
          <w:color w:val="auto"/>
          <w:szCs w:val="21"/>
          <w:highlight w:val="none"/>
        </w:rPr>
      </w:pPr>
      <w:r>
        <w:rPr>
          <w:rFonts w:hint="eastAsia" w:ascii="宋体" w:hAnsi="宋体" w:cs="宋体"/>
          <w:b/>
          <w:color w:val="auto"/>
          <w:szCs w:val="21"/>
          <w:highlight w:val="none"/>
        </w:rPr>
        <w:br w:type="page"/>
      </w:r>
    </w:p>
    <w:p w14:paraId="6E9FF336">
      <w:pPr>
        <w:snapToGrid w:val="0"/>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5.投标声明</w:t>
      </w:r>
    </w:p>
    <w:p w14:paraId="09423EC1">
      <w:pPr>
        <w:snapToGrid w:val="0"/>
        <w:spacing w:line="400" w:lineRule="exact"/>
        <w:jc w:val="left"/>
        <w:rPr>
          <w:rFonts w:hint="eastAsia" w:ascii="宋体" w:hAnsi="宋体" w:cs="宋体"/>
          <w:color w:val="auto"/>
          <w:szCs w:val="21"/>
          <w:highlight w:val="none"/>
        </w:rPr>
      </w:pPr>
    </w:p>
    <w:p w14:paraId="4D6E2763">
      <w:pPr>
        <w:snapToGrid w:val="0"/>
        <w:spacing w:line="40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投标声明</w:t>
      </w:r>
    </w:p>
    <w:p w14:paraId="15E9E06D">
      <w:pPr>
        <w:spacing w:line="40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（采购人名称）：</w:t>
      </w:r>
    </w:p>
    <w:p w14:paraId="485378CF">
      <w:pPr>
        <w:spacing w:line="400" w:lineRule="exact"/>
        <w:ind w:firstLine="457" w:firstLineChars="218"/>
        <w:contextualSpacing/>
        <w:jc w:val="left"/>
        <w:rPr>
          <w:rFonts w:hint="eastAsia" w:ascii="宋体" w:hAnsi="宋体" w:cs="宋体"/>
          <w:color w:val="auto"/>
          <w:szCs w:val="21"/>
          <w:highlight w:val="none"/>
        </w:rPr>
      </w:pPr>
      <w:r>
        <w:rPr>
          <w:rFonts w:hint="eastAsia" w:ascii="宋体" w:hAnsi="宋体" w:cs="宋体"/>
          <w:color w:val="auto"/>
          <w:szCs w:val="21"/>
          <w:highlight w:val="none"/>
        </w:rPr>
        <w:t>我方参加贵单位组织项目（项目编号：）的政府采购活动。我方在此郑重声明：</w:t>
      </w:r>
    </w:p>
    <w:p w14:paraId="454E746A">
      <w:pPr>
        <w:spacing w:line="40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6DD4F0D4">
      <w:pPr>
        <w:spacing w:line="40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2.我方不是为本次采购项目提供整体设计、规范编制或者项目管理、监理、检测等服务的供应商。</w:t>
      </w:r>
    </w:p>
    <w:p w14:paraId="1D27EB8E">
      <w:pPr>
        <w:spacing w:line="40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3. 我方承诺符合《中华人民共和国政府采购法》第二十二条规定：</w:t>
      </w:r>
    </w:p>
    <w:p w14:paraId="1F8467DA">
      <w:pPr>
        <w:spacing w:line="40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（一）具有独立承担民事责任的能力；</w:t>
      </w:r>
    </w:p>
    <w:p w14:paraId="3590D1B0">
      <w:pPr>
        <w:spacing w:line="40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（二）具有良好的商业信誉和健全的财务会计制度；</w:t>
      </w:r>
    </w:p>
    <w:p w14:paraId="0FC92F52">
      <w:pPr>
        <w:spacing w:line="40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（三）具有履行合同所必需的设备和专业技术能力；</w:t>
      </w:r>
    </w:p>
    <w:p w14:paraId="34292339">
      <w:pPr>
        <w:spacing w:line="40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（四）有依法缴纳税收和社会保障资金的良好记录；</w:t>
      </w:r>
    </w:p>
    <w:p w14:paraId="293911A8">
      <w:pPr>
        <w:spacing w:line="40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（五）参加政府采购活动前三年内，在经营活动中没有重大违法记录；</w:t>
      </w:r>
    </w:p>
    <w:p w14:paraId="0D672C9B">
      <w:pPr>
        <w:spacing w:line="40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（六）法律、行政法规规定的其他条件。</w:t>
      </w:r>
    </w:p>
    <w:p w14:paraId="4A26F03A">
      <w:pPr>
        <w:spacing w:line="400" w:lineRule="exact"/>
        <w:ind w:firstLine="420" w:firstLineChars="200"/>
        <w:contextualSpacing/>
        <w:jc w:val="left"/>
        <w:rPr>
          <w:rFonts w:hint="eastAsia" w:ascii="宋体" w:hAnsi="宋体" w:cs="宋体"/>
          <w:color w:val="auto"/>
          <w:szCs w:val="21"/>
          <w:highlight w:val="none"/>
        </w:rPr>
      </w:pPr>
      <w:r>
        <w:rPr>
          <w:rFonts w:hint="eastAsia" w:ascii="宋体" w:hAnsi="宋体" w:cs="宋体"/>
          <w:color w:val="auto"/>
          <w:szCs w:val="21"/>
          <w:highlight w:val="none"/>
        </w:rPr>
        <w:t>4.以上事项如有虚假或者隐瞒，我方愿意承担一切后果，并不再寻求任何旨在减轻或者免除法律责任的辩解。</w:t>
      </w:r>
    </w:p>
    <w:p w14:paraId="52DACA92">
      <w:pPr>
        <w:spacing w:line="40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 xml:space="preserve">    特此承诺。</w:t>
      </w:r>
    </w:p>
    <w:p w14:paraId="2E9A134A">
      <w:pPr>
        <w:snapToGrid w:val="0"/>
        <w:spacing w:line="400" w:lineRule="exact"/>
        <w:ind w:firstLine="926" w:firstLineChars="441"/>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p>
    <w:p w14:paraId="67E2C5F6">
      <w:pPr>
        <w:spacing w:line="400" w:lineRule="exact"/>
        <w:contextualSpacing/>
        <w:jc w:val="left"/>
        <w:rPr>
          <w:rFonts w:hint="eastAsia" w:ascii="宋体" w:hAnsi="宋体" w:cs="宋体"/>
          <w:color w:val="auto"/>
          <w:szCs w:val="21"/>
          <w:highlight w:val="none"/>
        </w:rPr>
      </w:pPr>
    </w:p>
    <w:p w14:paraId="01D16489">
      <w:pPr>
        <w:spacing w:line="40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 xml:space="preserve">                             投标人名称（电子签章）：</w:t>
      </w:r>
    </w:p>
    <w:p w14:paraId="590A7A0A">
      <w:pPr>
        <w:spacing w:line="40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 xml:space="preserve">                                                  年    月    日</w:t>
      </w:r>
    </w:p>
    <w:p w14:paraId="01F8BA2A">
      <w:pPr>
        <w:spacing w:line="400" w:lineRule="exact"/>
        <w:contextualSpacing/>
        <w:rPr>
          <w:rFonts w:hint="eastAsia" w:ascii="宋体" w:hAnsi="宋体" w:cs="宋体"/>
          <w:b/>
          <w:color w:val="auto"/>
          <w:szCs w:val="21"/>
          <w:highlight w:val="none"/>
        </w:rPr>
      </w:pPr>
      <w:r>
        <w:rPr>
          <w:rFonts w:hint="eastAsia" w:ascii="宋体" w:hAnsi="宋体" w:cs="宋体"/>
          <w:b/>
          <w:color w:val="auto"/>
          <w:szCs w:val="21"/>
          <w:highlight w:val="none"/>
        </w:rPr>
        <w:t>注：如为联合体投标，盖章处须加盖联合体牵头人电子签章并由联合体牵头人法定代表人分别签字或者盖章或者电子签名，否则投标无效。</w:t>
      </w:r>
    </w:p>
    <w:p w14:paraId="3E0A9049">
      <w:pPr>
        <w:spacing w:line="400" w:lineRule="exact"/>
        <w:contextualSpacing/>
        <w:jc w:val="left"/>
        <w:rPr>
          <w:rFonts w:hint="eastAsia" w:ascii="宋体" w:hAnsi="宋体" w:cs="宋体"/>
          <w:color w:val="auto"/>
          <w:szCs w:val="21"/>
          <w:highlight w:val="none"/>
        </w:rPr>
      </w:pPr>
    </w:p>
    <w:p w14:paraId="364E0EBF">
      <w:pPr>
        <w:spacing w:line="400" w:lineRule="exact"/>
        <w:contextualSpacing/>
        <w:jc w:val="left"/>
        <w:rPr>
          <w:rFonts w:hint="eastAsia" w:ascii="宋体" w:hAnsi="宋体" w:cs="宋体"/>
          <w:color w:val="auto"/>
          <w:szCs w:val="21"/>
          <w:highlight w:val="none"/>
        </w:rPr>
      </w:pPr>
    </w:p>
    <w:p w14:paraId="6B989824">
      <w:pPr>
        <w:spacing w:line="400" w:lineRule="exact"/>
        <w:contextualSpacing/>
        <w:jc w:val="left"/>
        <w:rPr>
          <w:rFonts w:hint="eastAsia" w:ascii="宋体" w:hAnsi="宋体" w:cs="宋体"/>
          <w:color w:val="auto"/>
          <w:szCs w:val="21"/>
          <w:highlight w:val="none"/>
        </w:rPr>
      </w:pPr>
    </w:p>
    <w:p w14:paraId="5811865A">
      <w:pPr>
        <w:spacing w:line="400" w:lineRule="exact"/>
        <w:rPr>
          <w:rFonts w:hint="eastAsia" w:ascii="宋体" w:hAnsi="宋体" w:cs="宋体"/>
          <w:b/>
          <w:color w:val="auto"/>
          <w:szCs w:val="21"/>
          <w:highlight w:val="none"/>
        </w:rPr>
      </w:pPr>
      <w:bookmarkStart w:id="424" w:name="_Toc19686838"/>
      <w:r>
        <w:rPr>
          <w:rFonts w:hint="eastAsia" w:ascii="宋体" w:hAnsi="宋体" w:cs="宋体"/>
          <w:b/>
          <w:color w:val="auto"/>
          <w:szCs w:val="21"/>
          <w:highlight w:val="none"/>
        </w:rPr>
        <w:br w:type="page"/>
      </w:r>
    </w:p>
    <w:p w14:paraId="335C0C7A">
      <w:pPr>
        <w:snapToGrid w:val="0"/>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.联合体投标协议书及分包意向协议书</w:t>
      </w:r>
    </w:p>
    <w:p w14:paraId="6D577FBB">
      <w:pPr>
        <w:snapToGrid w:val="0"/>
        <w:spacing w:line="400" w:lineRule="exact"/>
        <w:rPr>
          <w:rFonts w:hint="eastAsia" w:ascii="宋体" w:hAnsi="宋体" w:cs="宋体"/>
          <w:b/>
          <w:bCs/>
          <w:color w:val="auto"/>
          <w:w w:val="99"/>
          <w:kern w:val="0"/>
          <w:szCs w:val="21"/>
          <w:highlight w:val="none"/>
        </w:rPr>
      </w:pPr>
    </w:p>
    <w:p w14:paraId="50CC19DA">
      <w:pPr>
        <w:snapToGrid w:val="0"/>
        <w:spacing w:line="400" w:lineRule="exact"/>
        <w:jc w:val="center"/>
        <w:rPr>
          <w:rFonts w:hint="eastAsia" w:ascii="宋体" w:hAnsi="宋体" w:cs="宋体"/>
          <w:b/>
          <w:bCs/>
          <w:color w:val="auto"/>
          <w:w w:val="99"/>
          <w:kern w:val="0"/>
          <w:szCs w:val="21"/>
          <w:highlight w:val="none"/>
        </w:rPr>
      </w:pPr>
      <w:r>
        <w:rPr>
          <w:rFonts w:hint="eastAsia" w:ascii="宋体" w:hAnsi="宋体" w:cs="宋体"/>
          <w:b/>
          <w:bCs/>
          <w:color w:val="auto"/>
          <w:w w:val="99"/>
          <w:kern w:val="0"/>
          <w:szCs w:val="21"/>
          <w:highlight w:val="none"/>
        </w:rPr>
        <w:t>联合体投标协议书</w:t>
      </w:r>
    </w:p>
    <w:p w14:paraId="41088FD8">
      <w:pPr>
        <w:topLinePunct/>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（所有成员单位名称）自愿组成</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（联合体名称）联合体，共同参加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（项目名称）投标。现就联合体投标事宜订立如下协议。</w:t>
      </w:r>
    </w:p>
    <w:p w14:paraId="00832E89">
      <w:pPr>
        <w:topLinePunct/>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（某成员单位名称）为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（联合体名称）牵头人。</w:t>
      </w:r>
    </w:p>
    <w:p w14:paraId="439CE1CF">
      <w:pPr>
        <w:topLinePunct/>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748FAA33">
      <w:pPr>
        <w:topLinePunct/>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3、联合体将严格按照招标文件的各项要求，递交投标文件，履行合同，并对外承担连带责任。</w:t>
      </w:r>
    </w:p>
    <w:p w14:paraId="46815053">
      <w:pPr>
        <w:topLinePunct/>
        <w:spacing w:line="400" w:lineRule="exact"/>
        <w:ind w:firstLine="210" w:firstLineChars="100"/>
        <w:rPr>
          <w:rFonts w:hint="eastAsia" w:ascii="宋体" w:hAnsi="宋体" w:cs="宋体"/>
          <w:color w:val="auto"/>
          <w:szCs w:val="21"/>
          <w:highlight w:val="none"/>
        </w:rPr>
      </w:pPr>
      <w:r>
        <w:rPr>
          <w:rFonts w:hint="eastAsia" w:ascii="宋体" w:hAnsi="宋体" w:cs="宋体"/>
          <w:color w:val="auto"/>
          <w:szCs w:val="21"/>
          <w:highlight w:val="none"/>
        </w:rPr>
        <w:t>4、联合体各成员单位内部的职责分工如下：</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，且投标保证金由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（某成员单位名称）缴纳。</w:t>
      </w:r>
    </w:p>
    <w:p w14:paraId="69F36C46">
      <w:pPr>
        <w:topLinePunct/>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5、本协议书自签署之日起生效，合同履行完毕后自动失效。 </w:t>
      </w:r>
    </w:p>
    <w:p w14:paraId="3A8D9764">
      <w:pPr>
        <w:topLinePunct/>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份，联合体成员和招标人各执</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64F5A8A0">
      <w:pPr>
        <w:topLinePunct/>
        <w:spacing w:line="400" w:lineRule="exact"/>
        <w:rPr>
          <w:rFonts w:hint="eastAsia" w:ascii="宋体" w:hAnsi="宋体" w:cs="宋体"/>
          <w:color w:val="auto"/>
          <w:szCs w:val="21"/>
          <w:highlight w:val="none"/>
        </w:rPr>
      </w:pPr>
    </w:p>
    <w:p w14:paraId="3F52DF09">
      <w:pPr>
        <w:topLinePunct/>
        <w:spacing w:line="400" w:lineRule="exact"/>
        <w:rPr>
          <w:rFonts w:hint="eastAsia" w:ascii="宋体" w:hAnsi="宋体" w:cs="宋体"/>
          <w:color w:val="auto"/>
          <w:szCs w:val="21"/>
          <w:highlight w:val="none"/>
        </w:rPr>
      </w:pPr>
    </w:p>
    <w:p w14:paraId="69433F19">
      <w:pPr>
        <w:topLinePunct/>
        <w:spacing w:line="400" w:lineRule="exact"/>
        <w:rPr>
          <w:rFonts w:hint="eastAsia" w:ascii="宋体" w:hAnsi="宋体" w:cs="宋体"/>
          <w:color w:val="auto"/>
          <w:szCs w:val="21"/>
          <w:highlight w:val="none"/>
        </w:rPr>
      </w:pPr>
      <w:r>
        <w:rPr>
          <w:rFonts w:hint="eastAsia" w:ascii="宋体" w:hAnsi="宋体" w:cs="宋体"/>
          <w:color w:val="auto"/>
          <w:szCs w:val="21"/>
          <w:highlight w:val="none"/>
        </w:rPr>
        <w:t>牵头人名称：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（盖法人单位章或电子章）</w:t>
      </w:r>
    </w:p>
    <w:p w14:paraId="53D89253">
      <w:pPr>
        <w:topLinePunct/>
        <w:spacing w:line="400" w:lineRule="exact"/>
        <w:rPr>
          <w:rFonts w:hint="eastAsia" w:ascii="宋体" w:hAnsi="宋体" w:cs="宋体"/>
          <w:color w:val="auto"/>
          <w:szCs w:val="21"/>
          <w:highlight w:val="none"/>
        </w:rPr>
      </w:pPr>
    </w:p>
    <w:p w14:paraId="367257BD">
      <w:pPr>
        <w:topLinePunct/>
        <w:spacing w:line="400" w:lineRule="exact"/>
        <w:rPr>
          <w:rFonts w:hint="eastAsia" w:ascii="宋体" w:hAnsi="宋体" w:cs="宋体"/>
          <w:color w:val="auto"/>
          <w:szCs w:val="21"/>
          <w:highlight w:val="none"/>
        </w:rPr>
      </w:pPr>
    </w:p>
    <w:p w14:paraId="5B9CC27A">
      <w:pPr>
        <w:topLinePunct/>
        <w:spacing w:line="400" w:lineRule="exact"/>
        <w:rPr>
          <w:rFonts w:hint="eastAsia" w:ascii="宋体" w:hAnsi="宋体" w:cs="宋体"/>
          <w:color w:val="auto"/>
          <w:szCs w:val="21"/>
          <w:highlight w:val="none"/>
        </w:rPr>
      </w:pPr>
      <w:r>
        <w:rPr>
          <w:rFonts w:hint="eastAsia" w:ascii="宋体" w:hAnsi="宋体" w:cs="宋体"/>
          <w:color w:val="auto"/>
          <w:szCs w:val="21"/>
          <w:highlight w:val="none"/>
        </w:rPr>
        <w:t>成员名称：</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（盖法人单位章或电子章）</w:t>
      </w:r>
    </w:p>
    <w:p w14:paraId="27DDB3D7">
      <w:pPr>
        <w:topLinePunct/>
        <w:spacing w:line="400" w:lineRule="exact"/>
        <w:rPr>
          <w:rFonts w:hint="eastAsia" w:ascii="宋体" w:hAnsi="宋体" w:cs="宋体"/>
          <w:color w:val="auto"/>
          <w:szCs w:val="21"/>
          <w:highlight w:val="none"/>
        </w:rPr>
      </w:pPr>
    </w:p>
    <w:p w14:paraId="7F48F9B2">
      <w:pPr>
        <w:topLinePunct/>
        <w:spacing w:line="400" w:lineRule="exact"/>
        <w:rPr>
          <w:rFonts w:hint="eastAsia" w:ascii="宋体" w:hAnsi="宋体" w:cs="宋体"/>
          <w:color w:val="auto"/>
          <w:szCs w:val="21"/>
          <w:highlight w:val="none"/>
        </w:rPr>
      </w:pPr>
      <w:r>
        <w:rPr>
          <w:rFonts w:hint="eastAsia" w:ascii="宋体" w:hAnsi="宋体" w:cs="宋体"/>
          <w:color w:val="auto"/>
          <w:szCs w:val="21"/>
          <w:highlight w:val="none"/>
        </w:rPr>
        <w:t xml:space="preserve"> </w:t>
      </w:r>
    </w:p>
    <w:p w14:paraId="2DA02384">
      <w:pPr>
        <w:topLinePunct/>
        <w:spacing w:line="400" w:lineRule="exact"/>
        <w:rPr>
          <w:rFonts w:hint="eastAsia" w:ascii="宋体" w:hAnsi="宋体" w:cs="宋体"/>
          <w:color w:val="auto"/>
          <w:szCs w:val="21"/>
          <w:highlight w:val="none"/>
        </w:rPr>
      </w:pPr>
    </w:p>
    <w:p w14:paraId="737F508C">
      <w:pPr>
        <w:spacing w:line="400" w:lineRule="exact"/>
        <w:ind w:firstLine="2879" w:firstLineChars="1371"/>
        <w:rPr>
          <w:rFonts w:hint="eastAsia" w:ascii="宋体" w:hAnsi="宋体" w:cs="宋体"/>
          <w:color w:val="auto"/>
          <w:szCs w:val="21"/>
          <w:highlight w:val="none"/>
        </w:rPr>
      </w:pP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764203A4">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br w:type="page"/>
      </w:r>
    </w:p>
    <w:p w14:paraId="5D92A349">
      <w:pPr>
        <w:spacing w:line="400" w:lineRule="exact"/>
        <w:jc w:val="center"/>
        <w:rPr>
          <w:rFonts w:hint="eastAsia" w:ascii="宋体" w:hAnsi="宋体" w:cs="宋体"/>
          <w:b/>
          <w:color w:val="auto"/>
          <w:highlight w:val="none"/>
        </w:rPr>
      </w:pPr>
      <w:r>
        <w:rPr>
          <w:rFonts w:hint="eastAsia" w:ascii="宋体" w:hAnsi="宋体" w:cs="宋体"/>
          <w:b/>
          <w:color w:val="auto"/>
          <w:highlight w:val="none"/>
        </w:rPr>
        <w:t>分包意向协议书（中型企业接受项目分包要求的，中型企业必须提供《分包意向协议》）</w:t>
      </w:r>
    </w:p>
    <w:p w14:paraId="5D8F1956">
      <w:pPr>
        <w:spacing w:line="400" w:lineRule="exact"/>
        <w:rPr>
          <w:rFonts w:hint="eastAsia" w:ascii="宋体" w:hAnsi="宋体" w:cs="宋体"/>
          <w:color w:val="auto"/>
          <w:szCs w:val="21"/>
          <w:highlight w:val="none"/>
          <w:u w:val="single"/>
        </w:rPr>
      </w:pPr>
      <w:r>
        <w:rPr>
          <w:rFonts w:hint="eastAsia" w:ascii="宋体" w:hAnsi="宋体" w:cs="宋体"/>
          <w:color w:val="auto"/>
          <w:kern w:val="10"/>
          <w:szCs w:val="21"/>
          <w:highlight w:val="none"/>
        </w:rPr>
        <w:t>立约方：</w:t>
      </w:r>
      <w:r>
        <w:rPr>
          <w:rFonts w:hint="eastAsia" w:ascii="宋体" w:hAnsi="宋体" w:cs="宋体"/>
          <w:color w:val="auto"/>
          <w:szCs w:val="21"/>
          <w:highlight w:val="none"/>
          <w:u w:val="single"/>
        </w:rPr>
        <w:t xml:space="preserve">（甲公司名称（全称））                                  </w:t>
      </w:r>
    </w:p>
    <w:p w14:paraId="55CBCEB5">
      <w:pPr>
        <w:spacing w:line="400" w:lineRule="exact"/>
        <w:ind w:firstLine="840" w:firstLineChars="400"/>
        <w:rPr>
          <w:rFonts w:hint="eastAsia" w:ascii="宋体" w:hAnsi="宋体" w:cs="宋体"/>
          <w:color w:val="auto"/>
          <w:szCs w:val="21"/>
          <w:highlight w:val="none"/>
          <w:u w:val="single"/>
        </w:rPr>
      </w:pPr>
      <w:r>
        <w:rPr>
          <w:rFonts w:hint="eastAsia" w:ascii="宋体" w:hAnsi="宋体" w:cs="宋体"/>
          <w:color w:val="auto"/>
          <w:szCs w:val="21"/>
          <w:highlight w:val="none"/>
          <w:u w:val="single"/>
        </w:rPr>
        <w:t xml:space="preserve">（乙公司名称（全称））                                  </w:t>
      </w:r>
    </w:p>
    <w:p w14:paraId="06C5E720">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kern w:val="0"/>
          <w:szCs w:val="21"/>
          <w:highlight w:val="none"/>
          <w:u w:val="single"/>
        </w:rPr>
        <w:t>（甲公司</w:t>
      </w:r>
      <w:r>
        <w:rPr>
          <w:rFonts w:hint="eastAsia" w:ascii="宋体" w:hAnsi="宋体" w:cs="宋体"/>
          <w:color w:val="auto"/>
          <w:szCs w:val="21"/>
          <w:highlight w:val="none"/>
          <w:u w:val="single"/>
        </w:rPr>
        <w:t>名称（全称）</w:t>
      </w:r>
      <w:r>
        <w:rPr>
          <w:rFonts w:hint="eastAsia" w:ascii="宋体" w:hAnsi="宋体" w:cs="宋体"/>
          <w:color w:val="auto"/>
          <w:kern w:val="0"/>
          <w:szCs w:val="21"/>
          <w:highlight w:val="none"/>
          <w:u w:val="single"/>
        </w:rPr>
        <w:t>）、（乙公司</w:t>
      </w:r>
      <w:r>
        <w:rPr>
          <w:rFonts w:hint="eastAsia" w:ascii="宋体" w:hAnsi="宋体" w:cs="宋体"/>
          <w:color w:val="auto"/>
          <w:szCs w:val="21"/>
          <w:highlight w:val="none"/>
          <w:u w:val="single"/>
        </w:rPr>
        <w:t>名称（全称）</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rPr>
        <w:t>自愿达成分包意向，参加</w:t>
      </w:r>
      <w:r>
        <w:rPr>
          <w:rFonts w:hint="eastAsia" w:ascii="宋体" w:hAnsi="宋体" w:cs="宋体"/>
          <w:color w:val="auto"/>
          <w:kern w:val="0"/>
          <w:szCs w:val="21"/>
          <w:highlight w:val="none"/>
          <w:u w:val="single"/>
        </w:rPr>
        <w:t>（采购项目名称） （采购项目编号）</w:t>
      </w:r>
      <w:r>
        <w:rPr>
          <w:rFonts w:hint="eastAsia" w:ascii="宋体" w:hAnsi="宋体" w:cs="宋体"/>
          <w:color w:val="auto"/>
          <w:kern w:val="0"/>
          <w:szCs w:val="21"/>
          <w:highlight w:val="none"/>
        </w:rPr>
        <w:t>的招标活动。</w:t>
      </w:r>
      <w:r>
        <w:rPr>
          <w:rFonts w:hint="eastAsia" w:ascii="宋体" w:hAnsi="宋体" w:cs="宋体"/>
          <w:color w:val="auto"/>
          <w:szCs w:val="21"/>
          <w:highlight w:val="none"/>
        </w:rPr>
        <w:t>经各方充分协商一致，就</w:t>
      </w:r>
      <w:r>
        <w:rPr>
          <w:rFonts w:hint="eastAsia" w:ascii="宋体" w:hAnsi="宋体" w:cs="宋体"/>
          <w:color w:val="auto"/>
          <w:kern w:val="10"/>
          <w:szCs w:val="21"/>
          <w:highlight w:val="none"/>
        </w:rPr>
        <w:t>项目的投标和合同实施阶段的有关事务协商一致</w:t>
      </w:r>
      <w:r>
        <w:rPr>
          <w:rFonts w:hint="eastAsia" w:ascii="宋体" w:hAnsi="宋体" w:cs="宋体"/>
          <w:color w:val="auto"/>
          <w:kern w:val="0"/>
          <w:szCs w:val="21"/>
          <w:highlight w:val="none"/>
        </w:rPr>
        <w:t>订立意向如下</w:t>
      </w:r>
      <w:r>
        <w:rPr>
          <w:rFonts w:hint="eastAsia" w:ascii="宋体" w:hAnsi="宋体" w:cs="宋体"/>
          <w:color w:val="auto"/>
          <w:szCs w:val="21"/>
          <w:highlight w:val="none"/>
        </w:rPr>
        <w:t>：</w:t>
      </w:r>
    </w:p>
    <w:p w14:paraId="71406348">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一、分包意向各方关系</w:t>
      </w:r>
    </w:p>
    <w:p w14:paraId="4E2DA4E3">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kern w:val="0"/>
          <w:szCs w:val="21"/>
          <w:highlight w:val="none"/>
          <w:u w:val="single"/>
        </w:rPr>
        <w:t>（甲公司</w:t>
      </w:r>
      <w:r>
        <w:rPr>
          <w:rFonts w:hint="eastAsia" w:ascii="宋体" w:hAnsi="宋体" w:cs="宋体"/>
          <w:color w:val="auto"/>
          <w:szCs w:val="21"/>
          <w:highlight w:val="none"/>
          <w:u w:val="single"/>
        </w:rPr>
        <w:t>名称（全称）</w:t>
      </w:r>
      <w:r>
        <w:rPr>
          <w:rFonts w:hint="eastAsia" w:ascii="宋体" w:hAnsi="宋体" w:cs="宋体"/>
          <w:color w:val="auto"/>
          <w:kern w:val="0"/>
          <w:szCs w:val="21"/>
          <w:highlight w:val="none"/>
          <w:u w:val="single"/>
        </w:rPr>
        <w:t>）为投标方、（乙公司</w:t>
      </w:r>
      <w:r>
        <w:rPr>
          <w:rFonts w:hint="eastAsia" w:ascii="宋体" w:hAnsi="宋体" w:cs="宋体"/>
          <w:color w:val="auto"/>
          <w:szCs w:val="21"/>
          <w:highlight w:val="none"/>
          <w:u w:val="single"/>
        </w:rPr>
        <w:t>名称（全称）</w:t>
      </w:r>
      <w:r>
        <w:rPr>
          <w:rFonts w:hint="eastAsia" w:ascii="宋体" w:hAnsi="宋体" w:cs="宋体"/>
          <w:color w:val="auto"/>
          <w:kern w:val="0"/>
          <w:szCs w:val="21"/>
          <w:highlight w:val="none"/>
          <w:u w:val="single"/>
        </w:rPr>
        <w:t>）</w:t>
      </w:r>
      <w:r>
        <w:rPr>
          <w:rFonts w:hint="eastAsia" w:ascii="宋体" w:hAnsi="宋体" w:cs="宋体"/>
          <w:color w:val="auto"/>
          <w:szCs w:val="21"/>
          <w:highlight w:val="none"/>
        </w:rPr>
        <w:t>为分包意向供应商，</w:t>
      </w:r>
      <w:r>
        <w:rPr>
          <w:rFonts w:hint="eastAsia" w:ascii="宋体" w:hAnsi="宋体" w:cs="宋体"/>
          <w:color w:val="auto"/>
          <w:kern w:val="0"/>
          <w:szCs w:val="21"/>
          <w:highlight w:val="none"/>
          <w:u w:val="single"/>
        </w:rPr>
        <w:t>（甲公司</w:t>
      </w:r>
      <w:r>
        <w:rPr>
          <w:rFonts w:hint="eastAsia" w:ascii="宋体" w:hAnsi="宋体" w:cs="宋体"/>
          <w:color w:val="auto"/>
          <w:szCs w:val="21"/>
          <w:highlight w:val="none"/>
          <w:u w:val="single"/>
        </w:rPr>
        <w:t>名称（全称）</w:t>
      </w:r>
      <w:r>
        <w:rPr>
          <w:rFonts w:hint="eastAsia" w:ascii="宋体" w:hAnsi="宋体" w:cs="宋体"/>
          <w:color w:val="auto"/>
          <w:kern w:val="0"/>
          <w:szCs w:val="21"/>
          <w:highlight w:val="none"/>
          <w:u w:val="single"/>
        </w:rPr>
        <w:t>）</w:t>
      </w:r>
      <w:r>
        <w:rPr>
          <w:rFonts w:hint="eastAsia" w:ascii="宋体" w:hAnsi="宋体" w:cs="宋体"/>
          <w:color w:val="auto"/>
          <w:szCs w:val="21"/>
          <w:highlight w:val="none"/>
        </w:rPr>
        <w:t>以投标人的身份参加本项目的投标。若中标，</w:t>
      </w:r>
      <w:r>
        <w:rPr>
          <w:rFonts w:hint="eastAsia" w:ascii="宋体" w:hAnsi="宋体" w:cs="宋体"/>
          <w:color w:val="auto"/>
          <w:kern w:val="0"/>
          <w:szCs w:val="21"/>
          <w:highlight w:val="none"/>
          <w:u w:val="single"/>
        </w:rPr>
        <w:t>（甲公司</w:t>
      </w:r>
      <w:r>
        <w:rPr>
          <w:rFonts w:hint="eastAsia" w:ascii="宋体" w:hAnsi="宋体" w:cs="宋体"/>
          <w:color w:val="auto"/>
          <w:szCs w:val="21"/>
          <w:highlight w:val="none"/>
          <w:u w:val="single"/>
        </w:rPr>
        <w:t>名称（全称）</w:t>
      </w:r>
      <w:r>
        <w:rPr>
          <w:rFonts w:hint="eastAsia" w:ascii="宋体" w:hAnsi="宋体" w:cs="宋体"/>
          <w:color w:val="auto"/>
          <w:kern w:val="0"/>
          <w:szCs w:val="21"/>
          <w:highlight w:val="none"/>
          <w:u w:val="single"/>
        </w:rPr>
        <w:t>）</w:t>
      </w:r>
      <w:r>
        <w:rPr>
          <w:rFonts w:hint="eastAsia" w:ascii="宋体" w:hAnsi="宋体" w:cs="宋体"/>
          <w:color w:val="auto"/>
          <w:kern w:val="0"/>
          <w:szCs w:val="21"/>
          <w:highlight w:val="none"/>
        </w:rPr>
        <w:t>与</w:t>
      </w:r>
      <w:r>
        <w:rPr>
          <w:rFonts w:hint="eastAsia" w:ascii="宋体" w:hAnsi="宋体" w:cs="宋体"/>
          <w:color w:val="auto"/>
          <w:szCs w:val="21"/>
          <w:highlight w:val="none"/>
        </w:rPr>
        <w:t>采购人签订政府采购合同。承接分包意向的各供应商与</w:t>
      </w:r>
      <w:r>
        <w:rPr>
          <w:rFonts w:hint="eastAsia" w:ascii="宋体" w:hAnsi="宋体" w:cs="宋体"/>
          <w:color w:val="auto"/>
          <w:szCs w:val="21"/>
          <w:highlight w:val="none"/>
          <w:u w:val="single"/>
        </w:rPr>
        <w:t>（</w:t>
      </w:r>
      <w:r>
        <w:rPr>
          <w:rFonts w:hint="eastAsia" w:ascii="宋体" w:hAnsi="宋体" w:cs="宋体"/>
          <w:color w:val="auto"/>
          <w:kern w:val="0"/>
          <w:szCs w:val="21"/>
          <w:highlight w:val="none"/>
          <w:u w:val="single"/>
        </w:rPr>
        <w:t>甲公司</w:t>
      </w:r>
      <w:r>
        <w:rPr>
          <w:rFonts w:hint="eastAsia" w:ascii="宋体" w:hAnsi="宋体" w:cs="宋体"/>
          <w:color w:val="auto"/>
          <w:szCs w:val="21"/>
          <w:highlight w:val="none"/>
          <w:u w:val="single"/>
        </w:rPr>
        <w:t>名称（全称））</w:t>
      </w:r>
      <w:r>
        <w:rPr>
          <w:rFonts w:hint="eastAsia" w:ascii="宋体" w:hAnsi="宋体" w:cs="宋体"/>
          <w:color w:val="auto"/>
          <w:szCs w:val="21"/>
          <w:highlight w:val="none"/>
        </w:rPr>
        <w:t>签订分包合同。</w:t>
      </w:r>
      <w:r>
        <w:rPr>
          <w:rFonts w:hint="eastAsia" w:ascii="宋体" w:hAnsi="宋体" w:cs="宋体"/>
          <w:color w:val="auto"/>
          <w:kern w:val="0"/>
          <w:szCs w:val="21"/>
          <w:highlight w:val="none"/>
          <w:u w:val="single"/>
        </w:rPr>
        <w:t>（甲公司</w:t>
      </w:r>
      <w:r>
        <w:rPr>
          <w:rFonts w:hint="eastAsia" w:ascii="宋体" w:hAnsi="宋体" w:cs="宋体"/>
          <w:color w:val="auto"/>
          <w:szCs w:val="21"/>
          <w:highlight w:val="none"/>
          <w:u w:val="single"/>
        </w:rPr>
        <w:t>名称（全称）</w:t>
      </w:r>
      <w:r>
        <w:rPr>
          <w:rFonts w:hint="eastAsia" w:ascii="宋体" w:hAnsi="宋体" w:cs="宋体"/>
          <w:color w:val="auto"/>
          <w:kern w:val="0"/>
          <w:szCs w:val="21"/>
          <w:highlight w:val="none"/>
          <w:u w:val="single"/>
        </w:rPr>
        <w:t>）</w:t>
      </w:r>
      <w:r>
        <w:rPr>
          <w:rFonts w:hint="eastAsia" w:ascii="宋体" w:hAnsi="宋体" w:cs="宋体"/>
          <w:color w:val="auto"/>
          <w:szCs w:val="21"/>
          <w:highlight w:val="none"/>
        </w:rPr>
        <w:t>就采购项目和分包项目向采购人负责，分包供应商就分包项目承担责任。</w:t>
      </w:r>
    </w:p>
    <w:p w14:paraId="481B6950">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二、有关事项约定如下：</w:t>
      </w:r>
    </w:p>
    <w:p w14:paraId="5EA3FB86">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1.如中标，分包供应商分别与</w:t>
      </w:r>
      <w:r>
        <w:rPr>
          <w:rFonts w:hint="eastAsia" w:ascii="宋体" w:hAnsi="宋体" w:cs="宋体"/>
          <w:color w:val="auto"/>
          <w:szCs w:val="21"/>
          <w:highlight w:val="none"/>
          <w:u w:val="single"/>
        </w:rPr>
        <w:t>（</w:t>
      </w:r>
      <w:r>
        <w:rPr>
          <w:rFonts w:hint="eastAsia" w:ascii="宋体" w:hAnsi="宋体" w:cs="宋体"/>
          <w:color w:val="auto"/>
          <w:kern w:val="0"/>
          <w:szCs w:val="21"/>
          <w:highlight w:val="none"/>
          <w:u w:val="single"/>
        </w:rPr>
        <w:t>甲公司</w:t>
      </w:r>
      <w:r>
        <w:rPr>
          <w:rFonts w:hint="eastAsia" w:ascii="宋体" w:hAnsi="宋体" w:cs="宋体"/>
          <w:color w:val="auto"/>
          <w:szCs w:val="21"/>
          <w:highlight w:val="none"/>
          <w:u w:val="single"/>
        </w:rPr>
        <w:t>名称（全称））</w:t>
      </w:r>
      <w:r>
        <w:rPr>
          <w:rFonts w:hint="eastAsia" w:ascii="宋体" w:hAnsi="宋体" w:cs="宋体"/>
          <w:color w:val="auto"/>
          <w:szCs w:val="21"/>
          <w:highlight w:val="none"/>
        </w:rPr>
        <w:t>签订合同书，并就中标项目分包部分向采购人负责有连带的和各自的法律责任；</w:t>
      </w:r>
    </w:p>
    <w:p w14:paraId="53F53F3C">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2.分包意向供应商1</w:t>
      </w:r>
      <w:r>
        <w:rPr>
          <w:rFonts w:hint="eastAsia" w:ascii="宋体" w:hAnsi="宋体" w:cs="宋体"/>
          <w:color w:val="auto"/>
          <w:szCs w:val="21"/>
          <w:highlight w:val="none"/>
          <w:u w:val="single"/>
        </w:rPr>
        <w:t>　（公司名称（全称））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（请填写：大型、中型、小型、微型）</w:t>
      </w:r>
      <w:r>
        <w:rPr>
          <w:rFonts w:hint="eastAsia" w:ascii="宋体" w:hAnsi="宋体" w:cs="宋体"/>
          <w:color w:val="auto"/>
          <w:szCs w:val="21"/>
          <w:highlight w:val="none"/>
        </w:rPr>
        <w:t>企业，将承担适宜分包部分</w:t>
      </w:r>
      <w:r>
        <w:rPr>
          <w:rFonts w:hint="eastAsia" w:ascii="宋体" w:hAnsi="宋体" w:cs="宋体"/>
          <w:color w:val="auto"/>
          <w:szCs w:val="21"/>
          <w:highlight w:val="none"/>
          <w:u w:val="single"/>
        </w:rPr>
        <w:t xml:space="preserve"> （具体分包内容）</w:t>
      </w:r>
      <w:r>
        <w:rPr>
          <w:rFonts w:hint="eastAsia" w:ascii="宋体" w:hAnsi="宋体" w:cs="宋体"/>
          <w:color w:val="auto"/>
          <w:szCs w:val="21"/>
          <w:highlight w:val="none"/>
        </w:rPr>
        <w:t>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w:t>
      </w:r>
    </w:p>
    <w:p w14:paraId="0287CECC">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3.分包意向供应商2</w:t>
      </w:r>
      <w:r>
        <w:rPr>
          <w:rFonts w:hint="eastAsia" w:ascii="宋体" w:hAnsi="宋体" w:cs="宋体"/>
          <w:color w:val="auto"/>
          <w:szCs w:val="21"/>
          <w:highlight w:val="none"/>
          <w:u w:val="single"/>
        </w:rPr>
        <w:t>　（公司名称（全称））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（请填写：大型、中型、小型、微型）</w:t>
      </w:r>
      <w:r>
        <w:rPr>
          <w:rFonts w:hint="eastAsia" w:ascii="宋体" w:hAnsi="宋体" w:cs="宋体"/>
          <w:color w:val="auto"/>
          <w:szCs w:val="21"/>
          <w:highlight w:val="none"/>
        </w:rPr>
        <w:t>企业，将承担适宜分包部分</w:t>
      </w:r>
      <w:r>
        <w:rPr>
          <w:rFonts w:hint="eastAsia" w:ascii="宋体" w:hAnsi="宋体" w:cs="宋体"/>
          <w:color w:val="auto"/>
          <w:szCs w:val="21"/>
          <w:highlight w:val="none"/>
          <w:u w:val="single"/>
        </w:rPr>
        <w:t>（具体分包内容）</w:t>
      </w:r>
      <w:r>
        <w:rPr>
          <w:rFonts w:hint="eastAsia" w:ascii="宋体" w:hAnsi="宋体" w:cs="宋体"/>
          <w:color w:val="auto"/>
          <w:szCs w:val="21"/>
          <w:highlight w:val="none"/>
        </w:rPr>
        <w:t>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w:t>
      </w:r>
    </w:p>
    <w:p w14:paraId="2F150E19">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4.分包意向供应商3</w:t>
      </w:r>
      <w:r>
        <w:rPr>
          <w:rFonts w:hint="eastAsia" w:ascii="宋体" w:hAnsi="宋体" w:cs="宋体"/>
          <w:color w:val="auto"/>
          <w:szCs w:val="21"/>
          <w:highlight w:val="none"/>
          <w:u w:val="single"/>
        </w:rPr>
        <w:t>　（公司名称（全称））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（请填写：大型、中型、小型、微型）</w:t>
      </w:r>
      <w:r>
        <w:rPr>
          <w:rFonts w:hint="eastAsia" w:ascii="宋体" w:hAnsi="宋体" w:cs="宋体"/>
          <w:color w:val="auto"/>
          <w:szCs w:val="21"/>
          <w:highlight w:val="none"/>
        </w:rPr>
        <w:t>企业，将承担适宜分包部分</w:t>
      </w:r>
      <w:r>
        <w:rPr>
          <w:rFonts w:hint="eastAsia" w:ascii="宋体" w:hAnsi="宋体" w:cs="宋体"/>
          <w:color w:val="auto"/>
          <w:szCs w:val="21"/>
          <w:highlight w:val="none"/>
          <w:u w:val="single"/>
        </w:rPr>
        <w:t>（具体分包内容）</w:t>
      </w:r>
      <w:r>
        <w:rPr>
          <w:rFonts w:hint="eastAsia" w:ascii="宋体" w:hAnsi="宋体" w:cs="宋体"/>
          <w:color w:val="auto"/>
          <w:szCs w:val="21"/>
          <w:highlight w:val="none"/>
        </w:rPr>
        <w:t>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w:t>
      </w:r>
    </w:p>
    <w:p w14:paraId="55CAB272">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w:t>
      </w:r>
    </w:p>
    <w:p w14:paraId="5C2C9654">
      <w:pPr>
        <w:spacing w:line="400" w:lineRule="exact"/>
        <w:ind w:firstLine="420" w:firstLineChars="200"/>
        <w:rPr>
          <w:rFonts w:hint="eastAsia" w:ascii="宋体" w:hAnsi="宋体" w:cs="宋体"/>
          <w:b/>
          <w:bCs/>
          <w:color w:val="auto"/>
          <w:szCs w:val="21"/>
          <w:highlight w:val="none"/>
        </w:rPr>
      </w:pPr>
      <w:r>
        <w:rPr>
          <w:rFonts w:hint="eastAsia" w:ascii="宋体" w:hAnsi="宋体" w:cs="宋体"/>
          <w:color w:val="auto"/>
          <w:szCs w:val="21"/>
          <w:highlight w:val="none"/>
        </w:rPr>
        <w:t>三、接受分包合同的中小企业与分包企业之间</w:t>
      </w:r>
      <w:r>
        <w:rPr>
          <w:rFonts w:hint="eastAsia" w:ascii="宋体" w:hAnsi="宋体" w:cs="宋体"/>
          <w:color w:val="auto"/>
          <w:szCs w:val="21"/>
          <w:highlight w:val="none"/>
          <w:u w:val="single"/>
        </w:rPr>
        <w:t>（请填写：是否存在）</w:t>
      </w:r>
      <w:r>
        <w:rPr>
          <w:rFonts w:hint="eastAsia" w:ascii="宋体" w:hAnsi="宋体" w:cs="宋体"/>
          <w:color w:val="auto"/>
          <w:szCs w:val="21"/>
          <w:highlight w:val="none"/>
        </w:rPr>
        <w:t>直接控股、管理关系的情形。</w:t>
      </w:r>
      <w:r>
        <w:rPr>
          <w:rFonts w:hint="eastAsia" w:ascii="宋体" w:hAnsi="宋体" w:cs="宋体"/>
          <w:b/>
          <w:bCs/>
          <w:color w:val="auto"/>
          <w:szCs w:val="21"/>
          <w:highlight w:val="none"/>
        </w:rPr>
        <w:t>（分包中有中小微企业时适用）</w:t>
      </w:r>
    </w:p>
    <w:p w14:paraId="35900954">
      <w:pPr>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四、如因违约过失责任而导致采购人经济损失或被索赔时，</w:t>
      </w:r>
      <w:r>
        <w:rPr>
          <w:rFonts w:hint="eastAsia" w:ascii="宋体" w:hAnsi="宋体" w:cs="宋体"/>
          <w:color w:val="auto"/>
          <w:szCs w:val="21"/>
          <w:highlight w:val="none"/>
          <w:u w:val="single"/>
        </w:rPr>
        <w:t>（</w:t>
      </w:r>
      <w:r>
        <w:rPr>
          <w:rFonts w:hint="eastAsia" w:ascii="宋体" w:hAnsi="宋体" w:cs="宋体"/>
          <w:color w:val="auto"/>
          <w:kern w:val="0"/>
          <w:szCs w:val="21"/>
          <w:highlight w:val="none"/>
          <w:u w:val="single"/>
        </w:rPr>
        <w:t>甲公司</w:t>
      </w:r>
      <w:r>
        <w:rPr>
          <w:rFonts w:hint="eastAsia" w:ascii="宋体" w:hAnsi="宋体" w:cs="宋体"/>
          <w:color w:val="auto"/>
          <w:szCs w:val="21"/>
          <w:highlight w:val="none"/>
          <w:u w:val="single"/>
        </w:rPr>
        <w:t>名称（全称））</w:t>
      </w:r>
      <w:r>
        <w:rPr>
          <w:rFonts w:hint="eastAsia" w:ascii="宋体" w:hAnsi="宋体" w:cs="宋体"/>
          <w:color w:val="auto"/>
          <w:kern w:val="0"/>
          <w:szCs w:val="21"/>
          <w:highlight w:val="none"/>
        </w:rPr>
        <w:t>同意无条件优先清偿采购人的一切债务和经济赔偿。</w:t>
      </w:r>
    </w:p>
    <w:p w14:paraId="71C2BC2C">
      <w:pPr>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五、如中标，分包意向供应商不得以任何理由提出终止本意向协议。</w:t>
      </w:r>
    </w:p>
    <w:p w14:paraId="56B9C9F6">
      <w:pPr>
        <w:widowControl/>
        <w:spacing w:line="400" w:lineRule="exact"/>
        <w:ind w:left="23" w:leftChars="11" w:firstLine="420" w:firstLineChars="200"/>
        <w:jc w:val="left"/>
        <w:rPr>
          <w:rFonts w:hint="eastAsia" w:ascii="宋体" w:hAnsi="宋体" w:cs="宋体"/>
          <w:color w:val="auto"/>
          <w:highlight w:val="none"/>
        </w:rPr>
      </w:pPr>
      <w:r>
        <w:rPr>
          <w:rFonts w:hint="eastAsia" w:ascii="宋体" w:hAnsi="宋体" w:cs="宋体"/>
          <w:color w:val="auto"/>
          <w:kern w:val="0"/>
          <w:szCs w:val="21"/>
          <w:highlight w:val="none"/>
        </w:rPr>
        <w:t>六、</w:t>
      </w:r>
      <w:r>
        <w:rPr>
          <w:rFonts w:hint="eastAsia" w:ascii="宋体" w:hAnsi="宋体" w:cs="宋体"/>
          <w:color w:val="auto"/>
          <w:szCs w:val="21"/>
          <w:highlight w:val="none"/>
        </w:rPr>
        <w:t>本意向书在</w:t>
      </w:r>
      <w:r>
        <w:rPr>
          <w:rFonts w:hint="eastAsia" w:ascii="宋体" w:hAnsi="宋体" w:cs="宋体"/>
          <w:color w:val="auto"/>
          <w:kern w:val="0"/>
          <w:szCs w:val="21"/>
          <w:highlight w:val="none"/>
        </w:rPr>
        <w:t>自签署之日起生效，</w:t>
      </w:r>
      <w:r>
        <w:rPr>
          <w:rFonts w:hint="eastAsia" w:ascii="宋体" w:hAnsi="宋体" w:cs="宋体"/>
          <w:color w:val="auto"/>
          <w:szCs w:val="21"/>
          <w:highlight w:val="none"/>
        </w:rPr>
        <w:t>有效期内有效，如获中标资格，有效期延续至合同履行完毕之日。</w:t>
      </w:r>
    </w:p>
    <w:p w14:paraId="3085C473">
      <w:pPr>
        <w:widowControl/>
        <w:tabs>
          <w:tab w:val="left" w:pos="2977"/>
          <w:tab w:val="left" w:pos="5954"/>
        </w:tabs>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甲公司</w:t>
      </w:r>
      <w:r>
        <w:rPr>
          <w:rFonts w:hint="eastAsia" w:ascii="宋体" w:hAnsi="宋体" w:cs="宋体"/>
          <w:color w:val="auto"/>
          <w:szCs w:val="21"/>
          <w:highlight w:val="none"/>
        </w:rPr>
        <w:t>名称（全称）</w:t>
      </w:r>
      <w:r>
        <w:rPr>
          <w:rFonts w:hint="eastAsia" w:ascii="宋体" w:hAnsi="宋体" w:cs="宋体"/>
          <w:color w:val="auto"/>
          <w:kern w:val="0"/>
          <w:szCs w:val="21"/>
          <w:highlight w:val="none"/>
        </w:rPr>
        <w:t>：（盖章）                    乙公司</w:t>
      </w:r>
      <w:r>
        <w:rPr>
          <w:rFonts w:hint="eastAsia" w:ascii="宋体" w:hAnsi="宋体" w:cs="宋体"/>
          <w:color w:val="auto"/>
          <w:szCs w:val="21"/>
          <w:highlight w:val="none"/>
        </w:rPr>
        <w:t>名称（全称）</w:t>
      </w:r>
      <w:r>
        <w:rPr>
          <w:rFonts w:hint="eastAsia" w:ascii="宋体" w:hAnsi="宋体" w:cs="宋体"/>
          <w:color w:val="auto"/>
          <w:kern w:val="0"/>
          <w:szCs w:val="21"/>
          <w:highlight w:val="none"/>
        </w:rPr>
        <w:t>：（盖章）</w:t>
      </w:r>
      <w:r>
        <w:rPr>
          <w:rFonts w:hint="eastAsia" w:ascii="宋体" w:hAnsi="宋体" w:cs="宋体"/>
          <w:color w:val="auto"/>
          <w:kern w:val="0"/>
          <w:szCs w:val="21"/>
          <w:highlight w:val="none"/>
        </w:rPr>
        <w:tab/>
      </w:r>
    </w:p>
    <w:p w14:paraId="16CE40B4">
      <w:pPr>
        <w:widowControl/>
        <w:spacing w:line="400" w:lineRule="exact"/>
        <w:ind w:left="617" w:hanging="617" w:hangingChars="294"/>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法定代表人（签字或</w:t>
      </w:r>
      <w:r>
        <w:rPr>
          <w:rFonts w:hint="eastAsia" w:ascii="宋体" w:hAnsi="宋体" w:cs="宋体"/>
          <w:color w:val="auto"/>
          <w:szCs w:val="21"/>
          <w:highlight w:val="none"/>
        </w:rPr>
        <w:t>盖章</w:t>
      </w:r>
      <w:r>
        <w:rPr>
          <w:rFonts w:hint="eastAsia" w:ascii="宋体" w:hAnsi="宋体" w:cs="宋体"/>
          <w:color w:val="auto"/>
          <w:kern w:val="0"/>
          <w:szCs w:val="21"/>
          <w:highlight w:val="none"/>
        </w:rPr>
        <w:t>）                        法定代表人（签字或</w:t>
      </w:r>
      <w:r>
        <w:rPr>
          <w:rFonts w:hint="eastAsia" w:ascii="宋体" w:hAnsi="宋体" w:cs="宋体"/>
          <w:color w:val="auto"/>
          <w:szCs w:val="21"/>
          <w:highlight w:val="none"/>
        </w:rPr>
        <w:t>盖章</w:t>
      </w:r>
      <w:r>
        <w:rPr>
          <w:rFonts w:hint="eastAsia" w:ascii="宋体" w:hAnsi="宋体" w:cs="宋体"/>
          <w:color w:val="auto"/>
          <w:kern w:val="0"/>
          <w:szCs w:val="21"/>
          <w:highlight w:val="none"/>
        </w:rPr>
        <w:t>）</w:t>
      </w:r>
      <w:r>
        <w:rPr>
          <w:rFonts w:hint="eastAsia" w:ascii="宋体" w:hAnsi="宋体" w:cs="宋体"/>
          <w:color w:val="auto"/>
          <w:kern w:val="0"/>
          <w:szCs w:val="21"/>
          <w:highlight w:val="none"/>
        </w:rPr>
        <w:tab/>
      </w:r>
    </w:p>
    <w:p w14:paraId="0194F377">
      <w:pPr>
        <w:widowControl/>
        <w:tabs>
          <w:tab w:val="left" w:pos="2977"/>
          <w:tab w:val="left" w:pos="5954"/>
        </w:tabs>
        <w:spacing w:line="400" w:lineRule="exact"/>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　　年　　月　　日                                 年　　月　　日</w:t>
      </w:r>
    </w:p>
    <w:p w14:paraId="4A4CC6F0">
      <w:pPr>
        <w:spacing w:line="400" w:lineRule="exact"/>
        <w:ind w:left="617" w:hanging="617" w:hangingChars="294"/>
        <w:rPr>
          <w:rFonts w:hint="eastAsia" w:ascii="宋体" w:hAnsi="宋体" w:cs="宋体"/>
          <w:bCs/>
          <w:color w:val="auto"/>
          <w:szCs w:val="21"/>
          <w:highlight w:val="none"/>
        </w:rPr>
      </w:pPr>
      <w:r>
        <w:rPr>
          <w:rFonts w:hint="eastAsia" w:ascii="宋体" w:hAnsi="宋体" w:cs="宋体"/>
          <w:bCs/>
          <w:color w:val="auto"/>
          <w:szCs w:val="21"/>
          <w:highlight w:val="none"/>
        </w:rPr>
        <w:t>注：1.各方成员应在本</w:t>
      </w:r>
      <w:r>
        <w:rPr>
          <w:rFonts w:hint="eastAsia" w:ascii="宋体" w:hAnsi="宋体" w:cs="宋体"/>
          <w:color w:val="auto"/>
          <w:szCs w:val="21"/>
          <w:highlight w:val="none"/>
        </w:rPr>
        <w:t>《分包意向协议书》</w:t>
      </w:r>
      <w:r>
        <w:rPr>
          <w:rFonts w:hint="eastAsia" w:ascii="宋体" w:hAnsi="宋体" w:cs="宋体"/>
          <w:bCs/>
          <w:color w:val="auto"/>
          <w:szCs w:val="21"/>
          <w:highlight w:val="none"/>
        </w:rPr>
        <w:t>上共同盖章确认。</w:t>
      </w:r>
    </w:p>
    <w:p w14:paraId="7E78D38E">
      <w:pPr>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2本《分包意向协议书》内容将在投标人成为项目承接（包）人时作为签订《项目合同》的附件。</w:t>
      </w:r>
    </w:p>
    <w:p w14:paraId="7C58E93D">
      <w:pPr>
        <w:spacing w:line="400" w:lineRule="exact"/>
        <w:ind w:firstLine="420" w:firstLineChars="200"/>
        <w:rPr>
          <w:rFonts w:hint="eastAsia" w:ascii="宋体" w:hAnsi="宋体" w:cs="宋体"/>
          <w:color w:val="auto"/>
          <w:highlight w:val="none"/>
        </w:rPr>
      </w:pPr>
      <w:r>
        <w:rPr>
          <w:rFonts w:hint="eastAsia" w:ascii="宋体" w:hAnsi="宋体" w:cs="宋体"/>
          <w:color w:val="auto"/>
          <w:szCs w:val="21"/>
          <w:highlight w:val="none"/>
        </w:rPr>
        <w:t>3.分包意向人（《分包意向协议书》中的乙方）应提供《中小企业声明函》作为本《分包意向协议书》附件。</w:t>
      </w:r>
    </w:p>
    <w:p w14:paraId="79F8D6B2">
      <w:pPr>
        <w:spacing w:line="400" w:lineRule="exact"/>
        <w:rPr>
          <w:rFonts w:hint="eastAsia" w:ascii="宋体" w:hAnsi="宋体" w:cs="宋体"/>
          <w:b/>
          <w:color w:val="auto"/>
          <w:szCs w:val="21"/>
          <w:highlight w:val="none"/>
        </w:rPr>
      </w:pPr>
      <w:r>
        <w:rPr>
          <w:rFonts w:hint="eastAsia" w:ascii="宋体" w:hAnsi="宋体" w:cs="宋体"/>
          <w:b/>
          <w:bCs/>
          <w:color w:val="auto"/>
          <w:w w:val="99"/>
          <w:kern w:val="0"/>
          <w:szCs w:val="21"/>
          <w:highlight w:val="none"/>
        </w:rPr>
        <w:br w:type="page"/>
      </w:r>
    </w:p>
    <w:p w14:paraId="5A516F83">
      <w:pPr>
        <w:snapToGrid w:val="0"/>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lang w:val="en-US" w:eastAsia="zh-CN"/>
        </w:rPr>
        <w:t>7</w:t>
      </w:r>
      <w:r>
        <w:rPr>
          <w:rFonts w:hint="eastAsia" w:ascii="宋体" w:hAnsi="宋体" w:cs="宋体"/>
          <w:b/>
          <w:color w:val="auto"/>
          <w:szCs w:val="21"/>
          <w:highlight w:val="none"/>
        </w:rPr>
        <w:t>.特定资格要求设置供应商提供的资格证明材料；</w:t>
      </w:r>
    </w:p>
    <w:p w14:paraId="2823E765">
      <w:pPr>
        <w:pStyle w:val="2"/>
        <w:spacing w:line="400" w:lineRule="exact"/>
        <w:rPr>
          <w:rFonts w:hint="eastAsia" w:ascii="宋体" w:hAnsi="宋体" w:cs="宋体"/>
          <w:color w:val="auto"/>
          <w:sz w:val="21"/>
          <w:szCs w:val="21"/>
          <w:highlight w:val="none"/>
        </w:rPr>
      </w:pPr>
    </w:p>
    <w:p w14:paraId="38186325">
      <w:pPr>
        <w:pStyle w:val="2"/>
        <w:spacing w:line="400" w:lineRule="exact"/>
        <w:rPr>
          <w:rFonts w:hint="eastAsia" w:ascii="宋体" w:hAnsi="宋体" w:cs="宋体"/>
          <w:color w:val="auto"/>
          <w:sz w:val="21"/>
          <w:szCs w:val="21"/>
          <w:highlight w:val="none"/>
        </w:rPr>
      </w:pPr>
    </w:p>
    <w:p w14:paraId="2259E046">
      <w:pPr>
        <w:snapToGrid w:val="0"/>
        <w:spacing w:line="400" w:lineRule="exact"/>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8.《中小企业声明函》或《残疾人福利性单位声明函》或监狱企业的证明文件；</w:t>
      </w:r>
    </w:p>
    <w:p w14:paraId="6CFD9866">
      <w:pPr>
        <w:spacing w:line="400" w:lineRule="exact"/>
        <w:jc w:val="center"/>
        <w:rPr>
          <w:rStyle w:val="1521"/>
          <w:rFonts w:hint="eastAsia" w:ascii="宋体" w:hAnsi="宋体" w:cs="宋体"/>
          <w:b/>
          <w:bCs/>
          <w:color w:val="auto"/>
          <w:kern w:val="0"/>
          <w:szCs w:val="21"/>
          <w:highlight w:val="none"/>
        </w:rPr>
      </w:pPr>
      <w:bookmarkStart w:id="425" w:name="_Toc20297"/>
      <w:r>
        <w:rPr>
          <w:rStyle w:val="1521"/>
          <w:rFonts w:hint="eastAsia" w:ascii="宋体" w:hAnsi="宋体" w:cs="宋体"/>
          <w:b/>
          <w:bCs/>
          <w:color w:val="auto"/>
          <w:kern w:val="0"/>
          <w:szCs w:val="21"/>
          <w:highlight w:val="none"/>
        </w:rPr>
        <w:t>中小企业声明函（工程）</w:t>
      </w:r>
      <w:bookmarkEnd w:id="425"/>
    </w:p>
    <w:p w14:paraId="57CC6485">
      <w:pPr>
        <w:spacing w:line="400" w:lineRule="exact"/>
        <w:ind w:firstLine="482"/>
        <w:jc w:val="left"/>
        <w:rPr>
          <w:rStyle w:val="1521"/>
          <w:rFonts w:hint="eastAsia" w:ascii="宋体" w:hAnsi="宋体" w:cs="宋体"/>
          <w:color w:val="auto"/>
          <w:kern w:val="0"/>
          <w:szCs w:val="21"/>
          <w:highlight w:val="none"/>
        </w:rPr>
      </w:pPr>
      <w:r>
        <w:rPr>
          <w:rStyle w:val="1521"/>
          <w:rFonts w:hint="eastAsia" w:ascii="宋体" w:hAnsi="宋体" w:cs="宋体"/>
          <w:color w:val="auto"/>
          <w:kern w:val="0"/>
          <w:szCs w:val="21"/>
          <w:highlight w:val="none"/>
        </w:rPr>
        <w:t>本公司郑重声明，根据《政府采购促进中小企业发展管理办法》（财库﹝2020﹞46 号）的规定，本公司参加</w:t>
      </w:r>
      <w:r>
        <w:rPr>
          <w:rStyle w:val="1521"/>
          <w:rFonts w:hint="eastAsia" w:ascii="宋体" w:hAnsi="宋体" w:cs="宋体"/>
          <w:color w:val="auto"/>
          <w:kern w:val="0"/>
          <w:szCs w:val="21"/>
          <w:highlight w:val="none"/>
          <w:u w:val="single" w:color="000000"/>
        </w:rPr>
        <w:t>（单位名称）</w:t>
      </w:r>
      <w:r>
        <w:rPr>
          <w:rStyle w:val="1521"/>
          <w:rFonts w:hint="eastAsia" w:ascii="宋体" w:hAnsi="宋体" w:cs="宋体"/>
          <w:color w:val="auto"/>
          <w:kern w:val="0"/>
          <w:szCs w:val="21"/>
          <w:highlight w:val="none"/>
        </w:rPr>
        <w:t>的</w:t>
      </w:r>
      <w:r>
        <w:rPr>
          <w:rStyle w:val="1521"/>
          <w:rFonts w:hint="eastAsia" w:ascii="宋体" w:hAnsi="宋体" w:cs="宋体"/>
          <w:color w:val="auto"/>
          <w:kern w:val="0"/>
          <w:szCs w:val="21"/>
          <w:highlight w:val="none"/>
          <w:u w:val="single" w:color="000000"/>
        </w:rPr>
        <w:t>（项目名称）</w:t>
      </w:r>
      <w:r>
        <w:rPr>
          <w:rStyle w:val="1521"/>
          <w:rFonts w:hint="eastAsia" w:ascii="宋体" w:hAnsi="宋体" w:cs="宋体"/>
          <w:color w:val="auto"/>
          <w:kern w:val="0"/>
          <w:szCs w:val="21"/>
          <w:highlight w:val="none"/>
        </w:rPr>
        <w:t>采购活动，工程的施工单位全部为符合政策要求的中小企业。相关企业（含联合体中的中小企业、签订分包意向协议的中小企业）的具体情况如下：</w:t>
      </w:r>
    </w:p>
    <w:p w14:paraId="57393448">
      <w:pPr>
        <w:spacing w:line="400" w:lineRule="exact"/>
        <w:ind w:firstLine="482"/>
        <w:jc w:val="left"/>
        <w:rPr>
          <w:rStyle w:val="1521"/>
          <w:rFonts w:hint="eastAsia" w:ascii="宋体" w:hAnsi="宋体" w:cs="宋体"/>
          <w:color w:val="auto"/>
          <w:kern w:val="0"/>
          <w:szCs w:val="21"/>
          <w:highlight w:val="none"/>
        </w:rPr>
      </w:pPr>
      <w:r>
        <w:rPr>
          <w:rStyle w:val="1521"/>
          <w:rFonts w:hint="eastAsia" w:ascii="宋体" w:hAnsi="宋体" w:cs="宋体"/>
          <w:color w:val="auto"/>
          <w:kern w:val="0"/>
          <w:szCs w:val="21"/>
          <w:highlight w:val="none"/>
        </w:rPr>
        <w:t xml:space="preserve">1. </w:t>
      </w:r>
      <w:r>
        <w:rPr>
          <w:rStyle w:val="1521"/>
          <w:rFonts w:hint="eastAsia" w:ascii="宋体" w:hAnsi="宋体" w:cs="宋体"/>
          <w:color w:val="auto"/>
          <w:kern w:val="0"/>
          <w:szCs w:val="21"/>
          <w:highlight w:val="none"/>
          <w:u w:val="single" w:color="000000"/>
        </w:rPr>
        <w:t xml:space="preserve">（标的名称） </w:t>
      </w:r>
      <w:r>
        <w:rPr>
          <w:rStyle w:val="1521"/>
          <w:rFonts w:hint="eastAsia" w:ascii="宋体" w:hAnsi="宋体" w:cs="宋体"/>
          <w:color w:val="auto"/>
          <w:kern w:val="0"/>
          <w:szCs w:val="21"/>
          <w:highlight w:val="none"/>
        </w:rPr>
        <w:t xml:space="preserve">，属于 </w:t>
      </w:r>
      <w:r>
        <w:rPr>
          <w:rStyle w:val="1521"/>
          <w:rFonts w:hint="eastAsia" w:ascii="宋体" w:hAnsi="宋体" w:cs="宋体"/>
          <w:color w:val="auto"/>
          <w:kern w:val="0"/>
          <w:szCs w:val="21"/>
          <w:highlight w:val="none"/>
          <w:u w:val="single" w:color="000000"/>
        </w:rPr>
        <w:t xml:space="preserve">（建筑业） </w:t>
      </w:r>
      <w:r>
        <w:rPr>
          <w:rStyle w:val="1521"/>
          <w:rFonts w:hint="eastAsia" w:ascii="宋体" w:hAnsi="宋体" w:cs="宋体"/>
          <w:color w:val="auto"/>
          <w:kern w:val="0"/>
          <w:szCs w:val="21"/>
          <w:highlight w:val="none"/>
        </w:rPr>
        <w:t>； 承接企业为</w:t>
      </w:r>
      <w:r>
        <w:rPr>
          <w:rStyle w:val="1521"/>
          <w:rFonts w:hint="eastAsia" w:ascii="宋体" w:hAnsi="宋体" w:cs="宋体"/>
          <w:color w:val="auto"/>
          <w:kern w:val="0"/>
          <w:szCs w:val="21"/>
          <w:highlight w:val="none"/>
          <w:u w:val="single" w:color="000000"/>
        </w:rPr>
        <w:t>（企业名称）</w:t>
      </w:r>
      <w:r>
        <w:rPr>
          <w:rStyle w:val="1521"/>
          <w:rFonts w:hint="eastAsia" w:ascii="宋体" w:hAnsi="宋体" w:cs="宋体"/>
          <w:color w:val="auto"/>
          <w:kern w:val="0"/>
          <w:szCs w:val="21"/>
          <w:highlight w:val="none"/>
        </w:rPr>
        <w:t>，从业人员</w:t>
      </w:r>
      <w:r>
        <w:rPr>
          <w:rStyle w:val="1521"/>
          <w:rFonts w:hint="eastAsia" w:ascii="宋体" w:hAnsi="宋体" w:cs="宋体"/>
          <w:color w:val="auto"/>
          <w:kern w:val="0"/>
          <w:szCs w:val="21"/>
          <w:highlight w:val="none"/>
          <w:u w:val="single" w:color="000000"/>
        </w:rPr>
        <w:t xml:space="preserve">    </w:t>
      </w:r>
      <w:r>
        <w:rPr>
          <w:rStyle w:val="1521"/>
          <w:rFonts w:hint="eastAsia" w:ascii="宋体" w:hAnsi="宋体" w:cs="宋体"/>
          <w:color w:val="auto"/>
          <w:kern w:val="0"/>
          <w:szCs w:val="21"/>
          <w:highlight w:val="none"/>
        </w:rPr>
        <w:t>人，营业收入为</w:t>
      </w:r>
      <w:r>
        <w:rPr>
          <w:rStyle w:val="1521"/>
          <w:rFonts w:hint="eastAsia" w:ascii="宋体" w:hAnsi="宋体" w:cs="宋体"/>
          <w:color w:val="auto"/>
          <w:kern w:val="0"/>
          <w:szCs w:val="21"/>
          <w:highlight w:val="none"/>
          <w:u w:val="single" w:color="000000"/>
        </w:rPr>
        <w:t xml:space="preserve">    </w:t>
      </w:r>
      <w:r>
        <w:rPr>
          <w:rStyle w:val="1521"/>
          <w:rFonts w:hint="eastAsia" w:ascii="宋体" w:hAnsi="宋体" w:cs="宋体"/>
          <w:color w:val="auto"/>
          <w:kern w:val="0"/>
          <w:szCs w:val="21"/>
          <w:highlight w:val="none"/>
        </w:rPr>
        <w:t>万元，资产总额为</w:t>
      </w:r>
      <w:r>
        <w:rPr>
          <w:rStyle w:val="1521"/>
          <w:rFonts w:hint="eastAsia" w:ascii="宋体" w:hAnsi="宋体" w:cs="宋体"/>
          <w:color w:val="auto"/>
          <w:kern w:val="0"/>
          <w:szCs w:val="21"/>
          <w:highlight w:val="none"/>
          <w:u w:val="single" w:color="000000"/>
        </w:rPr>
        <w:t xml:space="preserve">    </w:t>
      </w:r>
      <w:r>
        <w:rPr>
          <w:rStyle w:val="1521"/>
          <w:rFonts w:hint="eastAsia" w:ascii="宋体" w:hAnsi="宋体" w:cs="宋体"/>
          <w:color w:val="auto"/>
          <w:kern w:val="0"/>
          <w:szCs w:val="21"/>
          <w:highlight w:val="none"/>
        </w:rPr>
        <w:t>万元，属于</w:t>
      </w:r>
      <w:r>
        <w:rPr>
          <w:rStyle w:val="1521"/>
          <w:rFonts w:hint="eastAsia" w:ascii="宋体" w:hAnsi="宋体" w:cs="宋体"/>
          <w:color w:val="auto"/>
          <w:kern w:val="0"/>
          <w:szCs w:val="21"/>
          <w:highlight w:val="none"/>
          <w:u w:val="single" w:color="000000"/>
        </w:rPr>
        <w:t>（中型企业、 小型企业、微型企业）</w:t>
      </w:r>
      <w:r>
        <w:rPr>
          <w:rStyle w:val="1521"/>
          <w:rFonts w:hint="eastAsia" w:ascii="宋体" w:hAnsi="宋体" w:cs="宋体"/>
          <w:color w:val="auto"/>
          <w:kern w:val="0"/>
          <w:szCs w:val="21"/>
          <w:highlight w:val="none"/>
        </w:rPr>
        <w:t xml:space="preserve">； </w:t>
      </w:r>
    </w:p>
    <w:p w14:paraId="4897928F">
      <w:pPr>
        <w:spacing w:line="400" w:lineRule="exact"/>
        <w:ind w:firstLine="482"/>
        <w:jc w:val="left"/>
        <w:rPr>
          <w:rStyle w:val="1521"/>
          <w:rFonts w:hint="eastAsia" w:ascii="宋体" w:hAnsi="宋体" w:cs="宋体"/>
          <w:color w:val="auto"/>
          <w:kern w:val="0"/>
          <w:szCs w:val="21"/>
          <w:highlight w:val="none"/>
        </w:rPr>
      </w:pPr>
      <w:r>
        <w:rPr>
          <w:rStyle w:val="1521"/>
          <w:rFonts w:hint="eastAsia" w:ascii="宋体" w:hAnsi="宋体" w:cs="宋体"/>
          <w:color w:val="auto"/>
          <w:kern w:val="0"/>
          <w:szCs w:val="21"/>
          <w:highlight w:val="none"/>
        </w:rPr>
        <w:t>以上企业，不属于大企业的分支机构，不存在控股股东 为大企业的情形，也不存在与大企业的负责人为同一人的情形。</w:t>
      </w:r>
    </w:p>
    <w:p w14:paraId="79DE6112">
      <w:pPr>
        <w:spacing w:line="400" w:lineRule="exact"/>
        <w:ind w:firstLine="482"/>
        <w:jc w:val="left"/>
        <w:rPr>
          <w:rStyle w:val="1521"/>
          <w:rFonts w:hint="eastAsia" w:ascii="宋体" w:hAnsi="宋体" w:cs="宋体"/>
          <w:color w:val="auto"/>
          <w:kern w:val="0"/>
          <w:szCs w:val="21"/>
          <w:highlight w:val="none"/>
        </w:rPr>
      </w:pPr>
      <w:r>
        <w:rPr>
          <w:rStyle w:val="1521"/>
          <w:rFonts w:hint="eastAsia" w:ascii="宋体" w:hAnsi="宋体" w:cs="宋体"/>
          <w:color w:val="auto"/>
          <w:kern w:val="0"/>
          <w:szCs w:val="21"/>
          <w:highlight w:val="none"/>
        </w:rPr>
        <w:t xml:space="preserve">本企业对上述声明内容的真实性负责。如有虚假，将依法承担相应责任。 </w:t>
      </w:r>
    </w:p>
    <w:p w14:paraId="633EE9AC">
      <w:pPr>
        <w:spacing w:line="400" w:lineRule="exact"/>
        <w:ind w:firstLine="482"/>
        <w:jc w:val="left"/>
        <w:rPr>
          <w:rStyle w:val="1521"/>
          <w:rFonts w:hint="eastAsia" w:ascii="宋体" w:hAnsi="宋体" w:cs="宋体"/>
          <w:color w:val="auto"/>
          <w:kern w:val="0"/>
          <w:szCs w:val="21"/>
          <w:highlight w:val="none"/>
        </w:rPr>
      </w:pPr>
    </w:p>
    <w:p w14:paraId="7F974851">
      <w:pPr>
        <w:spacing w:line="400" w:lineRule="exact"/>
        <w:ind w:firstLine="482"/>
        <w:jc w:val="left"/>
        <w:rPr>
          <w:rStyle w:val="1521"/>
          <w:rFonts w:hint="eastAsia" w:ascii="宋体" w:hAnsi="宋体" w:cs="宋体"/>
          <w:color w:val="auto"/>
          <w:kern w:val="0"/>
          <w:szCs w:val="21"/>
          <w:highlight w:val="none"/>
        </w:rPr>
      </w:pPr>
      <w:r>
        <w:rPr>
          <w:rStyle w:val="1521"/>
          <w:rFonts w:hint="eastAsia" w:ascii="宋体" w:hAnsi="宋体" w:cs="宋体"/>
          <w:color w:val="auto"/>
          <w:kern w:val="0"/>
          <w:szCs w:val="21"/>
          <w:highlight w:val="none"/>
        </w:rPr>
        <w:t xml:space="preserve">企业名称（盖章（CA签章））： </w:t>
      </w:r>
    </w:p>
    <w:p w14:paraId="69BE4DA6">
      <w:pPr>
        <w:spacing w:line="400" w:lineRule="exact"/>
        <w:ind w:firstLine="482"/>
        <w:jc w:val="left"/>
        <w:rPr>
          <w:rStyle w:val="1521"/>
          <w:rFonts w:hint="eastAsia" w:ascii="宋体" w:hAnsi="宋体" w:cs="宋体"/>
          <w:color w:val="auto"/>
          <w:kern w:val="0"/>
          <w:szCs w:val="21"/>
          <w:highlight w:val="none"/>
        </w:rPr>
      </w:pPr>
      <w:r>
        <w:rPr>
          <w:rStyle w:val="1521"/>
          <w:rFonts w:hint="eastAsia" w:ascii="宋体" w:hAnsi="宋体" w:cs="宋体"/>
          <w:color w:val="auto"/>
          <w:kern w:val="0"/>
          <w:szCs w:val="21"/>
          <w:highlight w:val="none"/>
        </w:rPr>
        <w:t>日 期：</w:t>
      </w:r>
    </w:p>
    <w:p w14:paraId="44B5CDD1">
      <w:pPr>
        <w:pStyle w:val="78"/>
        <w:spacing w:before="0" w:beforeAutospacing="0" w:after="0" w:afterAutospacing="0" w:line="400" w:lineRule="exact"/>
        <w:rPr>
          <w:rFonts w:hint="eastAsia" w:cs="宋体"/>
          <w:bCs/>
          <w:color w:val="auto"/>
          <w:sz w:val="21"/>
          <w:szCs w:val="21"/>
          <w:highlight w:val="none"/>
        </w:rPr>
      </w:pPr>
      <w:r>
        <w:rPr>
          <w:rFonts w:hint="eastAsia" w:cs="宋体"/>
          <w:bCs/>
          <w:color w:val="auto"/>
          <w:sz w:val="21"/>
          <w:szCs w:val="21"/>
          <w:highlight w:val="none"/>
        </w:rPr>
        <w:t>备注：供应商应按照工信部联企业（2011）300 号文的划分标准进行如实申明，如提供虚假申明应依法承担相应法律责任。如成交人为小型和微型企业的，中标结果将同时公告（或成交人的《中小企业声明函》，接受社会监督。</w:t>
      </w:r>
    </w:p>
    <w:p w14:paraId="0DA5B614">
      <w:pPr>
        <w:spacing w:line="400" w:lineRule="exact"/>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残疾人福利性单位声明函（格式）</w:t>
      </w:r>
    </w:p>
    <w:p w14:paraId="2946C701">
      <w:pPr>
        <w:spacing w:line="400" w:lineRule="exact"/>
        <w:rPr>
          <w:rFonts w:hint="eastAsia" w:ascii="宋体" w:hAnsi="宋体" w:cs="宋体"/>
          <w:b/>
          <w:color w:val="auto"/>
          <w:kern w:val="0"/>
          <w:szCs w:val="21"/>
          <w:highlight w:val="none"/>
        </w:rPr>
      </w:pPr>
    </w:p>
    <w:p w14:paraId="1B4D2B83">
      <w:pPr>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A8AF244">
      <w:pPr>
        <w:spacing w:line="400" w:lineRule="exact"/>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本单位对上述声明的真实性负责。如有虚假，将依法承担相应责任。</w:t>
      </w:r>
    </w:p>
    <w:p w14:paraId="3F7D04F4">
      <w:pPr>
        <w:spacing w:line="400" w:lineRule="exact"/>
        <w:ind w:firstLine="420" w:firstLineChars="200"/>
        <w:rPr>
          <w:rFonts w:hint="eastAsia" w:ascii="宋体" w:hAnsi="宋体" w:cs="宋体"/>
          <w:color w:val="auto"/>
          <w:kern w:val="0"/>
          <w:szCs w:val="21"/>
          <w:highlight w:val="none"/>
        </w:rPr>
      </w:pPr>
    </w:p>
    <w:p w14:paraId="3A33CDFF">
      <w:pPr>
        <w:tabs>
          <w:tab w:val="left" w:pos="4860"/>
        </w:tabs>
        <w:spacing w:line="400" w:lineRule="exact"/>
        <w:ind w:firstLine="420" w:firstLineChars="20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 xml:space="preserve">      单位名称（盖章（CA签章））：</w:t>
      </w:r>
    </w:p>
    <w:p w14:paraId="707282CE">
      <w:pPr>
        <w:tabs>
          <w:tab w:val="left" w:pos="4860"/>
        </w:tabs>
        <w:spacing w:line="400" w:lineRule="exact"/>
        <w:ind w:firstLine="420" w:firstLineChars="200"/>
        <w:jc w:val="center"/>
        <w:rPr>
          <w:rFonts w:hint="eastAsia" w:ascii="宋体" w:hAnsi="宋体" w:cs="宋体"/>
          <w:b/>
          <w:bCs/>
          <w:color w:val="auto"/>
          <w:kern w:val="0"/>
          <w:szCs w:val="21"/>
          <w:highlight w:val="none"/>
        </w:rPr>
      </w:pPr>
      <w:r>
        <w:rPr>
          <w:rFonts w:hint="eastAsia" w:ascii="宋体" w:hAnsi="宋体" w:cs="宋体"/>
          <w:color w:val="auto"/>
          <w:kern w:val="0"/>
          <w:szCs w:val="21"/>
          <w:highlight w:val="none"/>
        </w:rPr>
        <w:t xml:space="preserve">   日  期：</w:t>
      </w:r>
    </w:p>
    <w:p w14:paraId="74110A80">
      <w:pPr>
        <w:pStyle w:val="5"/>
        <w:spacing w:before="0" w:after="0" w:line="400" w:lineRule="exact"/>
        <w:rPr>
          <w:rFonts w:hint="eastAsia" w:ascii="宋体" w:hAnsi="宋体" w:eastAsia="宋体" w:cs="宋体"/>
          <w:bCs w:val="0"/>
          <w:color w:val="auto"/>
          <w:sz w:val="21"/>
          <w:szCs w:val="21"/>
          <w:highlight w:val="none"/>
        </w:rPr>
      </w:pPr>
    </w:p>
    <w:p w14:paraId="4CCCBF78">
      <w:pPr>
        <w:spacing w:line="400" w:lineRule="exact"/>
        <w:jc w:val="center"/>
        <w:rPr>
          <w:rFonts w:hint="eastAsia" w:ascii="宋体" w:hAnsi="宋体" w:cs="宋体"/>
          <w:b/>
          <w:color w:val="auto"/>
          <w:kern w:val="0"/>
          <w:szCs w:val="21"/>
          <w:highlight w:val="none"/>
        </w:rPr>
      </w:pPr>
      <w:r>
        <w:rPr>
          <w:rFonts w:hint="eastAsia" w:ascii="宋体" w:hAnsi="宋体" w:cs="宋体"/>
          <w:b/>
          <w:color w:val="auto"/>
          <w:kern w:val="0"/>
          <w:szCs w:val="21"/>
          <w:highlight w:val="none"/>
        </w:rPr>
        <w:t>监狱企业的证明文件</w:t>
      </w:r>
    </w:p>
    <w:p w14:paraId="65DA38E1">
      <w:pPr>
        <w:pStyle w:val="2"/>
        <w:spacing w:line="400" w:lineRule="exact"/>
        <w:rPr>
          <w:rFonts w:hint="eastAsia" w:ascii="宋体" w:hAnsi="宋体" w:cs="宋体"/>
          <w:b/>
          <w:color w:val="auto"/>
          <w:sz w:val="21"/>
          <w:szCs w:val="21"/>
          <w:highlight w:val="none"/>
        </w:rPr>
      </w:pPr>
    </w:p>
    <w:p w14:paraId="2BEB002D">
      <w:pPr>
        <w:snapToGrid w:val="0"/>
        <w:spacing w:line="400" w:lineRule="exact"/>
        <w:jc w:val="left"/>
        <w:rPr>
          <w:rFonts w:hint="eastAsia" w:ascii="宋体" w:hAnsi="宋体" w:eastAsia="宋体" w:cs="宋体"/>
          <w:b/>
          <w:color w:val="auto"/>
          <w:szCs w:val="21"/>
          <w:highlight w:val="none"/>
          <w:lang w:val="en-US" w:eastAsia="zh-CN"/>
        </w:rPr>
      </w:pPr>
    </w:p>
    <w:p w14:paraId="7FC50B37">
      <w:pPr>
        <w:snapToGrid w:val="0"/>
        <w:spacing w:line="400" w:lineRule="exact"/>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9.除招标文件规定必须提供以外，投标人认为需要提供的其他证明材料。</w:t>
      </w:r>
    </w:p>
    <w:p w14:paraId="6958F667">
      <w:pPr>
        <w:rPr>
          <w:b/>
          <w:color w:val="auto"/>
          <w:sz w:val="28"/>
          <w:szCs w:val="28"/>
          <w:highlight w:val="none"/>
        </w:rPr>
      </w:pPr>
      <w:r>
        <w:rPr>
          <w:rFonts w:hint="eastAsia"/>
          <w:b/>
          <w:color w:val="auto"/>
          <w:sz w:val="28"/>
          <w:szCs w:val="28"/>
          <w:highlight w:val="none"/>
        </w:rPr>
        <w:t>三、商务及技术文件格式</w:t>
      </w:r>
      <w:bookmarkEnd w:id="424"/>
    </w:p>
    <w:p w14:paraId="14F1B319">
      <w:pPr>
        <w:snapToGrid w:val="0"/>
        <w:spacing w:before="120" w:beforeLines="50" w:after="50" w:line="360" w:lineRule="auto"/>
        <w:jc w:val="left"/>
        <w:rPr>
          <w:rFonts w:hint="eastAsia" w:ascii="宋体" w:hAnsi="宋体"/>
          <w:b/>
          <w:color w:val="auto"/>
          <w:sz w:val="24"/>
          <w:highlight w:val="none"/>
        </w:rPr>
      </w:pPr>
      <w:r>
        <w:rPr>
          <w:rFonts w:hint="eastAsia" w:ascii="宋体" w:hAnsi="宋体"/>
          <w:b/>
          <w:color w:val="auto"/>
          <w:sz w:val="24"/>
          <w:highlight w:val="none"/>
        </w:rPr>
        <w:t xml:space="preserve">商务及技术文件封面格式： </w:t>
      </w:r>
    </w:p>
    <w:p w14:paraId="17708C38">
      <w:pPr>
        <w:snapToGrid w:val="0"/>
        <w:spacing w:before="120" w:beforeLines="50" w:after="50"/>
        <w:jc w:val="center"/>
        <w:rPr>
          <w:rFonts w:hint="eastAsia" w:ascii="宋体" w:hAnsi="宋体"/>
          <w:color w:val="auto"/>
          <w:sz w:val="24"/>
          <w:highlight w:val="none"/>
        </w:rPr>
      </w:pPr>
      <w:r>
        <w:rPr>
          <w:rFonts w:hint="eastAsia" w:ascii="宋体" w:hAnsi="宋体" w:eastAsia="方正小标宋简体"/>
          <w:bCs/>
          <w:color w:val="auto"/>
          <w:sz w:val="48"/>
          <w:szCs w:val="48"/>
          <w:highlight w:val="none"/>
        </w:rPr>
        <w:t>电子投标文件</w:t>
      </w:r>
    </w:p>
    <w:p w14:paraId="53BFF46B">
      <w:pPr>
        <w:snapToGrid w:val="0"/>
        <w:spacing w:before="120" w:beforeLines="50" w:after="50"/>
        <w:rPr>
          <w:rFonts w:hint="eastAsia" w:ascii="宋体" w:hAnsi="宋体"/>
          <w:color w:val="auto"/>
          <w:sz w:val="24"/>
          <w:szCs w:val="20"/>
          <w:highlight w:val="none"/>
        </w:rPr>
      </w:pPr>
    </w:p>
    <w:p w14:paraId="06108FEE">
      <w:pPr>
        <w:snapToGrid w:val="0"/>
        <w:spacing w:before="120"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商务及技术文件</w:t>
      </w:r>
    </w:p>
    <w:p w14:paraId="446E55E2">
      <w:pPr>
        <w:snapToGrid w:val="0"/>
        <w:spacing w:before="120" w:beforeLines="50" w:after="50"/>
        <w:rPr>
          <w:rFonts w:hint="eastAsia" w:ascii="宋体" w:hAnsi="宋体"/>
          <w:bCs/>
          <w:color w:val="auto"/>
          <w:sz w:val="24"/>
          <w:szCs w:val="20"/>
          <w:highlight w:val="none"/>
        </w:rPr>
      </w:pPr>
    </w:p>
    <w:p w14:paraId="57E19053">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14:paraId="036A9619">
      <w:pPr>
        <w:snapToGrid w:val="0"/>
        <w:spacing w:before="120" w:beforeLines="50" w:after="50"/>
        <w:ind w:firstLine="540" w:firstLineChars="225"/>
        <w:rPr>
          <w:rFonts w:hint="eastAsia" w:ascii="宋体" w:hAnsi="宋体"/>
          <w:bCs/>
          <w:color w:val="auto"/>
          <w:sz w:val="24"/>
          <w:szCs w:val="20"/>
          <w:highlight w:val="none"/>
        </w:rPr>
      </w:pPr>
    </w:p>
    <w:p w14:paraId="2B0CFDAC">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2C6C78FE">
      <w:pPr>
        <w:snapToGrid w:val="0"/>
        <w:spacing w:before="120" w:beforeLines="50" w:after="50"/>
        <w:ind w:firstLine="540" w:firstLineChars="225"/>
        <w:rPr>
          <w:rFonts w:hint="eastAsia" w:ascii="宋体" w:hAnsi="宋体"/>
          <w:bCs/>
          <w:color w:val="auto"/>
          <w:sz w:val="24"/>
          <w:szCs w:val="20"/>
          <w:highlight w:val="none"/>
        </w:rPr>
      </w:pPr>
    </w:p>
    <w:p w14:paraId="586A6304">
      <w:pPr>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046579E2">
      <w:pPr>
        <w:snapToGrid w:val="0"/>
        <w:spacing w:before="120" w:beforeLines="50" w:after="50"/>
        <w:ind w:firstLine="540" w:firstLineChars="225"/>
        <w:rPr>
          <w:rFonts w:hint="eastAsia" w:ascii="宋体" w:hAnsi="宋体"/>
          <w:bCs/>
          <w:color w:val="auto"/>
          <w:sz w:val="24"/>
          <w:szCs w:val="20"/>
          <w:highlight w:val="none"/>
        </w:rPr>
      </w:pPr>
    </w:p>
    <w:p w14:paraId="44017605">
      <w:pPr>
        <w:pStyle w:val="9"/>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07196A06">
      <w:pPr>
        <w:pStyle w:val="9"/>
        <w:snapToGrid w:val="0"/>
        <w:spacing w:before="50" w:after="50"/>
        <w:ind w:firstLine="540" w:firstLineChars="225"/>
        <w:rPr>
          <w:rFonts w:hint="eastAsia" w:ascii="宋体" w:hAnsi="宋体"/>
          <w:bCs/>
          <w:color w:val="auto"/>
          <w:sz w:val="24"/>
          <w:szCs w:val="24"/>
          <w:highlight w:val="none"/>
        </w:rPr>
      </w:pPr>
    </w:p>
    <w:p w14:paraId="7505113D">
      <w:pPr>
        <w:pStyle w:val="9"/>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投标人地址：</w:t>
      </w:r>
    </w:p>
    <w:p w14:paraId="5E733FAE">
      <w:pPr>
        <w:pStyle w:val="9"/>
        <w:snapToGrid w:val="0"/>
        <w:spacing w:before="50" w:after="50"/>
        <w:ind w:firstLine="960" w:firstLineChars="400"/>
        <w:rPr>
          <w:rFonts w:hint="eastAsia" w:ascii="宋体" w:hAnsi="宋体"/>
          <w:bCs/>
          <w:color w:val="auto"/>
          <w:sz w:val="24"/>
          <w:szCs w:val="24"/>
          <w:highlight w:val="none"/>
        </w:rPr>
      </w:pPr>
    </w:p>
    <w:p w14:paraId="065ECD0F">
      <w:pPr>
        <w:snapToGrid w:val="0"/>
        <w:spacing w:before="120" w:beforeLines="50" w:after="50"/>
        <w:ind w:firstLine="645"/>
        <w:rPr>
          <w:rFonts w:hint="eastAsia" w:ascii="宋体" w:hAnsi="宋体"/>
          <w:color w:val="auto"/>
          <w:sz w:val="24"/>
          <w:highlight w:val="none"/>
        </w:rPr>
      </w:pPr>
      <w:r>
        <w:rPr>
          <w:rFonts w:hint="eastAsia" w:ascii="宋体" w:hAnsi="宋体"/>
          <w:color w:val="auto"/>
          <w:sz w:val="24"/>
          <w:highlight w:val="none"/>
        </w:rPr>
        <w:t xml:space="preserve">                        年  月  日</w:t>
      </w:r>
    </w:p>
    <w:p w14:paraId="7DED5990">
      <w:pPr>
        <w:snapToGrid w:val="0"/>
        <w:spacing w:before="120" w:beforeLines="50" w:after="50"/>
        <w:rPr>
          <w:rFonts w:hint="eastAsia" w:ascii="宋体" w:hAnsi="宋体"/>
          <w:color w:val="auto"/>
          <w:sz w:val="24"/>
          <w:szCs w:val="20"/>
          <w:highlight w:val="none"/>
        </w:rPr>
      </w:pPr>
    </w:p>
    <w:p w14:paraId="1591F475">
      <w:pPr>
        <w:snapToGrid w:val="0"/>
        <w:spacing w:line="360" w:lineRule="auto"/>
        <w:jc w:val="left"/>
        <w:rPr>
          <w:rFonts w:hint="eastAsia" w:ascii="宋体" w:hAnsi="宋体"/>
          <w:b/>
          <w:bCs/>
          <w:color w:val="auto"/>
          <w:sz w:val="28"/>
          <w:szCs w:val="28"/>
          <w:highlight w:val="none"/>
        </w:rPr>
      </w:pPr>
      <w:r>
        <w:rPr>
          <w:rFonts w:ascii="宋体" w:hAnsi="宋体"/>
          <w:color w:val="auto"/>
          <w:sz w:val="24"/>
          <w:szCs w:val="20"/>
          <w:highlight w:val="none"/>
        </w:rPr>
        <w:br w:type="page"/>
      </w:r>
      <w:r>
        <w:rPr>
          <w:rFonts w:hint="eastAsia" w:ascii="宋体" w:hAnsi="宋体"/>
          <w:b/>
          <w:bCs/>
          <w:color w:val="auto"/>
          <w:sz w:val="28"/>
          <w:szCs w:val="28"/>
          <w:highlight w:val="none"/>
        </w:rPr>
        <w:t>商务及技术文件目录</w:t>
      </w:r>
    </w:p>
    <w:p w14:paraId="1B5BEBD2">
      <w:pPr>
        <w:snapToGrid w:val="0"/>
        <w:spacing w:before="50" w:after="120" w:afterLines="50" w:line="360" w:lineRule="auto"/>
        <w:jc w:val="left"/>
        <w:rPr>
          <w:rFonts w:hint="eastAsia" w:ascii="微软雅黑" w:hAnsi="微软雅黑" w:eastAsia="微软雅黑"/>
          <w:b/>
          <w:bCs/>
          <w:color w:val="auto"/>
          <w:sz w:val="24"/>
          <w:highlight w:val="none"/>
        </w:rPr>
      </w:pPr>
      <w:r>
        <w:rPr>
          <w:rFonts w:hint="eastAsia" w:ascii="宋体" w:hAnsi="宋体"/>
          <w:color w:val="auto"/>
          <w:szCs w:val="21"/>
          <w:highlight w:val="none"/>
        </w:rPr>
        <w:t>根据招标文件规定及投标人提供的材料自行编写目录。</w:t>
      </w:r>
    </w:p>
    <w:p w14:paraId="30729D6C">
      <w:pPr>
        <w:snapToGrid w:val="0"/>
        <w:spacing w:before="50" w:after="120" w:afterLines="50"/>
        <w:jc w:val="left"/>
        <w:rPr>
          <w:rFonts w:hint="eastAsia" w:ascii="宋体" w:hAnsi="宋体"/>
          <w:color w:val="auto"/>
          <w:highlight w:val="none"/>
        </w:rPr>
      </w:pPr>
    </w:p>
    <w:p w14:paraId="380E12AC">
      <w:pPr>
        <w:snapToGrid w:val="0"/>
        <w:spacing w:line="400" w:lineRule="exact"/>
        <w:jc w:val="left"/>
        <w:rPr>
          <w:rFonts w:hint="eastAsia" w:ascii="宋体" w:hAnsi="宋体" w:cs="宋体"/>
          <w:b/>
          <w:color w:val="auto"/>
          <w:szCs w:val="21"/>
          <w:highlight w:val="none"/>
        </w:rPr>
      </w:pPr>
      <w:r>
        <w:rPr>
          <w:rFonts w:ascii="宋体" w:hAnsi="宋体"/>
          <w:b/>
          <w:color w:val="auto"/>
          <w:sz w:val="24"/>
          <w:highlight w:val="none"/>
        </w:rPr>
        <w:br w:type="page"/>
      </w:r>
      <w:r>
        <w:rPr>
          <w:rFonts w:hint="eastAsia" w:ascii="宋体" w:hAnsi="宋体" w:cs="宋体"/>
          <w:b/>
          <w:color w:val="auto"/>
          <w:szCs w:val="21"/>
          <w:highlight w:val="none"/>
        </w:rPr>
        <w:t>1.投标人参加本项目无围标串标行为的承诺</w:t>
      </w:r>
    </w:p>
    <w:p w14:paraId="0EEF338B">
      <w:pPr>
        <w:snapToGrid w:val="0"/>
        <w:spacing w:line="400" w:lineRule="exact"/>
        <w:jc w:val="left"/>
        <w:rPr>
          <w:rFonts w:hint="eastAsia" w:ascii="宋体" w:hAnsi="宋体" w:cs="宋体"/>
          <w:b/>
          <w:color w:val="auto"/>
          <w:szCs w:val="21"/>
          <w:highlight w:val="none"/>
        </w:rPr>
      </w:pPr>
    </w:p>
    <w:p w14:paraId="099913EC">
      <w:pPr>
        <w:snapToGrid w:val="0"/>
        <w:spacing w:line="400" w:lineRule="exact"/>
        <w:jc w:val="center"/>
        <w:rPr>
          <w:rFonts w:hint="eastAsia" w:ascii="宋体" w:hAnsi="宋体" w:cs="宋体"/>
          <w:b/>
          <w:color w:val="auto"/>
          <w:spacing w:val="-17"/>
          <w:szCs w:val="21"/>
          <w:highlight w:val="none"/>
        </w:rPr>
      </w:pPr>
      <w:r>
        <w:rPr>
          <w:rFonts w:hint="eastAsia" w:ascii="宋体" w:hAnsi="宋体" w:cs="宋体"/>
          <w:bCs/>
          <w:color w:val="auto"/>
          <w:spacing w:val="-17"/>
          <w:szCs w:val="21"/>
          <w:highlight w:val="none"/>
        </w:rPr>
        <w:t>投标人参加本项目无围标串标行为的承诺函</w:t>
      </w:r>
    </w:p>
    <w:p w14:paraId="509DEF98">
      <w:pPr>
        <w:snapToGrid w:val="0"/>
        <w:spacing w:line="400" w:lineRule="exact"/>
        <w:rPr>
          <w:rFonts w:hint="eastAsia" w:ascii="宋体" w:hAnsi="宋体" w:cs="宋体"/>
          <w:b/>
          <w:color w:val="auto"/>
          <w:szCs w:val="21"/>
          <w:highlight w:val="none"/>
        </w:rPr>
      </w:pPr>
    </w:p>
    <w:p w14:paraId="55FD7029">
      <w:pPr>
        <w:spacing w:line="400" w:lineRule="exact"/>
        <w:contextualSpacing/>
        <w:jc w:val="left"/>
        <w:rPr>
          <w:rFonts w:hint="eastAsia" w:ascii="宋体" w:hAnsi="宋体" w:cs="宋体"/>
          <w:b/>
          <w:color w:val="auto"/>
          <w:szCs w:val="21"/>
          <w:highlight w:val="none"/>
        </w:rPr>
      </w:pPr>
      <w:r>
        <w:rPr>
          <w:rFonts w:hint="eastAsia" w:ascii="宋体" w:hAnsi="宋体" w:cs="宋体"/>
          <w:b/>
          <w:color w:val="auto"/>
          <w:szCs w:val="21"/>
          <w:highlight w:val="none"/>
        </w:rPr>
        <w:t>一、我方承诺无下列相互串通投标的情形：</w:t>
      </w:r>
    </w:p>
    <w:p w14:paraId="76C4BBD8">
      <w:pPr>
        <w:spacing w:line="4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 xml:space="preserve">1.不同投标人的投标文件由同一单位或者个人编制； </w:t>
      </w:r>
    </w:p>
    <w:p w14:paraId="74673D55">
      <w:pPr>
        <w:spacing w:line="4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2.不同投标人委托同一单位或者个人办理投标事宜；</w:t>
      </w:r>
    </w:p>
    <w:p w14:paraId="37A8ED6D">
      <w:pPr>
        <w:spacing w:line="4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3.不同的投标人的投标文件载明的项目管理员为同一个人；</w:t>
      </w:r>
    </w:p>
    <w:p w14:paraId="66A938B3">
      <w:pPr>
        <w:spacing w:line="4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4.不同投标人的投标文件异常一致或者投标报价呈规律性差异；</w:t>
      </w:r>
    </w:p>
    <w:p w14:paraId="04F11D86">
      <w:pPr>
        <w:spacing w:line="4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5.不同投标人的投标文件相互混装；</w:t>
      </w:r>
    </w:p>
    <w:p w14:paraId="31063FC6">
      <w:pPr>
        <w:spacing w:line="4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6.不同投标人的投标保证金从同一单位或者个人账户转出。</w:t>
      </w:r>
    </w:p>
    <w:p w14:paraId="57C95B35">
      <w:pPr>
        <w:spacing w:line="400" w:lineRule="exact"/>
        <w:contextualSpacing/>
        <w:jc w:val="left"/>
        <w:rPr>
          <w:rFonts w:hint="eastAsia" w:ascii="宋体" w:hAnsi="宋体" w:cs="宋体"/>
          <w:color w:val="auto"/>
          <w:szCs w:val="21"/>
          <w:highlight w:val="none"/>
        </w:rPr>
      </w:pPr>
      <w:r>
        <w:rPr>
          <w:rFonts w:hint="eastAsia" w:ascii="宋体" w:hAnsi="宋体" w:cs="宋体"/>
          <w:b/>
          <w:color w:val="auto"/>
          <w:szCs w:val="21"/>
          <w:highlight w:val="none"/>
        </w:rPr>
        <w:t>二、我方承诺无下列恶意串通的情形：</w:t>
      </w:r>
    </w:p>
    <w:p w14:paraId="62BCD6A5">
      <w:pPr>
        <w:spacing w:line="4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1.投标人直接或者间接从采购人或者采购代理机构处获得其他投标人的相关信息并修改其投标文件或者响应文件；</w:t>
      </w:r>
    </w:p>
    <w:p w14:paraId="01836258">
      <w:pPr>
        <w:spacing w:line="4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2.投标人按照采购人或者采购代理机构的授意撤换、修改投标文件或者响应文件；</w:t>
      </w:r>
    </w:p>
    <w:p w14:paraId="28607AC0">
      <w:pPr>
        <w:spacing w:line="4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3.投标人之间协商报价、技术方案等投标文件或者响应文件的实质性内容；</w:t>
      </w:r>
    </w:p>
    <w:p w14:paraId="1851D4BF">
      <w:pPr>
        <w:spacing w:line="4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4.属于同一集团、协会、商会等组织成员的投标人按照该组织要求协同参加政府采购活动；</w:t>
      </w:r>
    </w:p>
    <w:p w14:paraId="165B5CD2">
      <w:pPr>
        <w:spacing w:line="4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5.投标人之间事先约定一致抬高或者压低投标报价，或者在招标项目中事先约定轮流以高价位或者低价位中标，或者事先约定由某一特定投标人中标，然后再参加投标；</w:t>
      </w:r>
    </w:p>
    <w:p w14:paraId="4A04B3AD">
      <w:pPr>
        <w:spacing w:line="4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6.投标人之间商定部分投标人放弃参加政府采购活动或者放弃中标；</w:t>
      </w:r>
    </w:p>
    <w:p w14:paraId="316DCBB4">
      <w:pPr>
        <w:spacing w:line="400" w:lineRule="exact"/>
        <w:ind w:firstLine="411" w:firstLineChars="196"/>
        <w:contextualSpacing/>
        <w:jc w:val="left"/>
        <w:rPr>
          <w:rFonts w:hint="eastAsia" w:ascii="宋体" w:hAnsi="宋体" w:cs="宋体"/>
          <w:color w:val="auto"/>
          <w:szCs w:val="21"/>
          <w:highlight w:val="none"/>
        </w:rPr>
      </w:pPr>
      <w:r>
        <w:rPr>
          <w:rFonts w:hint="eastAsia" w:ascii="宋体" w:hAnsi="宋体" w:cs="宋体"/>
          <w:color w:val="auto"/>
          <w:szCs w:val="21"/>
          <w:highlight w:val="none"/>
        </w:rPr>
        <w:t>7.投标人与采购人或者采购代理机构之间、投标人相互之间，为谋求特定投标人中标或者排斥其他投标人的其他串通行为。</w:t>
      </w:r>
    </w:p>
    <w:p w14:paraId="5C2C7E13">
      <w:pPr>
        <w:spacing w:line="400" w:lineRule="exact"/>
        <w:ind w:firstLine="413" w:firstLineChars="196"/>
        <w:contextualSpacing/>
        <w:jc w:val="left"/>
        <w:rPr>
          <w:rFonts w:hint="eastAsia" w:ascii="宋体" w:hAnsi="宋体" w:cs="宋体"/>
          <w:b/>
          <w:color w:val="auto"/>
          <w:szCs w:val="21"/>
          <w:highlight w:val="none"/>
        </w:rPr>
      </w:pPr>
      <w:r>
        <w:rPr>
          <w:rFonts w:hint="eastAsia" w:ascii="宋体" w:hAnsi="宋体" w:cs="宋体"/>
          <w:b/>
          <w:color w:val="auto"/>
          <w:szCs w:val="21"/>
          <w:highlight w:val="none"/>
        </w:rPr>
        <w:t>以上情形一经核查属实，我方愿意承担一切后果，并不再寻求任何旨在减轻或者免除法律责任的辩解。</w:t>
      </w:r>
    </w:p>
    <w:p w14:paraId="31ED75E5">
      <w:pPr>
        <w:spacing w:line="400" w:lineRule="exact"/>
        <w:ind w:firstLine="413" w:firstLineChars="196"/>
        <w:contextualSpacing/>
        <w:jc w:val="left"/>
        <w:rPr>
          <w:rFonts w:hint="eastAsia" w:ascii="宋体" w:hAnsi="宋体" w:cs="宋体"/>
          <w:b/>
          <w:color w:val="auto"/>
          <w:szCs w:val="21"/>
          <w:highlight w:val="none"/>
        </w:rPr>
      </w:pPr>
    </w:p>
    <w:p w14:paraId="7DD0A79B">
      <w:pPr>
        <w:pStyle w:val="43"/>
        <w:spacing w:line="400" w:lineRule="exact"/>
        <w:ind w:firstLine="840" w:firstLineChars="400"/>
        <w:rPr>
          <w:rFonts w:hint="eastAsia" w:hAnsi="宋体" w:cs="宋体"/>
          <w:color w:val="auto"/>
          <w:sz w:val="21"/>
          <w:highlight w:val="none"/>
        </w:rPr>
      </w:pPr>
      <w:r>
        <w:rPr>
          <w:rFonts w:hint="eastAsia" w:hAnsi="宋体" w:cs="宋体"/>
          <w:color w:val="auto"/>
          <w:sz w:val="21"/>
          <w:highlight w:val="none"/>
        </w:rPr>
        <w:t>法定代表人或者委托代理人</w:t>
      </w:r>
      <w:r>
        <w:rPr>
          <w:rFonts w:hint="eastAsia" w:hAnsi="宋体" w:cs="宋体"/>
          <w:color w:val="auto"/>
          <w:spacing w:val="20"/>
          <w:sz w:val="21"/>
          <w:highlight w:val="none"/>
        </w:rPr>
        <w:t>（签字或者电子签名）：</w:t>
      </w:r>
    </w:p>
    <w:p w14:paraId="48BAE835">
      <w:pPr>
        <w:pStyle w:val="43"/>
        <w:spacing w:line="400" w:lineRule="exact"/>
        <w:contextualSpacing/>
        <w:jc w:val="center"/>
        <w:rPr>
          <w:rFonts w:hint="eastAsia" w:hAnsi="宋体" w:cs="宋体"/>
          <w:color w:val="auto"/>
          <w:sz w:val="21"/>
          <w:highlight w:val="none"/>
        </w:rPr>
      </w:pPr>
      <w:r>
        <w:rPr>
          <w:rFonts w:hint="eastAsia" w:hAnsi="宋体" w:cs="宋体"/>
          <w:color w:val="auto"/>
          <w:sz w:val="21"/>
          <w:highlight w:val="none"/>
        </w:rPr>
        <w:t>投标人名称（电子签章）</w:t>
      </w:r>
    </w:p>
    <w:p w14:paraId="456B1FAE">
      <w:pPr>
        <w:pStyle w:val="43"/>
        <w:spacing w:line="400" w:lineRule="exact"/>
        <w:contextualSpacing/>
        <w:jc w:val="right"/>
        <w:rPr>
          <w:rFonts w:hint="eastAsia" w:hAnsi="宋体" w:cs="宋体"/>
          <w:color w:val="auto"/>
          <w:sz w:val="21"/>
          <w:highlight w:val="none"/>
        </w:rPr>
      </w:pPr>
      <w:r>
        <w:rPr>
          <w:rFonts w:hint="eastAsia" w:hAnsi="宋体" w:cs="宋体"/>
          <w:color w:val="auto"/>
          <w:sz w:val="21"/>
          <w:highlight w:val="none"/>
        </w:rPr>
        <w:t>年月日</w:t>
      </w:r>
    </w:p>
    <w:p w14:paraId="39AB3BAA">
      <w:pPr>
        <w:snapToGrid w:val="0"/>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br w:type="page"/>
      </w:r>
    </w:p>
    <w:p w14:paraId="791CC059">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t>2.偏离表格式（注：按项目需求表具体项目修改）</w:t>
      </w:r>
    </w:p>
    <w:p w14:paraId="5F0BFD22">
      <w:pPr>
        <w:snapToGrid w:val="0"/>
        <w:spacing w:line="400" w:lineRule="exact"/>
        <w:jc w:val="left"/>
        <w:rPr>
          <w:rFonts w:hint="eastAsia" w:ascii="宋体" w:hAnsi="宋体" w:cs="宋体"/>
          <w:color w:val="auto"/>
          <w:szCs w:val="21"/>
          <w:highlight w:val="none"/>
        </w:rPr>
      </w:pPr>
    </w:p>
    <w:p w14:paraId="69FAE348">
      <w:pPr>
        <w:snapToGrid w:val="0"/>
        <w:spacing w:line="400" w:lineRule="exact"/>
        <w:jc w:val="left"/>
        <w:rPr>
          <w:rFonts w:hint="eastAsia" w:ascii="宋体" w:hAnsi="宋体" w:cs="宋体"/>
          <w:color w:val="auto"/>
          <w:szCs w:val="21"/>
          <w:highlight w:val="none"/>
          <w:u w:val="single"/>
        </w:rPr>
      </w:pPr>
    </w:p>
    <w:tbl>
      <w:tblPr>
        <w:tblStyle w:val="8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10"/>
        <w:gridCol w:w="3336"/>
        <w:gridCol w:w="1760"/>
        <w:gridCol w:w="2035"/>
      </w:tblGrid>
      <w:tr w14:paraId="2B0317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1510" w:type="dxa"/>
            <w:tcBorders>
              <w:top w:val="single" w:color="auto" w:sz="4" w:space="0"/>
              <w:left w:val="single" w:color="auto" w:sz="4" w:space="0"/>
              <w:bottom w:val="single" w:color="auto" w:sz="4" w:space="0"/>
              <w:right w:val="single" w:color="auto" w:sz="4" w:space="0"/>
            </w:tcBorders>
          </w:tcPr>
          <w:p w14:paraId="58EE2A81">
            <w:pPr>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项目</w:t>
            </w:r>
          </w:p>
        </w:tc>
        <w:tc>
          <w:tcPr>
            <w:tcW w:w="3336" w:type="dxa"/>
            <w:tcBorders>
              <w:top w:val="single" w:color="auto" w:sz="4" w:space="0"/>
              <w:left w:val="single" w:color="auto" w:sz="4" w:space="0"/>
              <w:bottom w:val="single" w:color="auto" w:sz="4" w:space="0"/>
              <w:right w:val="single" w:color="auto" w:sz="4" w:space="0"/>
            </w:tcBorders>
          </w:tcPr>
          <w:p w14:paraId="43E17F8A">
            <w:pPr>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招标文件商务要求</w:t>
            </w:r>
          </w:p>
        </w:tc>
        <w:tc>
          <w:tcPr>
            <w:tcW w:w="1760" w:type="dxa"/>
            <w:tcBorders>
              <w:top w:val="single" w:color="auto" w:sz="4" w:space="0"/>
              <w:left w:val="single" w:color="auto" w:sz="4" w:space="0"/>
              <w:bottom w:val="single" w:color="auto" w:sz="4" w:space="0"/>
              <w:right w:val="single" w:color="auto" w:sz="4" w:space="0"/>
            </w:tcBorders>
          </w:tcPr>
          <w:p w14:paraId="3CE6A175">
            <w:pPr>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投标人的承诺</w:t>
            </w:r>
          </w:p>
        </w:tc>
        <w:tc>
          <w:tcPr>
            <w:tcW w:w="2035" w:type="dxa"/>
            <w:tcBorders>
              <w:top w:val="single" w:color="auto" w:sz="4" w:space="0"/>
              <w:left w:val="single" w:color="auto" w:sz="4" w:space="0"/>
              <w:bottom w:val="single" w:color="auto" w:sz="4" w:space="0"/>
              <w:right w:val="single" w:color="auto" w:sz="4" w:space="0"/>
            </w:tcBorders>
          </w:tcPr>
          <w:p w14:paraId="76CCD48D">
            <w:pPr>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偏离说明</w:t>
            </w:r>
          </w:p>
        </w:tc>
      </w:tr>
      <w:tr w14:paraId="3599F0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14:paraId="30A050DD">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工期要求和实施地点</w:t>
            </w:r>
          </w:p>
        </w:tc>
        <w:tc>
          <w:tcPr>
            <w:tcW w:w="3336" w:type="dxa"/>
            <w:tcBorders>
              <w:top w:val="single" w:color="auto" w:sz="4" w:space="0"/>
              <w:left w:val="single" w:color="auto" w:sz="4" w:space="0"/>
              <w:bottom w:val="single" w:color="auto" w:sz="4" w:space="0"/>
              <w:right w:val="single" w:color="auto" w:sz="4" w:space="0"/>
            </w:tcBorders>
            <w:vAlign w:val="center"/>
          </w:tcPr>
          <w:p w14:paraId="114AFADD">
            <w:pPr>
              <w:spacing w:line="400" w:lineRule="exact"/>
              <w:jc w:val="left"/>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tcPr>
          <w:p w14:paraId="0486BC31">
            <w:pPr>
              <w:snapToGrid w:val="0"/>
              <w:spacing w:line="400" w:lineRule="exact"/>
              <w:jc w:val="center"/>
              <w:rPr>
                <w:rFonts w:hint="eastAsia" w:ascii="宋体" w:hAnsi="宋体" w:cs="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tcPr>
          <w:p w14:paraId="3FEE575A">
            <w:pPr>
              <w:snapToGrid w:val="0"/>
              <w:spacing w:line="400" w:lineRule="exact"/>
              <w:jc w:val="center"/>
              <w:rPr>
                <w:rFonts w:hint="eastAsia" w:ascii="宋体" w:hAnsi="宋体" w:cs="宋体"/>
                <w:color w:val="auto"/>
                <w:szCs w:val="21"/>
                <w:highlight w:val="none"/>
              </w:rPr>
            </w:pPr>
          </w:p>
        </w:tc>
      </w:tr>
      <w:tr w14:paraId="664168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14:paraId="6DA5E882">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合同签订时间</w:t>
            </w:r>
          </w:p>
        </w:tc>
        <w:tc>
          <w:tcPr>
            <w:tcW w:w="3336" w:type="dxa"/>
            <w:tcBorders>
              <w:top w:val="single" w:color="auto" w:sz="4" w:space="0"/>
              <w:left w:val="single" w:color="auto" w:sz="4" w:space="0"/>
              <w:bottom w:val="single" w:color="auto" w:sz="4" w:space="0"/>
              <w:right w:val="single" w:color="auto" w:sz="4" w:space="0"/>
            </w:tcBorders>
            <w:vAlign w:val="center"/>
          </w:tcPr>
          <w:p w14:paraId="10D5B831">
            <w:pPr>
              <w:spacing w:line="400" w:lineRule="exact"/>
              <w:jc w:val="left"/>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tcPr>
          <w:p w14:paraId="7207F81B">
            <w:pPr>
              <w:snapToGrid w:val="0"/>
              <w:spacing w:line="400" w:lineRule="exact"/>
              <w:jc w:val="center"/>
              <w:rPr>
                <w:rFonts w:hint="eastAsia" w:ascii="宋体" w:hAnsi="宋体" w:cs="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tcPr>
          <w:p w14:paraId="36C60883">
            <w:pPr>
              <w:snapToGrid w:val="0"/>
              <w:spacing w:line="400" w:lineRule="exact"/>
              <w:jc w:val="center"/>
              <w:rPr>
                <w:rFonts w:hint="eastAsia" w:ascii="宋体" w:hAnsi="宋体" w:cs="宋体"/>
                <w:color w:val="auto"/>
                <w:szCs w:val="21"/>
                <w:highlight w:val="none"/>
              </w:rPr>
            </w:pPr>
          </w:p>
        </w:tc>
      </w:tr>
      <w:tr w14:paraId="1784ED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14:paraId="76483C5A">
            <w:pPr>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付款条件（进度和方式）</w:t>
            </w:r>
          </w:p>
        </w:tc>
        <w:tc>
          <w:tcPr>
            <w:tcW w:w="3336" w:type="dxa"/>
            <w:tcBorders>
              <w:top w:val="single" w:color="auto" w:sz="4" w:space="0"/>
              <w:left w:val="single" w:color="auto" w:sz="4" w:space="0"/>
              <w:bottom w:val="single" w:color="auto" w:sz="4" w:space="0"/>
              <w:right w:val="single" w:color="auto" w:sz="4" w:space="0"/>
            </w:tcBorders>
            <w:vAlign w:val="center"/>
          </w:tcPr>
          <w:p w14:paraId="4C404D3E">
            <w:pPr>
              <w:spacing w:line="400" w:lineRule="exact"/>
              <w:jc w:val="left"/>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tcPr>
          <w:p w14:paraId="59E029CD">
            <w:pPr>
              <w:snapToGrid w:val="0"/>
              <w:spacing w:line="400" w:lineRule="exact"/>
              <w:jc w:val="center"/>
              <w:rPr>
                <w:rFonts w:hint="eastAsia" w:ascii="宋体" w:hAnsi="宋体" w:cs="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tcPr>
          <w:p w14:paraId="07B074FE">
            <w:pPr>
              <w:snapToGrid w:val="0"/>
              <w:spacing w:line="400" w:lineRule="exact"/>
              <w:jc w:val="center"/>
              <w:rPr>
                <w:rFonts w:hint="eastAsia" w:ascii="宋体" w:hAnsi="宋体" w:cs="宋体"/>
                <w:color w:val="auto"/>
                <w:szCs w:val="21"/>
                <w:highlight w:val="none"/>
              </w:rPr>
            </w:pPr>
          </w:p>
        </w:tc>
      </w:tr>
      <w:tr w14:paraId="220C6A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jc w:val="center"/>
        </w:trPr>
        <w:tc>
          <w:tcPr>
            <w:tcW w:w="1510" w:type="dxa"/>
            <w:tcBorders>
              <w:top w:val="single" w:color="auto" w:sz="4" w:space="0"/>
              <w:left w:val="single" w:color="auto" w:sz="4" w:space="0"/>
              <w:bottom w:val="single" w:color="auto" w:sz="4" w:space="0"/>
              <w:right w:val="single" w:color="auto" w:sz="4" w:space="0"/>
            </w:tcBorders>
            <w:vAlign w:val="center"/>
          </w:tcPr>
          <w:p w14:paraId="61A17813">
            <w:pPr>
              <w:spacing w:line="400" w:lineRule="exact"/>
              <w:contextualSpacing/>
              <w:jc w:val="center"/>
              <w:rPr>
                <w:rFonts w:hint="eastAsia" w:ascii="宋体" w:hAnsi="宋体" w:cs="宋体"/>
                <w:color w:val="auto"/>
                <w:szCs w:val="21"/>
                <w:highlight w:val="none"/>
              </w:rPr>
            </w:pPr>
            <w:r>
              <w:rPr>
                <w:rFonts w:hint="eastAsia" w:ascii="宋体" w:hAnsi="宋体" w:cs="宋体"/>
                <w:color w:val="auto"/>
                <w:szCs w:val="21"/>
                <w:highlight w:val="none"/>
              </w:rPr>
              <w:t>质保期</w:t>
            </w:r>
          </w:p>
        </w:tc>
        <w:tc>
          <w:tcPr>
            <w:tcW w:w="3336" w:type="dxa"/>
            <w:tcBorders>
              <w:top w:val="single" w:color="auto" w:sz="4" w:space="0"/>
              <w:left w:val="single" w:color="auto" w:sz="4" w:space="0"/>
              <w:bottom w:val="single" w:color="auto" w:sz="4" w:space="0"/>
              <w:right w:val="single" w:color="auto" w:sz="4" w:space="0"/>
            </w:tcBorders>
            <w:vAlign w:val="center"/>
          </w:tcPr>
          <w:p w14:paraId="0A8859E1">
            <w:pPr>
              <w:spacing w:line="400" w:lineRule="exact"/>
              <w:jc w:val="left"/>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tcPr>
          <w:p w14:paraId="2BECD293">
            <w:pPr>
              <w:snapToGrid w:val="0"/>
              <w:spacing w:line="400" w:lineRule="exact"/>
              <w:jc w:val="center"/>
              <w:rPr>
                <w:rFonts w:hint="eastAsia" w:ascii="宋体" w:hAnsi="宋体" w:cs="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tcPr>
          <w:p w14:paraId="37570FF8">
            <w:pPr>
              <w:snapToGrid w:val="0"/>
              <w:spacing w:line="400" w:lineRule="exact"/>
              <w:jc w:val="center"/>
              <w:rPr>
                <w:rFonts w:hint="eastAsia" w:ascii="宋体" w:hAnsi="宋体" w:cs="宋体"/>
                <w:color w:val="auto"/>
                <w:szCs w:val="21"/>
                <w:highlight w:val="none"/>
              </w:rPr>
            </w:pPr>
          </w:p>
        </w:tc>
      </w:tr>
      <w:tr w14:paraId="442D6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510" w:type="dxa"/>
            <w:tcBorders>
              <w:top w:val="single" w:color="auto" w:sz="4" w:space="0"/>
              <w:left w:val="single" w:color="auto" w:sz="4" w:space="0"/>
              <w:bottom w:val="single" w:color="auto" w:sz="4" w:space="0"/>
              <w:right w:val="single" w:color="auto" w:sz="4" w:space="0"/>
            </w:tcBorders>
            <w:vAlign w:val="center"/>
          </w:tcPr>
          <w:p w14:paraId="5155B65A">
            <w:pPr>
              <w:spacing w:line="400" w:lineRule="exact"/>
              <w:contextualSpacing/>
              <w:jc w:val="center"/>
              <w:rPr>
                <w:rFonts w:hint="eastAsia" w:ascii="宋体" w:hAnsi="宋体" w:cs="宋体"/>
                <w:color w:val="auto"/>
                <w:szCs w:val="21"/>
                <w:highlight w:val="none"/>
              </w:rPr>
            </w:pPr>
            <w:r>
              <w:rPr>
                <w:rFonts w:hint="eastAsia" w:ascii="宋体" w:hAnsi="宋体" w:cs="宋体"/>
                <w:color w:val="auto"/>
                <w:szCs w:val="21"/>
                <w:highlight w:val="none"/>
              </w:rPr>
              <w:t>报价</w:t>
            </w:r>
          </w:p>
        </w:tc>
        <w:tc>
          <w:tcPr>
            <w:tcW w:w="3336" w:type="dxa"/>
            <w:tcBorders>
              <w:top w:val="single" w:color="auto" w:sz="4" w:space="0"/>
              <w:left w:val="single" w:color="auto" w:sz="4" w:space="0"/>
              <w:bottom w:val="single" w:color="auto" w:sz="4" w:space="0"/>
              <w:right w:val="single" w:color="auto" w:sz="4" w:space="0"/>
            </w:tcBorders>
          </w:tcPr>
          <w:p w14:paraId="60417A01">
            <w:pPr>
              <w:snapToGrid w:val="0"/>
              <w:spacing w:line="400" w:lineRule="exact"/>
              <w:jc w:val="center"/>
              <w:rPr>
                <w:rFonts w:hint="eastAsia" w:ascii="宋体" w:hAnsi="宋体" w:cs="宋体"/>
                <w:color w:val="auto"/>
                <w:szCs w:val="21"/>
                <w:highlight w:val="none"/>
              </w:rPr>
            </w:pPr>
          </w:p>
        </w:tc>
        <w:tc>
          <w:tcPr>
            <w:tcW w:w="1760" w:type="dxa"/>
            <w:tcBorders>
              <w:top w:val="single" w:color="auto" w:sz="4" w:space="0"/>
              <w:left w:val="single" w:color="auto" w:sz="4" w:space="0"/>
              <w:bottom w:val="single" w:color="auto" w:sz="4" w:space="0"/>
              <w:right w:val="single" w:color="auto" w:sz="4" w:space="0"/>
            </w:tcBorders>
          </w:tcPr>
          <w:p w14:paraId="4AF25400">
            <w:pPr>
              <w:snapToGrid w:val="0"/>
              <w:spacing w:line="400" w:lineRule="exact"/>
              <w:jc w:val="center"/>
              <w:rPr>
                <w:rFonts w:hint="eastAsia" w:ascii="宋体" w:hAnsi="宋体" w:cs="宋体"/>
                <w:color w:val="auto"/>
                <w:szCs w:val="21"/>
                <w:highlight w:val="none"/>
              </w:rPr>
            </w:pPr>
          </w:p>
        </w:tc>
        <w:tc>
          <w:tcPr>
            <w:tcW w:w="2035" w:type="dxa"/>
            <w:tcBorders>
              <w:top w:val="single" w:color="auto" w:sz="4" w:space="0"/>
              <w:left w:val="single" w:color="auto" w:sz="4" w:space="0"/>
              <w:bottom w:val="single" w:color="auto" w:sz="4" w:space="0"/>
              <w:right w:val="single" w:color="auto" w:sz="4" w:space="0"/>
            </w:tcBorders>
          </w:tcPr>
          <w:p w14:paraId="4D8D6375">
            <w:pPr>
              <w:snapToGrid w:val="0"/>
              <w:spacing w:line="400" w:lineRule="exact"/>
              <w:jc w:val="center"/>
              <w:rPr>
                <w:rFonts w:hint="eastAsia" w:ascii="宋体" w:hAnsi="宋体" w:cs="宋体"/>
                <w:color w:val="auto"/>
                <w:szCs w:val="21"/>
                <w:highlight w:val="none"/>
              </w:rPr>
            </w:pPr>
          </w:p>
        </w:tc>
      </w:tr>
    </w:tbl>
    <w:p w14:paraId="1D24FB7C">
      <w:pPr>
        <w:pStyle w:val="31"/>
        <w:spacing w:line="400" w:lineRule="exact"/>
        <w:rPr>
          <w:rFonts w:hint="eastAsia" w:ascii="宋体" w:hAnsi="宋体" w:cs="宋体"/>
          <w:color w:val="auto"/>
          <w:sz w:val="21"/>
          <w:szCs w:val="21"/>
          <w:highlight w:val="none"/>
        </w:rPr>
      </w:pPr>
      <w:r>
        <w:rPr>
          <w:rFonts w:hint="eastAsia" w:ascii="宋体" w:hAnsi="宋体" w:cs="宋体"/>
          <w:color w:val="auto"/>
          <w:sz w:val="21"/>
          <w:szCs w:val="21"/>
          <w:highlight w:val="none"/>
        </w:rPr>
        <w:t>注：</w:t>
      </w:r>
    </w:p>
    <w:p w14:paraId="2ED08802">
      <w:pPr>
        <w:pStyle w:val="34"/>
        <w:spacing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 说明：应对照招标文件“第二章 采购需求”中的商务要求逐条作明确的投标响应，并作出偏离说明。</w:t>
      </w:r>
    </w:p>
    <w:p w14:paraId="10FE84E7">
      <w:pPr>
        <w:pStyle w:val="31"/>
        <w:spacing w:line="400" w:lineRule="exact"/>
        <w:rPr>
          <w:rFonts w:hint="eastAsia" w:ascii="宋体" w:hAnsi="宋体" w:cs="宋体"/>
          <w:b w:val="0"/>
          <w:bCs w:val="0"/>
          <w:color w:val="auto"/>
          <w:sz w:val="21"/>
          <w:szCs w:val="21"/>
          <w:highlight w:val="none"/>
        </w:rPr>
      </w:pPr>
      <w:r>
        <w:rPr>
          <w:rFonts w:hint="eastAsia" w:ascii="宋体" w:hAnsi="宋体" w:cs="宋体"/>
          <w:b w:val="0"/>
          <w:bCs w:val="0"/>
          <w:color w:val="auto"/>
          <w:sz w:val="21"/>
          <w:szCs w:val="21"/>
          <w:highlight w:val="none"/>
        </w:rPr>
        <w:t>2.投标人应根据自身的承诺，对照招标文件要求在“偏离说明”中注明“</w:t>
      </w:r>
      <w:r>
        <w:rPr>
          <w:rFonts w:hint="eastAsia" w:ascii="宋体" w:hAnsi="宋体" w:cs="宋体"/>
          <w:color w:val="auto"/>
          <w:sz w:val="21"/>
          <w:szCs w:val="21"/>
          <w:highlight w:val="none"/>
        </w:rPr>
        <w:t>正偏离</w:t>
      </w:r>
      <w:r>
        <w:rPr>
          <w:rFonts w:hint="eastAsia" w:ascii="宋体" w:hAnsi="宋体" w:cs="宋体"/>
          <w:b w:val="0"/>
          <w:bCs w:val="0"/>
          <w:color w:val="auto"/>
          <w:sz w:val="21"/>
          <w:szCs w:val="21"/>
          <w:highlight w:val="none"/>
        </w:rPr>
        <w:t>”、“</w:t>
      </w:r>
      <w:r>
        <w:rPr>
          <w:rFonts w:hint="eastAsia" w:ascii="宋体" w:hAnsi="宋体" w:cs="宋体"/>
          <w:color w:val="auto"/>
          <w:sz w:val="21"/>
          <w:szCs w:val="21"/>
          <w:highlight w:val="none"/>
        </w:rPr>
        <w:t>负偏离</w:t>
      </w:r>
      <w:r>
        <w:rPr>
          <w:rFonts w:hint="eastAsia" w:ascii="宋体" w:hAnsi="宋体" w:cs="宋体"/>
          <w:b w:val="0"/>
          <w:bCs w:val="0"/>
          <w:color w:val="auto"/>
          <w:sz w:val="21"/>
          <w:szCs w:val="21"/>
          <w:highlight w:val="none"/>
        </w:rPr>
        <w:t>”或者“</w:t>
      </w:r>
      <w:r>
        <w:rPr>
          <w:rFonts w:hint="eastAsia" w:ascii="宋体" w:hAnsi="宋体" w:cs="宋体"/>
          <w:color w:val="auto"/>
          <w:sz w:val="21"/>
          <w:szCs w:val="21"/>
          <w:highlight w:val="none"/>
        </w:rPr>
        <w:t>无偏离</w:t>
      </w:r>
      <w:r>
        <w:rPr>
          <w:rFonts w:hint="eastAsia" w:ascii="宋体" w:hAnsi="宋体" w:cs="宋体"/>
          <w:b w:val="0"/>
          <w:bCs w:val="0"/>
          <w:color w:val="auto"/>
          <w:sz w:val="21"/>
          <w:szCs w:val="21"/>
          <w:highlight w:val="none"/>
        </w:rPr>
        <w:t>”。既不属于“</w:t>
      </w:r>
      <w:r>
        <w:rPr>
          <w:rFonts w:hint="eastAsia" w:ascii="宋体" w:hAnsi="宋体" w:cs="宋体"/>
          <w:color w:val="auto"/>
          <w:sz w:val="21"/>
          <w:szCs w:val="21"/>
          <w:highlight w:val="none"/>
        </w:rPr>
        <w:t>正偏离</w:t>
      </w:r>
      <w:r>
        <w:rPr>
          <w:rFonts w:hint="eastAsia" w:ascii="宋体" w:hAnsi="宋体" w:cs="宋体"/>
          <w:b w:val="0"/>
          <w:bCs w:val="0"/>
          <w:color w:val="auto"/>
          <w:sz w:val="21"/>
          <w:szCs w:val="21"/>
          <w:highlight w:val="none"/>
        </w:rPr>
        <w:t>”也不属于“</w:t>
      </w:r>
      <w:r>
        <w:rPr>
          <w:rFonts w:hint="eastAsia" w:ascii="宋体" w:hAnsi="宋体" w:cs="宋体"/>
          <w:color w:val="auto"/>
          <w:sz w:val="21"/>
          <w:szCs w:val="21"/>
          <w:highlight w:val="none"/>
        </w:rPr>
        <w:t>负偏离</w:t>
      </w:r>
      <w:r>
        <w:rPr>
          <w:rFonts w:hint="eastAsia" w:ascii="宋体" w:hAnsi="宋体" w:cs="宋体"/>
          <w:b w:val="0"/>
          <w:bCs w:val="0"/>
          <w:color w:val="auto"/>
          <w:sz w:val="21"/>
          <w:szCs w:val="21"/>
          <w:highlight w:val="none"/>
        </w:rPr>
        <w:t>”即为“</w:t>
      </w:r>
      <w:r>
        <w:rPr>
          <w:rFonts w:hint="eastAsia" w:ascii="宋体" w:hAnsi="宋体" w:cs="宋体"/>
          <w:color w:val="auto"/>
          <w:sz w:val="21"/>
          <w:szCs w:val="21"/>
          <w:highlight w:val="none"/>
        </w:rPr>
        <w:t>无偏离</w:t>
      </w:r>
      <w:r>
        <w:rPr>
          <w:rFonts w:hint="eastAsia" w:ascii="宋体" w:hAnsi="宋体" w:cs="宋体"/>
          <w:b w:val="0"/>
          <w:bCs w:val="0"/>
          <w:color w:val="auto"/>
          <w:sz w:val="21"/>
          <w:szCs w:val="21"/>
          <w:highlight w:val="none"/>
        </w:rPr>
        <w:t>”。</w:t>
      </w:r>
    </w:p>
    <w:p w14:paraId="0F3D5309">
      <w:pPr>
        <w:snapToGrid w:val="0"/>
        <w:spacing w:line="400" w:lineRule="exact"/>
        <w:rPr>
          <w:rFonts w:hint="eastAsia" w:ascii="宋体" w:hAnsi="宋体" w:cs="宋体"/>
          <w:color w:val="auto"/>
          <w:szCs w:val="21"/>
          <w:highlight w:val="none"/>
        </w:rPr>
      </w:pPr>
    </w:p>
    <w:p w14:paraId="3EA72DD4">
      <w:pPr>
        <w:snapToGrid w:val="0"/>
        <w:spacing w:line="400" w:lineRule="exact"/>
        <w:rPr>
          <w:rFonts w:hint="eastAsia" w:ascii="宋体" w:hAnsi="宋体" w:cs="宋体"/>
          <w:color w:val="auto"/>
          <w:szCs w:val="21"/>
          <w:highlight w:val="none"/>
        </w:rPr>
      </w:pPr>
    </w:p>
    <w:p w14:paraId="2E95E247">
      <w:pPr>
        <w:snapToGrid w:val="0"/>
        <w:spacing w:line="400" w:lineRule="exact"/>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p>
    <w:p w14:paraId="4716837A">
      <w:pPr>
        <w:snapToGrid w:val="0"/>
        <w:spacing w:line="400" w:lineRule="exact"/>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p>
    <w:p w14:paraId="45BEB650">
      <w:pPr>
        <w:snapToGrid w:val="0"/>
        <w:spacing w:line="400" w:lineRule="exact"/>
        <w:rPr>
          <w:rFonts w:hint="eastAsia" w:ascii="宋体" w:hAnsi="宋体" w:cs="宋体"/>
          <w:color w:val="auto"/>
          <w:szCs w:val="21"/>
          <w:highlight w:val="none"/>
        </w:rPr>
      </w:pPr>
      <w:r>
        <w:rPr>
          <w:rFonts w:hint="eastAsia" w:ascii="宋体" w:hAnsi="宋体" w:cs="宋体"/>
          <w:color w:val="auto"/>
          <w:spacing w:val="20"/>
          <w:szCs w:val="21"/>
          <w:highlight w:val="none"/>
        </w:rPr>
        <w:t>日  期：</w:t>
      </w:r>
    </w:p>
    <w:p w14:paraId="4064F07B">
      <w:pPr>
        <w:snapToGrid w:val="0"/>
        <w:spacing w:line="400" w:lineRule="exact"/>
        <w:rPr>
          <w:rFonts w:hint="eastAsia" w:ascii="宋体" w:hAnsi="宋体" w:cs="宋体"/>
          <w:color w:val="auto"/>
          <w:szCs w:val="21"/>
          <w:highlight w:val="none"/>
        </w:rPr>
      </w:pPr>
    </w:p>
    <w:p w14:paraId="7B6A7B37">
      <w:pPr>
        <w:snapToGrid w:val="0"/>
        <w:spacing w:line="400" w:lineRule="exact"/>
        <w:jc w:val="left"/>
        <w:rPr>
          <w:rFonts w:hint="eastAsia" w:ascii="宋体" w:hAnsi="宋体" w:cs="宋体"/>
          <w:color w:val="auto"/>
          <w:szCs w:val="21"/>
          <w:highlight w:val="none"/>
        </w:rPr>
        <w:sectPr>
          <w:footerReference r:id="rId13" w:type="first"/>
          <w:headerReference r:id="rId10" w:type="default"/>
          <w:footerReference r:id="rId11" w:type="default"/>
          <w:footerReference r:id="rId12" w:type="even"/>
          <w:pgSz w:w="11906" w:h="16838"/>
          <w:pgMar w:top="1440" w:right="1080" w:bottom="1440" w:left="1080" w:header="851" w:footer="992" w:gutter="0"/>
          <w:pgNumType w:fmt="decimal"/>
          <w:cols w:space="720" w:num="1"/>
          <w:docGrid w:linePitch="312" w:charSpace="0"/>
        </w:sectPr>
      </w:pPr>
    </w:p>
    <w:p w14:paraId="3F05F9B2">
      <w:pPr>
        <w:snapToGrid w:val="0"/>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4.项目实施人员一览表格式</w:t>
      </w:r>
    </w:p>
    <w:p w14:paraId="6349004C">
      <w:pPr>
        <w:snapToGrid w:val="0"/>
        <w:spacing w:line="400" w:lineRule="exact"/>
        <w:jc w:val="left"/>
        <w:rPr>
          <w:rFonts w:hint="eastAsia" w:ascii="宋体" w:hAnsi="宋体" w:cs="宋体"/>
          <w:b/>
          <w:color w:val="auto"/>
          <w:szCs w:val="21"/>
          <w:highlight w:val="none"/>
        </w:rPr>
      </w:pPr>
    </w:p>
    <w:p w14:paraId="029D4D43">
      <w:pPr>
        <w:snapToGrid w:val="0"/>
        <w:spacing w:line="400" w:lineRule="exact"/>
        <w:jc w:val="center"/>
        <w:rPr>
          <w:rFonts w:hint="eastAsia" w:ascii="宋体" w:hAnsi="宋体" w:cs="宋体"/>
          <w:b/>
          <w:color w:val="auto"/>
          <w:szCs w:val="21"/>
          <w:highlight w:val="none"/>
        </w:rPr>
      </w:pPr>
      <w:r>
        <w:rPr>
          <w:rFonts w:hint="eastAsia" w:ascii="宋体" w:hAnsi="宋体" w:cs="宋体"/>
          <w:b/>
          <w:color w:val="auto"/>
          <w:szCs w:val="21"/>
          <w:highlight w:val="none"/>
        </w:rPr>
        <w:t>项目实施人员一览表</w:t>
      </w:r>
    </w:p>
    <w:tbl>
      <w:tblPr>
        <w:tblStyle w:val="8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0084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67A9BB29">
            <w:pPr>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姓名</w:t>
            </w:r>
          </w:p>
        </w:tc>
        <w:tc>
          <w:tcPr>
            <w:tcW w:w="709" w:type="dxa"/>
            <w:vAlign w:val="center"/>
          </w:tcPr>
          <w:p w14:paraId="757DFA19">
            <w:pPr>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职务</w:t>
            </w:r>
          </w:p>
        </w:tc>
        <w:tc>
          <w:tcPr>
            <w:tcW w:w="1701" w:type="dxa"/>
            <w:vAlign w:val="center"/>
          </w:tcPr>
          <w:p w14:paraId="7CF078A1">
            <w:pPr>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专业技术资格（职称）或者职业资格或者执业资格证或者其他证书</w:t>
            </w:r>
          </w:p>
        </w:tc>
        <w:tc>
          <w:tcPr>
            <w:tcW w:w="1420" w:type="dxa"/>
            <w:vAlign w:val="center"/>
          </w:tcPr>
          <w:p w14:paraId="3050B9E4">
            <w:pPr>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证书编号</w:t>
            </w:r>
          </w:p>
        </w:tc>
        <w:tc>
          <w:tcPr>
            <w:tcW w:w="1698" w:type="dxa"/>
            <w:vAlign w:val="center"/>
          </w:tcPr>
          <w:p w14:paraId="23F82DFB">
            <w:pPr>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参加本单位</w:t>
            </w:r>
          </w:p>
          <w:p w14:paraId="0308BAF9">
            <w:pPr>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工作时间</w:t>
            </w:r>
          </w:p>
        </w:tc>
        <w:tc>
          <w:tcPr>
            <w:tcW w:w="1843" w:type="dxa"/>
            <w:vAlign w:val="center"/>
          </w:tcPr>
          <w:p w14:paraId="00F98C32">
            <w:pPr>
              <w:snapToGrid w:val="0"/>
              <w:spacing w:line="400" w:lineRule="exact"/>
              <w:jc w:val="center"/>
              <w:rPr>
                <w:rFonts w:hint="eastAsia" w:ascii="宋体" w:hAnsi="宋体" w:cs="宋体"/>
                <w:color w:val="auto"/>
                <w:szCs w:val="21"/>
                <w:highlight w:val="none"/>
              </w:rPr>
            </w:pPr>
            <w:r>
              <w:rPr>
                <w:rFonts w:hint="eastAsia" w:ascii="宋体" w:hAnsi="宋体" w:cs="宋体"/>
                <w:color w:val="auto"/>
                <w:szCs w:val="21"/>
                <w:highlight w:val="none"/>
              </w:rPr>
              <w:t>劳动合同编号</w:t>
            </w:r>
          </w:p>
        </w:tc>
      </w:tr>
      <w:tr w14:paraId="7915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660C09BC">
            <w:pPr>
              <w:snapToGrid w:val="0"/>
              <w:spacing w:line="400" w:lineRule="exact"/>
              <w:jc w:val="center"/>
              <w:rPr>
                <w:rFonts w:hint="eastAsia" w:ascii="宋体" w:hAnsi="宋体" w:cs="宋体"/>
                <w:color w:val="auto"/>
                <w:szCs w:val="21"/>
                <w:highlight w:val="none"/>
              </w:rPr>
            </w:pPr>
          </w:p>
        </w:tc>
        <w:tc>
          <w:tcPr>
            <w:tcW w:w="709" w:type="dxa"/>
            <w:vAlign w:val="center"/>
          </w:tcPr>
          <w:p w14:paraId="76DE65B7">
            <w:pPr>
              <w:snapToGrid w:val="0"/>
              <w:spacing w:line="400" w:lineRule="exact"/>
              <w:jc w:val="center"/>
              <w:rPr>
                <w:rFonts w:hint="eastAsia" w:ascii="宋体" w:hAnsi="宋体" w:cs="宋体"/>
                <w:color w:val="auto"/>
                <w:szCs w:val="21"/>
                <w:highlight w:val="none"/>
              </w:rPr>
            </w:pPr>
          </w:p>
        </w:tc>
        <w:tc>
          <w:tcPr>
            <w:tcW w:w="1701" w:type="dxa"/>
            <w:vAlign w:val="center"/>
          </w:tcPr>
          <w:p w14:paraId="4CF10987">
            <w:pPr>
              <w:snapToGrid w:val="0"/>
              <w:spacing w:line="400" w:lineRule="exact"/>
              <w:jc w:val="center"/>
              <w:rPr>
                <w:rFonts w:hint="eastAsia" w:ascii="宋体" w:hAnsi="宋体" w:cs="宋体"/>
                <w:color w:val="auto"/>
                <w:szCs w:val="21"/>
                <w:highlight w:val="none"/>
              </w:rPr>
            </w:pPr>
          </w:p>
        </w:tc>
        <w:tc>
          <w:tcPr>
            <w:tcW w:w="1420" w:type="dxa"/>
            <w:vAlign w:val="center"/>
          </w:tcPr>
          <w:p w14:paraId="5607572F">
            <w:pPr>
              <w:snapToGrid w:val="0"/>
              <w:spacing w:line="400" w:lineRule="exact"/>
              <w:jc w:val="center"/>
              <w:rPr>
                <w:rFonts w:hint="eastAsia" w:ascii="宋体" w:hAnsi="宋体" w:cs="宋体"/>
                <w:color w:val="auto"/>
                <w:szCs w:val="21"/>
                <w:highlight w:val="none"/>
              </w:rPr>
            </w:pPr>
          </w:p>
        </w:tc>
        <w:tc>
          <w:tcPr>
            <w:tcW w:w="1698" w:type="dxa"/>
            <w:vAlign w:val="center"/>
          </w:tcPr>
          <w:p w14:paraId="72A8896D">
            <w:pPr>
              <w:snapToGrid w:val="0"/>
              <w:spacing w:line="400" w:lineRule="exact"/>
              <w:jc w:val="center"/>
              <w:rPr>
                <w:rFonts w:hint="eastAsia" w:ascii="宋体" w:hAnsi="宋体" w:cs="宋体"/>
                <w:color w:val="auto"/>
                <w:szCs w:val="21"/>
                <w:highlight w:val="none"/>
              </w:rPr>
            </w:pPr>
          </w:p>
        </w:tc>
        <w:tc>
          <w:tcPr>
            <w:tcW w:w="1843" w:type="dxa"/>
            <w:vAlign w:val="center"/>
          </w:tcPr>
          <w:p w14:paraId="46AD1541">
            <w:pPr>
              <w:snapToGrid w:val="0"/>
              <w:spacing w:line="400" w:lineRule="exact"/>
              <w:jc w:val="center"/>
              <w:rPr>
                <w:rFonts w:hint="eastAsia" w:ascii="宋体" w:hAnsi="宋体" w:cs="宋体"/>
                <w:color w:val="auto"/>
                <w:szCs w:val="21"/>
                <w:highlight w:val="none"/>
              </w:rPr>
            </w:pPr>
          </w:p>
        </w:tc>
      </w:tr>
      <w:tr w14:paraId="53FF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402334CB">
            <w:pPr>
              <w:snapToGrid w:val="0"/>
              <w:spacing w:line="400" w:lineRule="exact"/>
              <w:jc w:val="center"/>
              <w:rPr>
                <w:rFonts w:hint="eastAsia" w:ascii="宋体" w:hAnsi="宋体" w:cs="宋体"/>
                <w:color w:val="auto"/>
                <w:szCs w:val="21"/>
                <w:highlight w:val="none"/>
              </w:rPr>
            </w:pPr>
          </w:p>
        </w:tc>
        <w:tc>
          <w:tcPr>
            <w:tcW w:w="709" w:type="dxa"/>
            <w:vAlign w:val="center"/>
          </w:tcPr>
          <w:p w14:paraId="21AD247E">
            <w:pPr>
              <w:snapToGrid w:val="0"/>
              <w:spacing w:line="400" w:lineRule="exact"/>
              <w:jc w:val="center"/>
              <w:rPr>
                <w:rFonts w:hint="eastAsia" w:ascii="宋体" w:hAnsi="宋体" w:cs="宋体"/>
                <w:color w:val="auto"/>
                <w:szCs w:val="21"/>
                <w:highlight w:val="none"/>
              </w:rPr>
            </w:pPr>
          </w:p>
        </w:tc>
        <w:tc>
          <w:tcPr>
            <w:tcW w:w="1701" w:type="dxa"/>
            <w:vAlign w:val="center"/>
          </w:tcPr>
          <w:p w14:paraId="0A5DB9F6">
            <w:pPr>
              <w:snapToGrid w:val="0"/>
              <w:spacing w:line="400" w:lineRule="exact"/>
              <w:jc w:val="center"/>
              <w:rPr>
                <w:rFonts w:hint="eastAsia" w:ascii="宋体" w:hAnsi="宋体" w:cs="宋体"/>
                <w:color w:val="auto"/>
                <w:szCs w:val="21"/>
                <w:highlight w:val="none"/>
              </w:rPr>
            </w:pPr>
          </w:p>
        </w:tc>
        <w:tc>
          <w:tcPr>
            <w:tcW w:w="1420" w:type="dxa"/>
            <w:vAlign w:val="center"/>
          </w:tcPr>
          <w:p w14:paraId="48B3D115">
            <w:pPr>
              <w:snapToGrid w:val="0"/>
              <w:spacing w:line="400" w:lineRule="exact"/>
              <w:jc w:val="center"/>
              <w:rPr>
                <w:rFonts w:hint="eastAsia" w:ascii="宋体" w:hAnsi="宋体" w:cs="宋体"/>
                <w:color w:val="auto"/>
                <w:szCs w:val="21"/>
                <w:highlight w:val="none"/>
              </w:rPr>
            </w:pPr>
          </w:p>
        </w:tc>
        <w:tc>
          <w:tcPr>
            <w:tcW w:w="1698" w:type="dxa"/>
            <w:vAlign w:val="center"/>
          </w:tcPr>
          <w:p w14:paraId="3568EDBE">
            <w:pPr>
              <w:snapToGrid w:val="0"/>
              <w:spacing w:line="400" w:lineRule="exact"/>
              <w:jc w:val="center"/>
              <w:rPr>
                <w:rFonts w:hint="eastAsia" w:ascii="宋体" w:hAnsi="宋体" w:cs="宋体"/>
                <w:color w:val="auto"/>
                <w:szCs w:val="21"/>
                <w:highlight w:val="none"/>
              </w:rPr>
            </w:pPr>
          </w:p>
        </w:tc>
        <w:tc>
          <w:tcPr>
            <w:tcW w:w="1843" w:type="dxa"/>
            <w:vAlign w:val="center"/>
          </w:tcPr>
          <w:p w14:paraId="15756712">
            <w:pPr>
              <w:snapToGrid w:val="0"/>
              <w:spacing w:line="400" w:lineRule="exact"/>
              <w:jc w:val="center"/>
              <w:rPr>
                <w:rFonts w:hint="eastAsia" w:ascii="宋体" w:hAnsi="宋体" w:cs="宋体"/>
                <w:color w:val="auto"/>
                <w:szCs w:val="21"/>
                <w:highlight w:val="none"/>
              </w:rPr>
            </w:pPr>
          </w:p>
        </w:tc>
      </w:tr>
      <w:tr w14:paraId="2ECD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14:paraId="18F0ED65">
            <w:pPr>
              <w:snapToGrid w:val="0"/>
              <w:spacing w:line="400" w:lineRule="exact"/>
              <w:jc w:val="center"/>
              <w:rPr>
                <w:rFonts w:hint="eastAsia" w:ascii="宋体" w:hAnsi="宋体" w:cs="宋体"/>
                <w:color w:val="auto"/>
                <w:szCs w:val="21"/>
                <w:highlight w:val="none"/>
              </w:rPr>
            </w:pPr>
          </w:p>
        </w:tc>
        <w:tc>
          <w:tcPr>
            <w:tcW w:w="709" w:type="dxa"/>
            <w:vAlign w:val="center"/>
          </w:tcPr>
          <w:p w14:paraId="6DCFF1F0">
            <w:pPr>
              <w:snapToGrid w:val="0"/>
              <w:spacing w:line="400" w:lineRule="exact"/>
              <w:jc w:val="center"/>
              <w:rPr>
                <w:rFonts w:hint="eastAsia" w:ascii="宋体" w:hAnsi="宋体" w:cs="宋体"/>
                <w:color w:val="auto"/>
                <w:szCs w:val="21"/>
                <w:highlight w:val="none"/>
              </w:rPr>
            </w:pPr>
          </w:p>
        </w:tc>
        <w:tc>
          <w:tcPr>
            <w:tcW w:w="1701" w:type="dxa"/>
            <w:vAlign w:val="center"/>
          </w:tcPr>
          <w:p w14:paraId="5D817182">
            <w:pPr>
              <w:snapToGrid w:val="0"/>
              <w:spacing w:line="400" w:lineRule="exact"/>
              <w:jc w:val="center"/>
              <w:rPr>
                <w:rFonts w:hint="eastAsia" w:ascii="宋体" w:hAnsi="宋体" w:cs="宋体"/>
                <w:color w:val="auto"/>
                <w:szCs w:val="21"/>
                <w:highlight w:val="none"/>
              </w:rPr>
            </w:pPr>
          </w:p>
        </w:tc>
        <w:tc>
          <w:tcPr>
            <w:tcW w:w="1420" w:type="dxa"/>
            <w:vAlign w:val="center"/>
          </w:tcPr>
          <w:p w14:paraId="49EC62AA">
            <w:pPr>
              <w:snapToGrid w:val="0"/>
              <w:spacing w:line="400" w:lineRule="exact"/>
              <w:jc w:val="center"/>
              <w:rPr>
                <w:rFonts w:hint="eastAsia" w:ascii="宋体" w:hAnsi="宋体" w:cs="宋体"/>
                <w:color w:val="auto"/>
                <w:szCs w:val="21"/>
                <w:highlight w:val="none"/>
              </w:rPr>
            </w:pPr>
          </w:p>
        </w:tc>
        <w:tc>
          <w:tcPr>
            <w:tcW w:w="1698" w:type="dxa"/>
            <w:vAlign w:val="center"/>
          </w:tcPr>
          <w:p w14:paraId="0C91F6D1">
            <w:pPr>
              <w:snapToGrid w:val="0"/>
              <w:spacing w:line="400" w:lineRule="exact"/>
              <w:jc w:val="center"/>
              <w:rPr>
                <w:rFonts w:hint="eastAsia" w:ascii="宋体" w:hAnsi="宋体" w:cs="宋体"/>
                <w:color w:val="auto"/>
                <w:szCs w:val="21"/>
                <w:highlight w:val="none"/>
              </w:rPr>
            </w:pPr>
          </w:p>
        </w:tc>
        <w:tc>
          <w:tcPr>
            <w:tcW w:w="1843" w:type="dxa"/>
            <w:vAlign w:val="center"/>
          </w:tcPr>
          <w:p w14:paraId="56B66859">
            <w:pPr>
              <w:snapToGrid w:val="0"/>
              <w:spacing w:line="400" w:lineRule="exact"/>
              <w:jc w:val="center"/>
              <w:rPr>
                <w:rFonts w:hint="eastAsia" w:ascii="宋体" w:hAnsi="宋体" w:cs="宋体"/>
                <w:color w:val="auto"/>
                <w:szCs w:val="21"/>
                <w:highlight w:val="none"/>
              </w:rPr>
            </w:pPr>
          </w:p>
        </w:tc>
      </w:tr>
    </w:tbl>
    <w:p w14:paraId="2D6BF088">
      <w:pPr>
        <w:snapToGrid w:val="0"/>
        <w:spacing w:line="400" w:lineRule="exact"/>
        <w:jc w:val="left"/>
        <w:rPr>
          <w:rFonts w:hint="eastAsia" w:ascii="宋体" w:hAnsi="宋体" w:cs="宋体"/>
          <w:color w:val="auto"/>
          <w:szCs w:val="21"/>
          <w:highlight w:val="none"/>
        </w:rPr>
      </w:pPr>
    </w:p>
    <w:p w14:paraId="20F751FF">
      <w:pPr>
        <w:spacing w:line="40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注：</w:t>
      </w:r>
    </w:p>
    <w:p w14:paraId="4B116D24">
      <w:pPr>
        <w:spacing w:line="40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1.在填写时，如本表格不适合投标单位的实际情况，可根据本表格式自行制表填写。</w:t>
      </w:r>
    </w:p>
    <w:p w14:paraId="7694DF2F">
      <w:pPr>
        <w:spacing w:line="400" w:lineRule="exact"/>
        <w:contextualSpacing/>
        <w:jc w:val="left"/>
        <w:rPr>
          <w:rFonts w:hint="eastAsia" w:ascii="宋体" w:hAnsi="宋体" w:cs="宋体"/>
          <w:color w:val="auto"/>
          <w:szCs w:val="21"/>
          <w:highlight w:val="none"/>
        </w:rPr>
      </w:pPr>
      <w:r>
        <w:rPr>
          <w:rFonts w:hint="eastAsia" w:ascii="宋体" w:hAnsi="宋体" w:cs="宋体"/>
          <w:color w:val="auto"/>
          <w:szCs w:val="21"/>
          <w:highlight w:val="none"/>
        </w:rPr>
        <w:t>2.投标人应当附本表所列证书的复印件并加盖投标人电子签章。</w:t>
      </w:r>
    </w:p>
    <w:p w14:paraId="4842F780">
      <w:pPr>
        <w:spacing w:line="400" w:lineRule="exact"/>
        <w:contextualSpacing/>
        <w:jc w:val="left"/>
        <w:rPr>
          <w:rFonts w:hint="eastAsia" w:ascii="宋体" w:hAnsi="宋体" w:cs="宋体"/>
          <w:color w:val="auto"/>
          <w:szCs w:val="21"/>
          <w:highlight w:val="none"/>
        </w:rPr>
      </w:pPr>
    </w:p>
    <w:p w14:paraId="4C1DB2DB">
      <w:pPr>
        <w:spacing w:line="400" w:lineRule="exact"/>
        <w:contextualSpacing/>
        <w:rPr>
          <w:rFonts w:hint="eastAsia" w:ascii="宋体" w:hAnsi="宋体" w:cs="宋体"/>
          <w:color w:val="auto"/>
          <w:spacing w:val="20"/>
          <w:szCs w:val="21"/>
          <w:highlight w:val="none"/>
          <w:u w:val="single"/>
        </w:rPr>
      </w:pPr>
      <w:r>
        <w:rPr>
          <w:rFonts w:hint="eastAsia" w:ascii="宋体" w:hAnsi="宋体" w:cs="宋体"/>
          <w:color w:val="auto"/>
          <w:szCs w:val="21"/>
          <w:highlight w:val="none"/>
        </w:rPr>
        <w:t>法定代表人或者委托代理人</w:t>
      </w:r>
      <w:r>
        <w:rPr>
          <w:rFonts w:hint="eastAsia" w:ascii="宋体" w:hAnsi="宋体" w:cs="宋体"/>
          <w:color w:val="auto"/>
          <w:spacing w:val="20"/>
          <w:szCs w:val="21"/>
          <w:highlight w:val="none"/>
        </w:rPr>
        <w:t>（签字或者电子签名）：</w:t>
      </w:r>
    </w:p>
    <w:p w14:paraId="2A634EBB">
      <w:pPr>
        <w:spacing w:line="400" w:lineRule="exact"/>
        <w:contextualSpacing/>
        <w:jc w:val="left"/>
        <w:rPr>
          <w:rFonts w:hint="eastAsia" w:ascii="宋体" w:hAnsi="宋体" w:cs="宋体"/>
          <w:color w:val="auto"/>
          <w:spacing w:val="20"/>
          <w:szCs w:val="21"/>
          <w:highlight w:val="none"/>
        </w:rPr>
      </w:pPr>
      <w:r>
        <w:rPr>
          <w:rFonts w:hint="eastAsia" w:ascii="宋体" w:hAnsi="宋体" w:cs="宋体"/>
          <w:color w:val="auto"/>
          <w:spacing w:val="20"/>
          <w:szCs w:val="21"/>
          <w:highlight w:val="none"/>
        </w:rPr>
        <w:t>投标人名称（电子签章）：</w:t>
      </w:r>
    </w:p>
    <w:p w14:paraId="3ED0273D">
      <w:pPr>
        <w:spacing w:line="400" w:lineRule="exact"/>
        <w:contextualSpacing/>
        <w:jc w:val="left"/>
        <w:rPr>
          <w:rFonts w:hint="eastAsia" w:ascii="宋体" w:hAnsi="宋体" w:cs="宋体"/>
          <w:color w:val="auto"/>
          <w:szCs w:val="21"/>
          <w:highlight w:val="none"/>
        </w:rPr>
      </w:pPr>
      <w:r>
        <w:rPr>
          <w:rFonts w:hint="eastAsia" w:ascii="宋体" w:hAnsi="宋体" w:cs="宋体"/>
          <w:color w:val="auto"/>
          <w:spacing w:val="20"/>
          <w:szCs w:val="21"/>
          <w:highlight w:val="none"/>
        </w:rPr>
        <w:t>日 期：</w:t>
      </w:r>
    </w:p>
    <w:p w14:paraId="527E17B1">
      <w:pPr>
        <w:pStyle w:val="2"/>
        <w:spacing w:line="400" w:lineRule="exact"/>
        <w:rPr>
          <w:rFonts w:hint="eastAsia" w:ascii="宋体" w:hAnsi="宋体" w:cs="宋体"/>
          <w:b/>
          <w:bCs/>
          <w:color w:val="auto"/>
          <w:sz w:val="21"/>
          <w:szCs w:val="21"/>
          <w:highlight w:val="none"/>
        </w:rPr>
      </w:pPr>
    </w:p>
    <w:p w14:paraId="4A5FB48C">
      <w:pPr>
        <w:pStyle w:val="2"/>
        <w:spacing w:line="400" w:lineRule="exact"/>
        <w:rPr>
          <w:rFonts w:hint="eastAsia" w:ascii="宋体" w:hAnsi="宋体" w:cs="宋体"/>
          <w:b/>
          <w:bCs/>
          <w:color w:val="auto"/>
          <w:sz w:val="21"/>
          <w:szCs w:val="21"/>
          <w:highlight w:val="none"/>
        </w:rPr>
      </w:pPr>
    </w:p>
    <w:p w14:paraId="549E3121">
      <w:pPr>
        <w:pStyle w:val="2"/>
        <w:spacing w:line="400" w:lineRule="exact"/>
        <w:rPr>
          <w:rFonts w:hint="eastAsia" w:ascii="宋体" w:hAnsi="宋体" w:cs="宋体"/>
          <w:b/>
          <w:bCs/>
          <w:color w:val="auto"/>
          <w:sz w:val="21"/>
          <w:szCs w:val="21"/>
          <w:highlight w:val="none"/>
        </w:rPr>
      </w:pPr>
    </w:p>
    <w:p w14:paraId="53CFA9C3">
      <w:pPr>
        <w:pStyle w:val="2"/>
        <w:spacing w:line="400" w:lineRule="exact"/>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5.方案（格式自拟）</w:t>
      </w:r>
    </w:p>
    <w:p w14:paraId="60B07175">
      <w:pPr>
        <w:snapToGrid w:val="0"/>
        <w:spacing w:line="400" w:lineRule="exact"/>
        <w:jc w:val="left"/>
        <w:rPr>
          <w:rFonts w:hint="eastAsia" w:ascii="宋体" w:hAnsi="宋体" w:cs="宋体"/>
          <w:color w:val="auto"/>
          <w:szCs w:val="21"/>
          <w:highlight w:val="none"/>
        </w:rPr>
      </w:pPr>
    </w:p>
    <w:p w14:paraId="6BFD8A9D">
      <w:pPr>
        <w:snapToGrid w:val="0"/>
        <w:spacing w:line="400" w:lineRule="exact"/>
        <w:jc w:val="left"/>
        <w:rPr>
          <w:rFonts w:hint="eastAsia" w:ascii="宋体" w:hAnsi="宋体" w:cs="宋体"/>
          <w:color w:val="auto"/>
          <w:szCs w:val="21"/>
          <w:highlight w:val="none"/>
        </w:rPr>
      </w:pPr>
    </w:p>
    <w:p w14:paraId="78BBA590">
      <w:pPr>
        <w:spacing w:line="400" w:lineRule="exact"/>
        <w:jc w:val="left"/>
        <w:rPr>
          <w:rFonts w:hint="eastAsia" w:ascii="宋体" w:hAnsi="宋体" w:cs="宋体"/>
          <w:b/>
          <w:color w:val="auto"/>
          <w:szCs w:val="21"/>
          <w:highlight w:val="none"/>
        </w:rPr>
      </w:pPr>
    </w:p>
    <w:p w14:paraId="51CB8151">
      <w:pPr>
        <w:spacing w:line="400" w:lineRule="exact"/>
        <w:jc w:val="left"/>
        <w:rPr>
          <w:rFonts w:hint="eastAsia" w:ascii="宋体" w:hAnsi="宋体" w:cs="宋体"/>
          <w:b/>
          <w:color w:val="auto"/>
          <w:szCs w:val="21"/>
          <w:highlight w:val="none"/>
        </w:rPr>
      </w:pPr>
    </w:p>
    <w:p w14:paraId="072CF1F2">
      <w:pPr>
        <w:spacing w:line="40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6.除招标文件规定必须提供以外，投标人认为需要提供的其他证明材料（格式自拟）</w:t>
      </w:r>
    </w:p>
    <w:p w14:paraId="624A8B82">
      <w:pPr>
        <w:spacing w:line="400" w:lineRule="exact"/>
        <w:rPr>
          <w:rFonts w:hint="eastAsia" w:ascii="宋体" w:hAnsi="宋体" w:cs="宋体"/>
          <w:b/>
          <w:color w:val="auto"/>
          <w:szCs w:val="21"/>
          <w:highlight w:val="none"/>
        </w:rPr>
      </w:pPr>
      <w:r>
        <w:rPr>
          <w:rFonts w:hint="eastAsia" w:ascii="宋体" w:hAnsi="宋体" w:cs="宋体"/>
          <w:b/>
          <w:color w:val="auto"/>
          <w:szCs w:val="21"/>
          <w:highlight w:val="none"/>
        </w:rPr>
        <w:br w:type="page"/>
      </w:r>
    </w:p>
    <w:p w14:paraId="60D6D5B6">
      <w:pPr>
        <w:spacing w:line="360" w:lineRule="auto"/>
        <w:jc w:val="left"/>
        <w:rPr>
          <w:rFonts w:hint="eastAsia" w:ascii="宋体" w:hAnsi="宋体"/>
          <w:b/>
          <w:bCs/>
          <w:color w:val="auto"/>
          <w:sz w:val="32"/>
          <w:szCs w:val="32"/>
          <w:highlight w:val="none"/>
        </w:rPr>
      </w:pPr>
      <w:r>
        <w:rPr>
          <w:rFonts w:hint="eastAsia" w:ascii="宋体" w:hAnsi="宋体"/>
          <w:b/>
          <w:color w:val="auto"/>
          <w:sz w:val="24"/>
          <w:highlight w:val="none"/>
        </w:rPr>
        <w:t>质疑函（格式）</w:t>
      </w:r>
    </w:p>
    <w:p w14:paraId="2CD19F01">
      <w:pPr>
        <w:spacing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质疑函（格式）</w:t>
      </w:r>
    </w:p>
    <w:p w14:paraId="00CDB4D2">
      <w:pPr>
        <w:pStyle w:val="43"/>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一、质疑供应商基本信息：</w:t>
      </w:r>
    </w:p>
    <w:p w14:paraId="6E9E8C64">
      <w:pPr>
        <w:pStyle w:val="43"/>
        <w:snapToGrid w:val="0"/>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质疑供应商：</w:t>
      </w:r>
    </w:p>
    <w:p w14:paraId="537CC9B2">
      <w:pPr>
        <w:pStyle w:val="43"/>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7552904C">
      <w:pPr>
        <w:pStyle w:val="43"/>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Ansi="宋体"/>
          <w:bCs/>
          <w:color w:val="auto"/>
          <w:sz w:val="24"/>
          <w:szCs w:val="24"/>
          <w:highlight w:val="none"/>
        </w:rPr>
        <w:t>联系电话</w:t>
      </w:r>
      <w:r>
        <w:rPr>
          <w:rFonts w:hint="eastAsia" w:hAnsi="宋体"/>
          <w:bCs/>
          <w:color w:val="auto"/>
          <w:sz w:val="24"/>
          <w:szCs w:val="24"/>
          <w:highlight w:val="none"/>
        </w:rPr>
        <w:t>：</w:t>
      </w:r>
    </w:p>
    <w:p w14:paraId="7B769D41">
      <w:pPr>
        <w:pStyle w:val="43"/>
        <w:snapToGrid w:val="0"/>
        <w:spacing w:line="360" w:lineRule="auto"/>
        <w:ind w:firstLine="480" w:firstLineChars="200"/>
        <w:rPr>
          <w:rFonts w:hint="eastAsia" w:hAnsi="宋体"/>
          <w:bCs/>
          <w:color w:val="auto"/>
          <w:sz w:val="24"/>
          <w:szCs w:val="24"/>
          <w:highlight w:val="none"/>
        </w:rPr>
      </w:pPr>
      <w:r>
        <w:rPr>
          <w:rFonts w:hint="eastAsia" w:hAnsi="宋体"/>
          <w:bCs/>
          <w:color w:val="auto"/>
          <w:sz w:val="24"/>
          <w:szCs w:val="24"/>
          <w:highlight w:val="none"/>
        </w:rPr>
        <w:t>授权代表：</w:t>
      </w:r>
    </w:p>
    <w:p w14:paraId="107BCB51">
      <w:pPr>
        <w:pStyle w:val="43"/>
        <w:snapToGrid w:val="0"/>
        <w:spacing w:line="360" w:lineRule="auto"/>
        <w:ind w:firstLine="480" w:firstLineChars="200"/>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p>
    <w:p w14:paraId="783389E9">
      <w:pPr>
        <w:pStyle w:val="43"/>
        <w:snapToGrid w:val="0"/>
        <w:spacing w:line="360" w:lineRule="auto"/>
        <w:ind w:firstLine="480" w:firstLineChars="200"/>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6C3EA548">
      <w:pPr>
        <w:pStyle w:val="43"/>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3A579BE4">
      <w:pPr>
        <w:pStyle w:val="43"/>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p>
    <w:p w14:paraId="4E04407C">
      <w:pPr>
        <w:pStyle w:val="43"/>
        <w:spacing w:line="360" w:lineRule="auto"/>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p>
    <w:p w14:paraId="142AB9E7">
      <w:pPr>
        <w:pStyle w:val="4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采购人名称：</w:t>
      </w:r>
    </w:p>
    <w:p w14:paraId="462A9920">
      <w:pPr>
        <w:pStyle w:val="4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w:t>
      </w:r>
    </w:p>
    <w:p w14:paraId="6B414208">
      <w:pPr>
        <w:pStyle w:val="43"/>
        <w:spacing w:line="360" w:lineRule="auto"/>
        <w:ind w:left="25" w:leftChars="12" w:firstLine="352" w:firstLineChars="147"/>
        <w:rPr>
          <w:rFonts w:hint="eastAsia" w:hAnsi="宋体"/>
          <w:color w:val="auto"/>
          <w:sz w:val="24"/>
          <w:szCs w:val="24"/>
          <w:highlight w:val="none"/>
        </w:rPr>
      </w:pPr>
      <w:r>
        <w:rPr>
          <w:rFonts w:hint="eastAsia" w:hAnsi="宋体"/>
          <w:color w:val="auto"/>
          <w:sz w:val="24"/>
          <w:szCs w:val="24"/>
          <w:highlight w:val="none"/>
        </w:rPr>
        <w:t>□招标文件   招标文件获取日期：</w:t>
      </w:r>
    </w:p>
    <w:p w14:paraId="418F0BD7">
      <w:pPr>
        <w:pStyle w:val="43"/>
        <w:spacing w:line="360" w:lineRule="auto"/>
        <w:ind w:left="25" w:leftChars="12" w:firstLine="352" w:firstLineChars="147"/>
        <w:rPr>
          <w:rFonts w:hint="eastAsia" w:hAnsi="宋体"/>
          <w:color w:val="auto"/>
          <w:sz w:val="24"/>
          <w:szCs w:val="24"/>
          <w:highlight w:val="none"/>
        </w:rPr>
      </w:pPr>
      <w:r>
        <w:rPr>
          <w:rFonts w:hint="eastAsia" w:hAnsi="宋体"/>
          <w:color w:val="auto"/>
          <w:sz w:val="24"/>
          <w:szCs w:val="24"/>
          <w:highlight w:val="none"/>
        </w:rPr>
        <w:t xml:space="preserve">□招标过程   </w:t>
      </w:r>
    </w:p>
    <w:p w14:paraId="27C61657">
      <w:pPr>
        <w:pStyle w:val="43"/>
        <w:spacing w:line="360" w:lineRule="auto"/>
        <w:ind w:left="25" w:leftChars="12" w:firstLine="352" w:firstLineChars="147"/>
        <w:rPr>
          <w:rFonts w:hint="eastAsia" w:hAnsi="宋体"/>
          <w:bCs/>
          <w:color w:val="auto"/>
          <w:sz w:val="24"/>
          <w:szCs w:val="24"/>
          <w:highlight w:val="none"/>
          <w:u w:val="single"/>
        </w:rPr>
      </w:pPr>
      <w:r>
        <w:rPr>
          <w:rFonts w:hint="eastAsia" w:hAnsi="宋体"/>
          <w:color w:val="auto"/>
          <w:sz w:val="24"/>
          <w:szCs w:val="24"/>
          <w:highlight w:val="none"/>
        </w:rPr>
        <w:t xml:space="preserve">□招标结果   </w:t>
      </w:r>
    </w:p>
    <w:p w14:paraId="7553DC46">
      <w:pPr>
        <w:pStyle w:val="43"/>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三、质疑事项具体内容</w:t>
      </w:r>
    </w:p>
    <w:p w14:paraId="2D364D03">
      <w:pPr>
        <w:pStyle w:val="4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质疑事项1：</w:t>
      </w:r>
    </w:p>
    <w:p w14:paraId="17352F01">
      <w:pPr>
        <w:pStyle w:val="4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事实依据：</w:t>
      </w:r>
    </w:p>
    <w:p w14:paraId="6E58F4B4">
      <w:pPr>
        <w:pStyle w:val="4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法律依据：</w:t>
      </w:r>
    </w:p>
    <w:p w14:paraId="65B09832">
      <w:pPr>
        <w:pStyle w:val="4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质疑事项2</w:t>
      </w:r>
    </w:p>
    <w:p w14:paraId="42CBAB47">
      <w:pPr>
        <w:pStyle w:val="43"/>
        <w:spacing w:line="360" w:lineRule="auto"/>
        <w:ind w:left="25" w:leftChars="12" w:firstLine="472" w:firstLineChars="197"/>
        <w:rPr>
          <w:rFonts w:hint="eastAsia" w:hAnsi="宋体"/>
          <w:color w:val="auto"/>
          <w:sz w:val="24"/>
          <w:szCs w:val="24"/>
          <w:highlight w:val="none"/>
        </w:rPr>
      </w:pPr>
      <w:r>
        <w:rPr>
          <w:rFonts w:hAnsi="宋体"/>
          <w:color w:val="auto"/>
          <w:sz w:val="24"/>
          <w:szCs w:val="24"/>
          <w:highlight w:val="none"/>
        </w:rPr>
        <w:t>……</w:t>
      </w:r>
    </w:p>
    <w:p w14:paraId="1A7698F7">
      <w:pPr>
        <w:pStyle w:val="4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52D6EADC">
      <w:pPr>
        <w:pStyle w:val="4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p>
    <w:p w14:paraId="19FCDD6E">
      <w:pPr>
        <w:pStyle w:val="43"/>
        <w:spacing w:line="360" w:lineRule="auto"/>
        <w:ind w:left="25" w:leftChars="12" w:firstLine="352" w:firstLineChars="147"/>
        <w:rPr>
          <w:rFonts w:hint="eastAsia" w:hAnsi="宋体"/>
          <w:color w:val="auto"/>
          <w:sz w:val="24"/>
          <w:szCs w:val="24"/>
          <w:highlight w:val="none"/>
        </w:rPr>
      </w:pPr>
    </w:p>
    <w:p w14:paraId="14C780D5">
      <w:pPr>
        <w:pStyle w:val="4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44A623E0">
      <w:pPr>
        <w:pStyle w:val="43"/>
        <w:spacing w:line="360" w:lineRule="auto"/>
        <w:ind w:left="25" w:leftChars="12" w:firstLine="352" w:firstLineChars="147"/>
        <w:rPr>
          <w:rFonts w:hint="eastAsia" w:hAnsi="宋体"/>
          <w:color w:val="auto"/>
          <w:sz w:val="24"/>
          <w:szCs w:val="24"/>
          <w:highlight w:val="none"/>
        </w:rPr>
      </w:pPr>
    </w:p>
    <w:p w14:paraId="34BB2091">
      <w:pPr>
        <w:pStyle w:val="4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09DD2C80">
      <w:pPr>
        <w:pStyle w:val="43"/>
        <w:snapToGrid w:val="0"/>
        <w:spacing w:line="360" w:lineRule="auto"/>
        <w:rPr>
          <w:rFonts w:hint="eastAsia" w:hAnsi="宋体"/>
          <w:b/>
          <w:color w:val="auto"/>
          <w:sz w:val="24"/>
          <w:szCs w:val="24"/>
          <w:highlight w:val="none"/>
        </w:rPr>
      </w:pPr>
    </w:p>
    <w:p w14:paraId="0500EB77">
      <w:pPr>
        <w:pStyle w:val="43"/>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0F55FA37">
      <w:pPr>
        <w:pStyle w:val="43"/>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706CDC7B">
      <w:pPr>
        <w:pStyle w:val="43"/>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B5345FC">
      <w:pPr>
        <w:pStyle w:val="43"/>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64B08C37">
      <w:pPr>
        <w:pStyle w:val="43"/>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6400189B">
      <w:pPr>
        <w:pStyle w:val="43"/>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72BCF176">
      <w:pPr>
        <w:spacing w:line="460" w:lineRule="exact"/>
        <w:rPr>
          <w:rFonts w:eastAsia="隶书"/>
          <w:color w:val="auto"/>
          <w:sz w:val="44"/>
          <w:highlight w:val="none"/>
        </w:rPr>
      </w:pPr>
    </w:p>
    <w:p w14:paraId="55881F12">
      <w:pPr>
        <w:spacing w:line="360" w:lineRule="auto"/>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5.投诉书（格式）</w:t>
      </w:r>
    </w:p>
    <w:p w14:paraId="621CE242">
      <w:pPr>
        <w:spacing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投诉书（格式）</w:t>
      </w:r>
    </w:p>
    <w:p w14:paraId="0920ED53">
      <w:pPr>
        <w:pStyle w:val="43"/>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一、投诉相关主体基本情况：</w:t>
      </w:r>
    </w:p>
    <w:p w14:paraId="4F3D397B">
      <w:pPr>
        <w:pStyle w:val="43"/>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投标人：</w:t>
      </w:r>
    </w:p>
    <w:p w14:paraId="7AD30397">
      <w:pPr>
        <w:pStyle w:val="43"/>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0C3DA4E1">
      <w:pPr>
        <w:pStyle w:val="43"/>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p>
    <w:p w14:paraId="33EB0A4E">
      <w:pPr>
        <w:pStyle w:val="43"/>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p>
    <w:p w14:paraId="5AF71F83">
      <w:pPr>
        <w:pStyle w:val="43"/>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Ansi="宋体"/>
          <w:bCs/>
          <w:color w:val="auto"/>
          <w:sz w:val="24"/>
          <w:szCs w:val="24"/>
          <w:highlight w:val="none"/>
        </w:rPr>
        <w:t>联系</w:t>
      </w:r>
      <w:r>
        <w:rPr>
          <w:rFonts w:hint="eastAsia" w:hAnsi="宋体"/>
          <w:bCs/>
          <w:color w:val="auto"/>
          <w:sz w:val="24"/>
          <w:szCs w:val="24"/>
          <w:highlight w:val="none"/>
        </w:rPr>
        <w:t>电话：</w:t>
      </w:r>
    </w:p>
    <w:p w14:paraId="5580C1E0">
      <w:pPr>
        <w:pStyle w:val="43"/>
        <w:snapToGrid w:val="0"/>
        <w:spacing w:line="360" w:lineRule="auto"/>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p>
    <w:p w14:paraId="479A8DAF">
      <w:pPr>
        <w:pStyle w:val="43"/>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p>
    <w:p w14:paraId="0F3A4E37">
      <w:pPr>
        <w:pStyle w:val="43"/>
        <w:snapToGrid w:val="0"/>
        <w:spacing w:line="360" w:lineRule="auto"/>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被投诉人1：</w:t>
      </w:r>
    </w:p>
    <w:p w14:paraId="4AD74D13">
      <w:pPr>
        <w:pStyle w:val="43"/>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地址：</w:t>
      </w:r>
    </w:p>
    <w:p w14:paraId="40B4BB7A">
      <w:pPr>
        <w:pStyle w:val="43"/>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p>
    <w:p w14:paraId="70890E89">
      <w:pPr>
        <w:pStyle w:val="43"/>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联系人：</w:t>
      </w:r>
      <w:r>
        <w:rPr>
          <w:rFonts w:hAnsi="宋体"/>
          <w:bCs/>
          <w:color w:val="auto"/>
          <w:sz w:val="24"/>
          <w:szCs w:val="24"/>
          <w:highlight w:val="none"/>
        </w:rPr>
        <w:t>联系</w:t>
      </w:r>
      <w:r>
        <w:rPr>
          <w:rFonts w:hint="eastAsia" w:hAnsi="宋体"/>
          <w:bCs/>
          <w:color w:val="auto"/>
          <w:sz w:val="24"/>
          <w:szCs w:val="24"/>
          <w:highlight w:val="none"/>
        </w:rPr>
        <w:t>电话：</w:t>
      </w:r>
    </w:p>
    <w:p w14:paraId="54FF8818">
      <w:pPr>
        <w:pStyle w:val="43"/>
        <w:snapToGrid w:val="0"/>
        <w:spacing w:line="360" w:lineRule="auto"/>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被投诉人2：</w:t>
      </w:r>
    </w:p>
    <w:p w14:paraId="6A14D0F7">
      <w:pPr>
        <w:pStyle w:val="43"/>
        <w:snapToGrid w:val="0"/>
        <w:spacing w:line="360" w:lineRule="auto"/>
        <w:ind w:firstLine="480" w:firstLineChars="200"/>
        <w:jc w:val="left"/>
        <w:rPr>
          <w:rFonts w:hint="eastAsia" w:hAnsi="宋体"/>
          <w:bCs/>
          <w:color w:val="auto"/>
          <w:sz w:val="24"/>
          <w:szCs w:val="24"/>
          <w:highlight w:val="none"/>
        </w:rPr>
      </w:pPr>
      <w:r>
        <w:rPr>
          <w:rFonts w:hAnsi="宋体"/>
          <w:bCs/>
          <w:color w:val="auto"/>
          <w:sz w:val="24"/>
          <w:szCs w:val="24"/>
          <w:highlight w:val="none"/>
        </w:rPr>
        <w:t>……</w:t>
      </w:r>
    </w:p>
    <w:p w14:paraId="3BA1822D">
      <w:pPr>
        <w:pStyle w:val="43"/>
        <w:snapToGrid w:val="0"/>
        <w:spacing w:line="360" w:lineRule="auto"/>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相关供应商：</w:t>
      </w:r>
    </w:p>
    <w:p w14:paraId="3E0BC826">
      <w:pPr>
        <w:pStyle w:val="43"/>
        <w:snapToGrid w:val="0"/>
        <w:spacing w:line="360" w:lineRule="auto"/>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Ansi="宋体"/>
          <w:bCs/>
          <w:color w:val="auto"/>
          <w:sz w:val="24"/>
          <w:szCs w:val="24"/>
          <w:highlight w:val="none"/>
        </w:rPr>
        <w:t>邮编</w:t>
      </w:r>
      <w:r>
        <w:rPr>
          <w:rFonts w:hint="eastAsia" w:hAnsi="宋体"/>
          <w:bCs/>
          <w:color w:val="auto"/>
          <w:sz w:val="24"/>
          <w:szCs w:val="24"/>
          <w:highlight w:val="none"/>
        </w:rPr>
        <w:t>：</w:t>
      </w:r>
    </w:p>
    <w:p w14:paraId="650A1E70">
      <w:pPr>
        <w:pStyle w:val="43"/>
        <w:snapToGrid w:val="0"/>
        <w:spacing w:line="360" w:lineRule="auto"/>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联系人：</w:t>
      </w:r>
      <w:r>
        <w:rPr>
          <w:rFonts w:hAnsi="宋体"/>
          <w:bCs/>
          <w:color w:val="auto"/>
          <w:sz w:val="24"/>
          <w:szCs w:val="24"/>
          <w:highlight w:val="none"/>
        </w:rPr>
        <w:t>联系</w:t>
      </w:r>
      <w:r>
        <w:rPr>
          <w:rFonts w:hint="eastAsia" w:hAnsi="宋体"/>
          <w:bCs/>
          <w:color w:val="auto"/>
          <w:sz w:val="24"/>
          <w:szCs w:val="24"/>
          <w:highlight w:val="none"/>
        </w:rPr>
        <w:t>电话：</w:t>
      </w:r>
    </w:p>
    <w:p w14:paraId="503E9736">
      <w:pPr>
        <w:pStyle w:val="43"/>
        <w:snapToGrid w:val="0"/>
        <w:spacing w:line="360" w:lineRule="auto"/>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0C3BDB5F">
      <w:pPr>
        <w:pStyle w:val="4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招标项目的名称：</w:t>
      </w:r>
    </w:p>
    <w:p w14:paraId="6F5B7C70">
      <w:pPr>
        <w:pStyle w:val="4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招标项目的编号：</w:t>
      </w:r>
    </w:p>
    <w:p w14:paraId="23C1C5FB">
      <w:pPr>
        <w:pStyle w:val="43"/>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p>
    <w:p w14:paraId="5BD4FA3C">
      <w:pPr>
        <w:pStyle w:val="43"/>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p>
    <w:p w14:paraId="1490B7A7">
      <w:pPr>
        <w:pStyle w:val="43"/>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招标</w:t>
      </w:r>
      <w:r>
        <w:rPr>
          <w:rFonts w:hint="eastAsia" w:hAnsi="宋体"/>
          <w:bCs/>
          <w:color w:val="auto"/>
          <w:sz w:val="24"/>
          <w:szCs w:val="24"/>
          <w:highlight w:val="none"/>
        </w:rPr>
        <w:t>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p>
    <w:p w14:paraId="0EE22BB5">
      <w:pPr>
        <w:pStyle w:val="43"/>
        <w:spacing w:line="360" w:lineRule="auto"/>
        <w:ind w:left="25" w:leftChars="12" w:firstLine="472" w:firstLineChars="197"/>
        <w:rPr>
          <w:rFonts w:hint="eastAsia" w:hAnsi="宋体"/>
          <w:b/>
          <w:color w:val="auto"/>
          <w:sz w:val="24"/>
          <w:szCs w:val="24"/>
          <w:highlight w:val="none"/>
        </w:rPr>
      </w:pPr>
      <w:r>
        <w:rPr>
          <w:rFonts w:hint="eastAsia" w:hAnsi="宋体"/>
          <w:color w:val="auto"/>
          <w:sz w:val="24"/>
          <w:highlight w:val="none"/>
        </w:rPr>
        <w:t>招标</w:t>
      </w:r>
      <w:r>
        <w:rPr>
          <w:rFonts w:hint="eastAsia" w:hAnsi="宋体"/>
          <w:bCs/>
          <w:color w:val="auto"/>
          <w:sz w:val="24"/>
          <w:highlight w:val="none"/>
        </w:rPr>
        <w:t>结果公告：</w:t>
      </w:r>
      <w:r>
        <w:rPr>
          <w:rFonts w:hint="eastAsia" w:hAnsi="宋体"/>
          <w:bCs/>
          <w:color w:val="auto"/>
          <w:sz w:val="24"/>
          <w:highlight w:val="none"/>
          <w:u w:val="single"/>
        </w:rPr>
        <w:t>是</w:t>
      </w:r>
      <w:r>
        <w:rPr>
          <w:rFonts w:hAnsi="宋体"/>
          <w:bCs/>
          <w:color w:val="auto"/>
          <w:sz w:val="24"/>
          <w:highlight w:val="none"/>
          <w:u w:val="single"/>
        </w:rPr>
        <w:t>/</w:t>
      </w:r>
      <w:r>
        <w:rPr>
          <w:rFonts w:hint="eastAsia" w:hAnsi="宋体"/>
          <w:bCs/>
          <w:color w:val="auto"/>
          <w:sz w:val="24"/>
          <w:highlight w:val="none"/>
          <w:u w:val="single"/>
        </w:rPr>
        <w:t>否</w:t>
      </w:r>
      <w:r>
        <w:rPr>
          <w:rFonts w:hint="eastAsia" w:hAnsi="宋体"/>
          <w:bCs/>
          <w:color w:val="auto"/>
          <w:sz w:val="24"/>
          <w:highlight w:val="none"/>
        </w:rPr>
        <w:t>公告期限：</w:t>
      </w:r>
    </w:p>
    <w:p w14:paraId="15B36E69">
      <w:pPr>
        <w:pStyle w:val="43"/>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1F9F79B4">
      <w:pPr>
        <w:pStyle w:val="43"/>
        <w:spacing w:line="360" w:lineRule="auto"/>
        <w:ind w:left="25" w:leftChars="12" w:firstLine="480" w:firstLineChars="200"/>
        <w:rPr>
          <w:rFonts w:hint="eastAsia" w:hAnsi="宋体"/>
          <w:color w:val="auto"/>
          <w:sz w:val="24"/>
          <w:szCs w:val="24"/>
          <w:highlight w:val="none"/>
        </w:rPr>
      </w:pPr>
      <w:r>
        <w:rPr>
          <w:rFonts w:hint="eastAsia" w:hAnsi="宋体"/>
          <w:color w:val="auto"/>
          <w:sz w:val="24"/>
          <w:szCs w:val="24"/>
          <w:highlight w:val="none"/>
        </w:rPr>
        <w:t>投诉人于年月日，向提出质疑，质疑事项为：</w:t>
      </w:r>
    </w:p>
    <w:p w14:paraId="440CB3C6">
      <w:pPr>
        <w:pStyle w:val="43"/>
        <w:spacing w:line="360" w:lineRule="auto"/>
        <w:ind w:firstLine="241"/>
        <w:rPr>
          <w:rFonts w:hint="eastAsia" w:hAnsi="宋体"/>
          <w:bCs/>
          <w:color w:val="auto"/>
          <w:sz w:val="24"/>
          <w:szCs w:val="24"/>
          <w:highlight w:val="none"/>
          <w:u w:val="single"/>
        </w:rPr>
      </w:pPr>
    </w:p>
    <w:p w14:paraId="3659946A">
      <w:pPr>
        <w:pStyle w:val="43"/>
        <w:spacing w:line="360" w:lineRule="auto"/>
        <w:ind w:firstLine="241"/>
        <w:rPr>
          <w:rFonts w:hint="eastAsia" w:hAnsi="宋体"/>
          <w:bCs/>
          <w:color w:val="auto"/>
          <w:sz w:val="24"/>
          <w:szCs w:val="24"/>
          <w:highlight w:val="none"/>
          <w:u w:val="single"/>
        </w:rPr>
      </w:pPr>
    </w:p>
    <w:p w14:paraId="259F660D">
      <w:pPr>
        <w:pStyle w:val="43"/>
        <w:spacing w:line="360" w:lineRule="auto"/>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rPr>
        <w:t>年月日，</w:t>
      </w:r>
      <w:r>
        <w:rPr>
          <w:rFonts w:hint="eastAsia" w:hAnsi="宋体"/>
          <w:bCs/>
          <w:color w:val="auto"/>
          <w:sz w:val="24"/>
          <w:szCs w:val="24"/>
          <w:highlight w:val="none"/>
        </w:rPr>
        <w:t xml:space="preserve">就质疑事项作出了答复/没有在法定期限内作出答复。                                                                                             </w:t>
      </w:r>
    </w:p>
    <w:p w14:paraId="6F1AB565">
      <w:pPr>
        <w:pStyle w:val="43"/>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6EADD821">
      <w:pPr>
        <w:pStyle w:val="43"/>
        <w:spacing w:line="360" w:lineRule="auto"/>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p>
    <w:p w14:paraId="1E494E52">
      <w:pPr>
        <w:pStyle w:val="43"/>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p>
    <w:p w14:paraId="7D4E5BA7">
      <w:pPr>
        <w:pStyle w:val="43"/>
        <w:spacing w:line="360" w:lineRule="auto"/>
        <w:ind w:left="25" w:leftChars="12" w:firstLine="472" w:firstLineChars="197"/>
        <w:rPr>
          <w:rFonts w:hint="eastAsia" w:hAnsi="宋体"/>
          <w:color w:val="auto"/>
          <w:sz w:val="24"/>
          <w:szCs w:val="24"/>
          <w:highlight w:val="none"/>
        </w:rPr>
      </w:pPr>
    </w:p>
    <w:p w14:paraId="421F1AE4">
      <w:pPr>
        <w:pStyle w:val="43"/>
        <w:spacing w:line="360" w:lineRule="auto"/>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p>
    <w:p w14:paraId="3E57752B">
      <w:pPr>
        <w:pStyle w:val="43"/>
        <w:spacing w:line="360" w:lineRule="auto"/>
        <w:ind w:left="25" w:leftChars="12" w:firstLine="352" w:firstLineChars="147"/>
        <w:rPr>
          <w:rFonts w:hint="eastAsia" w:hAnsi="宋体"/>
          <w:bCs/>
          <w:color w:val="auto"/>
          <w:sz w:val="24"/>
          <w:szCs w:val="24"/>
          <w:highlight w:val="none"/>
          <w:u w:val="single"/>
        </w:rPr>
      </w:pPr>
    </w:p>
    <w:p w14:paraId="3C36D261">
      <w:pPr>
        <w:pStyle w:val="43"/>
        <w:spacing w:line="360" w:lineRule="auto"/>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p>
    <w:p w14:paraId="1E31B253">
      <w:pPr>
        <w:pStyle w:val="43"/>
        <w:spacing w:line="360" w:lineRule="auto"/>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7392E0E2">
      <w:pPr>
        <w:pStyle w:val="43"/>
        <w:spacing w:line="360" w:lineRule="auto"/>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64CA29EC">
      <w:pPr>
        <w:pStyle w:val="4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p>
    <w:p w14:paraId="3AB72B43">
      <w:pPr>
        <w:pStyle w:val="43"/>
        <w:spacing w:line="360" w:lineRule="auto"/>
        <w:ind w:left="25" w:leftChars="12" w:firstLine="352" w:firstLineChars="147"/>
        <w:rPr>
          <w:rFonts w:hint="eastAsia" w:hAnsi="宋体"/>
          <w:color w:val="auto"/>
          <w:sz w:val="24"/>
          <w:szCs w:val="24"/>
          <w:highlight w:val="none"/>
        </w:rPr>
      </w:pPr>
    </w:p>
    <w:p w14:paraId="20036BBB">
      <w:pPr>
        <w:pStyle w:val="4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3E4895DD">
      <w:pPr>
        <w:pStyle w:val="43"/>
        <w:spacing w:line="360" w:lineRule="auto"/>
        <w:ind w:left="25" w:leftChars="12" w:firstLine="352" w:firstLineChars="147"/>
        <w:rPr>
          <w:rFonts w:hint="eastAsia" w:hAnsi="宋体"/>
          <w:color w:val="auto"/>
          <w:sz w:val="24"/>
          <w:szCs w:val="24"/>
          <w:highlight w:val="none"/>
        </w:rPr>
      </w:pPr>
    </w:p>
    <w:p w14:paraId="01AA0A38">
      <w:pPr>
        <w:pStyle w:val="43"/>
        <w:spacing w:line="360" w:lineRule="auto"/>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7356AC08">
      <w:pPr>
        <w:pStyle w:val="43"/>
        <w:spacing w:line="360" w:lineRule="auto"/>
        <w:ind w:left="25" w:leftChars="12" w:firstLine="475" w:firstLineChars="197"/>
        <w:rPr>
          <w:rFonts w:hint="eastAsia" w:hAnsi="宋体"/>
          <w:b/>
          <w:color w:val="auto"/>
          <w:sz w:val="24"/>
          <w:szCs w:val="24"/>
          <w:highlight w:val="none"/>
        </w:rPr>
      </w:pPr>
      <w:r>
        <w:rPr>
          <w:rFonts w:hint="eastAsia" w:hAnsi="宋体"/>
          <w:b/>
          <w:color w:val="auto"/>
          <w:sz w:val="24"/>
          <w:szCs w:val="24"/>
          <w:highlight w:val="none"/>
        </w:rPr>
        <w:t>说明：</w:t>
      </w:r>
    </w:p>
    <w:p w14:paraId="5F1296C2">
      <w:pPr>
        <w:pStyle w:val="43"/>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672E6C69">
      <w:pPr>
        <w:pStyle w:val="43"/>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B01F379">
      <w:pPr>
        <w:pStyle w:val="43"/>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14E6686A">
      <w:pPr>
        <w:pStyle w:val="43"/>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66405CEF">
      <w:pPr>
        <w:pStyle w:val="43"/>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4E3A2007">
      <w:pPr>
        <w:pStyle w:val="43"/>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sectPr>
      <w:footerReference r:id="rId17" w:type="first"/>
      <w:headerReference r:id="rId14" w:type="default"/>
      <w:footerReference r:id="rId15" w:type="default"/>
      <w:footerReference r:id="rId16" w:type="even"/>
      <w:pgSz w:w="11906" w:h="16838"/>
      <w:pgMar w:top="1440" w:right="1080" w:bottom="1440" w:left="1080"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Century">
    <w:panose1 w:val="02040604050505020304"/>
    <w:charset w:val="00"/>
    <w:family w:val="roman"/>
    <w:pitch w:val="default"/>
    <w:sig w:usb0="00000287" w:usb1="00000000" w:usb2="00000000" w:usb3="00000000" w:csb0="2000009F" w:csb1="DFD70000"/>
  </w:font>
  <w:font w:name="华文楷体">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方正书宋简体">
    <w:altName w:val="黑体"/>
    <w:panose1 w:val="00000000000000000000"/>
    <w:charset w:val="86"/>
    <w:family w:val="script"/>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Plotter">
    <w:altName w:val="Arial"/>
    <w:panose1 w:val="00000000000000000000"/>
    <w:charset w:val="00"/>
    <w:family w:val="roman"/>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0" w:csb1="00000000"/>
  </w:font>
  <w:font w:name="方正仿宋简体">
    <w:altName w:val="宋体"/>
    <w:panose1 w:val="00000000000000000000"/>
    <w:charset w:val="86"/>
    <w:family w:val="script"/>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 w:name="Garamond">
    <w:panose1 w:val="02020404030301010803"/>
    <w:charset w:val="00"/>
    <w:family w:val="roman"/>
    <w:pitch w:val="default"/>
    <w:sig w:usb0="00000287" w:usb1="00000000" w:usb2="00000000" w:usb3="00000000" w:csb0="0000009F" w:csb1="DFD70000"/>
  </w:font>
  <w:font w:name="隶书">
    <w:panose1 w:val="02010509060101010101"/>
    <w:charset w:val="86"/>
    <w:family w:val="modern"/>
    <w:pitch w:val="default"/>
    <w:sig w:usb0="00000001" w:usb1="080E0000" w:usb2="00000000" w:usb3="00000000" w:csb0="00040000" w:csb1="00000000"/>
  </w:font>
  <w:font w:name="方正隶变简体">
    <w:altName w:val="宋体"/>
    <w:panose1 w:val="00000000000000000000"/>
    <w:charset w:val="86"/>
    <w:family w:val="script"/>
    <w:pitch w:val="default"/>
    <w:sig w:usb0="00000000" w:usb1="00000000" w:usb2="00000010" w:usb3="00000000" w:csb0="00040000" w:csb1="00000000"/>
  </w:font>
  <w:font w:name="文鼎大标宋简">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汉仪中黑简">
    <w:altName w:val="宋体"/>
    <w:panose1 w:val="00000000000000000000"/>
    <w:charset w:val="86"/>
    <w:family w:val="modern"/>
    <w:pitch w:val="default"/>
    <w:sig w:usb0="00000000" w:usb1="00000000" w:usb2="00000012" w:usb3="00000000" w:csb0="00040000" w:csb1="00000000"/>
  </w:font>
  <w:font w:name="方正小标宋简体">
    <w:altName w:val="黑体"/>
    <w:panose1 w:val="00000000000000000000"/>
    <w:charset w:val="86"/>
    <w:family w:val="script"/>
    <w:pitch w:val="default"/>
    <w:sig w:usb0="00000000" w:usb1="00000000" w:usb2="00000010" w:usb3="00000000" w:csb0="00040000" w:csb1="00000000"/>
  </w:font>
  <w:font w:name="方正综艺简体">
    <w:altName w:val="微软雅黑"/>
    <w:panose1 w:val="00000000000000000000"/>
    <w:charset w:val="86"/>
    <w:family w:val="script"/>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ngsana New">
    <w:altName w:val="Times New Roman"/>
    <w:panose1 w:val="02020603050405020304"/>
    <w:charset w:val="00"/>
    <w:family w:val="roman"/>
    <w:pitch w:val="default"/>
    <w:sig w:usb0="00000000" w:usb1="00000000" w:usb2="00000000" w:usb3="00000000" w:csb0="00010001" w:csb1="0000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Franklin Gothic Book">
    <w:panose1 w:val="020B0503020102020204"/>
    <w:charset w:val="00"/>
    <w:family w:val="swiss"/>
    <w:pitch w:val="default"/>
    <w:sig w:usb0="00000287" w:usb1="00000000" w:usb2="00000000" w:usb3="00000000" w:csb0="2000009F" w:csb1="DFD70000"/>
  </w:font>
  <w:font w:name="Trebuchet MS">
    <w:panose1 w:val="020B0603020202020204"/>
    <w:charset w:val="00"/>
    <w:family w:val="swiss"/>
    <w:pitch w:val="default"/>
    <w:sig w:usb0="00000687" w:usb1="00000000" w:usb2="00000000" w:usb3="00000000" w:csb0="200000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icrosoft JhengHei">
    <w:panose1 w:val="020B0604030504040204"/>
    <w:charset w:val="88"/>
    <w:family w:val="swiss"/>
    <w:pitch w:val="default"/>
    <w:sig w:usb0="000002A7" w:usb1="28CF4400" w:usb2="00000016" w:usb3="00000000" w:csb0="00100009" w:csb1="00000000"/>
  </w:font>
  <w:font w:name="方正宋三简体">
    <w:altName w:val="宋体"/>
    <w:panose1 w:val="00000000000000000000"/>
    <w:charset w:val="86"/>
    <w:family w:val="auto"/>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Lucida Fax">
    <w:panose1 w:val="02060602050505020204"/>
    <w:charset w:val="00"/>
    <w:family w:val="roman"/>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94DAD">
    <w:pPr>
      <w:pStyle w:val="53"/>
      <w:jc w:val="center"/>
    </w:pPr>
  </w:p>
  <w:p w14:paraId="6EF5B14C">
    <w:pPr>
      <w:pStyle w:val="53"/>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E58F65">
    <w:pPr>
      <w:pStyle w:val="53"/>
      <w:framePr w:wrap="around" w:vAnchor="text" w:hAnchor="margin" w:xAlign="center" w:y="1"/>
      <w:rPr>
        <w:rStyle w:val="89"/>
      </w:rPr>
    </w:pPr>
    <w:r>
      <w:fldChar w:fldCharType="begin"/>
    </w:r>
    <w:r>
      <w:rPr>
        <w:rStyle w:val="89"/>
      </w:rPr>
      <w:instrText xml:space="preserve">PAGE  </w:instrText>
    </w:r>
    <w:r>
      <w:fldChar w:fldCharType="end"/>
    </w:r>
  </w:p>
  <w:p w14:paraId="65BAE6B0">
    <w:pPr>
      <w:pStyle w:val="53"/>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0BEF3">
    <w:pPr>
      <w:pStyle w:val="53"/>
      <w:ind w:right="360"/>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605E7">
                          <w:pPr>
                            <w:pStyle w:val="53"/>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45605E7">
                    <w:pPr>
                      <w:pStyle w:val="53"/>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B81AD">
    <w:pPr>
      <w:pStyle w:val="53"/>
      <w:framePr w:wrap="around" w:vAnchor="text" w:hAnchor="margin" w:xAlign="center" w:y="1"/>
      <w:rPr>
        <w:rStyle w:val="89"/>
      </w:rPr>
    </w:pPr>
    <w:r>
      <w:fldChar w:fldCharType="begin"/>
    </w:r>
    <w:r>
      <w:rPr>
        <w:rStyle w:val="89"/>
      </w:rPr>
      <w:instrText xml:space="preserve">PAGE  </w:instrText>
    </w:r>
    <w:r>
      <w:fldChar w:fldCharType="end"/>
    </w:r>
  </w:p>
  <w:p w14:paraId="611AAACE">
    <w:pPr>
      <w:pStyle w:val="5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D9335">
    <w:pPr>
      <w:pStyle w:val="53"/>
      <w:ind w:right="36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04B99">
    <w:pPr>
      <w:pStyle w:val="5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13EAE5">
                          <w:pPr>
                            <w:pStyle w:val="53"/>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F13EAE5">
                    <w:pPr>
                      <w:pStyle w:val="53"/>
                    </w:pPr>
                    <w:r>
                      <w:fldChar w:fldCharType="begin"/>
                    </w:r>
                    <w:r>
                      <w:instrText xml:space="preserve"> PAGE  \* MERGEFORMAT </w:instrText>
                    </w:r>
                    <w:r>
                      <w:fldChar w:fldCharType="separate"/>
                    </w:r>
                    <w:r>
                      <w:t>4</w:t>
                    </w:r>
                    <w:r>
                      <w:fldChar w:fldCharType="end"/>
                    </w:r>
                  </w:p>
                </w:txbxContent>
              </v:textbox>
            </v:shape>
          </w:pict>
        </mc:Fallback>
      </mc:AlternateContent>
    </w:r>
  </w:p>
  <w:p w14:paraId="4D6EB1CC">
    <w:pPr>
      <w:pStyle w:val="5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02C8A">
    <w:pPr>
      <w:pStyle w:val="53"/>
      <w:ind w:right="360"/>
      <w:jc w:val="both"/>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021971">
                          <w:pPr>
                            <w:pStyle w:val="5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5021971">
                    <w:pPr>
                      <w:pStyle w:val="5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36C2F">
    <w:pPr>
      <w:pStyle w:val="53"/>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CC8840">
                          <w:pPr>
                            <w:pStyle w:val="53"/>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7CC8840">
                    <w:pPr>
                      <w:pStyle w:val="53"/>
                    </w:pPr>
                    <w:r>
                      <w:fldChar w:fldCharType="begin"/>
                    </w:r>
                    <w:r>
                      <w:instrText xml:space="preserve"> PAGE  \* MERGEFORMAT </w:instrText>
                    </w:r>
                    <w:r>
                      <w:fldChar w:fldCharType="separate"/>
                    </w:r>
                    <w:r>
                      <w:t>70</w:t>
                    </w:r>
                    <w:r>
                      <w:fldChar w:fldCharType="end"/>
                    </w:r>
                  </w:p>
                </w:txbxContent>
              </v:textbox>
            </v:shape>
          </w:pict>
        </mc:Fallback>
      </mc:AlternateContent>
    </w:r>
  </w:p>
  <w:p w14:paraId="0F1A0472">
    <w:pPr>
      <w:pStyle w:val="5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35184">
    <w:pPr>
      <w:pStyle w:val="53"/>
      <w:framePr w:wrap="around" w:vAnchor="text" w:hAnchor="margin" w:xAlign="center" w:y="1"/>
      <w:rPr>
        <w:rStyle w:val="89"/>
      </w:rPr>
    </w:pPr>
    <w:r>
      <w:fldChar w:fldCharType="begin"/>
    </w:r>
    <w:r>
      <w:rPr>
        <w:rStyle w:val="89"/>
      </w:rPr>
      <w:instrText xml:space="preserve">PAGE  </w:instrText>
    </w:r>
    <w:r>
      <w:fldChar w:fldCharType="end"/>
    </w:r>
  </w:p>
  <w:p w14:paraId="174B0B6C">
    <w:pPr>
      <w:pStyle w:val="5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5F825">
    <w:pPr>
      <w:pStyle w:val="53"/>
      <w:framePr w:wrap="around" w:vAnchor="text" w:hAnchor="margin" w:xAlign="right" w:y="1"/>
      <w:rPr>
        <w:rStyle w:val="89"/>
      </w:rPr>
    </w:pPr>
    <w:r>
      <w:fldChar w:fldCharType="begin"/>
    </w:r>
    <w:r>
      <w:rPr>
        <w:rStyle w:val="89"/>
      </w:rPr>
      <w:instrText xml:space="preserve">PAGE  </w:instrText>
    </w:r>
    <w:r>
      <w:fldChar w:fldCharType="separate"/>
    </w:r>
    <w:r>
      <w:rPr>
        <w:rStyle w:val="89"/>
      </w:rPr>
      <w:t>122</w:t>
    </w:r>
    <w:r>
      <w:fldChar w:fldCharType="end"/>
    </w:r>
  </w:p>
  <w:p w14:paraId="3EFDA332">
    <w:pPr>
      <w:pStyle w:val="53"/>
      <w:ind w:right="3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5378F">
    <w:pPr>
      <w:pStyle w:val="53"/>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B60C5">
                          <w:pPr>
                            <w:pStyle w:val="53"/>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F0B60C5">
                    <w:pPr>
                      <w:pStyle w:val="53"/>
                    </w:pPr>
                    <w:r>
                      <w:fldChar w:fldCharType="begin"/>
                    </w:r>
                    <w:r>
                      <w:instrText xml:space="preserve"> PAGE  \* MERGEFORMAT </w:instrText>
                    </w:r>
                    <w:r>
                      <w:fldChar w:fldCharType="separate"/>
                    </w:r>
                    <w:r>
                      <w:t>80</w:t>
                    </w:r>
                    <w:r>
                      <w:fldChar w:fldCharType="end"/>
                    </w:r>
                  </w:p>
                </w:txbxContent>
              </v:textbox>
            </v:shape>
          </w:pict>
        </mc:Fallback>
      </mc:AlternateContent>
    </w:r>
  </w:p>
  <w:p w14:paraId="25E13155">
    <w:pPr>
      <w:pStyle w:val="5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0D65C">
    <w:pPr>
      <w:pStyle w:val="5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5E202">
    <w:pPr>
      <w:pStyle w:val="5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0EA52">
    <w:pPr>
      <w:pStyle w:val="5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23EF3">
    <w:pPr>
      <w:pStyle w:val="5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601917"/>
    <w:multiLevelType w:val="singleLevel"/>
    <w:tmpl w:val="4C601917"/>
    <w:lvl w:ilvl="0" w:tentative="0">
      <w:start w:val="1"/>
      <w:numFmt w:val="decimal"/>
      <w:suff w:val="nothing"/>
      <w:lvlText w:val="（%1）"/>
      <w:lvlJc w:val="left"/>
    </w:lvl>
  </w:abstractNum>
  <w:abstractNum w:abstractNumId="1">
    <w:nsid w:val="5FABD14B"/>
    <w:multiLevelType w:val="singleLevel"/>
    <w:tmpl w:val="5FABD14B"/>
    <w:lvl w:ilvl="0" w:tentative="0">
      <w:start w:val="1"/>
      <w:numFmt w:val="decimal"/>
      <w:suff w:val="nothing"/>
      <w:lvlText w:val="（%1）"/>
      <w:lvlJc w:val="left"/>
    </w:lvl>
  </w:abstractNum>
  <w:abstractNum w:abstractNumId="2">
    <w:nsid w:val="77633244"/>
    <w:multiLevelType w:val="singleLevel"/>
    <w:tmpl w:val="77633244"/>
    <w:lvl w:ilvl="0" w:tentative="0">
      <w:start w:val="1"/>
      <w:numFmt w:val="decimal"/>
      <w:suff w:val="space"/>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
    <w:nsid w:val="77633245"/>
    <w:multiLevelType w:val="singleLevel"/>
    <w:tmpl w:val="77633245"/>
    <w:lvl w:ilvl="0" w:tentative="0">
      <w:start w:val="1"/>
      <w:numFmt w:val="decimal"/>
      <w:suff w:val="space"/>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mZGYzMzM4OTgwYmU4OWViN2ZmZTU0NTY5ZmVlMTIifQ=="/>
  </w:docVars>
  <w:rsids>
    <w:rsidRoot w:val="4D4712A7"/>
    <w:rsid w:val="0000010C"/>
    <w:rsid w:val="00000D21"/>
    <w:rsid w:val="00000FE0"/>
    <w:rsid w:val="00001068"/>
    <w:rsid w:val="0000114A"/>
    <w:rsid w:val="00001731"/>
    <w:rsid w:val="00001C2D"/>
    <w:rsid w:val="00001C55"/>
    <w:rsid w:val="00001CA8"/>
    <w:rsid w:val="00001FAE"/>
    <w:rsid w:val="00002291"/>
    <w:rsid w:val="00002644"/>
    <w:rsid w:val="00002DBF"/>
    <w:rsid w:val="00002EC0"/>
    <w:rsid w:val="00003224"/>
    <w:rsid w:val="000033F5"/>
    <w:rsid w:val="000034EA"/>
    <w:rsid w:val="0000358C"/>
    <w:rsid w:val="00003BEF"/>
    <w:rsid w:val="00004130"/>
    <w:rsid w:val="0000431F"/>
    <w:rsid w:val="00004634"/>
    <w:rsid w:val="00004D8B"/>
    <w:rsid w:val="000059E2"/>
    <w:rsid w:val="00006AE7"/>
    <w:rsid w:val="00006B9B"/>
    <w:rsid w:val="00006C35"/>
    <w:rsid w:val="000072B1"/>
    <w:rsid w:val="00007329"/>
    <w:rsid w:val="00007E28"/>
    <w:rsid w:val="00007E84"/>
    <w:rsid w:val="00010401"/>
    <w:rsid w:val="000105A1"/>
    <w:rsid w:val="000107AD"/>
    <w:rsid w:val="00010835"/>
    <w:rsid w:val="00011842"/>
    <w:rsid w:val="000119FD"/>
    <w:rsid w:val="00012137"/>
    <w:rsid w:val="000121EE"/>
    <w:rsid w:val="000121FF"/>
    <w:rsid w:val="000125B8"/>
    <w:rsid w:val="00012692"/>
    <w:rsid w:val="00013446"/>
    <w:rsid w:val="00013509"/>
    <w:rsid w:val="000135BC"/>
    <w:rsid w:val="000135DC"/>
    <w:rsid w:val="000136D6"/>
    <w:rsid w:val="00013979"/>
    <w:rsid w:val="00014085"/>
    <w:rsid w:val="00014B4C"/>
    <w:rsid w:val="00014DD9"/>
    <w:rsid w:val="000151E4"/>
    <w:rsid w:val="000153D8"/>
    <w:rsid w:val="00015577"/>
    <w:rsid w:val="000156E4"/>
    <w:rsid w:val="000159A7"/>
    <w:rsid w:val="00015FB8"/>
    <w:rsid w:val="0001609F"/>
    <w:rsid w:val="0001635B"/>
    <w:rsid w:val="00016549"/>
    <w:rsid w:val="00016BF7"/>
    <w:rsid w:val="00016D20"/>
    <w:rsid w:val="0001767E"/>
    <w:rsid w:val="0001776D"/>
    <w:rsid w:val="00017C00"/>
    <w:rsid w:val="00017F31"/>
    <w:rsid w:val="00020607"/>
    <w:rsid w:val="00020FE4"/>
    <w:rsid w:val="0002103A"/>
    <w:rsid w:val="000217E4"/>
    <w:rsid w:val="00021852"/>
    <w:rsid w:val="00021A12"/>
    <w:rsid w:val="00022622"/>
    <w:rsid w:val="00023363"/>
    <w:rsid w:val="000235F3"/>
    <w:rsid w:val="00023644"/>
    <w:rsid w:val="00023712"/>
    <w:rsid w:val="0002476C"/>
    <w:rsid w:val="00024E3C"/>
    <w:rsid w:val="00024EB0"/>
    <w:rsid w:val="00025A93"/>
    <w:rsid w:val="0002646A"/>
    <w:rsid w:val="0002651D"/>
    <w:rsid w:val="00026CFD"/>
    <w:rsid w:val="000279F9"/>
    <w:rsid w:val="00027A11"/>
    <w:rsid w:val="00027C8B"/>
    <w:rsid w:val="00027CD9"/>
    <w:rsid w:val="00030242"/>
    <w:rsid w:val="00030B06"/>
    <w:rsid w:val="0003183A"/>
    <w:rsid w:val="00031CDC"/>
    <w:rsid w:val="00031DC8"/>
    <w:rsid w:val="0003263B"/>
    <w:rsid w:val="0003282C"/>
    <w:rsid w:val="0003304A"/>
    <w:rsid w:val="0003317E"/>
    <w:rsid w:val="00033413"/>
    <w:rsid w:val="000337F3"/>
    <w:rsid w:val="00034C27"/>
    <w:rsid w:val="00034E2A"/>
    <w:rsid w:val="0003564E"/>
    <w:rsid w:val="0003577F"/>
    <w:rsid w:val="000361E7"/>
    <w:rsid w:val="00036466"/>
    <w:rsid w:val="0003675E"/>
    <w:rsid w:val="00037633"/>
    <w:rsid w:val="00037E9E"/>
    <w:rsid w:val="00037F87"/>
    <w:rsid w:val="00037FA2"/>
    <w:rsid w:val="000400D0"/>
    <w:rsid w:val="0004044E"/>
    <w:rsid w:val="000425AC"/>
    <w:rsid w:val="00042F4A"/>
    <w:rsid w:val="00043BE5"/>
    <w:rsid w:val="00044003"/>
    <w:rsid w:val="00044527"/>
    <w:rsid w:val="0004469E"/>
    <w:rsid w:val="00044897"/>
    <w:rsid w:val="00044ACF"/>
    <w:rsid w:val="00044D83"/>
    <w:rsid w:val="00044E06"/>
    <w:rsid w:val="000454F4"/>
    <w:rsid w:val="00045670"/>
    <w:rsid w:val="00045D1E"/>
    <w:rsid w:val="00045E69"/>
    <w:rsid w:val="00045EF4"/>
    <w:rsid w:val="00046547"/>
    <w:rsid w:val="0004663B"/>
    <w:rsid w:val="000466D7"/>
    <w:rsid w:val="00046753"/>
    <w:rsid w:val="00047254"/>
    <w:rsid w:val="000472FD"/>
    <w:rsid w:val="0005022B"/>
    <w:rsid w:val="00050771"/>
    <w:rsid w:val="000510F8"/>
    <w:rsid w:val="000513F3"/>
    <w:rsid w:val="00052287"/>
    <w:rsid w:val="000522E0"/>
    <w:rsid w:val="00052609"/>
    <w:rsid w:val="000532F4"/>
    <w:rsid w:val="000536AE"/>
    <w:rsid w:val="00054CD5"/>
    <w:rsid w:val="00054D03"/>
    <w:rsid w:val="000550AC"/>
    <w:rsid w:val="0005580E"/>
    <w:rsid w:val="0005584D"/>
    <w:rsid w:val="00055CC3"/>
    <w:rsid w:val="00055CEE"/>
    <w:rsid w:val="000566FA"/>
    <w:rsid w:val="00056A2B"/>
    <w:rsid w:val="00056E37"/>
    <w:rsid w:val="00056EE2"/>
    <w:rsid w:val="00056FE2"/>
    <w:rsid w:val="000570FB"/>
    <w:rsid w:val="000575B8"/>
    <w:rsid w:val="00060131"/>
    <w:rsid w:val="0006026B"/>
    <w:rsid w:val="00060293"/>
    <w:rsid w:val="00061BDA"/>
    <w:rsid w:val="000621FE"/>
    <w:rsid w:val="00062B90"/>
    <w:rsid w:val="00062C70"/>
    <w:rsid w:val="00062DD0"/>
    <w:rsid w:val="00062E6F"/>
    <w:rsid w:val="000630C7"/>
    <w:rsid w:val="0006400F"/>
    <w:rsid w:val="000643DA"/>
    <w:rsid w:val="000645DD"/>
    <w:rsid w:val="00064D7E"/>
    <w:rsid w:val="00064F65"/>
    <w:rsid w:val="00064FD0"/>
    <w:rsid w:val="0006534A"/>
    <w:rsid w:val="00065A5D"/>
    <w:rsid w:val="00065BA2"/>
    <w:rsid w:val="000661CA"/>
    <w:rsid w:val="0006668D"/>
    <w:rsid w:val="00066F2B"/>
    <w:rsid w:val="00067002"/>
    <w:rsid w:val="0006710A"/>
    <w:rsid w:val="00067993"/>
    <w:rsid w:val="00067B1C"/>
    <w:rsid w:val="00067CED"/>
    <w:rsid w:val="00067D39"/>
    <w:rsid w:val="00067F66"/>
    <w:rsid w:val="0007041A"/>
    <w:rsid w:val="00070634"/>
    <w:rsid w:val="00070883"/>
    <w:rsid w:val="00070C3F"/>
    <w:rsid w:val="0007102C"/>
    <w:rsid w:val="00071D68"/>
    <w:rsid w:val="00071FCE"/>
    <w:rsid w:val="00072661"/>
    <w:rsid w:val="00072CCC"/>
    <w:rsid w:val="00073549"/>
    <w:rsid w:val="00073A58"/>
    <w:rsid w:val="0007483E"/>
    <w:rsid w:val="000751DB"/>
    <w:rsid w:val="0007578F"/>
    <w:rsid w:val="000759A3"/>
    <w:rsid w:val="00075E43"/>
    <w:rsid w:val="00077706"/>
    <w:rsid w:val="00077878"/>
    <w:rsid w:val="00077DE2"/>
    <w:rsid w:val="000804EF"/>
    <w:rsid w:val="00080558"/>
    <w:rsid w:val="00081230"/>
    <w:rsid w:val="000814E2"/>
    <w:rsid w:val="000818C9"/>
    <w:rsid w:val="00081CBB"/>
    <w:rsid w:val="00081D42"/>
    <w:rsid w:val="000822EF"/>
    <w:rsid w:val="0008241E"/>
    <w:rsid w:val="000826F5"/>
    <w:rsid w:val="000829B1"/>
    <w:rsid w:val="00082AAB"/>
    <w:rsid w:val="0008307D"/>
    <w:rsid w:val="000831E9"/>
    <w:rsid w:val="00083288"/>
    <w:rsid w:val="000833BB"/>
    <w:rsid w:val="0008452D"/>
    <w:rsid w:val="0008467B"/>
    <w:rsid w:val="000846E2"/>
    <w:rsid w:val="000850FA"/>
    <w:rsid w:val="00085C12"/>
    <w:rsid w:val="00085DA0"/>
    <w:rsid w:val="00085F82"/>
    <w:rsid w:val="00086506"/>
    <w:rsid w:val="00086B6E"/>
    <w:rsid w:val="00086C64"/>
    <w:rsid w:val="0008781A"/>
    <w:rsid w:val="00090951"/>
    <w:rsid w:val="00090A61"/>
    <w:rsid w:val="000918F5"/>
    <w:rsid w:val="000919B5"/>
    <w:rsid w:val="00091C1D"/>
    <w:rsid w:val="00091E08"/>
    <w:rsid w:val="00091E29"/>
    <w:rsid w:val="000922D8"/>
    <w:rsid w:val="000932E7"/>
    <w:rsid w:val="0009333A"/>
    <w:rsid w:val="00093459"/>
    <w:rsid w:val="00093B8B"/>
    <w:rsid w:val="000951E7"/>
    <w:rsid w:val="00095B82"/>
    <w:rsid w:val="00096098"/>
    <w:rsid w:val="000961C5"/>
    <w:rsid w:val="000968AF"/>
    <w:rsid w:val="000969D9"/>
    <w:rsid w:val="00096F37"/>
    <w:rsid w:val="00097A79"/>
    <w:rsid w:val="00097FE5"/>
    <w:rsid w:val="000A0354"/>
    <w:rsid w:val="000A091F"/>
    <w:rsid w:val="000A0958"/>
    <w:rsid w:val="000A0FCC"/>
    <w:rsid w:val="000A1033"/>
    <w:rsid w:val="000A1F00"/>
    <w:rsid w:val="000A2712"/>
    <w:rsid w:val="000A2877"/>
    <w:rsid w:val="000A2D31"/>
    <w:rsid w:val="000A355D"/>
    <w:rsid w:val="000A35DA"/>
    <w:rsid w:val="000A371E"/>
    <w:rsid w:val="000A3DE5"/>
    <w:rsid w:val="000A4011"/>
    <w:rsid w:val="000A4397"/>
    <w:rsid w:val="000A45D5"/>
    <w:rsid w:val="000A490E"/>
    <w:rsid w:val="000A5B49"/>
    <w:rsid w:val="000A5FE5"/>
    <w:rsid w:val="000A688F"/>
    <w:rsid w:val="000A7218"/>
    <w:rsid w:val="000A740A"/>
    <w:rsid w:val="000A7446"/>
    <w:rsid w:val="000A7A56"/>
    <w:rsid w:val="000A7E7F"/>
    <w:rsid w:val="000A7ECD"/>
    <w:rsid w:val="000B04DD"/>
    <w:rsid w:val="000B0F01"/>
    <w:rsid w:val="000B1346"/>
    <w:rsid w:val="000B1795"/>
    <w:rsid w:val="000B1914"/>
    <w:rsid w:val="000B19DC"/>
    <w:rsid w:val="000B1CA2"/>
    <w:rsid w:val="000B202E"/>
    <w:rsid w:val="000B2293"/>
    <w:rsid w:val="000B24A4"/>
    <w:rsid w:val="000B255A"/>
    <w:rsid w:val="000B255C"/>
    <w:rsid w:val="000B292B"/>
    <w:rsid w:val="000B395E"/>
    <w:rsid w:val="000B39C3"/>
    <w:rsid w:val="000B3A00"/>
    <w:rsid w:val="000B3BFD"/>
    <w:rsid w:val="000B4840"/>
    <w:rsid w:val="000B4D79"/>
    <w:rsid w:val="000B53E3"/>
    <w:rsid w:val="000B5627"/>
    <w:rsid w:val="000B5671"/>
    <w:rsid w:val="000B6BF0"/>
    <w:rsid w:val="000B6CE8"/>
    <w:rsid w:val="000B7DAF"/>
    <w:rsid w:val="000C01A9"/>
    <w:rsid w:val="000C071C"/>
    <w:rsid w:val="000C0BB4"/>
    <w:rsid w:val="000C0BEE"/>
    <w:rsid w:val="000C1CB9"/>
    <w:rsid w:val="000C2159"/>
    <w:rsid w:val="000C21BB"/>
    <w:rsid w:val="000C289B"/>
    <w:rsid w:val="000C34B8"/>
    <w:rsid w:val="000C3F01"/>
    <w:rsid w:val="000C420D"/>
    <w:rsid w:val="000C4773"/>
    <w:rsid w:val="000C4944"/>
    <w:rsid w:val="000C4E24"/>
    <w:rsid w:val="000C5C4A"/>
    <w:rsid w:val="000C5F01"/>
    <w:rsid w:val="000C63C4"/>
    <w:rsid w:val="000C66C1"/>
    <w:rsid w:val="000C6F0B"/>
    <w:rsid w:val="000C6F32"/>
    <w:rsid w:val="000C708E"/>
    <w:rsid w:val="000C778C"/>
    <w:rsid w:val="000C7833"/>
    <w:rsid w:val="000C7DFB"/>
    <w:rsid w:val="000C7E1B"/>
    <w:rsid w:val="000C7E73"/>
    <w:rsid w:val="000D001B"/>
    <w:rsid w:val="000D0A45"/>
    <w:rsid w:val="000D136E"/>
    <w:rsid w:val="000D14AC"/>
    <w:rsid w:val="000D15BA"/>
    <w:rsid w:val="000D2C9B"/>
    <w:rsid w:val="000D35FD"/>
    <w:rsid w:val="000D3D2D"/>
    <w:rsid w:val="000D3D99"/>
    <w:rsid w:val="000D4653"/>
    <w:rsid w:val="000D4696"/>
    <w:rsid w:val="000D4817"/>
    <w:rsid w:val="000D4FB9"/>
    <w:rsid w:val="000D54B4"/>
    <w:rsid w:val="000D54F8"/>
    <w:rsid w:val="000D584B"/>
    <w:rsid w:val="000D5F55"/>
    <w:rsid w:val="000D6372"/>
    <w:rsid w:val="000D6979"/>
    <w:rsid w:val="000D6CE7"/>
    <w:rsid w:val="000D6E38"/>
    <w:rsid w:val="000D6E63"/>
    <w:rsid w:val="000D711C"/>
    <w:rsid w:val="000D7B6E"/>
    <w:rsid w:val="000E042A"/>
    <w:rsid w:val="000E0644"/>
    <w:rsid w:val="000E076D"/>
    <w:rsid w:val="000E0CD2"/>
    <w:rsid w:val="000E187C"/>
    <w:rsid w:val="000E1B28"/>
    <w:rsid w:val="000E1E8D"/>
    <w:rsid w:val="000E1EBC"/>
    <w:rsid w:val="000E2173"/>
    <w:rsid w:val="000E220B"/>
    <w:rsid w:val="000E2A50"/>
    <w:rsid w:val="000E30F2"/>
    <w:rsid w:val="000E316B"/>
    <w:rsid w:val="000E3D08"/>
    <w:rsid w:val="000E4728"/>
    <w:rsid w:val="000E4D1F"/>
    <w:rsid w:val="000E5658"/>
    <w:rsid w:val="000E5698"/>
    <w:rsid w:val="000E5723"/>
    <w:rsid w:val="000E581B"/>
    <w:rsid w:val="000E58B4"/>
    <w:rsid w:val="000E65D2"/>
    <w:rsid w:val="000E6919"/>
    <w:rsid w:val="000E6B1B"/>
    <w:rsid w:val="000E6F0C"/>
    <w:rsid w:val="000E732D"/>
    <w:rsid w:val="000F07ED"/>
    <w:rsid w:val="000F0CF2"/>
    <w:rsid w:val="000F14F6"/>
    <w:rsid w:val="000F1A32"/>
    <w:rsid w:val="000F1CC2"/>
    <w:rsid w:val="000F1D15"/>
    <w:rsid w:val="000F207F"/>
    <w:rsid w:val="000F270A"/>
    <w:rsid w:val="000F34C8"/>
    <w:rsid w:val="000F38BC"/>
    <w:rsid w:val="000F3E2A"/>
    <w:rsid w:val="000F4D26"/>
    <w:rsid w:val="000F5639"/>
    <w:rsid w:val="000F58A4"/>
    <w:rsid w:val="000F6833"/>
    <w:rsid w:val="000F6A24"/>
    <w:rsid w:val="000F7616"/>
    <w:rsid w:val="000F7DE9"/>
    <w:rsid w:val="000F7F7A"/>
    <w:rsid w:val="0010004B"/>
    <w:rsid w:val="001002F4"/>
    <w:rsid w:val="001005B4"/>
    <w:rsid w:val="00101070"/>
    <w:rsid w:val="001011FC"/>
    <w:rsid w:val="0010165F"/>
    <w:rsid w:val="001018C1"/>
    <w:rsid w:val="00101E7C"/>
    <w:rsid w:val="00102260"/>
    <w:rsid w:val="001023DC"/>
    <w:rsid w:val="0010256D"/>
    <w:rsid w:val="00102572"/>
    <w:rsid w:val="00102946"/>
    <w:rsid w:val="00102FBF"/>
    <w:rsid w:val="0010333D"/>
    <w:rsid w:val="0010372A"/>
    <w:rsid w:val="00103F41"/>
    <w:rsid w:val="00104E77"/>
    <w:rsid w:val="00104F34"/>
    <w:rsid w:val="00104F3E"/>
    <w:rsid w:val="001053C5"/>
    <w:rsid w:val="001055AD"/>
    <w:rsid w:val="00105C14"/>
    <w:rsid w:val="001065A3"/>
    <w:rsid w:val="0010691D"/>
    <w:rsid w:val="00106B33"/>
    <w:rsid w:val="00106E69"/>
    <w:rsid w:val="00110AC5"/>
    <w:rsid w:val="00110F0B"/>
    <w:rsid w:val="0011108B"/>
    <w:rsid w:val="00111136"/>
    <w:rsid w:val="00111164"/>
    <w:rsid w:val="00111761"/>
    <w:rsid w:val="00112164"/>
    <w:rsid w:val="0011241F"/>
    <w:rsid w:val="001128BF"/>
    <w:rsid w:val="00112D09"/>
    <w:rsid w:val="00112F03"/>
    <w:rsid w:val="00112F38"/>
    <w:rsid w:val="00113821"/>
    <w:rsid w:val="0011394B"/>
    <w:rsid w:val="00113CEE"/>
    <w:rsid w:val="00114058"/>
    <w:rsid w:val="00114342"/>
    <w:rsid w:val="0011449E"/>
    <w:rsid w:val="001153EF"/>
    <w:rsid w:val="00115D55"/>
    <w:rsid w:val="00115E45"/>
    <w:rsid w:val="00115F85"/>
    <w:rsid w:val="00115FD1"/>
    <w:rsid w:val="001165CC"/>
    <w:rsid w:val="0011688E"/>
    <w:rsid w:val="00116ACD"/>
    <w:rsid w:val="00117B7D"/>
    <w:rsid w:val="001205A8"/>
    <w:rsid w:val="00120948"/>
    <w:rsid w:val="0012180B"/>
    <w:rsid w:val="00122A64"/>
    <w:rsid w:val="00123641"/>
    <w:rsid w:val="0012388A"/>
    <w:rsid w:val="0012388C"/>
    <w:rsid w:val="00123AFA"/>
    <w:rsid w:val="00123C8C"/>
    <w:rsid w:val="00123D68"/>
    <w:rsid w:val="00123E8B"/>
    <w:rsid w:val="00124B43"/>
    <w:rsid w:val="00124DF8"/>
    <w:rsid w:val="001253EA"/>
    <w:rsid w:val="00125B99"/>
    <w:rsid w:val="00126160"/>
    <w:rsid w:val="00126B1E"/>
    <w:rsid w:val="00126DB5"/>
    <w:rsid w:val="00127178"/>
    <w:rsid w:val="00127D2B"/>
    <w:rsid w:val="00127F09"/>
    <w:rsid w:val="0013002A"/>
    <w:rsid w:val="0013085D"/>
    <w:rsid w:val="0013089C"/>
    <w:rsid w:val="00130A2D"/>
    <w:rsid w:val="00130F54"/>
    <w:rsid w:val="00131888"/>
    <w:rsid w:val="00131F17"/>
    <w:rsid w:val="001323F9"/>
    <w:rsid w:val="0013251F"/>
    <w:rsid w:val="00132FA3"/>
    <w:rsid w:val="00133088"/>
    <w:rsid w:val="00133346"/>
    <w:rsid w:val="001335B1"/>
    <w:rsid w:val="0013372D"/>
    <w:rsid w:val="00133733"/>
    <w:rsid w:val="00133B4E"/>
    <w:rsid w:val="00133D47"/>
    <w:rsid w:val="001346AF"/>
    <w:rsid w:val="00134990"/>
    <w:rsid w:val="00134AD9"/>
    <w:rsid w:val="00135416"/>
    <w:rsid w:val="001354D1"/>
    <w:rsid w:val="001355E7"/>
    <w:rsid w:val="00135A0A"/>
    <w:rsid w:val="00135BB9"/>
    <w:rsid w:val="0013621D"/>
    <w:rsid w:val="00136354"/>
    <w:rsid w:val="00136674"/>
    <w:rsid w:val="00136B0E"/>
    <w:rsid w:val="00136C3B"/>
    <w:rsid w:val="00137103"/>
    <w:rsid w:val="001376AB"/>
    <w:rsid w:val="0013777C"/>
    <w:rsid w:val="00137D5F"/>
    <w:rsid w:val="00140082"/>
    <w:rsid w:val="00140175"/>
    <w:rsid w:val="00140757"/>
    <w:rsid w:val="00140B62"/>
    <w:rsid w:val="00140D07"/>
    <w:rsid w:val="00141A3A"/>
    <w:rsid w:val="001422F4"/>
    <w:rsid w:val="001423FA"/>
    <w:rsid w:val="001427B5"/>
    <w:rsid w:val="001428CF"/>
    <w:rsid w:val="00142D0C"/>
    <w:rsid w:val="00142E3C"/>
    <w:rsid w:val="00144013"/>
    <w:rsid w:val="001454B8"/>
    <w:rsid w:val="00145A17"/>
    <w:rsid w:val="00145BBE"/>
    <w:rsid w:val="00145D7F"/>
    <w:rsid w:val="001460B5"/>
    <w:rsid w:val="0014641F"/>
    <w:rsid w:val="001464A8"/>
    <w:rsid w:val="00146618"/>
    <w:rsid w:val="001467BB"/>
    <w:rsid w:val="00146AB3"/>
    <w:rsid w:val="00146CA8"/>
    <w:rsid w:val="001472A5"/>
    <w:rsid w:val="00147884"/>
    <w:rsid w:val="00150669"/>
    <w:rsid w:val="00150827"/>
    <w:rsid w:val="00150B0D"/>
    <w:rsid w:val="00151E31"/>
    <w:rsid w:val="00151F9B"/>
    <w:rsid w:val="00152095"/>
    <w:rsid w:val="00152289"/>
    <w:rsid w:val="00152425"/>
    <w:rsid w:val="00152BAD"/>
    <w:rsid w:val="00152CE3"/>
    <w:rsid w:val="00153652"/>
    <w:rsid w:val="00153697"/>
    <w:rsid w:val="00153956"/>
    <w:rsid w:val="00153B95"/>
    <w:rsid w:val="00154146"/>
    <w:rsid w:val="00154190"/>
    <w:rsid w:val="001545EA"/>
    <w:rsid w:val="001549BA"/>
    <w:rsid w:val="00154D80"/>
    <w:rsid w:val="00154FFC"/>
    <w:rsid w:val="00155099"/>
    <w:rsid w:val="001553F5"/>
    <w:rsid w:val="00155C85"/>
    <w:rsid w:val="00156A6C"/>
    <w:rsid w:val="00156B10"/>
    <w:rsid w:val="00157823"/>
    <w:rsid w:val="0015790D"/>
    <w:rsid w:val="00157C5E"/>
    <w:rsid w:val="0016015A"/>
    <w:rsid w:val="0016020E"/>
    <w:rsid w:val="00160503"/>
    <w:rsid w:val="00160701"/>
    <w:rsid w:val="00160D7C"/>
    <w:rsid w:val="00160E30"/>
    <w:rsid w:val="0016106D"/>
    <w:rsid w:val="001612E1"/>
    <w:rsid w:val="001614DB"/>
    <w:rsid w:val="0016194E"/>
    <w:rsid w:val="0016236C"/>
    <w:rsid w:val="00162625"/>
    <w:rsid w:val="001630A8"/>
    <w:rsid w:val="001634C7"/>
    <w:rsid w:val="00163826"/>
    <w:rsid w:val="00163943"/>
    <w:rsid w:val="00163BA1"/>
    <w:rsid w:val="00163F22"/>
    <w:rsid w:val="0016417B"/>
    <w:rsid w:val="0016470E"/>
    <w:rsid w:val="00164E0A"/>
    <w:rsid w:val="0016520F"/>
    <w:rsid w:val="001652D7"/>
    <w:rsid w:val="0016596E"/>
    <w:rsid w:val="00165A5F"/>
    <w:rsid w:val="00166223"/>
    <w:rsid w:val="00166492"/>
    <w:rsid w:val="001670D8"/>
    <w:rsid w:val="0016793E"/>
    <w:rsid w:val="00167D4D"/>
    <w:rsid w:val="00170635"/>
    <w:rsid w:val="0017070D"/>
    <w:rsid w:val="00170837"/>
    <w:rsid w:val="00171035"/>
    <w:rsid w:val="001713B7"/>
    <w:rsid w:val="00171ADB"/>
    <w:rsid w:val="00172029"/>
    <w:rsid w:val="001733A4"/>
    <w:rsid w:val="00173AB9"/>
    <w:rsid w:val="00173EED"/>
    <w:rsid w:val="00174368"/>
    <w:rsid w:val="001744EA"/>
    <w:rsid w:val="00174D82"/>
    <w:rsid w:val="00174E44"/>
    <w:rsid w:val="00175053"/>
    <w:rsid w:val="001753B7"/>
    <w:rsid w:val="001757E7"/>
    <w:rsid w:val="00175873"/>
    <w:rsid w:val="0017592E"/>
    <w:rsid w:val="00175C59"/>
    <w:rsid w:val="001760BC"/>
    <w:rsid w:val="00176674"/>
    <w:rsid w:val="00176818"/>
    <w:rsid w:val="00176B82"/>
    <w:rsid w:val="00176E3B"/>
    <w:rsid w:val="00176ECB"/>
    <w:rsid w:val="0017716E"/>
    <w:rsid w:val="0017752D"/>
    <w:rsid w:val="0017759F"/>
    <w:rsid w:val="00177832"/>
    <w:rsid w:val="00177D48"/>
    <w:rsid w:val="00181178"/>
    <w:rsid w:val="0018119E"/>
    <w:rsid w:val="00181EEF"/>
    <w:rsid w:val="00181F3E"/>
    <w:rsid w:val="00182FE0"/>
    <w:rsid w:val="00183911"/>
    <w:rsid w:val="001845FB"/>
    <w:rsid w:val="00184CDD"/>
    <w:rsid w:val="00184DAB"/>
    <w:rsid w:val="00185490"/>
    <w:rsid w:val="00185DA6"/>
    <w:rsid w:val="00185F64"/>
    <w:rsid w:val="00186096"/>
    <w:rsid w:val="00186F7C"/>
    <w:rsid w:val="0018772E"/>
    <w:rsid w:val="00187A94"/>
    <w:rsid w:val="0019029E"/>
    <w:rsid w:val="00190329"/>
    <w:rsid w:val="00190804"/>
    <w:rsid w:val="0019088F"/>
    <w:rsid w:val="00190C51"/>
    <w:rsid w:val="00192FA5"/>
    <w:rsid w:val="0019336B"/>
    <w:rsid w:val="001939A6"/>
    <w:rsid w:val="00193ACC"/>
    <w:rsid w:val="00193BFE"/>
    <w:rsid w:val="00194E7E"/>
    <w:rsid w:val="00195322"/>
    <w:rsid w:val="0019560E"/>
    <w:rsid w:val="00195702"/>
    <w:rsid w:val="001958E3"/>
    <w:rsid w:val="0019601B"/>
    <w:rsid w:val="00196048"/>
    <w:rsid w:val="00196A82"/>
    <w:rsid w:val="0019769B"/>
    <w:rsid w:val="00197FFE"/>
    <w:rsid w:val="001A0D25"/>
    <w:rsid w:val="001A1570"/>
    <w:rsid w:val="001A1917"/>
    <w:rsid w:val="001A1C64"/>
    <w:rsid w:val="001A1E7F"/>
    <w:rsid w:val="001A228D"/>
    <w:rsid w:val="001A2918"/>
    <w:rsid w:val="001A2D02"/>
    <w:rsid w:val="001A2DFE"/>
    <w:rsid w:val="001A3076"/>
    <w:rsid w:val="001A3120"/>
    <w:rsid w:val="001A31A5"/>
    <w:rsid w:val="001A389C"/>
    <w:rsid w:val="001A3B75"/>
    <w:rsid w:val="001A46FB"/>
    <w:rsid w:val="001A5944"/>
    <w:rsid w:val="001A5FB1"/>
    <w:rsid w:val="001A698A"/>
    <w:rsid w:val="001A6A06"/>
    <w:rsid w:val="001A6CCC"/>
    <w:rsid w:val="001A70C8"/>
    <w:rsid w:val="001A71C9"/>
    <w:rsid w:val="001A7429"/>
    <w:rsid w:val="001A760C"/>
    <w:rsid w:val="001A799B"/>
    <w:rsid w:val="001A7AC7"/>
    <w:rsid w:val="001A7C38"/>
    <w:rsid w:val="001B02F8"/>
    <w:rsid w:val="001B2104"/>
    <w:rsid w:val="001B2279"/>
    <w:rsid w:val="001B2729"/>
    <w:rsid w:val="001B2866"/>
    <w:rsid w:val="001B2881"/>
    <w:rsid w:val="001B34A3"/>
    <w:rsid w:val="001B3675"/>
    <w:rsid w:val="001B37C8"/>
    <w:rsid w:val="001B4B2C"/>
    <w:rsid w:val="001B4F10"/>
    <w:rsid w:val="001B5026"/>
    <w:rsid w:val="001B5154"/>
    <w:rsid w:val="001B5B75"/>
    <w:rsid w:val="001B6E30"/>
    <w:rsid w:val="001B7C83"/>
    <w:rsid w:val="001B7F9E"/>
    <w:rsid w:val="001C0206"/>
    <w:rsid w:val="001C0246"/>
    <w:rsid w:val="001C04D4"/>
    <w:rsid w:val="001C0B34"/>
    <w:rsid w:val="001C12A3"/>
    <w:rsid w:val="001C17BB"/>
    <w:rsid w:val="001C187E"/>
    <w:rsid w:val="001C1A37"/>
    <w:rsid w:val="001C1C49"/>
    <w:rsid w:val="001C286F"/>
    <w:rsid w:val="001C2B86"/>
    <w:rsid w:val="001C2F54"/>
    <w:rsid w:val="001C2FBE"/>
    <w:rsid w:val="001C3308"/>
    <w:rsid w:val="001C3BBB"/>
    <w:rsid w:val="001C40B7"/>
    <w:rsid w:val="001C40D1"/>
    <w:rsid w:val="001C468A"/>
    <w:rsid w:val="001C4A38"/>
    <w:rsid w:val="001C4A9E"/>
    <w:rsid w:val="001C5001"/>
    <w:rsid w:val="001C5103"/>
    <w:rsid w:val="001C52A8"/>
    <w:rsid w:val="001C5ADF"/>
    <w:rsid w:val="001C5E8E"/>
    <w:rsid w:val="001C6120"/>
    <w:rsid w:val="001C6516"/>
    <w:rsid w:val="001C6B5C"/>
    <w:rsid w:val="001C7155"/>
    <w:rsid w:val="001C71D9"/>
    <w:rsid w:val="001C7E48"/>
    <w:rsid w:val="001D039B"/>
    <w:rsid w:val="001D1258"/>
    <w:rsid w:val="001D14AB"/>
    <w:rsid w:val="001D1AB8"/>
    <w:rsid w:val="001D286F"/>
    <w:rsid w:val="001D2C94"/>
    <w:rsid w:val="001D33D9"/>
    <w:rsid w:val="001D36F6"/>
    <w:rsid w:val="001D3D5F"/>
    <w:rsid w:val="001D4303"/>
    <w:rsid w:val="001D45E5"/>
    <w:rsid w:val="001D461A"/>
    <w:rsid w:val="001D4A9D"/>
    <w:rsid w:val="001D4AAD"/>
    <w:rsid w:val="001D4BE6"/>
    <w:rsid w:val="001D5AFA"/>
    <w:rsid w:val="001D7177"/>
    <w:rsid w:val="001D756E"/>
    <w:rsid w:val="001D784A"/>
    <w:rsid w:val="001E04A4"/>
    <w:rsid w:val="001E04EE"/>
    <w:rsid w:val="001E07C5"/>
    <w:rsid w:val="001E176D"/>
    <w:rsid w:val="001E1BCE"/>
    <w:rsid w:val="001E1E05"/>
    <w:rsid w:val="001E2086"/>
    <w:rsid w:val="001E339F"/>
    <w:rsid w:val="001E3629"/>
    <w:rsid w:val="001E3B2C"/>
    <w:rsid w:val="001E3C9A"/>
    <w:rsid w:val="001E40F0"/>
    <w:rsid w:val="001E4172"/>
    <w:rsid w:val="001E4AC7"/>
    <w:rsid w:val="001E5490"/>
    <w:rsid w:val="001E5513"/>
    <w:rsid w:val="001E5730"/>
    <w:rsid w:val="001E5E2E"/>
    <w:rsid w:val="001E6352"/>
    <w:rsid w:val="001E70AD"/>
    <w:rsid w:val="001E7237"/>
    <w:rsid w:val="001E7AF6"/>
    <w:rsid w:val="001E7FBF"/>
    <w:rsid w:val="001F01B8"/>
    <w:rsid w:val="001F0FC3"/>
    <w:rsid w:val="001F1188"/>
    <w:rsid w:val="001F1B8D"/>
    <w:rsid w:val="001F274F"/>
    <w:rsid w:val="001F289C"/>
    <w:rsid w:val="001F2BF9"/>
    <w:rsid w:val="001F3AF2"/>
    <w:rsid w:val="001F6008"/>
    <w:rsid w:val="001F641B"/>
    <w:rsid w:val="001F6C19"/>
    <w:rsid w:val="001F6D4D"/>
    <w:rsid w:val="001F7C00"/>
    <w:rsid w:val="0020042C"/>
    <w:rsid w:val="002009A3"/>
    <w:rsid w:val="00200F1A"/>
    <w:rsid w:val="0020130D"/>
    <w:rsid w:val="00201D06"/>
    <w:rsid w:val="00201E9F"/>
    <w:rsid w:val="00202790"/>
    <w:rsid w:val="00202F25"/>
    <w:rsid w:val="002035B3"/>
    <w:rsid w:val="00203929"/>
    <w:rsid w:val="00203CD6"/>
    <w:rsid w:val="00203F0A"/>
    <w:rsid w:val="00204460"/>
    <w:rsid w:val="002051EA"/>
    <w:rsid w:val="00205CBC"/>
    <w:rsid w:val="00205E9E"/>
    <w:rsid w:val="00206259"/>
    <w:rsid w:val="00206CE5"/>
    <w:rsid w:val="002074B7"/>
    <w:rsid w:val="0020758D"/>
    <w:rsid w:val="00207C7B"/>
    <w:rsid w:val="00211470"/>
    <w:rsid w:val="00211922"/>
    <w:rsid w:val="0021213A"/>
    <w:rsid w:val="0021265F"/>
    <w:rsid w:val="00213817"/>
    <w:rsid w:val="00214428"/>
    <w:rsid w:val="002145EB"/>
    <w:rsid w:val="00214681"/>
    <w:rsid w:val="00215834"/>
    <w:rsid w:val="00215CC2"/>
    <w:rsid w:val="00215ED8"/>
    <w:rsid w:val="00217700"/>
    <w:rsid w:val="002177E2"/>
    <w:rsid w:val="002205F3"/>
    <w:rsid w:val="0022085B"/>
    <w:rsid w:val="00220E53"/>
    <w:rsid w:val="0022176C"/>
    <w:rsid w:val="002225D1"/>
    <w:rsid w:val="002230FA"/>
    <w:rsid w:val="002235D9"/>
    <w:rsid w:val="00223AB9"/>
    <w:rsid w:val="00223DF2"/>
    <w:rsid w:val="00224737"/>
    <w:rsid w:val="00224C0C"/>
    <w:rsid w:val="00225323"/>
    <w:rsid w:val="002256C2"/>
    <w:rsid w:val="002256D0"/>
    <w:rsid w:val="00225C8E"/>
    <w:rsid w:val="00226428"/>
    <w:rsid w:val="002265A9"/>
    <w:rsid w:val="002266CB"/>
    <w:rsid w:val="00226777"/>
    <w:rsid w:val="0022701E"/>
    <w:rsid w:val="00227052"/>
    <w:rsid w:val="002272D5"/>
    <w:rsid w:val="0022738E"/>
    <w:rsid w:val="00227906"/>
    <w:rsid w:val="00227934"/>
    <w:rsid w:val="00227955"/>
    <w:rsid w:val="00227E21"/>
    <w:rsid w:val="00230178"/>
    <w:rsid w:val="00231D05"/>
    <w:rsid w:val="002336E2"/>
    <w:rsid w:val="00233AC2"/>
    <w:rsid w:val="00233BAF"/>
    <w:rsid w:val="00235420"/>
    <w:rsid w:val="002356A5"/>
    <w:rsid w:val="00235DAA"/>
    <w:rsid w:val="0024065B"/>
    <w:rsid w:val="002409A6"/>
    <w:rsid w:val="00240EA5"/>
    <w:rsid w:val="00241132"/>
    <w:rsid w:val="00241205"/>
    <w:rsid w:val="002418C5"/>
    <w:rsid w:val="002419ED"/>
    <w:rsid w:val="0024261D"/>
    <w:rsid w:val="00242DFB"/>
    <w:rsid w:val="00243807"/>
    <w:rsid w:val="002440AC"/>
    <w:rsid w:val="00244365"/>
    <w:rsid w:val="0024459A"/>
    <w:rsid w:val="00244771"/>
    <w:rsid w:val="00244903"/>
    <w:rsid w:val="00244AFB"/>
    <w:rsid w:val="002453DF"/>
    <w:rsid w:val="00245A81"/>
    <w:rsid w:val="00246B86"/>
    <w:rsid w:val="00247335"/>
    <w:rsid w:val="002473EF"/>
    <w:rsid w:val="002477B9"/>
    <w:rsid w:val="00247CBE"/>
    <w:rsid w:val="00250100"/>
    <w:rsid w:val="00250A1F"/>
    <w:rsid w:val="00250ADA"/>
    <w:rsid w:val="00250F1D"/>
    <w:rsid w:val="0025194E"/>
    <w:rsid w:val="00251FF1"/>
    <w:rsid w:val="002520BA"/>
    <w:rsid w:val="00252234"/>
    <w:rsid w:val="002527AF"/>
    <w:rsid w:val="002528E3"/>
    <w:rsid w:val="00252944"/>
    <w:rsid w:val="00252D55"/>
    <w:rsid w:val="00252D82"/>
    <w:rsid w:val="00253006"/>
    <w:rsid w:val="002533F5"/>
    <w:rsid w:val="002538CE"/>
    <w:rsid w:val="00253C60"/>
    <w:rsid w:val="00253F21"/>
    <w:rsid w:val="0025429D"/>
    <w:rsid w:val="002549E9"/>
    <w:rsid w:val="00254FF6"/>
    <w:rsid w:val="00255099"/>
    <w:rsid w:val="002555C6"/>
    <w:rsid w:val="00255E14"/>
    <w:rsid w:val="0025615C"/>
    <w:rsid w:val="00257059"/>
    <w:rsid w:val="0025712F"/>
    <w:rsid w:val="00257395"/>
    <w:rsid w:val="00257857"/>
    <w:rsid w:val="002578DA"/>
    <w:rsid w:val="00257CBC"/>
    <w:rsid w:val="002602C2"/>
    <w:rsid w:val="002602DA"/>
    <w:rsid w:val="0026040B"/>
    <w:rsid w:val="00260802"/>
    <w:rsid w:val="002609E3"/>
    <w:rsid w:val="00261223"/>
    <w:rsid w:val="002617AB"/>
    <w:rsid w:val="00261D08"/>
    <w:rsid w:val="00261DCC"/>
    <w:rsid w:val="002624D0"/>
    <w:rsid w:val="00262AE8"/>
    <w:rsid w:val="00263AE7"/>
    <w:rsid w:val="00263EC7"/>
    <w:rsid w:val="00264441"/>
    <w:rsid w:val="0026491B"/>
    <w:rsid w:val="00264A36"/>
    <w:rsid w:val="00264B06"/>
    <w:rsid w:val="00264C1B"/>
    <w:rsid w:val="00265E2E"/>
    <w:rsid w:val="002661AB"/>
    <w:rsid w:val="002668DB"/>
    <w:rsid w:val="0026742B"/>
    <w:rsid w:val="002674FE"/>
    <w:rsid w:val="00270748"/>
    <w:rsid w:val="0027105A"/>
    <w:rsid w:val="0027117F"/>
    <w:rsid w:val="00271283"/>
    <w:rsid w:val="002712DC"/>
    <w:rsid w:val="00271875"/>
    <w:rsid w:val="002718FF"/>
    <w:rsid w:val="00271955"/>
    <w:rsid w:val="00272278"/>
    <w:rsid w:val="00272432"/>
    <w:rsid w:val="00272633"/>
    <w:rsid w:val="00272CAB"/>
    <w:rsid w:val="00272FBF"/>
    <w:rsid w:val="00273A10"/>
    <w:rsid w:val="00273A58"/>
    <w:rsid w:val="00273FBB"/>
    <w:rsid w:val="00274CAB"/>
    <w:rsid w:val="00274E8A"/>
    <w:rsid w:val="0027507D"/>
    <w:rsid w:val="00275FCE"/>
    <w:rsid w:val="002766B8"/>
    <w:rsid w:val="0027680F"/>
    <w:rsid w:val="00281006"/>
    <w:rsid w:val="002815B1"/>
    <w:rsid w:val="00281A3D"/>
    <w:rsid w:val="00281C1F"/>
    <w:rsid w:val="00281EEA"/>
    <w:rsid w:val="00281F88"/>
    <w:rsid w:val="0028288D"/>
    <w:rsid w:val="002829B7"/>
    <w:rsid w:val="00282B82"/>
    <w:rsid w:val="00282C74"/>
    <w:rsid w:val="00282E5B"/>
    <w:rsid w:val="00282F51"/>
    <w:rsid w:val="00283995"/>
    <w:rsid w:val="00283B11"/>
    <w:rsid w:val="002841A9"/>
    <w:rsid w:val="00284313"/>
    <w:rsid w:val="00284753"/>
    <w:rsid w:val="002848AD"/>
    <w:rsid w:val="00284A5E"/>
    <w:rsid w:val="00285154"/>
    <w:rsid w:val="00285BF2"/>
    <w:rsid w:val="00285C78"/>
    <w:rsid w:val="002863CE"/>
    <w:rsid w:val="002868CF"/>
    <w:rsid w:val="0028702A"/>
    <w:rsid w:val="0028732A"/>
    <w:rsid w:val="00290F01"/>
    <w:rsid w:val="00291035"/>
    <w:rsid w:val="00291492"/>
    <w:rsid w:val="00291527"/>
    <w:rsid w:val="0029199A"/>
    <w:rsid w:val="00291BBE"/>
    <w:rsid w:val="00291FEB"/>
    <w:rsid w:val="002920B3"/>
    <w:rsid w:val="00293146"/>
    <w:rsid w:val="0029361E"/>
    <w:rsid w:val="00293D68"/>
    <w:rsid w:val="0029431E"/>
    <w:rsid w:val="00294352"/>
    <w:rsid w:val="002944A0"/>
    <w:rsid w:val="002946E4"/>
    <w:rsid w:val="0029495C"/>
    <w:rsid w:val="00294CEE"/>
    <w:rsid w:val="002957D9"/>
    <w:rsid w:val="00295B52"/>
    <w:rsid w:val="00296024"/>
    <w:rsid w:val="00296293"/>
    <w:rsid w:val="0029686F"/>
    <w:rsid w:val="00296AF7"/>
    <w:rsid w:val="002972F9"/>
    <w:rsid w:val="002977CA"/>
    <w:rsid w:val="00297DC9"/>
    <w:rsid w:val="00297ED7"/>
    <w:rsid w:val="002A0007"/>
    <w:rsid w:val="002A03AA"/>
    <w:rsid w:val="002A056D"/>
    <w:rsid w:val="002A0649"/>
    <w:rsid w:val="002A07FE"/>
    <w:rsid w:val="002A094D"/>
    <w:rsid w:val="002A0CAF"/>
    <w:rsid w:val="002A1565"/>
    <w:rsid w:val="002A16A9"/>
    <w:rsid w:val="002A2941"/>
    <w:rsid w:val="002A2DC4"/>
    <w:rsid w:val="002A3E69"/>
    <w:rsid w:val="002A41F7"/>
    <w:rsid w:val="002A44F9"/>
    <w:rsid w:val="002A46D1"/>
    <w:rsid w:val="002A49EF"/>
    <w:rsid w:val="002A4B8B"/>
    <w:rsid w:val="002A4C3D"/>
    <w:rsid w:val="002A5107"/>
    <w:rsid w:val="002A535E"/>
    <w:rsid w:val="002A6406"/>
    <w:rsid w:val="002A6AD0"/>
    <w:rsid w:val="002A6CF0"/>
    <w:rsid w:val="002A6FFC"/>
    <w:rsid w:val="002A7010"/>
    <w:rsid w:val="002A70BA"/>
    <w:rsid w:val="002A7A57"/>
    <w:rsid w:val="002A7BB2"/>
    <w:rsid w:val="002A7DCB"/>
    <w:rsid w:val="002B0B53"/>
    <w:rsid w:val="002B1617"/>
    <w:rsid w:val="002B194B"/>
    <w:rsid w:val="002B1D11"/>
    <w:rsid w:val="002B273B"/>
    <w:rsid w:val="002B29AA"/>
    <w:rsid w:val="002B2A7E"/>
    <w:rsid w:val="002B2F1B"/>
    <w:rsid w:val="002B4A32"/>
    <w:rsid w:val="002B4C6B"/>
    <w:rsid w:val="002B5AFB"/>
    <w:rsid w:val="002B6320"/>
    <w:rsid w:val="002B66AC"/>
    <w:rsid w:val="002B6852"/>
    <w:rsid w:val="002B77E1"/>
    <w:rsid w:val="002C0005"/>
    <w:rsid w:val="002C0714"/>
    <w:rsid w:val="002C0A96"/>
    <w:rsid w:val="002C0DBA"/>
    <w:rsid w:val="002C10A8"/>
    <w:rsid w:val="002C1BF4"/>
    <w:rsid w:val="002C1E0D"/>
    <w:rsid w:val="002C2266"/>
    <w:rsid w:val="002C2309"/>
    <w:rsid w:val="002C24D1"/>
    <w:rsid w:val="002C28EB"/>
    <w:rsid w:val="002C3265"/>
    <w:rsid w:val="002C3666"/>
    <w:rsid w:val="002C3AED"/>
    <w:rsid w:val="002C3E56"/>
    <w:rsid w:val="002C414C"/>
    <w:rsid w:val="002C4C2F"/>
    <w:rsid w:val="002C5776"/>
    <w:rsid w:val="002C5CD6"/>
    <w:rsid w:val="002C5EED"/>
    <w:rsid w:val="002C66DE"/>
    <w:rsid w:val="002C7193"/>
    <w:rsid w:val="002C7699"/>
    <w:rsid w:val="002C7A49"/>
    <w:rsid w:val="002C7B1A"/>
    <w:rsid w:val="002D0128"/>
    <w:rsid w:val="002D0E85"/>
    <w:rsid w:val="002D0FA7"/>
    <w:rsid w:val="002D12FB"/>
    <w:rsid w:val="002D1306"/>
    <w:rsid w:val="002D19D1"/>
    <w:rsid w:val="002D1F35"/>
    <w:rsid w:val="002D1FA3"/>
    <w:rsid w:val="002D20CD"/>
    <w:rsid w:val="002D23C6"/>
    <w:rsid w:val="002D24F0"/>
    <w:rsid w:val="002D25EB"/>
    <w:rsid w:val="002D29F3"/>
    <w:rsid w:val="002D3126"/>
    <w:rsid w:val="002D3529"/>
    <w:rsid w:val="002D3D0A"/>
    <w:rsid w:val="002D478E"/>
    <w:rsid w:val="002D47AE"/>
    <w:rsid w:val="002D4A94"/>
    <w:rsid w:val="002D5CBF"/>
    <w:rsid w:val="002D65FF"/>
    <w:rsid w:val="002D6D10"/>
    <w:rsid w:val="002D71E2"/>
    <w:rsid w:val="002D7367"/>
    <w:rsid w:val="002D7961"/>
    <w:rsid w:val="002D7B6A"/>
    <w:rsid w:val="002D7E36"/>
    <w:rsid w:val="002E0026"/>
    <w:rsid w:val="002E08E8"/>
    <w:rsid w:val="002E0918"/>
    <w:rsid w:val="002E0BAA"/>
    <w:rsid w:val="002E0D96"/>
    <w:rsid w:val="002E0EA5"/>
    <w:rsid w:val="002E1E19"/>
    <w:rsid w:val="002E283F"/>
    <w:rsid w:val="002E2854"/>
    <w:rsid w:val="002E2E74"/>
    <w:rsid w:val="002E32D2"/>
    <w:rsid w:val="002E361B"/>
    <w:rsid w:val="002E37AB"/>
    <w:rsid w:val="002E3A80"/>
    <w:rsid w:val="002E41C7"/>
    <w:rsid w:val="002E51DF"/>
    <w:rsid w:val="002E555B"/>
    <w:rsid w:val="002E57B9"/>
    <w:rsid w:val="002E6127"/>
    <w:rsid w:val="002E6885"/>
    <w:rsid w:val="002E6E81"/>
    <w:rsid w:val="002E72E4"/>
    <w:rsid w:val="002E739D"/>
    <w:rsid w:val="002F0F36"/>
    <w:rsid w:val="002F1276"/>
    <w:rsid w:val="002F1986"/>
    <w:rsid w:val="002F1E5F"/>
    <w:rsid w:val="002F2A49"/>
    <w:rsid w:val="002F3550"/>
    <w:rsid w:val="002F3B63"/>
    <w:rsid w:val="002F3C56"/>
    <w:rsid w:val="002F46B0"/>
    <w:rsid w:val="002F4B17"/>
    <w:rsid w:val="002F5150"/>
    <w:rsid w:val="002F5463"/>
    <w:rsid w:val="002F58C2"/>
    <w:rsid w:val="002F5932"/>
    <w:rsid w:val="002F5C85"/>
    <w:rsid w:val="002F603B"/>
    <w:rsid w:val="002F6201"/>
    <w:rsid w:val="002F6884"/>
    <w:rsid w:val="002F6A2B"/>
    <w:rsid w:val="002F6CB1"/>
    <w:rsid w:val="002F724B"/>
    <w:rsid w:val="002F72BA"/>
    <w:rsid w:val="00300267"/>
    <w:rsid w:val="003004D2"/>
    <w:rsid w:val="00300674"/>
    <w:rsid w:val="00300C88"/>
    <w:rsid w:val="00300D6B"/>
    <w:rsid w:val="00301019"/>
    <w:rsid w:val="00301380"/>
    <w:rsid w:val="00301E89"/>
    <w:rsid w:val="00302052"/>
    <w:rsid w:val="00302142"/>
    <w:rsid w:val="00302169"/>
    <w:rsid w:val="00302612"/>
    <w:rsid w:val="00303254"/>
    <w:rsid w:val="00303B08"/>
    <w:rsid w:val="0030408D"/>
    <w:rsid w:val="003044D9"/>
    <w:rsid w:val="00304D8A"/>
    <w:rsid w:val="00305216"/>
    <w:rsid w:val="0030555B"/>
    <w:rsid w:val="00305BFD"/>
    <w:rsid w:val="003061F5"/>
    <w:rsid w:val="00306D27"/>
    <w:rsid w:val="0030739C"/>
    <w:rsid w:val="00310D51"/>
    <w:rsid w:val="00311B36"/>
    <w:rsid w:val="00311C92"/>
    <w:rsid w:val="003133AE"/>
    <w:rsid w:val="00313414"/>
    <w:rsid w:val="0031371B"/>
    <w:rsid w:val="00313F2D"/>
    <w:rsid w:val="00314156"/>
    <w:rsid w:val="00315081"/>
    <w:rsid w:val="0031535B"/>
    <w:rsid w:val="003170F4"/>
    <w:rsid w:val="0031750F"/>
    <w:rsid w:val="0032035D"/>
    <w:rsid w:val="003205E9"/>
    <w:rsid w:val="00320B28"/>
    <w:rsid w:val="0032123E"/>
    <w:rsid w:val="003216D5"/>
    <w:rsid w:val="003216FF"/>
    <w:rsid w:val="00321866"/>
    <w:rsid w:val="00321A83"/>
    <w:rsid w:val="00321C1A"/>
    <w:rsid w:val="00321F6B"/>
    <w:rsid w:val="00322389"/>
    <w:rsid w:val="00322BE5"/>
    <w:rsid w:val="00322E87"/>
    <w:rsid w:val="0032312D"/>
    <w:rsid w:val="00323AA5"/>
    <w:rsid w:val="003242E4"/>
    <w:rsid w:val="0032468D"/>
    <w:rsid w:val="00324926"/>
    <w:rsid w:val="00324B25"/>
    <w:rsid w:val="0032522F"/>
    <w:rsid w:val="003253C4"/>
    <w:rsid w:val="0032550F"/>
    <w:rsid w:val="00325992"/>
    <w:rsid w:val="00325B74"/>
    <w:rsid w:val="0032638F"/>
    <w:rsid w:val="003268F3"/>
    <w:rsid w:val="00326B59"/>
    <w:rsid w:val="003272C6"/>
    <w:rsid w:val="0032746C"/>
    <w:rsid w:val="00327752"/>
    <w:rsid w:val="00327C7C"/>
    <w:rsid w:val="00330009"/>
    <w:rsid w:val="003301E6"/>
    <w:rsid w:val="003310AB"/>
    <w:rsid w:val="003314D2"/>
    <w:rsid w:val="00331712"/>
    <w:rsid w:val="00331A3F"/>
    <w:rsid w:val="00332191"/>
    <w:rsid w:val="00332720"/>
    <w:rsid w:val="00332EED"/>
    <w:rsid w:val="003334A7"/>
    <w:rsid w:val="003337E8"/>
    <w:rsid w:val="00333A14"/>
    <w:rsid w:val="00333B2A"/>
    <w:rsid w:val="00333FD5"/>
    <w:rsid w:val="003350E9"/>
    <w:rsid w:val="003351BA"/>
    <w:rsid w:val="0033520F"/>
    <w:rsid w:val="00335519"/>
    <w:rsid w:val="0033596B"/>
    <w:rsid w:val="00335A93"/>
    <w:rsid w:val="00336484"/>
    <w:rsid w:val="0033650E"/>
    <w:rsid w:val="003366EF"/>
    <w:rsid w:val="00336907"/>
    <w:rsid w:val="003369DF"/>
    <w:rsid w:val="00336C71"/>
    <w:rsid w:val="00336D96"/>
    <w:rsid w:val="00336DFC"/>
    <w:rsid w:val="00337230"/>
    <w:rsid w:val="00337588"/>
    <w:rsid w:val="003377D0"/>
    <w:rsid w:val="00337D75"/>
    <w:rsid w:val="00340020"/>
    <w:rsid w:val="0034081A"/>
    <w:rsid w:val="00340AA5"/>
    <w:rsid w:val="00341162"/>
    <w:rsid w:val="00341866"/>
    <w:rsid w:val="00341DAF"/>
    <w:rsid w:val="00342181"/>
    <w:rsid w:val="0034339B"/>
    <w:rsid w:val="00343560"/>
    <w:rsid w:val="00343A20"/>
    <w:rsid w:val="0034402B"/>
    <w:rsid w:val="0034449E"/>
    <w:rsid w:val="00344D46"/>
    <w:rsid w:val="0034621B"/>
    <w:rsid w:val="003465A5"/>
    <w:rsid w:val="00346817"/>
    <w:rsid w:val="00347440"/>
    <w:rsid w:val="003475EA"/>
    <w:rsid w:val="0034792D"/>
    <w:rsid w:val="00347A27"/>
    <w:rsid w:val="00347CD4"/>
    <w:rsid w:val="00350A55"/>
    <w:rsid w:val="00350DF8"/>
    <w:rsid w:val="00351A8A"/>
    <w:rsid w:val="00352541"/>
    <w:rsid w:val="0035266A"/>
    <w:rsid w:val="0035279C"/>
    <w:rsid w:val="00352B23"/>
    <w:rsid w:val="00352C49"/>
    <w:rsid w:val="003534D3"/>
    <w:rsid w:val="003535D2"/>
    <w:rsid w:val="0035384D"/>
    <w:rsid w:val="00353BF0"/>
    <w:rsid w:val="00353C0B"/>
    <w:rsid w:val="00354AE4"/>
    <w:rsid w:val="00354B0A"/>
    <w:rsid w:val="0035551B"/>
    <w:rsid w:val="003555ED"/>
    <w:rsid w:val="00355911"/>
    <w:rsid w:val="0035636B"/>
    <w:rsid w:val="00356714"/>
    <w:rsid w:val="00357424"/>
    <w:rsid w:val="003578B2"/>
    <w:rsid w:val="003606FB"/>
    <w:rsid w:val="00361789"/>
    <w:rsid w:val="0036196D"/>
    <w:rsid w:val="00361EEC"/>
    <w:rsid w:val="0036208F"/>
    <w:rsid w:val="003627BD"/>
    <w:rsid w:val="00362997"/>
    <w:rsid w:val="003629B5"/>
    <w:rsid w:val="00362C59"/>
    <w:rsid w:val="00363040"/>
    <w:rsid w:val="003630B7"/>
    <w:rsid w:val="00363275"/>
    <w:rsid w:val="00363786"/>
    <w:rsid w:val="003638A4"/>
    <w:rsid w:val="003639BF"/>
    <w:rsid w:val="00363DDC"/>
    <w:rsid w:val="00363E41"/>
    <w:rsid w:val="00363ED8"/>
    <w:rsid w:val="00363FD2"/>
    <w:rsid w:val="003644D0"/>
    <w:rsid w:val="003651F5"/>
    <w:rsid w:val="0036572E"/>
    <w:rsid w:val="003663D9"/>
    <w:rsid w:val="003666BF"/>
    <w:rsid w:val="00366707"/>
    <w:rsid w:val="00366FA9"/>
    <w:rsid w:val="00367E49"/>
    <w:rsid w:val="003700E6"/>
    <w:rsid w:val="00371C86"/>
    <w:rsid w:val="0037236C"/>
    <w:rsid w:val="003729DE"/>
    <w:rsid w:val="003735D3"/>
    <w:rsid w:val="0037386D"/>
    <w:rsid w:val="00373956"/>
    <w:rsid w:val="00374153"/>
    <w:rsid w:val="003750E0"/>
    <w:rsid w:val="00375AF1"/>
    <w:rsid w:val="00375C2F"/>
    <w:rsid w:val="00375FC5"/>
    <w:rsid w:val="003769BA"/>
    <w:rsid w:val="00377871"/>
    <w:rsid w:val="003778B2"/>
    <w:rsid w:val="00377E58"/>
    <w:rsid w:val="003805E3"/>
    <w:rsid w:val="00380618"/>
    <w:rsid w:val="0038062E"/>
    <w:rsid w:val="003807F7"/>
    <w:rsid w:val="00381610"/>
    <w:rsid w:val="00382106"/>
    <w:rsid w:val="00382657"/>
    <w:rsid w:val="00382B82"/>
    <w:rsid w:val="00383E73"/>
    <w:rsid w:val="003844BF"/>
    <w:rsid w:val="003852BA"/>
    <w:rsid w:val="003854D5"/>
    <w:rsid w:val="0038552A"/>
    <w:rsid w:val="003859EA"/>
    <w:rsid w:val="0038709E"/>
    <w:rsid w:val="00387D30"/>
    <w:rsid w:val="00390A4D"/>
    <w:rsid w:val="00391753"/>
    <w:rsid w:val="00391C7F"/>
    <w:rsid w:val="00392454"/>
    <w:rsid w:val="00392A6C"/>
    <w:rsid w:val="00392C85"/>
    <w:rsid w:val="00392FD8"/>
    <w:rsid w:val="00393E11"/>
    <w:rsid w:val="00394475"/>
    <w:rsid w:val="00394C48"/>
    <w:rsid w:val="0039517A"/>
    <w:rsid w:val="00395B51"/>
    <w:rsid w:val="00396334"/>
    <w:rsid w:val="00396796"/>
    <w:rsid w:val="00396EC6"/>
    <w:rsid w:val="00396F3C"/>
    <w:rsid w:val="003970BA"/>
    <w:rsid w:val="0039746C"/>
    <w:rsid w:val="00397DC6"/>
    <w:rsid w:val="003A0E82"/>
    <w:rsid w:val="003A0FAC"/>
    <w:rsid w:val="003A184D"/>
    <w:rsid w:val="003A1C35"/>
    <w:rsid w:val="003A1FB7"/>
    <w:rsid w:val="003A2962"/>
    <w:rsid w:val="003A371E"/>
    <w:rsid w:val="003A462A"/>
    <w:rsid w:val="003A4CE8"/>
    <w:rsid w:val="003A5652"/>
    <w:rsid w:val="003A595F"/>
    <w:rsid w:val="003A5EEC"/>
    <w:rsid w:val="003A79AE"/>
    <w:rsid w:val="003A7CA3"/>
    <w:rsid w:val="003B00B6"/>
    <w:rsid w:val="003B01C4"/>
    <w:rsid w:val="003B0BB0"/>
    <w:rsid w:val="003B11EE"/>
    <w:rsid w:val="003B1332"/>
    <w:rsid w:val="003B15F8"/>
    <w:rsid w:val="003B1702"/>
    <w:rsid w:val="003B18EB"/>
    <w:rsid w:val="003B230B"/>
    <w:rsid w:val="003B23BC"/>
    <w:rsid w:val="003B2DB5"/>
    <w:rsid w:val="003B2F05"/>
    <w:rsid w:val="003B3966"/>
    <w:rsid w:val="003B39B7"/>
    <w:rsid w:val="003B4EB0"/>
    <w:rsid w:val="003B5F6A"/>
    <w:rsid w:val="003B5FEA"/>
    <w:rsid w:val="003B6B7F"/>
    <w:rsid w:val="003B7820"/>
    <w:rsid w:val="003C01A4"/>
    <w:rsid w:val="003C0219"/>
    <w:rsid w:val="003C07FE"/>
    <w:rsid w:val="003C0C12"/>
    <w:rsid w:val="003C16EE"/>
    <w:rsid w:val="003C1C87"/>
    <w:rsid w:val="003C2C85"/>
    <w:rsid w:val="003C2F61"/>
    <w:rsid w:val="003C345E"/>
    <w:rsid w:val="003C4409"/>
    <w:rsid w:val="003C4997"/>
    <w:rsid w:val="003C4DA5"/>
    <w:rsid w:val="003C5666"/>
    <w:rsid w:val="003C6304"/>
    <w:rsid w:val="003C64F4"/>
    <w:rsid w:val="003C6DE1"/>
    <w:rsid w:val="003C724B"/>
    <w:rsid w:val="003C73DB"/>
    <w:rsid w:val="003D0185"/>
    <w:rsid w:val="003D02CB"/>
    <w:rsid w:val="003D0382"/>
    <w:rsid w:val="003D057A"/>
    <w:rsid w:val="003D069C"/>
    <w:rsid w:val="003D0BC2"/>
    <w:rsid w:val="003D191E"/>
    <w:rsid w:val="003D22A5"/>
    <w:rsid w:val="003D22C7"/>
    <w:rsid w:val="003D23A4"/>
    <w:rsid w:val="003D3414"/>
    <w:rsid w:val="003D3426"/>
    <w:rsid w:val="003D3721"/>
    <w:rsid w:val="003D46BA"/>
    <w:rsid w:val="003D590A"/>
    <w:rsid w:val="003D594B"/>
    <w:rsid w:val="003D6722"/>
    <w:rsid w:val="003D7428"/>
    <w:rsid w:val="003D77F2"/>
    <w:rsid w:val="003D78CC"/>
    <w:rsid w:val="003D7901"/>
    <w:rsid w:val="003D7D01"/>
    <w:rsid w:val="003D7ED8"/>
    <w:rsid w:val="003E0003"/>
    <w:rsid w:val="003E0099"/>
    <w:rsid w:val="003E08C7"/>
    <w:rsid w:val="003E0992"/>
    <w:rsid w:val="003E1A72"/>
    <w:rsid w:val="003E2880"/>
    <w:rsid w:val="003E28FB"/>
    <w:rsid w:val="003E2A00"/>
    <w:rsid w:val="003E382C"/>
    <w:rsid w:val="003E3D00"/>
    <w:rsid w:val="003E3FD6"/>
    <w:rsid w:val="003E4531"/>
    <w:rsid w:val="003E4771"/>
    <w:rsid w:val="003E48C8"/>
    <w:rsid w:val="003E54A8"/>
    <w:rsid w:val="003E5833"/>
    <w:rsid w:val="003E5DA8"/>
    <w:rsid w:val="003E7109"/>
    <w:rsid w:val="003E77DC"/>
    <w:rsid w:val="003E7BC1"/>
    <w:rsid w:val="003F0453"/>
    <w:rsid w:val="003F097D"/>
    <w:rsid w:val="003F0C9F"/>
    <w:rsid w:val="003F144A"/>
    <w:rsid w:val="003F1B02"/>
    <w:rsid w:val="003F1EFE"/>
    <w:rsid w:val="003F2212"/>
    <w:rsid w:val="003F2240"/>
    <w:rsid w:val="003F2460"/>
    <w:rsid w:val="003F2BD1"/>
    <w:rsid w:val="003F2E7B"/>
    <w:rsid w:val="003F3932"/>
    <w:rsid w:val="003F39C7"/>
    <w:rsid w:val="003F3CD5"/>
    <w:rsid w:val="003F4473"/>
    <w:rsid w:val="003F4CF5"/>
    <w:rsid w:val="003F4E31"/>
    <w:rsid w:val="003F51EE"/>
    <w:rsid w:val="003F574E"/>
    <w:rsid w:val="003F60D6"/>
    <w:rsid w:val="003F68E9"/>
    <w:rsid w:val="003F73EA"/>
    <w:rsid w:val="003F7E15"/>
    <w:rsid w:val="003F7FDA"/>
    <w:rsid w:val="00400DE4"/>
    <w:rsid w:val="004013AD"/>
    <w:rsid w:val="004021C0"/>
    <w:rsid w:val="004028CE"/>
    <w:rsid w:val="0040313D"/>
    <w:rsid w:val="004043FA"/>
    <w:rsid w:val="00404970"/>
    <w:rsid w:val="00405181"/>
    <w:rsid w:val="0040567F"/>
    <w:rsid w:val="00405873"/>
    <w:rsid w:val="00405F09"/>
    <w:rsid w:val="004066F4"/>
    <w:rsid w:val="00406A32"/>
    <w:rsid w:val="0040760B"/>
    <w:rsid w:val="00410117"/>
    <w:rsid w:val="00410C32"/>
    <w:rsid w:val="004111FB"/>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33A5"/>
    <w:rsid w:val="00413B02"/>
    <w:rsid w:val="00413D45"/>
    <w:rsid w:val="00414197"/>
    <w:rsid w:val="00414D68"/>
    <w:rsid w:val="00414FD9"/>
    <w:rsid w:val="00415773"/>
    <w:rsid w:val="00415CAE"/>
    <w:rsid w:val="00415EE7"/>
    <w:rsid w:val="004160FA"/>
    <w:rsid w:val="004164AE"/>
    <w:rsid w:val="0041669E"/>
    <w:rsid w:val="00416ACA"/>
    <w:rsid w:val="00416C56"/>
    <w:rsid w:val="00417294"/>
    <w:rsid w:val="004176B8"/>
    <w:rsid w:val="00417B99"/>
    <w:rsid w:val="00417CE0"/>
    <w:rsid w:val="004209D5"/>
    <w:rsid w:val="00420FAF"/>
    <w:rsid w:val="00421184"/>
    <w:rsid w:val="004212C1"/>
    <w:rsid w:val="004214B7"/>
    <w:rsid w:val="00421988"/>
    <w:rsid w:val="00421FB5"/>
    <w:rsid w:val="0042219F"/>
    <w:rsid w:val="004221C6"/>
    <w:rsid w:val="004226ED"/>
    <w:rsid w:val="00422AF4"/>
    <w:rsid w:val="004235F4"/>
    <w:rsid w:val="004236C9"/>
    <w:rsid w:val="00423CF3"/>
    <w:rsid w:val="00423E18"/>
    <w:rsid w:val="00424B7C"/>
    <w:rsid w:val="0042500C"/>
    <w:rsid w:val="00425514"/>
    <w:rsid w:val="004256BD"/>
    <w:rsid w:val="00425863"/>
    <w:rsid w:val="00425D02"/>
    <w:rsid w:val="00425EDC"/>
    <w:rsid w:val="00426C3E"/>
    <w:rsid w:val="004275CD"/>
    <w:rsid w:val="00427FEB"/>
    <w:rsid w:val="00427FF2"/>
    <w:rsid w:val="004305C0"/>
    <w:rsid w:val="00430B20"/>
    <w:rsid w:val="00430B6C"/>
    <w:rsid w:val="0043135D"/>
    <w:rsid w:val="00431EBC"/>
    <w:rsid w:val="0043227C"/>
    <w:rsid w:val="004335C0"/>
    <w:rsid w:val="00433AFC"/>
    <w:rsid w:val="00434193"/>
    <w:rsid w:val="00435068"/>
    <w:rsid w:val="00435715"/>
    <w:rsid w:val="0043571B"/>
    <w:rsid w:val="00435EE0"/>
    <w:rsid w:val="00435F29"/>
    <w:rsid w:val="0043610C"/>
    <w:rsid w:val="004366FF"/>
    <w:rsid w:val="004376D3"/>
    <w:rsid w:val="0043777D"/>
    <w:rsid w:val="00437D83"/>
    <w:rsid w:val="004401DD"/>
    <w:rsid w:val="00440344"/>
    <w:rsid w:val="00441264"/>
    <w:rsid w:val="00441B0F"/>
    <w:rsid w:val="004425C6"/>
    <w:rsid w:val="00443512"/>
    <w:rsid w:val="00443A55"/>
    <w:rsid w:val="00443CA6"/>
    <w:rsid w:val="00443D5D"/>
    <w:rsid w:val="00445CBA"/>
    <w:rsid w:val="004463CB"/>
    <w:rsid w:val="004466F7"/>
    <w:rsid w:val="00446858"/>
    <w:rsid w:val="00447304"/>
    <w:rsid w:val="00450127"/>
    <w:rsid w:val="0045075F"/>
    <w:rsid w:val="004516AD"/>
    <w:rsid w:val="00451E84"/>
    <w:rsid w:val="00451EA3"/>
    <w:rsid w:val="00451F01"/>
    <w:rsid w:val="00453349"/>
    <w:rsid w:val="004546A7"/>
    <w:rsid w:val="00454831"/>
    <w:rsid w:val="004548DF"/>
    <w:rsid w:val="00455B98"/>
    <w:rsid w:val="00455E25"/>
    <w:rsid w:val="00456CC0"/>
    <w:rsid w:val="0045755C"/>
    <w:rsid w:val="00457933"/>
    <w:rsid w:val="00457C78"/>
    <w:rsid w:val="00460136"/>
    <w:rsid w:val="00460735"/>
    <w:rsid w:val="00460AD5"/>
    <w:rsid w:val="00460EB8"/>
    <w:rsid w:val="00461090"/>
    <w:rsid w:val="004611D5"/>
    <w:rsid w:val="004617D8"/>
    <w:rsid w:val="00461991"/>
    <w:rsid w:val="00461A6B"/>
    <w:rsid w:val="00461C43"/>
    <w:rsid w:val="00461DD7"/>
    <w:rsid w:val="00462125"/>
    <w:rsid w:val="00462D22"/>
    <w:rsid w:val="00463216"/>
    <w:rsid w:val="0046334D"/>
    <w:rsid w:val="00463848"/>
    <w:rsid w:val="00463BBF"/>
    <w:rsid w:val="00463C95"/>
    <w:rsid w:val="00463E1C"/>
    <w:rsid w:val="00464052"/>
    <w:rsid w:val="00464C9C"/>
    <w:rsid w:val="00465153"/>
    <w:rsid w:val="00465602"/>
    <w:rsid w:val="004669A6"/>
    <w:rsid w:val="00466AFD"/>
    <w:rsid w:val="00466E99"/>
    <w:rsid w:val="00470563"/>
    <w:rsid w:val="00470696"/>
    <w:rsid w:val="004724C9"/>
    <w:rsid w:val="00472585"/>
    <w:rsid w:val="00473045"/>
    <w:rsid w:val="00474130"/>
    <w:rsid w:val="004754EE"/>
    <w:rsid w:val="00475A6C"/>
    <w:rsid w:val="004764AF"/>
    <w:rsid w:val="00476D04"/>
    <w:rsid w:val="0047775E"/>
    <w:rsid w:val="00477AAE"/>
    <w:rsid w:val="00477AF6"/>
    <w:rsid w:val="00477B3B"/>
    <w:rsid w:val="00477BCB"/>
    <w:rsid w:val="004801A7"/>
    <w:rsid w:val="00480E47"/>
    <w:rsid w:val="00481666"/>
    <w:rsid w:val="0048181B"/>
    <w:rsid w:val="00481F2B"/>
    <w:rsid w:val="004820C5"/>
    <w:rsid w:val="00482198"/>
    <w:rsid w:val="004823D8"/>
    <w:rsid w:val="0048285B"/>
    <w:rsid w:val="00482F20"/>
    <w:rsid w:val="00483196"/>
    <w:rsid w:val="0048340F"/>
    <w:rsid w:val="0048384A"/>
    <w:rsid w:val="0048423C"/>
    <w:rsid w:val="00484449"/>
    <w:rsid w:val="004845A6"/>
    <w:rsid w:val="00484C71"/>
    <w:rsid w:val="004852CE"/>
    <w:rsid w:val="0048540C"/>
    <w:rsid w:val="0048561D"/>
    <w:rsid w:val="00485EDD"/>
    <w:rsid w:val="00485F92"/>
    <w:rsid w:val="004860BD"/>
    <w:rsid w:val="004866E1"/>
    <w:rsid w:val="00486C72"/>
    <w:rsid w:val="0049030D"/>
    <w:rsid w:val="00490954"/>
    <w:rsid w:val="00491575"/>
    <w:rsid w:val="004921DC"/>
    <w:rsid w:val="0049277A"/>
    <w:rsid w:val="00492B38"/>
    <w:rsid w:val="00492FE4"/>
    <w:rsid w:val="00493035"/>
    <w:rsid w:val="00493321"/>
    <w:rsid w:val="004936DE"/>
    <w:rsid w:val="0049544E"/>
    <w:rsid w:val="00495670"/>
    <w:rsid w:val="0049604B"/>
    <w:rsid w:val="00496AC9"/>
    <w:rsid w:val="004A040E"/>
    <w:rsid w:val="004A042D"/>
    <w:rsid w:val="004A11E0"/>
    <w:rsid w:val="004A1FC5"/>
    <w:rsid w:val="004A2158"/>
    <w:rsid w:val="004A29A5"/>
    <w:rsid w:val="004A3225"/>
    <w:rsid w:val="004A374A"/>
    <w:rsid w:val="004A395B"/>
    <w:rsid w:val="004A39D9"/>
    <w:rsid w:val="004A3C59"/>
    <w:rsid w:val="004A3FE2"/>
    <w:rsid w:val="004A480D"/>
    <w:rsid w:val="004A4D76"/>
    <w:rsid w:val="004A522F"/>
    <w:rsid w:val="004A5851"/>
    <w:rsid w:val="004A5A91"/>
    <w:rsid w:val="004A5B0F"/>
    <w:rsid w:val="004A5CF1"/>
    <w:rsid w:val="004A66E0"/>
    <w:rsid w:val="004A7AAE"/>
    <w:rsid w:val="004A7D49"/>
    <w:rsid w:val="004A7F21"/>
    <w:rsid w:val="004B08DB"/>
    <w:rsid w:val="004B1422"/>
    <w:rsid w:val="004B24EB"/>
    <w:rsid w:val="004B29AC"/>
    <w:rsid w:val="004B3C8B"/>
    <w:rsid w:val="004B44A9"/>
    <w:rsid w:val="004B4509"/>
    <w:rsid w:val="004B452A"/>
    <w:rsid w:val="004B4871"/>
    <w:rsid w:val="004B4ADF"/>
    <w:rsid w:val="004B4C00"/>
    <w:rsid w:val="004B4E06"/>
    <w:rsid w:val="004B5493"/>
    <w:rsid w:val="004B5914"/>
    <w:rsid w:val="004B6C77"/>
    <w:rsid w:val="004B6D0A"/>
    <w:rsid w:val="004B7995"/>
    <w:rsid w:val="004C02B3"/>
    <w:rsid w:val="004C098E"/>
    <w:rsid w:val="004C0BBE"/>
    <w:rsid w:val="004C0E2F"/>
    <w:rsid w:val="004C1194"/>
    <w:rsid w:val="004C222E"/>
    <w:rsid w:val="004C2561"/>
    <w:rsid w:val="004C2806"/>
    <w:rsid w:val="004C3ADD"/>
    <w:rsid w:val="004C428E"/>
    <w:rsid w:val="004C4775"/>
    <w:rsid w:val="004C483D"/>
    <w:rsid w:val="004C48A9"/>
    <w:rsid w:val="004C590B"/>
    <w:rsid w:val="004C6326"/>
    <w:rsid w:val="004C63C7"/>
    <w:rsid w:val="004C6D39"/>
    <w:rsid w:val="004C6D98"/>
    <w:rsid w:val="004C7217"/>
    <w:rsid w:val="004C75B5"/>
    <w:rsid w:val="004C7743"/>
    <w:rsid w:val="004C77A7"/>
    <w:rsid w:val="004C7DBE"/>
    <w:rsid w:val="004C7F57"/>
    <w:rsid w:val="004D032B"/>
    <w:rsid w:val="004D039E"/>
    <w:rsid w:val="004D04A3"/>
    <w:rsid w:val="004D0C9F"/>
    <w:rsid w:val="004D15FD"/>
    <w:rsid w:val="004D2369"/>
    <w:rsid w:val="004D2485"/>
    <w:rsid w:val="004D2998"/>
    <w:rsid w:val="004D3A57"/>
    <w:rsid w:val="004D3B2A"/>
    <w:rsid w:val="004D47FF"/>
    <w:rsid w:val="004D4D35"/>
    <w:rsid w:val="004D518F"/>
    <w:rsid w:val="004D54D7"/>
    <w:rsid w:val="004D5BB7"/>
    <w:rsid w:val="004D6053"/>
    <w:rsid w:val="004D61EF"/>
    <w:rsid w:val="004D6FA4"/>
    <w:rsid w:val="004D7C23"/>
    <w:rsid w:val="004D7EBE"/>
    <w:rsid w:val="004E01C6"/>
    <w:rsid w:val="004E0212"/>
    <w:rsid w:val="004E0ADC"/>
    <w:rsid w:val="004E0FB1"/>
    <w:rsid w:val="004E1043"/>
    <w:rsid w:val="004E1DCA"/>
    <w:rsid w:val="004E1F76"/>
    <w:rsid w:val="004E21B4"/>
    <w:rsid w:val="004E252B"/>
    <w:rsid w:val="004E2861"/>
    <w:rsid w:val="004E2A85"/>
    <w:rsid w:val="004E2C09"/>
    <w:rsid w:val="004E3F72"/>
    <w:rsid w:val="004E4A78"/>
    <w:rsid w:val="004E551E"/>
    <w:rsid w:val="004E58F6"/>
    <w:rsid w:val="004E5D27"/>
    <w:rsid w:val="004E5E37"/>
    <w:rsid w:val="004E5E4C"/>
    <w:rsid w:val="004E623E"/>
    <w:rsid w:val="004E6CF9"/>
    <w:rsid w:val="004E734E"/>
    <w:rsid w:val="004E7EC0"/>
    <w:rsid w:val="004E7F48"/>
    <w:rsid w:val="004F014E"/>
    <w:rsid w:val="004F0BC6"/>
    <w:rsid w:val="004F1123"/>
    <w:rsid w:val="004F1715"/>
    <w:rsid w:val="004F17DA"/>
    <w:rsid w:val="004F184C"/>
    <w:rsid w:val="004F2927"/>
    <w:rsid w:val="004F3BD2"/>
    <w:rsid w:val="004F4372"/>
    <w:rsid w:val="004F43E0"/>
    <w:rsid w:val="004F45EB"/>
    <w:rsid w:val="004F521B"/>
    <w:rsid w:val="004F52BB"/>
    <w:rsid w:val="004F53BF"/>
    <w:rsid w:val="004F5582"/>
    <w:rsid w:val="004F59B8"/>
    <w:rsid w:val="004F5BD9"/>
    <w:rsid w:val="004F62A7"/>
    <w:rsid w:val="004F62F9"/>
    <w:rsid w:val="004F66B3"/>
    <w:rsid w:val="004F674C"/>
    <w:rsid w:val="004F7352"/>
    <w:rsid w:val="004F7EE2"/>
    <w:rsid w:val="0050015C"/>
    <w:rsid w:val="00500418"/>
    <w:rsid w:val="00500CCF"/>
    <w:rsid w:val="00500E62"/>
    <w:rsid w:val="005010DE"/>
    <w:rsid w:val="005011FD"/>
    <w:rsid w:val="0050164B"/>
    <w:rsid w:val="00502958"/>
    <w:rsid w:val="00502BD2"/>
    <w:rsid w:val="00502DA4"/>
    <w:rsid w:val="00503F83"/>
    <w:rsid w:val="0050421C"/>
    <w:rsid w:val="00504A9B"/>
    <w:rsid w:val="00504E9A"/>
    <w:rsid w:val="00504F83"/>
    <w:rsid w:val="005059B9"/>
    <w:rsid w:val="00505F64"/>
    <w:rsid w:val="00506DCD"/>
    <w:rsid w:val="00507325"/>
    <w:rsid w:val="005079EF"/>
    <w:rsid w:val="00507C56"/>
    <w:rsid w:val="00507F13"/>
    <w:rsid w:val="00510809"/>
    <w:rsid w:val="005109D4"/>
    <w:rsid w:val="00510CF4"/>
    <w:rsid w:val="0051160A"/>
    <w:rsid w:val="005118BA"/>
    <w:rsid w:val="00512D87"/>
    <w:rsid w:val="005130DA"/>
    <w:rsid w:val="00513998"/>
    <w:rsid w:val="00513DDA"/>
    <w:rsid w:val="00513E19"/>
    <w:rsid w:val="005148B4"/>
    <w:rsid w:val="00514B29"/>
    <w:rsid w:val="00514C19"/>
    <w:rsid w:val="005152B1"/>
    <w:rsid w:val="005152F0"/>
    <w:rsid w:val="00515856"/>
    <w:rsid w:val="005163E6"/>
    <w:rsid w:val="005167B6"/>
    <w:rsid w:val="005172EC"/>
    <w:rsid w:val="0051740D"/>
    <w:rsid w:val="00517888"/>
    <w:rsid w:val="005178CE"/>
    <w:rsid w:val="00521CAB"/>
    <w:rsid w:val="005224EF"/>
    <w:rsid w:val="00522654"/>
    <w:rsid w:val="00522835"/>
    <w:rsid w:val="0052293D"/>
    <w:rsid w:val="00522AF4"/>
    <w:rsid w:val="00522B93"/>
    <w:rsid w:val="00523499"/>
    <w:rsid w:val="00523BC7"/>
    <w:rsid w:val="00523C08"/>
    <w:rsid w:val="00523C10"/>
    <w:rsid w:val="005245D5"/>
    <w:rsid w:val="00524889"/>
    <w:rsid w:val="0052575D"/>
    <w:rsid w:val="00525A53"/>
    <w:rsid w:val="00525C1F"/>
    <w:rsid w:val="00526569"/>
    <w:rsid w:val="00526726"/>
    <w:rsid w:val="00527256"/>
    <w:rsid w:val="00527B57"/>
    <w:rsid w:val="00527C8D"/>
    <w:rsid w:val="0053021B"/>
    <w:rsid w:val="005304C5"/>
    <w:rsid w:val="00530AC4"/>
    <w:rsid w:val="00532115"/>
    <w:rsid w:val="0053265B"/>
    <w:rsid w:val="00533169"/>
    <w:rsid w:val="00533194"/>
    <w:rsid w:val="005332C8"/>
    <w:rsid w:val="00533E7D"/>
    <w:rsid w:val="0053464E"/>
    <w:rsid w:val="005346C8"/>
    <w:rsid w:val="005352C8"/>
    <w:rsid w:val="005354C1"/>
    <w:rsid w:val="00535F99"/>
    <w:rsid w:val="00536356"/>
    <w:rsid w:val="00536CBB"/>
    <w:rsid w:val="00536DDD"/>
    <w:rsid w:val="00537033"/>
    <w:rsid w:val="00537085"/>
    <w:rsid w:val="00540A37"/>
    <w:rsid w:val="00540B49"/>
    <w:rsid w:val="005418DB"/>
    <w:rsid w:val="005434EA"/>
    <w:rsid w:val="00545D55"/>
    <w:rsid w:val="005461AB"/>
    <w:rsid w:val="00546C6A"/>
    <w:rsid w:val="00546FBA"/>
    <w:rsid w:val="0054782D"/>
    <w:rsid w:val="00547F04"/>
    <w:rsid w:val="00550924"/>
    <w:rsid w:val="00550D63"/>
    <w:rsid w:val="00550EF1"/>
    <w:rsid w:val="00551075"/>
    <w:rsid w:val="005513C8"/>
    <w:rsid w:val="0055248E"/>
    <w:rsid w:val="0055352C"/>
    <w:rsid w:val="00553672"/>
    <w:rsid w:val="005538A6"/>
    <w:rsid w:val="00554F94"/>
    <w:rsid w:val="00555161"/>
    <w:rsid w:val="00555828"/>
    <w:rsid w:val="00555DE6"/>
    <w:rsid w:val="00555EB3"/>
    <w:rsid w:val="005567F6"/>
    <w:rsid w:val="00556DE6"/>
    <w:rsid w:val="00556E29"/>
    <w:rsid w:val="00557474"/>
    <w:rsid w:val="005575C9"/>
    <w:rsid w:val="00557DAA"/>
    <w:rsid w:val="00557DAD"/>
    <w:rsid w:val="00561138"/>
    <w:rsid w:val="00561699"/>
    <w:rsid w:val="0056194F"/>
    <w:rsid w:val="005619E1"/>
    <w:rsid w:val="00562629"/>
    <w:rsid w:val="005628FE"/>
    <w:rsid w:val="0056330E"/>
    <w:rsid w:val="0056364B"/>
    <w:rsid w:val="00564191"/>
    <w:rsid w:val="00564557"/>
    <w:rsid w:val="0056458C"/>
    <w:rsid w:val="00564628"/>
    <w:rsid w:val="005648B9"/>
    <w:rsid w:val="00564A3C"/>
    <w:rsid w:val="00564F82"/>
    <w:rsid w:val="005653AF"/>
    <w:rsid w:val="00565501"/>
    <w:rsid w:val="0056566B"/>
    <w:rsid w:val="00565755"/>
    <w:rsid w:val="0056601E"/>
    <w:rsid w:val="00566406"/>
    <w:rsid w:val="00566538"/>
    <w:rsid w:val="0056725A"/>
    <w:rsid w:val="0056741F"/>
    <w:rsid w:val="00567647"/>
    <w:rsid w:val="0056781B"/>
    <w:rsid w:val="00567BE2"/>
    <w:rsid w:val="00570102"/>
    <w:rsid w:val="005701C1"/>
    <w:rsid w:val="00570505"/>
    <w:rsid w:val="005712E6"/>
    <w:rsid w:val="00572942"/>
    <w:rsid w:val="005730DB"/>
    <w:rsid w:val="00573251"/>
    <w:rsid w:val="005733A8"/>
    <w:rsid w:val="00573B5B"/>
    <w:rsid w:val="00573F55"/>
    <w:rsid w:val="0057540E"/>
    <w:rsid w:val="005757B6"/>
    <w:rsid w:val="00576EB8"/>
    <w:rsid w:val="0057778D"/>
    <w:rsid w:val="0058000F"/>
    <w:rsid w:val="00580557"/>
    <w:rsid w:val="0058074F"/>
    <w:rsid w:val="005808F3"/>
    <w:rsid w:val="00580A76"/>
    <w:rsid w:val="00581042"/>
    <w:rsid w:val="00581703"/>
    <w:rsid w:val="00581B15"/>
    <w:rsid w:val="005821DD"/>
    <w:rsid w:val="00582E42"/>
    <w:rsid w:val="00583908"/>
    <w:rsid w:val="005842FB"/>
    <w:rsid w:val="00584757"/>
    <w:rsid w:val="00584E21"/>
    <w:rsid w:val="005856D5"/>
    <w:rsid w:val="0058608B"/>
    <w:rsid w:val="005863C1"/>
    <w:rsid w:val="0058654D"/>
    <w:rsid w:val="00586786"/>
    <w:rsid w:val="00587729"/>
    <w:rsid w:val="00587886"/>
    <w:rsid w:val="00587A66"/>
    <w:rsid w:val="00590147"/>
    <w:rsid w:val="00590BD1"/>
    <w:rsid w:val="00590D26"/>
    <w:rsid w:val="00591276"/>
    <w:rsid w:val="00591490"/>
    <w:rsid w:val="0059151A"/>
    <w:rsid w:val="005916C9"/>
    <w:rsid w:val="00591C7E"/>
    <w:rsid w:val="00591DCF"/>
    <w:rsid w:val="005929B4"/>
    <w:rsid w:val="00592A3C"/>
    <w:rsid w:val="0059367F"/>
    <w:rsid w:val="00593720"/>
    <w:rsid w:val="00593909"/>
    <w:rsid w:val="00593A71"/>
    <w:rsid w:val="005941E1"/>
    <w:rsid w:val="005943E2"/>
    <w:rsid w:val="005946A0"/>
    <w:rsid w:val="00594B8A"/>
    <w:rsid w:val="00595009"/>
    <w:rsid w:val="005954B7"/>
    <w:rsid w:val="00595A05"/>
    <w:rsid w:val="00595F17"/>
    <w:rsid w:val="00595F3D"/>
    <w:rsid w:val="00595F89"/>
    <w:rsid w:val="00596873"/>
    <w:rsid w:val="00596BB3"/>
    <w:rsid w:val="00596BD4"/>
    <w:rsid w:val="00596FA8"/>
    <w:rsid w:val="005971A7"/>
    <w:rsid w:val="00597310"/>
    <w:rsid w:val="005977AB"/>
    <w:rsid w:val="005A01C5"/>
    <w:rsid w:val="005A0201"/>
    <w:rsid w:val="005A0532"/>
    <w:rsid w:val="005A07E7"/>
    <w:rsid w:val="005A0A57"/>
    <w:rsid w:val="005A0B9F"/>
    <w:rsid w:val="005A0DBB"/>
    <w:rsid w:val="005A0EBD"/>
    <w:rsid w:val="005A1270"/>
    <w:rsid w:val="005A1295"/>
    <w:rsid w:val="005A1FBF"/>
    <w:rsid w:val="005A2081"/>
    <w:rsid w:val="005A23B2"/>
    <w:rsid w:val="005A29B1"/>
    <w:rsid w:val="005A2EBF"/>
    <w:rsid w:val="005A380B"/>
    <w:rsid w:val="005A4890"/>
    <w:rsid w:val="005A49D4"/>
    <w:rsid w:val="005A4D7C"/>
    <w:rsid w:val="005A51C9"/>
    <w:rsid w:val="005A5DC0"/>
    <w:rsid w:val="005A6B6D"/>
    <w:rsid w:val="005A6F0E"/>
    <w:rsid w:val="005A6F57"/>
    <w:rsid w:val="005A7079"/>
    <w:rsid w:val="005A7235"/>
    <w:rsid w:val="005A795B"/>
    <w:rsid w:val="005A7A01"/>
    <w:rsid w:val="005A7A1A"/>
    <w:rsid w:val="005A7BAF"/>
    <w:rsid w:val="005B0652"/>
    <w:rsid w:val="005B1213"/>
    <w:rsid w:val="005B1329"/>
    <w:rsid w:val="005B1512"/>
    <w:rsid w:val="005B1B55"/>
    <w:rsid w:val="005B1DBD"/>
    <w:rsid w:val="005B1E6F"/>
    <w:rsid w:val="005B2769"/>
    <w:rsid w:val="005B3EBD"/>
    <w:rsid w:val="005B48E8"/>
    <w:rsid w:val="005B56D9"/>
    <w:rsid w:val="005B5BA3"/>
    <w:rsid w:val="005B5E62"/>
    <w:rsid w:val="005B727B"/>
    <w:rsid w:val="005B7341"/>
    <w:rsid w:val="005B778C"/>
    <w:rsid w:val="005B7E97"/>
    <w:rsid w:val="005B7F46"/>
    <w:rsid w:val="005C09A7"/>
    <w:rsid w:val="005C102D"/>
    <w:rsid w:val="005C132C"/>
    <w:rsid w:val="005C17FB"/>
    <w:rsid w:val="005C1833"/>
    <w:rsid w:val="005C1838"/>
    <w:rsid w:val="005C18C2"/>
    <w:rsid w:val="005C1D93"/>
    <w:rsid w:val="005C2063"/>
    <w:rsid w:val="005C244F"/>
    <w:rsid w:val="005C2767"/>
    <w:rsid w:val="005C2922"/>
    <w:rsid w:val="005C2F60"/>
    <w:rsid w:val="005C323D"/>
    <w:rsid w:val="005C3772"/>
    <w:rsid w:val="005C39C3"/>
    <w:rsid w:val="005C4229"/>
    <w:rsid w:val="005C4580"/>
    <w:rsid w:val="005C5065"/>
    <w:rsid w:val="005C52F3"/>
    <w:rsid w:val="005C564C"/>
    <w:rsid w:val="005C6234"/>
    <w:rsid w:val="005C6605"/>
    <w:rsid w:val="005C71A0"/>
    <w:rsid w:val="005C751C"/>
    <w:rsid w:val="005C7802"/>
    <w:rsid w:val="005C7B50"/>
    <w:rsid w:val="005C7E73"/>
    <w:rsid w:val="005D029E"/>
    <w:rsid w:val="005D0427"/>
    <w:rsid w:val="005D0776"/>
    <w:rsid w:val="005D07AE"/>
    <w:rsid w:val="005D0B55"/>
    <w:rsid w:val="005D0C83"/>
    <w:rsid w:val="005D113B"/>
    <w:rsid w:val="005D1732"/>
    <w:rsid w:val="005D1BAC"/>
    <w:rsid w:val="005D2D9A"/>
    <w:rsid w:val="005D3A6E"/>
    <w:rsid w:val="005D3B21"/>
    <w:rsid w:val="005D4019"/>
    <w:rsid w:val="005D41DC"/>
    <w:rsid w:val="005D43C3"/>
    <w:rsid w:val="005D460F"/>
    <w:rsid w:val="005D4638"/>
    <w:rsid w:val="005D4D7D"/>
    <w:rsid w:val="005D4DC5"/>
    <w:rsid w:val="005D5C22"/>
    <w:rsid w:val="005D5E6C"/>
    <w:rsid w:val="005D63A9"/>
    <w:rsid w:val="005D65D5"/>
    <w:rsid w:val="005D6C56"/>
    <w:rsid w:val="005D6F49"/>
    <w:rsid w:val="005D7E8A"/>
    <w:rsid w:val="005E06FA"/>
    <w:rsid w:val="005E11A5"/>
    <w:rsid w:val="005E13D4"/>
    <w:rsid w:val="005E1435"/>
    <w:rsid w:val="005E21F3"/>
    <w:rsid w:val="005E235C"/>
    <w:rsid w:val="005E3078"/>
    <w:rsid w:val="005E34C0"/>
    <w:rsid w:val="005E3D71"/>
    <w:rsid w:val="005E44F1"/>
    <w:rsid w:val="005E49CA"/>
    <w:rsid w:val="005E5427"/>
    <w:rsid w:val="005E5428"/>
    <w:rsid w:val="005E5A7C"/>
    <w:rsid w:val="005E5C33"/>
    <w:rsid w:val="005E5F53"/>
    <w:rsid w:val="005E6976"/>
    <w:rsid w:val="005E6E12"/>
    <w:rsid w:val="005E70CD"/>
    <w:rsid w:val="005E74B3"/>
    <w:rsid w:val="005E74EC"/>
    <w:rsid w:val="005E7AB6"/>
    <w:rsid w:val="005E7B1E"/>
    <w:rsid w:val="005E7CBC"/>
    <w:rsid w:val="005F0A62"/>
    <w:rsid w:val="005F0FA8"/>
    <w:rsid w:val="005F1C5D"/>
    <w:rsid w:val="005F222B"/>
    <w:rsid w:val="005F2317"/>
    <w:rsid w:val="005F2550"/>
    <w:rsid w:val="005F297E"/>
    <w:rsid w:val="005F2B2D"/>
    <w:rsid w:val="005F2D9C"/>
    <w:rsid w:val="005F2FD5"/>
    <w:rsid w:val="005F340A"/>
    <w:rsid w:val="005F3AE8"/>
    <w:rsid w:val="005F3B09"/>
    <w:rsid w:val="005F3B47"/>
    <w:rsid w:val="005F47C1"/>
    <w:rsid w:val="005F4926"/>
    <w:rsid w:val="005F4B6F"/>
    <w:rsid w:val="005F5009"/>
    <w:rsid w:val="005F5054"/>
    <w:rsid w:val="005F530F"/>
    <w:rsid w:val="005F65D9"/>
    <w:rsid w:val="005F6768"/>
    <w:rsid w:val="005F69CF"/>
    <w:rsid w:val="005F6BC5"/>
    <w:rsid w:val="005F6E39"/>
    <w:rsid w:val="005F6E41"/>
    <w:rsid w:val="005F6E58"/>
    <w:rsid w:val="005F704C"/>
    <w:rsid w:val="005F7A22"/>
    <w:rsid w:val="005F7B9D"/>
    <w:rsid w:val="00600501"/>
    <w:rsid w:val="006006CD"/>
    <w:rsid w:val="00600B0C"/>
    <w:rsid w:val="00601078"/>
    <w:rsid w:val="00602543"/>
    <w:rsid w:val="0060254C"/>
    <w:rsid w:val="00602DFA"/>
    <w:rsid w:val="006031D1"/>
    <w:rsid w:val="006033BF"/>
    <w:rsid w:val="00603702"/>
    <w:rsid w:val="00603B4B"/>
    <w:rsid w:val="00603F20"/>
    <w:rsid w:val="006042BD"/>
    <w:rsid w:val="00604A11"/>
    <w:rsid w:val="00604F37"/>
    <w:rsid w:val="0060508A"/>
    <w:rsid w:val="006055AF"/>
    <w:rsid w:val="00605942"/>
    <w:rsid w:val="00605C9F"/>
    <w:rsid w:val="00606814"/>
    <w:rsid w:val="006068E8"/>
    <w:rsid w:val="00606ADB"/>
    <w:rsid w:val="006072DE"/>
    <w:rsid w:val="006075F4"/>
    <w:rsid w:val="006078A8"/>
    <w:rsid w:val="00607BAD"/>
    <w:rsid w:val="00607EC7"/>
    <w:rsid w:val="0061048A"/>
    <w:rsid w:val="006104F8"/>
    <w:rsid w:val="00610AE7"/>
    <w:rsid w:val="00610BEE"/>
    <w:rsid w:val="00611178"/>
    <w:rsid w:val="0061148D"/>
    <w:rsid w:val="00611D01"/>
    <w:rsid w:val="006124B3"/>
    <w:rsid w:val="00612611"/>
    <w:rsid w:val="0061279A"/>
    <w:rsid w:val="00613009"/>
    <w:rsid w:val="006132EA"/>
    <w:rsid w:val="0061401C"/>
    <w:rsid w:val="0061420B"/>
    <w:rsid w:val="00614931"/>
    <w:rsid w:val="00614D33"/>
    <w:rsid w:val="0061537D"/>
    <w:rsid w:val="0061537F"/>
    <w:rsid w:val="00615DEA"/>
    <w:rsid w:val="00616A60"/>
    <w:rsid w:val="00616EE6"/>
    <w:rsid w:val="006171FB"/>
    <w:rsid w:val="00617A2A"/>
    <w:rsid w:val="006207F4"/>
    <w:rsid w:val="00620C67"/>
    <w:rsid w:val="00621646"/>
    <w:rsid w:val="00621803"/>
    <w:rsid w:val="006220F1"/>
    <w:rsid w:val="00623C68"/>
    <w:rsid w:val="00623E46"/>
    <w:rsid w:val="00624052"/>
    <w:rsid w:val="00624604"/>
    <w:rsid w:val="00624D2C"/>
    <w:rsid w:val="00624EF1"/>
    <w:rsid w:val="00625145"/>
    <w:rsid w:val="00627402"/>
    <w:rsid w:val="00630480"/>
    <w:rsid w:val="0063058E"/>
    <w:rsid w:val="006305F8"/>
    <w:rsid w:val="00631DA7"/>
    <w:rsid w:val="00632B9C"/>
    <w:rsid w:val="00632F18"/>
    <w:rsid w:val="006332D7"/>
    <w:rsid w:val="0063333D"/>
    <w:rsid w:val="00634225"/>
    <w:rsid w:val="00635003"/>
    <w:rsid w:val="006351CE"/>
    <w:rsid w:val="006352FD"/>
    <w:rsid w:val="00635B15"/>
    <w:rsid w:val="006362E1"/>
    <w:rsid w:val="006367DA"/>
    <w:rsid w:val="006369AE"/>
    <w:rsid w:val="00636FAD"/>
    <w:rsid w:val="006370E1"/>
    <w:rsid w:val="006375B2"/>
    <w:rsid w:val="006375BB"/>
    <w:rsid w:val="006379DE"/>
    <w:rsid w:val="006407FE"/>
    <w:rsid w:val="006409EE"/>
    <w:rsid w:val="00640BF7"/>
    <w:rsid w:val="00640C7D"/>
    <w:rsid w:val="00640E7E"/>
    <w:rsid w:val="00640FFF"/>
    <w:rsid w:val="00641761"/>
    <w:rsid w:val="006421D9"/>
    <w:rsid w:val="006424FE"/>
    <w:rsid w:val="006425FC"/>
    <w:rsid w:val="00642631"/>
    <w:rsid w:val="00642C3C"/>
    <w:rsid w:val="00642DF5"/>
    <w:rsid w:val="0064304A"/>
    <w:rsid w:val="0064329C"/>
    <w:rsid w:val="0064380B"/>
    <w:rsid w:val="00643A4F"/>
    <w:rsid w:val="00643FF5"/>
    <w:rsid w:val="006441FD"/>
    <w:rsid w:val="00644E5A"/>
    <w:rsid w:val="00644F2C"/>
    <w:rsid w:val="00645141"/>
    <w:rsid w:val="00645AEE"/>
    <w:rsid w:val="00646428"/>
    <w:rsid w:val="0064707F"/>
    <w:rsid w:val="006471E8"/>
    <w:rsid w:val="00647E90"/>
    <w:rsid w:val="00647FA3"/>
    <w:rsid w:val="006500F7"/>
    <w:rsid w:val="00650769"/>
    <w:rsid w:val="00650DF8"/>
    <w:rsid w:val="006516B7"/>
    <w:rsid w:val="006518E4"/>
    <w:rsid w:val="00651FB8"/>
    <w:rsid w:val="00652BA0"/>
    <w:rsid w:val="00652DF6"/>
    <w:rsid w:val="00652FCA"/>
    <w:rsid w:val="00653045"/>
    <w:rsid w:val="00653A25"/>
    <w:rsid w:val="00653D93"/>
    <w:rsid w:val="00653FDA"/>
    <w:rsid w:val="006541A0"/>
    <w:rsid w:val="00654E99"/>
    <w:rsid w:val="00655104"/>
    <w:rsid w:val="0065548F"/>
    <w:rsid w:val="0065558B"/>
    <w:rsid w:val="00655633"/>
    <w:rsid w:val="006559BB"/>
    <w:rsid w:val="00655A93"/>
    <w:rsid w:val="00655D93"/>
    <w:rsid w:val="00655E86"/>
    <w:rsid w:val="00656614"/>
    <w:rsid w:val="00656C4D"/>
    <w:rsid w:val="006577CD"/>
    <w:rsid w:val="006578A6"/>
    <w:rsid w:val="00657CCC"/>
    <w:rsid w:val="00660162"/>
    <w:rsid w:val="0066036D"/>
    <w:rsid w:val="006604FA"/>
    <w:rsid w:val="00660764"/>
    <w:rsid w:val="00660879"/>
    <w:rsid w:val="00661639"/>
    <w:rsid w:val="0066174D"/>
    <w:rsid w:val="00661E36"/>
    <w:rsid w:val="00661F03"/>
    <w:rsid w:val="006631D3"/>
    <w:rsid w:val="00663D0F"/>
    <w:rsid w:val="00664525"/>
    <w:rsid w:val="0066465B"/>
    <w:rsid w:val="00664C81"/>
    <w:rsid w:val="0066521A"/>
    <w:rsid w:val="0066540C"/>
    <w:rsid w:val="00665EAE"/>
    <w:rsid w:val="006661EA"/>
    <w:rsid w:val="00666909"/>
    <w:rsid w:val="00666EBC"/>
    <w:rsid w:val="00667034"/>
    <w:rsid w:val="00667189"/>
    <w:rsid w:val="0066749E"/>
    <w:rsid w:val="00667CCB"/>
    <w:rsid w:val="00667EFD"/>
    <w:rsid w:val="00670475"/>
    <w:rsid w:val="00670B8C"/>
    <w:rsid w:val="00670C4A"/>
    <w:rsid w:val="00671F3E"/>
    <w:rsid w:val="00672482"/>
    <w:rsid w:val="00672A18"/>
    <w:rsid w:val="006735D0"/>
    <w:rsid w:val="006739E9"/>
    <w:rsid w:val="00674AF5"/>
    <w:rsid w:val="00674D52"/>
    <w:rsid w:val="00674F93"/>
    <w:rsid w:val="0067546F"/>
    <w:rsid w:val="00675A94"/>
    <w:rsid w:val="00676CE4"/>
    <w:rsid w:val="00676EC2"/>
    <w:rsid w:val="00676FA5"/>
    <w:rsid w:val="006771A4"/>
    <w:rsid w:val="006771AD"/>
    <w:rsid w:val="00677393"/>
    <w:rsid w:val="006774A8"/>
    <w:rsid w:val="00677572"/>
    <w:rsid w:val="00681229"/>
    <w:rsid w:val="0068185E"/>
    <w:rsid w:val="00681BE5"/>
    <w:rsid w:val="00681E30"/>
    <w:rsid w:val="0068379B"/>
    <w:rsid w:val="00683D98"/>
    <w:rsid w:val="00683D99"/>
    <w:rsid w:val="00683E23"/>
    <w:rsid w:val="00684079"/>
    <w:rsid w:val="0068629B"/>
    <w:rsid w:val="00686C12"/>
    <w:rsid w:val="00686D75"/>
    <w:rsid w:val="0068736A"/>
    <w:rsid w:val="00687D17"/>
    <w:rsid w:val="00690024"/>
    <w:rsid w:val="0069017D"/>
    <w:rsid w:val="006903A4"/>
    <w:rsid w:val="00690883"/>
    <w:rsid w:val="00690CAA"/>
    <w:rsid w:val="00690E5A"/>
    <w:rsid w:val="00690EFB"/>
    <w:rsid w:val="006911F9"/>
    <w:rsid w:val="006912CB"/>
    <w:rsid w:val="0069137B"/>
    <w:rsid w:val="006913EC"/>
    <w:rsid w:val="006914B7"/>
    <w:rsid w:val="00691742"/>
    <w:rsid w:val="00691DEE"/>
    <w:rsid w:val="00692147"/>
    <w:rsid w:val="00692242"/>
    <w:rsid w:val="0069236E"/>
    <w:rsid w:val="00692704"/>
    <w:rsid w:val="00692B26"/>
    <w:rsid w:val="00692E67"/>
    <w:rsid w:val="00693ACF"/>
    <w:rsid w:val="00693EE5"/>
    <w:rsid w:val="00693FBC"/>
    <w:rsid w:val="006944C5"/>
    <w:rsid w:val="00694A7E"/>
    <w:rsid w:val="00694B8D"/>
    <w:rsid w:val="0069561C"/>
    <w:rsid w:val="00695634"/>
    <w:rsid w:val="0069600D"/>
    <w:rsid w:val="00696143"/>
    <w:rsid w:val="006963AE"/>
    <w:rsid w:val="0069640F"/>
    <w:rsid w:val="00696B07"/>
    <w:rsid w:val="00697053"/>
    <w:rsid w:val="006A066A"/>
    <w:rsid w:val="006A06CA"/>
    <w:rsid w:val="006A083E"/>
    <w:rsid w:val="006A0FFD"/>
    <w:rsid w:val="006A1170"/>
    <w:rsid w:val="006A14A3"/>
    <w:rsid w:val="006A159D"/>
    <w:rsid w:val="006A18BF"/>
    <w:rsid w:val="006A1F58"/>
    <w:rsid w:val="006A242E"/>
    <w:rsid w:val="006A26AB"/>
    <w:rsid w:val="006A298D"/>
    <w:rsid w:val="006A2F80"/>
    <w:rsid w:val="006A3FD6"/>
    <w:rsid w:val="006A4076"/>
    <w:rsid w:val="006A436F"/>
    <w:rsid w:val="006A4E5B"/>
    <w:rsid w:val="006A59D8"/>
    <w:rsid w:val="006A5A45"/>
    <w:rsid w:val="006A5C13"/>
    <w:rsid w:val="006A608E"/>
    <w:rsid w:val="006A6B7B"/>
    <w:rsid w:val="006A6CE2"/>
    <w:rsid w:val="006A73D2"/>
    <w:rsid w:val="006A78F8"/>
    <w:rsid w:val="006A7991"/>
    <w:rsid w:val="006A7C26"/>
    <w:rsid w:val="006A7E27"/>
    <w:rsid w:val="006B010E"/>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3DC"/>
    <w:rsid w:val="006B5423"/>
    <w:rsid w:val="006B5855"/>
    <w:rsid w:val="006B5AB2"/>
    <w:rsid w:val="006B5C67"/>
    <w:rsid w:val="006B6B5D"/>
    <w:rsid w:val="006B6C0D"/>
    <w:rsid w:val="006B7825"/>
    <w:rsid w:val="006B7D68"/>
    <w:rsid w:val="006C033F"/>
    <w:rsid w:val="006C0AC7"/>
    <w:rsid w:val="006C0FAA"/>
    <w:rsid w:val="006C1818"/>
    <w:rsid w:val="006C1F8B"/>
    <w:rsid w:val="006C2721"/>
    <w:rsid w:val="006C323A"/>
    <w:rsid w:val="006C3868"/>
    <w:rsid w:val="006C38FF"/>
    <w:rsid w:val="006C39EC"/>
    <w:rsid w:val="006C3E6E"/>
    <w:rsid w:val="006C3EEA"/>
    <w:rsid w:val="006C43A6"/>
    <w:rsid w:val="006C44EC"/>
    <w:rsid w:val="006C4A4A"/>
    <w:rsid w:val="006C53EB"/>
    <w:rsid w:val="006C5D29"/>
    <w:rsid w:val="006C650D"/>
    <w:rsid w:val="006C69A5"/>
    <w:rsid w:val="006C6A4D"/>
    <w:rsid w:val="006C6CF3"/>
    <w:rsid w:val="006C724D"/>
    <w:rsid w:val="006C7740"/>
    <w:rsid w:val="006D0389"/>
    <w:rsid w:val="006D0848"/>
    <w:rsid w:val="006D0BA5"/>
    <w:rsid w:val="006D0C15"/>
    <w:rsid w:val="006D0D8B"/>
    <w:rsid w:val="006D0FBF"/>
    <w:rsid w:val="006D10DC"/>
    <w:rsid w:val="006D1586"/>
    <w:rsid w:val="006D19C1"/>
    <w:rsid w:val="006D2827"/>
    <w:rsid w:val="006D2848"/>
    <w:rsid w:val="006D2B19"/>
    <w:rsid w:val="006D2EC9"/>
    <w:rsid w:val="006D3A05"/>
    <w:rsid w:val="006D3B62"/>
    <w:rsid w:val="006D3FDF"/>
    <w:rsid w:val="006D4527"/>
    <w:rsid w:val="006D4B05"/>
    <w:rsid w:val="006D4EE5"/>
    <w:rsid w:val="006D4F86"/>
    <w:rsid w:val="006D5F98"/>
    <w:rsid w:val="006D6665"/>
    <w:rsid w:val="006D7098"/>
    <w:rsid w:val="006D740E"/>
    <w:rsid w:val="006D7C8A"/>
    <w:rsid w:val="006D7F72"/>
    <w:rsid w:val="006E00B7"/>
    <w:rsid w:val="006E0CB5"/>
    <w:rsid w:val="006E0E5B"/>
    <w:rsid w:val="006E132F"/>
    <w:rsid w:val="006E2701"/>
    <w:rsid w:val="006E3023"/>
    <w:rsid w:val="006E3369"/>
    <w:rsid w:val="006E3D12"/>
    <w:rsid w:val="006E449C"/>
    <w:rsid w:val="006E4726"/>
    <w:rsid w:val="006E4E72"/>
    <w:rsid w:val="006E4FCD"/>
    <w:rsid w:val="006E50D0"/>
    <w:rsid w:val="006E5B0B"/>
    <w:rsid w:val="006E663E"/>
    <w:rsid w:val="006E6655"/>
    <w:rsid w:val="006E6EDF"/>
    <w:rsid w:val="006E7BA5"/>
    <w:rsid w:val="006F01E8"/>
    <w:rsid w:val="006F02D7"/>
    <w:rsid w:val="006F07FA"/>
    <w:rsid w:val="006F0EBB"/>
    <w:rsid w:val="006F1E96"/>
    <w:rsid w:val="006F2D24"/>
    <w:rsid w:val="006F37F7"/>
    <w:rsid w:val="006F38C3"/>
    <w:rsid w:val="006F3909"/>
    <w:rsid w:val="006F4036"/>
    <w:rsid w:val="006F428E"/>
    <w:rsid w:val="006F48E1"/>
    <w:rsid w:val="006F5160"/>
    <w:rsid w:val="006F5374"/>
    <w:rsid w:val="006F60DF"/>
    <w:rsid w:val="006F68C1"/>
    <w:rsid w:val="006F6B60"/>
    <w:rsid w:val="006F6CE2"/>
    <w:rsid w:val="006F6E10"/>
    <w:rsid w:val="006F7800"/>
    <w:rsid w:val="007014F8"/>
    <w:rsid w:val="0070150D"/>
    <w:rsid w:val="007016D2"/>
    <w:rsid w:val="007018D8"/>
    <w:rsid w:val="007029E8"/>
    <w:rsid w:val="00703107"/>
    <w:rsid w:val="00703138"/>
    <w:rsid w:val="00703277"/>
    <w:rsid w:val="0070356D"/>
    <w:rsid w:val="00703981"/>
    <w:rsid w:val="00703D7E"/>
    <w:rsid w:val="00703DE6"/>
    <w:rsid w:val="007041A7"/>
    <w:rsid w:val="0070495F"/>
    <w:rsid w:val="00704B6E"/>
    <w:rsid w:val="00704F73"/>
    <w:rsid w:val="0070508D"/>
    <w:rsid w:val="0070542E"/>
    <w:rsid w:val="00706096"/>
    <w:rsid w:val="007060D4"/>
    <w:rsid w:val="0070624C"/>
    <w:rsid w:val="00706451"/>
    <w:rsid w:val="00706515"/>
    <w:rsid w:val="00707E0F"/>
    <w:rsid w:val="007100F9"/>
    <w:rsid w:val="0071068A"/>
    <w:rsid w:val="00710C14"/>
    <w:rsid w:val="00710E19"/>
    <w:rsid w:val="00710E52"/>
    <w:rsid w:val="0071154B"/>
    <w:rsid w:val="007116B6"/>
    <w:rsid w:val="0071174F"/>
    <w:rsid w:val="0071196A"/>
    <w:rsid w:val="00711C03"/>
    <w:rsid w:val="0071227C"/>
    <w:rsid w:val="007131CF"/>
    <w:rsid w:val="007132CD"/>
    <w:rsid w:val="007133C0"/>
    <w:rsid w:val="00713613"/>
    <w:rsid w:val="007137C6"/>
    <w:rsid w:val="007138FC"/>
    <w:rsid w:val="0071393D"/>
    <w:rsid w:val="00713E79"/>
    <w:rsid w:val="00714245"/>
    <w:rsid w:val="00714C20"/>
    <w:rsid w:val="00715441"/>
    <w:rsid w:val="00715739"/>
    <w:rsid w:val="0071576C"/>
    <w:rsid w:val="00715C94"/>
    <w:rsid w:val="00715EA7"/>
    <w:rsid w:val="00716A09"/>
    <w:rsid w:val="007170DB"/>
    <w:rsid w:val="00717880"/>
    <w:rsid w:val="00717CA8"/>
    <w:rsid w:val="007205E7"/>
    <w:rsid w:val="007209C4"/>
    <w:rsid w:val="00721ACB"/>
    <w:rsid w:val="00721E9E"/>
    <w:rsid w:val="007227FE"/>
    <w:rsid w:val="0072290A"/>
    <w:rsid w:val="00722D77"/>
    <w:rsid w:val="007233C3"/>
    <w:rsid w:val="00723C95"/>
    <w:rsid w:val="007244E7"/>
    <w:rsid w:val="0072505F"/>
    <w:rsid w:val="00725B00"/>
    <w:rsid w:val="00725E54"/>
    <w:rsid w:val="0072680C"/>
    <w:rsid w:val="0072698B"/>
    <w:rsid w:val="00726A25"/>
    <w:rsid w:val="00726B3D"/>
    <w:rsid w:val="00726C64"/>
    <w:rsid w:val="007310B7"/>
    <w:rsid w:val="00731237"/>
    <w:rsid w:val="0073207E"/>
    <w:rsid w:val="00732664"/>
    <w:rsid w:val="00732BA7"/>
    <w:rsid w:val="007333EA"/>
    <w:rsid w:val="00733535"/>
    <w:rsid w:val="00733601"/>
    <w:rsid w:val="00733A57"/>
    <w:rsid w:val="00733F36"/>
    <w:rsid w:val="007340CE"/>
    <w:rsid w:val="00734781"/>
    <w:rsid w:val="007349FC"/>
    <w:rsid w:val="00734B6F"/>
    <w:rsid w:val="00735293"/>
    <w:rsid w:val="00735376"/>
    <w:rsid w:val="007363EA"/>
    <w:rsid w:val="00736E06"/>
    <w:rsid w:val="00736E37"/>
    <w:rsid w:val="00737286"/>
    <w:rsid w:val="007373DB"/>
    <w:rsid w:val="00737F27"/>
    <w:rsid w:val="00737FD3"/>
    <w:rsid w:val="007407DB"/>
    <w:rsid w:val="0074085F"/>
    <w:rsid w:val="00740BFC"/>
    <w:rsid w:val="00740F76"/>
    <w:rsid w:val="00741037"/>
    <w:rsid w:val="0074198F"/>
    <w:rsid w:val="007422B3"/>
    <w:rsid w:val="007424BF"/>
    <w:rsid w:val="007434BD"/>
    <w:rsid w:val="007435F1"/>
    <w:rsid w:val="00743DDD"/>
    <w:rsid w:val="00744625"/>
    <w:rsid w:val="007446BB"/>
    <w:rsid w:val="00745882"/>
    <w:rsid w:val="00745A04"/>
    <w:rsid w:val="00745A0F"/>
    <w:rsid w:val="00745DFD"/>
    <w:rsid w:val="00746197"/>
    <w:rsid w:val="0074689C"/>
    <w:rsid w:val="00746B3F"/>
    <w:rsid w:val="00747117"/>
    <w:rsid w:val="007479C2"/>
    <w:rsid w:val="00747B0D"/>
    <w:rsid w:val="00750712"/>
    <w:rsid w:val="007511BA"/>
    <w:rsid w:val="00751452"/>
    <w:rsid w:val="00751D06"/>
    <w:rsid w:val="00751D74"/>
    <w:rsid w:val="007521A5"/>
    <w:rsid w:val="00752243"/>
    <w:rsid w:val="007531BA"/>
    <w:rsid w:val="00753959"/>
    <w:rsid w:val="00753DD6"/>
    <w:rsid w:val="00754A4A"/>
    <w:rsid w:val="007567A8"/>
    <w:rsid w:val="00760D1E"/>
    <w:rsid w:val="00760F66"/>
    <w:rsid w:val="00761103"/>
    <w:rsid w:val="007611F8"/>
    <w:rsid w:val="00761200"/>
    <w:rsid w:val="007615F6"/>
    <w:rsid w:val="007618E2"/>
    <w:rsid w:val="00761931"/>
    <w:rsid w:val="00761BD1"/>
    <w:rsid w:val="007627BA"/>
    <w:rsid w:val="0076291E"/>
    <w:rsid w:val="00762D81"/>
    <w:rsid w:val="0076317B"/>
    <w:rsid w:val="007634C7"/>
    <w:rsid w:val="00763CB9"/>
    <w:rsid w:val="007643D5"/>
    <w:rsid w:val="00765366"/>
    <w:rsid w:val="00765614"/>
    <w:rsid w:val="00765914"/>
    <w:rsid w:val="0076614D"/>
    <w:rsid w:val="0076624C"/>
    <w:rsid w:val="0076627D"/>
    <w:rsid w:val="00766304"/>
    <w:rsid w:val="007663AE"/>
    <w:rsid w:val="00767A28"/>
    <w:rsid w:val="00767DD2"/>
    <w:rsid w:val="0077082B"/>
    <w:rsid w:val="00770B12"/>
    <w:rsid w:val="00770E60"/>
    <w:rsid w:val="00771C8F"/>
    <w:rsid w:val="00772019"/>
    <w:rsid w:val="0077266E"/>
    <w:rsid w:val="0077292E"/>
    <w:rsid w:val="007737D8"/>
    <w:rsid w:val="0077391C"/>
    <w:rsid w:val="00773D24"/>
    <w:rsid w:val="00774576"/>
    <w:rsid w:val="0077508A"/>
    <w:rsid w:val="00775567"/>
    <w:rsid w:val="00775E0D"/>
    <w:rsid w:val="00776343"/>
    <w:rsid w:val="00776416"/>
    <w:rsid w:val="00776C7B"/>
    <w:rsid w:val="00776CEF"/>
    <w:rsid w:val="0077790B"/>
    <w:rsid w:val="00777E7E"/>
    <w:rsid w:val="007804DD"/>
    <w:rsid w:val="0078095A"/>
    <w:rsid w:val="00780F3B"/>
    <w:rsid w:val="007816EE"/>
    <w:rsid w:val="00782071"/>
    <w:rsid w:val="00782946"/>
    <w:rsid w:val="00782AB1"/>
    <w:rsid w:val="00782ECD"/>
    <w:rsid w:val="0078363B"/>
    <w:rsid w:val="00783CCF"/>
    <w:rsid w:val="00783F5B"/>
    <w:rsid w:val="00784609"/>
    <w:rsid w:val="00784720"/>
    <w:rsid w:val="0078481D"/>
    <w:rsid w:val="007859FC"/>
    <w:rsid w:val="00785F4C"/>
    <w:rsid w:val="0078609C"/>
    <w:rsid w:val="00786355"/>
    <w:rsid w:val="00787370"/>
    <w:rsid w:val="007874AE"/>
    <w:rsid w:val="0078750B"/>
    <w:rsid w:val="00787F5E"/>
    <w:rsid w:val="0079024D"/>
    <w:rsid w:val="007911B8"/>
    <w:rsid w:val="00791DAE"/>
    <w:rsid w:val="007930E8"/>
    <w:rsid w:val="007935F5"/>
    <w:rsid w:val="00793D04"/>
    <w:rsid w:val="00793F28"/>
    <w:rsid w:val="00793FDB"/>
    <w:rsid w:val="00794252"/>
    <w:rsid w:val="007944D2"/>
    <w:rsid w:val="00794B19"/>
    <w:rsid w:val="00795B8D"/>
    <w:rsid w:val="00795EB9"/>
    <w:rsid w:val="00795F0E"/>
    <w:rsid w:val="007960A9"/>
    <w:rsid w:val="00797D8F"/>
    <w:rsid w:val="007A0C00"/>
    <w:rsid w:val="007A0E15"/>
    <w:rsid w:val="007A1564"/>
    <w:rsid w:val="007A176E"/>
    <w:rsid w:val="007A19BF"/>
    <w:rsid w:val="007A2A69"/>
    <w:rsid w:val="007A2CF1"/>
    <w:rsid w:val="007A41B5"/>
    <w:rsid w:val="007A4486"/>
    <w:rsid w:val="007A4682"/>
    <w:rsid w:val="007A5879"/>
    <w:rsid w:val="007A58A8"/>
    <w:rsid w:val="007A5BDC"/>
    <w:rsid w:val="007A629D"/>
    <w:rsid w:val="007A6610"/>
    <w:rsid w:val="007A6DD3"/>
    <w:rsid w:val="007A6FF3"/>
    <w:rsid w:val="007A71DC"/>
    <w:rsid w:val="007A7A04"/>
    <w:rsid w:val="007B04FF"/>
    <w:rsid w:val="007B0976"/>
    <w:rsid w:val="007B0CAC"/>
    <w:rsid w:val="007B0E62"/>
    <w:rsid w:val="007B15F3"/>
    <w:rsid w:val="007B1701"/>
    <w:rsid w:val="007B17C0"/>
    <w:rsid w:val="007B1C32"/>
    <w:rsid w:val="007B1DBB"/>
    <w:rsid w:val="007B2319"/>
    <w:rsid w:val="007B2FBF"/>
    <w:rsid w:val="007B3E13"/>
    <w:rsid w:val="007B4046"/>
    <w:rsid w:val="007B4300"/>
    <w:rsid w:val="007B44CE"/>
    <w:rsid w:val="007B44F9"/>
    <w:rsid w:val="007B565C"/>
    <w:rsid w:val="007B595F"/>
    <w:rsid w:val="007B5D75"/>
    <w:rsid w:val="007B6388"/>
    <w:rsid w:val="007B6D5E"/>
    <w:rsid w:val="007B7115"/>
    <w:rsid w:val="007B736B"/>
    <w:rsid w:val="007C0090"/>
    <w:rsid w:val="007C0853"/>
    <w:rsid w:val="007C08D0"/>
    <w:rsid w:val="007C08FD"/>
    <w:rsid w:val="007C0C90"/>
    <w:rsid w:val="007C0E07"/>
    <w:rsid w:val="007C0E86"/>
    <w:rsid w:val="007C249E"/>
    <w:rsid w:val="007C26CF"/>
    <w:rsid w:val="007C271B"/>
    <w:rsid w:val="007C2C14"/>
    <w:rsid w:val="007C2D50"/>
    <w:rsid w:val="007C357D"/>
    <w:rsid w:val="007C3A55"/>
    <w:rsid w:val="007C4166"/>
    <w:rsid w:val="007C44E1"/>
    <w:rsid w:val="007C48DD"/>
    <w:rsid w:val="007C4A05"/>
    <w:rsid w:val="007C4D79"/>
    <w:rsid w:val="007C5711"/>
    <w:rsid w:val="007C57B9"/>
    <w:rsid w:val="007C6325"/>
    <w:rsid w:val="007C6C53"/>
    <w:rsid w:val="007C71FB"/>
    <w:rsid w:val="007C73A3"/>
    <w:rsid w:val="007C7975"/>
    <w:rsid w:val="007C7EF5"/>
    <w:rsid w:val="007D06AC"/>
    <w:rsid w:val="007D0741"/>
    <w:rsid w:val="007D0A53"/>
    <w:rsid w:val="007D0C62"/>
    <w:rsid w:val="007D0FFC"/>
    <w:rsid w:val="007D1013"/>
    <w:rsid w:val="007D19EC"/>
    <w:rsid w:val="007D1CB2"/>
    <w:rsid w:val="007D2180"/>
    <w:rsid w:val="007D2608"/>
    <w:rsid w:val="007D30C3"/>
    <w:rsid w:val="007D35AC"/>
    <w:rsid w:val="007D36B1"/>
    <w:rsid w:val="007D36D7"/>
    <w:rsid w:val="007D3BA1"/>
    <w:rsid w:val="007D3BDB"/>
    <w:rsid w:val="007D3EC8"/>
    <w:rsid w:val="007D40AC"/>
    <w:rsid w:val="007D4317"/>
    <w:rsid w:val="007D4C12"/>
    <w:rsid w:val="007D57E0"/>
    <w:rsid w:val="007D5962"/>
    <w:rsid w:val="007D63B2"/>
    <w:rsid w:val="007D651D"/>
    <w:rsid w:val="007D6894"/>
    <w:rsid w:val="007D71B7"/>
    <w:rsid w:val="007D7C66"/>
    <w:rsid w:val="007D7CF3"/>
    <w:rsid w:val="007E0274"/>
    <w:rsid w:val="007E02A7"/>
    <w:rsid w:val="007E0415"/>
    <w:rsid w:val="007E0991"/>
    <w:rsid w:val="007E0B2C"/>
    <w:rsid w:val="007E107F"/>
    <w:rsid w:val="007E1C84"/>
    <w:rsid w:val="007E25ED"/>
    <w:rsid w:val="007E2FD7"/>
    <w:rsid w:val="007E30E4"/>
    <w:rsid w:val="007E310B"/>
    <w:rsid w:val="007E38DA"/>
    <w:rsid w:val="007E3D65"/>
    <w:rsid w:val="007E3EE2"/>
    <w:rsid w:val="007E47E7"/>
    <w:rsid w:val="007E4A98"/>
    <w:rsid w:val="007E4EB6"/>
    <w:rsid w:val="007E5DD7"/>
    <w:rsid w:val="007E7139"/>
    <w:rsid w:val="007E7366"/>
    <w:rsid w:val="007E7EA1"/>
    <w:rsid w:val="007E7EA4"/>
    <w:rsid w:val="007F03CE"/>
    <w:rsid w:val="007F04D3"/>
    <w:rsid w:val="007F0DB7"/>
    <w:rsid w:val="007F0E95"/>
    <w:rsid w:val="007F137D"/>
    <w:rsid w:val="007F2D8D"/>
    <w:rsid w:val="007F2EBF"/>
    <w:rsid w:val="007F3044"/>
    <w:rsid w:val="007F3249"/>
    <w:rsid w:val="007F4657"/>
    <w:rsid w:val="007F49E6"/>
    <w:rsid w:val="007F5609"/>
    <w:rsid w:val="007F5625"/>
    <w:rsid w:val="007F568A"/>
    <w:rsid w:val="007F59F7"/>
    <w:rsid w:val="007F5D13"/>
    <w:rsid w:val="007F5E21"/>
    <w:rsid w:val="007F619D"/>
    <w:rsid w:val="007F6413"/>
    <w:rsid w:val="007F6630"/>
    <w:rsid w:val="007F676E"/>
    <w:rsid w:val="007F6B11"/>
    <w:rsid w:val="007F6C91"/>
    <w:rsid w:val="007F6E2B"/>
    <w:rsid w:val="007F6EDD"/>
    <w:rsid w:val="007F6F3C"/>
    <w:rsid w:val="007F780C"/>
    <w:rsid w:val="007F7D12"/>
    <w:rsid w:val="007F7F02"/>
    <w:rsid w:val="00800258"/>
    <w:rsid w:val="00800562"/>
    <w:rsid w:val="00800C97"/>
    <w:rsid w:val="00800E69"/>
    <w:rsid w:val="008015BF"/>
    <w:rsid w:val="0080220F"/>
    <w:rsid w:val="00802735"/>
    <w:rsid w:val="008028C2"/>
    <w:rsid w:val="00802AEE"/>
    <w:rsid w:val="00802DDB"/>
    <w:rsid w:val="00803165"/>
    <w:rsid w:val="008037D8"/>
    <w:rsid w:val="00803B7E"/>
    <w:rsid w:val="00803DA6"/>
    <w:rsid w:val="008040D9"/>
    <w:rsid w:val="0080436E"/>
    <w:rsid w:val="00804937"/>
    <w:rsid w:val="00804E1E"/>
    <w:rsid w:val="00804E43"/>
    <w:rsid w:val="008050F5"/>
    <w:rsid w:val="00805112"/>
    <w:rsid w:val="0080512F"/>
    <w:rsid w:val="0080519C"/>
    <w:rsid w:val="00810BC2"/>
    <w:rsid w:val="00811683"/>
    <w:rsid w:val="00811AFF"/>
    <w:rsid w:val="00812102"/>
    <w:rsid w:val="00812373"/>
    <w:rsid w:val="00813F3A"/>
    <w:rsid w:val="008140E8"/>
    <w:rsid w:val="00814271"/>
    <w:rsid w:val="00814941"/>
    <w:rsid w:val="00814955"/>
    <w:rsid w:val="00814A65"/>
    <w:rsid w:val="00814BD9"/>
    <w:rsid w:val="008158AC"/>
    <w:rsid w:val="00816805"/>
    <w:rsid w:val="00816BE8"/>
    <w:rsid w:val="00816CD5"/>
    <w:rsid w:val="00816DBD"/>
    <w:rsid w:val="00816FE2"/>
    <w:rsid w:val="00817062"/>
    <w:rsid w:val="00817991"/>
    <w:rsid w:val="00817F58"/>
    <w:rsid w:val="008203C5"/>
    <w:rsid w:val="00820B84"/>
    <w:rsid w:val="0082199B"/>
    <w:rsid w:val="00821C2A"/>
    <w:rsid w:val="008227B7"/>
    <w:rsid w:val="008243A8"/>
    <w:rsid w:val="00824925"/>
    <w:rsid w:val="00824C8B"/>
    <w:rsid w:val="008252E8"/>
    <w:rsid w:val="00825BA8"/>
    <w:rsid w:val="00825C14"/>
    <w:rsid w:val="00825FD5"/>
    <w:rsid w:val="0082641D"/>
    <w:rsid w:val="008267CA"/>
    <w:rsid w:val="0082722B"/>
    <w:rsid w:val="00827C1B"/>
    <w:rsid w:val="0083016B"/>
    <w:rsid w:val="008301F1"/>
    <w:rsid w:val="00830C0E"/>
    <w:rsid w:val="008313E0"/>
    <w:rsid w:val="00831742"/>
    <w:rsid w:val="008317EC"/>
    <w:rsid w:val="0083195D"/>
    <w:rsid w:val="00831B7B"/>
    <w:rsid w:val="00831D90"/>
    <w:rsid w:val="008324F3"/>
    <w:rsid w:val="00832691"/>
    <w:rsid w:val="0083296B"/>
    <w:rsid w:val="00833547"/>
    <w:rsid w:val="00833852"/>
    <w:rsid w:val="00833AB9"/>
    <w:rsid w:val="008344EC"/>
    <w:rsid w:val="00834820"/>
    <w:rsid w:val="00834C82"/>
    <w:rsid w:val="00834DB6"/>
    <w:rsid w:val="00834F93"/>
    <w:rsid w:val="008354DB"/>
    <w:rsid w:val="008355DD"/>
    <w:rsid w:val="00840C4A"/>
    <w:rsid w:val="008411B9"/>
    <w:rsid w:val="0084122F"/>
    <w:rsid w:val="00841573"/>
    <w:rsid w:val="00841D08"/>
    <w:rsid w:val="008428A7"/>
    <w:rsid w:val="00842D43"/>
    <w:rsid w:val="0084323E"/>
    <w:rsid w:val="0084375D"/>
    <w:rsid w:val="00843D50"/>
    <w:rsid w:val="0084464E"/>
    <w:rsid w:val="008458BF"/>
    <w:rsid w:val="00846262"/>
    <w:rsid w:val="00846370"/>
    <w:rsid w:val="00846DCD"/>
    <w:rsid w:val="00847665"/>
    <w:rsid w:val="00847BC5"/>
    <w:rsid w:val="00847F11"/>
    <w:rsid w:val="00850010"/>
    <w:rsid w:val="008503F4"/>
    <w:rsid w:val="008504A0"/>
    <w:rsid w:val="00850AC1"/>
    <w:rsid w:val="00850C2A"/>
    <w:rsid w:val="00850DFA"/>
    <w:rsid w:val="00851331"/>
    <w:rsid w:val="008516D1"/>
    <w:rsid w:val="00852003"/>
    <w:rsid w:val="0085212C"/>
    <w:rsid w:val="00852F9E"/>
    <w:rsid w:val="00854053"/>
    <w:rsid w:val="008543AC"/>
    <w:rsid w:val="008548B8"/>
    <w:rsid w:val="00854965"/>
    <w:rsid w:val="008554D1"/>
    <w:rsid w:val="008558E0"/>
    <w:rsid w:val="00857AF7"/>
    <w:rsid w:val="00860109"/>
    <w:rsid w:val="008601BD"/>
    <w:rsid w:val="00860359"/>
    <w:rsid w:val="00860700"/>
    <w:rsid w:val="00860E43"/>
    <w:rsid w:val="00860EE9"/>
    <w:rsid w:val="00861075"/>
    <w:rsid w:val="00861252"/>
    <w:rsid w:val="0086171A"/>
    <w:rsid w:val="00861B89"/>
    <w:rsid w:val="0086226C"/>
    <w:rsid w:val="00862C76"/>
    <w:rsid w:val="00863968"/>
    <w:rsid w:val="008644A4"/>
    <w:rsid w:val="00864A6C"/>
    <w:rsid w:val="00864BB1"/>
    <w:rsid w:val="00864DF7"/>
    <w:rsid w:val="00864FDB"/>
    <w:rsid w:val="00865278"/>
    <w:rsid w:val="008654F9"/>
    <w:rsid w:val="008657DA"/>
    <w:rsid w:val="008658C0"/>
    <w:rsid w:val="00866388"/>
    <w:rsid w:val="00866FE3"/>
    <w:rsid w:val="0086722D"/>
    <w:rsid w:val="00867D56"/>
    <w:rsid w:val="0087028A"/>
    <w:rsid w:val="00870BAA"/>
    <w:rsid w:val="00870D91"/>
    <w:rsid w:val="008716D1"/>
    <w:rsid w:val="008716ED"/>
    <w:rsid w:val="0087193F"/>
    <w:rsid w:val="008724E6"/>
    <w:rsid w:val="00872767"/>
    <w:rsid w:val="008728C8"/>
    <w:rsid w:val="00873205"/>
    <w:rsid w:val="008735E8"/>
    <w:rsid w:val="0087377E"/>
    <w:rsid w:val="008739AB"/>
    <w:rsid w:val="00874043"/>
    <w:rsid w:val="00874594"/>
    <w:rsid w:val="00874776"/>
    <w:rsid w:val="0087487C"/>
    <w:rsid w:val="00874A07"/>
    <w:rsid w:val="00874B75"/>
    <w:rsid w:val="00875007"/>
    <w:rsid w:val="008750DB"/>
    <w:rsid w:val="00875144"/>
    <w:rsid w:val="008751B4"/>
    <w:rsid w:val="0087527F"/>
    <w:rsid w:val="0087543F"/>
    <w:rsid w:val="008754B5"/>
    <w:rsid w:val="008758A8"/>
    <w:rsid w:val="00875AF3"/>
    <w:rsid w:val="008765E9"/>
    <w:rsid w:val="00876605"/>
    <w:rsid w:val="00876B13"/>
    <w:rsid w:val="00877B57"/>
    <w:rsid w:val="00880017"/>
    <w:rsid w:val="00880305"/>
    <w:rsid w:val="00880315"/>
    <w:rsid w:val="0088031C"/>
    <w:rsid w:val="0088088A"/>
    <w:rsid w:val="00880A3F"/>
    <w:rsid w:val="00880EE2"/>
    <w:rsid w:val="00881318"/>
    <w:rsid w:val="00881732"/>
    <w:rsid w:val="008818A2"/>
    <w:rsid w:val="008820FB"/>
    <w:rsid w:val="0088213D"/>
    <w:rsid w:val="008821C6"/>
    <w:rsid w:val="0088243C"/>
    <w:rsid w:val="0088243D"/>
    <w:rsid w:val="0088251A"/>
    <w:rsid w:val="00882D28"/>
    <w:rsid w:val="00882F89"/>
    <w:rsid w:val="00883A67"/>
    <w:rsid w:val="0088400F"/>
    <w:rsid w:val="008848E9"/>
    <w:rsid w:val="00884FD8"/>
    <w:rsid w:val="00885244"/>
    <w:rsid w:val="008857C7"/>
    <w:rsid w:val="008858B3"/>
    <w:rsid w:val="008866CF"/>
    <w:rsid w:val="00886782"/>
    <w:rsid w:val="008869A1"/>
    <w:rsid w:val="00886B3F"/>
    <w:rsid w:val="0089015D"/>
    <w:rsid w:val="0089021A"/>
    <w:rsid w:val="0089022E"/>
    <w:rsid w:val="00890475"/>
    <w:rsid w:val="00890A7C"/>
    <w:rsid w:val="00890D11"/>
    <w:rsid w:val="008910EE"/>
    <w:rsid w:val="00891A26"/>
    <w:rsid w:val="008923F8"/>
    <w:rsid w:val="0089253F"/>
    <w:rsid w:val="008928F1"/>
    <w:rsid w:val="00892BBF"/>
    <w:rsid w:val="00892DB5"/>
    <w:rsid w:val="00892F62"/>
    <w:rsid w:val="0089389C"/>
    <w:rsid w:val="0089414C"/>
    <w:rsid w:val="008942BD"/>
    <w:rsid w:val="0089478A"/>
    <w:rsid w:val="0089480A"/>
    <w:rsid w:val="00894BEE"/>
    <w:rsid w:val="00894FE5"/>
    <w:rsid w:val="008954D2"/>
    <w:rsid w:val="00895658"/>
    <w:rsid w:val="008956DA"/>
    <w:rsid w:val="008959E5"/>
    <w:rsid w:val="00895BA9"/>
    <w:rsid w:val="00895D79"/>
    <w:rsid w:val="0089601B"/>
    <w:rsid w:val="0089655D"/>
    <w:rsid w:val="00896784"/>
    <w:rsid w:val="00897824"/>
    <w:rsid w:val="008979DB"/>
    <w:rsid w:val="00897BCB"/>
    <w:rsid w:val="00897C07"/>
    <w:rsid w:val="00897DBA"/>
    <w:rsid w:val="00897E63"/>
    <w:rsid w:val="008A02FA"/>
    <w:rsid w:val="008A06A8"/>
    <w:rsid w:val="008A1AAC"/>
    <w:rsid w:val="008A1D3C"/>
    <w:rsid w:val="008A20CA"/>
    <w:rsid w:val="008A239B"/>
    <w:rsid w:val="008A2956"/>
    <w:rsid w:val="008A2EA1"/>
    <w:rsid w:val="008A2EF6"/>
    <w:rsid w:val="008A3480"/>
    <w:rsid w:val="008A425D"/>
    <w:rsid w:val="008A4B88"/>
    <w:rsid w:val="008A4F3C"/>
    <w:rsid w:val="008A51AD"/>
    <w:rsid w:val="008A53BA"/>
    <w:rsid w:val="008A551D"/>
    <w:rsid w:val="008A56BA"/>
    <w:rsid w:val="008A570A"/>
    <w:rsid w:val="008A58E4"/>
    <w:rsid w:val="008A58E7"/>
    <w:rsid w:val="008A5C1D"/>
    <w:rsid w:val="008A615A"/>
    <w:rsid w:val="008A650C"/>
    <w:rsid w:val="008A6A36"/>
    <w:rsid w:val="008A6CB9"/>
    <w:rsid w:val="008A6DC1"/>
    <w:rsid w:val="008A7100"/>
    <w:rsid w:val="008A7139"/>
    <w:rsid w:val="008A776D"/>
    <w:rsid w:val="008A7C74"/>
    <w:rsid w:val="008B0107"/>
    <w:rsid w:val="008B04C0"/>
    <w:rsid w:val="008B0A83"/>
    <w:rsid w:val="008B0E93"/>
    <w:rsid w:val="008B198D"/>
    <w:rsid w:val="008B29A4"/>
    <w:rsid w:val="008B2BB4"/>
    <w:rsid w:val="008B2C30"/>
    <w:rsid w:val="008B2D73"/>
    <w:rsid w:val="008B3AB6"/>
    <w:rsid w:val="008B3C2B"/>
    <w:rsid w:val="008B416C"/>
    <w:rsid w:val="008B4679"/>
    <w:rsid w:val="008B4D00"/>
    <w:rsid w:val="008B4D13"/>
    <w:rsid w:val="008B4E78"/>
    <w:rsid w:val="008B4FE2"/>
    <w:rsid w:val="008B5E6A"/>
    <w:rsid w:val="008B61A1"/>
    <w:rsid w:val="008B66EE"/>
    <w:rsid w:val="008B6793"/>
    <w:rsid w:val="008B6E62"/>
    <w:rsid w:val="008B6E87"/>
    <w:rsid w:val="008B728A"/>
    <w:rsid w:val="008B7342"/>
    <w:rsid w:val="008B75C2"/>
    <w:rsid w:val="008B770F"/>
    <w:rsid w:val="008B787A"/>
    <w:rsid w:val="008C0773"/>
    <w:rsid w:val="008C0A89"/>
    <w:rsid w:val="008C0E71"/>
    <w:rsid w:val="008C1852"/>
    <w:rsid w:val="008C27B4"/>
    <w:rsid w:val="008C2CFF"/>
    <w:rsid w:val="008C2E1E"/>
    <w:rsid w:val="008C2E22"/>
    <w:rsid w:val="008C2ED2"/>
    <w:rsid w:val="008C3D4D"/>
    <w:rsid w:val="008C4026"/>
    <w:rsid w:val="008C417E"/>
    <w:rsid w:val="008C5B51"/>
    <w:rsid w:val="008C5F0A"/>
    <w:rsid w:val="008C6105"/>
    <w:rsid w:val="008C6124"/>
    <w:rsid w:val="008C6334"/>
    <w:rsid w:val="008C66BD"/>
    <w:rsid w:val="008C6968"/>
    <w:rsid w:val="008C6D16"/>
    <w:rsid w:val="008C742A"/>
    <w:rsid w:val="008C74C7"/>
    <w:rsid w:val="008C7714"/>
    <w:rsid w:val="008C7F4F"/>
    <w:rsid w:val="008D00F3"/>
    <w:rsid w:val="008D0F27"/>
    <w:rsid w:val="008D15A2"/>
    <w:rsid w:val="008D18CD"/>
    <w:rsid w:val="008D1F86"/>
    <w:rsid w:val="008D20E0"/>
    <w:rsid w:val="008D2796"/>
    <w:rsid w:val="008D2B6E"/>
    <w:rsid w:val="008D335C"/>
    <w:rsid w:val="008D35B7"/>
    <w:rsid w:val="008D4007"/>
    <w:rsid w:val="008D436A"/>
    <w:rsid w:val="008D4C72"/>
    <w:rsid w:val="008D50BA"/>
    <w:rsid w:val="008D561B"/>
    <w:rsid w:val="008D582B"/>
    <w:rsid w:val="008D5CF9"/>
    <w:rsid w:val="008D5D0A"/>
    <w:rsid w:val="008D6794"/>
    <w:rsid w:val="008D7F65"/>
    <w:rsid w:val="008E0178"/>
    <w:rsid w:val="008E02F8"/>
    <w:rsid w:val="008E1189"/>
    <w:rsid w:val="008E12AF"/>
    <w:rsid w:val="008E1592"/>
    <w:rsid w:val="008E211C"/>
    <w:rsid w:val="008E2BB3"/>
    <w:rsid w:val="008E2BC5"/>
    <w:rsid w:val="008E2C79"/>
    <w:rsid w:val="008E3176"/>
    <w:rsid w:val="008E3564"/>
    <w:rsid w:val="008E3A0B"/>
    <w:rsid w:val="008E3A90"/>
    <w:rsid w:val="008E3AAB"/>
    <w:rsid w:val="008E4043"/>
    <w:rsid w:val="008E4163"/>
    <w:rsid w:val="008E41E2"/>
    <w:rsid w:val="008E4520"/>
    <w:rsid w:val="008E54E8"/>
    <w:rsid w:val="008E5740"/>
    <w:rsid w:val="008E5868"/>
    <w:rsid w:val="008E5DC8"/>
    <w:rsid w:val="008E6465"/>
    <w:rsid w:val="008E6C57"/>
    <w:rsid w:val="008E6E66"/>
    <w:rsid w:val="008E7082"/>
    <w:rsid w:val="008E72AF"/>
    <w:rsid w:val="008F0952"/>
    <w:rsid w:val="008F1154"/>
    <w:rsid w:val="008F1B84"/>
    <w:rsid w:val="008F1B9D"/>
    <w:rsid w:val="008F1DB6"/>
    <w:rsid w:val="008F1DDC"/>
    <w:rsid w:val="008F30E1"/>
    <w:rsid w:val="008F39C0"/>
    <w:rsid w:val="008F3CC0"/>
    <w:rsid w:val="008F57CD"/>
    <w:rsid w:val="008F5960"/>
    <w:rsid w:val="008F5CD0"/>
    <w:rsid w:val="008F6100"/>
    <w:rsid w:val="008F629A"/>
    <w:rsid w:val="008F6A9B"/>
    <w:rsid w:val="008F6F03"/>
    <w:rsid w:val="008F6F9D"/>
    <w:rsid w:val="008F7603"/>
    <w:rsid w:val="008F769D"/>
    <w:rsid w:val="008F76DC"/>
    <w:rsid w:val="008F7A06"/>
    <w:rsid w:val="008F7D2F"/>
    <w:rsid w:val="009013C5"/>
    <w:rsid w:val="0090147B"/>
    <w:rsid w:val="00901649"/>
    <w:rsid w:val="00901CBA"/>
    <w:rsid w:val="00901DC6"/>
    <w:rsid w:val="009021DC"/>
    <w:rsid w:val="00903026"/>
    <w:rsid w:val="0090357B"/>
    <w:rsid w:val="00903832"/>
    <w:rsid w:val="009044BE"/>
    <w:rsid w:val="009048EB"/>
    <w:rsid w:val="00904913"/>
    <w:rsid w:val="00904D4B"/>
    <w:rsid w:val="009050B3"/>
    <w:rsid w:val="00905945"/>
    <w:rsid w:val="00905FEB"/>
    <w:rsid w:val="00906252"/>
    <w:rsid w:val="0090672E"/>
    <w:rsid w:val="00906A4F"/>
    <w:rsid w:val="00906BD6"/>
    <w:rsid w:val="00907074"/>
    <w:rsid w:val="009073C7"/>
    <w:rsid w:val="009078BA"/>
    <w:rsid w:val="009079C7"/>
    <w:rsid w:val="009079F7"/>
    <w:rsid w:val="00907B44"/>
    <w:rsid w:val="00907C33"/>
    <w:rsid w:val="009108D2"/>
    <w:rsid w:val="00910C20"/>
    <w:rsid w:val="00910FE1"/>
    <w:rsid w:val="0091106A"/>
    <w:rsid w:val="009117D0"/>
    <w:rsid w:val="00911C77"/>
    <w:rsid w:val="00911D1C"/>
    <w:rsid w:val="00912F38"/>
    <w:rsid w:val="00913C58"/>
    <w:rsid w:val="00913FCD"/>
    <w:rsid w:val="009140B4"/>
    <w:rsid w:val="00914174"/>
    <w:rsid w:val="0091428A"/>
    <w:rsid w:val="00914733"/>
    <w:rsid w:val="00914AA5"/>
    <w:rsid w:val="009162DD"/>
    <w:rsid w:val="009163E7"/>
    <w:rsid w:val="0091671A"/>
    <w:rsid w:val="009169F6"/>
    <w:rsid w:val="00916D5B"/>
    <w:rsid w:val="0091715C"/>
    <w:rsid w:val="0091719D"/>
    <w:rsid w:val="00917903"/>
    <w:rsid w:val="009200D3"/>
    <w:rsid w:val="00920997"/>
    <w:rsid w:val="00920B1E"/>
    <w:rsid w:val="00920B2B"/>
    <w:rsid w:val="00920DD5"/>
    <w:rsid w:val="00921161"/>
    <w:rsid w:val="0092158B"/>
    <w:rsid w:val="00921E0A"/>
    <w:rsid w:val="00922492"/>
    <w:rsid w:val="009224EB"/>
    <w:rsid w:val="0092272F"/>
    <w:rsid w:val="00922BE2"/>
    <w:rsid w:val="00922EDE"/>
    <w:rsid w:val="0092337C"/>
    <w:rsid w:val="009237D9"/>
    <w:rsid w:val="009239D2"/>
    <w:rsid w:val="0092406C"/>
    <w:rsid w:val="00924096"/>
    <w:rsid w:val="009243BC"/>
    <w:rsid w:val="009244D5"/>
    <w:rsid w:val="009252F1"/>
    <w:rsid w:val="00925588"/>
    <w:rsid w:val="00925AF5"/>
    <w:rsid w:val="00925C76"/>
    <w:rsid w:val="00926268"/>
    <w:rsid w:val="009264A2"/>
    <w:rsid w:val="00926F3D"/>
    <w:rsid w:val="0092715D"/>
    <w:rsid w:val="00927206"/>
    <w:rsid w:val="00930057"/>
    <w:rsid w:val="00930632"/>
    <w:rsid w:val="009310BC"/>
    <w:rsid w:val="00931D3F"/>
    <w:rsid w:val="009324C4"/>
    <w:rsid w:val="00932671"/>
    <w:rsid w:val="00932A7A"/>
    <w:rsid w:val="009330BF"/>
    <w:rsid w:val="00933817"/>
    <w:rsid w:val="00933C07"/>
    <w:rsid w:val="00934510"/>
    <w:rsid w:val="0093476C"/>
    <w:rsid w:val="00935A1E"/>
    <w:rsid w:val="00935B7C"/>
    <w:rsid w:val="00935BDC"/>
    <w:rsid w:val="00935E3A"/>
    <w:rsid w:val="00936005"/>
    <w:rsid w:val="0093607C"/>
    <w:rsid w:val="00937A83"/>
    <w:rsid w:val="00937B51"/>
    <w:rsid w:val="00937C5E"/>
    <w:rsid w:val="00940008"/>
    <w:rsid w:val="00940FFA"/>
    <w:rsid w:val="00941503"/>
    <w:rsid w:val="00941543"/>
    <w:rsid w:val="0094187D"/>
    <w:rsid w:val="00942C90"/>
    <w:rsid w:val="00942F29"/>
    <w:rsid w:val="00942FB6"/>
    <w:rsid w:val="009434EB"/>
    <w:rsid w:val="00943EA6"/>
    <w:rsid w:val="00944400"/>
    <w:rsid w:val="009448F2"/>
    <w:rsid w:val="009448F3"/>
    <w:rsid w:val="0094524B"/>
    <w:rsid w:val="009456E3"/>
    <w:rsid w:val="00945759"/>
    <w:rsid w:val="009466E9"/>
    <w:rsid w:val="00946CB3"/>
    <w:rsid w:val="00946D20"/>
    <w:rsid w:val="00946E51"/>
    <w:rsid w:val="009473F4"/>
    <w:rsid w:val="0094767D"/>
    <w:rsid w:val="00950231"/>
    <w:rsid w:val="00950794"/>
    <w:rsid w:val="009507AA"/>
    <w:rsid w:val="009509EF"/>
    <w:rsid w:val="009515CA"/>
    <w:rsid w:val="00951691"/>
    <w:rsid w:val="00951A1F"/>
    <w:rsid w:val="00951FCE"/>
    <w:rsid w:val="009521CC"/>
    <w:rsid w:val="0095226C"/>
    <w:rsid w:val="00952C05"/>
    <w:rsid w:val="00952D52"/>
    <w:rsid w:val="009540B7"/>
    <w:rsid w:val="009543D0"/>
    <w:rsid w:val="00954DAE"/>
    <w:rsid w:val="00955410"/>
    <w:rsid w:val="0095555D"/>
    <w:rsid w:val="009558EE"/>
    <w:rsid w:val="009559D5"/>
    <w:rsid w:val="00955C17"/>
    <w:rsid w:val="00955D04"/>
    <w:rsid w:val="00955FFA"/>
    <w:rsid w:val="00956170"/>
    <w:rsid w:val="00956BA1"/>
    <w:rsid w:val="00956D42"/>
    <w:rsid w:val="00956F0F"/>
    <w:rsid w:val="00957065"/>
    <w:rsid w:val="0095727F"/>
    <w:rsid w:val="009572AF"/>
    <w:rsid w:val="00957E41"/>
    <w:rsid w:val="0096023A"/>
    <w:rsid w:val="009607AB"/>
    <w:rsid w:val="00960A9A"/>
    <w:rsid w:val="009615DB"/>
    <w:rsid w:val="00961C53"/>
    <w:rsid w:val="00962683"/>
    <w:rsid w:val="00962E23"/>
    <w:rsid w:val="00963149"/>
    <w:rsid w:val="0096456D"/>
    <w:rsid w:val="0096487C"/>
    <w:rsid w:val="00964BC2"/>
    <w:rsid w:val="00964D4A"/>
    <w:rsid w:val="00964EAE"/>
    <w:rsid w:val="00965023"/>
    <w:rsid w:val="009650B7"/>
    <w:rsid w:val="0096515D"/>
    <w:rsid w:val="00965841"/>
    <w:rsid w:val="00965EE1"/>
    <w:rsid w:val="00966623"/>
    <w:rsid w:val="009668D5"/>
    <w:rsid w:val="00966D23"/>
    <w:rsid w:val="009678DB"/>
    <w:rsid w:val="00970728"/>
    <w:rsid w:val="009707C9"/>
    <w:rsid w:val="0097082A"/>
    <w:rsid w:val="00971E0B"/>
    <w:rsid w:val="00972101"/>
    <w:rsid w:val="00972D22"/>
    <w:rsid w:val="00972FB5"/>
    <w:rsid w:val="00973510"/>
    <w:rsid w:val="009736FE"/>
    <w:rsid w:val="00973B96"/>
    <w:rsid w:val="00973BAA"/>
    <w:rsid w:val="00973E3C"/>
    <w:rsid w:val="00974763"/>
    <w:rsid w:val="009757CA"/>
    <w:rsid w:val="00975C9D"/>
    <w:rsid w:val="00976E76"/>
    <w:rsid w:val="00977A14"/>
    <w:rsid w:val="00977E9B"/>
    <w:rsid w:val="009807BF"/>
    <w:rsid w:val="009809CE"/>
    <w:rsid w:val="00980D42"/>
    <w:rsid w:val="0098131F"/>
    <w:rsid w:val="00981479"/>
    <w:rsid w:val="00981CF9"/>
    <w:rsid w:val="00981E1F"/>
    <w:rsid w:val="00982295"/>
    <w:rsid w:val="009829B3"/>
    <w:rsid w:val="00982C31"/>
    <w:rsid w:val="00982D45"/>
    <w:rsid w:val="00982FE4"/>
    <w:rsid w:val="00983165"/>
    <w:rsid w:val="00983343"/>
    <w:rsid w:val="009833C4"/>
    <w:rsid w:val="009834E0"/>
    <w:rsid w:val="009838FF"/>
    <w:rsid w:val="00984149"/>
    <w:rsid w:val="00984788"/>
    <w:rsid w:val="00984909"/>
    <w:rsid w:val="00984D7E"/>
    <w:rsid w:val="00984FF3"/>
    <w:rsid w:val="00984FF9"/>
    <w:rsid w:val="009850C5"/>
    <w:rsid w:val="00986326"/>
    <w:rsid w:val="00986849"/>
    <w:rsid w:val="00986BB7"/>
    <w:rsid w:val="00986D4B"/>
    <w:rsid w:val="00986E1E"/>
    <w:rsid w:val="00986F6D"/>
    <w:rsid w:val="0098727C"/>
    <w:rsid w:val="00987708"/>
    <w:rsid w:val="00987DDD"/>
    <w:rsid w:val="00987DF0"/>
    <w:rsid w:val="00987DF4"/>
    <w:rsid w:val="00987E2E"/>
    <w:rsid w:val="0099008B"/>
    <w:rsid w:val="00990C0B"/>
    <w:rsid w:val="00991202"/>
    <w:rsid w:val="0099177B"/>
    <w:rsid w:val="009917E0"/>
    <w:rsid w:val="0099367E"/>
    <w:rsid w:val="00993FE4"/>
    <w:rsid w:val="0099425E"/>
    <w:rsid w:val="0099482F"/>
    <w:rsid w:val="00994CDC"/>
    <w:rsid w:val="009969CD"/>
    <w:rsid w:val="00996CFC"/>
    <w:rsid w:val="0099770A"/>
    <w:rsid w:val="00997769"/>
    <w:rsid w:val="00997A2E"/>
    <w:rsid w:val="009A048E"/>
    <w:rsid w:val="009A119F"/>
    <w:rsid w:val="009A1609"/>
    <w:rsid w:val="009A1A7E"/>
    <w:rsid w:val="009A3480"/>
    <w:rsid w:val="009A3DB8"/>
    <w:rsid w:val="009A4356"/>
    <w:rsid w:val="009A43B3"/>
    <w:rsid w:val="009A464D"/>
    <w:rsid w:val="009A496F"/>
    <w:rsid w:val="009A4B78"/>
    <w:rsid w:val="009A4D73"/>
    <w:rsid w:val="009A4E41"/>
    <w:rsid w:val="009A5297"/>
    <w:rsid w:val="009A5326"/>
    <w:rsid w:val="009A5D40"/>
    <w:rsid w:val="009A5E10"/>
    <w:rsid w:val="009A5E9E"/>
    <w:rsid w:val="009A6665"/>
    <w:rsid w:val="009A6785"/>
    <w:rsid w:val="009A743F"/>
    <w:rsid w:val="009A74F7"/>
    <w:rsid w:val="009A76B0"/>
    <w:rsid w:val="009A7FD7"/>
    <w:rsid w:val="009B00F2"/>
    <w:rsid w:val="009B0FB2"/>
    <w:rsid w:val="009B1113"/>
    <w:rsid w:val="009B1C34"/>
    <w:rsid w:val="009B1D22"/>
    <w:rsid w:val="009B1E86"/>
    <w:rsid w:val="009B27C4"/>
    <w:rsid w:val="009B2D92"/>
    <w:rsid w:val="009B3250"/>
    <w:rsid w:val="009B3344"/>
    <w:rsid w:val="009B42D2"/>
    <w:rsid w:val="009B4A06"/>
    <w:rsid w:val="009B5E9C"/>
    <w:rsid w:val="009B609E"/>
    <w:rsid w:val="009B70C8"/>
    <w:rsid w:val="009B722F"/>
    <w:rsid w:val="009B737C"/>
    <w:rsid w:val="009B742E"/>
    <w:rsid w:val="009C0AC6"/>
    <w:rsid w:val="009C0E66"/>
    <w:rsid w:val="009C11B2"/>
    <w:rsid w:val="009C1456"/>
    <w:rsid w:val="009C164F"/>
    <w:rsid w:val="009C1C30"/>
    <w:rsid w:val="009C22DD"/>
    <w:rsid w:val="009C29D5"/>
    <w:rsid w:val="009C30A0"/>
    <w:rsid w:val="009C359E"/>
    <w:rsid w:val="009C37FE"/>
    <w:rsid w:val="009C4082"/>
    <w:rsid w:val="009C4806"/>
    <w:rsid w:val="009C4A38"/>
    <w:rsid w:val="009C4AD8"/>
    <w:rsid w:val="009C4D3D"/>
    <w:rsid w:val="009C55E2"/>
    <w:rsid w:val="009C5A4E"/>
    <w:rsid w:val="009C5EE5"/>
    <w:rsid w:val="009C61E3"/>
    <w:rsid w:val="009C6B56"/>
    <w:rsid w:val="009C6C93"/>
    <w:rsid w:val="009C76F9"/>
    <w:rsid w:val="009C7785"/>
    <w:rsid w:val="009C7DB8"/>
    <w:rsid w:val="009C7FF0"/>
    <w:rsid w:val="009D010D"/>
    <w:rsid w:val="009D0244"/>
    <w:rsid w:val="009D050F"/>
    <w:rsid w:val="009D0F71"/>
    <w:rsid w:val="009D111C"/>
    <w:rsid w:val="009D141A"/>
    <w:rsid w:val="009D17A0"/>
    <w:rsid w:val="009D1A08"/>
    <w:rsid w:val="009D1F7A"/>
    <w:rsid w:val="009D2165"/>
    <w:rsid w:val="009D2873"/>
    <w:rsid w:val="009D2942"/>
    <w:rsid w:val="009D3827"/>
    <w:rsid w:val="009D3A1A"/>
    <w:rsid w:val="009D426A"/>
    <w:rsid w:val="009D5BDB"/>
    <w:rsid w:val="009D5CCA"/>
    <w:rsid w:val="009D6B03"/>
    <w:rsid w:val="009D6B3D"/>
    <w:rsid w:val="009D7422"/>
    <w:rsid w:val="009D77A4"/>
    <w:rsid w:val="009D78E7"/>
    <w:rsid w:val="009E0505"/>
    <w:rsid w:val="009E0742"/>
    <w:rsid w:val="009E1291"/>
    <w:rsid w:val="009E12BC"/>
    <w:rsid w:val="009E224D"/>
    <w:rsid w:val="009E26D5"/>
    <w:rsid w:val="009E276C"/>
    <w:rsid w:val="009E2A07"/>
    <w:rsid w:val="009E3398"/>
    <w:rsid w:val="009E3577"/>
    <w:rsid w:val="009E3D2B"/>
    <w:rsid w:val="009E3DFD"/>
    <w:rsid w:val="009E3E23"/>
    <w:rsid w:val="009E3E84"/>
    <w:rsid w:val="009E4097"/>
    <w:rsid w:val="009E4664"/>
    <w:rsid w:val="009E4D8E"/>
    <w:rsid w:val="009E4E90"/>
    <w:rsid w:val="009E4EB7"/>
    <w:rsid w:val="009E52FE"/>
    <w:rsid w:val="009E54C9"/>
    <w:rsid w:val="009E56C7"/>
    <w:rsid w:val="009E57C1"/>
    <w:rsid w:val="009E624A"/>
    <w:rsid w:val="009E6B32"/>
    <w:rsid w:val="009E70F3"/>
    <w:rsid w:val="009E7E98"/>
    <w:rsid w:val="009F00EE"/>
    <w:rsid w:val="009F0827"/>
    <w:rsid w:val="009F0BED"/>
    <w:rsid w:val="009F1673"/>
    <w:rsid w:val="009F1EA5"/>
    <w:rsid w:val="009F3255"/>
    <w:rsid w:val="009F34AA"/>
    <w:rsid w:val="009F3DCE"/>
    <w:rsid w:val="009F44FF"/>
    <w:rsid w:val="009F46E8"/>
    <w:rsid w:val="009F472D"/>
    <w:rsid w:val="009F4CF0"/>
    <w:rsid w:val="009F4E88"/>
    <w:rsid w:val="009F50D1"/>
    <w:rsid w:val="009F568A"/>
    <w:rsid w:val="009F573B"/>
    <w:rsid w:val="009F5918"/>
    <w:rsid w:val="009F596D"/>
    <w:rsid w:val="009F5BE2"/>
    <w:rsid w:val="009F6A91"/>
    <w:rsid w:val="009F71A6"/>
    <w:rsid w:val="009F71AA"/>
    <w:rsid w:val="009F7326"/>
    <w:rsid w:val="009F754A"/>
    <w:rsid w:val="009F791F"/>
    <w:rsid w:val="009F7F86"/>
    <w:rsid w:val="00A0034D"/>
    <w:rsid w:val="00A00BFB"/>
    <w:rsid w:val="00A00DCF"/>
    <w:rsid w:val="00A0126C"/>
    <w:rsid w:val="00A012DA"/>
    <w:rsid w:val="00A0187E"/>
    <w:rsid w:val="00A02450"/>
    <w:rsid w:val="00A026F0"/>
    <w:rsid w:val="00A02F2D"/>
    <w:rsid w:val="00A02F61"/>
    <w:rsid w:val="00A03E0E"/>
    <w:rsid w:val="00A040D1"/>
    <w:rsid w:val="00A04424"/>
    <w:rsid w:val="00A04A0A"/>
    <w:rsid w:val="00A050A8"/>
    <w:rsid w:val="00A056A3"/>
    <w:rsid w:val="00A056AA"/>
    <w:rsid w:val="00A05B51"/>
    <w:rsid w:val="00A06286"/>
    <w:rsid w:val="00A06318"/>
    <w:rsid w:val="00A063BC"/>
    <w:rsid w:val="00A06635"/>
    <w:rsid w:val="00A068E1"/>
    <w:rsid w:val="00A06A80"/>
    <w:rsid w:val="00A06D8A"/>
    <w:rsid w:val="00A0711F"/>
    <w:rsid w:val="00A07B0B"/>
    <w:rsid w:val="00A102A0"/>
    <w:rsid w:val="00A108C2"/>
    <w:rsid w:val="00A114FA"/>
    <w:rsid w:val="00A11AF3"/>
    <w:rsid w:val="00A12C09"/>
    <w:rsid w:val="00A13084"/>
    <w:rsid w:val="00A1327F"/>
    <w:rsid w:val="00A13817"/>
    <w:rsid w:val="00A138D3"/>
    <w:rsid w:val="00A13E0F"/>
    <w:rsid w:val="00A144B7"/>
    <w:rsid w:val="00A149B4"/>
    <w:rsid w:val="00A15F4F"/>
    <w:rsid w:val="00A160AB"/>
    <w:rsid w:val="00A160F0"/>
    <w:rsid w:val="00A16745"/>
    <w:rsid w:val="00A16747"/>
    <w:rsid w:val="00A17C1D"/>
    <w:rsid w:val="00A20013"/>
    <w:rsid w:val="00A20582"/>
    <w:rsid w:val="00A20C65"/>
    <w:rsid w:val="00A214B2"/>
    <w:rsid w:val="00A21767"/>
    <w:rsid w:val="00A21E7C"/>
    <w:rsid w:val="00A21FD5"/>
    <w:rsid w:val="00A22751"/>
    <w:rsid w:val="00A22940"/>
    <w:rsid w:val="00A23102"/>
    <w:rsid w:val="00A23284"/>
    <w:rsid w:val="00A2343F"/>
    <w:rsid w:val="00A23505"/>
    <w:rsid w:val="00A23598"/>
    <w:rsid w:val="00A2428B"/>
    <w:rsid w:val="00A2476B"/>
    <w:rsid w:val="00A247E5"/>
    <w:rsid w:val="00A24D81"/>
    <w:rsid w:val="00A24EA5"/>
    <w:rsid w:val="00A25173"/>
    <w:rsid w:val="00A252F0"/>
    <w:rsid w:val="00A259F2"/>
    <w:rsid w:val="00A25FDB"/>
    <w:rsid w:val="00A26463"/>
    <w:rsid w:val="00A26608"/>
    <w:rsid w:val="00A2660E"/>
    <w:rsid w:val="00A26916"/>
    <w:rsid w:val="00A26982"/>
    <w:rsid w:val="00A26B47"/>
    <w:rsid w:val="00A26FF1"/>
    <w:rsid w:val="00A27806"/>
    <w:rsid w:val="00A27A3A"/>
    <w:rsid w:val="00A3068C"/>
    <w:rsid w:val="00A3127F"/>
    <w:rsid w:val="00A31922"/>
    <w:rsid w:val="00A31BCC"/>
    <w:rsid w:val="00A31C70"/>
    <w:rsid w:val="00A32382"/>
    <w:rsid w:val="00A325BB"/>
    <w:rsid w:val="00A3297A"/>
    <w:rsid w:val="00A32A58"/>
    <w:rsid w:val="00A32EEC"/>
    <w:rsid w:val="00A336C5"/>
    <w:rsid w:val="00A3510A"/>
    <w:rsid w:val="00A3515F"/>
    <w:rsid w:val="00A35751"/>
    <w:rsid w:val="00A35762"/>
    <w:rsid w:val="00A3577F"/>
    <w:rsid w:val="00A35BBC"/>
    <w:rsid w:val="00A35DAB"/>
    <w:rsid w:val="00A36724"/>
    <w:rsid w:val="00A367AF"/>
    <w:rsid w:val="00A36AA0"/>
    <w:rsid w:val="00A36C13"/>
    <w:rsid w:val="00A377C2"/>
    <w:rsid w:val="00A37A31"/>
    <w:rsid w:val="00A40B1F"/>
    <w:rsid w:val="00A40B4D"/>
    <w:rsid w:val="00A411E2"/>
    <w:rsid w:val="00A41373"/>
    <w:rsid w:val="00A41638"/>
    <w:rsid w:val="00A41B15"/>
    <w:rsid w:val="00A4224E"/>
    <w:rsid w:val="00A4229F"/>
    <w:rsid w:val="00A428A9"/>
    <w:rsid w:val="00A42ACA"/>
    <w:rsid w:val="00A43AAB"/>
    <w:rsid w:val="00A43AFE"/>
    <w:rsid w:val="00A44AAD"/>
    <w:rsid w:val="00A44E8A"/>
    <w:rsid w:val="00A45280"/>
    <w:rsid w:val="00A45BF7"/>
    <w:rsid w:val="00A463B5"/>
    <w:rsid w:val="00A463BA"/>
    <w:rsid w:val="00A46675"/>
    <w:rsid w:val="00A471A3"/>
    <w:rsid w:val="00A47597"/>
    <w:rsid w:val="00A47E08"/>
    <w:rsid w:val="00A47E44"/>
    <w:rsid w:val="00A47F91"/>
    <w:rsid w:val="00A507D7"/>
    <w:rsid w:val="00A50A5C"/>
    <w:rsid w:val="00A50BE2"/>
    <w:rsid w:val="00A50CC6"/>
    <w:rsid w:val="00A50E40"/>
    <w:rsid w:val="00A51462"/>
    <w:rsid w:val="00A51946"/>
    <w:rsid w:val="00A51C1F"/>
    <w:rsid w:val="00A51FF7"/>
    <w:rsid w:val="00A52079"/>
    <w:rsid w:val="00A52143"/>
    <w:rsid w:val="00A521E9"/>
    <w:rsid w:val="00A5298E"/>
    <w:rsid w:val="00A52B3E"/>
    <w:rsid w:val="00A5313B"/>
    <w:rsid w:val="00A5320E"/>
    <w:rsid w:val="00A53F7B"/>
    <w:rsid w:val="00A54090"/>
    <w:rsid w:val="00A54254"/>
    <w:rsid w:val="00A54282"/>
    <w:rsid w:val="00A549D3"/>
    <w:rsid w:val="00A54DF0"/>
    <w:rsid w:val="00A56E99"/>
    <w:rsid w:val="00A57212"/>
    <w:rsid w:val="00A57E98"/>
    <w:rsid w:val="00A60849"/>
    <w:rsid w:val="00A6105B"/>
    <w:rsid w:val="00A61355"/>
    <w:rsid w:val="00A61668"/>
    <w:rsid w:val="00A621D3"/>
    <w:rsid w:val="00A628F8"/>
    <w:rsid w:val="00A62B7A"/>
    <w:rsid w:val="00A632EA"/>
    <w:rsid w:val="00A634BE"/>
    <w:rsid w:val="00A63AD7"/>
    <w:rsid w:val="00A63BFD"/>
    <w:rsid w:val="00A6444A"/>
    <w:rsid w:val="00A6491F"/>
    <w:rsid w:val="00A64C72"/>
    <w:rsid w:val="00A64D1A"/>
    <w:rsid w:val="00A65320"/>
    <w:rsid w:val="00A65BA5"/>
    <w:rsid w:val="00A66288"/>
    <w:rsid w:val="00A66354"/>
    <w:rsid w:val="00A66E37"/>
    <w:rsid w:val="00A66ECF"/>
    <w:rsid w:val="00A67E38"/>
    <w:rsid w:val="00A703E4"/>
    <w:rsid w:val="00A70DC6"/>
    <w:rsid w:val="00A71080"/>
    <w:rsid w:val="00A713B3"/>
    <w:rsid w:val="00A71452"/>
    <w:rsid w:val="00A71986"/>
    <w:rsid w:val="00A71E73"/>
    <w:rsid w:val="00A72740"/>
    <w:rsid w:val="00A73A64"/>
    <w:rsid w:val="00A742AD"/>
    <w:rsid w:val="00A746D7"/>
    <w:rsid w:val="00A74AB2"/>
    <w:rsid w:val="00A75A46"/>
    <w:rsid w:val="00A75B36"/>
    <w:rsid w:val="00A762F1"/>
    <w:rsid w:val="00A7663A"/>
    <w:rsid w:val="00A7696B"/>
    <w:rsid w:val="00A769D4"/>
    <w:rsid w:val="00A80268"/>
    <w:rsid w:val="00A804C7"/>
    <w:rsid w:val="00A80857"/>
    <w:rsid w:val="00A80A39"/>
    <w:rsid w:val="00A80DF0"/>
    <w:rsid w:val="00A80E64"/>
    <w:rsid w:val="00A81A16"/>
    <w:rsid w:val="00A823A7"/>
    <w:rsid w:val="00A825C8"/>
    <w:rsid w:val="00A82742"/>
    <w:rsid w:val="00A83984"/>
    <w:rsid w:val="00A83A1E"/>
    <w:rsid w:val="00A84198"/>
    <w:rsid w:val="00A841AB"/>
    <w:rsid w:val="00A844BF"/>
    <w:rsid w:val="00A84FFD"/>
    <w:rsid w:val="00A86104"/>
    <w:rsid w:val="00A8655A"/>
    <w:rsid w:val="00A87203"/>
    <w:rsid w:val="00A87744"/>
    <w:rsid w:val="00A87AE6"/>
    <w:rsid w:val="00A87B09"/>
    <w:rsid w:val="00A87C22"/>
    <w:rsid w:val="00A90590"/>
    <w:rsid w:val="00A90A97"/>
    <w:rsid w:val="00A90CB4"/>
    <w:rsid w:val="00A910DA"/>
    <w:rsid w:val="00A920E1"/>
    <w:rsid w:val="00A923D6"/>
    <w:rsid w:val="00A92B42"/>
    <w:rsid w:val="00A933AE"/>
    <w:rsid w:val="00A93863"/>
    <w:rsid w:val="00A9415E"/>
    <w:rsid w:val="00A9423F"/>
    <w:rsid w:val="00A94EBD"/>
    <w:rsid w:val="00A9510D"/>
    <w:rsid w:val="00A956AC"/>
    <w:rsid w:val="00A95D2A"/>
    <w:rsid w:val="00A96214"/>
    <w:rsid w:val="00A967E8"/>
    <w:rsid w:val="00A97AF8"/>
    <w:rsid w:val="00A97D38"/>
    <w:rsid w:val="00A97F4B"/>
    <w:rsid w:val="00AA04C5"/>
    <w:rsid w:val="00AA1044"/>
    <w:rsid w:val="00AA10B1"/>
    <w:rsid w:val="00AA239B"/>
    <w:rsid w:val="00AA2803"/>
    <w:rsid w:val="00AA2BF2"/>
    <w:rsid w:val="00AA2D65"/>
    <w:rsid w:val="00AA2D68"/>
    <w:rsid w:val="00AA2D6F"/>
    <w:rsid w:val="00AA3987"/>
    <w:rsid w:val="00AA3B68"/>
    <w:rsid w:val="00AA3E79"/>
    <w:rsid w:val="00AA447C"/>
    <w:rsid w:val="00AA4FB4"/>
    <w:rsid w:val="00AA5C0B"/>
    <w:rsid w:val="00AA5E3B"/>
    <w:rsid w:val="00AA63AD"/>
    <w:rsid w:val="00AA65B4"/>
    <w:rsid w:val="00AA745E"/>
    <w:rsid w:val="00AA7E43"/>
    <w:rsid w:val="00AB0352"/>
    <w:rsid w:val="00AB047A"/>
    <w:rsid w:val="00AB04AB"/>
    <w:rsid w:val="00AB0733"/>
    <w:rsid w:val="00AB09D2"/>
    <w:rsid w:val="00AB0B64"/>
    <w:rsid w:val="00AB0C30"/>
    <w:rsid w:val="00AB161B"/>
    <w:rsid w:val="00AB176B"/>
    <w:rsid w:val="00AB37E6"/>
    <w:rsid w:val="00AB3DBA"/>
    <w:rsid w:val="00AB431C"/>
    <w:rsid w:val="00AB470E"/>
    <w:rsid w:val="00AB5A7E"/>
    <w:rsid w:val="00AB69F2"/>
    <w:rsid w:val="00AB7538"/>
    <w:rsid w:val="00AB75A7"/>
    <w:rsid w:val="00AB77F3"/>
    <w:rsid w:val="00AB7BE7"/>
    <w:rsid w:val="00AC04A7"/>
    <w:rsid w:val="00AC0AAD"/>
    <w:rsid w:val="00AC0C2A"/>
    <w:rsid w:val="00AC1231"/>
    <w:rsid w:val="00AC15D4"/>
    <w:rsid w:val="00AC1992"/>
    <w:rsid w:val="00AC1E14"/>
    <w:rsid w:val="00AC2CFA"/>
    <w:rsid w:val="00AC3263"/>
    <w:rsid w:val="00AC3E12"/>
    <w:rsid w:val="00AC406E"/>
    <w:rsid w:val="00AC430C"/>
    <w:rsid w:val="00AC4A6B"/>
    <w:rsid w:val="00AC4AA9"/>
    <w:rsid w:val="00AC5C19"/>
    <w:rsid w:val="00AC60F0"/>
    <w:rsid w:val="00AC6657"/>
    <w:rsid w:val="00AC6A24"/>
    <w:rsid w:val="00AC6D7A"/>
    <w:rsid w:val="00AC72B0"/>
    <w:rsid w:val="00AC7363"/>
    <w:rsid w:val="00AC7401"/>
    <w:rsid w:val="00AC7901"/>
    <w:rsid w:val="00AC79F3"/>
    <w:rsid w:val="00AC7F15"/>
    <w:rsid w:val="00AC7FDD"/>
    <w:rsid w:val="00AD0949"/>
    <w:rsid w:val="00AD0F1D"/>
    <w:rsid w:val="00AD1179"/>
    <w:rsid w:val="00AD1359"/>
    <w:rsid w:val="00AD194B"/>
    <w:rsid w:val="00AD19F0"/>
    <w:rsid w:val="00AD1FCE"/>
    <w:rsid w:val="00AD26E1"/>
    <w:rsid w:val="00AD29CC"/>
    <w:rsid w:val="00AD3268"/>
    <w:rsid w:val="00AD3DE2"/>
    <w:rsid w:val="00AD4261"/>
    <w:rsid w:val="00AD4473"/>
    <w:rsid w:val="00AD46F5"/>
    <w:rsid w:val="00AD51A3"/>
    <w:rsid w:val="00AD598B"/>
    <w:rsid w:val="00AD7154"/>
    <w:rsid w:val="00AD7844"/>
    <w:rsid w:val="00AD797D"/>
    <w:rsid w:val="00AD7C94"/>
    <w:rsid w:val="00AD7E02"/>
    <w:rsid w:val="00AE0483"/>
    <w:rsid w:val="00AE08DD"/>
    <w:rsid w:val="00AE13BD"/>
    <w:rsid w:val="00AE1681"/>
    <w:rsid w:val="00AE1AF9"/>
    <w:rsid w:val="00AE1E60"/>
    <w:rsid w:val="00AE2068"/>
    <w:rsid w:val="00AE2258"/>
    <w:rsid w:val="00AE277E"/>
    <w:rsid w:val="00AE2A36"/>
    <w:rsid w:val="00AE2BC6"/>
    <w:rsid w:val="00AE3251"/>
    <w:rsid w:val="00AE3FE0"/>
    <w:rsid w:val="00AE44A2"/>
    <w:rsid w:val="00AE4A71"/>
    <w:rsid w:val="00AE5058"/>
    <w:rsid w:val="00AE5170"/>
    <w:rsid w:val="00AE51CD"/>
    <w:rsid w:val="00AE5471"/>
    <w:rsid w:val="00AE54AA"/>
    <w:rsid w:val="00AE60E4"/>
    <w:rsid w:val="00AE6872"/>
    <w:rsid w:val="00AE6C58"/>
    <w:rsid w:val="00AE72C4"/>
    <w:rsid w:val="00AE7F05"/>
    <w:rsid w:val="00AE7F38"/>
    <w:rsid w:val="00AF054D"/>
    <w:rsid w:val="00AF0939"/>
    <w:rsid w:val="00AF0A7C"/>
    <w:rsid w:val="00AF1813"/>
    <w:rsid w:val="00AF24E7"/>
    <w:rsid w:val="00AF272B"/>
    <w:rsid w:val="00AF291B"/>
    <w:rsid w:val="00AF2DAA"/>
    <w:rsid w:val="00AF2EBD"/>
    <w:rsid w:val="00AF33AE"/>
    <w:rsid w:val="00AF409A"/>
    <w:rsid w:val="00AF44B1"/>
    <w:rsid w:val="00AF5800"/>
    <w:rsid w:val="00AF6986"/>
    <w:rsid w:val="00AF6D1B"/>
    <w:rsid w:val="00AF73ED"/>
    <w:rsid w:val="00AF7D69"/>
    <w:rsid w:val="00AF7ED2"/>
    <w:rsid w:val="00B004D8"/>
    <w:rsid w:val="00B00830"/>
    <w:rsid w:val="00B00CC5"/>
    <w:rsid w:val="00B016D2"/>
    <w:rsid w:val="00B01E41"/>
    <w:rsid w:val="00B02091"/>
    <w:rsid w:val="00B02B3F"/>
    <w:rsid w:val="00B02B43"/>
    <w:rsid w:val="00B02BCB"/>
    <w:rsid w:val="00B03D36"/>
    <w:rsid w:val="00B03F3D"/>
    <w:rsid w:val="00B04384"/>
    <w:rsid w:val="00B04540"/>
    <w:rsid w:val="00B05116"/>
    <w:rsid w:val="00B051A7"/>
    <w:rsid w:val="00B05574"/>
    <w:rsid w:val="00B05F1A"/>
    <w:rsid w:val="00B07B33"/>
    <w:rsid w:val="00B07FA2"/>
    <w:rsid w:val="00B100CF"/>
    <w:rsid w:val="00B10E82"/>
    <w:rsid w:val="00B111A6"/>
    <w:rsid w:val="00B115E5"/>
    <w:rsid w:val="00B118EE"/>
    <w:rsid w:val="00B11B03"/>
    <w:rsid w:val="00B11C5B"/>
    <w:rsid w:val="00B121CD"/>
    <w:rsid w:val="00B12343"/>
    <w:rsid w:val="00B12529"/>
    <w:rsid w:val="00B128C5"/>
    <w:rsid w:val="00B12B11"/>
    <w:rsid w:val="00B12C94"/>
    <w:rsid w:val="00B135AB"/>
    <w:rsid w:val="00B137BF"/>
    <w:rsid w:val="00B13A1B"/>
    <w:rsid w:val="00B13A59"/>
    <w:rsid w:val="00B142D9"/>
    <w:rsid w:val="00B14BC4"/>
    <w:rsid w:val="00B156C8"/>
    <w:rsid w:val="00B158A3"/>
    <w:rsid w:val="00B15B25"/>
    <w:rsid w:val="00B15EA0"/>
    <w:rsid w:val="00B17A4E"/>
    <w:rsid w:val="00B17B30"/>
    <w:rsid w:val="00B17C2F"/>
    <w:rsid w:val="00B21175"/>
    <w:rsid w:val="00B2153E"/>
    <w:rsid w:val="00B21FA7"/>
    <w:rsid w:val="00B22022"/>
    <w:rsid w:val="00B225E4"/>
    <w:rsid w:val="00B23F7A"/>
    <w:rsid w:val="00B240B1"/>
    <w:rsid w:val="00B24208"/>
    <w:rsid w:val="00B24728"/>
    <w:rsid w:val="00B248A9"/>
    <w:rsid w:val="00B24D28"/>
    <w:rsid w:val="00B24F1C"/>
    <w:rsid w:val="00B25890"/>
    <w:rsid w:val="00B25D76"/>
    <w:rsid w:val="00B27032"/>
    <w:rsid w:val="00B30003"/>
    <w:rsid w:val="00B31201"/>
    <w:rsid w:val="00B3167E"/>
    <w:rsid w:val="00B319F7"/>
    <w:rsid w:val="00B31B4B"/>
    <w:rsid w:val="00B31CD5"/>
    <w:rsid w:val="00B31E36"/>
    <w:rsid w:val="00B32E26"/>
    <w:rsid w:val="00B338B7"/>
    <w:rsid w:val="00B34061"/>
    <w:rsid w:val="00B3440A"/>
    <w:rsid w:val="00B34441"/>
    <w:rsid w:val="00B35534"/>
    <w:rsid w:val="00B35A87"/>
    <w:rsid w:val="00B35AB6"/>
    <w:rsid w:val="00B35AFD"/>
    <w:rsid w:val="00B35F9A"/>
    <w:rsid w:val="00B36236"/>
    <w:rsid w:val="00B3662E"/>
    <w:rsid w:val="00B366D2"/>
    <w:rsid w:val="00B366FA"/>
    <w:rsid w:val="00B36E86"/>
    <w:rsid w:val="00B37122"/>
    <w:rsid w:val="00B379BA"/>
    <w:rsid w:val="00B40139"/>
    <w:rsid w:val="00B410E1"/>
    <w:rsid w:val="00B412FD"/>
    <w:rsid w:val="00B422BE"/>
    <w:rsid w:val="00B4241D"/>
    <w:rsid w:val="00B426BB"/>
    <w:rsid w:val="00B42EB9"/>
    <w:rsid w:val="00B434E9"/>
    <w:rsid w:val="00B441FE"/>
    <w:rsid w:val="00B44821"/>
    <w:rsid w:val="00B44AD3"/>
    <w:rsid w:val="00B44BDC"/>
    <w:rsid w:val="00B45152"/>
    <w:rsid w:val="00B45E54"/>
    <w:rsid w:val="00B461E5"/>
    <w:rsid w:val="00B46325"/>
    <w:rsid w:val="00B464E4"/>
    <w:rsid w:val="00B4689A"/>
    <w:rsid w:val="00B46D5F"/>
    <w:rsid w:val="00B46E7B"/>
    <w:rsid w:val="00B47DC5"/>
    <w:rsid w:val="00B505B3"/>
    <w:rsid w:val="00B50A74"/>
    <w:rsid w:val="00B520A0"/>
    <w:rsid w:val="00B5257E"/>
    <w:rsid w:val="00B525CE"/>
    <w:rsid w:val="00B52CFD"/>
    <w:rsid w:val="00B53FC4"/>
    <w:rsid w:val="00B545A8"/>
    <w:rsid w:val="00B548E8"/>
    <w:rsid w:val="00B56527"/>
    <w:rsid w:val="00B56918"/>
    <w:rsid w:val="00B576DA"/>
    <w:rsid w:val="00B57710"/>
    <w:rsid w:val="00B601C9"/>
    <w:rsid w:val="00B60D04"/>
    <w:rsid w:val="00B61EE8"/>
    <w:rsid w:val="00B62D9B"/>
    <w:rsid w:val="00B633A3"/>
    <w:rsid w:val="00B63533"/>
    <w:rsid w:val="00B63BDB"/>
    <w:rsid w:val="00B64A0E"/>
    <w:rsid w:val="00B64CC6"/>
    <w:rsid w:val="00B64DDF"/>
    <w:rsid w:val="00B65728"/>
    <w:rsid w:val="00B6601E"/>
    <w:rsid w:val="00B663AA"/>
    <w:rsid w:val="00B66DD5"/>
    <w:rsid w:val="00B6715C"/>
    <w:rsid w:val="00B67B97"/>
    <w:rsid w:val="00B67F01"/>
    <w:rsid w:val="00B711AB"/>
    <w:rsid w:val="00B714E9"/>
    <w:rsid w:val="00B714F0"/>
    <w:rsid w:val="00B71A40"/>
    <w:rsid w:val="00B71BFA"/>
    <w:rsid w:val="00B71C8C"/>
    <w:rsid w:val="00B71CB4"/>
    <w:rsid w:val="00B71FD7"/>
    <w:rsid w:val="00B72003"/>
    <w:rsid w:val="00B7210F"/>
    <w:rsid w:val="00B725E7"/>
    <w:rsid w:val="00B72C07"/>
    <w:rsid w:val="00B72DF7"/>
    <w:rsid w:val="00B72F42"/>
    <w:rsid w:val="00B73E44"/>
    <w:rsid w:val="00B74290"/>
    <w:rsid w:val="00B74510"/>
    <w:rsid w:val="00B74822"/>
    <w:rsid w:val="00B74BD4"/>
    <w:rsid w:val="00B74BF7"/>
    <w:rsid w:val="00B7593D"/>
    <w:rsid w:val="00B76185"/>
    <w:rsid w:val="00B7676C"/>
    <w:rsid w:val="00B76BCD"/>
    <w:rsid w:val="00B76FBC"/>
    <w:rsid w:val="00B7782B"/>
    <w:rsid w:val="00B779E6"/>
    <w:rsid w:val="00B804E2"/>
    <w:rsid w:val="00B811B2"/>
    <w:rsid w:val="00B82024"/>
    <w:rsid w:val="00B8276E"/>
    <w:rsid w:val="00B83997"/>
    <w:rsid w:val="00B83A62"/>
    <w:rsid w:val="00B83B59"/>
    <w:rsid w:val="00B84252"/>
    <w:rsid w:val="00B84677"/>
    <w:rsid w:val="00B8468F"/>
    <w:rsid w:val="00B84FC6"/>
    <w:rsid w:val="00B857F5"/>
    <w:rsid w:val="00B85A56"/>
    <w:rsid w:val="00B85B2C"/>
    <w:rsid w:val="00B86B23"/>
    <w:rsid w:val="00B86D6C"/>
    <w:rsid w:val="00B86F47"/>
    <w:rsid w:val="00B874B4"/>
    <w:rsid w:val="00B875E9"/>
    <w:rsid w:val="00B8787A"/>
    <w:rsid w:val="00B87887"/>
    <w:rsid w:val="00B90123"/>
    <w:rsid w:val="00B90196"/>
    <w:rsid w:val="00B90FBE"/>
    <w:rsid w:val="00B911C1"/>
    <w:rsid w:val="00B92008"/>
    <w:rsid w:val="00B922C3"/>
    <w:rsid w:val="00B9272E"/>
    <w:rsid w:val="00B927A7"/>
    <w:rsid w:val="00B92991"/>
    <w:rsid w:val="00B92B9E"/>
    <w:rsid w:val="00B93315"/>
    <w:rsid w:val="00B93519"/>
    <w:rsid w:val="00B9372A"/>
    <w:rsid w:val="00B93FD0"/>
    <w:rsid w:val="00B9425C"/>
    <w:rsid w:val="00B94AAF"/>
    <w:rsid w:val="00B94DB1"/>
    <w:rsid w:val="00B953FF"/>
    <w:rsid w:val="00B9622D"/>
    <w:rsid w:val="00B96263"/>
    <w:rsid w:val="00B968A5"/>
    <w:rsid w:val="00B972CD"/>
    <w:rsid w:val="00B9769B"/>
    <w:rsid w:val="00B97D02"/>
    <w:rsid w:val="00BA0304"/>
    <w:rsid w:val="00BA0557"/>
    <w:rsid w:val="00BA2A34"/>
    <w:rsid w:val="00BA3038"/>
    <w:rsid w:val="00BA3319"/>
    <w:rsid w:val="00BA370A"/>
    <w:rsid w:val="00BA3826"/>
    <w:rsid w:val="00BA48BC"/>
    <w:rsid w:val="00BA4A29"/>
    <w:rsid w:val="00BA4BE7"/>
    <w:rsid w:val="00BA5F20"/>
    <w:rsid w:val="00BA68D9"/>
    <w:rsid w:val="00BA7172"/>
    <w:rsid w:val="00BA7B01"/>
    <w:rsid w:val="00BB02D7"/>
    <w:rsid w:val="00BB0D9F"/>
    <w:rsid w:val="00BB0DEE"/>
    <w:rsid w:val="00BB1031"/>
    <w:rsid w:val="00BB1B33"/>
    <w:rsid w:val="00BB2480"/>
    <w:rsid w:val="00BB2C4E"/>
    <w:rsid w:val="00BB2E29"/>
    <w:rsid w:val="00BB2F74"/>
    <w:rsid w:val="00BB3206"/>
    <w:rsid w:val="00BB32C2"/>
    <w:rsid w:val="00BB3B0D"/>
    <w:rsid w:val="00BB524C"/>
    <w:rsid w:val="00BB5DAB"/>
    <w:rsid w:val="00BB6195"/>
    <w:rsid w:val="00BB61A3"/>
    <w:rsid w:val="00BB707E"/>
    <w:rsid w:val="00BB7568"/>
    <w:rsid w:val="00BB7F82"/>
    <w:rsid w:val="00BC007C"/>
    <w:rsid w:val="00BC0AB2"/>
    <w:rsid w:val="00BC1308"/>
    <w:rsid w:val="00BC1BF4"/>
    <w:rsid w:val="00BC2600"/>
    <w:rsid w:val="00BC2F24"/>
    <w:rsid w:val="00BC33BE"/>
    <w:rsid w:val="00BC3A47"/>
    <w:rsid w:val="00BC3DA4"/>
    <w:rsid w:val="00BC3EEB"/>
    <w:rsid w:val="00BC4780"/>
    <w:rsid w:val="00BC4908"/>
    <w:rsid w:val="00BC4DD7"/>
    <w:rsid w:val="00BC4F46"/>
    <w:rsid w:val="00BC52C8"/>
    <w:rsid w:val="00BC5485"/>
    <w:rsid w:val="00BC549C"/>
    <w:rsid w:val="00BC570E"/>
    <w:rsid w:val="00BC5A6C"/>
    <w:rsid w:val="00BC5AF6"/>
    <w:rsid w:val="00BC5B4B"/>
    <w:rsid w:val="00BC5EDB"/>
    <w:rsid w:val="00BC69A2"/>
    <w:rsid w:val="00BC6ED6"/>
    <w:rsid w:val="00BC6F03"/>
    <w:rsid w:val="00BC6FA1"/>
    <w:rsid w:val="00BD024F"/>
    <w:rsid w:val="00BD0570"/>
    <w:rsid w:val="00BD0853"/>
    <w:rsid w:val="00BD112D"/>
    <w:rsid w:val="00BD214E"/>
    <w:rsid w:val="00BD22F7"/>
    <w:rsid w:val="00BD2395"/>
    <w:rsid w:val="00BD25B8"/>
    <w:rsid w:val="00BD27CC"/>
    <w:rsid w:val="00BD2842"/>
    <w:rsid w:val="00BD2892"/>
    <w:rsid w:val="00BD3120"/>
    <w:rsid w:val="00BD3354"/>
    <w:rsid w:val="00BD368C"/>
    <w:rsid w:val="00BD384E"/>
    <w:rsid w:val="00BD3E76"/>
    <w:rsid w:val="00BD3EE2"/>
    <w:rsid w:val="00BD3FCF"/>
    <w:rsid w:val="00BD42D2"/>
    <w:rsid w:val="00BD44CE"/>
    <w:rsid w:val="00BD47D7"/>
    <w:rsid w:val="00BD4EFB"/>
    <w:rsid w:val="00BD5076"/>
    <w:rsid w:val="00BD5551"/>
    <w:rsid w:val="00BD5AF1"/>
    <w:rsid w:val="00BD6D43"/>
    <w:rsid w:val="00BD7090"/>
    <w:rsid w:val="00BD7490"/>
    <w:rsid w:val="00BD767F"/>
    <w:rsid w:val="00BE09C3"/>
    <w:rsid w:val="00BE0C27"/>
    <w:rsid w:val="00BE15BB"/>
    <w:rsid w:val="00BE198F"/>
    <w:rsid w:val="00BE1A78"/>
    <w:rsid w:val="00BE473E"/>
    <w:rsid w:val="00BE5135"/>
    <w:rsid w:val="00BE5964"/>
    <w:rsid w:val="00BE5F2B"/>
    <w:rsid w:val="00BE623F"/>
    <w:rsid w:val="00BE660B"/>
    <w:rsid w:val="00BE6AFE"/>
    <w:rsid w:val="00BE6BBE"/>
    <w:rsid w:val="00BE6FDA"/>
    <w:rsid w:val="00BE7021"/>
    <w:rsid w:val="00BE7300"/>
    <w:rsid w:val="00BE784F"/>
    <w:rsid w:val="00BE78CE"/>
    <w:rsid w:val="00BE7B7D"/>
    <w:rsid w:val="00BF0238"/>
    <w:rsid w:val="00BF0717"/>
    <w:rsid w:val="00BF071D"/>
    <w:rsid w:val="00BF1750"/>
    <w:rsid w:val="00BF178E"/>
    <w:rsid w:val="00BF189F"/>
    <w:rsid w:val="00BF1B44"/>
    <w:rsid w:val="00BF1F01"/>
    <w:rsid w:val="00BF21FF"/>
    <w:rsid w:val="00BF23CC"/>
    <w:rsid w:val="00BF243F"/>
    <w:rsid w:val="00BF284E"/>
    <w:rsid w:val="00BF2F93"/>
    <w:rsid w:val="00BF3ACF"/>
    <w:rsid w:val="00BF3C2A"/>
    <w:rsid w:val="00BF4C2B"/>
    <w:rsid w:val="00BF507A"/>
    <w:rsid w:val="00BF53F1"/>
    <w:rsid w:val="00BF5717"/>
    <w:rsid w:val="00BF5B9D"/>
    <w:rsid w:val="00BF5CD8"/>
    <w:rsid w:val="00BF5FA3"/>
    <w:rsid w:val="00BF62F2"/>
    <w:rsid w:val="00BF63A5"/>
    <w:rsid w:val="00BF72A7"/>
    <w:rsid w:val="00BF7558"/>
    <w:rsid w:val="00C0111E"/>
    <w:rsid w:val="00C02676"/>
    <w:rsid w:val="00C029AB"/>
    <w:rsid w:val="00C03BD5"/>
    <w:rsid w:val="00C03C8B"/>
    <w:rsid w:val="00C03F3C"/>
    <w:rsid w:val="00C049BE"/>
    <w:rsid w:val="00C04A71"/>
    <w:rsid w:val="00C04DF0"/>
    <w:rsid w:val="00C05A4C"/>
    <w:rsid w:val="00C05A67"/>
    <w:rsid w:val="00C073E0"/>
    <w:rsid w:val="00C1001D"/>
    <w:rsid w:val="00C10B5A"/>
    <w:rsid w:val="00C11113"/>
    <w:rsid w:val="00C11687"/>
    <w:rsid w:val="00C117BE"/>
    <w:rsid w:val="00C11E28"/>
    <w:rsid w:val="00C1225B"/>
    <w:rsid w:val="00C122F9"/>
    <w:rsid w:val="00C12459"/>
    <w:rsid w:val="00C1253A"/>
    <w:rsid w:val="00C128C9"/>
    <w:rsid w:val="00C12CF3"/>
    <w:rsid w:val="00C12F88"/>
    <w:rsid w:val="00C131A8"/>
    <w:rsid w:val="00C1322D"/>
    <w:rsid w:val="00C135A3"/>
    <w:rsid w:val="00C1477A"/>
    <w:rsid w:val="00C14A62"/>
    <w:rsid w:val="00C158EB"/>
    <w:rsid w:val="00C159B1"/>
    <w:rsid w:val="00C161F5"/>
    <w:rsid w:val="00C16C92"/>
    <w:rsid w:val="00C1706B"/>
    <w:rsid w:val="00C17648"/>
    <w:rsid w:val="00C17DB7"/>
    <w:rsid w:val="00C17E48"/>
    <w:rsid w:val="00C17E81"/>
    <w:rsid w:val="00C17FF5"/>
    <w:rsid w:val="00C201E7"/>
    <w:rsid w:val="00C20AA2"/>
    <w:rsid w:val="00C20B91"/>
    <w:rsid w:val="00C21155"/>
    <w:rsid w:val="00C21180"/>
    <w:rsid w:val="00C2146C"/>
    <w:rsid w:val="00C214D7"/>
    <w:rsid w:val="00C21561"/>
    <w:rsid w:val="00C217EE"/>
    <w:rsid w:val="00C21CBF"/>
    <w:rsid w:val="00C22784"/>
    <w:rsid w:val="00C227D6"/>
    <w:rsid w:val="00C2395D"/>
    <w:rsid w:val="00C23A4C"/>
    <w:rsid w:val="00C2419D"/>
    <w:rsid w:val="00C243A4"/>
    <w:rsid w:val="00C24416"/>
    <w:rsid w:val="00C248DB"/>
    <w:rsid w:val="00C26170"/>
    <w:rsid w:val="00C26B5A"/>
    <w:rsid w:val="00C26BDC"/>
    <w:rsid w:val="00C26D52"/>
    <w:rsid w:val="00C26F21"/>
    <w:rsid w:val="00C277DA"/>
    <w:rsid w:val="00C303E4"/>
    <w:rsid w:val="00C30775"/>
    <w:rsid w:val="00C30B8D"/>
    <w:rsid w:val="00C310BA"/>
    <w:rsid w:val="00C3134E"/>
    <w:rsid w:val="00C315D8"/>
    <w:rsid w:val="00C31C4A"/>
    <w:rsid w:val="00C31D2D"/>
    <w:rsid w:val="00C32371"/>
    <w:rsid w:val="00C32639"/>
    <w:rsid w:val="00C32A1C"/>
    <w:rsid w:val="00C32AD2"/>
    <w:rsid w:val="00C34193"/>
    <w:rsid w:val="00C347FD"/>
    <w:rsid w:val="00C34DAE"/>
    <w:rsid w:val="00C34E1E"/>
    <w:rsid w:val="00C34E5A"/>
    <w:rsid w:val="00C35A84"/>
    <w:rsid w:val="00C36219"/>
    <w:rsid w:val="00C3698E"/>
    <w:rsid w:val="00C36CCA"/>
    <w:rsid w:val="00C36E1C"/>
    <w:rsid w:val="00C36F42"/>
    <w:rsid w:val="00C3718A"/>
    <w:rsid w:val="00C377B1"/>
    <w:rsid w:val="00C379C5"/>
    <w:rsid w:val="00C37E84"/>
    <w:rsid w:val="00C37EEE"/>
    <w:rsid w:val="00C40453"/>
    <w:rsid w:val="00C40E71"/>
    <w:rsid w:val="00C41879"/>
    <w:rsid w:val="00C41A7C"/>
    <w:rsid w:val="00C424ED"/>
    <w:rsid w:val="00C42651"/>
    <w:rsid w:val="00C42CEF"/>
    <w:rsid w:val="00C42D55"/>
    <w:rsid w:val="00C43080"/>
    <w:rsid w:val="00C4370E"/>
    <w:rsid w:val="00C43823"/>
    <w:rsid w:val="00C4384B"/>
    <w:rsid w:val="00C4393C"/>
    <w:rsid w:val="00C44068"/>
    <w:rsid w:val="00C442AE"/>
    <w:rsid w:val="00C4518B"/>
    <w:rsid w:val="00C45780"/>
    <w:rsid w:val="00C458D6"/>
    <w:rsid w:val="00C46268"/>
    <w:rsid w:val="00C4655A"/>
    <w:rsid w:val="00C466BF"/>
    <w:rsid w:val="00C47385"/>
    <w:rsid w:val="00C47555"/>
    <w:rsid w:val="00C476AC"/>
    <w:rsid w:val="00C47E67"/>
    <w:rsid w:val="00C47FD9"/>
    <w:rsid w:val="00C50387"/>
    <w:rsid w:val="00C50C1A"/>
    <w:rsid w:val="00C51508"/>
    <w:rsid w:val="00C51D73"/>
    <w:rsid w:val="00C51DEB"/>
    <w:rsid w:val="00C52A05"/>
    <w:rsid w:val="00C52E97"/>
    <w:rsid w:val="00C52EAF"/>
    <w:rsid w:val="00C53189"/>
    <w:rsid w:val="00C534E5"/>
    <w:rsid w:val="00C534F4"/>
    <w:rsid w:val="00C5375B"/>
    <w:rsid w:val="00C53B15"/>
    <w:rsid w:val="00C53DA9"/>
    <w:rsid w:val="00C53EF7"/>
    <w:rsid w:val="00C54280"/>
    <w:rsid w:val="00C54929"/>
    <w:rsid w:val="00C556B1"/>
    <w:rsid w:val="00C55A05"/>
    <w:rsid w:val="00C55A12"/>
    <w:rsid w:val="00C56101"/>
    <w:rsid w:val="00C565F2"/>
    <w:rsid w:val="00C56C45"/>
    <w:rsid w:val="00C573CC"/>
    <w:rsid w:val="00C57B81"/>
    <w:rsid w:val="00C57FB9"/>
    <w:rsid w:val="00C60145"/>
    <w:rsid w:val="00C6077B"/>
    <w:rsid w:val="00C60950"/>
    <w:rsid w:val="00C609FD"/>
    <w:rsid w:val="00C60DD1"/>
    <w:rsid w:val="00C61565"/>
    <w:rsid w:val="00C61574"/>
    <w:rsid w:val="00C615B4"/>
    <w:rsid w:val="00C61765"/>
    <w:rsid w:val="00C61A90"/>
    <w:rsid w:val="00C6211D"/>
    <w:rsid w:val="00C62B32"/>
    <w:rsid w:val="00C63DED"/>
    <w:rsid w:val="00C63E88"/>
    <w:rsid w:val="00C64F97"/>
    <w:rsid w:val="00C65585"/>
    <w:rsid w:val="00C656EB"/>
    <w:rsid w:val="00C65C5A"/>
    <w:rsid w:val="00C65D7B"/>
    <w:rsid w:val="00C65DF4"/>
    <w:rsid w:val="00C66976"/>
    <w:rsid w:val="00C6762C"/>
    <w:rsid w:val="00C67B49"/>
    <w:rsid w:val="00C70942"/>
    <w:rsid w:val="00C711F5"/>
    <w:rsid w:val="00C713A1"/>
    <w:rsid w:val="00C71828"/>
    <w:rsid w:val="00C72105"/>
    <w:rsid w:val="00C72BCE"/>
    <w:rsid w:val="00C74954"/>
    <w:rsid w:val="00C76028"/>
    <w:rsid w:val="00C76184"/>
    <w:rsid w:val="00C7673D"/>
    <w:rsid w:val="00C76A80"/>
    <w:rsid w:val="00C76C27"/>
    <w:rsid w:val="00C76F07"/>
    <w:rsid w:val="00C77EF6"/>
    <w:rsid w:val="00C80B4B"/>
    <w:rsid w:val="00C80D63"/>
    <w:rsid w:val="00C812D5"/>
    <w:rsid w:val="00C818D0"/>
    <w:rsid w:val="00C81BEA"/>
    <w:rsid w:val="00C81DF5"/>
    <w:rsid w:val="00C82188"/>
    <w:rsid w:val="00C8242B"/>
    <w:rsid w:val="00C829FA"/>
    <w:rsid w:val="00C82A50"/>
    <w:rsid w:val="00C83240"/>
    <w:rsid w:val="00C832E7"/>
    <w:rsid w:val="00C83381"/>
    <w:rsid w:val="00C83607"/>
    <w:rsid w:val="00C83768"/>
    <w:rsid w:val="00C83B18"/>
    <w:rsid w:val="00C840C3"/>
    <w:rsid w:val="00C841B4"/>
    <w:rsid w:val="00C84266"/>
    <w:rsid w:val="00C849E0"/>
    <w:rsid w:val="00C84B74"/>
    <w:rsid w:val="00C8512A"/>
    <w:rsid w:val="00C85970"/>
    <w:rsid w:val="00C85E9B"/>
    <w:rsid w:val="00C874C8"/>
    <w:rsid w:val="00C90165"/>
    <w:rsid w:val="00C90733"/>
    <w:rsid w:val="00C90E5E"/>
    <w:rsid w:val="00C921C4"/>
    <w:rsid w:val="00C9235F"/>
    <w:rsid w:val="00C9257F"/>
    <w:rsid w:val="00C9319C"/>
    <w:rsid w:val="00C931C4"/>
    <w:rsid w:val="00C934F6"/>
    <w:rsid w:val="00C93874"/>
    <w:rsid w:val="00C93A4C"/>
    <w:rsid w:val="00C9448D"/>
    <w:rsid w:val="00C94FD2"/>
    <w:rsid w:val="00C9514C"/>
    <w:rsid w:val="00C95341"/>
    <w:rsid w:val="00C95B76"/>
    <w:rsid w:val="00C964C3"/>
    <w:rsid w:val="00C96635"/>
    <w:rsid w:val="00C966B7"/>
    <w:rsid w:val="00C969DB"/>
    <w:rsid w:val="00C97A4A"/>
    <w:rsid w:val="00C97DC9"/>
    <w:rsid w:val="00C97EE3"/>
    <w:rsid w:val="00CA12BA"/>
    <w:rsid w:val="00CA165C"/>
    <w:rsid w:val="00CA1C0D"/>
    <w:rsid w:val="00CA1DAE"/>
    <w:rsid w:val="00CA2267"/>
    <w:rsid w:val="00CA38AD"/>
    <w:rsid w:val="00CA413F"/>
    <w:rsid w:val="00CA5098"/>
    <w:rsid w:val="00CA5503"/>
    <w:rsid w:val="00CA55C3"/>
    <w:rsid w:val="00CA5839"/>
    <w:rsid w:val="00CA65B3"/>
    <w:rsid w:val="00CA66C3"/>
    <w:rsid w:val="00CA6CAD"/>
    <w:rsid w:val="00CA70A8"/>
    <w:rsid w:val="00CA70D0"/>
    <w:rsid w:val="00CA74A4"/>
    <w:rsid w:val="00CA7683"/>
    <w:rsid w:val="00CA7EA1"/>
    <w:rsid w:val="00CA7EEB"/>
    <w:rsid w:val="00CB009B"/>
    <w:rsid w:val="00CB0231"/>
    <w:rsid w:val="00CB0838"/>
    <w:rsid w:val="00CB0CA9"/>
    <w:rsid w:val="00CB1AFD"/>
    <w:rsid w:val="00CB1E7F"/>
    <w:rsid w:val="00CB1EB3"/>
    <w:rsid w:val="00CB2126"/>
    <w:rsid w:val="00CB24AD"/>
    <w:rsid w:val="00CB2C59"/>
    <w:rsid w:val="00CB2D9C"/>
    <w:rsid w:val="00CB34AB"/>
    <w:rsid w:val="00CB3529"/>
    <w:rsid w:val="00CB3562"/>
    <w:rsid w:val="00CB38A9"/>
    <w:rsid w:val="00CB4728"/>
    <w:rsid w:val="00CB4994"/>
    <w:rsid w:val="00CB556C"/>
    <w:rsid w:val="00CB59E7"/>
    <w:rsid w:val="00CB5E4A"/>
    <w:rsid w:val="00CB668A"/>
    <w:rsid w:val="00CB6976"/>
    <w:rsid w:val="00CB6FCA"/>
    <w:rsid w:val="00CB724D"/>
    <w:rsid w:val="00CB73EA"/>
    <w:rsid w:val="00CB7D4E"/>
    <w:rsid w:val="00CC002B"/>
    <w:rsid w:val="00CC07E5"/>
    <w:rsid w:val="00CC09F0"/>
    <w:rsid w:val="00CC0C11"/>
    <w:rsid w:val="00CC15B5"/>
    <w:rsid w:val="00CC1671"/>
    <w:rsid w:val="00CC1F52"/>
    <w:rsid w:val="00CC233F"/>
    <w:rsid w:val="00CC27FD"/>
    <w:rsid w:val="00CC31E8"/>
    <w:rsid w:val="00CC33C6"/>
    <w:rsid w:val="00CC3AB9"/>
    <w:rsid w:val="00CC3C9E"/>
    <w:rsid w:val="00CC45E0"/>
    <w:rsid w:val="00CC4BBE"/>
    <w:rsid w:val="00CC4BC3"/>
    <w:rsid w:val="00CC50C7"/>
    <w:rsid w:val="00CC55AC"/>
    <w:rsid w:val="00CC5859"/>
    <w:rsid w:val="00CC6159"/>
    <w:rsid w:val="00CC65A8"/>
    <w:rsid w:val="00CC6FF2"/>
    <w:rsid w:val="00CC71F3"/>
    <w:rsid w:val="00CC72C0"/>
    <w:rsid w:val="00CC757D"/>
    <w:rsid w:val="00CC7C74"/>
    <w:rsid w:val="00CD00DB"/>
    <w:rsid w:val="00CD0119"/>
    <w:rsid w:val="00CD07FD"/>
    <w:rsid w:val="00CD0866"/>
    <w:rsid w:val="00CD1169"/>
    <w:rsid w:val="00CD16C7"/>
    <w:rsid w:val="00CD1A40"/>
    <w:rsid w:val="00CD1B33"/>
    <w:rsid w:val="00CD25F3"/>
    <w:rsid w:val="00CD27FF"/>
    <w:rsid w:val="00CD305C"/>
    <w:rsid w:val="00CD3A6D"/>
    <w:rsid w:val="00CD3E5A"/>
    <w:rsid w:val="00CD3E63"/>
    <w:rsid w:val="00CD40A3"/>
    <w:rsid w:val="00CD4CD3"/>
    <w:rsid w:val="00CD578C"/>
    <w:rsid w:val="00CD589F"/>
    <w:rsid w:val="00CD60C9"/>
    <w:rsid w:val="00CD6345"/>
    <w:rsid w:val="00CD6BBB"/>
    <w:rsid w:val="00CD6C19"/>
    <w:rsid w:val="00CD6E47"/>
    <w:rsid w:val="00CD7482"/>
    <w:rsid w:val="00CE07C1"/>
    <w:rsid w:val="00CE111F"/>
    <w:rsid w:val="00CE1567"/>
    <w:rsid w:val="00CE186F"/>
    <w:rsid w:val="00CE1BC4"/>
    <w:rsid w:val="00CE1C09"/>
    <w:rsid w:val="00CE20E3"/>
    <w:rsid w:val="00CE24B7"/>
    <w:rsid w:val="00CE273A"/>
    <w:rsid w:val="00CE321C"/>
    <w:rsid w:val="00CE32E8"/>
    <w:rsid w:val="00CE3700"/>
    <w:rsid w:val="00CE3B69"/>
    <w:rsid w:val="00CE3B77"/>
    <w:rsid w:val="00CE4559"/>
    <w:rsid w:val="00CE5118"/>
    <w:rsid w:val="00CE5487"/>
    <w:rsid w:val="00CE59B5"/>
    <w:rsid w:val="00CE59DB"/>
    <w:rsid w:val="00CE5D3A"/>
    <w:rsid w:val="00CE7381"/>
    <w:rsid w:val="00CE7447"/>
    <w:rsid w:val="00CE74CE"/>
    <w:rsid w:val="00CE7F36"/>
    <w:rsid w:val="00CF0829"/>
    <w:rsid w:val="00CF0E74"/>
    <w:rsid w:val="00CF1833"/>
    <w:rsid w:val="00CF1AEA"/>
    <w:rsid w:val="00CF1B4F"/>
    <w:rsid w:val="00CF2091"/>
    <w:rsid w:val="00CF21F6"/>
    <w:rsid w:val="00CF2278"/>
    <w:rsid w:val="00CF2C62"/>
    <w:rsid w:val="00CF2F66"/>
    <w:rsid w:val="00CF337B"/>
    <w:rsid w:val="00CF3FE7"/>
    <w:rsid w:val="00CF4059"/>
    <w:rsid w:val="00CF4416"/>
    <w:rsid w:val="00CF5762"/>
    <w:rsid w:val="00CF65B4"/>
    <w:rsid w:val="00CF69B0"/>
    <w:rsid w:val="00CF6C05"/>
    <w:rsid w:val="00CF7485"/>
    <w:rsid w:val="00CF7E56"/>
    <w:rsid w:val="00D0139C"/>
    <w:rsid w:val="00D01744"/>
    <w:rsid w:val="00D025CE"/>
    <w:rsid w:val="00D02A0F"/>
    <w:rsid w:val="00D02DF3"/>
    <w:rsid w:val="00D02FB3"/>
    <w:rsid w:val="00D03181"/>
    <w:rsid w:val="00D037DC"/>
    <w:rsid w:val="00D0383B"/>
    <w:rsid w:val="00D03A8A"/>
    <w:rsid w:val="00D03DA5"/>
    <w:rsid w:val="00D03F27"/>
    <w:rsid w:val="00D043EE"/>
    <w:rsid w:val="00D0470D"/>
    <w:rsid w:val="00D05249"/>
    <w:rsid w:val="00D055CA"/>
    <w:rsid w:val="00D057B7"/>
    <w:rsid w:val="00D059FC"/>
    <w:rsid w:val="00D05DEF"/>
    <w:rsid w:val="00D06861"/>
    <w:rsid w:val="00D0688A"/>
    <w:rsid w:val="00D06F22"/>
    <w:rsid w:val="00D07A9C"/>
    <w:rsid w:val="00D07F09"/>
    <w:rsid w:val="00D10076"/>
    <w:rsid w:val="00D1033B"/>
    <w:rsid w:val="00D10477"/>
    <w:rsid w:val="00D107E2"/>
    <w:rsid w:val="00D11D76"/>
    <w:rsid w:val="00D11E73"/>
    <w:rsid w:val="00D121F5"/>
    <w:rsid w:val="00D126E4"/>
    <w:rsid w:val="00D131BF"/>
    <w:rsid w:val="00D140E6"/>
    <w:rsid w:val="00D158EF"/>
    <w:rsid w:val="00D15C14"/>
    <w:rsid w:val="00D15E74"/>
    <w:rsid w:val="00D15FAA"/>
    <w:rsid w:val="00D16ECB"/>
    <w:rsid w:val="00D16EEE"/>
    <w:rsid w:val="00D17167"/>
    <w:rsid w:val="00D1794C"/>
    <w:rsid w:val="00D17BA5"/>
    <w:rsid w:val="00D17EC9"/>
    <w:rsid w:val="00D2058D"/>
    <w:rsid w:val="00D2176E"/>
    <w:rsid w:val="00D2182A"/>
    <w:rsid w:val="00D22105"/>
    <w:rsid w:val="00D2211C"/>
    <w:rsid w:val="00D22945"/>
    <w:rsid w:val="00D22B55"/>
    <w:rsid w:val="00D23055"/>
    <w:rsid w:val="00D230AD"/>
    <w:rsid w:val="00D23536"/>
    <w:rsid w:val="00D251AB"/>
    <w:rsid w:val="00D25AC6"/>
    <w:rsid w:val="00D261D3"/>
    <w:rsid w:val="00D31255"/>
    <w:rsid w:val="00D319DF"/>
    <w:rsid w:val="00D3225E"/>
    <w:rsid w:val="00D324BC"/>
    <w:rsid w:val="00D33565"/>
    <w:rsid w:val="00D33762"/>
    <w:rsid w:val="00D34025"/>
    <w:rsid w:val="00D3413A"/>
    <w:rsid w:val="00D34BD1"/>
    <w:rsid w:val="00D35177"/>
    <w:rsid w:val="00D356E1"/>
    <w:rsid w:val="00D35D14"/>
    <w:rsid w:val="00D37006"/>
    <w:rsid w:val="00D40609"/>
    <w:rsid w:val="00D40983"/>
    <w:rsid w:val="00D41188"/>
    <w:rsid w:val="00D417D3"/>
    <w:rsid w:val="00D418D5"/>
    <w:rsid w:val="00D41A6B"/>
    <w:rsid w:val="00D41DB1"/>
    <w:rsid w:val="00D42045"/>
    <w:rsid w:val="00D4276D"/>
    <w:rsid w:val="00D42798"/>
    <w:rsid w:val="00D42970"/>
    <w:rsid w:val="00D43492"/>
    <w:rsid w:val="00D4364E"/>
    <w:rsid w:val="00D43AED"/>
    <w:rsid w:val="00D44916"/>
    <w:rsid w:val="00D45CA4"/>
    <w:rsid w:val="00D45EA7"/>
    <w:rsid w:val="00D45F22"/>
    <w:rsid w:val="00D46485"/>
    <w:rsid w:val="00D47178"/>
    <w:rsid w:val="00D4752E"/>
    <w:rsid w:val="00D47842"/>
    <w:rsid w:val="00D478A8"/>
    <w:rsid w:val="00D47BEF"/>
    <w:rsid w:val="00D50826"/>
    <w:rsid w:val="00D51675"/>
    <w:rsid w:val="00D51A75"/>
    <w:rsid w:val="00D51F73"/>
    <w:rsid w:val="00D52390"/>
    <w:rsid w:val="00D52827"/>
    <w:rsid w:val="00D529BE"/>
    <w:rsid w:val="00D52CF6"/>
    <w:rsid w:val="00D53198"/>
    <w:rsid w:val="00D53D3E"/>
    <w:rsid w:val="00D547E0"/>
    <w:rsid w:val="00D54992"/>
    <w:rsid w:val="00D55291"/>
    <w:rsid w:val="00D55C48"/>
    <w:rsid w:val="00D55E47"/>
    <w:rsid w:val="00D56997"/>
    <w:rsid w:val="00D570E6"/>
    <w:rsid w:val="00D5730F"/>
    <w:rsid w:val="00D5774F"/>
    <w:rsid w:val="00D578B1"/>
    <w:rsid w:val="00D57A52"/>
    <w:rsid w:val="00D60809"/>
    <w:rsid w:val="00D60D7F"/>
    <w:rsid w:val="00D61C9C"/>
    <w:rsid w:val="00D62111"/>
    <w:rsid w:val="00D62229"/>
    <w:rsid w:val="00D625B8"/>
    <w:rsid w:val="00D626F8"/>
    <w:rsid w:val="00D62B52"/>
    <w:rsid w:val="00D634CD"/>
    <w:rsid w:val="00D636DC"/>
    <w:rsid w:val="00D63F4C"/>
    <w:rsid w:val="00D64265"/>
    <w:rsid w:val="00D64613"/>
    <w:rsid w:val="00D64702"/>
    <w:rsid w:val="00D66BD9"/>
    <w:rsid w:val="00D66BFD"/>
    <w:rsid w:val="00D66C91"/>
    <w:rsid w:val="00D674EE"/>
    <w:rsid w:val="00D67535"/>
    <w:rsid w:val="00D67B2A"/>
    <w:rsid w:val="00D67BC9"/>
    <w:rsid w:val="00D67DBC"/>
    <w:rsid w:val="00D704D9"/>
    <w:rsid w:val="00D706F7"/>
    <w:rsid w:val="00D70BD2"/>
    <w:rsid w:val="00D713F2"/>
    <w:rsid w:val="00D721AA"/>
    <w:rsid w:val="00D72705"/>
    <w:rsid w:val="00D738BF"/>
    <w:rsid w:val="00D73B93"/>
    <w:rsid w:val="00D73C95"/>
    <w:rsid w:val="00D73F99"/>
    <w:rsid w:val="00D745C1"/>
    <w:rsid w:val="00D75676"/>
    <w:rsid w:val="00D75731"/>
    <w:rsid w:val="00D75B45"/>
    <w:rsid w:val="00D75B5C"/>
    <w:rsid w:val="00D75F8C"/>
    <w:rsid w:val="00D76050"/>
    <w:rsid w:val="00D76309"/>
    <w:rsid w:val="00D76423"/>
    <w:rsid w:val="00D767BF"/>
    <w:rsid w:val="00D77278"/>
    <w:rsid w:val="00D775B5"/>
    <w:rsid w:val="00D77961"/>
    <w:rsid w:val="00D77B20"/>
    <w:rsid w:val="00D77B3B"/>
    <w:rsid w:val="00D8007C"/>
    <w:rsid w:val="00D8079F"/>
    <w:rsid w:val="00D8103B"/>
    <w:rsid w:val="00D8111B"/>
    <w:rsid w:val="00D81242"/>
    <w:rsid w:val="00D812D2"/>
    <w:rsid w:val="00D822FA"/>
    <w:rsid w:val="00D82D02"/>
    <w:rsid w:val="00D82D0F"/>
    <w:rsid w:val="00D83A5A"/>
    <w:rsid w:val="00D84157"/>
    <w:rsid w:val="00D84BD7"/>
    <w:rsid w:val="00D84DCA"/>
    <w:rsid w:val="00D850FC"/>
    <w:rsid w:val="00D85114"/>
    <w:rsid w:val="00D857BC"/>
    <w:rsid w:val="00D86144"/>
    <w:rsid w:val="00D8622E"/>
    <w:rsid w:val="00D8718F"/>
    <w:rsid w:val="00D871B6"/>
    <w:rsid w:val="00D875E1"/>
    <w:rsid w:val="00D90275"/>
    <w:rsid w:val="00D902F5"/>
    <w:rsid w:val="00D9075D"/>
    <w:rsid w:val="00D90959"/>
    <w:rsid w:val="00D91410"/>
    <w:rsid w:val="00D91438"/>
    <w:rsid w:val="00D91594"/>
    <w:rsid w:val="00D91A8F"/>
    <w:rsid w:val="00D91ABE"/>
    <w:rsid w:val="00D91DFB"/>
    <w:rsid w:val="00D921DA"/>
    <w:rsid w:val="00D92C2F"/>
    <w:rsid w:val="00D92F7F"/>
    <w:rsid w:val="00D9459D"/>
    <w:rsid w:val="00D94730"/>
    <w:rsid w:val="00D94858"/>
    <w:rsid w:val="00D94972"/>
    <w:rsid w:val="00D954A1"/>
    <w:rsid w:val="00D95519"/>
    <w:rsid w:val="00D95744"/>
    <w:rsid w:val="00D958FC"/>
    <w:rsid w:val="00D959AE"/>
    <w:rsid w:val="00D95DC2"/>
    <w:rsid w:val="00D96678"/>
    <w:rsid w:val="00D96C73"/>
    <w:rsid w:val="00D96D46"/>
    <w:rsid w:val="00D97C27"/>
    <w:rsid w:val="00DA0526"/>
    <w:rsid w:val="00DA0639"/>
    <w:rsid w:val="00DA0CF7"/>
    <w:rsid w:val="00DA0E96"/>
    <w:rsid w:val="00DA1203"/>
    <w:rsid w:val="00DA18DA"/>
    <w:rsid w:val="00DA1F0C"/>
    <w:rsid w:val="00DA1F38"/>
    <w:rsid w:val="00DA2F0F"/>
    <w:rsid w:val="00DA3565"/>
    <w:rsid w:val="00DA3A5B"/>
    <w:rsid w:val="00DA3D0B"/>
    <w:rsid w:val="00DA3F51"/>
    <w:rsid w:val="00DA45DB"/>
    <w:rsid w:val="00DA48D9"/>
    <w:rsid w:val="00DA49F8"/>
    <w:rsid w:val="00DA4AAE"/>
    <w:rsid w:val="00DA5572"/>
    <w:rsid w:val="00DA6A15"/>
    <w:rsid w:val="00DA6CC2"/>
    <w:rsid w:val="00DA7029"/>
    <w:rsid w:val="00DA77A0"/>
    <w:rsid w:val="00DB09A2"/>
    <w:rsid w:val="00DB0C79"/>
    <w:rsid w:val="00DB103D"/>
    <w:rsid w:val="00DB1448"/>
    <w:rsid w:val="00DB1998"/>
    <w:rsid w:val="00DB1FC4"/>
    <w:rsid w:val="00DB21F0"/>
    <w:rsid w:val="00DB24C0"/>
    <w:rsid w:val="00DB2C5F"/>
    <w:rsid w:val="00DB3A58"/>
    <w:rsid w:val="00DB3BDF"/>
    <w:rsid w:val="00DB3C58"/>
    <w:rsid w:val="00DB3D46"/>
    <w:rsid w:val="00DB401C"/>
    <w:rsid w:val="00DB46C8"/>
    <w:rsid w:val="00DB540E"/>
    <w:rsid w:val="00DB5A63"/>
    <w:rsid w:val="00DB6166"/>
    <w:rsid w:val="00DB656B"/>
    <w:rsid w:val="00DB691E"/>
    <w:rsid w:val="00DB75A3"/>
    <w:rsid w:val="00DB799D"/>
    <w:rsid w:val="00DB79C8"/>
    <w:rsid w:val="00DC0574"/>
    <w:rsid w:val="00DC0C65"/>
    <w:rsid w:val="00DC16BF"/>
    <w:rsid w:val="00DC16E1"/>
    <w:rsid w:val="00DC16FC"/>
    <w:rsid w:val="00DC1881"/>
    <w:rsid w:val="00DC1ED7"/>
    <w:rsid w:val="00DC3A6F"/>
    <w:rsid w:val="00DC3D1C"/>
    <w:rsid w:val="00DC43E1"/>
    <w:rsid w:val="00DC45DD"/>
    <w:rsid w:val="00DC4EE7"/>
    <w:rsid w:val="00DC5199"/>
    <w:rsid w:val="00DC5A32"/>
    <w:rsid w:val="00DC5E4E"/>
    <w:rsid w:val="00DC651B"/>
    <w:rsid w:val="00DC662F"/>
    <w:rsid w:val="00DC6E78"/>
    <w:rsid w:val="00DC729A"/>
    <w:rsid w:val="00DC7328"/>
    <w:rsid w:val="00DC73B1"/>
    <w:rsid w:val="00DC7519"/>
    <w:rsid w:val="00DC75C6"/>
    <w:rsid w:val="00DC7630"/>
    <w:rsid w:val="00DC7EB5"/>
    <w:rsid w:val="00DD04AC"/>
    <w:rsid w:val="00DD04DD"/>
    <w:rsid w:val="00DD0891"/>
    <w:rsid w:val="00DD0B35"/>
    <w:rsid w:val="00DD0F9F"/>
    <w:rsid w:val="00DD11A7"/>
    <w:rsid w:val="00DD1298"/>
    <w:rsid w:val="00DD2300"/>
    <w:rsid w:val="00DD2309"/>
    <w:rsid w:val="00DD28B3"/>
    <w:rsid w:val="00DD2DE3"/>
    <w:rsid w:val="00DD2DE8"/>
    <w:rsid w:val="00DD316F"/>
    <w:rsid w:val="00DD357C"/>
    <w:rsid w:val="00DD37CA"/>
    <w:rsid w:val="00DD3D55"/>
    <w:rsid w:val="00DD3DF7"/>
    <w:rsid w:val="00DD4AE2"/>
    <w:rsid w:val="00DD4BFA"/>
    <w:rsid w:val="00DD51F8"/>
    <w:rsid w:val="00DD6388"/>
    <w:rsid w:val="00DD6C53"/>
    <w:rsid w:val="00DD7198"/>
    <w:rsid w:val="00DD7199"/>
    <w:rsid w:val="00DD7C44"/>
    <w:rsid w:val="00DD7CB6"/>
    <w:rsid w:val="00DE0077"/>
    <w:rsid w:val="00DE0137"/>
    <w:rsid w:val="00DE01BA"/>
    <w:rsid w:val="00DE0DCF"/>
    <w:rsid w:val="00DE137B"/>
    <w:rsid w:val="00DE13D4"/>
    <w:rsid w:val="00DE13FD"/>
    <w:rsid w:val="00DE19D9"/>
    <w:rsid w:val="00DE1C18"/>
    <w:rsid w:val="00DE1DC6"/>
    <w:rsid w:val="00DE1F77"/>
    <w:rsid w:val="00DE21C6"/>
    <w:rsid w:val="00DE22AA"/>
    <w:rsid w:val="00DE288F"/>
    <w:rsid w:val="00DE2D49"/>
    <w:rsid w:val="00DE388A"/>
    <w:rsid w:val="00DE3E66"/>
    <w:rsid w:val="00DE3F75"/>
    <w:rsid w:val="00DE45F5"/>
    <w:rsid w:val="00DE4AAD"/>
    <w:rsid w:val="00DE4C0C"/>
    <w:rsid w:val="00DE4FC8"/>
    <w:rsid w:val="00DE53B5"/>
    <w:rsid w:val="00DE5A50"/>
    <w:rsid w:val="00DE60C5"/>
    <w:rsid w:val="00DE7323"/>
    <w:rsid w:val="00DE75F0"/>
    <w:rsid w:val="00DE77CB"/>
    <w:rsid w:val="00DE7EBA"/>
    <w:rsid w:val="00DF04BD"/>
    <w:rsid w:val="00DF068D"/>
    <w:rsid w:val="00DF0D3A"/>
    <w:rsid w:val="00DF1A9A"/>
    <w:rsid w:val="00DF1C2D"/>
    <w:rsid w:val="00DF1DB6"/>
    <w:rsid w:val="00DF1F8A"/>
    <w:rsid w:val="00DF248E"/>
    <w:rsid w:val="00DF253D"/>
    <w:rsid w:val="00DF3222"/>
    <w:rsid w:val="00DF3577"/>
    <w:rsid w:val="00DF4063"/>
    <w:rsid w:val="00DF5F13"/>
    <w:rsid w:val="00DF63DD"/>
    <w:rsid w:val="00DF6B62"/>
    <w:rsid w:val="00DF7828"/>
    <w:rsid w:val="00DF7BD0"/>
    <w:rsid w:val="00DF7BDF"/>
    <w:rsid w:val="00E00303"/>
    <w:rsid w:val="00E00489"/>
    <w:rsid w:val="00E00A62"/>
    <w:rsid w:val="00E010A0"/>
    <w:rsid w:val="00E0125E"/>
    <w:rsid w:val="00E01668"/>
    <w:rsid w:val="00E0173A"/>
    <w:rsid w:val="00E01849"/>
    <w:rsid w:val="00E01A5F"/>
    <w:rsid w:val="00E020D1"/>
    <w:rsid w:val="00E0250C"/>
    <w:rsid w:val="00E02A21"/>
    <w:rsid w:val="00E02B64"/>
    <w:rsid w:val="00E02EAD"/>
    <w:rsid w:val="00E03D3F"/>
    <w:rsid w:val="00E0437C"/>
    <w:rsid w:val="00E0452C"/>
    <w:rsid w:val="00E04D61"/>
    <w:rsid w:val="00E0504C"/>
    <w:rsid w:val="00E05074"/>
    <w:rsid w:val="00E05489"/>
    <w:rsid w:val="00E05741"/>
    <w:rsid w:val="00E05F7F"/>
    <w:rsid w:val="00E06930"/>
    <w:rsid w:val="00E06971"/>
    <w:rsid w:val="00E06B43"/>
    <w:rsid w:val="00E06E32"/>
    <w:rsid w:val="00E06EC4"/>
    <w:rsid w:val="00E070D9"/>
    <w:rsid w:val="00E105B3"/>
    <w:rsid w:val="00E10846"/>
    <w:rsid w:val="00E108F4"/>
    <w:rsid w:val="00E10A4B"/>
    <w:rsid w:val="00E10D4E"/>
    <w:rsid w:val="00E1100C"/>
    <w:rsid w:val="00E11489"/>
    <w:rsid w:val="00E11711"/>
    <w:rsid w:val="00E11E63"/>
    <w:rsid w:val="00E12696"/>
    <w:rsid w:val="00E12DEE"/>
    <w:rsid w:val="00E1310D"/>
    <w:rsid w:val="00E13359"/>
    <w:rsid w:val="00E138BF"/>
    <w:rsid w:val="00E14EFA"/>
    <w:rsid w:val="00E151B9"/>
    <w:rsid w:val="00E1566E"/>
    <w:rsid w:val="00E158C4"/>
    <w:rsid w:val="00E161E6"/>
    <w:rsid w:val="00E167C9"/>
    <w:rsid w:val="00E1698C"/>
    <w:rsid w:val="00E172BE"/>
    <w:rsid w:val="00E17CF7"/>
    <w:rsid w:val="00E205D6"/>
    <w:rsid w:val="00E216EC"/>
    <w:rsid w:val="00E2189A"/>
    <w:rsid w:val="00E22B5A"/>
    <w:rsid w:val="00E22B68"/>
    <w:rsid w:val="00E231C9"/>
    <w:rsid w:val="00E23379"/>
    <w:rsid w:val="00E23EBF"/>
    <w:rsid w:val="00E23FD5"/>
    <w:rsid w:val="00E24669"/>
    <w:rsid w:val="00E248B2"/>
    <w:rsid w:val="00E24C48"/>
    <w:rsid w:val="00E24D50"/>
    <w:rsid w:val="00E25981"/>
    <w:rsid w:val="00E25BC1"/>
    <w:rsid w:val="00E26141"/>
    <w:rsid w:val="00E266F5"/>
    <w:rsid w:val="00E26F90"/>
    <w:rsid w:val="00E270D3"/>
    <w:rsid w:val="00E27FC7"/>
    <w:rsid w:val="00E30031"/>
    <w:rsid w:val="00E30700"/>
    <w:rsid w:val="00E30D87"/>
    <w:rsid w:val="00E30E57"/>
    <w:rsid w:val="00E31360"/>
    <w:rsid w:val="00E31A62"/>
    <w:rsid w:val="00E31D28"/>
    <w:rsid w:val="00E325FF"/>
    <w:rsid w:val="00E32CB8"/>
    <w:rsid w:val="00E3419B"/>
    <w:rsid w:val="00E3440F"/>
    <w:rsid w:val="00E34F3A"/>
    <w:rsid w:val="00E35030"/>
    <w:rsid w:val="00E35F99"/>
    <w:rsid w:val="00E35F9A"/>
    <w:rsid w:val="00E3637F"/>
    <w:rsid w:val="00E364B6"/>
    <w:rsid w:val="00E36723"/>
    <w:rsid w:val="00E3713C"/>
    <w:rsid w:val="00E3767B"/>
    <w:rsid w:val="00E37A3D"/>
    <w:rsid w:val="00E37E1C"/>
    <w:rsid w:val="00E40126"/>
    <w:rsid w:val="00E40CBF"/>
    <w:rsid w:val="00E40E7D"/>
    <w:rsid w:val="00E40EE4"/>
    <w:rsid w:val="00E413C6"/>
    <w:rsid w:val="00E41C4E"/>
    <w:rsid w:val="00E420D5"/>
    <w:rsid w:val="00E42517"/>
    <w:rsid w:val="00E42D55"/>
    <w:rsid w:val="00E42FFE"/>
    <w:rsid w:val="00E4316E"/>
    <w:rsid w:val="00E435AB"/>
    <w:rsid w:val="00E44275"/>
    <w:rsid w:val="00E44777"/>
    <w:rsid w:val="00E4535F"/>
    <w:rsid w:val="00E466BC"/>
    <w:rsid w:val="00E4686A"/>
    <w:rsid w:val="00E47538"/>
    <w:rsid w:val="00E479FD"/>
    <w:rsid w:val="00E47EC6"/>
    <w:rsid w:val="00E504D6"/>
    <w:rsid w:val="00E50B6F"/>
    <w:rsid w:val="00E50DF1"/>
    <w:rsid w:val="00E50EBE"/>
    <w:rsid w:val="00E50F69"/>
    <w:rsid w:val="00E50FC6"/>
    <w:rsid w:val="00E517CD"/>
    <w:rsid w:val="00E52185"/>
    <w:rsid w:val="00E52372"/>
    <w:rsid w:val="00E52786"/>
    <w:rsid w:val="00E52C21"/>
    <w:rsid w:val="00E52F05"/>
    <w:rsid w:val="00E53785"/>
    <w:rsid w:val="00E53DB1"/>
    <w:rsid w:val="00E540CA"/>
    <w:rsid w:val="00E54B37"/>
    <w:rsid w:val="00E54DE9"/>
    <w:rsid w:val="00E55B28"/>
    <w:rsid w:val="00E56D4A"/>
    <w:rsid w:val="00E57119"/>
    <w:rsid w:val="00E5719E"/>
    <w:rsid w:val="00E57BDA"/>
    <w:rsid w:val="00E57D7B"/>
    <w:rsid w:val="00E57F4B"/>
    <w:rsid w:val="00E602E5"/>
    <w:rsid w:val="00E602F8"/>
    <w:rsid w:val="00E6085B"/>
    <w:rsid w:val="00E60FBA"/>
    <w:rsid w:val="00E60FBF"/>
    <w:rsid w:val="00E616F9"/>
    <w:rsid w:val="00E61852"/>
    <w:rsid w:val="00E61A0C"/>
    <w:rsid w:val="00E61D22"/>
    <w:rsid w:val="00E61D96"/>
    <w:rsid w:val="00E61E4B"/>
    <w:rsid w:val="00E6342F"/>
    <w:rsid w:val="00E63DA2"/>
    <w:rsid w:val="00E642AF"/>
    <w:rsid w:val="00E644C6"/>
    <w:rsid w:val="00E64555"/>
    <w:rsid w:val="00E64595"/>
    <w:rsid w:val="00E646BB"/>
    <w:rsid w:val="00E64D24"/>
    <w:rsid w:val="00E64E69"/>
    <w:rsid w:val="00E6549C"/>
    <w:rsid w:val="00E654B9"/>
    <w:rsid w:val="00E6589D"/>
    <w:rsid w:val="00E65E8C"/>
    <w:rsid w:val="00E665E7"/>
    <w:rsid w:val="00E66C96"/>
    <w:rsid w:val="00E6703E"/>
    <w:rsid w:val="00E70130"/>
    <w:rsid w:val="00E7063F"/>
    <w:rsid w:val="00E715FC"/>
    <w:rsid w:val="00E71A45"/>
    <w:rsid w:val="00E71C21"/>
    <w:rsid w:val="00E72D84"/>
    <w:rsid w:val="00E730FC"/>
    <w:rsid w:val="00E7318D"/>
    <w:rsid w:val="00E7385A"/>
    <w:rsid w:val="00E73CE6"/>
    <w:rsid w:val="00E742D9"/>
    <w:rsid w:val="00E74780"/>
    <w:rsid w:val="00E7487D"/>
    <w:rsid w:val="00E74956"/>
    <w:rsid w:val="00E752F7"/>
    <w:rsid w:val="00E75848"/>
    <w:rsid w:val="00E759D4"/>
    <w:rsid w:val="00E76A3C"/>
    <w:rsid w:val="00E76F9B"/>
    <w:rsid w:val="00E771FC"/>
    <w:rsid w:val="00E773E5"/>
    <w:rsid w:val="00E77511"/>
    <w:rsid w:val="00E77BDD"/>
    <w:rsid w:val="00E806D3"/>
    <w:rsid w:val="00E81C34"/>
    <w:rsid w:val="00E81D83"/>
    <w:rsid w:val="00E821BB"/>
    <w:rsid w:val="00E822E9"/>
    <w:rsid w:val="00E826FE"/>
    <w:rsid w:val="00E8275E"/>
    <w:rsid w:val="00E827AF"/>
    <w:rsid w:val="00E82DE9"/>
    <w:rsid w:val="00E83253"/>
    <w:rsid w:val="00E844AB"/>
    <w:rsid w:val="00E84C97"/>
    <w:rsid w:val="00E85005"/>
    <w:rsid w:val="00E850DA"/>
    <w:rsid w:val="00E85296"/>
    <w:rsid w:val="00E8533B"/>
    <w:rsid w:val="00E8575B"/>
    <w:rsid w:val="00E85931"/>
    <w:rsid w:val="00E85E4E"/>
    <w:rsid w:val="00E862BB"/>
    <w:rsid w:val="00E86327"/>
    <w:rsid w:val="00E868C7"/>
    <w:rsid w:val="00E86DF0"/>
    <w:rsid w:val="00E87BD2"/>
    <w:rsid w:val="00E87CDC"/>
    <w:rsid w:val="00E906E0"/>
    <w:rsid w:val="00E90B33"/>
    <w:rsid w:val="00E911E0"/>
    <w:rsid w:val="00E93407"/>
    <w:rsid w:val="00E940A8"/>
    <w:rsid w:val="00E94759"/>
    <w:rsid w:val="00E947E8"/>
    <w:rsid w:val="00E94B0F"/>
    <w:rsid w:val="00E9503F"/>
    <w:rsid w:val="00E96726"/>
    <w:rsid w:val="00E96E68"/>
    <w:rsid w:val="00E973BA"/>
    <w:rsid w:val="00E97EA1"/>
    <w:rsid w:val="00EA0BBE"/>
    <w:rsid w:val="00EA1FBC"/>
    <w:rsid w:val="00EA20A1"/>
    <w:rsid w:val="00EA212B"/>
    <w:rsid w:val="00EA24FB"/>
    <w:rsid w:val="00EA2D44"/>
    <w:rsid w:val="00EA306E"/>
    <w:rsid w:val="00EA32F4"/>
    <w:rsid w:val="00EA33FA"/>
    <w:rsid w:val="00EA3A1D"/>
    <w:rsid w:val="00EA3CD7"/>
    <w:rsid w:val="00EA3E2D"/>
    <w:rsid w:val="00EA429D"/>
    <w:rsid w:val="00EA43AF"/>
    <w:rsid w:val="00EA4676"/>
    <w:rsid w:val="00EA4C7C"/>
    <w:rsid w:val="00EA4D4C"/>
    <w:rsid w:val="00EA554F"/>
    <w:rsid w:val="00EA6250"/>
    <w:rsid w:val="00EA66A4"/>
    <w:rsid w:val="00EA6819"/>
    <w:rsid w:val="00EA69E4"/>
    <w:rsid w:val="00EA6A1E"/>
    <w:rsid w:val="00EA75BD"/>
    <w:rsid w:val="00EA760C"/>
    <w:rsid w:val="00EA7C47"/>
    <w:rsid w:val="00EB0C01"/>
    <w:rsid w:val="00EB0F0F"/>
    <w:rsid w:val="00EB1053"/>
    <w:rsid w:val="00EB12A5"/>
    <w:rsid w:val="00EB24D8"/>
    <w:rsid w:val="00EB277B"/>
    <w:rsid w:val="00EB2F20"/>
    <w:rsid w:val="00EB2F35"/>
    <w:rsid w:val="00EB31DB"/>
    <w:rsid w:val="00EB3422"/>
    <w:rsid w:val="00EB3A31"/>
    <w:rsid w:val="00EB4EAF"/>
    <w:rsid w:val="00EB548E"/>
    <w:rsid w:val="00EB5C41"/>
    <w:rsid w:val="00EB5F5A"/>
    <w:rsid w:val="00EB657E"/>
    <w:rsid w:val="00EB695E"/>
    <w:rsid w:val="00EB69D1"/>
    <w:rsid w:val="00EB6FE9"/>
    <w:rsid w:val="00EB72FF"/>
    <w:rsid w:val="00EB756F"/>
    <w:rsid w:val="00EB79C8"/>
    <w:rsid w:val="00EB7E78"/>
    <w:rsid w:val="00EC0301"/>
    <w:rsid w:val="00EC09C6"/>
    <w:rsid w:val="00EC0EA5"/>
    <w:rsid w:val="00EC1056"/>
    <w:rsid w:val="00EC1470"/>
    <w:rsid w:val="00EC222E"/>
    <w:rsid w:val="00EC25CD"/>
    <w:rsid w:val="00EC2716"/>
    <w:rsid w:val="00EC2DBB"/>
    <w:rsid w:val="00EC3107"/>
    <w:rsid w:val="00EC358E"/>
    <w:rsid w:val="00EC3F3F"/>
    <w:rsid w:val="00EC3FD2"/>
    <w:rsid w:val="00EC4095"/>
    <w:rsid w:val="00EC43B5"/>
    <w:rsid w:val="00EC4537"/>
    <w:rsid w:val="00EC4960"/>
    <w:rsid w:val="00EC4AE3"/>
    <w:rsid w:val="00EC522B"/>
    <w:rsid w:val="00EC54EE"/>
    <w:rsid w:val="00EC59B2"/>
    <w:rsid w:val="00EC5A3B"/>
    <w:rsid w:val="00EC6BCB"/>
    <w:rsid w:val="00EC774E"/>
    <w:rsid w:val="00EC786C"/>
    <w:rsid w:val="00EC7ADD"/>
    <w:rsid w:val="00ED04FE"/>
    <w:rsid w:val="00ED0DD0"/>
    <w:rsid w:val="00ED1989"/>
    <w:rsid w:val="00ED28F2"/>
    <w:rsid w:val="00ED3145"/>
    <w:rsid w:val="00ED3309"/>
    <w:rsid w:val="00ED356E"/>
    <w:rsid w:val="00ED3BDA"/>
    <w:rsid w:val="00ED3DA4"/>
    <w:rsid w:val="00ED4B67"/>
    <w:rsid w:val="00ED4B69"/>
    <w:rsid w:val="00ED4E40"/>
    <w:rsid w:val="00ED5A3B"/>
    <w:rsid w:val="00ED5C30"/>
    <w:rsid w:val="00ED5E02"/>
    <w:rsid w:val="00ED5EED"/>
    <w:rsid w:val="00ED6B1C"/>
    <w:rsid w:val="00ED6CF7"/>
    <w:rsid w:val="00ED6F33"/>
    <w:rsid w:val="00ED741E"/>
    <w:rsid w:val="00ED7716"/>
    <w:rsid w:val="00ED7737"/>
    <w:rsid w:val="00ED7747"/>
    <w:rsid w:val="00ED7CF4"/>
    <w:rsid w:val="00EE0EA8"/>
    <w:rsid w:val="00EE1B0E"/>
    <w:rsid w:val="00EE22FB"/>
    <w:rsid w:val="00EE2407"/>
    <w:rsid w:val="00EE26AE"/>
    <w:rsid w:val="00EE29C8"/>
    <w:rsid w:val="00EE2A54"/>
    <w:rsid w:val="00EE2FC2"/>
    <w:rsid w:val="00EE3B88"/>
    <w:rsid w:val="00EE4B75"/>
    <w:rsid w:val="00EE4DBD"/>
    <w:rsid w:val="00EE57D6"/>
    <w:rsid w:val="00EE6025"/>
    <w:rsid w:val="00EE6AC6"/>
    <w:rsid w:val="00EE6E26"/>
    <w:rsid w:val="00EE784F"/>
    <w:rsid w:val="00EE7A1D"/>
    <w:rsid w:val="00EF0500"/>
    <w:rsid w:val="00EF0B66"/>
    <w:rsid w:val="00EF1002"/>
    <w:rsid w:val="00EF143F"/>
    <w:rsid w:val="00EF23D8"/>
    <w:rsid w:val="00EF2A5A"/>
    <w:rsid w:val="00EF2A87"/>
    <w:rsid w:val="00EF3A74"/>
    <w:rsid w:val="00EF3AE9"/>
    <w:rsid w:val="00EF3EA5"/>
    <w:rsid w:val="00EF40DC"/>
    <w:rsid w:val="00EF49FB"/>
    <w:rsid w:val="00EF4D23"/>
    <w:rsid w:val="00EF55D6"/>
    <w:rsid w:val="00EF644D"/>
    <w:rsid w:val="00EF6D29"/>
    <w:rsid w:val="00EF7138"/>
    <w:rsid w:val="00EF7149"/>
    <w:rsid w:val="00F00881"/>
    <w:rsid w:val="00F00917"/>
    <w:rsid w:val="00F01032"/>
    <w:rsid w:val="00F010BB"/>
    <w:rsid w:val="00F012C1"/>
    <w:rsid w:val="00F0175F"/>
    <w:rsid w:val="00F01C5B"/>
    <w:rsid w:val="00F03280"/>
    <w:rsid w:val="00F0362A"/>
    <w:rsid w:val="00F0385C"/>
    <w:rsid w:val="00F03ABE"/>
    <w:rsid w:val="00F04345"/>
    <w:rsid w:val="00F047A4"/>
    <w:rsid w:val="00F04F52"/>
    <w:rsid w:val="00F0510F"/>
    <w:rsid w:val="00F0563F"/>
    <w:rsid w:val="00F06239"/>
    <w:rsid w:val="00F064EF"/>
    <w:rsid w:val="00F06558"/>
    <w:rsid w:val="00F06F42"/>
    <w:rsid w:val="00F07122"/>
    <w:rsid w:val="00F074C9"/>
    <w:rsid w:val="00F07C82"/>
    <w:rsid w:val="00F07F5E"/>
    <w:rsid w:val="00F1001E"/>
    <w:rsid w:val="00F106BB"/>
    <w:rsid w:val="00F11027"/>
    <w:rsid w:val="00F1106C"/>
    <w:rsid w:val="00F111BA"/>
    <w:rsid w:val="00F116DD"/>
    <w:rsid w:val="00F11D9F"/>
    <w:rsid w:val="00F11E31"/>
    <w:rsid w:val="00F13137"/>
    <w:rsid w:val="00F13AA1"/>
    <w:rsid w:val="00F13F2A"/>
    <w:rsid w:val="00F140EC"/>
    <w:rsid w:val="00F15097"/>
    <w:rsid w:val="00F15671"/>
    <w:rsid w:val="00F15DC7"/>
    <w:rsid w:val="00F16695"/>
    <w:rsid w:val="00F202E3"/>
    <w:rsid w:val="00F20C6E"/>
    <w:rsid w:val="00F20D6C"/>
    <w:rsid w:val="00F2242D"/>
    <w:rsid w:val="00F2255F"/>
    <w:rsid w:val="00F225CF"/>
    <w:rsid w:val="00F22882"/>
    <w:rsid w:val="00F22985"/>
    <w:rsid w:val="00F22AEF"/>
    <w:rsid w:val="00F22F7A"/>
    <w:rsid w:val="00F2322E"/>
    <w:rsid w:val="00F2343C"/>
    <w:rsid w:val="00F23CFC"/>
    <w:rsid w:val="00F24076"/>
    <w:rsid w:val="00F240CB"/>
    <w:rsid w:val="00F2492F"/>
    <w:rsid w:val="00F2500D"/>
    <w:rsid w:val="00F256DA"/>
    <w:rsid w:val="00F25742"/>
    <w:rsid w:val="00F2596D"/>
    <w:rsid w:val="00F25CAA"/>
    <w:rsid w:val="00F26AD6"/>
    <w:rsid w:val="00F2711C"/>
    <w:rsid w:val="00F277E8"/>
    <w:rsid w:val="00F27B04"/>
    <w:rsid w:val="00F27E3D"/>
    <w:rsid w:val="00F301D0"/>
    <w:rsid w:val="00F3069F"/>
    <w:rsid w:val="00F30BA9"/>
    <w:rsid w:val="00F30C3F"/>
    <w:rsid w:val="00F30C60"/>
    <w:rsid w:val="00F30EFB"/>
    <w:rsid w:val="00F30F38"/>
    <w:rsid w:val="00F311D1"/>
    <w:rsid w:val="00F3158A"/>
    <w:rsid w:val="00F318DB"/>
    <w:rsid w:val="00F3199C"/>
    <w:rsid w:val="00F31F7D"/>
    <w:rsid w:val="00F32AFF"/>
    <w:rsid w:val="00F33825"/>
    <w:rsid w:val="00F33A8B"/>
    <w:rsid w:val="00F33D3B"/>
    <w:rsid w:val="00F341D4"/>
    <w:rsid w:val="00F34A96"/>
    <w:rsid w:val="00F34EBF"/>
    <w:rsid w:val="00F34F05"/>
    <w:rsid w:val="00F34F85"/>
    <w:rsid w:val="00F353B0"/>
    <w:rsid w:val="00F356D5"/>
    <w:rsid w:val="00F361AE"/>
    <w:rsid w:val="00F36240"/>
    <w:rsid w:val="00F363EB"/>
    <w:rsid w:val="00F365DE"/>
    <w:rsid w:val="00F36764"/>
    <w:rsid w:val="00F367CF"/>
    <w:rsid w:val="00F36D37"/>
    <w:rsid w:val="00F3719A"/>
    <w:rsid w:val="00F379BF"/>
    <w:rsid w:val="00F37EA7"/>
    <w:rsid w:val="00F40805"/>
    <w:rsid w:val="00F40C5E"/>
    <w:rsid w:val="00F40E3E"/>
    <w:rsid w:val="00F4163A"/>
    <w:rsid w:val="00F41873"/>
    <w:rsid w:val="00F419C3"/>
    <w:rsid w:val="00F41D91"/>
    <w:rsid w:val="00F41E2B"/>
    <w:rsid w:val="00F423BE"/>
    <w:rsid w:val="00F424A5"/>
    <w:rsid w:val="00F425EF"/>
    <w:rsid w:val="00F428AC"/>
    <w:rsid w:val="00F42EE3"/>
    <w:rsid w:val="00F43660"/>
    <w:rsid w:val="00F44542"/>
    <w:rsid w:val="00F448DD"/>
    <w:rsid w:val="00F44C5F"/>
    <w:rsid w:val="00F44DB8"/>
    <w:rsid w:val="00F45760"/>
    <w:rsid w:val="00F45925"/>
    <w:rsid w:val="00F46BA6"/>
    <w:rsid w:val="00F46C97"/>
    <w:rsid w:val="00F4703E"/>
    <w:rsid w:val="00F4777C"/>
    <w:rsid w:val="00F50511"/>
    <w:rsid w:val="00F50781"/>
    <w:rsid w:val="00F50CA3"/>
    <w:rsid w:val="00F517ED"/>
    <w:rsid w:val="00F51F3F"/>
    <w:rsid w:val="00F528B5"/>
    <w:rsid w:val="00F528E7"/>
    <w:rsid w:val="00F52C8A"/>
    <w:rsid w:val="00F53615"/>
    <w:rsid w:val="00F53A91"/>
    <w:rsid w:val="00F54783"/>
    <w:rsid w:val="00F547E9"/>
    <w:rsid w:val="00F5494E"/>
    <w:rsid w:val="00F54ABE"/>
    <w:rsid w:val="00F553D2"/>
    <w:rsid w:val="00F5564F"/>
    <w:rsid w:val="00F55804"/>
    <w:rsid w:val="00F55F1A"/>
    <w:rsid w:val="00F56310"/>
    <w:rsid w:val="00F5684C"/>
    <w:rsid w:val="00F57210"/>
    <w:rsid w:val="00F577FC"/>
    <w:rsid w:val="00F602F0"/>
    <w:rsid w:val="00F6098E"/>
    <w:rsid w:val="00F60C90"/>
    <w:rsid w:val="00F619EE"/>
    <w:rsid w:val="00F61CF5"/>
    <w:rsid w:val="00F61FF9"/>
    <w:rsid w:val="00F62069"/>
    <w:rsid w:val="00F62159"/>
    <w:rsid w:val="00F62A7C"/>
    <w:rsid w:val="00F62B93"/>
    <w:rsid w:val="00F633E5"/>
    <w:rsid w:val="00F63A07"/>
    <w:rsid w:val="00F63C89"/>
    <w:rsid w:val="00F643CA"/>
    <w:rsid w:val="00F647EC"/>
    <w:rsid w:val="00F64D57"/>
    <w:rsid w:val="00F64FAB"/>
    <w:rsid w:val="00F65329"/>
    <w:rsid w:val="00F6546A"/>
    <w:rsid w:val="00F65CEA"/>
    <w:rsid w:val="00F65F15"/>
    <w:rsid w:val="00F66443"/>
    <w:rsid w:val="00F675EA"/>
    <w:rsid w:val="00F67BEB"/>
    <w:rsid w:val="00F7074A"/>
    <w:rsid w:val="00F711A0"/>
    <w:rsid w:val="00F71687"/>
    <w:rsid w:val="00F71708"/>
    <w:rsid w:val="00F717C1"/>
    <w:rsid w:val="00F71AB3"/>
    <w:rsid w:val="00F725D3"/>
    <w:rsid w:val="00F7281E"/>
    <w:rsid w:val="00F72C1A"/>
    <w:rsid w:val="00F72C3D"/>
    <w:rsid w:val="00F73269"/>
    <w:rsid w:val="00F737AB"/>
    <w:rsid w:val="00F74216"/>
    <w:rsid w:val="00F74F0F"/>
    <w:rsid w:val="00F75731"/>
    <w:rsid w:val="00F75841"/>
    <w:rsid w:val="00F76333"/>
    <w:rsid w:val="00F77100"/>
    <w:rsid w:val="00F77C84"/>
    <w:rsid w:val="00F8090F"/>
    <w:rsid w:val="00F8139A"/>
    <w:rsid w:val="00F82AAE"/>
    <w:rsid w:val="00F834BE"/>
    <w:rsid w:val="00F838A9"/>
    <w:rsid w:val="00F849E3"/>
    <w:rsid w:val="00F84B4E"/>
    <w:rsid w:val="00F84C44"/>
    <w:rsid w:val="00F851B7"/>
    <w:rsid w:val="00F8566C"/>
    <w:rsid w:val="00F858D4"/>
    <w:rsid w:val="00F85C65"/>
    <w:rsid w:val="00F860EB"/>
    <w:rsid w:val="00F86232"/>
    <w:rsid w:val="00F86268"/>
    <w:rsid w:val="00F868B6"/>
    <w:rsid w:val="00F86968"/>
    <w:rsid w:val="00F86C37"/>
    <w:rsid w:val="00F86E21"/>
    <w:rsid w:val="00F86E42"/>
    <w:rsid w:val="00F86FD9"/>
    <w:rsid w:val="00F876E6"/>
    <w:rsid w:val="00F87825"/>
    <w:rsid w:val="00F87838"/>
    <w:rsid w:val="00F879E8"/>
    <w:rsid w:val="00F87FCE"/>
    <w:rsid w:val="00F9008B"/>
    <w:rsid w:val="00F91669"/>
    <w:rsid w:val="00F9184F"/>
    <w:rsid w:val="00F91943"/>
    <w:rsid w:val="00F92A66"/>
    <w:rsid w:val="00F931CF"/>
    <w:rsid w:val="00F93A31"/>
    <w:rsid w:val="00F93BA1"/>
    <w:rsid w:val="00F93D6E"/>
    <w:rsid w:val="00F9423D"/>
    <w:rsid w:val="00F94419"/>
    <w:rsid w:val="00F94609"/>
    <w:rsid w:val="00F95182"/>
    <w:rsid w:val="00F957D2"/>
    <w:rsid w:val="00F9590B"/>
    <w:rsid w:val="00F95D94"/>
    <w:rsid w:val="00F96F86"/>
    <w:rsid w:val="00F97711"/>
    <w:rsid w:val="00FA02B8"/>
    <w:rsid w:val="00FA0980"/>
    <w:rsid w:val="00FA1028"/>
    <w:rsid w:val="00FA10F7"/>
    <w:rsid w:val="00FA157E"/>
    <w:rsid w:val="00FA181F"/>
    <w:rsid w:val="00FA1C1F"/>
    <w:rsid w:val="00FA1E82"/>
    <w:rsid w:val="00FA2137"/>
    <w:rsid w:val="00FA21B0"/>
    <w:rsid w:val="00FA272D"/>
    <w:rsid w:val="00FA2C40"/>
    <w:rsid w:val="00FA338D"/>
    <w:rsid w:val="00FA34A2"/>
    <w:rsid w:val="00FA3742"/>
    <w:rsid w:val="00FA3837"/>
    <w:rsid w:val="00FA39FC"/>
    <w:rsid w:val="00FA44B4"/>
    <w:rsid w:val="00FA4538"/>
    <w:rsid w:val="00FA486C"/>
    <w:rsid w:val="00FA4998"/>
    <w:rsid w:val="00FA4DC2"/>
    <w:rsid w:val="00FA529C"/>
    <w:rsid w:val="00FA5EA3"/>
    <w:rsid w:val="00FA67E3"/>
    <w:rsid w:val="00FA7157"/>
    <w:rsid w:val="00FA73A6"/>
    <w:rsid w:val="00FA7698"/>
    <w:rsid w:val="00FA78C2"/>
    <w:rsid w:val="00FA7A2D"/>
    <w:rsid w:val="00FA7B4F"/>
    <w:rsid w:val="00FA7F36"/>
    <w:rsid w:val="00FB06E7"/>
    <w:rsid w:val="00FB06E9"/>
    <w:rsid w:val="00FB0822"/>
    <w:rsid w:val="00FB09AA"/>
    <w:rsid w:val="00FB1093"/>
    <w:rsid w:val="00FB13A0"/>
    <w:rsid w:val="00FB227E"/>
    <w:rsid w:val="00FB267D"/>
    <w:rsid w:val="00FB2A18"/>
    <w:rsid w:val="00FB2BF4"/>
    <w:rsid w:val="00FB2C8D"/>
    <w:rsid w:val="00FB2DC6"/>
    <w:rsid w:val="00FB4FDE"/>
    <w:rsid w:val="00FB5E81"/>
    <w:rsid w:val="00FB6E6C"/>
    <w:rsid w:val="00FB71B0"/>
    <w:rsid w:val="00FB7ABA"/>
    <w:rsid w:val="00FB7C21"/>
    <w:rsid w:val="00FB7C46"/>
    <w:rsid w:val="00FC04E0"/>
    <w:rsid w:val="00FC05AD"/>
    <w:rsid w:val="00FC0D98"/>
    <w:rsid w:val="00FC1042"/>
    <w:rsid w:val="00FC11C6"/>
    <w:rsid w:val="00FC17D8"/>
    <w:rsid w:val="00FC279A"/>
    <w:rsid w:val="00FC324D"/>
    <w:rsid w:val="00FC39A1"/>
    <w:rsid w:val="00FC3BC3"/>
    <w:rsid w:val="00FC3E47"/>
    <w:rsid w:val="00FC4B53"/>
    <w:rsid w:val="00FC4BAE"/>
    <w:rsid w:val="00FC5160"/>
    <w:rsid w:val="00FC5A36"/>
    <w:rsid w:val="00FC69CF"/>
    <w:rsid w:val="00FC6B0B"/>
    <w:rsid w:val="00FC713B"/>
    <w:rsid w:val="00FC7862"/>
    <w:rsid w:val="00FC79D5"/>
    <w:rsid w:val="00FC7B35"/>
    <w:rsid w:val="00FC7B53"/>
    <w:rsid w:val="00FD0177"/>
    <w:rsid w:val="00FD051A"/>
    <w:rsid w:val="00FD0AE7"/>
    <w:rsid w:val="00FD0B44"/>
    <w:rsid w:val="00FD0F70"/>
    <w:rsid w:val="00FD2315"/>
    <w:rsid w:val="00FD29A7"/>
    <w:rsid w:val="00FD2B15"/>
    <w:rsid w:val="00FD3092"/>
    <w:rsid w:val="00FD35A1"/>
    <w:rsid w:val="00FD40FC"/>
    <w:rsid w:val="00FD412E"/>
    <w:rsid w:val="00FD420F"/>
    <w:rsid w:val="00FD4F2F"/>
    <w:rsid w:val="00FD51F7"/>
    <w:rsid w:val="00FD5258"/>
    <w:rsid w:val="00FD5602"/>
    <w:rsid w:val="00FD5A2A"/>
    <w:rsid w:val="00FD5AE2"/>
    <w:rsid w:val="00FD62B4"/>
    <w:rsid w:val="00FD7142"/>
    <w:rsid w:val="00FD750F"/>
    <w:rsid w:val="00FE011C"/>
    <w:rsid w:val="00FE07DC"/>
    <w:rsid w:val="00FE1116"/>
    <w:rsid w:val="00FE1E64"/>
    <w:rsid w:val="00FE1FCE"/>
    <w:rsid w:val="00FE2075"/>
    <w:rsid w:val="00FE2080"/>
    <w:rsid w:val="00FE2647"/>
    <w:rsid w:val="00FE27B9"/>
    <w:rsid w:val="00FE2E37"/>
    <w:rsid w:val="00FE3156"/>
    <w:rsid w:val="00FE3640"/>
    <w:rsid w:val="00FE3780"/>
    <w:rsid w:val="00FE3954"/>
    <w:rsid w:val="00FE3CF7"/>
    <w:rsid w:val="00FE4071"/>
    <w:rsid w:val="00FE42E3"/>
    <w:rsid w:val="00FE4ECD"/>
    <w:rsid w:val="00FE52B7"/>
    <w:rsid w:val="00FE53C5"/>
    <w:rsid w:val="00FE5807"/>
    <w:rsid w:val="00FE5C39"/>
    <w:rsid w:val="00FE5C57"/>
    <w:rsid w:val="00FE624E"/>
    <w:rsid w:val="00FE6415"/>
    <w:rsid w:val="00FE69E7"/>
    <w:rsid w:val="00FE6BB8"/>
    <w:rsid w:val="00FE6E76"/>
    <w:rsid w:val="00FE79AD"/>
    <w:rsid w:val="00FF027B"/>
    <w:rsid w:val="00FF1174"/>
    <w:rsid w:val="00FF165A"/>
    <w:rsid w:val="00FF1B72"/>
    <w:rsid w:val="00FF1CF1"/>
    <w:rsid w:val="00FF1F4C"/>
    <w:rsid w:val="00FF2654"/>
    <w:rsid w:val="00FF35DC"/>
    <w:rsid w:val="00FF3A6A"/>
    <w:rsid w:val="00FF3C7A"/>
    <w:rsid w:val="00FF3E09"/>
    <w:rsid w:val="00FF411C"/>
    <w:rsid w:val="00FF4B2E"/>
    <w:rsid w:val="00FF4E4B"/>
    <w:rsid w:val="00FF4E4E"/>
    <w:rsid w:val="00FF5049"/>
    <w:rsid w:val="00FF5D1F"/>
    <w:rsid w:val="00FF5F95"/>
    <w:rsid w:val="00FF6126"/>
    <w:rsid w:val="00FF61F5"/>
    <w:rsid w:val="00FF62AA"/>
    <w:rsid w:val="00FF64D7"/>
    <w:rsid w:val="00FF6B6C"/>
    <w:rsid w:val="01420B2A"/>
    <w:rsid w:val="01AA2C10"/>
    <w:rsid w:val="01B01EE8"/>
    <w:rsid w:val="02CB76A6"/>
    <w:rsid w:val="02D7201B"/>
    <w:rsid w:val="037738D8"/>
    <w:rsid w:val="03EE579D"/>
    <w:rsid w:val="05A96137"/>
    <w:rsid w:val="05B53FF0"/>
    <w:rsid w:val="075F0692"/>
    <w:rsid w:val="08F53B23"/>
    <w:rsid w:val="09346662"/>
    <w:rsid w:val="09CD565A"/>
    <w:rsid w:val="0A070656"/>
    <w:rsid w:val="0A913ED8"/>
    <w:rsid w:val="0B24171E"/>
    <w:rsid w:val="0BB33687"/>
    <w:rsid w:val="0D081F34"/>
    <w:rsid w:val="0D584403"/>
    <w:rsid w:val="0D815BC1"/>
    <w:rsid w:val="0DDA523F"/>
    <w:rsid w:val="0F032819"/>
    <w:rsid w:val="0F333B7C"/>
    <w:rsid w:val="101C0A97"/>
    <w:rsid w:val="10F67974"/>
    <w:rsid w:val="116353E3"/>
    <w:rsid w:val="117C7228"/>
    <w:rsid w:val="123948F6"/>
    <w:rsid w:val="12D6790A"/>
    <w:rsid w:val="12F438A7"/>
    <w:rsid w:val="13977E74"/>
    <w:rsid w:val="141B7F51"/>
    <w:rsid w:val="141F3607"/>
    <w:rsid w:val="146F2C7A"/>
    <w:rsid w:val="149E4992"/>
    <w:rsid w:val="15603FB5"/>
    <w:rsid w:val="15A217AD"/>
    <w:rsid w:val="15C026F1"/>
    <w:rsid w:val="17064457"/>
    <w:rsid w:val="17692FF8"/>
    <w:rsid w:val="189439F5"/>
    <w:rsid w:val="189A24A9"/>
    <w:rsid w:val="18C643E3"/>
    <w:rsid w:val="18F0763A"/>
    <w:rsid w:val="1960439B"/>
    <w:rsid w:val="19A277FE"/>
    <w:rsid w:val="1A442DE9"/>
    <w:rsid w:val="1ACE5EE7"/>
    <w:rsid w:val="1D321E13"/>
    <w:rsid w:val="1F462152"/>
    <w:rsid w:val="1F6B6784"/>
    <w:rsid w:val="1FDB15BE"/>
    <w:rsid w:val="20780ECB"/>
    <w:rsid w:val="21455F84"/>
    <w:rsid w:val="224176AA"/>
    <w:rsid w:val="228C1199"/>
    <w:rsid w:val="23232A0F"/>
    <w:rsid w:val="235634BB"/>
    <w:rsid w:val="242D24F6"/>
    <w:rsid w:val="24801EBF"/>
    <w:rsid w:val="24977600"/>
    <w:rsid w:val="25C271E7"/>
    <w:rsid w:val="26AA0F6E"/>
    <w:rsid w:val="271C562F"/>
    <w:rsid w:val="272F1A96"/>
    <w:rsid w:val="27AC0841"/>
    <w:rsid w:val="2848646B"/>
    <w:rsid w:val="297B0CF7"/>
    <w:rsid w:val="299708B3"/>
    <w:rsid w:val="2A51423E"/>
    <w:rsid w:val="2B1E0D76"/>
    <w:rsid w:val="2C1D43CA"/>
    <w:rsid w:val="2D375F40"/>
    <w:rsid w:val="2EDD2DD9"/>
    <w:rsid w:val="2EFA61AC"/>
    <w:rsid w:val="2F723467"/>
    <w:rsid w:val="2F841FA8"/>
    <w:rsid w:val="32A02B99"/>
    <w:rsid w:val="33D414D0"/>
    <w:rsid w:val="35BD6B5E"/>
    <w:rsid w:val="35CD358A"/>
    <w:rsid w:val="362A09EF"/>
    <w:rsid w:val="369C1105"/>
    <w:rsid w:val="36AF3677"/>
    <w:rsid w:val="37467D39"/>
    <w:rsid w:val="385F359C"/>
    <w:rsid w:val="38AC3930"/>
    <w:rsid w:val="3AA857BC"/>
    <w:rsid w:val="3AF11C2B"/>
    <w:rsid w:val="3BA80B19"/>
    <w:rsid w:val="3C4240EC"/>
    <w:rsid w:val="3E191DEE"/>
    <w:rsid w:val="3E997760"/>
    <w:rsid w:val="3F3A1FEB"/>
    <w:rsid w:val="405F6B9A"/>
    <w:rsid w:val="40885740"/>
    <w:rsid w:val="41CB5019"/>
    <w:rsid w:val="42253D73"/>
    <w:rsid w:val="42DC0426"/>
    <w:rsid w:val="43BF32E9"/>
    <w:rsid w:val="43C76649"/>
    <w:rsid w:val="44B91A5D"/>
    <w:rsid w:val="452F03D4"/>
    <w:rsid w:val="459A3BBF"/>
    <w:rsid w:val="47843179"/>
    <w:rsid w:val="47B922BA"/>
    <w:rsid w:val="49917162"/>
    <w:rsid w:val="4A7E1F9E"/>
    <w:rsid w:val="4AF875FC"/>
    <w:rsid w:val="4B4F53AD"/>
    <w:rsid w:val="4BE453CE"/>
    <w:rsid w:val="4D4712A7"/>
    <w:rsid w:val="4DC66910"/>
    <w:rsid w:val="4E6268C7"/>
    <w:rsid w:val="4EAC5711"/>
    <w:rsid w:val="4EDA0D8F"/>
    <w:rsid w:val="505C7478"/>
    <w:rsid w:val="50F96C2C"/>
    <w:rsid w:val="51B2004B"/>
    <w:rsid w:val="52036385"/>
    <w:rsid w:val="527C2D46"/>
    <w:rsid w:val="529D40AA"/>
    <w:rsid w:val="55622629"/>
    <w:rsid w:val="557701D2"/>
    <w:rsid w:val="581E2406"/>
    <w:rsid w:val="5A08545C"/>
    <w:rsid w:val="5A3A2DDD"/>
    <w:rsid w:val="5BC70325"/>
    <w:rsid w:val="5D201747"/>
    <w:rsid w:val="5DA31D4F"/>
    <w:rsid w:val="5DF76D59"/>
    <w:rsid w:val="5E0637BF"/>
    <w:rsid w:val="5FC45415"/>
    <w:rsid w:val="60447752"/>
    <w:rsid w:val="61501C31"/>
    <w:rsid w:val="62B72874"/>
    <w:rsid w:val="63A14D89"/>
    <w:rsid w:val="64441196"/>
    <w:rsid w:val="646978EA"/>
    <w:rsid w:val="663530C5"/>
    <w:rsid w:val="68C70FC8"/>
    <w:rsid w:val="6B241A17"/>
    <w:rsid w:val="6B28556D"/>
    <w:rsid w:val="6B357F2F"/>
    <w:rsid w:val="6B7A2359"/>
    <w:rsid w:val="6E9C0F6F"/>
    <w:rsid w:val="6F983C7A"/>
    <w:rsid w:val="6FC13B19"/>
    <w:rsid w:val="70882C8A"/>
    <w:rsid w:val="70C17895"/>
    <w:rsid w:val="7103031A"/>
    <w:rsid w:val="71121F70"/>
    <w:rsid w:val="7151674B"/>
    <w:rsid w:val="71AD7318"/>
    <w:rsid w:val="726D70E7"/>
    <w:rsid w:val="72785B7B"/>
    <w:rsid w:val="744D5EC9"/>
    <w:rsid w:val="75B50D56"/>
    <w:rsid w:val="76275962"/>
    <w:rsid w:val="77CC74DE"/>
    <w:rsid w:val="799D14F0"/>
    <w:rsid w:val="79E65A52"/>
    <w:rsid w:val="7A3538A9"/>
    <w:rsid w:val="7A7C4102"/>
    <w:rsid w:val="7B1403CC"/>
    <w:rsid w:val="7C744EE5"/>
    <w:rsid w:val="7C9C4E59"/>
    <w:rsid w:val="7E1700E3"/>
    <w:rsid w:val="7E2D4DD6"/>
    <w:rsid w:val="7E477448"/>
    <w:rsid w:val="7ED266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0" w:semiHidden="0" w:name="footnote text"/>
    <w:lsdException w:qFormat="1"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uiPriority="99" w:name="table of figures"/>
    <w:lsdException w:qFormat="1" w:unhideWhenUsed="0" w:uiPriority="0" w:semiHidden="0" w:name="envelope address"/>
    <w:lsdException w:qFormat="1" w:unhideWhenUsed="0" w:uiPriority="0" w:semiHidden="0" w:name="envelope return"/>
    <w:lsdException w:qFormat="1" w:uiPriority="0" w:semiHidden="0" w:name="footnote reference"/>
    <w:lsdException w:qFormat="1" w:uiPriority="0" w:semiHidden="0" w:name="annotation reference"/>
    <w:lsdException w:uiPriority="99" w:name="line number"/>
    <w:lsdException w:qFormat="1" w:unhideWhenUsed="0" w:uiPriority="0" w:semiHidden="0" w:name="page number"/>
    <w:lsdException w:qFormat="1" w:uiPriority="0" w:semiHidden="0" w:name="endnote reference"/>
    <w:lsdException w:qFormat="1" w:uiPriority="0" w:semiHidden="0"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uiPriority="99" w:name="HTML Acronym"/>
    <w:lsdException w:uiPriority="99" w:name="HTML Address"/>
    <w:lsdException w:qFormat="1" w:uiPriority="0" w:semiHidden="0" w:name="HTML Cite"/>
    <w:lsdException w:qFormat="1" w:uiPriority="0" w:semiHidden="0" w:name="HTML Code"/>
    <w:lsdException w:uiPriority="99" w:name="HTML Definition"/>
    <w:lsdException w:uiPriority="99" w:name="HTML Keyboard"/>
    <w:lsdException w:qFormat="1" w:unhideWhenUsed="0" w:uiPriority="0" w:semiHidden="0" w:name="HTML Preformatted"/>
    <w:lsdException w:qFormat="1"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99"/>
    <w:qFormat/>
    <w:uiPriority w:val="0"/>
    <w:pPr>
      <w:keepNext/>
      <w:keepLines/>
      <w:spacing w:before="340" w:after="330" w:line="578" w:lineRule="auto"/>
      <w:outlineLvl w:val="0"/>
    </w:pPr>
    <w:rPr>
      <w:b/>
      <w:bCs/>
      <w:kern w:val="44"/>
      <w:sz w:val="44"/>
      <w:szCs w:val="44"/>
    </w:rPr>
  </w:style>
  <w:style w:type="paragraph" w:styleId="5">
    <w:name w:val="heading 2"/>
    <w:basedOn w:val="1"/>
    <w:next w:val="1"/>
    <w:link w:val="100"/>
    <w:qFormat/>
    <w:uiPriority w:val="0"/>
    <w:pPr>
      <w:keepNext/>
      <w:keepLines/>
      <w:spacing w:before="260" w:after="260" w:line="416" w:lineRule="auto"/>
      <w:outlineLvl w:val="1"/>
    </w:pPr>
    <w:rPr>
      <w:rFonts w:ascii="Arial" w:hAnsi="Arial" w:eastAsia="黑体"/>
      <w:b/>
      <w:bCs/>
      <w:kern w:val="0"/>
      <w:sz w:val="32"/>
      <w:szCs w:val="32"/>
    </w:rPr>
  </w:style>
  <w:style w:type="paragraph" w:styleId="6">
    <w:name w:val="heading 3"/>
    <w:basedOn w:val="1"/>
    <w:next w:val="1"/>
    <w:link w:val="101"/>
    <w:qFormat/>
    <w:uiPriority w:val="0"/>
    <w:pPr>
      <w:keepNext/>
      <w:keepLines/>
      <w:spacing w:before="260" w:after="260" w:line="416" w:lineRule="auto"/>
      <w:outlineLvl w:val="2"/>
    </w:pPr>
    <w:rPr>
      <w:b/>
      <w:bCs/>
      <w:kern w:val="0"/>
      <w:sz w:val="32"/>
      <w:szCs w:val="32"/>
    </w:rPr>
  </w:style>
  <w:style w:type="paragraph" w:styleId="7">
    <w:name w:val="heading 4"/>
    <w:basedOn w:val="1"/>
    <w:next w:val="1"/>
    <w:link w:val="102"/>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9"/>
    <w:link w:val="103"/>
    <w:qFormat/>
    <w:uiPriority w:val="0"/>
    <w:pPr>
      <w:keepNext/>
      <w:keepLines/>
      <w:spacing w:before="280" w:after="290" w:line="376" w:lineRule="auto"/>
      <w:outlineLvl w:val="4"/>
    </w:pPr>
    <w:rPr>
      <w:b/>
      <w:sz w:val="28"/>
    </w:rPr>
  </w:style>
  <w:style w:type="paragraph" w:styleId="10">
    <w:name w:val="heading 6"/>
    <w:basedOn w:val="1"/>
    <w:next w:val="9"/>
    <w:link w:val="105"/>
    <w:qFormat/>
    <w:uiPriority w:val="0"/>
    <w:pPr>
      <w:keepNext/>
      <w:keepLines/>
      <w:spacing w:before="240" w:after="64" w:line="320" w:lineRule="auto"/>
      <w:outlineLvl w:val="5"/>
    </w:pPr>
    <w:rPr>
      <w:rFonts w:ascii="Arial" w:hAnsi="Arial" w:eastAsia="黑体"/>
      <w:b/>
      <w:sz w:val="24"/>
    </w:rPr>
  </w:style>
  <w:style w:type="paragraph" w:styleId="11">
    <w:name w:val="heading 7"/>
    <w:basedOn w:val="1"/>
    <w:next w:val="9"/>
    <w:link w:val="106"/>
    <w:qFormat/>
    <w:uiPriority w:val="0"/>
    <w:pPr>
      <w:keepNext/>
      <w:keepLines/>
      <w:spacing w:before="240" w:after="64" w:line="320" w:lineRule="auto"/>
      <w:outlineLvl w:val="6"/>
    </w:pPr>
    <w:rPr>
      <w:b/>
      <w:sz w:val="24"/>
    </w:rPr>
  </w:style>
  <w:style w:type="paragraph" w:styleId="12">
    <w:name w:val="heading 8"/>
    <w:basedOn w:val="1"/>
    <w:next w:val="9"/>
    <w:link w:val="107"/>
    <w:qFormat/>
    <w:uiPriority w:val="0"/>
    <w:pPr>
      <w:keepNext/>
      <w:keepLines/>
      <w:spacing w:before="240" w:after="64" w:line="320" w:lineRule="auto"/>
      <w:outlineLvl w:val="7"/>
    </w:pPr>
    <w:rPr>
      <w:rFonts w:ascii="Arial" w:hAnsi="Arial" w:eastAsia="黑体"/>
      <w:sz w:val="24"/>
    </w:rPr>
  </w:style>
  <w:style w:type="paragraph" w:styleId="13">
    <w:name w:val="heading 9"/>
    <w:basedOn w:val="1"/>
    <w:next w:val="9"/>
    <w:link w:val="108"/>
    <w:qFormat/>
    <w:uiPriority w:val="0"/>
    <w:pPr>
      <w:keepNext/>
      <w:keepLines/>
      <w:spacing w:before="240" w:after="64" w:line="320" w:lineRule="auto"/>
      <w:outlineLvl w:val="8"/>
    </w:pPr>
    <w:rPr>
      <w:rFonts w:ascii="Arial" w:hAnsi="Arial" w:eastAsia="黑体"/>
    </w:rPr>
  </w:style>
  <w:style w:type="character" w:default="1" w:styleId="86">
    <w:name w:val="Default Paragraph Font"/>
    <w:semiHidden/>
    <w:unhideWhenUsed/>
    <w:qFormat/>
    <w:uiPriority w:val="1"/>
  </w:style>
  <w:style w:type="table" w:default="1" w:styleId="84">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98"/>
    <w:qFormat/>
    <w:uiPriority w:val="0"/>
    <w:pPr>
      <w:spacing w:line="380" w:lineRule="exact"/>
    </w:pPr>
    <w:rPr>
      <w:kern w:val="0"/>
      <w:sz w:val="24"/>
    </w:rPr>
  </w:style>
  <w:style w:type="paragraph" w:styleId="3">
    <w:name w:val="Title"/>
    <w:basedOn w:val="1"/>
    <w:next w:val="1"/>
    <w:link w:val="131"/>
    <w:qFormat/>
    <w:uiPriority w:val="0"/>
    <w:pPr>
      <w:spacing w:before="240" w:after="60"/>
      <w:jc w:val="center"/>
      <w:outlineLvl w:val="0"/>
    </w:pPr>
    <w:rPr>
      <w:rFonts w:ascii="Cambria" w:hAnsi="Cambria"/>
      <w:b/>
      <w:bCs/>
      <w:sz w:val="32"/>
      <w:szCs w:val="32"/>
    </w:rPr>
  </w:style>
  <w:style w:type="paragraph" w:styleId="9">
    <w:name w:val="Normal Indent"/>
    <w:basedOn w:val="1"/>
    <w:link w:val="104"/>
    <w:qFormat/>
    <w:uiPriority w:val="0"/>
    <w:pPr>
      <w:ind w:firstLine="420"/>
    </w:pPr>
    <w:rPr>
      <w:szCs w:val="20"/>
    </w:rPr>
  </w:style>
  <w:style w:type="paragraph" w:styleId="14">
    <w:name w:val="List 3"/>
    <w:basedOn w:val="1"/>
    <w:qFormat/>
    <w:uiPriority w:val="0"/>
    <w:pPr>
      <w:ind w:left="100" w:leftChars="400" w:hanging="200" w:hangingChars="200"/>
    </w:pPr>
    <w:rPr>
      <w:sz w:val="24"/>
      <w:szCs w:val="22"/>
    </w:rPr>
  </w:style>
  <w:style w:type="paragraph" w:styleId="15">
    <w:name w:val="toc 7"/>
    <w:basedOn w:val="1"/>
    <w:next w:val="1"/>
    <w:unhideWhenUsed/>
    <w:qFormat/>
    <w:uiPriority w:val="39"/>
    <w:pPr>
      <w:ind w:left="2520" w:leftChars="1200"/>
    </w:pPr>
    <w:rPr>
      <w:rFonts w:ascii="Calibri" w:hAnsi="Calibri"/>
      <w:szCs w:val="22"/>
    </w:rPr>
  </w:style>
  <w:style w:type="paragraph" w:styleId="16">
    <w:name w:val="List Number 2"/>
    <w:basedOn w:val="1"/>
    <w:qFormat/>
    <w:uiPriority w:val="0"/>
    <w:pPr>
      <w:widowControl/>
      <w:tabs>
        <w:tab w:val="left" w:pos="780"/>
        <w:tab w:val="left" w:pos="840"/>
      </w:tabs>
      <w:ind w:left="840" w:hanging="420"/>
      <w:jc w:val="left"/>
    </w:pPr>
    <w:rPr>
      <w:rFonts w:ascii="宋体" w:hAnsi="宋体" w:cs="宋体"/>
      <w:kern w:val="0"/>
      <w:sz w:val="24"/>
      <w:szCs w:val="22"/>
    </w:rPr>
  </w:style>
  <w:style w:type="paragraph" w:styleId="17">
    <w:name w:val="Note Heading"/>
    <w:basedOn w:val="1"/>
    <w:next w:val="1"/>
    <w:link w:val="109"/>
    <w:qFormat/>
    <w:uiPriority w:val="0"/>
    <w:pPr>
      <w:adjustRightInd w:val="0"/>
      <w:spacing w:line="360" w:lineRule="auto"/>
      <w:jc w:val="center"/>
      <w:textAlignment w:val="baseline"/>
    </w:pPr>
    <w:rPr>
      <w:kern w:val="0"/>
      <w:sz w:val="28"/>
      <w:szCs w:val="20"/>
    </w:rPr>
  </w:style>
  <w:style w:type="paragraph" w:styleId="18">
    <w:name w:val="List Bullet 4"/>
    <w:basedOn w:val="1"/>
    <w:qFormat/>
    <w:uiPriority w:val="0"/>
    <w:pPr>
      <w:widowControl/>
      <w:tabs>
        <w:tab w:val="left" w:pos="1440"/>
      </w:tabs>
      <w:spacing w:line="360" w:lineRule="auto"/>
      <w:ind w:left="780" w:hanging="360"/>
    </w:pPr>
    <w:rPr>
      <w:rFonts w:ascii="Arial" w:hAnsi="Arial" w:cs="Arial"/>
      <w:kern w:val="0"/>
      <w:sz w:val="24"/>
      <w:szCs w:val="22"/>
      <w:lang w:val="en-GB" w:eastAsia="en-GB"/>
    </w:rPr>
  </w:style>
  <w:style w:type="paragraph" w:styleId="19">
    <w:name w:val="index 8"/>
    <w:basedOn w:val="1"/>
    <w:next w:val="1"/>
    <w:qFormat/>
    <w:uiPriority w:val="0"/>
    <w:pPr>
      <w:ind w:left="1680" w:hanging="210"/>
      <w:jc w:val="left"/>
    </w:pPr>
    <w:rPr>
      <w:sz w:val="20"/>
      <w:szCs w:val="20"/>
    </w:rPr>
  </w:style>
  <w:style w:type="paragraph" w:styleId="20">
    <w:name w:val="E-mail Signature"/>
    <w:basedOn w:val="1"/>
    <w:link w:val="110"/>
    <w:qFormat/>
    <w:uiPriority w:val="0"/>
    <w:pPr>
      <w:widowControl/>
      <w:jc w:val="left"/>
    </w:pPr>
    <w:rPr>
      <w:rFonts w:ascii="宋体" w:hAnsi="宋体"/>
      <w:kern w:val="0"/>
      <w:sz w:val="24"/>
      <w:szCs w:val="22"/>
    </w:rPr>
  </w:style>
  <w:style w:type="paragraph" w:styleId="21">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22">
    <w:name w:val="caption"/>
    <w:basedOn w:val="1"/>
    <w:next w:val="1"/>
    <w:qFormat/>
    <w:uiPriority w:val="0"/>
    <w:pPr>
      <w:spacing w:before="152" w:after="160"/>
    </w:pPr>
    <w:rPr>
      <w:rFonts w:ascii="Arial" w:hAnsi="Arial" w:eastAsia="黑体" w:cs="Arial"/>
      <w:sz w:val="20"/>
      <w:szCs w:val="20"/>
    </w:rPr>
  </w:style>
  <w:style w:type="paragraph" w:styleId="23">
    <w:name w:val="index 5"/>
    <w:basedOn w:val="1"/>
    <w:next w:val="1"/>
    <w:qFormat/>
    <w:uiPriority w:val="0"/>
    <w:pPr>
      <w:ind w:left="1050" w:hanging="210"/>
      <w:jc w:val="left"/>
    </w:pPr>
    <w:rPr>
      <w:sz w:val="20"/>
      <w:szCs w:val="20"/>
    </w:rPr>
  </w:style>
  <w:style w:type="paragraph" w:styleId="24">
    <w:name w:val="List Bullet"/>
    <w:basedOn w:val="1"/>
    <w:qFormat/>
    <w:uiPriority w:val="0"/>
    <w:pPr>
      <w:keepLines/>
      <w:widowControl/>
      <w:tabs>
        <w:tab w:val="left" w:pos="360"/>
        <w:tab w:val="left" w:pos="778"/>
      </w:tabs>
      <w:spacing w:line="360" w:lineRule="auto"/>
      <w:ind w:left="641" w:hanging="357"/>
    </w:pPr>
    <w:rPr>
      <w:rFonts w:ascii="Arial" w:hAnsi="Arial" w:cs="Arial"/>
      <w:kern w:val="0"/>
      <w:sz w:val="24"/>
      <w:szCs w:val="22"/>
      <w:lang w:val="fr-FR" w:eastAsia="en-GB"/>
    </w:rPr>
  </w:style>
  <w:style w:type="paragraph" w:styleId="25">
    <w:name w:val="envelope address"/>
    <w:basedOn w:val="1"/>
    <w:qFormat/>
    <w:uiPriority w:val="0"/>
    <w:pPr>
      <w:framePr w:w="7920" w:h="1980" w:hRule="exact" w:hSpace="180" w:wrap="around" w:vAnchor="margin" w:hAnchor="page" w:xAlign="center" w:yAlign="bottom"/>
      <w:widowControl/>
      <w:snapToGrid w:val="0"/>
      <w:ind w:left="100" w:leftChars="1400"/>
      <w:jc w:val="left"/>
    </w:pPr>
    <w:rPr>
      <w:rFonts w:ascii="Arial" w:hAnsi="Arial" w:cs="Arial"/>
      <w:kern w:val="0"/>
      <w:sz w:val="24"/>
      <w:szCs w:val="22"/>
    </w:rPr>
  </w:style>
  <w:style w:type="paragraph" w:styleId="26">
    <w:name w:val="Document Map"/>
    <w:basedOn w:val="1"/>
    <w:link w:val="184"/>
    <w:qFormat/>
    <w:uiPriority w:val="0"/>
    <w:rPr>
      <w:rFonts w:ascii="宋体"/>
      <w:sz w:val="18"/>
      <w:szCs w:val="18"/>
    </w:rPr>
  </w:style>
  <w:style w:type="paragraph" w:styleId="27">
    <w:name w:val="toa heading"/>
    <w:basedOn w:val="1"/>
    <w:next w:val="1"/>
    <w:qFormat/>
    <w:uiPriority w:val="0"/>
    <w:pPr>
      <w:adjustRightInd w:val="0"/>
      <w:spacing w:before="240" w:after="120" w:line="360" w:lineRule="auto"/>
      <w:jc w:val="center"/>
      <w:textAlignment w:val="baseline"/>
    </w:pPr>
    <w:rPr>
      <w:smallCaps/>
      <w:kern w:val="0"/>
      <w:sz w:val="22"/>
      <w:szCs w:val="22"/>
      <w:u w:val="single"/>
    </w:rPr>
  </w:style>
  <w:style w:type="paragraph" w:styleId="28">
    <w:name w:val="annotation text"/>
    <w:basedOn w:val="1"/>
    <w:link w:val="112"/>
    <w:unhideWhenUsed/>
    <w:qFormat/>
    <w:uiPriority w:val="0"/>
    <w:pPr>
      <w:jc w:val="left"/>
    </w:pPr>
  </w:style>
  <w:style w:type="paragraph" w:styleId="29">
    <w:name w:val="index 6"/>
    <w:basedOn w:val="1"/>
    <w:next w:val="1"/>
    <w:qFormat/>
    <w:uiPriority w:val="0"/>
    <w:pPr>
      <w:ind w:left="1260" w:hanging="210"/>
      <w:jc w:val="left"/>
    </w:pPr>
    <w:rPr>
      <w:sz w:val="20"/>
      <w:szCs w:val="20"/>
    </w:rPr>
  </w:style>
  <w:style w:type="paragraph" w:styleId="30">
    <w:name w:val="Salutation"/>
    <w:basedOn w:val="1"/>
    <w:next w:val="1"/>
    <w:link w:val="113"/>
    <w:qFormat/>
    <w:uiPriority w:val="0"/>
    <w:rPr>
      <w:sz w:val="24"/>
      <w:szCs w:val="28"/>
    </w:rPr>
  </w:style>
  <w:style w:type="paragraph" w:styleId="31">
    <w:name w:val="Body Text 3"/>
    <w:basedOn w:val="1"/>
    <w:link w:val="114"/>
    <w:qFormat/>
    <w:uiPriority w:val="0"/>
    <w:pPr>
      <w:spacing w:line="500" w:lineRule="exact"/>
    </w:pPr>
    <w:rPr>
      <w:b/>
      <w:bCs/>
      <w:kern w:val="0"/>
      <w:sz w:val="24"/>
    </w:rPr>
  </w:style>
  <w:style w:type="paragraph" w:styleId="32">
    <w:name w:val="Closing"/>
    <w:basedOn w:val="1"/>
    <w:link w:val="115"/>
    <w:qFormat/>
    <w:uiPriority w:val="0"/>
    <w:pPr>
      <w:widowControl/>
      <w:ind w:left="100" w:leftChars="2100"/>
      <w:jc w:val="left"/>
    </w:pPr>
    <w:rPr>
      <w:rFonts w:ascii="宋体" w:hAnsi="宋体"/>
      <w:kern w:val="0"/>
      <w:sz w:val="24"/>
      <w:szCs w:val="22"/>
    </w:rPr>
  </w:style>
  <w:style w:type="paragraph" w:styleId="33">
    <w:name w:val="List Bullet 3"/>
    <w:basedOn w:val="1"/>
    <w:qFormat/>
    <w:uiPriority w:val="0"/>
    <w:pPr>
      <w:widowControl/>
      <w:tabs>
        <w:tab w:val="left" w:pos="720"/>
      </w:tabs>
      <w:ind w:left="720" w:hanging="360"/>
    </w:pPr>
    <w:rPr>
      <w:rFonts w:ascii="宋体" w:hAnsi="宋体" w:cs="宋体"/>
      <w:szCs w:val="22"/>
    </w:rPr>
  </w:style>
  <w:style w:type="paragraph" w:styleId="34">
    <w:name w:val="Body Text Indent"/>
    <w:basedOn w:val="1"/>
    <w:link w:val="116"/>
    <w:qFormat/>
    <w:uiPriority w:val="0"/>
    <w:pPr>
      <w:ind w:firstLine="830" w:firstLineChars="352"/>
    </w:pPr>
    <w:rPr>
      <w:rFonts w:ascii="仿宋_GB2312" w:eastAsia="仿宋_GB2312"/>
      <w:kern w:val="0"/>
      <w:sz w:val="32"/>
      <w:szCs w:val="20"/>
    </w:rPr>
  </w:style>
  <w:style w:type="paragraph" w:styleId="35">
    <w:name w:val="List Number 3"/>
    <w:basedOn w:val="1"/>
    <w:qFormat/>
    <w:uiPriority w:val="0"/>
    <w:pPr>
      <w:tabs>
        <w:tab w:val="left" w:pos="1200"/>
      </w:tabs>
      <w:ind w:left="1200" w:hanging="360"/>
    </w:pPr>
  </w:style>
  <w:style w:type="paragraph" w:styleId="36">
    <w:name w:val="List 2"/>
    <w:basedOn w:val="1"/>
    <w:qFormat/>
    <w:uiPriority w:val="0"/>
    <w:pPr>
      <w:ind w:left="100" w:leftChars="200" w:hanging="200" w:hangingChars="200"/>
    </w:pPr>
    <w:rPr>
      <w:sz w:val="28"/>
    </w:rPr>
  </w:style>
  <w:style w:type="paragraph" w:styleId="37">
    <w:name w:val="List Continue"/>
    <w:basedOn w:val="1"/>
    <w:qFormat/>
    <w:uiPriority w:val="0"/>
    <w:pPr>
      <w:widowControl/>
      <w:spacing w:after="120"/>
      <w:ind w:left="420" w:leftChars="200"/>
    </w:pPr>
    <w:rPr>
      <w:rFonts w:ascii="宋体" w:hAnsi="宋体" w:cs="宋体"/>
      <w:szCs w:val="22"/>
    </w:rPr>
  </w:style>
  <w:style w:type="paragraph" w:styleId="38">
    <w:name w:val="Block Text"/>
    <w:basedOn w:val="1"/>
    <w:qFormat/>
    <w:uiPriority w:val="0"/>
    <w:pPr>
      <w:adjustRightInd w:val="0"/>
      <w:snapToGrid w:val="0"/>
      <w:spacing w:line="480" w:lineRule="atLeast"/>
      <w:ind w:left="-57" w:right="69"/>
    </w:pPr>
    <w:rPr>
      <w:rFonts w:ascii="宋体"/>
      <w:b/>
      <w:sz w:val="24"/>
      <w:szCs w:val="20"/>
    </w:rPr>
  </w:style>
  <w:style w:type="paragraph" w:styleId="39">
    <w:name w:val="List Bullet 2"/>
    <w:basedOn w:val="1"/>
    <w:qFormat/>
    <w:uiPriority w:val="0"/>
    <w:pPr>
      <w:tabs>
        <w:tab w:val="left" w:pos="780"/>
      </w:tabs>
      <w:ind w:left="780" w:hanging="360"/>
    </w:pPr>
    <w:rPr>
      <w:szCs w:val="20"/>
    </w:rPr>
  </w:style>
  <w:style w:type="paragraph" w:styleId="40">
    <w:name w:val="index 4"/>
    <w:basedOn w:val="1"/>
    <w:next w:val="1"/>
    <w:qFormat/>
    <w:uiPriority w:val="0"/>
    <w:pPr>
      <w:ind w:left="840" w:hanging="210"/>
      <w:jc w:val="left"/>
    </w:pPr>
    <w:rPr>
      <w:sz w:val="20"/>
      <w:szCs w:val="20"/>
    </w:rPr>
  </w:style>
  <w:style w:type="paragraph" w:styleId="41">
    <w:name w:val="toc 5"/>
    <w:basedOn w:val="1"/>
    <w:next w:val="1"/>
    <w:unhideWhenUsed/>
    <w:qFormat/>
    <w:uiPriority w:val="39"/>
    <w:pPr>
      <w:ind w:left="1680" w:leftChars="800"/>
    </w:pPr>
    <w:rPr>
      <w:rFonts w:ascii="Calibri" w:hAnsi="Calibri"/>
      <w:szCs w:val="22"/>
    </w:rPr>
  </w:style>
  <w:style w:type="paragraph" w:styleId="42">
    <w:name w:val="toc 3"/>
    <w:basedOn w:val="1"/>
    <w:next w:val="1"/>
    <w:unhideWhenUsed/>
    <w:qFormat/>
    <w:uiPriority w:val="39"/>
    <w:pPr>
      <w:ind w:left="840" w:leftChars="400"/>
    </w:pPr>
    <w:rPr>
      <w:rFonts w:ascii="Calibri" w:hAnsi="Calibri"/>
      <w:szCs w:val="22"/>
    </w:rPr>
  </w:style>
  <w:style w:type="paragraph" w:styleId="43">
    <w:name w:val="Plain Text"/>
    <w:basedOn w:val="1"/>
    <w:next w:val="7"/>
    <w:link w:val="117"/>
    <w:qFormat/>
    <w:uiPriority w:val="0"/>
    <w:rPr>
      <w:rFonts w:ascii="宋体" w:hAnsi="Courier New"/>
      <w:kern w:val="0"/>
      <w:sz w:val="20"/>
      <w:szCs w:val="21"/>
    </w:rPr>
  </w:style>
  <w:style w:type="paragraph" w:styleId="44">
    <w:name w:val="List Bullet 5"/>
    <w:basedOn w:val="1"/>
    <w:qFormat/>
    <w:uiPriority w:val="0"/>
    <w:pPr>
      <w:widowControl/>
      <w:tabs>
        <w:tab w:val="left" w:pos="0"/>
        <w:tab w:val="left" w:pos="2040"/>
      </w:tabs>
      <w:ind w:left="426" w:hanging="426"/>
      <w:jc w:val="left"/>
    </w:pPr>
    <w:rPr>
      <w:rFonts w:ascii="宋体" w:hAnsi="宋体" w:cs="宋体"/>
      <w:kern w:val="0"/>
      <w:sz w:val="24"/>
      <w:szCs w:val="22"/>
    </w:rPr>
  </w:style>
  <w:style w:type="paragraph" w:styleId="45">
    <w:name w:val="List Number 4"/>
    <w:basedOn w:val="1"/>
    <w:qFormat/>
    <w:uiPriority w:val="0"/>
    <w:pPr>
      <w:widowControl/>
      <w:tabs>
        <w:tab w:val="left" w:pos="1620"/>
      </w:tabs>
      <w:jc w:val="left"/>
    </w:pPr>
    <w:rPr>
      <w:rFonts w:ascii="宋体" w:hAnsi="宋体" w:cs="宋体"/>
      <w:kern w:val="0"/>
      <w:sz w:val="24"/>
      <w:szCs w:val="22"/>
    </w:rPr>
  </w:style>
  <w:style w:type="paragraph" w:styleId="46">
    <w:name w:val="toc 8"/>
    <w:basedOn w:val="1"/>
    <w:next w:val="1"/>
    <w:unhideWhenUsed/>
    <w:qFormat/>
    <w:uiPriority w:val="39"/>
    <w:pPr>
      <w:ind w:left="2940" w:leftChars="1400"/>
    </w:pPr>
    <w:rPr>
      <w:rFonts w:ascii="Calibri" w:hAnsi="Calibri"/>
      <w:szCs w:val="22"/>
    </w:rPr>
  </w:style>
  <w:style w:type="paragraph" w:styleId="47">
    <w:name w:val="index 3"/>
    <w:basedOn w:val="1"/>
    <w:next w:val="1"/>
    <w:qFormat/>
    <w:uiPriority w:val="0"/>
    <w:pPr>
      <w:ind w:left="630" w:hanging="210"/>
      <w:jc w:val="left"/>
    </w:pPr>
    <w:rPr>
      <w:sz w:val="20"/>
      <w:szCs w:val="20"/>
    </w:rPr>
  </w:style>
  <w:style w:type="paragraph" w:styleId="48">
    <w:name w:val="Date"/>
    <w:basedOn w:val="1"/>
    <w:next w:val="1"/>
    <w:link w:val="118"/>
    <w:qFormat/>
    <w:uiPriority w:val="0"/>
    <w:pPr>
      <w:ind w:left="100" w:leftChars="2500"/>
    </w:pPr>
    <w:rPr>
      <w:rFonts w:ascii="宋体" w:hAnsi="Courier New"/>
      <w:kern w:val="0"/>
      <w:sz w:val="20"/>
      <w:szCs w:val="21"/>
    </w:rPr>
  </w:style>
  <w:style w:type="paragraph" w:styleId="49">
    <w:name w:val="Body Text Indent 2"/>
    <w:basedOn w:val="1"/>
    <w:link w:val="119"/>
    <w:qFormat/>
    <w:uiPriority w:val="0"/>
    <w:pPr>
      <w:ind w:firstLine="630"/>
    </w:pPr>
    <w:rPr>
      <w:kern w:val="0"/>
      <w:sz w:val="32"/>
      <w:szCs w:val="20"/>
    </w:rPr>
  </w:style>
  <w:style w:type="paragraph" w:styleId="50">
    <w:name w:val="endnote text"/>
    <w:basedOn w:val="1"/>
    <w:link w:val="120"/>
    <w:unhideWhenUsed/>
    <w:qFormat/>
    <w:uiPriority w:val="0"/>
    <w:pPr>
      <w:snapToGrid w:val="0"/>
      <w:jc w:val="left"/>
    </w:pPr>
  </w:style>
  <w:style w:type="paragraph" w:styleId="51">
    <w:name w:val="List Continue 5"/>
    <w:basedOn w:val="1"/>
    <w:qFormat/>
    <w:uiPriority w:val="0"/>
    <w:pPr>
      <w:widowControl/>
      <w:spacing w:after="120"/>
      <w:ind w:left="2100" w:leftChars="1000"/>
      <w:jc w:val="left"/>
    </w:pPr>
    <w:rPr>
      <w:rFonts w:ascii="宋体" w:hAnsi="宋体" w:cs="宋体"/>
      <w:kern w:val="0"/>
      <w:sz w:val="24"/>
      <w:szCs w:val="22"/>
    </w:rPr>
  </w:style>
  <w:style w:type="paragraph" w:styleId="52">
    <w:name w:val="Balloon Text"/>
    <w:basedOn w:val="1"/>
    <w:link w:val="121"/>
    <w:qFormat/>
    <w:uiPriority w:val="0"/>
    <w:rPr>
      <w:kern w:val="0"/>
      <w:sz w:val="18"/>
      <w:szCs w:val="18"/>
    </w:rPr>
  </w:style>
  <w:style w:type="paragraph" w:styleId="53">
    <w:name w:val="footer"/>
    <w:basedOn w:val="1"/>
    <w:link w:val="122"/>
    <w:unhideWhenUsed/>
    <w:qFormat/>
    <w:uiPriority w:val="0"/>
    <w:pPr>
      <w:tabs>
        <w:tab w:val="center" w:pos="4153"/>
        <w:tab w:val="right" w:pos="8306"/>
      </w:tabs>
      <w:snapToGrid w:val="0"/>
      <w:jc w:val="left"/>
    </w:pPr>
    <w:rPr>
      <w:kern w:val="0"/>
      <w:sz w:val="18"/>
      <w:szCs w:val="18"/>
    </w:rPr>
  </w:style>
  <w:style w:type="paragraph" w:styleId="54">
    <w:name w:val="envelope return"/>
    <w:basedOn w:val="1"/>
    <w:qFormat/>
    <w:uiPriority w:val="0"/>
    <w:pPr>
      <w:widowControl/>
      <w:snapToGrid w:val="0"/>
      <w:jc w:val="left"/>
    </w:pPr>
    <w:rPr>
      <w:rFonts w:ascii="Arial" w:hAnsi="Arial" w:cs="Arial"/>
      <w:kern w:val="0"/>
      <w:sz w:val="24"/>
      <w:szCs w:val="22"/>
    </w:rPr>
  </w:style>
  <w:style w:type="paragraph" w:styleId="55">
    <w:name w:val="header"/>
    <w:basedOn w:val="1"/>
    <w:link w:val="123"/>
    <w:unhideWhenUsed/>
    <w:qFormat/>
    <w:uiPriority w:val="0"/>
    <w:pPr>
      <w:pBdr>
        <w:bottom w:val="single" w:color="auto" w:sz="6" w:space="1"/>
      </w:pBdr>
      <w:tabs>
        <w:tab w:val="center" w:pos="0"/>
        <w:tab w:val="left" w:pos="8306"/>
      </w:tabs>
      <w:snapToGrid w:val="0"/>
      <w:jc w:val="center"/>
    </w:pPr>
    <w:rPr>
      <w:sz w:val="18"/>
      <w:szCs w:val="18"/>
    </w:rPr>
  </w:style>
  <w:style w:type="paragraph" w:styleId="56">
    <w:name w:val="Signature"/>
    <w:basedOn w:val="1"/>
    <w:link w:val="124"/>
    <w:qFormat/>
    <w:uiPriority w:val="0"/>
    <w:pPr>
      <w:widowControl/>
      <w:ind w:left="100" w:leftChars="2100"/>
      <w:jc w:val="left"/>
    </w:pPr>
    <w:rPr>
      <w:rFonts w:ascii="宋体" w:hAnsi="宋体"/>
      <w:kern w:val="0"/>
      <w:sz w:val="24"/>
      <w:szCs w:val="22"/>
    </w:rPr>
  </w:style>
  <w:style w:type="paragraph" w:styleId="57">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58">
    <w:name w:val="List Continue 4"/>
    <w:basedOn w:val="1"/>
    <w:qFormat/>
    <w:uiPriority w:val="0"/>
    <w:pPr>
      <w:widowControl/>
      <w:spacing w:after="120"/>
      <w:ind w:left="1680" w:leftChars="800"/>
      <w:jc w:val="left"/>
    </w:pPr>
    <w:rPr>
      <w:rFonts w:ascii="宋体" w:hAnsi="宋体" w:cs="宋体"/>
      <w:kern w:val="0"/>
      <w:sz w:val="24"/>
      <w:szCs w:val="22"/>
    </w:rPr>
  </w:style>
  <w:style w:type="paragraph" w:styleId="59">
    <w:name w:val="toc 4"/>
    <w:basedOn w:val="1"/>
    <w:next w:val="1"/>
    <w:unhideWhenUsed/>
    <w:qFormat/>
    <w:uiPriority w:val="39"/>
    <w:pPr>
      <w:ind w:left="1260" w:leftChars="600"/>
    </w:pPr>
    <w:rPr>
      <w:rFonts w:ascii="Calibri" w:hAnsi="Calibri"/>
      <w:szCs w:val="22"/>
    </w:rPr>
  </w:style>
  <w:style w:type="paragraph" w:styleId="60">
    <w:name w:val="index heading"/>
    <w:basedOn w:val="1"/>
    <w:next w:val="61"/>
    <w:qFormat/>
    <w:uiPriority w:val="0"/>
    <w:pPr>
      <w:spacing w:before="120" w:after="120"/>
      <w:jc w:val="left"/>
    </w:pPr>
    <w:rPr>
      <w:b/>
      <w:bCs/>
      <w:i/>
      <w:iCs/>
      <w:sz w:val="20"/>
      <w:szCs w:val="20"/>
    </w:rPr>
  </w:style>
  <w:style w:type="paragraph" w:styleId="61">
    <w:name w:val="index 1"/>
    <w:basedOn w:val="1"/>
    <w:next w:val="1"/>
    <w:qFormat/>
    <w:uiPriority w:val="0"/>
    <w:pPr>
      <w:spacing w:line="400" w:lineRule="exact"/>
      <w:ind w:firstLine="420" w:firstLineChars="200"/>
    </w:pPr>
    <w:rPr>
      <w:rFonts w:ascii="宋体" w:hAnsi="Courier New"/>
      <w:b/>
      <w:szCs w:val="20"/>
    </w:rPr>
  </w:style>
  <w:style w:type="paragraph" w:styleId="62">
    <w:name w:val="Subtitle"/>
    <w:basedOn w:val="1"/>
    <w:link w:val="125"/>
    <w:qFormat/>
    <w:uiPriority w:val="0"/>
    <w:pPr>
      <w:widowControl/>
      <w:spacing w:before="240" w:after="60" w:line="312" w:lineRule="auto"/>
      <w:jc w:val="center"/>
      <w:outlineLvl w:val="1"/>
    </w:pPr>
    <w:rPr>
      <w:rFonts w:ascii="Arial" w:hAnsi="Arial"/>
      <w:b/>
      <w:bCs/>
      <w:kern w:val="28"/>
      <w:sz w:val="32"/>
      <w:szCs w:val="32"/>
    </w:rPr>
  </w:style>
  <w:style w:type="paragraph" w:styleId="63">
    <w:name w:val="List Number 5"/>
    <w:basedOn w:val="1"/>
    <w:qFormat/>
    <w:uiPriority w:val="0"/>
    <w:pPr>
      <w:widowControl/>
      <w:tabs>
        <w:tab w:val="left" w:pos="2040"/>
      </w:tabs>
      <w:ind w:left="870" w:hanging="450"/>
      <w:jc w:val="left"/>
    </w:pPr>
    <w:rPr>
      <w:rFonts w:ascii="宋体" w:hAnsi="宋体" w:cs="宋体"/>
      <w:kern w:val="0"/>
      <w:sz w:val="24"/>
      <w:szCs w:val="22"/>
    </w:rPr>
  </w:style>
  <w:style w:type="paragraph" w:styleId="64">
    <w:name w:val="List"/>
    <w:basedOn w:val="1"/>
    <w:qFormat/>
    <w:uiPriority w:val="0"/>
    <w:pPr>
      <w:ind w:left="200" w:hanging="200" w:hangingChars="200"/>
    </w:pPr>
    <w:rPr>
      <w:sz w:val="28"/>
    </w:rPr>
  </w:style>
  <w:style w:type="paragraph" w:styleId="65">
    <w:name w:val="footnote text"/>
    <w:basedOn w:val="1"/>
    <w:link w:val="126"/>
    <w:unhideWhenUsed/>
    <w:qFormat/>
    <w:uiPriority w:val="0"/>
    <w:pPr>
      <w:snapToGrid w:val="0"/>
      <w:jc w:val="left"/>
    </w:pPr>
    <w:rPr>
      <w:sz w:val="18"/>
      <w:szCs w:val="18"/>
    </w:rPr>
  </w:style>
  <w:style w:type="paragraph" w:styleId="66">
    <w:name w:val="toc 6"/>
    <w:basedOn w:val="1"/>
    <w:next w:val="1"/>
    <w:unhideWhenUsed/>
    <w:qFormat/>
    <w:uiPriority w:val="39"/>
    <w:pPr>
      <w:ind w:left="2100" w:leftChars="1000"/>
    </w:pPr>
    <w:rPr>
      <w:rFonts w:ascii="Calibri" w:hAnsi="Calibri"/>
      <w:szCs w:val="22"/>
    </w:rPr>
  </w:style>
  <w:style w:type="paragraph" w:styleId="67">
    <w:name w:val="List 5"/>
    <w:basedOn w:val="1"/>
    <w:qFormat/>
    <w:uiPriority w:val="0"/>
    <w:pPr>
      <w:widowControl/>
      <w:ind w:left="100" w:leftChars="800" w:hanging="200" w:hangingChars="200"/>
      <w:jc w:val="left"/>
    </w:pPr>
    <w:rPr>
      <w:rFonts w:ascii="宋体" w:hAnsi="宋体" w:cs="宋体"/>
      <w:kern w:val="0"/>
      <w:sz w:val="24"/>
      <w:szCs w:val="22"/>
    </w:rPr>
  </w:style>
  <w:style w:type="paragraph" w:styleId="68">
    <w:name w:val="Body Text Indent 3"/>
    <w:basedOn w:val="1"/>
    <w:link w:val="127"/>
    <w:qFormat/>
    <w:uiPriority w:val="0"/>
    <w:pPr>
      <w:spacing w:after="120"/>
      <w:ind w:left="420" w:leftChars="200"/>
    </w:pPr>
    <w:rPr>
      <w:kern w:val="0"/>
      <w:sz w:val="16"/>
      <w:szCs w:val="16"/>
    </w:rPr>
  </w:style>
  <w:style w:type="paragraph" w:styleId="69">
    <w:name w:val="index 7"/>
    <w:basedOn w:val="1"/>
    <w:next w:val="1"/>
    <w:qFormat/>
    <w:uiPriority w:val="0"/>
    <w:pPr>
      <w:ind w:left="1470" w:hanging="210"/>
      <w:jc w:val="left"/>
    </w:pPr>
    <w:rPr>
      <w:sz w:val="20"/>
      <w:szCs w:val="20"/>
    </w:rPr>
  </w:style>
  <w:style w:type="paragraph" w:styleId="70">
    <w:name w:val="index 9"/>
    <w:basedOn w:val="1"/>
    <w:next w:val="1"/>
    <w:qFormat/>
    <w:uiPriority w:val="0"/>
    <w:pPr>
      <w:ind w:left="1890" w:hanging="210"/>
      <w:jc w:val="left"/>
    </w:pPr>
    <w:rPr>
      <w:sz w:val="20"/>
      <w:szCs w:val="20"/>
    </w:rPr>
  </w:style>
  <w:style w:type="paragraph" w:styleId="71">
    <w:name w:val="toc 2"/>
    <w:basedOn w:val="1"/>
    <w:next w:val="1"/>
    <w:unhideWhenUsed/>
    <w:qFormat/>
    <w:uiPriority w:val="39"/>
    <w:pPr>
      <w:ind w:left="420" w:leftChars="200"/>
    </w:pPr>
  </w:style>
  <w:style w:type="paragraph" w:styleId="72">
    <w:name w:val="toc 9"/>
    <w:basedOn w:val="1"/>
    <w:next w:val="1"/>
    <w:unhideWhenUsed/>
    <w:qFormat/>
    <w:uiPriority w:val="39"/>
    <w:pPr>
      <w:ind w:left="3360" w:leftChars="1600"/>
    </w:pPr>
    <w:rPr>
      <w:rFonts w:ascii="Calibri" w:hAnsi="Calibri"/>
      <w:szCs w:val="22"/>
    </w:rPr>
  </w:style>
  <w:style w:type="paragraph" w:styleId="73">
    <w:name w:val="Body Text 2"/>
    <w:basedOn w:val="1"/>
    <w:link w:val="128"/>
    <w:qFormat/>
    <w:uiPriority w:val="0"/>
    <w:pPr>
      <w:spacing w:after="120" w:line="480" w:lineRule="auto"/>
    </w:pPr>
    <w:rPr>
      <w:kern w:val="0"/>
      <w:sz w:val="20"/>
    </w:rPr>
  </w:style>
  <w:style w:type="paragraph" w:styleId="74">
    <w:name w:val="List 4"/>
    <w:basedOn w:val="1"/>
    <w:qFormat/>
    <w:uiPriority w:val="0"/>
    <w:pPr>
      <w:widowControl/>
      <w:ind w:left="100" w:leftChars="600" w:hanging="200" w:hangingChars="200"/>
    </w:pPr>
    <w:rPr>
      <w:rFonts w:ascii="宋体" w:hAnsi="宋体" w:cs="宋体"/>
      <w:szCs w:val="22"/>
    </w:rPr>
  </w:style>
  <w:style w:type="paragraph" w:styleId="75">
    <w:name w:val="List Continue 2"/>
    <w:basedOn w:val="1"/>
    <w:qFormat/>
    <w:uiPriority w:val="0"/>
    <w:pPr>
      <w:widowControl/>
      <w:spacing w:after="120"/>
      <w:ind w:left="840" w:leftChars="400"/>
    </w:pPr>
    <w:rPr>
      <w:rFonts w:ascii="宋体" w:hAnsi="宋体" w:cs="宋体"/>
      <w:szCs w:val="22"/>
    </w:rPr>
  </w:style>
  <w:style w:type="paragraph" w:styleId="76">
    <w:name w:val="Message Header"/>
    <w:basedOn w:val="1"/>
    <w:link w:val="129"/>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kern w:val="0"/>
      <w:sz w:val="24"/>
      <w:szCs w:val="22"/>
    </w:rPr>
  </w:style>
  <w:style w:type="paragraph" w:styleId="77">
    <w:name w:val="HTML Preformatted"/>
    <w:basedOn w:val="1"/>
    <w:link w:val="13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0"/>
    </w:rPr>
  </w:style>
  <w:style w:type="paragraph" w:styleId="78">
    <w:name w:val="Normal (Web)"/>
    <w:basedOn w:val="1"/>
    <w:qFormat/>
    <w:uiPriority w:val="0"/>
    <w:pPr>
      <w:widowControl/>
      <w:spacing w:before="100" w:beforeAutospacing="1" w:after="100" w:afterAutospacing="1"/>
      <w:jc w:val="left"/>
    </w:pPr>
    <w:rPr>
      <w:rFonts w:ascii="宋体" w:hAnsi="宋体"/>
      <w:kern w:val="0"/>
      <w:sz w:val="24"/>
    </w:rPr>
  </w:style>
  <w:style w:type="paragraph" w:styleId="79">
    <w:name w:val="List Continue 3"/>
    <w:basedOn w:val="1"/>
    <w:qFormat/>
    <w:uiPriority w:val="0"/>
    <w:pPr>
      <w:spacing w:after="120"/>
      <w:ind w:left="1260" w:leftChars="600"/>
    </w:pPr>
    <w:rPr>
      <w:sz w:val="24"/>
      <w:szCs w:val="22"/>
    </w:rPr>
  </w:style>
  <w:style w:type="paragraph" w:styleId="80">
    <w:name w:val="index 2"/>
    <w:basedOn w:val="1"/>
    <w:next w:val="1"/>
    <w:qFormat/>
    <w:uiPriority w:val="0"/>
    <w:pPr>
      <w:ind w:left="420" w:hanging="210"/>
      <w:jc w:val="left"/>
    </w:pPr>
    <w:rPr>
      <w:sz w:val="20"/>
      <w:szCs w:val="20"/>
    </w:rPr>
  </w:style>
  <w:style w:type="paragraph" w:styleId="81">
    <w:name w:val="annotation subject"/>
    <w:basedOn w:val="28"/>
    <w:next w:val="28"/>
    <w:link w:val="132"/>
    <w:unhideWhenUsed/>
    <w:qFormat/>
    <w:uiPriority w:val="0"/>
    <w:rPr>
      <w:b/>
      <w:bCs/>
    </w:rPr>
  </w:style>
  <w:style w:type="paragraph" w:styleId="82">
    <w:name w:val="Body Text First Indent"/>
    <w:basedOn w:val="1"/>
    <w:link w:val="185"/>
    <w:qFormat/>
    <w:uiPriority w:val="0"/>
    <w:pPr>
      <w:spacing w:after="120"/>
      <w:ind w:firstLine="420" w:firstLineChars="100"/>
    </w:pPr>
    <w:rPr>
      <w:szCs w:val="22"/>
    </w:rPr>
  </w:style>
  <w:style w:type="paragraph" w:styleId="83">
    <w:name w:val="Body Text First Indent 2"/>
    <w:basedOn w:val="34"/>
    <w:link w:val="186"/>
    <w:qFormat/>
    <w:uiPriority w:val="0"/>
    <w:pPr>
      <w:spacing w:after="120"/>
      <w:ind w:left="420" w:leftChars="200" w:firstLine="200" w:firstLineChars="0"/>
    </w:pPr>
    <w:rPr>
      <w:rFonts w:ascii="Times New Roman" w:eastAsia="宋体"/>
      <w:kern w:val="2"/>
      <w:sz w:val="21"/>
    </w:rPr>
  </w:style>
  <w:style w:type="table" w:styleId="85">
    <w:name w:val="Table Grid"/>
    <w:basedOn w:val="8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7">
    <w:name w:val="Strong"/>
    <w:qFormat/>
    <w:uiPriority w:val="0"/>
    <w:rPr>
      <w:rFonts w:ascii="Times New Roman" w:hAnsi="Times New Roman" w:eastAsia="宋体" w:cs="Times New Roman"/>
      <w:b/>
      <w:bCs/>
    </w:rPr>
  </w:style>
  <w:style w:type="character" w:styleId="88">
    <w:name w:val="endnote reference"/>
    <w:unhideWhenUsed/>
    <w:qFormat/>
    <w:uiPriority w:val="0"/>
    <w:rPr>
      <w:vertAlign w:val="superscript"/>
    </w:rPr>
  </w:style>
  <w:style w:type="character" w:styleId="89">
    <w:name w:val="page number"/>
    <w:qFormat/>
    <w:uiPriority w:val="0"/>
  </w:style>
  <w:style w:type="character" w:styleId="90">
    <w:name w:val="FollowedHyperlink"/>
    <w:qFormat/>
    <w:uiPriority w:val="0"/>
    <w:rPr>
      <w:color w:val="800080"/>
      <w:u w:val="single"/>
    </w:rPr>
  </w:style>
  <w:style w:type="character" w:styleId="91">
    <w:name w:val="Emphasis"/>
    <w:qFormat/>
    <w:uiPriority w:val="0"/>
    <w:rPr>
      <w:rFonts w:ascii="Arial Black" w:hAnsi="Arial Black" w:eastAsia="黑体" w:cs="Times New Roman"/>
      <w:b/>
      <w:spacing w:val="0"/>
      <w:sz w:val="21"/>
    </w:rPr>
  </w:style>
  <w:style w:type="character" w:styleId="92">
    <w:name w:val="Hyperlink"/>
    <w:qFormat/>
    <w:uiPriority w:val="99"/>
    <w:rPr>
      <w:color w:val="0000FF"/>
      <w:u w:val="single"/>
    </w:rPr>
  </w:style>
  <w:style w:type="character" w:styleId="93">
    <w:name w:val="HTML Code"/>
    <w:unhideWhenUsed/>
    <w:qFormat/>
    <w:uiPriority w:val="0"/>
    <w:rPr>
      <w:rFonts w:hint="default" w:ascii="Courier New" w:hAnsi="Courier New" w:eastAsia="Times New Roman" w:cs="Times New Roman"/>
      <w:sz w:val="24"/>
      <w:szCs w:val="24"/>
    </w:rPr>
  </w:style>
  <w:style w:type="character" w:styleId="94">
    <w:name w:val="annotation reference"/>
    <w:unhideWhenUsed/>
    <w:qFormat/>
    <w:uiPriority w:val="0"/>
    <w:rPr>
      <w:sz w:val="21"/>
      <w:szCs w:val="21"/>
    </w:rPr>
  </w:style>
  <w:style w:type="character" w:styleId="95">
    <w:name w:val="HTML Cite"/>
    <w:unhideWhenUsed/>
    <w:qFormat/>
    <w:uiPriority w:val="0"/>
  </w:style>
  <w:style w:type="character" w:styleId="96">
    <w:name w:val="footnote reference"/>
    <w:unhideWhenUsed/>
    <w:qFormat/>
    <w:uiPriority w:val="0"/>
    <w:rPr>
      <w:vertAlign w:val="superscript"/>
    </w:rPr>
  </w:style>
  <w:style w:type="character" w:styleId="97">
    <w:name w:val="HTML Sample"/>
    <w:basedOn w:val="86"/>
    <w:semiHidden/>
    <w:unhideWhenUsed/>
    <w:qFormat/>
    <w:uiPriority w:val="99"/>
    <w:rPr>
      <w:rFonts w:ascii="Courier New" w:hAnsi="Courier New"/>
    </w:rPr>
  </w:style>
  <w:style w:type="character" w:customStyle="1" w:styleId="98">
    <w:name w:val="正文文本 字符1"/>
    <w:link w:val="2"/>
    <w:qFormat/>
    <w:uiPriority w:val="0"/>
    <w:rPr>
      <w:rFonts w:ascii="Times New Roman" w:hAnsi="Times New Roman" w:eastAsia="宋体" w:cs="Times New Roman"/>
      <w:sz w:val="24"/>
      <w:szCs w:val="24"/>
    </w:rPr>
  </w:style>
  <w:style w:type="character" w:customStyle="1" w:styleId="99">
    <w:name w:val="标题 1 字符2"/>
    <w:link w:val="4"/>
    <w:qFormat/>
    <w:uiPriority w:val="0"/>
    <w:rPr>
      <w:rFonts w:ascii="Times New Roman" w:hAnsi="Times New Roman" w:eastAsia="宋体" w:cs="Times New Roman"/>
      <w:b/>
      <w:bCs/>
      <w:kern w:val="44"/>
      <w:sz w:val="44"/>
      <w:szCs w:val="44"/>
    </w:rPr>
  </w:style>
  <w:style w:type="character" w:customStyle="1" w:styleId="100">
    <w:name w:val="标题 2 字符"/>
    <w:link w:val="5"/>
    <w:qFormat/>
    <w:uiPriority w:val="0"/>
    <w:rPr>
      <w:rFonts w:ascii="Arial" w:hAnsi="Arial" w:eastAsia="黑体" w:cs="Times New Roman"/>
      <w:b/>
      <w:bCs/>
      <w:sz w:val="32"/>
      <w:szCs w:val="32"/>
    </w:rPr>
  </w:style>
  <w:style w:type="character" w:customStyle="1" w:styleId="101">
    <w:name w:val="标题 3 字符"/>
    <w:link w:val="6"/>
    <w:qFormat/>
    <w:uiPriority w:val="0"/>
    <w:rPr>
      <w:rFonts w:ascii="Times New Roman" w:hAnsi="Times New Roman" w:eastAsia="宋体" w:cs="Times New Roman"/>
      <w:b/>
      <w:bCs/>
      <w:sz w:val="32"/>
      <w:szCs w:val="32"/>
    </w:rPr>
  </w:style>
  <w:style w:type="character" w:customStyle="1" w:styleId="102">
    <w:name w:val="标题 4 字符"/>
    <w:basedOn w:val="86"/>
    <w:link w:val="7"/>
    <w:qFormat/>
    <w:uiPriority w:val="0"/>
    <w:rPr>
      <w:rFonts w:ascii="Arial" w:hAnsi="Arial" w:eastAsia="黑体"/>
      <w:b/>
      <w:bCs/>
      <w:kern w:val="2"/>
      <w:sz w:val="28"/>
      <w:szCs w:val="28"/>
    </w:rPr>
  </w:style>
  <w:style w:type="character" w:customStyle="1" w:styleId="103">
    <w:name w:val="标题 5 字符"/>
    <w:link w:val="8"/>
    <w:qFormat/>
    <w:uiPriority w:val="0"/>
    <w:rPr>
      <w:b/>
      <w:kern w:val="2"/>
      <w:sz w:val="28"/>
      <w:szCs w:val="24"/>
    </w:rPr>
  </w:style>
  <w:style w:type="character" w:customStyle="1" w:styleId="104">
    <w:name w:val="正文缩进 字符"/>
    <w:link w:val="9"/>
    <w:qFormat/>
    <w:uiPriority w:val="0"/>
    <w:rPr>
      <w:kern w:val="2"/>
      <w:sz w:val="21"/>
    </w:rPr>
  </w:style>
  <w:style w:type="character" w:customStyle="1" w:styleId="105">
    <w:name w:val="标题 6 字符"/>
    <w:link w:val="10"/>
    <w:qFormat/>
    <w:uiPriority w:val="0"/>
    <w:rPr>
      <w:rFonts w:ascii="Arial" w:hAnsi="Arial" w:eastAsia="黑体"/>
      <w:b/>
      <w:kern w:val="2"/>
      <w:sz w:val="24"/>
      <w:szCs w:val="24"/>
    </w:rPr>
  </w:style>
  <w:style w:type="character" w:customStyle="1" w:styleId="106">
    <w:name w:val="标题 7 字符"/>
    <w:link w:val="11"/>
    <w:qFormat/>
    <w:uiPriority w:val="0"/>
    <w:rPr>
      <w:b/>
      <w:kern w:val="2"/>
      <w:sz w:val="24"/>
      <w:szCs w:val="24"/>
    </w:rPr>
  </w:style>
  <w:style w:type="character" w:customStyle="1" w:styleId="107">
    <w:name w:val="标题 8 字符"/>
    <w:link w:val="12"/>
    <w:qFormat/>
    <w:uiPriority w:val="0"/>
    <w:rPr>
      <w:rFonts w:ascii="Arial" w:hAnsi="Arial" w:eastAsia="黑体"/>
      <w:kern w:val="2"/>
      <w:sz w:val="24"/>
      <w:szCs w:val="24"/>
    </w:rPr>
  </w:style>
  <w:style w:type="character" w:customStyle="1" w:styleId="108">
    <w:name w:val="标题 9 字符"/>
    <w:link w:val="13"/>
    <w:qFormat/>
    <w:uiPriority w:val="0"/>
    <w:rPr>
      <w:rFonts w:ascii="Arial" w:hAnsi="Arial" w:eastAsia="黑体"/>
      <w:kern w:val="2"/>
      <w:sz w:val="21"/>
      <w:szCs w:val="24"/>
    </w:rPr>
  </w:style>
  <w:style w:type="character" w:customStyle="1" w:styleId="109">
    <w:name w:val="注释标题 字符"/>
    <w:basedOn w:val="86"/>
    <w:link w:val="17"/>
    <w:qFormat/>
    <w:uiPriority w:val="0"/>
    <w:rPr>
      <w:sz w:val="28"/>
    </w:rPr>
  </w:style>
  <w:style w:type="character" w:customStyle="1" w:styleId="110">
    <w:name w:val="电子邮件签名 字符"/>
    <w:basedOn w:val="86"/>
    <w:link w:val="20"/>
    <w:qFormat/>
    <w:uiPriority w:val="0"/>
    <w:rPr>
      <w:rFonts w:ascii="宋体" w:hAnsi="宋体"/>
      <w:sz w:val="24"/>
      <w:szCs w:val="22"/>
    </w:rPr>
  </w:style>
  <w:style w:type="character" w:customStyle="1" w:styleId="111">
    <w:name w:val="文档结构图 Char"/>
    <w:basedOn w:val="86"/>
    <w:qFormat/>
    <w:uiPriority w:val="0"/>
    <w:rPr>
      <w:rFonts w:ascii="宋体"/>
      <w:kern w:val="2"/>
      <w:sz w:val="18"/>
      <w:szCs w:val="18"/>
    </w:rPr>
  </w:style>
  <w:style w:type="character" w:customStyle="1" w:styleId="112">
    <w:name w:val="批注文字 字符3"/>
    <w:link w:val="28"/>
    <w:qFormat/>
    <w:uiPriority w:val="0"/>
    <w:rPr>
      <w:kern w:val="2"/>
      <w:sz w:val="21"/>
      <w:szCs w:val="24"/>
    </w:rPr>
  </w:style>
  <w:style w:type="character" w:customStyle="1" w:styleId="113">
    <w:name w:val="称呼 字符"/>
    <w:basedOn w:val="86"/>
    <w:link w:val="30"/>
    <w:qFormat/>
    <w:uiPriority w:val="0"/>
    <w:rPr>
      <w:kern w:val="2"/>
      <w:sz w:val="24"/>
      <w:szCs w:val="28"/>
    </w:rPr>
  </w:style>
  <w:style w:type="character" w:customStyle="1" w:styleId="114">
    <w:name w:val="正文文本 3 字符"/>
    <w:link w:val="31"/>
    <w:qFormat/>
    <w:uiPriority w:val="0"/>
    <w:rPr>
      <w:rFonts w:ascii="Times New Roman" w:hAnsi="Times New Roman" w:eastAsia="宋体" w:cs="Times New Roman"/>
      <w:b/>
      <w:bCs/>
      <w:sz w:val="24"/>
      <w:szCs w:val="24"/>
    </w:rPr>
  </w:style>
  <w:style w:type="character" w:customStyle="1" w:styleId="115">
    <w:name w:val="结束语 字符"/>
    <w:basedOn w:val="86"/>
    <w:link w:val="32"/>
    <w:qFormat/>
    <w:uiPriority w:val="0"/>
    <w:rPr>
      <w:rFonts w:ascii="宋体" w:hAnsi="宋体"/>
      <w:sz w:val="24"/>
      <w:szCs w:val="22"/>
    </w:rPr>
  </w:style>
  <w:style w:type="character" w:customStyle="1" w:styleId="116">
    <w:name w:val="正文文本缩进 字符1"/>
    <w:link w:val="34"/>
    <w:qFormat/>
    <w:uiPriority w:val="0"/>
    <w:rPr>
      <w:rFonts w:ascii="仿宋_GB2312" w:hAnsi="Times New Roman" w:eastAsia="仿宋_GB2312" w:cs="Times New Roman"/>
      <w:sz w:val="32"/>
      <w:szCs w:val="20"/>
    </w:rPr>
  </w:style>
  <w:style w:type="character" w:customStyle="1" w:styleId="117">
    <w:name w:val="纯文本 字符3"/>
    <w:link w:val="43"/>
    <w:qFormat/>
    <w:uiPriority w:val="0"/>
    <w:rPr>
      <w:rFonts w:ascii="宋体" w:hAnsi="Courier New" w:eastAsia="宋体" w:cs="Courier New"/>
      <w:szCs w:val="21"/>
    </w:rPr>
  </w:style>
  <w:style w:type="character" w:customStyle="1" w:styleId="118">
    <w:name w:val="日期 字符"/>
    <w:link w:val="48"/>
    <w:qFormat/>
    <w:uiPriority w:val="0"/>
    <w:rPr>
      <w:rFonts w:ascii="宋体" w:hAnsi="Courier New" w:eastAsia="宋体" w:cs="Courier New"/>
      <w:szCs w:val="21"/>
    </w:rPr>
  </w:style>
  <w:style w:type="character" w:customStyle="1" w:styleId="119">
    <w:name w:val="正文文本缩进 2 字符"/>
    <w:link w:val="49"/>
    <w:qFormat/>
    <w:uiPriority w:val="0"/>
    <w:rPr>
      <w:rFonts w:ascii="Times New Roman" w:hAnsi="Times New Roman" w:eastAsia="宋体" w:cs="Times New Roman"/>
      <w:sz w:val="32"/>
      <w:szCs w:val="20"/>
    </w:rPr>
  </w:style>
  <w:style w:type="character" w:customStyle="1" w:styleId="120">
    <w:name w:val="尾注文本 字符"/>
    <w:link w:val="50"/>
    <w:qFormat/>
    <w:uiPriority w:val="0"/>
    <w:rPr>
      <w:rFonts w:ascii="Times New Roman" w:hAnsi="Times New Roman"/>
      <w:kern w:val="2"/>
      <w:sz w:val="21"/>
      <w:szCs w:val="24"/>
    </w:rPr>
  </w:style>
  <w:style w:type="character" w:customStyle="1" w:styleId="121">
    <w:name w:val="批注框文本 字符"/>
    <w:link w:val="52"/>
    <w:qFormat/>
    <w:uiPriority w:val="0"/>
    <w:rPr>
      <w:rFonts w:ascii="Times New Roman" w:hAnsi="Times New Roman" w:eastAsia="宋体" w:cs="Times New Roman"/>
      <w:sz w:val="18"/>
      <w:szCs w:val="18"/>
    </w:rPr>
  </w:style>
  <w:style w:type="character" w:customStyle="1" w:styleId="122">
    <w:name w:val="页脚 字符"/>
    <w:link w:val="53"/>
    <w:qFormat/>
    <w:uiPriority w:val="0"/>
    <w:rPr>
      <w:sz w:val="18"/>
      <w:szCs w:val="18"/>
    </w:rPr>
  </w:style>
  <w:style w:type="character" w:customStyle="1" w:styleId="123">
    <w:name w:val="页眉 字符"/>
    <w:link w:val="55"/>
    <w:qFormat/>
    <w:uiPriority w:val="0"/>
    <w:rPr>
      <w:rFonts w:ascii="Times New Roman" w:hAnsi="Times New Roman"/>
      <w:kern w:val="2"/>
      <w:sz w:val="18"/>
      <w:szCs w:val="18"/>
    </w:rPr>
  </w:style>
  <w:style w:type="character" w:customStyle="1" w:styleId="124">
    <w:name w:val="签名 字符"/>
    <w:basedOn w:val="86"/>
    <w:link w:val="56"/>
    <w:qFormat/>
    <w:uiPriority w:val="0"/>
    <w:rPr>
      <w:rFonts w:ascii="宋体" w:hAnsi="宋体"/>
      <w:sz w:val="24"/>
      <w:szCs w:val="22"/>
    </w:rPr>
  </w:style>
  <w:style w:type="character" w:customStyle="1" w:styleId="125">
    <w:name w:val="副标题 字符"/>
    <w:basedOn w:val="86"/>
    <w:link w:val="62"/>
    <w:qFormat/>
    <w:uiPriority w:val="0"/>
    <w:rPr>
      <w:rFonts w:ascii="Arial" w:hAnsi="Arial"/>
      <w:b/>
      <w:bCs/>
      <w:kern w:val="28"/>
      <w:sz w:val="32"/>
      <w:szCs w:val="32"/>
    </w:rPr>
  </w:style>
  <w:style w:type="character" w:customStyle="1" w:styleId="126">
    <w:name w:val="脚注文本 字符"/>
    <w:link w:val="65"/>
    <w:qFormat/>
    <w:uiPriority w:val="0"/>
    <w:rPr>
      <w:rFonts w:ascii="Times New Roman" w:hAnsi="Times New Roman"/>
      <w:kern w:val="2"/>
      <w:sz w:val="18"/>
      <w:szCs w:val="18"/>
    </w:rPr>
  </w:style>
  <w:style w:type="character" w:customStyle="1" w:styleId="127">
    <w:name w:val="正文文本缩进 3 字符"/>
    <w:link w:val="68"/>
    <w:qFormat/>
    <w:uiPriority w:val="0"/>
    <w:rPr>
      <w:rFonts w:ascii="Times New Roman" w:hAnsi="Times New Roman" w:eastAsia="宋体" w:cs="Times New Roman"/>
      <w:sz w:val="16"/>
      <w:szCs w:val="16"/>
    </w:rPr>
  </w:style>
  <w:style w:type="character" w:customStyle="1" w:styleId="128">
    <w:name w:val="正文文本 2 字符"/>
    <w:link w:val="73"/>
    <w:qFormat/>
    <w:uiPriority w:val="0"/>
    <w:rPr>
      <w:rFonts w:ascii="Times New Roman" w:hAnsi="Times New Roman" w:eastAsia="宋体" w:cs="Times New Roman"/>
      <w:szCs w:val="24"/>
    </w:rPr>
  </w:style>
  <w:style w:type="character" w:customStyle="1" w:styleId="129">
    <w:name w:val="信息标题 字符"/>
    <w:basedOn w:val="86"/>
    <w:link w:val="76"/>
    <w:qFormat/>
    <w:uiPriority w:val="0"/>
    <w:rPr>
      <w:rFonts w:ascii="Arial" w:hAnsi="Arial"/>
      <w:sz w:val="24"/>
      <w:szCs w:val="22"/>
      <w:shd w:val="pct20" w:color="auto" w:fill="auto"/>
    </w:rPr>
  </w:style>
  <w:style w:type="character" w:customStyle="1" w:styleId="130">
    <w:name w:val="HTML 预设格式 字符"/>
    <w:basedOn w:val="86"/>
    <w:link w:val="77"/>
    <w:qFormat/>
    <w:uiPriority w:val="0"/>
    <w:rPr>
      <w:rFonts w:ascii="宋体" w:hAnsi="宋体"/>
      <w:sz w:val="24"/>
    </w:rPr>
  </w:style>
  <w:style w:type="character" w:customStyle="1" w:styleId="131">
    <w:name w:val="标题 字符"/>
    <w:link w:val="3"/>
    <w:qFormat/>
    <w:uiPriority w:val="0"/>
    <w:rPr>
      <w:rFonts w:ascii="Cambria" w:hAnsi="Cambria" w:cs="Times New Roman"/>
      <w:b/>
      <w:bCs/>
      <w:kern w:val="2"/>
      <w:sz w:val="32"/>
      <w:szCs w:val="32"/>
    </w:rPr>
  </w:style>
  <w:style w:type="character" w:customStyle="1" w:styleId="132">
    <w:name w:val="批注主题 字符"/>
    <w:link w:val="81"/>
    <w:qFormat/>
    <w:uiPriority w:val="0"/>
    <w:rPr>
      <w:rFonts w:ascii="Times New Roman" w:hAnsi="Times New Roman"/>
      <w:b/>
      <w:bCs/>
      <w:kern w:val="2"/>
      <w:sz w:val="21"/>
      <w:szCs w:val="24"/>
    </w:rPr>
  </w:style>
  <w:style w:type="character" w:customStyle="1" w:styleId="133">
    <w:name w:val="正文首行缩进 Char"/>
    <w:basedOn w:val="98"/>
    <w:qFormat/>
    <w:uiPriority w:val="0"/>
    <w:rPr>
      <w:rFonts w:ascii="Times New Roman" w:hAnsi="Times New Roman" w:eastAsia="宋体" w:cs="Times New Roman"/>
      <w:kern w:val="2"/>
      <w:sz w:val="21"/>
      <w:szCs w:val="24"/>
    </w:rPr>
  </w:style>
  <w:style w:type="character" w:customStyle="1" w:styleId="134">
    <w:name w:val="正文首行缩进 2 Char"/>
    <w:basedOn w:val="116"/>
    <w:qFormat/>
    <w:uiPriority w:val="0"/>
    <w:rPr>
      <w:rFonts w:ascii="仿宋_GB2312" w:hAnsi="Times New Roman" w:eastAsia="仿宋_GB2312" w:cs="Times New Roman"/>
      <w:kern w:val="2"/>
      <w:sz w:val="21"/>
      <w:szCs w:val="24"/>
    </w:rPr>
  </w:style>
  <w:style w:type="character" w:customStyle="1" w:styleId="135">
    <w:name w:val="纯文本 字符1"/>
    <w:qFormat/>
    <w:uiPriority w:val="0"/>
    <w:rPr>
      <w:rFonts w:ascii="宋体" w:hAnsi="Courier New"/>
    </w:rPr>
  </w:style>
  <w:style w:type="character" w:customStyle="1" w:styleId="136">
    <w:name w:val="批注文字 Char1"/>
    <w:qFormat/>
    <w:locked/>
    <w:uiPriority w:val="0"/>
    <w:rPr>
      <w:rFonts w:ascii="Times New Roman" w:hAnsi="Times New Roman"/>
      <w:kern w:val="2"/>
      <w:sz w:val="21"/>
      <w:szCs w:val="24"/>
    </w:rPr>
  </w:style>
  <w:style w:type="character" w:customStyle="1" w:styleId="137">
    <w:name w:val="headline-content4"/>
    <w:qFormat/>
    <w:uiPriority w:val="0"/>
  </w:style>
  <w:style w:type="character" w:customStyle="1" w:styleId="138">
    <w:name w:val="批注文字 字符"/>
    <w:qFormat/>
    <w:uiPriority w:val="0"/>
    <w:rPr>
      <w:rFonts w:ascii="Times New Roman" w:hAnsi="Times New Roman"/>
      <w:kern w:val="2"/>
      <w:sz w:val="21"/>
      <w:szCs w:val="24"/>
    </w:rPr>
  </w:style>
  <w:style w:type="character" w:customStyle="1" w:styleId="139">
    <w:name w:val="标题 5 Char"/>
    <w:qFormat/>
    <w:uiPriority w:val="0"/>
    <w:rPr>
      <w:b/>
      <w:kern w:val="2"/>
      <w:sz w:val="28"/>
      <w:szCs w:val="24"/>
    </w:rPr>
  </w:style>
  <w:style w:type="character" w:customStyle="1" w:styleId="140">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141">
    <w:name w:val="批注文字 Char"/>
    <w:qFormat/>
    <w:uiPriority w:val="0"/>
    <w:rPr>
      <w:rFonts w:ascii="Times New Roman" w:hAnsi="Times New Roman"/>
      <w:kern w:val="2"/>
      <w:sz w:val="21"/>
      <w:szCs w:val="24"/>
    </w:rPr>
  </w:style>
  <w:style w:type="character" w:customStyle="1" w:styleId="142">
    <w:name w:val="标题 1 字符"/>
    <w:qFormat/>
    <w:uiPriority w:val="9"/>
    <w:rPr>
      <w:rFonts w:ascii="Times New Roman" w:hAnsi="Times New Roman" w:eastAsia="宋体" w:cs="Times New Roman"/>
      <w:b/>
      <w:bCs/>
      <w:kern w:val="44"/>
      <w:sz w:val="44"/>
      <w:szCs w:val="44"/>
    </w:rPr>
  </w:style>
  <w:style w:type="character" w:customStyle="1" w:styleId="143">
    <w:name w:val="apple-style-span"/>
    <w:qFormat/>
    <w:uiPriority w:val="0"/>
  </w:style>
  <w:style w:type="character" w:customStyle="1" w:styleId="144">
    <w:name w:val="正文文本缩进 字符"/>
    <w:qFormat/>
    <w:uiPriority w:val="0"/>
    <w:rPr>
      <w:rFonts w:ascii="仿宋_GB2312" w:hAnsi="Times New Roman" w:eastAsia="仿宋_GB2312" w:cs="Times New Roman"/>
      <w:sz w:val="32"/>
      <w:szCs w:val="20"/>
    </w:rPr>
  </w:style>
  <w:style w:type="character" w:customStyle="1" w:styleId="145">
    <w:name w:val="case31"/>
    <w:qFormat/>
    <w:uiPriority w:val="0"/>
    <w:rPr>
      <w:rFonts w:hint="default"/>
      <w:sz w:val="21"/>
      <w:szCs w:val="21"/>
    </w:rPr>
  </w:style>
  <w:style w:type="character" w:customStyle="1" w:styleId="146">
    <w:name w:val="纯文本 字符"/>
    <w:qFormat/>
    <w:uiPriority w:val="0"/>
    <w:rPr>
      <w:rFonts w:ascii="宋体" w:hAnsi="Courier New" w:eastAsia="宋体" w:cs="Courier New"/>
      <w:szCs w:val="21"/>
    </w:rPr>
  </w:style>
  <w:style w:type="character" w:customStyle="1" w:styleId="147">
    <w:name w:val="textcontents"/>
    <w:qFormat/>
    <w:uiPriority w:val="0"/>
  </w:style>
  <w:style w:type="character" w:customStyle="1" w:styleId="148">
    <w:name w:val="普通文字 Char Char2"/>
    <w:qFormat/>
    <w:uiPriority w:val="0"/>
    <w:rPr>
      <w:rFonts w:ascii="宋体" w:hAnsi="Courier New" w:eastAsia="宋体"/>
      <w:kern w:val="2"/>
      <w:sz w:val="21"/>
      <w:lang w:val="en-US" w:eastAsia="zh-CN" w:bidi="ar-SA"/>
    </w:rPr>
  </w:style>
  <w:style w:type="paragraph" w:customStyle="1" w:styleId="149">
    <w:name w:val="正文段"/>
    <w:basedOn w:val="1"/>
    <w:qFormat/>
    <w:uiPriority w:val="0"/>
    <w:pPr>
      <w:widowControl/>
      <w:snapToGrid w:val="0"/>
      <w:spacing w:afterLines="50"/>
      <w:ind w:firstLine="200" w:firstLineChars="200"/>
    </w:pPr>
    <w:rPr>
      <w:kern w:val="0"/>
      <w:sz w:val="24"/>
      <w:szCs w:val="20"/>
    </w:rPr>
  </w:style>
  <w:style w:type="paragraph" w:customStyle="1" w:styleId="150">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51">
    <w:name w:val="默认段落字体 Para Char Char Char Char Char Char Char Char Char1 Char Char Char Char"/>
    <w:basedOn w:val="1"/>
    <w:qFormat/>
    <w:uiPriority w:val="0"/>
    <w:rPr>
      <w:rFonts w:ascii="Tahoma" w:hAnsi="Tahoma"/>
      <w:sz w:val="24"/>
      <w:szCs w:val="20"/>
    </w:rPr>
  </w:style>
  <w:style w:type="paragraph" w:customStyle="1" w:styleId="152">
    <w:name w:val="xl22"/>
    <w:basedOn w:val="1"/>
    <w:qFormat/>
    <w:uiPriority w:val="0"/>
    <w:pPr>
      <w:widowControl/>
      <w:spacing w:before="100" w:beforeAutospacing="1" w:after="100" w:afterAutospacing="1"/>
      <w:jc w:val="left"/>
    </w:pPr>
    <w:rPr>
      <w:rFonts w:ascii="Arial Unicode MS" w:hAnsi="Arial Unicode MS" w:eastAsia="Arial Unicode MS" w:cs="Arial Unicode MS"/>
      <w:kern w:val="0"/>
      <w:sz w:val="20"/>
      <w:szCs w:val="20"/>
    </w:rPr>
  </w:style>
  <w:style w:type="paragraph" w:customStyle="1" w:styleId="153">
    <w:name w:val="样式"/>
    <w:qFormat/>
    <w:uiPriority w:val="0"/>
    <w:pPr>
      <w:widowControl w:val="0"/>
      <w:autoSpaceDE w:val="0"/>
      <w:autoSpaceDN w:val="0"/>
      <w:adjustRightInd w:val="0"/>
      <w:jc w:val="center"/>
    </w:pPr>
    <w:rPr>
      <w:rFonts w:ascii="宋体" w:hAnsi="宋体" w:eastAsia="宋体" w:cs="宋体"/>
      <w:sz w:val="24"/>
      <w:szCs w:val="24"/>
      <w:lang w:val="en-US" w:eastAsia="zh-CN" w:bidi="ar-SA"/>
    </w:rPr>
  </w:style>
  <w:style w:type="paragraph" w:customStyle="1" w:styleId="154">
    <w:name w:val="样式 标题 2 + Times New Roman 四号 非加粗 段前: 5 磅 段后: 0 磅 行距: 固定值 20..."/>
    <w:basedOn w:val="5"/>
    <w:qFormat/>
    <w:uiPriority w:val="0"/>
    <w:pPr>
      <w:spacing w:before="100" w:after="0" w:line="400" w:lineRule="exact"/>
    </w:pPr>
    <w:rPr>
      <w:rFonts w:ascii="Times New Roman" w:hAnsi="Times New Roman" w:cs="宋体"/>
      <w:b w:val="0"/>
      <w:bCs w:val="0"/>
      <w:sz w:val="28"/>
      <w:szCs w:val="20"/>
    </w:rPr>
  </w:style>
  <w:style w:type="paragraph" w:customStyle="1" w:styleId="155">
    <w:name w:val="Table Paragraph"/>
    <w:basedOn w:val="1"/>
    <w:qFormat/>
    <w:uiPriority w:val="1"/>
    <w:pPr>
      <w:jc w:val="left"/>
    </w:pPr>
    <w:rPr>
      <w:rFonts w:ascii="Calibri" w:hAnsi="Calibri"/>
      <w:kern w:val="0"/>
      <w:sz w:val="22"/>
      <w:szCs w:val="22"/>
      <w:lang w:eastAsia="en-US"/>
    </w:rPr>
  </w:style>
  <w:style w:type="paragraph" w:customStyle="1" w:styleId="156">
    <w:name w:val="Char1"/>
    <w:basedOn w:val="1"/>
    <w:qFormat/>
    <w:uiPriority w:val="0"/>
    <w:rPr>
      <w:szCs w:val="21"/>
    </w:rPr>
  </w:style>
  <w:style w:type="paragraph" w:customStyle="1" w:styleId="157">
    <w:name w:val="正文首行缩进两字符"/>
    <w:basedOn w:val="1"/>
    <w:qFormat/>
    <w:uiPriority w:val="0"/>
    <w:pPr>
      <w:spacing w:line="360" w:lineRule="auto"/>
      <w:ind w:firstLine="200" w:firstLineChars="200"/>
    </w:pPr>
  </w:style>
  <w:style w:type="paragraph" w:customStyle="1" w:styleId="158">
    <w:name w:val="表格"/>
    <w:basedOn w:val="1"/>
    <w:link w:val="159"/>
    <w:qFormat/>
    <w:uiPriority w:val="0"/>
    <w:pPr>
      <w:spacing w:line="400" w:lineRule="exact"/>
    </w:pPr>
    <w:rPr>
      <w:sz w:val="24"/>
    </w:rPr>
  </w:style>
  <w:style w:type="character" w:customStyle="1" w:styleId="159">
    <w:name w:val="表格 Char"/>
    <w:link w:val="158"/>
    <w:qFormat/>
    <w:uiPriority w:val="0"/>
    <w:rPr>
      <w:kern w:val="2"/>
      <w:sz w:val="24"/>
      <w:szCs w:val="24"/>
    </w:rPr>
  </w:style>
  <w:style w:type="paragraph" w:customStyle="1" w:styleId="160">
    <w:name w:val="样式 首行缩进:  2 字符"/>
    <w:basedOn w:val="1"/>
    <w:qFormat/>
    <w:uiPriority w:val="0"/>
    <w:pPr>
      <w:spacing w:line="400" w:lineRule="exact"/>
      <w:ind w:firstLine="200" w:firstLineChars="200"/>
    </w:pPr>
    <w:rPr>
      <w:rFonts w:cs="宋体"/>
      <w:sz w:val="24"/>
    </w:rPr>
  </w:style>
  <w:style w:type="paragraph" w:customStyle="1" w:styleId="161">
    <w:name w:val="纯文本1"/>
    <w:basedOn w:val="1"/>
    <w:qFormat/>
    <w:uiPriority w:val="0"/>
    <w:rPr>
      <w:rFonts w:ascii="宋体" w:hAnsi="Courier New" w:cs="Century"/>
      <w:szCs w:val="21"/>
    </w:rPr>
  </w:style>
  <w:style w:type="paragraph" w:customStyle="1" w:styleId="162">
    <w:name w:val="样式 标题 3 + (中文) 黑体 小四 非加粗 段前: 7.8 磅 段后: 0 磅 行距: 固定值 20 磅"/>
    <w:basedOn w:val="6"/>
    <w:qFormat/>
    <w:uiPriority w:val="0"/>
    <w:pPr>
      <w:spacing w:before="0" w:after="0" w:line="400" w:lineRule="exact"/>
    </w:pPr>
    <w:rPr>
      <w:rFonts w:eastAsia="黑体" w:cs="宋体"/>
      <w:b w:val="0"/>
      <w:bCs w:val="0"/>
      <w:sz w:val="24"/>
      <w:szCs w:val="20"/>
    </w:rPr>
  </w:style>
  <w:style w:type="paragraph" w:styleId="163">
    <w:name w:val="List Paragraph"/>
    <w:basedOn w:val="1"/>
    <w:qFormat/>
    <w:uiPriority w:val="34"/>
    <w:pPr>
      <w:ind w:firstLine="420" w:firstLineChars="200"/>
    </w:pPr>
  </w:style>
  <w:style w:type="table" w:customStyle="1" w:styleId="164">
    <w:name w:val="Table Normal"/>
    <w:semiHidden/>
    <w:qFormat/>
    <w:uiPriority w:val="2"/>
    <w:pPr>
      <w:widowControl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165">
    <w:name w:val="纯文本 Char1"/>
    <w:qFormat/>
    <w:uiPriority w:val="0"/>
    <w:rPr>
      <w:rFonts w:ascii="宋体" w:hAnsi="Courier New" w:eastAsia="宋体" w:cs="Courier New"/>
      <w:szCs w:val="21"/>
    </w:rPr>
  </w:style>
  <w:style w:type="character" w:customStyle="1" w:styleId="166">
    <w:name w:val="标题 5 Char1"/>
    <w:qFormat/>
    <w:uiPriority w:val="0"/>
    <w:rPr>
      <w:b/>
      <w:kern w:val="2"/>
      <w:sz w:val="28"/>
      <w:szCs w:val="24"/>
    </w:rPr>
  </w:style>
  <w:style w:type="character" w:customStyle="1" w:styleId="167">
    <w:name w:val="批注文字 字符2"/>
    <w:qFormat/>
    <w:uiPriority w:val="0"/>
    <w:rPr>
      <w:rFonts w:ascii="Times New Roman" w:hAnsi="Times New Roman"/>
      <w:kern w:val="2"/>
      <w:sz w:val="21"/>
      <w:szCs w:val="24"/>
    </w:rPr>
  </w:style>
  <w:style w:type="character" w:customStyle="1" w:styleId="168">
    <w:name w:val="纯文本 Char"/>
    <w:qFormat/>
    <w:uiPriority w:val="0"/>
    <w:rPr>
      <w:rFonts w:ascii="宋体" w:hAnsi="Courier New" w:eastAsia="宋体" w:cs="Courier New"/>
      <w:szCs w:val="21"/>
    </w:rPr>
  </w:style>
  <w:style w:type="paragraph" w:customStyle="1" w:styleId="169">
    <w:name w:val="正文2"/>
    <w:basedOn w:val="1"/>
    <w:link w:val="170"/>
    <w:qFormat/>
    <w:uiPriority w:val="0"/>
    <w:pPr>
      <w:adjustRightInd w:val="0"/>
      <w:spacing w:before="156" w:line="360" w:lineRule="auto"/>
      <w:ind w:firstLine="510" w:firstLineChars="200"/>
    </w:pPr>
    <w:rPr>
      <w:sz w:val="24"/>
      <w:szCs w:val="20"/>
    </w:rPr>
  </w:style>
  <w:style w:type="character" w:customStyle="1" w:styleId="170">
    <w:name w:val="正文2 Char Char"/>
    <w:link w:val="169"/>
    <w:qFormat/>
    <w:uiPriority w:val="0"/>
    <w:rPr>
      <w:kern w:val="2"/>
      <w:sz w:val="24"/>
    </w:rPr>
  </w:style>
  <w:style w:type="paragraph" w:customStyle="1" w:styleId="17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172">
    <w:name w:val="列出段落1"/>
    <w:basedOn w:val="1"/>
    <w:qFormat/>
    <w:uiPriority w:val="0"/>
    <w:pPr>
      <w:ind w:firstLine="420" w:firstLineChars="200"/>
    </w:pPr>
    <w:rPr>
      <w:szCs w:val="21"/>
    </w:rPr>
  </w:style>
  <w:style w:type="character" w:customStyle="1" w:styleId="173">
    <w:name w:val="bookmark-item"/>
    <w:basedOn w:val="86"/>
    <w:qFormat/>
    <w:uiPriority w:val="0"/>
  </w:style>
  <w:style w:type="paragraph" w:customStyle="1" w:styleId="174">
    <w:name w:val="Normal_18"/>
    <w:qFormat/>
    <w:uiPriority w:val="0"/>
    <w:rPr>
      <w:rFonts w:ascii="Times New Roman" w:hAnsi="Times New Roman" w:eastAsia="Times New Roman" w:cs="Times New Roman"/>
      <w:sz w:val="24"/>
      <w:szCs w:val="24"/>
      <w:lang w:val="en-US" w:eastAsia="zh-CN" w:bidi="ar-SA"/>
    </w:rPr>
  </w:style>
  <w:style w:type="character" w:customStyle="1" w:styleId="175">
    <w:name w:val="标题 2 Char1"/>
    <w:qFormat/>
    <w:uiPriority w:val="0"/>
    <w:rPr>
      <w:rFonts w:ascii="Cambria" w:hAnsi="Cambria" w:eastAsia="宋体" w:cs="Times New Roman"/>
      <w:b/>
      <w:bCs/>
      <w:kern w:val="2"/>
      <w:sz w:val="32"/>
      <w:szCs w:val="32"/>
    </w:rPr>
  </w:style>
  <w:style w:type="character" w:customStyle="1" w:styleId="176">
    <w:name w:val="正文文本 Char1"/>
    <w:qFormat/>
    <w:uiPriority w:val="0"/>
    <w:rPr>
      <w:rFonts w:ascii="Times New Roman" w:hAnsi="Times New Roman"/>
      <w:kern w:val="2"/>
      <w:sz w:val="21"/>
      <w:szCs w:val="24"/>
    </w:rPr>
  </w:style>
  <w:style w:type="character" w:customStyle="1" w:styleId="177">
    <w:name w:val="标题 1 字符1"/>
    <w:qFormat/>
    <w:uiPriority w:val="0"/>
    <w:rPr>
      <w:b/>
      <w:bCs/>
      <w:kern w:val="44"/>
      <w:sz w:val="44"/>
      <w:szCs w:val="44"/>
    </w:rPr>
  </w:style>
  <w:style w:type="character" w:customStyle="1" w:styleId="178">
    <w:name w:val="纯文本 字符2"/>
    <w:qFormat/>
    <w:uiPriority w:val="0"/>
    <w:rPr>
      <w:rFonts w:ascii="宋体" w:hAnsi="Courier New" w:eastAsia="宋体" w:cs="Courier New"/>
      <w:szCs w:val="21"/>
    </w:rPr>
  </w:style>
  <w:style w:type="character" w:customStyle="1" w:styleId="179">
    <w:name w:val="批注文字 字符1"/>
    <w:qFormat/>
    <w:uiPriority w:val="0"/>
    <w:rPr>
      <w:rFonts w:ascii="Times New Roman" w:hAnsi="Times New Roman"/>
      <w:kern w:val="2"/>
      <w:sz w:val="21"/>
      <w:szCs w:val="24"/>
    </w:rPr>
  </w:style>
  <w:style w:type="character" w:customStyle="1" w:styleId="180">
    <w:name w:val="正文文本 字符"/>
    <w:qFormat/>
    <w:uiPriority w:val="0"/>
    <w:rPr>
      <w:rFonts w:ascii="Times New Roman" w:hAnsi="Times New Roman"/>
      <w:kern w:val="2"/>
      <w:sz w:val="21"/>
      <w:szCs w:val="24"/>
    </w:rPr>
  </w:style>
  <w:style w:type="paragraph" w:customStyle="1" w:styleId="181">
    <w:name w:val="Default"/>
    <w:link w:val="182"/>
    <w:qFormat/>
    <w:uiPriority w:val="0"/>
    <w:pPr>
      <w:widowControl w:val="0"/>
      <w:autoSpaceDE w:val="0"/>
      <w:autoSpaceDN w:val="0"/>
      <w:adjustRightInd w:val="0"/>
    </w:pPr>
    <w:rPr>
      <w:rFonts w:ascii="Times New Roman" w:hAnsi="Times New Roman" w:eastAsia="宋体" w:cs="Times New Roman"/>
      <w:color w:val="000000"/>
      <w:kern w:val="2"/>
      <w:sz w:val="24"/>
      <w:szCs w:val="24"/>
      <w:lang w:val="en-US" w:eastAsia="zh-CN" w:bidi="ar-SA"/>
    </w:rPr>
  </w:style>
  <w:style w:type="character" w:customStyle="1" w:styleId="182">
    <w:name w:val="Default Char Char"/>
    <w:link w:val="181"/>
    <w:qFormat/>
    <w:locked/>
    <w:uiPriority w:val="0"/>
    <w:rPr>
      <w:color w:val="000000"/>
      <w:kern w:val="2"/>
      <w:sz w:val="24"/>
      <w:szCs w:val="24"/>
    </w:rPr>
  </w:style>
  <w:style w:type="character" w:customStyle="1" w:styleId="183">
    <w:name w:val="Title Char"/>
    <w:qFormat/>
    <w:uiPriority w:val="0"/>
    <w:rPr>
      <w:rFonts w:ascii="Cambria" w:hAnsi="Cambria" w:cs="Cambria"/>
      <w:b/>
      <w:bCs/>
      <w:sz w:val="32"/>
      <w:szCs w:val="32"/>
    </w:rPr>
  </w:style>
  <w:style w:type="character" w:customStyle="1" w:styleId="184">
    <w:name w:val="文档结构图 字符"/>
    <w:basedOn w:val="86"/>
    <w:link w:val="26"/>
    <w:qFormat/>
    <w:uiPriority w:val="0"/>
    <w:rPr>
      <w:rFonts w:ascii="宋体"/>
      <w:kern w:val="2"/>
      <w:sz w:val="18"/>
      <w:szCs w:val="18"/>
    </w:rPr>
  </w:style>
  <w:style w:type="character" w:customStyle="1" w:styleId="185">
    <w:name w:val="正文文本首行缩进 字符"/>
    <w:basedOn w:val="98"/>
    <w:link w:val="82"/>
    <w:qFormat/>
    <w:uiPriority w:val="0"/>
    <w:rPr>
      <w:rFonts w:ascii="Times New Roman" w:hAnsi="Times New Roman" w:eastAsia="宋体" w:cs="Times New Roman"/>
      <w:kern w:val="2"/>
      <w:sz w:val="21"/>
      <w:szCs w:val="22"/>
    </w:rPr>
  </w:style>
  <w:style w:type="character" w:customStyle="1" w:styleId="186">
    <w:name w:val="正文文本首行缩进 2 字符"/>
    <w:basedOn w:val="116"/>
    <w:link w:val="83"/>
    <w:qFormat/>
    <w:uiPriority w:val="0"/>
    <w:rPr>
      <w:rFonts w:ascii="仿宋_GB2312" w:hAnsi="Times New Roman" w:eastAsia="仿宋_GB2312" w:cs="Times New Roman"/>
      <w:kern w:val="2"/>
      <w:sz w:val="21"/>
      <w:szCs w:val="20"/>
    </w:rPr>
  </w:style>
  <w:style w:type="paragraph" w:customStyle="1" w:styleId="187">
    <w:name w:val="标题 51"/>
    <w:basedOn w:val="1"/>
    <w:next w:val="188"/>
    <w:qFormat/>
    <w:uiPriority w:val="0"/>
    <w:pPr>
      <w:tabs>
        <w:tab w:val="left" w:pos="-709"/>
        <w:tab w:val="left" w:pos="284"/>
        <w:tab w:val="left" w:pos="851"/>
      </w:tabs>
      <w:snapToGrid w:val="0"/>
      <w:spacing w:line="300" w:lineRule="auto"/>
      <w:ind w:left="2520" w:hanging="420"/>
      <w:textAlignment w:val="baseline"/>
      <w:outlineLvl w:val="4"/>
    </w:pPr>
    <w:rPr>
      <w:b/>
      <w:sz w:val="28"/>
    </w:rPr>
  </w:style>
  <w:style w:type="paragraph" w:customStyle="1" w:styleId="188">
    <w:name w:val="正文缩进1"/>
    <w:basedOn w:val="1"/>
    <w:qFormat/>
    <w:uiPriority w:val="0"/>
    <w:pPr>
      <w:tabs>
        <w:tab w:val="left" w:pos="-709"/>
        <w:tab w:val="left" w:pos="284"/>
      </w:tabs>
      <w:spacing w:line="300" w:lineRule="auto"/>
      <w:ind w:firstLine="510"/>
      <w:jc w:val="center"/>
      <w:textAlignment w:val="baseline"/>
    </w:pPr>
    <w:rPr>
      <w:rFonts w:hint="eastAsia" w:ascii="宋体"/>
      <w:sz w:val="24"/>
      <w:szCs w:val="20"/>
    </w:rPr>
  </w:style>
  <w:style w:type="paragraph" w:customStyle="1" w:styleId="189">
    <w:name w:val="纯文本111"/>
    <w:basedOn w:val="1"/>
    <w:qFormat/>
    <w:uiPriority w:val="0"/>
    <w:rPr>
      <w:rFonts w:ascii="宋体" w:hAnsi="Courier New" w:cs="Century"/>
      <w:szCs w:val="21"/>
    </w:rPr>
  </w:style>
  <w:style w:type="paragraph" w:customStyle="1" w:styleId="190">
    <w:name w:val="正文_18"/>
    <w:qFormat/>
    <w:uiPriority w:val="0"/>
    <w:pPr>
      <w:widowControl w:val="0"/>
      <w:jc w:val="both"/>
    </w:pPr>
    <w:rPr>
      <w:rFonts w:ascii="Calibri" w:hAnsi="Calibri" w:eastAsia="宋体" w:cs="Times New Roman"/>
      <w:kern w:val="2"/>
      <w:sz w:val="21"/>
      <w:szCs w:val="22"/>
      <w:lang w:val="en-US" w:eastAsia="zh-CN" w:bidi="ar-SA"/>
    </w:rPr>
  </w:style>
  <w:style w:type="character" w:customStyle="1" w:styleId="191">
    <w:name w:val="Char Char24"/>
    <w:qFormat/>
    <w:uiPriority w:val="0"/>
    <w:rPr>
      <w:rFonts w:ascii="Times New Roman" w:hAnsi="Times New Roman" w:eastAsia="宋体" w:cs="Times New Roman"/>
      <w:kern w:val="2"/>
      <w:sz w:val="18"/>
      <w:szCs w:val="18"/>
    </w:rPr>
  </w:style>
  <w:style w:type="character" w:customStyle="1" w:styleId="192">
    <w:name w:val="Char Char19"/>
    <w:qFormat/>
    <w:uiPriority w:val="0"/>
    <w:rPr>
      <w:rFonts w:ascii="Arial" w:hAnsi="Arial" w:eastAsia="宋体" w:cs="Times New Roman"/>
      <w:b/>
      <w:bCs/>
      <w:szCs w:val="28"/>
    </w:rPr>
  </w:style>
  <w:style w:type="character" w:customStyle="1" w:styleId="193">
    <w:name w:val="Date Char"/>
    <w:qFormat/>
    <w:uiPriority w:val="0"/>
    <w:rPr>
      <w:rFonts w:ascii="Times New Roman" w:hAnsi="Times New Roman" w:eastAsia="仿宋_GB2312" w:cs="Times New Roman"/>
      <w:color w:val="FF0000"/>
      <w:sz w:val="24"/>
      <w:szCs w:val="24"/>
    </w:rPr>
  </w:style>
  <w:style w:type="character" w:customStyle="1" w:styleId="194">
    <w:name w:val="Char Char23"/>
    <w:qFormat/>
    <w:uiPriority w:val="0"/>
    <w:rPr>
      <w:rFonts w:ascii="Times New Roman" w:hAnsi="Times New Roman" w:eastAsia="宋体" w:cs="Times New Roman"/>
      <w:kern w:val="2"/>
      <w:sz w:val="18"/>
      <w:szCs w:val="18"/>
    </w:rPr>
  </w:style>
  <w:style w:type="character" w:customStyle="1" w:styleId="195">
    <w:name w:val="牛元镇标题2 Char"/>
    <w:link w:val="196"/>
    <w:qFormat/>
    <w:uiPriority w:val="0"/>
    <w:rPr>
      <w:rFonts w:ascii="Arial" w:hAnsi="Arial" w:cs="宋体"/>
      <w:color w:val="0000FF"/>
      <w:kern w:val="44"/>
      <w:sz w:val="24"/>
      <w:szCs w:val="24"/>
    </w:rPr>
  </w:style>
  <w:style w:type="paragraph" w:customStyle="1" w:styleId="196">
    <w:name w:val="牛元镇标题2"/>
    <w:basedOn w:val="1"/>
    <w:link w:val="195"/>
    <w:qFormat/>
    <w:uiPriority w:val="0"/>
    <w:pPr>
      <w:keepNext/>
      <w:keepLines/>
      <w:adjustRightInd w:val="0"/>
      <w:snapToGrid w:val="0"/>
      <w:spacing w:line="336" w:lineRule="auto"/>
      <w:ind w:right="240" w:rightChars="100" w:firstLine="280" w:firstLineChars="100"/>
      <w:textAlignment w:val="baseline"/>
      <w:outlineLvl w:val="0"/>
    </w:pPr>
    <w:rPr>
      <w:rFonts w:ascii="Arial" w:hAnsi="Arial" w:cs="宋体"/>
      <w:color w:val="0000FF"/>
      <w:kern w:val="44"/>
      <w:sz w:val="24"/>
    </w:rPr>
  </w:style>
  <w:style w:type="character" w:customStyle="1" w:styleId="197">
    <w:name w:val="明显强调1"/>
    <w:qFormat/>
    <w:uiPriority w:val="0"/>
    <w:rPr>
      <w:rFonts w:ascii="Times New Roman" w:hAnsi="Times New Roman" w:eastAsia="宋体" w:cs="Times New Roman"/>
      <w:b/>
      <w:i/>
      <w:sz w:val="24"/>
      <w:u w:val="single"/>
    </w:rPr>
  </w:style>
  <w:style w:type="character" w:customStyle="1" w:styleId="198">
    <w:name w:val="纯文本 Char3"/>
    <w:qFormat/>
    <w:uiPriority w:val="0"/>
    <w:rPr>
      <w:rFonts w:ascii="宋体" w:hAnsi="Courier New" w:eastAsia="宋体" w:cs="Times New Roman"/>
      <w:kern w:val="2"/>
      <w:sz w:val="21"/>
      <w:lang w:val="en-US" w:eastAsia="zh-CN" w:bidi="ar-SA"/>
    </w:rPr>
  </w:style>
  <w:style w:type="character" w:customStyle="1" w:styleId="199">
    <w:name w:val="Char Char20"/>
    <w:qFormat/>
    <w:uiPriority w:val="0"/>
    <w:rPr>
      <w:rFonts w:ascii="Times New Roman" w:hAnsi="Times New Roman" w:eastAsia="宋体" w:cs="Times New Roman"/>
      <w:b/>
      <w:bCs/>
      <w:sz w:val="24"/>
      <w:szCs w:val="32"/>
    </w:rPr>
  </w:style>
  <w:style w:type="character" w:customStyle="1" w:styleId="200">
    <w:name w:val="正文文字 Char Char"/>
    <w:qFormat/>
    <w:uiPriority w:val="0"/>
    <w:rPr>
      <w:rFonts w:ascii="Times New Roman" w:hAnsi="Times New Roman" w:eastAsia="宋体" w:cs="Times New Roman"/>
      <w:sz w:val="28"/>
      <w:lang w:val="en-US" w:eastAsia="zh-CN" w:bidi="ar-SA"/>
    </w:rPr>
  </w:style>
  <w:style w:type="character" w:customStyle="1" w:styleId="201">
    <w:name w:val="内容 Char"/>
    <w:link w:val="202"/>
    <w:qFormat/>
    <w:uiPriority w:val="0"/>
    <w:rPr>
      <w:kern w:val="2"/>
      <w:sz w:val="28"/>
      <w:szCs w:val="28"/>
    </w:rPr>
  </w:style>
  <w:style w:type="paragraph" w:customStyle="1" w:styleId="202">
    <w:name w:val="内容"/>
    <w:basedOn w:val="1"/>
    <w:link w:val="201"/>
    <w:qFormat/>
    <w:uiPriority w:val="0"/>
    <w:pPr>
      <w:adjustRightInd w:val="0"/>
      <w:snapToGrid w:val="0"/>
      <w:spacing w:line="360" w:lineRule="auto"/>
      <w:ind w:left="280" w:leftChars="100" w:right="280" w:rightChars="100" w:firstLine="560" w:firstLineChars="200"/>
    </w:pPr>
    <w:rPr>
      <w:sz w:val="28"/>
      <w:szCs w:val="28"/>
    </w:rPr>
  </w:style>
  <w:style w:type="character" w:customStyle="1" w:styleId="203">
    <w:name w:val="1.1标题 2 Char Char"/>
    <w:qFormat/>
    <w:uiPriority w:val="0"/>
    <w:rPr>
      <w:rFonts w:ascii="黑体" w:hAnsi="Verdana" w:eastAsia="黑体" w:cs="Times New Roman"/>
      <w:b/>
      <w:bCs/>
      <w:snapToGrid w:val="0"/>
      <w:kern w:val="2"/>
      <w:sz w:val="30"/>
      <w:szCs w:val="28"/>
      <w:lang w:val="en-US" w:eastAsia="zh-CN" w:bidi="ar-SA"/>
    </w:rPr>
  </w:style>
  <w:style w:type="character" w:customStyle="1" w:styleId="204">
    <w:name w:val="Char Char33"/>
    <w:qFormat/>
    <w:uiPriority w:val="0"/>
    <w:rPr>
      <w:rFonts w:ascii="Times New Roman" w:hAnsi="Times New Roman" w:eastAsia="宋体" w:cs="Times New Roman"/>
      <w:b/>
      <w:bCs/>
      <w:kern w:val="44"/>
      <w:sz w:val="44"/>
      <w:szCs w:val="44"/>
      <w:lang w:val="en-US" w:eastAsia="zh-CN" w:bidi="ar-SA"/>
    </w:rPr>
  </w:style>
  <w:style w:type="character" w:customStyle="1" w:styleId="205">
    <w:name w:val="Char Char14"/>
    <w:qFormat/>
    <w:uiPriority w:val="0"/>
    <w:rPr>
      <w:rFonts w:ascii="Times New Roman" w:hAnsi="Times New Roman" w:eastAsia="宋体" w:cs="Times New Roman"/>
      <w:kern w:val="2"/>
      <w:sz w:val="28"/>
      <w:lang w:val="en-US" w:eastAsia="zh-CN"/>
    </w:rPr>
  </w:style>
  <w:style w:type="character" w:customStyle="1" w:styleId="206">
    <w:name w:val="不明显强调1"/>
    <w:qFormat/>
    <w:uiPriority w:val="0"/>
    <w:rPr>
      <w:rFonts w:ascii="Times New Roman" w:hAnsi="Times New Roman" w:eastAsia="宋体" w:cs="Times New Roman"/>
      <w:i/>
      <w:color w:val="5A5A5A"/>
    </w:rPr>
  </w:style>
  <w:style w:type="character" w:customStyle="1" w:styleId="207">
    <w:name w:val="图名 Char"/>
    <w:qFormat/>
    <w:uiPriority w:val="0"/>
    <w:rPr>
      <w:rFonts w:ascii="楷体_GB2312" w:hAnsi="宋体" w:eastAsia="楷体_GB2312" w:cs="Times New Roman"/>
      <w:kern w:val="2"/>
      <w:sz w:val="21"/>
      <w:szCs w:val="24"/>
      <w:lang w:val="en-US" w:eastAsia="zh-CN" w:bidi="ar-SA"/>
    </w:rPr>
  </w:style>
  <w:style w:type="character" w:customStyle="1" w:styleId="208">
    <w:name w:val="Char Char22"/>
    <w:qFormat/>
    <w:uiPriority w:val="0"/>
    <w:rPr>
      <w:rFonts w:ascii="Times New Roman" w:hAnsi="Times New Roman" w:eastAsia="宋体" w:cs="Times New Roman"/>
      <w:b/>
      <w:bCs/>
      <w:kern w:val="44"/>
      <w:sz w:val="32"/>
      <w:szCs w:val="44"/>
    </w:rPr>
  </w:style>
  <w:style w:type="character" w:customStyle="1" w:styleId="209">
    <w:name w:val="标题03 Char1"/>
    <w:qFormat/>
    <w:uiPriority w:val="0"/>
    <w:rPr>
      <w:rFonts w:ascii="Times New Roman" w:hAnsi="Times New Roman" w:eastAsia="宋体" w:cs="Times New Roman"/>
      <w:b/>
      <w:bCs/>
      <w:kern w:val="2"/>
      <w:sz w:val="32"/>
      <w:szCs w:val="32"/>
      <w:lang w:val="en-US" w:eastAsia="zh-CN" w:bidi="ar-SA"/>
    </w:rPr>
  </w:style>
  <w:style w:type="character" w:customStyle="1" w:styleId="210">
    <w:name w:val="正文手行缩进2字 Char"/>
    <w:qFormat/>
    <w:uiPriority w:val="0"/>
    <w:rPr>
      <w:rFonts w:ascii="Times New Roman" w:hAnsi="Times New Roman" w:eastAsia="宋体" w:cs="Times New Roman"/>
      <w:kern w:val="2"/>
      <w:sz w:val="28"/>
      <w:szCs w:val="28"/>
      <w:lang w:val="en-US" w:eastAsia="zh-CN" w:bidi="ar-SA"/>
    </w:rPr>
  </w:style>
  <w:style w:type="character" w:customStyle="1" w:styleId="211">
    <w:name w:val="批注文字 Char3"/>
    <w:qFormat/>
    <w:uiPriority w:val="0"/>
    <w:rPr>
      <w:rFonts w:ascii="Times New Roman" w:hAnsi="Times New Roman" w:eastAsia="宋体" w:cs="Times New Roman"/>
      <w:kern w:val="2"/>
      <w:sz w:val="21"/>
      <w:szCs w:val="24"/>
      <w:lang w:val="en-US" w:eastAsia="zh-CN" w:bidi="ar-SA"/>
    </w:rPr>
  </w:style>
  <w:style w:type="character" w:customStyle="1" w:styleId="212">
    <w:name w:val="标题 3 Char Char Char Char Char"/>
    <w:qFormat/>
    <w:uiPriority w:val="0"/>
    <w:rPr>
      <w:rFonts w:ascii="仿宋_GB2312" w:hAnsi="Verdana" w:eastAsia="仿宋_GB2312" w:cs="Times New Roman"/>
      <w:b/>
      <w:bCs/>
      <w:snapToGrid w:val="0"/>
      <w:sz w:val="28"/>
      <w:szCs w:val="28"/>
      <w:lang w:val="en-US" w:eastAsia="en-US" w:bidi="ar-SA"/>
    </w:rPr>
  </w:style>
  <w:style w:type="character" w:customStyle="1" w:styleId="213">
    <w:name w:val="标题 Char2"/>
    <w:qFormat/>
    <w:uiPriority w:val="0"/>
    <w:rPr>
      <w:rFonts w:ascii="Cambria" w:hAnsi="Cambria" w:eastAsia="宋体" w:cs="Times New Roman"/>
      <w:b/>
      <w:bCs/>
      <w:sz w:val="32"/>
      <w:szCs w:val="32"/>
    </w:rPr>
  </w:style>
  <w:style w:type="character" w:customStyle="1" w:styleId="214">
    <w:name w:val="标题5 Char Char"/>
    <w:link w:val="215"/>
    <w:qFormat/>
    <w:uiPriority w:val="0"/>
    <w:rPr>
      <w:rFonts w:ascii="Arial" w:hAnsi="Arial"/>
      <w:b/>
      <w:bCs/>
      <w:sz w:val="24"/>
      <w:szCs w:val="32"/>
    </w:rPr>
  </w:style>
  <w:style w:type="paragraph" w:customStyle="1" w:styleId="215">
    <w:name w:val="标题5"/>
    <w:basedOn w:val="6"/>
    <w:link w:val="214"/>
    <w:qFormat/>
    <w:uiPriority w:val="0"/>
    <w:pPr>
      <w:spacing w:line="413" w:lineRule="auto"/>
    </w:pPr>
    <w:rPr>
      <w:rFonts w:ascii="Arial" w:hAnsi="Arial"/>
      <w:sz w:val="24"/>
    </w:rPr>
  </w:style>
  <w:style w:type="character" w:customStyle="1" w:styleId="216">
    <w:name w:val="Char Char6"/>
    <w:qFormat/>
    <w:uiPriority w:val="0"/>
    <w:rPr>
      <w:rFonts w:ascii="仿宋_GB2312" w:hAnsi="华文中宋" w:eastAsia="仿宋_GB2312" w:cs="Times New Roman"/>
      <w:b/>
      <w:kern w:val="2"/>
      <w:sz w:val="32"/>
      <w:lang w:val="en-US" w:eastAsia="zh-CN"/>
    </w:rPr>
  </w:style>
  <w:style w:type="character" w:customStyle="1" w:styleId="217">
    <w:name w:val="表头图名 Char"/>
    <w:link w:val="218"/>
    <w:qFormat/>
    <w:uiPriority w:val="0"/>
    <w:rPr>
      <w:rFonts w:ascii="宋体" w:hAnsi="宋体" w:eastAsia="黑体"/>
      <w:w w:val="90"/>
      <w:kern w:val="2"/>
      <w:sz w:val="24"/>
      <w:szCs w:val="21"/>
    </w:rPr>
  </w:style>
  <w:style w:type="paragraph" w:customStyle="1" w:styleId="218">
    <w:name w:val="表头图名"/>
    <w:basedOn w:val="219"/>
    <w:link w:val="217"/>
    <w:qFormat/>
    <w:uiPriority w:val="0"/>
    <w:pPr>
      <w:widowControl w:val="0"/>
      <w:adjustRightInd w:val="0"/>
      <w:spacing w:line="240" w:lineRule="exact"/>
      <w:ind w:firstLine="0" w:firstLineChars="0"/>
      <w:jc w:val="both"/>
      <w:textAlignment w:val="baseline"/>
    </w:pPr>
    <w:rPr>
      <w:rFonts w:ascii="宋体" w:hAnsi="宋体" w:eastAsia="黑体"/>
      <w:sz w:val="24"/>
      <w:szCs w:val="21"/>
    </w:rPr>
  </w:style>
  <w:style w:type="paragraph" w:customStyle="1" w:styleId="219">
    <w:name w:val="说明书正文"/>
    <w:link w:val="220"/>
    <w:qFormat/>
    <w:uiPriority w:val="0"/>
    <w:pPr>
      <w:spacing w:line="480" w:lineRule="exact"/>
      <w:ind w:firstLine="200" w:firstLineChars="200"/>
    </w:pPr>
    <w:rPr>
      <w:rFonts w:ascii="Times New Roman" w:hAnsi="Times New Roman" w:eastAsia="方正书宋简体" w:cs="Times New Roman"/>
      <w:w w:val="90"/>
      <w:kern w:val="2"/>
      <w:sz w:val="32"/>
      <w:szCs w:val="32"/>
      <w:lang w:val="en-US" w:eastAsia="zh-CN" w:bidi="ar-SA"/>
    </w:rPr>
  </w:style>
  <w:style w:type="character" w:customStyle="1" w:styleId="220">
    <w:name w:val="说明书正文 Char"/>
    <w:link w:val="219"/>
    <w:qFormat/>
    <w:uiPriority w:val="0"/>
    <w:rPr>
      <w:rFonts w:eastAsia="方正书宋简体"/>
      <w:w w:val="90"/>
      <w:kern w:val="2"/>
      <w:sz w:val="32"/>
      <w:szCs w:val="32"/>
    </w:rPr>
  </w:style>
  <w:style w:type="character" w:customStyle="1" w:styleId="221">
    <w:name w:val="Heading 2 Char"/>
    <w:qFormat/>
    <w:uiPriority w:val="0"/>
    <w:rPr>
      <w:rFonts w:ascii="Arial" w:hAnsi="Arial" w:eastAsia="仿宋_GB2312" w:cs="Times New Roman"/>
      <w:b/>
      <w:bCs/>
      <w:sz w:val="32"/>
      <w:szCs w:val="32"/>
    </w:rPr>
  </w:style>
  <w:style w:type="character" w:customStyle="1" w:styleId="222">
    <w:name w:val="林宝辉 标题1 Char"/>
    <w:link w:val="223"/>
    <w:qFormat/>
    <w:uiPriority w:val="0"/>
    <w:rPr>
      <w:rFonts w:eastAsia="新宋体"/>
      <w:b/>
      <w:bCs/>
      <w:kern w:val="2"/>
      <w:sz w:val="28"/>
      <w:szCs w:val="28"/>
    </w:rPr>
  </w:style>
  <w:style w:type="paragraph" w:customStyle="1" w:styleId="223">
    <w:name w:val="林宝辉 标题1"/>
    <w:basedOn w:val="1"/>
    <w:link w:val="222"/>
    <w:qFormat/>
    <w:uiPriority w:val="0"/>
    <w:pPr>
      <w:tabs>
        <w:tab w:val="left" w:pos="397"/>
        <w:tab w:val="left" w:pos="960"/>
      </w:tabs>
      <w:spacing w:line="360" w:lineRule="auto"/>
      <w:ind w:left="960" w:hanging="480"/>
      <w:jc w:val="center"/>
      <w:outlineLvl w:val="0"/>
    </w:pPr>
    <w:rPr>
      <w:rFonts w:eastAsia="新宋体"/>
      <w:b/>
      <w:bCs/>
      <w:sz w:val="28"/>
      <w:szCs w:val="28"/>
    </w:rPr>
  </w:style>
  <w:style w:type="character" w:customStyle="1" w:styleId="224">
    <w:name w:val="Body Text Indent 2 Char"/>
    <w:qFormat/>
    <w:uiPriority w:val="0"/>
    <w:rPr>
      <w:rFonts w:ascii="Times New Roman" w:hAnsi="Times New Roman" w:eastAsia="仿宋_GB2312" w:cs="Times New Roman"/>
      <w:sz w:val="24"/>
      <w:szCs w:val="24"/>
    </w:rPr>
  </w:style>
  <w:style w:type="character" w:customStyle="1" w:styleId="225">
    <w:name w:val="表头11 Char"/>
    <w:link w:val="226"/>
    <w:qFormat/>
    <w:uiPriority w:val="0"/>
    <w:rPr>
      <w:rFonts w:eastAsia="黑体"/>
      <w:sz w:val="24"/>
      <w:szCs w:val="24"/>
    </w:rPr>
  </w:style>
  <w:style w:type="paragraph" w:customStyle="1" w:styleId="226">
    <w:name w:val="表头11"/>
    <w:basedOn w:val="1"/>
    <w:link w:val="225"/>
    <w:qFormat/>
    <w:uiPriority w:val="0"/>
    <w:pPr>
      <w:adjustRightInd w:val="0"/>
      <w:snapToGrid w:val="0"/>
      <w:spacing w:beforeLines="50" w:line="300" w:lineRule="auto"/>
      <w:ind w:firstLine="200" w:firstLineChars="200"/>
    </w:pPr>
    <w:rPr>
      <w:rFonts w:eastAsia="黑体"/>
      <w:kern w:val="0"/>
      <w:sz w:val="24"/>
    </w:rPr>
  </w:style>
  <w:style w:type="character" w:customStyle="1" w:styleId="227">
    <w:name w:val="表名 Char"/>
    <w:link w:val="228"/>
    <w:qFormat/>
    <w:uiPriority w:val="0"/>
    <w:rPr>
      <w:rFonts w:ascii="黑体" w:eastAsia="黑体"/>
      <w:sz w:val="24"/>
    </w:rPr>
  </w:style>
  <w:style w:type="paragraph" w:customStyle="1" w:styleId="228">
    <w:name w:val="表名"/>
    <w:basedOn w:val="1"/>
    <w:link w:val="227"/>
    <w:qFormat/>
    <w:uiPriority w:val="0"/>
    <w:pPr>
      <w:adjustRightInd w:val="0"/>
      <w:snapToGrid w:val="0"/>
      <w:spacing w:beforeLines="50" w:afterLines="10" w:line="300" w:lineRule="auto"/>
      <w:jc w:val="center"/>
    </w:pPr>
    <w:rPr>
      <w:rFonts w:ascii="黑体" w:eastAsia="黑体"/>
      <w:kern w:val="0"/>
      <w:sz w:val="24"/>
      <w:szCs w:val="20"/>
    </w:rPr>
  </w:style>
  <w:style w:type="character" w:customStyle="1" w:styleId="229">
    <w:name w:val="表格文字居中 Char1"/>
    <w:link w:val="230"/>
    <w:qFormat/>
    <w:uiPriority w:val="0"/>
    <w:rPr>
      <w:rFonts w:ascii="宋体" w:cs="宋体"/>
      <w:kern w:val="2"/>
      <w:sz w:val="24"/>
      <w:szCs w:val="24"/>
    </w:rPr>
  </w:style>
  <w:style w:type="paragraph" w:customStyle="1" w:styleId="230">
    <w:name w:val="表格文字居中"/>
    <w:basedOn w:val="82"/>
    <w:link w:val="229"/>
    <w:qFormat/>
    <w:uiPriority w:val="0"/>
    <w:pPr>
      <w:keepNext/>
      <w:keepLines/>
      <w:tabs>
        <w:tab w:val="left" w:pos="628"/>
        <w:tab w:val="left" w:pos="1727"/>
        <w:tab w:val="left" w:pos="1884"/>
        <w:tab w:val="left" w:pos="7252"/>
      </w:tabs>
      <w:snapToGrid w:val="0"/>
      <w:spacing w:before="100" w:beforeAutospacing="1" w:after="0"/>
      <w:ind w:firstLine="0" w:firstLineChars="0"/>
      <w:jc w:val="center"/>
      <w:outlineLvl w:val="0"/>
    </w:pPr>
    <w:rPr>
      <w:rFonts w:ascii="宋体" w:cs="宋体"/>
      <w:sz w:val="24"/>
      <w:szCs w:val="24"/>
    </w:rPr>
  </w:style>
  <w:style w:type="character" w:customStyle="1" w:styleId="231">
    <w:name w:val="正文（首行缩进两字） Char Char"/>
    <w:qFormat/>
    <w:uiPriority w:val="0"/>
    <w:rPr>
      <w:rFonts w:ascii="Times New Roman" w:hAnsi="Times New Roman" w:eastAsia="宋体" w:cs="Times New Roman"/>
      <w:kern w:val="2"/>
      <w:sz w:val="21"/>
      <w:lang w:val="en-US" w:eastAsia="zh-CN"/>
    </w:rPr>
  </w:style>
  <w:style w:type="character" w:customStyle="1" w:styleId="232">
    <w:name w:val="标题2 Char2"/>
    <w:qFormat/>
    <w:uiPriority w:val="0"/>
    <w:rPr>
      <w:rFonts w:ascii="Arial" w:hAnsi="Arial" w:eastAsia="宋体" w:cs="Times New Roman"/>
      <w:b/>
      <w:bCs/>
      <w:snapToGrid w:val="0"/>
      <w:kern w:val="2"/>
      <w:sz w:val="28"/>
      <w:szCs w:val="32"/>
      <w:lang w:val="en-US" w:eastAsia="zh-CN" w:bidi="ar-SA"/>
    </w:rPr>
  </w:style>
  <w:style w:type="character" w:customStyle="1" w:styleId="233">
    <w:name w:val="cucd-1 Char"/>
    <w:qFormat/>
    <w:uiPriority w:val="0"/>
    <w:rPr>
      <w:rFonts w:ascii="Times New Roman" w:hAnsi="Times New Roman" w:eastAsia="黑体" w:cs="Times New Roman"/>
      <w:b/>
      <w:kern w:val="2"/>
      <w:sz w:val="36"/>
      <w:lang w:val="en-US" w:eastAsia="zh-CN" w:bidi="ar-SA"/>
    </w:rPr>
  </w:style>
  <w:style w:type="character" w:customStyle="1" w:styleId="234">
    <w:name w:val="Char Char11"/>
    <w:qFormat/>
    <w:uiPriority w:val="0"/>
    <w:rPr>
      <w:rFonts w:ascii="Arial" w:hAnsi="Arial" w:eastAsia="黑体" w:cs="Times New Roman"/>
      <w:b/>
      <w:sz w:val="24"/>
      <w:lang w:val="en-US" w:eastAsia="zh-CN"/>
    </w:rPr>
  </w:style>
  <w:style w:type="character" w:customStyle="1" w:styleId="235">
    <w:name w:val="引用 Char"/>
    <w:link w:val="236"/>
    <w:qFormat/>
    <w:uiPriority w:val="0"/>
    <w:rPr>
      <w:rFonts w:ascii="Calibri" w:hAnsi="Calibri"/>
      <w:i/>
      <w:sz w:val="24"/>
      <w:lang w:eastAsia="en-US"/>
    </w:rPr>
  </w:style>
  <w:style w:type="paragraph" w:customStyle="1" w:styleId="236">
    <w:name w:val="引用1"/>
    <w:basedOn w:val="1"/>
    <w:next w:val="1"/>
    <w:link w:val="235"/>
    <w:qFormat/>
    <w:uiPriority w:val="0"/>
    <w:rPr>
      <w:rFonts w:ascii="Calibri" w:hAnsi="Calibri"/>
      <w:i/>
      <w:kern w:val="0"/>
      <w:sz w:val="24"/>
      <w:szCs w:val="20"/>
      <w:lang w:eastAsia="en-US"/>
    </w:rPr>
  </w:style>
  <w:style w:type="character" w:customStyle="1" w:styleId="237">
    <w:name w:val="Heading 3 Char"/>
    <w:qFormat/>
    <w:uiPriority w:val="0"/>
    <w:rPr>
      <w:rFonts w:ascii="Times New Roman" w:hAnsi="Times New Roman" w:eastAsia="仿宋_GB2312" w:cs="Times New Roman"/>
      <w:b/>
      <w:bCs/>
      <w:sz w:val="32"/>
      <w:szCs w:val="32"/>
    </w:rPr>
  </w:style>
  <w:style w:type="character" w:customStyle="1" w:styleId="238">
    <w:name w:val="标题4 Char"/>
    <w:qFormat/>
    <w:uiPriority w:val="0"/>
    <w:rPr>
      <w:rFonts w:ascii="黑体" w:hAnsi="Arial" w:eastAsia="黑体" w:cs="Times New Roman"/>
      <w:b/>
      <w:bCs/>
      <w:snapToGrid w:val="0"/>
      <w:color w:val="FF00FF"/>
      <w:sz w:val="24"/>
      <w:szCs w:val="28"/>
      <w:lang w:val="en-US" w:eastAsia="zh-CN" w:bidi="ar-SA"/>
    </w:rPr>
  </w:style>
  <w:style w:type="character" w:customStyle="1" w:styleId="239">
    <w:name w:val="Char Char10"/>
    <w:qFormat/>
    <w:uiPriority w:val="0"/>
    <w:rPr>
      <w:rFonts w:ascii="Times New Roman" w:hAnsi="Times New Roman" w:eastAsia="宋体" w:cs="Times New Roman"/>
      <w:b/>
      <w:sz w:val="24"/>
      <w:lang w:val="en-US" w:eastAsia="zh-CN"/>
    </w:rPr>
  </w:style>
  <w:style w:type="character" w:customStyle="1" w:styleId="240">
    <w:name w:val="引用 Char2"/>
    <w:qFormat/>
    <w:uiPriority w:val="0"/>
    <w:rPr>
      <w:rFonts w:ascii="Times New Roman" w:hAnsi="Times New Roman" w:eastAsia="宋体" w:cs="Times New Roman"/>
      <w:i/>
      <w:iCs/>
      <w:color w:val="000000"/>
      <w:kern w:val="2"/>
      <w:sz w:val="21"/>
      <w:szCs w:val="24"/>
    </w:rPr>
  </w:style>
  <w:style w:type="character" w:customStyle="1" w:styleId="241">
    <w:name w:val="Heading 4 Char"/>
    <w:qFormat/>
    <w:uiPriority w:val="0"/>
    <w:rPr>
      <w:rFonts w:ascii="Arial" w:hAnsi="Arial" w:eastAsia="宋体" w:cs="Times New Roman"/>
      <w:b/>
      <w:bCs/>
      <w:kern w:val="2"/>
      <w:sz w:val="21"/>
      <w:szCs w:val="28"/>
      <w:lang w:val="en-US" w:eastAsia="zh-CN" w:bidi="ar-SA"/>
    </w:rPr>
  </w:style>
  <w:style w:type="character" w:customStyle="1" w:styleId="242">
    <w:name w:val="font161"/>
    <w:qFormat/>
    <w:uiPriority w:val="0"/>
    <w:rPr>
      <w:rFonts w:ascii="Times New Roman" w:hAnsi="Times New Roman" w:eastAsia="宋体" w:cs="Times New Roman"/>
      <w:b/>
      <w:bCs/>
      <w:sz w:val="32"/>
      <w:szCs w:val="32"/>
    </w:rPr>
  </w:style>
  <w:style w:type="character" w:customStyle="1" w:styleId="243">
    <w:name w:val="明显引用 Char1"/>
    <w:qFormat/>
    <w:uiPriority w:val="0"/>
    <w:rPr>
      <w:rFonts w:ascii="Times New Roman" w:hAnsi="Times New Roman" w:eastAsia="宋体" w:cs="Times New Roman"/>
      <w:b/>
      <w:bCs/>
      <w:i/>
      <w:iCs/>
      <w:color w:val="4F81BD"/>
      <w:szCs w:val="24"/>
    </w:rPr>
  </w:style>
  <w:style w:type="character" w:customStyle="1" w:styleId="244">
    <w:name w:val="马学海内容 Char"/>
    <w:link w:val="245"/>
    <w:qFormat/>
    <w:uiPriority w:val="0"/>
    <w:rPr>
      <w:rFonts w:ascii="新宋体" w:hAnsi="新宋体"/>
      <w:kern w:val="44"/>
      <w:sz w:val="24"/>
      <w:szCs w:val="24"/>
    </w:rPr>
  </w:style>
  <w:style w:type="paragraph" w:customStyle="1" w:styleId="245">
    <w:name w:val="马学海内容"/>
    <w:basedOn w:val="1"/>
    <w:link w:val="244"/>
    <w:qFormat/>
    <w:uiPriority w:val="0"/>
    <w:pPr>
      <w:tabs>
        <w:tab w:val="left" w:pos="5725"/>
        <w:tab w:val="left" w:pos="5880"/>
      </w:tabs>
      <w:spacing w:line="360" w:lineRule="auto"/>
      <w:ind w:firstLine="200" w:firstLineChars="200"/>
    </w:pPr>
    <w:rPr>
      <w:rFonts w:ascii="新宋体" w:hAnsi="新宋体"/>
      <w:kern w:val="44"/>
      <w:sz w:val="24"/>
    </w:rPr>
  </w:style>
  <w:style w:type="character" w:customStyle="1" w:styleId="246">
    <w:name w:val="表头 Char"/>
    <w:link w:val="247"/>
    <w:qFormat/>
    <w:uiPriority w:val="0"/>
    <w:rPr>
      <w:rFonts w:ascii="黑体" w:hAnsi="宋体" w:eastAsia="黑体" w:cs="黑体"/>
      <w:kern w:val="2"/>
      <w:sz w:val="24"/>
      <w:szCs w:val="24"/>
    </w:rPr>
  </w:style>
  <w:style w:type="paragraph" w:customStyle="1" w:styleId="247">
    <w:name w:val="表头"/>
    <w:basedOn w:val="1"/>
    <w:next w:val="1"/>
    <w:link w:val="246"/>
    <w:qFormat/>
    <w:uiPriority w:val="0"/>
    <w:pPr>
      <w:tabs>
        <w:tab w:val="left" w:pos="5450"/>
      </w:tabs>
      <w:adjustRightInd w:val="0"/>
      <w:snapToGrid w:val="0"/>
      <w:ind w:left="-1" w:leftChars="-7" w:right="280" w:rightChars="100" w:hanging="19" w:hangingChars="8"/>
      <w:jc w:val="center"/>
    </w:pPr>
    <w:rPr>
      <w:rFonts w:ascii="黑体" w:hAnsi="宋体" w:eastAsia="黑体" w:cs="黑体"/>
      <w:sz w:val="24"/>
    </w:rPr>
  </w:style>
  <w:style w:type="character" w:customStyle="1" w:styleId="248">
    <w:name w:val="批注主题 Char1"/>
    <w:qFormat/>
    <w:uiPriority w:val="0"/>
    <w:rPr>
      <w:rFonts w:ascii="Times New Roman" w:hAnsi="Times New Roman" w:eastAsia="宋体" w:cs="Times New Roman"/>
      <w:b/>
      <w:bCs/>
      <w:szCs w:val="24"/>
    </w:rPr>
  </w:style>
  <w:style w:type="character" w:customStyle="1" w:styleId="249">
    <w:name w:val="工作范围4 Char"/>
    <w:link w:val="250"/>
    <w:qFormat/>
    <w:uiPriority w:val="0"/>
    <w:rPr>
      <w:kern w:val="2"/>
      <w:sz w:val="24"/>
      <w:szCs w:val="24"/>
    </w:rPr>
  </w:style>
  <w:style w:type="paragraph" w:customStyle="1" w:styleId="250">
    <w:name w:val="工作范围4"/>
    <w:basedOn w:val="1"/>
    <w:link w:val="249"/>
    <w:qFormat/>
    <w:uiPriority w:val="0"/>
    <w:pPr>
      <w:tabs>
        <w:tab w:val="left" w:pos="792"/>
      </w:tabs>
      <w:spacing w:line="360" w:lineRule="auto"/>
      <w:ind w:left="792"/>
    </w:pPr>
    <w:rPr>
      <w:sz w:val="24"/>
    </w:rPr>
  </w:style>
  <w:style w:type="character" w:customStyle="1" w:styleId="251">
    <w:name w:val="正文 + 宋体 Char"/>
    <w:qFormat/>
    <w:uiPriority w:val="0"/>
    <w:rPr>
      <w:rFonts w:ascii="Times New Roman" w:hAnsi="Times New Roman" w:eastAsia="宋体" w:cs="Times New Roman"/>
      <w:b/>
      <w:spacing w:val="32"/>
      <w:kern w:val="2"/>
      <w:sz w:val="24"/>
      <w:szCs w:val="24"/>
      <w:lang w:val="en-US" w:eastAsia="zh-CN" w:bidi="ar-SA"/>
    </w:rPr>
  </w:style>
  <w:style w:type="character" w:customStyle="1" w:styleId="252">
    <w:name w:val="标题 1 Char Char Char"/>
    <w:qFormat/>
    <w:uiPriority w:val="0"/>
    <w:rPr>
      <w:rFonts w:ascii="宋体" w:hAnsi="Times New Roman" w:eastAsia="宋体" w:cs="Times New Roman"/>
      <w:b/>
      <w:color w:val="000000"/>
      <w:kern w:val="32"/>
      <w:sz w:val="32"/>
      <w:szCs w:val="32"/>
      <w:lang w:val="en-US" w:eastAsia="zh-CN" w:bidi="ar-SA"/>
    </w:rPr>
  </w:style>
  <w:style w:type="character" w:customStyle="1" w:styleId="253">
    <w:name w:val="批注框文本 Char1"/>
    <w:qFormat/>
    <w:uiPriority w:val="0"/>
    <w:rPr>
      <w:rFonts w:ascii="Times New Roman" w:hAnsi="Times New Roman" w:eastAsia="宋体" w:cs="Times New Roman"/>
      <w:sz w:val="18"/>
      <w:szCs w:val="18"/>
    </w:rPr>
  </w:style>
  <w:style w:type="character" w:customStyle="1" w:styleId="254">
    <w:name w:val="Document Map Char"/>
    <w:qFormat/>
    <w:uiPriority w:val="0"/>
    <w:rPr>
      <w:rFonts w:ascii="Times New Roman" w:hAnsi="Times New Roman" w:eastAsia="宋体" w:cs="Times New Roman"/>
      <w:kern w:val="2"/>
      <w:sz w:val="21"/>
      <w:szCs w:val="24"/>
      <w:lang w:val="en-US" w:eastAsia="zh-CN" w:bidi="ar-SA"/>
    </w:rPr>
  </w:style>
  <w:style w:type="character" w:customStyle="1" w:styleId="255">
    <w:name w:val="黑~正文文本 Char"/>
    <w:link w:val="256"/>
    <w:qFormat/>
    <w:uiPriority w:val="0"/>
    <w:rPr>
      <w:kern w:val="2"/>
      <w:sz w:val="24"/>
      <w:szCs w:val="21"/>
    </w:rPr>
  </w:style>
  <w:style w:type="paragraph" w:customStyle="1" w:styleId="256">
    <w:name w:val="黑~正文文本"/>
    <w:basedOn w:val="49"/>
    <w:link w:val="255"/>
    <w:qFormat/>
    <w:uiPriority w:val="0"/>
    <w:pPr>
      <w:spacing w:beforeLines="50" w:line="360" w:lineRule="auto"/>
      <w:ind w:firstLine="480" w:firstLineChars="200"/>
    </w:pPr>
    <w:rPr>
      <w:kern w:val="2"/>
      <w:sz w:val="24"/>
      <w:szCs w:val="21"/>
    </w:rPr>
  </w:style>
  <w:style w:type="character" w:customStyle="1" w:styleId="257">
    <w:name w:val="正文1234"/>
    <w:qFormat/>
    <w:uiPriority w:val="0"/>
    <w:rPr>
      <w:rFonts w:ascii="仿宋_GB2312" w:hAnsi="Verdana" w:eastAsia="仿宋_GB2312" w:cs="Times New Roman"/>
      <w:b/>
      <w:bCs/>
      <w:snapToGrid w:val="0"/>
      <w:sz w:val="28"/>
      <w:szCs w:val="28"/>
      <w:lang w:val="en-US" w:eastAsia="en-US" w:bidi="ar-SA"/>
    </w:rPr>
  </w:style>
  <w:style w:type="character" w:customStyle="1" w:styleId="258">
    <w:name w:val="纯文本 Char Char Char Char"/>
    <w:qFormat/>
    <w:uiPriority w:val="0"/>
    <w:rPr>
      <w:rFonts w:ascii="宋体" w:hAnsi="Plotter" w:eastAsia="宋体" w:cs="Times New Roman"/>
      <w:kern w:val="2"/>
      <w:sz w:val="21"/>
      <w:lang w:val="en-US" w:eastAsia="zh-CN" w:bidi="ar-SA"/>
    </w:rPr>
  </w:style>
  <w:style w:type="character" w:customStyle="1" w:styleId="259">
    <w:name w:val="正文A Char"/>
    <w:link w:val="260"/>
    <w:qFormat/>
    <w:uiPriority w:val="0"/>
    <w:rPr>
      <w:rFonts w:hAnsi="宋体"/>
      <w:snapToGrid w:val="0"/>
      <w:color w:val="FF0000"/>
      <w:sz w:val="24"/>
      <w:szCs w:val="24"/>
    </w:rPr>
  </w:style>
  <w:style w:type="paragraph" w:customStyle="1" w:styleId="260">
    <w:name w:val="正文A"/>
    <w:basedOn w:val="1"/>
    <w:link w:val="259"/>
    <w:qFormat/>
    <w:uiPriority w:val="0"/>
    <w:pPr>
      <w:adjustRightInd w:val="0"/>
      <w:snapToGrid w:val="0"/>
      <w:spacing w:beforeLines="50" w:line="360" w:lineRule="auto"/>
      <w:ind w:right="420" w:rightChars="200" w:firstLine="540" w:firstLineChars="225"/>
      <w:jc w:val="left"/>
    </w:pPr>
    <w:rPr>
      <w:rFonts w:hAnsi="宋体"/>
      <w:snapToGrid w:val="0"/>
      <w:color w:val="FF0000"/>
      <w:kern w:val="0"/>
      <w:sz w:val="24"/>
    </w:rPr>
  </w:style>
  <w:style w:type="character" w:customStyle="1" w:styleId="261">
    <w:name w:val="正文缩进 Char"/>
    <w:qFormat/>
    <w:uiPriority w:val="0"/>
    <w:rPr>
      <w:rFonts w:ascii="Arial" w:hAnsi="Arial" w:eastAsia="宋体" w:cs="Arial"/>
      <w:kern w:val="2"/>
      <w:sz w:val="24"/>
      <w:szCs w:val="24"/>
      <w:lang w:val="en-US" w:eastAsia="zh-CN"/>
    </w:rPr>
  </w:style>
  <w:style w:type="character" w:customStyle="1" w:styleId="262">
    <w:name w:val="文档结构图 Char1"/>
    <w:qFormat/>
    <w:uiPriority w:val="0"/>
    <w:rPr>
      <w:rFonts w:ascii="宋体" w:hAnsi="Times New Roman" w:eastAsia="宋体" w:cs="Times New Roman"/>
      <w:sz w:val="18"/>
      <w:szCs w:val="18"/>
    </w:rPr>
  </w:style>
  <w:style w:type="character" w:customStyle="1" w:styleId="263">
    <w:name w:val="Comment Subject Char"/>
    <w:qFormat/>
    <w:uiPriority w:val="0"/>
    <w:rPr>
      <w:rFonts w:ascii="Times New Roman" w:hAnsi="Times New Roman" w:eastAsia="宋体" w:cs="Times New Roman"/>
      <w:b/>
      <w:sz w:val="24"/>
      <w:lang w:bidi="ar-SA"/>
    </w:rPr>
  </w:style>
  <w:style w:type="character" w:customStyle="1" w:styleId="264">
    <w:name w:val="标题 Char1"/>
    <w:qFormat/>
    <w:uiPriority w:val="0"/>
    <w:rPr>
      <w:rFonts w:ascii="Cambria" w:hAnsi="Cambria" w:eastAsia="宋体" w:cs="Times New Roman"/>
      <w:b/>
      <w:bCs/>
      <w:sz w:val="32"/>
      <w:szCs w:val="32"/>
    </w:rPr>
  </w:style>
  <w:style w:type="character" w:customStyle="1" w:styleId="265">
    <w:name w:val="Footnote Text Char"/>
    <w:qFormat/>
    <w:uiPriority w:val="0"/>
    <w:rPr>
      <w:rFonts w:ascii="Times New Roman" w:hAnsi="Times New Roman" w:eastAsia="宋体" w:cs="Times New Roman"/>
      <w:sz w:val="18"/>
      <w:lang w:val="en-US" w:eastAsia="zh-CN" w:bidi="ar-SA"/>
    </w:rPr>
  </w:style>
  <w:style w:type="character" w:customStyle="1" w:styleId="266">
    <w:name w:val="标题－4 Char"/>
    <w:qFormat/>
    <w:uiPriority w:val="0"/>
    <w:rPr>
      <w:rFonts w:ascii="黑体" w:hAnsi="黑体" w:eastAsia="黑体" w:cs="Times New Roman"/>
      <w:b/>
      <w:bCs/>
      <w:snapToGrid w:val="0"/>
      <w:color w:val="008000"/>
      <w:sz w:val="28"/>
      <w:szCs w:val="28"/>
      <w:lang w:val="en-US" w:eastAsia="zh-CN" w:bidi="ar-SA"/>
    </w:rPr>
  </w:style>
  <w:style w:type="character" w:customStyle="1" w:styleId="267">
    <w:name w:val="Char Char2"/>
    <w:qFormat/>
    <w:uiPriority w:val="0"/>
    <w:rPr>
      <w:rFonts w:ascii="Times New Roman" w:hAnsi="Times New Roman" w:eastAsia="宋体" w:cs="Times New Roman"/>
      <w:kern w:val="2"/>
      <w:sz w:val="18"/>
      <w:lang w:val="en-US" w:eastAsia="zh-CN"/>
    </w:rPr>
  </w:style>
  <w:style w:type="character" w:customStyle="1" w:styleId="268">
    <w:name w:val="报告正文 Char1"/>
    <w:link w:val="269"/>
    <w:qFormat/>
    <w:uiPriority w:val="0"/>
    <w:rPr>
      <w:rFonts w:ascii="宋体" w:cs="宋体"/>
      <w:kern w:val="2"/>
      <w:sz w:val="28"/>
      <w:szCs w:val="28"/>
    </w:rPr>
  </w:style>
  <w:style w:type="paragraph" w:customStyle="1" w:styleId="269">
    <w:name w:val="报告正文"/>
    <w:basedOn w:val="1"/>
    <w:link w:val="268"/>
    <w:qFormat/>
    <w:uiPriority w:val="0"/>
    <w:pPr>
      <w:adjustRightInd w:val="0"/>
      <w:snapToGrid w:val="0"/>
      <w:spacing w:line="300" w:lineRule="auto"/>
    </w:pPr>
    <w:rPr>
      <w:rFonts w:ascii="宋体" w:cs="宋体"/>
      <w:sz w:val="28"/>
      <w:szCs w:val="28"/>
    </w:rPr>
  </w:style>
  <w:style w:type="character" w:customStyle="1" w:styleId="270">
    <w:name w:val="正文（首行缩进两字） Char"/>
    <w:qFormat/>
    <w:uiPriority w:val="0"/>
    <w:rPr>
      <w:rFonts w:ascii="Times New Roman" w:hAnsi="Times New Roman" w:eastAsia="宋体" w:cs="Times New Roman"/>
      <w:kern w:val="2"/>
      <w:sz w:val="28"/>
      <w:lang w:val="en-US" w:eastAsia="zh-CN"/>
    </w:rPr>
  </w:style>
  <w:style w:type="character" w:customStyle="1" w:styleId="271">
    <w:name w:val="apple-converted-space"/>
    <w:qFormat/>
    <w:uiPriority w:val="0"/>
    <w:rPr>
      <w:rFonts w:ascii="Times New Roman" w:hAnsi="Times New Roman" w:eastAsia="宋体" w:cs="Times New Roman"/>
    </w:rPr>
  </w:style>
  <w:style w:type="character" w:customStyle="1" w:styleId="272">
    <w:name w:val="正文 Char"/>
    <w:qFormat/>
    <w:uiPriority w:val="0"/>
    <w:rPr>
      <w:rFonts w:ascii="仿宋_GB2312" w:hAnsi="Verdana" w:eastAsia="宋体" w:cs="Times New Roman"/>
      <w:b/>
      <w:bCs/>
      <w:snapToGrid w:val="0"/>
      <w:kern w:val="2"/>
      <w:sz w:val="24"/>
      <w:szCs w:val="24"/>
      <w:lang w:val="en-US" w:eastAsia="zh-CN" w:bidi="ar-SA"/>
    </w:rPr>
  </w:style>
  <w:style w:type="character" w:customStyle="1" w:styleId="273">
    <w:name w:val="表字 Char"/>
    <w:link w:val="274"/>
    <w:qFormat/>
    <w:uiPriority w:val="0"/>
    <w:rPr>
      <w:kern w:val="2"/>
      <w:sz w:val="24"/>
      <w:szCs w:val="24"/>
    </w:rPr>
  </w:style>
  <w:style w:type="paragraph" w:customStyle="1" w:styleId="274">
    <w:name w:val="表字"/>
    <w:basedOn w:val="1"/>
    <w:link w:val="273"/>
    <w:qFormat/>
    <w:uiPriority w:val="0"/>
    <w:pPr>
      <w:keepNext/>
      <w:widowControl/>
      <w:spacing w:line="360" w:lineRule="exact"/>
      <w:jc w:val="left"/>
    </w:pPr>
    <w:rPr>
      <w:sz w:val="24"/>
    </w:rPr>
  </w:style>
  <w:style w:type="character" w:customStyle="1" w:styleId="275">
    <w:name w:val="工作范围3 Char"/>
    <w:link w:val="276"/>
    <w:qFormat/>
    <w:uiPriority w:val="0"/>
    <w:rPr>
      <w:rFonts w:cs="宋体"/>
      <w:bCs/>
      <w:kern w:val="2"/>
      <w:sz w:val="24"/>
      <w:szCs w:val="24"/>
    </w:rPr>
  </w:style>
  <w:style w:type="paragraph" w:customStyle="1" w:styleId="276">
    <w:name w:val="工作范围3"/>
    <w:basedOn w:val="6"/>
    <w:next w:val="1"/>
    <w:link w:val="275"/>
    <w:qFormat/>
    <w:uiPriority w:val="0"/>
    <w:pPr>
      <w:keepNext w:val="0"/>
      <w:keepLines w:val="0"/>
      <w:tabs>
        <w:tab w:val="left" w:pos="482"/>
      </w:tabs>
      <w:spacing w:before="0" w:after="0" w:line="360" w:lineRule="auto"/>
    </w:pPr>
    <w:rPr>
      <w:rFonts w:cs="宋体"/>
      <w:b w:val="0"/>
      <w:kern w:val="2"/>
      <w:sz w:val="24"/>
      <w:szCs w:val="24"/>
    </w:rPr>
  </w:style>
  <w:style w:type="character" w:customStyle="1" w:styleId="277">
    <w:name w:val="日期 Char1"/>
    <w:qFormat/>
    <w:uiPriority w:val="0"/>
    <w:rPr>
      <w:rFonts w:ascii="Times New Roman" w:hAnsi="Times New Roman" w:eastAsia="宋体" w:cs="Times New Roman"/>
      <w:szCs w:val="24"/>
    </w:rPr>
  </w:style>
  <w:style w:type="character" w:customStyle="1" w:styleId="278">
    <w:name w:val="章 Char"/>
    <w:qFormat/>
    <w:uiPriority w:val="0"/>
    <w:rPr>
      <w:rFonts w:ascii="Times New Roman" w:hAnsi="Times New Roman" w:eastAsia="宋体" w:cs="Times New Roman"/>
      <w:b/>
      <w:kern w:val="44"/>
      <w:sz w:val="44"/>
      <w:lang w:val="en-US" w:eastAsia="zh-CN"/>
    </w:rPr>
  </w:style>
  <w:style w:type="character" w:customStyle="1" w:styleId="279">
    <w:name w:val="Char Char9"/>
    <w:qFormat/>
    <w:uiPriority w:val="0"/>
    <w:rPr>
      <w:rFonts w:ascii="Times New Roman" w:hAnsi="Times New Roman" w:eastAsia="宋体" w:cs="Times New Roman"/>
      <w:b/>
      <w:bCs/>
      <w:kern w:val="44"/>
      <w:sz w:val="32"/>
      <w:szCs w:val="44"/>
      <w:lang w:val="en-US" w:eastAsia="zh-CN" w:bidi="ar-SA"/>
    </w:rPr>
  </w:style>
  <w:style w:type="character" w:customStyle="1" w:styleId="280">
    <w:name w:val="Comment Text Char"/>
    <w:qFormat/>
    <w:uiPriority w:val="0"/>
    <w:rPr>
      <w:rFonts w:ascii="Times New Roman" w:hAnsi="Times New Roman" w:eastAsia="宋体" w:cs="Times New Roman"/>
      <w:sz w:val="24"/>
      <w:szCs w:val="24"/>
    </w:rPr>
  </w:style>
  <w:style w:type="character" w:customStyle="1" w:styleId="281">
    <w:name w:val="规范正文 Char"/>
    <w:link w:val="282"/>
    <w:qFormat/>
    <w:uiPriority w:val="0"/>
    <w:rPr>
      <w:rFonts w:eastAsia="Times New Roman"/>
      <w:w w:val="95"/>
      <w:kern w:val="2"/>
      <w:sz w:val="24"/>
      <w:szCs w:val="24"/>
    </w:rPr>
  </w:style>
  <w:style w:type="paragraph" w:customStyle="1" w:styleId="282">
    <w:name w:val="规范正文"/>
    <w:link w:val="281"/>
    <w:qFormat/>
    <w:uiPriority w:val="0"/>
    <w:pPr>
      <w:adjustRightInd w:val="0"/>
      <w:snapToGrid w:val="0"/>
      <w:spacing w:line="312" w:lineRule="auto"/>
    </w:pPr>
    <w:rPr>
      <w:rFonts w:ascii="Times New Roman" w:hAnsi="Times New Roman" w:eastAsia="Times New Roman" w:cs="Times New Roman"/>
      <w:w w:val="95"/>
      <w:kern w:val="2"/>
      <w:sz w:val="24"/>
      <w:szCs w:val="24"/>
      <w:lang w:val="en-US" w:eastAsia="zh-CN" w:bidi="ar-SA"/>
    </w:rPr>
  </w:style>
  <w:style w:type="character" w:customStyle="1" w:styleId="283">
    <w:name w:val="批注文字 Char Char"/>
    <w:qFormat/>
    <w:uiPriority w:val="0"/>
    <w:rPr>
      <w:rFonts w:ascii="宋体" w:hAnsi="Times New Roman" w:eastAsia="宋体" w:cs="Times New Roman"/>
      <w:sz w:val="28"/>
      <w:szCs w:val="20"/>
    </w:rPr>
  </w:style>
  <w:style w:type="character" w:customStyle="1" w:styleId="284">
    <w:name w:val="表头1-1 Char"/>
    <w:link w:val="285"/>
    <w:qFormat/>
    <w:uiPriority w:val="0"/>
    <w:rPr>
      <w:rFonts w:eastAsia="黑体"/>
      <w:kern w:val="2"/>
      <w:sz w:val="24"/>
      <w:szCs w:val="24"/>
    </w:rPr>
  </w:style>
  <w:style w:type="paragraph" w:customStyle="1" w:styleId="285">
    <w:name w:val="表头1-1"/>
    <w:basedOn w:val="274"/>
    <w:link w:val="284"/>
    <w:qFormat/>
    <w:uiPriority w:val="0"/>
    <w:pPr>
      <w:spacing w:beforeLines="50" w:line="300" w:lineRule="auto"/>
      <w:ind w:firstLine="200" w:firstLineChars="200"/>
    </w:pPr>
    <w:rPr>
      <w:rFonts w:eastAsia="黑体"/>
    </w:rPr>
  </w:style>
  <w:style w:type="character" w:customStyle="1" w:styleId="286">
    <w:name w:val="标题 2 Char2"/>
    <w:link w:val="287"/>
    <w:qFormat/>
    <w:uiPriority w:val="0"/>
    <w:rPr>
      <w:rFonts w:ascii="Cambria" w:hAnsi="Cambria"/>
      <w:b/>
      <w:sz w:val="32"/>
    </w:rPr>
  </w:style>
  <w:style w:type="paragraph" w:customStyle="1" w:styleId="287">
    <w:name w:val="标题 21"/>
    <w:basedOn w:val="1"/>
    <w:next w:val="188"/>
    <w:link w:val="286"/>
    <w:qFormat/>
    <w:uiPriority w:val="0"/>
    <w:pPr>
      <w:tabs>
        <w:tab w:val="left" w:pos="-709"/>
        <w:tab w:val="left" w:pos="284"/>
      </w:tabs>
      <w:spacing w:line="300" w:lineRule="auto"/>
      <w:ind w:left="1260" w:hanging="420"/>
      <w:textAlignment w:val="baseline"/>
      <w:outlineLvl w:val="1"/>
    </w:pPr>
    <w:rPr>
      <w:rFonts w:ascii="Cambria" w:hAnsi="Cambria"/>
      <w:b/>
      <w:kern w:val="0"/>
      <w:sz w:val="32"/>
      <w:szCs w:val="20"/>
    </w:rPr>
  </w:style>
  <w:style w:type="character" w:customStyle="1" w:styleId="288">
    <w:name w:val="Char Char13"/>
    <w:qFormat/>
    <w:uiPriority w:val="0"/>
    <w:rPr>
      <w:rFonts w:ascii="宋体" w:hAnsi="Courier New" w:eastAsia="宋体" w:cs="Times New Roman"/>
      <w:sz w:val="21"/>
      <w:szCs w:val="21"/>
      <w:lang w:bidi="ar-SA"/>
    </w:rPr>
  </w:style>
  <w:style w:type="character" w:customStyle="1" w:styleId="289">
    <w:name w:val="Balloon Text Char"/>
    <w:qFormat/>
    <w:uiPriority w:val="0"/>
    <w:rPr>
      <w:rFonts w:ascii="Times New Roman" w:hAnsi="Times New Roman" w:eastAsia="宋体" w:cs="Times New Roman"/>
      <w:sz w:val="18"/>
      <w:lang w:bidi="ar-SA"/>
    </w:rPr>
  </w:style>
  <w:style w:type="character" w:customStyle="1" w:styleId="290">
    <w:name w:val="引用 Char1"/>
    <w:qFormat/>
    <w:uiPriority w:val="0"/>
    <w:rPr>
      <w:rFonts w:ascii="Times New Roman" w:hAnsi="Times New Roman" w:eastAsia="宋体" w:cs="Times New Roman"/>
      <w:i/>
      <w:iCs/>
      <w:color w:val="000000"/>
      <w:szCs w:val="24"/>
    </w:rPr>
  </w:style>
  <w:style w:type="character" w:customStyle="1" w:styleId="291">
    <w:name w:val="表格文字居中（小四） Char"/>
    <w:link w:val="292"/>
    <w:qFormat/>
    <w:uiPriority w:val="0"/>
    <w:rPr>
      <w:rFonts w:ascii="宋体" w:hAnsi="宋体" w:cs="宋体"/>
      <w:kern w:val="2"/>
      <w:sz w:val="21"/>
      <w:szCs w:val="21"/>
    </w:rPr>
  </w:style>
  <w:style w:type="paragraph" w:customStyle="1" w:styleId="292">
    <w:name w:val="表格文字居中（小四）"/>
    <w:basedOn w:val="219"/>
    <w:link w:val="291"/>
    <w:qFormat/>
    <w:uiPriority w:val="0"/>
    <w:pPr>
      <w:widowControl w:val="0"/>
      <w:adjustRightInd w:val="0"/>
      <w:snapToGrid w:val="0"/>
      <w:spacing w:line="240" w:lineRule="auto"/>
      <w:ind w:right="-122" w:rightChars="-58" w:firstLine="0" w:firstLineChars="0"/>
      <w:jc w:val="center"/>
    </w:pPr>
    <w:rPr>
      <w:rFonts w:ascii="宋体" w:hAnsi="宋体" w:eastAsia="宋体" w:cs="宋体"/>
      <w:w w:val="100"/>
      <w:sz w:val="21"/>
      <w:szCs w:val="21"/>
    </w:rPr>
  </w:style>
  <w:style w:type="character" w:customStyle="1" w:styleId="293">
    <w:name w:val="图头 Char"/>
    <w:link w:val="294"/>
    <w:qFormat/>
    <w:uiPriority w:val="0"/>
    <w:rPr>
      <w:rFonts w:eastAsia="黑体"/>
      <w:kern w:val="2"/>
      <w:sz w:val="24"/>
      <w:szCs w:val="24"/>
    </w:rPr>
  </w:style>
  <w:style w:type="paragraph" w:customStyle="1" w:styleId="294">
    <w:name w:val="图头"/>
    <w:basedOn w:val="1"/>
    <w:link w:val="293"/>
    <w:qFormat/>
    <w:uiPriority w:val="0"/>
    <w:pPr>
      <w:spacing w:beforeLines="50" w:line="300" w:lineRule="auto"/>
      <w:jc w:val="center"/>
    </w:pPr>
    <w:rPr>
      <w:rFonts w:eastAsia="黑体"/>
      <w:sz w:val="24"/>
    </w:rPr>
  </w:style>
  <w:style w:type="character" w:customStyle="1" w:styleId="295">
    <w:name w:val="正文：样式 小四 首行缩进:  0.74 厘米 行距: 1.5 倍行距 Char"/>
    <w:link w:val="296"/>
    <w:qFormat/>
    <w:uiPriority w:val="0"/>
    <w:rPr>
      <w:rFonts w:cs="宋体"/>
      <w:kern w:val="2"/>
      <w:sz w:val="24"/>
    </w:rPr>
  </w:style>
  <w:style w:type="paragraph" w:customStyle="1" w:styleId="296">
    <w:name w:val="正文：样式 小四 首行缩进:  0.74 厘米 行距: 1.5 倍行距"/>
    <w:basedOn w:val="1"/>
    <w:link w:val="295"/>
    <w:qFormat/>
    <w:uiPriority w:val="0"/>
    <w:pPr>
      <w:spacing w:line="360" w:lineRule="auto"/>
      <w:ind w:firstLine="420"/>
    </w:pPr>
    <w:rPr>
      <w:rFonts w:cs="宋体"/>
      <w:sz w:val="24"/>
      <w:szCs w:val="20"/>
    </w:rPr>
  </w:style>
  <w:style w:type="character" w:customStyle="1" w:styleId="297">
    <w:name w:val="正文文本 Char2"/>
    <w:qFormat/>
    <w:uiPriority w:val="0"/>
    <w:rPr>
      <w:rFonts w:ascii="Times New Roman" w:hAnsi="Times New Roman" w:eastAsia="宋体" w:cs="Times New Roman"/>
      <w:kern w:val="2"/>
      <w:sz w:val="21"/>
      <w:szCs w:val="24"/>
      <w:lang w:val="en-US" w:eastAsia="zh-CN" w:bidi="ar-SA"/>
    </w:rPr>
  </w:style>
  <w:style w:type="character" w:customStyle="1" w:styleId="298">
    <w:name w:val="3级标题 Char"/>
    <w:link w:val="299"/>
    <w:qFormat/>
    <w:uiPriority w:val="0"/>
    <w:rPr>
      <w:bCs/>
      <w:sz w:val="24"/>
      <w:szCs w:val="32"/>
    </w:rPr>
  </w:style>
  <w:style w:type="paragraph" w:customStyle="1" w:styleId="299">
    <w:name w:val="3级标题"/>
    <w:basedOn w:val="6"/>
    <w:link w:val="298"/>
    <w:qFormat/>
    <w:uiPriority w:val="0"/>
    <w:pPr>
      <w:widowControl/>
      <w:adjustRightInd w:val="0"/>
      <w:snapToGrid w:val="0"/>
      <w:spacing w:beforeLines="50" w:after="0" w:line="300" w:lineRule="auto"/>
      <w:jc w:val="left"/>
    </w:pPr>
    <w:rPr>
      <w:b w:val="0"/>
      <w:sz w:val="24"/>
    </w:rPr>
  </w:style>
  <w:style w:type="character" w:customStyle="1" w:styleId="300">
    <w:name w:val="Heading 1 Char"/>
    <w:qFormat/>
    <w:uiPriority w:val="0"/>
    <w:rPr>
      <w:rFonts w:ascii="Times New Roman" w:hAnsi="Times New Roman" w:eastAsia="仿宋_GB2312" w:cs="Times New Roman"/>
      <w:b/>
      <w:bCs/>
      <w:kern w:val="44"/>
      <w:sz w:val="44"/>
      <w:szCs w:val="44"/>
    </w:rPr>
  </w:style>
  <w:style w:type="character" w:customStyle="1" w:styleId="301">
    <w:name w:val="报告正文 Char"/>
    <w:qFormat/>
    <w:uiPriority w:val="0"/>
    <w:rPr>
      <w:rFonts w:ascii="宋体" w:hAnsi="宋体" w:eastAsia="宋体" w:cs="Times New Roman"/>
      <w:kern w:val="2"/>
      <w:sz w:val="28"/>
      <w:szCs w:val="24"/>
      <w:lang w:val="en-US" w:eastAsia="zh-CN" w:bidi="ar-SA"/>
    </w:rPr>
  </w:style>
  <w:style w:type="character" w:customStyle="1" w:styleId="302">
    <w:name w:val="Char Char5"/>
    <w:qFormat/>
    <w:uiPriority w:val="0"/>
    <w:rPr>
      <w:rFonts w:ascii="Times New Roman" w:hAnsi="Times New Roman" w:eastAsia="仿宋_GB2312" w:cs="Times New Roman"/>
      <w:kern w:val="2"/>
      <w:sz w:val="28"/>
      <w:lang w:val="en-US" w:eastAsia="zh-CN"/>
    </w:rPr>
  </w:style>
  <w:style w:type="character" w:customStyle="1" w:styleId="303">
    <w:name w:val="明显参考1"/>
    <w:qFormat/>
    <w:uiPriority w:val="0"/>
    <w:rPr>
      <w:rFonts w:ascii="Times New Roman" w:hAnsi="Times New Roman" w:eastAsia="宋体" w:cs="Times New Roman"/>
      <w:b/>
      <w:sz w:val="24"/>
      <w:u w:val="single"/>
    </w:rPr>
  </w:style>
  <w:style w:type="character" w:customStyle="1" w:styleId="304">
    <w:name w:val="Char Char16"/>
    <w:qFormat/>
    <w:uiPriority w:val="0"/>
    <w:rPr>
      <w:rFonts w:ascii="Times New Roman" w:hAnsi="Times New Roman" w:eastAsia="宋体" w:cs="Times New Roman"/>
      <w:b/>
      <w:kern w:val="44"/>
      <w:sz w:val="44"/>
      <w:lang w:val="en-US" w:eastAsia="zh-CN"/>
    </w:rPr>
  </w:style>
  <w:style w:type="character" w:customStyle="1" w:styleId="305">
    <w:name w:val="Char Char32"/>
    <w:qFormat/>
    <w:uiPriority w:val="0"/>
    <w:rPr>
      <w:rFonts w:ascii="Arial" w:hAnsi="Arial" w:eastAsia="黑体" w:cs="Times New Roman"/>
      <w:b/>
      <w:bCs/>
      <w:kern w:val="2"/>
      <w:sz w:val="32"/>
      <w:szCs w:val="32"/>
      <w:lang w:val="en-US" w:eastAsia="zh-CN" w:bidi="ar-SA"/>
    </w:rPr>
  </w:style>
  <w:style w:type="character" w:customStyle="1" w:styleId="306">
    <w:name w:val="Char Char3"/>
    <w:qFormat/>
    <w:uiPriority w:val="0"/>
    <w:rPr>
      <w:rFonts w:ascii="Times New Roman" w:hAnsi="Times New Roman" w:eastAsia="宋体" w:cs="Times New Roman"/>
      <w:kern w:val="2"/>
      <w:sz w:val="18"/>
      <w:lang w:val="en-US" w:eastAsia="zh-CN"/>
    </w:rPr>
  </w:style>
  <w:style w:type="character" w:customStyle="1" w:styleId="307">
    <w:name w:val="篇号"/>
    <w:qFormat/>
    <w:uiPriority w:val="0"/>
    <w:rPr>
      <w:rFonts w:ascii="Times New Roman" w:hAnsi="Times New Roman" w:eastAsia="宋体" w:cs="Times New Roman"/>
    </w:rPr>
  </w:style>
  <w:style w:type="character" w:customStyle="1" w:styleId="308">
    <w:name w:val="Char Char18"/>
    <w:qFormat/>
    <w:uiPriority w:val="0"/>
    <w:rPr>
      <w:rFonts w:ascii="Times New Roman" w:hAnsi="Times New Roman" w:eastAsia="宋体" w:cs="Times New Roman"/>
      <w:b/>
      <w:bCs/>
      <w:sz w:val="28"/>
      <w:szCs w:val="28"/>
    </w:rPr>
  </w:style>
  <w:style w:type="character" w:customStyle="1" w:styleId="309">
    <w:name w:val="Body Text Indent 3 Char"/>
    <w:qFormat/>
    <w:uiPriority w:val="0"/>
    <w:rPr>
      <w:rFonts w:ascii="Times New Roman" w:hAnsi="Times New Roman" w:eastAsia="仿宋_GB2312" w:cs="Times New Roman"/>
      <w:color w:val="FF0000"/>
      <w:sz w:val="24"/>
      <w:szCs w:val="24"/>
    </w:rPr>
  </w:style>
  <w:style w:type="character" w:customStyle="1" w:styleId="310">
    <w:name w:val="Body Text Indent Char"/>
    <w:qFormat/>
    <w:uiPriority w:val="0"/>
    <w:rPr>
      <w:rFonts w:ascii="Times New Roman" w:hAnsi="Times New Roman" w:eastAsia="仿宋_GB2312" w:cs="Times New Roman"/>
      <w:sz w:val="24"/>
      <w:szCs w:val="24"/>
    </w:rPr>
  </w:style>
  <w:style w:type="character" w:customStyle="1" w:styleId="311">
    <w:name w:val="标题2 Char"/>
    <w:qFormat/>
    <w:uiPriority w:val="0"/>
    <w:rPr>
      <w:rFonts w:ascii="Arial" w:hAnsi="Arial" w:eastAsia="黑体" w:cs="Times New Roman"/>
      <w:b/>
      <w:bCs/>
      <w:kern w:val="2"/>
      <w:sz w:val="32"/>
      <w:szCs w:val="32"/>
      <w:lang w:val="en-US" w:eastAsia="zh-CN" w:bidi="ar-SA"/>
    </w:rPr>
  </w:style>
  <w:style w:type="character" w:customStyle="1" w:styleId="312">
    <w:name w:val="Char Char15"/>
    <w:qFormat/>
    <w:uiPriority w:val="0"/>
    <w:rPr>
      <w:rFonts w:ascii="Arial" w:hAnsi="Arial" w:eastAsia="黑体" w:cs="Times New Roman"/>
      <w:b/>
      <w:kern w:val="2"/>
      <w:sz w:val="32"/>
      <w:lang w:val="en-US" w:eastAsia="zh-CN"/>
    </w:rPr>
  </w:style>
  <w:style w:type="character" w:customStyle="1" w:styleId="313">
    <w:name w:val="不明显参考1"/>
    <w:qFormat/>
    <w:uiPriority w:val="0"/>
    <w:rPr>
      <w:rFonts w:ascii="Times New Roman" w:hAnsi="Times New Roman" w:eastAsia="宋体" w:cs="Times New Roman"/>
      <w:sz w:val="24"/>
      <w:u w:val="single"/>
    </w:rPr>
  </w:style>
  <w:style w:type="character" w:customStyle="1" w:styleId="314">
    <w:name w:val="MB4 Char"/>
    <w:link w:val="315"/>
    <w:qFormat/>
    <w:uiPriority w:val="0"/>
    <w:rPr>
      <w:rFonts w:ascii="Cambria" w:hAnsi="Cambria"/>
      <w:b/>
      <w:sz w:val="28"/>
    </w:rPr>
  </w:style>
  <w:style w:type="paragraph" w:customStyle="1" w:styleId="315">
    <w:name w:val="标题 41"/>
    <w:basedOn w:val="1"/>
    <w:next w:val="188"/>
    <w:link w:val="314"/>
    <w:qFormat/>
    <w:uiPriority w:val="0"/>
    <w:pPr>
      <w:tabs>
        <w:tab w:val="left" w:pos="-709"/>
        <w:tab w:val="left" w:pos="284"/>
      </w:tabs>
      <w:snapToGrid w:val="0"/>
      <w:spacing w:line="300" w:lineRule="auto"/>
      <w:ind w:left="2100" w:hanging="420"/>
      <w:textAlignment w:val="baseline"/>
      <w:outlineLvl w:val="3"/>
    </w:pPr>
    <w:rPr>
      <w:rFonts w:ascii="Cambria" w:hAnsi="Cambria"/>
      <w:b/>
      <w:kern w:val="0"/>
      <w:sz w:val="28"/>
      <w:szCs w:val="20"/>
    </w:rPr>
  </w:style>
  <w:style w:type="character" w:customStyle="1" w:styleId="316">
    <w:name w:val="Char Char12"/>
    <w:qFormat/>
    <w:uiPriority w:val="0"/>
    <w:rPr>
      <w:rFonts w:ascii="宋体" w:hAnsi="宋体" w:eastAsia="宋体" w:cs="Times New Roman"/>
      <w:b/>
      <w:sz w:val="24"/>
      <w:lang w:val="en-US" w:eastAsia="zh-CN"/>
    </w:rPr>
  </w:style>
  <w:style w:type="character" w:customStyle="1" w:styleId="317">
    <w:name w:val="明显引用 Char"/>
    <w:link w:val="318"/>
    <w:qFormat/>
    <w:uiPriority w:val="0"/>
    <w:rPr>
      <w:rFonts w:ascii="Calibri" w:hAnsi="Calibri"/>
      <w:b/>
      <w:i/>
      <w:sz w:val="24"/>
      <w:lang w:eastAsia="en-US"/>
    </w:rPr>
  </w:style>
  <w:style w:type="paragraph" w:customStyle="1" w:styleId="318">
    <w:name w:val="明显引用1"/>
    <w:basedOn w:val="1"/>
    <w:next w:val="1"/>
    <w:link w:val="317"/>
    <w:qFormat/>
    <w:uiPriority w:val="0"/>
    <w:pPr>
      <w:pBdr>
        <w:bottom w:val="single" w:color="4F81BD" w:sz="4" w:space="4"/>
      </w:pBdr>
      <w:spacing w:before="200" w:after="280"/>
      <w:ind w:left="936" w:right="936"/>
    </w:pPr>
    <w:rPr>
      <w:rFonts w:ascii="Calibri" w:hAnsi="Calibri"/>
      <w:b/>
      <w:i/>
      <w:kern w:val="0"/>
      <w:sz w:val="24"/>
      <w:szCs w:val="20"/>
      <w:lang w:eastAsia="en-US"/>
    </w:rPr>
  </w:style>
  <w:style w:type="character" w:customStyle="1" w:styleId="319">
    <w:name w:val="正文（首行缩进两字） Char Char Char Char Char Char Char Char Char Char Char Char Char Char Char Char Char Char Char Char Char Char Char Char Char Char Char Char Char Char Char Char Char Char Char Char Char Char Char Char Char Char Char Char Char Char Char Char"/>
    <w:qFormat/>
    <w:uiPriority w:val="0"/>
    <w:rPr>
      <w:rFonts w:ascii="Times New Roman" w:hAnsi="Times New Roman" w:eastAsia="宋体" w:cs="Times New Roman"/>
      <w:kern w:val="2"/>
      <w:sz w:val="28"/>
      <w:lang w:val="en-US" w:eastAsia="zh-CN"/>
    </w:rPr>
  </w:style>
  <w:style w:type="character" w:customStyle="1" w:styleId="320">
    <w:name w:val="明显引用 Char2"/>
    <w:qFormat/>
    <w:uiPriority w:val="0"/>
    <w:rPr>
      <w:rFonts w:ascii="Times New Roman" w:hAnsi="Times New Roman" w:eastAsia="宋体" w:cs="Times New Roman"/>
      <w:b/>
      <w:bCs/>
      <w:i/>
      <w:iCs/>
      <w:color w:val="4F81BD"/>
      <w:kern w:val="2"/>
      <w:sz w:val="21"/>
      <w:szCs w:val="24"/>
    </w:rPr>
  </w:style>
  <w:style w:type="character" w:customStyle="1" w:styleId="321">
    <w:name w:val="正文（首行缩进两字） Char Char Char Char Char Char Char Char Char Char Char Char Char Char Char Char Char Char Char Char Char Char Char Char Char Char Char Char Char Char Char Char Char Char Char Char Char Char Char Char Char Char Char Char Char Char"/>
    <w:qFormat/>
    <w:uiPriority w:val="0"/>
    <w:rPr>
      <w:rFonts w:ascii="Times New Roman" w:hAnsi="Times New Roman" w:eastAsia="宋体" w:cs="Times New Roman"/>
      <w:kern w:val="2"/>
      <w:sz w:val="28"/>
      <w:lang w:val="en-US" w:eastAsia="zh-CN"/>
    </w:rPr>
  </w:style>
  <w:style w:type="character" w:customStyle="1" w:styleId="322">
    <w:name w:val="标题2 Char3"/>
    <w:qFormat/>
    <w:uiPriority w:val="0"/>
    <w:rPr>
      <w:rFonts w:ascii="Arial" w:hAnsi="Arial" w:eastAsia="宋体" w:cs="Times New Roman"/>
      <w:b/>
      <w:bCs/>
      <w:snapToGrid w:val="0"/>
      <w:kern w:val="2"/>
      <w:sz w:val="28"/>
      <w:szCs w:val="32"/>
      <w:lang w:val="en-US" w:eastAsia="zh-CN" w:bidi="ar-SA"/>
    </w:rPr>
  </w:style>
  <w:style w:type="character" w:customStyle="1" w:styleId="323">
    <w:name w:val="标题 2 Char2 Char"/>
    <w:qFormat/>
    <w:uiPriority w:val="0"/>
    <w:rPr>
      <w:rFonts w:ascii="Arial" w:hAnsi="Arial" w:eastAsia="宋体" w:cs="Times New Roman"/>
      <w:b/>
      <w:bCs/>
      <w:snapToGrid w:val="0"/>
      <w:kern w:val="2"/>
      <w:sz w:val="28"/>
      <w:szCs w:val="32"/>
      <w:lang w:val="en-US" w:eastAsia="zh-CN" w:bidi="ar-SA"/>
    </w:rPr>
  </w:style>
  <w:style w:type="character" w:customStyle="1" w:styleId="324">
    <w:name w:val="表格文字 Char"/>
    <w:link w:val="325"/>
    <w:qFormat/>
    <w:uiPriority w:val="0"/>
    <w:rPr>
      <w:sz w:val="24"/>
      <w:szCs w:val="24"/>
    </w:rPr>
  </w:style>
  <w:style w:type="paragraph" w:customStyle="1" w:styleId="325">
    <w:name w:val="表格文字"/>
    <w:basedOn w:val="1"/>
    <w:link w:val="324"/>
    <w:qFormat/>
    <w:uiPriority w:val="0"/>
    <w:pPr>
      <w:adjustRightInd w:val="0"/>
      <w:snapToGrid w:val="0"/>
      <w:jc w:val="center"/>
    </w:pPr>
    <w:rPr>
      <w:kern w:val="0"/>
      <w:sz w:val="24"/>
    </w:rPr>
  </w:style>
  <w:style w:type="character" w:customStyle="1" w:styleId="326">
    <w:name w:val="emailstyle20"/>
    <w:qFormat/>
    <w:uiPriority w:val="0"/>
    <w:rPr>
      <w:rFonts w:ascii="Arial" w:hAnsi="Arial" w:eastAsia="宋体" w:cs="Times New Roman"/>
      <w:color w:val="000000"/>
      <w:sz w:val="20"/>
    </w:rPr>
  </w:style>
  <w:style w:type="character" w:customStyle="1" w:styleId="327">
    <w:name w:val="书籍标题1"/>
    <w:qFormat/>
    <w:uiPriority w:val="0"/>
    <w:rPr>
      <w:rFonts w:ascii="Cambria" w:hAnsi="Cambria" w:eastAsia="宋体" w:cs="Times New Roman"/>
      <w:b/>
      <w:i/>
      <w:sz w:val="24"/>
    </w:rPr>
  </w:style>
  <w:style w:type="character" w:customStyle="1" w:styleId="328">
    <w:name w:val="纯文本 Char Char Char Char1"/>
    <w:qFormat/>
    <w:uiPriority w:val="0"/>
    <w:rPr>
      <w:rFonts w:ascii="宋体" w:hAnsi="Plotter" w:eastAsia="宋体" w:cs="Times New Roman"/>
      <w:kern w:val="2"/>
      <w:sz w:val="21"/>
      <w:lang w:val="en-US" w:eastAsia="zh-CN" w:bidi="ar-SA"/>
    </w:rPr>
  </w:style>
  <w:style w:type="character" w:customStyle="1" w:styleId="329">
    <w:name w:val="Char"/>
    <w:qFormat/>
    <w:uiPriority w:val="0"/>
    <w:rPr>
      <w:rFonts w:ascii="Arial" w:hAnsi="Arial" w:eastAsia="黑体" w:cs="Times New Roman"/>
      <w:b/>
      <w:sz w:val="32"/>
      <w:lang w:val="en-US" w:eastAsia="zh-CN"/>
    </w:rPr>
  </w:style>
  <w:style w:type="character" w:customStyle="1" w:styleId="330">
    <w:name w:val="正文（首行缩进两字）1 Char1"/>
    <w:qFormat/>
    <w:uiPriority w:val="0"/>
    <w:rPr>
      <w:rFonts w:ascii="Times New Roman" w:hAnsi="Times New Roman" w:eastAsia="宋体" w:cs="Times New Roman"/>
      <w:kern w:val="2"/>
      <w:sz w:val="21"/>
      <w:szCs w:val="24"/>
      <w:lang w:val="en-US" w:eastAsia="zh-CN" w:bidi="ar-SA"/>
    </w:rPr>
  </w:style>
  <w:style w:type="character" w:customStyle="1" w:styleId="331">
    <w:name w:val="Char Char21"/>
    <w:qFormat/>
    <w:uiPriority w:val="0"/>
    <w:rPr>
      <w:rFonts w:ascii="Arial" w:hAnsi="Arial" w:eastAsia="黑体" w:cs="Times New Roman"/>
      <w:b/>
      <w:bCs/>
      <w:sz w:val="32"/>
      <w:szCs w:val="32"/>
    </w:rPr>
  </w:style>
  <w:style w:type="character" w:customStyle="1" w:styleId="332">
    <w:name w:val="Comment Text Char1"/>
    <w:qFormat/>
    <w:uiPriority w:val="0"/>
    <w:rPr>
      <w:rFonts w:ascii="Times New Roman" w:hAnsi="Times New Roman" w:eastAsia="宋体" w:cs="Times New Roman"/>
      <w:sz w:val="24"/>
      <w:lang w:bidi="ar-SA"/>
    </w:rPr>
  </w:style>
  <w:style w:type="character" w:customStyle="1" w:styleId="333">
    <w:name w:val="表内容 Char"/>
    <w:link w:val="334"/>
    <w:qFormat/>
    <w:uiPriority w:val="0"/>
    <w:rPr>
      <w:rFonts w:eastAsia="Times New Roman"/>
      <w:sz w:val="21"/>
    </w:rPr>
  </w:style>
  <w:style w:type="paragraph" w:customStyle="1" w:styleId="334">
    <w:name w:val="表内容"/>
    <w:link w:val="333"/>
    <w:qFormat/>
    <w:uiPriority w:val="0"/>
    <w:pPr>
      <w:widowControl w:val="0"/>
      <w:adjustRightInd w:val="0"/>
      <w:snapToGrid w:val="0"/>
      <w:spacing w:line="360" w:lineRule="exact"/>
      <w:ind w:left="-120" w:leftChars="-50" w:right="-134" w:rightChars="-56"/>
      <w:jc w:val="center"/>
      <w:textAlignment w:val="baseline"/>
    </w:pPr>
    <w:rPr>
      <w:rFonts w:ascii="Times New Roman" w:hAnsi="Times New Roman" w:eastAsia="Times New Roman" w:cs="Times New Roman"/>
      <w:sz w:val="21"/>
      <w:lang w:val="en-US" w:eastAsia="zh-CN" w:bidi="ar-SA"/>
    </w:rPr>
  </w:style>
  <w:style w:type="character" w:customStyle="1" w:styleId="335">
    <w:name w:val="Footer Char"/>
    <w:qFormat/>
    <w:uiPriority w:val="0"/>
    <w:rPr>
      <w:rFonts w:ascii="Times New Roman" w:hAnsi="Times New Roman" w:eastAsia="宋体" w:cs="Times New Roman"/>
      <w:sz w:val="18"/>
      <w:szCs w:val="18"/>
    </w:rPr>
  </w:style>
  <w:style w:type="character" w:customStyle="1" w:styleId="336">
    <w:name w:val="表后文 Char"/>
    <w:qFormat/>
    <w:uiPriority w:val="0"/>
    <w:rPr>
      <w:rFonts w:ascii="Times New Roman" w:hAnsi="Times New Roman" w:eastAsia="宋体" w:cs="Times New Roman"/>
      <w:kern w:val="2"/>
      <w:sz w:val="28"/>
      <w:szCs w:val="28"/>
      <w:lang w:val="en-US" w:eastAsia="zh-CN" w:bidi="ar-SA"/>
    </w:rPr>
  </w:style>
  <w:style w:type="character" w:customStyle="1" w:styleId="337">
    <w:name w:val="标题4 Char Char"/>
    <w:link w:val="338"/>
    <w:qFormat/>
    <w:uiPriority w:val="0"/>
    <w:rPr>
      <w:rFonts w:ascii="Arial" w:hAnsi="Arial"/>
      <w:b/>
      <w:bCs/>
      <w:sz w:val="24"/>
      <w:szCs w:val="32"/>
    </w:rPr>
  </w:style>
  <w:style w:type="paragraph" w:customStyle="1" w:styleId="338">
    <w:name w:val="标题4"/>
    <w:basedOn w:val="5"/>
    <w:next w:val="40"/>
    <w:link w:val="337"/>
    <w:qFormat/>
    <w:uiPriority w:val="0"/>
    <w:pPr>
      <w:spacing w:before="60" w:after="60" w:line="413" w:lineRule="auto"/>
    </w:pPr>
    <w:rPr>
      <w:rFonts w:eastAsia="宋体"/>
      <w:sz w:val="24"/>
    </w:rPr>
  </w:style>
  <w:style w:type="character" w:customStyle="1" w:styleId="339">
    <w:name w:val="Blockquote Char2"/>
    <w:link w:val="340"/>
    <w:qFormat/>
    <w:uiPriority w:val="0"/>
    <w:rPr>
      <w:sz w:val="24"/>
    </w:rPr>
  </w:style>
  <w:style w:type="paragraph" w:customStyle="1" w:styleId="340">
    <w:name w:val="Blockquote"/>
    <w:basedOn w:val="1"/>
    <w:link w:val="339"/>
    <w:qFormat/>
    <w:uiPriority w:val="0"/>
    <w:pPr>
      <w:autoSpaceDE w:val="0"/>
      <w:autoSpaceDN w:val="0"/>
      <w:adjustRightInd w:val="0"/>
      <w:spacing w:before="100" w:after="100"/>
      <w:ind w:left="360" w:right="360"/>
      <w:jc w:val="left"/>
    </w:pPr>
    <w:rPr>
      <w:kern w:val="0"/>
      <w:sz w:val="24"/>
      <w:szCs w:val="20"/>
    </w:rPr>
  </w:style>
  <w:style w:type="character" w:customStyle="1" w:styleId="341">
    <w:name w:val="纯文本 Char Char Char1"/>
    <w:qFormat/>
    <w:uiPriority w:val="0"/>
    <w:rPr>
      <w:rFonts w:ascii="宋体" w:hAnsi="Plotter" w:eastAsia="宋体" w:cs="Times New Roman"/>
      <w:kern w:val="2"/>
      <w:sz w:val="21"/>
      <w:lang w:val="en-US" w:eastAsia="zh-CN" w:bidi="ar-SA"/>
    </w:rPr>
  </w:style>
  <w:style w:type="character" w:customStyle="1" w:styleId="342">
    <w:name w:val="正文缩进 Char1"/>
    <w:qFormat/>
    <w:uiPriority w:val="0"/>
    <w:rPr>
      <w:rFonts w:ascii="宋体" w:hAnsi="Times New Roman" w:eastAsia="宋体" w:cs="Times New Roman"/>
      <w:kern w:val="2"/>
      <w:sz w:val="28"/>
      <w:szCs w:val="24"/>
      <w:lang w:val="en-US" w:eastAsia="zh-CN" w:bidi="ar-SA"/>
    </w:rPr>
  </w:style>
  <w:style w:type="character" w:customStyle="1" w:styleId="343">
    <w:name w:val="Char Char7"/>
    <w:qFormat/>
    <w:uiPriority w:val="0"/>
    <w:rPr>
      <w:rFonts w:ascii="Times New Roman" w:hAnsi="Times New Roman" w:eastAsia="宋体" w:cs="Times New Roman"/>
      <w:sz w:val="24"/>
      <w:lang w:val="en-US" w:eastAsia="zh-CN"/>
    </w:rPr>
  </w:style>
  <w:style w:type="character" w:customStyle="1" w:styleId="344">
    <w:name w:val="Heading 5 Char"/>
    <w:qFormat/>
    <w:uiPriority w:val="0"/>
    <w:rPr>
      <w:rFonts w:ascii="Times New Roman" w:hAnsi="Times New Roman" w:eastAsia="宋体" w:cs="Times New Roman"/>
      <w:b/>
      <w:bCs/>
      <w:kern w:val="2"/>
      <w:sz w:val="28"/>
      <w:szCs w:val="28"/>
      <w:lang w:val="en-US" w:eastAsia="zh-CN" w:bidi="ar-SA"/>
    </w:rPr>
  </w:style>
  <w:style w:type="character" w:customStyle="1" w:styleId="345">
    <w:name w:val="纯文本 Char Char Char Char Char Char"/>
    <w:qFormat/>
    <w:uiPriority w:val="0"/>
    <w:rPr>
      <w:rFonts w:ascii="宋体" w:hAnsi="Plotter" w:eastAsia="宋体" w:cs="Times New Roman"/>
      <w:kern w:val="2"/>
      <w:sz w:val="21"/>
      <w:lang w:val="en-US" w:eastAsia="zh-CN" w:bidi="ar-SA"/>
    </w:rPr>
  </w:style>
  <w:style w:type="character" w:customStyle="1" w:styleId="346">
    <w:name w:val="正文（首行缩进两字） Char Char Char"/>
    <w:qFormat/>
    <w:uiPriority w:val="0"/>
    <w:rPr>
      <w:rFonts w:ascii="Times New Roman" w:hAnsi="Times New Roman" w:eastAsia="宋体" w:cs="Times New Roman"/>
      <w:kern w:val="2"/>
      <w:sz w:val="28"/>
      <w:lang w:val="en-US" w:eastAsia="zh-CN"/>
    </w:rPr>
  </w:style>
  <w:style w:type="character" w:customStyle="1" w:styleId="347">
    <w:name w:val="Header Char"/>
    <w:qFormat/>
    <w:uiPriority w:val="0"/>
    <w:rPr>
      <w:rFonts w:ascii="Times New Roman" w:hAnsi="Times New Roman" w:eastAsia="仿宋_GB2312" w:cs="Times New Roman"/>
      <w:sz w:val="18"/>
      <w:szCs w:val="18"/>
    </w:rPr>
  </w:style>
  <w:style w:type="character" w:customStyle="1" w:styleId="348">
    <w:name w:val="Heading 3 Char1"/>
    <w:qFormat/>
    <w:uiPriority w:val="0"/>
    <w:rPr>
      <w:rFonts w:ascii="Times New Roman" w:hAnsi="Times New Roman" w:eastAsia="宋体" w:cs="Times New Roman"/>
      <w:b/>
      <w:bCs/>
      <w:kern w:val="2"/>
      <w:sz w:val="24"/>
      <w:szCs w:val="32"/>
      <w:lang w:val="en-US" w:eastAsia="zh-CN" w:bidi="ar-SA"/>
    </w:rPr>
  </w:style>
  <w:style w:type="paragraph" w:customStyle="1" w:styleId="349">
    <w:name w:val="reader-word-layer"/>
    <w:basedOn w:val="1"/>
    <w:qFormat/>
    <w:uiPriority w:val="0"/>
    <w:pPr>
      <w:widowControl/>
      <w:spacing w:before="100" w:beforeAutospacing="1" w:after="100" w:afterAutospacing="1"/>
      <w:jc w:val="left"/>
    </w:pPr>
    <w:rPr>
      <w:rFonts w:ascii="宋体" w:hAnsi="宋体" w:cs="宋体"/>
      <w:kern w:val="0"/>
      <w:sz w:val="24"/>
      <w:szCs w:val="22"/>
    </w:rPr>
  </w:style>
  <w:style w:type="paragraph" w:customStyle="1" w:styleId="350">
    <w:name w:val="Headings Font"/>
    <w:basedOn w:val="1"/>
    <w:next w:val="2"/>
    <w:qFormat/>
    <w:uiPriority w:val="0"/>
    <w:pPr>
      <w:keepNext/>
      <w:spacing w:line="280" w:lineRule="atLeast"/>
      <w:jc w:val="left"/>
    </w:pPr>
    <w:rPr>
      <w:rFonts w:ascii="Arial" w:hAnsi="Arial"/>
      <w:kern w:val="0"/>
      <w:sz w:val="22"/>
      <w:szCs w:val="20"/>
      <w:lang w:val="en-GB"/>
    </w:rPr>
  </w:style>
  <w:style w:type="paragraph" w:customStyle="1" w:styleId="351">
    <w:name w:val="正文NEW"/>
    <w:basedOn w:val="79"/>
    <w:qFormat/>
    <w:uiPriority w:val="0"/>
    <w:pPr>
      <w:spacing w:before="60" w:after="60" w:line="400" w:lineRule="exact"/>
      <w:ind w:left="1800" w:leftChars="857" w:firstLine="539"/>
    </w:pPr>
    <w:rPr>
      <w:rFonts w:ascii="黑体" w:eastAsia="黑体"/>
    </w:rPr>
  </w:style>
  <w:style w:type="paragraph" w:customStyle="1" w:styleId="352">
    <w:name w:val="face"/>
    <w:basedOn w:val="1"/>
    <w:qFormat/>
    <w:uiPriority w:val="0"/>
    <w:pPr>
      <w:widowControl/>
      <w:overflowPunct w:val="0"/>
      <w:autoSpaceDE w:val="0"/>
      <w:autoSpaceDN w:val="0"/>
      <w:adjustRightInd w:val="0"/>
      <w:spacing w:before="60" w:after="60" w:line="240" w:lineRule="atLeast"/>
      <w:ind w:firstLine="567"/>
      <w:textAlignment w:val="baseline"/>
    </w:pPr>
    <w:rPr>
      <w:rFonts w:ascii="仿宋体" w:eastAsia="仿宋体"/>
      <w:kern w:val="0"/>
      <w:sz w:val="24"/>
      <w:szCs w:val="20"/>
    </w:rPr>
  </w:style>
  <w:style w:type="paragraph" w:customStyle="1" w:styleId="353">
    <w:name w:val="页眉1"/>
    <w:basedOn w:val="181"/>
    <w:next w:val="181"/>
    <w:qFormat/>
    <w:uiPriority w:val="0"/>
    <w:pPr>
      <w:spacing w:after="120"/>
    </w:pPr>
    <w:rPr>
      <w:rFonts w:ascii="Arial Unicode MS" w:hAnsi="Arial Unicode MS"/>
      <w:color w:val="auto"/>
      <w:kern w:val="0"/>
      <w:szCs w:val="20"/>
    </w:rPr>
  </w:style>
  <w:style w:type="paragraph" w:customStyle="1" w:styleId="354">
    <w:name w:val="表标题1"/>
    <w:basedOn w:val="1"/>
    <w:qFormat/>
    <w:uiPriority w:val="0"/>
    <w:pPr>
      <w:spacing w:line="360" w:lineRule="auto"/>
      <w:ind w:right="-5" w:firstLine="588" w:firstLineChars="245"/>
      <w:jc w:val="center"/>
    </w:pPr>
    <w:rPr>
      <w:rFonts w:ascii="宋体" w:hAnsi="宋体"/>
      <w:bCs/>
      <w:sz w:val="24"/>
      <w:szCs w:val="22"/>
    </w:rPr>
  </w:style>
  <w:style w:type="paragraph" w:customStyle="1" w:styleId="355">
    <w:name w:val="标题1q"/>
    <w:basedOn w:val="4"/>
    <w:qFormat/>
    <w:uiPriority w:val="0"/>
    <w:pPr>
      <w:widowControl/>
      <w:tabs>
        <w:tab w:val="left" w:pos="2322"/>
      </w:tabs>
      <w:spacing w:line="240" w:lineRule="auto"/>
      <w:ind w:left="431" w:firstLine="200" w:firstLineChars="200"/>
      <w:jc w:val="center"/>
    </w:pPr>
    <w:rPr>
      <w:rFonts w:ascii="宋体" w:hAnsi="宋体" w:cs="宋体"/>
      <w:sz w:val="32"/>
      <w:szCs w:val="32"/>
    </w:rPr>
  </w:style>
  <w:style w:type="paragraph" w:customStyle="1" w:styleId="356">
    <w:name w:val="发布部门"/>
    <w:next w:val="1"/>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357">
    <w:name w:val="签署内容"/>
    <w:basedOn w:val="1"/>
    <w:qFormat/>
    <w:uiPriority w:val="0"/>
    <w:pPr>
      <w:keepNext/>
      <w:spacing w:line="300" w:lineRule="auto"/>
      <w:ind w:firstLine="800" w:firstLineChars="250"/>
    </w:pPr>
    <w:rPr>
      <w:sz w:val="32"/>
      <w:szCs w:val="32"/>
    </w:rPr>
  </w:style>
  <w:style w:type="paragraph" w:customStyle="1" w:styleId="358">
    <w:name w:val="SuepSubHead"/>
    <w:basedOn w:val="1"/>
    <w:qFormat/>
    <w:uiPriority w:val="0"/>
    <w:pPr>
      <w:widowControl/>
      <w:tabs>
        <w:tab w:val="left" w:pos="1260"/>
      </w:tabs>
      <w:ind w:left="1260" w:hanging="420"/>
      <w:jc w:val="left"/>
    </w:pPr>
    <w:rPr>
      <w:b/>
      <w:kern w:val="0"/>
      <w:sz w:val="22"/>
      <w:szCs w:val="20"/>
    </w:rPr>
  </w:style>
  <w:style w:type="paragraph" w:customStyle="1" w:styleId="359">
    <w:name w:val="CM57"/>
    <w:basedOn w:val="181"/>
    <w:next w:val="181"/>
    <w:qFormat/>
    <w:uiPriority w:val="0"/>
    <w:rPr>
      <w:color w:val="auto"/>
      <w:kern w:val="0"/>
    </w:rPr>
  </w:style>
  <w:style w:type="paragraph" w:customStyle="1" w:styleId="360">
    <w:name w:val="cucd-2"/>
    <w:next w:val="361"/>
    <w:qFormat/>
    <w:uiPriority w:val="0"/>
    <w:pPr>
      <w:tabs>
        <w:tab w:val="left" w:pos="1258"/>
        <w:tab w:val="left" w:pos="3447"/>
      </w:tabs>
      <w:spacing w:line="360" w:lineRule="auto"/>
      <w:ind w:left="1258" w:hanging="420"/>
      <w:outlineLvl w:val="1"/>
    </w:pPr>
    <w:rPr>
      <w:rFonts w:ascii="Times New Roman" w:hAnsi="Times New Roman" w:eastAsia="黑体" w:cs="Times New Roman"/>
      <w:b/>
      <w:kern w:val="2"/>
      <w:sz w:val="30"/>
      <w:lang w:val="en-US" w:eastAsia="zh-CN" w:bidi="ar-SA"/>
    </w:rPr>
  </w:style>
  <w:style w:type="paragraph" w:customStyle="1" w:styleId="361">
    <w:name w:val="cucd-3"/>
    <w:next w:val="362"/>
    <w:qFormat/>
    <w:uiPriority w:val="0"/>
    <w:pPr>
      <w:tabs>
        <w:tab w:val="left" w:pos="1678"/>
        <w:tab w:val="left" w:pos="3589"/>
      </w:tabs>
      <w:spacing w:line="360" w:lineRule="auto"/>
      <w:ind w:left="1678" w:hanging="420"/>
      <w:outlineLvl w:val="2"/>
    </w:pPr>
    <w:rPr>
      <w:rFonts w:ascii="Times New Roman" w:hAnsi="Times New Roman" w:eastAsia="宋体" w:cs="Times New Roman"/>
      <w:b/>
      <w:kern w:val="2"/>
      <w:sz w:val="28"/>
      <w:lang w:val="en-US" w:eastAsia="zh-CN" w:bidi="ar-SA"/>
    </w:rPr>
  </w:style>
  <w:style w:type="paragraph" w:customStyle="1" w:styleId="362">
    <w:name w:val="cucd-4"/>
    <w:next w:val="363"/>
    <w:qFormat/>
    <w:uiPriority w:val="0"/>
    <w:pPr>
      <w:tabs>
        <w:tab w:val="left" w:pos="2098"/>
        <w:tab w:val="left" w:pos="3731"/>
      </w:tabs>
      <w:spacing w:line="360" w:lineRule="auto"/>
      <w:ind w:left="2098" w:hanging="420"/>
      <w:outlineLvl w:val="3"/>
    </w:pPr>
    <w:rPr>
      <w:rFonts w:ascii="Times New Roman" w:hAnsi="Times New Roman" w:eastAsia="宋体" w:cs="Times New Roman"/>
      <w:b/>
      <w:kern w:val="2"/>
      <w:sz w:val="24"/>
      <w:lang w:val="en-US" w:eastAsia="zh-CN" w:bidi="ar-SA"/>
    </w:rPr>
  </w:style>
  <w:style w:type="paragraph" w:customStyle="1" w:styleId="363">
    <w:name w:val="cucd-0"/>
    <w:qFormat/>
    <w:uiPriority w:val="0"/>
    <w:pPr>
      <w:spacing w:line="360" w:lineRule="auto"/>
      <w:ind w:firstLine="480" w:firstLineChars="200"/>
    </w:pPr>
    <w:rPr>
      <w:rFonts w:ascii="Times New Roman" w:hAnsi="Times New Roman" w:eastAsia="宋体" w:cs="Times New Roman"/>
      <w:kern w:val="2"/>
      <w:sz w:val="24"/>
      <w:lang w:val="en-US" w:eastAsia="zh-CN" w:bidi="ar-SA"/>
    </w:rPr>
  </w:style>
  <w:style w:type="paragraph" w:customStyle="1" w:styleId="364">
    <w:name w:val="标题二"/>
    <w:basedOn w:val="1"/>
    <w:qFormat/>
    <w:uiPriority w:val="0"/>
    <w:pPr>
      <w:spacing w:beforeLines="50" w:afterLines="50"/>
      <w:jc w:val="center"/>
      <w:outlineLvl w:val="1"/>
    </w:pPr>
    <w:rPr>
      <w:rFonts w:ascii="宋体" w:hAnsi="宋体"/>
      <w:b/>
      <w:sz w:val="30"/>
      <w:szCs w:val="30"/>
    </w:rPr>
  </w:style>
  <w:style w:type="paragraph" w:customStyle="1" w:styleId="365">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66">
    <w:name w:val="标题四"/>
    <w:basedOn w:val="1"/>
    <w:next w:val="367"/>
    <w:qFormat/>
    <w:uiPriority w:val="0"/>
    <w:pPr>
      <w:widowControl/>
      <w:spacing w:before="100" w:beforeAutospacing="1" w:after="100" w:afterAutospacing="1"/>
      <w:ind w:firstLine="200" w:firstLineChars="200"/>
      <w:outlineLvl w:val="3"/>
    </w:pPr>
    <w:rPr>
      <w:rFonts w:ascii="宋体" w:hAnsi="宋体" w:eastAsia="黑体" w:cs="宋体"/>
      <w:sz w:val="24"/>
      <w:szCs w:val="22"/>
    </w:rPr>
  </w:style>
  <w:style w:type="paragraph" w:customStyle="1" w:styleId="367">
    <w:name w:val="正文样式一"/>
    <w:basedOn w:val="1"/>
    <w:qFormat/>
    <w:uiPriority w:val="0"/>
    <w:pPr>
      <w:widowControl/>
      <w:ind w:firstLine="200" w:firstLineChars="200"/>
    </w:pPr>
    <w:rPr>
      <w:rFonts w:ascii="宋体" w:hAnsi="宋体" w:cs="宋体"/>
      <w:sz w:val="24"/>
      <w:szCs w:val="28"/>
    </w:rPr>
  </w:style>
  <w:style w:type="paragraph" w:customStyle="1" w:styleId="368">
    <w:name w:val="表头1"/>
    <w:qFormat/>
    <w:uiPriority w:val="0"/>
    <w:pPr>
      <w:tabs>
        <w:tab w:val="left" w:pos="284"/>
        <w:tab w:val="center" w:pos="4253"/>
        <w:tab w:val="left" w:pos="7938"/>
      </w:tabs>
      <w:spacing w:before="240" w:after="240"/>
    </w:pPr>
    <w:rPr>
      <w:rFonts w:ascii="黑体" w:hAnsi="Times New Roman" w:eastAsia="黑体" w:cs="黑体"/>
      <w:sz w:val="24"/>
      <w:szCs w:val="24"/>
      <w:lang w:val="en-US" w:eastAsia="zh-CN" w:bidi="ar-SA"/>
    </w:rPr>
  </w:style>
  <w:style w:type="paragraph" w:customStyle="1" w:styleId="369">
    <w:name w:val="二级条标题"/>
    <w:basedOn w:val="370"/>
    <w:next w:val="372"/>
    <w:qFormat/>
    <w:uiPriority w:val="0"/>
    <w:pPr>
      <w:tabs>
        <w:tab w:val="left" w:pos="842"/>
      </w:tabs>
    </w:pPr>
  </w:style>
  <w:style w:type="paragraph" w:customStyle="1" w:styleId="370">
    <w:name w:val="一级条标题"/>
    <w:basedOn w:val="371"/>
    <w:next w:val="372"/>
    <w:qFormat/>
    <w:uiPriority w:val="0"/>
    <w:pPr>
      <w:tabs>
        <w:tab w:val="left" w:pos="842"/>
      </w:tabs>
      <w:spacing w:beforeLines="0" w:afterLines="0"/>
      <w:ind w:left="0" w:firstLine="0"/>
      <w:outlineLvl w:val="2"/>
    </w:pPr>
    <w:rPr>
      <w:rFonts w:ascii="Times New Roman" w:eastAsia="宋体"/>
    </w:rPr>
  </w:style>
  <w:style w:type="paragraph" w:customStyle="1" w:styleId="371">
    <w:name w:val="章标题"/>
    <w:next w:val="372"/>
    <w:qFormat/>
    <w:uiPriority w:val="0"/>
    <w:pPr>
      <w:tabs>
        <w:tab w:val="left" w:pos="842"/>
      </w:tabs>
      <w:spacing w:beforeLines="50" w:afterLines="50"/>
      <w:ind w:left="842" w:hanging="420"/>
      <w:jc w:val="both"/>
      <w:outlineLvl w:val="1"/>
    </w:pPr>
    <w:rPr>
      <w:rFonts w:ascii="黑体" w:hAnsi="Times New Roman" w:eastAsia="黑体" w:cs="Times New Roman"/>
      <w:sz w:val="21"/>
      <w:lang w:val="en-US" w:eastAsia="zh-CN" w:bidi="ar-SA"/>
    </w:rPr>
  </w:style>
  <w:style w:type="paragraph" w:customStyle="1" w:styleId="37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73">
    <w:name w:val="正文文字（首行缩进2字）"/>
    <w:basedOn w:val="1"/>
    <w:qFormat/>
    <w:uiPriority w:val="0"/>
    <w:pPr>
      <w:spacing w:line="360" w:lineRule="auto"/>
      <w:ind w:firstLine="200" w:firstLineChars="200"/>
    </w:pPr>
    <w:rPr>
      <w:rFonts w:ascii="Arial" w:hAnsi="Arial"/>
      <w:position w:val="-30"/>
      <w:sz w:val="28"/>
      <w:szCs w:val="22"/>
    </w:rPr>
  </w:style>
  <w:style w:type="paragraph" w:customStyle="1" w:styleId="374">
    <w:name w:val="WW-普通文字"/>
    <w:basedOn w:val="1"/>
    <w:qFormat/>
    <w:uiPriority w:val="0"/>
    <w:pPr>
      <w:suppressAutoHyphens/>
    </w:pPr>
    <w:rPr>
      <w:rFonts w:ascii="宋体" w:hAnsi="宋体"/>
      <w:kern w:val="1"/>
      <w:szCs w:val="20"/>
    </w:rPr>
  </w:style>
  <w:style w:type="paragraph" w:customStyle="1" w:styleId="375">
    <w:name w:val="标准书眉一"/>
    <w:qFormat/>
    <w:uiPriority w:val="0"/>
    <w:pPr>
      <w:jc w:val="both"/>
    </w:pPr>
    <w:rPr>
      <w:rFonts w:ascii="Times New Roman" w:hAnsi="Times New Roman" w:eastAsia="宋体" w:cs="Times New Roman"/>
      <w:lang w:val="en-US" w:eastAsia="zh-CN" w:bidi="ar-SA"/>
    </w:rPr>
  </w:style>
  <w:style w:type="paragraph" w:customStyle="1" w:styleId="376">
    <w:name w:val="二级无标题条"/>
    <w:basedOn w:val="1"/>
    <w:qFormat/>
    <w:uiPriority w:val="0"/>
    <w:rPr>
      <w:szCs w:val="20"/>
    </w:rPr>
  </w:style>
  <w:style w:type="paragraph" w:customStyle="1" w:styleId="377">
    <w:name w:val="reader-word-layer reader-word-s2-3"/>
    <w:basedOn w:val="1"/>
    <w:qFormat/>
    <w:uiPriority w:val="0"/>
    <w:pPr>
      <w:widowControl/>
      <w:spacing w:before="100" w:beforeAutospacing="1" w:after="100" w:afterAutospacing="1"/>
      <w:jc w:val="left"/>
    </w:pPr>
    <w:rPr>
      <w:rFonts w:ascii="宋体" w:hAnsi="宋体" w:cs="宋体"/>
      <w:kern w:val="0"/>
      <w:sz w:val="24"/>
      <w:szCs w:val="22"/>
    </w:rPr>
  </w:style>
  <w:style w:type="paragraph" w:customStyle="1" w:styleId="378">
    <w:name w:val="b-b5"/>
    <w:basedOn w:val="8"/>
    <w:next w:val="1"/>
    <w:qFormat/>
    <w:uiPriority w:val="0"/>
    <w:pPr>
      <w:keepNext w:val="0"/>
      <w:keepLines w:val="0"/>
      <w:spacing w:before="40" w:after="40" w:line="400" w:lineRule="exact"/>
      <w:ind w:firstLine="301"/>
      <w:jc w:val="left"/>
    </w:pPr>
    <w:rPr>
      <w:b w:val="0"/>
      <w:color w:val="000000"/>
      <w:sz w:val="24"/>
      <w:szCs w:val="20"/>
      <w:lang w:val="en-GB"/>
    </w:rPr>
  </w:style>
  <w:style w:type="paragraph" w:customStyle="1" w:styleId="379">
    <w:name w:val="样式 标题 3头 + 行距: 多倍行距 0.25 字行"/>
    <w:basedOn w:val="6"/>
    <w:qFormat/>
    <w:uiPriority w:val="0"/>
    <w:pPr>
      <w:tabs>
        <w:tab w:val="left" w:pos="578"/>
        <w:tab w:val="left" w:pos="1560"/>
      </w:tabs>
      <w:spacing w:before="60" w:after="60" w:line="60" w:lineRule="auto"/>
      <w:ind w:left="578" w:hanging="578"/>
    </w:pPr>
    <w:rPr>
      <w:bCs w:val="0"/>
      <w:kern w:val="2"/>
      <w:sz w:val="28"/>
      <w:szCs w:val="20"/>
    </w:rPr>
  </w:style>
  <w:style w:type="paragraph" w:customStyle="1" w:styleId="380">
    <w:name w:val="z-窗体底端1"/>
    <w:basedOn w:val="1"/>
    <w:next w:val="1"/>
    <w:link w:val="381"/>
    <w:qFormat/>
    <w:uiPriority w:val="0"/>
    <w:pPr>
      <w:widowControl/>
      <w:pBdr>
        <w:top w:val="single" w:color="auto" w:sz="6" w:space="1"/>
      </w:pBdr>
      <w:jc w:val="center"/>
    </w:pPr>
    <w:rPr>
      <w:rFonts w:ascii="Arial" w:hAnsi="Arial"/>
      <w:vanish/>
      <w:kern w:val="0"/>
      <w:sz w:val="16"/>
      <w:szCs w:val="16"/>
    </w:rPr>
  </w:style>
  <w:style w:type="character" w:customStyle="1" w:styleId="381">
    <w:name w:val="z-窗体底端 Char"/>
    <w:basedOn w:val="86"/>
    <w:link w:val="380"/>
    <w:qFormat/>
    <w:uiPriority w:val="0"/>
    <w:rPr>
      <w:rFonts w:ascii="Arial" w:hAnsi="Arial"/>
      <w:vanish/>
      <w:sz w:val="16"/>
      <w:szCs w:val="16"/>
    </w:rPr>
  </w:style>
  <w:style w:type="paragraph" w:customStyle="1" w:styleId="382">
    <w:name w:val="备注"/>
    <w:basedOn w:val="1"/>
    <w:qFormat/>
    <w:uiPriority w:val="0"/>
    <w:pPr>
      <w:keepNext/>
      <w:snapToGrid w:val="0"/>
      <w:spacing w:line="240" w:lineRule="atLeast"/>
      <w:ind w:firstLine="480" w:firstLineChars="200"/>
    </w:pPr>
    <w:rPr>
      <w:rFonts w:ascii="宋体" w:cs="宋体"/>
      <w:sz w:val="24"/>
      <w:szCs w:val="22"/>
    </w:rPr>
  </w:style>
  <w:style w:type="paragraph" w:customStyle="1" w:styleId="383">
    <w:name w:val="二"/>
    <w:basedOn w:val="1"/>
    <w:qFormat/>
    <w:uiPriority w:val="0"/>
    <w:pPr>
      <w:keepNext/>
      <w:keepLines/>
      <w:spacing w:beforeLines="50" w:afterLines="50"/>
      <w:jc w:val="center"/>
      <w:outlineLvl w:val="1"/>
    </w:pPr>
    <w:rPr>
      <w:rFonts w:ascii="宋体" w:hAnsi="宋体" w:cs="宋体"/>
      <w:b/>
      <w:bCs/>
      <w:sz w:val="30"/>
      <w:szCs w:val="30"/>
    </w:rPr>
  </w:style>
  <w:style w:type="paragraph" w:customStyle="1" w:styleId="384">
    <w:name w:val="font0"/>
    <w:basedOn w:val="1"/>
    <w:qFormat/>
    <w:uiPriority w:val="0"/>
    <w:pPr>
      <w:widowControl/>
      <w:spacing w:before="100" w:beforeAutospacing="1" w:after="100" w:afterAutospacing="1"/>
      <w:jc w:val="left"/>
    </w:pPr>
    <w:rPr>
      <w:rFonts w:ascii="Arial" w:hAnsi="Arial"/>
      <w:kern w:val="0"/>
      <w:sz w:val="20"/>
      <w:szCs w:val="20"/>
    </w:rPr>
  </w:style>
  <w:style w:type="paragraph" w:styleId="385">
    <w:name w:val="Intense Quote"/>
    <w:basedOn w:val="1"/>
    <w:next w:val="1"/>
    <w:link w:val="386"/>
    <w:qFormat/>
    <w:uiPriority w:val="0"/>
    <w:pPr>
      <w:widowControl/>
      <w:ind w:left="720" w:right="720"/>
      <w:jc w:val="left"/>
    </w:pPr>
    <w:rPr>
      <w:rFonts w:ascii="Calibri" w:hAnsi="Calibri"/>
      <w:b/>
      <w:i/>
      <w:sz w:val="24"/>
      <w:szCs w:val="20"/>
      <w:lang w:eastAsia="en-US"/>
    </w:rPr>
  </w:style>
  <w:style w:type="character" w:customStyle="1" w:styleId="386">
    <w:name w:val="明显引用 字符"/>
    <w:basedOn w:val="86"/>
    <w:link w:val="385"/>
    <w:qFormat/>
    <w:uiPriority w:val="0"/>
    <w:rPr>
      <w:rFonts w:ascii="Calibri" w:hAnsi="Calibri"/>
      <w:b/>
      <w:i/>
      <w:kern w:val="2"/>
      <w:sz w:val="24"/>
      <w:lang w:eastAsia="en-US"/>
    </w:rPr>
  </w:style>
  <w:style w:type="paragraph" w:customStyle="1" w:styleId="387">
    <w:name w:val="_Style 37"/>
    <w:basedOn w:val="1"/>
    <w:next w:val="1"/>
    <w:qFormat/>
    <w:uiPriority w:val="0"/>
    <w:rPr>
      <w:szCs w:val="22"/>
    </w:rPr>
  </w:style>
  <w:style w:type="paragraph" w:customStyle="1" w:styleId="388">
    <w:name w:val="3.2标题"/>
    <w:basedOn w:val="1"/>
    <w:qFormat/>
    <w:uiPriority w:val="0"/>
    <w:pPr>
      <w:spacing w:before="120" w:after="120" w:line="400" w:lineRule="exact"/>
      <w:ind w:left="1680" w:hanging="420"/>
      <w:jc w:val="center"/>
      <w:outlineLvl w:val="2"/>
    </w:pPr>
    <w:rPr>
      <w:rFonts w:ascii="宋体" w:hAnsi="宋体"/>
      <w:b/>
      <w:bCs/>
      <w:color w:val="000000"/>
      <w:sz w:val="28"/>
      <w:szCs w:val="28"/>
    </w:rPr>
  </w:style>
  <w:style w:type="paragraph" w:customStyle="1" w:styleId="389">
    <w:name w:val="ZB第一卷"/>
    <w:basedOn w:val="4"/>
    <w:next w:val="1"/>
    <w:qFormat/>
    <w:uiPriority w:val="0"/>
    <w:pPr>
      <w:pageBreakBefore/>
      <w:tabs>
        <w:tab w:val="left" w:pos="425"/>
      </w:tabs>
      <w:adjustRightInd w:val="0"/>
      <w:snapToGrid w:val="0"/>
      <w:ind w:left="780" w:hanging="360"/>
      <w:jc w:val="center"/>
    </w:pPr>
  </w:style>
  <w:style w:type="paragraph" w:customStyle="1" w:styleId="390">
    <w:name w:val="条题"/>
    <w:basedOn w:val="1"/>
    <w:qFormat/>
    <w:uiPriority w:val="0"/>
    <w:pPr>
      <w:tabs>
        <w:tab w:val="left" w:pos="1640"/>
      </w:tabs>
      <w:spacing w:beforeLines="50" w:line="480" w:lineRule="exact"/>
      <w:ind w:firstLine="560"/>
    </w:pPr>
    <w:rPr>
      <w:color w:val="000000"/>
      <w:sz w:val="24"/>
      <w:szCs w:val="22"/>
    </w:rPr>
  </w:style>
  <w:style w:type="paragraph" w:customStyle="1" w:styleId="391">
    <w:name w:val="1.1.1.1A"/>
    <w:basedOn w:val="392"/>
    <w:qFormat/>
    <w:uiPriority w:val="0"/>
    <w:pPr>
      <w:tabs>
        <w:tab w:val="left" w:pos="1134"/>
        <w:tab w:val="left" w:pos="1843"/>
      </w:tabs>
      <w:spacing w:line="400" w:lineRule="atLeast"/>
      <w:ind w:left="1560" w:right="200" w:hanging="426"/>
      <w:jc w:val="both"/>
    </w:pPr>
    <w:rPr>
      <w:rFonts w:ascii="Times New Roman" w:hAnsi="Times New Roman"/>
    </w:rPr>
  </w:style>
  <w:style w:type="paragraph" w:customStyle="1" w:styleId="392">
    <w:name w:val="1.1.1.1"/>
    <w:basedOn w:val="1"/>
    <w:qFormat/>
    <w:uiPriority w:val="0"/>
    <w:pPr>
      <w:tabs>
        <w:tab w:val="left" w:pos="1134"/>
      </w:tabs>
      <w:adjustRightInd w:val="0"/>
      <w:spacing w:before="60" w:after="60" w:line="360" w:lineRule="atLeast"/>
      <w:ind w:left="1134" w:hanging="1134"/>
      <w:jc w:val="left"/>
      <w:textAlignment w:val="baseline"/>
    </w:pPr>
    <w:rPr>
      <w:rFonts w:ascii="Arial" w:hAnsi="Arial"/>
      <w:kern w:val="0"/>
      <w:sz w:val="24"/>
      <w:szCs w:val="20"/>
    </w:rPr>
  </w:style>
  <w:style w:type="paragraph" w:customStyle="1" w:styleId="393">
    <w:name w:val="卷标题"/>
    <w:basedOn w:val="1"/>
    <w:next w:val="1"/>
    <w:qFormat/>
    <w:uiPriority w:val="0"/>
    <w:pPr>
      <w:adjustRightInd w:val="0"/>
      <w:snapToGrid w:val="0"/>
      <w:spacing w:line="360" w:lineRule="auto"/>
      <w:jc w:val="center"/>
    </w:pPr>
    <w:rPr>
      <w:rFonts w:ascii="黑体" w:eastAsia="黑体"/>
      <w:bCs/>
      <w:sz w:val="84"/>
      <w:szCs w:val="22"/>
    </w:rPr>
  </w:style>
  <w:style w:type="paragraph" w:customStyle="1" w:styleId="394">
    <w:name w:val="样式 正文缩进正文（首行缩进两字）正文（首行缩进两字） Char Char Char Char Char Char Char..."/>
    <w:basedOn w:val="9"/>
    <w:qFormat/>
    <w:uiPriority w:val="0"/>
    <w:pPr>
      <w:spacing w:line="312" w:lineRule="auto"/>
      <w:ind w:firstLine="539"/>
    </w:pPr>
    <w:rPr>
      <w:sz w:val="28"/>
    </w:rPr>
  </w:style>
  <w:style w:type="paragraph" w:customStyle="1" w:styleId="395">
    <w:name w:val="fontnr"/>
    <w:basedOn w:val="1"/>
    <w:qFormat/>
    <w:uiPriority w:val="0"/>
    <w:pPr>
      <w:widowControl/>
      <w:spacing w:before="100" w:beforeAutospacing="1" w:after="100" w:afterAutospacing="1" w:line="600" w:lineRule="atLeast"/>
      <w:jc w:val="left"/>
    </w:pPr>
    <w:rPr>
      <w:rFonts w:ascii="仿宋_GB2312" w:hAnsi="宋体" w:eastAsia="仿宋_GB2312"/>
      <w:color w:val="000000"/>
      <w:kern w:val="0"/>
      <w:sz w:val="32"/>
      <w:szCs w:val="20"/>
    </w:rPr>
  </w:style>
  <w:style w:type="paragraph" w:customStyle="1" w:styleId="396">
    <w:name w:val="表"/>
    <w:basedOn w:val="4"/>
    <w:next w:val="1"/>
    <w:qFormat/>
    <w:uiPriority w:val="0"/>
    <w:pPr>
      <w:spacing w:line="240" w:lineRule="auto"/>
      <w:jc w:val="center"/>
      <w:outlineLvl w:val="9"/>
    </w:pPr>
    <w:rPr>
      <w:b w:val="0"/>
      <w:kern w:val="21"/>
      <w:sz w:val="21"/>
    </w:rPr>
  </w:style>
  <w:style w:type="paragraph" w:customStyle="1" w:styleId="397">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398">
    <w:name w:val="Char Char Char Char"/>
    <w:basedOn w:val="1"/>
    <w:qFormat/>
    <w:uiPriority w:val="0"/>
    <w:rPr>
      <w:szCs w:val="22"/>
    </w:rPr>
  </w:style>
  <w:style w:type="paragraph" w:customStyle="1" w:styleId="399">
    <w:name w:val="CM60"/>
    <w:basedOn w:val="181"/>
    <w:next w:val="181"/>
    <w:qFormat/>
    <w:uiPriority w:val="0"/>
    <w:rPr>
      <w:color w:val="auto"/>
      <w:kern w:val="0"/>
    </w:rPr>
  </w:style>
  <w:style w:type="paragraph" w:customStyle="1" w:styleId="400">
    <w:name w:val="ZB表格"/>
    <w:basedOn w:val="1"/>
    <w:qFormat/>
    <w:uiPriority w:val="0"/>
    <w:pPr>
      <w:spacing w:before="60" w:after="60" w:line="0" w:lineRule="atLeast"/>
    </w:pPr>
    <w:rPr>
      <w:szCs w:val="22"/>
    </w:rPr>
  </w:style>
  <w:style w:type="paragraph" w:customStyle="1" w:styleId="401">
    <w:name w:val="节1"/>
    <w:basedOn w:val="43"/>
    <w:qFormat/>
    <w:uiPriority w:val="0"/>
    <w:pPr>
      <w:snapToGrid w:val="0"/>
      <w:spacing w:before="120" w:after="120" w:line="312" w:lineRule="auto"/>
      <w:ind w:firstLine="567"/>
      <w:outlineLvl w:val="1"/>
    </w:pPr>
    <w:rPr>
      <w:rFonts w:ascii="Times New Roman" w:hAnsi="Times New Roman"/>
      <w:b/>
      <w:spacing w:val="6"/>
      <w:kern w:val="2"/>
      <w:sz w:val="32"/>
      <w:szCs w:val="20"/>
    </w:rPr>
  </w:style>
  <w:style w:type="paragraph" w:customStyle="1" w:styleId="402">
    <w:name w:val="z-窗体顶端1"/>
    <w:basedOn w:val="1"/>
    <w:next w:val="1"/>
    <w:link w:val="403"/>
    <w:qFormat/>
    <w:uiPriority w:val="0"/>
    <w:pPr>
      <w:widowControl/>
      <w:pBdr>
        <w:bottom w:val="single" w:color="auto" w:sz="6" w:space="1"/>
      </w:pBdr>
      <w:jc w:val="center"/>
    </w:pPr>
    <w:rPr>
      <w:rFonts w:ascii="Arial" w:hAnsi="Arial"/>
      <w:vanish/>
      <w:kern w:val="0"/>
      <w:sz w:val="16"/>
      <w:szCs w:val="16"/>
    </w:rPr>
  </w:style>
  <w:style w:type="character" w:customStyle="1" w:styleId="403">
    <w:name w:val="z-窗体顶端 Char"/>
    <w:basedOn w:val="86"/>
    <w:link w:val="402"/>
    <w:qFormat/>
    <w:uiPriority w:val="0"/>
    <w:rPr>
      <w:rFonts w:ascii="Arial" w:hAnsi="Arial"/>
      <w:vanish/>
      <w:sz w:val="16"/>
      <w:szCs w:val="16"/>
    </w:rPr>
  </w:style>
  <w:style w:type="paragraph" w:customStyle="1" w:styleId="404">
    <w:name w:val="(1)"/>
    <w:basedOn w:val="1"/>
    <w:qFormat/>
    <w:uiPriority w:val="0"/>
    <w:pPr>
      <w:tabs>
        <w:tab w:val="left" w:pos="573"/>
      </w:tabs>
      <w:snapToGrid w:val="0"/>
      <w:spacing w:before="80" w:after="100" w:line="240" w:lineRule="atLeast"/>
      <w:textAlignment w:val="baseline"/>
    </w:pPr>
    <w:rPr>
      <w:rFonts w:hint="eastAsia" w:ascii="Arial" w:hAnsi="Arial"/>
      <w:kern w:val="44"/>
      <w:sz w:val="24"/>
      <w:szCs w:val="20"/>
    </w:rPr>
  </w:style>
  <w:style w:type="paragraph" w:customStyle="1" w:styleId="405">
    <w:name w:val="普通文本"/>
    <w:basedOn w:val="1"/>
    <w:qFormat/>
    <w:uiPriority w:val="0"/>
    <w:pPr>
      <w:overflowPunct w:val="0"/>
      <w:autoSpaceDE w:val="0"/>
      <w:autoSpaceDN w:val="0"/>
      <w:adjustRightInd w:val="0"/>
      <w:snapToGrid w:val="0"/>
      <w:spacing w:line="300" w:lineRule="auto"/>
      <w:ind w:left="120" w:leftChars="50" w:right="240" w:rightChars="100" w:firstLine="560" w:firstLineChars="200"/>
      <w:jc w:val="left"/>
    </w:pPr>
    <w:rPr>
      <w:rFonts w:ascii="仿宋_GB2312" w:eastAsia="仿宋_GB2312"/>
      <w:sz w:val="28"/>
      <w:szCs w:val="20"/>
      <w:lang w:val="zh-CN"/>
    </w:rPr>
  </w:style>
  <w:style w:type="paragraph" w:customStyle="1" w:styleId="406">
    <w:name w:val="编制日期"/>
    <w:basedOn w:val="1"/>
    <w:qFormat/>
    <w:uiPriority w:val="0"/>
    <w:pPr>
      <w:keepNext/>
      <w:snapToGrid w:val="0"/>
      <w:spacing w:line="300" w:lineRule="auto"/>
      <w:jc w:val="center"/>
    </w:pPr>
    <w:rPr>
      <w:rFonts w:ascii="宋体" w:cs="宋体"/>
      <w:sz w:val="32"/>
      <w:szCs w:val="32"/>
    </w:rPr>
  </w:style>
  <w:style w:type="paragraph" w:customStyle="1" w:styleId="407">
    <w:name w:val="表中文字"/>
    <w:basedOn w:val="1"/>
    <w:qFormat/>
    <w:uiPriority w:val="0"/>
    <w:pPr>
      <w:widowControl/>
      <w:snapToGrid w:val="0"/>
      <w:jc w:val="center"/>
    </w:pPr>
    <w:rPr>
      <w:rFonts w:ascii="仿宋_GB2312" w:hAnsi="宋体" w:eastAsia="仿宋_GB2312" w:cs="宋体"/>
      <w:sz w:val="24"/>
      <w:szCs w:val="28"/>
    </w:rPr>
  </w:style>
  <w:style w:type="paragraph" w:styleId="40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9">
    <w:name w:val="cucd-TB-Head"/>
    <w:basedOn w:val="1"/>
    <w:next w:val="363"/>
    <w:qFormat/>
    <w:uiPriority w:val="0"/>
    <w:pPr>
      <w:spacing w:line="360" w:lineRule="auto"/>
      <w:jc w:val="center"/>
    </w:pPr>
    <w:rPr>
      <w:rFonts w:ascii="宋体" w:eastAsia="黑体"/>
      <w:sz w:val="24"/>
      <w:szCs w:val="20"/>
    </w:rPr>
  </w:style>
  <w:style w:type="paragraph" w:customStyle="1" w:styleId="410">
    <w:name w:val="xl25"/>
    <w:basedOn w:val="1"/>
    <w:qFormat/>
    <w:uiPriority w:val="0"/>
    <w:pPr>
      <w:widowControl/>
      <w:spacing w:before="100" w:beforeAutospacing="1" w:after="100" w:afterAutospacing="1"/>
      <w:jc w:val="right"/>
      <w:textAlignment w:val="center"/>
    </w:pPr>
    <w:rPr>
      <w:rFonts w:hint="eastAsia" w:ascii="宋体" w:hAnsi="宋体" w:cs="Arial Unicode MS"/>
      <w:kern w:val="0"/>
      <w:sz w:val="24"/>
      <w:szCs w:val="22"/>
    </w:rPr>
  </w:style>
  <w:style w:type="paragraph" w:customStyle="1" w:styleId="411">
    <w:name w:val="CM3"/>
    <w:basedOn w:val="181"/>
    <w:next w:val="181"/>
    <w:qFormat/>
    <w:uiPriority w:val="0"/>
    <w:pPr>
      <w:adjustRightInd/>
      <w:spacing w:line="468" w:lineRule="atLeast"/>
    </w:pPr>
    <w:rPr>
      <w:rFonts w:hint="eastAsia" w:ascii="宋体"/>
      <w:kern w:val="0"/>
      <w:szCs w:val="20"/>
    </w:rPr>
  </w:style>
  <w:style w:type="paragraph" w:customStyle="1" w:styleId="412">
    <w:name w:val="样式 标题 2节 + 行距: 多倍行距 0.5 字行"/>
    <w:basedOn w:val="5"/>
    <w:qFormat/>
    <w:uiPriority w:val="0"/>
    <w:pPr>
      <w:tabs>
        <w:tab w:val="left" w:pos="576"/>
      </w:tabs>
      <w:spacing w:before="80" w:after="80" w:line="300" w:lineRule="auto"/>
      <w:ind w:left="576" w:hanging="576"/>
    </w:pPr>
    <w:rPr>
      <w:rFonts w:ascii="Times New Roman" w:hAnsi="Times New Roman" w:eastAsia="宋体"/>
      <w:bCs w:val="0"/>
      <w:kern w:val="2"/>
      <w:sz w:val="28"/>
      <w:szCs w:val="20"/>
    </w:rPr>
  </w:style>
  <w:style w:type="paragraph" w:customStyle="1" w:styleId="413">
    <w:name w:val="普通2"/>
    <w:basedOn w:val="43"/>
    <w:qFormat/>
    <w:uiPriority w:val="0"/>
    <w:pPr>
      <w:jc w:val="center"/>
    </w:pPr>
    <w:rPr>
      <w:rFonts w:ascii="Times New Roman" w:hAnsi="Times New Roman"/>
      <w:snapToGrid w:val="0"/>
      <w:color w:val="000000"/>
      <w:sz w:val="21"/>
      <w:szCs w:val="24"/>
    </w:rPr>
  </w:style>
  <w:style w:type="paragraph" w:customStyle="1" w:styleId="414">
    <w:name w:val="表格正文"/>
    <w:basedOn w:val="1"/>
    <w:qFormat/>
    <w:uiPriority w:val="0"/>
    <w:pPr>
      <w:autoSpaceDE w:val="0"/>
      <w:autoSpaceDN w:val="0"/>
      <w:adjustRightInd w:val="0"/>
      <w:snapToGrid w:val="0"/>
      <w:spacing w:before="60"/>
      <w:ind w:right="-96"/>
      <w:jc w:val="center"/>
    </w:pPr>
    <w:rPr>
      <w:rFonts w:ascii="宋体" w:hAnsi="宋体" w:cs="Arial"/>
      <w:color w:val="000000"/>
      <w:sz w:val="24"/>
      <w:szCs w:val="21"/>
    </w:rPr>
  </w:style>
  <w:style w:type="paragraph" w:customStyle="1" w:styleId="415">
    <w:name w:val="表文"/>
    <w:basedOn w:val="1"/>
    <w:qFormat/>
    <w:uiPriority w:val="0"/>
    <w:pPr>
      <w:adjustRightInd w:val="0"/>
      <w:jc w:val="center"/>
      <w:textAlignment w:val="baseline"/>
    </w:pPr>
    <w:rPr>
      <w:rFonts w:ascii="Arial" w:hAnsi="Arial"/>
      <w:kern w:val="0"/>
      <w:sz w:val="24"/>
      <w:szCs w:val="20"/>
    </w:rPr>
  </w:style>
  <w:style w:type="paragraph" w:customStyle="1" w:styleId="416">
    <w:name w:val="兰郑长正文文本"/>
    <w:basedOn w:val="1"/>
    <w:qFormat/>
    <w:uiPriority w:val="0"/>
    <w:pPr>
      <w:adjustRightInd w:val="0"/>
      <w:snapToGrid w:val="0"/>
      <w:spacing w:line="360" w:lineRule="auto"/>
      <w:ind w:left="100" w:leftChars="100" w:right="100" w:rightChars="100" w:firstLine="200" w:firstLineChars="200"/>
      <w:jc w:val="left"/>
    </w:pPr>
    <w:rPr>
      <w:rFonts w:ascii="宋体" w:hAnsi="宋体"/>
      <w:sz w:val="24"/>
      <w:szCs w:val="22"/>
    </w:rPr>
  </w:style>
  <w:style w:type="paragraph" w:customStyle="1" w:styleId="417">
    <w:name w:val="宽5中"/>
    <w:basedOn w:val="1"/>
    <w:next w:val="1"/>
    <w:qFormat/>
    <w:uiPriority w:val="0"/>
    <w:pPr>
      <w:jc w:val="center"/>
    </w:pPr>
    <w:rPr>
      <w:szCs w:val="28"/>
    </w:rPr>
  </w:style>
  <w:style w:type="paragraph" w:customStyle="1" w:styleId="418">
    <w:name w:val="样式2"/>
    <w:basedOn w:val="1"/>
    <w:qFormat/>
    <w:uiPriority w:val="0"/>
    <w:pPr>
      <w:tabs>
        <w:tab w:val="left" w:pos="1134"/>
      </w:tabs>
      <w:adjustRightInd w:val="0"/>
      <w:snapToGrid w:val="0"/>
      <w:spacing w:line="360" w:lineRule="auto"/>
      <w:ind w:left="1134" w:hanging="510"/>
    </w:pPr>
    <w:rPr>
      <w:sz w:val="28"/>
      <w:szCs w:val="20"/>
    </w:rPr>
  </w:style>
  <w:style w:type="paragraph" w:customStyle="1" w:styleId="419">
    <w:name w:val="表文字"/>
    <w:basedOn w:val="9"/>
    <w:qFormat/>
    <w:uiPriority w:val="0"/>
    <w:pPr>
      <w:snapToGrid w:val="0"/>
      <w:spacing w:line="300" w:lineRule="auto"/>
      <w:ind w:firstLine="0"/>
      <w:jc w:val="center"/>
    </w:pPr>
    <w:rPr>
      <w:rFonts w:hAnsi="宋体"/>
      <w:b/>
      <w:bCs/>
      <w:sz w:val="24"/>
      <w:szCs w:val="24"/>
    </w:rPr>
  </w:style>
  <w:style w:type="paragraph" w:customStyle="1" w:styleId="420">
    <w:name w:val="正文-ST-4"/>
    <w:basedOn w:val="1"/>
    <w:qFormat/>
    <w:uiPriority w:val="0"/>
    <w:pPr>
      <w:widowControl/>
      <w:spacing w:line="360" w:lineRule="auto"/>
      <w:ind w:firstLine="567"/>
    </w:pPr>
    <w:rPr>
      <w:kern w:val="0"/>
      <w:sz w:val="28"/>
      <w:szCs w:val="28"/>
    </w:rPr>
  </w:style>
  <w:style w:type="paragraph" w:customStyle="1" w:styleId="421">
    <w:name w:val="文章 + 首行缩进:  2 字符"/>
    <w:basedOn w:val="1"/>
    <w:qFormat/>
    <w:uiPriority w:val="0"/>
    <w:pPr>
      <w:snapToGrid w:val="0"/>
      <w:spacing w:line="300" w:lineRule="auto"/>
      <w:ind w:firstLine="200" w:firstLineChars="200"/>
    </w:pPr>
    <w:rPr>
      <w:rFonts w:cs="宋体"/>
      <w:sz w:val="28"/>
      <w:szCs w:val="28"/>
    </w:rPr>
  </w:style>
  <w:style w:type="paragraph" w:customStyle="1" w:styleId="422">
    <w:name w:val="reader-word-layer reader-word-s1-6"/>
    <w:basedOn w:val="1"/>
    <w:qFormat/>
    <w:uiPriority w:val="0"/>
    <w:pPr>
      <w:widowControl/>
      <w:spacing w:before="100" w:beforeAutospacing="1" w:after="100" w:afterAutospacing="1"/>
      <w:jc w:val="left"/>
    </w:pPr>
    <w:rPr>
      <w:rFonts w:ascii="宋体" w:hAnsi="宋体" w:cs="宋体"/>
      <w:kern w:val="0"/>
      <w:sz w:val="24"/>
      <w:szCs w:val="22"/>
    </w:rPr>
  </w:style>
  <w:style w:type="paragraph" w:customStyle="1" w:styleId="423">
    <w:name w:val="cucd-TB"/>
    <w:qFormat/>
    <w:uiPriority w:val="0"/>
    <w:pPr>
      <w:spacing w:line="360" w:lineRule="auto"/>
      <w:jc w:val="center"/>
    </w:pPr>
    <w:rPr>
      <w:rFonts w:ascii="Times New Roman" w:hAnsi="Times New Roman" w:eastAsia="宋体" w:cs="Times New Roman"/>
      <w:kern w:val="2"/>
      <w:sz w:val="21"/>
      <w:lang w:val="en-US" w:eastAsia="zh-CN" w:bidi="ar-SA"/>
    </w:rPr>
  </w:style>
  <w:style w:type="paragraph" w:customStyle="1" w:styleId="424">
    <w:name w:val="表格内容（中文）"/>
    <w:qFormat/>
    <w:uiPriority w:val="0"/>
    <w:pPr>
      <w:widowControl w:val="0"/>
      <w:adjustRightInd w:val="0"/>
      <w:spacing w:line="380" w:lineRule="atLeast"/>
      <w:ind w:left="113"/>
      <w:textAlignment w:val="baseline"/>
    </w:pPr>
    <w:rPr>
      <w:rFonts w:ascii="Times New Roman" w:hAnsi="Times New Roman" w:eastAsia="楷体_GB2312" w:cs="Times New Roman"/>
      <w:sz w:val="21"/>
      <w:lang w:val="en-US" w:eastAsia="zh-CN" w:bidi="ar-SA"/>
    </w:rPr>
  </w:style>
  <w:style w:type="paragraph" w:customStyle="1" w:styleId="425">
    <w:name w:val="1.1编号"/>
    <w:basedOn w:val="1"/>
    <w:qFormat/>
    <w:uiPriority w:val="0"/>
    <w:pPr>
      <w:widowControl/>
      <w:tabs>
        <w:tab w:val="left" w:pos="567"/>
        <w:tab w:val="left" w:pos="1684"/>
      </w:tabs>
      <w:spacing w:before="120" w:after="80" w:line="380" w:lineRule="exact"/>
      <w:ind w:left="1684" w:hanging="720"/>
    </w:pPr>
    <w:rPr>
      <w:b/>
      <w:spacing w:val="20"/>
      <w:sz w:val="24"/>
      <w:szCs w:val="20"/>
    </w:rPr>
  </w:style>
  <w:style w:type="paragraph" w:customStyle="1" w:styleId="426">
    <w:name w:val="默认段落字体 Para Char Char Char Char"/>
    <w:basedOn w:val="1"/>
    <w:qFormat/>
    <w:uiPriority w:val="0"/>
    <w:rPr>
      <w:szCs w:val="22"/>
    </w:rPr>
  </w:style>
  <w:style w:type="paragraph" w:customStyle="1" w:styleId="427">
    <w:name w:val="修订1"/>
    <w:qFormat/>
    <w:uiPriority w:val="0"/>
    <w:rPr>
      <w:rFonts w:ascii="Times New Roman" w:hAnsi="Times New Roman" w:eastAsia="宋体" w:cs="Times New Roman"/>
      <w:kern w:val="2"/>
      <w:sz w:val="21"/>
      <w:szCs w:val="24"/>
      <w:lang w:val="en-US" w:eastAsia="zh-CN" w:bidi="ar-SA"/>
    </w:rPr>
  </w:style>
  <w:style w:type="paragraph" w:customStyle="1" w:styleId="428">
    <w:name w:val="表格文字居中（五号）"/>
    <w:basedOn w:val="1"/>
    <w:qFormat/>
    <w:uiPriority w:val="0"/>
    <w:pPr>
      <w:adjustRightInd w:val="0"/>
      <w:snapToGrid w:val="0"/>
      <w:jc w:val="center"/>
      <w:textAlignment w:val="baseline"/>
    </w:pPr>
    <w:rPr>
      <w:rFonts w:ascii="宋体" w:hAnsi="宋体"/>
      <w:kern w:val="0"/>
      <w:szCs w:val="22"/>
    </w:rPr>
  </w:style>
  <w:style w:type="paragraph" w:customStyle="1" w:styleId="429">
    <w:name w:val="四级无标题条"/>
    <w:basedOn w:val="1"/>
    <w:qFormat/>
    <w:uiPriority w:val="0"/>
    <w:rPr>
      <w:szCs w:val="20"/>
    </w:rPr>
  </w:style>
  <w:style w:type="paragraph" w:customStyle="1" w:styleId="430">
    <w:name w:val="Char Char Char Char Char Char Char"/>
    <w:basedOn w:val="1"/>
    <w:qFormat/>
    <w:uiPriority w:val="0"/>
    <w:pPr>
      <w:adjustRightInd w:val="0"/>
      <w:spacing w:line="360" w:lineRule="auto"/>
    </w:pPr>
    <w:rPr>
      <w:kern w:val="0"/>
      <w:sz w:val="24"/>
      <w:szCs w:val="20"/>
    </w:rPr>
  </w:style>
  <w:style w:type="paragraph" w:customStyle="1" w:styleId="431">
    <w:name w:val="标题 71"/>
    <w:basedOn w:val="1"/>
    <w:next w:val="188"/>
    <w:qFormat/>
    <w:uiPriority w:val="0"/>
    <w:pPr>
      <w:keepNext/>
      <w:keepLines/>
      <w:tabs>
        <w:tab w:val="left" w:pos="-709"/>
        <w:tab w:val="left" w:pos="284"/>
      </w:tabs>
      <w:spacing w:before="240" w:after="64" w:line="320" w:lineRule="atLeast"/>
      <w:ind w:left="3360" w:hanging="420"/>
      <w:textAlignment w:val="baseline"/>
      <w:outlineLvl w:val="6"/>
    </w:pPr>
    <w:rPr>
      <w:b/>
      <w:kern w:val="0"/>
      <w:sz w:val="24"/>
      <w:szCs w:val="20"/>
    </w:rPr>
  </w:style>
  <w:style w:type="paragraph" w:customStyle="1" w:styleId="432">
    <w:name w:val="bf.1"/>
    <w:basedOn w:val="9"/>
    <w:qFormat/>
    <w:uiPriority w:val="0"/>
    <w:pPr>
      <w:spacing w:line="360" w:lineRule="auto"/>
      <w:ind w:left="1050" w:hanging="1050" w:hangingChars="375"/>
    </w:pPr>
    <w:rPr>
      <w:rFonts w:ascii="Arial" w:hAnsi="Arial"/>
      <w:sz w:val="24"/>
    </w:rPr>
  </w:style>
  <w:style w:type="paragraph" w:customStyle="1" w:styleId="433">
    <w:name w:val="CM95"/>
    <w:basedOn w:val="181"/>
    <w:next w:val="181"/>
    <w:qFormat/>
    <w:uiPriority w:val="0"/>
    <w:pPr>
      <w:spacing w:after="115"/>
    </w:pPr>
    <w:rPr>
      <w:rFonts w:ascii="宋体"/>
      <w:color w:val="auto"/>
      <w:kern w:val="0"/>
      <w:szCs w:val="20"/>
    </w:rPr>
  </w:style>
  <w:style w:type="paragraph" w:customStyle="1" w:styleId="434">
    <w:name w:val="reader-word-layer reader-word-s3-1"/>
    <w:basedOn w:val="1"/>
    <w:qFormat/>
    <w:uiPriority w:val="0"/>
    <w:pPr>
      <w:widowControl/>
      <w:spacing w:before="100" w:beforeAutospacing="1" w:after="100" w:afterAutospacing="1"/>
      <w:jc w:val="left"/>
    </w:pPr>
    <w:rPr>
      <w:rFonts w:ascii="宋体" w:hAnsi="宋体" w:cs="宋体"/>
      <w:kern w:val="0"/>
      <w:sz w:val="24"/>
      <w:szCs w:val="22"/>
    </w:rPr>
  </w:style>
  <w:style w:type="paragraph" w:customStyle="1" w:styleId="435">
    <w:name w:val="CM56"/>
    <w:basedOn w:val="181"/>
    <w:next w:val="181"/>
    <w:qFormat/>
    <w:uiPriority w:val="0"/>
    <w:rPr>
      <w:color w:val="auto"/>
      <w:kern w:val="0"/>
    </w:rPr>
  </w:style>
  <w:style w:type="paragraph" w:customStyle="1" w:styleId="436">
    <w:name w:val="菲页1"/>
    <w:basedOn w:val="5"/>
    <w:qFormat/>
    <w:uiPriority w:val="0"/>
    <w:pPr>
      <w:widowControl/>
      <w:spacing w:line="413" w:lineRule="auto"/>
      <w:jc w:val="center"/>
    </w:pPr>
    <w:rPr>
      <w:rFonts w:ascii="黑体" w:hAnsi="宋体" w:eastAsia="宋体"/>
      <w:b w:val="0"/>
      <w:bCs w:val="0"/>
      <w:sz w:val="52"/>
      <w:szCs w:val="20"/>
    </w:rPr>
  </w:style>
  <w:style w:type="paragraph" w:customStyle="1" w:styleId="437">
    <w:name w:val="标题2－－张鑫"/>
    <w:basedOn w:val="5"/>
    <w:qFormat/>
    <w:uiPriority w:val="0"/>
    <w:pPr>
      <w:spacing w:before="120" w:after="120" w:line="360" w:lineRule="auto"/>
      <w:jc w:val="center"/>
      <w:textAlignment w:val="center"/>
    </w:pPr>
    <w:rPr>
      <w:rFonts w:ascii="宋体" w:hAnsi="宋体" w:eastAsia="宋体" w:cs="宋体"/>
      <w:bCs w:val="0"/>
      <w:kern w:val="2"/>
      <w:sz w:val="24"/>
      <w:szCs w:val="28"/>
    </w:rPr>
  </w:style>
  <w:style w:type="paragraph" w:customStyle="1" w:styleId="438">
    <w:name w:val="表内容1-1"/>
    <w:basedOn w:val="1"/>
    <w:qFormat/>
    <w:uiPriority w:val="0"/>
    <w:pPr>
      <w:jc w:val="center"/>
      <w:textAlignment w:val="baseline"/>
    </w:pPr>
    <w:rPr>
      <w:kern w:val="0"/>
      <w:szCs w:val="21"/>
    </w:rPr>
  </w:style>
  <w:style w:type="paragraph" w:customStyle="1" w:styleId="439">
    <w:name w:val="密级"/>
    <w:basedOn w:val="1"/>
    <w:qFormat/>
    <w:uiPriority w:val="0"/>
    <w:pPr>
      <w:keepNext/>
      <w:snapToGrid w:val="0"/>
      <w:spacing w:line="300" w:lineRule="auto"/>
      <w:jc w:val="left"/>
    </w:pPr>
    <w:rPr>
      <w:rFonts w:ascii="宋体" w:cs="宋体"/>
      <w:sz w:val="28"/>
      <w:szCs w:val="28"/>
    </w:rPr>
  </w:style>
  <w:style w:type="paragraph" w:customStyle="1" w:styleId="440">
    <w:name w:val="实施日期"/>
    <w:basedOn w:val="441"/>
    <w:qFormat/>
    <w:uiPriority w:val="0"/>
    <w:pPr>
      <w:framePr w:hSpace="0" w:wrap="around" w:vAnchor="text" w:hAnchor="text" w:xAlign="right"/>
      <w:jc w:val="right"/>
    </w:pPr>
    <w:rPr>
      <w:rFonts w:eastAsia="宋体"/>
    </w:rPr>
  </w:style>
  <w:style w:type="paragraph" w:customStyle="1" w:styleId="441">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442">
    <w:name w:val="三级无标题条"/>
    <w:basedOn w:val="1"/>
    <w:qFormat/>
    <w:uiPriority w:val="0"/>
    <w:rPr>
      <w:szCs w:val="20"/>
    </w:rPr>
  </w:style>
  <w:style w:type="paragraph" w:customStyle="1" w:styleId="443">
    <w:name w:val="正文_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44">
    <w:name w:val="目录"/>
    <w:basedOn w:val="1"/>
    <w:link w:val="445"/>
    <w:qFormat/>
    <w:uiPriority w:val="0"/>
    <w:pPr>
      <w:widowControl/>
      <w:jc w:val="center"/>
    </w:pPr>
    <w:rPr>
      <w:rFonts w:ascii="宋体"/>
      <w:b/>
      <w:kern w:val="0"/>
      <w:sz w:val="36"/>
      <w:szCs w:val="20"/>
    </w:rPr>
  </w:style>
  <w:style w:type="character" w:customStyle="1" w:styleId="445">
    <w:name w:val="目录_"/>
    <w:link w:val="444"/>
    <w:qFormat/>
    <w:locked/>
    <w:uiPriority w:val="0"/>
    <w:rPr>
      <w:rFonts w:ascii="宋体"/>
      <w:b/>
      <w:sz w:val="36"/>
    </w:rPr>
  </w:style>
  <w:style w:type="paragraph" w:customStyle="1" w:styleId="446">
    <w:name w:val="图表标题"/>
    <w:basedOn w:val="1"/>
    <w:qFormat/>
    <w:uiPriority w:val="0"/>
    <w:pPr>
      <w:spacing w:beforeLines="50" w:afterLines="50"/>
      <w:jc w:val="center"/>
    </w:pPr>
    <w:rPr>
      <w:rFonts w:ascii="宋体" w:hAnsi="宋体"/>
      <w:b/>
      <w:szCs w:val="28"/>
    </w:rPr>
  </w:style>
  <w:style w:type="paragraph" w:customStyle="1" w:styleId="447">
    <w:name w:val="CM8"/>
    <w:basedOn w:val="181"/>
    <w:next w:val="181"/>
    <w:qFormat/>
    <w:uiPriority w:val="0"/>
    <w:pPr>
      <w:adjustRightInd/>
      <w:spacing w:line="360" w:lineRule="atLeast"/>
    </w:pPr>
    <w:rPr>
      <w:rFonts w:hint="eastAsia" w:ascii="宋体" w:hAnsi="Calibri"/>
      <w:kern w:val="0"/>
      <w:szCs w:val="20"/>
    </w:rPr>
  </w:style>
  <w:style w:type="paragraph" w:customStyle="1" w:styleId="448">
    <w:name w:val="数字正文"/>
    <w:basedOn w:val="1"/>
    <w:qFormat/>
    <w:uiPriority w:val="0"/>
    <w:pPr>
      <w:spacing w:beforeLines="50" w:afterLines="50" w:line="300" w:lineRule="auto"/>
    </w:pPr>
    <w:rPr>
      <w:snapToGrid w:val="0"/>
      <w:color w:val="000000"/>
      <w:sz w:val="24"/>
      <w:szCs w:val="22"/>
    </w:rPr>
  </w:style>
  <w:style w:type="paragraph" w:customStyle="1" w:styleId="449">
    <w:name w:val="(i)正文"/>
    <w:basedOn w:val="1"/>
    <w:qFormat/>
    <w:uiPriority w:val="0"/>
    <w:pPr>
      <w:widowControl/>
      <w:tabs>
        <w:tab w:val="left" w:pos="2381"/>
        <w:tab w:val="left" w:pos="2951"/>
      </w:tabs>
      <w:spacing w:line="360" w:lineRule="exact"/>
      <w:ind w:left="2381" w:hanging="510"/>
    </w:pPr>
    <w:rPr>
      <w:sz w:val="24"/>
      <w:szCs w:val="20"/>
    </w:rPr>
  </w:style>
  <w:style w:type="paragraph" w:customStyle="1" w:styleId="450">
    <w:name w:val="Zchn Zchn1 Char Char Zchn Zchn Char Char2"/>
    <w:basedOn w:val="1"/>
    <w:qFormat/>
    <w:uiPriority w:val="0"/>
    <w:rPr>
      <w:rFonts w:hint="eastAsia"/>
      <w:szCs w:val="20"/>
    </w:rPr>
  </w:style>
  <w:style w:type="paragraph" w:customStyle="1" w:styleId="451">
    <w:name w:val="第一章"/>
    <w:basedOn w:val="1"/>
    <w:next w:val="83"/>
    <w:qFormat/>
    <w:uiPriority w:val="0"/>
    <w:pPr>
      <w:jc w:val="center"/>
      <w:outlineLvl w:val="0"/>
    </w:pPr>
    <w:rPr>
      <w:b/>
      <w:sz w:val="32"/>
      <w:szCs w:val="32"/>
    </w:rPr>
  </w:style>
  <w:style w:type="paragraph" w:customStyle="1" w:styleId="452">
    <w:name w:val="附录五级条标题"/>
    <w:basedOn w:val="453"/>
    <w:next w:val="372"/>
    <w:qFormat/>
    <w:uiPriority w:val="0"/>
    <w:pPr>
      <w:tabs>
        <w:tab w:val="left" w:pos="360"/>
      </w:tabs>
      <w:outlineLvl w:val="6"/>
    </w:pPr>
  </w:style>
  <w:style w:type="paragraph" w:customStyle="1" w:styleId="453">
    <w:name w:val="附录四级条标题"/>
    <w:basedOn w:val="454"/>
    <w:next w:val="372"/>
    <w:qFormat/>
    <w:uiPriority w:val="0"/>
    <w:pPr>
      <w:tabs>
        <w:tab w:val="left" w:pos="360"/>
      </w:tabs>
      <w:outlineLvl w:val="5"/>
    </w:pPr>
  </w:style>
  <w:style w:type="paragraph" w:customStyle="1" w:styleId="454">
    <w:name w:val="附录三级条标题"/>
    <w:basedOn w:val="455"/>
    <w:next w:val="372"/>
    <w:qFormat/>
    <w:uiPriority w:val="0"/>
    <w:pPr>
      <w:tabs>
        <w:tab w:val="left" w:pos="360"/>
      </w:tabs>
      <w:outlineLvl w:val="4"/>
    </w:pPr>
  </w:style>
  <w:style w:type="paragraph" w:customStyle="1" w:styleId="455">
    <w:name w:val="附录二级条标题"/>
    <w:basedOn w:val="456"/>
    <w:next w:val="372"/>
    <w:qFormat/>
    <w:uiPriority w:val="0"/>
    <w:pPr>
      <w:tabs>
        <w:tab w:val="left" w:pos="360"/>
      </w:tabs>
      <w:outlineLvl w:val="3"/>
    </w:pPr>
  </w:style>
  <w:style w:type="paragraph" w:customStyle="1" w:styleId="456">
    <w:name w:val="附录一级条标题"/>
    <w:basedOn w:val="457"/>
    <w:next w:val="372"/>
    <w:qFormat/>
    <w:uiPriority w:val="0"/>
    <w:pPr>
      <w:tabs>
        <w:tab w:val="left" w:pos="360"/>
      </w:tabs>
      <w:autoSpaceDN w:val="0"/>
      <w:spacing w:before="0" w:after="0"/>
      <w:outlineLvl w:val="2"/>
    </w:pPr>
    <w:rPr>
      <w:rFonts w:ascii="Times New Roman" w:eastAsia="宋体"/>
    </w:rPr>
  </w:style>
  <w:style w:type="paragraph" w:customStyle="1" w:styleId="457">
    <w:name w:val="附录章标题"/>
    <w:next w:val="372"/>
    <w:qFormat/>
    <w:uiPriority w:val="0"/>
    <w:pPr>
      <w:wordWrap w:val="0"/>
      <w:overflowPunct w:val="0"/>
      <w:autoSpaceDE w:val="0"/>
      <w:spacing w:before="50" w:after="50"/>
      <w:jc w:val="both"/>
      <w:textAlignment w:val="baseline"/>
      <w:outlineLvl w:val="1"/>
    </w:pPr>
    <w:rPr>
      <w:rFonts w:ascii="黑体" w:hAnsi="Times New Roman" w:eastAsia="黑体" w:cs="Times New Roman"/>
      <w:kern w:val="21"/>
      <w:sz w:val="21"/>
      <w:lang w:val="en-US" w:eastAsia="zh-CN" w:bidi="ar-SA"/>
    </w:rPr>
  </w:style>
  <w:style w:type="paragraph" w:customStyle="1" w:styleId="458">
    <w:name w:val="6"/>
    <w:basedOn w:val="1"/>
    <w:qFormat/>
    <w:uiPriority w:val="0"/>
    <w:pPr>
      <w:spacing w:line="300" w:lineRule="auto"/>
    </w:pPr>
    <w:rPr>
      <w:sz w:val="24"/>
      <w:szCs w:val="20"/>
    </w:rPr>
  </w:style>
  <w:style w:type="paragraph" w:customStyle="1" w:styleId="459">
    <w:name w:val="标题1"/>
    <w:basedOn w:val="4"/>
    <w:qFormat/>
    <w:uiPriority w:val="0"/>
    <w:pPr>
      <w:widowControl/>
      <w:tabs>
        <w:tab w:val="left" w:pos="0"/>
      </w:tabs>
      <w:snapToGrid w:val="0"/>
      <w:spacing w:beforeLines="50" w:after="120" w:line="240" w:lineRule="auto"/>
      <w:jc w:val="left"/>
    </w:pPr>
    <w:rPr>
      <w:rFonts w:ascii="Arial" w:hAnsi="Arial"/>
      <w:bCs w:val="0"/>
      <w:sz w:val="36"/>
      <w:szCs w:val="20"/>
    </w:rPr>
  </w:style>
  <w:style w:type="paragraph" w:customStyle="1" w:styleId="460">
    <w:name w:val="模板标题2"/>
    <w:basedOn w:val="5"/>
    <w:next w:val="1"/>
    <w:qFormat/>
    <w:uiPriority w:val="0"/>
    <w:pPr>
      <w:tabs>
        <w:tab w:val="left" w:pos="1320"/>
      </w:tabs>
      <w:spacing w:before="240" w:after="240" w:line="240" w:lineRule="auto"/>
      <w:ind w:left="1320" w:hanging="420"/>
      <w:jc w:val="left"/>
    </w:pPr>
    <w:rPr>
      <w:rFonts w:ascii="华文中宋" w:hAnsi="华文中宋" w:eastAsia="宋体"/>
      <w:b w:val="0"/>
      <w:kern w:val="2"/>
      <w:sz w:val="30"/>
      <w:szCs w:val="36"/>
    </w:rPr>
  </w:style>
  <w:style w:type="paragraph" w:customStyle="1" w:styleId="461">
    <w:name w:val="宽小4"/>
    <w:basedOn w:val="1"/>
    <w:qFormat/>
    <w:uiPriority w:val="0"/>
    <w:pPr>
      <w:snapToGrid w:val="0"/>
      <w:jc w:val="center"/>
    </w:pPr>
    <w:rPr>
      <w:rFonts w:ascii="仿宋_GB2312" w:hAnsi="Verdana"/>
      <w:b/>
      <w:snapToGrid w:val="0"/>
      <w:w w:val="90"/>
      <w:sz w:val="24"/>
      <w:szCs w:val="20"/>
    </w:rPr>
  </w:style>
  <w:style w:type="paragraph" w:customStyle="1" w:styleId="462">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463">
    <w:name w:val="正5中"/>
    <w:basedOn w:val="1"/>
    <w:qFormat/>
    <w:uiPriority w:val="0"/>
    <w:pPr>
      <w:spacing w:line="320" w:lineRule="atLeast"/>
      <w:jc w:val="center"/>
    </w:pPr>
    <w:rPr>
      <w:sz w:val="18"/>
      <w:szCs w:val="20"/>
    </w:rPr>
  </w:style>
  <w:style w:type="paragraph" w:customStyle="1" w:styleId="464">
    <w:name w:val="reader-word-layer reader-word-s1-12"/>
    <w:basedOn w:val="1"/>
    <w:qFormat/>
    <w:uiPriority w:val="0"/>
    <w:pPr>
      <w:widowControl/>
      <w:spacing w:before="100" w:beforeAutospacing="1" w:after="100" w:afterAutospacing="1"/>
      <w:jc w:val="left"/>
    </w:pPr>
    <w:rPr>
      <w:rFonts w:ascii="宋体" w:hAnsi="宋体" w:cs="宋体"/>
      <w:kern w:val="0"/>
      <w:sz w:val="24"/>
      <w:szCs w:val="22"/>
    </w:rPr>
  </w:style>
  <w:style w:type="paragraph" w:customStyle="1" w:styleId="465">
    <w:name w:val="缩进正文"/>
    <w:basedOn w:val="34"/>
    <w:qFormat/>
    <w:uiPriority w:val="0"/>
    <w:pPr>
      <w:adjustRightInd w:val="0"/>
      <w:snapToGrid w:val="0"/>
      <w:spacing w:line="300" w:lineRule="auto"/>
      <w:ind w:firstLine="200" w:firstLineChars="0"/>
    </w:pPr>
    <w:rPr>
      <w:rFonts w:ascii="宋体" w:eastAsia="宋体"/>
      <w:kern w:val="2"/>
      <w:sz w:val="28"/>
    </w:rPr>
  </w:style>
  <w:style w:type="paragraph" w:customStyle="1" w:styleId="466">
    <w:name w:val="1级目录"/>
    <w:basedOn w:val="6"/>
    <w:qFormat/>
    <w:uiPriority w:val="0"/>
    <w:pPr>
      <w:adjustRightInd w:val="0"/>
      <w:snapToGrid w:val="0"/>
      <w:spacing w:line="240" w:lineRule="auto"/>
      <w:ind w:left="289"/>
      <w:jc w:val="center"/>
      <w:outlineLvl w:val="0"/>
    </w:pPr>
    <w:rPr>
      <w:kern w:val="2"/>
      <w:sz w:val="28"/>
      <w:szCs w:val="28"/>
    </w:rPr>
  </w:style>
  <w:style w:type="paragraph" w:customStyle="1" w:styleId="467">
    <w:name w:val="文件正文"/>
    <w:basedOn w:val="1"/>
    <w:qFormat/>
    <w:uiPriority w:val="0"/>
    <w:pPr>
      <w:adjustRightInd w:val="0"/>
      <w:spacing w:before="240" w:line="360" w:lineRule="auto"/>
      <w:textAlignment w:val="baseline"/>
    </w:pPr>
    <w:rPr>
      <w:rFonts w:ascii="方正仿宋简体" w:hAnsi="宋体" w:eastAsia="方正仿宋简体"/>
      <w:kern w:val="0"/>
      <w:sz w:val="32"/>
      <w:szCs w:val="32"/>
    </w:rPr>
  </w:style>
  <w:style w:type="paragraph" w:customStyle="1" w:styleId="468">
    <w:name w:val="表1"/>
    <w:basedOn w:val="1"/>
    <w:qFormat/>
    <w:uiPriority w:val="0"/>
    <w:pPr>
      <w:widowControl/>
      <w:snapToGrid w:val="0"/>
      <w:jc w:val="center"/>
    </w:pPr>
    <w:rPr>
      <w:rFonts w:ascii="宋体" w:hAnsi="Arial Narrow" w:cs="宋体"/>
      <w:kern w:val="24"/>
      <w:szCs w:val="22"/>
    </w:rPr>
  </w:style>
  <w:style w:type="paragraph" w:customStyle="1" w:styleId="469">
    <w:name w:val="表注11"/>
    <w:basedOn w:val="1"/>
    <w:qFormat/>
    <w:uiPriority w:val="0"/>
    <w:pPr>
      <w:keepNext/>
      <w:keepLines/>
      <w:adjustRightInd w:val="0"/>
      <w:snapToGrid w:val="0"/>
      <w:spacing w:beforeLines="50" w:line="300" w:lineRule="auto"/>
      <w:ind w:firstLine="200" w:firstLineChars="200"/>
    </w:pPr>
    <w:rPr>
      <w:rFonts w:ascii="仿宋_GB2312" w:hAnsi="宋体" w:eastAsia="仿宋_GB2312"/>
      <w:bCs/>
      <w:kern w:val="0"/>
      <w:szCs w:val="21"/>
    </w:rPr>
  </w:style>
  <w:style w:type="paragraph" w:customStyle="1" w:styleId="470">
    <w:name w:val="正文-FS-L"/>
    <w:qFormat/>
    <w:uiPriority w:val="0"/>
    <w:pPr>
      <w:spacing w:line="360" w:lineRule="auto"/>
      <w:ind w:firstLine="567"/>
      <w:jc w:val="both"/>
    </w:pPr>
    <w:rPr>
      <w:rFonts w:ascii="Times New Roman" w:hAnsi="Times New Roman" w:eastAsia="仿宋_GB2312" w:cs="Times New Roman"/>
      <w:sz w:val="28"/>
      <w:szCs w:val="28"/>
      <w:lang w:val="en-US" w:eastAsia="zh-CN" w:bidi="ar-SA"/>
    </w:rPr>
  </w:style>
  <w:style w:type="paragraph" w:customStyle="1" w:styleId="471">
    <w:name w:val="图字"/>
    <w:qFormat/>
    <w:uiPriority w:val="0"/>
    <w:pPr>
      <w:snapToGrid w:val="0"/>
    </w:pPr>
    <w:rPr>
      <w:rFonts w:ascii="Times New Roman" w:hAnsi="Times New Roman" w:eastAsia="宋体" w:cs="Times New Roman"/>
      <w:kern w:val="2"/>
      <w:sz w:val="18"/>
      <w:szCs w:val="24"/>
      <w:lang w:val="en-US" w:eastAsia="zh-CN" w:bidi="ar-SA"/>
    </w:rPr>
  </w:style>
  <w:style w:type="paragraph" w:customStyle="1" w:styleId="472">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473">
    <w:name w:val="文4"/>
    <w:basedOn w:val="1"/>
    <w:qFormat/>
    <w:uiPriority w:val="0"/>
    <w:pPr>
      <w:widowControl/>
      <w:tabs>
        <w:tab w:val="left" w:pos="540"/>
        <w:tab w:val="left" w:pos="1080"/>
      </w:tabs>
      <w:spacing w:line="500" w:lineRule="atLeast"/>
      <w:ind w:left="540" w:hanging="540"/>
      <w:jc w:val="left"/>
    </w:pPr>
    <w:rPr>
      <w:rFonts w:ascii="宋体" w:hAnsi="宋体" w:cs="宋体"/>
      <w:kern w:val="0"/>
      <w:sz w:val="24"/>
      <w:szCs w:val="22"/>
    </w:rPr>
  </w:style>
  <w:style w:type="paragraph" w:customStyle="1" w:styleId="474">
    <w:name w:val="表右"/>
    <w:basedOn w:val="1"/>
    <w:qFormat/>
    <w:uiPriority w:val="0"/>
    <w:pPr>
      <w:keepNext/>
      <w:spacing w:line="240" w:lineRule="atLeast"/>
      <w:ind w:right="84" w:rightChars="30"/>
      <w:jc w:val="right"/>
    </w:pPr>
    <w:rPr>
      <w:rFonts w:ascii="宋体" w:hAnsi="宋体" w:cs="宋体"/>
      <w:sz w:val="24"/>
      <w:szCs w:val="22"/>
    </w:rPr>
  </w:style>
  <w:style w:type="paragraph" w:customStyle="1" w:styleId="475">
    <w:name w:val="插表文字"/>
    <w:basedOn w:val="1"/>
    <w:next w:val="1"/>
    <w:qFormat/>
    <w:uiPriority w:val="0"/>
    <w:pPr>
      <w:keepNext/>
      <w:adjustRightInd w:val="0"/>
      <w:snapToGrid w:val="0"/>
      <w:spacing w:beforeLines="20" w:afterLines="20" w:line="360" w:lineRule="auto"/>
    </w:pPr>
    <w:rPr>
      <w:rFonts w:ascii="宋体"/>
      <w:bCs/>
      <w:kern w:val="0"/>
      <w:sz w:val="24"/>
      <w:szCs w:val="28"/>
    </w:rPr>
  </w:style>
  <w:style w:type="paragraph" w:customStyle="1" w:styleId="476">
    <w:name w:val="目次、标准名称标题"/>
    <w:basedOn w:val="1"/>
    <w:next w:val="1"/>
    <w:qFormat/>
    <w:uiPriority w:val="0"/>
    <w:pPr>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477">
    <w:name w:val="标题3 + 粉红"/>
    <w:basedOn w:val="478"/>
    <w:qFormat/>
    <w:uiPriority w:val="0"/>
    <w:pPr>
      <w:keepNext/>
      <w:keepLines/>
      <w:widowControl w:val="0"/>
      <w:tabs>
        <w:tab w:val="left" w:pos="420"/>
      </w:tabs>
      <w:adjustRightInd w:val="0"/>
      <w:spacing w:before="200" w:after="200" w:line="240" w:lineRule="auto"/>
      <w:ind w:left="0" w:firstLine="0"/>
      <w:outlineLvl w:val="2"/>
    </w:pPr>
    <w:rPr>
      <w:rFonts w:ascii="黑体" w:hAnsi="宋体" w:eastAsia="宋体"/>
      <w:color w:val="FF00FF"/>
      <w:kern w:val="2"/>
      <w:sz w:val="32"/>
      <w:szCs w:val="24"/>
    </w:rPr>
  </w:style>
  <w:style w:type="paragraph" w:customStyle="1" w:styleId="478">
    <w:name w:val="标题3"/>
    <w:link w:val="479"/>
    <w:qFormat/>
    <w:uiPriority w:val="0"/>
    <w:pPr>
      <w:tabs>
        <w:tab w:val="left" w:pos="420"/>
      </w:tabs>
      <w:snapToGrid w:val="0"/>
      <w:spacing w:before="120" w:after="120" w:line="336" w:lineRule="auto"/>
      <w:ind w:left="420" w:hanging="420"/>
      <w:jc w:val="both"/>
    </w:pPr>
    <w:rPr>
      <w:rFonts w:ascii="Times New Roman" w:hAnsi="Times New Roman" w:eastAsia="黑体" w:cs="Times New Roman"/>
      <w:color w:val="000000"/>
      <w:sz w:val="28"/>
      <w:szCs w:val="28"/>
      <w:lang w:val="en-US" w:eastAsia="zh-CN" w:bidi="ar-SA"/>
    </w:rPr>
  </w:style>
  <w:style w:type="character" w:customStyle="1" w:styleId="479">
    <w:name w:val="标题3 Char"/>
    <w:link w:val="478"/>
    <w:qFormat/>
    <w:locked/>
    <w:uiPriority w:val="0"/>
    <w:rPr>
      <w:rFonts w:eastAsia="黑体"/>
      <w:color w:val="000000"/>
      <w:sz w:val="28"/>
      <w:szCs w:val="28"/>
    </w:rPr>
  </w:style>
  <w:style w:type="paragraph" w:customStyle="1" w:styleId="480">
    <w:name w:val="项目负责人"/>
    <w:basedOn w:val="1"/>
    <w:qFormat/>
    <w:uiPriority w:val="0"/>
    <w:pPr>
      <w:keepNext/>
      <w:snapToGrid w:val="0"/>
      <w:spacing w:beforeLines="50" w:line="300" w:lineRule="auto"/>
      <w:jc w:val="left"/>
    </w:pPr>
    <w:rPr>
      <w:rFonts w:ascii="宋体" w:cs="宋体"/>
      <w:spacing w:val="66"/>
      <w:kern w:val="0"/>
      <w:sz w:val="32"/>
      <w:szCs w:val="32"/>
    </w:rPr>
  </w:style>
  <w:style w:type="paragraph" w:customStyle="1" w:styleId="481">
    <w:name w:val="标题 2（用）"/>
    <w:basedOn w:val="5"/>
    <w:qFormat/>
    <w:uiPriority w:val="0"/>
    <w:pPr>
      <w:adjustRightInd w:val="0"/>
      <w:snapToGrid w:val="0"/>
      <w:spacing w:beforeLines="50" w:afterLines="25" w:line="336" w:lineRule="auto"/>
      <w:ind w:left="278" w:right="40"/>
      <w:jc w:val="center"/>
    </w:pPr>
    <w:rPr>
      <w:rFonts w:ascii="黑体" w:hAnsi="宋体" w:eastAsia="宋体"/>
      <w:bCs w:val="0"/>
      <w:color w:val="000000"/>
      <w:kern w:val="2"/>
      <w:sz w:val="28"/>
      <w:szCs w:val="28"/>
    </w:rPr>
  </w:style>
  <w:style w:type="paragraph" w:customStyle="1" w:styleId="482">
    <w:name w:val="文档标签"/>
    <w:next w:val="1"/>
    <w:qFormat/>
    <w:uiPriority w:val="0"/>
    <w:pPr>
      <w:pBdr>
        <w:top w:val="double" w:color="808080" w:sz="6" w:space="8"/>
        <w:bottom w:val="double" w:color="808080" w:sz="6" w:space="8"/>
      </w:pBdr>
      <w:spacing w:after="40" w:line="240" w:lineRule="atLeast"/>
      <w:jc w:val="center"/>
    </w:pPr>
    <w:rPr>
      <w:rFonts w:ascii="Garamond" w:hAnsi="Garamond" w:eastAsia="隶书" w:cs="Times New Roman"/>
      <w:b/>
      <w:caps/>
      <w:spacing w:val="20"/>
      <w:sz w:val="36"/>
      <w:lang w:val="en-US" w:eastAsia="zh-CN" w:bidi="he-IL"/>
    </w:rPr>
  </w:style>
  <w:style w:type="paragraph" w:customStyle="1" w:styleId="483">
    <w:name w:val="ZB标题"/>
    <w:basedOn w:val="1"/>
    <w:qFormat/>
    <w:uiPriority w:val="0"/>
    <w:pPr>
      <w:spacing w:line="360" w:lineRule="auto"/>
      <w:jc w:val="center"/>
    </w:pPr>
    <w:rPr>
      <w:rFonts w:eastAsia="黑体"/>
      <w:b/>
      <w:sz w:val="72"/>
      <w:szCs w:val="22"/>
    </w:rPr>
  </w:style>
  <w:style w:type="paragraph" w:customStyle="1" w:styleId="484">
    <w:name w:val="Zchn Zchn1 Char Char Zchn Zchn Char Char"/>
    <w:basedOn w:val="1"/>
    <w:qFormat/>
    <w:uiPriority w:val="0"/>
    <w:rPr>
      <w:szCs w:val="20"/>
    </w:rPr>
  </w:style>
  <w:style w:type="paragraph" w:customStyle="1" w:styleId="485">
    <w:name w:val="一、"/>
    <w:basedOn w:val="1"/>
    <w:next w:val="83"/>
    <w:qFormat/>
    <w:uiPriority w:val="0"/>
    <w:pPr>
      <w:ind w:firstLine="200" w:firstLineChars="200"/>
      <w:outlineLvl w:val="2"/>
    </w:pPr>
    <w:rPr>
      <w:b/>
      <w:sz w:val="28"/>
      <w:szCs w:val="22"/>
    </w:rPr>
  </w:style>
  <w:style w:type="paragraph" w:customStyle="1" w:styleId="486">
    <w:name w:val="标题 4 宋体"/>
    <w:basedOn w:val="7"/>
    <w:next w:val="1"/>
    <w:qFormat/>
    <w:uiPriority w:val="0"/>
    <w:pPr>
      <w:tabs>
        <w:tab w:val="left" w:pos="1064"/>
        <w:tab w:val="left" w:pos="3018"/>
      </w:tabs>
      <w:adjustRightInd w:val="0"/>
      <w:snapToGrid w:val="0"/>
      <w:spacing w:before="0" w:after="0" w:line="360" w:lineRule="auto"/>
      <w:ind w:left="1444" w:hanging="864"/>
    </w:pPr>
    <w:rPr>
      <w:rFonts w:ascii="宋体" w:hAnsi="Times New Roman" w:eastAsia="宋体"/>
      <w:b w:val="0"/>
      <w:bCs w:val="0"/>
      <w:sz w:val="24"/>
      <w:szCs w:val="24"/>
    </w:rPr>
  </w:style>
  <w:style w:type="paragraph" w:customStyle="1" w:styleId="487">
    <w:name w:val="表头2"/>
    <w:basedOn w:val="368"/>
    <w:qFormat/>
    <w:uiPriority w:val="0"/>
    <w:pPr>
      <w:tabs>
        <w:tab w:val="center" w:pos="6237"/>
        <w:tab w:val="clear" w:pos="284"/>
        <w:tab w:val="clear" w:pos="4253"/>
        <w:tab w:val="clear" w:pos="7938"/>
      </w:tabs>
    </w:pPr>
    <w:rPr>
      <w:rFonts w:ascii="Times New Roman" w:eastAsia="宋体" w:cs="Times New Roman"/>
    </w:rPr>
  </w:style>
  <w:style w:type="paragraph" w:customStyle="1" w:styleId="488">
    <w:name w:val="中文正文"/>
    <w:basedOn w:val="1"/>
    <w:qFormat/>
    <w:uiPriority w:val="0"/>
    <w:pPr>
      <w:ind w:firstLine="560" w:firstLineChars="200"/>
    </w:pPr>
    <w:rPr>
      <w:rFonts w:ascii="方正仿宋简体" w:hAnsi="宋体" w:eastAsia="方正仿宋简体"/>
      <w:sz w:val="28"/>
      <w:szCs w:val="28"/>
    </w:rPr>
  </w:style>
  <w:style w:type="paragraph" w:customStyle="1" w:styleId="489">
    <w:name w:val="设计正文"/>
    <w:basedOn w:val="1"/>
    <w:qFormat/>
    <w:uiPriority w:val="0"/>
    <w:pPr>
      <w:spacing w:line="420" w:lineRule="exact"/>
      <w:ind w:firstLine="200" w:firstLineChars="200"/>
    </w:pPr>
    <w:rPr>
      <w:sz w:val="24"/>
      <w:szCs w:val="20"/>
    </w:rPr>
  </w:style>
  <w:style w:type="paragraph" w:customStyle="1" w:styleId="490">
    <w:name w:val="图表名"/>
    <w:basedOn w:val="1"/>
    <w:next w:val="1"/>
    <w:qFormat/>
    <w:uiPriority w:val="0"/>
    <w:pPr>
      <w:adjustRightInd w:val="0"/>
      <w:snapToGrid w:val="0"/>
      <w:jc w:val="center"/>
    </w:pPr>
    <w:rPr>
      <w:rFonts w:ascii="宋体" w:hAnsi="宋体" w:cs="宋体"/>
      <w:sz w:val="24"/>
      <w:szCs w:val="22"/>
    </w:rPr>
  </w:style>
  <w:style w:type="paragraph" w:customStyle="1" w:styleId="491">
    <w:name w:val="默认段落字体 Para Char Char Char Char Char Char Char Char Char Char Char Char Char Char Char Char Char Char Char"/>
    <w:basedOn w:val="6"/>
    <w:qFormat/>
    <w:uiPriority w:val="0"/>
    <w:pPr>
      <w:tabs>
        <w:tab w:val="left" w:pos="851"/>
        <w:tab w:val="left" w:pos="900"/>
      </w:tabs>
      <w:snapToGrid w:val="0"/>
      <w:spacing w:before="120" w:after="120" w:line="360" w:lineRule="auto"/>
      <w:ind w:left="542" w:leftChars="-12" w:firstLine="200" w:firstLineChars="200"/>
      <w:jc w:val="left"/>
    </w:pPr>
    <w:rPr>
      <w:rFonts w:eastAsia="黑体"/>
      <w:b w:val="0"/>
      <w:bCs w:val="0"/>
      <w:kern w:val="2"/>
      <w:sz w:val="24"/>
      <w:szCs w:val="24"/>
    </w:rPr>
  </w:style>
  <w:style w:type="paragraph" w:customStyle="1" w:styleId="492">
    <w:name w:val="建设（委托）单位"/>
    <w:basedOn w:val="1"/>
    <w:qFormat/>
    <w:uiPriority w:val="0"/>
    <w:pPr>
      <w:keepNext/>
      <w:snapToGrid w:val="0"/>
      <w:spacing w:line="300" w:lineRule="auto"/>
      <w:jc w:val="center"/>
    </w:pPr>
    <w:rPr>
      <w:rFonts w:ascii="宋体" w:cs="宋体"/>
      <w:sz w:val="32"/>
      <w:szCs w:val="32"/>
    </w:rPr>
  </w:style>
  <w:style w:type="paragraph" w:customStyle="1" w:styleId="493">
    <w:name w:val="作者姓名"/>
    <w:next w:val="1"/>
    <w:qFormat/>
    <w:uiPriority w:val="0"/>
    <w:pPr>
      <w:widowControl w:val="0"/>
      <w:adjustRightInd w:val="0"/>
      <w:snapToGrid w:val="0"/>
      <w:jc w:val="center"/>
    </w:pPr>
    <w:rPr>
      <w:rFonts w:ascii="方正隶变简体" w:hAnsi="Times New Roman" w:eastAsia="方正隶变简体" w:cs="Times New Roman"/>
      <w:kern w:val="2"/>
      <w:sz w:val="28"/>
      <w:lang w:val="en-US" w:eastAsia="zh-CN" w:bidi="ar-SA"/>
    </w:rPr>
  </w:style>
  <w:style w:type="paragraph" w:customStyle="1" w:styleId="494">
    <w:name w:val="TOC 标题1"/>
    <w:basedOn w:val="4"/>
    <w:next w:val="1"/>
    <w:qFormat/>
    <w:uiPriority w:val="0"/>
    <w:pPr>
      <w:spacing w:line="576" w:lineRule="auto"/>
      <w:outlineLvl w:val="9"/>
    </w:pPr>
    <w:rPr>
      <w:rFonts w:ascii="Calibri" w:hAnsi="Calibri"/>
    </w:rPr>
  </w:style>
  <w:style w:type="paragraph" w:customStyle="1" w:styleId="495">
    <w:name w:val="reader-word-layer reader-word-s2-2"/>
    <w:basedOn w:val="1"/>
    <w:qFormat/>
    <w:uiPriority w:val="0"/>
    <w:pPr>
      <w:widowControl/>
      <w:spacing w:before="100" w:beforeAutospacing="1" w:after="100" w:afterAutospacing="1"/>
      <w:jc w:val="left"/>
    </w:pPr>
    <w:rPr>
      <w:rFonts w:ascii="宋体" w:hAnsi="宋体" w:cs="宋体"/>
      <w:kern w:val="0"/>
      <w:sz w:val="24"/>
      <w:szCs w:val="22"/>
    </w:rPr>
  </w:style>
  <w:style w:type="paragraph" w:customStyle="1" w:styleId="496">
    <w:name w:val="1."/>
    <w:basedOn w:val="1"/>
    <w:qFormat/>
    <w:uiPriority w:val="0"/>
    <w:pPr>
      <w:tabs>
        <w:tab w:val="left" w:pos="0"/>
        <w:tab w:val="left" w:pos="426"/>
        <w:tab w:val="left" w:pos="900"/>
      </w:tabs>
      <w:adjustRightInd w:val="0"/>
      <w:snapToGrid w:val="0"/>
      <w:spacing w:before="120" w:after="120" w:line="400" w:lineRule="atLeast"/>
      <w:ind w:left="425" w:leftChars="50" w:right="32" w:hanging="425"/>
      <w:jc w:val="center"/>
      <w:textAlignment w:val="baseline"/>
    </w:pPr>
    <w:rPr>
      <w:rFonts w:ascii="Arial" w:hAnsi="Arial"/>
      <w:b/>
      <w:kern w:val="0"/>
      <w:sz w:val="32"/>
      <w:szCs w:val="20"/>
    </w:rPr>
  </w:style>
  <w:style w:type="paragraph" w:customStyle="1" w:styleId="497">
    <w:name w:val="样式1"/>
    <w:basedOn w:val="1"/>
    <w:qFormat/>
    <w:uiPriority w:val="0"/>
    <w:pPr>
      <w:spacing w:before="120" w:after="120" w:line="300" w:lineRule="auto"/>
    </w:pPr>
    <w:rPr>
      <w:rFonts w:ascii="宋体" w:hAnsi="宋体"/>
      <w:b/>
      <w:sz w:val="24"/>
      <w:szCs w:val="20"/>
    </w:rPr>
  </w:style>
  <w:style w:type="paragraph" w:customStyle="1" w:styleId="498">
    <w:name w:val="京唐秦正文2"/>
    <w:basedOn w:val="1"/>
    <w:next w:val="1"/>
    <w:qFormat/>
    <w:uiPriority w:val="0"/>
    <w:pPr>
      <w:tabs>
        <w:tab w:val="left" w:pos="700"/>
      </w:tabs>
      <w:snapToGrid w:val="0"/>
      <w:spacing w:beforeLines="50" w:line="360" w:lineRule="auto"/>
      <w:ind w:firstLine="424" w:firstLineChars="200"/>
      <w:jc w:val="left"/>
    </w:pPr>
    <w:rPr>
      <w:bCs/>
      <w:kern w:val="0"/>
      <w:sz w:val="24"/>
      <w:szCs w:val="22"/>
      <w:lang w:eastAsia="en-US"/>
    </w:rPr>
  </w:style>
  <w:style w:type="paragraph" w:customStyle="1" w:styleId="499">
    <w:name w:val="gb1"/>
    <w:basedOn w:val="1"/>
    <w:qFormat/>
    <w:uiPriority w:val="0"/>
    <w:pPr>
      <w:widowControl/>
      <w:tabs>
        <w:tab w:val="left" w:pos="227"/>
      </w:tabs>
      <w:overflowPunct w:val="0"/>
      <w:autoSpaceDE w:val="0"/>
      <w:autoSpaceDN w:val="0"/>
      <w:spacing w:before="120" w:after="120"/>
      <w:jc w:val="left"/>
    </w:pPr>
    <w:rPr>
      <w:rFonts w:hint="eastAsia" w:ascii="Arial" w:hAnsi="Arial" w:eastAsia="仿宋体"/>
      <w:sz w:val="24"/>
      <w:szCs w:val="20"/>
    </w:rPr>
  </w:style>
  <w:style w:type="paragraph" w:customStyle="1" w:styleId="500">
    <w:name w:val="标题2"/>
    <w:basedOn w:val="5"/>
    <w:qFormat/>
    <w:uiPriority w:val="0"/>
    <w:pPr>
      <w:tabs>
        <w:tab w:val="left" w:pos="1640"/>
      </w:tabs>
      <w:spacing w:before="120" w:after="0" w:line="240" w:lineRule="auto"/>
      <w:ind w:left="1640" w:hanging="420"/>
    </w:pPr>
    <w:rPr>
      <w:rFonts w:ascii="宋体" w:hAnsi="Times New Roman" w:eastAsia="宋体"/>
      <w:b w:val="0"/>
      <w:bCs w:val="0"/>
      <w:kern w:val="2"/>
      <w:sz w:val="28"/>
      <w:szCs w:val="20"/>
    </w:rPr>
  </w:style>
  <w:style w:type="paragraph" w:customStyle="1" w:styleId="501">
    <w:name w:val="表4"/>
    <w:basedOn w:val="1"/>
    <w:qFormat/>
    <w:uiPriority w:val="0"/>
    <w:pPr>
      <w:jc w:val="center"/>
    </w:pPr>
    <w:rPr>
      <w:szCs w:val="21"/>
    </w:rPr>
  </w:style>
  <w:style w:type="paragraph" w:customStyle="1" w:styleId="502">
    <w:name w:val="head1"/>
    <w:basedOn w:val="1"/>
    <w:qFormat/>
    <w:uiPriority w:val="0"/>
    <w:pPr>
      <w:widowControl/>
      <w:overflowPunct w:val="0"/>
      <w:autoSpaceDE w:val="0"/>
      <w:autoSpaceDN w:val="0"/>
      <w:adjustRightInd w:val="0"/>
      <w:spacing w:before="120"/>
      <w:ind w:left="288"/>
      <w:jc w:val="left"/>
      <w:textAlignment w:val="baseline"/>
    </w:pPr>
    <w:rPr>
      <w:rFonts w:ascii="黑体" w:eastAsia="黑体"/>
      <w:kern w:val="0"/>
      <w:sz w:val="32"/>
      <w:szCs w:val="20"/>
    </w:rPr>
  </w:style>
  <w:style w:type="paragraph" w:customStyle="1" w:styleId="503">
    <w:name w:val="部分编号"/>
    <w:basedOn w:val="1"/>
    <w:qFormat/>
    <w:uiPriority w:val="0"/>
    <w:pPr>
      <w:widowControl/>
      <w:tabs>
        <w:tab w:val="left" w:pos="1531"/>
        <w:tab w:val="left" w:pos="1800"/>
      </w:tabs>
      <w:spacing w:before="160" w:after="120" w:line="400" w:lineRule="exact"/>
      <w:ind w:left="1531" w:hanging="1531"/>
    </w:pPr>
    <w:rPr>
      <w:rFonts w:ascii="Arial" w:hAnsi="Arial" w:eastAsia="黑体"/>
      <w:spacing w:val="30"/>
      <w:sz w:val="24"/>
      <w:szCs w:val="20"/>
    </w:rPr>
  </w:style>
  <w:style w:type="paragraph" w:customStyle="1" w:styleId="504">
    <w:name w:val="reader-word-layer reader-word-s1-8"/>
    <w:basedOn w:val="1"/>
    <w:qFormat/>
    <w:uiPriority w:val="0"/>
    <w:pPr>
      <w:widowControl/>
      <w:spacing w:before="100" w:beforeAutospacing="1" w:after="100" w:afterAutospacing="1"/>
      <w:jc w:val="left"/>
    </w:pPr>
    <w:rPr>
      <w:rFonts w:ascii="宋体" w:hAnsi="宋体" w:cs="宋体"/>
      <w:kern w:val="0"/>
      <w:sz w:val="24"/>
      <w:szCs w:val="22"/>
    </w:rPr>
  </w:style>
  <w:style w:type="paragraph" w:customStyle="1" w:styleId="505">
    <w:name w:val="样式 WG标题3居中 + 行距: 固定值 18 磅"/>
    <w:basedOn w:val="1"/>
    <w:qFormat/>
    <w:uiPriority w:val="0"/>
    <w:pPr>
      <w:spacing w:before="100" w:beforeAutospacing="1" w:after="100" w:afterAutospacing="1" w:line="360" w:lineRule="exact"/>
      <w:jc w:val="center"/>
      <w:outlineLvl w:val="2"/>
    </w:pPr>
    <w:rPr>
      <w:rFonts w:cs="宋体"/>
      <w:b/>
      <w:bCs/>
      <w:sz w:val="32"/>
      <w:szCs w:val="20"/>
    </w:rPr>
  </w:style>
  <w:style w:type="paragraph" w:customStyle="1" w:styleId="506">
    <w:name w:val="样式 标题 2节 + 行距: 多倍行距 1.25 字行"/>
    <w:basedOn w:val="5"/>
    <w:qFormat/>
    <w:uiPriority w:val="0"/>
    <w:pPr>
      <w:tabs>
        <w:tab w:val="left" w:pos="840"/>
      </w:tabs>
      <w:spacing w:before="120" w:after="0" w:line="300" w:lineRule="auto"/>
      <w:ind w:left="840" w:hanging="420"/>
    </w:pPr>
    <w:rPr>
      <w:rFonts w:ascii="宋体" w:hAnsi="Times New Roman" w:eastAsia="宋体"/>
      <w:bCs w:val="0"/>
      <w:kern w:val="2"/>
      <w:sz w:val="28"/>
      <w:szCs w:val="20"/>
    </w:rPr>
  </w:style>
  <w:style w:type="paragraph" w:customStyle="1" w:styleId="507">
    <w:name w:val="封面正文"/>
    <w:qFormat/>
    <w:uiPriority w:val="0"/>
    <w:pPr>
      <w:jc w:val="both"/>
    </w:pPr>
    <w:rPr>
      <w:rFonts w:ascii="Times New Roman" w:hAnsi="Times New Roman" w:eastAsia="宋体" w:cs="Times New Roman"/>
      <w:lang w:val="en-US" w:eastAsia="zh-CN" w:bidi="ar-SA"/>
    </w:rPr>
  </w:style>
  <w:style w:type="paragraph" w:customStyle="1" w:styleId="508">
    <w:name w:val="2-2ji"/>
    <w:basedOn w:val="5"/>
    <w:qFormat/>
    <w:uiPriority w:val="0"/>
    <w:pPr>
      <w:spacing w:before="0" w:after="0" w:line="360" w:lineRule="auto"/>
      <w:jc w:val="center"/>
    </w:pPr>
    <w:rPr>
      <w:rFonts w:ascii="宋体" w:hAnsi="宋体" w:eastAsia="宋体"/>
      <w:kern w:val="2"/>
      <w:sz w:val="36"/>
      <w:szCs w:val="24"/>
    </w:rPr>
  </w:style>
  <w:style w:type="paragraph" w:customStyle="1" w:styleId="509">
    <w:name w:val="NN"/>
    <w:basedOn w:val="1"/>
    <w:qFormat/>
    <w:uiPriority w:val="0"/>
    <w:pPr>
      <w:adjustRightInd w:val="0"/>
      <w:spacing w:line="360" w:lineRule="atLeast"/>
      <w:ind w:left="1134"/>
      <w:textAlignment w:val="baseline"/>
    </w:pPr>
    <w:rPr>
      <w:rFonts w:ascii="宋体"/>
      <w:spacing w:val="5"/>
      <w:kern w:val="0"/>
      <w:sz w:val="24"/>
      <w:szCs w:val="20"/>
    </w:rPr>
  </w:style>
  <w:style w:type="paragraph" w:customStyle="1" w:styleId="510">
    <w:name w:val="专业名称"/>
    <w:basedOn w:val="1"/>
    <w:qFormat/>
    <w:uiPriority w:val="0"/>
    <w:pPr>
      <w:keepNext/>
      <w:snapToGrid w:val="0"/>
      <w:spacing w:beforeLines="50" w:line="300" w:lineRule="auto"/>
      <w:jc w:val="center"/>
    </w:pPr>
    <w:rPr>
      <w:rFonts w:ascii="黑体" w:eastAsia="黑体" w:cs="黑体"/>
      <w:sz w:val="32"/>
      <w:szCs w:val="32"/>
    </w:rPr>
  </w:style>
  <w:style w:type="paragraph" w:customStyle="1" w:styleId="511">
    <w:name w:val="xl67"/>
    <w:basedOn w:val="1"/>
    <w:qFormat/>
    <w:uiPriority w:val="0"/>
    <w:pPr>
      <w:widowControl/>
      <w:pBdr>
        <w:top w:val="double" w:color="auto" w:sz="6" w:space="0"/>
        <w:left w:val="single" w:color="auto" w:sz="4" w:space="0"/>
        <w:bottom w:val="single" w:color="auto" w:sz="4" w:space="0"/>
        <w:right w:val="double" w:color="auto" w:sz="6" w:space="0"/>
      </w:pBdr>
      <w:spacing w:before="100" w:beforeAutospacing="1" w:after="100" w:afterAutospacing="1"/>
      <w:jc w:val="center"/>
    </w:pPr>
    <w:rPr>
      <w:rFonts w:ascii="宋体" w:hAnsi="宋体"/>
      <w:kern w:val="0"/>
      <w:sz w:val="24"/>
      <w:szCs w:val="20"/>
    </w:rPr>
  </w:style>
  <w:style w:type="paragraph" w:customStyle="1" w:styleId="512">
    <w:name w:val="四级条标题"/>
    <w:basedOn w:val="513"/>
    <w:next w:val="372"/>
    <w:qFormat/>
    <w:uiPriority w:val="0"/>
    <w:pPr>
      <w:tabs>
        <w:tab w:val="left" w:pos="842"/>
        <w:tab w:val="left" w:pos="1440"/>
        <w:tab w:val="left" w:pos="2100"/>
      </w:tabs>
      <w:ind w:left="1440" w:hanging="1440"/>
      <w:outlineLvl w:val="5"/>
    </w:pPr>
  </w:style>
  <w:style w:type="paragraph" w:customStyle="1" w:styleId="513">
    <w:name w:val="三级条标题"/>
    <w:basedOn w:val="369"/>
    <w:next w:val="372"/>
    <w:qFormat/>
    <w:uiPriority w:val="0"/>
    <w:pPr>
      <w:tabs>
        <w:tab w:val="left" w:pos="2100"/>
      </w:tabs>
      <w:ind w:left="2100" w:hanging="420"/>
      <w:outlineLvl w:val="4"/>
    </w:pPr>
  </w:style>
  <w:style w:type="paragraph" w:customStyle="1" w:styleId="514">
    <w:name w:val="p18"/>
    <w:basedOn w:val="1"/>
    <w:qFormat/>
    <w:uiPriority w:val="0"/>
    <w:pPr>
      <w:widowControl/>
    </w:pPr>
    <w:rPr>
      <w:rFonts w:ascii="宋体" w:hAnsi="宋体" w:cs="宋体"/>
      <w:kern w:val="0"/>
      <w:szCs w:val="21"/>
    </w:rPr>
  </w:style>
  <w:style w:type="paragraph" w:customStyle="1" w:styleId="515">
    <w:name w:val="表注"/>
    <w:basedOn w:val="334"/>
    <w:qFormat/>
    <w:uiPriority w:val="0"/>
    <w:pPr>
      <w:spacing w:beforeLines="50" w:line="300" w:lineRule="auto"/>
      <w:ind w:left="0" w:leftChars="0" w:right="0" w:rightChars="0"/>
      <w:jc w:val="left"/>
    </w:pPr>
    <w:rPr>
      <w:rFonts w:eastAsia="仿宋_GB2312"/>
      <w:snapToGrid w:val="0"/>
    </w:rPr>
  </w:style>
  <w:style w:type="paragraph" w:customStyle="1" w:styleId="516">
    <w:name w:val="项目符号_圆点"/>
    <w:basedOn w:val="1"/>
    <w:qFormat/>
    <w:uiPriority w:val="0"/>
    <w:pPr>
      <w:tabs>
        <w:tab w:val="left" w:pos="780"/>
        <w:tab w:val="left" w:pos="900"/>
      </w:tabs>
      <w:spacing w:before="78"/>
      <w:ind w:left="900" w:hanging="420"/>
    </w:pPr>
    <w:rPr>
      <w:sz w:val="24"/>
      <w:szCs w:val="20"/>
    </w:rPr>
  </w:style>
  <w:style w:type="paragraph" w:customStyle="1" w:styleId="517">
    <w:name w:val="图"/>
    <w:basedOn w:val="1"/>
    <w:qFormat/>
    <w:uiPriority w:val="0"/>
    <w:pPr>
      <w:adjustRightInd w:val="0"/>
      <w:snapToGrid w:val="0"/>
      <w:jc w:val="center"/>
    </w:pPr>
    <w:rPr>
      <w:rFonts w:ascii="楷体_GB2312" w:hAnsi="宋体"/>
      <w:szCs w:val="22"/>
    </w:rPr>
  </w:style>
  <w:style w:type="paragraph" w:customStyle="1" w:styleId="518">
    <w:name w:val="p"/>
    <w:basedOn w:val="519"/>
    <w:qFormat/>
    <w:uiPriority w:val="0"/>
    <w:pPr>
      <w:tabs>
        <w:tab w:val="left" w:pos="360"/>
      </w:tabs>
      <w:ind w:left="709" w:hanging="425"/>
    </w:pPr>
    <w:rPr>
      <w:rFonts w:ascii="楷体" w:eastAsia="楷体"/>
      <w:lang w:val="en-US"/>
    </w:rPr>
  </w:style>
  <w:style w:type="paragraph" w:customStyle="1" w:styleId="519">
    <w:name w:val="l_text"/>
    <w:basedOn w:val="1"/>
    <w:qFormat/>
    <w:uiPriority w:val="0"/>
    <w:pPr>
      <w:widowControl/>
      <w:overflowPunct w:val="0"/>
      <w:autoSpaceDE w:val="0"/>
      <w:autoSpaceDN w:val="0"/>
      <w:adjustRightInd w:val="0"/>
      <w:spacing w:line="360" w:lineRule="auto"/>
      <w:ind w:left="170" w:firstLine="680"/>
      <w:textAlignment w:val="baseline"/>
    </w:pPr>
    <w:rPr>
      <w:rFonts w:ascii="宋体"/>
      <w:kern w:val="0"/>
      <w:sz w:val="28"/>
      <w:szCs w:val="20"/>
      <w:lang w:val="en-GB"/>
    </w:rPr>
  </w:style>
  <w:style w:type="paragraph" w:customStyle="1" w:styleId="520">
    <w:name w:val="节内编号1"/>
    <w:basedOn w:val="1"/>
    <w:qFormat/>
    <w:uiPriority w:val="0"/>
    <w:pPr>
      <w:adjustRightInd w:val="0"/>
      <w:snapToGrid w:val="0"/>
      <w:spacing w:line="336" w:lineRule="auto"/>
      <w:ind w:right="210" w:rightChars="100" w:firstLine="528" w:firstLineChars="200"/>
      <w:jc w:val="left"/>
    </w:pPr>
    <w:rPr>
      <w:rFonts w:ascii="宋体" w:hAnsi="宋体" w:cs="宋体"/>
      <w:color w:val="000000"/>
      <w:spacing w:val="-8"/>
      <w:sz w:val="28"/>
      <w:szCs w:val="28"/>
    </w:rPr>
  </w:style>
  <w:style w:type="paragraph" w:customStyle="1" w:styleId="521">
    <w:name w:val="Div_MsoNormal ParagraphIndent"/>
    <w:basedOn w:val="522"/>
    <w:qFormat/>
    <w:uiPriority w:val="0"/>
    <w:pPr>
      <w:widowControl/>
      <w:tabs>
        <w:tab w:val="left" w:pos="0"/>
        <w:tab w:val="left" w:pos="1134"/>
        <w:tab w:val="left" w:pos="8505"/>
      </w:tabs>
      <w:adjustRightInd/>
      <w:spacing w:before="0" w:after="0" w:line="240" w:lineRule="auto"/>
      <w:ind w:left="0" w:firstLine="0"/>
      <w:jc w:val="left"/>
      <w:textAlignment w:val="auto"/>
    </w:pPr>
    <w:rPr>
      <w:rFonts w:ascii="Calibri" w:hAnsi="Calibri" w:eastAsia="Calibri"/>
      <w:sz w:val="21"/>
      <w:szCs w:val="24"/>
    </w:rPr>
  </w:style>
  <w:style w:type="paragraph" w:customStyle="1" w:styleId="522">
    <w:name w:val="Normal_17"/>
    <w:qFormat/>
    <w:uiPriority w:val="0"/>
    <w:pPr>
      <w:widowControl w:val="0"/>
      <w:tabs>
        <w:tab w:val="left" w:pos="0"/>
        <w:tab w:val="left" w:pos="1134"/>
        <w:tab w:val="left" w:pos="8505"/>
      </w:tabs>
      <w:adjustRightInd w:val="0"/>
      <w:spacing w:before="60" w:after="60" w:line="360" w:lineRule="atLeast"/>
      <w:ind w:left="1134" w:hanging="1134"/>
      <w:jc w:val="both"/>
      <w:textAlignment w:val="baseline"/>
    </w:pPr>
    <w:rPr>
      <w:rFonts w:ascii="Arial" w:hAnsi="Arial" w:eastAsia="宋体" w:cs="Times New Roman"/>
      <w:sz w:val="24"/>
      <w:lang w:val="en-US" w:eastAsia="zh-CN" w:bidi="ar-SA"/>
    </w:rPr>
  </w:style>
  <w:style w:type="paragraph" w:customStyle="1" w:styleId="523">
    <w:name w:val="样式 标题 4 + 宋体 四号 两端对齐"/>
    <w:basedOn w:val="7"/>
    <w:qFormat/>
    <w:uiPriority w:val="0"/>
    <w:pPr>
      <w:keepNext w:val="0"/>
      <w:suppressLineNumbers/>
      <w:suppressAutoHyphens/>
      <w:autoSpaceDE w:val="0"/>
      <w:autoSpaceDN w:val="0"/>
      <w:spacing w:before="0" w:after="0" w:line="500" w:lineRule="exact"/>
      <w:ind w:left="200" w:leftChars="200"/>
      <w:textAlignment w:val="baseline"/>
    </w:pPr>
    <w:rPr>
      <w:rFonts w:ascii="宋体" w:hAnsi="宋体" w:eastAsia="宋体"/>
      <w:bCs w:val="0"/>
      <w:snapToGrid w:val="0"/>
      <w:kern w:val="0"/>
      <w:szCs w:val="20"/>
    </w:rPr>
  </w:style>
  <w:style w:type="paragraph" w:customStyle="1" w:styleId="524">
    <w:name w:val="point"/>
    <w:basedOn w:val="1"/>
    <w:qFormat/>
    <w:uiPriority w:val="0"/>
    <w:pPr>
      <w:tabs>
        <w:tab w:val="left" w:pos="845"/>
      </w:tabs>
      <w:overflowPunct w:val="0"/>
      <w:autoSpaceDE w:val="0"/>
      <w:autoSpaceDN w:val="0"/>
      <w:adjustRightInd w:val="0"/>
      <w:spacing w:before="60" w:line="360" w:lineRule="auto"/>
      <w:textAlignment w:val="baseline"/>
    </w:pPr>
    <w:rPr>
      <w:rFonts w:ascii="宋体" w:hAnsi="宋体"/>
      <w:kern w:val="0"/>
      <w:sz w:val="28"/>
      <w:szCs w:val="20"/>
      <w:lang w:val="en-GB"/>
    </w:rPr>
  </w:style>
  <w:style w:type="paragraph" w:customStyle="1" w:styleId="525">
    <w:name w:val="附录标识"/>
    <w:basedOn w:val="526"/>
    <w:qFormat/>
    <w:uiPriority w:val="0"/>
    <w:pPr>
      <w:tabs>
        <w:tab w:val="left" w:pos="360"/>
        <w:tab w:val="left" w:pos="6405"/>
      </w:tabs>
      <w:spacing w:after="200"/>
      <w:ind w:left="360" w:hanging="360"/>
    </w:pPr>
    <w:rPr>
      <w:rFonts w:ascii="Times New Roman" w:eastAsia="宋体"/>
      <w:sz w:val="21"/>
    </w:rPr>
  </w:style>
  <w:style w:type="paragraph" w:customStyle="1" w:styleId="526">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527">
    <w:name w:val="表格内部"/>
    <w:basedOn w:val="1"/>
    <w:qFormat/>
    <w:uiPriority w:val="0"/>
    <w:pPr>
      <w:adjustRightInd w:val="0"/>
      <w:snapToGrid w:val="0"/>
      <w:spacing w:line="300" w:lineRule="auto"/>
      <w:jc w:val="center"/>
    </w:pPr>
    <w:rPr>
      <w:rFonts w:ascii="Arial" w:hAnsi="Arial" w:eastAsia="仿宋_GB2312"/>
      <w:szCs w:val="22"/>
    </w:rPr>
  </w:style>
  <w:style w:type="paragraph" w:customStyle="1" w:styleId="528">
    <w:name w:val="cauc-0"/>
    <w:qFormat/>
    <w:uiPriority w:val="0"/>
    <w:pPr>
      <w:spacing w:line="360" w:lineRule="auto"/>
      <w:ind w:firstLine="480" w:firstLineChars="200"/>
    </w:pPr>
    <w:rPr>
      <w:rFonts w:ascii="Times New Roman" w:hAnsi="Times New Roman" w:eastAsia="宋体" w:cs="Times New Roman"/>
      <w:kern w:val="2"/>
      <w:sz w:val="24"/>
      <w:lang w:val="en-US" w:eastAsia="zh-CN" w:bidi="ar-SA"/>
    </w:rPr>
  </w:style>
  <w:style w:type="paragraph" w:customStyle="1" w:styleId="529">
    <w:name w:val="正文1"/>
    <w:basedOn w:val="1"/>
    <w:next w:val="9"/>
    <w:qFormat/>
    <w:uiPriority w:val="0"/>
    <w:pPr>
      <w:jc w:val="center"/>
    </w:pPr>
    <w:rPr>
      <w:szCs w:val="20"/>
    </w:rPr>
  </w:style>
  <w:style w:type="paragraph" w:customStyle="1" w:styleId="530">
    <w:name w:val="我的正文"/>
    <w:basedOn w:val="1"/>
    <w:qFormat/>
    <w:uiPriority w:val="0"/>
    <w:pPr>
      <w:ind w:firstLine="425"/>
    </w:pPr>
    <w:rPr>
      <w:szCs w:val="20"/>
    </w:rPr>
  </w:style>
  <w:style w:type="paragraph" w:customStyle="1" w:styleId="531">
    <w:name w:val="CM7"/>
    <w:basedOn w:val="181"/>
    <w:next w:val="181"/>
    <w:qFormat/>
    <w:uiPriority w:val="0"/>
    <w:pPr>
      <w:adjustRightInd/>
      <w:spacing w:line="360" w:lineRule="atLeast"/>
    </w:pPr>
    <w:rPr>
      <w:rFonts w:hint="eastAsia" w:ascii="宋体" w:hAnsi="Calibri"/>
      <w:kern w:val="0"/>
      <w:szCs w:val="20"/>
    </w:rPr>
  </w:style>
  <w:style w:type="paragraph" w:customStyle="1" w:styleId="532">
    <w:name w:val="第一节"/>
    <w:basedOn w:val="1"/>
    <w:next w:val="83"/>
    <w:qFormat/>
    <w:uiPriority w:val="0"/>
    <w:pPr>
      <w:jc w:val="center"/>
      <w:outlineLvl w:val="1"/>
    </w:pPr>
    <w:rPr>
      <w:b/>
      <w:sz w:val="30"/>
      <w:szCs w:val="22"/>
    </w:rPr>
  </w:style>
  <w:style w:type="paragraph" w:customStyle="1" w:styleId="533">
    <w:name w:val="封面标题"/>
    <w:basedOn w:val="1"/>
    <w:qFormat/>
    <w:uiPriority w:val="0"/>
    <w:pPr>
      <w:spacing w:line="300" w:lineRule="auto"/>
      <w:jc w:val="center"/>
    </w:pPr>
    <w:rPr>
      <w:rFonts w:ascii="宋体" w:eastAsia="文鼎大标宋简"/>
      <w:sz w:val="28"/>
      <w:szCs w:val="20"/>
    </w:rPr>
  </w:style>
  <w:style w:type="paragraph" w:customStyle="1" w:styleId="534">
    <w:name w:val="章"/>
    <w:basedOn w:val="4"/>
    <w:qFormat/>
    <w:uiPriority w:val="0"/>
    <w:pPr>
      <w:tabs>
        <w:tab w:val="left" w:pos="360"/>
        <w:tab w:val="left" w:pos="1200"/>
      </w:tabs>
      <w:adjustRightInd w:val="0"/>
      <w:snapToGrid w:val="0"/>
      <w:ind w:left="150" w:leftChars="150" w:hanging="720"/>
      <w:jc w:val="left"/>
    </w:pPr>
    <w:rPr>
      <w:rFonts w:hAnsi="宋体"/>
      <w:color w:val="000000"/>
      <w:spacing w:val="-4"/>
      <w:kern w:val="2"/>
      <w:sz w:val="28"/>
      <w:szCs w:val="28"/>
    </w:rPr>
  </w:style>
  <w:style w:type="paragraph" w:customStyle="1" w:styleId="535">
    <w:name w:val="Default Paragraph Font Para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36">
    <w:name w:val="(a)正文"/>
    <w:basedOn w:val="1"/>
    <w:qFormat/>
    <w:uiPriority w:val="0"/>
    <w:pPr>
      <w:widowControl/>
      <w:tabs>
        <w:tab w:val="left" w:pos="1871"/>
        <w:tab w:val="left" w:pos="2081"/>
      </w:tabs>
      <w:spacing w:line="360" w:lineRule="exact"/>
      <w:ind w:left="1871" w:hanging="510"/>
    </w:pPr>
    <w:rPr>
      <w:sz w:val="24"/>
      <w:szCs w:val="20"/>
    </w:rPr>
  </w:style>
  <w:style w:type="paragraph" w:customStyle="1" w:styleId="537">
    <w:name w:val="假标题"/>
    <w:basedOn w:val="1"/>
    <w:qFormat/>
    <w:uiPriority w:val="0"/>
    <w:pPr>
      <w:keepNext/>
      <w:snapToGrid w:val="0"/>
      <w:spacing w:beforeLines="50" w:line="300" w:lineRule="auto"/>
      <w:outlineLvl w:val="2"/>
    </w:pPr>
    <w:rPr>
      <w:rFonts w:ascii="宋体" w:cs="宋体"/>
      <w:b/>
      <w:bCs/>
      <w:sz w:val="28"/>
      <w:szCs w:val="28"/>
    </w:rPr>
  </w:style>
  <w:style w:type="paragraph" w:customStyle="1" w:styleId="538">
    <w:name w:val="新正文"/>
    <w:basedOn w:val="1"/>
    <w:qFormat/>
    <w:uiPriority w:val="0"/>
    <w:pPr>
      <w:spacing w:line="300" w:lineRule="auto"/>
      <w:jc w:val="left"/>
    </w:pPr>
    <w:rPr>
      <w:rFonts w:hint="eastAsia" w:ascii="宋体" w:hAnsi="宋体"/>
      <w:b/>
      <w:szCs w:val="20"/>
    </w:rPr>
  </w:style>
  <w:style w:type="paragraph" w:customStyle="1" w:styleId="539">
    <w:name w:val="表格文字1-小4居中"/>
    <w:basedOn w:val="1"/>
    <w:qFormat/>
    <w:uiPriority w:val="0"/>
    <w:pPr>
      <w:snapToGrid w:val="0"/>
      <w:spacing w:line="300" w:lineRule="auto"/>
      <w:jc w:val="center"/>
    </w:pPr>
    <w:rPr>
      <w:sz w:val="24"/>
      <w:szCs w:val="22"/>
    </w:rPr>
  </w:style>
  <w:style w:type="paragraph" w:customStyle="1" w:styleId="540">
    <w:name w:val="编制单位"/>
    <w:basedOn w:val="1"/>
    <w:qFormat/>
    <w:uiPriority w:val="0"/>
    <w:pPr>
      <w:keepNext/>
      <w:snapToGrid w:val="0"/>
      <w:spacing w:beforeLines="50" w:line="300" w:lineRule="auto"/>
      <w:jc w:val="center"/>
    </w:pPr>
    <w:rPr>
      <w:rFonts w:ascii="黑体" w:eastAsia="黑体" w:cs="黑体"/>
      <w:sz w:val="32"/>
      <w:szCs w:val="32"/>
    </w:rPr>
  </w:style>
  <w:style w:type="paragraph" w:customStyle="1" w:styleId="541">
    <w:name w:val="项目名称"/>
    <w:basedOn w:val="1"/>
    <w:qFormat/>
    <w:uiPriority w:val="0"/>
    <w:pPr>
      <w:adjustRightInd w:val="0"/>
      <w:snapToGrid w:val="0"/>
      <w:spacing w:line="360" w:lineRule="auto"/>
      <w:jc w:val="center"/>
    </w:pPr>
    <w:rPr>
      <w:rFonts w:ascii="文鼎大标宋简" w:eastAsia="文鼎大标宋简"/>
      <w:sz w:val="56"/>
      <w:szCs w:val="20"/>
    </w:rPr>
  </w:style>
  <w:style w:type="paragraph" w:customStyle="1" w:styleId="542">
    <w:name w:val="正文－ST4"/>
    <w:basedOn w:val="1"/>
    <w:qFormat/>
    <w:uiPriority w:val="0"/>
    <w:pPr>
      <w:adjustRightInd w:val="0"/>
      <w:snapToGrid w:val="0"/>
      <w:spacing w:line="360" w:lineRule="auto"/>
      <w:ind w:firstLine="480" w:firstLineChars="200"/>
    </w:pPr>
    <w:rPr>
      <w:rFonts w:ascii="宋体" w:cs="宋体"/>
      <w:kern w:val="0"/>
      <w:sz w:val="24"/>
      <w:szCs w:val="22"/>
    </w:rPr>
  </w:style>
  <w:style w:type="paragraph" w:customStyle="1" w:styleId="543">
    <w:name w:val="报告标1"/>
    <w:basedOn w:val="1"/>
    <w:next w:val="269"/>
    <w:qFormat/>
    <w:uiPriority w:val="0"/>
    <w:pPr>
      <w:adjustRightInd w:val="0"/>
      <w:snapToGrid w:val="0"/>
      <w:spacing w:line="300" w:lineRule="auto"/>
    </w:pPr>
    <w:rPr>
      <w:rFonts w:ascii="黑体" w:eastAsia="黑体" w:cs="黑体"/>
      <w:sz w:val="28"/>
      <w:szCs w:val="28"/>
    </w:rPr>
  </w:style>
  <w:style w:type="paragraph" w:customStyle="1" w:styleId="544">
    <w:name w:val="模板标题1"/>
    <w:basedOn w:val="4"/>
    <w:next w:val="1"/>
    <w:qFormat/>
    <w:uiPriority w:val="0"/>
    <w:pPr>
      <w:tabs>
        <w:tab w:val="left" w:pos="1200"/>
      </w:tabs>
      <w:spacing w:before="240" w:after="240" w:line="240" w:lineRule="auto"/>
      <w:ind w:left="1200" w:hanging="720"/>
    </w:pPr>
    <w:rPr>
      <w:sz w:val="32"/>
    </w:rPr>
  </w:style>
  <w:style w:type="paragraph" w:customStyle="1" w:styleId="545">
    <w:name w:val="三黑居中"/>
    <w:qFormat/>
    <w:uiPriority w:val="0"/>
    <w:pPr>
      <w:widowControl w:val="0"/>
      <w:autoSpaceDE w:val="0"/>
      <w:autoSpaceDN w:val="0"/>
      <w:adjustRightInd w:val="0"/>
      <w:spacing w:line="680" w:lineRule="atLeast"/>
      <w:jc w:val="center"/>
    </w:pPr>
    <w:rPr>
      <w:rFonts w:ascii="汉仪中黑简" w:hAnsi="Times New Roman" w:eastAsia="汉仪中黑简" w:cs="Times New Roman"/>
      <w:color w:val="000000"/>
      <w:sz w:val="31"/>
      <w:szCs w:val="31"/>
      <w:lang w:val="en-US" w:eastAsia="zh-CN" w:bidi="ar-SA"/>
    </w:rPr>
  </w:style>
  <w:style w:type="paragraph" w:customStyle="1" w:styleId="546">
    <w:name w:val="b-b1"/>
    <w:basedOn w:val="4"/>
    <w:next w:val="1"/>
    <w:qFormat/>
    <w:uiPriority w:val="0"/>
    <w:pPr>
      <w:keepNext w:val="0"/>
      <w:keepLines w:val="0"/>
      <w:tabs>
        <w:tab w:val="left" w:pos="360"/>
        <w:tab w:val="left" w:pos="1800"/>
      </w:tabs>
      <w:autoSpaceDE w:val="0"/>
      <w:autoSpaceDN w:val="0"/>
      <w:adjustRightInd w:val="0"/>
      <w:snapToGrid w:val="0"/>
      <w:spacing w:before="160" w:after="160" w:line="400" w:lineRule="exact"/>
      <w:ind w:left="1531" w:hanging="1531"/>
      <w:jc w:val="left"/>
      <w:textAlignment w:val="baseline"/>
    </w:pPr>
    <w:rPr>
      <w:rFonts w:ascii="黑体"/>
      <w:b w:val="0"/>
      <w:bCs w:val="0"/>
      <w:color w:val="000000"/>
      <w:sz w:val="28"/>
      <w:szCs w:val="20"/>
    </w:rPr>
  </w:style>
  <w:style w:type="paragraph" w:customStyle="1" w:styleId="547">
    <w:name w:val="小表中"/>
    <w:basedOn w:val="1"/>
    <w:qFormat/>
    <w:uiPriority w:val="0"/>
    <w:pPr>
      <w:adjustRightInd w:val="0"/>
      <w:snapToGrid w:val="0"/>
      <w:jc w:val="center"/>
    </w:pPr>
    <w:rPr>
      <w:rFonts w:ascii="宋体" w:hAnsi="宋体" w:cs="宋体"/>
      <w:sz w:val="24"/>
      <w:szCs w:val="22"/>
    </w:rPr>
  </w:style>
  <w:style w:type="paragraph" w:customStyle="1" w:styleId="548">
    <w:name w:val="正文段落"/>
    <w:basedOn w:val="1"/>
    <w:qFormat/>
    <w:uiPriority w:val="0"/>
    <w:pPr>
      <w:widowControl/>
      <w:tabs>
        <w:tab w:val="right" w:pos="1620"/>
      </w:tabs>
      <w:spacing w:line="360" w:lineRule="auto"/>
      <w:ind w:firstLine="480" w:firstLineChars="200"/>
    </w:pPr>
    <w:rPr>
      <w:rFonts w:ascii="宋体" w:hAnsi="宋体" w:cs="宋体"/>
      <w:sz w:val="24"/>
      <w:szCs w:val="22"/>
    </w:rPr>
  </w:style>
  <w:style w:type="paragraph" w:customStyle="1" w:styleId="549">
    <w:name w:val="规定原文"/>
    <w:basedOn w:val="1"/>
    <w:qFormat/>
    <w:uiPriority w:val="0"/>
    <w:pPr>
      <w:keepNext/>
      <w:snapToGrid w:val="0"/>
      <w:spacing w:beforeLines="50" w:line="300" w:lineRule="auto"/>
      <w:ind w:firstLine="560" w:firstLineChars="200"/>
    </w:pPr>
    <w:rPr>
      <w:rFonts w:ascii="楷体_GB2312" w:eastAsia="楷体_GB2312" w:cs="楷体_GB2312"/>
      <w:color w:val="FF0000"/>
      <w:sz w:val="28"/>
      <w:szCs w:val="28"/>
    </w:rPr>
  </w:style>
  <w:style w:type="paragraph" w:customStyle="1" w:styleId="550">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551">
    <w:name w:val="reader-word-layer reader-word-s4-0"/>
    <w:basedOn w:val="1"/>
    <w:qFormat/>
    <w:uiPriority w:val="0"/>
    <w:pPr>
      <w:widowControl/>
      <w:spacing w:before="100" w:beforeAutospacing="1" w:after="100" w:afterAutospacing="1"/>
      <w:jc w:val="left"/>
    </w:pPr>
    <w:rPr>
      <w:rFonts w:ascii="宋体" w:hAnsi="宋体" w:cs="宋体"/>
      <w:kern w:val="0"/>
      <w:sz w:val="24"/>
      <w:szCs w:val="22"/>
    </w:rPr>
  </w:style>
  <w:style w:type="paragraph" w:customStyle="1" w:styleId="552">
    <w:name w:val="xl34"/>
    <w:basedOn w:val="1"/>
    <w:qFormat/>
    <w:uiPriority w:val="0"/>
    <w:pPr>
      <w:widowControl/>
      <w:pBdr>
        <w:left w:val="single" w:color="auto" w:sz="4" w:space="0"/>
        <w:right w:val="single" w:color="auto" w:sz="4" w:space="0"/>
      </w:pBdr>
      <w:spacing w:before="100" w:beforeAutospacing="1" w:after="100" w:afterAutospacing="1"/>
      <w:jc w:val="center"/>
    </w:pPr>
    <w:rPr>
      <w:kern w:val="0"/>
      <w:sz w:val="24"/>
      <w:szCs w:val="20"/>
    </w:rPr>
  </w:style>
  <w:style w:type="paragraph" w:customStyle="1" w:styleId="553">
    <w:name w:val="图题"/>
    <w:basedOn w:val="1"/>
    <w:qFormat/>
    <w:uiPriority w:val="0"/>
    <w:pPr>
      <w:widowControl/>
      <w:jc w:val="center"/>
    </w:pPr>
    <w:rPr>
      <w:rFonts w:ascii="宋体" w:hAnsi="宋体" w:eastAsia="黑体" w:cs="宋体"/>
      <w:sz w:val="24"/>
      <w:szCs w:val="22"/>
    </w:rPr>
  </w:style>
  <w:style w:type="paragraph" w:customStyle="1" w:styleId="554">
    <w:name w:val="文本123-II"/>
    <w:basedOn w:val="7"/>
    <w:qFormat/>
    <w:uiPriority w:val="0"/>
    <w:pPr>
      <w:keepNext w:val="0"/>
      <w:keepLines w:val="0"/>
      <w:tabs>
        <w:tab w:val="left" w:pos="4215"/>
      </w:tabs>
      <w:spacing w:beforeLines="50" w:after="0" w:line="240" w:lineRule="auto"/>
      <w:ind w:left="4215" w:hanging="420" w:firstLineChars="160"/>
    </w:pPr>
    <w:rPr>
      <w:rFonts w:ascii="Times New Roman" w:hAnsi="Times New Roman" w:eastAsia="宋体"/>
      <w:b w:val="0"/>
      <w:sz w:val="24"/>
    </w:rPr>
  </w:style>
  <w:style w:type="paragraph" w:customStyle="1" w:styleId="555">
    <w:name w:val="l_text2"/>
    <w:basedOn w:val="1"/>
    <w:qFormat/>
    <w:uiPriority w:val="0"/>
    <w:pPr>
      <w:widowControl/>
      <w:overflowPunct w:val="0"/>
      <w:autoSpaceDE w:val="0"/>
      <w:autoSpaceDN w:val="0"/>
      <w:adjustRightInd w:val="0"/>
      <w:jc w:val="center"/>
      <w:textAlignment w:val="baseline"/>
    </w:pPr>
    <w:rPr>
      <w:rFonts w:ascii="楷体" w:eastAsia="楷体"/>
      <w:kern w:val="0"/>
      <w:position w:val="-30"/>
      <w:sz w:val="22"/>
      <w:szCs w:val="20"/>
    </w:rPr>
  </w:style>
  <w:style w:type="paragraph" w:customStyle="1" w:styleId="556">
    <w:name w:val="文表内容"/>
    <w:basedOn w:val="557"/>
    <w:qFormat/>
    <w:uiPriority w:val="0"/>
    <w:rPr>
      <w:rFonts w:eastAsia="宋体"/>
      <w:w w:val="90"/>
      <w:sz w:val="24"/>
    </w:rPr>
  </w:style>
  <w:style w:type="paragraph" w:customStyle="1" w:styleId="557">
    <w:name w:val="文表表头"/>
    <w:qFormat/>
    <w:uiPriority w:val="0"/>
    <w:rPr>
      <w:rFonts w:ascii="Times New Roman" w:hAnsi="Times New Roman" w:eastAsia="方正书宋简体" w:cs="Times New Roman"/>
      <w:kern w:val="2"/>
      <w:sz w:val="21"/>
      <w:szCs w:val="24"/>
      <w:lang w:val="en-US" w:eastAsia="zh-CN" w:bidi="ar-SA"/>
    </w:rPr>
  </w:style>
  <w:style w:type="paragraph" w:customStyle="1" w:styleId="558">
    <w:name w:val="Abs"/>
    <w:basedOn w:val="2"/>
    <w:qFormat/>
    <w:uiPriority w:val="0"/>
    <w:pPr>
      <w:keepNext/>
      <w:widowControl/>
      <w:spacing w:after="160" w:line="240" w:lineRule="auto"/>
      <w:jc w:val="left"/>
    </w:pPr>
    <w:rPr>
      <w:rFonts w:ascii="Arial" w:hAnsi="Arial"/>
      <w:szCs w:val="20"/>
      <w:lang w:val="en-GB"/>
    </w:rPr>
  </w:style>
  <w:style w:type="paragraph" w:customStyle="1" w:styleId="559">
    <w:name w:val="表格表头"/>
    <w:qFormat/>
    <w:uiPriority w:val="0"/>
    <w:pPr>
      <w:jc w:val="center"/>
    </w:pPr>
    <w:rPr>
      <w:rFonts w:ascii="Times New Roman" w:hAnsi="Times New Roman" w:eastAsia="方正书宋简体" w:cs="Times New Roman"/>
      <w:w w:val="90"/>
      <w:kern w:val="2"/>
      <w:sz w:val="32"/>
      <w:szCs w:val="32"/>
      <w:lang w:val="en-US" w:eastAsia="zh-CN" w:bidi="ar-SA"/>
    </w:rPr>
  </w:style>
  <w:style w:type="paragraph" w:customStyle="1" w:styleId="560">
    <w:name w:val="SuepChapter"/>
    <w:basedOn w:val="1"/>
    <w:qFormat/>
    <w:uiPriority w:val="0"/>
    <w:pPr>
      <w:widowControl/>
      <w:tabs>
        <w:tab w:val="left" w:pos="420"/>
        <w:tab w:val="center" w:pos="4513"/>
      </w:tabs>
      <w:suppressAutoHyphens/>
      <w:ind w:left="420" w:hanging="420"/>
      <w:jc w:val="center"/>
    </w:pPr>
    <w:rPr>
      <w:b/>
      <w:spacing w:val="-2"/>
      <w:kern w:val="0"/>
      <w:sz w:val="22"/>
      <w:szCs w:val="20"/>
      <w:lang w:val="en-GB"/>
    </w:rPr>
  </w:style>
  <w:style w:type="paragraph" w:customStyle="1" w:styleId="561">
    <w:name w:val="表格与图名"/>
    <w:basedOn w:val="1"/>
    <w:qFormat/>
    <w:uiPriority w:val="0"/>
    <w:pPr>
      <w:spacing w:line="360" w:lineRule="auto"/>
      <w:jc w:val="center"/>
    </w:pPr>
    <w:rPr>
      <w:rFonts w:eastAsia="黑体"/>
      <w:szCs w:val="21"/>
    </w:rPr>
  </w:style>
  <w:style w:type="paragraph" w:customStyle="1" w:styleId="562">
    <w:name w:val="五级无标题条"/>
    <w:basedOn w:val="1"/>
    <w:qFormat/>
    <w:uiPriority w:val="0"/>
    <w:rPr>
      <w:szCs w:val="20"/>
    </w:rPr>
  </w:style>
  <w:style w:type="paragraph" w:customStyle="1" w:styleId="563">
    <w:name w:val="新标题3"/>
    <w:basedOn w:val="1"/>
    <w:qFormat/>
    <w:uiPriority w:val="0"/>
    <w:pPr>
      <w:keepNext/>
      <w:keepLines/>
      <w:adjustRightInd w:val="0"/>
      <w:snapToGrid w:val="0"/>
      <w:spacing w:line="300" w:lineRule="auto"/>
      <w:outlineLvl w:val="2"/>
    </w:pPr>
    <w:rPr>
      <w:rFonts w:eastAsia="黑体"/>
      <w:b/>
      <w:sz w:val="28"/>
      <w:szCs w:val="32"/>
    </w:rPr>
  </w:style>
  <w:style w:type="paragraph" w:customStyle="1" w:styleId="564">
    <w:name w:val="项目符号_“-”"/>
    <w:basedOn w:val="1"/>
    <w:qFormat/>
    <w:uiPriority w:val="0"/>
    <w:pPr>
      <w:tabs>
        <w:tab w:val="left" w:pos="420"/>
        <w:tab w:val="left" w:pos="1200"/>
      </w:tabs>
      <w:spacing w:before="78"/>
      <w:ind w:left="820" w:hanging="420"/>
    </w:pPr>
    <w:rPr>
      <w:szCs w:val="20"/>
    </w:rPr>
  </w:style>
  <w:style w:type="paragraph" w:customStyle="1" w:styleId="565">
    <w:name w:val="正文格式"/>
    <w:next w:val="1"/>
    <w:qFormat/>
    <w:uiPriority w:val="0"/>
    <w:pPr>
      <w:spacing w:beforeLines="50" w:line="440" w:lineRule="exact"/>
      <w:ind w:firstLine="200" w:firstLineChars="200"/>
    </w:pPr>
    <w:rPr>
      <w:rFonts w:ascii="Times New Roman" w:hAnsi="Times New Roman" w:eastAsia="仿宋_GB2312" w:cs="Times New Roman"/>
      <w:iCs/>
      <w:kern w:val="2"/>
      <w:sz w:val="28"/>
      <w:lang w:val="en-US" w:eastAsia="zh-CN" w:bidi="ar-SA"/>
    </w:rPr>
  </w:style>
  <w:style w:type="paragraph" w:customStyle="1" w:styleId="566">
    <w:name w:val="目录文字"/>
    <w:basedOn w:val="1"/>
    <w:qFormat/>
    <w:uiPriority w:val="0"/>
    <w:pPr>
      <w:widowControl/>
      <w:spacing w:line="480" w:lineRule="auto"/>
      <w:jc w:val="left"/>
    </w:pPr>
    <w:rPr>
      <w:rFonts w:ascii="宋体" w:hAnsi="宋体"/>
      <w:kern w:val="0"/>
      <w:sz w:val="24"/>
      <w:szCs w:val="20"/>
    </w:rPr>
  </w:style>
  <w:style w:type="paragraph" w:customStyle="1" w:styleId="567">
    <w:name w:val="标题－2"/>
    <w:basedOn w:val="5"/>
    <w:qFormat/>
    <w:uiPriority w:val="0"/>
    <w:pPr>
      <w:adjustRightInd w:val="0"/>
      <w:snapToGrid w:val="0"/>
      <w:spacing w:before="0" w:after="0" w:line="360" w:lineRule="auto"/>
      <w:jc w:val="left"/>
      <w:textAlignment w:val="baseline"/>
    </w:pPr>
    <w:rPr>
      <w:rFonts w:ascii="Times New Roman" w:hAnsi="Times New Roman" w:eastAsia="宋体"/>
      <w:b w:val="0"/>
      <w:bCs w:val="0"/>
      <w:color w:val="0000FF"/>
      <w:sz w:val="28"/>
    </w:rPr>
  </w:style>
  <w:style w:type="paragraph" w:customStyle="1" w:styleId="568">
    <w:name w:val="小表右A"/>
    <w:basedOn w:val="569"/>
    <w:qFormat/>
    <w:uiPriority w:val="0"/>
    <w:pPr>
      <w:ind w:right="28" w:rightChars="10"/>
    </w:pPr>
    <w:rPr>
      <w:rFonts w:ascii="Times New Roman" w:hAnsi="Times New Roman" w:cs="Times New Roman"/>
    </w:rPr>
  </w:style>
  <w:style w:type="paragraph" w:customStyle="1" w:styleId="569">
    <w:name w:val="小表右"/>
    <w:basedOn w:val="1"/>
    <w:qFormat/>
    <w:uiPriority w:val="0"/>
    <w:pPr>
      <w:keepNext/>
      <w:snapToGrid w:val="0"/>
      <w:spacing w:line="240" w:lineRule="atLeast"/>
      <w:ind w:right="84" w:rightChars="30"/>
      <w:jc w:val="right"/>
    </w:pPr>
    <w:rPr>
      <w:rFonts w:ascii="宋体" w:hAnsi="宋体" w:cs="宋体"/>
      <w:sz w:val="24"/>
      <w:szCs w:val="22"/>
    </w:rPr>
  </w:style>
  <w:style w:type="paragraph" w:customStyle="1" w:styleId="570">
    <w:name w:val="第一卷"/>
    <w:qFormat/>
    <w:uiPriority w:val="0"/>
    <w:pPr>
      <w:widowControl w:val="0"/>
      <w:spacing w:beforeLines="100" w:afterLines="50"/>
      <w:jc w:val="center"/>
      <w:outlineLvl w:val="0"/>
    </w:pPr>
    <w:rPr>
      <w:rFonts w:ascii="方正小标宋简体" w:hAnsi="宋体" w:eastAsia="方正小标宋简体" w:cs="宋体"/>
      <w:kern w:val="44"/>
      <w:sz w:val="36"/>
      <w:szCs w:val="36"/>
      <w:lang w:val="en-US" w:eastAsia="zh-CN" w:bidi="ar-SA"/>
    </w:rPr>
  </w:style>
  <w:style w:type="paragraph" w:customStyle="1" w:styleId="571">
    <w:name w:val="SuepHeading"/>
    <w:basedOn w:val="1"/>
    <w:qFormat/>
    <w:uiPriority w:val="0"/>
    <w:pPr>
      <w:widowControl/>
      <w:tabs>
        <w:tab w:val="left" w:pos="828"/>
        <w:tab w:val="left" w:pos="1394"/>
        <w:tab w:val="left" w:pos="2245"/>
        <w:tab w:val="left" w:pos="3094"/>
        <w:tab w:val="left" w:pos="3945"/>
        <w:tab w:val="left" w:pos="5079"/>
        <w:tab w:val="left" w:pos="6496"/>
        <w:tab w:val="left" w:pos="7630"/>
      </w:tabs>
      <w:suppressAutoHyphens/>
      <w:ind w:left="840" w:hanging="420"/>
    </w:pPr>
    <w:rPr>
      <w:b/>
      <w:spacing w:val="-2"/>
      <w:kern w:val="0"/>
      <w:sz w:val="22"/>
      <w:szCs w:val="20"/>
      <w:lang w:val="en-GB"/>
    </w:rPr>
  </w:style>
  <w:style w:type="paragraph" w:customStyle="1" w:styleId="572">
    <w:name w:val="正文样式1"/>
    <w:basedOn w:val="1"/>
    <w:next w:val="1"/>
    <w:qFormat/>
    <w:uiPriority w:val="0"/>
    <w:pPr>
      <w:widowControl/>
    </w:pPr>
    <w:rPr>
      <w:rFonts w:ascii="宋体" w:hAnsi="宋体" w:cs="宋体"/>
      <w:szCs w:val="22"/>
    </w:rPr>
  </w:style>
  <w:style w:type="paragraph" w:customStyle="1" w:styleId="573">
    <w:name w:val="Char Char Char"/>
    <w:basedOn w:val="1"/>
    <w:next w:val="6"/>
    <w:qFormat/>
    <w:uiPriority w:val="0"/>
    <w:pPr>
      <w:shd w:val="clear" w:color="auto" w:fill="000080"/>
      <w:adjustRightInd w:val="0"/>
      <w:spacing w:line="600" w:lineRule="exact"/>
      <w:jc w:val="center"/>
      <w:outlineLvl w:val="2"/>
    </w:pPr>
    <w:rPr>
      <w:szCs w:val="20"/>
      <w:shd w:val="clear" w:color="auto" w:fill="000080"/>
    </w:rPr>
  </w:style>
  <w:style w:type="paragraph" w:customStyle="1" w:styleId="574">
    <w:name w:val="五级条标题"/>
    <w:basedOn w:val="512"/>
    <w:next w:val="372"/>
    <w:qFormat/>
    <w:uiPriority w:val="0"/>
    <w:pPr>
      <w:outlineLvl w:val="6"/>
    </w:pPr>
  </w:style>
  <w:style w:type="paragraph" w:customStyle="1" w:styleId="575">
    <w:name w:val="2"/>
    <w:basedOn w:val="5"/>
    <w:qFormat/>
    <w:uiPriority w:val="0"/>
    <w:pPr>
      <w:tabs>
        <w:tab w:val="left" w:pos="1134"/>
        <w:tab w:val="left" w:pos="1410"/>
      </w:tabs>
      <w:spacing w:before="60" w:after="60" w:line="300" w:lineRule="auto"/>
      <w:ind w:left="1410" w:hanging="420"/>
    </w:pPr>
    <w:rPr>
      <w:rFonts w:ascii="Times New Roman" w:hAnsi="Times New Roman" w:eastAsia="宋体"/>
      <w:bCs w:val="0"/>
      <w:kern w:val="2"/>
      <w:sz w:val="30"/>
      <w:szCs w:val="20"/>
    </w:rPr>
  </w:style>
  <w:style w:type="paragraph" w:customStyle="1" w:styleId="576">
    <w:name w:val="标题－4"/>
    <w:basedOn w:val="9"/>
    <w:qFormat/>
    <w:uiPriority w:val="0"/>
    <w:pPr>
      <w:keepNext/>
      <w:keepLines/>
      <w:widowControl/>
      <w:adjustRightInd w:val="0"/>
      <w:snapToGrid w:val="0"/>
      <w:spacing w:before="200" w:after="200"/>
      <w:ind w:firstLine="0"/>
      <w:outlineLvl w:val="3"/>
    </w:pPr>
    <w:rPr>
      <w:rFonts w:ascii="黑体" w:hAnsi="黑体" w:eastAsia="黑体"/>
      <w:color w:val="008000"/>
      <w:kern w:val="0"/>
      <w:sz w:val="28"/>
      <w:szCs w:val="28"/>
    </w:rPr>
  </w:style>
  <w:style w:type="paragraph" w:customStyle="1" w:styleId="577">
    <w:name w:val="1标题2"/>
    <w:basedOn w:val="1"/>
    <w:qFormat/>
    <w:uiPriority w:val="0"/>
    <w:pPr>
      <w:spacing w:before="120" w:after="120" w:line="400" w:lineRule="exact"/>
      <w:ind w:left="1260" w:hanging="420"/>
      <w:jc w:val="center"/>
      <w:outlineLvl w:val="2"/>
    </w:pPr>
    <w:rPr>
      <w:rFonts w:ascii="宋体" w:hAnsi="宋体"/>
      <w:b/>
      <w:bCs/>
      <w:color w:val="000000"/>
      <w:sz w:val="28"/>
      <w:szCs w:val="28"/>
    </w:rPr>
  </w:style>
  <w:style w:type="paragraph" w:customStyle="1" w:styleId="578">
    <w:name w:val="默认段落字体 Para Char"/>
    <w:basedOn w:val="1"/>
    <w:next w:val="1"/>
    <w:qFormat/>
    <w:uiPriority w:val="0"/>
    <w:pPr>
      <w:spacing w:line="360" w:lineRule="auto"/>
      <w:ind w:firstLine="200" w:firstLineChars="200"/>
    </w:pPr>
    <w:rPr>
      <w:szCs w:val="22"/>
    </w:rPr>
  </w:style>
  <w:style w:type="paragraph" w:styleId="579">
    <w:name w:val="Quote"/>
    <w:basedOn w:val="1"/>
    <w:next w:val="1"/>
    <w:link w:val="580"/>
    <w:qFormat/>
    <w:uiPriority w:val="0"/>
    <w:pPr>
      <w:widowControl/>
      <w:jc w:val="left"/>
    </w:pPr>
    <w:rPr>
      <w:rFonts w:ascii="Calibri" w:hAnsi="Calibri"/>
      <w:i/>
      <w:sz w:val="24"/>
      <w:szCs w:val="20"/>
      <w:lang w:eastAsia="en-US"/>
    </w:rPr>
  </w:style>
  <w:style w:type="character" w:customStyle="1" w:styleId="580">
    <w:name w:val="引用 字符"/>
    <w:basedOn w:val="86"/>
    <w:link w:val="579"/>
    <w:qFormat/>
    <w:uiPriority w:val="0"/>
    <w:rPr>
      <w:rFonts w:ascii="Calibri" w:hAnsi="Calibri"/>
      <w:i/>
      <w:kern w:val="2"/>
      <w:sz w:val="24"/>
      <w:lang w:eastAsia="en-US"/>
    </w:rPr>
  </w:style>
  <w:style w:type="paragraph" w:customStyle="1" w:styleId="581">
    <w:name w:val="目次"/>
    <w:basedOn w:val="1"/>
    <w:qFormat/>
    <w:uiPriority w:val="0"/>
    <w:pPr>
      <w:keepNext/>
      <w:snapToGrid w:val="0"/>
      <w:spacing w:beforeLines="50" w:line="300" w:lineRule="auto"/>
      <w:ind w:firstLine="1304"/>
      <w:jc w:val="center"/>
    </w:pPr>
    <w:rPr>
      <w:rFonts w:ascii="宋体" w:eastAsia="黑体" w:cs="宋体"/>
      <w:spacing w:val="480"/>
      <w:sz w:val="32"/>
      <w:szCs w:val="32"/>
    </w:rPr>
  </w:style>
  <w:style w:type="paragraph" w:customStyle="1" w:styleId="582">
    <w:name w:val="设料表居中"/>
    <w:basedOn w:val="1"/>
    <w:qFormat/>
    <w:uiPriority w:val="0"/>
    <w:pPr>
      <w:adjustRightInd w:val="0"/>
      <w:spacing w:line="312" w:lineRule="atLeast"/>
      <w:jc w:val="center"/>
      <w:textAlignment w:val="baseline"/>
    </w:pPr>
    <w:rPr>
      <w:rFonts w:eastAsia="方正综艺简体"/>
      <w:w w:val="98"/>
      <w:kern w:val="0"/>
      <w:sz w:val="24"/>
      <w:szCs w:val="20"/>
    </w:rPr>
  </w:style>
  <w:style w:type="paragraph" w:customStyle="1" w:styleId="583">
    <w:name w:val="Char Char Char Char Char Char Char Char Char Char"/>
    <w:basedOn w:val="1"/>
    <w:qFormat/>
    <w:uiPriority w:val="0"/>
    <w:pPr>
      <w:keepNext/>
      <w:shd w:val="clear" w:color="auto" w:fill="000080"/>
      <w:spacing w:beforeLines="100"/>
      <w:ind w:hanging="720"/>
    </w:pPr>
    <w:rPr>
      <w:rFonts w:ascii="Tahoma" w:hAnsi="Tahoma"/>
      <w:sz w:val="24"/>
      <w:szCs w:val="22"/>
    </w:rPr>
  </w:style>
  <w:style w:type="paragraph" w:customStyle="1" w:styleId="584">
    <w:name w:val="reader-word-layer reader-word-s4-5"/>
    <w:basedOn w:val="1"/>
    <w:qFormat/>
    <w:uiPriority w:val="0"/>
    <w:pPr>
      <w:widowControl/>
      <w:spacing w:before="100" w:beforeAutospacing="1" w:after="100" w:afterAutospacing="1"/>
      <w:jc w:val="left"/>
    </w:pPr>
    <w:rPr>
      <w:rFonts w:ascii="宋体" w:hAnsi="宋体" w:cs="宋体"/>
      <w:kern w:val="0"/>
      <w:sz w:val="24"/>
      <w:szCs w:val="22"/>
    </w:rPr>
  </w:style>
  <w:style w:type="paragraph" w:customStyle="1" w:styleId="585">
    <w:name w:val="附录表标题"/>
    <w:next w:val="372"/>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586">
    <w:name w:val="编制人员"/>
    <w:basedOn w:val="1"/>
    <w:qFormat/>
    <w:uiPriority w:val="0"/>
    <w:pPr>
      <w:keepNext/>
      <w:snapToGrid w:val="0"/>
      <w:spacing w:line="300" w:lineRule="auto"/>
      <w:jc w:val="center"/>
    </w:pPr>
    <w:rPr>
      <w:rFonts w:ascii="黑体" w:eastAsia="黑体" w:cs="黑体"/>
      <w:sz w:val="32"/>
      <w:szCs w:val="32"/>
    </w:rPr>
  </w:style>
  <w:style w:type="paragraph" w:customStyle="1" w:styleId="587">
    <w:name w:val="样式 Title_u + 悬挂缩进: 0.91 字符"/>
    <w:basedOn w:val="588"/>
    <w:qFormat/>
    <w:uiPriority w:val="0"/>
    <w:pPr>
      <w:spacing w:line="240" w:lineRule="auto"/>
      <w:ind w:left="281" w:leftChars="-7" w:hanging="301" w:hangingChars="107"/>
    </w:pPr>
    <w:rPr>
      <w:rFonts w:ascii="Times New Roman" w:eastAsia="宋体"/>
    </w:rPr>
  </w:style>
  <w:style w:type="paragraph" w:customStyle="1" w:styleId="588">
    <w:name w:val="Title_u"/>
    <w:basedOn w:val="1"/>
    <w:qFormat/>
    <w:uiPriority w:val="0"/>
    <w:pPr>
      <w:widowControl/>
      <w:overflowPunct w:val="0"/>
      <w:autoSpaceDE w:val="0"/>
      <w:autoSpaceDN w:val="0"/>
      <w:adjustRightInd w:val="0"/>
      <w:spacing w:before="120" w:after="120" w:line="360" w:lineRule="auto"/>
      <w:jc w:val="center"/>
      <w:textAlignment w:val="baseline"/>
    </w:pPr>
    <w:rPr>
      <w:rFonts w:ascii="黑体" w:eastAsia="黑体"/>
      <w:b/>
      <w:kern w:val="0"/>
      <w:sz w:val="28"/>
      <w:szCs w:val="20"/>
    </w:rPr>
  </w:style>
  <w:style w:type="paragraph" w:customStyle="1" w:styleId="589">
    <w:name w:val="bf"/>
    <w:basedOn w:val="1"/>
    <w:qFormat/>
    <w:uiPriority w:val="0"/>
    <w:pPr>
      <w:tabs>
        <w:tab w:val="left" w:pos="0"/>
        <w:tab w:val="left" w:pos="2269"/>
      </w:tabs>
      <w:adjustRightInd w:val="0"/>
      <w:spacing w:before="480" w:after="240" w:line="360" w:lineRule="atLeast"/>
      <w:ind w:left="1134" w:hanging="1134"/>
      <w:jc w:val="center"/>
      <w:textAlignment w:val="baseline"/>
    </w:pPr>
    <w:rPr>
      <w:rFonts w:ascii="Arial" w:hAnsi="Arial" w:eastAsia="黑体"/>
      <w:kern w:val="0"/>
      <w:sz w:val="32"/>
      <w:szCs w:val="20"/>
    </w:rPr>
  </w:style>
  <w:style w:type="paragraph" w:customStyle="1" w:styleId="590">
    <w:name w:val="专业签署"/>
    <w:basedOn w:val="1"/>
    <w:qFormat/>
    <w:uiPriority w:val="0"/>
    <w:pPr>
      <w:keepNext/>
      <w:snapToGrid w:val="0"/>
      <w:spacing w:beforeLines="50" w:after="120" w:line="300" w:lineRule="auto"/>
      <w:jc w:val="center"/>
    </w:pPr>
    <w:rPr>
      <w:rFonts w:ascii="宋体" w:cs="宋体"/>
      <w:sz w:val="32"/>
      <w:szCs w:val="32"/>
    </w:rPr>
  </w:style>
  <w:style w:type="paragraph" w:customStyle="1" w:styleId="591">
    <w:name w:val="正文表标题"/>
    <w:next w:val="1"/>
    <w:qFormat/>
    <w:uiPriority w:val="0"/>
    <w:pPr>
      <w:jc w:val="center"/>
    </w:pPr>
    <w:rPr>
      <w:rFonts w:ascii="黑体" w:hAnsi="Times New Roman" w:eastAsia="黑体" w:cs="Times New Roman"/>
      <w:sz w:val="21"/>
      <w:lang w:val="en-US" w:eastAsia="zh-CN" w:bidi="ar-SA"/>
    </w:rPr>
  </w:style>
  <w:style w:type="paragraph" w:customStyle="1" w:styleId="592">
    <w:name w:val="封面标准代替信息"/>
    <w:basedOn w:val="593"/>
    <w:qFormat/>
    <w:uiPriority w:val="0"/>
    <w:pPr>
      <w:framePr w:wrap="around"/>
      <w:spacing w:before="57"/>
    </w:pPr>
    <w:rPr>
      <w:rFonts w:ascii="宋体"/>
      <w:sz w:val="21"/>
    </w:rPr>
  </w:style>
  <w:style w:type="paragraph" w:customStyle="1" w:styleId="593">
    <w:name w:val="封面标准号2"/>
    <w:basedOn w:val="1"/>
    <w:qFormat/>
    <w:uiPriority w:val="0"/>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594">
    <w:name w:val="1级标题"/>
    <w:basedOn w:val="4"/>
    <w:qFormat/>
    <w:uiPriority w:val="0"/>
    <w:pPr>
      <w:widowControl/>
      <w:adjustRightInd w:val="0"/>
      <w:snapToGrid w:val="0"/>
      <w:spacing w:beforeLines="50" w:line="300" w:lineRule="auto"/>
      <w:jc w:val="center"/>
    </w:pPr>
    <w:rPr>
      <w:rFonts w:ascii="黑体" w:hAnsi="黑体" w:cs="宋体"/>
      <w:sz w:val="28"/>
      <w:szCs w:val="20"/>
    </w:rPr>
  </w:style>
  <w:style w:type="paragraph" w:customStyle="1" w:styleId="595">
    <w:name w:val="_Style 57"/>
    <w:basedOn w:val="1"/>
    <w:next w:val="61"/>
    <w:qFormat/>
    <w:uiPriority w:val="0"/>
    <w:pPr>
      <w:autoSpaceDE w:val="0"/>
      <w:autoSpaceDN w:val="0"/>
      <w:adjustRightInd w:val="0"/>
      <w:jc w:val="left"/>
      <w:textAlignment w:val="baseline"/>
    </w:pPr>
    <w:rPr>
      <w:rFonts w:ascii="宋体"/>
      <w:kern w:val="0"/>
      <w:sz w:val="28"/>
      <w:szCs w:val="20"/>
    </w:rPr>
  </w:style>
  <w:style w:type="paragraph" w:customStyle="1" w:styleId="596">
    <w:name w:val="参考文献、索引标题"/>
    <w:basedOn w:val="526"/>
    <w:next w:val="1"/>
    <w:qFormat/>
    <w:uiPriority w:val="0"/>
    <w:pPr>
      <w:spacing w:after="200"/>
    </w:pPr>
    <w:rPr>
      <w:rFonts w:ascii="Times New Roman" w:eastAsia="宋体"/>
      <w:sz w:val="21"/>
    </w:rPr>
  </w:style>
  <w:style w:type="paragraph" w:customStyle="1" w:styleId="597">
    <w:name w:val="林宝辉"/>
    <w:basedOn w:val="1"/>
    <w:qFormat/>
    <w:uiPriority w:val="0"/>
    <w:pPr>
      <w:spacing w:line="360" w:lineRule="auto"/>
      <w:ind w:left="-2"/>
    </w:pPr>
    <w:rPr>
      <w:sz w:val="24"/>
      <w:szCs w:val="22"/>
    </w:rPr>
  </w:style>
  <w:style w:type="paragraph" w:customStyle="1" w:styleId="598">
    <w:name w:val="5"/>
    <w:basedOn w:val="1"/>
    <w:qFormat/>
    <w:uiPriority w:val="0"/>
    <w:pPr>
      <w:tabs>
        <w:tab w:val="left" w:pos="1313"/>
      </w:tabs>
      <w:spacing w:line="300" w:lineRule="auto"/>
      <w:ind w:left="1313" w:hanging="420"/>
    </w:pPr>
    <w:rPr>
      <w:sz w:val="24"/>
      <w:szCs w:val="20"/>
    </w:rPr>
  </w:style>
  <w:style w:type="paragraph" w:customStyle="1" w:styleId="599">
    <w:name w:val="修订2"/>
    <w:qFormat/>
    <w:uiPriority w:val="0"/>
    <w:rPr>
      <w:rFonts w:ascii="Times New Roman" w:hAnsi="Times New Roman" w:eastAsia="宋体" w:cs="Times New Roman"/>
      <w:kern w:val="2"/>
      <w:sz w:val="21"/>
      <w:szCs w:val="24"/>
      <w:lang w:val="en-US" w:eastAsia="zh-CN" w:bidi="ar-SA"/>
    </w:rPr>
  </w:style>
  <w:style w:type="paragraph" w:customStyle="1" w:styleId="600">
    <w:name w:val="Head"/>
    <w:basedOn w:val="4"/>
    <w:qFormat/>
    <w:uiPriority w:val="0"/>
    <w:pPr>
      <w:keepLines w:val="0"/>
      <w:pageBreakBefore/>
      <w:widowControl/>
      <w:overflowPunct w:val="0"/>
      <w:autoSpaceDE w:val="0"/>
      <w:autoSpaceDN w:val="0"/>
      <w:adjustRightInd w:val="0"/>
      <w:spacing w:before="120" w:after="240" w:line="307" w:lineRule="auto"/>
      <w:jc w:val="center"/>
      <w:textAlignment w:val="baseline"/>
      <w:outlineLvl w:val="9"/>
    </w:pPr>
    <w:rPr>
      <w:rFonts w:ascii="Arial" w:hAnsi="Arial"/>
      <w:b w:val="0"/>
      <w:bCs w:val="0"/>
      <w:kern w:val="28"/>
      <w:sz w:val="40"/>
      <w:szCs w:val="20"/>
    </w:rPr>
  </w:style>
  <w:style w:type="paragraph" w:customStyle="1" w:styleId="601">
    <w:name w:val="一级无标题条"/>
    <w:basedOn w:val="1"/>
    <w:qFormat/>
    <w:uiPriority w:val="0"/>
    <w:rPr>
      <w:szCs w:val="20"/>
    </w:rPr>
  </w:style>
  <w:style w:type="paragraph" w:customStyle="1" w:styleId="602">
    <w:name w:val="样式 标题 3头 + 小四 段前: 0 磅 行距: 1.5 倍行距"/>
    <w:basedOn w:val="6"/>
    <w:qFormat/>
    <w:uiPriority w:val="0"/>
    <w:pPr>
      <w:adjustRightInd w:val="0"/>
      <w:spacing w:before="0" w:after="0" w:line="360" w:lineRule="auto"/>
      <w:jc w:val="left"/>
      <w:textAlignment w:val="baseline"/>
    </w:pPr>
    <w:rPr>
      <w:rFonts w:ascii="宋体" w:hAnsi="宋体"/>
      <w:bCs w:val="0"/>
      <w:kern w:val="2"/>
      <w:sz w:val="24"/>
      <w:szCs w:val="20"/>
      <w:lang w:val="en-GB"/>
    </w:rPr>
  </w:style>
  <w:style w:type="paragraph" w:customStyle="1" w:styleId="603">
    <w:name w:val="正文进2字"/>
    <w:basedOn w:val="1"/>
    <w:qFormat/>
    <w:uiPriority w:val="0"/>
    <w:pPr>
      <w:spacing w:beforeLines="50" w:afterLines="50" w:line="500" w:lineRule="exact"/>
    </w:pPr>
    <w:rPr>
      <w:snapToGrid w:val="0"/>
      <w:color w:val="000000"/>
      <w:sz w:val="24"/>
      <w:szCs w:val="22"/>
    </w:rPr>
  </w:style>
  <w:style w:type="paragraph" w:customStyle="1" w:styleId="604">
    <w:name w:val="样式 标题 2节标题 1.1b21.1标题2 + Times New Roman"/>
    <w:basedOn w:val="5"/>
    <w:qFormat/>
    <w:uiPriority w:val="0"/>
    <w:pPr>
      <w:keepLines w:val="0"/>
      <w:spacing w:before="320" w:after="320" w:line="240" w:lineRule="auto"/>
      <w:jc w:val="left"/>
    </w:pPr>
    <w:rPr>
      <w:rFonts w:ascii="Times New Roman" w:hAnsi="Times New Roman" w:eastAsia="楷体_GB2312"/>
      <w:b w:val="0"/>
      <w:bCs w:val="0"/>
      <w:color w:val="000000"/>
      <w:kern w:val="13"/>
      <w:sz w:val="24"/>
      <w:szCs w:val="28"/>
    </w:rPr>
  </w:style>
  <w:style w:type="paragraph" w:customStyle="1" w:styleId="605">
    <w:name w:val="标准中文版式_正文"/>
    <w:basedOn w:val="1"/>
    <w:qFormat/>
    <w:uiPriority w:val="0"/>
    <w:pPr>
      <w:spacing w:before="30"/>
    </w:pPr>
    <w:rPr>
      <w:szCs w:val="20"/>
    </w:rPr>
  </w:style>
  <w:style w:type="paragraph" w:customStyle="1" w:styleId="606">
    <w:name w:val="列项——"/>
    <w:qFormat/>
    <w:uiPriority w:val="0"/>
    <w:pPr>
      <w:widowControl w:val="0"/>
      <w:tabs>
        <w:tab w:val="left" w:pos="360"/>
        <w:tab w:val="left" w:pos="854"/>
      </w:tabs>
      <w:ind w:left="360" w:leftChars="200" w:hanging="360" w:hangingChars="200"/>
      <w:jc w:val="both"/>
    </w:pPr>
    <w:rPr>
      <w:rFonts w:ascii="宋体" w:hAnsi="Times New Roman" w:eastAsia="宋体" w:cs="Times New Roman"/>
      <w:sz w:val="21"/>
      <w:lang w:val="en-US" w:eastAsia="zh-CN" w:bidi="ar-SA"/>
    </w:rPr>
  </w:style>
  <w:style w:type="paragraph" w:customStyle="1" w:styleId="607">
    <w:name w:val="设计证书编号"/>
    <w:basedOn w:val="1"/>
    <w:qFormat/>
    <w:uiPriority w:val="0"/>
    <w:pPr>
      <w:keepNext/>
      <w:snapToGrid w:val="0"/>
      <w:spacing w:line="300" w:lineRule="auto"/>
      <w:jc w:val="center"/>
    </w:pPr>
    <w:rPr>
      <w:rFonts w:ascii="宋体" w:cs="宋体"/>
      <w:sz w:val="32"/>
      <w:szCs w:val="32"/>
    </w:rPr>
  </w:style>
  <w:style w:type="paragraph" w:customStyle="1" w:styleId="608">
    <w:name w:val="标题5，1 + 两端对齐 首行缩进:  2 字符"/>
    <w:basedOn w:val="1"/>
    <w:qFormat/>
    <w:uiPriority w:val="0"/>
    <w:pPr>
      <w:spacing w:line="360" w:lineRule="auto"/>
      <w:ind w:firstLine="480" w:firstLineChars="200"/>
      <w:outlineLvl w:val="4"/>
    </w:pPr>
    <w:rPr>
      <w:rFonts w:cs="宋体"/>
      <w:sz w:val="24"/>
      <w:szCs w:val="20"/>
    </w:rPr>
  </w:style>
  <w:style w:type="paragraph" w:customStyle="1" w:styleId="609">
    <w:name w:val="简单回函地址"/>
    <w:basedOn w:val="1"/>
    <w:qFormat/>
    <w:uiPriority w:val="0"/>
    <w:pPr>
      <w:widowControl/>
    </w:pPr>
    <w:rPr>
      <w:rFonts w:ascii="宋体" w:hAnsi="宋体" w:cs="宋体"/>
      <w:szCs w:val="22"/>
    </w:rPr>
  </w:style>
  <w:style w:type="paragraph" w:customStyle="1" w:styleId="610">
    <w:name w:val="林宝辉 标题2"/>
    <w:basedOn w:val="1"/>
    <w:qFormat/>
    <w:uiPriority w:val="0"/>
    <w:pPr>
      <w:tabs>
        <w:tab w:val="left" w:pos="0"/>
        <w:tab w:val="left" w:pos="360"/>
      </w:tabs>
      <w:spacing w:line="360" w:lineRule="auto"/>
      <w:ind w:left="360" w:hanging="360"/>
      <w:jc w:val="center"/>
      <w:outlineLvl w:val="1"/>
    </w:pPr>
    <w:rPr>
      <w:rFonts w:eastAsia="新宋体"/>
      <w:b/>
      <w:sz w:val="28"/>
      <w:szCs w:val="22"/>
    </w:rPr>
  </w:style>
  <w:style w:type="paragraph" w:customStyle="1" w:styleId="611">
    <w:name w:val="缺省文本"/>
    <w:basedOn w:val="1"/>
    <w:qFormat/>
    <w:uiPriority w:val="0"/>
    <w:pPr>
      <w:autoSpaceDE w:val="0"/>
      <w:autoSpaceDN w:val="0"/>
      <w:adjustRightInd w:val="0"/>
      <w:spacing w:before="72" w:after="72"/>
      <w:ind w:left="720"/>
    </w:pPr>
    <w:rPr>
      <w:kern w:val="0"/>
      <w:sz w:val="24"/>
      <w:szCs w:val="20"/>
    </w:rPr>
  </w:style>
  <w:style w:type="paragraph" w:customStyle="1" w:styleId="612">
    <w:name w:val="text"/>
    <w:basedOn w:val="1"/>
    <w:qFormat/>
    <w:uiPriority w:val="0"/>
    <w:pPr>
      <w:widowControl/>
      <w:overflowPunct w:val="0"/>
      <w:autoSpaceDE w:val="0"/>
      <w:autoSpaceDN w:val="0"/>
      <w:adjustRightInd w:val="0"/>
      <w:spacing w:before="120" w:after="120" w:line="360" w:lineRule="auto"/>
      <w:ind w:left="851" w:firstLine="709"/>
      <w:textAlignment w:val="baseline"/>
    </w:pPr>
    <w:rPr>
      <w:rFonts w:ascii="楷体" w:eastAsia="楷体"/>
      <w:kern w:val="0"/>
      <w:sz w:val="28"/>
      <w:szCs w:val="20"/>
    </w:rPr>
  </w:style>
  <w:style w:type="paragraph" w:customStyle="1" w:styleId="613">
    <w:name w:val="正文小4"/>
    <w:basedOn w:val="1"/>
    <w:qFormat/>
    <w:uiPriority w:val="0"/>
    <w:pPr>
      <w:snapToGrid w:val="0"/>
    </w:pPr>
    <w:rPr>
      <w:rFonts w:ascii="仿宋_GB2312" w:hAnsi="Verdana"/>
      <w:b/>
      <w:snapToGrid w:val="0"/>
      <w:sz w:val="24"/>
      <w:szCs w:val="20"/>
    </w:rPr>
  </w:style>
  <w:style w:type="paragraph" w:customStyle="1" w:styleId="614">
    <w:name w:val="reader-word-layer reader-word-s2-4"/>
    <w:basedOn w:val="1"/>
    <w:qFormat/>
    <w:uiPriority w:val="0"/>
    <w:pPr>
      <w:widowControl/>
      <w:spacing w:before="100" w:beforeAutospacing="1" w:after="100" w:afterAutospacing="1"/>
      <w:jc w:val="left"/>
    </w:pPr>
    <w:rPr>
      <w:rFonts w:ascii="宋体" w:hAnsi="宋体" w:cs="宋体"/>
      <w:kern w:val="0"/>
      <w:sz w:val="24"/>
      <w:szCs w:val="22"/>
    </w:rPr>
  </w:style>
  <w:style w:type="paragraph" w:customStyle="1" w:styleId="615">
    <w:name w:val="能力-表格正文"/>
    <w:basedOn w:val="616"/>
    <w:qFormat/>
    <w:uiPriority w:val="0"/>
    <w:pPr>
      <w:spacing w:line="240" w:lineRule="auto"/>
      <w:ind w:firstLine="0" w:firstLineChars="0"/>
      <w:jc w:val="center"/>
    </w:pPr>
    <w:rPr>
      <w:sz w:val="21"/>
    </w:rPr>
  </w:style>
  <w:style w:type="paragraph" w:customStyle="1" w:styleId="616">
    <w:name w:val="能力-正文"/>
    <w:basedOn w:val="1"/>
    <w:qFormat/>
    <w:uiPriority w:val="0"/>
    <w:pPr>
      <w:spacing w:line="360" w:lineRule="auto"/>
      <w:ind w:firstLine="200" w:firstLineChars="200"/>
    </w:pPr>
    <w:rPr>
      <w:sz w:val="24"/>
      <w:szCs w:val="22"/>
    </w:rPr>
  </w:style>
  <w:style w:type="paragraph" w:customStyle="1" w:styleId="617">
    <w:name w:val="正文 + 宋体"/>
    <w:basedOn w:val="1"/>
    <w:qFormat/>
    <w:uiPriority w:val="0"/>
    <w:rPr>
      <w:b/>
      <w:spacing w:val="32"/>
      <w:sz w:val="24"/>
      <w:szCs w:val="22"/>
    </w:rPr>
  </w:style>
  <w:style w:type="paragraph" w:customStyle="1" w:styleId="618">
    <w:name w:val="b-b3"/>
    <w:basedOn w:val="6"/>
    <w:next w:val="1"/>
    <w:qFormat/>
    <w:uiPriority w:val="0"/>
    <w:pPr>
      <w:keepNext w:val="0"/>
      <w:keepLines w:val="0"/>
      <w:snapToGrid w:val="0"/>
      <w:spacing w:before="80" w:after="80" w:line="440" w:lineRule="atLeast"/>
      <w:textAlignment w:val="baseline"/>
    </w:pPr>
    <w:rPr>
      <w:rFonts w:eastAsia="黑体"/>
      <w:b w:val="0"/>
      <w:bCs w:val="0"/>
      <w:sz w:val="28"/>
      <w:szCs w:val="20"/>
    </w:rPr>
  </w:style>
  <w:style w:type="paragraph" w:customStyle="1" w:styleId="619">
    <w:name w:val="林宝辉 标题3"/>
    <w:basedOn w:val="1"/>
    <w:qFormat/>
    <w:uiPriority w:val="0"/>
    <w:pPr>
      <w:tabs>
        <w:tab w:val="left" w:pos="360"/>
      </w:tabs>
      <w:spacing w:line="360" w:lineRule="auto"/>
      <w:ind w:left="360" w:hanging="360"/>
      <w:outlineLvl w:val="2"/>
    </w:pPr>
    <w:rPr>
      <w:rFonts w:eastAsia="新宋体"/>
      <w:b/>
      <w:sz w:val="24"/>
      <w:szCs w:val="22"/>
    </w:rPr>
  </w:style>
  <w:style w:type="paragraph" w:customStyle="1" w:styleId="620">
    <w:name w:val="WG标题2"/>
    <w:basedOn w:val="1"/>
    <w:qFormat/>
    <w:uiPriority w:val="0"/>
    <w:pPr>
      <w:autoSpaceDE w:val="0"/>
      <w:autoSpaceDN w:val="0"/>
      <w:adjustRightInd w:val="0"/>
      <w:outlineLvl w:val="1"/>
    </w:pPr>
    <w:rPr>
      <w:rFonts w:ascii="仿宋_GB2312" w:hAnsi="宋体" w:cs="宋体"/>
      <w:b/>
      <w:color w:val="000000"/>
      <w:kern w:val="20"/>
      <w:sz w:val="24"/>
      <w:szCs w:val="20"/>
    </w:rPr>
  </w:style>
  <w:style w:type="paragraph" w:customStyle="1" w:styleId="621">
    <w:name w:val="Char2"/>
    <w:basedOn w:val="1"/>
    <w:qFormat/>
    <w:uiPriority w:val="0"/>
    <w:pPr>
      <w:spacing w:line="360" w:lineRule="auto"/>
      <w:ind w:firstLine="551" w:firstLineChars="196"/>
    </w:pPr>
    <w:rPr>
      <w:b/>
      <w:sz w:val="28"/>
      <w:szCs w:val="28"/>
    </w:rPr>
  </w:style>
  <w:style w:type="paragraph" w:customStyle="1" w:styleId="622">
    <w:name w:val="注释"/>
    <w:basedOn w:val="1"/>
    <w:qFormat/>
    <w:uiPriority w:val="0"/>
    <w:pPr>
      <w:adjustRightInd w:val="0"/>
      <w:snapToGrid w:val="0"/>
      <w:spacing w:afterLines="50" w:line="288" w:lineRule="auto"/>
    </w:pPr>
    <w:rPr>
      <w:szCs w:val="22"/>
    </w:rPr>
  </w:style>
  <w:style w:type="paragraph" w:customStyle="1" w:styleId="623">
    <w:name w:val="文件名"/>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24">
    <w:name w:val="POINT"/>
    <w:basedOn w:val="519"/>
    <w:qFormat/>
    <w:uiPriority w:val="0"/>
    <w:pPr>
      <w:tabs>
        <w:tab w:val="left" w:pos="840"/>
      </w:tabs>
      <w:ind w:left="840" w:hanging="420"/>
    </w:pPr>
    <w:rPr>
      <w:rFonts w:ascii="Times New Roman"/>
    </w:rPr>
  </w:style>
  <w:style w:type="paragraph" w:customStyle="1" w:styleId="625">
    <w:name w:val="yy"/>
    <w:basedOn w:val="1"/>
    <w:qFormat/>
    <w:uiPriority w:val="0"/>
    <w:pPr>
      <w:widowControl/>
      <w:tabs>
        <w:tab w:val="left" w:pos="1080"/>
      </w:tabs>
      <w:overflowPunct w:val="0"/>
      <w:autoSpaceDE w:val="0"/>
      <w:autoSpaceDN w:val="0"/>
      <w:adjustRightInd w:val="0"/>
      <w:spacing w:before="120"/>
      <w:ind w:left="964" w:hanging="284"/>
      <w:textAlignment w:val="baseline"/>
    </w:pPr>
    <w:rPr>
      <w:rFonts w:ascii="Arial" w:hAnsi="Arial" w:eastAsia="楷体_GB2312"/>
      <w:spacing w:val="-30"/>
      <w:kern w:val="0"/>
      <w:sz w:val="24"/>
      <w:szCs w:val="20"/>
    </w:rPr>
  </w:style>
  <w:style w:type="paragraph" w:customStyle="1" w:styleId="626">
    <w:name w:val="大标题"/>
    <w:basedOn w:val="9"/>
    <w:next w:val="548"/>
    <w:qFormat/>
    <w:uiPriority w:val="0"/>
    <w:pPr>
      <w:widowControl/>
      <w:spacing w:line="360" w:lineRule="exact"/>
      <w:ind w:firstLine="413" w:firstLineChars="200"/>
      <w:jc w:val="left"/>
    </w:pPr>
    <w:rPr>
      <w:rFonts w:ascii="宋体" w:hAnsi="宋体" w:cs="宋体"/>
      <w:b/>
      <w:szCs w:val="24"/>
    </w:rPr>
  </w:style>
  <w:style w:type="paragraph" w:customStyle="1" w:styleId="627">
    <w:name w:val="a"/>
    <w:basedOn w:val="1"/>
    <w:qFormat/>
    <w:uiPriority w:val="0"/>
    <w:pPr>
      <w:adjustRightInd w:val="0"/>
      <w:spacing w:line="400" w:lineRule="atLeast"/>
      <w:ind w:left="1134" w:hanging="454"/>
    </w:pPr>
    <w:rPr>
      <w:rFonts w:ascii="Arial" w:hAnsi="Arial"/>
      <w:kern w:val="0"/>
      <w:sz w:val="24"/>
      <w:szCs w:val="20"/>
    </w:rPr>
  </w:style>
  <w:style w:type="paragraph" w:customStyle="1" w:styleId="628">
    <w:name w:val="模板标题3"/>
    <w:basedOn w:val="6"/>
    <w:next w:val="1"/>
    <w:qFormat/>
    <w:uiPriority w:val="0"/>
    <w:pPr>
      <w:tabs>
        <w:tab w:val="left" w:pos="1740"/>
      </w:tabs>
      <w:spacing w:before="240" w:after="240" w:line="240" w:lineRule="auto"/>
      <w:ind w:left="1740" w:hanging="420"/>
      <w:jc w:val="left"/>
    </w:pPr>
    <w:rPr>
      <w:rFonts w:ascii="Arial" w:hAnsi="Arial"/>
      <w:bCs w:val="0"/>
      <w:kern w:val="2"/>
      <w:sz w:val="28"/>
    </w:rPr>
  </w:style>
  <w:style w:type="paragraph" w:customStyle="1" w:styleId="629">
    <w:name w:val="附件"/>
    <w:basedOn w:val="4"/>
    <w:qFormat/>
    <w:uiPriority w:val="0"/>
    <w:pPr>
      <w:tabs>
        <w:tab w:val="left" w:pos="1080"/>
      </w:tabs>
      <w:snapToGrid w:val="0"/>
      <w:spacing w:beforeLines="50" w:after="60" w:line="420" w:lineRule="auto"/>
      <w:ind w:left="150" w:leftChars="150"/>
    </w:pPr>
    <w:rPr>
      <w:b w:val="0"/>
      <w:bCs w:val="0"/>
      <w:sz w:val="30"/>
      <w:szCs w:val="30"/>
    </w:rPr>
  </w:style>
  <w:style w:type="paragraph" w:customStyle="1" w:styleId="630">
    <w:name w:val="表左"/>
    <w:basedOn w:val="1"/>
    <w:qFormat/>
    <w:uiPriority w:val="0"/>
    <w:pPr>
      <w:keepNext/>
      <w:adjustRightInd w:val="0"/>
      <w:snapToGrid w:val="0"/>
      <w:spacing w:line="320" w:lineRule="atLeast"/>
      <w:ind w:right="63" w:rightChars="30"/>
      <w:jc w:val="center"/>
    </w:pPr>
    <w:rPr>
      <w:rFonts w:ascii="宋体" w:hAnsi="宋体" w:cs="宋体"/>
      <w:sz w:val="24"/>
      <w:szCs w:val="22"/>
    </w:rPr>
  </w:style>
  <w:style w:type="paragraph" w:customStyle="1" w:styleId="631">
    <w:name w:val="默认段落字体 Para Char Char Char Char Char Char Char"/>
    <w:basedOn w:val="1"/>
    <w:qFormat/>
    <w:uiPriority w:val="0"/>
    <w:pPr>
      <w:widowControl/>
    </w:pPr>
    <w:rPr>
      <w:rFonts w:ascii="宋体" w:hAnsi="宋体" w:cs="宋体"/>
      <w:sz w:val="24"/>
      <w:szCs w:val="22"/>
    </w:rPr>
  </w:style>
  <w:style w:type="paragraph" w:customStyle="1" w:styleId="632">
    <w:name w:val="CM37"/>
    <w:basedOn w:val="181"/>
    <w:next w:val="181"/>
    <w:qFormat/>
    <w:uiPriority w:val="0"/>
    <w:rPr>
      <w:color w:val="auto"/>
      <w:kern w:val="0"/>
    </w:rPr>
  </w:style>
  <w:style w:type="paragraph" w:customStyle="1" w:styleId="633">
    <w:name w:val="jjj"/>
    <w:basedOn w:val="1"/>
    <w:qFormat/>
    <w:uiPriority w:val="0"/>
    <w:pPr>
      <w:keepNext/>
      <w:keepLines/>
      <w:widowControl/>
      <w:suppressLineNumbers/>
      <w:autoSpaceDE w:val="0"/>
      <w:autoSpaceDN w:val="0"/>
      <w:adjustRightInd w:val="0"/>
      <w:spacing w:before="100"/>
      <w:ind w:left="1440" w:hanging="360"/>
      <w:outlineLvl w:val="1"/>
    </w:pPr>
    <w:rPr>
      <w:rFonts w:ascii="宋体"/>
      <w:kern w:val="0"/>
      <w:sz w:val="28"/>
      <w:szCs w:val="20"/>
    </w:rPr>
  </w:style>
  <w:style w:type="paragraph" w:customStyle="1" w:styleId="634">
    <w:name w:val="Report Text"/>
    <w:basedOn w:val="1"/>
    <w:qFormat/>
    <w:uiPriority w:val="0"/>
    <w:pPr>
      <w:widowControl/>
      <w:ind w:left="1080"/>
    </w:pPr>
    <w:rPr>
      <w:kern w:val="0"/>
      <w:sz w:val="22"/>
      <w:szCs w:val="20"/>
      <w:lang w:val="en-GB" w:eastAsia="zh-TW"/>
    </w:rPr>
  </w:style>
  <w:style w:type="paragraph" w:customStyle="1" w:styleId="635">
    <w:name w:val="正文文字2"/>
    <w:basedOn w:val="1"/>
    <w:qFormat/>
    <w:uiPriority w:val="0"/>
    <w:pPr>
      <w:adjustRightInd w:val="0"/>
      <w:spacing w:before="40" w:after="100" w:line="360" w:lineRule="atLeast"/>
      <w:ind w:left="72" w:leftChars="30" w:right="72" w:rightChars="30"/>
      <w:jc w:val="center"/>
      <w:textAlignment w:val="baseline"/>
    </w:pPr>
    <w:rPr>
      <w:rFonts w:ascii="Arial" w:eastAsia="黑体"/>
      <w:kern w:val="0"/>
      <w:szCs w:val="20"/>
    </w:rPr>
  </w:style>
  <w:style w:type="paragraph" w:customStyle="1" w:styleId="636">
    <w:name w:val="列表1"/>
    <w:basedOn w:val="64"/>
    <w:qFormat/>
    <w:uiPriority w:val="0"/>
    <w:pPr>
      <w:tabs>
        <w:tab w:val="left" w:pos="1727"/>
        <w:tab w:val="left" w:pos="1884"/>
      </w:tabs>
      <w:spacing w:line="300" w:lineRule="auto"/>
      <w:ind w:left="0" w:firstLine="0" w:firstLineChars="0"/>
      <w:jc w:val="center"/>
      <w:outlineLvl w:val="0"/>
    </w:pPr>
    <w:rPr>
      <w:sz w:val="32"/>
      <w:szCs w:val="32"/>
    </w:rPr>
  </w:style>
  <w:style w:type="paragraph" w:customStyle="1" w:styleId="637">
    <w:name w:val="1.1.1"/>
    <w:basedOn w:val="6"/>
    <w:qFormat/>
    <w:uiPriority w:val="0"/>
    <w:pPr>
      <w:tabs>
        <w:tab w:val="left" w:pos="1080"/>
        <w:tab w:val="left" w:pos="1260"/>
        <w:tab w:val="left" w:pos="1560"/>
      </w:tabs>
      <w:adjustRightInd w:val="0"/>
      <w:spacing w:before="120" w:after="50" w:line="440" w:lineRule="exact"/>
      <w:ind w:left="1140" w:hanging="1140"/>
      <w:jc w:val="left"/>
      <w:textAlignment w:val="baseline"/>
    </w:pPr>
    <w:rPr>
      <w:bCs w:val="0"/>
      <w:kern w:val="2"/>
      <w:sz w:val="24"/>
      <w:szCs w:val="20"/>
    </w:rPr>
  </w:style>
  <w:style w:type="paragraph" w:customStyle="1" w:styleId="638">
    <w:name w:val="标题4-1"/>
    <w:basedOn w:val="478"/>
    <w:qFormat/>
    <w:uiPriority w:val="0"/>
    <w:pPr>
      <w:keepNext/>
      <w:keepLines/>
      <w:widowControl w:val="0"/>
      <w:tabs>
        <w:tab w:val="clear" w:pos="420"/>
      </w:tabs>
      <w:snapToGrid/>
      <w:spacing w:after="0" w:line="300" w:lineRule="auto"/>
      <w:ind w:left="0" w:firstLine="0"/>
      <w:jc w:val="left"/>
      <w:outlineLvl w:val="3"/>
    </w:pPr>
    <w:rPr>
      <w:rFonts w:eastAsia="宋体"/>
      <w:color w:val="auto"/>
      <w:kern w:val="2"/>
      <w:sz w:val="24"/>
      <w:szCs w:val="24"/>
    </w:rPr>
  </w:style>
  <w:style w:type="paragraph" w:customStyle="1" w:styleId="639">
    <w:name w:val="标准书眉_偶数页"/>
    <w:basedOn w:val="1"/>
    <w:next w:val="1"/>
    <w:qFormat/>
    <w:uiPriority w:val="0"/>
    <w:pPr>
      <w:widowControl/>
      <w:tabs>
        <w:tab w:val="center" w:pos="4154"/>
        <w:tab w:val="right" w:pos="8306"/>
      </w:tabs>
      <w:spacing w:after="120"/>
      <w:jc w:val="left"/>
    </w:pPr>
    <w:rPr>
      <w:kern w:val="0"/>
      <w:szCs w:val="20"/>
    </w:rPr>
  </w:style>
  <w:style w:type="paragraph" w:customStyle="1" w:styleId="640">
    <w:name w:val="标题三"/>
    <w:basedOn w:val="1"/>
    <w:qFormat/>
    <w:uiPriority w:val="0"/>
    <w:pPr>
      <w:ind w:firstLine="200" w:firstLineChars="200"/>
      <w:outlineLvl w:val="2"/>
    </w:pPr>
    <w:rPr>
      <w:rFonts w:ascii="方正仿宋简体" w:hAnsi="宋体" w:eastAsia="方正仿宋简体"/>
      <w:b/>
      <w:spacing w:val="-4"/>
      <w:sz w:val="28"/>
      <w:szCs w:val="28"/>
    </w:rPr>
  </w:style>
  <w:style w:type="paragraph" w:customStyle="1" w:styleId="641">
    <w:name w:val="dian"/>
    <w:basedOn w:val="1"/>
    <w:qFormat/>
    <w:uiPriority w:val="0"/>
    <w:pPr>
      <w:widowControl/>
      <w:tabs>
        <w:tab w:val="left" w:pos="900"/>
      </w:tabs>
      <w:overflowPunct w:val="0"/>
      <w:autoSpaceDE w:val="0"/>
      <w:autoSpaceDN w:val="0"/>
      <w:adjustRightInd w:val="0"/>
      <w:spacing w:line="360" w:lineRule="auto"/>
      <w:ind w:left="900" w:hanging="360"/>
      <w:textAlignment w:val="baseline"/>
    </w:pPr>
    <w:rPr>
      <w:rFonts w:ascii="宋体"/>
      <w:kern w:val="0"/>
      <w:sz w:val="28"/>
      <w:szCs w:val="20"/>
    </w:rPr>
  </w:style>
  <w:style w:type="paragraph" w:customStyle="1" w:styleId="642">
    <w:name w:val="正文 + 四号"/>
    <w:basedOn w:val="4"/>
    <w:qFormat/>
    <w:uiPriority w:val="0"/>
    <w:pPr>
      <w:keepNext w:val="0"/>
      <w:keepLines w:val="0"/>
      <w:adjustRightInd w:val="0"/>
      <w:spacing w:line="300" w:lineRule="auto"/>
      <w:jc w:val="center"/>
      <w:textAlignment w:val="baseline"/>
      <w:outlineLvl w:val="9"/>
    </w:pPr>
    <w:rPr>
      <w:rFonts w:ascii="宋体" w:hAnsi="宋体" w:cs="宋体"/>
      <w:b w:val="0"/>
      <w:bCs w:val="0"/>
      <w:color w:val="FF0000"/>
      <w:kern w:val="2"/>
      <w:sz w:val="24"/>
      <w:szCs w:val="24"/>
    </w:rPr>
  </w:style>
  <w:style w:type="paragraph" w:customStyle="1" w:styleId="643">
    <w:name w:val="reader-word-layer reader-word-s1-5"/>
    <w:basedOn w:val="1"/>
    <w:qFormat/>
    <w:uiPriority w:val="0"/>
    <w:pPr>
      <w:widowControl/>
      <w:spacing w:before="100" w:beforeAutospacing="1" w:after="100" w:afterAutospacing="1"/>
      <w:jc w:val="left"/>
    </w:pPr>
    <w:rPr>
      <w:rFonts w:ascii="宋体" w:hAnsi="宋体" w:cs="宋体"/>
      <w:kern w:val="0"/>
      <w:sz w:val="24"/>
      <w:szCs w:val="22"/>
    </w:rPr>
  </w:style>
  <w:style w:type="paragraph" w:customStyle="1" w:styleId="644">
    <w:name w:val="1.1"/>
    <w:basedOn w:val="5"/>
    <w:qFormat/>
    <w:uiPriority w:val="0"/>
    <w:pPr>
      <w:tabs>
        <w:tab w:val="left" w:pos="1080"/>
      </w:tabs>
      <w:adjustRightInd w:val="0"/>
      <w:spacing w:line="360" w:lineRule="exact"/>
      <w:ind w:left="1077" w:hanging="1077"/>
      <w:jc w:val="left"/>
      <w:textAlignment w:val="baseline"/>
    </w:pPr>
    <w:rPr>
      <w:rFonts w:ascii="Times New Roman" w:hAnsi="Times New Roman" w:eastAsia="宋体"/>
      <w:bCs w:val="0"/>
      <w:kern w:val="2"/>
      <w:sz w:val="28"/>
      <w:szCs w:val="20"/>
    </w:rPr>
  </w:style>
  <w:style w:type="paragraph" w:customStyle="1" w:styleId="645">
    <w:name w:val="1.正文"/>
    <w:basedOn w:val="1"/>
    <w:qFormat/>
    <w:uiPriority w:val="0"/>
    <w:pPr>
      <w:widowControl/>
      <w:tabs>
        <w:tab w:val="left" w:pos="1361"/>
      </w:tabs>
      <w:spacing w:line="360" w:lineRule="exact"/>
      <w:ind w:left="1361" w:hanging="397"/>
    </w:pPr>
    <w:rPr>
      <w:sz w:val="24"/>
      <w:szCs w:val="20"/>
    </w:rPr>
  </w:style>
  <w:style w:type="paragraph" w:customStyle="1" w:styleId="646">
    <w:name w:val="样式 l_text + 段后: 3.6 磅"/>
    <w:basedOn w:val="519"/>
    <w:qFormat/>
    <w:uiPriority w:val="0"/>
    <w:pPr>
      <w:topLinePunct/>
      <w:autoSpaceDE/>
      <w:autoSpaceDN/>
      <w:spacing w:after="72"/>
    </w:pPr>
    <w:rPr>
      <w:rFonts w:ascii="Times New Roman"/>
    </w:rPr>
  </w:style>
  <w:style w:type="paragraph" w:customStyle="1" w:styleId="647">
    <w:name w:val="点标题"/>
    <w:next w:val="1"/>
    <w:qFormat/>
    <w:uiPriority w:val="0"/>
    <w:pPr>
      <w:widowControl w:val="0"/>
      <w:adjustRightInd w:val="0"/>
      <w:spacing w:line="360" w:lineRule="auto"/>
      <w:ind w:left="284" w:right="284" w:firstLine="482"/>
      <w:textAlignment w:val="baseline"/>
    </w:pPr>
    <w:rPr>
      <w:rFonts w:ascii="Times New Roman" w:hAnsi="Times New Roman" w:eastAsia="仿宋体" w:cs="Times New Roman"/>
      <w:sz w:val="28"/>
      <w:lang w:val="en-US" w:eastAsia="zh-CN" w:bidi="ar-SA"/>
    </w:rPr>
  </w:style>
  <w:style w:type="paragraph" w:customStyle="1" w:styleId="648">
    <w:name w:val="分标题"/>
    <w:basedOn w:val="1"/>
    <w:next w:val="1"/>
    <w:qFormat/>
    <w:uiPriority w:val="0"/>
    <w:pPr>
      <w:widowControl/>
      <w:spacing w:before="50" w:line="480" w:lineRule="atLeast"/>
      <w:ind w:firstLine="560" w:firstLineChars="200"/>
    </w:pPr>
    <w:rPr>
      <w:rFonts w:ascii="宋体" w:hAnsi="宋体" w:eastAsia="仿宋_GB2312" w:cs="宋体"/>
      <w:color w:val="000000"/>
      <w:sz w:val="24"/>
      <w:szCs w:val="28"/>
    </w:rPr>
  </w:style>
  <w:style w:type="paragraph" w:customStyle="1" w:styleId="649">
    <w:name w:val="图底11"/>
    <w:basedOn w:val="1"/>
    <w:qFormat/>
    <w:uiPriority w:val="0"/>
    <w:pPr>
      <w:adjustRightInd w:val="0"/>
      <w:snapToGrid w:val="0"/>
      <w:spacing w:beforeLines="50" w:line="300" w:lineRule="auto"/>
      <w:jc w:val="center"/>
    </w:pPr>
    <w:rPr>
      <w:rFonts w:eastAsia="黑体"/>
      <w:kern w:val="0"/>
      <w:sz w:val="24"/>
      <w:szCs w:val="22"/>
    </w:rPr>
  </w:style>
  <w:style w:type="paragraph" w:customStyle="1" w:styleId="650">
    <w:name w:val="正文 + 加粗"/>
    <w:basedOn w:val="1"/>
    <w:qFormat/>
    <w:uiPriority w:val="0"/>
    <w:pPr>
      <w:spacing w:line="312" w:lineRule="auto"/>
    </w:pPr>
    <w:rPr>
      <w:rFonts w:ascii="Arial" w:hAnsi="Arial"/>
      <w:b/>
      <w:szCs w:val="20"/>
    </w:rPr>
  </w:style>
  <w:style w:type="paragraph" w:customStyle="1" w:styleId="651">
    <w:name w:val="q"/>
    <w:basedOn w:val="1"/>
    <w:qFormat/>
    <w:uiPriority w:val="0"/>
    <w:pPr>
      <w:widowControl/>
      <w:tabs>
        <w:tab w:val="left" w:pos="1080"/>
      </w:tabs>
      <w:overflowPunct w:val="0"/>
      <w:autoSpaceDE w:val="0"/>
      <w:autoSpaceDN w:val="0"/>
      <w:adjustRightInd w:val="0"/>
      <w:spacing w:before="120"/>
      <w:ind w:left="964" w:hanging="284"/>
      <w:textAlignment w:val="baseline"/>
    </w:pPr>
    <w:rPr>
      <w:rFonts w:ascii="Arial" w:hAnsi="Arial" w:eastAsia="楷体_GB2312"/>
      <w:spacing w:val="-30"/>
      <w:kern w:val="0"/>
      <w:sz w:val="24"/>
      <w:szCs w:val="20"/>
    </w:rPr>
  </w:style>
  <w:style w:type="paragraph" w:customStyle="1" w:styleId="652">
    <w:name w:val="表中"/>
    <w:basedOn w:val="1"/>
    <w:qFormat/>
    <w:uiPriority w:val="0"/>
    <w:pPr>
      <w:keepNext/>
      <w:snapToGrid w:val="0"/>
      <w:spacing w:line="200" w:lineRule="atLeast"/>
      <w:jc w:val="center"/>
    </w:pPr>
    <w:rPr>
      <w:rFonts w:ascii="宋体" w:hAnsi="宋体" w:cs="宋体"/>
      <w:sz w:val="24"/>
      <w:szCs w:val="22"/>
    </w:rPr>
  </w:style>
  <w:style w:type="paragraph" w:customStyle="1" w:styleId="653">
    <w:name w:val="3"/>
    <w:basedOn w:val="6"/>
    <w:qFormat/>
    <w:uiPriority w:val="0"/>
    <w:pPr>
      <w:tabs>
        <w:tab w:val="left" w:pos="1134"/>
        <w:tab w:val="left" w:pos="1560"/>
        <w:tab w:val="left" w:pos="1830"/>
      </w:tabs>
      <w:spacing w:before="60" w:after="60" w:line="300" w:lineRule="auto"/>
      <w:ind w:left="1830" w:hanging="420"/>
    </w:pPr>
    <w:rPr>
      <w:rFonts w:ascii="Arial" w:hAnsi="Arial" w:eastAsia="黑体"/>
      <w:b w:val="0"/>
      <w:bCs w:val="0"/>
      <w:kern w:val="2"/>
      <w:sz w:val="28"/>
      <w:szCs w:val="20"/>
    </w:rPr>
  </w:style>
  <w:style w:type="paragraph" w:customStyle="1" w:styleId="654">
    <w:name w:val="样式 标题 1 + 黑体 三号 非加粗 居中 段前: 6 磅 段后: 6 磅 行距: 固定值 20 磅"/>
    <w:basedOn w:val="4"/>
    <w:qFormat/>
    <w:uiPriority w:val="0"/>
    <w:pPr>
      <w:spacing w:before="120" w:after="120" w:line="400" w:lineRule="exact"/>
      <w:jc w:val="center"/>
    </w:pPr>
    <w:rPr>
      <w:rFonts w:ascii="黑体" w:hAnsi="黑体" w:cs="宋体"/>
      <w:b w:val="0"/>
      <w:bCs w:val="0"/>
      <w:sz w:val="32"/>
      <w:szCs w:val="20"/>
    </w:rPr>
  </w:style>
  <w:style w:type="paragraph" w:customStyle="1" w:styleId="655">
    <w:name w:val="CM6"/>
    <w:basedOn w:val="181"/>
    <w:next w:val="181"/>
    <w:qFormat/>
    <w:uiPriority w:val="0"/>
    <w:pPr>
      <w:adjustRightInd/>
      <w:spacing w:line="360" w:lineRule="atLeast"/>
    </w:pPr>
    <w:rPr>
      <w:rFonts w:hint="eastAsia" w:ascii="宋体" w:hAnsi="Calibri"/>
      <w:kern w:val="0"/>
      <w:szCs w:val="20"/>
    </w:rPr>
  </w:style>
  <w:style w:type="paragraph" w:customStyle="1" w:styleId="656">
    <w:name w:val="条款"/>
    <w:basedOn w:val="1"/>
    <w:next w:val="43"/>
    <w:qFormat/>
    <w:uiPriority w:val="0"/>
    <w:rPr>
      <w:rFonts w:ascii="宋体" w:hAnsi="Courier New"/>
      <w:sz w:val="28"/>
      <w:szCs w:val="20"/>
    </w:rPr>
  </w:style>
  <w:style w:type="paragraph" w:customStyle="1" w:styleId="657">
    <w:name w:val="报告名"/>
    <w:basedOn w:val="1"/>
    <w:qFormat/>
    <w:uiPriority w:val="0"/>
    <w:pPr>
      <w:keepNext/>
      <w:adjustRightInd w:val="0"/>
      <w:snapToGrid w:val="0"/>
      <w:spacing w:beforeLines="50" w:line="300" w:lineRule="auto"/>
      <w:ind w:firstLine="5" w:firstLineChars="2"/>
      <w:jc w:val="center"/>
    </w:pPr>
    <w:rPr>
      <w:rFonts w:ascii="文鼎大标宋简" w:eastAsia="文鼎大标宋简" w:cs="文鼎大标宋简"/>
      <w:sz w:val="56"/>
      <w:szCs w:val="56"/>
    </w:rPr>
  </w:style>
  <w:style w:type="paragraph" w:customStyle="1" w:styleId="658">
    <w:name w:val="xl24"/>
    <w:basedOn w:val="1"/>
    <w:qFormat/>
    <w:uiPriority w:val="0"/>
    <w:pPr>
      <w:widowControl/>
      <w:spacing w:before="100" w:beforeAutospacing="1" w:after="100" w:afterAutospacing="1"/>
      <w:jc w:val="center"/>
    </w:pPr>
    <w:rPr>
      <w:rFonts w:ascii="宋体" w:hAnsi="宋体"/>
      <w:kern w:val="0"/>
      <w:sz w:val="24"/>
      <w:szCs w:val="20"/>
    </w:rPr>
  </w:style>
  <w:style w:type="paragraph" w:customStyle="1" w:styleId="659">
    <w:name w:val="p0"/>
    <w:basedOn w:val="1"/>
    <w:qFormat/>
    <w:uiPriority w:val="0"/>
    <w:pPr>
      <w:widowControl/>
    </w:pPr>
    <w:rPr>
      <w:rFonts w:ascii="宋体" w:hAnsi="宋体"/>
      <w:kern w:val="0"/>
      <w:sz w:val="30"/>
      <w:szCs w:val="20"/>
    </w:rPr>
  </w:style>
  <w:style w:type="paragraph" w:customStyle="1" w:styleId="660">
    <w:name w:val="CM91"/>
    <w:basedOn w:val="181"/>
    <w:next w:val="181"/>
    <w:qFormat/>
    <w:uiPriority w:val="0"/>
    <w:pPr>
      <w:spacing w:after="160"/>
    </w:pPr>
    <w:rPr>
      <w:rFonts w:ascii="宋体"/>
      <w:color w:val="auto"/>
      <w:kern w:val="0"/>
      <w:szCs w:val="20"/>
    </w:rPr>
  </w:style>
  <w:style w:type="paragraph" w:customStyle="1" w:styleId="661">
    <w:name w:val="签署栏"/>
    <w:basedOn w:val="1"/>
    <w:qFormat/>
    <w:uiPriority w:val="0"/>
    <w:pPr>
      <w:keepNext/>
      <w:spacing w:line="300" w:lineRule="auto"/>
      <w:jc w:val="center"/>
    </w:pPr>
    <w:rPr>
      <w:rFonts w:ascii="黑体" w:eastAsia="黑体" w:cs="黑体"/>
      <w:spacing w:val="80"/>
      <w:sz w:val="32"/>
      <w:szCs w:val="32"/>
    </w:rPr>
  </w:style>
  <w:style w:type="paragraph" w:customStyle="1" w:styleId="662">
    <w:name w:val="节内编号2"/>
    <w:qFormat/>
    <w:uiPriority w:val="0"/>
    <w:pPr>
      <w:adjustRightInd w:val="0"/>
      <w:snapToGrid w:val="0"/>
      <w:spacing w:line="300" w:lineRule="auto"/>
      <w:ind w:right="210" w:rightChars="100"/>
      <w:jc w:val="both"/>
    </w:pPr>
    <w:rPr>
      <w:rFonts w:ascii="宋体" w:hAnsi="宋体" w:eastAsia="宋体" w:cs="宋体"/>
      <w:color w:val="000000"/>
      <w:sz w:val="28"/>
      <w:szCs w:val="28"/>
      <w:lang w:val="en-US" w:eastAsia="zh-CN" w:bidi="ar-SA"/>
    </w:rPr>
  </w:style>
  <w:style w:type="paragraph" w:customStyle="1" w:styleId="663">
    <w:name w:val="table"/>
    <w:basedOn w:val="1"/>
    <w:qFormat/>
    <w:uiPriority w:val="0"/>
    <w:pPr>
      <w:widowControl/>
      <w:overflowPunct w:val="0"/>
      <w:autoSpaceDE w:val="0"/>
      <w:autoSpaceDN w:val="0"/>
      <w:adjustRightInd w:val="0"/>
      <w:spacing w:before="60" w:after="60"/>
      <w:ind w:left="-115" w:firstLine="115"/>
      <w:jc w:val="center"/>
      <w:textAlignment w:val="baseline"/>
    </w:pPr>
    <w:rPr>
      <w:rFonts w:ascii="仿宋体" w:eastAsia="仿宋体"/>
      <w:kern w:val="0"/>
      <w:sz w:val="24"/>
      <w:szCs w:val="20"/>
    </w:rPr>
  </w:style>
  <w:style w:type="paragraph" w:customStyle="1" w:styleId="664">
    <w:name w:val="cucd-1"/>
    <w:next w:val="360"/>
    <w:qFormat/>
    <w:uiPriority w:val="0"/>
    <w:pPr>
      <w:pageBreakBefore/>
      <w:tabs>
        <w:tab w:val="left" w:pos="778"/>
        <w:tab w:val="left" w:pos="3305"/>
      </w:tabs>
      <w:spacing w:beforeLines="100" w:afterLines="50" w:line="360" w:lineRule="auto"/>
      <w:ind w:left="778" w:hanging="360"/>
      <w:jc w:val="center"/>
      <w:outlineLvl w:val="0"/>
    </w:pPr>
    <w:rPr>
      <w:rFonts w:ascii="Times New Roman" w:hAnsi="Times New Roman" w:eastAsia="黑体" w:cs="Times New Roman"/>
      <w:b/>
      <w:kern w:val="2"/>
      <w:sz w:val="36"/>
      <w:lang w:val="en-US" w:eastAsia="zh-CN" w:bidi="ar-SA"/>
    </w:rPr>
  </w:style>
  <w:style w:type="paragraph" w:customStyle="1" w:styleId="665">
    <w:name w:val="主要条文"/>
    <w:basedOn w:val="1"/>
    <w:qFormat/>
    <w:uiPriority w:val="0"/>
    <w:pPr>
      <w:spacing w:before="100" w:after="100" w:line="400" w:lineRule="exact"/>
      <w:outlineLvl w:val="0"/>
    </w:pPr>
    <w:rPr>
      <w:rFonts w:ascii="宋体" w:hAnsi="宋体"/>
      <w:b/>
      <w:bCs/>
      <w:sz w:val="28"/>
      <w:szCs w:val="22"/>
    </w:rPr>
  </w:style>
  <w:style w:type="paragraph" w:customStyle="1" w:styleId="666">
    <w:name w:val="正文文本 21"/>
    <w:basedOn w:val="1"/>
    <w:qFormat/>
    <w:uiPriority w:val="0"/>
    <w:pPr>
      <w:autoSpaceDE w:val="0"/>
      <w:autoSpaceDN w:val="0"/>
      <w:adjustRightInd w:val="0"/>
      <w:spacing w:line="380" w:lineRule="atLeast"/>
      <w:textAlignment w:val="baseline"/>
    </w:pPr>
    <w:rPr>
      <w:spacing w:val="10"/>
      <w:kern w:val="0"/>
      <w:sz w:val="24"/>
      <w:szCs w:val="20"/>
    </w:rPr>
  </w:style>
  <w:style w:type="paragraph" w:customStyle="1" w:styleId="667">
    <w:name w:val="xl27"/>
    <w:basedOn w:val="1"/>
    <w:qFormat/>
    <w:uiPriority w:val="0"/>
    <w:pPr>
      <w:widowControl/>
      <w:pBdr>
        <w:left w:val="single" w:color="auto" w:sz="4" w:space="0"/>
        <w:bottom w:val="single" w:color="auto" w:sz="4" w:space="0"/>
        <w:right w:val="single" w:color="auto" w:sz="4" w:space="0"/>
      </w:pBdr>
      <w:spacing w:before="100" w:beforeAutospacing="1" w:after="100" w:afterAutospacing="1"/>
    </w:pPr>
    <w:rPr>
      <w:kern w:val="0"/>
      <w:szCs w:val="20"/>
    </w:rPr>
  </w:style>
  <w:style w:type="paragraph" w:customStyle="1" w:styleId="668">
    <w:name w:val="表内"/>
    <w:basedOn w:val="1"/>
    <w:qFormat/>
    <w:uiPriority w:val="0"/>
    <w:pPr>
      <w:widowControl/>
      <w:jc w:val="center"/>
    </w:pPr>
    <w:rPr>
      <w:rFonts w:ascii="宋体" w:hAnsi="宋体" w:cs="宋体"/>
      <w:szCs w:val="22"/>
    </w:rPr>
  </w:style>
  <w:style w:type="paragraph" w:customStyle="1" w:styleId="669">
    <w:name w:val="ZB第一章"/>
    <w:basedOn w:val="5"/>
    <w:qFormat/>
    <w:uiPriority w:val="0"/>
    <w:pPr>
      <w:tabs>
        <w:tab w:val="left" w:pos="0"/>
      </w:tabs>
      <w:adjustRightInd w:val="0"/>
      <w:snapToGrid w:val="0"/>
      <w:spacing w:before="0" w:after="0" w:line="360" w:lineRule="auto"/>
      <w:ind w:left="840" w:hanging="420"/>
      <w:jc w:val="center"/>
    </w:pPr>
    <w:rPr>
      <w:rFonts w:ascii="Times New Roman" w:hAnsi="Times New Roman" w:eastAsia="宋体"/>
      <w:kern w:val="2"/>
      <w:sz w:val="44"/>
    </w:rPr>
  </w:style>
  <w:style w:type="paragraph" w:customStyle="1" w:styleId="670">
    <w:name w:val="表格内容"/>
    <w:basedOn w:val="9"/>
    <w:next w:val="9"/>
    <w:qFormat/>
    <w:uiPriority w:val="0"/>
    <w:pPr>
      <w:adjustRightInd w:val="0"/>
      <w:snapToGrid w:val="0"/>
      <w:ind w:left="-108" w:right="-108" w:firstLine="43" w:firstLineChars="18"/>
      <w:jc w:val="center"/>
    </w:pPr>
    <w:rPr>
      <w:rFonts w:ascii="Arial" w:hAnsi="Arial" w:eastAsia="仿宋_GB2312" w:cs="Arial"/>
      <w:sz w:val="24"/>
      <w:szCs w:val="24"/>
    </w:rPr>
  </w:style>
  <w:style w:type="paragraph" w:customStyle="1" w:styleId="671">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672">
    <w:name w:val="秦沈线1"/>
    <w:basedOn w:val="1"/>
    <w:next w:val="1"/>
    <w:qFormat/>
    <w:uiPriority w:val="0"/>
    <w:pPr>
      <w:tabs>
        <w:tab w:val="left" w:pos="700"/>
      </w:tabs>
      <w:adjustRightInd w:val="0"/>
      <w:snapToGrid w:val="0"/>
      <w:spacing w:beforeLines="50" w:line="300" w:lineRule="auto"/>
      <w:ind w:firstLine="200" w:firstLineChars="200"/>
    </w:pPr>
    <w:rPr>
      <w:rFonts w:ascii="仿宋_GB2312" w:hAnsi="Verdana" w:eastAsia="仿宋_GB2312"/>
      <w:b/>
      <w:bCs/>
      <w:snapToGrid w:val="0"/>
      <w:kern w:val="0"/>
      <w:sz w:val="28"/>
      <w:szCs w:val="28"/>
      <w:lang w:eastAsia="en-US"/>
    </w:rPr>
  </w:style>
  <w:style w:type="paragraph" w:customStyle="1" w:styleId="673">
    <w:name w:val="样式 标题 1 + 行距: 多倍行距 1.25 字行"/>
    <w:basedOn w:val="4"/>
    <w:qFormat/>
    <w:uiPriority w:val="0"/>
    <w:pPr>
      <w:pageBreakBefore/>
      <w:tabs>
        <w:tab w:val="left" w:pos="420"/>
      </w:tabs>
      <w:spacing w:after="300" w:line="480" w:lineRule="auto"/>
      <w:ind w:left="780" w:hanging="360"/>
      <w:jc w:val="center"/>
    </w:pPr>
    <w:rPr>
      <w:bCs w:val="0"/>
      <w:sz w:val="40"/>
      <w:szCs w:val="20"/>
    </w:rPr>
  </w:style>
  <w:style w:type="paragraph" w:customStyle="1" w:styleId="674">
    <w:name w:val="项目号"/>
    <w:basedOn w:val="1"/>
    <w:qFormat/>
    <w:uiPriority w:val="0"/>
    <w:pPr>
      <w:keepNext/>
      <w:snapToGrid w:val="0"/>
      <w:spacing w:beforeLines="50" w:line="300" w:lineRule="auto"/>
      <w:jc w:val="center"/>
    </w:pPr>
    <w:rPr>
      <w:rFonts w:ascii="宋体" w:cs="宋体"/>
      <w:sz w:val="32"/>
      <w:szCs w:val="32"/>
    </w:rPr>
  </w:style>
  <w:style w:type="paragraph" w:customStyle="1" w:styleId="675">
    <w:name w:val="报告标2"/>
    <w:basedOn w:val="1"/>
    <w:next w:val="1"/>
    <w:qFormat/>
    <w:uiPriority w:val="0"/>
    <w:pPr>
      <w:adjustRightInd w:val="0"/>
      <w:snapToGrid w:val="0"/>
      <w:spacing w:line="300" w:lineRule="auto"/>
    </w:pPr>
    <w:rPr>
      <w:rFonts w:ascii="黑体" w:eastAsia="黑体" w:cs="黑体"/>
      <w:sz w:val="28"/>
      <w:szCs w:val="28"/>
    </w:rPr>
  </w:style>
  <w:style w:type="paragraph" w:customStyle="1" w:styleId="676">
    <w:name w:val="标题一"/>
    <w:basedOn w:val="1"/>
    <w:next w:val="1"/>
    <w:qFormat/>
    <w:uiPriority w:val="0"/>
    <w:pPr>
      <w:widowControl/>
      <w:tabs>
        <w:tab w:val="left" w:pos="0"/>
        <w:tab w:val="left" w:pos="420"/>
        <w:tab w:val="left" w:pos="3649"/>
      </w:tabs>
      <w:spacing w:beforeLines="200" w:afterLines="200"/>
      <w:ind w:left="3649" w:hanging="1125"/>
      <w:outlineLvl w:val="0"/>
    </w:pPr>
    <w:rPr>
      <w:rFonts w:ascii="宋体" w:hAnsi="宋体" w:cs="宋体"/>
      <w:b/>
      <w:sz w:val="36"/>
      <w:szCs w:val="22"/>
    </w:rPr>
  </w:style>
  <w:style w:type="paragraph" w:customStyle="1" w:styleId="677">
    <w:name w:val="reader-word-layer reader-word-s1-10"/>
    <w:basedOn w:val="1"/>
    <w:qFormat/>
    <w:uiPriority w:val="0"/>
    <w:pPr>
      <w:widowControl/>
      <w:spacing w:before="100" w:beforeAutospacing="1" w:after="100" w:afterAutospacing="1"/>
      <w:jc w:val="left"/>
    </w:pPr>
    <w:rPr>
      <w:rFonts w:ascii="宋体" w:hAnsi="宋体" w:cs="宋体"/>
      <w:kern w:val="0"/>
      <w:sz w:val="24"/>
      <w:szCs w:val="22"/>
    </w:rPr>
  </w:style>
  <w:style w:type="paragraph" w:customStyle="1" w:styleId="678">
    <w:name w:val="标题－3"/>
    <w:basedOn w:val="1"/>
    <w:qFormat/>
    <w:uiPriority w:val="0"/>
    <w:pPr>
      <w:keepNext/>
      <w:keepLines/>
      <w:adjustRightInd w:val="0"/>
      <w:snapToGrid w:val="0"/>
      <w:spacing w:line="360" w:lineRule="auto"/>
      <w:jc w:val="left"/>
      <w:outlineLvl w:val="2"/>
    </w:pPr>
    <w:rPr>
      <w:rFonts w:eastAsia="黑体"/>
      <w:color w:val="FF00FF"/>
      <w:sz w:val="28"/>
      <w:szCs w:val="22"/>
    </w:rPr>
  </w:style>
  <w:style w:type="paragraph" w:customStyle="1" w:styleId="679">
    <w:name w:val="王海兰"/>
    <w:basedOn w:val="1"/>
    <w:next w:val="1"/>
    <w:qFormat/>
    <w:uiPriority w:val="0"/>
    <w:pPr>
      <w:spacing w:line="360" w:lineRule="auto"/>
      <w:ind w:left="-84" w:leftChars="-30" w:right="-76" w:rightChars="-27" w:firstLine="560" w:firstLineChars="200"/>
      <w:jc w:val="left"/>
    </w:pPr>
    <w:rPr>
      <w:rFonts w:ascii="Arial" w:hAnsi="Arial" w:cs="Arial"/>
      <w:sz w:val="28"/>
      <w:szCs w:val="28"/>
    </w:rPr>
  </w:style>
  <w:style w:type="paragraph" w:customStyle="1" w:styleId="680">
    <w:name w:val="表格索引"/>
    <w:basedOn w:val="1"/>
    <w:qFormat/>
    <w:uiPriority w:val="0"/>
    <w:pPr>
      <w:adjustRightInd w:val="0"/>
      <w:snapToGrid w:val="0"/>
      <w:spacing w:line="300" w:lineRule="auto"/>
      <w:jc w:val="center"/>
    </w:pPr>
    <w:rPr>
      <w:rFonts w:ascii="黑体" w:eastAsia="黑体"/>
      <w:sz w:val="24"/>
      <w:szCs w:val="22"/>
    </w:rPr>
  </w:style>
  <w:style w:type="paragraph" w:customStyle="1" w:styleId="681">
    <w:name w:val="姓名"/>
    <w:basedOn w:val="1"/>
    <w:qFormat/>
    <w:uiPriority w:val="0"/>
    <w:pPr>
      <w:adjustRightInd w:val="0"/>
      <w:spacing w:line="240" w:lineRule="atLeast"/>
      <w:ind w:firstLine="200" w:firstLineChars="200"/>
      <w:jc w:val="center"/>
    </w:pPr>
    <w:rPr>
      <w:rFonts w:eastAsia="仿宋_GB2312"/>
      <w:sz w:val="28"/>
      <w:szCs w:val="20"/>
    </w:rPr>
  </w:style>
  <w:style w:type="paragraph" w:customStyle="1" w:styleId="682">
    <w:name w:val="节名"/>
    <w:basedOn w:val="1"/>
    <w:qFormat/>
    <w:uiPriority w:val="0"/>
    <w:pPr>
      <w:adjustRightInd w:val="0"/>
      <w:snapToGrid w:val="0"/>
      <w:spacing w:line="300" w:lineRule="auto"/>
      <w:jc w:val="center"/>
    </w:pPr>
    <w:rPr>
      <w:rFonts w:ascii="黑体" w:eastAsia="黑体" w:cs="黑体"/>
      <w:sz w:val="24"/>
      <w:szCs w:val="22"/>
    </w:rPr>
  </w:style>
  <w:style w:type="paragraph" w:customStyle="1" w:styleId="683">
    <w:name w:val="标题2-2"/>
    <w:basedOn w:val="5"/>
    <w:qFormat/>
    <w:uiPriority w:val="0"/>
    <w:pPr>
      <w:spacing w:before="120" w:after="0" w:line="300" w:lineRule="auto"/>
      <w:jc w:val="center"/>
    </w:pPr>
    <w:rPr>
      <w:rFonts w:ascii="Times New Roman" w:hAnsi="Times New Roman" w:eastAsia="宋体"/>
      <w:b w:val="0"/>
      <w:bCs w:val="0"/>
      <w:kern w:val="2"/>
      <w:sz w:val="28"/>
      <w:szCs w:val="20"/>
    </w:rPr>
  </w:style>
  <w:style w:type="paragraph" w:customStyle="1" w:styleId="684">
    <w:name w:val="正文文本1"/>
    <w:basedOn w:val="1"/>
    <w:qFormat/>
    <w:uiPriority w:val="0"/>
    <w:pPr>
      <w:widowControl/>
      <w:spacing w:after="120"/>
      <w:jc w:val="left"/>
    </w:pPr>
    <w:rPr>
      <w:kern w:val="0"/>
      <w:szCs w:val="20"/>
    </w:rPr>
  </w:style>
  <w:style w:type="paragraph" w:customStyle="1" w:styleId="685">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686">
    <w:name w:val="模板标题4"/>
    <w:basedOn w:val="7"/>
    <w:next w:val="1"/>
    <w:qFormat/>
    <w:uiPriority w:val="0"/>
    <w:pPr>
      <w:tabs>
        <w:tab w:val="left" w:pos="2160"/>
      </w:tabs>
      <w:spacing w:before="240" w:after="240" w:line="240" w:lineRule="auto"/>
      <w:ind w:left="2160" w:hanging="420"/>
      <w:jc w:val="left"/>
    </w:pPr>
    <w:rPr>
      <w:rFonts w:ascii="Times New Roman" w:hAnsi="Times New Roman" w:eastAsia="宋体"/>
      <w:b w:val="0"/>
      <w:sz w:val="24"/>
    </w:rPr>
  </w:style>
  <w:style w:type="paragraph" w:customStyle="1" w:styleId="687">
    <w:name w:val="CM1"/>
    <w:basedOn w:val="181"/>
    <w:next w:val="181"/>
    <w:qFormat/>
    <w:uiPriority w:val="0"/>
    <w:pPr>
      <w:adjustRightInd/>
    </w:pPr>
    <w:rPr>
      <w:rFonts w:hint="eastAsia" w:ascii="宋体" w:hAnsi="Calibri"/>
      <w:kern w:val="0"/>
      <w:szCs w:val="20"/>
    </w:rPr>
  </w:style>
  <w:style w:type="paragraph" w:customStyle="1" w:styleId="688">
    <w:name w:val="续表"/>
    <w:basedOn w:val="11"/>
    <w:qFormat/>
    <w:uiPriority w:val="0"/>
    <w:pPr>
      <w:keepLines w:val="0"/>
      <w:tabs>
        <w:tab w:val="left" w:pos="1296"/>
      </w:tabs>
      <w:snapToGrid w:val="0"/>
      <w:spacing w:before="0" w:after="0" w:line="300" w:lineRule="auto"/>
      <w:ind w:left="1296" w:hanging="1296"/>
      <w:jc w:val="center"/>
    </w:pPr>
    <w:rPr>
      <w:rFonts w:ascii="黑体" w:eastAsia="黑体" w:cs="黑体"/>
      <w:b w:val="0"/>
      <w:szCs w:val="22"/>
    </w:rPr>
  </w:style>
  <w:style w:type="paragraph" w:customStyle="1" w:styleId="689">
    <w:name w:val="小表左"/>
    <w:basedOn w:val="1"/>
    <w:qFormat/>
    <w:uiPriority w:val="0"/>
    <w:pPr>
      <w:keepNext/>
      <w:adjustRightInd w:val="0"/>
      <w:snapToGrid w:val="0"/>
      <w:spacing w:line="240" w:lineRule="atLeast"/>
      <w:jc w:val="center"/>
    </w:pPr>
    <w:rPr>
      <w:rFonts w:ascii="宋体" w:hAnsi="宋体" w:cs="宋体"/>
      <w:color w:val="000000"/>
      <w:kern w:val="0"/>
      <w:sz w:val="24"/>
      <w:szCs w:val="22"/>
    </w:rPr>
  </w:style>
  <w:style w:type="paragraph" w:customStyle="1" w:styleId="690">
    <w:name w:val="CM2"/>
    <w:basedOn w:val="181"/>
    <w:next w:val="181"/>
    <w:qFormat/>
    <w:uiPriority w:val="0"/>
    <w:pPr>
      <w:adjustRightInd/>
      <w:spacing w:line="360" w:lineRule="atLeast"/>
    </w:pPr>
    <w:rPr>
      <w:rFonts w:hint="eastAsia" w:ascii="宋体" w:hAnsi="Calibri"/>
      <w:kern w:val="0"/>
      <w:szCs w:val="20"/>
    </w:rPr>
  </w:style>
  <w:style w:type="paragraph" w:customStyle="1" w:styleId="691">
    <w:name w:val="正缩进"/>
    <w:basedOn w:val="1"/>
    <w:qFormat/>
    <w:uiPriority w:val="0"/>
    <w:pPr>
      <w:spacing w:line="360" w:lineRule="auto"/>
      <w:ind w:firstLine="454"/>
    </w:pPr>
    <w:rPr>
      <w:sz w:val="24"/>
      <w:szCs w:val="20"/>
    </w:rPr>
  </w:style>
  <w:style w:type="paragraph" w:customStyle="1" w:styleId="692">
    <w:name w:val="1"/>
    <w:basedOn w:val="1"/>
    <w:next w:val="68"/>
    <w:qFormat/>
    <w:uiPriority w:val="0"/>
    <w:pPr>
      <w:tabs>
        <w:tab w:val="left" w:pos="780"/>
        <w:tab w:val="left" w:pos="900"/>
      </w:tabs>
      <w:adjustRightInd w:val="0"/>
      <w:snapToGrid w:val="0"/>
      <w:spacing w:before="156" w:after="156" w:line="400" w:lineRule="atLeast"/>
      <w:ind w:left="869" w:leftChars="50" w:right="32" w:firstLine="599" w:firstLineChars="214"/>
    </w:pPr>
    <w:rPr>
      <w:sz w:val="28"/>
      <w:szCs w:val="20"/>
    </w:rPr>
  </w:style>
  <w:style w:type="paragraph" w:customStyle="1" w:styleId="693">
    <w:name w:val="假标题1"/>
    <w:basedOn w:val="537"/>
    <w:qFormat/>
    <w:uiPriority w:val="0"/>
    <w:pPr>
      <w:keepNext w:val="0"/>
      <w:autoSpaceDE w:val="0"/>
      <w:autoSpaceDN w:val="0"/>
      <w:adjustRightInd w:val="0"/>
      <w:spacing w:beforeLines="0" w:line="336" w:lineRule="auto"/>
      <w:outlineLvl w:val="9"/>
    </w:pPr>
    <w:rPr>
      <w:rFonts w:ascii="Times New Roman" w:hAnsi="宋体" w:cs="Times New Roman"/>
      <w:b w:val="0"/>
      <w:bCs w:val="0"/>
      <w:kern w:val="0"/>
      <w:sz w:val="15"/>
      <w:szCs w:val="15"/>
      <w:lang w:val="zh-CN"/>
    </w:rPr>
  </w:style>
  <w:style w:type="paragraph" w:customStyle="1" w:styleId="694">
    <w:name w:val="表5号字"/>
    <w:qFormat/>
    <w:uiPriority w:val="0"/>
    <w:pPr>
      <w:keepNext/>
      <w:widowControl w:val="0"/>
      <w:adjustRightInd w:val="0"/>
      <w:spacing w:before="120" w:line="60" w:lineRule="atLeast"/>
      <w:jc w:val="center"/>
      <w:textAlignment w:val="baseline"/>
    </w:pPr>
    <w:rPr>
      <w:rFonts w:ascii="Times New Roman" w:hAnsi="Times New Roman" w:eastAsia="宋体" w:cs="Times New Roman"/>
      <w:sz w:val="21"/>
      <w:lang w:val="en-US" w:eastAsia="zh-CN" w:bidi="ar-SA"/>
    </w:rPr>
  </w:style>
  <w:style w:type="paragraph" w:customStyle="1" w:styleId="695">
    <w:name w:val="textstyle1"/>
    <w:basedOn w:val="1"/>
    <w:qFormat/>
    <w:uiPriority w:val="0"/>
    <w:pPr>
      <w:widowControl/>
      <w:overflowPunct w:val="0"/>
      <w:autoSpaceDE w:val="0"/>
      <w:autoSpaceDN w:val="0"/>
      <w:adjustRightInd w:val="0"/>
      <w:spacing w:before="120"/>
      <w:ind w:left="288" w:firstLine="432"/>
      <w:textAlignment w:val="baseline"/>
    </w:pPr>
    <w:rPr>
      <w:rFonts w:ascii="楷体" w:eastAsia="楷体"/>
      <w:kern w:val="0"/>
      <w:sz w:val="24"/>
      <w:szCs w:val="20"/>
    </w:rPr>
  </w:style>
  <w:style w:type="paragraph" w:customStyle="1" w:styleId="696">
    <w:name w:val="样式 标题 3头 + 行距: 多倍行距 0.5 字行"/>
    <w:basedOn w:val="6"/>
    <w:qFormat/>
    <w:uiPriority w:val="0"/>
    <w:pPr>
      <w:tabs>
        <w:tab w:val="left" w:pos="578"/>
        <w:tab w:val="left" w:pos="1560"/>
      </w:tabs>
      <w:spacing w:before="60" w:after="60" w:line="120" w:lineRule="auto"/>
      <w:ind w:left="578" w:hanging="578"/>
    </w:pPr>
    <w:rPr>
      <w:bCs w:val="0"/>
      <w:kern w:val="2"/>
      <w:sz w:val="28"/>
      <w:szCs w:val="20"/>
    </w:rPr>
  </w:style>
  <w:style w:type="paragraph" w:customStyle="1" w:styleId="697">
    <w:name w:val="报告题目"/>
    <w:basedOn w:val="4"/>
    <w:qFormat/>
    <w:uiPriority w:val="0"/>
    <w:pPr>
      <w:widowControl/>
      <w:autoSpaceDE w:val="0"/>
      <w:autoSpaceDN w:val="0"/>
      <w:spacing w:before="480" w:after="120" w:line="240" w:lineRule="auto"/>
      <w:jc w:val="center"/>
      <w:outlineLvl w:val="9"/>
    </w:pPr>
    <w:rPr>
      <w:rFonts w:ascii="Arial" w:hAnsi="Arial" w:cs="宋体"/>
      <w:bCs w:val="0"/>
      <w:sz w:val="30"/>
      <w:szCs w:val="24"/>
    </w:rPr>
  </w:style>
  <w:style w:type="paragraph" w:customStyle="1" w:styleId="698">
    <w:name w:val="题目"/>
    <w:basedOn w:val="1"/>
    <w:next w:val="676"/>
    <w:qFormat/>
    <w:uiPriority w:val="0"/>
    <w:pPr>
      <w:widowControl/>
      <w:spacing w:before="100" w:beforeAutospacing="1" w:after="100" w:afterAutospacing="1"/>
      <w:jc w:val="center"/>
    </w:pPr>
    <w:rPr>
      <w:rFonts w:ascii="宋体" w:hAnsi="宋体" w:cs="宋体"/>
      <w:b/>
      <w:sz w:val="44"/>
      <w:szCs w:val="32"/>
    </w:rPr>
  </w:style>
  <w:style w:type="paragraph" w:customStyle="1" w:styleId="699">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700">
    <w:name w:val="秦沈线"/>
    <w:basedOn w:val="675"/>
    <w:next w:val="269"/>
    <w:qFormat/>
    <w:uiPriority w:val="0"/>
    <w:pPr>
      <w:tabs>
        <w:tab w:val="left" w:pos="700"/>
      </w:tabs>
      <w:spacing w:beforeLines="50"/>
      <w:ind w:firstLine="200" w:firstLineChars="200"/>
    </w:pPr>
    <w:rPr>
      <w:rFonts w:ascii="Times New Roman" w:eastAsia="宋体" w:cs="Times New Roman"/>
      <w:bCs/>
      <w:kern w:val="0"/>
      <w:sz w:val="24"/>
      <w:szCs w:val="24"/>
      <w:lang w:eastAsia="en-US"/>
    </w:rPr>
  </w:style>
  <w:style w:type="paragraph" w:customStyle="1" w:styleId="701">
    <w:name w:val="标题 1 宋体 三号 Char Char"/>
    <w:basedOn w:val="4"/>
    <w:qFormat/>
    <w:uiPriority w:val="0"/>
    <w:pPr>
      <w:tabs>
        <w:tab w:val="left" w:pos="425"/>
      </w:tabs>
      <w:ind w:left="425" w:hanging="425"/>
      <w:jc w:val="center"/>
    </w:pPr>
    <w:rPr>
      <w:rFonts w:ascii="宋体" w:hAnsi="宋体"/>
      <w:sz w:val="32"/>
    </w:rPr>
  </w:style>
  <w:style w:type="paragraph" w:customStyle="1" w:styleId="702">
    <w:name w:val="Zchn Zchn1 Char Char Zchn Zchn Char Char3"/>
    <w:basedOn w:val="1"/>
    <w:qFormat/>
    <w:uiPriority w:val="0"/>
    <w:rPr>
      <w:rFonts w:hint="eastAsia"/>
      <w:szCs w:val="20"/>
    </w:rPr>
  </w:style>
  <w:style w:type="paragraph" w:customStyle="1" w:styleId="703">
    <w:name w:val="样式 宋体 行距: 固定值 18 磅"/>
    <w:basedOn w:val="1"/>
    <w:qFormat/>
    <w:uiPriority w:val="0"/>
    <w:pPr>
      <w:spacing w:before="30" w:line="360" w:lineRule="exact"/>
    </w:pPr>
    <w:rPr>
      <w:rFonts w:ascii="宋体" w:hAnsi="宋体"/>
      <w:szCs w:val="20"/>
    </w:rPr>
  </w:style>
  <w:style w:type="paragraph" w:customStyle="1" w:styleId="704">
    <w:name w:val="图章"/>
    <w:basedOn w:val="1"/>
    <w:qFormat/>
    <w:uiPriority w:val="0"/>
    <w:pPr>
      <w:tabs>
        <w:tab w:val="left" w:pos="1727"/>
        <w:tab w:val="left" w:pos="1884"/>
      </w:tabs>
      <w:adjustRightInd w:val="0"/>
      <w:snapToGrid w:val="0"/>
      <w:jc w:val="left"/>
      <w:outlineLvl w:val="0"/>
    </w:pPr>
    <w:rPr>
      <w:rFonts w:ascii="宋体" w:cs="宋体"/>
      <w:kern w:val="0"/>
      <w:sz w:val="18"/>
      <w:szCs w:val="18"/>
    </w:rPr>
  </w:style>
  <w:style w:type="paragraph" w:customStyle="1" w:styleId="705">
    <w:name w:val="b-b2"/>
    <w:basedOn w:val="5"/>
    <w:next w:val="1"/>
    <w:qFormat/>
    <w:uiPriority w:val="0"/>
    <w:pPr>
      <w:keepNext w:val="0"/>
      <w:keepLines w:val="0"/>
      <w:tabs>
        <w:tab w:val="left" w:pos="1985"/>
      </w:tabs>
      <w:adjustRightInd w:val="0"/>
      <w:snapToGrid w:val="0"/>
      <w:spacing w:before="120" w:after="120" w:line="400" w:lineRule="exact"/>
      <w:jc w:val="left"/>
      <w:textAlignment w:val="baseline"/>
    </w:pPr>
    <w:rPr>
      <w:rFonts w:ascii="黑体" w:hAnsi="Times New Roman" w:eastAsia="宋体"/>
      <w:b w:val="0"/>
      <w:bCs w:val="0"/>
      <w:sz w:val="24"/>
      <w:szCs w:val="20"/>
    </w:rPr>
  </w:style>
  <w:style w:type="paragraph" w:customStyle="1" w:styleId="706">
    <w:name w:val="A.正文"/>
    <w:basedOn w:val="1"/>
    <w:qFormat/>
    <w:uiPriority w:val="0"/>
    <w:pPr>
      <w:widowControl/>
      <w:tabs>
        <w:tab w:val="left" w:pos="964"/>
      </w:tabs>
      <w:spacing w:line="360" w:lineRule="exact"/>
      <w:ind w:left="964" w:hanging="397"/>
    </w:pPr>
    <w:rPr>
      <w:sz w:val="24"/>
      <w:szCs w:val="20"/>
    </w:rPr>
  </w:style>
  <w:style w:type="paragraph" w:customStyle="1" w:styleId="707">
    <w:name w:val="报告标3"/>
    <w:basedOn w:val="1"/>
    <w:qFormat/>
    <w:uiPriority w:val="0"/>
    <w:pPr>
      <w:adjustRightInd w:val="0"/>
      <w:snapToGrid w:val="0"/>
      <w:spacing w:line="300" w:lineRule="auto"/>
    </w:pPr>
    <w:rPr>
      <w:rFonts w:ascii="宋体" w:cs="宋体"/>
      <w:sz w:val="28"/>
      <w:szCs w:val="28"/>
    </w:rPr>
  </w:style>
  <w:style w:type="paragraph" w:customStyle="1" w:styleId="708">
    <w:name w:val="test"/>
    <w:basedOn w:val="1"/>
    <w:qFormat/>
    <w:uiPriority w:val="0"/>
    <w:pPr>
      <w:widowControl/>
      <w:overflowPunct w:val="0"/>
      <w:autoSpaceDE w:val="0"/>
      <w:autoSpaceDN w:val="0"/>
      <w:adjustRightInd w:val="0"/>
      <w:spacing w:before="60" w:after="60"/>
      <w:textAlignment w:val="baseline"/>
    </w:pPr>
    <w:rPr>
      <w:rFonts w:ascii="楷体_GB2312" w:eastAsia="楷体_GB2312"/>
      <w:spacing w:val="-30"/>
      <w:kern w:val="0"/>
      <w:sz w:val="22"/>
      <w:szCs w:val="20"/>
    </w:rPr>
  </w:style>
  <w:style w:type="paragraph" w:customStyle="1" w:styleId="709">
    <w:name w:val="4"/>
    <w:basedOn w:val="7"/>
    <w:qFormat/>
    <w:uiPriority w:val="0"/>
    <w:pPr>
      <w:tabs>
        <w:tab w:val="left" w:pos="1575"/>
      </w:tabs>
      <w:spacing w:before="60" w:after="60" w:line="300" w:lineRule="auto"/>
    </w:pPr>
    <w:rPr>
      <w:rFonts w:ascii="Times New Roman" w:hAnsi="Times New Roman" w:eastAsia="宋体"/>
      <w:b w:val="0"/>
      <w:bCs w:val="0"/>
      <w:sz w:val="24"/>
      <w:szCs w:val="20"/>
    </w:rPr>
  </w:style>
  <w:style w:type="paragraph" w:customStyle="1" w:styleId="71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711">
    <w:name w:val="页眉11"/>
    <w:basedOn w:val="1"/>
    <w:qFormat/>
    <w:uiPriority w:val="0"/>
    <w:pPr>
      <w:tabs>
        <w:tab w:val="left" w:pos="1727"/>
        <w:tab w:val="left" w:pos="1884"/>
        <w:tab w:val="center" w:pos="4153"/>
        <w:tab w:val="right" w:pos="8306"/>
      </w:tabs>
      <w:snapToGrid w:val="0"/>
      <w:jc w:val="center"/>
      <w:outlineLvl w:val="0"/>
    </w:pPr>
    <w:rPr>
      <w:rFonts w:ascii="隶书" w:eastAsia="隶书" w:cs="隶书"/>
      <w:w w:val="90"/>
      <w:szCs w:val="21"/>
    </w:rPr>
  </w:style>
  <w:style w:type="paragraph" w:customStyle="1" w:styleId="712">
    <w:name w:val="2.2标题"/>
    <w:basedOn w:val="1"/>
    <w:next w:val="1"/>
    <w:qFormat/>
    <w:uiPriority w:val="0"/>
    <w:pPr>
      <w:keepNext/>
      <w:tabs>
        <w:tab w:val="left" w:pos="2160"/>
      </w:tabs>
      <w:adjustRightInd w:val="0"/>
      <w:snapToGrid w:val="0"/>
      <w:spacing w:beforeLines="100" w:afterLines="100"/>
      <w:ind w:left="102" w:hanging="360"/>
      <w:jc w:val="center"/>
      <w:outlineLvl w:val="1"/>
    </w:pPr>
    <w:rPr>
      <w:rFonts w:ascii="宋体" w:hAnsi="宋体"/>
      <w:b/>
      <w:bCs/>
      <w:color w:val="000000"/>
      <w:sz w:val="28"/>
      <w:szCs w:val="28"/>
    </w:rPr>
  </w:style>
  <w:style w:type="paragraph" w:customStyle="1" w:styleId="713">
    <w:name w:val="来源"/>
    <w:basedOn w:val="1"/>
    <w:qFormat/>
    <w:uiPriority w:val="0"/>
    <w:pPr>
      <w:ind w:firstLine="420" w:firstLineChars="200"/>
    </w:pPr>
    <w:rPr>
      <w:szCs w:val="22"/>
    </w:rPr>
  </w:style>
  <w:style w:type="paragraph" w:customStyle="1" w:styleId="714">
    <w:name w:val="b-b4"/>
    <w:basedOn w:val="7"/>
    <w:next w:val="1"/>
    <w:qFormat/>
    <w:uiPriority w:val="0"/>
    <w:pPr>
      <w:keepNext w:val="0"/>
      <w:keepLines w:val="0"/>
      <w:tabs>
        <w:tab w:val="left" w:pos="540"/>
        <w:tab w:val="left" w:pos="1575"/>
      </w:tabs>
      <w:spacing w:before="60" w:after="60" w:line="400" w:lineRule="exact"/>
      <w:ind w:firstLine="198"/>
      <w:jc w:val="left"/>
    </w:pPr>
    <w:rPr>
      <w:rFonts w:ascii="黑体" w:hAnsi="宋体" w:eastAsia="宋体"/>
      <w:bCs w:val="0"/>
      <w:kern w:val="0"/>
      <w:szCs w:val="20"/>
    </w:rPr>
  </w:style>
  <w:style w:type="paragraph" w:customStyle="1" w:styleId="715">
    <w:name w:val="标题 4-1"/>
    <w:basedOn w:val="7"/>
    <w:next w:val="1"/>
    <w:qFormat/>
    <w:uiPriority w:val="0"/>
    <w:pPr>
      <w:widowControl/>
      <w:spacing w:before="100" w:beforeAutospacing="1" w:after="100" w:afterAutospacing="1" w:line="240" w:lineRule="auto"/>
    </w:pPr>
    <w:rPr>
      <w:rFonts w:ascii="宋体" w:hAnsi="宋体" w:eastAsia="宋体" w:cs="宋体"/>
      <w:bCs w:val="0"/>
      <w:sz w:val="24"/>
      <w:szCs w:val="20"/>
    </w:rPr>
  </w:style>
  <w:style w:type="paragraph" w:customStyle="1" w:styleId="716">
    <w:name w:val="正文11"/>
    <w:basedOn w:val="1"/>
    <w:qFormat/>
    <w:uiPriority w:val="0"/>
    <w:pPr>
      <w:widowControl/>
      <w:spacing w:after="60"/>
      <w:ind w:firstLine="200" w:firstLineChars="200"/>
    </w:pPr>
    <w:rPr>
      <w:rFonts w:ascii="宋体" w:hAnsi="宋体" w:cs="宋体"/>
      <w:sz w:val="24"/>
      <w:szCs w:val="22"/>
    </w:rPr>
  </w:style>
  <w:style w:type="paragraph" w:customStyle="1" w:styleId="717">
    <w:name w:val="4.2标题"/>
    <w:basedOn w:val="1"/>
    <w:qFormat/>
    <w:uiPriority w:val="0"/>
    <w:pPr>
      <w:tabs>
        <w:tab w:val="left" w:pos="2160"/>
      </w:tabs>
      <w:spacing w:before="120" w:after="120" w:line="400" w:lineRule="exact"/>
      <w:ind w:left="2160" w:hanging="360"/>
      <w:jc w:val="center"/>
      <w:outlineLvl w:val="2"/>
    </w:pPr>
    <w:rPr>
      <w:rFonts w:ascii="宋体" w:hAnsi="宋体"/>
      <w:b/>
      <w:bCs/>
      <w:color w:val="000000"/>
      <w:sz w:val="28"/>
      <w:szCs w:val="28"/>
    </w:rPr>
  </w:style>
  <w:style w:type="paragraph" w:customStyle="1" w:styleId="718">
    <w:name w:val="2级标题 + 非加粗"/>
    <w:basedOn w:val="5"/>
    <w:next w:val="5"/>
    <w:qFormat/>
    <w:uiPriority w:val="0"/>
    <w:pPr>
      <w:widowControl/>
      <w:adjustRightInd w:val="0"/>
      <w:snapToGrid w:val="0"/>
      <w:spacing w:beforeLines="50"/>
      <w:ind w:firstLine="480" w:firstLineChars="200"/>
    </w:pPr>
    <w:rPr>
      <w:rFonts w:ascii="Times New Roman" w:hAnsi="Times New Roman" w:eastAsia="宋体"/>
      <w:b w:val="0"/>
      <w:sz w:val="28"/>
    </w:rPr>
  </w:style>
  <w:style w:type="paragraph" w:customStyle="1" w:styleId="719">
    <w:name w:val="Zchn Zchn1 Char Char Zchn Zchn Char Char1"/>
    <w:basedOn w:val="1"/>
    <w:qFormat/>
    <w:uiPriority w:val="0"/>
    <w:rPr>
      <w:rFonts w:hint="eastAsia"/>
      <w:szCs w:val="20"/>
    </w:rPr>
  </w:style>
  <w:style w:type="paragraph" w:customStyle="1" w:styleId="720">
    <w:name w:val="样式 标题 3头 + 小三"/>
    <w:basedOn w:val="6"/>
    <w:qFormat/>
    <w:uiPriority w:val="0"/>
    <w:pPr>
      <w:tabs>
        <w:tab w:val="left" w:pos="578"/>
        <w:tab w:val="left" w:pos="1560"/>
      </w:tabs>
      <w:spacing w:before="60" w:after="60" w:line="240" w:lineRule="auto"/>
      <w:ind w:left="578" w:hanging="578"/>
    </w:pPr>
    <w:rPr>
      <w:bCs w:val="0"/>
      <w:kern w:val="2"/>
      <w:sz w:val="30"/>
      <w:szCs w:val="20"/>
    </w:rPr>
  </w:style>
  <w:style w:type="paragraph" w:customStyle="1" w:styleId="721">
    <w:name w:val="样式 标题 1 + 行距: 1.5 倍行距"/>
    <w:basedOn w:val="4"/>
    <w:qFormat/>
    <w:uiPriority w:val="0"/>
    <w:pPr>
      <w:pageBreakBefore/>
      <w:tabs>
        <w:tab w:val="left" w:pos="432"/>
      </w:tabs>
      <w:spacing w:after="240"/>
      <w:ind w:left="432" w:hanging="432"/>
      <w:jc w:val="center"/>
      <w:textAlignment w:val="center"/>
    </w:pPr>
    <w:rPr>
      <w:rFonts w:ascii="宋体"/>
      <w:bCs w:val="0"/>
      <w:sz w:val="40"/>
      <w:szCs w:val="20"/>
    </w:rPr>
  </w:style>
  <w:style w:type="paragraph" w:customStyle="1" w:styleId="722">
    <w:name w:val="图内容"/>
    <w:qFormat/>
    <w:uiPriority w:val="0"/>
    <w:pPr>
      <w:widowControl w:val="0"/>
      <w:adjustRightInd w:val="0"/>
      <w:jc w:val="center"/>
      <w:textAlignment w:val="baseline"/>
    </w:pPr>
    <w:rPr>
      <w:rFonts w:ascii="Times New Roman" w:hAnsi="Times New Roman" w:eastAsia="仿宋体" w:cs="Times New Roman"/>
      <w:sz w:val="24"/>
      <w:lang w:val="en-US" w:eastAsia="zh-CN" w:bidi="ar-SA"/>
    </w:rPr>
  </w:style>
  <w:style w:type="paragraph" w:customStyle="1" w:styleId="723">
    <w:name w:val="CM14"/>
    <w:basedOn w:val="181"/>
    <w:next w:val="181"/>
    <w:qFormat/>
    <w:uiPriority w:val="0"/>
    <w:pPr>
      <w:adjustRightInd/>
      <w:spacing w:after="355"/>
    </w:pPr>
    <w:rPr>
      <w:rFonts w:hint="eastAsia" w:ascii="宋体" w:hAnsi="Calibri"/>
      <w:kern w:val="0"/>
      <w:szCs w:val="20"/>
    </w:rPr>
  </w:style>
  <w:style w:type="paragraph" w:customStyle="1" w:styleId="724">
    <w:name w:val="CM5"/>
    <w:basedOn w:val="181"/>
    <w:next w:val="181"/>
    <w:qFormat/>
    <w:uiPriority w:val="0"/>
    <w:pPr>
      <w:spacing w:line="180" w:lineRule="atLeast"/>
    </w:pPr>
    <w:rPr>
      <w:color w:val="auto"/>
      <w:kern w:val="0"/>
    </w:rPr>
  </w:style>
  <w:style w:type="paragraph" w:customStyle="1" w:styleId="725">
    <w:name w:val="附件标题"/>
    <w:basedOn w:val="5"/>
    <w:next w:val="1"/>
    <w:qFormat/>
    <w:uiPriority w:val="0"/>
    <w:pPr>
      <w:tabs>
        <w:tab w:val="left" w:pos="1134"/>
      </w:tabs>
      <w:spacing w:before="60" w:after="60" w:line="360" w:lineRule="auto"/>
      <w:ind w:left="3681" w:hanging="420"/>
      <w:jc w:val="center"/>
    </w:pPr>
    <w:rPr>
      <w:rFonts w:ascii="黑体" w:hAnsi="黑体"/>
      <w:kern w:val="2"/>
      <w:sz w:val="30"/>
      <w:szCs w:val="30"/>
    </w:rPr>
  </w:style>
  <w:style w:type="paragraph" w:customStyle="1" w:styleId="726">
    <w:name w:val="通用标题2"/>
    <w:basedOn w:val="5"/>
    <w:next w:val="1"/>
    <w:qFormat/>
    <w:uiPriority w:val="0"/>
    <w:pPr>
      <w:keepNext w:val="0"/>
      <w:keepLines w:val="0"/>
      <w:tabs>
        <w:tab w:val="left" w:pos="993"/>
      </w:tabs>
      <w:spacing w:before="60" w:after="60" w:line="360" w:lineRule="auto"/>
      <w:ind w:left="840" w:hanging="360"/>
    </w:pPr>
    <w:rPr>
      <w:rFonts w:ascii="黑体" w:hAnsi="黑体"/>
      <w:kern w:val="2"/>
      <w:sz w:val="21"/>
    </w:rPr>
  </w:style>
  <w:style w:type="paragraph" w:customStyle="1" w:styleId="727">
    <w:name w:val="通用标题3"/>
    <w:next w:val="1"/>
    <w:qFormat/>
    <w:uiPriority w:val="0"/>
    <w:pPr>
      <w:widowControl w:val="0"/>
      <w:tabs>
        <w:tab w:val="left" w:pos="851"/>
      </w:tabs>
      <w:adjustRightInd w:val="0"/>
      <w:snapToGrid w:val="0"/>
      <w:spacing w:afterLines="50" w:line="360" w:lineRule="auto"/>
      <w:jc w:val="both"/>
      <w:outlineLvl w:val="2"/>
    </w:pPr>
    <w:rPr>
      <w:rFonts w:ascii="黑体" w:hAnsi="黑体" w:eastAsia="黑体" w:cs="Times New Roman"/>
      <w:b/>
      <w:kern w:val="2"/>
      <w:sz w:val="24"/>
      <w:szCs w:val="24"/>
      <w:lang w:val="en-US" w:eastAsia="zh-CN" w:bidi="ar-SA"/>
    </w:rPr>
  </w:style>
  <w:style w:type="paragraph" w:customStyle="1" w:styleId="728">
    <w:name w:val="通用标题4"/>
    <w:next w:val="1"/>
    <w:qFormat/>
    <w:uiPriority w:val="0"/>
    <w:pPr>
      <w:tabs>
        <w:tab w:val="left" w:pos="851"/>
      </w:tabs>
      <w:adjustRightInd w:val="0"/>
      <w:snapToGrid w:val="0"/>
      <w:spacing w:afterLines="50" w:line="360" w:lineRule="auto"/>
      <w:jc w:val="both"/>
      <w:outlineLvl w:val="3"/>
    </w:pPr>
    <w:rPr>
      <w:rFonts w:ascii="宋体" w:hAnsi="宋体" w:eastAsia="宋体" w:cs="Times New Roman"/>
      <w:kern w:val="2"/>
      <w:sz w:val="24"/>
      <w:szCs w:val="21"/>
      <w:lang w:val="en-US" w:eastAsia="zh-CN" w:bidi="ar-SA"/>
    </w:rPr>
  </w:style>
  <w:style w:type="paragraph" w:customStyle="1" w:styleId="729">
    <w:name w:val="通用标题5"/>
    <w:qFormat/>
    <w:uiPriority w:val="0"/>
    <w:pPr>
      <w:widowControl w:val="0"/>
      <w:tabs>
        <w:tab w:val="left" w:pos="1134"/>
      </w:tabs>
      <w:autoSpaceDE w:val="0"/>
      <w:autoSpaceDN w:val="0"/>
      <w:adjustRightInd w:val="0"/>
      <w:snapToGrid w:val="0"/>
      <w:spacing w:afterLines="50" w:line="360" w:lineRule="auto"/>
      <w:jc w:val="both"/>
    </w:pPr>
    <w:rPr>
      <w:rFonts w:ascii="宋体" w:hAnsi="宋体" w:eastAsia="宋体" w:cs="Times New Roman"/>
      <w:kern w:val="2"/>
      <w:sz w:val="24"/>
      <w:szCs w:val="21"/>
      <w:lang w:val="en-US" w:eastAsia="zh-CN" w:bidi="ar-SA"/>
    </w:rPr>
  </w:style>
  <w:style w:type="paragraph" w:customStyle="1" w:styleId="730">
    <w:name w:val="通用标题6"/>
    <w:basedOn w:val="1"/>
    <w:qFormat/>
    <w:uiPriority w:val="0"/>
    <w:pPr>
      <w:tabs>
        <w:tab w:val="left" w:pos="993"/>
      </w:tabs>
    </w:pPr>
    <w:rPr>
      <w:rFonts w:ascii="Calibri" w:hAnsi="Calibri"/>
      <w:szCs w:val="22"/>
    </w:rPr>
  </w:style>
  <w:style w:type="paragraph" w:customStyle="1" w:styleId="731">
    <w:name w:val="TOC 标题2"/>
    <w:basedOn w:val="4"/>
    <w:next w:val="1"/>
    <w:qFormat/>
    <w:uiPriority w:val="0"/>
    <w:pPr>
      <w:spacing w:before="260" w:after="260" w:line="413" w:lineRule="auto"/>
    </w:pPr>
    <w:rPr>
      <w:rFonts w:ascii="宋体" w:hAnsi="宋体"/>
      <w:sz w:val="36"/>
      <w:lang w:val="zh-CN"/>
    </w:rPr>
  </w:style>
  <w:style w:type="paragraph" w:customStyle="1" w:styleId="732">
    <w:name w:val="专用标题2"/>
    <w:basedOn w:val="5"/>
    <w:next w:val="1"/>
    <w:qFormat/>
    <w:uiPriority w:val="0"/>
    <w:pPr>
      <w:keepNext w:val="0"/>
      <w:keepLines w:val="0"/>
      <w:tabs>
        <w:tab w:val="left" w:pos="993"/>
      </w:tabs>
      <w:spacing w:before="60" w:after="60" w:line="360" w:lineRule="auto"/>
    </w:pPr>
    <w:rPr>
      <w:rFonts w:ascii="宋体" w:hAnsi="宋体" w:eastAsia="宋体" w:cs="Times"/>
      <w:kern w:val="2"/>
      <w:sz w:val="21"/>
    </w:rPr>
  </w:style>
  <w:style w:type="paragraph" w:customStyle="1" w:styleId="733">
    <w:name w:val="协议书标题2"/>
    <w:basedOn w:val="5"/>
    <w:next w:val="1"/>
    <w:qFormat/>
    <w:uiPriority w:val="0"/>
    <w:pPr>
      <w:keepNext w:val="0"/>
      <w:keepLines w:val="0"/>
      <w:tabs>
        <w:tab w:val="left" w:pos="312"/>
        <w:tab w:val="left" w:pos="567"/>
      </w:tabs>
      <w:spacing w:before="60" w:after="60" w:line="360" w:lineRule="auto"/>
      <w:ind w:left="720"/>
      <w:jc w:val="left"/>
    </w:pPr>
    <w:rPr>
      <w:rFonts w:ascii="宋体" w:hAnsi="宋体" w:eastAsia="宋体"/>
      <w:kern w:val="2"/>
      <w:sz w:val="24"/>
    </w:rPr>
  </w:style>
  <w:style w:type="character" w:customStyle="1" w:styleId="734">
    <w:name w:val="Char3"/>
    <w:qFormat/>
    <w:uiPriority w:val="0"/>
    <w:rPr>
      <w:rFonts w:hint="default" w:ascii="Arial" w:hAnsi="Arial" w:eastAsia="黑体" w:cs="Times New Roman"/>
      <w:b/>
      <w:sz w:val="32"/>
      <w:lang w:val="en-US" w:eastAsia="zh-CN"/>
    </w:rPr>
  </w:style>
  <w:style w:type="character" w:customStyle="1" w:styleId="735">
    <w:name w:val="脚注文本 Char1"/>
    <w:qFormat/>
    <w:uiPriority w:val="0"/>
    <w:rPr>
      <w:rFonts w:hint="default" w:ascii="Times New Roman" w:hAnsi="Times New Roman" w:eastAsia="宋体" w:cs="Times New Roman"/>
      <w:kern w:val="2"/>
      <w:sz w:val="18"/>
      <w:szCs w:val="18"/>
    </w:rPr>
  </w:style>
  <w:style w:type="character" w:customStyle="1" w:styleId="736">
    <w:name w:val="日期 Char2"/>
    <w:qFormat/>
    <w:uiPriority w:val="0"/>
    <w:rPr>
      <w:rFonts w:hint="default" w:ascii="Times New Roman" w:hAnsi="Times New Roman" w:eastAsia="宋体" w:cs="Times New Roman"/>
      <w:kern w:val="2"/>
      <w:sz w:val="21"/>
      <w:szCs w:val="24"/>
    </w:rPr>
  </w:style>
  <w:style w:type="character" w:customStyle="1" w:styleId="737">
    <w:name w:val="正文文本 Char3"/>
    <w:qFormat/>
    <w:uiPriority w:val="0"/>
    <w:rPr>
      <w:rFonts w:hint="default" w:ascii="Times New Roman" w:hAnsi="Times New Roman" w:eastAsia="宋体" w:cs="Times New Roman"/>
      <w:kern w:val="2"/>
      <w:sz w:val="21"/>
      <w:szCs w:val="24"/>
    </w:rPr>
  </w:style>
  <w:style w:type="character" w:customStyle="1" w:styleId="738">
    <w:name w:val="正文文本 3 Char1"/>
    <w:qFormat/>
    <w:uiPriority w:val="0"/>
    <w:rPr>
      <w:rFonts w:hint="default" w:ascii="Times New Roman" w:hAnsi="Times New Roman" w:eastAsia="宋体" w:cs="Times New Roman"/>
      <w:kern w:val="2"/>
      <w:sz w:val="16"/>
      <w:szCs w:val="16"/>
    </w:rPr>
  </w:style>
  <w:style w:type="character" w:customStyle="1" w:styleId="739">
    <w:name w:val="纯文本 Char4"/>
    <w:qFormat/>
    <w:uiPriority w:val="99"/>
    <w:rPr>
      <w:rFonts w:hint="eastAsia" w:ascii="宋体" w:hAnsi="Courier New" w:eastAsia="宋体" w:cs="Courier New"/>
      <w:kern w:val="2"/>
      <w:sz w:val="21"/>
      <w:szCs w:val="21"/>
    </w:rPr>
  </w:style>
  <w:style w:type="character" w:customStyle="1" w:styleId="740">
    <w:name w:val="批注主题 Char2"/>
    <w:qFormat/>
    <w:uiPriority w:val="0"/>
    <w:rPr>
      <w:b/>
      <w:bCs/>
      <w:kern w:val="2"/>
      <w:sz w:val="21"/>
      <w:szCs w:val="24"/>
    </w:rPr>
  </w:style>
  <w:style w:type="character" w:customStyle="1" w:styleId="741">
    <w:name w:val="标题 Char3"/>
    <w:qFormat/>
    <w:locked/>
    <w:uiPriority w:val="0"/>
    <w:rPr>
      <w:rFonts w:ascii="Arial" w:hAnsi="Arial" w:cs="Arial"/>
      <w:b/>
      <w:kern w:val="2"/>
      <w:sz w:val="32"/>
      <w:szCs w:val="22"/>
      <w:u w:val="single"/>
    </w:rPr>
  </w:style>
  <w:style w:type="character" w:customStyle="1" w:styleId="742">
    <w:name w:val="正文文本 2 Char1"/>
    <w:qFormat/>
    <w:uiPriority w:val="0"/>
    <w:rPr>
      <w:rFonts w:hint="default" w:ascii="Times New Roman" w:hAnsi="Times New Roman" w:eastAsia="宋体" w:cs="Times New Roman"/>
      <w:kern w:val="2"/>
      <w:sz w:val="21"/>
      <w:szCs w:val="24"/>
    </w:rPr>
  </w:style>
  <w:style w:type="paragraph" w:customStyle="1" w:styleId="743">
    <w:name w:val="样式5"/>
    <w:basedOn w:val="1"/>
    <w:qFormat/>
    <w:uiPriority w:val="0"/>
    <w:rPr>
      <w:rFonts w:ascii="隶书" w:hAnsi="宋体" w:eastAsia="隶书"/>
      <w:color w:val="000000"/>
      <w:sz w:val="36"/>
      <w:szCs w:val="22"/>
    </w:rPr>
  </w:style>
  <w:style w:type="paragraph" w:customStyle="1" w:styleId="744">
    <w:name w:val="Char Char Char Char Char Char Char Char Char Char Char Char Char"/>
    <w:basedOn w:val="1"/>
    <w:qFormat/>
    <w:uiPriority w:val="0"/>
    <w:rPr>
      <w:rFonts w:ascii="仿宋_GB2312" w:hAnsi="Calibri" w:eastAsia="仿宋_GB2312"/>
      <w:b/>
      <w:sz w:val="32"/>
      <w:szCs w:val="32"/>
    </w:rPr>
  </w:style>
  <w:style w:type="paragraph" w:customStyle="1" w:styleId="745">
    <w:name w:val="Char Char1"/>
    <w:basedOn w:val="1"/>
    <w:qFormat/>
    <w:uiPriority w:val="0"/>
    <w:pPr>
      <w:widowControl/>
      <w:spacing w:after="160" w:line="240" w:lineRule="exact"/>
      <w:jc w:val="left"/>
    </w:pPr>
    <w:rPr>
      <w:rFonts w:ascii="Verdana" w:hAnsi="Verdana" w:eastAsia="楷体_GB2312"/>
      <w:b/>
      <w:i/>
      <w:iCs/>
      <w:color w:val="000000"/>
      <w:kern w:val="0"/>
      <w:sz w:val="20"/>
      <w:szCs w:val="20"/>
      <w:lang w:eastAsia="en-US"/>
    </w:rPr>
  </w:style>
  <w:style w:type="paragraph" w:customStyle="1" w:styleId="746">
    <w:name w:val="aa"/>
    <w:basedOn w:val="1"/>
    <w:qFormat/>
    <w:uiPriority w:val="0"/>
    <w:pPr>
      <w:widowControl/>
      <w:spacing w:before="100" w:beforeAutospacing="1" w:after="100" w:afterAutospacing="1"/>
      <w:jc w:val="left"/>
    </w:pPr>
    <w:rPr>
      <w:rFonts w:ascii="宋体" w:hAnsi="宋体" w:cs="宋体"/>
      <w:kern w:val="0"/>
      <w:sz w:val="24"/>
      <w:szCs w:val="22"/>
    </w:rPr>
  </w:style>
  <w:style w:type="paragraph" w:customStyle="1" w:styleId="747">
    <w:name w:val="xl35"/>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pPr>
    <w:rPr>
      <w:rFonts w:ascii="楷体_GB2312" w:hAnsi="宋体" w:eastAsia="楷体_GB2312"/>
      <w:kern w:val="0"/>
      <w:sz w:val="24"/>
      <w:szCs w:val="22"/>
    </w:rPr>
  </w:style>
  <w:style w:type="paragraph" w:customStyle="1" w:styleId="748">
    <w:name w:val="Char Char Char1 Char"/>
    <w:basedOn w:val="26"/>
    <w:qFormat/>
    <w:uiPriority w:val="0"/>
    <w:pPr>
      <w:shd w:val="clear" w:color="auto" w:fill="000080"/>
    </w:pPr>
    <w:rPr>
      <w:rFonts w:ascii="Tahoma" w:hAnsi="Tahoma"/>
      <w:sz w:val="24"/>
      <w:szCs w:val="22"/>
    </w:rPr>
  </w:style>
  <w:style w:type="paragraph" w:customStyle="1" w:styleId="749">
    <w:name w:val="Char Char Char Char Char Char1 Char Char Char Char"/>
    <w:basedOn w:val="1"/>
    <w:qFormat/>
    <w:uiPriority w:val="0"/>
    <w:rPr>
      <w:rFonts w:ascii="仿宋_GB2312" w:hAnsi="Calibri" w:eastAsia="仿宋_GB2312"/>
      <w:b/>
      <w:sz w:val="32"/>
      <w:szCs w:val="32"/>
    </w:rPr>
  </w:style>
  <w:style w:type="character" w:customStyle="1" w:styleId="750">
    <w:name w:val="正文文本 (18)_"/>
    <w:link w:val="751"/>
    <w:qFormat/>
    <w:locked/>
    <w:uiPriority w:val="0"/>
    <w:rPr>
      <w:rFonts w:ascii="宋体" w:hAnsi="宋体" w:cs="宋体"/>
      <w:sz w:val="8"/>
      <w:szCs w:val="8"/>
      <w:shd w:val="clear" w:color="auto" w:fill="FFFFFF"/>
    </w:rPr>
  </w:style>
  <w:style w:type="paragraph" w:customStyle="1" w:styleId="751">
    <w:name w:val="正文文本 (18)"/>
    <w:basedOn w:val="1"/>
    <w:link w:val="750"/>
    <w:qFormat/>
    <w:uiPriority w:val="0"/>
    <w:pPr>
      <w:widowControl/>
      <w:shd w:val="clear" w:color="auto" w:fill="FFFFFF"/>
      <w:spacing w:line="0" w:lineRule="atLeast"/>
      <w:jc w:val="left"/>
    </w:pPr>
    <w:rPr>
      <w:rFonts w:ascii="宋体" w:hAnsi="宋体" w:cs="宋体"/>
      <w:kern w:val="0"/>
      <w:sz w:val="8"/>
      <w:szCs w:val="8"/>
    </w:rPr>
  </w:style>
  <w:style w:type="character" w:customStyle="1" w:styleId="752">
    <w:name w:val="正文文本 (103)_"/>
    <w:link w:val="753"/>
    <w:qFormat/>
    <w:locked/>
    <w:uiPriority w:val="0"/>
    <w:rPr>
      <w:rFonts w:ascii="MingLiU" w:hAnsi="MingLiU" w:eastAsia="MingLiU" w:cs="MingLiU"/>
      <w:w w:val="150"/>
      <w:sz w:val="8"/>
      <w:szCs w:val="8"/>
      <w:shd w:val="clear" w:color="auto" w:fill="FFFFFF"/>
    </w:rPr>
  </w:style>
  <w:style w:type="paragraph" w:customStyle="1" w:styleId="753">
    <w:name w:val="正文文本 (103)"/>
    <w:basedOn w:val="1"/>
    <w:link w:val="752"/>
    <w:qFormat/>
    <w:uiPriority w:val="0"/>
    <w:pPr>
      <w:widowControl/>
      <w:shd w:val="clear" w:color="auto" w:fill="FFFFFF"/>
      <w:spacing w:line="0" w:lineRule="atLeast"/>
      <w:jc w:val="left"/>
    </w:pPr>
    <w:rPr>
      <w:rFonts w:ascii="MingLiU" w:hAnsi="MingLiU" w:eastAsia="MingLiU" w:cs="MingLiU"/>
      <w:w w:val="150"/>
      <w:kern w:val="0"/>
      <w:sz w:val="8"/>
      <w:szCs w:val="8"/>
    </w:rPr>
  </w:style>
  <w:style w:type="character" w:customStyle="1" w:styleId="754">
    <w:name w:val="正文文本 (33)_"/>
    <w:link w:val="755"/>
    <w:qFormat/>
    <w:locked/>
    <w:uiPriority w:val="0"/>
    <w:rPr>
      <w:rFonts w:ascii="宋体" w:hAnsi="宋体" w:cs="宋体"/>
      <w:w w:val="50"/>
      <w:sz w:val="8"/>
      <w:szCs w:val="8"/>
      <w:shd w:val="clear" w:color="auto" w:fill="FFFFFF"/>
    </w:rPr>
  </w:style>
  <w:style w:type="paragraph" w:customStyle="1" w:styleId="755">
    <w:name w:val="正文文本 (33)"/>
    <w:basedOn w:val="1"/>
    <w:link w:val="754"/>
    <w:qFormat/>
    <w:uiPriority w:val="0"/>
    <w:pPr>
      <w:widowControl/>
      <w:shd w:val="clear" w:color="auto" w:fill="FFFFFF"/>
      <w:spacing w:line="0" w:lineRule="atLeast"/>
      <w:jc w:val="left"/>
    </w:pPr>
    <w:rPr>
      <w:rFonts w:ascii="宋体" w:hAnsi="宋体" w:cs="宋体"/>
      <w:w w:val="50"/>
      <w:kern w:val="0"/>
      <w:sz w:val="8"/>
      <w:szCs w:val="8"/>
    </w:rPr>
  </w:style>
  <w:style w:type="character" w:customStyle="1" w:styleId="756">
    <w:name w:val="正文文本 (55)_"/>
    <w:link w:val="757"/>
    <w:qFormat/>
    <w:locked/>
    <w:uiPriority w:val="0"/>
    <w:rPr>
      <w:rFonts w:ascii="Angsana New" w:hAnsi="Angsana New" w:eastAsia="Angsana New" w:cs="Angsana New"/>
      <w:sz w:val="37"/>
      <w:szCs w:val="37"/>
      <w:shd w:val="clear" w:color="auto" w:fill="FFFFFF"/>
    </w:rPr>
  </w:style>
  <w:style w:type="paragraph" w:customStyle="1" w:styleId="757">
    <w:name w:val="正文文本 (55)"/>
    <w:basedOn w:val="1"/>
    <w:link w:val="756"/>
    <w:qFormat/>
    <w:uiPriority w:val="0"/>
    <w:pPr>
      <w:widowControl/>
      <w:shd w:val="clear" w:color="auto" w:fill="FFFFFF"/>
      <w:spacing w:line="0" w:lineRule="atLeast"/>
      <w:jc w:val="left"/>
    </w:pPr>
    <w:rPr>
      <w:rFonts w:ascii="Angsana New" w:hAnsi="Angsana New" w:eastAsia="Angsana New" w:cs="Angsana New"/>
      <w:kern w:val="0"/>
      <w:sz w:val="37"/>
      <w:szCs w:val="37"/>
    </w:rPr>
  </w:style>
  <w:style w:type="character" w:customStyle="1" w:styleId="758">
    <w:name w:val="正文文本 (79)_"/>
    <w:link w:val="759"/>
    <w:qFormat/>
    <w:locked/>
    <w:uiPriority w:val="0"/>
    <w:rPr>
      <w:rFonts w:ascii="黑体" w:hAnsi="黑体" w:eastAsia="黑体" w:cs="黑体"/>
      <w:sz w:val="26"/>
      <w:szCs w:val="26"/>
      <w:shd w:val="clear" w:color="auto" w:fill="FFFFFF"/>
    </w:rPr>
  </w:style>
  <w:style w:type="paragraph" w:customStyle="1" w:styleId="759">
    <w:name w:val="正文文本 (79)"/>
    <w:basedOn w:val="1"/>
    <w:link w:val="758"/>
    <w:qFormat/>
    <w:uiPriority w:val="0"/>
    <w:pPr>
      <w:widowControl/>
      <w:shd w:val="clear" w:color="auto" w:fill="FFFFFF"/>
      <w:spacing w:line="0" w:lineRule="atLeast"/>
      <w:jc w:val="left"/>
    </w:pPr>
    <w:rPr>
      <w:rFonts w:ascii="黑体" w:hAnsi="黑体" w:eastAsia="黑体" w:cs="黑体"/>
      <w:kern w:val="0"/>
      <w:sz w:val="26"/>
      <w:szCs w:val="26"/>
    </w:rPr>
  </w:style>
  <w:style w:type="character" w:customStyle="1" w:styleId="760">
    <w:name w:val="正文文本 (12)_"/>
    <w:link w:val="761"/>
    <w:qFormat/>
    <w:locked/>
    <w:uiPriority w:val="0"/>
    <w:rPr>
      <w:rFonts w:ascii="宋体" w:hAnsi="宋体" w:cs="宋体"/>
      <w:w w:val="150"/>
      <w:sz w:val="23"/>
      <w:szCs w:val="23"/>
      <w:shd w:val="clear" w:color="auto" w:fill="FFFFFF"/>
    </w:rPr>
  </w:style>
  <w:style w:type="paragraph" w:customStyle="1" w:styleId="761">
    <w:name w:val="正文文本 (12)"/>
    <w:basedOn w:val="1"/>
    <w:link w:val="760"/>
    <w:qFormat/>
    <w:uiPriority w:val="0"/>
    <w:pPr>
      <w:widowControl/>
      <w:shd w:val="clear" w:color="auto" w:fill="FFFFFF"/>
      <w:spacing w:line="0" w:lineRule="atLeast"/>
      <w:jc w:val="left"/>
    </w:pPr>
    <w:rPr>
      <w:rFonts w:ascii="宋体" w:hAnsi="宋体" w:cs="宋体"/>
      <w:w w:val="150"/>
      <w:kern w:val="0"/>
      <w:sz w:val="23"/>
      <w:szCs w:val="23"/>
    </w:rPr>
  </w:style>
  <w:style w:type="character" w:customStyle="1" w:styleId="762">
    <w:name w:val="标题 #4_"/>
    <w:link w:val="763"/>
    <w:qFormat/>
    <w:locked/>
    <w:uiPriority w:val="0"/>
    <w:rPr>
      <w:rFonts w:ascii="宋体" w:hAnsi="宋体" w:cs="宋体"/>
      <w:sz w:val="36"/>
      <w:szCs w:val="36"/>
      <w:shd w:val="clear" w:color="auto" w:fill="FFFFFF"/>
    </w:rPr>
  </w:style>
  <w:style w:type="paragraph" w:customStyle="1" w:styleId="763">
    <w:name w:val="标题 #4"/>
    <w:basedOn w:val="1"/>
    <w:link w:val="762"/>
    <w:qFormat/>
    <w:uiPriority w:val="0"/>
    <w:pPr>
      <w:widowControl/>
      <w:shd w:val="clear" w:color="auto" w:fill="FFFFFF"/>
      <w:spacing w:after="780" w:line="0" w:lineRule="atLeast"/>
      <w:jc w:val="left"/>
      <w:outlineLvl w:val="3"/>
    </w:pPr>
    <w:rPr>
      <w:rFonts w:ascii="宋体" w:hAnsi="宋体" w:cs="宋体"/>
      <w:kern w:val="0"/>
      <w:sz w:val="36"/>
      <w:szCs w:val="36"/>
    </w:rPr>
  </w:style>
  <w:style w:type="character" w:customStyle="1" w:styleId="764">
    <w:name w:val="正文文本 (20)_"/>
    <w:link w:val="765"/>
    <w:qFormat/>
    <w:locked/>
    <w:uiPriority w:val="0"/>
    <w:rPr>
      <w:rFonts w:ascii="MingLiU" w:hAnsi="MingLiU" w:eastAsia="MingLiU" w:cs="MingLiU"/>
      <w:sz w:val="8"/>
      <w:szCs w:val="8"/>
      <w:shd w:val="clear" w:color="auto" w:fill="FFFFFF"/>
    </w:rPr>
  </w:style>
  <w:style w:type="paragraph" w:customStyle="1" w:styleId="765">
    <w:name w:val="正文文本 (20)"/>
    <w:basedOn w:val="1"/>
    <w:link w:val="764"/>
    <w:qFormat/>
    <w:uiPriority w:val="0"/>
    <w:pPr>
      <w:widowControl/>
      <w:shd w:val="clear" w:color="auto" w:fill="FFFFFF"/>
      <w:spacing w:line="0" w:lineRule="atLeast"/>
      <w:jc w:val="left"/>
    </w:pPr>
    <w:rPr>
      <w:rFonts w:ascii="MingLiU" w:hAnsi="MingLiU" w:eastAsia="MingLiU" w:cs="MingLiU"/>
      <w:kern w:val="0"/>
      <w:sz w:val="8"/>
      <w:szCs w:val="8"/>
    </w:rPr>
  </w:style>
  <w:style w:type="character" w:customStyle="1" w:styleId="766">
    <w:name w:val="表格标题 (3)_"/>
    <w:link w:val="767"/>
    <w:qFormat/>
    <w:locked/>
    <w:uiPriority w:val="0"/>
    <w:rPr>
      <w:rFonts w:ascii="宋体" w:hAnsi="宋体" w:cs="宋体"/>
      <w:sz w:val="19"/>
      <w:szCs w:val="19"/>
      <w:shd w:val="clear" w:color="auto" w:fill="FFFFFF"/>
    </w:rPr>
  </w:style>
  <w:style w:type="paragraph" w:customStyle="1" w:styleId="767">
    <w:name w:val="表格标题 (3)"/>
    <w:basedOn w:val="1"/>
    <w:link w:val="766"/>
    <w:qFormat/>
    <w:uiPriority w:val="0"/>
    <w:pPr>
      <w:widowControl/>
      <w:shd w:val="clear" w:color="auto" w:fill="FFFFFF"/>
      <w:spacing w:line="0" w:lineRule="atLeast"/>
      <w:jc w:val="left"/>
    </w:pPr>
    <w:rPr>
      <w:rFonts w:ascii="宋体" w:hAnsi="宋体" w:cs="宋体"/>
      <w:kern w:val="0"/>
      <w:sz w:val="19"/>
      <w:szCs w:val="19"/>
    </w:rPr>
  </w:style>
  <w:style w:type="character" w:customStyle="1" w:styleId="768">
    <w:name w:val="正文文本 (94)_"/>
    <w:link w:val="769"/>
    <w:qFormat/>
    <w:locked/>
    <w:uiPriority w:val="0"/>
    <w:rPr>
      <w:rFonts w:ascii="MingLiU" w:hAnsi="MingLiU" w:eastAsia="MingLiU" w:cs="MingLiU"/>
      <w:sz w:val="12"/>
      <w:szCs w:val="12"/>
      <w:shd w:val="clear" w:color="auto" w:fill="FFFFFF"/>
    </w:rPr>
  </w:style>
  <w:style w:type="paragraph" w:customStyle="1" w:styleId="769">
    <w:name w:val="正文文本 (94)"/>
    <w:basedOn w:val="1"/>
    <w:link w:val="768"/>
    <w:qFormat/>
    <w:uiPriority w:val="0"/>
    <w:pPr>
      <w:widowControl/>
      <w:shd w:val="clear" w:color="auto" w:fill="FFFFFF"/>
      <w:spacing w:before="180" w:after="600" w:line="0" w:lineRule="atLeast"/>
      <w:jc w:val="distribute"/>
    </w:pPr>
    <w:rPr>
      <w:rFonts w:ascii="MingLiU" w:hAnsi="MingLiU" w:eastAsia="MingLiU" w:cs="MingLiU"/>
      <w:kern w:val="0"/>
      <w:sz w:val="12"/>
      <w:szCs w:val="12"/>
    </w:rPr>
  </w:style>
  <w:style w:type="character" w:customStyle="1" w:styleId="770">
    <w:name w:val="正文文本 (88)_"/>
    <w:link w:val="771"/>
    <w:qFormat/>
    <w:locked/>
    <w:uiPriority w:val="0"/>
    <w:rPr>
      <w:rFonts w:ascii="Angsana New" w:hAnsi="Angsana New" w:eastAsia="Angsana New" w:cs="Angsana New"/>
      <w:shd w:val="clear" w:color="auto" w:fill="FFFFFF"/>
    </w:rPr>
  </w:style>
  <w:style w:type="paragraph" w:customStyle="1" w:styleId="771">
    <w:name w:val="正文文本 (88)"/>
    <w:basedOn w:val="1"/>
    <w:link w:val="770"/>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772">
    <w:name w:val="正文文本 (3)_"/>
    <w:link w:val="773"/>
    <w:qFormat/>
    <w:locked/>
    <w:uiPriority w:val="0"/>
    <w:rPr>
      <w:rFonts w:ascii="宋体" w:hAnsi="宋体" w:cs="宋体"/>
      <w:w w:val="150"/>
      <w:sz w:val="19"/>
      <w:szCs w:val="19"/>
      <w:shd w:val="clear" w:color="auto" w:fill="FFFFFF"/>
    </w:rPr>
  </w:style>
  <w:style w:type="paragraph" w:customStyle="1" w:styleId="773">
    <w:name w:val="正文文本 (3)"/>
    <w:basedOn w:val="1"/>
    <w:link w:val="772"/>
    <w:qFormat/>
    <w:uiPriority w:val="0"/>
    <w:pPr>
      <w:widowControl/>
      <w:shd w:val="clear" w:color="auto" w:fill="FFFFFF"/>
      <w:spacing w:after="1440" w:line="0" w:lineRule="atLeast"/>
      <w:jc w:val="left"/>
    </w:pPr>
    <w:rPr>
      <w:rFonts w:ascii="宋体" w:hAnsi="宋体" w:cs="宋体"/>
      <w:w w:val="150"/>
      <w:kern w:val="0"/>
      <w:sz w:val="19"/>
      <w:szCs w:val="19"/>
    </w:rPr>
  </w:style>
  <w:style w:type="character" w:customStyle="1" w:styleId="774">
    <w:name w:val="正文文本 (108)_"/>
    <w:link w:val="775"/>
    <w:qFormat/>
    <w:locked/>
    <w:uiPriority w:val="0"/>
    <w:rPr>
      <w:rFonts w:ascii="Angsana New" w:hAnsi="Angsana New" w:eastAsia="Angsana New" w:cs="Angsana New"/>
      <w:sz w:val="49"/>
      <w:szCs w:val="49"/>
      <w:shd w:val="clear" w:color="auto" w:fill="FFFFFF"/>
    </w:rPr>
  </w:style>
  <w:style w:type="paragraph" w:customStyle="1" w:styleId="775">
    <w:name w:val="正文文本 (108)"/>
    <w:basedOn w:val="1"/>
    <w:link w:val="774"/>
    <w:qFormat/>
    <w:uiPriority w:val="0"/>
    <w:pPr>
      <w:widowControl/>
      <w:shd w:val="clear" w:color="auto" w:fill="FFFFFF"/>
      <w:spacing w:line="0" w:lineRule="atLeast"/>
      <w:jc w:val="left"/>
    </w:pPr>
    <w:rPr>
      <w:rFonts w:ascii="Angsana New" w:hAnsi="Angsana New" w:eastAsia="Angsana New" w:cs="Angsana New"/>
      <w:kern w:val="0"/>
      <w:sz w:val="49"/>
      <w:szCs w:val="49"/>
    </w:rPr>
  </w:style>
  <w:style w:type="character" w:customStyle="1" w:styleId="776">
    <w:name w:val="正文文本 (106)_"/>
    <w:link w:val="777"/>
    <w:qFormat/>
    <w:locked/>
    <w:uiPriority w:val="0"/>
    <w:rPr>
      <w:rFonts w:ascii="MingLiU" w:hAnsi="MingLiU" w:eastAsia="MingLiU" w:cs="MingLiU"/>
      <w:w w:val="150"/>
      <w:sz w:val="8"/>
      <w:szCs w:val="8"/>
      <w:shd w:val="clear" w:color="auto" w:fill="FFFFFF"/>
    </w:rPr>
  </w:style>
  <w:style w:type="paragraph" w:customStyle="1" w:styleId="777">
    <w:name w:val="正文文本 (106)"/>
    <w:basedOn w:val="1"/>
    <w:link w:val="776"/>
    <w:qFormat/>
    <w:uiPriority w:val="0"/>
    <w:pPr>
      <w:widowControl/>
      <w:shd w:val="clear" w:color="auto" w:fill="FFFFFF"/>
      <w:spacing w:after="1440" w:line="0" w:lineRule="atLeast"/>
      <w:jc w:val="left"/>
    </w:pPr>
    <w:rPr>
      <w:rFonts w:ascii="MingLiU" w:hAnsi="MingLiU" w:eastAsia="MingLiU" w:cs="MingLiU"/>
      <w:w w:val="150"/>
      <w:kern w:val="0"/>
      <w:sz w:val="8"/>
      <w:szCs w:val="8"/>
    </w:rPr>
  </w:style>
  <w:style w:type="character" w:customStyle="1" w:styleId="778">
    <w:name w:val="正文文本 (68)_"/>
    <w:link w:val="779"/>
    <w:qFormat/>
    <w:locked/>
    <w:uiPriority w:val="0"/>
    <w:rPr>
      <w:rFonts w:ascii="Batang" w:hAnsi="Batang" w:eastAsia="Batang" w:cs="Batang"/>
      <w:sz w:val="22"/>
      <w:shd w:val="clear" w:color="auto" w:fill="FFFFFF"/>
    </w:rPr>
  </w:style>
  <w:style w:type="paragraph" w:customStyle="1" w:styleId="779">
    <w:name w:val="正文文本 (68)"/>
    <w:basedOn w:val="1"/>
    <w:link w:val="778"/>
    <w:qFormat/>
    <w:uiPriority w:val="0"/>
    <w:pPr>
      <w:widowControl/>
      <w:shd w:val="clear" w:color="auto" w:fill="FFFFFF"/>
      <w:spacing w:line="0" w:lineRule="atLeast"/>
      <w:jc w:val="left"/>
    </w:pPr>
    <w:rPr>
      <w:rFonts w:ascii="Batang" w:hAnsi="Batang" w:eastAsia="Batang" w:cs="Batang"/>
      <w:kern w:val="0"/>
      <w:sz w:val="22"/>
      <w:szCs w:val="20"/>
    </w:rPr>
  </w:style>
  <w:style w:type="character" w:customStyle="1" w:styleId="780">
    <w:name w:val="正文文本 (32)_"/>
    <w:link w:val="781"/>
    <w:qFormat/>
    <w:locked/>
    <w:uiPriority w:val="0"/>
    <w:rPr>
      <w:rFonts w:ascii="MingLiU" w:hAnsi="MingLiU" w:eastAsia="MingLiU" w:cs="MingLiU"/>
      <w:sz w:val="8"/>
      <w:szCs w:val="8"/>
      <w:shd w:val="clear" w:color="auto" w:fill="FFFFFF"/>
    </w:rPr>
  </w:style>
  <w:style w:type="paragraph" w:customStyle="1" w:styleId="781">
    <w:name w:val="正文文本 (32)"/>
    <w:basedOn w:val="1"/>
    <w:link w:val="780"/>
    <w:qFormat/>
    <w:uiPriority w:val="0"/>
    <w:pPr>
      <w:widowControl/>
      <w:shd w:val="clear" w:color="auto" w:fill="FFFFFF"/>
      <w:spacing w:line="0" w:lineRule="atLeast"/>
      <w:jc w:val="left"/>
    </w:pPr>
    <w:rPr>
      <w:rFonts w:ascii="MingLiU" w:hAnsi="MingLiU" w:eastAsia="MingLiU" w:cs="MingLiU"/>
      <w:kern w:val="0"/>
      <w:sz w:val="8"/>
      <w:szCs w:val="8"/>
    </w:rPr>
  </w:style>
  <w:style w:type="character" w:customStyle="1" w:styleId="782">
    <w:name w:val="正文文本 (28)_"/>
    <w:link w:val="783"/>
    <w:qFormat/>
    <w:locked/>
    <w:uiPriority w:val="0"/>
    <w:rPr>
      <w:rFonts w:ascii="宋体" w:hAnsi="宋体" w:cs="宋体"/>
      <w:w w:val="150"/>
      <w:sz w:val="13"/>
      <w:szCs w:val="13"/>
      <w:shd w:val="clear" w:color="auto" w:fill="FFFFFF"/>
    </w:rPr>
  </w:style>
  <w:style w:type="paragraph" w:customStyle="1" w:styleId="783">
    <w:name w:val="正文文本 (28)"/>
    <w:basedOn w:val="1"/>
    <w:link w:val="782"/>
    <w:qFormat/>
    <w:uiPriority w:val="0"/>
    <w:pPr>
      <w:widowControl/>
      <w:shd w:val="clear" w:color="auto" w:fill="FFFFFF"/>
      <w:spacing w:line="115" w:lineRule="exact"/>
      <w:jc w:val="distribute"/>
    </w:pPr>
    <w:rPr>
      <w:rFonts w:ascii="宋体" w:hAnsi="宋体" w:cs="宋体"/>
      <w:w w:val="150"/>
      <w:kern w:val="0"/>
      <w:sz w:val="13"/>
      <w:szCs w:val="13"/>
    </w:rPr>
  </w:style>
  <w:style w:type="character" w:customStyle="1" w:styleId="784">
    <w:name w:val="正文文本 (90)_"/>
    <w:link w:val="785"/>
    <w:qFormat/>
    <w:locked/>
    <w:uiPriority w:val="0"/>
    <w:rPr>
      <w:rFonts w:ascii="Angsana New" w:hAnsi="Angsana New" w:eastAsia="Angsana New" w:cs="Angsana New"/>
      <w:shd w:val="clear" w:color="auto" w:fill="FFFFFF"/>
    </w:rPr>
  </w:style>
  <w:style w:type="paragraph" w:customStyle="1" w:styleId="785">
    <w:name w:val="正文文本 (90)"/>
    <w:basedOn w:val="1"/>
    <w:link w:val="784"/>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786">
    <w:name w:val="正文文本 (62)_"/>
    <w:link w:val="787"/>
    <w:qFormat/>
    <w:locked/>
    <w:uiPriority w:val="0"/>
    <w:rPr>
      <w:rFonts w:ascii="Angsana New" w:hAnsi="Angsana New" w:eastAsia="Angsana New" w:cs="Angsana New"/>
      <w:sz w:val="31"/>
      <w:szCs w:val="31"/>
      <w:shd w:val="clear" w:color="auto" w:fill="FFFFFF"/>
    </w:rPr>
  </w:style>
  <w:style w:type="paragraph" w:customStyle="1" w:styleId="787">
    <w:name w:val="正文文本 (62)"/>
    <w:basedOn w:val="1"/>
    <w:link w:val="786"/>
    <w:qFormat/>
    <w:uiPriority w:val="0"/>
    <w:pPr>
      <w:widowControl/>
      <w:shd w:val="clear" w:color="auto" w:fill="FFFFFF"/>
      <w:spacing w:line="0" w:lineRule="atLeast"/>
      <w:jc w:val="left"/>
    </w:pPr>
    <w:rPr>
      <w:rFonts w:ascii="Angsana New" w:hAnsi="Angsana New" w:eastAsia="Angsana New" w:cs="Angsana New"/>
      <w:kern w:val="0"/>
      <w:sz w:val="31"/>
      <w:szCs w:val="31"/>
    </w:rPr>
  </w:style>
  <w:style w:type="character" w:customStyle="1" w:styleId="788">
    <w:name w:val="正文文本 (39)_"/>
    <w:link w:val="789"/>
    <w:qFormat/>
    <w:locked/>
    <w:uiPriority w:val="0"/>
    <w:rPr>
      <w:rFonts w:ascii="Angsana New" w:hAnsi="Angsana New" w:eastAsia="Angsana New" w:cs="Angsana New"/>
      <w:shd w:val="clear" w:color="auto" w:fill="FFFFFF"/>
    </w:rPr>
  </w:style>
  <w:style w:type="paragraph" w:customStyle="1" w:styleId="789">
    <w:name w:val="正文文本 (39)"/>
    <w:basedOn w:val="1"/>
    <w:link w:val="788"/>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790">
    <w:name w:val="正文文本 (46)_"/>
    <w:link w:val="791"/>
    <w:qFormat/>
    <w:locked/>
    <w:uiPriority w:val="0"/>
    <w:rPr>
      <w:rFonts w:ascii="黑体" w:hAnsi="黑体" w:eastAsia="黑体" w:cs="黑体"/>
      <w:sz w:val="26"/>
      <w:szCs w:val="26"/>
      <w:shd w:val="clear" w:color="auto" w:fill="FFFFFF"/>
    </w:rPr>
  </w:style>
  <w:style w:type="paragraph" w:customStyle="1" w:styleId="791">
    <w:name w:val="正文文本 (46)"/>
    <w:basedOn w:val="1"/>
    <w:link w:val="790"/>
    <w:qFormat/>
    <w:uiPriority w:val="0"/>
    <w:pPr>
      <w:widowControl/>
      <w:shd w:val="clear" w:color="auto" w:fill="FFFFFF"/>
      <w:spacing w:line="0" w:lineRule="atLeast"/>
      <w:jc w:val="left"/>
    </w:pPr>
    <w:rPr>
      <w:rFonts w:ascii="黑体" w:hAnsi="黑体" w:eastAsia="黑体" w:cs="黑体"/>
      <w:kern w:val="0"/>
      <w:sz w:val="26"/>
      <w:szCs w:val="26"/>
    </w:rPr>
  </w:style>
  <w:style w:type="character" w:customStyle="1" w:styleId="792">
    <w:name w:val="正文文本 (37)_"/>
    <w:link w:val="793"/>
    <w:qFormat/>
    <w:locked/>
    <w:uiPriority w:val="0"/>
    <w:rPr>
      <w:rFonts w:ascii="Angsana New" w:hAnsi="Angsana New" w:eastAsia="Angsana New" w:cs="Angsana New"/>
      <w:shd w:val="clear" w:color="auto" w:fill="FFFFFF"/>
    </w:rPr>
  </w:style>
  <w:style w:type="paragraph" w:customStyle="1" w:styleId="793">
    <w:name w:val="正文文本 (37)"/>
    <w:basedOn w:val="1"/>
    <w:link w:val="792"/>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794">
    <w:name w:val="标题 #3 (4)_"/>
    <w:link w:val="795"/>
    <w:qFormat/>
    <w:locked/>
    <w:uiPriority w:val="0"/>
    <w:rPr>
      <w:rFonts w:ascii="宋体" w:hAnsi="宋体" w:cs="宋体"/>
      <w:szCs w:val="21"/>
      <w:shd w:val="clear" w:color="auto" w:fill="FFFFFF"/>
    </w:rPr>
  </w:style>
  <w:style w:type="paragraph" w:customStyle="1" w:styleId="795">
    <w:name w:val="标题 #3 (4)"/>
    <w:basedOn w:val="1"/>
    <w:link w:val="794"/>
    <w:qFormat/>
    <w:uiPriority w:val="0"/>
    <w:pPr>
      <w:widowControl/>
      <w:shd w:val="clear" w:color="auto" w:fill="FFFFFF"/>
      <w:spacing w:line="536" w:lineRule="exact"/>
      <w:ind w:firstLine="520"/>
      <w:jc w:val="distribute"/>
      <w:outlineLvl w:val="2"/>
    </w:pPr>
    <w:rPr>
      <w:rFonts w:ascii="宋体" w:hAnsi="宋体" w:cs="宋体"/>
      <w:kern w:val="0"/>
      <w:sz w:val="20"/>
      <w:szCs w:val="21"/>
    </w:rPr>
  </w:style>
  <w:style w:type="character" w:customStyle="1" w:styleId="796">
    <w:name w:val="正文文本 (64)_"/>
    <w:link w:val="797"/>
    <w:qFormat/>
    <w:locked/>
    <w:uiPriority w:val="0"/>
    <w:rPr>
      <w:rFonts w:ascii="Angsana New" w:hAnsi="Angsana New" w:eastAsia="Angsana New" w:cs="Angsana New"/>
      <w:sz w:val="32"/>
      <w:szCs w:val="32"/>
      <w:shd w:val="clear" w:color="auto" w:fill="FFFFFF"/>
    </w:rPr>
  </w:style>
  <w:style w:type="paragraph" w:customStyle="1" w:styleId="797">
    <w:name w:val="正文文本 (64)"/>
    <w:basedOn w:val="1"/>
    <w:link w:val="796"/>
    <w:qFormat/>
    <w:uiPriority w:val="0"/>
    <w:pPr>
      <w:widowControl/>
      <w:shd w:val="clear" w:color="auto" w:fill="FFFFFF"/>
      <w:spacing w:line="0" w:lineRule="atLeast"/>
      <w:jc w:val="left"/>
    </w:pPr>
    <w:rPr>
      <w:rFonts w:ascii="Angsana New" w:hAnsi="Angsana New" w:eastAsia="Angsana New" w:cs="Angsana New"/>
      <w:kern w:val="0"/>
      <w:sz w:val="32"/>
      <w:szCs w:val="32"/>
    </w:rPr>
  </w:style>
  <w:style w:type="character" w:customStyle="1" w:styleId="798">
    <w:name w:val="正文文本 (15)_"/>
    <w:link w:val="799"/>
    <w:qFormat/>
    <w:locked/>
    <w:uiPriority w:val="0"/>
    <w:rPr>
      <w:rFonts w:ascii="Franklin Gothic Book" w:hAnsi="Franklin Gothic Book" w:eastAsia="Franklin Gothic Book" w:cs="Franklin Gothic Book"/>
      <w:spacing w:val="10"/>
      <w:w w:val="75"/>
      <w:sz w:val="17"/>
      <w:szCs w:val="17"/>
      <w:shd w:val="clear" w:color="auto" w:fill="FFFFFF"/>
    </w:rPr>
  </w:style>
  <w:style w:type="paragraph" w:customStyle="1" w:styleId="799">
    <w:name w:val="正文文本 (15)"/>
    <w:basedOn w:val="1"/>
    <w:link w:val="798"/>
    <w:qFormat/>
    <w:uiPriority w:val="0"/>
    <w:pPr>
      <w:widowControl/>
      <w:shd w:val="clear" w:color="auto" w:fill="FFFFFF"/>
      <w:spacing w:line="0" w:lineRule="atLeast"/>
      <w:jc w:val="center"/>
    </w:pPr>
    <w:rPr>
      <w:rFonts w:ascii="Franklin Gothic Book" w:hAnsi="Franklin Gothic Book" w:eastAsia="Franklin Gothic Book" w:cs="Franklin Gothic Book"/>
      <w:spacing w:val="10"/>
      <w:w w:val="75"/>
      <w:kern w:val="0"/>
      <w:sz w:val="17"/>
      <w:szCs w:val="17"/>
    </w:rPr>
  </w:style>
  <w:style w:type="character" w:customStyle="1" w:styleId="800">
    <w:name w:val="正文文本 (81)_"/>
    <w:link w:val="801"/>
    <w:qFormat/>
    <w:locked/>
    <w:uiPriority w:val="0"/>
    <w:rPr>
      <w:rFonts w:ascii="Angsana New" w:hAnsi="Angsana New" w:eastAsia="Angsana New" w:cs="Angsana New"/>
      <w:shd w:val="clear" w:color="auto" w:fill="FFFFFF"/>
    </w:rPr>
  </w:style>
  <w:style w:type="paragraph" w:customStyle="1" w:styleId="801">
    <w:name w:val="正文文本 (81)"/>
    <w:basedOn w:val="1"/>
    <w:link w:val="800"/>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802">
    <w:name w:val="正文文本 (4)_"/>
    <w:link w:val="803"/>
    <w:qFormat/>
    <w:locked/>
    <w:uiPriority w:val="0"/>
    <w:rPr>
      <w:rFonts w:ascii="宋体" w:hAnsi="宋体" w:cs="宋体"/>
      <w:szCs w:val="21"/>
      <w:shd w:val="clear" w:color="auto" w:fill="FFFFFF"/>
    </w:rPr>
  </w:style>
  <w:style w:type="paragraph" w:customStyle="1" w:styleId="803">
    <w:name w:val="正文文本 (4)"/>
    <w:basedOn w:val="1"/>
    <w:link w:val="802"/>
    <w:qFormat/>
    <w:uiPriority w:val="0"/>
    <w:pPr>
      <w:widowControl/>
      <w:shd w:val="clear" w:color="auto" w:fill="FFFFFF"/>
      <w:spacing w:line="0" w:lineRule="atLeast"/>
      <w:jc w:val="left"/>
    </w:pPr>
    <w:rPr>
      <w:rFonts w:ascii="宋体" w:hAnsi="宋体" w:cs="宋体"/>
      <w:kern w:val="0"/>
      <w:sz w:val="20"/>
      <w:szCs w:val="21"/>
    </w:rPr>
  </w:style>
  <w:style w:type="character" w:customStyle="1" w:styleId="804">
    <w:name w:val="正文文本 (11)_"/>
    <w:link w:val="805"/>
    <w:qFormat/>
    <w:locked/>
    <w:uiPriority w:val="0"/>
    <w:rPr>
      <w:rFonts w:ascii="宋体" w:hAnsi="宋体" w:cs="宋体"/>
      <w:sz w:val="8"/>
      <w:szCs w:val="8"/>
      <w:shd w:val="clear" w:color="auto" w:fill="FFFFFF"/>
    </w:rPr>
  </w:style>
  <w:style w:type="paragraph" w:customStyle="1" w:styleId="805">
    <w:name w:val="正文文本 (11)"/>
    <w:basedOn w:val="1"/>
    <w:link w:val="804"/>
    <w:qFormat/>
    <w:uiPriority w:val="0"/>
    <w:pPr>
      <w:widowControl/>
      <w:shd w:val="clear" w:color="auto" w:fill="FFFFFF"/>
      <w:spacing w:after="120" w:line="0" w:lineRule="atLeast"/>
      <w:jc w:val="left"/>
    </w:pPr>
    <w:rPr>
      <w:rFonts w:ascii="宋体" w:hAnsi="宋体" w:cs="宋体"/>
      <w:kern w:val="0"/>
      <w:sz w:val="8"/>
      <w:szCs w:val="8"/>
    </w:rPr>
  </w:style>
  <w:style w:type="character" w:customStyle="1" w:styleId="806">
    <w:name w:val="正文文本 (93)_"/>
    <w:link w:val="807"/>
    <w:qFormat/>
    <w:locked/>
    <w:uiPriority w:val="0"/>
    <w:rPr>
      <w:rFonts w:ascii="Angsana New" w:hAnsi="Angsana New" w:eastAsia="Angsana New" w:cs="Angsana New"/>
      <w:spacing w:val="-40"/>
      <w:sz w:val="42"/>
      <w:szCs w:val="42"/>
      <w:shd w:val="clear" w:color="auto" w:fill="FFFFFF"/>
    </w:rPr>
  </w:style>
  <w:style w:type="paragraph" w:customStyle="1" w:styleId="807">
    <w:name w:val="正文文本 (93)"/>
    <w:basedOn w:val="1"/>
    <w:link w:val="806"/>
    <w:qFormat/>
    <w:uiPriority w:val="0"/>
    <w:pPr>
      <w:widowControl/>
      <w:shd w:val="clear" w:color="auto" w:fill="FFFFFF"/>
      <w:spacing w:before="180" w:line="227" w:lineRule="exact"/>
      <w:jc w:val="distribute"/>
    </w:pPr>
    <w:rPr>
      <w:rFonts w:ascii="Angsana New" w:hAnsi="Angsana New" w:eastAsia="Angsana New" w:cs="Angsana New"/>
      <w:spacing w:val="-40"/>
      <w:kern w:val="0"/>
      <w:sz w:val="42"/>
      <w:szCs w:val="42"/>
    </w:rPr>
  </w:style>
  <w:style w:type="character" w:customStyle="1" w:styleId="808">
    <w:name w:val="标题 #7_"/>
    <w:link w:val="809"/>
    <w:qFormat/>
    <w:locked/>
    <w:uiPriority w:val="0"/>
    <w:rPr>
      <w:rFonts w:ascii="宋体" w:hAnsi="宋体" w:cs="宋体"/>
      <w:szCs w:val="21"/>
      <w:shd w:val="clear" w:color="auto" w:fill="FFFFFF"/>
    </w:rPr>
  </w:style>
  <w:style w:type="paragraph" w:customStyle="1" w:styleId="809">
    <w:name w:val="标题 #7"/>
    <w:basedOn w:val="1"/>
    <w:link w:val="808"/>
    <w:qFormat/>
    <w:uiPriority w:val="0"/>
    <w:pPr>
      <w:widowControl/>
      <w:shd w:val="clear" w:color="auto" w:fill="FFFFFF"/>
      <w:spacing w:line="0" w:lineRule="atLeast"/>
      <w:jc w:val="left"/>
      <w:outlineLvl w:val="6"/>
    </w:pPr>
    <w:rPr>
      <w:rFonts w:ascii="宋体" w:hAnsi="宋体" w:cs="宋体"/>
      <w:kern w:val="0"/>
      <w:sz w:val="20"/>
      <w:szCs w:val="21"/>
    </w:rPr>
  </w:style>
  <w:style w:type="character" w:customStyle="1" w:styleId="810">
    <w:name w:val="正文文本 (86)_"/>
    <w:link w:val="811"/>
    <w:qFormat/>
    <w:locked/>
    <w:uiPriority w:val="0"/>
    <w:rPr>
      <w:rFonts w:ascii="Angsana New" w:hAnsi="Angsana New" w:eastAsia="Angsana New" w:cs="Angsana New"/>
      <w:shd w:val="clear" w:color="auto" w:fill="FFFFFF"/>
    </w:rPr>
  </w:style>
  <w:style w:type="paragraph" w:customStyle="1" w:styleId="811">
    <w:name w:val="正文文本 (86)"/>
    <w:basedOn w:val="1"/>
    <w:link w:val="810"/>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812">
    <w:name w:val="正文文本 (50)_"/>
    <w:link w:val="813"/>
    <w:qFormat/>
    <w:locked/>
    <w:uiPriority w:val="0"/>
    <w:rPr>
      <w:rFonts w:ascii="Angsana New" w:hAnsi="Angsana New" w:eastAsia="Angsana New" w:cs="Angsana New"/>
      <w:shd w:val="clear" w:color="auto" w:fill="FFFFFF"/>
    </w:rPr>
  </w:style>
  <w:style w:type="paragraph" w:customStyle="1" w:styleId="813">
    <w:name w:val="正文文本 (50)"/>
    <w:basedOn w:val="1"/>
    <w:link w:val="812"/>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814">
    <w:name w:val="正文文本 (105)_"/>
    <w:link w:val="815"/>
    <w:qFormat/>
    <w:locked/>
    <w:uiPriority w:val="0"/>
    <w:rPr>
      <w:rFonts w:ascii="宋体" w:hAnsi="宋体" w:cs="宋体"/>
      <w:szCs w:val="21"/>
      <w:shd w:val="clear" w:color="auto" w:fill="FFFFFF"/>
    </w:rPr>
  </w:style>
  <w:style w:type="paragraph" w:customStyle="1" w:styleId="815">
    <w:name w:val="正文文本 (105)"/>
    <w:basedOn w:val="1"/>
    <w:link w:val="814"/>
    <w:qFormat/>
    <w:uiPriority w:val="0"/>
    <w:pPr>
      <w:widowControl/>
      <w:shd w:val="clear" w:color="auto" w:fill="FFFFFF"/>
      <w:spacing w:line="536" w:lineRule="exact"/>
      <w:ind w:firstLine="500"/>
      <w:jc w:val="distribute"/>
    </w:pPr>
    <w:rPr>
      <w:rFonts w:ascii="宋体" w:hAnsi="宋体" w:cs="宋体"/>
      <w:kern w:val="0"/>
      <w:sz w:val="20"/>
      <w:szCs w:val="21"/>
    </w:rPr>
  </w:style>
  <w:style w:type="character" w:customStyle="1" w:styleId="816">
    <w:name w:val="正文文本 (85)_"/>
    <w:link w:val="817"/>
    <w:qFormat/>
    <w:locked/>
    <w:uiPriority w:val="0"/>
    <w:rPr>
      <w:rFonts w:ascii="Angsana New" w:hAnsi="Angsana New" w:eastAsia="Angsana New" w:cs="Angsana New"/>
      <w:shd w:val="clear" w:color="auto" w:fill="FFFFFF"/>
    </w:rPr>
  </w:style>
  <w:style w:type="paragraph" w:customStyle="1" w:styleId="817">
    <w:name w:val="正文文本 (85)"/>
    <w:basedOn w:val="1"/>
    <w:link w:val="816"/>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818">
    <w:name w:val="正文文本 (17)_"/>
    <w:link w:val="819"/>
    <w:qFormat/>
    <w:locked/>
    <w:uiPriority w:val="0"/>
    <w:rPr>
      <w:rFonts w:ascii="Batang" w:hAnsi="Batang" w:eastAsia="Batang" w:cs="Batang"/>
      <w:sz w:val="8"/>
      <w:szCs w:val="8"/>
      <w:shd w:val="clear" w:color="auto" w:fill="FFFFFF"/>
    </w:rPr>
  </w:style>
  <w:style w:type="paragraph" w:customStyle="1" w:styleId="819">
    <w:name w:val="正文文本 (17)"/>
    <w:basedOn w:val="1"/>
    <w:link w:val="818"/>
    <w:qFormat/>
    <w:uiPriority w:val="0"/>
    <w:pPr>
      <w:widowControl/>
      <w:shd w:val="clear" w:color="auto" w:fill="FFFFFF"/>
      <w:spacing w:line="65" w:lineRule="exact"/>
      <w:jc w:val="distribute"/>
    </w:pPr>
    <w:rPr>
      <w:rFonts w:ascii="Batang" w:hAnsi="Batang" w:eastAsia="Batang" w:cs="Batang"/>
      <w:kern w:val="0"/>
      <w:sz w:val="8"/>
      <w:szCs w:val="8"/>
    </w:rPr>
  </w:style>
  <w:style w:type="character" w:customStyle="1" w:styleId="820">
    <w:name w:val="正文文本 (67)_"/>
    <w:link w:val="821"/>
    <w:qFormat/>
    <w:locked/>
    <w:uiPriority w:val="0"/>
    <w:rPr>
      <w:rFonts w:ascii="黑体" w:hAnsi="黑体" w:eastAsia="黑体" w:cs="黑体"/>
      <w:sz w:val="26"/>
      <w:szCs w:val="26"/>
      <w:shd w:val="clear" w:color="auto" w:fill="FFFFFF"/>
    </w:rPr>
  </w:style>
  <w:style w:type="paragraph" w:customStyle="1" w:styleId="821">
    <w:name w:val="正文文本 (67)"/>
    <w:basedOn w:val="1"/>
    <w:link w:val="820"/>
    <w:qFormat/>
    <w:uiPriority w:val="0"/>
    <w:pPr>
      <w:widowControl/>
      <w:shd w:val="clear" w:color="auto" w:fill="FFFFFF"/>
      <w:spacing w:line="0" w:lineRule="atLeast"/>
      <w:jc w:val="left"/>
    </w:pPr>
    <w:rPr>
      <w:rFonts w:ascii="黑体" w:hAnsi="黑体" w:eastAsia="黑体" w:cs="黑体"/>
      <w:kern w:val="0"/>
      <w:sz w:val="26"/>
      <w:szCs w:val="26"/>
    </w:rPr>
  </w:style>
  <w:style w:type="character" w:customStyle="1" w:styleId="822">
    <w:name w:val="正文文本 (34)_"/>
    <w:link w:val="823"/>
    <w:qFormat/>
    <w:locked/>
    <w:uiPriority w:val="0"/>
    <w:rPr>
      <w:rFonts w:ascii="宋体" w:hAnsi="宋体" w:cs="宋体"/>
      <w:sz w:val="19"/>
      <w:szCs w:val="19"/>
      <w:shd w:val="clear" w:color="auto" w:fill="FFFFFF"/>
    </w:rPr>
  </w:style>
  <w:style w:type="paragraph" w:customStyle="1" w:styleId="823">
    <w:name w:val="正文文本 (34)"/>
    <w:basedOn w:val="1"/>
    <w:link w:val="822"/>
    <w:qFormat/>
    <w:uiPriority w:val="0"/>
    <w:pPr>
      <w:widowControl/>
      <w:shd w:val="clear" w:color="auto" w:fill="FFFFFF"/>
      <w:spacing w:line="220" w:lineRule="exact"/>
      <w:jc w:val="distribute"/>
    </w:pPr>
    <w:rPr>
      <w:rFonts w:ascii="宋体" w:hAnsi="宋体" w:cs="宋体"/>
      <w:kern w:val="0"/>
      <w:sz w:val="19"/>
      <w:szCs w:val="19"/>
    </w:rPr>
  </w:style>
  <w:style w:type="character" w:customStyle="1" w:styleId="824">
    <w:name w:val="标题 #5_"/>
    <w:link w:val="825"/>
    <w:qFormat/>
    <w:locked/>
    <w:uiPriority w:val="0"/>
    <w:rPr>
      <w:rFonts w:ascii="宋体" w:hAnsi="宋体" w:cs="宋体"/>
      <w:sz w:val="29"/>
      <w:szCs w:val="29"/>
      <w:shd w:val="clear" w:color="auto" w:fill="FFFFFF"/>
    </w:rPr>
  </w:style>
  <w:style w:type="paragraph" w:customStyle="1" w:styleId="825">
    <w:name w:val="标题 #5"/>
    <w:basedOn w:val="1"/>
    <w:link w:val="824"/>
    <w:qFormat/>
    <w:uiPriority w:val="0"/>
    <w:pPr>
      <w:widowControl/>
      <w:shd w:val="clear" w:color="auto" w:fill="FFFFFF"/>
      <w:spacing w:after="180" w:line="0" w:lineRule="atLeast"/>
      <w:jc w:val="left"/>
      <w:outlineLvl w:val="4"/>
    </w:pPr>
    <w:rPr>
      <w:rFonts w:ascii="宋体" w:hAnsi="宋体" w:cs="宋体"/>
      <w:kern w:val="0"/>
      <w:sz w:val="29"/>
      <w:szCs w:val="29"/>
    </w:rPr>
  </w:style>
  <w:style w:type="character" w:customStyle="1" w:styleId="826">
    <w:name w:val="正文文本 (70)_"/>
    <w:link w:val="827"/>
    <w:qFormat/>
    <w:locked/>
    <w:uiPriority w:val="0"/>
    <w:rPr>
      <w:rFonts w:ascii="Angsana New" w:hAnsi="Angsana New" w:eastAsia="Angsana New" w:cs="Angsana New"/>
      <w:shd w:val="clear" w:color="auto" w:fill="FFFFFF"/>
    </w:rPr>
  </w:style>
  <w:style w:type="paragraph" w:customStyle="1" w:styleId="827">
    <w:name w:val="正文文本 (70)"/>
    <w:basedOn w:val="1"/>
    <w:link w:val="826"/>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828">
    <w:name w:val="正文文本 (92)_"/>
    <w:link w:val="829"/>
    <w:qFormat/>
    <w:locked/>
    <w:uiPriority w:val="0"/>
    <w:rPr>
      <w:rFonts w:ascii="Batang" w:hAnsi="Batang" w:eastAsia="Batang" w:cs="Batang"/>
      <w:sz w:val="8"/>
      <w:szCs w:val="8"/>
      <w:shd w:val="clear" w:color="auto" w:fill="FFFFFF"/>
    </w:rPr>
  </w:style>
  <w:style w:type="paragraph" w:customStyle="1" w:styleId="829">
    <w:name w:val="正文文本 (92)"/>
    <w:basedOn w:val="1"/>
    <w:link w:val="828"/>
    <w:qFormat/>
    <w:uiPriority w:val="0"/>
    <w:pPr>
      <w:widowControl/>
      <w:shd w:val="clear" w:color="auto" w:fill="FFFFFF"/>
      <w:spacing w:line="0" w:lineRule="atLeast"/>
      <w:jc w:val="distribute"/>
    </w:pPr>
    <w:rPr>
      <w:rFonts w:ascii="Batang" w:hAnsi="Batang" w:eastAsia="Batang" w:cs="Batang"/>
      <w:kern w:val="0"/>
      <w:sz w:val="8"/>
      <w:szCs w:val="8"/>
    </w:rPr>
  </w:style>
  <w:style w:type="character" w:customStyle="1" w:styleId="830">
    <w:name w:val="正文文本 (102)_"/>
    <w:link w:val="831"/>
    <w:qFormat/>
    <w:locked/>
    <w:uiPriority w:val="0"/>
    <w:rPr>
      <w:rFonts w:ascii="Trebuchet MS" w:hAnsi="Trebuchet MS" w:eastAsia="Trebuchet MS" w:cs="Trebuchet MS"/>
      <w:w w:val="350"/>
      <w:szCs w:val="21"/>
      <w:shd w:val="clear" w:color="auto" w:fill="FFFFFF"/>
    </w:rPr>
  </w:style>
  <w:style w:type="paragraph" w:customStyle="1" w:styleId="831">
    <w:name w:val="正文文本 (102)"/>
    <w:basedOn w:val="1"/>
    <w:link w:val="830"/>
    <w:qFormat/>
    <w:uiPriority w:val="0"/>
    <w:pPr>
      <w:widowControl/>
      <w:shd w:val="clear" w:color="auto" w:fill="FFFFFF"/>
      <w:spacing w:line="0" w:lineRule="atLeast"/>
      <w:jc w:val="left"/>
    </w:pPr>
    <w:rPr>
      <w:rFonts w:ascii="Trebuchet MS" w:hAnsi="Trebuchet MS" w:eastAsia="Trebuchet MS" w:cs="Trebuchet MS"/>
      <w:w w:val="350"/>
      <w:kern w:val="0"/>
      <w:sz w:val="20"/>
      <w:szCs w:val="21"/>
    </w:rPr>
  </w:style>
  <w:style w:type="character" w:customStyle="1" w:styleId="832">
    <w:name w:val="正文文本 (49)_"/>
    <w:link w:val="833"/>
    <w:qFormat/>
    <w:locked/>
    <w:uiPriority w:val="0"/>
    <w:rPr>
      <w:rFonts w:ascii="Angsana New" w:hAnsi="Angsana New" w:eastAsia="Angsana New" w:cs="Angsana New"/>
      <w:spacing w:val="20"/>
      <w:sz w:val="36"/>
      <w:szCs w:val="36"/>
      <w:shd w:val="clear" w:color="auto" w:fill="FFFFFF"/>
    </w:rPr>
  </w:style>
  <w:style w:type="paragraph" w:customStyle="1" w:styleId="833">
    <w:name w:val="正文文本 (49)"/>
    <w:basedOn w:val="1"/>
    <w:link w:val="832"/>
    <w:qFormat/>
    <w:uiPriority w:val="0"/>
    <w:pPr>
      <w:widowControl/>
      <w:shd w:val="clear" w:color="auto" w:fill="FFFFFF"/>
      <w:spacing w:line="0" w:lineRule="atLeast"/>
      <w:jc w:val="left"/>
    </w:pPr>
    <w:rPr>
      <w:rFonts w:ascii="Angsana New" w:hAnsi="Angsana New" w:eastAsia="Angsana New" w:cs="Angsana New"/>
      <w:spacing w:val="20"/>
      <w:kern w:val="0"/>
      <w:sz w:val="36"/>
      <w:szCs w:val="36"/>
    </w:rPr>
  </w:style>
  <w:style w:type="character" w:customStyle="1" w:styleId="834">
    <w:name w:val="正文文本 (45)_"/>
    <w:link w:val="835"/>
    <w:qFormat/>
    <w:locked/>
    <w:uiPriority w:val="0"/>
    <w:rPr>
      <w:rFonts w:ascii="Angsana New" w:hAnsi="Angsana New" w:eastAsia="Angsana New" w:cs="Angsana New"/>
      <w:sz w:val="37"/>
      <w:szCs w:val="37"/>
      <w:shd w:val="clear" w:color="auto" w:fill="FFFFFF"/>
    </w:rPr>
  </w:style>
  <w:style w:type="paragraph" w:customStyle="1" w:styleId="835">
    <w:name w:val="正文文本 (45)"/>
    <w:basedOn w:val="1"/>
    <w:link w:val="834"/>
    <w:qFormat/>
    <w:uiPriority w:val="0"/>
    <w:pPr>
      <w:widowControl/>
      <w:shd w:val="clear" w:color="auto" w:fill="FFFFFF"/>
      <w:spacing w:line="0" w:lineRule="atLeast"/>
      <w:jc w:val="left"/>
    </w:pPr>
    <w:rPr>
      <w:rFonts w:ascii="Angsana New" w:hAnsi="Angsana New" w:eastAsia="Angsana New" w:cs="Angsana New"/>
      <w:kern w:val="0"/>
      <w:sz w:val="37"/>
      <w:szCs w:val="37"/>
    </w:rPr>
  </w:style>
  <w:style w:type="character" w:customStyle="1" w:styleId="836">
    <w:name w:val="图片标题_"/>
    <w:link w:val="837"/>
    <w:qFormat/>
    <w:locked/>
    <w:uiPriority w:val="0"/>
    <w:rPr>
      <w:rFonts w:ascii="MingLiU" w:hAnsi="MingLiU" w:eastAsia="MingLiU" w:cs="MingLiU"/>
      <w:sz w:val="8"/>
      <w:szCs w:val="8"/>
      <w:shd w:val="clear" w:color="auto" w:fill="FFFFFF"/>
    </w:rPr>
  </w:style>
  <w:style w:type="paragraph" w:customStyle="1" w:styleId="837">
    <w:name w:val="图片标题"/>
    <w:basedOn w:val="1"/>
    <w:link w:val="836"/>
    <w:qFormat/>
    <w:uiPriority w:val="0"/>
    <w:pPr>
      <w:widowControl/>
      <w:shd w:val="clear" w:color="auto" w:fill="FFFFFF"/>
      <w:spacing w:line="0" w:lineRule="atLeast"/>
      <w:jc w:val="left"/>
    </w:pPr>
    <w:rPr>
      <w:rFonts w:ascii="MingLiU" w:hAnsi="MingLiU" w:eastAsia="MingLiU" w:cs="MingLiU"/>
      <w:kern w:val="0"/>
      <w:sz w:val="8"/>
      <w:szCs w:val="8"/>
    </w:rPr>
  </w:style>
  <w:style w:type="character" w:customStyle="1" w:styleId="838">
    <w:name w:val="正文文本 (10)_"/>
    <w:link w:val="839"/>
    <w:qFormat/>
    <w:locked/>
    <w:uiPriority w:val="0"/>
    <w:rPr>
      <w:rFonts w:ascii="MingLiU" w:eastAsia="MingLiU"/>
      <w:sz w:val="16"/>
      <w:szCs w:val="16"/>
      <w:shd w:val="clear" w:color="auto" w:fill="FFFFFF"/>
    </w:rPr>
  </w:style>
  <w:style w:type="paragraph" w:customStyle="1" w:styleId="839">
    <w:name w:val="正文文本 (10)"/>
    <w:basedOn w:val="1"/>
    <w:link w:val="838"/>
    <w:qFormat/>
    <w:uiPriority w:val="0"/>
    <w:pPr>
      <w:widowControl/>
      <w:shd w:val="clear" w:color="auto" w:fill="FFFFFF"/>
      <w:spacing w:line="240" w:lineRule="atLeast"/>
      <w:jc w:val="left"/>
    </w:pPr>
    <w:rPr>
      <w:rFonts w:ascii="MingLiU" w:eastAsia="MingLiU"/>
      <w:kern w:val="0"/>
      <w:sz w:val="16"/>
      <w:szCs w:val="16"/>
    </w:rPr>
  </w:style>
  <w:style w:type="character" w:customStyle="1" w:styleId="840">
    <w:name w:val="正文文本 (80)_"/>
    <w:link w:val="841"/>
    <w:qFormat/>
    <w:locked/>
    <w:uiPriority w:val="0"/>
    <w:rPr>
      <w:rFonts w:ascii="Angsana New" w:hAnsi="Angsana New" w:eastAsia="Angsana New" w:cs="Angsana New"/>
      <w:shd w:val="clear" w:color="auto" w:fill="FFFFFF"/>
    </w:rPr>
  </w:style>
  <w:style w:type="paragraph" w:customStyle="1" w:styleId="841">
    <w:name w:val="正文文本 (80)"/>
    <w:basedOn w:val="1"/>
    <w:link w:val="840"/>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842">
    <w:name w:val="正文文本 (27)_"/>
    <w:link w:val="843"/>
    <w:qFormat/>
    <w:locked/>
    <w:uiPriority w:val="0"/>
    <w:rPr>
      <w:rFonts w:ascii="宋体" w:hAnsi="宋体" w:cs="宋体"/>
      <w:w w:val="150"/>
      <w:sz w:val="14"/>
      <w:szCs w:val="14"/>
      <w:shd w:val="clear" w:color="auto" w:fill="FFFFFF"/>
    </w:rPr>
  </w:style>
  <w:style w:type="paragraph" w:customStyle="1" w:styleId="843">
    <w:name w:val="正文文本 (27)"/>
    <w:basedOn w:val="1"/>
    <w:link w:val="842"/>
    <w:qFormat/>
    <w:uiPriority w:val="0"/>
    <w:pPr>
      <w:widowControl/>
      <w:shd w:val="clear" w:color="auto" w:fill="FFFFFF"/>
      <w:spacing w:line="0" w:lineRule="atLeast"/>
      <w:jc w:val="left"/>
    </w:pPr>
    <w:rPr>
      <w:rFonts w:ascii="宋体" w:hAnsi="宋体" w:cs="宋体"/>
      <w:w w:val="150"/>
      <w:kern w:val="0"/>
      <w:sz w:val="14"/>
      <w:szCs w:val="14"/>
    </w:rPr>
  </w:style>
  <w:style w:type="character" w:customStyle="1" w:styleId="844">
    <w:name w:val="正文文本 (21)_"/>
    <w:link w:val="845"/>
    <w:qFormat/>
    <w:locked/>
    <w:uiPriority w:val="0"/>
    <w:rPr>
      <w:rFonts w:ascii="宋体" w:hAnsi="宋体" w:cs="宋体"/>
      <w:sz w:val="19"/>
      <w:szCs w:val="19"/>
      <w:shd w:val="clear" w:color="auto" w:fill="FFFFFF"/>
    </w:rPr>
  </w:style>
  <w:style w:type="paragraph" w:customStyle="1" w:styleId="845">
    <w:name w:val="正文文本 (21)"/>
    <w:basedOn w:val="1"/>
    <w:link w:val="844"/>
    <w:qFormat/>
    <w:uiPriority w:val="0"/>
    <w:pPr>
      <w:widowControl/>
      <w:shd w:val="clear" w:color="auto" w:fill="FFFFFF"/>
      <w:spacing w:line="0" w:lineRule="atLeast"/>
      <w:jc w:val="distribute"/>
    </w:pPr>
    <w:rPr>
      <w:rFonts w:ascii="宋体" w:hAnsi="宋体" w:cs="宋体"/>
      <w:kern w:val="0"/>
      <w:sz w:val="19"/>
      <w:szCs w:val="19"/>
    </w:rPr>
  </w:style>
  <w:style w:type="character" w:customStyle="1" w:styleId="846">
    <w:name w:val="正文文本 (83)_"/>
    <w:link w:val="847"/>
    <w:qFormat/>
    <w:locked/>
    <w:uiPriority w:val="0"/>
    <w:rPr>
      <w:rFonts w:ascii="Angsana New" w:hAnsi="Angsana New" w:eastAsia="Angsana New" w:cs="Angsana New"/>
      <w:shd w:val="clear" w:color="auto" w:fill="FFFFFF"/>
    </w:rPr>
  </w:style>
  <w:style w:type="paragraph" w:customStyle="1" w:styleId="847">
    <w:name w:val="正文文本 (83)"/>
    <w:basedOn w:val="1"/>
    <w:link w:val="846"/>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848">
    <w:name w:val="标题 #11_"/>
    <w:link w:val="849"/>
    <w:qFormat/>
    <w:locked/>
    <w:uiPriority w:val="0"/>
    <w:rPr>
      <w:rFonts w:ascii="宋体" w:hAnsi="宋体" w:cs="宋体"/>
      <w:szCs w:val="21"/>
      <w:shd w:val="clear" w:color="auto" w:fill="FFFFFF"/>
    </w:rPr>
  </w:style>
  <w:style w:type="paragraph" w:customStyle="1" w:styleId="849">
    <w:name w:val="标题 #11"/>
    <w:basedOn w:val="1"/>
    <w:link w:val="848"/>
    <w:qFormat/>
    <w:uiPriority w:val="0"/>
    <w:pPr>
      <w:widowControl/>
      <w:shd w:val="clear" w:color="auto" w:fill="FFFFFF"/>
      <w:spacing w:before="120" w:after="180" w:line="0" w:lineRule="atLeast"/>
      <w:jc w:val="left"/>
    </w:pPr>
    <w:rPr>
      <w:rFonts w:ascii="宋体" w:hAnsi="宋体" w:cs="宋体"/>
      <w:kern w:val="0"/>
      <w:sz w:val="20"/>
      <w:szCs w:val="21"/>
    </w:rPr>
  </w:style>
  <w:style w:type="character" w:customStyle="1" w:styleId="850">
    <w:name w:val="标题 #1 (2)_"/>
    <w:link w:val="851"/>
    <w:qFormat/>
    <w:locked/>
    <w:uiPriority w:val="0"/>
    <w:rPr>
      <w:rFonts w:ascii="宋体" w:hAnsi="宋体" w:cs="宋体"/>
      <w:sz w:val="19"/>
      <w:szCs w:val="19"/>
      <w:shd w:val="clear" w:color="auto" w:fill="FFFFFF"/>
    </w:rPr>
  </w:style>
  <w:style w:type="paragraph" w:customStyle="1" w:styleId="851">
    <w:name w:val="标题 #1 (2)"/>
    <w:basedOn w:val="1"/>
    <w:link w:val="850"/>
    <w:qFormat/>
    <w:uiPriority w:val="0"/>
    <w:pPr>
      <w:widowControl/>
      <w:shd w:val="clear" w:color="auto" w:fill="FFFFFF"/>
      <w:spacing w:line="0" w:lineRule="atLeast"/>
      <w:jc w:val="left"/>
      <w:outlineLvl w:val="0"/>
    </w:pPr>
    <w:rPr>
      <w:rFonts w:ascii="宋体" w:hAnsi="宋体" w:cs="宋体"/>
      <w:kern w:val="0"/>
      <w:sz w:val="19"/>
      <w:szCs w:val="19"/>
    </w:rPr>
  </w:style>
  <w:style w:type="character" w:customStyle="1" w:styleId="852">
    <w:name w:val="正文文本 (60)_"/>
    <w:link w:val="853"/>
    <w:qFormat/>
    <w:locked/>
    <w:uiPriority w:val="0"/>
    <w:rPr>
      <w:rFonts w:ascii="Angsana New" w:hAnsi="Angsana New" w:eastAsia="Angsana New" w:cs="Angsana New"/>
      <w:shd w:val="clear" w:color="auto" w:fill="FFFFFF"/>
    </w:rPr>
  </w:style>
  <w:style w:type="paragraph" w:customStyle="1" w:styleId="853">
    <w:name w:val="正文文本 (60)"/>
    <w:basedOn w:val="1"/>
    <w:link w:val="852"/>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854">
    <w:name w:val="正文文本 (38)_"/>
    <w:link w:val="855"/>
    <w:qFormat/>
    <w:locked/>
    <w:uiPriority w:val="0"/>
    <w:rPr>
      <w:rFonts w:ascii="黑体" w:hAnsi="黑体" w:eastAsia="黑体" w:cs="黑体"/>
      <w:sz w:val="26"/>
      <w:szCs w:val="26"/>
      <w:shd w:val="clear" w:color="auto" w:fill="FFFFFF"/>
    </w:rPr>
  </w:style>
  <w:style w:type="paragraph" w:customStyle="1" w:styleId="855">
    <w:name w:val="正文文本 (38)"/>
    <w:basedOn w:val="1"/>
    <w:link w:val="854"/>
    <w:qFormat/>
    <w:uiPriority w:val="0"/>
    <w:pPr>
      <w:widowControl/>
      <w:shd w:val="clear" w:color="auto" w:fill="FFFFFF"/>
      <w:spacing w:line="0" w:lineRule="atLeast"/>
      <w:jc w:val="left"/>
    </w:pPr>
    <w:rPr>
      <w:rFonts w:ascii="黑体" w:hAnsi="黑体" w:eastAsia="黑体" w:cs="黑体"/>
      <w:kern w:val="0"/>
      <w:sz w:val="26"/>
      <w:szCs w:val="26"/>
    </w:rPr>
  </w:style>
  <w:style w:type="character" w:customStyle="1" w:styleId="856">
    <w:name w:val="正文文本 (59)_"/>
    <w:link w:val="857"/>
    <w:qFormat/>
    <w:locked/>
    <w:uiPriority w:val="0"/>
    <w:rPr>
      <w:rFonts w:ascii="Angsana New" w:hAnsi="Angsana New" w:eastAsia="Angsana New" w:cs="Angsana New"/>
      <w:sz w:val="31"/>
      <w:szCs w:val="31"/>
      <w:shd w:val="clear" w:color="auto" w:fill="FFFFFF"/>
    </w:rPr>
  </w:style>
  <w:style w:type="paragraph" w:customStyle="1" w:styleId="857">
    <w:name w:val="正文文本 (59)"/>
    <w:basedOn w:val="1"/>
    <w:link w:val="856"/>
    <w:qFormat/>
    <w:uiPriority w:val="0"/>
    <w:pPr>
      <w:widowControl/>
      <w:shd w:val="clear" w:color="auto" w:fill="FFFFFF"/>
      <w:spacing w:line="0" w:lineRule="atLeast"/>
      <w:jc w:val="left"/>
    </w:pPr>
    <w:rPr>
      <w:rFonts w:ascii="Angsana New" w:hAnsi="Angsana New" w:eastAsia="Angsana New" w:cs="Angsana New"/>
      <w:kern w:val="0"/>
      <w:sz w:val="31"/>
      <w:szCs w:val="31"/>
    </w:rPr>
  </w:style>
  <w:style w:type="character" w:customStyle="1" w:styleId="858">
    <w:name w:val="正文文本 (47)_"/>
    <w:link w:val="859"/>
    <w:qFormat/>
    <w:locked/>
    <w:uiPriority w:val="0"/>
    <w:rPr>
      <w:rFonts w:ascii="Angsana New" w:hAnsi="Angsana New" w:eastAsia="Angsana New" w:cs="Angsana New"/>
      <w:shd w:val="clear" w:color="auto" w:fill="FFFFFF"/>
    </w:rPr>
  </w:style>
  <w:style w:type="paragraph" w:customStyle="1" w:styleId="859">
    <w:name w:val="正文文本 (47)"/>
    <w:basedOn w:val="1"/>
    <w:link w:val="858"/>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860">
    <w:name w:val="正文文本 (7)_"/>
    <w:link w:val="861"/>
    <w:qFormat/>
    <w:locked/>
    <w:uiPriority w:val="0"/>
    <w:rPr>
      <w:rFonts w:ascii="宋体" w:hAnsi="宋体" w:cs="宋体"/>
      <w:sz w:val="17"/>
      <w:szCs w:val="17"/>
      <w:shd w:val="clear" w:color="auto" w:fill="FFFFFF"/>
    </w:rPr>
  </w:style>
  <w:style w:type="paragraph" w:customStyle="1" w:styleId="861">
    <w:name w:val="正文文本 (7)"/>
    <w:basedOn w:val="1"/>
    <w:link w:val="860"/>
    <w:qFormat/>
    <w:uiPriority w:val="0"/>
    <w:pPr>
      <w:widowControl/>
      <w:shd w:val="clear" w:color="auto" w:fill="FFFFFF"/>
      <w:spacing w:line="0" w:lineRule="atLeast"/>
      <w:jc w:val="left"/>
    </w:pPr>
    <w:rPr>
      <w:rFonts w:ascii="宋体" w:hAnsi="宋体" w:cs="宋体"/>
      <w:kern w:val="0"/>
      <w:sz w:val="17"/>
      <w:szCs w:val="17"/>
    </w:rPr>
  </w:style>
  <w:style w:type="character" w:customStyle="1" w:styleId="862">
    <w:name w:val="正文文本 (77)_"/>
    <w:link w:val="863"/>
    <w:qFormat/>
    <w:locked/>
    <w:uiPriority w:val="0"/>
    <w:rPr>
      <w:rFonts w:ascii="Angsana New" w:hAnsi="Angsana New" w:eastAsia="Angsana New" w:cs="Angsana New"/>
      <w:shd w:val="clear" w:color="auto" w:fill="FFFFFF"/>
    </w:rPr>
  </w:style>
  <w:style w:type="paragraph" w:customStyle="1" w:styleId="863">
    <w:name w:val="正文文本 (77)"/>
    <w:basedOn w:val="1"/>
    <w:link w:val="862"/>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864">
    <w:name w:val="正文文本 (65)_"/>
    <w:link w:val="865"/>
    <w:qFormat/>
    <w:locked/>
    <w:uiPriority w:val="0"/>
    <w:rPr>
      <w:rFonts w:ascii="Angsana New" w:hAnsi="Angsana New" w:eastAsia="Angsana New" w:cs="Angsana New"/>
      <w:shd w:val="clear" w:color="auto" w:fill="FFFFFF"/>
    </w:rPr>
  </w:style>
  <w:style w:type="paragraph" w:customStyle="1" w:styleId="865">
    <w:name w:val="正文文本 (65)"/>
    <w:basedOn w:val="1"/>
    <w:link w:val="864"/>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866">
    <w:name w:val="正文文本 (56)_"/>
    <w:link w:val="867"/>
    <w:qFormat/>
    <w:locked/>
    <w:uiPriority w:val="0"/>
    <w:rPr>
      <w:rFonts w:ascii="Angsana New" w:hAnsi="Angsana New" w:eastAsia="Angsana New" w:cs="Angsana New"/>
      <w:shd w:val="clear" w:color="auto" w:fill="FFFFFF"/>
    </w:rPr>
  </w:style>
  <w:style w:type="paragraph" w:customStyle="1" w:styleId="867">
    <w:name w:val="正文文本 (56)"/>
    <w:basedOn w:val="1"/>
    <w:link w:val="866"/>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868">
    <w:name w:val="正文文本 (6)_"/>
    <w:link w:val="869"/>
    <w:qFormat/>
    <w:locked/>
    <w:uiPriority w:val="0"/>
    <w:rPr>
      <w:rFonts w:ascii="宋体" w:hAnsi="宋体" w:cs="宋体"/>
      <w:sz w:val="19"/>
      <w:szCs w:val="19"/>
      <w:shd w:val="clear" w:color="auto" w:fill="FFFFFF"/>
    </w:rPr>
  </w:style>
  <w:style w:type="paragraph" w:customStyle="1" w:styleId="869">
    <w:name w:val="正文文本 (6)"/>
    <w:basedOn w:val="1"/>
    <w:link w:val="868"/>
    <w:qFormat/>
    <w:uiPriority w:val="0"/>
    <w:pPr>
      <w:widowControl/>
      <w:shd w:val="clear" w:color="auto" w:fill="FFFFFF"/>
      <w:spacing w:before="240" w:line="0" w:lineRule="atLeast"/>
      <w:ind w:hanging="320"/>
      <w:jc w:val="left"/>
    </w:pPr>
    <w:rPr>
      <w:rFonts w:ascii="宋体" w:hAnsi="宋体" w:cs="宋体"/>
      <w:kern w:val="0"/>
      <w:sz w:val="19"/>
      <w:szCs w:val="19"/>
    </w:rPr>
  </w:style>
  <w:style w:type="character" w:customStyle="1" w:styleId="870">
    <w:name w:val="正文文本_"/>
    <w:link w:val="871"/>
    <w:qFormat/>
    <w:locked/>
    <w:uiPriority w:val="0"/>
    <w:rPr>
      <w:rFonts w:ascii="宋体" w:hAnsi="宋体" w:cs="宋体"/>
      <w:szCs w:val="21"/>
      <w:shd w:val="clear" w:color="auto" w:fill="FFFFFF"/>
    </w:rPr>
  </w:style>
  <w:style w:type="paragraph" w:customStyle="1" w:styleId="871">
    <w:name w:val="正文文本5"/>
    <w:basedOn w:val="1"/>
    <w:link w:val="870"/>
    <w:qFormat/>
    <w:uiPriority w:val="0"/>
    <w:pPr>
      <w:widowControl/>
      <w:shd w:val="clear" w:color="auto" w:fill="FFFFFF"/>
      <w:spacing w:before="660" w:line="518" w:lineRule="exact"/>
      <w:jc w:val="distribute"/>
    </w:pPr>
    <w:rPr>
      <w:rFonts w:ascii="宋体" w:hAnsi="宋体" w:cs="宋体"/>
      <w:kern w:val="0"/>
      <w:sz w:val="20"/>
      <w:szCs w:val="21"/>
    </w:rPr>
  </w:style>
  <w:style w:type="character" w:customStyle="1" w:styleId="872">
    <w:name w:val="标题 #1_"/>
    <w:link w:val="873"/>
    <w:qFormat/>
    <w:locked/>
    <w:uiPriority w:val="0"/>
    <w:rPr>
      <w:rFonts w:ascii="宋体" w:hAnsi="宋体" w:cs="宋体"/>
      <w:sz w:val="43"/>
      <w:szCs w:val="43"/>
      <w:shd w:val="clear" w:color="auto" w:fill="FFFFFF"/>
    </w:rPr>
  </w:style>
  <w:style w:type="paragraph" w:customStyle="1" w:styleId="873">
    <w:name w:val="标题 #1"/>
    <w:basedOn w:val="1"/>
    <w:link w:val="872"/>
    <w:qFormat/>
    <w:uiPriority w:val="0"/>
    <w:pPr>
      <w:widowControl/>
      <w:shd w:val="clear" w:color="auto" w:fill="FFFFFF"/>
      <w:spacing w:line="630" w:lineRule="exact"/>
      <w:jc w:val="center"/>
      <w:outlineLvl w:val="0"/>
    </w:pPr>
    <w:rPr>
      <w:rFonts w:ascii="宋体" w:hAnsi="宋体" w:cs="宋体"/>
      <w:kern w:val="0"/>
      <w:sz w:val="43"/>
      <w:szCs w:val="43"/>
    </w:rPr>
  </w:style>
  <w:style w:type="character" w:customStyle="1" w:styleId="874">
    <w:name w:val="正文文本 (25)_"/>
    <w:link w:val="875"/>
    <w:qFormat/>
    <w:locked/>
    <w:uiPriority w:val="0"/>
    <w:rPr>
      <w:rFonts w:ascii="宋体" w:hAnsi="宋体" w:cs="宋体"/>
      <w:sz w:val="15"/>
      <w:szCs w:val="15"/>
      <w:shd w:val="clear" w:color="auto" w:fill="FFFFFF"/>
    </w:rPr>
  </w:style>
  <w:style w:type="paragraph" w:customStyle="1" w:styleId="875">
    <w:name w:val="正文文本 (25)"/>
    <w:basedOn w:val="1"/>
    <w:link w:val="874"/>
    <w:qFormat/>
    <w:uiPriority w:val="0"/>
    <w:pPr>
      <w:widowControl/>
      <w:shd w:val="clear" w:color="auto" w:fill="FFFFFF"/>
      <w:spacing w:before="720" w:line="0" w:lineRule="atLeast"/>
      <w:jc w:val="left"/>
    </w:pPr>
    <w:rPr>
      <w:rFonts w:ascii="宋体" w:hAnsi="宋体" w:cs="宋体"/>
      <w:kern w:val="0"/>
      <w:sz w:val="15"/>
      <w:szCs w:val="15"/>
    </w:rPr>
  </w:style>
  <w:style w:type="character" w:customStyle="1" w:styleId="876">
    <w:name w:val="正文文本 (75)_"/>
    <w:link w:val="877"/>
    <w:qFormat/>
    <w:locked/>
    <w:uiPriority w:val="0"/>
    <w:rPr>
      <w:rFonts w:ascii="Angsana New" w:hAnsi="Angsana New" w:eastAsia="Angsana New" w:cs="Angsana New"/>
      <w:shd w:val="clear" w:color="auto" w:fill="FFFFFF"/>
    </w:rPr>
  </w:style>
  <w:style w:type="paragraph" w:customStyle="1" w:styleId="877">
    <w:name w:val="正文文本 (75)"/>
    <w:basedOn w:val="1"/>
    <w:link w:val="876"/>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878">
    <w:name w:val="标题 #2 (2)_"/>
    <w:link w:val="879"/>
    <w:qFormat/>
    <w:locked/>
    <w:uiPriority w:val="0"/>
    <w:rPr>
      <w:rFonts w:ascii="宋体" w:hAnsi="宋体" w:cs="宋体"/>
      <w:sz w:val="36"/>
      <w:szCs w:val="36"/>
      <w:shd w:val="clear" w:color="auto" w:fill="FFFFFF"/>
    </w:rPr>
  </w:style>
  <w:style w:type="paragraph" w:customStyle="1" w:styleId="879">
    <w:name w:val="标题 #2 (2)"/>
    <w:basedOn w:val="1"/>
    <w:link w:val="878"/>
    <w:qFormat/>
    <w:uiPriority w:val="0"/>
    <w:pPr>
      <w:widowControl/>
      <w:shd w:val="clear" w:color="auto" w:fill="FFFFFF"/>
      <w:spacing w:after="720" w:line="0" w:lineRule="atLeast"/>
      <w:jc w:val="left"/>
      <w:outlineLvl w:val="1"/>
    </w:pPr>
    <w:rPr>
      <w:rFonts w:ascii="宋体" w:hAnsi="宋体" w:cs="宋体"/>
      <w:kern w:val="0"/>
      <w:sz w:val="36"/>
      <w:szCs w:val="36"/>
    </w:rPr>
  </w:style>
  <w:style w:type="character" w:customStyle="1" w:styleId="880">
    <w:name w:val="正文文本 (66)_"/>
    <w:link w:val="881"/>
    <w:qFormat/>
    <w:locked/>
    <w:uiPriority w:val="0"/>
    <w:rPr>
      <w:rFonts w:ascii="Angsana New" w:hAnsi="Angsana New" w:eastAsia="Angsana New" w:cs="Angsana New"/>
      <w:shd w:val="clear" w:color="auto" w:fill="FFFFFF"/>
    </w:rPr>
  </w:style>
  <w:style w:type="paragraph" w:customStyle="1" w:styleId="881">
    <w:name w:val="正文文本 (66)"/>
    <w:basedOn w:val="1"/>
    <w:link w:val="880"/>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882">
    <w:name w:val="正文文本 (97)_"/>
    <w:link w:val="883"/>
    <w:qFormat/>
    <w:locked/>
    <w:uiPriority w:val="0"/>
    <w:rPr>
      <w:rFonts w:ascii="宋体" w:hAnsi="宋体" w:cs="宋体"/>
      <w:sz w:val="36"/>
      <w:szCs w:val="36"/>
      <w:shd w:val="clear" w:color="auto" w:fill="FFFFFF"/>
    </w:rPr>
  </w:style>
  <w:style w:type="paragraph" w:customStyle="1" w:styleId="883">
    <w:name w:val="正文文本 (97)"/>
    <w:basedOn w:val="1"/>
    <w:link w:val="882"/>
    <w:qFormat/>
    <w:uiPriority w:val="0"/>
    <w:pPr>
      <w:widowControl/>
      <w:shd w:val="clear" w:color="auto" w:fill="FFFFFF"/>
      <w:spacing w:after="840" w:line="0" w:lineRule="atLeast"/>
      <w:jc w:val="left"/>
    </w:pPr>
    <w:rPr>
      <w:rFonts w:ascii="宋体" w:hAnsi="宋体" w:cs="宋体"/>
      <w:kern w:val="0"/>
      <w:sz w:val="36"/>
      <w:szCs w:val="36"/>
    </w:rPr>
  </w:style>
  <w:style w:type="character" w:customStyle="1" w:styleId="884">
    <w:name w:val="标题 #6_"/>
    <w:link w:val="885"/>
    <w:qFormat/>
    <w:locked/>
    <w:uiPriority w:val="0"/>
    <w:rPr>
      <w:rFonts w:ascii="Batang" w:hAnsi="Batang" w:eastAsia="Batang" w:cs="Batang"/>
      <w:sz w:val="28"/>
      <w:szCs w:val="28"/>
      <w:shd w:val="clear" w:color="auto" w:fill="FFFFFF"/>
    </w:rPr>
  </w:style>
  <w:style w:type="paragraph" w:customStyle="1" w:styleId="885">
    <w:name w:val="标题 #6"/>
    <w:basedOn w:val="1"/>
    <w:link w:val="884"/>
    <w:qFormat/>
    <w:uiPriority w:val="0"/>
    <w:pPr>
      <w:widowControl/>
      <w:shd w:val="clear" w:color="auto" w:fill="FFFFFF"/>
      <w:spacing w:line="0" w:lineRule="atLeast"/>
      <w:jc w:val="left"/>
      <w:outlineLvl w:val="5"/>
    </w:pPr>
    <w:rPr>
      <w:rFonts w:ascii="Batang" w:hAnsi="Batang" w:eastAsia="Batang" w:cs="Batang"/>
      <w:kern w:val="0"/>
      <w:sz w:val="28"/>
      <w:szCs w:val="28"/>
    </w:rPr>
  </w:style>
  <w:style w:type="character" w:customStyle="1" w:styleId="886">
    <w:name w:val="正文文本 (16)_"/>
    <w:link w:val="887"/>
    <w:qFormat/>
    <w:locked/>
    <w:uiPriority w:val="0"/>
    <w:rPr>
      <w:rFonts w:ascii="Angsana New" w:hAnsi="Angsana New" w:eastAsia="Angsana New" w:cs="Angsana New"/>
      <w:sz w:val="26"/>
      <w:szCs w:val="26"/>
      <w:shd w:val="clear" w:color="auto" w:fill="FFFFFF"/>
    </w:rPr>
  </w:style>
  <w:style w:type="paragraph" w:customStyle="1" w:styleId="887">
    <w:name w:val="正文文本 (16)"/>
    <w:basedOn w:val="1"/>
    <w:link w:val="886"/>
    <w:qFormat/>
    <w:uiPriority w:val="0"/>
    <w:pPr>
      <w:widowControl/>
      <w:shd w:val="clear" w:color="auto" w:fill="FFFFFF"/>
      <w:spacing w:line="0" w:lineRule="atLeast"/>
      <w:jc w:val="center"/>
    </w:pPr>
    <w:rPr>
      <w:rFonts w:ascii="Angsana New" w:hAnsi="Angsana New" w:eastAsia="Angsana New" w:cs="Angsana New"/>
      <w:kern w:val="0"/>
      <w:sz w:val="26"/>
      <w:szCs w:val="26"/>
    </w:rPr>
  </w:style>
  <w:style w:type="character" w:customStyle="1" w:styleId="888">
    <w:name w:val="图片标题 (3)_"/>
    <w:link w:val="889"/>
    <w:qFormat/>
    <w:locked/>
    <w:uiPriority w:val="0"/>
    <w:rPr>
      <w:rFonts w:ascii="MingLiU" w:hAnsi="MingLiU" w:eastAsia="MingLiU" w:cs="MingLiU"/>
      <w:sz w:val="12"/>
      <w:szCs w:val="12"/>
      <w:shd w:val="clear" w:color="auto" w:fill="FFFFFF"/>
    </w:rPr>
  </w:style>
  <w:style w:type="paragraph" w:customStyle="1" w:styleId="889">
    <w:name w:val="图片标题 (3)"/>
    <w:basedOn w:val="1"/>
    <w:link w:val="888"/>
    <w:qFormat/>
    <w:uiPriority w:val="0"/>
    <w:pPr>
      <w:widowControl/>
      <w:shd w:val="clear" w:color="auto" w:fill="FFFFFF"/>
      <w:spacing w:line="0" w:lineRule="atLeast"/>
      <w:jc w:val="distribute"/>
    </w:pPr>
    <w:rPr>
      <w:rFonts w:ascii="MingLiU" w:hAnsi="MingLiU" w:eastAsia="MingLiU" w:cs="MingLiU"/>
      <w:kern w:val="0"/>
      <w:sz w:val="12"/>
      <w:szCs w:val="12"/>
    </w:rPr>
  </w:style>
  <w:style w:type="character" w:customStyle="1" w:styleId="890">
    <w:name w:val="正文文本 (89)_"/>
    <w:link w:val="891"/>
    <w:qFormat/>
    <w:locked/>
    <w:uiPriority w:val="0"/>
    <w:rPr>
      <w:rFonts w:ascii="Angsana New" w:hAnsi="Angsana New" w:eastAsia="Angsana New" w:cs="Angsana New"/>
      <w:shd w:val="clear" w:color="auto" w:fill="FFFFFF"/>
    </w:rPr>
  </w:style>
  <w:style w:type="paragraph" w:customStyle="1" w:styleId="891">
    <w:name w:val="正文文本 (89)"/>
    <w:basedOn w:val="1"/>
    <w:link w:val="890"/>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892">
    <w:name w:val="正文文本 (23)_"/>
    <w:link w:val="893"/>
    <w:qFormat/>
    <w:locked/>
    <w:uiPriority w:val="0"/>
    <w:rPr>
      <w:rFonts w:ascii="Batang" w:hAnsi="Batang" w:eastAsia="Batang" w:cs="Batang"/>
      <w:sz w:val="8"/>
      <w:szCs w:val="8"/>
      <w:shd w:val="clear" w:color="auto" w:fill="FFFFFF"/>
    </w:rPr>
  </w:style>
  <w:style w:type="paragraph" w:customStyle="1" w:styleId="893">
    <w:name w:val="正文文本 (23)"/>
    <w:basedOn w:val="1"/>
    <w:link w:val="892"/>
    <w:qFormat/>
    <w:uiPriority w:val="0"/>
    <w:pPr>
      <w:widowControl/>
      <w:shd w:val="clear" w:color="auto" w:fill="FFFFFF"/>
      <w:spacing w:before="600" w:line="0" w:lineRule="atLeast"/>
      <w:jc w:val="left"/>
    </w:pPr>
    <w:rPr>
      <w:rFonts w:ascii="Batang" w:hAnsi="Batang" w:eastAsia="Batang" w:cs="Batang"/>
      <w:kern w:val="0"/>
      <w:sz w:val="8"/>
      <w:szCs w:val="8"/>
    </w:rPr>
  </w:style>
  <w:style w:type="character" w:customStyle="1" w:styleId="894">
    <w:name w:val="标题 #9_"/>
    <w:link w:val="895"/>
    <w:qFormat/>
    <w:locked/>
    <w:uiPriority w:val="0"/>
    <w:rPr>
      <w:rFonts w:ascii="宋体" w:hAnsi="宋体" w:cs="宋体"/>
      <w:sz w:val="29"/>
      <w:szCs w:val="29"/>
      <w:shd w:val="clear" w:color="auto" w:fill="FFFFFF"/>
    </w:rPr>
  </w:style>
  <w:style w:type="paragraph" w:customStyle="1" w:styleId="895">
    <w:name w:val="标题 #9"/>
    <w:basedOn w:val="1"/>
    <w:link w:val="894"/>
    <w:qFormat/>
    <w:uiPriority w:val="0"/>
    <w:pPr>
      <w:widowControl/>
      <w:shd w:val="clear" w:color="auto" w:fill="FFFFFF"/>
      <w:spacing w:after="180" w:line="0" w:lineRule="atLeast"/>
      <w:jc w:val="left"/>
      <w:outlineLvl w:val="8"/>
    </w:pPr>
    <w:rPr>
      <w:rFonts w:ascii="宋体" w:hAnsi="宋体" w:cs="宋体"/>
      <w:kern w:val="0"/>
      <w:sz w:val="29"/>
      <w:szCs w:val="29"/>
    </w:rPr>
  </w:style>
  <w:style w:type="character" w:customStyle="1" w:styleId="896">
    <w:name w:val="正文文本 (24)_"/>
    <w:link w:val="897"/>
    <w:qFormat/>
    <w:locked/>
    <w:uiPriority w:val="0"/>
    <w:rPr>
      <w:rFonts w:ascii="宋体" w:hAnsi="宋体" w:cs="宋体"/>
      <w:w w:val="150"/>
      <w:sz w:val="8"/>
      <w:szCs w:val="8"/>
      <w:shd w:val="clear" w:color="auto" w:fill="FFFFFF"/>
    </w:rPr>
  </w:style>
  <w:style w:type="paragraph" w:customStyle="1" w:styleId="897">
    <w:name w:val="正文文本 (24)"/>
    <w:basedOn w:val="1"/>
    <w:link w:val="896"/>
    <w:qFormat/>
    <w:uiPriority w:val="0"/>
    <w:pPr>
      <w:widowControl/>
      <w:shd w:val="clear" w:color="auto" w:fill="FFFFFF"/>
      <w:spacing w:before="660" w:line="0" w:lineRule="atLeast"/>
      <w:jc w:val="left"/>
    </w:pPr>
    <w:rPr>
      <w:rFonts w:ascii="宋体" w:hAnsi="宋体" w:cs="宋体"/>
      <w:w w:val="150"/>
      <w:kern w:val="0"/>
      <w:sz w:val="8"/>
      <w:szCs w:val="8"/>
    </w:rPr>
  </w:style>
  <w:style w:type="character" w:customStyle="1" w:styleId="898">
    <w:name w:val="正文文本 (40)_"/>
    <w:link w:val="899"/>
    <w:qFormat/>
    <w:locked/>
    <w:uiPriority w:val="0"/>
    <w:rPr>
      <w:rFonts w:ascii="Angsana New" w:hAnsi="Angsana New" w:eastAsia="Angsana New" w:cs="Angsana New"/>
      <w:shd w:val="clear" w:color="auto" w:fill="FFFFFF"/>
    </w:rPr>
  </w:style>
  <w:style w:type="paragraph" w:customStyle="1" w:styleId="899">
    <w:name w:val="正文文本 (40)"/>
    <w:basedOn w:val="1"/>
    <w:link w:val="898"/>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900">
    <w:name w:val="正文文本 (53)_"/>
    <w:link w:val="901"/>
    <w:qFormat/>
    <w:locked/>
    <w:uiPriority w:val="0"/>
    <w:rPr>
      <w:rFonts w:ascii="Angsana New" w:hAnsi="Angsana New" w:eastAsia="Angsana New" w:cs="Angsana New"/>
      <w:shd w:val="clear" w:color="auto" w:fill="FFFFFF"/>
    </w:rPr>
  </w:style>
  <w:style w:type="paragraph" w:customStyle="1" w:styleId="901">
    <w:name w:val="正文文本 (53)"/>
    <w:basedOn w:val="1"/>
    <w:link w:val="900"/>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902">
    <w:name w:val="标题 #3 (5)_"/>
    <w:link w:val="903"/>
    <w:qFormat/>
    <w:locked/>
    <w:uiPriority w:val="0"/>
    <w:rPr>
      <w:rFonts w:ascii="宋体" w:hAnsi="宋体" w:cs="宋体"/>
      <w:szCs w:val="21"/>
      <w:shd w:val="clear" w:color="auto" w:fill="FFFFFF"/>
    </w:rPr>
  </w:style>
  <w:style w:type="paragraph" w:customStyle="1" w:styleId="903">
    <w:name w:val="标题 #3 (5)"/>
    <w:basedOn w:val="1"/>
    <w:link w:val="902"/>
    <w:qFormat/>
    <w:uiPriority w:val="0"/>
    <w:pPr>
      <w:widowControl/>
      <w:shd w:val="clear" w:color="auto" w:fill="FFFFFF"/>
      <w:spacing w:line="536" w:lineRule="exact"/>
      <w:ind w:firstLine="500"/>
      <w:jc w:val="distribute"/>
      <w:outlineLvl w:val="2"/>
    </w:pPr>
    <w:rPr>
      <w:rFonts w:ascii="宋体" w:hAnsi="宋体" w:cs="宋体"/>
      <w:kern w:val="0"/>
      <w:sz w:val="20"/>
      <w:szCs w:val="21"/>
    </w:rPr>
  </w:style>
  <w:style w:type="character" w:customStyle="1" w:styleId="904">
    <w:name w:val="正文文本 (29)_"/>
    <w:link w:val="905"/>
    <w:qFormat/>
    <w:locked/>
    <w:uiPriority w:val="0"/>
    <w:rPr>
      <w:rFonts w:ascii="Franklin Gothic Book" w:hAnsi="Franklin Gothic Book" w:eastAsia="Franklin Gothic Book" w:cs="Franklin Gothic Book"/>
      <w:w w:val="300"/>
      <w:sz w:val="27"/>
      <w:szCs w:val="27"/>
      <w:shd w:val="clear" w:color="auto" w:fill="FFFFFF"/>
    </w:rPr>
  </w:style>
  <w:style w:type="paragraph" w:customStyle="1" w:styleId="905">
    <w:name w:val="正文文本 (29)"/>
    <w:basedOn w:val="1"/>
    <w:link w:val="904"/>
    <w:qFormat/>
    <w:uiPriority w:val="0"/>
    <w:pPr>
      <w:widowControl/>
      <w:shd w:val="clear" w:color="auto" w:fill="FFFFFF"/>
      <w:spacing w:line="0" w:lineRule="atLeast"/>
      <w:jc w:val="left"/>
    </w:pPr>
    <w:rPr>
      <w:rFonts w:ascii="Franklin Gothic Book" w:hAnsi="Franklin Gothic Book" w:eastAsia="Franklin Gothic Book" w:cs="Franklin Gothic Book"/>
      <w:w w:val="300"/>
      <w:kern w:val="0"/>
      <w:sz w:val="27"/>
      <w:szCs w:val="27"/>
    </w:rPr>
  </w:style>
  <w:style w:type="character" w:customStyle="1" w:styleId="906">
    <w:name w:val="标题 #3_"/>
    <w:link w:val="907"/>
    <w:qFormat/>
    <w:locked/>
    <w:uiPriority w:val="0"/>
    <w:rPr>
      <w:rFonts w:ascii="宋体" w:hAnsi="宋体" w:cs="宋体"/>
      <w:sz w:val="36"/>
      <w:szCs w:val="36"/>
      <w:shd w:val="clear" w:color="auto" w:fill="FFFFFF"/>
    </w:rPr>
  </w:style>
  <w:style w:type="paragraph" w:customStyle="1" w:styleId="907">
    <w:name w:val="标题 #3"/>
    <w:basedOn w:val="1"/>
    <w:link w:val="906"/>
    <w:qFormat/>
    <w:uiPriority w:val="0"/>
    <w:pPr>
      <w:widowControl/>
      <w:shd w:val="clear" w:color="auto" w:fill="FFFFFF"/>
      <w:spacing w:after="300" w:line="0" w:lineRule="atLeast"/>
      <w:jc w:val="left"/>
      <w:outlineLvl w:val="2"/>
    </w:pPr>
    <w:rPr>
      <w:rFonts w:ascii="宋体" w:hAnsi="宋体" w:cs="宋体"/>
      <w:kern w:val="0"/>
      <w:sz w:val="36"/>
      <w:szCs w:val="36"/>
    </w:rPr>
  </w:style>
  <w:style w:type="character" w:customStyle="1" w:styleId="908">
    <w:name w:val="正文文本 (61)_"/>
    <w:link w:val="909"/>
    <w:qFormat/>
    <w:locked/>
    <w:uiPriority w:val="0"/>
    <w:rPr>
      <w:rFonts w:ascii="Angsana New" w:hAnsi="Angsana New" w:eastAsia="Angsana New" w:cs="Angsana New"/>
      <w:shd w:val="clear" w:color="auto" w:fill="FFFFFF"/>
    </w:rPr>
  </w:style>
  <w:style w:type="paragraph" w:customStyle="1" w:styleId="909">
    <w:name w:val="正文文本 (61)"/>
    <w:basedOn w:val="1"/>
    <w:link w:val="908"/>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910">
    <w:name w:val="正文文本 (91)_"/>
    <w:link w:val="911"/>
    <w:qFormat/>
    <w:locked/>
    <w:uiPriority w:val="0"/>
    <w:rPr>
      <w:rFonts w:ascii="Batang" w:hAnsi="Batang" w:eastAsia="Batang" w:cs="Batang"/>
      <w:sz w:val="33"/>
      <w:szCs w:val="33"/>
      <w:shd w:val="clear" w:color="auto" w:fill="FFFFFF"/>
    </w:rPr>
  </w:style>
  <w:style w:type="paragraph" w:customStyle="1" w:styleId="911">
    <w:name w:val="正文文本 (91)"/>
    <w:basedOn w:val="1"/>
    <w:link w:val="910"/>
    <w:qFormat/>
    <w:uiPriority w:val="0"/>
    <w:pPr>
      <w:widowControl/>
      <w:shd w:val="clear" w:color="auto" w:fill="FFFFFF"/>
      <w:spacing w:after="1440" w:line="0" w:lineRule="atLeast"/>
      <w:jc w:val="left"/>
    </w:pPr>
    <w:rPr>
      <w:rFonts w:ascii="Batang" w:hAnsi="Batang" w:eastAsia="Batang" w:cs="Batang"/>
      <w:kern w:val="0"/>
      <w:sz w:val="33"/>
      <w:szCs w:val="33"/>
    </w:rPr>
  </w:style>
  <w:style w:type="character" w:customStyle="1" w:styleId="912">
    <w:name w:val="正文文本 (58)_"/>
    <w:link w:val="913"/>
    <w:qFormat/>
    <w:locked/>
    <w:uiPriority w:val="0"/>
    <w:rPr>
      <w:rFonts w:ascii="宋体" w:hAnsi="宋体" w:cs="宋体"/>
      <w:spacing w:val="-20"/>
      <w:sz w:val="24"/>
      <w:szCs w:val="24"/>
      <w:shd w:val="clear" w:color="auto" w:fill="FFFFFF"/>
    </w:rPr>
  </w:style>
  <w:style w:type="paragraph" w:customStyle="1" w:styleId="913">
    <w:name w:val="正文文本 (58)"/>
    <w:basedOn w:val="1"/>
    <w:link w:val="912"/>
    <w:qFormat/>
    <w:uiPriority w:val="0"/>
    <w:pPr>
      <w:widowControl/>
      <w:shd w:val="clear" w:color="auto" w:fill="FFFFFF"/>
      <w:spacing w:after="120" w:line="50" w:lineRule="exact"/>
      <w:jc w:val="distribute"/>
    </w:pPr>
    <w:rPr>
      <w:rFonts w:ascii="宋体" w:hAnsi="宋体" w:cs="宋体"/>
      <w:spacing w:val="-20"/>
      <w:kern w:val="0"/>
      <w:sz w:val="24"/>
    </w:rPr>
  </w:style>
  <w:style w:type="character" w:customStyle="1" w:styleId="914">
    <w:name w:val="正文文本 (48)_"/>
    <w:link w:val="915"/>
    <w:qFormat/>
    <w:locked/>
    <w:uiPriority w:val="0"/>
    <w:rPr>
      <w:rFonts w:ascii="Angsana New" w:hAnsi="Angsana New" w:eastAsia="Angsana New" w:cs="Angsana New"/>
      <w:shd w:val="clear" w:color="auto" w:fill="FFFFFF"/>
    </w:rPr>
  </w:style>
  <w:style w:type="paragraph" w:customStyle="1" w:styleId="915">
    <w:name w:val="正文文本 (48)"/>
    <w:basedOn w:val="1"/>
    <w:link w:val="914"/>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916">
    <w:name w:val="正文文本 (57)_"/>
    <w:link w:val="917"/>
    <w:qFormat/>
    <w:locked/>
    <w:uiPriority w:val="0"/>
    <w:rPr>
      <w:rFonts w:ascii="Angsana New" w:hAnsi="Angsana New" w:eastAsia="Angsana New" w:cs="Angsana New"/>
      <w:spacing w:val="-40"/>
      <w:sz w:val="43"/>
      <w:szCs w:val="43"/>
      <w:shd w:val="clear" w:color="auto" w:fill="FFFFFF"/>
    </w:rPr>
  </w:style>
  <w:style w:type="paragraph" w:customStyle="1" w:styleId="917">
    <w:name w:val="正文文本 (57)"/>
    <w:basedOn w:val="1"/>
    <w:link w:val="916"/>
    <w:qFormat/>
    <w:uiPriority w:val="0"/>
    <w:pPr>
      <w:widowControl/>
      <w:shd w:val="clear" w:color="auto" w:fill="FFFFFF"/>
      <w:spacing w:after="120" w:line="0" w:lineRule="atLeast"/>
      <w:jc w:val="distribute"/>
    </w:pPr>
    <w:rPr>
      <w:rFonts w:ascii="Angsana New" w:hAnsi="Angsana New" w:eastAsia="Angsana New" w:cs="Angsana New"/>
      <w:spacing w:val="-40"/>
      <w:kern w:val="0"/>
      <w:sz w:val="43"/>
      <w:szCs w:val="43"/>
    </w:rPr>
  </w:style>
  <w:style w:type="character" w:customStyle="1" w:styleId="918">
    <w:name w:val="正文文本 (96)_"/>
    <w:link w:val="919"/>
    <w:qFormat/>
    <w:locked/>
    <w:uiPriority w:val="0"/>
    <w:rPr>
      <w:rFonts w:ascii="宋体" w:hAnsi="宋体" w:cs="宋体"/>
      <w:sz w:val="8"/>
      <w:szCs w:val="8"/>
      <w:shd w:val="clear" w:color="auto" w:fill="FFFFFF"/>
    </w:rPr>
  </w:style>
  <w:style w:type="paragraph" w:customStyle="1" w:styleId="919">
    <w:name w:val="正文文本 (96)"/>
    <w:basedOn w:val="1"/>
    <w:link w:val="918"/>
    <w:qFormat/>
    <w:uiPriority w:val="0"/>
    <w:pPr>
      <w:widowControl/>
      <w:shd w:val="clear" w:color="auto" w:fill="FFFFFF"/>
      <w:spacing w:line="0" w:lineRule="atLeast"/>
      <w:jc w:val="left"/>
    </w:pPr>
    <w:rPr>
      <w:rFonts w:ascii="宋体" w:hAnsi="宋体" w:cs="宋体"/>
      <w:kern w:val="0"/>
      <w:sz w:val="8"/>
      <w:szCs w:val="8"/>
    </w:rPr>
  </w:style>
  <w:style w:type="character" w:customStyle="1" w:styleId="920">
    <w:name w:val="图片标题 (4)_"/>
    <w:link w:val="921"/>
    <w:qFormat/>
    <w:locked/>
    <w:uiPriority w:val="0"/>
    <w:rPr>
      <w:rFonts w:ascii="宋体" w:hAnsi="宋体" w:cs="宋体"/>
      <w:sz w:val="15"/>
      <w:szCs w:val="15"/>
      <w:shd w:val="clear" w:color="auto" w:fill="FFFFFF"/>
    </w:rPr>
  </w:style>
  <w:style w:type="paragraph" w:customStyle="1" w:styleId="921">
    <w:name w:val="图片标题 (4)"/>
    <w:basedOn w:val="1"/>
    <w:link w:val="920"/>
    <w:qFormat/>
    <w:uiPriority w:val="0"/>
    <w:pPr>
      <w:widowControl/>
      <w:shd w:val="clear" w:color="auto" w:fill="FFFFFF"/>
      <w:spacing w:line="0" w:lineRule="atLeast"/>
      <w:jc w:val="left"/>
    </w:pPr>
    <w:rPr>
      <w:rFonts w:ascii="宋体" w:hAnsi="宋体" w:cs="宋体"/>
      <w:kern w:val="0"/>
      <w:sz w:val="15"/>
      <w:szCs w:val="15"/>
    </w:rPr>
  </w:style>
  <w:style w:type="character" w:customStyle="1" w:styleId="922">
    <w:name w:val="标题 #2_"/>
    <w:link w:val="923"/>
    <w:qFormat/>
    <w:locked/>
    <w:uiPriority w:val="0"/>
    <w:rPr>
      <w:rFonts w:ascii="Batang" w:hAnsi="Batang" w:eastAsia="Batang" w:cs="Batang"/>
      <w:sz w:val="38"/>
      <w:szCs w:val="38"/>
      <w:shd w:val="clear" w:color="auto" w:fill="FFFFFF"/>
    </w:rPr>
  </w:style>
  <w:style w:type="paragraph" w:customStyle="1" w:styleId="923">
    <w:name w:val="标题 #2"/>
    <w:basedOn w:val="1"/>
    <w:link w:val="922"/>
    <w:qFormat/>
    <w:uiPriority w:val="0"/>
    <w:pPr>
      <w:widowControl/>
      <w:shd w:val="clear" w:color="auto" w:fill="FFFFFF"/>
      <w:spacing w:line="0" w:lineRule="atLeast"/>
      <w:jc w:val="left"/>
      <w:outlineLvl w:val="1"/>
    </w:pPr>
    <w:rPr>
      <w:rFonts w:ascii="Batang" w:hAnsi="Batang" w:eastAsia="Batang" w:cs="Batang"/>
      <w:kern w:val="0"/>
      <w:sz w:val="38"/>
      <w:szCs w:val="38"/>
    </w:rPr>
  </w:style>
  <w:style w:type="character" w:customStyle="1" w:styleId="924">
    <w:name w:val="标题 #3 (2)_"/>
    <w:link w:val="925"/>
    <w:qFormat/>
    <w:locked/>
    <w:uiPriority w:val="0"/>
    <w:rPr>
      <w:rFonts w:ascii="宋体" w:hAnsi="宋体" w:cs="宋体"/>
      <w:szCs w:val="21"/>
      <w:shd w:val="clear" w:color="auto" w:fill="FFFFFF"/>
    </w:rPr>
  </w:style>
  <w:style w:type="paragraph" w:customStyle="1" w:styleId="925">
    <w:name w:val="标题 #3 (2)"/>
    <w:basedOn w:val="1"/>
    <w:link w:val="924"/>
    <w:qFormat/>
    <w:uiPriority w:val="0"/>
    <w:pPr>
      <w:widowControl/>
      <w:shd w:val="clear" w:color="auto" w:fill="FFFFFF"/>
      <w:spacing w:line="536" w:lineRule="exact"/>
      <w:jc w:val="left"/>
      <w:outlineLvl w:val="2"/>
    </w:pPr>
    <w:rPr>
      <w:rFonts w:ascii="宋体" w:hAnsi="宋体" w:cs="宋体"/>
      <w:kern w:val="0"/>
      <w:sz w:val="20"/>
      <w:szCs w:val="21"/>
    </w:rPr>
  </w:style>
  <w:style w:type="character" w:customStyle="1" w:styleId="926">
    <w:name w:val="正文文本 (22)_"/>
    <w:link w:val="927"/>
    <w:qFormat/>
    <w:locked/>
    <w:uiPriority w:val="0"/>
    <w:rPr>
      <w:rFonts w:ascii="MingLiU" w:hAnsi="MingLiU" w:eastAsia="MingLiU" w:cs="MingLiU"/>
      <w:sz w:val="12"/>
      <w:szCs w:val="12"/>
      <w:shd w:val="clear" w:color="auto" w:fill="FFFFFF"/>
    </w:rPr>
  </w:style>
  <w:style w:type="paragraph" w:customStyle="1" w:styleId="927">
    <w:name w:val="正文文本 (22)"/>
    <w:basedOn w:val="1"/>
    <w:link w:val="926"/>
    <w:qFormat/>
    <w:uiPriority w:val="0"/>
    <w:pPr>
      <w:widowControl/>
      <w:shd w:val="clear" w:color="auto" w:fill="FFFFFF"/>
      <w:spacing w:before="120" w:line="0" w:lineRule="atLeast"/>
      <w:jc w:val="distribute"/>
    </w:pPr>
    <w:rPr>
      <w:rFonts w:ascii="MingLiU" w:hAnsi="MingLiU" w:eastAsia="MingLiU" w:cs="MingLiU"/>
      <w:kern w:val="0"/>
      <w:sz w:val="12"/>
      <w:szCs w:val="12"/>
    </w:rPr>
  </w:style>
  <w:style w:type="character" w:customStyle="1" w:styleId="928">
    <w:name w:val="正文文本 (99)_"/>
    <w:link w:val="929"/>
    <w:qFormat/>
    <w:locked/>
    <w:uiPriority w:val="0"/>
    <w:rPr>
      <w:rFonts w:ascii="宋体" w:hAnsi="宋体" w:cs="宋体"/>
      <w:w w:val="150"/>
      <w:sz w:val="9"/>
      <w:szCs w:val="9"/>
      <w:shd w:val="clear" w:color="auto" w:fill="FFFFFF"/>
    </w:rPr>
  </w:style>
  <w:style w:type="paragraph" w:customStyle="1" w:styleId="929">
    <w:name w:val="正文文本 (99)"/>
    <w:basedOn w:val="1"/>
    <w:link w:val="928"/>
    <w:qFormat/>
    <w:uiPriority w:val="0"/>
    <w:pPr>
      <w:widowControl/>
      <w:shd w:val="clear" w:color="auto" w:fill="FFFFFF"/>
      <w:spacing w:after="1440" w:line="0" w:lineRule="atLeast"/>
      <w:jc w:val="left"/>
    </w:pPr>
    <w:rPr>
      <w:rFonts w:ascii="宋体" w:hAnsi="宋体" w:cs="宋体"/>
      <w:w w:val="150"/>
      <w:kern w:val="0"/>
      <w:sz w:val="9"/>
      <w:szCs w:val="9"/>
    </w:rPr>
  </w:style>
  <w:style w:type="character" w:customStyle="1" w:styleId="930">
    <w:name w:val="正文文本 (14)_"/>
    <w:link w:val="931"/>
    <w:qFormat/>
    <w:locked/>
    <w:uiPriority w:val="0"/>
    <w:rPr>
      <w:rFonts w:ascii="黑体" w:hAnsi="黑体" w:eastAsia="黑体" w:cs="黑体"/>
      <w:sz w:val="18"/>
      <w:szCs w:val="18"/>
      <w:shd w:val="clear" w:color="auto" w:fill="FFFFFF"/>
    </w:rPr>
  </w:style>
  <w:style w:type="paragraph" w:customStyle="1" w:styleId="931">
    <w:name w:val="正文文本 (14)"/>
    <w:basedOn w:val="1"/>
    <w:link w:val="930"/>
    <w:qFormat/>
    <w:uiPriority w:val="0"/>
    <w:pPr>
      <w:widowControl/>
      <w:shd w:val="clear" w:color="auto" w:fill="FFFFFF"/>
      <w:spacing w:line="0" w:lineRule="atLeast"/>
      <w:jc w:val="left"/>
    </w:pPr>
    <w:rPr>
      <w:rFonts w:ascii="黑体" w:hAnsi="黑体" w:eastAsia="黑体" w:cs="黑体"/>
      <w:kern w:val="0"/>
      <w:sz w:val="18"/>
      <w:szCs w:val="18"/>
    </w:rPr>
  </w:style>
  <w:style w:type="character" w:customStyle="1" w:styleId="932">
    <w:name w:val="正文文本 (78)_"/>
    <w:link w:val="933"/>
    <w:qFormat/>
    <w:locked/>
    <w:uiPriority w:val="0"/>
    <w:rPr>
      <w:rFonts w:ascii="Angsana New" w:hAnsi="Angsana New" w:eastAsia="Angsana New" w:cs="Angsana New"/>
      <w:shd w:val="clear" w:color="auto" w:fill="FFFFFF"/>
    </w:rPr>
  </w:style>
  <w:style w:type="paragraph" w:customStyle="1" w:styleId="933">
    <w:name w:val="正文文本 (78)"/>
    <w:basedOn w:val="1"/>
    <w:link w:val="932"/>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934">
    <w:name w:val="正文文本 (54)_"/>
    <w:link w:val="935"/>
    <w:qFormat/>
    <w:locked/>
    <w:uiPriority w:val="0"/>
    <w:rPr>
      <w:rFonts w:ascii="Angsana New" w:hAnsi="Angsana New" w:eastAsia="Angsana New" w:cs="Angsana New"/>
      <w:shd w:val="clear" w:color="auto" w:fill="FFFFFF"/>
    </w:rPr>
  </w:style>
  <w:style w:type="paragraph" w:customStyle="1" w:styleId="935">
    <w:name w:val="正文文本 (54)"/>
    <w:basedOn w:val="1"/>
    <w:link w:val="934"/>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936">
    <w:name w:val="正文文本 (44)_"/>
    <w:link w:val="937"/>
    <w:qFormat/>
    <w:locked/>
    <w:uiPriority w:val="0"/>
    <w:rPr>
      <w:rFonts w:ascii="Angsana New" w:hAnsi="Angsana New" w:eastAsia="Angsana New" w:cs="Angsana New"/>
      <w:shd w:val="clear" w:color="auto" w:fill="FFFFFF"/>
    </w:rPr>
  </w:style>
  <w:style w:type="paragraph" w:customStyle="1" w:styleId="937">
    <w:name w:val="正文文本 (44)"/>
    <w:basedOn w:val="1"/>
    <w:link w:val="936"/>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938">
    <w:name w:val="正文文本 (84)_"/>
    <w:link w:val="939"/>
    <w:qFormat/>
    <w:locked/>
    <w:uiPriority w:val="0"/>
    <w:rPr>
      <w:rFonts w:ascii="黑体" w:hAnsi="黑体" w:eastAsia="黑体" w:cs="黑体"/>
      <w:sz w:val="23"/>
      <w:szCs w:val="23"/>
      <w:shd w:val="clear" w:color="auto" w:fill="FFFFFF"/>
    </w:rPr>
  </w:style>
  <w:style w:type="paragraph" w:customStyle="1" w:styleId="939">
    <w:name w:val="正文文本 (84)"/>
    <w:basedOn w:val="1"/>
    <w:link w:val="938"/>
    <w:qFormat/>
    <w:uiPriority w:val="0"/>
    <w:pPr>
      <w:widowControl/>
      <w:shd w:val="clear" w:color="auto" w:fill="FFFFFF"/>
      <w:spacing w:line="0" w:lineRule="atLeast"/>
      <w:jc w:val="left"/>
    </w:pPr>
    <w:rPr>
      <w:rFonts w:ascii="黑体" w:hAnsi="黑体" w:eastAsia="黑体" w:cs="黑体"/>
      <w:kern w:val="0"/>
      <w:sz w:val="23"/>
      <w:szCs w:val="23"/>
    </w:rPr>
  </w:style>
  <w:style w:type="character" w:customStyle="1" w:styleId="940">
    <w:name w:val="正文文本 (98)_"/>
    <w:link w:val="941"/>
    <w:qFormat/>
    <w:locked/>
    <w:uiPriority w:val="0"/>
    <w:rPr>
      <w:rFonts w:ascii="Batang" w:hAnsi="Batang" w:eastAsia="Batang" w:cs="Batang"/>
      <w:sz w:val="9"/>
      <w:szCs w:val="9"/>
      <w:shd w:val="clear" w:color="auto" w:fill="FFFFFF"/>
    </w:rPr>
  </w:style>
  <w:style w:type="paragraph" w:customStyle="1" w:styleId="941">
    <w:name w:val="正文文本 (98)"/>
    <w:basedOn w:val="1"/>
    <w:link w:val="940"/>
    <w:qFormat/>
    <w:uiPriority w:val="0"/>
    <w:pPr>
      <w:widowControl/>
      <w:shd w:val="clear" w:color="auto" w:fill="FFFFFF"/>
      <w:spacing w:line="0" w:lineRule="atLeast"/>
      <w:jc w:val="left"/>
    </w:pPr>
    <w:rPr>
      <w:rFonts w:ascii="Batang" w:hAnsi="Batang" w:eastAsia="Batang" w:cs="Batang"/>
      <w:kern w:val="0"/>
      <w:sz w:val="9"/>
      <w:szCs w:val="9"/>
    </w:rPr>
  </w:style>
  <w:style w:type="character" w:customStyle="1" w:styleId="942">
    <w:name w:val="正文文本 (8)_"/>
    <w:link w:val="943"/>
    <w:qFormat/>
    <w:locked/>
    <w:uiPriority w:val="0"/>
    <w:rPr>
      <w:rFonts w:ascii="Angsana New" w:hAnsi="Angsana New" w:eastAsia="Angsana New" w:cs="Angsana New"/>
      <w:shd w:val="clear" w:color="auto" w:fill="FFFFFF"/>
    </w:rPr>
  </w:style>
  <w:style w:type="paragraph" w:customStyle="1" w:styleId="943">
    <w:name w:val="正文文本 (8)"/>
    <w:basedOn w:val="1"/>
    <w:link w:val="942"/>
    <w:qFormat/>
    <w:uiPriority w:val="0"/>
    <w:pPr>
      <w:widowControl/>
      <w:shd w:val="clear" w:color="auto" w:fill="FFFFFF"/>
      <w:spacing w:line="0" w:lineRule="atLeast"/>
      <w:jc w:val="center"/>
    </w:pPr>
    <w:rPr>
      <w:rFonts w:ascii="Angsana New" w:hAnsi="Angsana New" w:eastAsia="Angsana New" w:cs="Angsana New"/>
      <w:kern w:val="0"/>
      <w:sz w:val="20"/>
      <w:szCs w:val="20"/>
    </w:rPr>
  </w:style>
  <w:style w:type="character" w:customStyle="1" w:styleId="944">
    <w:name w:val="正文文本 (52)_"/>
    <w:link w:val="945"/>
    <w:qFormat/>
    <w:locked/>
    <w:uiPriority w:val="0"/>
    <w:rPr>
      <w:rFonts w:ascii="Batang" w:hAnsi="Batang" w:eastAsia="Batang" w:cs="Batang"/>
      <w:sz w:val="12"/>
      <w:szCs w:val="12"/>
      <w:shd w:val="clear" w:color="auto" w:fill="FFFFFF"/>
    </w:rPr>
  </w:style>
  <w:style w:type="paragraph" w:customStyle="1" w:styleId="945">
    <w:name w:val="正文文本 (52)"/>
    <w:basedOn w:val="1"/>
    <w:link w:val="944"/>
    <w:qFormat/>
    <w:uiPriority w:val="0"/>
    <w:pPr>
      <w:widowControl/>
      <w:shd w:val="clear" w:color="auto" w:fill="FFFFFF"/>
      <w:spacing w:line="0" w:lineRule="atLeast"/>
      <w:jc w:val="left"/>
    </w:pPr>
    <w:rPr>
      <w:rFonts w:ascii="Batang" w:hAnsi="Batang" w:eastAsia="Batang" w:cs="Batang"/>
      <w:kern w:val="0"/>
      <w:sz w:val="12"/>
      <w:szCs w:val="12"/>
    </w:rPr>
  </w:style>
  <w:style w:type="character" w:customStyle="1" w:styleId="946">
    <w:name w:val="正文文本 (41)_"/>
    <w:link w:val="947"/>
    <w:qFormat/>
    <w:locked/>
    <w:uiPriority w:val="0"/>
    <w:rPr>
      <w:rFonts w:ascii="Angsana New" w:hAnsi="Angsana New" w:eastAsia="Angsana New" w:cs="Angsana New"/>
      <w:shd w:val="clear" w:color="auto" w:fill="FFFFFF"/>
    </w:rPr>
  </w:style>
  <w:style w:type="paragraph" w:customStyle="1" w:styleId="947">
    <w:name w:val="正文文本 (41)"/>
    <w:basedOn w:val="1"/>
    <w:link w:val="946"/>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948">
    <w:name w:val="正文文本 (73)_"/>
    <w:link w:val="949"/>
    <w:qFormat/>
    <w:locked/>
    <w:uiPriority w:val="0"/>
    <w:rPr>
      <w:rFonts w:ascii="Angsana New" w:hAnsi="Angsana New" w:eastAsia="Angsana New" w:cs="Angsana New"/>
      <w:shd w:val="clear" w:color="auto" w:fill="FFFFFF"/>
    </w:rPr>
  </w:style>
  <w:style w:type="paragraph" w:customStyle="1" w:styleId="949">
    <w:name w:val="正文文本 (73)"/>
    <w:basedOn w:val="1"/>
    <w:link w:val="948"/>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950">
    <w:name w:val="正文文本 (19)_"/>
    <w:link w:val="951"/>
    <w:qFormat/>
    <w:locked/>
    <w:uiPriority w:val="0"/>
    <w:rPr>
      <w:rFonts w:ascii="宋体" w:hAnsi="宋体" w:cs="宋体"/>
      <w:sz w:val="19"/>
      <w:szCs w:val="19"/>
      <w:shd w:val="clear" w:color="auto" w:fill="FFFFFF"/>
    </w:rPr>
  </w:style>
  <w:style w:type="paragraph" w:customStyle="1" w:styleId="951">
    <w:name w:val="正文文本 (19)"/>
    <w:basedOn w:val="1"/>
    <w:link w:val="950"/>
    <w:qFormat/>
    <w:uiPriority w:val="0"/>
    <w:pPr>
      <w:widowControl/>
      <w:shd w:val="clear" w:color="auto" w:fill="FFFFFF"/>
      <w:spacing w:line="0" w:lineRule="atLeast"/>
      <w:jc w:val="left"/>
    </w:pPr>
    <w:rPr>
      <w:rFonts w:ascii="宋体" w:hAnsi="宋体" w:cs="宋体"/>
      <w:kern w:val="0"/>
      <w:sz w:val="19"/>
      <w:szCs w:val="19"/>
    </w:rPr>
  </w:style>
  <w:style w:type="character" w:customStyle="1" w:styleId="952">
    <w:name w:val="图片标题 (2)_"/>
    <w:link w:val="953"/>
    <w:qFormat/>
    <w:locked/>
    <w:uiPriority w:val="0"/>
    <w:rPr>
      <w:rFonts w:ascii="宋体" w:hAnsi="宋体" w:cs="宋体"/>
      <w:w w:val="150"/>
      <w:sz w:val="14"/>
      <w:szCs w:val="14"/>
      <w:shd w:val="clear" w:color="auto" w:fill="FFFFFF"/>
    </w:rPr>
  </w:style>
  <w:style w:type="paragraph" w:customStyle="1" w:styleId="953">
    <w:name w:val="图片标题 (2)"/>
    <w:basedOn w:val="1"/>
    <w:link w:val="952"/>
    <w:qFormat/>
    <w:uiPriority w:val="0"/>
    <w:pPr>
      <w:widowControl/>
      <w:shd w:val="clear" w:color="auto" w:fill="FFFFFF"/>
      <w:spacing w:line="0" w:lineRule="atLeast"/>
      <w:jc w:val="distribute"/>
    </w:pPr>
    <w:rPr>
      <w:rFonts w:ascii="宋体" w:hAnsi="宋体" w:cs="宋体"/>
      <w:w w:val="150"/>
      <w:kern w:val="0"/>
      <w:sz w:val="14"/>
      <w:szCs w:val="14"/>
    </w:rPr>
  </w:style>
  <w:style w:type="character" w:customStyle="1" w:styleId="954">
    <w:name w:val="正文文本 (76)_"/>
    <w:link w:val="955"/>
    <w:qFormat/>
    <w:locked/>
    <w:uiPriority w:val="0"/>
    <w:rPr>
      <w:rFonts w:ascii="宋体" w:hAnsi="宋体" w:cs="宋体"/>
      <w:w w:val="20"/>
      <w:sz w:val="11"/>
      <w:szCs w:val="11"/>
      <w:shd w:val="clear" w:color="auto" w:fill="FFFFFF"/>
    </w:rPr>
  </w:style>
  <w:style w:type="paragraph" w:customStyle="1" w:styleId="955">
    <w:name w:val="正文文本 (76)"/>
    <w:basedOn w:val="1"/>
    <w:link w:val="954"/>
    <w:qFormat/>
    <w:uiPriority w:val="0"/>
    <w:pPr>
      <w:widowControl/>
      <w:shd w:val="clear" w:color="auto" w:fill="FFFFFF"/>
      <w:spacing w:line="0" w:lineRule="atLeast"/>
      <w:jc w:val="left"/>
    </w:pPr>
    <w:rPr>
      <w:rFonts w:ascii="宋体" w:hAnsi="宋体" w:cs="宋体"/>
      <w:w w:val="20"/>
      <w:kern w:val="0"/>
      <w:sz w:val="11"/>
      <w:szCs w:val="11"/>
    </w:rPr>
  </w:style>
  <w:style w:type="character" w:customStyle="1" w:styleId="956">
    <w:name w:val="表格标题 (2)_"/>
    <w:link w:val="957"/>
    <w:qFormat/>
    <w:locked/>
    <w:uiPriority w:val="0"/>
    <w:rPr>
      <w:rFonts w:ascii="宋体" w:hAnsi="宋体" w:cs="宋体"/>
      <w:sz w:val="19"/>
      <w:szCs w:val="19"/>
      <w:shd w:val="clear" w:color="auto" w:fill="FFFFFF"/>
    </w:rPr>
  </w:style>
  <w:style w:type="paragraph" w:customStyle="1" w:styleId="957">
    <w:name w:val="表格标题 (2)"/>
    <w:basedOn w:val="1"/>
    <w:link w:val="956"/>
    <w:qFormat/>
    <w:uiPriority w:val="0"/>
    <w:pPr>
      <w:widowControl/>
      <w:shd w:val="clear" w:color="auto" w:fill="FFFFFF"/>
      <w:spacing w:line="0" w:lineRule="atLeast"/>
      <w:jc w:val="left"/>
    </w:pPr>
    <w:rPr>
      <w:rFonts w:ascii="宋体" w:hAnsi="宋体" w:cs="宋体"/>
      <w:kern w:val="0"/>
      <w:sz w:val="19"/>
      <w:szCs w:val="19"/>
    </w:rPr>
  </w:style>
  <w:style w:type="character" w:customStyle="1" w:styleId="958">
    <w:name w:val="正文文本 (87)_"/>
    <w:link w:val="959"/>
    <w:qFormat/>
    <w:locked/>
    <w:uiPriority w:val="0"/>
    <w:rPr>
      <w:rFonts w:ascii="Angsana New" w:hAnsi="Angsana New" w:eastAsia="Angsana New" w:cs="Angsana New"/>
      <w:shd w:val="clear" w:color="auto" w:fill="FFFFFF"/>
    </w:rPr>
  </w:style>
  <w:style w:type="paragraph" w:customStyle="1" w:styleId="959">
    <w:name w:val="正文文本 (87)"/>
    <w:basedOn w:val="1"/>
    <w:link w:val="958"/>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960">
    <w:name w:val="表格标题_"/>
    <w:link w:val="961"/>
    <w:qFormat/>
    <w:locked/>
    <w:uiPriority w:val="0"/>
    <w:rPr>
      <w:rFonts w:ascii="楷体_GB2312" w:eastAsia="楷体_GB2312"/>
      <w:b/>
      <w:sz w:val="24"/>
    </w:rPr>
  </w:style>
  <w:style w:type="paragraph" w:customStyle="1" w:styleId="961">
    <w:name w:val="表格标题"/>
    <w:next w:val="1"/>
    <w:link w:val="960"/>
    <w:qFormat/>
    <w:uiPriority w:val="0"/>
    <w:pPr>
      <w:keepNext/>
      <w:keepLines/>
      <w:widowControl w:val="0"/>
      <w:adjustRightInd w:val="0"/>
      <w:spacing w:before="36" w:line="0" w:lineRule="atLeast"/>
      <w:jc w:val="center"/>
    </w:pPr>
    <w:rPr>
      <w:rFonts w:ascii="楷体_GB2312" w:hAnsi="Times New Roman" w:eastAsia="楷体_GB2312" w:cs="Times New Roman"/>
      <w:b/>
      <w:sz w:val="24"/>
      <w:lang w:val="en-US" w:eastAsia="zh-CN" w:bidi="ar-SA"/>
    </w:rPr>
  </w:style>
  <w:style w:type="character" w:customStyle="1" w:styleId="962">
    <w:name w:val="正文文本 (101)_"/>
    <w:link w:val="963"/>
    <w:qFormat/>
    <w:locked/>
    <w:uiPriority w:val="0"/>
    <w:rPr>
      <w:rFonts w:ascii="宋体" w:hAnsi="宋体" w:cs="宋体"/>
      <w:szCs w:val="21"/>
      <w:shd w:val="clear" w:color="auto" w:fill="FFFFFF"/>
    </w:rPr>
  </w:style>
  <w:style w:type="paragraph" w:customStyle="1" w:styleId="963">
    <w:name w:val="正文文本 (101)"/>
    <w:basedOn w:val="1"/>
    <w:link w:val="962"/>
    <w:qFormat/>
    <w:uiPriority w:val="0"/>
    <w:pPr>
      <w:widowControl/>
      <w:shd w:val="clear" w:color="auto" w:fill="FFFFFF"/>
      <w:spacing w:line="536" w:lineRule="exact"/>
      <w:jc w:val="left"/>
    </w:pPr>
    <w:rPr>
      <w:rFonts w:ascii="宋体" w:hAnsi="宋体" w:cs="宋体"/>
      <w:kern w:val="0"/>
      <w:sz w:val="20"/>
      <w:szCs w:val="21"/>
    </w:rPr>
  </w:style>
  <w:style w:type="character" w:customStyle="1" w:styleId="964">
    <w:name w:val="正文文本 (69)_"/>
    <w:link w:val="965"/>
    <w:qFormat/>
    <w:locked/>
    <w:uiPriority w:val="0"/>
    <w:rPr>
      <w:rFonts w:ascii="Angsana New" w:hAnsi="Angsana New" w:eastAsia="Angsana New" w:cs="Angsana New"/>
      <w:sz w:val="32"/>
      <w:szCs w:val="32"/>
      <w:shd w:val="clear" w:color="auto" w:fill="FFFFFF"/>
    </w:rPr>
  </w:style>
  <w:style w:type="paragraph" w:customStyle="1" w:styleId="965">
    <w:name w:val="正文文本 (69)"/>
    <w:basedOn w:val="1"/>
    <w:link w:val="964"/>
    <w:qFormat/>
    <w:uiPriority w:val="0"/>
    <w:pPr>
      <w:widowControl/>
      <w:shd w:val="clear" w:color="auto" w:fill="FFFFFF"/>
      <w:spacing w:line="0" w:lineRule="atLeast"/>
      <w:jc w:val="left"/>
    </w:pPr>
    <w:rPr>
      <w:rFonts w:ascii="Angsana New" w:hAnsi="Angsana New" w:eastAsia="Angsana New" w:cs="Angsana New"/>
      <w:kern w:val="0"/>
      <w:sz w:val="32"/>
      <w:szCs w:val="32"/>
    </w:rPr>
  </w:style>
  <w:style w:type="character" w:customStyle="1" w:styleId="966">
    <w:name w:val="正文文本 (42)_"/>
    <w:link w:val="967"/>
    <w:qFormat/>
    <w:locked/>
    <w:uiPriority w:val="0"/>
    <w:rPr>
      <w:rFonts w:ascii="Angsana New" w:hAnsi="Angsana New" w:eastAsia="Angsana New" w:cs="Angsana New"/>
      <w:shd w:val="clear" w:color="auto" w:fill="FFFFFF"/>
    </w:rPr>
  </w:style>
  <w:style w:type="paragraph" w:customStyle="1" w:styleId="967">
    <w:name w:val="正文文本 (42)"/>
    <w:basedOn w:val="1"/>
    <w:link w:val="966"/>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968">
    <w:name w:val="标题 #3 (6)_"/>
    <w:link w:val="969"/>
    <w:qFormat/>
    <w:locked/>
    <w:uiPriority w:val="0"/>
    <w:rPr>
      <w:rFonts w:ascii="Batang" w:hAnsi="Batang" w:eastAsia="Batang" w:cs="Batang"/>
      <w:sz w:val="12"/>
      <w:szCs w:val="12"/>
      <w:shd w:val="clear" w:color="auto" w:fill="FFFFFF"/>
    </w:rPr>
  </w:style>
  <w:style w:type="paragraph" w:customStyle="1" w:styleId="969">
    <w:name w:val="标题 #3 (6)"/>
    <w:basedOn w:val="1"/>
    <w:link w:val="968"/>
    <w:qFormat/>
    <w:uiPriority w:val="0"/>
    <w:pPr>
      <w:widowControl/>
      <w:shd w:val="clear" w:color="auto" w:fill="FFFFFF"/>
      <w:spacing w:before="480" w:line="544" w:lineRule="exact"/>
      <w:ind w:firstLine="580"/>
      <w:jc w:val="distribute"/>
      <w:outlineLvl w:val="2"/>
    </w:pPr>
    <w:rPr>
      <w:rFonts w:ascii="Batang" w:hAnsi="Batang" w:eastAsia="Batang" w:cs="Batang"/>
      <w:kern w:val="0"/>
      <w:sz w:val="12"/>
      <w:szCs w:val="12"/>
    </w:rPr>
  </w:style>
  <w:style w:type="character" w:customStyle="1" w:styleId="970">
    <w:name w:val="正文文本 (63)_"/>
    <w:link w:val="971"/>
    <w:qFormat/>
    <w:locked/>
    <w:uiPriority w:val="0"/>
    <w:rPr>
      <w:rFonts w:ascii="黑体" w:hAnsi="黑体" w:eastAsia="黑体" w:cs="黑体"/>
      <w:spacing w:val="50"/>
      <w:sz w:val="22"/>
      <w:shd w:val="clear" w:color="auto" w:fill="FFFFFF"/>
    </w:rPr>
  </w:style>
  <w:style w:type="paragraph" w:customStyle="1" w:styleId="971">
    <w:name w:val="正文文本 (63)"/>
    <w:basedOn w:val="1"/>
    <w:link w:val="970"/>
    <w:qFormat/>
    <w:uiPriority w:val="0"/>
    <w:pPr>
      <w:widowControl/>
      <w:shd w:val="clear" w:color="auto" w:fill="FFFFFF"/>
      <w:spacing w:line="0" w:lineRule="atLeast"/>
      <w:jc w:val="left"/>
    </w:pPr>
    <w:rPr>
      <w:rFonts w:ascii="黑体" w:hAnsi="黑体" w:eastAsia="黑体" w:cs="黑体"/>
      <w:spacing w:val="50"/>
      <w:kern w:val="0"/>
      <w:sz w:val="22"/>
      <w:szCs w:val="20"/>
    </w:rPr>
  </w:style>
  <w:style w:type="character" w:customStyle="1" w:styleId="972">
    <w:name w:val="正文文本 (35)_"/>
    <w:link w:val="973"/>
    <w:qFormat/>
    <w:locked/>
    <w:uiPriority w:val="0"/>
    <w:rPr>
      <w:rFonts w:ascii="MingLiU" w:hAnsi="MingLiU" w:eastAsia="MingLiU" w:cs="MingLiU"/>
      <w:w w:val="150"/>
      <w:sz w:val="8"/>
      <w:szCs w:val="8"/>
      <w:shd w:val="clear" w:color="auto" w:fill="FFFFFF"/>
    </w:rPr>
  </w:style>
  <w:style w:type="paragraph" w:customStyle="1" w:styleId="973">
    <w:name w:val="正文文本 (35)"/>
    <w:basedOn w:val="1"/>
    <w:link w:val="972"/>
    <w:qFormat/>
    <w:uiPriority w:val="0"/>
    <w:pPr>
      <w:widowControl/>
      <w:shd w:val="clear" w:color="auto" w:fill="FFFFFF"/>
      <w:spacing w:after="660" w:line="0" w:lineRule="atLeast"/>
      <w:jc w:val="distribute"/>
    </w:pPr>
    <w:rPr>
      <w:rFonts w:ascii="MingLiU" w:hAnsi="MingLiU" w:eastAsia="MingLiU" w:cs="MingLiU"/>
      <w:w w:val="150"/>
      <w:kern w:val="0"/>
      <w:sz w:val="8"/>
      <w:szCs w:val="8"/>
    </w:rPr>
  </w:style>
  <w:style w:type="character" w:customStyle="1" w:styleId="974">
    <w:name w:val="正文文本 (104)_"/>
    <w:link w:val="975"/>
    <w:qFormat/>
    <w:locked/>
    <w:uiPriority w:val="0"/>
    <w:rPr>
      <w:rFonts w:ascii="Batang" w:hAnsi="Batang" w:eastAsia="Batang" w:cs="Batang"/>
      <w:sz w:val="8"/>
      <w:szCs w:val="8"/>
      <w:shd w:val="clear" w:color="auto" w:fill="FFFFFF"/>
    </w:rPr>
  </w:style>
  <w:style w:type="paragraph" w:customStyle="1" w:styleId="975">
    <w:name w:val="正文文本 (104)"/>
    <w:basedOn w:val="1"/>
    <w:link w:val="974"/>
    <w:qFormat/>
    <w:uiPriority w:val="0"/>
    <w:pPr>
      <w:widowControl/>
      <w:shd w:val="clear" w:color="auto" w:fill="FFFFFF"/>
      <w:spacing w:before="300" w:line="83" w:lineRule="exact"/>
      <w:jc w:val="left"/>
    </w:pPr>
    <w:rPr>
      <w:rFonts w:ascii="Batang" w:hAnsi="Batang" w:eastAsia="Batang" w:cs="Batang"/>
      <w:kern w:val="0"/>
      <w:sz w:val="8"/>
      <w:szCs w:val="8"/>
    </w:rPr>
  </w:style>
  <w:style w:type="character" w:customStyle="1" w:styleId="976">
    <w:name w:val="正文文本 (71)_"/>
    <w:link w:val="977"/>
    <w:qFormat/>
    <w:locked/>
    <w:uiPriority w:val="0"/>
    <w:rPr>
      <w:rFonts w:ascii="Angsana New" w:hAnsi="Angsana New" w:eastAsia="Angsana New" w:cs="Angsana New"/>
      <w:shd w:val="clear" w:color="auto" w:fill="FFFFFF"/>
    </w:rPr>
  </w:style>
  <w:style w:type="paragraph" w:customStyle="1" w:styleId="977">
    <w:name w:val="正文文本 (71)"/>
    <w:basedOn w:val="1"/>
    <w:link w:val="976"/>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978">
    <w:name w:val="正文文本 (5)_"/>
    <w:link w:val="979"/>
    <w:qFormat/>
    <w:locked/>
    <w:uiPriority w:val="0"/>
    <w:rPr>
      <w:rFonts w:eastAsia="Times New Roman"/>
      <w:shd w:val="clear" w:color="auto" w:fill="FFFFFF"/>
    </w:rPr>
  </w:style>
  <w:style w:type="paragraph" w:customStyle="1" w:styleId="979">
    <w:name w:val="正文文本 (5)"/>
    <w:basedOn w:val="1"/>
    <w:link w:val="978"/>
    <w:qFormat/>
    <w:uiPriority w:val="0"/>
    <w:pPr>
      <w:widowControl/>
      <w:shd w:val="clear" w:color="auto" w:fill="FFFFFF"/>
      <w:spacing w:line="0" w:lineRule="atLeast"/>
      <w:jc w:val="left"/>
    </w:pPr>
    <w:rPr>
      <w:rFonts w:eastAsia="Times New Roman"/>
      <w:kern w:val="0"/>
      <w:sz w:val="20"/>
      <w:szCs w:val="20"/>
    </w:rPr>
  </w:style>
  <w:style w:type="character" w:customStyle="1" w:styleId="980">
    <w:name w:val="正文文本 (95)_"/>
    <w:link w:val="981"/>
    <w:qFormat/>
    <w:locked/>
    <w:uiPriority w:val="0"/>
    <w:rPr>
      <w:rFonts w:ascii="Batang" w:hAnsi="Batang" w:eastAsia="Batang" w:cs="Batang"/>
      <w:sz w:val="8"/>
      <w:szCs w:val="8"/>
      <w:shd w:val="clear" w:color="auto" w:fill="FFFFFF"/>
    </w:rPr>
  </w:style>
  <w:style w:type="paragraph" w:customStyle="1" w:styleId="981">
    <w:name w:val="正文文本 (95)"/>
    <w:basedOn w:val="1"/>
    <w:link w:val="980"/>
    <w:qFormat/>
    <w:uiPriority w:val="0"/>
    <w:pPr>
      <w:widowControl/>
      <w:shd w:val="clear" w:color="auto" w:fill="FFFFFF"/>
      <w:spacing w:before="600" w:after="420" w:line="0" w:lineRule="atLeast"/>
      <w:jc w:val="distribute"/>
    </w:pPr>
    <w:rPr>
      <w:rFonts w:ascii="Batang" w:hAnsi="Batang" w:eastAsia="Batang" w:cs="Batang"/>
      <w:kern w:val="0"/>
      <w:sz w:val="8"/>
      <w:szCs w:val="8"/>
    </w:rPr>
  </w:style>
  <w:style w:type="character" w:customStyle="1" w:styleId="982">
    <w:name w:val="正文文本 (30)_"/>
    <w:link w:val="983"/>
    <w:qFormat/>
    <w:locked/>
    <w:uiPriority w:val="0"/>
    <w:rPr>
      <w:rFonts w:ascii="Batang" w:hAnsi="Batang" w:eastAsia="Batang" w:cs="Batang"/>
      <w:sz w:val="12"/>
      <w:szCs w:val="12"/>
      <w:shd w:val="clear" w:color="auto" w:fill="FFFFFF"/>
    </w:rPr>
  </w:style>
  <w:style w:type="paragraph" w:customStyle="1" w:styleId="983">
    <w:name w:val="正文文本 (30)"/>
    <w:basedOn w:val="1"/>
    <w:link w:val="982"/>
    <w:qFormat/>
    <w:uiPriority w:val="0"/>
    <w:pPr>
      <w:widowControl/>
      <w:shd w:val="clear" w:color="auto" w:fill="FFFFFF"/>
      <w:spacing w:line="0" w:lineRule="atLeast"/>
      <w:jc w:val="left"/>
    </w:pPr>
    <w:rPr>
      <w:rFonts w:ascii="Batang" w:hAnsi="Batang" w:eastAsia="Batang" w:cs="Batang"/>
      <w:kern w:val="0"/>
      <w:sz w:val="12"/>
      <w:szCs w:val="12"/>
    </w:rPr>
  </w:style>
  <w:style w:type="character" w:customStyle="1" w:styleId="984">
    <w:name w:val="标题 #8_"/>
    <w:link w:val="985"/>
    <w:qFormat/>
    <w:locked/>
    <w:uiPriority w:val="0"/>
    <w:rPr>
      <w:rFonts w:ascii="宋体" w:hAnsi="宋体" w:cs="宋体"/>
      <w:sz w:val="29"/>
      <w:szCs w:val="29"/>
      <w:shd w:val="clear" w:color="auto" w:fill="FFFFFF"/>
    </w:rPr>
  </w:style>
  <w:style w:type="paragraph" w:customStyle="1" w:styleId="985">
    <w:name w:val="标题 #8"/>
    <w:basedOn w:val="1"/>
    <w:link w:val="984"/>
    <w:qFormat/>
    <w:uiPriority w:val="0"/>
    <w:pPr>
      <w:widowControl/>
      <w:shd w:val="clear" w:color="auto" w:fill="FFFFFF"/>
      <w:spacing w:after="660" w:line="0" w:lineRule="atLeast"/>
      <w:jc w:val="left"/>
      <w:outlineLvl w:val="7"/>
    </w:pPr>
    <w:rPr>
      <w:rFonts w:ascii="宋体" w:hAnsi="宋体" w:cs="宋体"/>
      <w:kern w:val="0"/>
      <w:sz w:val="29"/>
      <w:szCs w:val="29"/>
    </w:rPr>
  </w:style>
  <w:style w:type="character" w:customStyle="1" w:styleId="986">
    <w:name w:val="标题 #3 (3)_"/>
    <w:link w:val="987"/>
    <w:qFormat/>
    <w:locked/>
    <w:uiPriority w:val="0"/>
    <w:rPr>
      <w:rFonts w:ascii="Calibri" w:hAnsi="Calibri" w:eastAsia="Calibri" w:cs="Calibri"/>
      <w:spacing w:val="20"/>
      <w:sz w:val="28"/>
      <w:szCs w:val="28"/>
      <w:shd w:val="clear" w:color="auto" w:fill="FFFFFF"/>
    </w:rPr>
  </w:style>
  <w:style w:type="paragraph" w:customStyle="1" w:styleId="987">
    <w:name w:val="标题 #3 (3)"/>
    <w:basedOn w:val="1"/>
    <w:link w:val="986"/>
    <w:qFormat/>
    <w:uiPriority w:val="0"/>
    <w:pPr>
      <w:widowControl/>
      <w:shd w:val="clear" w:color="auto" w:fill="FFFFFF"/>
      <w:spacing w:before="780" w:line="536" w:lineRule="exact"/>
      <w:ind w:firstLine="560"/>
      <w:jc w:val="distribute"/>
      <w:outlineLvl w:val="2"/>
    </w:pPr>
    <w:rPr>
      <w:rFonts w:ascii="Calibri" w:hAnsi="Calibri" w:eastAsia="Calibri" w:cs="Calibri"/>
      <w:spacing w:val="20"/>
      <w:kern w:val="0"/>
      <w:sz w:val="28"/>
      <w:szCs w:val="28"/>
    </w:rPr>
  </w:style>
  <w:style w:type="character" w:customStyle="1" w:styleId="988">
    <w:name w:val="正文文本 (74)_"/>
    <w:link w:val="989"/>
    <w:qFormat/>
    <w:locked/>
    <w:uiPriority w:val="0"/>
    <w:rPr>
      <w:rFonts w:ascii="Angsana New" w:hAnsi="Angsana New" w:eastAsia="Angsana New" w:cs="Angsana New"/>
      <w:shd w:val="clear" w:color="auto" w:fill="FFFFFF"/>
    </w:rPr>
  </w:style>
  <w:style w:type="paragraph" w:customStyle="1" w:styleId="989">
    <w:name w:val="正文文本 (74)"/>
    <w:basedOn w:val="1"/>
    <w:link w:val="988"/>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990">
    <w:name w:val="正文文本 (31)_"/>
    <w:link w:val="991"/>
    <w:qFormat/>
    <w:locked/>
    <w:uiPriority w:val="0"/>
    <w:rPr>
      <w:rFonts w:ascii="宋体" w:hAnsi="宋体" w:cs="宋体"/>
      <w:szCs w:val="21"/>
      <w:shd w:val="clear" w:color="auto" w:fill="FFFFFF"/>
    </w:rPr>
  </w:style>
  <w:style w:type="paragraph" w:customStyle="1" w:styleId="991">
    <w:name w:val="正文文本 (31)"/>
    <w:basedOn w:val="1"/>
    <w:link w:val="990"/>
    <w:qFormat/>
    <w:uiPriority w:val="0"/>
    <w:pPr>
      <w:widowControl/>
      <w:shd w:val="clear" w:color="auto" w:fill="FFFFFF"/>
      <w:spacing w:line="0" w:lineRule="atLeast"/>
      <w:jc w:val="left"/>
    </w:pPr>
    <w:rPr>
      <w:rFonts w:ascii="宋体" w:hAnsi="宋体" w:cs="宋体"/>
      <w:kern w:val="0"/>
      <w:sz w:val="20"/>
      <w:szCs w:val="21"/>
    </w:rPr>
  </w:style>
  <w:style w:type="character" w:customStyle="1" w:styleId="992">
    <w:name w:val="页眉或页脚_"/>
    <w:link w:val="993"/>
    <w:qFormat/>
    <w:locked/>
    <w:uiPriority w:val="0"/>
    <w:rPr>
      <w:rFonts w:eastAsia="Times New Roman"/>
      <w:shd w:val="clear" w:color="auto" w:fill="FFFFFF"/>
    </w:rPr>
  </w:style>
  <w:style w:type="paragraph" w:customStyle="1" w:styleId="993">
    <w:name w:val="页眉或页脚"/>
    <w:basedOn w:val="1"/>
    <w:link w:val="992"/>
    <w:qFormat/>
    <w:uiPriority w:val="0"/>
    <w:pPr>
      <w:widowControl/>
      <w:shd w:val="clear" w:color="auto" w:fill="FFFFFF"/>
      <w:jc w:val="left"/>
    </w:pPr>
    <w:rPr>
      <w:rFonts w:eastAsia="Times New Roman"/>
      <w:kern w:val="0"/>
      <w:sz w:val="20"/>
      <w:szCs w:val="20"/>
    </w:rPr>
  </w:style>
  <w:style w:type="character" w:customStyle="1" w:styleId="994">
    <w:name w:val="正文文本 (72)_"/>
    <w:link w:val="995"/>
    <w:qFormat/>
    <w:locked/>
    <w:uiPriority w:val="0"/>
    <w:rPr>
      <w:rFonts w:ascii="Angsana New" w:hAnsi="Angsana New" w:eastAsia="Angsana New" w:cs="Angsana New"/>
      <w:shd w:val="clear" w:color="auto" w:fill="FFFFFF"/>
    </w:rPr>
  </w:style>
  <w:style w:type="paragraph" w:customStyle="1" w:styleId="995">
    <w:name w:val="正文文本 (72)"/>
    <w:basedOn w:val="1"/>
    <w:link w:val="994"/>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996">
    <w:name w:val="正文文本 (9)_"/>
    <w:link w:val="997"/>
    <w:qFormat/>
    <w:locked/>
    <w:uiPriority w:val="0"/>
    <w:rPr>
      <w:rFonts w:ascii="Angsana New" w:hAnsi="Angsana New" w:eastAsia="Angsana New" w:cs="Angsana New"/>
      <w:sz w:val="26"/>
      <w:szCs w:val="26"/>
      <w:shd w:val="clear" w:color="auto" w:fill="FFFFFF"/>
    </w:rPr>
  </w:style>
  <w:style w:type="paragraph" w:customStyle="1" w:styleId="997">
    <w:name w:val="正文文本 (9)"/>
    <w:basedOn w:val="1"/>
    <w:link w:val="996"/>
    <w:qFormat/>
    <w:uiPriority w:val="0"/>
    <w:pPr>
      <w:widowControl/>
      <w:shd w:val="clear" w:color="auto" w:fill="FFFFFF"/>
      <w:spacing w:line="0" w:lineRule="atLeast"/>
      <w:jc w:val="center"/>
    </w:pPr>
    <w:rPr>
      <w:rFonts w:ascii="Angsana New" w:hAnsi="Angsana New" w:eastAsia="Angsana New" w:cs="Angsana New"/>
      <w:kern w:val="0"/>
      <w:sz w:val="26"/>
      <w:szCs w:val="26"/>
    </w:rPr>
  </w:style>
  <w:style w:type="character" w:customStyle="1" w:styleId="998">
    <w:name w:val="正文文本 (51)_"/>
    <w:link w:val="999"/>
    <w:qFormat/>
    <w:locked/>
    <w:uiPriority w:val="0"/>
    <w:rPr>
      <w:rFonts w:ascii="Angsana New" w:hAnsi="Angsana New" w:eastAsia="Angsana New" w:cs="Angsana New"/>
      <w:shd w:val="clear" w:color="auto" w:fill="FFFFFF"/>
    </w:rPr>
  </w:style>
  <w:style w:type="paragraph" w:customStyle="1" w:styleId="999">
    <w:name w:val="正文文本 (51)"/>
    <w:basedOn w:val="1"/>
    <w:link w:val="998"/>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1000">
    <w:name w:val="正文文本 (26)_"/>
    <w:link w:val="1001"/>
    <w:qFormat/>
    <w:locked/>
    <w:uiPriority w:val="0"/>
    <w:rPr>
      <w:rFonts w:ascii="Batang" w:hAnsi="Batang" w:eastAsia="Batang" w:cs="Batang"/>
      <w:sz w:val="18"/>
      <w:szCs w:val="18"/>
      <w:shd w:val="clear" w:color="auto" w:fill="FFFFFF"/>
    </w:rPr>
  </w:style>
  <w:style w:type="paragraph" w:customStyle="1" w:styleId="1001">
    <w:name w:val="正文文本 (26)"/>
    <w:basedOn w:val="1"/>
    <w:link w:val="1000"/>
    <w:qFormat/>
    <w:uiPriority w:val="0"/>
    <w:pPr>
      <w:widowControl/>
      <w:shd w:val="clear" w:color="auto" w:fill="FFFFFF"/>
      <w:spacing w:line="0" w:lineRule="atLeast"/>
      <w:jc w:val="left"/>
    </w:pPr>
    <w:rPr>
      <w:rFonts w:ascii="Batang" w:hAnsi="Batang" w:eastAsia="Batang" w:cs="Batang"/>
      <w:kern w:val="0"/>
      <w:sz w:val="18"/>
      <w:szCs w:val="18"/>
    </w:rPr>
  </w:style>
  <w:style w:type="character" w:customStyle="1" w:styleId="1002">
    <w:name w:val="正文文本 (13)_"/>
    <w:link w:val="1003"/>
    <w:qFormat/>
    <w:locked/>
    <w:uiPriority w:val="0"/>
    <w:rPr>
      <w:rFonts w:ascii="Angsana New" w:hAnsi="Angsana New" w:cs="Angsana New"/>
      <w:sz w:val="32"/>
      <w:szCs w:val="32"/>
      <w:shd w:val="clear" w:color="auto" w:fill="FFFFFF"/>
    </w:rPr>
  </w:style>
  <w:style w:type="paragraph" w:customStyle="1" w:styleId="1003">
    <w:name w:val="正文文本 (13)"/>
    <w:basedOn w:val="1"/>
    <w:link w:val="1002"/>
    <w:qFormat/>
    <w:uiPriority w:val="0"/>
    <w:pPr>
      <w:widowControl/>
      <w:shd w:val="clear" w:color="auto" w:fill="FFFFFF"/>
      <w:spacing w:line="240" w:lineRule="atLeast"/>
      <w:jc w:val="left"/>
    </w:pPr>
    <w:rPr>
      <w:rFonts w:ascii="Angsana New" w:hAnsi="Angsana New" w:cs="Angsana New"/>
      <w:kern w:val="0"/>
      <w:sz w:val="32"/>
      <w:szCs w:val="32"/>
    </w:rPr>
  </w:style>
  <w:style w:type="character" w:customStyle="1" w:styleId="1004">
    <w:name w:val="正文文本 (2)_"/>
    <w:link w:val="1005"/>
    <w:qFormat/>
    <w:locked/>
    <w:uiPriority w:val="0"/>
    <w:rPr>
      <w:rFonts w:ascii="宋体" w:hAnsi="宋体" w:cs="宋体"/>
      <w:sz w:val="43"/>
      <w:szCs w:val="43"/>
      <w:shd w:val="clear" w:color="auto" w:fill="FFFFFF"/>
    </w:rPr>
  </w:style>
  <w:style w:type="paragraph" w:customStyle="1" w:styleId="1005">
    <w:name w:val="正文文本 (2)"/>
    <w:basedOn w:val="1"/>
    <w:link w:val="1004"/>
    <w:qFormat/>
    <w:uiPriority w:val="0"/>
    <w:pPr>
      <w:widowControl/>
      <w:shd w:val="clear" w:color="auto" w:fill="FFFFFF"/>
      <w:spacing w:line="0" w:lineRule="atLeast"/>
      <w:jc w:val="left"/>
    </w:pPr>
    <w:rPr>
      <w:rFonts w:ascii="宋体" w:hAnsi="宋体" w:cs="宋体"/>
      <w:kern w:val="0"/>
      <w:sz w:val="43"/>
      <w:szCs w:val="43"/>
    </w:rPr>
  </w:style>
  <w:style w:type="character" w:customStyle="1" w:styleId="1006">
    <w:name w:val="正文文本 (43)_"/>
    <w:link w:val="1007"/>
    <w:qFormat/>
    <w:locked/>
    <w:uiPriority w:val="0"/>
    <w:rPr>
      <w:rFonts w:ascii="宋体" w:hAnsi="宋体" w:cs="宋体"/>
      <w:sz w:val="8"/>
      <w:szCs w:val="8"/>
      <w:shd w:val="clear" w:color="auto" w:fill="FFFFFF"/>
    </w:rPr>
  </w:style>
  <w:style w:type="paragraph" w:customStyle="1" w:styleId="1007">
    <w:name w:val="正文文本 (43)"/>
    <w:basedOn w:val="1"/>
    <w:link w:val="1006"/>
    <w:qFormat/>
    <w:uiPriority w:val="0"/>
    <w:pPr>
      <w:widowControl/>
      <w:shd w:val="clear" w:color="auto" w:fill="FFFFFF"/>
      <w:spacing w:line="0" w:lineRule="atLeast"/>
      <w:jc w:val="left"/>
    </w:pPr>
    <w:rPr>
      <w:rFonts w:ascii="宋体" w:hAnsi="宋体" w:cs="宋体"/>
      <w:kern w:val="0"/>
      <w:sz w:val="8"/>
      <w:szCs w:val="8"/>
    </w:rPr>
  </w:style>
  <w:style w:type="character" w:customStyle="1" w:styleId="1008">
    <w:name w:val="正文文本 (100)_"/>
    <w:link w:val="1009"/>
    <w:qFormat/>
    <w:locked/>
    <w:uiPriority w:val="0"/>
    <w:rPr>
      <w:rFonts w:ascii="宋体" w:hAnsi="宋体" w:cs="宋体"/>
      <w:sz w:val="8"/>
      <w:szCs w:val="8"/>
      <w:shd w:val="clear" w:color="auto" w:fill="FFFFFF"/>
    </w:rPr>
  </w:style>
  <w:style w:type="paragraph" w:customStyle="1" w:styleId="1009">
    <w:name w:val="正文文本 (100)"/>
    <w:basedOn w:val="1"/>
    <w:link w:val="1008"/>
    <w:qFormat/>
    <w:uiPriority w:val="0"/>
    <w:pPr>
      <w:widowControl/>
      <w:shd w:val="clear" w:color="auto" w:fill="FFFFFF"/>
      <w:spacing w:line="0" w:lineRule="atLeast"/>
      <w:jc w:val="left"/>
    </w:pPr>
    <w:rPr>
      <w:rFonts w:ascii="宋体" w:hAnsi="宋体" w:cs="宋体"/>
      <w:kern w:val="0"/>
      <w:sz w:val="8"/>
      <w:szCs w:val="8"/>
    </w:rPr>
  </w:style>
  <w:style w:type="character" w:customStyle="1" w:styleId="1010">
    <w:name w:val="正文文本 (82)_"/>
    <w:link w:val="1011"/>
    <w:qFormat/>
    <w:locked/>
    <w:uiPriority w:val="0"/>
    <w:rPr>
      <w:rFonts w:ascii="Angsana New" w:hAnsi="Angsana New" w:eastAsia="Angsana New" w:cs="Angsana New"/>
      <w:shd w:val="clear" w:color="auto" w:fill="FFFFFF"/>
    </w:rPr>
  </w:style>
  <w:style w:type="paragraph" w:customStyle="1" w:styleId="1011">
    <w:name w:val="正文文本 (82)"/>
    <w:basedOn w:val="1"/>
    <w:link w:val="1010"/>
    <w:qFormat/>
    <w:uiPriority w:val="0"/>
    <w:pPr>
      <w:widowControl/>
      <w:shd w:val="clear" w:color="auto" w:fill="FFFFFF"/>
      <w:spacing w:line="0" w:lineRule="atLeast"/>
      <w:jc w:val="left"/>
    </w:pPr>
    <w:rPr>
      <w:rFonts w:ascii="Angsana New" w:hAnsi="Angsana New" w:eastAsia="Angsana New" w:cs="Angsana New"/>
      <w:kern w:val="0"/>
      <w:sz w:val="20"/>
      <w:szCs w:val="20"/>
    </w:rPr>
  </w:style>
  <w:style w:type="character" w:customStyle="1" w:styleId="1012">
    <w:name w:val="正文文本 (36)_"/>
    <w:link w:val="1013"/>
    <w:qFormat/>
    <w:locked/>
    <w:uiPriority w:val="0"/>
    <w:rPr>
      <w:rFonts w:ascii="Angsana New" w:hAnsi="Angsana New" w:eastAsia="Angsana New" w:cs="Angsana New"/>
      <w:sz w:val="31"/>
      <w:szCs w:val="31"/>
      <w:shd w:val="clear" w:color="auto" w:fill="FFFFFF"/>
    </w:rPr>
  </w:style>
  <w:style w:type="paragraph" w:customStyle="1" w:styleId="1013">
    <w:name w:val="正文文本 (36)"/>
    <w:basedOn w:val="1"/>
    <w:link w:val="1012"/>
    <w:qFormat/>
    <w:uiPriority w:val="0"/>
    <w:pPr>
      <w:widowControl/>
      <w:shd w:val="clear" w:color="auto" w:fill="FFFFFF"/>
      <w:spacing w:after="180" w:line="0" w:lineRule="atLeast"/>
      <w:jc w:val="distribute"/>
    </w:pPr>
    <w:rPr>
      <w:rFonts w:ascii="Angsana New" w:hAnsi="Angsana New" w:eastAsia="Angsana New" w:cs="Angsana New"/>
      <w:kern w:val="0"/>
      <w:sz w:val="31"/>
      <w:szCs w:val="31"/>
    </w:rPr>
  </w:style>
  <w:style w:type="character" w:customStyle="1" w:styleId="1014">
    <w:name w:val="标题 #10_"/>
    <w:link w:val="1015"/>
    <w:qFormat/>
    <w:locked/>
    <w:uiPriority w:val="0"/>
    <w:rPr>
      <w:rFonts w:ascii="宋体" w:hAnsi="宋体" w:cs="宋体"/>
      <w:sz w:val="29"/>
      <w:szCs w:val="29"/>
      <w:shd w:val="clear" w:color="auto" w:fill="FFFFFF"/>
    </w:rPr>
  </w:style>
  <w:style w:type="paragraph" w:customStyle="1" w:styleId="1015">
    <w:name w:val="标题 #10"/>
    <w:basedOn w:val="1"/>
    <w:link w:val="1014"/>
    <w:qFormat/>
    <w:uiPriority w:val="0"/>
    <w:pPr>
      <w:widowControl/>
      <w:shd w:val="clear" w:color="auto" w:fill="FFFFFF"/>
      <w:spacing w:after="120" w:line="0" w:lineRule="atLeast"/>
      <w:jc w:val="left"/>
    </w:pPr>
    <w:rPr>
      <w:rFonts w:ascii="宋体" w:hAnsi="宋体" w:cs="宋体"/>
      <w:kern w:val="0"/>
      <w:sz w:val="29"/>
      <w:szCs w:val="29"/>
    </w:rPr>
  </w:style>
  <w:style w:type="character" w:customStyle="1" w:styleId="1016">
    <w:name w:val="正文文本 (107)_"/>
    <w:link w:val="1017"/>
    <w:qFormat/>
    <w:locked/>
    <w:uiPriority w:val="0"/>
    <w:rPr>
      <w:rFonts w:ascii="Batang" w:hAnsi="Batang" w:eastAsia="Batang" w:cs="Batang"/>
      <w:sz w:val="19"/>
      <w:szCs w:val="19"/>
      <w:shd w:val="clear" w:color="auto" w:fill="FFFFFF"/>
    </w:rPr>
  </w:style>
  <w:style w:type="paragraph" w:customStyle="1" w:styleId="1017">
    <w:name w:val="正文文本 (107)"/>
    <w:basedOn w:val="1"/>
    <w:link w:val="1016"/>
    <w:qFormat/>
    <w:uiPriority w:val="0"/>
    <w:pPr>
      <w:widowControl/>
      <w:shd w:val="clear" w:color="auto" w:fill="FFFFFF"/>
      <w:spacing w:line="536" w:lineRule="exact"/>
      <w:jc w:val="right"/>
    </w:pPr>
    <w:rPr>
      <w:rFonts w:ascii="Batang" w:hAnsi="Batang" w:eastAsia="Batang" w:cs="Batang"/>
      <w:kern w:val="0"/>
      <w:sz w:val="19"/>
      <w:szCs w:val="19"/>
    </w:rPr>
  </w:style>
  <w:style w:type="paragraph" w:customStyle="1" w:styleId="1018">
    <w:name w:val="xl23"/>
    <w:basedOn w:val="1"/>
    <w:qFormat/>
    <w:uiPriority w:val="0"/>
    <w:pPr>
      <w:widowControl/>
      <w:pBdr>
        <w:bottom w:val="single" w:color="auto" w:sz="4" w:space="0"/>
        <w:right w:val="single" w:color="auto" w:sz="4" w:space="0"/>
      </w:pBdr>
      <w:spacing w:before="100" w:beforeAutospacing="1" w:after="100" w:afterAutospacing="1"/>
      <w:jc w:val="center"/>
    </w:pPr>
    <w:rPr>
      <w:kern w:val="0"/>
      <w:sz w:val="28"/>
      <w:szCs w:val="21"/>
    </w:rPr>
  </w:style>
  <w:style w:type="paragraph" w:customStyle="1" w:styleId="1019">
    <w:name w:val="表格编号"/>
    <w:next w:val="1"/>
    <w:qFormat/>
    <w:uiPriority w:val="0"/>
    <w:pPr>
      <w:keepNext/>
      <w:keepLines/>
      <w:widowControl w:val="0"/>
      <w:adjustRightInd w:val="0"/>
      <w:spacing w:line="0" w:lineRule="atLeast"/>
      <w:jc w:val="right"/>
    </w:pPr>
    <w:rPr>
      <w:rFonts w:ascii="Times New Roman" w:hAnsi="Times New Roman" w:eastAsia="楷体" w:cs="Times New Roman"/>
      <w:sz w:val="24"/>
      <w:lang w:val="en-US" w:eastAsia="zh-CN" w:bidi="ar-SA"/>
    </w:rPr>
  </w:style>
  <w:style w:type="paragraph" w:customStyle="1" w:styleId="1020">
    <w:name w:val="正文+缩进二"/>
    <w:basedOn w:val="1"/>
    <w:qFormat/>
    <w:uiPriority w:val="0"/>
    <w:pPr>
      <w:jc w:val="center"/>
    </w:pPr>
    <w:rPr>
      <w:sz w:val="30"/>
      <w:szCs w:val="30"/>
    </w:rPr>
  </w:style>
  <w:style w:type="paragraph" w:customStyle="1" w:styleId="1021">
    <w:name w:val="表格标题 Char"/>
    <w:next w:val="1"/>
    <w:qFormat/>
    <w:uiPriority w:val="0"/>
    <w:pPr>
      <w:keepNext/>
      <w:keepLines/>
      <w:widowControl w:val="0"/>
      <w:adjustRightInd w:val="0"/>
      <w:jc w:val="center"/>
    </w:pPr>
    <w:rPr>
      <w:rFonts w:ascii="Times New Roman" w:hAnsi="Times New Roman" w:eastAsia="黑体" w:cs="Times New Roman"/>
      <w:kern w:val="2"/>
      <w:sz w:val="28"/>
      <w:szCs w:val="24"/>
      <w:lang w:val="en-US" w:eastAsia="zh-CN" w:bidi="ar-SA"/>
    </w:rPr>
  </w:style>
  <w:style w:type="paragraph" w:customStyle="1" w:styleId="1022">
    <w:name w:val="正文文本 (23)1"/>
    <w:basedOn w:val="1"/>
    <w:qFormat/>
    <w:uiPriority w:val="0"/>
    <w:pPr>
      <w:widowControl/>
      <w:shd w:val="clear" w:color="auto" w:fill="FFFFFF"/>
      <w:spacing w:before="600" w:line="0" w:lineRule="atLeast"/>
      <w:jc w:val="left"/>
    </w:pPr>
    <w:rPr>
      <w:rFonts w:ascii="Batang" w:hAnsi="Batang" w:eastAsia="Batang" w:cs="Batang"/>
      <w:color w:val="000000"/>
      <w:kern w:val="0"/>
      <w:sz w:val="8"/>
      <w:szCs w:val="8"/>
      <w:lang w:val="zh-CN"/>
    </w:rPr>
  </w:style>
  <w:style w:type="paragraph" w:customStyle="1" w:styleId="1023">
    <w:name w:val="小节"/>
    <w:next w:val="1"/>
    <w:qFormat/>
    <w:uiPriority w:val="0"/>
    <w:pPr>
      <w:ind w:firstLine="612"/>
      <w:jc w:val="both"/>
    </w:pPr>
    <w:rPr>
      <w:rFonts w:ascii="Times New Roman" w:hAnsi="Times New Roman" w:eastAsia="宋体" w:cs="Times New Roman"/>
      <w:b/>
      <w:sz w:val="28"/>
      <w:lang w:val="en-US" w:eastAsia="zh-CN" w:bidi="ar-SA"/>
    </w:rPr>
  </w:style>
  <w:style w:type="paragraph" w:customStyle="1" w:styleId="1024">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8"/>
      <w:szCs w:val="28"/>
    </w:rPr>
  </w:style>
  <w:style w:type="paragraph" w:customStyle="1" w:styleId="1025">
    <w:name w:val="段落"/>
    <w:basedOn w:val="1"/>
    <w:qFormat/>
    <w:uiPriority w:val="0"/>
    <w:pPr>
      <w:spacing w:line="580" w:lineRule="exact"/>
      <w:ind w:firstLine="200" w:firstLineChars="200"/>
    </w:pPr>
    <w:rPr>
      <w:spacing w:val="6"/>
      <w:sz w:val="28"/>
      <w:szCs w:val="28"/>
    </w:rPr>
  </w:style>
  <w:style w:type="paragraph" w:customStyle="1" w:styleId="1026">
    <w:name w:val="Char Char Char Char Char Char Char Char Char1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027">
    <w:name w:val="默认段落字体 Para Char Char Char1 Char Char Char Char"/>
    <w:basedOn w:val="1"/>
    <w:qFormat/>
    <w:uiPriority w:val="0"/>
    <w:rPr>
      <w:sz w:val="24"/>
    </w:rPr>
  </w:style>
  <w:style w:type="paragraph" w:customStyle="1" w:styleId="1028">
    <w:name w:val="正文文本 (26)2"/>
    <w:basedOn w:val="1"/>
    <w:qFormat/>
    <w:uiPriority w:val="0"/>
    <w:pPr>
      <w:widowControl/>
      <w:shd w:val="clear" w:color="auto" w:fill="FFFFFF"/>
      <w:spacing w:line="0" w:lineRule="atLeast"/>
      <w:jc w:val="left"/>
    </w:pPr>
    <w:rPr>
      <w:rFonts w:ascii="Batang" w:hAnsi="Batang" w:eastAsia="Batang" w:cs="Batang"/>
      <w:color w:val="000000"/>
      <w:kern w:val="0"/>
      <w:sz w:val="18"/>
      <w:szCs w:val="18"/>
      <w:lang w:val="zh-CN"/>
    </w:rPr>
  </w:style>
  <w:style w:type="paragraph" w:customStyle="1" w:styleId="1029">
    <w:name w:val="Char Char Char Char Char Char Char Char Char Char Char Char Char Char Char Char Char Char"/>
    <w:basedOn w:val="1"/>
    <w:qFormat/>
    <w:uiPriority w:val="0"/>
    <w:rPr>
      <w:rFonts w:eastAsia="黑体"/>
      <w:kern w:val="0"/>
      <w:sz w:val="36"/>
      <w:szCs w:val="20"/>
    </w:rPr>
  </w:style>
  <w:style w:type="paragraph" w:customStyle="1" w:styleId="1030">
    <w:name w:val="正文文本 (19)3"/>
    <w:basedOn w:val="1"/>
    <w:qFormat/>
    <w:uiPriority w:val="0"/>
    <w:pPr>
      <w:widowControl/>
      <w:shd w:val="clear" w:color="auto" w:fill="FFFFFF"/>
      <w:spacing w:line="0" w:lineRule="atLeast"/>
      <w:jc w:val="left"/>
    </w:pPr>
    <w:rPr>
      <w:rFonts w:ascii="宋体" w:hAnsi="宋体" w:cs="宋体"/>
      <w:color w:val="000000"/>
      <w:kern w:val="0"/>
      <w:sz w:val="19"/>
      <w:szCs w:val="19"/>
      <w:lang w:val="zh-CN"/>
    </w:rPr>
  </w:style>
  <w:style w:type="paragraph" w:customStyle="1" w:styleId="1031">
    <w:name w:val="正文改"/>
    <w:basedOn w:val="9"/>
    <w:qFormat/>
    <w:uiPriority w:val="0"/>
    <w:pPr>
      <w:spacing w:line="480" w:lineRule="auto"/>
      <w:ind w:firstLine="200" w:firstLineChars="200"/>
    </w:pPr>
    <w:rPr>
      <w:rFonts w:ascii="Calibri" w:hAnsi="Calibri"/>
      <w:sz w:val="24"/>
      <w:szCs w:val="24"/>
    </w:rPr>
  </w:style>
  <w:style w:type="paragraph" w:customStyle="1" w:styleId="1032">
    <w:name w:val="_Style 29"/>
    <w:basedOn w:val="1"/>
    <w:next w:val="2"/>
    <w:qFormat/>
    <w:uiPriority w:val="0"/>
    <w:pPr>
      <w:widowControl/>
      <w:spacing w:line="360" w:lineRule="auto"/>
    </w:pPr>
    <w:rPr>
      <w:color w:val="0000FF"/>
      <w:kern w:val="0"/>
      <w:sz w:val="24"/>
      <w:szCs w:val="20"/>
    </w:rPr>
  </w:style>
  <w:style w:type="paragraph" w:customStyle="1" w:styleId="1033">
    <w:name w:val="表格标题 (2)2"/>
    <w:basedOn w:val="1"/>
    <w:qFormat/>
    <w:uiPriority w:val="0"/>
    <w:pPr>
      <w:widowControl/>
      <w:shd w:val="clear" w:color="auto" w:fill="FFFFFF"/>
      <w:spacing w:line="0" w:lineRule="atLeast"/>
      <w:jc w:val="left"/>
    </w:pPr>
    <w:rPr>
      <w:rFonts w:ascii="宋体" w:hAnsi="宋体" w:cs="宋体"/>
      <w:color w:val="000000"/>
      <w:kern w:val="0"/>
      <w:sz w:val="19"/>
      <w:szCs w:val="19"/>
      <w:lang w:val="zh-CN"/>
    </w:rPr>
  </w:style>
  <w:style w:type="paragraph" w:customStyle="1" w:styleId="1034">
    <w:name w:val="Char Char Char1 Char Char Char1 Char Char Char Char"/>
    <w:basedOn w:val="1"/>
    <w:qFormat/>
    <w:uiPriority w:val="0"/>
    <w:rPr>
      <w:sz w:val="24"/>
    </w:rPr>
  </w:style>
  <w:style w:type="paragraph" w:customStyle="1" w:styleId="1035">
    <w:name w:val="正文文本 (9)2"/>
    <w:basedOn w:val="1"/>
    <w:qFormat/>
    <w:uiPriority w:val="0"/>
    <w:pPr>
      <w:widowControl/>
      <w:shd w:val="clear" w:color="auto" w:fill="FFFFFF"/>
      <w:spacing w:line="0" w:lineRule="atLeast"/>
      <w:jc w:val="center"/>
    </w:pPr>
    <w:rPr>
      <w:rFonts w:ascii="Angsana New" w:hAnsi="Angsana New" w:eastAsia="Angsana New" w:cs="Angsana New"/>
      <w:color w:val="000000"/>
      <w:kern w:val="0"/>
      <w:sz w:val="26"/>
      <w:szCs w:val="26"/>
      <w:lang w:val="zh-CN"/>
    </w:rPr>
  </w:style>
  <w:style w:type="paragraph" w:customStyle="1" w:styleId="1036">
    <w:name w:val="ST20_1"/>
    <w:basedOn w:val="1"/>
    <w:qFormat/>
    <w:uiPriority w:val="0"/>
    <w:pPr>
      <w:autoSpaceDE w:val="0"/>
      <w:autoSpaceDN w:val="0"/>
      <w:adjustRightInd w:val="0"/>
      <w:spacing w:after="120"/>
      <w:jc w:val="center"/>
    </w:pPr>
    <w:rPr>
      <w:rFonts w:ascii="宋体" w:hAnsi="Tms Rmn"/>
      <w:kern w:val="0"/>
      <w:sz w:val="24"/>
      <w:szCs w:val="20"/>
      <w:lang w:val="en-GB"/>
    </w:rPr>
  </w:style>
  <w:style w:type="paragraph" w:customStyle="1" w:styleId="1037">
    <w:name w:val="正文文本 (6)7"/>
    <w:basedOn w:val="1"/>
    <w:qFormat/>
    <w:uiPriority w:val="0"/>
    <w:pPr>
      <w:widowControl/>
      <w:shd w:val="clear" w:color="auto" w:fill="FFFFFF"/>
      <w:spacing w:before="240" w:line="0" w:lineRule="atLeast"/>
      <w:ind w:hanging="320"/>
      <w:jc w:val="left"/>
    </w:pPr>
    <w:rPr>
      <w:rFonts w:ascii="宋体" w:hAnsi="宋体" w:cs="宋体"/>
      <w:color w:val="000000"/>
      <w:kern w:val="0"/>
      <w:sz w:val="19"/>
      <w:szCs w:val="19"/>
      <w:lang w:val="zh-CN"/>
    </w:rPr>
  </w:style>
  <w:style w:type="paragraph" w:customStyle="1" w:styleId="1038">
    <w:name w:val="表格标题1"/>
    <w:basedOn w:val="1"/>
    <w:qFormat/>
    <w:uiPriority w:val="0"/>
    <w:pPr>
      <w:widowControl/>
      <w:shd w:val="clear" w:color="auto" w:fill="FFFFFF"/>
      <w:spacing w:line="0" w:lineRule="atLeast"/>
      <w:jc w:val="left"/>
    </w:pPr>
    <w:rPr>
      <w:rFonts w:ascii="宋体" w:hAnsi="宋体" w:cs="宋体"/>
      <w:color w:val="000000"/>
      <w:kern w:val="0"/>
      <w:szCs w:val="21"/>
      <w:lang w:val="zh-CN"/>
    </w:rPr>
  </w:style>
  <w:style w:type="paragraph" w:customStyle="1" w:styleId="1039">
    <w:name w:val="日期1"/>
    <w:basedOn w:val="1"/>
    <w:next w:val="1"/>
    <w:qFormat/>
    <w:uiPriority w:val="0"/>
    <w:pPr>
      <w:adjustRightInd w:val="0"/>
      <w:spacing w:line="360" w:lineRule="atLeast"/>
    </w:pPr>
    <w:rPr>
      <w:rFonts w:ascii="宋体"/>
      <w:kern w:val="0"/>
      <w:sz w:val="28"/>
      <w:szCs w:val="20"/>
    </w:rPr>
  </w:style>
  <w:style w:type="paragraph" w:customStyle="1" w:styleId="1040">
    <w:name w:val="节"/>
    <w:next w:val="1"/>
    <w:qFormat/>
    <w:uiPriority w:val="0"/>
    <w:pPr>
      <w:ind w:firstLine="612"/>
    </w:pPr>
    <w:rPr>
      <w:rFonts w:ascii="Times New Roman" w:hAnsi="Times New Roman" w:eastAsia="黑体" w:cs="Times New Roman"/>
      <w:sz w:val="28"/>
      <w:lang w:val="en-US" w:eastAsia="zh-CN" w:bidi="ar-SA"/>
    </w:rPr>
  </w:style>
  <w:style w:type="paragraph" w:customStyle="1" w:styleId="1041">
    <w:name w:val="点"/>
    <w:basedOn w:val="1"/>
    <w:qFormat/>
    <w:uiPriority w:val="0"/>
    <w:pPr>
      <w:autoSpaceDE w:val="0"/>
      <w:autoSpaceDN w:val="0"/>
      <w:adjustRightInd w:val="0"/>
      <w:spacing w:line="360" w:lineRule="auto"/>
      <w:ind w:firstLine="200" w:firstLineChars="200"/>
    </w:pPr>
    <w:rPr>
      <w:rFonts w:ascii="宋体"/>
      <w:kern w:val="0"/>
      <w:sz w:val="24"/>
      <w:szCs w:val="20"/>
    </w:rPr>
  </w:style>
  <w:style w:type="paragraph" w:customStyle="1" w:styleId="1042">
    <w:name w:val="正文文本 (103)1"/>
    <w:basedOn w:val="1"/>
    <w:qFormat/>
    <w:uiPriority w:val="0"/>
    <w:pPr>
      <w:widowControl/>
      <w:shd w:val="clear" w:color="auto" w:fill="FFFFFF"/>
      <w:spacing w:line="0" w:lineRule="atLeast"/>
      <w:jc w:val="left"/>
    </w:pPr>
    <w:rPr>
      <w:rFonts w:ascii="MingLiU" w:hAnsi="MingLiU" w:eastAsia="MingLiU" w:cs="MingLiU"/>
      <w:color w:val="000000"/>
      <w:w w:val="150"/>
      <w:kern w:val="0"/>
      <w:sz w:val="8"/>
      <w:szCs w:val="8"/>
      <w:lang w:val="zh-CN"/>
    </w:rPr>
  </w:style>
  <w:style w:type="paragraph" w:customStyle="1" w:styleId="1043">
    <w:name w:val="正文文本 (12)2"/>
    <w:basedOn w:val="1"/>
    <w:qFormat/>
    <w:uiPriority w:val="0"/>
    <w:pPr>
      <w:widowControl/>
      <w:shd w:val="clear" w:color="auto" w:fill="FFFFFF"/>
      <w:spacing w:line="0" w:lineRule="atLeast"/>
      <w:jc w:val="left"/>
    </w:pPr>
    <w:rPr>
      <w:rFonts w:ascii="宋体" w:hAnsi="宋体" w:cs="宋体"/>
      <w:color w:val="000000"/>
      <w:w w:val="150"/>
      <w:kern w:val="0"/>
      <w:sz w:val="23"/>
      <w:szCs w:val="23"/>
      <w:lang w:val="zh-CN"/>
    </w:rPr>
  </w:style>
  <w:style w:type="paragraph" w:customStyle="1" w:styleId="1044">
    <w:name w:val="正文文本 (11)1"/>
    <w:basedOn w:val="1"/>
    <w:qFormat/>
    <w:uiPriority w:val="0"/>
    <w:pPr>
      <w:widowControl/>
      <w:shd w:val="clear" w:color="auto" w:fill="FFFFFF"/>
      <w:spacing w:after="120" w:line="0" w:lineRule="atLeast"/>
      <w:jc w:val="left"/>
    </w:pPr>
    <w:rPr>
      <w:rFonts w:ascii="宋体" w:hAnsi="宋体" w:cs="宋体"/>
      <w:color w:val="000000"/>
      <w:kern w:val="0"/>
      <w:sz w:val="8"/>
      <w:szCs w:val="8"/>
      <w:lang w:val="zh-CN"/>
    </w:rPr>
  </w:style>
  <w:style w:type="paragraph" w:customStyle="1" w:styleId="1045">
    <w:name w:val="正文文本 (7)1"/>
    <w:basedOn w:val="1"/>
    <w:qFormat/>
    <w:uiPriority w:val="0"/>
    <w:pPr>
      <w:widowControl/>
      <w:shd w:val="clear" w:color="auto" w:fill="FFFFFF"/>
      <w:spacing w:line="0" w:lineRule="atLeast"/>
      <w:jc w:val="left"/>
    </w:pPr>
    <w:rPr>
      <w:rFonts w:ascii="宋体" w:hAnsi="宋体" w:cs="宋体"/>
      <w:color w:val="000000"/>
      <w:kern w:val="0"/>
      <w:sz w:val="17"/>
      <w:szCs w:val="17"/>
      <w:lang w:val="zh-CN"/>
    </w:rPr>
  </w:style>
  <w:style w:type="paragraph" w:customStyle="1" w:styleId="1046">
    <w:name w:val="可研正文"/>
    <w:next w:val="1"/>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1047">
    <w:name w:val="正文文本 (21)1"/>
    <w:basedOn w:val="1"/>
    <w:qFormat/>
    <w:uiPriority w:val="0"/>
    <w:pPr>
      <w:widowControl/>
      <w:shd w:val="clear" w:color="auto" w:fill="FFFFFF"/>
      <w:spacing w:line="0" w:lineRule="atLeast"/>
      <w:jc w:val="distribute"/>
    </w:pPr>
    <w:rPr>
      <w:rFonts w:ascii="宋体" w:hAnsi="宋体" w:cs="宋体"/>
      <w:color w:val="000000"/>
      <w:kern w:val="0"/>
      <w:sz w:val="19"/>
      <w:szCs w:val="19"/>
      <w:lang w:val="zh-CN"/>
    </w:rPr>
  </w:style>
  <w:style w:type="paragraph" w:customStyle="1" w:styleId="1048">
    <w:name w:val="正文文本 (31)1"/>
    <w:basedOn w:val="1"/>
    <w:qFormat/>
    <w:uiPriority w:val="0"/>
    <w:pPr>
      <w:widowControl/>
      <w:shd w:val="clear" w:color="auto" w:fill="FFFFFF"/>
      <w:spacing w:line="0" w:lineRule="atLeast"/>
      <w:jc w:val="left"/>
    </w:pPr>
    <w:rPr>
      <w:rFonts w:ascii="宋体" w:hAnsi="宋体" w:cs="宋体"/>
      <w:color w:val="000000"/>
      <w:kern w:val="0"/>
      <w:szCs w:val="21"/>
      <w:lang w:val="zh-CN"/>
    </w:rPr>
  </w:style>
  <w:style w:type="paragraph" w:customStyle="1" w:styleId="1049">
    <w:name w:val="正文文本 (4)4"/>
    <w:basedOn w:val="1"/>
    <w:qFormat/>
    <w:uiPriority w:val="0"/>
    <w:pPr>
      <w:widowControl/>
      <w:shd w:val="clear" w:color="auto" w:fill="FFFFFF"/>
      <w:spacing w:line="0" w:lineRule="atLeast"/>
      <w:jc w:val="left"/>
    </w:pPr>
    <w:rPr>
      <w:rFonts w:ascii="宋体" w:hAnsi="宋体" w:cs="宋体"/>
      <w:color w:val="000000"/>
      <w:kern w:val="0"/>
      <w:szCs w:val="21"/>
      <w:lang w:val="zh-CN"/>
    </w:rPr>
  </w:style>
  <w:style w:type="paragraph" w:customStyle="1" w:styleId="1050">
    <w:name w:val="Style 1"/>
    <w:basedOn w:val="1"/>
    <w:qFormat/>
    <w:uiPriority w:val="99"/>
    <w:pPr>
      <w:autoSpaceDE w:val="0"/>
      <w:autoSpaceDN w:val="0"/>
      <w:adjustRightInd w:val="0"/>
      <w:jc w:val="left"/>
    </w:pPr>
    <w:rPr>
      <w:kern w:val="0"/>
      <w:sz w:val="20"/>
      <w:szCs w:val="20"/>
    </w:rPr>
  </w:style>
  <w:style w:type="paragraph" w:customStyle="1" w:styleId="1051">
    <w:name w:val="CM92"/>
    <w:basedOn w:val="181"/>
    <w:next w:val="181"/>
    <w:qFormat/>
    <w:uiPriority w:val="0"/>
    <w:pPr>
      <w:spacing w:after="530"/>
    </w:pPr>
    <w:rPr>
      <w:rFonts w:ascii="宋体" w:hAnsi="Calibri"/>
      <w:color w:val="auto"/>
    </w:rPr>
  </w:style>
  <w:style w:type="paragraph" w:customStyle="1" w:styleId="1052">
    <w:name w:val="TOC 标题11"/>
    <w:basedOn w:val="4"/>
    <w:next w:val="1"/>
    <w:qFormat/>
    <w:uiPriority w:val="0"/>
    <w:pPr>
      <w:spacing w:line="576" w:lineRule="auto"/>
      <w:outlineLvl w:val="9"/>
    </w:pPr>
    <w:rPr>
      <w:rFonts w:ascii="Calibri" w:hAnsi="Calibri" w:eastAsia="黑体" w:cs="Calibri"/>
      <w:lang w:val="zh-CN"/>
    </w:rPr>
  </w:style>
  <w:style w:type="paragraph" w:customStyle="1" w:styleId="1053">
    <w:name w:val="列出段落2"/>
    <w:basedOn w:val="1"/>
    <w:qFormat/>
    <w:uiPriority w:val="99"/>
    <w:pPr>
      <w:ind w:firstLine="420" w:firstLineChars="200"/>
    </w:pPr>
    <w:rPr>
      <w:rFonts w:ascii="Calibri" w:hAnsi="Calibri" w:cs="Calibri"/>
      <w:szCs w:val="21"/>
    </w:rPr>
  </w:style>
  <w:style w:type="paragraph" w:customStyle="1" w:styleId="1054">
    <w:name w:val="_Style 32"/>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055">
    <w:name w:val="无间隔11"/>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1056">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57">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58">
    <w:name w:val="文档结构图1"/>
    <w:basedOn w:val="1"/>
    <w:qFormat/>
    <w:uiPriority w:val="0"/>
    <w:rPr>
      <w:sz w:val="2"/>
    </w:rPr>
  </w:style>
  <w:style w:type="paragraph" w:customStyle="1" w:styleId="1059">
    <w:name w:val="批注主题1"/>
    <w:basedOn w:val="28"/>
    <w:next w:val="28"/>
    <w:qFormat/>
    <w:uiPriority w:val="0"/>
    <w:rPr>
      <w:b/>
      <w:bCs/>
      <w:sz w:val="24"/>
    </w:rPr>
  </w:style>
  <w:style w:type="paragraph" w:customStyle="1" w:styleId="1060">
    <w:name w:val="图表目录1"/>
    <w:basedOn w:val="1"/>
    <w:next w:val="1"/>
    <w:qFormat/>
    <w:uiPriority w:val="0"/>
    <w:pPr>
      <w:ind w:left="200" w:leftChars="200" w:hanging="200" w:hangingChars="200"/>
    </w:pPr>
  </w:style>
  <w:style w:type="paragraph" w:customStyle="1" w:styleId="1061">
    <w:name w:val="msolistparagraph"/>
    <w:basedOn w:val="1"/>
    <w:qFormat/>
    <w:uiPriority w:val="0"/>
    <w:pPr>
      <w:widowControl/>
      <w:spacing w:before="100" w:beforeAutospacing="1" w:after="100" w:afterAutospacing="1"/>
      <w:jc w:val="left"/>
    </w:pPr>
    <w:rPr>
      <w:rFonts w:ascii="宋体" w:hAnsi="宋体" w:cs="宋体"/>
      <w:kern w:val="0"/>
      <w:sz w:val="24"/>
    </w:rPr>
  </w:style>
  <w:style w:type="character" w:customStyle="1" w:styleId="1062">
    <w:name w:val="Body text|1_"/>
    <w:link w:val="1063"/>
    <w:qFormat/>
    <w:locked/>
    <w:uiPriority w:val="0"/>
    <w:rPr>
      <w:rFonts w:ascii="宋体" w:hAnsi="宋体" w:cs="宋体"/>
      <w:lang w:val="zh-TW" w:eastAsia="zh-TW" w:bidi="zh-TW"/>
    </w:rPr>
  </w:style>
  <w:style w:type="paragraph" w:customStyle="1" w:styleId="1063">
    <w:name w:val="Body text|1"/>
    <w:basedOn w:val="1"/>
    <w:link w:val="1062"/>
    <w:qFormat/>
    <w:uiPriority w:val="0"/>
    <w:pPr>
      <w:spacing w:line="420" w:lineRule="auto"/>
      <w:ind w:firstLine="400"/>
    </w:pPr>
    <w:rPr>
      <w:rFonts w:ascii="宋体" w:hAnsi="宋体" w:cs="宋体"/>
      <w:kern w:val="0"/>
      <w:sz w:val="20"/>
      <w:szCs w:val="20"/>
      <w:lang w:val="zh-TW" w:eastAsia="zh-TW" w:bidi="zh-TW"/>
    </w:rPr>
  </w:style>
  <w:style w:type="paragraph" w:customStyle="1" w:styleId="1064">
    <w:name w:val="_Style 3"/>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65">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66">
    <w:name w:val="正文_3"/>
    <w:next w:val="106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67">
    <w:name w:val="题注_1"/>
    <w:basedOn w:val="1066"/>
    <w:next w:val="1066"/>
    <w:qFormat/>
    <w:uiPriority w:val="0"/>
    <w:rPr>
      <w:rFonts w:ascii="Arial" w:hAnsi="Arial" w:eastAsia="黑体" w:cs="Arial"/>
      <w:sz w:val="20"/>
      <w:szCs w:val="20"/>
    </w:rPr>
  </w:style>
  <w:style w:type="paragraph" w:customStyle="1" w:styleId="1068">
    <w:name w:val="Normal_0"/>
    <w:qFormat/>
    <w:uiPriority w:val="0"/>
    <w:rPr>
      <w:rFonts w:ascii="Times New Roman" w:hAnsi="Times New Roman" w:eastAsia="Times New Roman" w:cs="Times New Roman"/>
      <w:sz w:val="24"/>
      <w:szCs w:val="24"/>
      <w:lang w:val="en-US" w:eastAsia="zh-CN" w:bidi="ar-SA"/>
    </w:rPr>
  </w:style>
  <w:style w:type="paragraph" w:customStyle="1" w:styleId="1069">
    <w:name w:val="正文_4"/>
    <w:basedOn w:val="1070"/>
    <w:qFormat/>
    <w:uiPriority w:val="0"/>
    <w:rPr>
      <w:rFonts w:ascii="Times New Roman" w:hAnsi="Times New Roman"/>
      <w:szCs w:val="24"/>
    </w:rPr>
  </w:style>
  <w:style w:type="paragraph" w:customStyle="1" w:styleId="1070">
    <w:name w:val="正文_3_0"/>
    <w:basedOn w:val="1071"/>
    <w:qFormat/>
    <w:uiPriority w:val="0"/>
    <w:rPr>
      <w:rFonts w:ascii="Calibri" w:hAnsi="Calibri"/>
    </w:rPr>
  </w:style>
  <w:style w:type="paragraph" w:customStyle="1" w:styleId="1071">
    <w:name w:val="正文_3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72">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3">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4">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75">
    <w:name w:val="Normal_1"/>
    <w:qFormat/>
    <w:uiPriority w:val="0"/>
    <w:rPr>
      <w:rFonts w:ascii="Times New Roman" w:hAnsi="Times New Roman" w:eastAsia="Times New Roman" w:cs="Times New Roman"/>
      <w:sz w:val="24"/>
      <w:szCs w:val="24"/>
      <w:lang w:val="en-US" w:eastAsia="zh-CN" w:bidi="ar-SA"/>
    </w:rPr>
  </w:style>
  <w:style w:type="character" w:customStyle="1" w:styleId="1076">
    <w:name w:val="Heading #3|1_"/>
    <w:link w:val="1077"/>
    <w:qFormat/>
    <w:locked/>
    <w:uiPriority w:val="0"/>
    <w:rPr>
      <w:rFonts w:ascii="宋体" w:hAnsi="宋体" w:cs="宋体"/>
      <w:kern w:val="2"/>
      <w:sz w:val="26"/>
      <w:szCs w:val="26"/>
      <w:lang w:val="zh-TW" w:eastAsia="zh-TW" w:bidi="zh-TW"/>
    </w:rPr>
  </w:style>
  <w:style w:type="paragraph" w:customStyle="1" w:styleId="1077">
    <w:name w:val="Heading #3|1"/>
    <w:basedOn w:val="1"/>
    <w:link w:val="1076"/>
    <w:qFormat/>
    <w:uiPriority w:val="0"/>
    <w:pPr>
      <w:spacing w:after="220"/>
      <w:outlineLvl w:val="2"/>
    </w:pPr>
    <w:rPr>
      <w:rFonts w:ascii="宋体" w:hAnsi="宋体" w:cs="宋体"/>
      <w:sz w:val="26"/>
      <w:szCs w:val="26"/>
      <w:lang w:val="zh-TW" w:eastAsia="zh-TW" w:bidi="zh-TW"/>
    </w:rPr>
  </w:style>
  <w:style w:type="character" w:customStyle="1" w:styleId="1078">
    <w:name w:val="Table caption|1_"/>
    <w:link w:val="1079"/>
    <w:qFormat/>
    <w:locked/>
    <w:uiPriority w:val="0"/>
    <w:rPr>
      <w:rFonts w:ascii="宋体" w:hAnsi="宋体" w:cs="宋体"/>
      <w:b/>
      <w:kern w:val="2"/>
      <w:sz w:val="22"/>
      <w:szCs w:val="18"/>
      <w:lang w:val="zh-TW" w:eastAsia="zh-TW" w:bidi="zh-TW"/>
    </w:rPr>
  </w:style>
  <w:style w:type="paragraph" w:customStyle="1" w:styleId="1079">
    <w:name w:val="2级"/>
    <w:basedOn w:val="1"/>
    <w:link w:val="1078"/>
    <w:qFormat/>
    <w:uiPriority w:val="0"/>
    <w:pPr>
      <w:spacing w:line="400" w:lineRule="exact"/>
      <w:ind w:left="680" w:hanging="680" w:hangingChars="200"/>
    </w:pPr>
    <w:rPr>
      <w:rFonts w:ascii="宋体" w:hAnsi="宋体" w:cs="宋体"/>
      <w:b/>
      <w:sz w:val="22"/>
      <w:szCs w:val="18"/>
      <w:lang w:val="zh-TW" w:eastAsia="zh-TW" w:bidi="zh-TW"/>
    </w:rPr>
  </w:style>
  <w:style w:type="character" w:customStyle="1" w:styleId="1080">
    <w:name w:val="Other|1_"/>
    <w:link w:val="1081"/>
    <w:qFormat/>
    <w:locked/>
    <w:uiPriority w:val="0"/>
    <w:rPr>
      <w:rFonts w:ascii="宋体" w:hAnsi="宋体" w:cs="宋体"/>
      <w:lang w:val="zh-TW" w:eastAsia="zh-TW" w:bidi="zh-TW"/>
    </w:rPr>
  </w:style>
  <w:style w:type="paragraph" w:customStyle="1" w:styleId="1081">
    <w:name w:val="Other|1"/>
    <w:basedOn w:val="1"/>
    <w:link w:val="1080"/>
    <w:qFormat/>
    <w:uiPriority w:val="0"/>
    <w:pPr>
      <w:spacing w:line="420" w:lineRule="auto"/>
      <w:ind w:firstLine="400"/>
    </w:pPr>
    <w:rPr>
      <w:rFonts w:ascii="宋体" w:hAnsi="宋体" w:cs="宋体"/>
      <w:kern w:val="0"/>
      <w:sz w:val="20"/>
      <w:szCs w:val="20"/>
      <w:lang w:val="zh-TW" w:eastAsia="zh-TW" w:bidi="zh-TW"/>
    </w:rPr>
  </w:style>
  <w:style w:type="character" w:customStyle="1" w:styleId="1082">
    <w:name w:val="Heading #1|1_"/>
    <w:link w:val="1083"/>
    <w:qFormat/>
    <w:locked/>
    <w:uiPriority w:val="0"/>
    <w:rPr>
      <w:rFonts w:ascii="宋体" w:hAnsi="宋体" w:cs="宋体"/>
      <w:sz w:val="72"/>
      <w:szCs w:val="72"/>
      <w:lang w:val="zh-TW" w:eastAsia="zh-TW" w:bidi="zh-TW"/>
    </w:rPr>
  </w:style>
  <w:style w:type="paragraph" w:customStyle="1" w:styleId="1083">
    <w:name w:val="Heading #1|1"/>
    <w:basedOn w:val="1"/>
    <w:link w:val="1082"/>
    <w:qFormat/>
    <w:uiPriority w:val="0"/>
    <w:pPr>
      <w:spacing w:after="180" w:line="1085" w:lineRule="exact"/>
      <w:jc w:val="center"/>
      <w:outlineLvl w:val="0"/>
    </w:pPr>
    <w:rPr>
      <w:rFonts w:ascii="宋体" w:hAnsi="宋体" w:cs="宋体"/>
      <w:kern w:val="0"/>
      <w:sz w:val="72"/>
      <w:szCs w:val="72"/>
      <w:lang w:val="zh-TW" w:eastAsia="zh-TW" w:bidi="zh-TW"/>
    </w:rPr>
  </w:style>
  <w:style w:type="character" w:customStyle="1" w:styleId="1084">
    <w:name w:val="Body text|3_"/>
    <w:link w:val="1085"/>
    <w:qFormat/>
    <w:locked/>
    <w:uiPriority w:val="0"/>
    <w:rPr>
      <w:rFonts w:ascii="宋体" w:hAnsi="宋体" w:cs="宋体"/>
      <w:sz w:val="26"/>
      <w:szCs w:val="26"/>
      <w:lang w:val="zh-TW" w:eastAsia="zh-TW" w:bidi="zh-TW"/>
    </w:rPr>
  </w:style>
  <w:style w:type="paragraph" w:customStyle="1" w:styleId="1085">
    <w:name w:val="Body text|3"/>
    <w:basedOn w:val="1"/>
    <w:link w:val="1084"/>
    <w:qFormat/>
    <w:uiPriority w:val="0"/>
    <w:rPr>
      <w:rFonts w:ascii="宋体" w:hAnsi="宋体" w:cs="宋体"/>
      <w:kern w:val="0"/>
      <w:sz w:val="26"/>
      <w:szCs w:val="26"/>
      <w:lang w:val="zh-TW" w:eastAsia="zh-TW" w:bidi="zh-TW"/>
    </w:rPr>
  </w:style>
  <w:style w:type="character" w:customStyle="1" w:styleId="1086">
    <w:name w:val="Heading #2|1_"/>
    <w:link w:val="1087"/>
    <w:qFormat/>
    <w:locked/>
    <w:uiPriority w:val="0"/>
    <w:rPr>
      <w:rFonts w:ascii="宋体" w:hAnsi="宋体" w:cs="宋体"/>
      <w:sz w:val="40"/>
      <w:szCs w:val="40"/>
      <w:lang w:val="zh-TW" w:eastAsia="zh-TW" w:bidi="zh-TW"/>
    </w:rPr>
  </w:style>
  <w:style w:type="paragraph" w:customStyle="1" w:styleId="1087">
    <w:name w:val="Heading #2|1"/>
    <w:basedOn w:val="1"/>
    <w:link w:val="1086"/>
    <w:qFormat/>
    <w:uiPriority w:val="0"/>
    <w:pPr>
      <w:spacing w:after="560"/>
      <w:outlineLvl w:val="1"/>
    </w:pPr>
    <w:rPr>
      <w:rFonts w:ascii="宋体" w:hAnsi="宋体" w:cs="宋体"/>
      <w:kern w:val="0"/>
      <w:sz w:val="40"/>
      <w:szCs w:val="40"/>
      <w:lang w:val="zh-TW" w:eastAsia="zh-TW" w:bidi="zh-TW"/>
    </w:rPr>
  </w:style>
  <w:style w:type="character" w:customStyle="1" w:styleId="1088">
    <w:name w:val="Table of contents|1_"/>
    <w:link w:val="1089"/>
    <w:qFormat/>
    <w:locked/>
    <w:uiPriority w:val="0"/>
    <w:rPr>
      <w:rFonts w:ascii="宋体" w:hAnsi="宋体" w:cs="宋体"/>
      <w:lang w:val="zh-TW" w:eastAsia="zh-TW" w:bidi="zh-TW"/>
    </w:rPr>
  </w:style>
  <w:style w:type="paragraph" w:customStyle="1" w:styleId="1089">
    <w:name w:val="Table of contents|1"/>
    <w:basedOn w:val="1"/>
    <w:link w:val="1088"/>
    <w:qFormat/>
    <w:uiPriority w:val="0"/>
    <w:pPr>
      <w:spacing w:after="160"/>
      <w:ind w:firstLine="360"/>
    </w:pPr>
    <w:rPr>
      <w:rFonts w:ascii="宋体" w:hAnsi="宋体" w:cs="宋体"/>
      <w:kern w:val="0"/>
      <w:sz w:val="20"/>
      <w:szCs w:val="20"/>
      <w:lang w:val="zh-TW" w:eastAsia="zh-TW" w:bidi="zh-TW"/>
    </w:rPr>
  </w:style>
  <w:style w:type="character" w:customStyle="1" w:styleId="1090">
    <w:name w:val="Header or footer|2_"/>
    <w:link w:val="1091"/>
    <w:qFormat/>
    <w:locked/>
    <w:uiPriority w:val="0"/>
    <w:rPr>
      <w:lang w:val="zh-TW" w:eastAsia="zh-TW" w:bidi="zh-TW"/>
    </w:rPr>
  </w:style>
  <w:style w:type="paragraph" w:customStyle="1" w:styleId="1091">
    <w:name w:val="Header or footer|2"/>
    <w:basedOn w:val="1"/>
    <w:link w:val="1090"/>
    <w:qFormat/>
    <w:uiPriority w:val="0"/>
    <w:rPr>
      <w:kern w:val="0"/>
      <w:sz w:val="20"/>
      <w:szCs w:val="20"/>
      <w:lang w:val="zh-TW" w:eastAsia="zh-TW" w:bidi="zh-TW"/>
    </w:rPr>
  </w:style>
  <w:style w:type="character" w:customStyle="1" w:styleId="1092">
    <w:name w:val="Body text|2_"/>
    <w:link w:val="1093"/>
    <w:qFormat/>
    <w:locked/>
    <w:uiPriority w:val="0"/>
    <w:rPr>
      <w:rFonts w:ascii="宋体" w:hAnsi="宋体" w:cs="宋体"/>
      <w:sz w:val="18"/>
      <w:szCs w:val="18"/>
      <w:lang w:val="zh-TW" w:eastAsia="zh-TW" w:bidi="zh-TW"/>
    </w:rPr>
  </w:style>
  <w:style w:type="paragraph" w:customStyle="1" w:styleId="1093">
    <w:name w:val="Body text|2"/>
    <w:basedOn w:val="1"/>
    <w:link w:val="1092"/>
    <w:qFormat/>
    <w:uiPriority w:val="0"/>
    <w:pPr>
      <w:spacing w:line="320" w:lineRule="exact"/>
    </w:pPr>
    <w:rPr>
      <w:rFonts w:ascii="宋体" w:hAnsi="宋体" w:cs="宋体"/>
      <w:kern w:val="0"/>
      <w:sz w:val="18"/>
      <w:szCs w:val="18"/>
      <w:lang w:val="zh-TW" w:eastAsia="zh-TW" w:bidi="zh-TW"/>
    </w:rPr>
  </w:style>
  <w:style w:type="character" w:customStyle="1" w:styleId="1094">
    <w:name w:val="Heading #4|1_"/>
    <w:link w:val="1095"/>
    <w:qFormat/>
    <w:locked/>
    <w:uiPriority w:val="0"/>
    <w:rPr>
      <w:rFonts w:ascii="宋体" w:hAnsi="宋体" w:cs="宋体"/>
      <w:sz w:val="26"/>
      <w:szCs w:val="26"/>
      <w:lang w:val="zh-TW" w:eastAsia="zh-TW" w:bidi="zh-TW"/>
    </w:rPr>
  </w:style>
  <w:style w:type="paragraph" w:customStyle="1" w:styleId="1095">
    <w:name w:val="Heading #4|1"/>
    <w:basedOn w:val="1"/>
    <w:link w:val="1094"/>
    <w:qFormat/>
    <w:uiPriority w:val="0"/>
    <w:pPr>
      <w:spacing w:after="270"/>
      <w:outlineLvl w:val="3"/>
    </w:pPr>
    <w:rPr>
      <w:rFonts w:ascii="宋体" w:hAnsi="宋体" w:cs="宋体"/>
      <w:kern w:val="0"/>
      <w:sz w:val="26"/>
      <w:szCs w:val="26"/>
      <w:lang w:val="zh-TW" w:eastAsia="zh-TW" w:bidi="zh-TW"/>
    </w:rPr>
  </w:style>
  <w:style w:type="character" w:customStyle="1" w:styleId="1096">
    <w:name w:val="Header or footer|1_"/>
    <w:link w:val="1097"/>
    <w:qFormat/>
    <w:locked/>
    <w:uiPriority w:val="0"/>
    <w:rPr>
      <w:rFonts w:ascii="宋体" w:hAnsi="宋体" w:cs="宋体"/>
      <w:lang w:val="zh-TW" w:eastAsia="zh-TW" w:bidi="zh-TW"/>
    </w:rPr>
  </w:style>
  <w:style w:type="paragraph" w:customStyle="1" w:styleId="1097">
    <w:name w:val="Header or footer|1"/>
    <w:basedOn w:val="1"/>
    <w:link w:val="1096"/>
    <w:qFormat/>
    <w:uiPriority w:val="0"/>
    <w:rPr>
      <w:rFonts w:ascii="宋体" w:hAnsi="宋体" w:cs="宋体"/>
      <w:kern w:val="0"/>
      <w:sz w:val="20"/>
      <w:szCs w:val="20"/>
      <w:lang w:val="zh-TW" w:eastAsia="zh-TW" w:bidi="zh-TW"/>
    </w:rPr>
  </w:style>
  <w:style w:type="character" w:customStyle="1" w:styleId="1098">
    <w:name w:val="Heading #5|1_"/>
    <w:link w:val="1099"/>
    <w:qFormat/>
    <w:locked/>
    <w:uiPriority w:val="0"/>
    <w:rPr>
      <w:rFonts w:ascii="宋体" w:hAnsi="宋体" w:cs="宋体"/>
      <w:sz w:val="22"/>
      <w:szCs w:val="22"/>
      <w:lang w:val="zh-TW" w:eastAsia="zh-TW" w:bidi="zh-TW"/>
    </w:rPr>
  </w:style>
  <w:style w:type="paragraph" w:customStyle="1" w:styleId="1099">
    <w:name w:val="Heading #5|1"/>
    <w:basedOn w:val="1"/>
    <w:link w:val="1098"/>
    <w:qFormat/>
    <w:uiPriority w:val="0"/>
    <w:pPr>
      <w:spacing w:after="240"/>
      <w:outlineLvl w:val="4"/>
    </w:pPr>
    <w:rPr>
      <w:rFonts w:ascii="宋体" w:hAnsi="宋体" w:cs="宋体"/>
      <w:kern w:val="0"/>
      <w:sz w:val="22"/>
      <w:szCs w:val="22"/>
      <w:lang w:val="zh-TW" w:eastAsia="zh-TW" w:bidi="zh-TW"/>
    </w:rPr>
  </w:style>
  <w:style w:type="character" w:customStyle="1" w:styleId="1100">
    <w:name w:val="Body text|4_"/>
    <w:link w:val="1101"/>
    <w:qFormat/>
    <w:locked/>
    <w:uiPriority w:val="0"/>
    <w:rPr>
      <w:rFonts w:ascii="宋体" w:hAnsi="宋体" w:cs="宋体"/>
      <w:sz w:val="32"/>
      <w:szCs w:val="32"/>
      <w:lang w:val="zh-TW" w:eastAsia="zh-TW" w:bidi="zh-TW"/>
    </w:rPr>
  </w:style>
  <w:style w:type="paragraph" w:customStyle="1" w:styleId="1101">
    <w:name w:val="Body text|4"/>
    <w:basedOn w:val="1"/>
    <w:link w:val="1100"/>
    <w:qFormat/>
    <w:uiPriority w:val="0"/>
    <w:pPr>
      <w:spacing w:before="5620"/>
      <w:jc w:val="center"/>
    </w:pPr>
    <w:rPr>
      <w:rFonts w:ascii="宋体" w:hAnsi="宋体" w:cs="宋体"/>
      <w:kern w:val="0"/>
      <w:sz w:val="32"/>
      <w:szCs w:val="32"/>
      <w:lang w:val="zh-TW" w:eastAsia="zh-TW" w:bidi="zh-TW"/>
    </w:rPr>
  </w:style>
  <w:style w:type="character" w:customStyle="1" w:styleId="1102">
    <w:name w:val="Body text|6_"/>
    <w:link w:val="1103"/>
    <w:qFormat/>
    <w:locked/>
    <w:uiPriority w:val="0"/>
    <w:rPr>
      <w:b/>
      <w:bCs/>
      <w:sz w:val="8"/>
      <w:szCs w:val="8"/>
      <w:lang w:val="zh-TW" w:eastAsia="zh-TW" w:bidi="zh-TW"/>
    </w:rPr>
  </w:style>
  <w:style w:type="paragraph" w:customStyle="1" w:styleId="1103">
    <w:name w:val="Body text|6"/>
    <w:basedOn w:val="1"/>
    <w:link w:val="1102"/>
    <w:qFormat/>
    <w:uiPriority w:val="0"/>
    <w:pPr>
      <w:ind w:hanging="820"/>
    </w:pPr>
    <w:rPr>
      <w:b/>
      <w:bCs/>
      <w:kern w:val="0"/>
      <w:sz w:val="8"/>
      <w:szCs w:val="8"/>
      <w:lang w:val="zh-TW" w:eastAsia="zh-TW" w:bidi="zh-TW"/>
    </w:rPr>
  </w:style>
  <w:style w:type="character" w:customStyle="1" w:styleId="1104">
    <w:name w:val="Body text|5_"/>
    <w:link w:val="1105"/>
    <w:qFormat/>
    <w:locked/>
    <w:uiPriority w:val="0"/>
    <w:rPr>
      <w:lang w:val="zh-CN"/>
    </w:rPr>
  </w:style>
  <w:style w:type="paragraph" w:customStyle="1" w:styleId="1105">
    <w:name w:val="Body text|5"/>
    <w:basedOn w:val="1"/>
    <w:link w:val="1104"/>
    <w:qFormat/>
    <w:uiPriority w:val="0"/>
    <w:pPr>
      <w:ind w:hanging="1620"/>
    </w:pPr>
    <w:rPr>
      <w:kern w:val="0"/>
      <w:sz w:val="20"/>
      <w:szCs w:val="20"/>
      <w:lang w:val="zh-CN"/>
    </w:rPr>
  </w:style>
  <w:style w:type="character" w:customStyle="1" w:styleId="1106">
    <w:name w:val="Heading #6|1_"/>
    <w:link w:val="1107"/>
    <w:qFormat/>
    <w:locked/>
    <w:uiPriority w:val="0"/>
    <w:rPr>
      <w:rFonts w:ascii="宋体" w:hAnsi="宋体" w:cs="宋体"/>
      <w:sz w:val="22"/>
      <w:szCs w:val="22"/>
      <w:lang w:val="zh-TW" w:eastAsia="zh-TW" w:bidi="zh-TW"/>
    </w:rPr>
  </w:style>
  <w:style w:type="paragraph" w:customStyle="1" w:styleId="1107">
    <w:name w:val="Heading #6|1"/>
    <w:basedOn w:val="1"/>
    <w:link w:val="1106"/>
    <w:qFormat/>
    <w:uiPriority w:val="0"/>
    <w:pPr>
      <w:spacing w:after="360"/>
      <w:jc w:val="center"/>
      <w:outlineLvl w:val="5"/>
    </w:pPr>
    <w:rPr>
      <w:rFonts w:ascii="宋体" w:hAnsi="宋体" w:cs="宋体"/>
      <w:kern w:val="0"/>
      <w:sz w:val="22"/>
      <w:szCs w:val="22"/>
      <w:lang w:val="zh-TW" w:eastAsia="zh-TW" w:bidi="zh-TW"/>
    </w:rPr>
  </w:style>
  <w:style w:type="character" w:customStyle="1" w:styleId="1108">
    <w:name w:val="3333，小段落 Char"/>
    <w:link w:val="1109"/>
    <w:qFormat/>
    <w:locked/>
    <w:uiPriority w:val="0"/>
    <w:rPr>
      <w:rFonts w:ascii="宋体" w:hAnsi="宋体" w:cs="宋体"/>
      <w:b/>
      <w:kern w:val="2"/>
      <w:sz w:val="24"/>
      <w:szCs w:val="24"/>
    </w:rPr>
  </w:style>
  <w:style w:type="paragraph" w:customStyle="1" w:styleId="1109">
    <w:name w:val="3333，小段落"/>
    <w:basedOn w:val="43"/>
    <w:link w:val="1108"/>
    <w:qFormat/>
    <w:uiPriority w:val="0"/>
    <w:pPr>
      <w:adjustRightInd w:val="0"/>
      <w:snapToGrid w:val="0"/>
      <w:spacing w:line="360" w:lineRule="auto"/>
      <w:ind w:right="-198" w:firstLine="482" w:firstLineChars="200"/>
      <w:outlineLvl w:val="2"/>
    </w:pPr>
    <w:rPr>
      <w:rFonts w:hAnsi="宋体" w:cs="宋体"/>
      <w:b/>
      <w:kern w:val="2"/>
      <w:sz w:val="24"/>
      <w:szCs w:val="24"/>
    </w:rPr>
  </w:style>
  <w:style w:type="character" w:customStyle="1" w:styleId="1110">
    <w:name w:val="4444，小段落 Char"/>
    <w:link w:val="1111"/>
    <w:qFormat/>
    <w:locked/>
    <w:uiPriority w:val="0"/>
    <w:rPr>
      <w:rFonts w:ascii="宋体" w:hAnsi="宋体"/>
      <w:b/>
      <w:kern w:val="2"/>
      <w:sz w:val="24"/>
      <w:szCs w:val="24"/>
    </w:rPr>
  </w:style>
  <w:style w:type="paragraph" w:customStyle="1" w:styleId="1111">
    <w:name w:val="4444，小段落"/>
    <w:basedOn w:val="43"/>
    <w:link w:val="1110"/>
    <w:qFormat/>
    <w:uiPriority w:val="0"/>
    <w:pPr>
      <w:adjustRightInd w:val="0"/>
      <w:snapToGrid w:val="0"/>
      <w:spacing w:line="360" w:lineRule="auto"/>
      <w:ind w:right="-198" w:firstLine="482" w:firstLineChars="200"/>
      <w:jc w:val="left"/>
      <w:outlineLvl w:val="3"/>
    </w:pPr>
    <w:rPr>
      <w:rFonts w:hAnsi="宋体"/>
      <w:b/>
      <w:kern w:val="2"/>
      <w:sz w:val="24"/>
      <w:szCs w:val="24"/>
    </w:rPr>
  </w:style>
  <w:style w:type="paragraph" w:customStyle="1" w:styleId="1112">
    <w:name w:val="纯文本11"/>
    <w:basedOn w:val="1"/>
    <w:qFormat/>
    <w:uiPriority w:val="0"/>
    <w:pPr>
      <w:adjustRightInd w:val="0"/>
      <w:jc w:val="left"/>
    </w:pPr>
    <w:rPr>
      <w:rFonts w:ascii="宋体" w:hAnsi="Courier New"/>
      <w:sz w:val="24"/>
      <w:szCs w:val="20"/>
    </w:rPr>
  </w:style>
  <w:style w:type="paragraph" w:customStyle="1" w:styleId="1113">
    <w:name w:val="普通 (Web)"/>
    <w:basedOn w:val="1"/>
    <w:qFormat/>
    <w:uiPriority w:val="0"/>
    <w:pPr>
      <w:widowControl/>
      <w:spacing w:before="102" w:after="102" w:line="351" w:lineRule="atLeast"/>
      <w:ind w:firstLine="419"/>
      <w:jc w:val="left"/>
    </w:pPr>
    <w:rPr>
      <w:rFonts w:ascii="宋体"/>
      <w:color w:val="999999"/>
      <w:kern w:val="0"/>
      <w:sz w:val="24"/>
      <w:szCs w:val="20"/>
    </w:rPr>
  </w:style>
  <w:style w:type="paragraph" w:customStyle="1" w:styleId="1114">
    <w:name w:val="p19"/>
    <w:basedOn w:val="1"/>
    <w:qFormat/>
    <w:uiPriority w:val="0"/>
    <w:pPr>
      <w:widowControl/>
      <w:ind w:firstLine="540"/>
    </w:pPr>
    <w:rPr>
      <w:kern w:val="0"/>
      <w:sz w:val="28"/>
      <w:szCs w:val="28"/>
    </w:rPr>
  </w:style>
  <w:style w:type="paragraph" w:customStyle="1" w:styleId="1115">
    <w:name w:val="Char11"/>
    <w:basedOn w:val="1"/>
    <w:qFormat/>
    <w:uiPriority w:val="0"/>
    <w:rPr>
      <w:szCs w:val="21"/>
    </w:rPr>
  </w:style>
  <w:style w:type="paragraph" w:customStyle="1" w:styleId="1116">
    <w:name w:val="n_p_lineheight"/>
    <w:basedOn w:val="1"/>
    <w:qFormat/>
    <w:uiPriority w:val="0"/>
    <w:pPr>
      <w:widowControl/>
      <w:jc w:val="left"/>
    </w:pPr>
    <w:rPr>
      <w:rFonts w:ascii="宋体" w:hAnsi="宋体" w:cs="宋体"/>
      <w:kern w:val="0"/>
      <w:sz w:val="24"/>
    </w:rPr>
  </w:style>
  <w:style w:type="paragraph" w:customStyle="1" w:styleId="1117">
    <w:name w:val="TOC æ ‡é¢˜"/>
    <w:basedOn w:val="1"/>
    <w:next w:val="1"/>
    <w:qFormat/>
    <w:uiPriority w:val="0"/>
    <w:pPr>
      <w:keepNext/>
      <w:keepLines/>
      <w:tabs>
        <w:tab w:val="left" w:pos="360"/>
      </w:tabs>
      <w:autoSpaceDE w:val="0"/>
      <w:autoSpaceDN w:val="0"/>
      <w:adjustRightInd w:val="0"/>
      <w:spacing w:before="480" w:line="264" w:lineRule="auto"/>
      <w:jc w:val="left"/>
    </w:pPr>
    <w:rPr>
      <w:rFonts w:ascii="宋体" w:cs="宋体"/>
      <w:b/>
      <w:bCs/>
      <w:kern w:val="0"/>
      <w:sz w:val="28"/>
      <w:szCs w:val="28"/>
      <w:lang w:val="zh-CN"/>
    </w:rPr>
  </w:style>
  <w:style w:type="paragraph" w:customStyle="1" w:styleId="1118">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119">
    <w:name w:val="Definition Term"/>
    <w:basedOn w:val="1"/>
    <w:next w:val="1"/>
    <w:qFormat/>
    <w:uiPriority w:val="0"/>
    <w:pPr>
      <w:autoSpaceDE w:val="0"/>
      <w:autoSpaceDN w:val="0"/>
      <w:adjustRightInd w:val="0"/>
      <w:jc w:val="left"/>
    </w:pPr>
    <w:rPr>
      <w:kern w:val="0"/>
      <w:sz w:val="24"/>
      <w:szCs w:val="20"/>
    </w:rPr>
  </w:style>
  <w:style w:type="paragraph" w:customStyle="1" w:styleId="1120">
    <w:name w:val="条目2"/>
    <w:basedOn w:val="1"/>
    <w:qFormat/>
    <w:uiPriority w:val="0"/>
    <w:pPr>
      <w:tabs>
        <w:tab w:val="left" w:pos="780"/>
      </w:tabs>
      <w:overflowPunct w:val="0"/>
      <w:autoSpaceDE w:val="0"/>
      <w:autoSpaceDN w:val="0"/>
      <w:adjustRightInd w:val="0"/>
      <w:snapToGrid w:val="0"/>
      <w:spacing w:beforeLines="100" w:after="100" w:afterAutospacing="1"/>
      <w:ind w:left="780" w:hanging="360"/>
    </w:pPr>
    <w:rPr>
      <w:rFonts w:ascii="宋体" w:hAnsi="宋体"/>
      <w:kern w:val="0"/>
      <w:sz w:val="24"/>
      <w:szCs w:val="22"/>
      <w:lang w:val="fr-FR"/>
    </w:rPr>
  </w:style>
  <w:style w:type="paragraph" w:customStyle="1" w:styleId="1121">
    <w:name w:val="样式3"/>
    <w:basedOn w:val="1"/>
    <w:qFormat/>
    <w:uiPriority w:val="0"/>
    <w:pPr>
      <w:tabs>
        <w:tab w:val="left" w:pos="720"/>
      </w:tabs>
      <w:adjustRightInd w:val="0"/>
      <w:snapToGrid w:val="0"/>
      <w:spacing w:line="360" w:lineRule="auto"/>
      <w:ind w:firstLine="420"/>
    </w:pPr>
    <w:rPr>
      <w:rFonts w:ascii="楷体_GB2312" w:hAnsi="新宋体" w:eastAsia="楷体_GB2312"/>
      <w:sz w:val="24"/>
      <w:szCs w:val="20"/>
    </w:rPr>
  </w:style>
  <w:style w:type="paragraph" w:customStyle="1" w:styleId="1122">
    <w:name w:val="正文 + 小四"/>
    <w:basedOn w:val="1"/>
    <w:qFormat/>
    <w:uiPriority w:val="0"/>
    <w:pPr>
      <w:tabs>
        <w:tab w:val="left" w:pos="960"/>
      </w:tabs>
    </w:pPr>
    <w:rPr>
      <w:sz w:val="24"/>
    </w:rPr>
  </w:style>
  <w:style w:type="paragraph" w:customStyle="1" w:styleId="1123">
    <w:name w:val="Char1 Char Char Char Char Char Char"/>
    <w:basedOn w:val="26"/>
    <w:next w:val="6"/>
    <w:qFormat/>
    <w:uiPriority w:val="0"/>
    <w:pPr>
      <w:shd w:val="clear" w:color="auto" w:fill="000080"/>
      <w:adjustRightInd w:val="0"/>
      <w:spacing w:line="600" w:lineRule="exact"/>
      <w:jc w:val="center"/>
      <w:outlineLvl w:val="2"/>
    </w:pPr>
    <w:rPr>
      <w:rFonts w:ascii="Times New Roman"/>
      <w:sz w:val="21"/>
      <w:szCs w:val="20"/>
    </w:rPr>
  </w:style>
  <w:style w:type="paragraph" w:customStyle="1" w:styleId="1124">
    <w:name w:val="imclear"/>
    <w:basedOn w:val="1"/>
    <w:qFormat/>
    <w:uiPriority w:val="0"/>
    <w:pPr>
      <w:widowControl/>
      <w:spacing w:before="100" w:beforeAutospacing="1" w:after="100" w:afterAutospacing="1" w:line="0" w:lineRule="atLeast"/>
      <w:jc w:val="left"/>
    </w:pPr>
    <w:rPr>
      <w:rFonts w:ascii="宋体" w:hAnsi="宋体" w:cs="宋体"/>
      <w:kern w:val="0"/>
      <w:sz w:val="2"/>
      <w:szCs w:val="2"/>
    </w:rPr>
  </w:style>
  <w:style w:type="paragraph" w:customStyle="1" w:styleId="1125">
    <w:name w:val="Char Char Char Char Char Char Char Char Char Char Char Char Char Char Char Char Char Char Char Char Char Char Char Char Char Char Char Char Char Char Char"/>
    <w:basedOn w:val="1"/>
    <w:qFormat/>
    <w:uiPriority w:val="0"/>
    <w:rPr>
      <w:szCs w:val="21"/>
    </w:rPr>
  </w:style>
  <w:style w:type="paragraph" w:customStyle="1" w:styleId="1126">
    <w:name w:val="Char Char Char Char1"/>
    <w:basedOn w:val="1"/>
    <w:qFormat/>
    <w:uiPriority w:val="0"/>
  </w:style>
  <w:style w:type="paragraph" w:customStyle="1" w:styleId="1127">
    <w:name w:val="Char Char Char1"/>
    <w:basedOn w:val="1"/>
    <w:qFormat/>
    <w:uiPriority w:val="0"/>
  </w:style>
  <w:style w:type="paragraph" w:customStyle="1" w:styleId="1128">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customStyle="1" w:styleId="1129">
    <w:name w:val="条款节部分"/>
    <w:basedOn w:val="1"/>
    <w:qFormat/>
    <w:uiPriority w:val="0"/>
    <w:pPr>
      <w:tabs>
        <w:tab w:val="left" w:pos="2850"/>
      </w:tabs>
    </w:pPr>
    <w:rPr>
      <w:rFonts w:eastAsia="仿宋_GB2312"/>
      <w:sz w:val="32"/>
      <w:szCs w:val="32"/>
    </w:rPr>
  </w:style>
  <w:style w:type="paragraph" w:customStyle="1" w:styleId="1130">
    <w:name w:val="无间隔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131">
    <w:name w:val="_Style 132"/>
    <w:qFormat/>
    <w:uiPriority w:val="0"/>
    <w:rPr>
      <w:rFonts w:ascii="Times New Roman" w:hAnsi="Times New Roman" w:eastAsia="宋体" w:cs="Times New Roman"/>
      <w:kern w:val="2"/>
      <w:sz w:val="21"/>
      <w:szCs w:val="24"/>
      <w:lang w:val="en-US" w:eastAsia="zh-CN" w:bidi="ar-SA"/>
    </w:rPr>
  </w:style>
  <w:style w:type="paragraph" w:customStyle="1" w:styleId="1132">
    <w:name w:val="_Style 138"/>
    <w:basedOn w:val="4"/>
    <w:next w:val="1"/>
    <w:qFormat/>
    <w:uiPriority w:val="0"/>
    <w:pPr>
      <w:spacing w:line="576" w:lineRule="auto"/>
      <w:jc w:val="center"/>
      <w:outlineLvl w:val="9"/>
    </w:pPr>
    <w:rPr>
      <w:rFonts w:ascii="Calibri" w:hAnsi="Calibri" w:eastAsia="黑体"/>
    </w:rPr>
  </w:style>
  <w:style w:type="paragraph" w:customStyle="1" w:styleId="1133">
    <w:name w:val="_Style 23"/>
    <w:basedOn w:val="1"/>
    <w:qFormat/>
    <w:uiPriority w:val="0"/>
    <w:pPr>
      <w:widowControl/>
      <w:spacing w:after="160" w:line="240" w:lineRule="exact"/>
      <w:jc w:val="left"/>
    </w:pPr>
    <w:rPr>
      <w:rFonts w:ascii="Calibri" w:hAnsi="Calibri"/>
      <w:szCs w:val="22"/>
    </w:rPr>
  </w:style>
  <w:style w:type="paragraph" w:customStyle="1" w:styleId="1134">
    <w:name w:val="标题 3_0"/>
    <w:basedOn w:val="1056"/>
    <w:next w:val="1056"/>
    <w:qFormat/>
    <w:uiPriority w:val="0"/>
    <w:pPr>
      <w:keepNext/>
      <w:keepLines/>
      <w:spacing w:before="260" w:after="260" w:line="408" w:lineRule="auto"/>
      <w:ind w:firstLine="49" w:firstLineChars="49"/>
      <w:outlineLvl w:val="2"/>
    </w:pPr>
    <w:rPr>
      <w:rFonts w:ascii="黑体" w:eastAsia="黑体"/>
      <w:sz w:val="28"/>
      <w:szCs w:val="20"/>
    </w:rPr>
  </w:style>
  <w:style w:type="character" w:customStyle="1" w:styleId="1135">
    <w:name w:val="标题 2 Char_0"/>
    <w:link w:val="1136"/>
    <w:qFormat/>
    <w:locked/>
    <w:uiPriority w:val="0"/>
    <w:rPr>
      <w:rFonts w:ascii="Arial" w:hAnsi="Arial" w:eastAsia="黑体" w:cs="Arial"/>
      <w:b/>
      <w:kern w:val="2"/>
      <w:sz w:val="32"/>
    </w:rPr>
  </w:style>
  <w:style w:type="paragraph" w:customStyle="1" w:styleId="1136">
    <w:name w:val="标题 2_1"/>
    <w:basedOn w:val="443"/>
    <w:next w:val="443"/>
    <w:link w:val="1135"/>
    <w:qFormat/>
    <w:uiPriority w:val="0"/>
    <w:pPr>
      <w:keepNext/>
      <w:keepLines/>
      <w:spacing w:before="260" w:after="260" w:line="408" w:lineRule="auto"/>
      <w:outlineLvl w:val="1"/>
    </w:pPr>
    <w:rPr>
      <w:rFonts w:ascii="Arial" w:hAnsi="Arial" w:eastAsia="黑体" w:cs="Arial"/>
      <w:b/>
      <w:sz w:val="32"/>
      <w:szCs w:val="20"/>
    </w:rPr>
  </w:style>
  <w:style w:type="paragraph" w:customStyle="1" w:styleId="1137">
    <w:name w:val="正文文本缩进 3_0"/>
    <w:basedOn w:val="443"/>
    <w:qFormat/>
    <w:uiPriority w:val="0"/>
    <w:pPr>
      <w:spacing w:after="120"/>
      <w:ind w:left="200" w:leftChars="200"/>
    </w:pPr>
    <w:rPr>
      <w:rFonts w:ascii="Calibri" w:hAnsi="Calibri"/>
      <w:sz w:val="16"/>
      <w:szCs w:val="16"/>
    </w:rPr>
  </w:style>
  <w:style w:type="paragraph" w:customStyle="1" w:styleId="1138">
    <w:name w:val="Normal_0_0"/>
    <w:qFormat/>
    <w:uiPriority w:val="0"/>
    <w:rPr>
      <w:rFonts w:ascii="Times New Roman" w:hAnsi="Times New Roman" w:eastAsia="Times New Roman" w:cs="Times New Roman"/>
      <w:sz w:val="24"/>
      <w:szCs w:val="24"/>
      <w:lang w:val="en-US" w:eastAsia="zh-CN" w:bidi="ar-SA"/>
    </w:rPr>
  </w:style>
  <w:style w:type="paragraph" w:customStyle="1" w:styleId="1139">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40">
    <w:name w:val="Normal_2"/>
    <w:qFormat/>
    <w:uiPriority w:val="0"/>
    <w:rPr>
      <w:rFonts w:ascii="Times New Roman" w:hAnsi="Times New Roman" w:eastAsia="Times New Roman" w:cs="Times New Roman"/>
      <w:sz w:val="24"/>
      <w:szCs w:val="24"/>
      <w:lang w:val="en-US" w:eastAsia="zh-CN" w:bidi="ar-SA"/>
    </w:rPr>
  </w:style>
  <w:style w:type="paragraph" w:customStyle="1" w:styleId="1141">
    <w:name w:val="Normal_3"/>
    <w:qFormat/>
    <w:uiPriority w:val="0"/>
    <w:rPr>
      <w:rFonts w:ascii="Times New Roman" w:hAnsi="Times New Roman" w:eastAsia="Times New Roman" w:cs="Times New Roman"/>
      <w:sz w:val="24"/>
      <w:szCs w:val="24"/>
      <w:lang w:val="en-US" w:eastAsia="zh-CN" w:bidi="ar-SA"/>
    </w:rPr>
  </w:style>
  <w:style w:type="paragraph" w:customStyle="1" w:styleId="1142">
    <w:name w:val="正文_2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43">
    <w:name w:val="标题 2_2_0"/>
    <w:basedOn w:val="1142"/>
    <w:next w:val="1142"/>
    <w:qFormat/>
    <w:uiPriority w:val="0"/>
    <w:pPr>
      <w:keepNext/>
      <w:keepLines/>
      <w:spacing w:before="260" w:after="260" w:line="408" w:lineRule="auto"/>
      <w:outlineLvl w:val="1"/>
    </w:pPr>
    <w:rPr>
      <w:rFonts w:ascii="Arial" w:hAnsi="Arial" w:eastAsia="黑体"/>
      <w:b/>
      <w:sz w:val="32"/>
      <w:szCs w:val="20"/>
    </w:rPr>
  </w:style>
  <w:style w:type="paragraph" w:customStyle="1" w:styleId="1144">
    <w:name w:val="Normal_4"/>
    <w:qFormat/>
    <w:uiPriority w:val="0"/>
    <w:rPr>
      <w:rFonts w:ascii="Times New Roman" w:hAnsi="Times New Roman" w:eastAsia="Times New Roman" w:cs="Times New Roman"/>
      <w:sz w:val="24"/>
      <w:szCs w:val="24"/>
      <w:lang w:val="en-US" w:eastAsia="zh-CN" w:bidi="ar-SA"/>
    </w:rPr>
  </w:style>
  <w:style w:type="paragraph" w:customStyle="1" w:styleId="1145">
    <w:name w:val="Normal_5"/>
    <w:qFormat/>
    <w:uiPriority w:val="0"/>
    <w:rPr>
      <w:rFonts w:ascii="Times New Roman" w:hAnsi="Times New Roman" w:eastAsia="Times New Roman" w:cs="Times New Roman"/>
      <w:sz w:val="24"/>
      <w:szCs w:val="24"/>
      <w:lang w:val="en-US" w:eastAsia="zh-CN" w:bidi="ar-SA"/>
    </w:rPr>
  </w:style>
  <w:style w:type="paragraph" w:customStyle="1" w:styleId="1146">
    <w:name w:val="Normal_6"/>
    <w:qFormat/>
    <w:uiPriority w:val="0"/>
    <w:rPr>
      <w:rFonts w:ascii="Times New Roman" w:hAnsi="Times New Roman" w:eastAsia="Times New Roman" w:cs="Times New Roman"/>
      <w:sz w:val="24"/>
      <w:szCs w:val="24"/>
      <w:lang w:val="en-US" w:eastAsia="zh-CN" w:bidi="ar-SA"/>
    </w:rPr>
  </w:style>
  <w:style w:type="paragraph" w:customStyle="1" w:styleId="1147">
    <w:name w:val="Normal_7"/>
    <w:qFormat/>
    <w:uiPriority w:val="0"/>
    <w:rPr>
      <w:rFonts w:ascii="Times New Roman" w:hAnsi="Times New Roman" w:eastAsia="Times New Roman" w:cs="Times New Roman"/>
      <w:sz w:val="24"/>
      <w:szCs w:val="24"/>
      <w:lang w:val="en-US" w:eastAsia="zh-CN" w:bidi="ar-SA"/>
    </w:rPr>
  </w:style>
  <w:style w:type="paragraph" w:customStyle="1" w:styleId="1148">
    <w:name w:val="Normal_8"/>
    <w:qFormat/>
    <w:uiPriority w:val="0"/>
    <w:rPr>
      <w:rFonts w:ascii="Times New Roman" w:hAnsi="Times New Roman" w:eastAsia="Times New Roman" w:cs="Times New Roman"/>
      <w:sz w:val="24"/>
      <w:szCs w:val="24"/>
      <w:lang w:val="en-US" w:eastAsia="zh-CN" w:bidi="ar-SA"/>
    </w:rPr>
  </w:style>
  <w:style w:type="paragraph" w:customStyle="1" w:styleId="1149">
    <w:name w:val="Normal_9"/>
    <w:qFormat/>
    <w:uiPriority w:val="0"/>
    <w:rPr>
      <w:rFonts w:ascii="Times New Roman" w:hAnsi="Times New Roman" w:eastAsia="Times New Roman" w:cs="Times New Roman"/>
      <w:sz w:val="24"/>
      <w:szCs w:val="24"/>
      <w:lang w:val="en-US" w:eastAsia="zh-CN" w:bidi="ar-SA"/>
    </w:rPr>
  </w:style>
  <w:style w:type="paragraph" w:customStyle="1" w:styleId="1150">
    <w:name w:val="Normal_10"/>
    <w:qFormat/>
    <w:uiPriority w:val="0"/>
    <w:rPr>
      <w:rFonts w:ascii="Times New Roman" w:hAnsi="Times New Roman" w:eastAsia="Times New Roman" w:cs="Times New Roman"/>
      <w:sz w:val="24"/>
      <w:szCs w:val="24"/>
      <w:lang w:val="en-US" w:eastAsia="zh-CN" w:bidi="ar-SA"/>
    </w:rPr>
  </w:style>
  <w:style w:type="paragraph" w:customStyle="1" w:styleId="1151">
    <w:name w:val="正文_8"/>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52">
    <w:name w:val="Normal_11"/>
    <w:qFormat/>
    <w:uiPriority w:val="0"/>
    <w:rPr>
      <w:rFonts w:ascii="Times New Roman" w:hAnsi="Times New Roman" w:eastAsia="Times New Roman" w:cs="Times New Roman"/>
      <w:sz w:val="24"/>
      <w:szCs w:val="24"/>
      <w:lang w:val="en-US" w:eastAsia="zh-CN" w:bidi="ar-SA"/>
    </w:rPr>
  </w:style>
  <w:style w:type="paragraph" w:customStyle="1" w:styleId="1153">
    <w:name w:val="正文_9"/>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54">
    <w:name w:val="Normal_12"/>
    <w:qFormat/>
    <w:uiPriority w:val="0"/>
    <w:rPr>
      <w:rFonts w:ascii="Times New Roman" w:hAnsi="Times New Roman" w:eastAsia="Times New Roman" w:cs="Times New Roman"/>
      <w:sz w:val="24"/>
      <w:szCs w:val="24"/>
      <w:lang w:val="en-US" w:eastAsia="zh-CN" w:bidi="ar-SA"/>
    </w:rPr>
  </w:style>
  <w:style w:type="paragraph" w:customStyle="1" w:styleId="1155">
    <w:name w:val="正文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56">
    <w:name w:val="Normal_13"/>
    <w:qFormat/>
    <w:uiPriority w:val="0"/>
    <w:rPr>
      <w:rFonts w:ascii="Times New Roman" w:hAnsi="Times New Roman" w:eastAsia="Times New Roman" w:cs="Times New Roman"/>
      <w:sz w:val="24"/>
      <w:szCs w:val="24"/>
      <w:lang w:val="en-US" w:eastAsia="zh-CN" w:bidi="ar-SA"/>
    </w:rPr>
  </w:style>
  <w:style w:type="paragraph" w:customStyle="1" w:styleId="1157">
    <w:name w:val="正文_1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58">
    <w:name w:val="Normal_14"/>
    <w:qFormat/>
    <w:uiPriority w:val="0"/>
    <w:rPr>
      <w:rFonts w:ascii="Times New Roman" w:hAnsi="Times New Roman" w:eastAsia="Times New Roman" w:cs="Times New Roman"/>
      <w:sz w:val="24"/>
      <w:szCs w:val="24"/>
      <w:lang w:val="en-US" w:eastAsia="zh-CN" w:bidi="ar-SA"/>
    </w:rPr>
  </w:style>
  <w:style w:type="paragraph" w:customStyle="1" w:styleId="1159">
    <w:name w:val="正文_1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60">
    <w:name w:val="Normal_15"/>
    <w:qFormat/>
    <w:uiPriority w:val="0"/>
    <w:rPr>
      <w:rFonts w:ascii="Times New Roman" w:hAnsi="Times New Roman" w:eastAsia="Times New Roman" w:cs="Times New Roman"/>
      <w:sz w:val="24"/>
      <w:szCs w:val="24"/>
      <w:lang w:val="en-US" w:eastAsia="zh-CN" w:bidi="ar-SA"/>
    </w:rPr>
  </w:style>
  <w:style w:type="paragraph" w:customStyle="1" w:styleId="1161">
    <w:name w:val="正文_1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62">
    <w:name w:val="Normal_16"/>
    <w:qFormat/>
    <w:uiPriority w:val="0"/>
    <w:rPr>
      <w:rFonts w:ascii="Times New Roman" w:hAnsi="Times New Roman" w:eastAsia="Times New Roman" w:cs="Times New Roman"/>
      <w:sz w:val="24"/>
      <w:szCs w:val="24"/>
      <w:lang w:val="en-US" w:eastAsia="zh-CN" w:bidi="ar-SA"/>
    </w:rPr>
  </w:style>
  <w:style w:type="paragraph" w:customStyle="1" w:styleId="1163">
    <w:name w:val="Normal_0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64">
    <w:name w:val="标题 22"/>
    <w:basedOn w:val="1068"/>
    <w:next w:val="1068"/>
    <w:qFormat/>
    <w:uiPriority w:val="1"/>
    <w:pPr>
      <w:widowControl w:val="0"/>
      <w:outlineLvl w:val="1"/>
    </w:pPr>
    <w:rPr>
      <w:rFonts w:ascii="Microsoft JhengHei" w:hAnsi="Microsoft JhengHei" w:eastAsia="Microsoft JhengHei"/>
      <w:sz w:val="32"/>
      <w:szCs w:val="32"/>
      <w:lang w:eastAsia="en-US"/>
    </w:rPr>
  </w:style>
  <w:style w:type="paragraph" w:customStyle="1" w:styleId="1165">
    <w:name w:val="标题 31"/>
    <w:basedOn w:val="1068"/>
    <w:next w:val="1068"/>
    <w:qFormat/>
    <w:uiPriority w:val="1"/>
    <w:pPr>
      <w:widowControl w:val="0"/>
      <w:ind w:left="237"/>
      <w:outlineLvl w:val="2"/>
    </w:pPr>
    <w:rPr>
      <w:rFonts w:ascii="Microsoft JhengHei" w:hAnsi="Microsoft JhengHei" w:eastAsia="Microsoft JhengHei"/>
      <w:sz w:val="28"/>
      <w:szCs w:val="28"/>
      <w:lang w:eastAsia="en-US"/>
    </w:rPr>
  </w:style>
  <w:style w:type="character" w:customStyle="1" w:styleId="1166">
    <w:name w:val="标题 2 Char_1"/>
    <w:link w:val="1167"/>
    <w:qFormat/>
    <w:locked/>
    <w:uiPriority w:val="0"/>
    <w:rPr>
      <w:kern w:val="2"/>
      <w:sz w:val="21"/>
      <w:szCs w:val="22"/>
    </w:rPr>
  </w:style>
  <w:style w:type="paragraph" w:customStyle="1" w:styleId="1167">
    <w:name w:val="标题 2_2"/>
    <w:basedOn w:val="1"/>
    <w:link w:val="1166"/>
    <w:qFormat/>
    <w:uiPriority w:val="0"/>
    <w:rPr>
      <w:szCs w:val="22"/>
    </w:rPr>
  </w:style>
  <w:style w:type="character" w:customStyle="1" w:styleId="1168">
    <w:name w:val="标题 2 Char_0_0"/>
    <w:link w:val="1169"/>
    <w:qFormat/>
    <w:locked/>
    <w:uiPriority w:val="0"/>
    <w:rPr>
      <w:kern w:val="2"/>
      <w:sz w:val="21"/>
      <w:szCs w:val="22"/>
    </w:rPr>
  </w:style>
  <w:style w:type="paragraph" w:customStyle="1" w:styleId="1169">
    <w:name w:val="标题 2_0_0"/>
    <w:basedOn w:val="1"/>
    <w:link w:val="1168"/>
    <w:qFormat/>
    <w:uiPriority w:val="0"/>
    <w:rPr>
      <w:szCs w:val="22"/>
    </w:rPr>
  </w:style>
  <w:style w:type="character" w:customStyle="1" w:styleId="1170">
    <w:name w:val="标题 2 Char_1_0"/>
    <w:link w:val="1171"/>
    <w:qFormat/>
    <w:locked/>
    <w:uiPriority w:val="0"/>
    <w:rPr>
      <w:kern w:val="2"/>
      <w:sz w:val="21"/>
      <w:szCs w:val="22"/>
    </w:rPr>
  </w:style>
  <w:style w:type="paragraph" w:customStyle="1" w:styleId="1171">
    <w:name w:val="标题 2_1_0"/>
    <w:basedOn w:val="1"/>
    <w:link w:val="1170"/>
    <w:qFormat/>
    <w:uiPriority w:val="0"/>
    <w:rPr>
      <w:szCs w:val="22"/>
    </w:rPr>
  </w:style>
  <w:style w:type="character" w:customStyle="1" w:styleId="1172">
    <w:name w:val="标题 2 Char_2"/>
    <w:link w:val="1173"/>
    <w:qFormat/>
    <w:locked/>
    <w:uiPriority w:val="0"/>
    <w:rPr>
      <w:kern w:val="2"/>
      <w:sz w:val="21"/>
      <w:szCs w:val="22"/>
    </w:rPr>
  </w:style>
  <w:style w:type="paragraph" w:customStyle="1" w:styleId="1173">
    <w:name w:val="标题 2_3"/>
    <w:basedOn w:val="1"/>
    <w:link w:val="1172"/>
    <w:qFormat/>
    <w:uiPriority w:val="0"/>
    <w:rPr>
      <w:szCs w:val="22"/>
    </w:rPr>
  </w:style>
  <w:style w:type="character" w:customStyle="1" w:styleId="1174">
    <w:name w:val="标题 2 Char_3"/>
    <w:link w:val="1175"/>
    <w:qFormat/>
    <w:locked/>
    <w:uiPriority w:val="0"/>
    <w:rPr>
      <w:kern w:val="2"/>
      <w:sz w:val="21"/>
      <w:szCs w:val="22"/>
    </w:rPr>
  </w:style>
  <w:style w:type="paragraph" w:customStyle="1" w:styleId="1175">
    <w:name w:val="标题 2_4"/>
    <w:basedOn w:val="1"/>
    <w:link w:val="1174"/>
    <w:qFormat/>
    <w:uiPriority w:val="0"/>
    <w:rPr>
      <w:szCs w:val="22"/>
    </w:rPr>
  </w:style>
  <w:style w:type="character" w:customStyle="1" w:styleId="1176">
    <w:name w:val="标题 2 Char_4"/>
    <w:link w:val="1177"/>
    <w:qFormat/>
    <w:locked/>
    <w:uiPriority w:val="0"/>
    <w:rPr>
      <w:kern w:val="2"/>
      <w:sz w:val="21"/>
      <w:szCs w:val="22"/>
    </w:rPr>
  </w:style>
  <w:style w:type="paragraph" w:customStyle="1" w:styleId="1177">
    <w:name w:val="标题 2_5"/>
    <w:basedOn w:val="1"/>
    <w:link w:val="1176"/>
    <w:qFormat/>
    <w:uiPriority w:val="0"/>
    <w:rPr>
      <w:szCs w:val="22"/>
    </w:rPr>
  </w:style>
  <w:style w:type="character" w:customStyle="1" w:styleId="1178">
    <w:name w:val="标题 3 Char_0"/>
    <w:link w:val="1179"/>
    <w:qFormat/>
    <w:locked/>
    <w:uiPriority w:val="0"/>
    <w:rPr>
      <w:kern w:val="2"/>
      <w:sz w:val="21"/>
      <w:szCs w:val="22"/>
    </w:rPr>
  </w:style>
  <w:style w:type="paragraph" w:customStyle="1" w:styleId="1179">
    <w:name w:val="标题 3_1"/>
    <w:basedOn w:val="1065"/>
    <w:next w:val="1065"/>
    <w:link w:val="1178"/>
    <w:qFormat/>
    <w:uiPriority w:val="0"/>
  </w:style>
  <w:style w:type="character" w:customStyle="1" w:styleId="1180">
    <w:name w:val="标题 2 Char_5"/>
    <w:link w:val="1181"/>
    <w:qFormat/>
    <w:locked/>
    <w:uiPriority w:val="0"/>
    <w:rPr>
      <w:kern w:val="2"/>
      <w:sz w:val="21"/>
      <w:szCs w:val="22"/>
    </w:rPr>
  </w:style>
  <w:style w:type="paragraph" w:customStyle="1" w:styleId="1181">
    <w:name w:val="标题 2_6"/>
    <w:basedOn w:val="1"/>
    <w:link w:val="1180"/>
    <w:qFormat/>
    <w:uiPriority w:val="0"/>
    <w:rPr>
      <w:szCs w:val="22"/>
    </w:rPr>
  </w:style>
  <w:style w:type="paragraph" w:customStyle="1" w:styleId="1182">
    <w:name w:val="标题 2_0"/>
    <w:basedOn w:val="1056"/>
    <w:next w:val="1056"/>
    <w:qFormat/>
    <w:uiPriority w:val="0"/>
    <w:pPr>
      <w:keepNext/>
      <w:keepLines/>
      <w:spacing w:before="260" w:after="260" w:line="408" w:lineRule="auto"/>
      <w:outlineLvl w:val="1"/>
    </w:pPr>
    <w:rPr>
      <w:rFonts w:ascii="Arial" w:hAnsi="Arial" w:eastAsia="黑体"/>
      <w:b/>
      <w:sz w:val="32"/>
      <w:szCs w:val="20"/>
    </w:rPr>
  </w:style>
  <w:style w:type="paragraph" w:customStyle="1" w:styleId="1183">
    <w:name w:val="目录 11"/>
    <w:basedOn w:val="1"/>
    <w:next w:val="57"/>
    <w:qFormat/>
    <w:uiPriority w:val="39"/>
    <w:pPr>
      <w:autoSpaceDE w:val="0"/>
      <w:autoSpaceDN w:val="0"/>
      <w:spacing w:before="183"/>
      <w:ind w:left="424"/>
      <w:jc w:val="left"/>
    </w:pPr>
    <w:rPr>
      <w:rFonts w:ascii="黑体" w:hAnsi="黑体" w:cs="黑体"/>
      <w:kern w:val="0"/>
      <w:sz w:val="20"/>
      <w:szCs w:val="20"/>
      <w:lang w:val="zh-CN" w:bidi="zh-CN"/>
    </w:rPr>
  </w:style>
  <w:style w:type="paragraph" w:customStyle="1" w:styleId="1184">
    <w:name w:val="表格方字"/>
    <w:basedOn w:val="1"/>
    <w:qFormat/>
    <w:uiPriority w:val="0"/>
    <w:pPr>
      <w:adjustRightInd w:val="0"/>
      <w:spacing w:before="60" w:after="60" w:line="420" w:lineRule="atLeast"/>
      <w:jc w:val="left"/>
    </w:pPr>
    <w:rPr>
      <w:kern w:val="0"/>
      <w:szCs w:val="20"/>
    </w:rPr>
  </w:style>
  <w:style w:type="paragraph" w:customStyle="1" w:styleId="1185">
    <w:name w:val="表格1"/>
    <w:basedOn w:val="1"/>
    <w:qFormat/>
    <w:uiPriority w:val="0"/>
    <w:pPr>
      <w:adjustRightInd w:val="0"/>
      <w:spacing w:line="420" w:lineRule="atLeast"/>
      <w:ind w:left="284"/>
    </w:pPr>
    <w:rPr>
      <w:kern w:val="0"/>
      <w:szCs w:val="20"/>
    </w:rPr>
  </w:style>
  <w:style w:type="paragraph" w:customStyle="1" w:styleId="1186">
    <w:name w:val="表格3"/>
    <w:basedOn w:val="1"/>
    <w:qFormat/>
    <w:uiPriority w:val="0"/>
    <w:pPr>
      <w:adjustRightInd w:val="0"/>
      <w:spacing w:line="420" w:lineRule="atLeast"/>
    </w:pPr>
    <w:rPr>
      <w:rFonts w:eastAsia="楷体"/>
      <w:kern w:val="0"/>
      <w:szCs w:val="20"/>
    </w:rPr>
  </w:style>
  <w:style w:type="paragraph" w:customStyle="1" w:styleId="1187">
    <w:name w:val="表格2"/>
    <w:basedOn w:val="1"/>
    <w:qFormat/>
    <w:uiPriority w:val="0"/>
    <w:pPr>
      <w:adjustRightInd w:val="0"/>
      <w:spacing w:line="420" w:lineRule="atLeast"/>
      <w:ind w:left="284" w:firstLine="454"/>
    </w:pPr>
    <w:rPr>
      <w:kern w:val="0"/>
      <w:szCs w:val="20"/>
    </w:rPr>
  </w:style>
  <w:style w:type="paragraph" w:customStyle="1" w:styleId="1188">
    <w:name w:val="表格4"/>
    <w:basedOn w:val="1"/>
    <w:qFormat/>
    <w:uiPriority w:val="0"/>
    <w:pPr>
      <w:adjustRightInd w:val="0"/>
      <w:spacing w:line="420" w:lineRule="atLeast"/>
      <w:ind w:left="1021"/>
    </w:pPr>
    <w:rPr>
      <w:kern w:val="0"/>
      <w:szCs w:val="20"/>
    </w:rPr>
  </w:style>
  <w:style w:type="paragraph" w:customStyle="1" w:styleId="1189">
    <w:name w:val="af15hichaf0dbchf15cgrid"/>
    <w:qFormat/>
    <w:uiPriority w:val="0"/>
    <w:pPr>
      <w:widowControl w:val="0"/>
      <w:tabs>
        <w:tab w:val="center" w:pos="4320"/>
        <w:tab w:val="right" w:pos="8640"/>
      </w:tabs>
      <w:adjustRightInd w:val="0"/>
      <w:spacing w:line="315" w:lineRule="atLeast"/>
      <w:jc w:val="both"/>
    </w:pPr>
    <w:rPr>
      <w:rFonts w:ascii="宋体" w:hAnsi="Times New Roman" w:eastAsia="宋体" w:cs="Times New Roman"/>
      <w:sz w:val="21"/>
      <w:lang w:val="en-US" w:eastAsia="zh-CN" w:bidi="ar-SA"/>
    </w:rPr>
  </w:style>
  <w:style w:type="paragraph" w:customStyle="1" w:styleId="1190">
    <w:name w:val="Char Char Char Char Char Char"/>
    <w:basedOn w:val="1"/>
    <w:qFormat/>
    <w:uiPriority w:val="0"/>
  </w:style>
  <w:style w:type="paragraph" w:customStyle="1" w:styleId="1191">
    <w:name w:val="Char Char Char Char Char Char Char Char Char Char Char Char Char Char Char Char Char Char1 Char Char Char Char"/>
    <w:basedOn w:val="1"/>
    <w:qFormat/>
    <w:uiPriority w:val="0"/>
  </w:style>
  <w:style w:type="character" w:customStyle="1" w:styleId="1192">
    <w:name w:val="H001 Char"/>
    <w:link w:val="1193"/>
    <w:qFormat/>
    <w:locked/>
    <w:uiPriority w:val="0"/>
    <w:rPr>
      <w:rFonts w:ascii="黑体" w:hAnsi="黑体" w:eastAsia="黑体"/>
      <w:bCs/>
      <w:kern w:val="44"/>
      <w:sz w:val="24"/>
      <w:szCs w:val="44"/>
    </w:rPr>
  </w:style>
  <w:style w:type="paragraph" w:customStyle="1" w:styleId="1193">
    <w:name w:val="H001"/>
    <w:basedOn w:val="4"/>
    <w:link w:val="1192"/>
    <w:qFormat/>
    <w:uiPriority w:val="0"/>
    <w:pPr>
      <w:spacing w:before="240" w:after="240" w:line="240" w:lineRule="exact"/>
    </w:pPr>
    <w:rPr>
      <w:rFonts w:ascii="黑体" w:hAnsi="黑体" w:eastAsia="黑体"/>
      <w:b w:val="0"/>
      <w:sz w:val="24"/>
    </w:rPr>
  </w:style>
  <w:style w:type="character" w:customStyle="1" w:styleId="1194">
    <w:name w:val="附件正文ffff Char"/>
    <w:link w:val="1195"/>
    <w:qFormat/>
    <w:locked/>
    <w:uiPriority w:val="0"/>
    <w:rPr>
      <w:rFonts w:ascii="方正宋三简体" w:eastAsia="方正宋三简体"/>
      <w:spacing w:val="4"/>
    </w:rPr>
  </w:style>
  <w:style w:type="paragraph" w:customStyle="1" w:styleId="1195">
    <w:name w:val="附件正文ffff"/>
    <w:basedOn w:val="1"/>
    <w:link w:val="1194"/>
    <w:qFormat/>
    <w:uiPriority w:val="0"/>
    <w:pPr>
      <w:spacing w:line="340" w:lineRule="exact"/>
      <w:ind w:firstLine="436" w:firstLineChars="200"/>
    </w:pPr>
    <w:rPr>
      <w:rFonts w:ascii="方正宋三简体" w:eastAsia="方正宋三简体"/>
      <w:spacing w:val="4"/>
      <w:kern w:val="0"/>
      <w:sz w:val="20"/>
      <w:szCs w:val="20"/>
    </w:rPr>
  </w:style>
  <w:style w:type="paragraph" w:customStyle="1" w:styleId="1196">
    <w:name w:val="_Style 275"/>
    <w:basedOn w:val="4"/>
    <w:next w:val="1"/>
    <w:qFormat/>
    <w:uiPriority w:val="0"/>
    <w:pPr>
      <w:spacing w:line="576" w:lineRule="auto"/>
      <w:outlineLvl w:val="9"/>
    </w:pPr>
    <w:rPr>
      <w:rFonts w:ascii="Calibri" w:hAnsi="Calibri"/>
    </w:rPr>
  </w:style>
  <w:style w:type="paragraph" w:customStyle="1" w:styleId="1197">
    <w:name w:val="_Style 165"/>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1198">
    <w:name w:val="_Style 185"/>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199">
    <w:name w:val="No Spacing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00">
    <w:name w:val="_Style 383"/>
    <w:qFormat/>
    <w:uiPriority w:val="0"/>
    <w:rPr>
      <w:rFonts w:ascii="Times New Roman" w:hAnsi="Times New Roman" w:eastAsia="宋体" w:cs="Times New Roman"/>
      <w:kern w:val="2"/>
      <w:sz w:val="21"/>
      <w:szCs w:val="24"/>
      <w:lang w:val="en-US" w:eastAsia="zh-CN" w:bidi="ar-SA"/>
    </w:rPr>
  </w:style>
  <w:style w:type="character" w:customStyle="1" w:styleId="1201">
    <w:name w:val="tpc_content1"/>
    <w:qFormat/>
    <w:uiPriority w:val="0"/>
    <w:rPr>
      <w:sz w:val="20"/>
      <w:szCs w:val="20"/>
    </w:rPr>
  </w:style>
  <w:style w:type="character" w:customStyle="1" w:styleId="1202">
    <w:name w:val="正文文本 (6) + 10.5 pt"/>
    <w:qFormat/>
    <w:uiPriority w:val="0"/>
    <w:rPr>
      <w:rFonts w:hint="eastAsia" w:ascii="宋体" w:hAnsi="宋体" w:eastAsia="宋体" w:cs="宋体"/>
      <w:sz w:val="21"/>
      <w:szCs w:val="21"/>
      <w:u w:val="none"/>
    </w:rPr>
  </w:style>
  <w:style w:type="character" w:customStyle="1" w:styleId="1203">
    <w:name w:val="正文文本 (21) + 斜体"/>
    <w:qFormat/>
    <w:uiPriority w:val="0"/>
    <w:rPr>
      <w:rFonts w:hint="eastAsia" w:ascii="宋体" w:hAnsi="宋体" w:eastAsia="宋体" w:cs="宋体"/>
      <w:i/>
      <w:iCs/>
      <w:sz w:val="19"/>
      <w:szCs w:val="19"/>
      <w:u w:val="none"/>
    </w:rPr>
  </w:style>
  <w:style w:type="character" w:customStyle="1" w:styleId="1204">
    <w:name w:val="正文文本 (9) + 宋体"/>
    <w:qFormat/>
    <w:uiPriority w:val="0"/>
    <w:rPr>
      <w:rFonts w:hint="eastAsia" w:ascii="宋体" w:hAnsi="宋体" w:eastAsia="宋体" w:cs="宋体"/>
      <w:spacing w:val="0"/>
      <w:sz w:val="19"/>
      <w:szCs w:val="19"/>
      <w:u w:val="none"/>
    </w:rPr>
  </w:style>
  <w:style w:type="character" w:customStyle="1" w:styleId="1205">
    <w:name w:val="正文文本 (28) + 11.5 pt"/>
    <w:qFormat/>
    <w:uiPriority w:val="0"/>
    <w:rPr>
      <w:rFonts w:hint="eastAsia" w:ascii="宋体" w:hAnsi="宋体" w:eastAsia="宋体" w:cs="宋体"/>
      <w:w w:val="150"/>
      <w:sz w:val="23"/>
      <w:szCs w:val="23"/>
      <w:u w:val="none"/>
    </w:rPr>
  </w:style>
  <w:style w:type="character" w:customStyle="1" w:styleId="1206">
    <w:name w:val="正文文本 (12)3"/>
    <w:qFormat/>
    <w:uiPriority w:val="0"/>
    <w:rPr>
      <w:rFonts w:hint="eastAsia" w:ascii="宋体" w:hAnsi="宋体" w:eastAsia="宋体" w:cs="宋体"/>
      <w:w w:val="150"/>
      <w:sz w:val="23"/>
      <w:szCs w:val="23"/>
      <w:u w:val="single"/>
    </w:rPr>
  </w:style>
  <w:style w:type="character" w:customStyle="1" w:styleId="1207">
    <w:name w:val="正文文本 (6) + Angsana New12"/>
    <w:qFormat/>
    <w:uiPriority w:val="0"/>
    <w:rPr>
      <w:rFonts w:hint="cs" w:ascii="Angsana New" w:hAnsi="Angsana New" w:eastAsia="Angsana New" w:cs="Angsana New"/>
      <w:spacing w:val="0"/>
      <w:sz w:val="26"/>
      <w:szCs w:val="26"/>
      <w:cs/>
    </w:rPr>
  </w:style>
  <w:style w:type="character" w:customStyle="1" w:styleId="1208">
    <w:name w:val="正文文本 (6) + Angsana New2"/>
    <w:qFormat/>
    <w:uiPriority w:val="0"/>
    <w:rPr>
      <w:rFonts w:hint="cs" w:ascii="Angsana New" w:hAnsi="Angsana New" w:eastAsia="Angsana New" w:cs="Angsana New"/>
      <w:spacing w:val="0"/>
      <w:sz w:val="26"/>
      <w:szCs w:val="26"/>
      <w:cs/>
    </w:rPr>
  </w:style>
  <w:style w:type="character" w:customStyle="1" w:styleId="1209">
    <w:name w:val="正文文本 (19)11"/>
    <w:qFormat/>
    <w:uiPriority w:val="0"/>
    <w:rPr>
      <w:rFonts w:hint="eastAsia" w:ascii="宋体" w:hAnsi="宋体" w:eastAsia="宋体" w:cs="宋体"/>
      <w:sz w:val="19"/>
      <w:szCs w:val="19"/>
      <w:u w:val="none"/>
    </w:rPr>
  </w:style>
  <w:style w:type="character" w:customStyle="1" w:styleId="1210">
    <w:name w:val="正文文本 (6) + Batang"/>
    <w:qFormat/>
    <w:uiPriority w:val="0"/>
    <w:rPr>
      <w:rFonts w:hint="eastAsia" w:ascii="Batang" w:hAnsi="Batang" w:eastAsia="Batang" w:cs="Batang"/>
      <w:spacing w:val="0"/>
      <w:sz w:val="18"/>
      <w:szCs w:val="18"/>
      <w:u w:val="none"/>
    </w:rPr>
  </w:style>
  <w:style w:type="character" w:customStyle="1" w:styleId="1211">
    <w:name w:val="正文文本 + Angsana New3"/>
    <w:qFormat/>
    <w:uiPriority w:val="0"/>
    <w:rPr>
      <w:rFonts w:hint="cs" w:ascii="Angsana New" w:hAnsi="Angsana New" w:eastAsia="Angsana New" w:cs="Angsana New"/>
      <w:spacing w:val="0"/>
      <w:sz w:val="26"/>
      <w:szCs w:val="26"/>
      <w:cs/>
    </w:rPr>
  </w:style>
  <w:style w:type="character" w:customStyle="1" w:styleId="1212">
    <w:name w:val="正文文本 (9) + 间距 -1 pt41"/>
    <w:qFormat/>
    <w:uiPriority w:val="0"/>
    <w:rPr>
      <w:rFonts w:hint="cs" w:ascii="Angsana New" w:hAnsi="Angsana New" w:eastAsia="Angsana New" w:cs="Angsana New"/>
      <w:spacing w:val="-20"/>
      <w:sz w:val="26"/>
      <w:szCs w:val="26"/>
      <w:u w:val="none"/>
      <w:cs/>
    </w:rPr>
  </w:style>
  <w:style w:type="character" w:customStyle="1" w:styleId="1213">
    <w:name w:val="正文文本 (12) + 6.5 pt"/>
    <w:qFormat/>
    <w:uiPriority w:val="0"/>
    <w:rPr>
      <w:rFonts w:hint="eastAsia" w:ascii="宋体" w:hAnsi="宋体" w:eastAsia="宋体" w:cs="宋体"/>
      <w:w w:val="150"/>
      <w:sz w:val="13"/>
      <w:szCs w:val="13"/>
      <w:u w:val="none"/>
    </w:rPr>
  </w:style>
  <w:style w:type="character" w:customStyle="1" w:styleId="1214">
    <w:name w:val="正文文本 (7)2"/>
    <w:qFormat/>
    <w:uiPriority w:val="0"/>
    <w:rPr>
      <w:rFonts w:hint="eastAsia" w:ascii="宋体" w:hAnsi="宋体" w:eastAsia="宋体" w:cs="宋体"/>
      <w:w w:val="100"/>
      <w:sz w:val="17"/>
      <w:szCs w:val="17"/>
      <w:u w:val="single"/>
    </w:rPr>
  </w:style>
  <w:style w:type="character" w:customStyle="1" w:styleId="1215">
    <w:name w:val="正文文本 + Batang7"/>
    <w:qFormat/>
    <w:uiPriority w:val="0"/>
    <w:rPr>
      <w:rFonts w:hint="eastAsia" w:ascii="Batang" w:hAnsi="Batang" w:eastAsia="Batang" w:cs="Batang"/>
      <w:spacing w:val="-10"/>
      <w:sz w:val="25"/>
      <w:szCs w:val="25"/>
    </w:rPr>
  </w:style>
  <w:style w:type="character" w:customStyle="1" w:styleId="1216">
    <w:name w:val="正文文本 (12)1"/>
    <w:qFormat/>
    <w:uiPriority w:val="0"/>
    <w:rPr>
      <w:rFonts w:hint="eastAsia" w:ascii="宋体" w:hAnsi="宋体" w:eastAsia="宋体" w:cs="宋体"/>
      <w:w w:val="150"/>
      <w:sz w:val="23"/>
      <w:szCs w:val="23"/>
      <w:u w:val="single"/>
    </w:rPr>
  </w:style>
  <w:style w:type="character" w:customStyle="1" w:styleId="1217">
    <w:name w:val="正文文本 (91) + 宋体"/>
    <w:qFormat/>
    <w:uiPriority w:val="0"/>
    <w:rPr>
      <w:rFonts w:hint="eastAsia" w:ascii="宋体" w:hAnsi="宋体" w:eastAsia="宋体" w:cs="宋体"/>
      <w:sz w:val="30"/>
      <w:szCs w:val="30"/>
      <w:u w:val="none"/>
    </w:rPr>
  </w:style>
  <w:style w:type="character" w:customStyle="1" w:styleId="1218">
    <w:name w:val="正文文本 + Batang10"/>
    <w:qFormat/>
    <w:uiPriority w:val="0"/>
    <w:rPr>
      <w:rFonts w:hint="eastAsia" w:ascii="Batang" w:hAnsi="Batang" w:eastAsia="Batang" w:cs="Batang"/>
      <w:i/>
      <w:iCs/>
      <w:spacing w:val="-100"/>
      <w:sz w:val="95"/>
      <w:szCs w:val="95"/>
    </w:rPr>
  </w:style>
  <w:style w:type="character" w:customStyle="1" w:styleId="1219">
    <w:name w:val="正文文本 + 9.5 pt11"/>
    <w:qFormat/>
    <w:uiPriority w:val="0"/>
    <w:rPr>
      <w:rFonts w:hint="eastAsia" w:ascii="宋体" w:hAnsi="宋体" w:eastAsia="宋体" w:cs="宋体"/>
      <w:sz w:val="19"/>
      <w:szCs w:val="19"/>
      <w:u w:val="none"/>
    </w:rPr>
  </w:style>
  <w:style w:type="character" w:customStyle="1" w:styleId="1220">
    <w:name w:val="注释标题 Char1"/>
    <w:qFormat/>
    <w:uiPriority w:val="0"/>
  </w:style>
  <w:style w:type="character" w:customStyle="1" w:styleId="1221">
    <w:name w:val="正文文本 (31) + Courier New1"/>
    <w:qFormat/>
    <w:uiPriority w:val="0"/>
    <w:rPr>
      <w:rFonts w:hint="default" w:ascii="Courier New" w:hAnsi="Courier New" w:eastAsia="Courier New" w:cs="Courier New"/>
      <w:b/>
      <w:bCs/>
      <w:spacing w:val="-20"/>
      <w:sz w:val="19"/>
      <w:szCs w:val="19"/>
      <w:u w:val="single"/>
    </w:rPr>
  </w:style>
  <w:style w:type="character" w:customStyle="1" w:styleId="1222">
    <w:name w:val="正文文本 (19)2"/>
    <w:qFormat/>
    <w:uiPriority w:val="0"/>
    <w:rPr>
      <w:rFonts w:hint="eastAsia" w:ascii="宋体" w:hAnsi="宋体" w:eastAsia="宋体" w:cs="宋体"/>
      <w:sz w:val="19"/>
      <w:szCs w:val="19"/>
    </w:rPr>
  </w:style>
  <w:style w:type="character" w:customStyle="1" w:styleId="1223">
    <w:name w:val="正文文本 + Batang2"/>
    <w:qFormat/>
    <w:uiPriority w:val="0"/>
    <w:rPr>
      <w:rFonts w:hint="eastAsia" w:ascii="Batang" w:hAnsi="Batang" w:eastAsia="Batang" w:cs="Batang"/>
      <w:spacing w:val="-10"/>
      <w:sz w:val="25"/>
      <w:szCs w:val="25"/>
    </w:rPr>
  </w:style>
  <w:style w:type="character" w:customStyle="1" w:styleId="1224">
    <w:name w:val="正文文本 (91) + 宋体1"/>
    <w:qFormat/>
    <w:uiPriority w:val="0"/>
    <w:rPr>
      <w:rFonts w:hint="eastAsia" w:ascii="宋体" w:hAnsi="宋体" w:eastAsia="宋体" w:cs="宋体"/>
      <w:sz w:val="30"/>
      <w:szCs w:val="30"/>
    </w:rPr>
  </w:style>
  <w:style w:type="character" w:customStyle="1" w:styleId="1225">
    <w:name w:val="正文文本 (104) + MingLiU"/>
    <w:qFormat/>
    <w:uiPriority w:val="0"/>
    <w:rPr>
      <w:rFonts w:hint="eastAsia" w:ascii="MingLiU" w:hAnsi="MingLiU" w:eastAsia="MingLiU" w:cs="MingLiU"/>
      <w:sz w:val="8"/>
      <w:szCs w:val="8"/>
      <w:u w:val="none"/>
    </w:rPr>
  </w:style>
  <w:style w:type="character" w:customStyle="1" w:styleId="1226">
    <w:name w:val="正文文本 (19) + 斜体"/>
    <w:qFormat/>
    <w:uiPriority w:val="0"/>
    <w:rPr>
      <w:rFonts w:hint="eastAsia" w:ascii="宋体" w:hAnsi="宋体" w:eastAsia="宋体" w:cs="宋体"/>
      <w:i/>
      <w:iCs/>
      <w:sz w:val="19"/>
      <w:szCs w:val="19"/>
      <w:u w:val="none"/>
    </w:rPr>
  </w:style>
  <w:style w:type="character" w:customStyle="1" w:styleId="1227">
    <w:name w:val="正文文本4"/>
    <w:qFormat/>
    <w:uiPriority w:val="0"/>
    <w:rPr>
      <w:rFonts w:hint="eastAsia" w:ascii="宋体" w:hAnsi="宋体" w:eastAsia="宋体" w:cs="宋体"/>
      <w:sz w:val="21"/>
      <w:szCs w:val="21"/>
      <w:u w:val="none"/>
    </w:rPr>
  </w:style>
  <w:style w:type="character" w:customStyle="1" w:styleId="1228">
    <w:name w:val="正文文本 (104) + 宋体"/>
    <w:qFormat/>
    <w:uiPriority w:val="0"/>
    <w:rPr>
      <w:rFonts w:hint="eastAsia" w:ascii="宋体" w:hAnsi="宋体" w:eastAsia="宋体" w:cs="宋体"/>
      <w:w w:val="10"/>
      <w:sz w:val="8"/>
      <w:szCs w:val="8"/>
      <w:u w:val="none"/>
    </w:rPr>
  </w:style>
  <w:style w:type="character" w:customStyle="1" w:styleId="1229">
    <w:name w:val="正文文本 (6)8"/>
    <w:qFormat/>
    <w:uiPriority w:val="0"/>
    <w:rPr>
      <w:rFonts w:hint="eastAsia" w:ascii="宋体" w:hAnsi="宋体" w:eastAsia="宋体" w:cs="宋体"/>
      <w:sz w:val="19"/>
      <w:szCs w:val="19"/>
      <w:u w:val="single"/>
    </w:rPr>
  </w:style>
  <w:style w:type="character" w:customStyle="1" w:styleId="1230">
    <w:name w:val="正文文本 (9) + 间距 -1 pt3"/>
    <w:qFormat/>
    <w:uiPriority w:val="0"/>
    <w:rPr>
      <w:rFonts w:hint="cs" w:ascii="Angsana New" w:hAnsi="Angsana New" w:eastAsia="Angsana New" w:cs="Angsana New"/>
      <w:spacing w:val="-20"/>
      <w:sz w:val="26"/>
      <w:szCs w:val="26"/>
      <w:cs/>
    </w:rPr>
  </w:style>
  <w:style w:type="character" w:customStyle="1" w:styleId="1231">
    <w:name w:val="正文文本 + Angsana New9"/>
    <w:qFormat/>
    <w:uiPriority w:val="0"/>
    <w:rPr>
      <w:rFonts w:hint="cs" w:ascii="Angsana New" w:hAnsi="Angsana New" w:eastAsia="Angsana New" w:cs="Angsana New"/>
      <w:spacing w:val="0"/>
      <w:sz w:val="31"/>
      <w:szCs w:val="31"/>
      <w:cs/>
    </w:rPr>
  </w:style>
  <w:style w:type="character" w:customStyle="1" w:styleId="1232">
    <w:name w:val="表格标题 (2)3"/>
    <w:qFormat/>
    <w:uiPriority w:val="0"/>
    <w:rPr>
      <w:rFonts w:hint="eastAsia" w:ascii="宋体" w:hAnsi="宋体" w:eastAsia="宋体" w:cs="宋体"/>
      <w:sz w:val="19"/>
      <w:szCs w:val="19"/>
      <w:u w:val="single"/>
    </w:rPr>
  </w:style>
  <w:style w:type="character" w:customStyle="1" w:styleId="1233">
    <w:name w:val="正文文本 + Calibri2"/>
    <w:qFormat/>
    <w:uiPriority w:val="0"/>
    <w:rPr>
      <w:rFonts w:hint="default" w:ascii="Calibri" w:hAnsi="Calibri" w:eastAsia="Calibri" w:cs="Calibri"/>
      <w:i/>
      <w:iCs/>
      <w:spacing w:val="20"/>
      <w:w w:val="75"/>
      <w:sz w:val="24"/>
      <w:szCs w:val="24"/>
    </w:rPr>
  </w:style>
  <w:style w:type="character" w:customStyle="1" w:styleId="1234">
    <w:name w:val="正文文本 + 9.5 pt5"/>
    <w:qFormat/>
    <w:uiPriority w:val="0"/>
    <w:rPr>
      <w:rFonts w:hint="eastAsia" w:ascii="宋体" w:hAnsi="宋体" w:eastAsia="宋体" w:cs="宋体"/>
      <w:w w:val="150"/>
      <w:sz w:val="19"/>
      <w:szCs w:val="19"/>
    </w:rPr>
  </w:style>
  <w:style w:type="character" w:customStyle="1" w:styleId="1235">
    <w:name w:val="正文文本 (9)11"/>
    <w:qFormat/>
    <w:uiPriority w:val="0"/>
    <w:rPr>
      <w:rFonts w:hint="cs" w:ascii="Angsana New" w:hAnsi="Angsana New" w:eastAsia="Angsana New" w:cs="Angsana New"/>
      <w:spacing w:val="0"/>
      <w:sz w:val="26"/>
      <w:szCs w:val="26"/>
      <w:u w:val="none"/>
      <w:cs/>
    </w:rPr>
  </w:style>
  <w:style w:type="character" w:customStyle="1" w:styleId="1236">
    <w:name w:val="正文文本 + Batang9"/>
    <w:qFormat/>
    <w:uiPriority w:val="0"/>
    <w:rPr>
      <w:rFonts w:hint="eastAsia" w:ascii="Batang" w:hAnsi="Batang" w:eastAsia="Batang" w:cs="Batang"/>
      <w:spacing w:val="0"/>
      <w:sz w:val="18"/>
      <w:szCs w:val="18"/>
    </w:rPr>
  </w:style>
  <w:style w:type="character" w:customStyle="1" w:styleId="1237">
    <w:name w:val="正文文本 (17) + Franklin Gothic Book"/>
    <w:qFormat/>
    <w:uiPriority w:val="0"/>
    <w:rPr>
      <w:rFonts w:hint="default" w:ascii="Franklin Gothic Book" w:hAnsi="Franklin Gothic Book" w:eastAsia="Franklin Gothic Book" w:cs="Franklin Gothic Book"/>
      <w:w w:val="300"/>
      <w:sz w:val="27"/>
      <w:szCs w:val="27"/>
      <w:u w:val="none"/>
    </w:rPr>
  </w:style>
  <w:style w:type="character" w:customStyle="1" w:styleId="1238">
    <w:name w:val="正文文本 + Angsana New13"/>
    <w:qFormat/>
    <w:uiPriority w:val="0"/>
    <w:rPr>
      <w:rFonts w:hint="cs" w:ascii="Angsana New" w:hAnsi="Angsana New" w:eastAsia="Angsana New" w:cs="Angsana New"/>
      <w:spacing w:val="30"/>
      <w:sz w:val="31"/>
      <w:szCs w:val="31"/>
      <w:cs/>
    </w:rPr>
  </w:style>
  <w:style w:type="character" w:customStyle="1" w:styleId="1239">
    <w:name w:val="正文文本 (4)21"/>
    <w:qFormat/>
    <w:uiPriority w:val="0"/>
    <w:rPr>
      <w:rFonts w:hint="eastAsia" w:ascii="宋体" w:hAnsi="宋体" w:eastAsia="宋体" w:cs="宋体"/>
      <w:sz w:val="21"/>
      <w:szCs w:val="21"/>
      <w:u w:val="none"/>
    </w:rPr>
  </w:style>
  <w:style w:type="character" w:customStyle="1" w:styleId="1240">
    <w:name w:val="正文文本 (9) + 间距 -1 pt21"/>
    <w:qFormat/>
    <w:uiPriority w:val="0"/>
    <w:rPr>
      <w:rFonts w:hint="cs" w:ascii="Angsana New" w:hAnsi="Angsana New" w:eastAsia="Angsana New" w:cs="Angsana New"/>
      <w:spacing w:val="-30"/>
      <w:sz w:val="26"/>
      <w:szCs w:val="26"/>
      <w:u w:val="none"/>
      <w:cs/>
    </w:rPr>
  </w:style>
  <w:style w:type="character" w:customStyle="1" w:styleId="1241">
    <w:name w:val="页眉或页脚 + 宋体2"/>
    <w:qFormat/>
    <w:uiPriority w:val="0"/>
    <w:rPr>
      <w:rFonts w:hint="eastAsia" w:ascii="宋体" w:hAnsi="宋体" w:eastAsia="宋体" w:cs="宋体"/>
      <w:sz w:val="21"/>
      <w:szCs w:val="21"/>
      <w:u w:val="single"/>
    </w:rPr>
  </w:style>
  <w:style w:type="character" w:customStyle="1" w:styleId="1242">
    <w:name w:val="正文文本 + 11 pt2"/>
    <w:qFormat/>
    <w:uiPriority w:val="0"/>
    <w:rPr>
      <w:rFonts w:hint="eastAsia" w:ascii="宋体" w:hAnsi="宋体" w:eastAsia="宋体" w:cs="宋体"/>
      <w:spacing w:val="0"/>
      <w:sz w:val="22"/>
      <w:szCs w:val="22"/>
    </w:rPr>
  </w:style>
  <w:style w:type="character" w:customStyle="1" w:styleId="1243">
    <w:name w:val="正文文本 (33) + 缩放 100%"/>
    <w:qFormat/>
    <w:uiPriority w:val="0"/>
    <w:rPr>
      <w:rFonts w:hint="eastAsia" w:ascii="宋体" w:hAnsi="宋体" w:eastAsia="宋体" w:cs="宋体"/>
      <w:w w:val="100"/>
      <w:sz w:val="8"/>
      <w:szCs w:val="8"/>
      <w:u w:val="none"/>
    </w:rPr>
  </w:style>
  <w:style w:type="character" w:customStyle="1" w:styleId="1244">
    <w:name w:val="正文文本 + Batang"/>
    <w:qFormat/>
    <w:uiPriority w:val="0"/>
    <w:rPr>
      <w:rFonts w:hint="eastAsia" w:ascii="Batang" w:hAnsi="Batang" w:eastAsia="Batang" w:cs="Batang"/>
      <w:spacing w:val="-10"/>
      <w:sz w:val="25"/>
      <w:szCs w:val="25"/>
      <w:u w:val="none"/>
    </w:rPr>
  </w:style>
  <w:style w:type="character" w:customStyle="1" w:styleId="1245">
    <w:name w:val="正文文本 (12) + Angsana New1"/>
    <w:qFormat/>
    <w:uiPriority w:val="0"/>
    <w:rPr>
      <w:rFonts w:hint="cs" w:ascii="Angsana New" w:hAnsi="Angsana New" w:eastAsia="Angsana New" w:cs="Angsana New"/>
      <w:w w:val="350"/>
      <w:sz w:val="8"/>
      <w:szCs w:val="8"/>
      <w:cs/>
    </w:rPr>
  </w:style>
  <w:style w:type="character" w:customStyle="1" w:styleId="1246">
    <w:name w:val="正文文本 (21) + 斜体11"/>
    <w:qFormat/>
    <w:uiPriority w:val="0"/>
    <w:rPr>
      <w:rFonts w:hint="eastAsia" w:ascii="宋体" w:hAnsi="宋体" w:eastAsia="宋体" w:cs="宋体"/>
      <w:i/>
      <w:iCs/>
      <w:sz w:val="19"/>
      <w:szCs w:val="19"/>
      <w:u w:val="none"/>
    </w:rPr>
  </w:style>
  <w:style w:type="character" w:customStyle="1" w:styleId="1247">
    <w:name w:val="正文文本 (9) + 间距 1 pt"/>
    <w:qFormat/>
    <w:uiPriority w:val="0"/>
    <w:rPr>
      <w:rFonts w:hint="cs" w:ascii="Angsana New" w:hAnsi="Angsana New" w:eastAsia="Angsana New" w:cs="Angsana New"/>
      <w:spacing w:val="30"/>
      <w:sz w:val="26"/>
      <w:szCs w:val="26"/>
      <w:u w:val="none"/>
      <w:cs/>
    </w:rPr>
  </w:style>
  <w:style w:type="character" w:customStyle="1" w:styleId="1248">
    <w:name w:val="正文文本 (103) + 宋体"/>
    <w:qFormat/>
    <w:uiPriority w:val="0"/>
    <w:rPr>
      <w:rFonts w:hint="eastAsia" w:ascii="宋体" w:hAnsi="宋体" w:eastAsia="宋体" w:cs="宋体"/>
      <w:i/>
      <w:iCs/>
      <w:w w:val="100"/>
      <w:sz w:val="8"/>
      <w:szCs w:val="8"/>
      <w:u w:val="none"/>
    </w:rPr>
  </w:style>
  <w:style w:type="character" w:customStyle="1" w:styleId="1249">
    <w:name w:val="正文文本 + Angsana New18"/>
    <w:qFormat/>
    <w:uiPriority w:val="0"/>
    <w:rPr>
      <w:rFonts w:hint="cs" w:ascii="Angsana New" w:hAnsi="Angsana New" w:eastAsia="Angsana New" w:cs="Angsana New"/>
      <w:spacing w:val="0"/>
      <w:sz w:val="31"/>
      <w:szCs w:val="31"/>
      <w:cs/>
    </w:rPr>
  </w:style>
  <w:style w:type="character" w:customStyle="1" w:styleId="1250">
    <w:name w:val="正文文本 + Angsana New10"/>
    <w:qFormat/>
    <w:uiPriority w:val="0"/>
    <w:rPr>
      <w:rFonts w:hint="cs" w:ascii="Angsana New" w:hAnsi="Angsana New" w:eastAsia="Angsana New" w:cs="Angsana New"/>
      <w:spacing w:val="0"/>
      <w:sz w:val="26"/>
      <w:szCs w:val="26"/>
      <w:cs/>
    </w:rPr>
  </w:style>
  <w:style w:type="character" w:customStyle="1" w:styleId="1251">
    <w:name w:val="正文文本 (18) + 10.5 pt"/>
    <w:qFormat/>
    <w:uiPriority w:val="0"/>
    <w:rPr>
      <w:rFonts w:hint="eastAsia" w:ascii="宋体" w:hAnsi="宋体" w:eastAsia="宋体" w:cs="宋体"/>
      <w:sz w:val="21"/>
      <w:szCs w:val="21"/>
      <w:u w:val="none"/>
    </w:rPr>
  </w:style>
  <w:style w:type="character" w:customStyle="1" w:styleId="1252">
    <w:name w:val="正文文本2"/>
    <w:qFormat/>
    <w:uiPriority w:val="0"/>
    <w:rPr>
      <w:rFonts w:hint="eastAsia" w:ascii="宋体" w:hAnsi="宋体" w:eastAsia="宋体" w:cs="宋体"/>
      <w:sz w:val="21"/>
      <w:szCs w:val="21"/>
      <w:u w:val="none"/>
    </w:rPr>
  </w:style>
  <w:style w:type="character" w:customStyle="1" w:styleId="1253">
    <w:name w:val="正文文本 (9) + 宋体11"/>
    <w:qFormat/>
    <w:uiPriority w:val="0"/>
    <w:rPr>
      <w:rFonts w:hint="eastAsia" w:ascii="宋体" w:hAnsi="宋体" w:eastAsia="宋体" w:cs="宋体"/>
      <w:spacing w:val="0"/>
      <w:sz w:val="15"/>
      <w:szCs w:val="15"/>
    </w:rPr>
  </w:style>
  <w:style w:type="character" w:customStyle="1" w:styleId="1254">
    <w:name w:val="正文文本 (6)41"/>
    <w:qFormat/>
    <w:uiPriority w:val="0"/>
    <w:rPr>
      <w:rFonts w:hint="eastAsia" w:ascii="宋体" w:hAnsi="宋体" w:eastAsia="宋体" w:cs="宋体"/>
      <w:sz w:val="19"/>
      <w:szCs w:val="19"/>
      <w:u w:val="single"/>
    </w:rPr>
  </w:style>
  <w:style w:type="character" w:customStyle="1" w:styleId="1255">
    <w:name w:val="正文文本 (4)31"/>
    <w:qFormat/>
    <w:uiPriority w:val="0"/>
    <w:rPr>
      <w:rFonts w:hint="eastAsia" w:ascii="宋体" w:hAnsi="宋体" w:eastAsia="宋体" w:cs="宋体"/>
      <w:sz w:val="21"/>
      <w:szCs w:val="21"/>
      <w:u w:val="none"/>
    </w:rPr>
  </w:style>
  <w:style w:type="character" w:customStyle="1" w:styleId="1256">
    <w:name w:val="表格标题 (2)11"/>
    <w:qFormat/>
    <w:uiPriority w:val="0"/>
    <w:rPr>
      <w:rFonts w:hint="eastAsia" w:ascii="宋体" w:hAnsi="宋体" w:eastAsia="宋体" w:cs="宋体"/>
      <w:sz w:val="19"/>
      <w:szCs w:val="19"/>
      <w:u w:val="single"/>
    </w:rPr>
  </w:style>
  <w:style w:type="character" w:customStyle="1" w:styleId="1257">
    <w:name w:val="正文文本 (97) + 4 pt"/>
    <w:qFormat/>
    <w:uiPriority w:val="0"/>
    <w:rPr>
      <w:rFonts w:hint="eastAsia" w:ascii="宋体" w:hAnsi="宋体" w:eastAsia="宋体" w:cs="宋体"/>
      <w:sz w:val="8"/>
      <w:szCs w:val="8"/>
      <w:u w:val="none"/>
    </w:rPr>
  </w:style>
  <w:style w:type="character" w:customStyle="1" w:styleId="1258">
    <w:name w:val="表格标题 + Book Antiqua4"/>
    <w:qFormat/>
    <w:uiPriority w:val="0"/>
    <w:rPr>
      <w:rFonts w:hint="default" w:ascii="Book Antiqua" w:hAnsi="Book Antiqua" w:eastAsia="楷体_GB2312" w:cs="Book Antiqua"/>
      <w:b/>
      <w:spacing w:val="0"/>
      <w:sz w:val="12"/>
      <w:szCs w:val="12"/>
      <w:lang w:val="en-US" w:eastAsia="zh-CN" w:bidi="ar-SA"/>
    </w:rPr>
  </w:style>
  <w:style w:type="character" w:customStyle="1" w:styleId="1259">
    <w:name w:val="正文文本 + 4 pt"/>
    <w:qFormat/>
    <w:uiPriority w:val="0"/>
    <w:rPr>
      <w:rFonts w:hint="eastAsia" w:ascii="宋体" w:hAnsi="宋体" w:eastAsia="宋体" w:cs="宋体"/>
      <w:sz w:val="8"/>
      <w:szCs w:val="8"/>
      <w:u w:val="none"/>
    </w:rPr>
  </w:style>
  <w:style w:type="character" w:customStyle="1" w:styleId="1260">
    <w:name w:val="正文文本 (19) + Batang1"/>
    <w:qFormat/>
    <w:uiPriority w:val="0"/>
    <w:rPr>
      <w:rFonts w:hint="eastAsia" w:ascii="Batang" w:hAnsi="Batang" w:eastAsia="Batang" w:cs="Batang"/>
      <w:b/>
      <w:bCs/>
      <w:sz w:val="12"/>
      <w:szCs w:val="12"/>
    </w:rPr>
  </w:style>
  <w:style w:type="character" w:customStyle="1" w:styleId="1261">
    <w:name w:val="正文文本 + 11 pt"/>
    <w:qFormat/>
    <w:uiPriority w:val="0"/>
    <w:rPr>
      <w:rFonts w:hint="eastAsia" w:ascii="宋体" w:hAnsi="宋体" w:eastAsia="宋体" w:cs="宋体"/>
      <w:sz w:val="22"/>
      <w:szCs w:val="22"/>
      <w:u w:val="none"/>
    </w:rPr>
  </w:style>
  <w:style w:type="character" w:customStyle="1" w:styleId="1262">
    <w:name w:val="正文文本 (9) + MingLiU"/>
    <w:qFormat/>
    <w:uiPriority w:val="0"/>
    <w:rPr>
      <w:rFonts w:hint="eastAsia" w:ascii="MingLiU" w:hAnsi="MingLiU" w:eastAsia="MingLiU" w:cs="MingLiU"/>
      <w:spacing w:val="0"/>
      <w:sz w:val="12"/>
      <w:szCs w:val="12"/>
      <w:u w:val="none"/>
    </w:rPr>
  </w:style>
  <w:style w:type="character" w:customStyle="1" w:styleId="1263">
    <w:name w:val="正文文本 (26)11"/>
    <w:qFormat/>
    <w:uiPriority w:val="0"/>
    <w:rPr>
      <w:rFonts w:hint="eastAsia" w:ascii="Batang" w:hAnsi="Batang" w:eastAsia="Batang" w:cs="Batang"/>
      <w:spacing w:val="0"/>
      <w:sz w:val="18"/>
      <w:szCs w:val="18"/>
      <w:u w:val="none"/>
    </w:rPr>
  </w:style>
  <w:style w:type="character" w:customStyle="1" w:styleId="1264">
    <w:name w:val="正文文本 (6)61"/>
    <w:qFormat/>
    <w:uiPriority w:val="0"/>
    <w:rPr>
      <w:rFonts w:hint="eastAsia" w:ascii="宋体" w:hAnsi="宋体" w:eastAsia="宋体" w:cs="宋体"/>
      <w:sz w:val="19"/>
      <w:szCs w:val="19"/>
      <w:u w:val="single"/>
    </w:rPr>
  </w:style>
  <w:style w:type="character" w:customStyle="1" w:styleId="1265">
    <w:name w:val="正文文本 (101) + 非粗体11"/>
    <w:qFormat/>
    <w:uiPriority w:val="0"/>
    <w:rPr>
      <w:rFonts w:hint="eastAsia" w:ascii="宋体" w:hAnsi="宋体" w:eastAsia="宋体" w:cs="宋体"/>
      <w:b/>
      <w:bCs/>
      <w:sz w:val="21"/>
      <w:szCs w:val="21"/>
      <w:u w:val="none"/>
    </w:rPr>
  </w:style>
  <w:style w:type="character" w:customStyle="1" w:styleId="1266">
    <w:name w:val="正文文本 (9) + 间距 -1 pt11"/>
    <w:qFormat/>
    <w:uiPriority w:val="0"/>
    <w:rPr>
      <w:rFonts w:hint="cs" w:ascii="Angsana New" w:hAnsi="Angsana New" w:eastAsia="Angsana New" w:cs="Angsana New"/>
      <w:spacing w:val="-20"/>
      <w:sz w:val="26"/>
      <w:szCs w:val="26"/>
      <w:u w:val="none"/>
      <w:cs/>
    </w:rPr>
  </w:style>
  <w:style w:type="character" w:customStyle="1" w:styleId="1267">
    <w:name w:val="正文文本 (12)11"/>
    <w:qFormat/>
    <w:uiPriority w:val="0"/>
    <w:rPr>
      <w:rFonts w:hint="eastAsia" w:ascii="宋体" w:hAnsi="宋体" w:eastAsia="宋体" w:cs="宋体"/>
      <w:w w:val="150"/>
      <w:sz w:val="23"/>
      <w:szCs w:val="23"/>
      <w:u w:val="single"/>
    </w:rPr>
  </w:style>
  <w:style w:type="character" w:customStyle="1" w:styleId="1268">
    <w:name w:val="正文文本 (21) + Angsana New3"/>
    <w:qFormat/>
    <w:uiPriority w:val="0"/>
    <w:rPr>
      <w:rFonts w:hint="cs" w:ascii="Angsana New" w:hAnsi="Angsana New" w:eastAsia="Angsana New" w:cs="Angsana New"/>
      <w:spacing w:val="30"/>
      <w:sz w:val="26"/>
      <w:szCs w:val="26"/>
      <w:cs/>
    </w:rPr>
  </w:style>
  <w:style w:type="character" w:customStyle="1" w:styleId="1269">
    <w:name w:val="正文文本 (101) + 非粗体"/>
    <w:qFormat/>
    <w:uiPriority w:val="0"/>
    <w:rPr>
      <w:rFonts w:hint="eastAsia" w:ascii="宋体" w:hAnsi="宋体" w:eastAsia="宋体" w:cs="宋体"/>
      <w:b/>
      <w:bCs/>
      <w:sz w:val="21"/>
      <w:szCs w:val="21"/>
      <w:u w:val="none"/>
    </w:rPr>
  </w:style>
  <w:style w:type="character" w:customStyle="1" w:styleId="1270">
    <w:name w:val="正文文本 + Angsana New8"/>
    <w:qFormat/>
    <w:uiPriority w:val="0"/>
    <w:rPr>
      <w:rFonts w:hint="cs" w:ascii="Angsana New" w:hAnsi="Angsana New" w:eastAsia="Angsana New" w:cs="Angsana New"/>
      <w:spacing w:val="30"/>
      <w:sz w:val="31"/>
      <w:szCs w:val="31"/>
      <w:cs/>
    </w:rPr>
  </w:style>
  <w:style w:type="character" w:customStyle="1" w:styleId="1271">
    <w:name w:val="正文文本 + Angsana New26"/>
    <w:qFormat/>
    <w:uiPriority w:val="0"/>
    <w:rPr>
      <w:rFonts w:hint="cs" w:ascii="Angsana New" w:hAnsi="Angsana New" w:eastAsia="Angsana New" w:cs="Angsana New"/>
      <w:sz w:val="42"/>
      <w:szCs w:val="42"/>
      <w:cs/>
    </w:rPr>
  </w:style>
  <w:style w:type="character" w:customStyle="1" w:styleId="1272">
    <w:name w:val="正文文本 + 粗体"/>
    <w:qFormat/>
    <w:uiPriority w:val="0"/>
    <w:rPr>
      <w:rFonts w:hint="eastAsia" w:ascii="宋体" w:hAnsi="宋体" w:eastAsia="宋体" w:cs="宋体"/>
      <w:b/>
      <w:bCs/>
      <w:sz w:val="21"/>
      <w:szCs w:val="21"/>
      <w:u w:val="none"/>
    </w:rPr>
  </w:style>
  <w:style w:type="character" w:customStyle="1" w:styleId="1273">
    <w:name w:val="正文文本 (28) + MingLiU"/>
    <w:qFormat/>
    <w:uiPriority w:val="0"/>
    <w:rPr>
      <w:rFonts w:hint="eastAsia" w:ascii="MingLiU" w:hAnsi="MingLiU" w:eastAsia="MingLiU" w:cs="MingLiU"/>
      <w:w w:val="150"/>
      <w:sz w:val="8"/>
      <w:szCs w:val="8"/>
      <w:u w:val="none"/>
    </w:rPr>
  </w:style>
  <w:style w:type="character" w:customStyle="1" w:styleId="1274">
    <w:name w:val="正文文本 (6) + 10.5 pt1"/>
    <w:qFormat/>
    <w:uiPriority w:val="0"/>
    <w:rPr>
      <w:rFonts w:hint="eastAsia" w:ascii="宋体" w:hAnsi="宋体" w:eastAsia="宋体" w:cs="宋体"/>
      <w:sz w:val="21"/>
      <w:szCs w:val="21"/>
    </w:rPr>
  </w:style>
  <w:style w:type="character" w:customStyle="1" w:styleId="1275">
    <w:name w:val="正文文本 (7) + 10.5 pt"/>
    <w:qFormat/>
    <w:uiPriority w:val="0"/>
    <w:rPr>
      <w:rFonts w:hint="eastAsia" w:ascii="宋体" w:hAnsi="宋体" w:eastAsia="宋体" w:cs="宋体"/>
      <w:w w:val="100"/>
      <w:sz w:val="21"/>
      <w:szCs w:val="21"/>
      <w:u w:val="none"/>
    </w:rPr>
  </w:style>
  <w:style w:type="character" w:customStyle="1" w:styleId="1276">
    <w:name w:val="正文文本 (9) + 宋体1"/>
    <w:qFormat/>
    <w:uiPriority w:val="0"/>
    <w:rPr>
      <w:rFonts w:hint="eastAsia" w:ascii="宋体" w:hAnsi="宋体" w:eastAsia="宋体" w:cs="宋体"/>
      <w:spacing w:val="0"/>
      <w:sz w:val="19"/>
      <w:szCs w:val="19"/>
    </w:rPr>
  </w:style>
  <w:style w:type="character" w:customStyle="1" w:styleId="1277">
    <w:name w:val="正文文本 + Angsana New12"/>
    <w:qFormat/>
    <w:uiPriority w:val="0"/>
    <w:rPr>
      <w:rFonts w:hint="cs" w:ascii="Angsana New" w:hAnsi="Angsana New" w:eastAsia="Angsana New" w:cs="Angsana New"/>
      <w:spacing w:val="0"/>
      <w:sz w:val="31"/>
      <w:szCs w:val="31"/>
      <w:cs/>
    </w:rPr>
  </w:style>
  <w:style w:type="character" w:customStyle="1" w:styleId="1278">
    <w:name w:val="正文文本 (13) + 间距 -1 pt"/>
    <w:qFormat/>
    <w:uiPriority w:val="0"/>
    <w:rPr>
      <w:rFonts w:hint="cs" w:ascii="Angsana New" w:hAnsi="Angsana New" w:cs="Angsana New"/>
      <w:spacing w:val="-30"/>
      <w:sz w:val="32"/>
      <w:szCs w:val="32"/>
      <w:shd w:val="clear" w:color="auto" w:fill="FFFFFF"/>
      <w:cs/>
    </w:rPr>
  </w:style>
  <w:style w:type="character" w:customStyle="1" w:styleId="1279">
    <w:name w:val="正文文本 (9) + 间距 -1 pt4"/>
    <w:qFormat/>
    <w:uiPriority w:val="0"/>
    <w:rPr>
      <w:rFonts w:hint="cs" w:ascii="Angsana New" w:hAnsi="Angsana New" w:eastAsia="Angsana New" w:cs="Angsana New"/>
      <w:spacing w:val="-20"/>
      <w:sz w:val="26"/>
      <w:szCs w:val="26"/>
      <w:cs/>
    </w:rPr>
  </w:style>
  <w:style w:type="character" w:customStyle="1" w:styleId="1280">
    <w:name w:val="正文文本 + 粗体11"/>
    <w:qFormat/>
    <w:uiPriority w:val="0"/>
    <w:rPr>
      <w:rFonts w:hint="eastAsia" w:ascii="宋体" w:hAnsi="宋体" w:eastAsia="宋体" w:cs="宋体"/>
      <w:b/>
      <w:bCs/>
      <w:sz w:val="21"/>
      <w:szCs w:val="21"/>
      <w:u w:val="none"/>
    </w:rPr>
  </w:style>
  <w:style w:type="character" w:customStyle="1" w:styleId="1281">
    <w:name w:val="正文文本 + Angsana New2"/>
    <w:qFormat/>
    <w:uiPriority w:val="0"/>
    <w:rPr>
      <w:rFonts w:hint="cs" w:ascii="Angsana New" w:hAnsi="Angsana New" w:cs="Angsana New"/>
      <w:spacing w:val="0"/>
      <w:sz w:val="32"/>
      <w:szCs w:val="32"/>
      <w:cs/>
    </w:rPr>
  </w:style>
  <w:style w:type="character" w:customStyle="1" w:styleId="1282">
    <w:name w:val="正文文本 (9) + 宋体13"/>
    <w:qFormat/>
    <w:uiPriority w:val="0"/>
    <w:rPr>
      <w:rFonts w:hint="eastAsia" w:ascii="宋体" w:hAnsi="宋体" w:eastAsia="宋体" w:cs="宋体"/>
      <w:spacing w:val="0"/>
      <w:sz w:val="8"/>
      <w:szCs w:val="8"/>
    </w:rPr>
  </w:style>
  <w:style w:type="character" w:customStyle="1" w:styleId="1283">
    <w:name w:val="正文文本3"/>
    <w:qFormat/>
    <w:uiPriority w:val="0"/>
    <w:rPr>
      <w:rFonts w:hint="eastAsia" w:ascii="宋体" w:hAnsi="宋体" w:eastAsia="宋体" w:cs="宋体"/>
      <w:sz w:val="21"/>
      <w:szCs w:val="21"/>
      <w:u w:val="single"/>
    </w:rPr>
  </w:style>
  <w:style w:type="character" w:customStyle="1" w:styleId="1284">
    <w:name w:val="正文文本 (9) + 间距 -1 pt"/>
    <w:qFormat/>
    <w:uiPriority w:val="0"/>
    <w:rPr>
      <w:rFonts w:hint="cs" w:ascii="Angsana New" w:hAnsi="Angsana New" w:eastAsia="Angsana New" w:cs="Angsana New"/>
      <w:spacing w:val="-20"/>
      <w:sz w:val="26"/>
      <w:szCs w:val="26"/>
      <w:u w:val="none"/>
      <w:cs/>
    </w:rPr>
  </w:style>
  <w:style w:type="character" w:customStyle="1" w:styleId="1285">
    <w:name w:val="正文文本 (6) + Angsana New6"/>
    <w:qFormat/>
    <w:uiPriority w:val="0"/>
    <w:rPr>
      <w:rFonts w:hint="cs" w:ascii="Angsana New" w:hAnsi="Angsana New" w:eastAsia="Angsana New" w:cs="Angsana New"/>
      <w:spacing w:val="0"/>
      <w:sz w:val="26"/>
      <w:szCs w:val="26"/>
      <w:cs/>
    </w:rPr>
  </w:style>
  <w:style w:type="character" w:customStyle="1" w:styleId="1286">
    <w:name w:val="正文文本 + Batang8"/>
    <w:qFormat/>
    <w:uiPriority w:val="0"/>
    <w:rPr>
      <w:rFonts w:hint="eastAsia" w:ascii="Batang" w:hAnsi="Batang" w:eastAsia="Batang" w:cs="Batang"/>
      <w:spacing w:val="-10"/>
      <w:sz w:val="25"/>
      <w:szCs w:val="25"/>
    </w:rPr>
  </w:style>
  <w:style w:type="character" w:customStyle="1" w:styleId="1287">
    <w:name w:val="图片标题 + 缩放 150%"/>
    <w:qFormat/>
    <w:uiPriority w:val="0"/>
    <w:rPr>
      <w:rFonts w:hint="eastAsia" w:ascii="MingLiU" w:hAnsi="MingLiU" w:eastAsia="MingLiU" w:cs="MingLiU"/>
      <w:w w:val="150"/>
      <w:sz w:val="8"/>
      <w:szCs w:val="8"/>
      <w:u w:val="none"/>
    </w:rPr>
  </w:style>
  <w:style w:type="character" w:customStyle="1" w:styleId="1288">
    <w:name w:val="正文文本 (6)31"/>
    <w:qFormat/>
    <w:uiPriority w:val="0"/>
    <w:rPr>
      <w:rFonts w:hint="eastAsia" w:ascii="宋体" w:hAnsi="宋体" w:eastAsia="宋体" w:cs="宋体"/>
      <w:sz w:val="19"/>
      <w:szCs w:val="19"/>
      <w:u w:val="single"/>
    </w:rPr>
  </w:style>
  <w:style w:type="character" w:customStyle="1" w:styleId="1289">
    <w:name w:val="正文文本 (4)11"/>
    <w:qFormat/>
    <w:uiPriority w:val="0"/>
    <w:rPr>
      <w:rFonts w:hint="eastAsia" w:ascii="宋体" w:hAnsi="宋体" w:eastAsia="宋体" w:cs="宋体"/>
      <w:sz w:val="21"/>
      <w:szCs w:val="21"/>
      <w:u w:val="none"/>
    </w:rPr>
  </w:style>
  <w:style w:type="character" w:customStyle="1" w:styleId="1290">
    <w:name w:val="标题 #3 (2) + 粗体"/>
    <w:qFormat/>
    <w:uiPriority w:val="0"/>
    <w:rPr>
      <w:rFonts w:hint="eastAsia" w:ascii="宋体" w:hAnsi="宋体" w:eastAsia="宋体" w:cs="宋体"/>
      <w:b/>
      <w:bCs/>
      <w:sz w:val="21"/>
      <w:szCs w:val="21"/>
      <w:u w:val="none"/>
    </w:rPr>
  </w:style>
  <w:style w:type="character" w:customStyle="1" w:styleId="1291">
    <w:name w:val="正文文本 (23) + 缩放 20%"/>
    <w:qFormat/>
    <w:uiPriority w:val="0"/>
    <w:rPr>
      <w:rFonts w:hint="eastAsia" w:ascii="Batang" w:hAnsi="Batang" w:eastAsia="Batang" w:cs="Batang"/>
      <w:strike/>
      <w:spacing w:val="0"/>
      <w:w w:val="20"/>
      <w:sz w:val="8"/>
      <w:szCs w:val="8"/>
    </w:rPr>
  </w:style>
  <w:style w:type="character" w:customStyle="1" w:styleId="1292">
    <w:name w:val="正文文本 + 9.5 pt2"/>
    <w:qFormat/>
    <w:uiPriority w:val="0"/>
    <w:rPr>
      <w:rFonts w:hint="eastAsia" w:ascii="宋体" w:hAnsi="宋体" w:eastAsia="宋体" w:cs="宋体"/>
      <w:w w:val="150"/>
      <w:sz w:val="19"/>
      <w:szCs w:val="19"/>
    </w:rPr>
  </w:style>
  <w:style w:type="character" w:customStyle="1" w:styleId="1293">
    <w:name w:val="正文文本 (9) + 间距 2 pt"/>
    <w:qFormat/>
    <w:uiPriority w:val="0"/>
    <w:rPr>
      <w:rFonts w:hint="cs" w:ascii="Angsana New" w:hAnsi="Angsana New" w:eastAsia="Angsana New" w:cs="Angsana New"/>
      <w:spacing w:val="50"/>
      <w:sz w:val="26"/>
      <w:szCs w:val="26"/>
      <w:u w:val="none"/>
      <w:cs/>
    </w:rPr>
  </w:style>
  <w:style w:type="character" w:customStyle="1" w:styleId="1294">
    <w:name w:val="标题 #11 + 粗体"/>
    <w:qFormat/>
    <w:uiPriority w:val="0"/>
    <w:rPr>
      <w:rFonts w:hint="eastAsia" w:ascii="宋体" w:hAnsi="宋体" w:eastAsia="宋体" w:cs="宋体"/>
      <w:b/>
      <w:bCs/>
      <w:sz w:val="21"/>
      <w:szCs w:val="21"/>
      <w:u w:val="none"/>
    </w:rPr>
  </w:style>
  <w:style w:type="character" w:customStyle="1" w:styleId="1295">
    <w:name w:val="正文文本 (21)2"/>
    <w:qFormat/>
    <w:uiPriority w:val="0"/>
    <w:rPr>
      <w:rFonts w:hint="eastAsia" w:ascii="宋体" w:hAnsi="宋体" w:eastAsia="宋体" w:cs="宋体"/>
      <w:sz w:val="19"/>
      <w:szCs w:val="19"/>
      <w:u w:val="none"/>
    </w:rPr>
  </w:style>
  <w:style w:type="character" w:customStyle="1" w:styleId="1296">
    <w:name w:val="正文文本 (9) + 宋体5"/>
    <w:qFormat/>
    <w:uiPriority w:val="0"/>
    <w:rPr>
      <w:rFonts w:hint="eastAsia" w:ascii="宋体" w:hAnsi="宋体" w:eastAsia="宋体" w:cs="宋体"/>
      <w:spacing w:val="0"/>
      <w:sz w:val="21"/>
      <w:szCs w:val="21"/>
    </w:rPr>
  </w:style>
  <w:style w:type="character" w:customStyle="1" w:styleId="1297">
    <w:name w:val="正文文本 (23) + 宋体"/>
    <w:qFormat/>
    <w:uiPriority w:val="0"/>
    <w:rPr>
      <w:rFonts w:hint="eastAsia" w:ascii="宋体" w:hAnsi="宋体" w:eastAsia="宋体" w:cs="宋体"/>
      <w:spacing w:val="0"/>
      <w:sz w:val="8"/>
      <w:szCs w:val="8"/>
      <w:u w:val="none"/>
    </w:rPr>
  </w:style>
  <w:style w:type="character" w:customStyle="1" w:styleId="1298">
    <w:name w:val="正文文本 (9) + 宋体9"/>
    <w:qFormat/>
    <w:uiPriority w:val="0"/>
    <w:rPr>
      <w:rFonts w:hint="eastAsia" w:ascii="宋体" w:hAnsi="宋体" w:eastAsia="宋体" w:cs="宋体"/>
      <w:spacing w:val="0"/>
      <w:sz w:val="18"/>
      <w:szCs w:val="18"/>
    </w:rPr>
  </w:style>
  <w:style w:type="character" w:customStyle="1" w:styleId="1299">
    <w:name w:val="正文文本 (107) + 宋体1"/>
    <w:qFormat/>
    <w:uiPriority w:val="0"/>
    <w:rPr>
      <w:rFonts w:hint="eastAsia" w:ascii="宋体" w:hAnsi="宋体" w:eastAsia="宋体" w:cs="宋体"/>
      <w:spacing w:val="0"/>
      <w:sz w:val="21"/>
      <w:szCs w:val="21"/>
    </w:rPr>
  </w:style>
  <w:style w:type="character" w:customStyle="1" w:styleId="1300">
    <w:name w:val="正文文本 + 11 pt11"/>
    <w:qFormat/>
    <w:uiPriority w:val="0"/>
    <w:rPr>
      <w:rFonts w:hint="eastAsia" w:ascii="宋体" w:hAnsi="宋体" w:eastAsia="宋体" w:cs="宋体"/>
      <w:sz w:val="22"/>
      <w:szCs w:val="22"/>
      <w:u w:val="none"/>
    </w:rPr>
  </w:style>
  <w:style w:type="character" w:customStyle="1" w:styleId="1301">
    <w:name w:val="正文文本 + Batang4"/>
    <w:qFormat/>
    <w:uiPriority w:val="0"/>
    <w:rPr>
      <w:rFonts w:hint="eastAsia" w:ascii="Batang" w:hAnsi="Batang" w:eastAsia="Batang" w:cs="Batang"/>
      <w:spacing w:val="0"/>
      <w:sz w:val="18"/>
      <w:szCs w:val="18"/>
    </w:rPr>
  </w:style>
  <w:style w:type="character" w:customStyle="1" w:styleId="1302">
    <w:name w:val="正文文本 (9) + Franklin Gothic Book1"/>
    <w:qFormat/>
    <w:uiPriority w:val="0"/>
    <w:rPr>
      <w:rFonts w:hint="default" w:ascii="Franklin Gothic Book" w:hAnsi="Franklin Gothic Book" w:eastAsia="Franklin Gothic Book" w:cs="Franklin Gothic Book"/>
      <w:i/>
      <w:iCs/>
      <w:spacing w:val="10"/>
      <w:w w:val="75"/>
      <w:sz w:val="17"/>
      <w:szCs w:val="17"/>
    </w:rPr>
  </w:style>
  <w:style w:type="character" w:customStyle="1" w:styleId="1303">
    <w:name w:val="正文文本 + 7 pt"/>
    <w:qFormat/>
    <w:uiPriority w:val="0"/>
    <w:rPr>
      <w:rFonts w:hint="eastAsia" w:ascii="宋体" w:hAnsi="宋体" w:eastAsia="宋体" w:cs="宋体"/>
      <w:sz w:val="14"/>
      <w:szCs w:val="14"/>
      <w:u w:val="none"/>
    </w:rPr>
  </w:style>
  <w:style w:type="character" w:customStyle="1" w:styleId="1304">
    <w:name w:val="正文文本 (11) + Batang21"/>
    <w:qFormat/>
    <w:uiPriority w:val="0"/>
    <w:rPr>
      <w:rFonts w:hint="eastAsia" w:ascii="Batang" w:hAnsi="Batang" w:eastAsia="Batang" w:cs="Batang"/>
      <w:spacing w:val="0"/>
      <w:sz w:val="8"/>
      <w:szCs w:val="8"/>
      <w:u w:val="none"/>
    </w:rPr>
  </w:style>
  <w:style w:type="character" w:customStyle="1" w:styleId="1305">
    <w:name w:val="正文文本 + 11 pt21"/>
    <w:qFormat/>
    <w:uiPriority w:val="0"/>
    <w:rPr>
      <w:rFonts w:hint="eastAsia" w:ascii="宋体" w:hAnsi="宋体" w:eastAsia="宋体" w:cs="宋体"/>
      <w:spacing w:val="0"/>
      <w:sz w:val="22"/>
      <w:szCs w:val="22"/>
      <w:u w:val="none"/>
    </w:rPr>
  </w:style>
  <w:style w:type="character" w:customStyle="1" w:styleId="1306">
    <w:name w:val="正文文本 (26) + 宋体1"/>
    <w:qFormat/>
    <w:uiPriority w:val="0"/>
    <w:rPr>
      <w:rFonts w:hint="eastAsia" w:ascii="宋体" w:hAnsi="宋体" w:eastAsia="宋体" w:cs="宋体"/>
      <w:b/>
      <w:bCs/>
      <w:spacing w:val="0"/>
      <w:w w:val="150"/>
      <w:sz w:val="15"/>
      <w:szCs w:val="15"/>
    </w:rPr>
  </w:style>
  <w:style w:type="character" w:customStyle="1" w:styleId="1307">
    <w:name w:val="sh141"/>
    <w:qFormat/>
    <w:uiPriority w:val="0"/>
    <w:rPr>
      <w:color w:val="2B2B2B"/>
      <w:sz w:val="21"/>
      <w:szCs w:val="21"/>
    </w:rPr>
  </w:style>
  <w:style w:type="character" w:customStyle="1" w:styleId="1308">
    <w:name w:val="正文文本 (9) + 宋体7"/>
    <w:qFormat/>
    <w:uiPriority w:val="0"/>
    <w:rPr>
      <w:rFonts w:hint="eastAsia" w:ascii="宋体" w:hAnsi="宋体" w:eastAsia="宋体" w:cs="宋体"/>
      <w:spacing w:val="0"/>
      <w:sz w:val="19"/>
      <w:szCs w:val="19"/>
    </w:rPr>
  </w:style>
  <w:style w:type="character" w:customStyle="1" w:styleId="1309">
    <w:name w:val="正文文本 (21) + 10.5 pt"/>
    <w:qFormat/>
    <w:uiPriority w:val="0"/>
    <w:rPr>
      <w:rFonts w:hint="eastAsia" w:ascii="宋体" w:hAnsi="宋体" w:eastAsia="宋体" w:cs="宋体"/>
      <w:sz w:val="21"/>
      <w:szCs w:val="21"/>
      <w:u w:val="none"/>
    </w:rPr>
  </w:style>
  <w:style w:type="character" w:customStyle="1" w:styleId="1310">
    <w:name w:val="正文文本 (18) + 9.5 pt"/>
    <w:qFormat/>
    <w:uiPriority w:val="0"/>
    <w:rPr>
      <w:rFonts w:hint="eastAsia" w:ascii="宋体" w:hAnsi="宋体" w:eastAsia="宋体" w:cs="宋体"/>
      <w:sz w:val="19"/>
      <w:szCs w:val="19"/>
      <w:u w:val="none"/>
    </w:rPr>
  </w:style>
  <w:style w:type="character" w:customStyle="1" w:styleId="1311">
    <w:name w:val="正文文本 + Angsana New6"/>
    <w:qFormat/>
    <w:uiPriority w:val="0"/>
    <w:rPr>
      <w:rFonts w:hint="cs" w:ascii="Angsana New" w:hAnsi="Angsana New" w:eastAsia="Angsana New" w:cs="Angsana New"/>
      <w:spacing w:val="0"/>
      <w:sz w:val="31"/>
      <w:szCs w:val="31"/>
      <w:cs/>
    </w:rPr>
  </w:style>
  <w:style w:type="character" w:customStyle="1" w:styleId="1312">
    <w:name w:val="正文文本 (9)1"/>
    <w:qFormat/>
    <w:uiPriority w:val="0"/>
    <w:rPr>
      <w:rFonts w:hint="cs" w:ascii="Angsana New" w:hAnsi="Angsana New" w:eastAsia="Angsana New" w:cs="Angsana New"/>
      <w:spacing w:val="0"/>
      <w:sz w:val="26"/>
      <w:szCs w:val="26"/>
      <w:cs/>
    </w:rPr>
  </w:style>
  <w:style w:type="character" w:customStyle="1" w:styleId="1313">
    <w:name w:val="正文文本 (103) + Angsana New"/>
    <w:qFormat/>
    <w:uiPriority w:val="0"/>
    <w:rPr>
      <w:rFonts w:hint="cs" w:ascii="Angsana New" w:hAnsi="Angsana New" w:eastAsia="Angsana New" w:cs="Angsana New"/>
      <w:w w:val="350"/>
      <w:sz w:val="8"/>
      <w:szCs w:val="8"/>
      <w:u w:val="none"/>
      <w:cs/>
    </w:rPr>
  </w:style>
  <w:style w:type="character" w:customStyle="1" w:styleId="1314">
    <w:name w:val="正文文本 + 9.5 pt6"/>
    <w:qFormat/>
    <w:uiPriority w:val="0"/>
    <w:rPr>
      <w:rFonts w:hint="eastAsia" w:ascii="宋体" w:hAnsi="宋体" w:eastAsia="宋体" w:cs="宋体"/>
      <w:sz w:val="19"/>
      <w:szCs w:val="19"/>
    </w:rPr>
  </w:style>
  <w:style w:type="character" w:customStyle="1" w:styleId="1315">
    <w:name w:val="正文文本 (11) + Batang31"/>
    <w:qFormat/>
    <w:uiPriority w:val="0"/>
    <w:rPr>
      <w:rFonts w:hint="eastAsia" w:ascii="Batang" w:hAnsi="Batang" w:eastAsia="Batang" w:cs="Batang"/>
      <w:spacing w:val="0"/>
      <w:sz w:val="8"/>
      <w:szCs w:val="8"/>
      <w:u w:val="none"/>
    </w:rPr>
  </w:style>
  <w:style w:type="character" w:customStyle="1" w:styleId="1316">
    <w:name w:val="正文文本 (9) + 间距 -1 pt31"/>
    <w:qFormat/>
    <w:uiPriority w:val="0"/>
    <w:rPr>
      <w:rFonts w:hint="cs" w:ascii="Angsana New" w:hAnsi="Angsana New" w:eastAsia="Angsana New" w:cs="Angsana New"/>
      <w:spacing w:val="-20"/>
      <w:sz w:val="26"/>
      <w:szCs w:val="26"/>
      <w:u w:val="none"/>
      <w:cs/>
    </w:rPr>
  </w:style>
  <w:style w:type="character" w:customStyle="1" w:styleId="1317">
    <w:name w:val="正文文本 (6) + Angsana New8"/>
    <w:qFormat/>
    <w:uiPriority w:val="0"/>
    <w:rPr>
      <w:rFonts w:hint="cs" w:ascii="Angsana New" w:hAnsi="Angsana New" w:eastAsia="Angsana New" w:cs="Angsana New"/>
      <w:spacing w:val="0"/>
      <w:sz w:val="26"/>
      <w:szCs w:val="26"/>
      <w:cs/>
    </w:rPr>
  </w:style>
  <w:style w:type="character" w:customStyle="1" w:styleId="1318">
    <w:name w:val="正文文本 (6) + 10.5 pt11"/>
    <w:qFormat/>
    <w:uiPriority w:val="0"/>
    <w:rPr>
      <w:rFonts w:hint="eastAsia" w:ascii="宋体" w:hAnsi="宋体" w:eastAsia="宋体" w:cs="宋体"/>
      <w:sz w:val="21"/>
      <w:szCs w:val="21"/>
      <w:u w:val="none"/>
    </w:rPr>
  </w:style>
  <w:style w:type="character" w:customStyle="1" w:styleId="1319">
    <w:name w:val="正文文本 (6)51"/>
    <w:qFormat/>
    <w:uiPriority w:val="0"/>
    <w:rPr>
      <w:rFonts w:hint="eastAsia" w:ascii="宋体" w:hAnsi="宋体" w:eastAsia="宋体" w:cs="宋体"/>
      <w:sz w:val="19"/>
      <w:szCs w:val="19"/>
      <w:u w:val="single"/>
    </w:rPr>
  </w:style>
  <w:style w:type="character" w:customStyle="1" w:styleId="1320">
    <w:name w:val="正文文本 + 9.5 pt"/>
    <w:qFormat/>
    <w:uiPriority w:val="0"/>
    <w:rPr>
      <w:rFonts w:hint="eastAsia" w:ascii="宋体" w:hAnsi="宋体" w:eastAsia="宋体" w:cs="宋体"/>
      <w:w w:val="150"/>
      <w:sz w:val="19"/>
      <w:szCs w:val="19"/>
      <w:u w:val="none"/>
    </w:rPr>
  </w:style>
  <w:style w:type="character" w:customStyle="1" w:styleId="1321">
    <w:name w:val="正文文本 + 9.5 pt3"/>
    <w:qFormat/>
    <w:uiPriority w:val="0"/>
    <w:rPr>
      <w:rFonts w:hint="eastAsia" w:ascii="宋体" w:hAnsi="宋体" w:eastAsia="宋体" w:cs="宋体"/>
      <w:w w:val="150"/>
      <w:sz w:val="19"/>
      <w:szCs w:val="19"/>
    </w:rPr>
  </w:style>
  <w:style w:type="character" w:customStyle="1" w:styleId="1322">
    <w:name w:val="正文文本 (12) + 6 pt"/>
    <w:qFormat/>
    <w:uiPriority w:val="0"/>
    <w:rPr>
      <w:rFonts w:hint="eastAsia" w:ascii="宋体" w:hAnsi="宋体" w:eastAsia="宋体" w:cs="宋体"/>
      <w:w w:val="50"/>
      <w:sz w:val="12"/>
      <w:szCs w:val="12"/>
      <w:u w:val="none"/>
    </w:rPr>
  </w:style>
  <w:style w:type="character" w:customStyle="1" w:styleId="1323">
    <w:name w:val="正文文本 + 9.5 pt7"/>
    <w:qFormat/>
    <w:uiPriority w:val="0"/>
    <w:rPr>
      <w:rFonts w:hint="eastAsia" w:ascii="宋体" w:hAnsi="宋体" w:eastAsia="宋体" w:cs="宋体"/>
      <w:sz w:val="19"/>
      <w:szCs w:val="19"/>
    </w:rPr>
  </w:style>
  <w:style w:type="character" w:customStyle="1" w:styleId="1324">
    <w:name w:val="正文文本 (9) + 宋体12"/>
    <w:qFormat/>
    <w:uiPriority w:val="0"/>
    <w:rPr>
      <w:rFonts w:hint="eastAsia" w:ascii="宋体" w:hAnsi="宋体" w:eastAsia="宋体" w:cs="宋体"/>
      <w:spacing w:val="0"/>
      <w:sz w:val="21"/>
      <w:szCs w:val="21"/>
    </w:rPr>
  </w:style>
  <w:style w:type="character" w:customStyle="1" w:styleId="1325">
    <w:name w:val="正文文本 (31)2"/>
    <w:qFormat/>
    <w:uiPriority w:val="0"/>
    <w:rPr>
      <w:rFonts w:hint="eastAsia" w:ascii="宋体" w:hAnsi="宋体" w:eastAsia="宋体" w:cs="宋体"/>
      <w:sz w:val="21"/>
      <w:szCs w:val="21"/>
      <w:u w:val="single"/>
    </w:rPr>
  </w:style>
  <w:style w:type="character" w:customStyle="1" w:styleId="1326">
    <w:name w:val="正文文本 (23)2"/>
    <w:qFormat/>
    <w:uiPriority w:val="0"/>
    <w:rPr>
      <w:rFonts w:hint="eastAsia" w:ascii="Batang" w:hAnsi="Batang" w:eastAsia="Batang" w:cs="Batang"/>
      <w:strike/>
      <w:spacing w:val="0"/>
      <w:sz w:val="8"/>
      <w:szCs w:val="8"/>
    </w:rPr>
  </w:style>
  <w:style w:type="character" w:customStyle="1" w:styleId="1327">
    <w:name w:val="表格标题 + Book Antiqua5"/>
    <w:qFormat/>
    <w:uiPriority w:val="0"/>
    <w:rPr>
      <w:rFonts w:hint="default" w:ascii="Book Antiqua" w:hAnsi="Book Antiqua" w:eastAsia="楷体_GB2312" w:cs="Book Antiqua"/>
      <w:b/>
      <w:spacing w:val="20"/>
      <w:sz w:val="12"/>
      <w:szCs w:val="12"/>
      <w:lang w:val="en-US" w:eastAsia="zh-CN" w:bidi="ar-SA"/>
    </w:rPr>
  </w:style>
  <w:style w:type="character" w:customStyle="1" w:styleId="1328">
    <w:name w:val="正文文本 (19)21"/>
    <w:qFormat/>
    <w:uiPriority w:val="0"/>
    <w:rPr>
      <w:rFonts w:hint="eastAsia" w:ascii="宋体" w:hAnsi="宋体" w:eastAsia="宋体" w:cs="宋体"/>
      <w:sz w:val="19"/>
      <w:szCs w:val="19"/>
      <w:u w:val="single"/>
    </w:rPr>
  </w:style>
  <w:style w:type="character" w:customStyle="1" w:styleId="1329">
    <w:name w:val="正文文本 + Angsana New22"/>
    <w:qFormat/>
    <w:uiPriority w:val="0"/>
    <w:rPr>
      <w:rFonts w:hint="cs" w:ascii="Angsana New" w:hAnsi="Angsana New" w:eastAsia="Angsana New" w:cs="Angsana New"/>
      <w:spacing w:val="30"/>
      <w:sz w:val="31"/>
      <w:szCs w:val="31"/>
      <w:cs/>
    </w:rPr>
  </w:style>
  <w:style w:type="character" w:customStyle="1" w:styleId="1330">
    <w:name w:val="页眉或页脚 + 宋体"/>
    <w:qFormat/>
    <w:uiPriority w:val="0"/>
    <w:rPr>
      <w:rFonts w:hint="eastAsia" w:ascii="宋体" w:hAnsi="宋体" w:eastAsia="宋体" w:cs="宋体"/>
      <w:sz w:val="21"/>
      <w:szCs w:val="21"/>
      <w:u w:val="single"/>
    </w:rPr>
  </w:style>
  <w:style w:type="character" w:customStyle="1" w:styleId="1331">
    <w:name w:val="正文文本 (103) + Angsana New1"/>
    <w:qFormat/>
    <w:uiPriority w:val="0"/>
    <w:rPr>
      <w:rFonts w:hint="cs" w:ascii="Angsana New" w:hAnsi="Angsana New" w:eastAsia="Angsana New" w:cs="Angsana New"/>
      <w:w w:val="100"/>
      <w:sz w:val="8"/>
      <w:szCs w:val="8"/>
      <w:cs/>
    </w:rPr>
  </w:style>
  <w:style w:type="character" w:customStyle="1" w:styleId="1332">
    <w:name w:val="标题 #3 (2) + Batang2"/>
    <w:qFormat/>
    <w:uiPriority w:val="0"/>
    <w:rPr>
      <w:rFonts w:hint="eastAsia" w:ascii="Batang" w:hAnsi="Batang" w:eastAsia="Batang" w:cs="Batang"/>
      <w:i/>
      <w:iCs/>
      <w:sz w:val="12"/>
      <w:szCs w:val="12"/>
    </w:rPr>
  </w:style>
  <w:style w:type="character" w:customStyle="1" w:styleId="1333">
    <w:name w:val="正文文本 + Book Antiqua2"/>
    <w:qFormat/>
    <w:uiPriority w:val="0"/>
    <w:rPr>
      <w:rFonts w:hint="default" w:ascii="Book Antiqua" w:hAnsi="Book Antiqua" w:cs="Book Antiqua"/>
      <w:b/>
      <w:bCs/>
      <w:spacing w:val="0"/>
      <w:sz w:val="9"/>
      <w:szCs w:val="9"/>
    </w:rPr>
  </w:style>
  <w:style w:type="character" w:customStyle="1" w:styleId="1334">
    <w:name w:val="正文文本 (26)3"/>
    <w:qFormat/>
    <w:uiPriority w:val="0"/>
    <w:rPr>
      <w:rFonts w:hint="eastAsia" w:ascii="Batang" w:hAnsi="Batang" w:eastAsia="Batang" w:cs="Batang"/>
      <w:spacing w:val="0"/>
      <w:sz w:val="18"/>
      <w:szCs w:val="18"/>
      <w:u w:val="none"/>
    </w:rPr>
  </w:style>
  <w:style w:type="character" w:customStyle="1" w:styleId="1335">
    <w:name w:val="正文文本 (4)5"/>
    <w:qFormat/>
    <w:uiPriority w:val="0"/>
    <w:rPr>
      <w:rFonts w:hint="eastAsia" w:ascii="宋体" w:hAnsi="宋体" w:eastAsia="宋体" w:cs="宋体"/>
      <w:sz w:val="21"/>
      <w:szCs w:val="21"/>
      <w:u w:val="none"/>
    </w:rPr>
  </w:style>
  <w:style w:type="character" w:customStyle="1" w:styleId="1336">
    <w:name w:val="正文文本 (6)4"/>
    <w:qFormat/>
    <w:uiPriority w:val="0"/>
    <w:rPr>
      <w:rFonts w:hint="eastAsia" w:ascii="宋体" w:hAnsi="宋体" w:eastAsia="宋体" w:cs="宋体"/>
      <w:sz w:val="19"/>
      <w:szCs w:val="19"/>
      <w:u w:val="single"/>
    </w:rPr>
  </w:style>
  <w:style w:type="character" w:customStyle="1" w:styleId="1337">
    <w:name w:val="正文文本 + Batang1"/>
    <w:qFormat/>
    <w:uiPriority w:val="0"/>
    <w:rPr>
      <w:rFonts w:hint="eastAsia" w:ascii="Batang" w:hAnsi="Batang" w:eastAsia="Batang" w:cs="Batang"/>
      <w:sz w:val="18"/>
      <w:szCs w:val="18"/>
    </w:rPr>
  </w:style>
  <w:style w:type="character" w:customStyle="1" w:styleId="1338">
    <w:name w:val="正文文本 + Angsana New11"/>
    <w:qFormat/>
    <w:uiPriority w:val="0"/>
    <w:rPr>
      <w:rFonts w:hint="cs" w:ascii="Angsana New" w:hAnsi="Angsana New" w:eastAsia="Angsana New" w:cs="Angsana New"/>
      <w:spacing w:val="0"/>
      <w:sz w:val="31"/>
      <w:szCs w:val="31"/>
      <w:cs/>
    </w:rPr>
  </w:style>
  <w:style w:type="character" w:customStyle="1" w:styleId="1339">
    <w:name w:val="正文文本 + Angsana New21"/>
    <w:qFormat/>
    <w:uiPriority w:val="0"/>
    <w:rPr>
      <w:rFonts w:hint="cs" w:ascii="Angsana New" w:hAnsi="Angsana New" w:eastAsia="Angsana New" w:cs="Angsana New"/>
      <w:spacing w:val="0"/>
      <w:sz w:val="31"/>
      <w:szCs w:val="31"/>
      <w:cs/>
    </w:rPr>
  </w:style>
  <w:style w:type="character" w:customStyle="1" w:styleId="1340">
    <w:name w:val="正文文本 + Angsana New14"/>
    <w:qFormat/>
    <w:uiPriority w:val="0"/>
    <w:rPr>
      <w:rFonts w:hint="cs" w:ascii="Angsana New" w:hAnsi="Angsana New" w:eastAsia="Angsana New" w:cs="Angsana New"/>
      <w:spacing w:val="0"/>
      <w:sz w:val="31"/>
      <w:szCs w:val="31"/>
      <w:cs/>
    </w:rPr>
  </w:style>
  <w:style w:type="character" w:customStyle="1" w:styleId="1341">
    <w:name w:val="正文文本 (21) + Batang1"/>
    <w:qFormat/>
    <w:uiPriority w:val="0"/>
    <w:rPr>
      <w:rFonts w:hint="eastAsia" w:ascii="Batang" w:hAnsi="Batang" w:eastAsia="Batang" w:cs="Batang"/>
      <w:i/>
      <w:iCs/>
      <w:sz w:val="9"/>
      <w:szCs w:val="9"/>
    </w:rPr>
  </w:style>
  <w:style w:type="character" w:customStyle="1" w:styleId="1342">
    <w:name w:val="正文文本 (11) + Batang11"/>
    <w:qFormat/>
    <w:uiPriority w:val="0"/>
    <w:rPr>
      <w:rFonts w:hint="eastAsia" w:ascii="Batang" w:hAnsi="Batang" w:eastAsia="Batang" w:cs="Batang"/>
      <w:spacing w:val="0"/>
      <w:sz w:val="8"/>
      <w:szCs w:val="8"/>
      <w:u w:val="none"/>
    </w:rPr>
  </w:style>
  <w:style w:type="character" w:customStyle="1" w:styleId="1343">
    <w:name w:val="正文文本 + 9.5 pt31"/>
    <w:qFormat/>
    <w:uiPriority w:val="0"/>
    <w:rPr>
      <w:rFonts w:hint="eastAsia" w:ascii="宋体" w:hAnsi="宋体" w:eastAsia="宋体" w:cs="宋体"/>
      <w:sz w:val="19"/>
      <w:szCs w:val="19"/>
      <w:u w:val="none"/>
    </w:rPr>
  </w:style>
  <w:style w:type="character" w:customStyle="1" w:styleId="1344">
    <w:name w:val="正文文本 (6)2"/>
    <w:qFormat/>
    <w:uiPriority w:val="0"/>
    <w:rPr>
      <w:rFonts w:hint="eastAsia" w:ascii="宋体" w:hAnsi="宋体" w:eastAsia="宋体" w:cs="宋体"/>
      <w:sz w:val="19"/>
      <w:szCs w:val="19"/>
      <w:u w:val="single"/>
    </w:rPr>
  </w:style>
  <w:style w:type="character" w:customStyle="1" w:styleId="1345">
    <w:name w:val="正文文本 (9) + MingLiU1"/>
    <w:qFormat/>
    <w:uiPriority w:val="0"/>
    <w:rPr>
      <w:rFonts w:hint="eastAsia" w:ascii="MingLiU" w:hAnsi="MingLiU" w:eastAsia="MingLiU" w:cs="MingLiU"/>
      <w:spacing w:val="0"/>
      <w:sz w:val="12"/>
      <w:szCs w:val="12"/>
    </w:rPr>
  </w:style>
  <w:style w:type="character" w:customStyle="1" w:styleId="1346">
    <w:name w:val="正文文本 + 9 pt"/>
    <w:qFormat/>
    <w:uiPriority w:val="0"/>
    <w:rPr>
      <w:rFonts w:hint="eastAsia" w:ascii="宋体" w:hAnsi="宋体" w:eastAsia="宋体" w:cs="宋体"/>
      <w:sz w:val="18"/>
      <w:szCs w:val="18"/>
      <w:u w:val="none"/>
    </w:rPr>
  </w:style>
  <w:style w:type="character" w:customStyle="1" w:styleId="1347">
    <w:name w:val="正文文本 + Angsana New28"/>
    <w:qFormat/>
    <w:uiPriority w:val="0"/>
    <w:rPr>
      <w:rFonts w:hint="cs" w:ascii="Angsana New" w:hAnsi="Angsana New" w:eastAsia="Angsana New" w:cs="Angsana New"/>
      <w:spacing w:val="20"/>
      <w:sz w:val="31"/>
      <w:szCs w:val="31"/>
      <w:cs/>
    </w:rPr>
  </w:style>
  <w:style w:type="character" w:customStyle="1" w:styleId="1348">
    <w:name w:val="正文文本 (32) + 10 pt"/>
    <w:qFormat/>
    <w:uiPriority w:val="0"/>
    <w:rPr>
      <w:rFonts w:hint="eastAsia" w:ascii="MingLiU" w:hAnsi="MingLiU" w:eastAsia="MingLiU" w:cs="MingLiU"/>
      <w:w w:val="70"/>
      <w:sz w:val="20"/>
      <w:szCs w:val="20"/>
      <w:u w:val="none"/>
    </w:rPr>
  </w:style>
  <w:style w:type="character" w:customStyle="1" w:styleId="1349">
    <w:name w:val="正文文本 (13) + MingLiU"/>
    <w:qFormat/>
    <w:uiPriority w:val="0"/>
    <w:rPr>
      <w:rFonts w:hint="eastAsia" w:ascii="MingLiU" w:hAnsi="Angsana New" w:eastAsia="MingLiU" w:cs="MingLiU"/>
      <w:sz w:val="16"/>
      <w:szCs w:val="16"/>
      <w:shd w:val="clear" w:color="auto" w:fill="FFFFFF"/>
    </w:rPr>
  </w:style>
  <w:style w:type="character" w:customStyle="1" w:styleId="1350">
    <w:name w:val="正文文本 + Angsana New7"/>
    <w:qFormat/>
    <w:uiPriority w:val="0"/>
    <w:rPr>
      <w:rFonts w:hint="cs" w:ascii="Angsana New" w:hAnsi="Angsana New" w:eastAsia="Angsana New" w:cs="Angsana New"/>
      <w:spacing w:val="-10"/>
      <w:sz w:val="25"/>
      <w:szCs w:val="25"/>
      <w:cs/>
    </w:rPr>
  </w:style>
  <w:style w:type="character" w:customStyle="1" w:styleId="1351">
    <w:name w:val="正文文本 (6) + 4 pt"/>
    <w:qFormat/>
    <w:uiPriority w:val="0"/>
    <w:rPr>
      <w:rFonts w:hint="eastAsia" w:ascii="宋体" w:hAnsi="宋体" w:eastAsia="宋体" w:cs="宋体"/>
      <w:sz w:val="8"/>
      <w:szCs w:val="8"/>
      <w:u w:val="none"/>
    </w:rPr>
  </w:style>
  <w:style w:type="character" w:customStyle="1" w:styleId="1352">
    <w:name w:val="正文文本 (19)4"/>
    <w:qFormat/>
    <w:uiPriority w:val="0"/>
    <w:rPr>
      <w:rFonts w:hint="eastAsia" w:ascii="宋体" w:hAnsi="宋体" w:eastAsia="宋体" w:cs="宋体"/>
      <w:sz w:val="19"/>
      <w:szCs w:val="19"/>
      <w:u w:val="none"/>
    </w:rPr>
  </w:style>
  <w:style w:type="character" w:customStyle="1" w:styleId="1353">
    <w:name w:val="正文文本 (103)2"/>
    <w:qFormat/>
    <w:uiPriority w:val="0"/>
    <w:rPr>
      <w:rFonts w:hint="eastAsia" w:ascii="MingLiU" w:hAnsi="MingLiU" w:eastAsia="MingLiU" w:cs="MingLiU"/>
      <w:w w:val="150"/>
      <w:sz w:val="8"/>
      <w:szCs w:val="8"/>
      <w:u w:val="single"/>
    </w:rPr>
  </w:style>
  <w:style w:type="character" w:customStyle="1" w:styleId="1354">
    <w:name w:val="正文文本 (6) + Angsana New4"/>
    <w:qFormat/>
    <w:uiPriority w:val="0"/>
    <w:rPr>
      <w:rFonts w:hint="cs" w:ascii="Angsana New" w:hAnsi="Angsana New" w:eastAsia="Angsana New" w:cs="Angsana New"/>
      <w:spacing w:val="0"/>
      <w:sz w:val="26"/>
      <w:szCs w:val="26"/>
      <w:cs/>
    </w:rPr>
  </w:style>
  <w:style w:type="character" w:customStyle="1" w:styleId="1355">
    <w:name w:val="正文文本 (6)21"/>
    <w:qFormat/>
    <w:uiPriority w:val="0"/>
    <w:rPr>
      <w:rFonts w:hint="eastAsia" w:ascii="宋体" w:hAnsi="宋体" w:eastAsia="宋体" w:cs="宋体"/>
      <w:sz w:val="19"/>
      <w:szCs w:val="19"/>
      <w:u w:val="single"/>
    </w:rPr>
  </w:style>
  <w:style w:type="character" w:customStyle="1" w:styleId="1356">
    <w:name w:val="标题 #3 (2) + Batang1"/>
    <w:qFormat/>
    <w:uiPriority w:val="0"/>
    <w:rPr>
      <w:rFonts w:hint="eastAsia" w:ascii="Batang" w:hAnsi="Batang" w:eastAsia="Batang" w:cs="Batang"/>
      <w:b/>
      <w:bCs/>
      <w:sz w:val="12"/>
      <w:szCs w:val="12"/>
    </w:rPr>
  </w:style>
  <w:style w:type="character" w:customStyle="1" w:styleId="1357">
    <w:name w:val="正文文本 (36) + 间距 1 pt"/>
    <w:qFormat/>
    <w:uiPriority w:val="0"/>
    <w:rPr>
      <w:rFonts w:hint="cs" w:ascii="Angsana New" w:hAnsi="Angsana New" w:eastAsia="Angsana New" w:cs="Angsana New"/>
      <w:spacing w:val="20"/>
      <w:sz w:val="31"/>
      <w:szCs w:val="31"/>
      <w:u w:val="none"/>
      <w:cs/>
    </w:rPr>
  </w:style>
  <w:style w:type="character" w:customStyle="1" w:styleId="1358">
    <w:name w:val="正文文本 (26) + 间距 -1 pt"/>
    <w:qFormat/>
    <w:uiPriority w:val="0"/>
    <w:rPr>
      <w:rFonts w:hint="eastAsia" w:ascii="Batang" w:hAnsi="Batang" w:eastAsia="Batang" w:cs="Batang"/>
      <w:spacing w:val="-20"/>
      <w:sz w:val="18"/>
      <w:szCs w:val="18"/>
      <w:u w:val="none"/>
    </w:rPr>
  </w:style>
  <w:style w:type="character" w:customStyle="1" w:styleId="1359">
    <w:name w:val="正文文本 (9) + 宋体3"/>
    <w:qFormat/>
    <w:uiPriority w:val="0"/>
    <w:rPr>
      <w:rFonts w:hint="eastAsia" w:ascii="宋体" w:hAnsi="宋体" w:eastAsia="宋体" w:cs="宋体"/>
      <w:spacing w:val="0"/>
      <w:sz w:val="19"/>
      <w:szCs w:val="19"/>
    </w:rPr>
  </w:style>
  <w:style w:type="character" w:customStyle="1" w:styleId="1360">
    <w:name w:val="正文文本 (21) + Angsana New1"/>
    <w:qFormat/>
    <w:uiPriority w:val="0"/>
    <w:rPr>
      <w:rFonts w:hint="cs" w:ascii="Angsana New" w:hAnsi="Angsana New" w:eastAsia="Angsana New" w:cs="Angsana New"/>
      <w:i/>
      <w:iCs/>
      <w:spacing w:val="0"/>
      <w:sz w:val="18"/>
      <w:szCs w:val="18"/>
      <w:cs/>
    </w:rPr>
  </w:style>
  <w:style w:type="character" w:customStyle="1" w:styleId="1361">
    <w:name w:val="正文文本 (11) + Batang3"/>
    <w:qFormat/>
    <w:uiPriority w:val="0"/>
    <w:rPr>
      <w:rFonts w:hint="eastAsia" w:ascii="Batang" w:hAnsi="Batang" w:eastAsia="Batang" w:cs="Batang"/>
      <w:spacing w:val="40"/>
      <w:sz w:val="8"/>
      <w:szCs w:val="8"/>
    </w:rPr>
  </w:style>
  <w:style w:type="character" w:customStyle="1" w:styleId="1362">
    <w:name w:val="正文文本 + 9.5 pt21"/>
    <w:qFormat/>
    <w:uiPriority w:val="0"/>
    <w:rPr>
      <w:rFonts w:hint="eastAsia" w:ascii="宋体" w:hAnsi="宋体" w:eastAsia="宋体" w:cs="宋体"/>
      <w:sz w:val="19"/>
      <w:szCs w:val="19"/>
      <w:u w:val="none"/>
    </w:rPr>
  </w:style>
  <w:style w:type="character" w:customStyle="1" w:styleId="1363">
    <w:name w:val="正文文本 (4)3"/>
    <w:qFormat/>
    <w:uiPriority w:val="0"/>
    <w:rPr>
      <w:rFonts w:hint="eastAsia" w:ascii="宋体" w:hAnsi="宋体" w:eastAsia="宋体" w:cs="宋体"/>
      <w:sz w:val="21"/>
      <w:szCs w:val="21"/>
    </w:rPr>
  </w:style>
  <w:style w:type="character" w:customStyle="1" w:styleId="1364">
    <w:name w:val="正文文本 (11) + Batang1"/>
    <w:qFormat/>
    <w:uiPriority w:val="0"/>
    <w:rPr>
      <w:rFonts w:hint="eastAsia" w:ascii="Batang" w:hAnsi="Batang" w:eastAsia="Batang" w:cs="Batang"/>
      <w:i/>
      <w:iCs/>
      <w:sz w:val="9"/>
      <w:szCs w:val="9"/>
    </w:rPr>
  </w:style>
  <w:style w:type="character" w:customStyle="1" w:styleId="1365">
    <w:name w:val="正文文本 (9) + 宋体10"/>
    <w:qFormat/>
    <w:uiPriority w:val="0"/>
    <w:rPr>
      <w:rFonts w:hint="eastAsia" w:ascii="宋体" w:hAnsi="宋体" w:eastAsia="宋体" w:cs="宋体"/>
      <w:spacing w:val="0"/>
      <w:sz w:val="19"/>
      <w:szCs w:val="19"/>
    </w:rPr>
  </w:style>
  <w:style w:type="character" w:customStyle="1" w:styleId="1366">
    <w:name w:val="正文文本 (6) + Angsana New3"/>
    <w:qFormat/>
    <w:uiPriority w:val="0"/>
    <w:rPr>
      <w:rFonts w:hint="cs" w:ascii="Angsana New" w:hAnsi="Angsana New" w:eastAsia="Angsana New" w:cs="Angsana New"/>
      <w:spacing w:val="0"/>
      <w:sz w:val="26"/>
      <w:szCs w:val="26"/>
      <w:cs/>
    </w:rPr>
  </w:style>
  <w:style w:type="character" w:customStyle="1" w:styleId="1367">
    <w:name w:val="表格标题2"/>
    <w:qFormat/>
    <w:uiPriority w:val="0"/>
    <w:rPr>
      <w:rFonts w:hint="eastAsia" w:ascii="宋体" w:hAnsi="宋体" w:eastAsia="宋体" w:cs="宋体"/>
      <w:sz w:val="21"/>
      <w:szCs w:val="21"/>
      <w:u w:val="none"/>
    </w:rPr>
  </w:style>
  <w:style w:type="character" w:customStyle="1" w:styleId="1368">
    <w:name w:val="msoins"/>
    <w:qFormat/>
    <w:uiPriority w:val="0"/>
  </w:style>
  <w:style w:type="character" w:customStyle="1" w:styleId="1369">
    <w:name w:val="正文文本 (11)2"/>
    <w:qFormat/>
    <w:uiPriority w:val="0"/>
    <w:rPr>
      <w:rFonts w:hint="eastAsia" w:ascii="宋体" w:hAnsi="宋体" w:eastAsia="宋体" w:cs="宋体"/>
      <w:sz w:val="8"/>
      <w:szCs w:val="8"/>
      <w:u w:val="none"/>
    </w:rPr>
  </w:style>
  <w:style w:type="character" w:customStyle="1" w:styleId="1370">
    <w:name w:val="正文文本 (9)3"/>
    <w:qFormat/>
    <w:uiPriority w:val="0"/>
    <w:rPr>
      <w:rFonts w:hint="cs" w:ascii="Angsana New" w:hAnsi="Angsana New" w:eastAsia="Angsana New" w:cs="Angsana New"/>
      <w:spacing w:val="0"/>
      <w:sz w:val="26"/>
      <w:szCs w:val="26"/>
      <w:u w:val="none"/>
      <w:cs/>
    </w:rPr>
  </w:style>
  <w:style w:type="character" w:customStyle="1" w:styleId="1371">
    <w:name w:val="标题 #3 (2) + Batang"/>
    <w:qFormat/>
    <w:uiPriority w:val="0"/>
    <w:rPr>
      <w:rFonts w:hint="eastAsia" w:ascii="Batang" w:hAnsi="Batang" w:eastAsia="Batang" w:cs="Batang"/>
      <w:b/>
      <w:bCs/>
      <w:sz w:val="12"/>
      <w:szCs w:val="12"/>
      <w:u w:val="none"/>
    </w:rPr>
  </w:style>
  <w:style w:type="character" w:customStyle="1" w:styleId="1372">
    <w:name w:val="正文文本 + Batang3"/>
    <w:qFormat/>
    <w:uiPriority w:val="0"/>
    <w:rPr>
      <w:rFonts w:hint="eastAsia" w:ascii="Batang" w:hAnsi="Batang" w:eastAsia="Batang" w:cs="Batang"/>
      <w:b/>
      <w:bCs/>
      <w:sz w:val="12"/>
      <w:szCs w:val="12"/>
    </w:rPr>
  </w:style>
  <w:style w:type="character" w:customStyle="1" w:styleId="1373">
    <w:name w:val="标题 #11 + Batang1"/>
    <w:qFormat/>
    <w:uiPriority w:val="0"/>
    <w:rPr>
      <w:rFonts w:hint="eastAsia" w:ascii="Batang" w:hAnsi="Batang" w:eastAsia="Batang" w:cs="Batang"/>
      <w:b/>
      <w:bCs/>
      <w:sz w:val="12"/>
      <w:szCs w:val="12"/>
    </w:rPr>
  </w:style>
  <w:style w:type="character" w:customStyle="1" w:styleId="1374">
    <w:name w:val="h1 Char"/>
    <w:qFormat/>
    <w:uiPriority w:val="0"/>
    <w:rPr>
      <w:b/>
      <w:bCs/>
      <w:kern w:val="44"/>
      <w:sz w:val="44"/>
      <w:szCs w:val="44"/>
    </w:rPr>
  </w:style>
  <w:style w:type="character" w:customStyle="1" w:styleId="1375">
    <w:name w:val="标题 #3 (5) + 粗体"/>
    <w:qFormat/>
    <w:uiPriority w:val="0"/>
    <w:rPr>
      <w:rFonts w:hint="eastAsia" w:ascii="宋体" w:hAnsi="宋体" w:eastAsia="宋体" w:cs="宋体"/>
      <w:b/>
      <w:bCs/>
      <w:sz w:val="21"/>
      <w:szCs w:val="21"/>
      <w:u w:val="none"/>
    </w:rPr>
  </w:style>
  <w:style w:type="character" w:customStyle="1" w:styleId="1376">
    <w:name w:val="正文文本 (6)11"/>
    <w:qFormat/>
    <w:uiPriority w:val="0"/>
    <w:rPr>
      <w:rFonts w:hint="eastAsia" w:ascii="宋体" w:hAnsi="宋体" w:eastAsia="宋体" w:cs="宋体"/>
      <w:sz w:val="19"/>
      <w:szCs w:val="19"/>
      <w:u w:val="none"/>
    </w:rPr>
  </w:style>
  <w:style w:type="character" w:customStyle="1" w:styleId="1377">
    <w:name w:val="正文文本 (4)1"/>
    <w:qFormat/>
    <w:uiPriority w:val="0"/>
    <w:rPr>
      <w:rFonts w:hint="eastAsia" w:ascii="宋体" w:hAnsi="宋体" w:eastAsia="宋体" w:cs="宋体"/>
      <w:sz w:val="21"/>
      <w:szCs w:val="21"/>
    </w:rPr>
  </w:style>
  <w:style w:type="character" w:customStyle="1" w:styleId="1378">
    <w:name w:val="标题 #3 (4) + Calibri"/>
    <w:qFormat/>
    <w:uiPriority w:val="0"/>
    <w:rPr>
      <w:rFonts w:hint="default" w:ascii="Calibri" w:hAnsi="Calibri" w:eastAsia="Calibri" w:cs="Calibri"/>
      <w:spacing w:val="20"/>
      <w:sz w:val="28"/>
      <w:szCs w:val="28"/>
      <w:u w:val="none"/>
    </w:rPr>
  </w:style>
  <w:style w:type="character" w:customStyle="1" w:styleId="1379">
    <w:name w:val="标题 #1 (2) + 10.5 pt"/>
    <w:qFormat/>
    <w:uiPriority w:val="0"/>
    <w:rPr>
      <w:rFonts w:hint="eastAsia" w:ascii="宋体" w:hAnsi="宋体" w:eastAsia="宋体" w:cs="宋体"/>
      <w:sz w:val="21"/>
      <w:szCs w:val="21"/>
      <w:u w:val="none"/>
    </w:rPr>
  </w:style>
  <w:style w:type="character" w:customStyle="1" w:styleId="1380">
    <w:name w:val="正文文本 (11) + Batang2"/>
    <w:qFormat/>
    <w:uiPriority w:val="0"/>
    <w:rPr>
      <w:rFonts w:hint="eastAsia" w:ascii="Batang" w:hAnsi="Batang" w:eastAsia="Batang" w:cs="Batang"/>
      <w:spacing w:val="0"/>
      <w:sz w:val="8"/>
      <w:szCs w:val="8"/>
    </w:rPr>
  </w:style>
  <w:style w:type="character" w:customStyle="1" w:styleId="1381">
    <w:name w:val="正文文本 (28) + 4 pt1"/>
    <w:qFormat/>
    <w:uiPriority w:val="0"/>
    <w:rPr>
      <w:rFonts w:hint="eastAsia" w:ascii="宋体" w:hAnsi="宋体" w:eastAsia="宋体" w:cs="宋体"/>
      <w:i/>
      <w:iCs/>
      <w:w w:val="100"/>
      <w:sz w:val="8"/>
      <w:szCs w:val="8"/>
    </w:rPr>
  </w:style>
  <w:style w:type="character" w:customStyle="1" w:styleId="1382">
    <w:name w:val="正文文本 (106) + Batang1"/>
    <w:qFormat/>
    <w:uiPriority w:val="0"/>
    <w:rPr>
      <w:rFonts w:hint="eastAsia" w:ascii="Batang" w:hAnsi="Batang" w:eastAsia="Batang" w:cs="Batang"/>
      <w:spacing w:val="0"/>
      <w:w w:val="100"/>
      <w:sz w:val="8"/>
      <w:szCs w:val="8"/>
    </w:rPr>
  </w:style>
  <w:style w:type="character" w:customStyle="1" w:styleId="1383">
    <w:name w:val="正文文本 + 11 pt1"/>
    <w:qFormat/>
    <w:uiPriority w:val="0"/>
    <w:rPr>
      <w:rFonts w:hint="eastAsia" w:ascii="宋体" w:hAnsi="宋体" w:eastAsia="宋体" w:cs="宋体"/>
      <w:sz w:val="22"/>
      <w:szCs w:val="22"/>
    </w:rPr>
  </w:style>
  <w:style w:type="character" w:customStyle="1" w:styleId="1384">
    <w:name w:val="正文文本 (21) + 斜体1"/>
    <w:qFormat/>
    <w:uiPriority w:val="0"/>
    <w:rPr>
      <w:rFonts w:hint="eastAsia" w:ascii="宋体" w:hAnsi="宋体" w:eastAsia="宋体" w:cs="宋体"/>
      <w:i/>
      <w:iCs/>
      <w:sz w:val="19"/>
      <w:szCs w:val="19"/>
    </w:rPr>
  </w:style>
  <w:style w:type="character" w:customStyle="1" w:styleId="1385">
    <w:name w:val="正文文本 (6) + Angsana New11"/>
    <w:qFormat/>
    <w:uiPriority w:val="0"/>
    <w:rPr>
      <w:rFonts w:hint="cs" w:ascii="Angsana New" w:hAnsi="Angsana New" w:eastAsia="Angsana New" w:cs="Angsana New"/>
      <w:spacing w:val="0"/>
      <w:sz w:val="26"/>
      <w:szCs w:val="26"/>
      <w:cs/>
    </w:rPr>
  </w:style>
  <w:style w:type="character" w:customStyle="1" w:styleId="1386">
    <w:name w:val="正文文本 + Angsana New1"/>
    <w:qFormat/>
    <w:uiPriority w:val="0"/>
    <w:rPr>
      <w:rFonts w:hint="cs" w:ascii="Angsana New" w:hAnsi="Angsana New" w:eastAsia="Angsana New" w:cs="Angsana New"/>
      <w:spacing w:val="-30"/>
      <w:sz w:val="31"/>
      <w:szCs w:val="31"/>
      <w:cs/>
    </w:rPr>
  </w:style>
  <w:style w:type="character" w:customStyle="1" w:styleId="1387">
    <w:name w:val="正文文本 + Angsana New17"/>
    <w:qFormat/>
    <w:uiPriority w:val="0"/>
    <w:rPr>
      <w:rFonts w:hint="cs" w:ascii="Angsana New" w:hAnsi="Angsana New" w:eastAsia="Angsana New" w:cs="Angsana New"/>
      <w:spacing w:val="-30"/>
      <w:sz w:val="31"/>
      <w:szCs w:val="31"/>
      <w:cs/>
    </w:rPr>
  </w:style>
  <w:style w:type="character" w:customStyle="1" w:styleId="1388">
    <w:name w:val="正文文本 (9) + 宋体14"/>
    <w:qFormat/>
    <w:uiPriority w:val="0"/>
    <w:rPr>
      <w:rFonts w:hint="eastAsia" w:ascii="宋体" w:hAnsi="宋体" w:eastAsia="宋体" w:cs="宋体"/>
      <w:spacing w:val="0"/>
      <w:sz w:val="19"/>
      <w:szCs w:val="19"/>
    </w:rPr>
  </w:style>
  <w:style w:type="character" w:customStyle="1" w:styleId="1389">
    <w:name w:val="正文文本 + Angsana New4"/>
    <w:qFormat/>
    <w:uiPriority w:val="0"/>
    <w:rPr>
      <w:rFonts w:hint="cs" w:ascii="Angsana New" w:hAnsi="Angsana New" w:eastAsia="Angsana New" w:cs="Angsana New"/>
      <w:spacing w:val="0"/>
      <w:sz w:val="31"/>
      <w:szCs w:val="31"/>
      <w:cs/>
    </w:rPr>
  </w:style>
  <w:style w:type="character" w:customStyle="1" w:styleId="1390">
    <w:name w:val="正文文本 + Angsana New19"/>
    <w:qFormat/>
    <w:uiPriority w:val="0"/>
    <w:rPr>
      <w:rFonts w:hint="cs" w:ascii="Angsana New" w:hAnsi="Angsana New" w:eastAsia="Angsana New" w:cs="Angsana New"/>
      <w:spacing w:val="30"/>
      <w:sz w:val="31"/>
      <w:szCs w:val="31"/>
      <w:cs/>
    </w:rPr>
  </w:style>
  <w:style w:type="character" w:customStyle="1" w:styleId="1391">
    <w:name w:val="正文文本 + 9.5 pt1"/>
    <w:qFormat/>
    <w:uiPriority w:val="0"/>
    <w:rPr>
      <w:rFonts w:hint="eastAsia" w:ascii="宋体" w:hAnsi="宋体" w:eastAsia="宋体" w:cs="宋体"/>
      <w:sz w:val="19"/>
      <w:szCs w:val="19"/>
    </w:rPr>
  </w:style>
  <w:style w:type="character" w:customStyle="1" w:styleId="1392">
    <w:name w:val="表格标题 (2)1"/>
    <w:qFormat/>
    <w:uiPriority w:val="0"/>
    <w:rPr>
      <w:rFonts w:hint="eastAsia" w:ascii="宋体" w:hAnsi="宋体" w:eastAsia="宋体" w:cs="宋体"/>
      <w:sz w:val="19"/>
      <w:szCs w:val="19"/>
      <w:u w:val="single"/>
    </w:rPr>
  </w:style>
  <w:style w:type="character" w:customStyle="1" w:styleId="1393">
    <w:name w:val="正文文本 + Angsana New5"/>
    <w:qFormat/>
    <w:uiPriority w:val="0"/>
    <w:rPr>
      <w:rFonts w:hint="cs" w:ascii="Angsana New" w:hAnsi="Angsana New" w:eastAsia="Angsana New" w:cs="Angsana New"/>
      <w:spacing w:val="0"/>
      <w:sz w:val="31"/>
      <w:szCs w:val="31"/>
      <w:cs/>
    </w:rPr>
  </w:style>
  <w:style w:type="character" w:customStyle="1" w:styleId="1394">
    <w:name w:val="正文文本 (9) + MingLiU2"/>
    <w:qFormat/>
    <w:uiPriority w:val="0"/>
    <w:rPr>
      <w:rFonts w:hint="eastAsia" w:ascii="MingLiU" w:hAnsi="MingLiU" w:eastAsia="MingLiU" w:cs="MingLiU"/>
      <w:spacing w:val="0"/>
      <w:sz w:val="12"/>
      <w:szCs w:val="12"/>
    </w:rPr>
  </w:style>
  <w:style w:type="character" w:customStyle="1" w:styleId="1395">
    <w:name w:val="正文文本 (6)5"/>
    <w:qFormat/>
    <w:uiPriority w:val="0"/>
    <w:rPr>
      <w:rFonts w:hint="eastAsia" w:ascii="宋体" w:hAnsi="宋体" w:eastAsia="宋体" w:cs="宋体"/>
      <w:sz w:val="19"/>
      <w:szCs w:val="19"/>
      <w:u w:val="single"/>
    </w:rPr>
  </w:style>
  <w:style w:type="character" w:customStyle="1" w:styleId="1396">
    <w:name w:val="页眉或页脚 + 宋体1"/>
    <w:qFormat/>
    <w:uiPriority w:val="0"/>
    <w:rPr>
      <w:rFonts w:hint="eastAsia" w:ascii="宋体" w:hAnsi="宋体" w:eastAsia="宋体" w:cs="宋体"/>
      <w:sz w:val="29"/>
      <w:szCs w:val="29"/>
    </w:rPr>
  </w:style>
  <w:style w:type="character" w:customStyle="1" w:styleId="1397">
    <w:name w:val="正文文本 (6) + 7 pt1"/>
    <w:qFormat/>
    <w:uiPriority w:val="0"/>
    <w:rPr>
      <w:rFonts w:hint="eastAsia" w:ascii="宋体" w:hAnsi="宋体" w:eastAsia="宋体" w:cs="宋体"/>
      <w:w w:val="150"/>
      <w:sz w:val="14"/>
      <w:szCs w:val="14"/>
    </w:rPr>
  </w:style>
  <w:style w:type="character" w:customStyle="1" w:styleId="1398">
    <w:name w:val="正文文本 (6) + Angsana New9"/>
    <w:qFormat/>
    <w:uiPriority w:val="0"/>
    <w:rPr>
      <w:rFonts w:hint="cs" w:ascii="Angsana New" w:hAnsi="Angsana New" w:eastAsia="Angsana New" w:cs="Angsana New"/>
      <w:spacing w:val="-20"/>
      <w:sz w:val="26"/>
      <w:szCs w:val="26"/>
      <w:cs/>
    </w:rPr>
  </w:style>
  <w:style w:type="character" w:customStyle="1" w:styleId="1399">
    <w:name w:val="正文文本 + Angsana New16"/>
    <w:qFormat/>
    <w:uiPriority w:val="0"/>
    <w:rPr>
      <w:rFonts w:hint="cs" w:ascii="Angsana New" w:hAnsi="Angsana New" w:eastAsia="Angsana New" w:cs="Angsana New"/>
      <w:spacing w:val="0"/>
      <w:sz w:val="31"/>
      <w:szCs w:val="31"/>
      <w:cs/>
    </w:rPr>
  </w:style>
  <w:style w:type="character" w:customStyle="1" w:styleId="1400">
    <w:name w:val="正文文本 (9) + 宋体2"/>
    <w:qFormat/>
    <w:uiPriority w:val="0"/>
    <w:rPr>
      <w:rFonts w:hint="eastAsia" w:ascii="宋体" w:hAnsi="宋体" w:eastAsia="宋体" w:cs="宋体"/>
      <w:spacing w:val="0"/>
      <w:sz w:val="19"/>
      <w:szCs w:val="19"/>
    </w:rPr>
  </w:style>
  <w:style w:type="character" w:customStyle="1" w:styleId="1401">
    <w:name w:val="正文文本 (21) + Angsana New2"/>
    <w:qFormat/>
    <w:uiPriority w:val="0"/>
    <w:rPr>
      <w:rFonts w:hint="cs" w:ascii="Angsana New" w:hAnsi="Angsana New" w:eastAsia="Angsana New" w:cs="Angsana New"/>
      <w:spacing w:val="0"/>
      <w:sz w:val="26"/>
      <w:szCs w:val="26"/>
      <w:cs/>
    </w:rPr>
  </w:style>
  <w:style w:type="character" w:customStyle="1" w:styleId="1402">
    <w:name w:val="正文文本 (6) + Angsana New10"/>
    <w:qFormat/>
    <w:uiPriority w:val="0"/>
    <w:rPr>
      <w:rFonts w:hint="cs" w:ascii="Angsana New" w:hAnsi="Angsana New" w:eastAsia="Angsana New" w:cs="Angsana New"/>
      <w:spacing w:val="0"/>
      <w:sz w:val="26"/>
      <w:szCs w:val="26"/>
      <w:cs/>
    </w:rPr>
  </w:style>
  <w:style w:type="character" w:customStyle="1" w:styleId="1403">
    <w:name w:val="正文文本 (6)3"/>
    <w:qFormat/>
    <w:uiPriority w:val="0"/>
    <w:rPr>
      <w:rFonts w:hint="eastAsia" w:ascii="宋体" w:hAnsi="宋体" w:eastAsia="宋体" w:cs="宋体"/>
      <w:sz w:val="19"/>
      <w:szCs w:val="19"/>
      <w:u w:val="single"/>
    </w:rPr>
  </w:style>
  <w:style w:type="character" w:customStyle="1" w:styleId="1404">
    <w:name w:val="正文文本 (9) + 宋体8"/>
    <w:qFormat/>
    <w:uiPriority w:val="0"/>
    <w:rPr>
      <w:rFonts w:hint="eastAsia" w:ascii="宋体" w:hAnsi="宋体" w:eastAsia="宋体" w:cs="宋体"/>
      <w:spacing w:val="0"/>
      <w:sz w:val="19"/>
      <w:szCs w:val="19"/>
    </w:rPr>
  </w:style>
  <w:style w:type="character" w:customStyle="1" w:styleId="1405">
    <w:name w:val="正文文本 (6) + Angsana New5"/>
    <w:qFormat/>
    <w:uiPriority w:val="0"/>
    <w:rPr>
      <w:rFonts w:hint="cs" w:ascii="Angsana New" w:hAnsi="Angsana New" w:eastAsia="Angsana New" w:cs="Angsana New"/>
      <w:spacing w:val="0"/>
      <w:sz w:val="26"/>
      <w:szCs w:val="26"/>
      <w:cs/>
    </w:rPr>
  </w:style>
  <w:style w:type="character" w:customStyle="1" w:styleId="1406">
    <w:name w:val="正文文本 (19)1"/>
    <w:qFormat/>
    <w:uiPriority w:val="0"/>
    <w:rPr>
      <w:rFonts w:hint="eastAsia" w:ascii="宋体" w:hAnsi="宋体" w:eastAsia="宋体" w:cs="宋体"/>
      <w:sz w:val="19"/>
      <w:szCs w:val="19"/>
      <w:u w:val="single"/>
    </w:rPr>
  </w:style>
  <w:style w:type="character" w:customStyle="1" w:styleId="1407">
    <w:name w:val="正文文本 (4)2"/>
    <w:qFormat/>
    <w:uiPriority w:val="0"/>
    <w:rPr>
      <w:rFonts w:hint="eastAsia" w:ascii="宋体" w:hAnsi="宋体" w:eastAsia="宋体" w:cs="宋体"/>
      <w:sz w:val="21"/>
      <w:szCs w:val="21"/>
    </w:rPr>
  </w:style>
  <w:style w:type="character" w:customStyle="1" w:styleId="1408">
    <w:name w:val="正文文本 + 9.5 pt4"/>
    <w:qFormat/>
    <w:uiPriority w:val="0"/>
    <w:rPr>
      <w:rFonts w:hint="eastAsia" w:ascii="宋体" w:hAnsi="宋体" w:eastAsia="宋体" w:cs="宋体"/>
      <w:w w:val="150"/>
      <w:sz w:val="19"/>
      <w:szCs w:val="19"/>
    </w:rPr>
  </w:style>
  <w:style w:type="character" w:customStyle="1" w:styleId="1409">
    <w:name w:val="正文文本 + Angsana New15"/>
    <w:qFormat/>
    <w:uiPriority w:val="0"/>
    <w:rPr>
      <w:rFonts w:hint="cs" w:ascii="Angsana New" w:hAnsi="Angsana New" w:eastAsia="Angsana New" w:cs="Angsana New"/>
      <w:spacing w:val="0"/>
      <w:sz w:val="26"/>
      <w:szCs w:val="26"/>
      <w:cs/>
    </w:rPr>
  </w:style>
  <w:style w:type="character" w:customStyle="1" w:styleId="1410">
    <w:name w:val="正文文本 (6) + Angsana New7"/>
    <w:qFormat/>
    <w:uiPriority w:val="0"/>
    <w:rPr>
      <w:rFonts w:hint="cs" w:ascii="Angsana New" w:hAnsi="Angsana New" w:eastAsia="Angsana New" w:cs="Angsana New"/>
      <w:spacing w:val="-20"/>
      <w:sz w:val="26"/>
      <w:szCs w:val="26"/>
      <w:cs/>
    </w:rPr>
  </w:style>
  <w:style w:type="character" w:customStyle="1" w:styleId="1411">
    <w:name w:val="正文文本 (9) + 间距 -1 pt1"/>
    <w:qFormat/>
    <w:uiPriority w:val="0"/>
    <w:rPr>
      <w:rFonts w:hint="cs" w:ascii="Angsana New" w:hAnsi="Angsana New" w:eastAsia="Angsana New" w:cs="Angsana New"/>
      <w:spacing w:val="-20"/>
      <w:sz w:val="26"/>
      <w:szCs w:val="26"/>
      <w:cs/>
    </w:rPr>
  </w:style>
  <w:style w:type="character" w:customStyle="1" w:styleId="1412">
    <w:name w:val="正文文本 (6)1"/>
    <w:qFormat/>
    <w:uiPriority w:val="0"/>
    <w:rPr>
      <w:rFonts w:hint="eastAsia" w:ascii="宋体" w:hAnsi="宋体" w:eastAsia="宋体" w:cs="宋体"/>
      <w:sz w:val="19"/>
      <w:szCs w:val="19"/>
      <w:u w:val="single"/>
    </w:rPr>
  </w:style>
  <w:style w:type="character" w:customStyle="1" w:styleId="1413">
    <w:name w:val="正文文本 (12) + Franklin Gothic Book1"/>
    <w:qFormat/>
    <w:uiPriority w:val="0"/>
    <w:rPr>
      <w:rFonts w:hint="default" w:ascii="Franklin Gothic Book" w:hAnsi="Franklin Gothic Book" w:eastAsia="Franklin Gothic Book" w:cs="Franklin Gothic Book"/>
      <w:w w:val="300"/>
      <w:sz w:val="27"/>
      <w:szCs w:val="27"/>
    </w:rPr>
  </w:style>
  <w:style w:type="character" w:customStyle="1" w:styleId="1414">
    <w:name w:val="正文文本 (17) + Franklin Gothic Book1"/>
    <w:qFormat/>
    <w:uiPriority w:val="0"/>
    <w:rPr>
      <w:rFonts w:hint="default" w:ascii="Franklin Gothic Book" w:hAnsi="Franklin Gothic Book" w:eastAsia="Franklin Gothic Book" w:cs="Franklin Gothic Book"/>
      <w:spacing w:val="-30"/>
      <w:w w:val="300"/>
      <w:sz w:val="27"/>
      <w:szCs w:val="27"/>
    </w:rPr>
  </w:style>
  <w:style w:type="character" w:customStyle="1" w:styleId="1415">
    <w:name w:val="正文文本 (9) + 宋体4"/>
    <w:qFormat/>
    <w:uiPriority w:val="0"/>
    <w:rPr>
      <w:rFonts w:hint="eastAsia" w:ascii="宋体" w:hAnsi="宋体" w:eastAsia="宋体" w:cs="宋体"/>
      <w:spacing w:val="0"/>
      <w:sz w:val="8"/>
      <w:szCs w:val="8"/>
    </w:rPr>
  </w:style>
  <w:style w:type="character" w:customStyle="1" w:styleId="1416">
    <w:name w:val="正文文本 (9) + 宋体6"/>
    <w:qFormat/>
    <w:uiPriority w:val="0"/>
    <w:rPr>
      <w:rFonts w:hint="eastAsia" w:ascii="宋体" w:hAnsi="宋体" w:eastAsia="宋体" w:cs="宋体"/>
      <w:spacing w:val="0"/>
      <w:sz w:val="19"/>
      <w:szCs w:val="19"/>
    </w:rPr>
  </w:style>
  <w:style w:type="character" w:customStyle="1" w:styleId="1417">
    <w:name w:val="正文文本 (9) + 间距 -1 pt2"/>
    <w:qFormat/>
    <w:uiPriority w:val="0"/>
    <w:rPr>
      <w:rFonts w:hint="cs" w:ascii="Angsana New" w:hAnsi="Angsana New" w:eastAsia="Angsana New" w:cs="Angsana New"/>
      <w:spacing w:val="-30"/>
      <w:sz w:val="26"/>
      <w:szCs w:val="26"/>
      <w:cs/>
    </w:rPr>
  </w:style>
  <w:style w:type="character" w:customStyle="1" w:styleId="1418">
    <w:name w:val="正文文本 (6) + Angsana New1"/>
    <w:qFormat/>
    <w:uiPriority w:val="0"/>
    <w:rPr>
      <w:rFonts w:hint="cs" w:ascii="Angsana New" w:hAnsi="Angsana New" w:eastAsia="Angsana New" w:cs="Angsana New"/>
      <w:spacing w:val="0"/>
      <w:sz w:val="26"/>
      <w:szCs w:val="26"/>
      <w:cs/>
    </w:rPr>
  </w:style>
  <w:style w:type="character" w:customStyle="1" w:styleId="1419">
    <w:name w:val="正文文本 (12) + Courier New2"/>
    <w:qFormat/>
    <w:uiPriority w:val="0"/>
    <w:rPr>
      <w:rFonts w:hint="default" w:ascii="Courier New" w:hAnsi="Courier New" w:eastAsia="Courier New" w:cs="Courier New"/>
      <w:b/>
      <w:bCs/>
      <w:w w:val="100"/>
      <w:sz w:val="19"/>
      <w:szCs w:val="19"/>
    </w:rPr>
  </w:style>
  <w:style w:type="character" w:customStyle="1" w:styleId="1420">
    <w:name w:val="正文文本 (6)6"/>
    <w:qFormat/>
    <w:uiPriority w:val="0"/>
    <w:rPr>
      <w:rFonts w:hint="eastAsia" w:ascii="宋体" w:hAnsi="宋体" w:eastAsia="宋体" w:cs="宋体"/>
      <w:sz w:val="19"/>
      <w:szCs w:val="19"/>
      <w:u w:val="single"/>
    </w:rPr>
  </w:style>
  <w:style w:type="character" w:customStyle="1" w:styleId="1421">
    <w:name w:val="正文文本 (12) + Courier New1"/>
    <w:qFormat/>
    <w:uiPriority w:val="0"/>
    <w:rPr>
      <w:rFonts w:hint="default" w:ascii="Courier New" w:hAnsi="Courier New" w:eastAsia="Courier New" w:cs="Courier New"/>
      <w:b/>
      <w:bCs/>
      <w:spacing w:val="-20"/>
      <w:w w:val="100"/>
      <w:sz w:val="19"/>
      <w:szCs w:val="19"/>
      <w:u w:val="single"/>
    </w:rPr>
  </w:style>
  <w:style w:type="character" w:customStyle="1" w:styleId="1422">
    <w:name w:val="正文文本 + Angsana New20"/>
    <w:qFormat/>
    <w:uiPriority w:val="0"/>
    <w:rPr>
      <w:rFonts w:hint="cs" w:ascii="Angsana New" w:hAnsi="Angsana New" w:eastAsia="Angsana New" w:cs="Angsana New"/>
      <w:spacing w:val="0"/>
      <w:sz w:val="31"/>
      <w:szCs w:val="31"/>
      <w:cs/>
    </w:rPr>
  </w:style>
  <w:style w:type="character" w:customStyle="1" w:styleId="1423">
    <w:name w:val="正文文本 + Angsana New23"/>
    <w:qFormat/>
    <w:uiPriority w:val="0"/>
    <w:rPr>
      <w:rFonts w:hint="cs" w:ascii="Angsana New" w:hAnsi="Angsana New" w:eastAsia="Angsana New" w:cs="Angsana New"/>
      <w:spacing w:val="0"/>
      <w:sz w:val="31"/>
      <w:szCs w:val="31"/>
      <w:cs/>
    </w:rPr>
  </w:style>
  <w:style w:type="character" w:customStyle="1" w:styleId="1424">
    <w:name w:val="正文文本 + Batang5"/>
    <w:qFormat/>
    <w:uiPriority w:val="0"/>
    <w:rPr>
      <w:rFonts w:hint="eastAsia" w:ascii="Batang" w:hAnsi="Batang" w:eastAsia="Batang" w:cs="Batang"/>
      <w:i/>
      <w:iCs/>
      <w:sz w:val="12"/>
      <w:szCs w:val="12"/>
    </w:rPr>
  </w:style>
  <w:style w:type="character" w:customStyle="1" w:styleId="1425">
    <w:name w:val="正文文本 + Angsana New24"/>
    <w:qFormat/>
    <w:uiPriority w:val="0"/>
    <w:rPr>
      <w:rFonts w:hint="cs" w:ascii="Angsana New" w:hAnsi="Angsana New" w:eastAsia="Angsana New" w:cs="Angsana New"/>
      <w:spacing w:val="0"/>
      <w:sz w:val="31"/>
      <w:szCs w:val="31"/>
      <w:cs/>
    </w:rPr>
  </w:style>
  <w:style w:type="character" w:customStyle="1" w:styleId="1426">
    <w:name w:val="正文文本 + Batang6"/>
    <w:qFormat/>
    <w:uiPriority w:val="0"/>
    <w:rPr>
      <w:rFonts w:hint="eastAsia" w:ascii="Batang" w:hAnsi="Batang" w:eastAsia="Batang" w:cs="Batang"/>
      <w:i/>
      <w:iCs/>
      <w:sz w:val="12"/>
      <w:szCs w:val="12"/>
    </w:rPr>
  </w:style>
  <w:style w:type="character" w:customStyle="1" w:styleId="1427">
    <w:name w:val="正文文本 + 粗体1"/>
    <w:qFormat/>
    <w:uiPriority w:val="0"/>
    <w:rPr>
      <w:rFonts w:hint="eastAsia" w:ascii="宋体" w:hAnsi="宋体" w:eastAsia="宋体" w:cs="宋体"/>
      <w:b/>
      <w:bCs/>
      <w:sz w:val="21"/>
      <w:szCs w:val="21"/>
    </w:rPr>
  </w:style>
  <w:style w:type="character" w:customStyle="1" w:styleId="1428">
    <w:name w:val="正文文本 + Angsana New25"/>
    <w:qFormat/>
    <w:uiPriority w:val="0"/>
    <w:rPr>
      <w:rFonts w:hint="cs" w:ascii="Angsana New" w:hAnsi="Angsana New" w:eastAsia="Angsana New" w:cs="Angsana New"/>
      <w:spacing w:val="20"/>
      <w:sz w:val="31"/>
      <w:szCs w:val="31"/>
      <w:cs/>
    </w:rPr>
  </w:style>
  <w:style w:type="character" w:customStyle="1" w:styleId="1429">
    <w:name w:val="正文文本 + Calibri1"/>
    <w:qFormat/>
    <w:uiPriority w:val="0"/>
    <w:rPr>
      <w:rFonts w:hint="default" w:ascii="Calibri" w:hAnsi="Calibri" w:eastAsia="Calibri" w:cs="Calibri"/>
      <w:spacing w:val="-20"/>
      <w:w w:val="150"/>
      <w:sz w:val="24"/>
      <w:szCs w:val="24"/>
    </w:rPr>
  </w:style>
  <w:style w:type="character" w:customStyle="1" w:styleId="1430">
    <w:name w:val="正文文本 + Angsana New27"/>
    <w:qFormat/>
    <w:uiPriority w:val="0"/>
    <w:rPr>
      <w:rFonts w:hint="cs" w:ascii="Angsana New" w:hAnsi="Angsana New" w:eastAsia="Angsana New" w:cs="Angsana New"/>
      <w:spacing w:val="0"/>
      <w:sz w:val="31"/>
      <w:szCs w:val="31"/>
      <w:cs/>
    </w:rPr>
  </w:style>
  <w:style w:type="character" w:customStyle="1" w:styleId="1431">
    <w:name w:val="正文文本 + Angsana New29"/>
    <w:qFormat/>
    <w:uiPriority w:val="0"/>
    <w:rPr>
      <w:rFonts w:hint="cs" w:ascii="Angsana New" w:hAnsi="Angsana New" w:eastAsia="Angsana New" w:cs="Angsana New"/>
      <w:spacing w:val="30"/>
      <w:sz w:val="26"/>
      <w:szCs w:val="26"/>
      <w:cs/>
    </w:rPr>
  </w:style>
  <w:style w:type="character" w:customStyle="1" w:styleId="1432">
    <w:name w:val="正文文本 (26)1"/>
    <w:qFormat/>
    <w:uiPriority w:val="0"/>
    <w:rPr>
      <w:rFonts w:hint="eastAsia" w:ascii="Batang" w:hAnsi="Batang" w:eastAsia="Batang" w:cs="Batang"/>
      <w:spacing w:val="0"/>
      <w:sz w:val="18"/>
      <w:szCs w:val="18"/>
    </w:rPr>
  </w:style>
  <w:style w:type="character" w:customStyle="1" w:styleId="1433">
    <w:name w:val="正文文本 + MingLiU1"/>
    <w:qFormat/>
    <w:uiPriority w:val="0"/>
    <w:rPr>
      <w:rFonts w:hint="eastAsia" w:ascii="MingLiU" w:hAnsi="MingLiU" w:eastAsia="MingLiU" w:cs="MingLiU"/>
      <w:sz w:val="12"/>
      <w:szCs w:val="12"/>
    </w:rPr>
  </w:style>
  <w:style w:type="character" w:customStyle="1" w:styleId="1434">
    <w:name w:val="正文文本 (22) + 宋体1"/>
    <w:qFormat/>
    <w:uiPriority w:val="0"/>
    <w:rPr>
      <w:rFonts w:hint="eastAsia" w:ascii="宋体" w:hAnsi="宋体" w:eastAsia="宋体" w:cs="宋体"/>
      <w:sz w:val="21"/>
      <w:szCs w:val="21"/>
    </w:rPr>
  </w:style>
  <w:style w:type="character" w:customStyle="1" w:styleId="1435">
    <w:name w:val="正文文本 (11) + Batang4"/>
    <w:qFormat/>
    <w:uiPriority w:val="0"/>
    <w:rPr>
      <w:rFonts w:hint="eastAsia" w:ascii="Batang" w:hAnsi="Batang" w:eastAsia="Batang" w:cs="Batang"/>
      <w:spacing w:val="0"/>
      <w:sz w:val="8"/>
      <w:szCs w:val="8"/>
    </w:rPr>
  </w:style>
  <w:style w:type="character" w:customStyle="1" w:styleId="1436">
    <w:name w:val="正文文本 (11) + Batang5"/>
    <w:qFormat/>
    <w:uiPriority w:val="0"/>
    <w:rPr>
      <w:rFonts w:hint="eastAsia" w:ascii="Batang" w:hAnsi="Batang" w:eastAsia="Batang" w:cs="Batang"/>
      <w:spacing w:val="-10"/>
      <w:sz w:val="8"/>
      <w:szCs w:val="8"/>
    </w:rPr>
  </w:style>
  <w:style w:type="character" w:customStyle="1" w:styleId="1437">
    <w:name w:val="正文文本 (101) + 非粗体1"/>
    <w:qFormat/>
    <w:uiPriority w:val="0"/>
    <w:rPr>
      <w:rFonts w:hint="eastAsia" w:ascii="宋体" w:hAnsi="宋体" w:eastAsia="宋体" w:cs="宋体"/>
      <w:b/>
      <w:bCs/>
      <w:sz w:val="21"/>
      <w:szCs w:val="21"/>
    </w:rPr>
  </w:style>
  <w:style w:type="character" w:customStyle="1" w:styleId="1438">
    <w:name w:val="正文文本 (7) + Courier New1"/>
    <w:qFormat/>
    <w:uiPriority w:val="0"/>
    <w:rPr>
      <w:rFonts w:hint="default" w:ascii="Courier New" w:hAnsi="Courier New" w:eastAsia="Courier New" w:cs="Courier New"/>
      <w:b/>
      <w:bCs/>
      <w:w w:val="100"/>
      <w:sz w:val="19"/>
      <w:szCs w:val="19"/>
      <w:u w:val="single"/>
    </w:rPr>
  </w:style>
  <w:style w:type="character" w:customStyle="1" w:styleId="1439">
    <w:name w:val="正文文本 (11) + Batang6"/>
    <w:qFormat/>
    <w:uiPriority w:val="0"/>
    <w:rPr>
      <w:rFonts w:hint="eastAsia" w:ascii="Batang" w:hAnsi="Batang" w:eastAsia="Batang" w:cs="Batang"/>
      <w:spacing w:val="0"/>
      <w:sz w:val="8"/>
      <w:szCs w:val="8"/>
    </w:rPr>
  </w:style>
  <w:style w:type="character" w:customStyle="1" w:styleId="1440">
    <w:name w:val="正文文本 (7) + Courier New2"/>
    <w:qFormat/>
    <w:uiPriority w:val="0"/>
    <w:rPr>
      <w:rFonts w:hint="default" w:ascii="Courier New" w:hAnsi="Courier New" w:eastAsia="Courier New" w:cs="Courier New"/>
      <w:b/>
      <w:bCs/>
      <w:w w:val="100"/>
      <w:sz w:val="19"/>
      <w:szCs w:val="19"/>
      <w:u w:val="single"/>
    </w:rPr>
  </w:style>
  <w:style w:type="character" w:customStyle="1" w:styleId="1441">
    <w:name w:val="正文文本 (21) + Angsana New4"/>
    <w:qFormat/>
    <w:uiPriority w:val="0"/>
    <w:rPr>
      <w:rFonts w:hint="cs" w:ascii="Angsana New" w:hAnsi="Angsana New" w:eastAsia="Angsana New" w:cs="Angsana New"/>
      <w:spacing w:val="30"/>
      <w:sz w:val="26"/>
      <w:szCs w:val="26"/>
      <w:cs/>
    </w:rPr>
  </w:style>
  <w:style w:type="character" w:customStyle="1" w:styleId="1442">
    <w:name w:val="正文文本 + Angsana New30"/>
    <w:qFormat/>
    <w:uiPriority w:val="0"/>
    <w:rPr>
      <w:rFonts w:hint="cs" w:ascii="Angsana New" w:hAnsi="Angsana New" w:eastAsia="Angsana New" w:cs="Angsana New"/>
      <w:spacing w:val="0"/>
      <w:sz w:val="26"/>
      <w:szCs w:val="26"/>
      <w:cs/>
    </w:rPr>
  </w:style>
  <w:style w:type="character" w:customStyle="1" w:styleId="1443">
    <w:name w:val="short_text1"/>
    <w:qFormat/>
    <w:uiPriority w:val="0"/>
    <w:rPr>
      <w:sz w:val="29"/>
      <w:szCs w:val="29"/>
    </w:rPr>
  </w:style>
  <w:style w:type="character" w:customStyle="1" w:styleId="1444">
    <w:name w:val="Character Style 2"/>
    <w:qFormat/>
    <w:uiPriority w:val="99"/>
    <w:rPr>
      <w:sz w:val="20"/>
      <w:szCs w:val="20"/>
    </w:rPr>
  </w:style>
  <w:style w:type="character" w:customStyle="1" w:styleId="1445">
    <w:name w:val="副标题 Char1"/>
    <w:qFormat/>
    <w:uiPriority w:val="0"/>
    <w:rPr>
      <w:rFonts w:hint="default" w:ascii="Cambria" w:hAnsi="Cambria" w:cs="Times New Roman"/>
      <w:b/>
      <w:bCs/>
      <w:kern w:val="28"/>
      <w:sz w:val="32"/>
      <w:szCs w:val="32"/>
    </w:rPr>
  </w:style>
  <w:style w:type="character" w:customStyle="1" w:styleId="1446">
    <w:name w:val="明显强调11"/>
    <w:qFormat/>
    <w:uiPriority w:val="0"/>
    <w:rPr>
      <w:b/>
      <w:bCs/>
      <w:i/>
      <w:iCs/>
      <w:color w:val="4F81BD"/>
    </w:rPr>
  </w:style>
  <w:style w:type="character" w:customStyle="1" w:styleId="1447">
    <w:name w:val="明显参考11"/>
    <w:qFormat/>
    <w:uiPriority w:val="0"/>
    <w:rPr>
      <w:b/>
      <w:bCs/>
      <w:smallCaps/>
      <w:color w:val="auto"/>
      <w:spacing w:val="5"/>
      <w:u w:val="single"/>
    </w:rPr>
  </w:style>
  <w:style w:type="character" w:customStyle="1" w:styleId="1448">
    <w:name w:val="书籍标题11"/>
    <w:qFormat/>
    <w:uiPriority w:val="0"/>
    <w:rPr>
      <w:b/>
      <w:bCs/>
      <w:smallCaps/>
      <w:spacing w:val="5"/>
    </w:rPr>
  </w:style>
  <w:style w:type="character" w:customStyle="1" w:styleId="1449">
    <w:name w:val="Char Char181"/>
    <w:qFormat/>
    <w:uiPriority w:val="0"/>
    <w:rPr>
      <w:b/>
      <w:bCs/>
      <w:kern w:val="44"/>
      <w:sz w:val="44"/>
      <w:szCs w:val="44"/>
    </w:rPr>
  </w:style>
  <w:style w:type="character" w:customStyle="1" w:styleId="1450">
    <w:name w:val="Char Char91"/>
    <w:qFormat/>
    <w:uiPriority w:val="0"/>
    <w:rPr>
      <w:rFonts w:hint="eastAsia" w:ascii="宋体" w:hAnsi="宋体" w:eastAsia="宋体"/>
      <w:b/>
      <w:bCs/>
      <w:kern w:val="44"/>
      <w:sz w:val="44"/>
      <w:szCs w:val="44"/>
      <w:lang w:val="en-US" w:eastAsia="zh-CN"/>
    </w:rPr>
  </w:style>
  <w:style w:type="character" w:customStyle="1" w:styleId="1451">
    <w:name w:val="不明显参考11"/>
    <w:qFormat/>
    <w:uiPriority w:val="0"/>
    <w:rPr>
      <w:smallCaps/>
      <w:color w:val="auto"/>
      <w:u w:val="single"/>
    </w:rPr>
  </w:style>
  <w:style w:type="character" w:customStyle="1" w:styleId="1452">
    <w:name w:val="不明显强调11"/>
    <w:qFormat/>
    <w:uiPriority w:val="0"/>
    <w:rPr>
      <w:i/>
      <w:iCs/>
      <w:color w:val="808080"/>
    </w:rPr>
  </w:style>
  <w:style w:type="character" w:customStyle="1" w:styleId="1453">
    <w:name w:val="副标题 Char2"/>
    <w:qFormat/>
    <w:uiPriority w:val="0"/>
    <w:rPr>
      <w:rFonts w:hint="default" w:ascii="Cambria" w:hAnsi="Cambria" w:cs="Times New Roman"/>
      <w:b/>
      <w:bCs/>
      <w:kern w:val="28"/>
      <w:sz w:val="32"/>
      <w:szCs w:val="32"/>
    </w:rPr>
  </w:style>
  <w:style w:type="character" w:customStyle="1" w:styleId="1454">
    <w:name w:val="标题 Char4"/>
    <w:qFormat/>
    <w:uiPriority w:val="99"/>
    <w:rPr>
      <w:rFonts w:hint="default" w:ascii="Cambria" w:hAnsi="Cambria" w:cs="Times New Roman"/>
      <w:b/>
      <w:bCs/>
      <w:kern w:val="2"/>
      <w:sz w:val="32"/>
      <w:szCs w:val="32"/>
    </w:rPr>
  </w:style>
  <w:style w:type="character" w:customStyle="1" w:styleId="1455">
    <w:name w:val="脚注文本 Char2"/>
    <w:qFormat/>
    <w:uiPriority w:val="99"/>
    <w:rPr>
      <w:kern w:val="2"/>
      <w:sz w:val="18"/>
      <w:szCs w:val="18"/>
    </w:rPr>
  </w:style>
  <w:style w:type="character" w:customStyle="1" w:styleId="1456">
    <w:name w:val="bsharetext"/>
    <w:qFormat/>
    <w:uiPriority w:val="0"/>
  </w:style>
  <w:style w:type="character" w:customStyle="1" w:styleId="1457">
    <w:name w:val="current"/>
    <w:qFormat/>
    <w:uiPriority w:val="0"/>
    <w:rPr>
      <w:color w:val="FFFFFF"/>
      <w:bdr w:val="single" w:color="028BD3" w:sz="6" w:space="0"/>
      <w:shd w:val="clear" w:color="auto" w:fill="028BD3"/>
    </w:rPr>
  </w:style>
  <w:style w:type="character" w:customStyle="1" w:styleId="1458">
    <w:name w:val="disabled"/>
    <w:qFormat/>
    <w:uiPriority w:val="0"/>
    <w:rPr>
      <w:vanish/>
    </w:rPr>
  </w:style>
  <w:style w:type="character" w:customStyle="1" w:styleId="1459">
    <w:name w:val="页码1"/>
    <w:qFormat/>
    <w:uiPriority w:val="0"/>
    <w:rPr>
      <w:rFonts w:hint="default" w:ascii="Times New Roman" w:hAnsi="Times New Roman" w:cs="Times New Roman"/>
    </w:rPr>
  </w:style>
  <w:style w:type="character" w:customStyle="1" w:styleId="1460">
    <w:name w:val="Header Char1"/>
    <w:qFormat/>
    <w:uiPriority w:val="0"/>
    <w:rPr>
      <w:sz w:val="18"/>
    </w:rPr>
  </w:style>
  <w:style w:type="character" w:customStyle="1" w:styleId="1461">
    <w:name w:val="Footer Char1"/>
    <w:qFormat/>
    <w:uiPriority w:val="0"/>
    <w:rPr>
      <w:sz w:val="18"/>
    </w:rPr>
  </w:style>
  <w:style w:type="character" w:customStyle="1" w:styleId="1462">
    <w:name w:val="Balloon Text Char1"/>
    <w:qFormat/>
    <w:uiPriority w:val="0"/>
    <w:rPr>
      <w:sz w:val="2"/>
    </w:rPr>
  </w:style>
  <w:style w:type="character" w:customStyle="1" w:styleId="1463">
    <w:name w:val="批注引用1"/>
    <w:qFormat/>
    <w:uiPriority w:val="0"/>
    <w:rPr>
      <w:rFonts w:hint="default" w:ascii="Times New Roman" w:hAnsi="Times New Roman" w:cs="Times New Roman"/>
      <w:sz w:val="21"/>
    </w:rPr>
  </w:style>
  <w:style w:type="character" w:customStyle="1" w:styleId="1464">
    <w:name w:val="批注引用2"/>
    <w:qFormat/>
    <w:uiPriority w:val="0"/>
    <w:rPr>
      <w:rFonts w:hint="default" w:ascii="Times New Roman" w:hAnsi="Times New Roman" w:cs="Times New Roman"/>
      <w:sz w:val="21"/>
      <w:szCs w:val="21"/>
    </w:rPr>
  </w:style>
  <w:style w:type="character" w:customStyle="1" w:styleId="1465">
    <w:name w:val="fontstyle01"/>
    <w:qFormat/>
    <w:uiPriority w:val="0"/>
    <w:rPr>
      <w:rFonts w:hint="eastAsia" w:ascii="宋体" w:hAnsi="宋体" w:eastAsia="宋体"/>
      <w:color w:val="000000"/>
      <w:sz w:val="18"/>
      <w:szCs w:val="18"/>
    </w:rPr>
  </w:style>
  <w:style w:type="character" w:customStyle="1" w:styleId="1466">
    <w:name w:val="fontstyle11"/>
    <w:qFormat/>
    <w:uiPriority w:val="0"/>
    <w:rPr>
      <w:rFonts w:hint="default" w:ascii="Times New Roman" w:hAnsi="Times New Roman" w:cs="Times New Roman"/>
      <w:color w:val="000000"/>
      <w:sz w:val="18"/>
      <w:szCs w:val="18"/>
    </w:rPr>
  </w:style>
  <w:style w:type="character" w:customStyle="1" w:styleId="1467">
    <w:name w:val="fontstyle21"/>
    <w:qFormat/>
    <w:uiPriority w:val="0"/>
    <w:rPr>
      <w:rFonts w:hint="default" w:ascii="Times New Roman" w:hAnsi="Times New Roman" w:cs="Times New Roman"/>
      <w:color w:val="000000"/>
      <w:sz w:val="18"/>
      <w:szCs w:val="18"/>
    </w:rPr>
  </w:style>
  <w:style w:type="character" w:customStyle="1" w:styleId="1468">
    <w:name w:val="font1"/>
    <w:qFormat/>
    <w:uiPriority w:val="0"/>
    <w:rPr>
      <w:color w:val="000000"/>
      <w:sz w:val="18"/>
      <w:szCs w:val="18"/>
      <w:u w:val="none"/>
    </w:rPr>
  </w:style>
  <w:style w:type="character" w:customStyle="1" w:styleId="1469">
    <w:name w:val="标题 3 Char Char Char Char Char Char Char Char Char Char Char Char Char Char Char Char Char Char Char Char Char Char"/>
    <w:qFormat/>
    <w:uiPriority w:val="0"/>
    <w:rPr>
      <w:rFonts w:hint="eastAsia" w:ascii="宋体" w:hAnsi="宋体" w:eastAsia="宋体"/>
      <w:b/>
      <w:sz w:val="32"/>
      <w:lang w:val="en-US" w:eastAsia="zh-CN" w:bidi="ar-SA"/>
    </w:rPr>
  </w:style>
  <w:style w:type="character" w:customStyle="1" w:styleId="1470">
    <w:name w:val="gonggao-downline1"/>
    <w:qFormat/>
    <w:uiPriority w:val="0"/>
    <w:rPr>
      <w:b/>
      <w:bCs/>
      <w:u w:val="single"/>
    </w:rPr>
  </w:style>
  <w:style w:type="character" w:customStyle="1" w:styleId="1471">
    <w:name w:val="highlight1"/>
    <w:qFormat/>
    <w:uiPriority w:val="0"/>
    <w:rPr>
      <w:sz w:val="21"/>
      <w:szCs w:val="21"/>
    </w:rPr>
  </w:style>
  <w:style w:type="character" w:customStyle="1" w:styleId="1472">
    <w:name w:val="标题 2 Char Char Char1"/>
    <w:qFormat/>
    <w:uiPriority w:val="0"/>
    <w:rPr>
      <w:rFonts w:hint="default" w:ascii="Arial" w:hAnsi="Arial" w:eastAsia="黑体" w:cs="Arial"/>
      <w:b/>
      <w:bCs/>
      <w:kern w:val="2"/>
      <w:sz w:val="32"/>
      <w:szCs w:val="32"/>
      <w:lang w:val="en-US" w:eastAsia="zh-CN" w:bidi="ar-SA"/>
    </w:rPr>
  </w:style>
  <w:style w:type="character" w:customStyle="1" w:styleId="1473">
    <w:name w:val="Char Char"/>
    <w:qFormat/>
    <w:uiPriority w:val="0"/>
    <w:rPr>
      <w:rFonts w:hint="eastAsia" w:ascii="黑体" w:hAnsi="Courier New" w:eastAsia="黑体" w:cs="Courier New"/>
      <w:lang w:val="en-US" w:eastAsia="zh-CN" w:bidi="ar-SA"/>
    </w:rPr>
  </w:style>
  <w:style w:type="character" w:customStyle="1" w:styleId="1474">
    <w:name w:val="H1 Char"/>
    <w:qFormat/>
    <w:uiPriority w:val="0"/>
    <w:rPr>
      <w:rFonts w:hint="eastAsia" w:ascii="宋体" w:hAnsi="宋体" w:eastAsia="宋体"/>
      <w:b/>
      <w:bCs/>
      <w:kern w:val="44"/>
      <w:sz w:val="32"/>
      <w:szCs w:val="44"/>
      <w:lang w:val="en-US" w:eastAsia="zh-CN" w:bidi="ar-SA"/>
    </w:rPr>
  </w:style>
  <w:style w:type="character" w:customStyle="1" w:styleId="1475">
    <w:name w:val="英文"/>
    <w:qFormat/>
    <w:uiPriority w:val="0"/>
    <w:rPr>
      <w:rFonts w:hint="default" w:ascii="Lucida Fax" w:hAnsi="Lucida Fax" w:cs="Times New Roman"/>
      <w:b/>
      <w:bCs/>
    </w:rPr>
  </w:style>
  <w:style w:type="character" w:customStyle="1" w:styleId="1476">
    <w:name w:val="ca-10"/>
    <w:qFormat/>
    <w:uiPriority w:val="0"/>
  </w:style>
  <w:style w:type="character" w:customStyle="1" w:styleId="1477">
    <w:name w:val="HTML Markup"/>
    <w:qFormat/>
    <w:uiPriority w:val="0"/>
    <w:rPr>
      <w:vanish/>
      <w:color w:val="FF0000"/>
    </w:rPr>
  </w:style>
  <w:style w:type="character" w:customStyle="1" w:styleId="1478">
    <w:name w:val="表中文字 Char"/>
    <w:qFormat/>
    <w:uiPriority w:val="0"/>
    <w:rPr>
      <w:rFonts w:hint="eastAsia" w:ascii="宋体" w:hAnsi="宋体" w:eastAsia="宋体"/>
      <w:kern w:val="2"/>
      <w:sz w:val="21"/>
      <w:szCs w:val="24"/>
      <w:lang w:val="en-US" w:eastAsia="zh-CN" w:bidi="ar-SA"/>
    </w:rPr>
  </w:style>
  <w:style w:type="character" w:customStyle="1" w:styleId="1479">
    <w:name w:val="111"/>
    <w:qFormat/>
    <w:uiPriority w:val="0"/>
  </w:style>
  <w:style w:type="character" w:customStyle="1" w:styleId="1480">
    <w:name w:val="Char Char8"/>
    <w:qFormat/>
    <w:uiPriority w:val="0"/>
    <w:rPr>
      <w:rFonts w:hint="default" w:ascii="Arial" w:hAnsi="Arial" w:eastAsia="宋体" w:cs="Arial"/>
      <w:b/>
      <w:bCs/>
      <w:kern w:val="2"/>
      <w:sz w:val="21"/>
      <w:szCs w:val="28"/>
      <w:lang w:val="en-US" w:eastAsia="zh-CN" w:bidi="ar-SA"/>
    </w:rPr>
  </w:style>
  <w:style w:type="character" w:customStyle="1" w:styleId="1481">
    <w:name w:val="javascript"/>
    <w:qFormat/>
    <w:uiPriority w:val="0"/>
  </w:style>
  <w:style w:type="character" w:customStyle="1" w:styleId="1482">
    <w:name w:val="tdrownotice1"/>
    <w:qFormat/>
    <w:uiPriority w:val="0"/>
    <w:rPr>
      <w:sz w:val="22"/>
      <w:szCs w:val="22"/>
    </w:rPr>
  </w:style>
  <w:style w:type="character" w:customStyle="1" w:styleId="1483">
    <w:name w:val="Char Char4"/>
    <w:qFormat/>
    <w:uiPriority w:val="0"/>
    <w:rPr>
      <w:rFonts w:hint="eastAsia" w:ascii="宋体" w:hAnsi="宋体" w:eastAsia="宋体"/>
      <w:kern w:val="2"/>
      <w:sz w:val="18"/>
      <w:szCs w:val="18"/>
      <w:lang w:val="en-US" w:eastAsia="zh-CN" w:bidi="ar-SA"/>
    </w:rPr>
  </w:style>
  <w:style w:type="character" w:customStyle="1" w:styleId="1484">
    <w:name w:val="ca-2"/>
    <w:qFormat/>
    <w:uiPriority w:val="0"/>
  </w:style>
  <w:style w:type="character" w:customStyle="1" w:styleId="1485">
    <w:name w:val="f142"/>
    <w:qFormat/>
    <w:uiPriority w:val="0"/>
    <w:rPr>
      <w:sz w:val="26"/>
      <w:szCs w:val="26"/>
    </w:rPr>
  </w:style>
  <w:style w:type="character" w:customStyle="1" w:styleId="1486">
    <w:name w:val="h3 Char"/>
    <w:qFormat/>
    <w:uiPriority w:val="0"/>
    <w:rPr>
      <w:rFonts w:hint="default" w:ascii="Times New Roman" w:hAnsi="Times New Roman" w:eastAsia="宋体" w:cs="Times New Roman"/>
      <w:b/>
      <w:bCs/>
      <w:sz w:val="32"/>
      <w:szCs w:val="32"/>
    </w:rPr>
  </w:style>
  <w:style w:type="character" w:customStyle="1" w:styleId="1487">
    <w:name w:val="h3 Char2"/>
    <w:qFormat/>
    <w:uiPriority w:val="0"/>
    <w:rPr>
      <w:rFonts w:hint="eastAsia" w:ascii="宋体" w:hAnsi="宋体" w:eastAsia="宋体"/>
      <w:b/>
      <w:bCs/>
      <w:kern w:val="2"/>
      <w:sz w:val="24"/>
      <w:szCs w:val="32"/>
      <w:lang w:val="en-US" w:eastAsia="zh-CN" w:bidi="ar-SA"/>
    </w:rPr>
  </w:style>
  <w:style w:type="character" w:customStyle="1" w:styleId="1488">
    <w:name w:val="称呼 Char1"/>
    <w:qFormat/>
    <w:uiPriority w:val="0"/>
    <w:rPr>
      <w:kern w:val="2"/>
      <w:sz w:val="21"/>
      <w:szCs w:val="24"/>
    </w:rPr>
  </w:style>
  <w:style w:type="character" w:customStyle="1" w:styleId="1489">
    <w:name w:val="HTML 预设格式 Char1"/>
    <w:qFormat/>
    <w:uiPriority w:val="0"/>
    <w:rPr>
      <w:rFonts w:hint="default" w:ascii="Courier New" w:hAnsi="Courier New" w:cs="Courier New"/>
      <w:kern w:val="2"/>
    </w:rPr>
  </w:style>
  <w:style w:type="character" w:customStyle="1" w:styleId="1490">
    <w:name w:val="_Style 79"/>
    <w:qFormat/>
    <w:uiPriority w:val="0"/>
    <w:rPr>
      <w:b/>
      <w:bCs/>
      <w:smallCaps/>
      <w:color w:val="C0504D"/>
      <w:spacing w:val="5"/>
      <w:u w:val="single"/>
    </w:rPr>
  </w:style>
  <w:style w:type="character" w:customStyle="1" w:styleId="1491">
    <w:name w:val="_Style 93"/>
    <w:qFormat/>
    <w:uiPriority w:val="0"/>
    <w:rPr>
      <w:b/>
      <w:bCs/>
      <w:i/>
      <w:iCs/>
      <w:color w:val="4F81BD"/>
    </w:rPr>
  </w:style>
  <w:style w:type="character" w:customStyle="1" w:styleId="1492">
    <w:name w:val="_Style 101"/>
    <w:qFormat/>
    <w:uiPriority w:val="0"/>
    <w:rPr>
      <w:i/>
      <w:iCs/>
      <w:color w:val="808080"/>
    </w:rPr>
  </w:style>
  <w:style w:type="character" w:customStyle="1" w:styleId="1493">
    <w:name w:val="_Style 107"/>
    <w:qFormat/>
    <w:uiPriority w:val="0"/>
    <w:rPr>
      <w:b/>
      <w:bCs/>
      <w:smallCaps/>
      <w:spacing w:val="5"/>
    </w:rPr>
  </w:style>
  <w:style w:type="character" w:customStyle="1" w:styleId="1494">
    <w:name w:val="_Style 110"/>
    <w:qFormat/>
    <w:uiPriority w:val="0"/>
    <w:rPr>
      <w:smallCaps/>
      <w:color w:val="C0504D"/>
      <w:u w:val="single"/>
    </w:rPr>
  </w:style>
  <w:style w:type="character" w:customStyle="1" w:styleId="1495">
    <w:name w:val="style_kwd"/>
    <w:qFormat/>
    <w:uiPriority w:val="0"/>
  </w:style>
  <w:style w:type="character" w:customStyle="1" w:styleId="1496">
    <w:name w:val="批注引用_0"/>
    <w:qFormat/>
    <w:uiPriority w:val="0"/>
    <w:rPr>
      <w:rFonts w:hint="default" w:ascii="Calibri" w:hAnsi="Calibri" w:eastAsia="宋体" w:cs="Calibri"/>
      <w:sz w:val="21"/>
    </w:rPr>
  </w:style>
  <w:style w:type="character" w:customStyle="1" w:styleId="1497">
    <w:name w:val="数字"/>
    <w:qFormat/>
    <w:uiPriority w:val="0"/>
    <w:rPr>
      <w:rFonts w:hint="eastAsia" w:ascii="黑体" w:hAnsi="黑体" w:eastAsia="黑体"/>
      <w:b/>
      <w:sz w:val="21"/>
    </w:rPr>
  </w:style>
  <w:style w:type="character" w:customStyle="1" w:styleId="1498">
    <w:name w:val="脚注文本 字符1"/>
    <w:qFormat/>
    <w:locked/>
    <w:uiPriority w:val="0"/>
    <w:rPr>
      <w:kern w:val="2"/>
      <w:sz w:val="18"/>
      <w:szCs w:val="18"/>
    </w:rPr>
  </w:style>
  <w:style w:type="character" w:customStyle="1" w:styleId="1499">
    <w:name w:val="标题 1 Char1"/>
    <w:qFormat/>
    <w:uiPriority w:val="0"/>
    <w:rPr>
      <w:rFonts w:hint="eastAsia" w:ascii="黑体" w:hAnsi="黑体" w:eastAsia="黑体" w:cs="黑体"/>
      <w:sz w:val="56"/>
      <w:szCs w:val="56"/>
      <w:lang w:val="zh-CN" w:bidi="zh-CN"/>
    </w:rPr>
  </w:style>
  <w:style w:type="character" w:customStyle="1" w:styleId="1500">
    <w:name w:val="正文文本 (2) + 10 pt37"/>
    <w:qFormat/>
    <w:uiPriority w:val="99"/>
    <w:rPr>
      <w:rFonts w:hint="eastAsia" w:ascii="MingLiU" w:eastAsia="MingLiU" w:cs="MingLiU"/>
      <w:spacing w:val="0"/>
      <w:sz w:val="20"/>
      <w:szCs w:val="20"/>
      <w:u w:val="none"/>
    </w:rPr>
  </w:style>
  <w:style w:type="character" w:customStyle="1" w:styleId="1501">
    <w:name w:val="副标题 Char3"/>
    <w:qFormat/>
    <w:uiPriority w:val="11"/>
    <w:rPr>
      <w:rFonts w:hint="default" w:ascii="Cambria" w:hAnsi="Cambria" w:cs="Times New Roman"/>
      <w:b/>
      <w:bCs/>
      <w:kern w:val="28"/>
      <w:sz w:val="32"/>
      <w:szCs w:val="32"/>
    </w:rPr>
  </w:style>
  <w:style w:type="character" w:customStyle="1" w:styleId="1502">
    <w:name w:val="_Style 551"/>
    <w:qFormat/>
    <w:uiPriority w:val="0"/>
    <w:rPr>
      <w:rFonts w:hint="default" w:ascii="Times New Roman" w:hAnsi="Times New Roman" w:eastAsia="宋体" w:cs="Times New Roman"/>
      <w:b/>
      <w:i/>
      <w:sz w:val="24"/>
      <w:u w:val="single"/>
    </w:rPr>
  </w:style>
  <w:style w:type="character" w:customStyle="1" w:styleId="1503">
    <w:name w:val="_Style 559"/>
    <w:qFormat/>
    <w:uiPriority w:val="0"/>
    <w:rPr>
      <w:rFonts w:hint="default" w:ascii="Times New Roman" w:hAnsi="Times New Roman" w:eastAsia="宋体" w:cs="Times New Roman"/>
      <w:i/>
      <w:color w:val="5A5A5A"/>
    </w:rPr>
  </w:style>
  <w:style w:type="character" w:customStyle="1" w:styleId="1504">
    <w:name w:val="_Style 645"/>
    <w:qFormat/>
    <w:uiPriority w:val="0"/>
    <w:rPr>
      <w:rFonts w:hint="default" w:ascii="Times New Roman" w:hAnsi="Times New Roman" w:eastAsia="宋体" w:cs="Times New Roman"/>
      <w:b/>
      <w:sz w:val="24"/>
      <w:u w:val="single"/>
    </w:rPr>
  </w:style>
  <w:style w:type="character" w:customStyle="1" w:styleId="1505">
    <w:name w:val="_Style 655"/>
    <w:qFormat/>
    <w:uiPriority w:val="0"/>
    <w:rPr>
      <w:rFonts w:hint="default" w:ascii="Times New Roman" w:hAnsi="Times New Roman" w:eastAsia="宋体" w:cs="Times New Roman"/>
      <w:sz w:val="24"/>
      <w:u w:val="single"/>
    </w:rPr>
  </w:style>
  <w:style w:type="character" w:customStyle="1" w:styleId="1506">
    <w:name w:val="_Style 667"/>
    <w:qFormat/>
    <w:uiPriority w:val="0"/>
    <w:rPr>
      <w:rFonts w:hint="default" w:ascii="Cambria" w:hAnsi="Cambria" w:eastAsia="宋体" w:cs="Times New Roman"/>
      <w:b/>
      <w:i/>
      <w:sz w:val="24"/>
    </w:rPr>
  </w:style>
  <w:style w:type="paragraph" w:customStyle="1" w:styleId="1507">
    <w:name w:val="表格5"/>
    <w:basedOn w:val="1187"/>
    <w:qFormat/>
    <w:uiPriority w:val="0"/>
    <w:pPr>
      <w:ind w:left="1021" w:hanging="284"/>
    </w:pPr>
    <w:rPr>
      <w:rFonts w:ascii="宋体"/>
    </w:rPr>
  </w:style>
  <w:style w:type="paragraph" w:customStyle="1" w:styleId="1508">
    <w:name w:val="表格6"/>
    <w:basedOn w:val="1507"/>
    <w:qFormat/>
    <w:uiPriority w:val="0"/>
    <w:pPr>
      <w:ind w:left="737" w:firstLine="0"/>
    </w:pPr>
  </w:style>
  <w:style w:type="paragraph" w:customStyle="1" w:styleId="1509">
    <w:name w:val="正文_14"/>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10">
    <w:name w:val="正文_15"/>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11">
    <w:name w:val="正文_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12">
    <w:name w:val="正文_17"/>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13">
    <w:name w:val="通用标题6_0"/>
    <w:basedOn w:val="1512"/>
    <w:qFormat/>
    <w:uiPriority w:val="0"/>
    <w:pPr>
      <w:tabs>
        <w:tab w:val="left" w:pos="993"/>
      </w:tabs>
    </w:pPr>
    <w:rPr>
      <w:rFonts w:ascii="Times New Roman" w:hAnsi="Times New Roman"/>
      <w:szCs w:val="24"/>
    </w:rPr>
  </w:style>
  <w:style w:type="paragraph" w:customStyle="1" w:styleId="1514">
    <w:name w:val="协议书标题2_0"/>
    <w:basedOn w:val="1515"/>
    <w:next w:val="190"/>
    <w:qFormat/>
    <w:uiPriority w:val="0"/>
    <w:pPr>
      <w:keepNext w:val="0"/>
      <w:keepLines w:val="0"/>
      <w:tabs>
        <w:tab w:val="left" w:pos="567"/>
      </w:tabs>
      <w:spacing w:before="60" w:after="60" w:line="360" w:lineRule="auto"/>
      <w:jc w:val="left"/>
    </w:pPr>
    <w:rPr>
      <w:rFonts w:ascii="宋体" w:hAnsi="宋体" w:eastAsia="宋体"/>
      <w:bCs/>
      <w:sz w:val="24"/>
      <w:szCs w:val="32"/>
    </w:rPr>
  </w:style>
  <w:style w:type="paragraph" w:customStyle="1" w:styleId="1515">
    <w:name w:val="标题 2_7"/>
    <w:basedOn w:val="190"/>
    <w:next w:val="190"/>
    <w:link w:val="1516"/>
    <w:qFormat/>
    <w:uiPriority w:val="0"/>
    <w:pPr>
      <w:keepNext/>
      <w:keepLines/>
      <w:spacing w:before="260" w:after="260" w:line="412" w:lineRule="auto"/>
      <w:outlineLvl w:val="1"/>
    </w:pPr>
    <w:rPr>
      <w:rFonts w:ascii="Arial" w:hAnsi="Arial" w:eastAsia="黑体"/>
      <w:b/>
      <w:kern w:val="0"/>
      <w:sz w:val="32"/>
      <w:szCs w:val="20"/>
    </w:rPr>
  </w:style>
  <w:style w:type="character" w:customStyle="1" w:styleId="1516">
    <w:name w:val="标题 2 Char_6"/>
    <w:link w:val="1515"/>
    <w:qFormat/>
    <w:uiPriority w:val="0"/>
    <w:rPr>
      <w:rFonts w:ascii="Arial" w:hAnsi="Arial" w:eastAsia="黑体"/>
      <w:b/>
      <w:sz w:val="32"/>
    </w:rPr>
  </w:style>
  <w:style w:type="paragraph" w:customStyle="1" w:styleId="1517">
    <w:name w:val="Normal_19"/>
    <w:qFormat/>
    <w:uiPriority w:val="0"/>
    <w:rPr>
      <w:rFonts w:ascii="Times New Roman" w:hAnsi="Times New Roman" w:eastAsia="Times New Roman" w:cs="Times New Roman"/>
      <w:sz w:val="24"/>
      <w:szCs w:val="24"/>
      <w:lang w:val="en-US" w:eastAsia="zh-CN" w:bidi="ar-SA"/>
    </w:rPr>
  </w:style>
  <w:style w:type="paragraph" w:customStyle="1" w:styleId="1518">
    <w:name w:val="Table Text"/>
    <w:basedOn w:val="1"/>
    <w:semiHidden/>
    <w:qFormat/>
    <w:uiPriority w:val="0"/>
    <w:rPr>
      <w:rFonts w:ascii="宋体" w:hAnsi="宋体" w:cs="宋体"/>
      <w:szCs w:val="21"/>
      <w:lang w:eastAsia="en-US"/>
    </w:rPr>
  </w:style>
  <w:style w:type="paragraph" w:customStyle="1" w:styleId="1519">
    <w:name w:val="正文_4_0"/>
    <w:basedOn w:val="1069"/>
    <w:qFormat/>
    <w:uiPriority w:val="0"/>
  </w:style>
  <w:style w:type="character" w:customStyle="1" w:styleId="1520">
    <w:name w:val="15_0"/>
    <w:qFormat/>
    <w:uiPriority w:val="0"/>
    <w:rPr>
      <w:rFonts w:hint="default" w:ascii="Times New Roman" w:hAnsi="Times New Roman" w:cs="Times New Roman"/>
      <w:kern w:val="0"/>
      <w:sz w:val="20"/>
      <w:szCs w:val="20"/>
      <w:lang w:eastAsia="en-US"/>
    </w:rPr>
  </w:style>
  <w:style w:type="character" w:customStyle="1" w:styleId="1521">
    <w:name w:val="NormalCharacter"/>
    <w:semiHidden/>
    <w:qFormat/>
    <w:uiPriority w:val="0"/>
  </w:style>
  <w:style w:type="paragraph" w:customStyle="1" w:styleId="1522">
    <w:name w:val="Body text|1_1"/>
    <w:basedOn w:val="1065"/>
    <w:qFormat/>
    <w:uiPriority w:val="0"/>
    <w:pPr>
      <w:spacing w:line="360" w:lineRule="auto"/>
      <w:ind w:firstLine="400"/>
    </w:pPr>
    <w:rPr>
      <w:rFonts w:ascii="宋体" w:hAnsi="宋体" w:cs="宋体"/>
      <w:sz w:val="20"/>
      <w:szCs w:val="20"/>
      <w:lang w:val="zh-CN" w:bidi="zh-CN"/>
    </w:rPr>
  </w:style>
  <w:style w:type="paragraph" w:customStyle="1" w:styleId="1523">
    <w:name w:val="Body text|2_0"/>
    <w:basedOn w:val="1065"/>
    <w:qFormat/>
    <w:uiPriority w:val="0"/>
    <w:pPr>
      <w:spacing w:after="30"/>
      <w:ind w:firstLine="420"/>
    </w:pPr>
    <w:rPr>
      <w:sz w:val="20"/>
      <w:szCs w:val="20"/>
    </w:rPr>
  </w:style>
  <w:style w:type="paragraph" w:customStyle="1" w:styleId="1524">
    <w:name w:val="Other|1_1"/>
    <w:basedOn w:val="1065"/>
    <w:qFormat/>
    <w:uiPriority w:val="0"/>
    <w:pPr>
      <w:spacing w:line="360" w:lineRule="auto"/>
      <w:ind w:firstLine="400"/>
    </w:pPr>
    <w:rPr>
      <w:rFonts w:ascii="宋体" w:hAnsi="宋体" w:cs="宋体"/>
      <w:sz w:val="20"/>
      <w:szCs w:val="20"/>
      <w:lang w:val="zh-CN" w:bidi="zh-CN"/>
    </w:rPr>
  </w:style>
  <w:style w:type="paragraph" w:customStyle="1" w:styleId="1525">
    <w:name w:val="Body text|1_1_0"/>
    <w:basedOn w:val="1526"/>
    <w:qFormat/>
    <w:uiPriority w:val="0"/>
    <w:pPr>
      <w:spacing w:line="360" w:lineRule="auto"/>
      <w:ind w:firstLine="400"/>
    </w:pPr>
    <w:rPr>
      <w:rFonts w:ascii="宋体" w:hAnsi="宋体" w:eastAsia="宋体" w:cs="宋体"/>
      <w:color w:val="auto"/>
      <w:sz w:val="20"/>
      <w:szCs w:val="20"/>
      <w:lang w:val="zh-CN" w:eastAsia="zh-CN" w:bidi="zh-CN"/>
    </w:rPr>
  </w:style>
  <w:style w:type="paragraph" w:customStyle="1" w:styleId="1526">
    <w:name w:val="正文_2_1"/>
    <w:next w:val="1527"/>
    <w:qFormat/>
    <w:uiPriority w:val="0"/>
    <w:pPr>
      <w:widowControl w:val="0"/>
    </w:pPr>
    <w:rPr>
      <w:rFonts w:ascii="Times New Roman" w:hAnsi="Times New Roman" w:eastAsia="Times New Roman" w:cs="Times New Roman"/>
      <w:color w:val="000000"/>
      <w:sz w:val="24"/>
      <w:szCs w:val="24"/>
      <w:lang w:val="en-US" w:eastAsia="en-US" w:bidi="en-US"/>
    </w:rPr>
  </w:style>
  <w:style w:type="paragraph" w:customStyle="1" w:styleId="1527">
    <w:name w:val="页脚_0"/>
    <w:basedOn w:val="1526"/>
    <w:next w:val="1526"/>
    <w:qFormat/>
    <w:uiPriority w:val="99"/>
    <w:pPr>
      <w:tabs>
        <w:tab w:val="center" w:pos="4153"/>
        <w:tab w:val="right" w:pos="8306"/>
      </w:tabs>
      <w:snapToGrid w:val="0"/>
    </w:pPr>
    <w:rPr>
      <w:sz w:val="18"/>
      <w:szCs w:val="18"/>
    </w:rPr>
  </w:style>
  <w:style w:type="character" w:customStyle="1" w:styleId="1528">
    <w:name w:val="NormalCharacter_0"/>
    <w:semiHidden/>
    <w:qFormat/>
    <w:uiPriority w:val="0"/>
    <w:rPr>
      <w:rFonts w:eastAsia="Times New Roman"/>
      <w:lang w:eastAsia="en-US" w:bidi="en-US"/>
    </w:rPr>
  </w:style>
  <w:style w:type="paragraph" w:customStyle="1" w:styleId="1529">
    <w:name w:val="正文_2_0_0"/>
    <w:qFormat/>
    <w:uiPriority w:val="0"/>
    <w:pPr>
      <w:widowControl w:val="0"/>
    </w:pPr>
    <w:rPr>
      <w:rFonts w:ascii="Times New Roman" w:hAnsi="Times New Roman" w:eastAsia="Times New Roman" w:cs="Times New Roman"/>
      <w:color w:val="000000"/>
      <w:sz w:val="24"/>
      <w:szCs w:val="24"/>
      <w:lang w:val="en-US" w:eastAsia="en-US" w:bidi="en-US"/>
    </w:rPr>
  </w:style>
  <w:style w:type="paragraph" w:customStyle="1" w:styleId="1530">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7700;&#21033;&#37096;&#35199;&#21335;&#23721;&#28342;&#21306;&#33410;&#27700;&#20943;&#25490;&#38450;&#27745;&#37326;&#22806;&#31185;&#23398;&#35266;&#27979;&#30740;&#31350;&#31449;&#36798;&#26631;&#24314;&#35774;\213212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2132123.dotx</Template>
  <Pages>99</Pages>
  <Words>5923</Words>
  <Characters>6421</Characters>
  <Lines>859</Lines>
  <Paragraphs>241</Paragraphs>
  <TotalTime>27</TotalTime>
  <ScaleCrop>false</ScaleCrop>
  <LinksUpToDate>false</LinksUpToDate>
  <CharactersWithSpaces>6452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2025-12-29T11:48:00Z</dcterms:created>
  <dc:creator>丨安安</dc:creator>
  <cp:lastModifiedBy>丨安安</cp:lastModifiedBy>
  <cp:lastPrinted>2025-12-30T01:10:00Z</cp:lastPrinted>
  <dcterms:modified xsi:type="dcterms:W3CDTF">2026-01-06T05:31:15Z</dcterms:modified>
  <dc:title>公开招标采购文件范本</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CEF12D346E42490F941D78E3B2E028D8_13</vt:lpwstr>
  </property>
  <property fmtid="{D5CDD505-2E9C-101B-9397-08002B2CF9AE}" pid="4" name="KSOTemplateDocerSaveRecord">
    <vt:lpwstr>eyJoZGlkIjoiYTgxOGYzMDBlZjY3ODc4M2M3NmQxODQzNjBhN2I3NTciLCJ1c2VySWQiOiI1NjEzMTI0OTAifQ==</vt:lpwstr>
  </property>
</Properties>
</file>