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9691B">
      <w:pPr>
        <w:pStyle w:val="17"/>
        <w:rPr>
          <w:rFonts w:hAnsi="宋体" w:cs="宋体"/>
          <w:b/>
          <w:bCs/>
          <w:color w:val="auto"/>
          <w:spacing w:val="80"/>
          <w:sz w:val="64"/>
          <w:highlight w:val="none"/>
        </w:rPr>
      </w:pPr>
    </w:p>
    <w:p w14:paraId="510890AF">
      <w:pPr>
        <w:pStyle w:val="17"/>
        <w:jc w:val="center"/>
        <w:rPr>
          <w:rFonts w:ascii="黑体" w:hAnsi="黑体" w:eastAsia="黑体" w:cs="宋体"/>
          <w:b/>
          <w:bCs/>
          <w:color w:val="auto"/>
          <w:spacing w:val="80"/>
          <w:sz w:val="52"/>
          <w:szCs w:val="52"/>
          <w:highlight w:val="none"/>
        </w:rPr>
      </w:pPr>
      <w:r>
        <w:rPr>
          <w:rFonts w:hint="eastAsia" w:ascii="黑体" w:hAnsi="黑体" w:eastAsia="黑体" w:cs="宋体"/>
          <w:b/>
          <w:bCs/>
          <w:color w:val="auto"/>
          <w:spacing w:val="80"/>
          <w:sz w:val="52"/>
          <w:szCs w:val="52"/>
          <w:highlight w:val="none"/>
        </w:rPr>
        <w:t>广西奥金斯项目管理有限公司</w:t>
      </w:r>
    </w:p>
    <w:p w14:paraId="52A5C8FA">
      <w:pPr>
        <w:pStyle w:val="17"/>
        <w:jc w:val="center"/>
        <w:rPr>
          <w:rFonts w:hAnsi="宋体" w:cs="宋体"/>
          <w:b/>
          <w:bCs/>
          <w:color w:val="auto"/>
          <w:spacing w:val="80"/>
          <w:sz w:val="72"/>
          <w:highlight w:val="none"/>
        </w:rPr>
      </w:pPr>
    </w:p>
    <w:p w14:paraId="7A0E7DF6">
      <w:pPr>
        <w:pStyle w:val="17"/>
        <w:jc w:val="center"/>
        <w:rPr>
          <w:rFonts w:hAnsi="宋体" w:cs="宋体"/>
          <w:b/>
          <w:bCs/>
          <w:color w:val="auto"/>
          <w:sz w:val="72"/>
          <w:highlight w:val="none"/>
        </w:rPr>
      </w:pPr>
    </w:p>
    <w:p w14:paraId="4BA96133">
      <w:pPr>
        <w:pStyle w:val="17"/>
        <w:jc w:val="center"/>
        <w:rPr>
          <w:rFonts w:hAnsi="宋体" w:cs="宋体"/>
          <w:color w:val="auto"/>
          <w:highlight w:val="none"/>
        </w:rPr>
      </w:pPr>
    </w:p>
    <w:p w14:paraId="49CB08C0">
      <w:pPr>
        <w:spacing w:line="1400" w:lineRule="exact"/>
        <w:jc w:val="center"/>
        <w:rPr>
          <w:rFonts w:ascii="宋体" w:hAnsi="宋体" w:cs="宋体"/>
          <w:b/>
          <w:color w:val="auto"/>
          <w:spacing w:val="60"/>
          <w:sz w:val="112"/>
          <w:szCs w:val="112"/>
          <w:highlight w:val="none"/>
        </w:rPr>
      </w:pPr>
      <w:r>
        <w:rPr>
          <w:rFonts w:hint="eastAsia" w:ascii="宋体" w:hAnsi="宋体" w:cs="宋体"/>
          <w:b/>
          <w:color w:val="auto"/>
          <w:spacing w:val="60"/>
          <w:sz w:val="112"/>
          <w:szCs w:val="112"/>
          <w:highlight w:val="none"/>
        </w:rPr>
        <w:t>招标文件</w:t>
      </w:r>
    </w:p>
    <w:p w14:paraId="7F2EC027">
      <w:pPr>
        <w:pStyle w:val="17"/>
        <w:rPr>
          <w:rFonts w:hAnsi="宋体" w:cs="宋体"/>
          <w:color w:val="auto"/>
          <w:highlight w:val="none"/>
        </w:rPr>
      </w:pPr>
    </w:p>
    <w:p w14:paraId="4DFF3E02">
      <w:pPr>
        <w:pStyle w:val="17"/>
        <w:jc w:val="center"/>
        <w:rPr>
          <w:rFonts w:hAnsi="宋体" w:cs="宋体"/>
          <w:b/>
          <w:color w:val="auto"/>
          <w:sz w:val="28"/>
          <w:szCs w:val="28"/>
          <w:highlight w:val="none"/>
        </w:rPr>
      </w:pPr>
    </w:p>
    <w:p w14:paraId="4F039C29">
      <w:pPr>
        <w:pStyle w:val="17"/>
        <w:rPr>
          <w:rFonts w:hAnsi="宋体" w:cs="宋体"/>
          <w:color w:val="auto"/>
          <w:highlight w:val="none"/>
        </w:rPr>
      </w:pPr>
    </w:p>
    <w:p w14:paraId="4F54CD72">
      <w:pPr>
        <w:pStyle w:val="17"/>
        <w:rPr>
          <w:rFonts w:hAnsi="宋体" w:cs="宋体"/>
          <w:color w:val="auto"/>
          <w:highlight w:val="none"/>
        </w:rPr>
      </w:pPr>
    </w:p>
    <w:p w14:paraId="75018747">
      <w:pPr>
        <w:pStyle w:val="17"/>
        <w:rPr>
          <w:rFonts w:hAnsi="宋体" w:cs="宋体"/>
          <w:color w:val="auto"/>
          <w:highlight w:val="none"/>
        </w:rPr>
      </w:pPr>
    </w:p>
    <w:p w14:paraId="344ED5A9">
      <w:pPr>
        <w:ind w:left="3602" w:leftChars="760" w:hanging="2006" w:hangingChars="500"/>
        <w:rPr>
          <w:rFonts w:hint="eastAsia" w:ascii="宋体" w:hAnsi="宋体" w:eastAsia="宋体" w:cs="宋体"/>
          <w:b/>
          <w:bCs/>
          <w:color w:val="auto"/>
          <w:spacing w:val="-36"/>
          <w:sz w:val="32"/>
          <w:highlight w:val="none"/>
          <w:lang w:val="en-US" w:eastAsia="zh-CN"/>
        </w:rPr>
      </w:pPr>
      <w:r>
        <w:rPr>
          <w:rFonts w:hint="eastAsia" w:ascii="宋体" w:hAnsi="宋体" w:cs="宋体"/>
          <w:b/>
          <w:bCs/>
          <w:color w:val="auto"/>
          <w:spacing w:val="40"/>
          <w:sz w:val="32"/>
          <w:highlight w:val="none"/>
        </w:rPr>
        <w:t>项目名称：超高效液相色谱三重四极杆质谱仪</w:t>
      </w:r>
    </w:p>
    <w:p w14:paraId="2FBBE655">
      <w:pPr>
        <w:ind w:left="-2" w:leftChars="-1" w:firstLine="1605" w:firstLineChars="400"/>
        <w:rPr>
          <w:rFonts w:hint="eastAsia" w:ascii="宋体" w:hAnsi="宋体" w:eastAsia="宋体" w:cs="宋体"/>
          <w:b/>
          <w:bCs/>
          <w:color w:val="auto"/>
          <w:sz w:val="32"/>
          <w:highlight w:val="none"/>
          <w:lang w:eastAsia="zh-CN"/>
        </w:rPr>
      </w:pPr>
      <w:r>
        <w:rPr>
          <w:rFonts w:hint="eastAsia" w:ascii="宋体" w:hAnsi="宋体" w:cs="宋体"/>
          <w:b/>
          <w:bCs/>
          <w:color w:val="auto"/>
          <w:spacing w:val="40"/>
          <w:sz w:val="32"/>
          <w:highlight w:val="none"/>
        </w:rPr>
        <w:t>项目编号：GXZC2025-G1-003641-GXAJ</w:t>
      </w:r>
      <w:r>
        <w:rPr>
          <w:rFonts w:hint="eastAsia" w:ascii="宋体" w:hAnsi="宋体" w:cs="宋体"/>
          <w:b/>
          <w:bCs/>
          <w:color w:val="auto"/>
          <w:spacing w:val="40"/>
          <w:sz w:val="32"/>
          <w:highlight w:val="none"/>
          <w:lang w:val="en-US" w:eastAsia="zh-CN"/>
        </w:rPr>
        <w:t xml:space="preserve"> </w:t>
      </w:r>
    </w:p>
    <w:p w14:paraId="4A5D876A">
      <w:pPr>
        <w:ind w:left="-2" w:leftChars="-1" w:firstLine="840" w:firstLineChars="400"/>
        <w:rPr>
          <w:rFonts w:ascii="宋体" w:hAnsi="宋体" w:cs="宋体"/>
          <w:color w:val="auto"/>
          <w:highlight w:val="none"/>
        </w:rPr>
      </w:pPr>
      <w:r>
        <w:rPr>
          <w:rFonts w:hint="eastAsia" w:ascii="宋体" w:hAnsi="宋体" w:cs="宋体"/>
          <w:color w:val="auto"/>
          <w:highlight w:val="none"/>
        </w:rPr>
        <w:cr/>
      </w:r>
    </w:p>
    <w:p w14:paraId="41C4EE09">
      <w:pPr>
        <w:ind w:left="-2" w:leftChars="-1" w:firstLine="630" w:firstLineChars="300"/>
        <w:rPr>
          <w:rFonts w:hint="eastAsia" w:ascii="宋体" w:hAnsi="宋体" w:eastAsia="宋体" w:cs="宋体"/>
          <w:color w:val="auto"/>
          <w:highlight w:val="none"/>
          <w:lang w:eastAsia="zh-CN"/>
        </w:rPr>
      </w:pPr>
      <w:r>
        <w:rPr>
          <w:rFonts w:hint="eastAsia" w:ascii="宋体" w:hAnsi="宋体" w:cs="宋体"/>
          <w:color w:val="auto"/>
          <w:highlight w:val="none"/>
        </w:rPr>
        <w:t>　</w:t>
      </w:r>
      <w:r>
        <w:rPr>
          <w:rFonts w:hint="eastAsia" w:ascii="宋体" w:hAnsi="宋体" w:cs="宋体"/>
          <w:color w:val="auto"/>
          <w:highlight w:val="none"/>
        </w:rPr>
        <w:tab/>
      </w:r>
    </w:p>
    <w:p w14:paraId="52363EC5">
      <w:pPr>
        <w:ind w:left="103" w:leftChars="49" w:firstLine="1470" w:firstLineChars="700"/>
        <w:jc w:val="center"/>
        <w:rPr>
          <w:rFonts w:ascii="宋体" w:hAnsi="宋体" w:cs="宋体"/>
          <w:color w:val="auto"/>
          <w:highlight w:val="none"/>
        </w:rPr>
      </w:pPr>
    </w:p>
    <w:p w14:paraId="54D3CF4C">
      <w:pPr>
        <w:ind w:left="103" w:leftChars="49" w:firstLine="1470" w:firstLineChars="700"/>
        <w:jc w:val="center"/>
        <w:rPr>
          <w:rFonts w:ascii="宋体" w:hAnsi="宋体" w:cs="宋体"/>
          <w:color w:val="auto"/>
          <w:highlight w:val="none"/>
        </w:rPr>
      </w:pPr>
    </w:p>
    <w:p w14:paraId="6A45072C">
      <w:pPr>
        <w:ind w:left="103" w:leftChars="49" w:firstLine="1470" w:firstLineChars="700"/>
        <w:jc w:val="center"/>
        <w:rPr>
          <w:rFonts w:ascii="宋体" w:hAnsi="宋体" w:cs="宋体"/>
          <w:color w:val="auto"/>
          <w:highlight w:val="none"/>
        </w:rPr>
      </w:pPr>
    </w:p>
    <w:p w14:paraId="75085883">
      <w:pPr>
        <w:ind w:left="103" w:leftChars="49" w:firstLine="1470" w:firstLineChars="700"/>
        <w:jc w:val="center"/>
        <w:rPr>
          <w:rFonts w:ascii="宋体" w:hAnsi="宋体" w:cs="宋体"/>
          <w:color w:val="auto"/>
          <w:highlight w:val="none"/>
        </w:rPr>
      </w:pPr>
    </w:p>
    <w:p w14:paraId="470DEB1C">
      <w:pPr>
        <w:ind w:left="103" w:leftChars="49" w:firstLine="1470" w:firstLineChars="700"/>
        <w:jc w:val="center"/>
        <w:rPr>
          <w:rFonts w:ascii="宋体" w:hAnsi="宋体" w:cs="宋体"/>
          <w:b/>
          <w:bCs/>
          <w:color w:val="auto"/>
          <w:spacing w:val="40"/>
          <w:sz w:val="32"/>
          <w:szCs w:val="32"/>
          <w:highlight w:val="none"/>
        </w:rPr>
      </w:pPr>
      <w:r>
        <w:rPr>
          <w:rFonts w:hint="eastAsia" w:ascii="宋体" w:hAnsi="宋体" w:cs="宋体"/>
          <w:color w:val="auto"/>
          <w:highlight w:val="none"/>
        </w:rPr>
        <w:cr/>
      </w:r>
      <w:r>
        <w:rPr>
          <w:rFonts w:hint="eastAsia" w:ascii="宋体" w:hAnsi="宋体" w:cs="宋体"/>
          <w:b/>
          <w:bCs/>
          <w:color w:val="auto"/>
          <w:spacing w:val="40"/>
          <w:sz w:val="32"/>
          <w:szCs w:val="32"/>
          <w:highlight w:val="none"/>
        </w:rPr>
        <w:t>采购代理机构：广西奥金斯项目管理有限公司</w:t>
      </w:r>
    </w:p>
    <w:p w14:paraId="3AF9D609">
      <w:pPr>
        <w:jc w:val="center"/>
        <w:rPr>
          <w:rFonts w:ascii="宋体" w:hAnsi="宋体" w:cs="宋体"/>
          <w:bCs/>
          <w:color w:val="auto"/>
          <w:sz w:val="30"/>
          <w:szCs w:val="30"/>
          <w:highlight w:val="none"/>
        </w:rPr>
      </w:pPr>
      <w:r>
        <w:rPr>
          <w:rFonts w:hint="eastAsia" w:ascii="宋体" w:hAnsi="宋体" w:cs="宋体"/>
          <w:b/>
          <w:bCs/>
          <w:color w:val="auto"/>
          <w:sz w:val="32"/>
          <w:highlight w:val="none"/>
        </w:rPr>
        <w:t>202</w:t>
      </w:r>
      <w:r>
        <w:rPr>
          <w:rFonts w:hint="eastAsia" w:ascii="宋体" w:hAnsi="宋体" w:cs="宋体"/>
          <w:b/>
          <w:bCs/>
          <w:color w:val="auto"/>
          <w:sz w:val="32"/>
          <w:highlight w:val="none"/>
          <w:lang w:val="en-US" w:eastAsia="zh-CN"/>
        </w:rPr>
        <w:t>5</w:t>
      </w:r>
      <w:r>
        <w:rPr>
          <w:rFonts w:hint="eastAsia" w:ascii="宋体" w:hAnsi="宋体" w:cs="宋体"/>
          <w:b/>
          <w:bCs/>
          <w:color w:val="auto"/>
          <w:sz w:val="32"/>
          <w:highlight w:val="none"/>
        </w:rPr>
        <w:t>年</w:t>
      </w:r>
      <w:r>
        <w:rPr>
          <w:rFonts w:hint="eastAsia" w:ascii="宋体" w:hAnsi="宋体" w:cs="宋体"/>
          <w:b/>
          <w:bCs/>
          <w:color w:val="auto"/>
          <w:sz w:val="32"/>
          <w:highlight w:val="none"/>
          <w:lang w:val="en-US" w:eastAsia="zh-CN"/>
        </w:rPr>
        <w:t>12</w:t>
      </w:r>
      <w:r>
        <w:rPr>
          <w:rFonts w:hint="eastAsia" w:ascii="宋体" w:hAnsi="宋体" w:cs="宋体"/>
          <w:b/>
          <w:bCs/>
          <w:color w:val="auto"/>
          <w:sz w:val="32"/>
          <w:highlight w:val="none"/>
        </w:rPr>
        <w:t>月</w:t>
      </w:r>
    </w:p>
    <w:p w14:paraId="19647F44">
      <w:pPr>
        <w:pStyle w:val="120"/>
        <w:jc w:val="center"/>
        <w:rPr>
          <w:rFonts w:ascii="宋体" w:hAnsi="宋体" w:eastAsia="宋体" w:cs="宋体"/>
          <w:color w:val="auto"/>
          <w:highlight w:val="none"/>
          <w:lang w:val="zh-CN"/>
        </w:rPr>
        <w:sectPr>
          <w:pgSz w:w="11906" w:h="16838"/>
          <w:pgMar w:top="1440" w:right="1080" w:bottom="1440" w:left="1080" w:header="851" w:footer="992" w:gutter="0"/>
          <w:pgNumType w:fmt="numberInDash"/>
          <w:cols w:space="720" w:num="1"/>
          <w:docGrid w:type="lines" w:linePitch="312" w:charSpace="0"/>
        </w:sectPr>
      </w:pPr>
    </w:p>
    <w:p w14:paraId="200EEB4D">
      <w:pPr>
        <w:jc w:val="center"/>
        <w:rPr>
          <w:rFonts w:ascii="宋体" w:hAnsi="宋体" w:cs="宋体"/>
          <w:b/>
          <w:bCs/>
          <w:color w:val="auto"/>
          <w:sz w:val="24"/>
          <w:highlight w:val="none"/>
        </w:rPr>
      </w:pPr>
      <w:r>
        <w:rPr>
          <w:rFonts w:hint="eastAsia" w:ascii="宋体" w:hAnsi="宋体" w:cs="宋体"/>
          <w:b/>
          <w:bCs/>
          <w:color w:val="auto"/>
          <w:sz w:val="24"/>
          <w:highlight w:val="none"/>
        </w:rPr>
        <w:t>目 录</w:t>
      </w:r>
    </w:p>
    <w:p w14:paraId="09973C29">
      <w:pPr>
        <w:pStyle w:val="23"/>
        <w:tabs>
          <w:tab w:val="right" w:leader="dot" w:pos="9746"/>
        </w:tabs>
        <w:rPr>
          <w:rFonts w:ascii="宋体" w:hAnsi="宋体" w:cs="宋体"/>
          <w:color w:val="auto"/>
          <w:szCs w:val="21"/>
          <w:highlight w:val="none"/>
        </w:rPr>
      </w:pPr>
    </w:p>
    <w:p w14:paraId="53729E2A">
      <w:pPr>
        <w:pStyle w:val="23"/>
        <w:tabs>
          <w:tab w:val="right" w:leader="dot" w:pos="9746"/>
        </w:tabs>
        <w:rPr>
          <w:rFonts w:ascii="宋体" w:hAnsi="宋体" w:cs="宋体"/>
          <w:color w:val="auto"/>
          <w:szCs w:val="21"/>
          <w:highlight w:val="none"/>
        </w:rPr>
      </w:pPr>
    </w:p>
    <w:p w14:paraId="0C568A05">
      <w:pPr>
        <w:pStyle w:val="23"/>
        <w:tabs>
          <w:tab w:val="right" w:leader="dot" w:pos="9746"/>
        </w:tabs>
        <w:rPr>
          <w:rFonts w:ascii="宋体" w:hAnsi="宋体" w:cs="宋体"/>
          <w:color w:val="auto"/>
          <w:szCs w:val="21"/>
          <w:highlight w:val="none"/>
        </w:rPr>
      </w:pPr>
    </w:p>
    <w:p w14:paraId="024AE99F">
      <w:pPr>
        <w:pStyle w:val="23"/>
        <w:tabs>
          <w:tab w:val="right" w:leader="dot" w:pos="9746"/>
        </w:tabs>
        <w:rPr>
          <w:rFonts w:ascii="宋体" w:hAnsi="宋体" w:cs="宋体"/>
          <w:b/>
          <w:color w:val="auto"/>
          <w:sz w:val="24"/>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TOC \o "1-3" \h \u </w:instrText>
      </w:r>
      <w:r>
        <w:rPr>
          <w:rFonts w:hint="eastAsia" w:ascii="宋体" w:hAnsi="宋体" w:cs="宋体"/>
          <w:color w:val="auto"/>
          <w:szCs w:val="21"/>
          <w:highlight w:val="none"/>
        </w:rPr>
        <w:fldChar w:fldCharType="separate"/>
      </w:r>
      <w:r>
        <w:rPr>
          <w:color w:val="auto"/>
          <w:highlight w:val="none"/>
        </w:rPr>
        <w:fldChar w:fldCharType="begin"/>
      </w:r>
      <w:r>
        <w:rPr>
          <w:color w:val="auto"/>
          <w:highlight w:val="none"/>
        </w:rPr>
        <w:instrText xml:space="preserve"> HYPERLINK \l "_Toc461" </w:instrText>
      </w:r>
      <w:r>
        <w:rPr>
          <w:color w:val="auto"/>
          <w:highlight w:val="none"/>
        </w:rPr>
        <w:fldChar w:fldCharType="separate"/>
      </w:r>
      <w:r>
        <w:rPr>
          <w:rFonts w:hint="eastAsia" w:ascii="宋体" w:hAnsi="宋体" w:cs="宋体"/>
          <w:b/>
          <w:color w:val="auto"/>
          <w:sz w:val="24"/>
          <w:highlight w:val="none"/>
        </w:rPr>
        <w:t>第一章 公开招标公告</w:t>
      </w:r>
      <w:r>
        <w:rPr>
          <w:b/>
          <w:color w:val="auto"/>
          <w:sz w:val="24"/>
          <w:highlight w:val="none"/>
        </w:rPr>
        <w:tab/>
      </w:r>
      <w:r>
        <w:rPr>
          <w:b/>
          <w:color w:val="auto"/>
          <w:sz w:val="24"/>
          <w:highlight w:val="none"/>
        </w:rPr>
        <w:fldChar w:fldCharType="begin"/>
      </w:r>
      <w:r>
        <w:rPr>
          <w:b/>
          <w:color w:val="auto"/>
          <w:sz w:val="24"/>
          <w:highlight w:val="none"/>
        </w:rPr>
        <w:instrText xml:space="preserve"> PAGEREF _Toc461 </w:instrText>
      </w:r>
      <w:r>
        <w:rPr>
          <w:b/>
          <w:color w:val="auto"/>
          <w:sz w:val="24"/>
          <w:highlight w:val="none"/>
        </w:rPr>
        <w:fldChar w:fldCharType="separate"/>
      </w:r>
      <w:r>
        <w:rPr>
          <w:b/>
          <w:color w:val="auto"/>
          <w:sz w:val="24"/>
          <w:highlight w:val="none"/>
        </w:rPr>
        <w:t>- 1 -</w:t>
      </w:r>
      <w:r>
        <w:rPr>
          <w:b/>
          <w:color w:val="auto"/>
          <w:sz w:val="24"/>
          <w:highlight w:val="none"/>
        </w:rPr>
        <w:fldChar w:fldCharType="end"/>
      </w:r>
      <w:r>
        <w:rPr>
          <w:b/>
          <w:color w:val="auto"/>
          <w:sz w:val="24"/>
          <w:highlight w:val="none"/>
        </w:rPr>
        <w:fldChar w:fldCharType="end"/>
      </w:r>
    </w:p>
    <w:p w14:paraId="04A8E0E4">
      <w:pPr>
        <w:rPr>
          <w:b/>
          <w:color w:val="auto"/>
          <w:sz w:val="24"/>
          <w:highlight w:val="none"/>
        </w:rPr>
      </w:pPr>
    </w:p>
    <w:p w14:paraId="6FDCA261">
      <w:pPr>
        <w:pStyle w:val="23"/>
        <w:tabs>
          <w:tab w:val="right" w:leader="dot" w:pos="9746"/>
        </w:tabs>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宋体" w:hAnsi="宋体" w:cs="宋体"/>
          <w:b/>
          <w:bCs/>
          <w:color w:val="auto"/>
          <w:kern w:val="44"/>
          <w:sz w:val="24"/>
          <w:highlight w:val="none"/>
        </w:rPr>
        <w:t>第二章 投标人须知</w:t>
      </w:r>
      <w:r>
        <w:rPr>
          <w:b/>
          <w:color w:val="auto"/>
          <w:sz w:val="24"/>
          <w:highlight w:val="none"/>
        </w:rPr>
        <w:tab/>
      </w:r>
      <w:r>
        <w:rPr>
          <w:b/>
          <w:color w:val="auto"/>
          <w:sz w:val="24"/>
          <w:highlight w:val="none"/>
        </w:rPr>
        <w:fldChar w:fldCharType="begin"/>
      </w:r>
      <w:r>
        <w:rPr>
          <w:b/>
          <w:color w:val="auto"/>
          <w:sz w:val="24"/>
          <w:highlight w:val="none"/>
        </w:rPr>
        <w:instrText xml:space="preserve"> PAGEREF _Toc8888 </w:instrText>
      </w:r>
      <w:r>
        <w:rPr>
          <w:b/>
          <w:color w:val="auto"/>
          <w:sz w:val="24"/>
          <w:highlight w:val="none"/>
        </w:rPr>
        <w:fldChar w:fldCharType="separate"/>
      </w:r>
      <w:r>
        <w:rPr>
          <w:b/>
          <w:color w:val="auto"/>
          <w:sz w:val="24"/>
          <w:highlight w:val="none"/>
        </w:rPr>
        <w:t>- 4 -</w:t>
      </w:r>
      <w:r>
        <w:rPr>
          <w:b/>
          <w:color w:val="auto"/>
          <w:sz w:val="24"/>
          <w:highlight w:val="none"/>
        </w:rPr>
        <w:fldChar w:fldCharType="end"/>
      </w:r>
      <w:r>
        <w:rPr>
          <w:b/>
          <w:color w:val="auto"/>
          <w:sz w:val="24"/>
          <w:highlight w:val="none"/>
        </w:rPr>
        <w:fldChar w:fldCharType="end"/>
      </w:r>
    </w:p>
    <w:p w14:paraId="7424C85B">
      <w:pPr>
        <w:rPr>
          <w:b/>
          <w:color w:val="auto"/>
          <w:sz w:val="24"/>
          <w:highlight w:val="none"/>
        </w:rPr>
      </w:pPr>
    </w:p>
    <w:p w14:paraId="3A36E2DF">
      <w:pPr>
        <w:pStyle w:val="23"/>
        <w:tabs>
          <w:tab w:val="right" w:leader="dot" w:pos="9746"/>
        </w:tabs>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"_Toc12794" </w:instrText>
      </w:r>
      <w:r>
        <w:rPr>
          <w:color w:val="auto"/>
          <w:highlight w:val="none"/>
        </w:rPr>
        <w:fldChar w:fldCharType="separate"/>
      </w:r>
      <w:r>
        <w:rPr>
          <w:rFonts w:hint="eastAsia"/>
          <w:b/>
          <w:color w:val="auto"/>
          <w:sz w:val="24"/>
          <w:highlight w:val="none"/>
        </w:rPr>
        <w:t>第三章 货物采购需求</w:t>
      </w:r>
      <w:r>
        <w:rPr>
          <w:b/>
          <w:color w:val="auto"/>
          <w:sz w:val="24"/>
          <w:highlight w:val="none"/>
        </w:rPr>
        <w:tab/>
      </w:r>
      <w:r>
        <w:rPr>
          <w:b/>
          <w:color w:val="auto"/>
          <w:sz w:val="24"/>
          <w:highlight w:val="none"/>
        </w:rPr>
        <w:fldChar w:fldCharType="begin"/>
      </w:r>
      <w:r>
        <w:rPr>
          <w:b/>
          <w:color w:val="auto"/>
          <w:sz w:val="24"/>
          <w:highlight w:val="none"/>
        </w:rPr>
        <w:instrText xml:space="preserve"> PAGEREF _Toc12794 </w:instrText>
      </w:r>
      <w:r>
        <w:rPr>
          <w:b/>
          <w:color w:val="auto"/>
          <w:sz w:val="24"/>
          <w:highlight w:val="none"/>
        </w:rPr>
        <w:fldChar w:fldCharType="separate"/>
      </w:r>
      <w:r>
        <w:rPr>
          <w:b/>
          <w:color w:val="auto"/>
          <w:sz w:val="24"/>
          <w:highlight w:val="none"/>
        </w:rPr>
        <w:t>- 21 -</w:t>
      </w:r>
      <w:r>
        <w:rPr>
          <w:b/>
          <w:color w:val="auto"/>
          <w:sz w:val="24"/>
          <w:highlight w:val="none"/>
        </w:rPr>
        <w:fldChar w:fldCharType="end"/>
      </w:r>
      <w:r>
        <w:rPr>
          <w:b/>
          <w:color w:val="auto"/>
          <w:sz w:val="24"/>
          <w:highlight w:val="none"/>
        </w:rPr>
        <w:fldChar w:fldCharType="end"/>
      </w:r>
    </w:p>
    <w:p w14:paraId="6719B487">
      <w:pPr>
        <w:rPr>
          <w:b/>
          <w:color w:val="auto"/>
          <w:sz w:val="24"/>
          <w:highlight w:val="none"/>
        </w:rPr>
      </w:pPr>
    </w:p>
    <w:p w14:paraId="28EA3BFB">
      <w:pPr>
        <w:pStyle w:val="23"/>
        <w:tabs>
          <w:tab w:val="right" w:leader="dot" w:pos="9746"/>
        </w:tabs>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"_Toc22812" </w:instrText>
      </w:r>
      <w:r>
        <w:rPr>
          <w:color w:val="auto"/>
          <w:highlight w:val="none"/>
        </w:rPr>
        <w:fldChar w:fldCharType="separate"/>
      </w:r>
      <w:r>
        <w:rPr>
          <w:rFonts w:hint="eastAsia" w:ascii="宋体" w:hAnsi="宋体" w:cs="宋体"/>
          <w:b/>
          <w:color w:val="auto"/>
          <w:sz w:val="24"/>
          <w:highlight w:val="none"/>
        </w:rPr>
        <w:t>第四章 评标办法</w:t>
      </w:r>
      <w:r>
        <w:rPr>
          <w:b/>
          <w:color w:val="auto"/>
          <w:sz w:val="24"/>
          <w:highlight w:val="none"/>
        </w:rPr>
        <w:tab/>
      </w:r>
      <w:r>
        <w:rPr>
          <w:b/>
          <w:color w:val="auto"/>
          <w:sz w:val="24"/>
          <w:highlight w:val="none"/>
        </w:rPr>
        <w:fldChar w:fldCharType="begin"/>
      </w:r>
      <w:r>
        <w:rPr>
          <w:b/>
          <w:color w:val="auto"/>
          <w:sz w:val="24"/>
          <w:highlight w:val="none"/>
        </w:rPr>
        <w:instrText xml:space="preserve"> PAGEREF _Toc22812 </w:instrText>
      </w:r>
      <w:r>
        <w:rPr>
          <w:b/>
          <w:color w:val="auto"/>
          <w:sz w:val="24"/>
          <w:highlight w:val="none"/>
        </w:rPr>
        <w:fldChar w:fldCharType="separate"/>
      </w:r>
      <w:r>
        <w:rPr>
          <w:b/>
          <w:color w:val="auto"/>
          <w:sz w:val="24"/>
          <w:highlight w:val="none"/>
        </w:rPr>
        <w:t>- 23 -</w:t>
      </w:r>
      <w:r>
        <w:rPr>
          <w:b/>
          <w:color w:val="auto"/>
          <w:sz w:val="24"/>
          <w:highlight w:val="none"/>
        </w:rPr>
        <w:fldChar w:fldCharType="end"/>
      </w:r>
      <w:r>
        <w:rPr>
          <w:b/>
          <w:color w:val="auto"/>
          <w:sz w:val="24"/>
          <w:highlight w:val="none"/>
        </w:rPr>
        <w:fldChar w:fldCharType="end"/>
      </w:r>
    </w:p>
    <w:p w14:paraId="2C4C0F31">
      <w:pPr>
        <w:rPr>
          <w:b/>
          <w:color w:val="auto"/>
          <w:sz w:val="24"/>
          <w:highlight w:val="none"/>
        </w:rPr>
      </w:pPr>
    </w:p>
    <w:p w14:paraId="64905B70">
      <w:pPr>
        <w:pStyle w:val="23"/>
        <w:tabs>
          <w:tab w:val="right" w:leader="dot" w:pos="9746"/>
        </w:tabs>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"_Toc30884" </w:instrText>
      </w:r>
      <w:r>
        <w:rPr>
          <w:color w:val="auto"/>
          <w:highlight w:val="none"/>
        </w:rPr>
        <w:fldChar w:fldCharType="separate"/>
      </w:r>
      <w:r>
        <w:rPr>
          <w:rFonts w:hint="eastAsia" w:ascii="宋体" w:hAnsi="宋体" w:cs="宋体"/>
          <w:b/>
          <w:bCs/>
          <w:color w:val="auto"/>
          <w:kern w:val="44"/>
          <w:sz w:val="24"/>
          <w:highlight w:val="none"/>
        </w:rPr>
        <w:t>第五章 采购合同（合同主要条款及格式）</w:t>
      </w:r>
      <w:r>
        <w:rPr>
          <w:b/>
          <w:color w:val="auto"/>
          <w:sz w:val="24"/>
          <w:highlight w:val="none"/>
        </w:rPr>
        <w:tab/>
      </w:r>
      <w:r>
        <w:rPr>
          <w:b/>
          <w:color w:val="auto"/>
          <w:sz w:val="24"/>
          <w:highlight w:val="none"/>
        </w:rPr>
        <w:fldChar w:fldCharType="begin"/>
      </w:r>
      <w:r>
        <w:rPr>
          <w:b/>
          <w:color w:val="auto"/>
          <w:sz w:val="24"/>
          <w:highlight w:val="none"/>
        </w:rPr>
        <w:instrText xml:space="preserve"> PAGEREF _Toc30884 </w:instrText>
      </w:r>
      <w:r>
        <w:rPr>
          <w:b/>
          <w:color w:val="auto"/>
          <w:sz w:val="24"/>
          <w:highlight w:val="none"/>
        </w:rPr>
        <w:fldChar w:fldCharType="separate"/>
      </w:r>
      <w:r>
        <w:rPr>
          <w:b/>
          <w:color w:val="auto"/>
          <w:sz w:val="24"/>
          <w:highlight w:val="none"/>
        </w:rPr>
        <w:t>- 33 -</w:t>
      </w:r>
      <w:r>
        <w:rPr>
          <w:b/>
          <w:color w:val="auto"/>
          <w:sz w:val="24"/>
          <w:highlight w:val="none"/>
        </w:rPr>
        <w:fldChar w:fldCharType="end"/>
      </w:r>
      <w:r>
        <w:rPr>
          <w:b/>
          <w:color w:val="auto"/>
          <w:sz w:val="24"/>
          <w:highlight w:val="none"/>
        </w:rPr>
        <w:fldChar w:fldCharType="end"/>
      </w:r>
    </w:p>
    <w:p w14:paraId="0EE64A1D">
      <w:pPr>
        <w:rPr>
          <w:b/>
          <w:color w:val="auto"/>
          <w:sz w:val="24"/>
          <w:highlight w:val="none"/>
        </w:rPr>
      </w:pPr>
    </w:p>
    <w:p w14:paraId="1BF1936E">
      <w:pPr>
        <w:pStyle w:val="23"/>
        <w:tabs>
          <w:tab w:val="right" w:leader="dot" w:pos="9746"/>
        </w:tabs>
        <w:rPr>
          <w:b/>
          <w:color w:val="auto"/>
          <w:sz w:val="24"/>
          <w:highlight w:val="none"/>
        </w:rPr>
      </w:pPr>
      <w:r>
        <w:rPr>
          <w:color w:val="auto"/>
          <w:highlight w:val="none"/>
        </w:rPr>
        <w:fldChar w:fldCharType="begin"/>
      </w:r>
      <w:r>
        <w:rPr>
          <w:color w:val="auto"/>
          <w:highlight w:val="none"/>
        </w:rPr>
        <w:instrText xml:space="preserve"> HYPERLINK \l "_Toc18889" </w:instrText>
      </w:r>
      <w:r>
        <w:rPr>
          <w:color w:val="auto"/>
          <w:highlight w:val="none"/>
        </w:rPr>
        <w:fldChar w:fldCharType="separate"/>
      </w:r>
      <w:r>
        <w:rPr>
          <w:rFonts w:hint="eastAsia" w:ascii="宋体" w:hAnsi="宋体" w:cs="宋体"/>
          <w:b/>
          <w:bCs/>
          <w:color w:val="auto"/>
          <w:kern w:val="44"/>
          <w:sz w:val="24"/>
          <w:highlight w:val="none"/>
        </w:rPr>
        <w:t>第六章 投标文件（格式）</w:t>
      </w:r>
      <w:r>
        <w:rPr>
          <w:b/>
          <w:color w:val="auto"/>
          <w:sz w:val="24"/>
          <w:highlight w:val="none"/>
        </w:rPr>
        <w:tab/>
      </w:r>
      <w:r>
        <w:rPr>
          <w:b/>
          <w:color w:val="auto"/>
          <w:sz w:val="24"/>
          <w:highlight w:val="none"/>
        </w:rPr>
        <w:fldChar w:fldCharType="begin"/>
      </w:r>
      <w:r>
        <w:rPr>
          <w:b/>
          <w:color w:val="auto"/>
          <w:sz w:val="24"/>
          <w:highlight w:val="none"/>
        </w:rPr>
        <w:instrText xml:space="preserve"> PAGEREF _Toc18889 </w:instrText>
      </w:r>
      <w:r>
        <w:rPr>
          <w:b/>
          <w:color w:val="auto"/>
          <w:sz w:val="24"/>
          <w:highlight w:val="none"/>
        </w:rPr>
        <w:fldChar w:fldCharType="separate"/>
      </w:r>
      <w:r>
        <w:rPr>
          <w:b/>
          <w:color w:val="auto"/>
          <w:sz w:val="24"/>
          <w:highlight w:val="none"/>
        </w:rPr>
        <w:t>- 33 -</w:t>
      </w:r>
      <w:r>
        <w:rPr>
          <w:b/>
          <w:color w:val="auto"/>
          <w:sz w:val="24"/>
          <w:highlight w:val="none"/>
        </w:rPr>
        <w:fldChar w:fldCharType="end"/>
      </w:r>
      <w:r>
        <w:rPr>
          <w:b/>
          <w:color w:val="auto"/>
          <w:sz w:val="24"/>
          <w:highlight w:val="none"/>
        </w:rPr>
        <w:fldChar w:fldCharType="end"/>
      </w:r>
    </w:p>
    <w:p w14:paraId="57450033">
      <w:pPr>
        <w:rPr>
          <w:rFonts w:ascii="宋体" w:hAnsi="宋体" w:cs="宋体"/>
          <w:color w:val="auto"/>
          <w:szCs w:val="21"/>
          <w:highlight w:val="none"/>
        </w:rPr>
      </w:pPr>
      <w:r>
        <w:rPr>
          <w:rFonts w:hint="eastAsia" w:ascii="宋体" w:hAnsi="宋体" w:cs="宋体"/>
          <w:color w:val="auto"/>
          <w:szCs w:val="21"/>
          <w:highlight w:val="none"/>
        </w:rPr>
        <w:fldChar w:fldCharType="end"/>
      </w:r>
    </w:p>
    <w:p w14:paraId="264DF0A1">
      <w:pPr>
        <w:jc w:val="center"/>
        <w:outlineLvl w:val="0"/>
        <w:rPr>
          <w:rFonts w:ascii="宋体" w:hAnsi="宋体" w:cs="宋体"/>
          <w:color w:val="auto"/>
          <w:sz w:val="32"/>
          <w:szCs w:val="32"/>
          <w:highlight w:val="none"/>
        </w:rPr>
        <w:sectPr>
          <w:pgSz w:w="11906" w:h="16838"/>
          <w:pgMar w:top="1440" w:right="1080" w:bottom="1440" w:left="1080" w:header="851" w:footer="992" w:gutter="0"/>
          <w:pgNumType w:fmt="numberInDash" w:start="1"/>
          <w:cols w:space="720" w:num="1"/>
          <w:docGrid w:type="lines" w:linePitch="312" w:charSpace="0"/>
        </w:sectPr>
      </w:pPr>
    </w:p>
    <w:p w14:paraId="642E51FE">
      <w:pPr>
        <w:pStyle w:val="3"/>
        <w:pageBreakBefore w:val="0"/>
        <w:numPr>
          <w:ilvl w:val="0"/>
          <w:numId w:val="1"/>
        </w:numPr>
        <w:tabs>
          <w:tab w:val="left" w:pos="0"/>
          <w:tab w:val="left" w:pos="3165"/>
          <w:tab w:val="center" w:pos="4153"/>
        </w:tabs>
        <w:kinsoku/>
        <w:wordWrap/>
        <w:overflowPunct/>
        <w:topLinePunct w:val="0"/>
        <w:autoSpaceDE w:val="0"/>
        <w:autoSpaceDN w:val="0"/>
        <w:bidi w:val="0"/>
        <w:adjustRightInd w:val="0"/>
        <w:snapToGrid/>
        <w:spacing w:before="0" w:after="0" w:line="420" w:lineRule="exact"/>
        <w:jc w:val="center"/>
        <w:rPr>
          <w:rFonts w:ascii="宋体" w:hAnsi="宋体" w:cs="宋体"/>
          <w:color w:val="auto"/>
          <w:sz w:val="32"/>
          <w:szCs w:val="32"/>
          <w:highlight w:val="none"/>
        </w:rPr>
      </w:pPr>
      <w:bookmarkStart w:id="0" w:name="_Toc9643"/>
      <w:bookmarkStart w:id="1" w:name="_Toc461"/>
      <w:bookmarkStart w:id="2" w:name="_Toc19680"/>
      <w:bookmarkStart w:id="3" w:name="_Toc28359001"/>
      <w:bookmarkStart w:id="4" w:name="_Toc35393789"/>
      <w:r>
        <w:rPr>
          <w:rFonts w:hint="eastAsia" w:ascii="宋体" w:hAnsi="宋体" w:cs="宋体"/>
          <w:color w:val="auto"/>
          <w:sz w:val="32"/>
          <w:szCs w:val="32"/>
          <w:highlight w:val="none"/>
        </w:rPr>
        <w:t>公开招标公告</w:t>
      </w:r>
      <w:bookmarkEnd w:id="0"/>
      <w:bookmarkEnd w:id="1"/>
      <w:bookmarkEnd w:id="2"/>
      <w:bookmarkEnd w:id="3"/>
      <w:bookmarkEnd w:id="4"/>
    </w:p>
    <w:tbl>
      <w:tblPr>
        <w:tblStyle w:val="32"/>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2AA9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9962" w:type="dxa"/>
          </w:tcPr>
          <w:p w14:paraId="61517E84">
            <w:pPr>
              <w:pageBreakBefore w:val="0"/>
              <w:kinsoku/>
              <w:wordWrap/>
              <w:overflowPunct/>
              <w:topLinePunct w:val="0"/>
              <w:bidi w:val="0"/>
              <w:snapToGrid/>
              <w:spacing w:line="420" w:lineRule="exact"/>
              <w:rPr>
                <w:rFonts w:ascii="宋体" w:hAnsi="宋体" w:cs="宋体"/>
                <w:color w:val="auto"/>
                <w:szCs w:val="21"/>
                <w:highlight w:val="none"/>
              </w:rPr>
            </w:pPr>
            <w:r>
              <w:rPr>
                <w:rFonts w:hint="eastAsia" w:ascii="宋体" w:hAnsi="宋体" w:cs="宋体"/>
                <w:color w:val="auto"/>
                <w:szCs w:val="21"/>
                <w:highlight w:val="none"/>
              </w:rPr>
              <w:t>项目概况</w:t>
            </w:r>
          </w:p>
          <w:p w14:paraId="78859AF7">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超高效液相色谱三重四极杆质谱仪项目的潜在投标人应在</w:t>
            </w:r>
            <w:r>
              <w:rPr>
                <w:rFonts w:hint="eastAsia" w:ascii="宋体" w:hAnsi="宋体" w:eastAsia="宋体" w:cs="宋体"/>
                <w:color w:val="auto"/>
                <w:sz w:val="21"/>
                <w:szCs w:val="21"/>
                <w:highlight w:val="none"/>
                <w:u w:val="none"/>
                <w:shd w:val="clear" w:color="auto" w:fill="auto"/>
              </w:rPr>
              <w:t>广西政府采购云平台（https://www.gcy.zfcg.gxzf.gov.cn/）</w:t>
            </w:r>
            <w:r>
              <w:rPr>
                <w:rFonts w:hint="eastAsia" w:ascii="宋体" w:hAnsi="宋体" w:cs="宋体"/>
                <w:color w:val="auto"/>
                <w:szCs w:val="21"/>
                <w:highlight w:val="none"/>
              </w:rPr>
              <w:t>获取招标文件，并于202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日9点30分（北京时间）前递交投标文件。</w:t>
            </w:r>
          </w:p>
        </w:tc>
      </w:tr>
    </w:tbl>
    <w:p w14:paraId="27848323">
      <w:pPr>
        <w:pageBreakBefore w:val="0"/>
        <w:kinsoku/>
        <w:wordWrap/>
        <w:overflowPunct/>
        <w:topLinePunct w:val="0"/>
        <w:bidi w:val="0"/>
        <w:snapToGrid/>
        <w:spacing w:line="420" w:lineRule="exact"/>
        <w:rPr>
          <w:rFonts w:ascii="宋体" w:hAnsi="宋体" w:cs="宋体"/>
          <w:color w:val="auto"/>
          <w:szCs w:val="21"/>
          <w:highlight w:val="none"/>
        </w:rPr>
      </w:pPr>
      <w:bookmarkStart w:id="5" w:name="_Toc35393790"/>
      <w:bookmarkStart w:id="6" w:name="_Toc35393621"/>
      <w:bookmarkStart w:id="7" w:name="_Toc28359002"/>
      <w:bookmarkStart w:id="8" w:name="_Toc28359079"/>
      <w:bookmarkStart w:id="9" w:name="_Hlk24379207"/>
      <w:r>
        <w:rPr>
          <w:rFonts w:hint="eastAsia" w:ascii="宋体" w:hAnsi="宋体" w:cs="宋体"/>
          <w:color w:val="auto"/>
          <w:szCs w:val="21"/>
          <w:highlight w:val="none"/>
        </w:rPr>
        <w:t>一、项目基本情况</w:t>
      </w:r>
      <w:bookmarkEnd w:id="5"/>
      <w:bookmarkEnd w:id="6"/>
      <w:bookmarkEnd w:id="7"/>
      <w:bookmarkEnd w:id="8"/>
    </w:p>
    <w:p w14:paraId="793B5E07">
      <w:pPr>
        <w:pageBreakBefore w:val="0"/>
        <w:kinsoku/>
        <w:wordWrap/>
        <w:overflowPunct/>
        <w:topLinePunct w:val="0"/>
        <w:bidi w:val="0"/>
        <w:snapToGrid/>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项目编号：GXZC2025-G1-003641-GXAJ</w:t>
      </w:r>
      <w:r>
        <w:rPr>
          <w:rFonts w:hint="eastAsia" w:ascii="宋体" w:hAnsi="宋体" w:cs="宋体"/>
          <w:bCs/>
          <w:color w:val="auto"/>
          <w:szCs w:val="21"/>
          <w:highlight w:val="none"/>
          <w:lang w:val="en-US" w:eastAsia="zh-CN"/>
        </w:rPr>
        <w:t xml:space="preserve"> </w:t>
      </w:r>
    </w:p>
    <w:p w14:paraId="14A32C78">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bCs/>
          <w:color w:val="auto"/>
          <w:szCs w:val="21"/>
          <w:highlight w:val="none"/>
        </w:rPr>
        <w:t>超高效液相色谱三重四极杆质谱仪</w:t>
      </w:r>
      <w:bookmarkStart w:id="337" w:name="_GoBack"/>
      <w:bookmarkEnd w:id="337"/>
    </w:p>
    <w:bookmarkEnd w:id="9"/>
    <w:p w14:paraId="4461F7F4">
      <w:pPr>
        <w:pageBreakBefore w:val="0"/>
        <w:kinsoku/>
        <w:wordWrap/>
        <w:overflowPunct/>
        <w:topLinePunct w:val="0"/>
        <w:bidi w:val="0"/>
        <w:snapToGrid/>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bCs/>
          <w:color w:val="auto"/>
          <w:szCs w:val="21"/>
          <w:highlight w:val="none"/>
        </w:rPr>
        <w:t>预算总金额（元）：</w:t>
      </w:r>
      <w:r>
        <w:rPr>
          <w:rFonts w:hint="eastAsia" w:ascii="宋体" w:hAnsi="宋体" w:cs="宋体"/>
          <w:color w:val="auto"/>
          <w:szCs w:val="21"/>
          <w:highlight w:val="none"/>
          <w:lang w:val="en-US" w:eastAsia="zh-CN"/>
        </w:rPr>
        <w:t>2000000.00元</w:t>
      </w:r>
    </w:p>
    <w:p w14:paraId="5AD4ADCF">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1520000</w:t>
      </w:r>
      <w:r>
        <w:rPr>
          <w:rFonts w:hint="eastAsia" w:ascii="宋体" w:hAnsi="宋体" w:cs="宋体"/>
          <w:color w:val="auto"/>
          <w:szCs w:val="21"/>
          <w:highlight w:val="none"/>
        </w:rPr>
        <w:t>.00元</w:t>
      </w:r>
    </w:p>
    <w:p w14:paraId="5C7D5754">
      <w:pPr>
        <w:pageBreakBefore w:val="0"/>
        <w:kinsoku/>
        <w:wordWrap/>
        <w:overflowPunct/>
        <w:topLinePunct w:val="0"/>
        <w:bidi w:val="0"/>
        <w:snapToGrid/>
        <w:spacing w:line="42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采购需求：</w:t>
      </w:r>
    </w:p>
    <w:tbl>
      <w:tblPr>
        <w:tblStyle w:val="32"/>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705"/>
        <w:gridCol w:w="955"/>
        <w:gridCol w:w="783"/>
        <w:gridCol w:w="3919"/>
      </w:tblGrid>
      <w:tr w14:paraId="3876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pct"/>
            <w:vAlign w:val="center"/>
          </w:tcPr>
          <w:p w14:paraId="48A4D437">
            <w:pPr>
              <w:pageBreakBefore w:val="0"/>
              <w:kinsoku/>
              <w:wordWrap/>
              <w:overflowPunct/>
              <w:topLinePunct w:val="0"/>
              <w:bidi w:val="0"/>
              <w:snapToGrid/>
              <w:spacing w:line="42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846" w:type="pct"/>
            <w:vAlign w:val="center"/>
          </w:tcPr>
          <w:p w14:paraId="11791098">
            <w:pPr>
              <w:pageBreakBefore w:val="0"/>
              <w:kinsoku/>
              <w:wordWrap/>
              <w:overflowPunct/>
              <w:topLinePunct w:val="0"/>
              <w:bidi w:val="0"/>
              <w:snapToGrid/>
              <w:spacing w:line="420" w:lineRule="exact"/>
              <w:jc w:val="center"/>
              <w:rPr>
                <w:rFonts w:ascii="宋体" w:hAnsi="宋体" w:cs="宋体"/>
                <w:color w:val="auto"/>
                <w:szCs w:val="21"/>
                <w:highlight w:val="none"/>
              </w:rPr>
            </w:pPr>
            <w:r>
              <w:rPr>
                <w:rFonts w:hint="eastAsia" w:ascii="宋体" w:hAnsi="宋体" w:cs="宋体"/>
                <w:color w:val="auto"/>
                <w:szCs w:val="21"/>
                <w:highlight w:val="none"/>
              </w:rPr>
              <w:t>产品名称</w:t>
            </w:r>
          </w:p>
        </w:tc>
        <w:tc>
          <w:tcPr>
            <w:tcW w:w="476" w:type="pct"/>
            <w:vAlign w:val="center"/>
          </w:tcPr>
          <w:p w14:paraId="3007A0AB">
            <w:pPr>
              <w:pageBreakBefore w:val="0"/>
              <w:kinsoku/>
              <w:wordWrap/>
              <w:overflowPunct/>
              <w:topLinePunct w:val="0"/>
              <w:bidi w:val="0"/>
              <w:snapToGrid/>
              <w:spacing w:line="42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390" w:type="pct"/>
            <w:vAlign w:val="center"/>
          </w:tcPr>
          <w:p w14:paraId="5D30078D">
            <w:pPr>
              <w:pageBreakBefore w:val="0"/>
              <w:kinsoku/>
              <w:wordWrap/>
              <w:overflowPunct/>
              <w:topLinePunct w:val="0"/>
              <w:bidi w:val="0"/>
              <w:snapToGrid/>
              <w:spacing w:line="42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952" w:type="pct"/>
            <w:vAlign w:val="center"/>
          </w:tcPr>
          <w:p w14:paraId="48E6B361">
            <w:pPr>
              <w:pageBreakBefore w:val="0"/>
              <w:kinsoku/>
              <w:wordWrap/>
              <w:overflowPunct/>
              <w:topLinePunct w:val="0"/>
              <w:bidi w:val="0"/>
              <w:snapToGrid/>
              <w:spacing w:line="420" w:lineRule="exact"/>
              <w:jc w:val="center"/>
              <w:rPr>
                <w:rFonts w:ascii="宋体" w:hAnsi="宋体" w:cs="宋体"/>
                <w:color w:val="auto"/>
                <w:szCs w:val="21"/>
                <w:highlight w:val="none"/>
              </w:rPr>
            </w:pPr>
            <w:r>
              <w:rPr>
                <w:rFonts w:hint="eastAsia" w:ascii="宋体" w:hAnsi="宋体" w:cs="宋体"/>
                <w:color w:val="auto"/>
                <w:szCs w:val="21"/>
                <w:highlight w:val="none"/>
              </w:rPr>
              <w:t>简要规格描述或项目基本概况介绍</w:t>
            </w:r>
          </w:p>
        </w:tc>
      </w:tr>
      <w:tr w14:paraId="64F1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pct"/>
            <w:vAlign w:val="center"/>
          </w:tcPr>
          <w:p w14:paraId="3DEDC8B5">
            <w:pPr>
              <w:pageBreakBefore w:val="0"/>
              <w:kinsoku/>
              <w:wordWrap/>
              <w:overflowPunct/>
              <w:topLinePunct w:val="0"/>
              <w:bidi w:val="0"/>
              <w:snapToGrid/>
              <w:spacing w:line="4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846" w:type="pct"/>
            <w:vAlign w:val="center"/>
          </w:tcPr>
          <w:p w14:paraId="28865869">
            <w:pPr>
              <w:pageBreakBefore w:val="0"/>
              <w:kinsoku/>
              <w:wordWrap/>
              <w:overflowPunct/>
              <w:topLinePunct w:val="0"/>
              <w:bidi w:val="0"/>
              <w:snapToGrid/>
              <w:spacing w:line="420" w:lineRule="exact"/>
              <w:jc w:val="center"/>
              <w:rPr>
                <w:rFonts w:ascii="宋体" w:hAnsi="宋体" w:cs="宋体"/>
                <w:color w:val="auto"/>
                <w:szCs w:val="21"/>
                <w:highlight w:val="none"/>
              </w:rPr>
            </w:pPr>
            <w:r>
              <w:rPr>
                <w:rFonts w:hint="eastAsia" w:ascii="宋体" w:hAnsi="宋体" w:cs="宋体"/>
                <w:color w:val="auto"/>
                <w:szCs w:val="21"/>
                <w:highlight w:val="none"/>
              </w:rPr>
              <w:t>超高效液相色谱三重四极杆质谱仪</w:t>
            </w:r>
          </w:p>
        </w:tc>
        <w:tc>
          <w:tcPr>
            <w:tcW w:w="476" w:type="pct"/>
            <w:vAlign w:val="center"/>
          </w:tcPr>
          <w:p w14:paraId="057E1F94">
            <w:pPr>
              <w:pageBreakBefore w:val="0"/>
              <w:widowControl/>
              <w:kinsoku/>
              <w:wordWrap/>
              <w:overflowPunct/>
              <w:topLinePunct w:val="0"/>
              <w:bidi w:val="0"/>
              <w:snapToGrid/>
              <w:spacing w:line="42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390" w:type="pct"/>
            <w:vAlign w:val="center"/>
          </w:tcPr>
          <w:p w14:paraId="70966ACC">
            <w:pPr>
              <w:pageBreakBefore w:val="0"/>
              <w:widowControl/>
              <w:kinsoku/>
              <w:wordWrap/>
              <w:overflowPunct/>
              <w:topLinePunct w:val="0"/>
              <w:bidi w:val="0"/>
              <w:snapToGrid/>
              <w:spacing w:line="42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台</w:t>
            </w:r>
          </w:p>
        </w:tc>
        <w:tc>
          <w:tcPr>
            <w:tcW w:w="1952" w:type="pct"/>
            <w:vAlign w:val="center"/>
          </w:tcPr>
          <w:p w14:paraId="30940047">
            <w:pPr>
              <w:pageBreakBefore w:val="0"/>
              <w:kinsoku/>
              <w:wordWrap/>
              <w:overflowPunct/>
              <w:topLinePunct w:val="0"/>
              <w:bidi w:val="0"/>
              <w:snapToGrid/>
              <w:spacing w:line="420" w:lineRule="exact"/>
              <w:jc w:val="center"/>
              <w:rPr>
                <w:rFonts w:ascii="宋体" w:hAnsi="宋体" w:cs="宋体"/>
                <w:color w:val="auto"/>
                <w:szCs w:val="21"/>
                <w:highlight w:val="none"/>
              </w:rPr>
            </w:pPr>
            <w:r>
              <w:rPr>
                <w:rFonts w:hint="eastAsia" w:ascii="宋体" w:hAnsi="宋体" w:cs="宋体"/>
                <w:color w:val="auto"/>
                <w:szCs w:val="21"/>
                <w:highlight w:val="none"/>
              </w:rPr>
              <w:t>具体技术参数详见招标文件。</w:t>
            </w:r>
          </w:p>
        </w:tc>
      </w:tr>
    </w:tbl>
    <w:p w14:paraId="2FED7FCB">
      <w:pPr>
        <w:pageBreakBefore w:val="0"/>
        <w:kinsoku/>
        <w:wordWrap/>
        <w:overflowPunct/>
        <w:topLinePunct w:val="0"/>
        <w:bidi w:val="0"/>
        <w:snapToGrid/>
        <w:spacing w:line="42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合同履行期限：自签订合同之日90天内全部安装调试合格完毕。</w:t>
      </w:r>
    </w:p>
    <w:p w14:paraId="3A5D4B06">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本项目（否）接受联合体投标。</w:t>
      </w:r>
    </w:p>
    <w:p w14:paraId="21C53C91">
      <w:pPr>
        <w:pageBreakBefore w:val="0"/>
        <w:kinsoku/>
        <w:wordWrap/>
        <w:overflowPunct/>
        <w:topLinePunct w:val="0"/>
        <w:bidi w:val="0"/>
        <w:snapToGrid/>
        <w:spacing w:line="420" w:lineRule="exact"/>
        <w:rPr>
          <w:rFonts w:ascii="宋体" w:hAnsi="宋体" w:cs="宋体"/>
          <w:color w:val="auto"/>
          <w:szCs w:val="21"/>
          <w:highlight w:val="none"/>
        </w:rPr>
      </w:pPr>
      <w:bookmarkStart w:id="10" w:name="_Toc35393791"/>
      <w:bookmarkStart w:id="11" w:name="_Toc28359080"/>
      <w:bookmarkStart w:id="12" w:name="_Toc35393622"/>
      <w:bookmarkStart w:id="13" w:name="_Toc28359003"/>
      <w:r>
        <w:rPr>
          <w:rFonts w:hint="eastAsia" w:ascii="宋体" w:hAnsi="宋体" w:cs="宋体"/>
          <w:color w:val="auto"/>
          <w:szCs w:val="21"/>
          <w:highlight w:val="none"/>
        </w:rPr>
        <w:t>二、申请人的资格要求：</w:t>
      </w:r>
      <w:bookmarkEnd w:id="10"/>
      <w:bookmarkEnd w:id="11"/>
      <w:bookmarkEnd w:id="12"/>
      <w:bookmarkEnd w:id="13"/>
    </w:p>
    <w:p w14:paraId="213882BF">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E4A55F6">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5AAD974">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bookmarkStart w:id="14" w:name="_Toc28359081"/>
      <w:bookmarkStart w:id="15" w:name="_Toc28359004"/>
      <w:r>
        <w:rPr>
          <w:rFonts w:hint="eastAsia" w:ascii="宋体" w:hAnsi="宋体" w:cs="宋体"/>
          <w:color w:val="auto"/>
          <w:szCs w:val="21"/>
          <w:highlight w:val="none"/>
        </w:rPr>
        <w:t>3.落实政府采购政策需满足的资格要求：无。</w:t>
      </w:r>
    </w:p>
    <w:p w14:paraId="6EC779A1">
      <w:pPr>
        <w:pageBreakBefore w:val="0"/>
        <w:kinsoku/>
        <w:wordWrap/>
        <w:overflowPunct/>
        <w:topLinePunct w:val="0"/>
        <w:bidi w:val="0"/>
        <w:snapToGrid/>
        <w:spacing w:line="420" w:lineRule="exact"/>
        <w:ind w:firstLine="420" w:firstLineChars="200"/>
        <w:rPr>
          <w:rFonts w:ascii="宋体" w:hAnsi="宋体" w:cs="宋体"/>
          <w:i/>
          <w:iCs/>
          <w:color w:val="auto"/>
          <w:szCs w:val="21"/>
          <w:highlight w:val="none"/>
          <w:u w:val="single"/>
        </w:rPr>
      </w:pPr>
      <w:r>
        <w:rPr>
          <w:rFonts w:hint="eastAsia" w:ascii="宋体" w:hAnsi="宋体" w:cs="宋体"/>
          <w:color w:val="auto"/>
          <w:szCs w:val="21"/>
          <w:highlight w:val="none"/>
        </w:rPr>
        <w:t>4.本项目的特定资格要求：</w:t>
      </w:r>
      <w:r>
        <w:rPr>
          <w:rFonts w:ascii="宋体" w:hAnsi="宋体" w:cs="宋体"/>
          <w:color w:val="auto"/>
          <w:szCs w:val="21"/>
          <w:highlight w:val="none"/>
        </w:rPr>
        <w:t>投标人按《医疗器械监督管理条例》（国务院令第 739 号）医疗器械分类管理要求具备有效的医疗器械经营备案凭证或者医疗器械经营许可证，且经营范围必须包含采购的医疗器械标的[符合《医疗器械监督管理条例》第四十一条第二款规定的除外]</w:t>
      </w:r>
      <w:r>
        <w:rPr>
          <w:rFonts w:hint="eastAsia" w:ascii="宋体" w:hAnsi="宋体" w:cs="宋体"/>
          <w:color w:val="auto"/>
          <w:szCs w:val="21"/>
          <w:highlight w:val="none"/>
        </w:rPr>
        <w:t>，</w:t>
      </w:r>
      <w:r>
        <w:rPr>
          <w:rFonts w:ascii="宋体" w:hAnsi="宋体" w:cs="宋体"/>
          <w:color w:val="auto"/>
          <w:szCs w:val="21"/>
          <w:highlight w:val="none"/>
        </w:rPr>
        <w:t>所投产品生产厂家具有医疗器械生产许可证</w:t>
      </w:r>
      <w:r>
        <w:rPr>
          <w:rFonts w:hint="eastAsia" w:ascii="宋体" w:hAnsi="宋体" w:cs="宋体"/>
          <w:color w:val="auto"/>
          <w:szCs w:val="21"/>
          <w:highlight w:val="none"/>
        </w:rPr>
        <w:t>，所投产品具有注册凭证或备案凭证。</w:t>
      </w:r>
    </w:p>
    <w:p w14:paraId="1CEA334D">
      <w:pPr>
        <w:pageBreakBefore w:val="0"/>
        <w:kinsoku/>
        <w:wordWrap/>
        <w:overflowPunct/>
        <w:topLinePunct w:val="0"/>
        <w:bidi w:val="0"/>
        <w:snapToGrid/>
        <w:spacing w:line="420" w:lineRule="exact"/>
        <w:rPr>
          <w:rFonts w:ascii="宋体" w:hAnsi="宋体" w:cs="宋体"/>
          <w:color w:val="auto"/>
          <w:szCs w:val="21"/>
          <w:highlight w:val="none"/>
        </w:rPr>
      </w:pPr>
      <w:bookmarkStart w:id="16" w:name="_Toc35393792"/>
      <w:bookmarkStart w:id="17" w:name="_Toc35393623"/>
      <w:r>
        <w:rPr>
          <w:rFonts w:hint="eastAsia" w:ascii="宋体" w:hAnsi="宋体" w:cs="宋体"/>
          <w:color w:val="auto"/>
          <w:szCs w:val="21"/>
          <w:highlight w:val="none"/>
        </w:rPr>
        <w:t>三、获取招标文件</w:t>
      </w:r>
      <w:bookmarkEnd w:id="14"/>
      <w:bookmarkEnd w:id="15"/>
      <w:bookmarkEnd w:id="16"/>
      <w:bookmarkEnd w:id="17"/>
    </w:p>
    <w:p w14:paraId="0DBB6756">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时间：招标公告发布之时起至投标截止时间止，每天上午00:00至12:00 ，下午12:00至23:59（北京时间，法定节假日除外）</w:t>
      </w:r>
    </w:p>
    <w:p w14:paraId="50554B82">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地点（网址）：</w:t>
      </w:r>
      <w:r>
        <w:rPr>
          <w:rFonts w:hint="eastAsia" w:ascii="宋体" w:hAnsi="宋体" w:eastAsia="宋体" w:cs="宋体"/>
          <w:color w:val="auto"/>
          <w:sz w:val="21"/>
          <w:szCs w:val="21"/>
          <w:highlight w:val="none"/>
          <w:u w:val="none"/>
          <w:shd w:val="clear" w:color="auto" w:fill="auto"/>
        </w:rPr>
        <w:t>广西政府采购云平台（https://www.gcy.zfcg.gxzf.gov.cn/）</w:t>
      </w:r>
    </w:p>
    <w:p w14:paraId="33169C2F">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方式：潜在供应商应登录广西政府采购云平台https://www.gcy.zfcg.gxzf.gov.cn/在线申请获取采购文件（进入“项目采购”应用，在获取采购文件菜单中选择项目，申请获取采购文件）。。  </w:t>
      </w:r>
    </w:p>
    <w:p w14:paraId="21FC0191">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售价（元）：0。</w:t>
      </w:r>
    </w:p>
    <w:p w14:paraId="5804140B">
      <w:pPr>
        <w:pageBreakBefore w:val="0"/>
        <w:kinsoku/>
        <w:wordWrap/>
        <w:overflowPunct/>
        <w:topLinePunct w:val="0"/>
        <w:bidi w:val="0"/>
        <w:snapToGrid/>
        <w:spacing w:line="420" w:lineRule="exact"/>
        <w:rPr>
          <w:rFonts w:ascii="宋体" w:hAnsi="宋体" w:cs="宋体"/>
          <w:color w:val="auto"/>
          <w:szCs w:val="21"/>
          <w:highlight w:val="none"/>
        </w:rPr>
      </w:pPr>
      <w:bookmarkStart w:id="18" w:name="_Toc28359082"/>
      <w:bookmarkStart w:id="19" w:name="_Toc28359005"/>
      <w:bookmarkStart w:id="20" w:name="_Toc35393624"/>
      <w:bookmarkStart w:id="21" w:name="_Toc35393793"/>
      <w:r>
        <w:rPr>
          <w:rFonts w:hint="eastAsia" w:ascii="宋体" w:hAnsi="宋体" w:cs="宋体"/>
          <w:color w:val="auto"/>
          <w:szCs w:val="21"/>
          <w:highlight w:val="none"/>
        </w:rPr>
        <w:t>四、提交投标文件</w:t>
      </w:r>
      <w:bookmarkEnd w:id="18"/>
      <w:bookmarkEnd w:id="19"/>
      <w:r>
        <w:rPr>
          <w:rFonts w:hint="eastAsia" w:ascii="宋体" w:hAnsi="宋体" w:cs="宋体"/>
          <w:color w:val="auto"/>
          <w:szCs w:val="21"/>
          <w:highlight w:val="none"/>
        </w:rPr>
        <w:t>截止时间、开标时间和地点</w:t>
      </w:r>
      <w:bookmarkEnd w:id="20"/>
      <w:bookmarkEnd w:id="21"/>
    </w:p>
    <w:p w14:paraId="7A1F446D">
      <w:pPr>
        <w:pageBreakBefore w:val="0"/>
        <w:kinsoku/>
        <w:wordWrap/>
        <w:overflowPunct/>
        <w:topLinePunct w:val="0"/>
        <w:bidi w:val="0"/>
        <w:snapToGrid/>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日9时30分</w:t>
      </w:r>
      <w:r>
        <w:rPr>
          <w:rFonts w:hint="eastAsia" w:ascii="宋体" w:hAnsi="宋体" w:cs="宋体"/>
          <w:bCs/>
          <w:color w:val="auto"/>
          <w:szCs w:val="21"/>
          <w:highlight w:val="none"/>
        </w:rPr>
        <w:t>（北京时间）。</w:t>
      </w:r>
    </w:p>
    <w:p w14:paraId="56C9C0EA">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点：通过广西政府采购云平台实行在线投标。</w:t>
      </w:r>
    </w:p>
    <w:p w14:paraId="54F6A352">
      <w:pPr>
        <w:pageBreakBefore w:val="0"/>
        <w:kinsoku/>
        <w:wordWrap/>
        <w:overflowPunct/>
        <w:topLinePunct w:val="0"/>
        <w:bidi w:val="0"/>
        <w:snapToGrid/>
        <w:spacing w:line="42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开标时间：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日9时30分</w:t>
      </w:r>
      <w:r>
        <w:rPr>
          <w:rFonts w:hint="eastAsia" w:ascii="宋体" w:hAnsi="宋体" w:cs="宋体"/>
          <w:bCs/>
          <w:color w:val="auto"/>
          <w:szCs w:val="21"/>
          <w:highlight w:val="none"/>
        </w:rPr>
        <w:t>（北京时间）</w:t>
      </w:r>
      <w:r>
        <w:rPr>
          <w:rFonts w:hint="eastAsia" w:ascii="宋体" w:hAnsi="宋体" w:cs="宋体"/>
          <w:color w:val="auto"/>
          <w:szCs w:val="21"/>
          <w:highlight w:val="none"/>
        </w:rPr>
        <w:t>截标后。</w:t>
      </w:r>
    </w:p>
    <w:p w14:paraId="0F88B578">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地点：通过广西政府采购云平台实行在线解密开启。</w:t>
      </w:r>
    </w:p>
    <w:p w14:paraId="11E4EFCA">
      <w:pPr>
        <w:pageBreakBefore w:val="0"/>
        <w:kinsoku/>
        <w:wordWrap/>
        <w:overflowPunct/>
        <w:topLinePunct w:val="0"/>
        <w:bidi w:val="0"/>
        <w:snapToGrid/>
        <w:spacing w:line="420" w:lineRule="exact"/>
        <w:rPr>
          <w:rFonts w:ascii="宋体" w:hAnsi="宋体" w:cs="宋体"/>
          <w:color w:val="auto"/>
          <w:szCs w:val="21"/>
          <w:highlight w:val="none"/>
        </w:rPr>
      </w:pPr>
      <w:bookmarkStart w:id="22" w:name="_Toc35393794"/>
      <w:bookmarkStart w:id="23" w:name="_Toc28359007"/>
      <w:bookmarkStart w:id="24" w:name="_Toc35393625"/>
      <w:bookmarkStart w:id="25" w:name="_Toc28359084"/>
      <w:r>
        <w:rPr>
          <w:rFonts w:hint="eastAsia" w:ascii="宋体" w:hAnsi="宋体" w:cs="宋体"/>
          <w:color w:val="auto"/>
          <w:szCs w:val="21"/>
          <w:highlight w:val="none"/>
        </w:rPr>
        <w:t>五、公告期限</w:t>
      </w:r>
      <w:bookmarkEnd w:id="22"/>
      <w:bookmarkEnd w:id="23"/>
      <w:bookmarkEnd w:id="24"/>
      <w:bookmarkEnd w:id="25"/>
    </w:p>
    <w:p w14:paraId="7FD591F8">
      <w:pPr>
        <w:pageBreakBefore w:val="0"/>
        <w:kinsoku/>
        <w:wordWrap/>
        <w:overflowPunct/>
        <w:topLinePunct w:val="0"/>
        <w:bidi w:val="0"/>
        <w:snapToGrid/>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522C10F">
      <w:pPr>
        <w:pageBreakBefore w:val="0"/>
        <w:kinsoku/>
        <w:wordWrap/>
        <w:overflowPunct/>
        <w:topLinePunct w:val="0"/>
        <w:bidi w:val="0"/>
        <w:snapToGrid/>
        <w:spacing w:line="420" w:lineRule="exact"/>
        <w:rPr>
          <w:rFonts w:ascii="宋体" w:hAnsi="宋体" w:cs="宋体"/>
          <w:color w:val="auto"/>
          <w:szCs w:val="21"/>
          <w:highlight w:val="none"/>
        </w:rPr>
      </w:pPr>
      <w:bookmarkStart w:id="26" w:name="_Toc35393626"/>
      <w:bookmarkStart w:id="27" w:name="_Toc35393795"/>
      <w:r>
        <w:rPr>
          <w:rFonts w:hint="eastAsia" w:ascii="宋体" w:hAnsi="宋体" w:cs="宋体"/>
          <w:color w:val="auto"/>
          <w:szCs w:val="21"/>
          <w:highlight w:val="none"/>
        </w:rPr>
        <w:t>六、其他补充事宜</w:t>
      </w:r>
      <w:bookmarkEnd w:id="26"/>
      <w:bookmarkEnd w:id="27"/>
    </w:p>
    <w:p w14:paraId="7595F22E">
      <w:pPr>
        <w:pageBreakBefore w:val="0"/>
        <w:kinsoku/>
        <w:wordWrap/>
        <w:overflowPunct/>
        <w:topLinePunct w:val="0"/>
        <w:bidi w:val="0"/>
        <w:snapToGrid/>
        <w:spacing w:line="420" w:lineRule="exact"/>
        <w:rPr>
          <w:rFonts w:ascii="宋体" w:hAnsi="宋体" w:cs="宋体"/>
          <w:color w:val="auto"/>
          <w:szCs w:val="21"/>
          <w:highlight w:val="none"/>
        </w:rPr>
      </w:pPr>
      <w:bookmarkStart w:id="28" w:name="_Toc35393796"/>
      <w:bookmarkStart w:id="29" w:name="_Toc28359008"/>
      <w:bookmarkStart w:id="30" w:name="_Toc35393627"/>
      <w:bookmarkStart w:id="31" w:name="_Toc28359085"/>
      <w:r>
        <w:rPr>
          <w:rFonts w:hint="eastAsia" w:ascii="宋体" w:hAnsi="宋体" w:cs="宋体"/>
          <w:color w:val="auto"/>
          <w:szCs w:val="21"/>
          <w:highlight w:val="none"/>
        </w:rPr>
        <w:t>1.本项目需要落实的政府采购政策</w:t>
      </w:r>
    </w:p>
    <w:p w14:paraId="0FDC3D30">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（1）《政府采购促进中小企业发展管理办法》（财库[2020]46号），</w:t>
      </w:r>
      <w:r>
        <w:rPr>
          <w:rFonts w:hint="eastAsia" w:ascii="宋体" w:hAnsi="宋体" w:cs="宋体"/>
          <w:b/>
          <w:color w:val="auto"/>
          <w:szCs w:val="21"/>
          <w:highlight w:val="none"/>
        </w:rPr>
        <w:t>本项目非专门面向中小微企业采购</w:t>
      </w:r>
      <w:r>
        <w:rPr>
          <w:rFonts w:hint="eastAsia" w:ascii="宋体" w:hAnsi="宋体" w:cs="宋体"/>
          <w:color w:val="auto"/>
          <w:szCs w:val="21"/>
          <w:highlight w:val="none"/>
        </w:rPr>
        <w:t>，</w:t>
      </w:r>
      <w:r>
        <w:rPr>
          <w:rFonts w:hint="eastAsia" w:ascii="宋体" w:hAnsi="宋体" w:cs="宋体"/>
          <w:b/>
          <w:bCs/>
          <w:color w:val="auto"/>
          <w:szCs w:val="21"/>
          <w:highlight w:val="none"/>
        </w:rPr>
        <w:t>本项目采购标的在 《中小企业划分标准》所属行业为：工业</w:t>
      </w:r>
      <w:r>
        <w:rPr>
          <w:rFonts w:hint="eastAsia" w:ascii="宋体" w:hAnsi="宋体" w:cs="宋体"/>
          <w:color w:val="auto"/>
          <w:szCs w:val="21"/>
          <w:highlight w:val="none"/>
        </w:rPr>
        <w:t>。</w:t>
      </w:r>
    </w:p>
    <w:p w14:paraId="0FE9E699">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（2）《关于政府采购支持监狱企业发展有关问题的通知》（财库[2014]68号）。</w:t>
      </w:r>
    </w:p>
    <w:p w14:paraId="41C4D86B">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（3）《关于促进残疾人就业政府采购政策的通知》（财库[2017]141号）。</w:t>
      </w:r>
    </w:p>
    <w:p w14:paraId="33152810">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（4）强制采购节能产品、优先采购节能产品、环境标志产品。</w:t>
      </w:r>
    </w:p>
    <w:p w14:paraId="2D3A14D9">
      <w:pPr>
        <w:pageBreakBefore w:val="0"/>
        <w:kinsoku/>
        <w:wordWrap/>
        <w:overflowPunct/>
        <w:topLinePunct w:val="0"/>
        <w:bidi w:val="0"/>
        <w:snapToGrid/>
        <w:spacing w:line="420" w:lineRule="exact"/>
        <w:rPr>
          <w:rFonts w:ascii="宋体" w:hAnsi="宋体" w:cs="宋体"/>
          <w:color w:val="auto"/>
          <w:szCs w:val="21"/>
          <w:highlight w:val="none"/>
        </w:rPr>
      </w:pPr>
      <w:r>
        <w:rPr>
          <w:rFonts w:hint="eastAsia" w:ascii="宋体" w:hAnsi="宋体" w:cs="宋体"/>
          <w:color w:val="auto"/>
          <w:szCs w:val="21"/>
          <w:highlight w:val="none"/>
        </w:rPr>
        <w:t>2.信息公告发布媒体：</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Cs w:val="21"/>
          <w:highlight w:val="none"/>
        </w:rPr>
        <w:t>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（中国政府采购网）、zfcg.gxzf.gov.cn（广西壮族自治区政府采购网）</w:t>
      </w:r>
      <w:r>
        <w:rPr>
          <w:rFonts w:hint="eastAsia" w:ascii="宋体" w:hAnsi="宋体" w:cs="宋体"/>
          <w:color w:val="auto"/>
          <w:szCs w:val="21"/>
          <w:highlight w:val="none"/>
          <w:lang w:eastAsia="zh-CN"/>
        </w:rPr>
        <w:t>、桂林</w:t>
      </w:r>
      <w:r>
        <w:rPr>
          <w:rFonts w:hint="eastAsia" w:ascii="宋体" w:hAnsi="宋体" w:cs="宋体"/>
          <w:color w:val="auto"/>
          <w:szCs w:val="21"/>
          <w:highlight w:val="none"/>
          <w:lang w:val="en-US" w:eastAsia="zh-CN"/>
        </w:rPr>
        <w:t>医科大学</w:t>
      </w:r>
      <w:r>
        <w:rPr>
          <w:rFonts w:hint="eastAsia" w:ascii="宋体" w:hAnsi="宋体" w:cs="宋体"/>
          <w:color w:val="auto"/>
          <w:szCs w:val="21"/>
          <w:highlight w:val="none"/>
          <w:lang w:eastAsia="zh-CN"/>
        </w:rPr>
        <w:t>第二附属医院官网（ https://hospital2.glmc.edu.cn）</w:t>
      </w:r>
      <w:r>
        <w:rPr>
          <w:rFonts w:hint="eastAsia" w:ascii="宋体" w:hAnsi="宋体" w:cs="宋体"/>
          <w:color w:val="auto"/>
          <w:szCs w:val="21"/>
          <w:highlight w:val="none"/>
        </w:rPr>
        <w:t>。</w:t>
      </w:r>
    </w:p>
    <w:p w14:paraId="4ED29C20">
      <w:pPr>
        <w:pageBreakBefore w:val="0"/>
        <w:kinsoku/>
        <w:wordWrap/>
        <w:overflowPunct/>
        <w:topLinePunct w:val="0"/>
        <w:bidi w:val="0"/>
        <w:snapToGrid/>
        <w:spacing w:line="420" w:lineRule="exact"/>
        <w:rPr>
          <w:rFonts w:ascii="宋体" w:hAnsi="宋体" w:cs="宋体"/>
          <w:color w:val="auto"/>
          <w:szCs w:val="21"/>
          <w:highlight w:val="none"/>
        </w:rPr>
      </w:pPr>
      <w:r>
        <w:rPr>
          <w:rFonts w:hint="eastAsia" w:ascii="宋体" w:hAnsi="宋体" w:cs="宋体"/>
          <w:color w:val="auto"/>
          <w:szCs w:val="21"/>
          <w:highlight w:val="none"/>
        </w:rPr>
        <w:t>3.特别说明：</w:t>
      </w:r>
    </w:p>
    <w:p w14:paraId="169704D4">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8B4AC7E">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87D147C">
      <w:pPr>
        <w:pageBreakBefore w:val="0"/>
        <w:kinsoku/>
        <w:wordWrap/>
        <w:overflowPunct/>
        <w:topLinePunct w:val="0"/>
        <w:bidi w:val="0"/>
        <w:snapToGrid/>
        <w:spacing w:line="420" w:lineRule="exact"/>
        <w:rPr>
          <w:rFonts w:ascii="宋体" w:hAnsi="宋体" w:cs="宋体"/>
          <w:color w:val="auto"/>
          <w:szCs w:val="21"/>
          <w:highlight w:val="none"/>
        </w:rPr>
      </w:pPr>
      <w:r>
        <w:rPr>
          <w:rFonts w:hint="eastAsia" w:ascii="宋体" w:hAnsi="宋体" w:cs="宋体"/>
          <w:color w:val="auto"/>
          <w:szCs w:val="21"/>
          <w:highlight w:val="none"/>
        </w:rPr>
        <w:t>4.投标文件解密时间：截标时间后30分钟内（202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日9时30分至10时00分)投标人可以登录广西政府采购云平台，用“项目采购-开标评标”功能进行解密投标文件。若投标人在规定时间内无法解密或解密失败，可以以电子备份投标文件作为依据</w:t>
      </w:r>
      <w:r>
        <w:rPr>
          <w:rFonts w:hint="eastAsia" w:ascii="宋体" w:hAnsi="宋体" w:cs="宋体"/>
          <w:b/>
          <w:color w:val="auto"/>
          <w:szCs w:val="21"/>
          <w:highlight w:val="none"/>
        </w:rPr>
        <w:t>【在接到无法解密或解密失败的通知后，投标人可根据自身实际情况按通知时要求的时间到桂林市公共资源交易中心</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号</w:t>
      </w:r>
      <w:r>
        <w:rPr>
          <w:rFonts w:hint="eastAsia" w:ascii="宋体" w:hAnsi="宋体" w:cs="宋体"/>
          <w:b/>
          <w:color w:val="auto"/>
          <w:szCs w:val="21"/>
          <w:highlight w:val="none"/>
          <w:lang w:val="en-US" w:eastAsia="zh-CN"/>
        </w:rPr>
        <w:t>政府采购</w:t>
      </w:r>
      <w:r>
        <w:rPr>
          <w:rFonts w:hint="eastAsia" w:ascii="宋体" w:hAnsi="宋体" w:cs="宋体"/>
          <w:b/>
          <w:color w:val="auto"/>
          <w:szCs w:val="21"/>
          <w:highlight w:val="none"/>
        </w:rPr>
        <w:t>开标</w:t>
      </w:r>
      <w:r>
        <w:rPr>
          <w:rFonts w:hint="eastAsia" w:ascii="宋体" w:hAnsi="宋体" w:cs="宋体"/>
          <w:b/>
          <w:color w:val="auto"/>
          <w:szCs w:val="21"/>
          <w:highlight w:val="none"/>
          <w:lang w:val="en-US" w:eastAsia="zh-CN"/>
        </w:rPr>
        <w:t>仓</w:t>
      </w:r>
      <w:r>
        <w:rPr>
          <w:rFonts w:hint="eastAsia" w:ascii="宋体" w:hAnsi="宋体" w:cs="宋体"/>
          <w:b/>
          <w:color w:val="auto"/>
          <w:szCs w:val="21"/>
          <w:highlight w:val="none"/>
        </w:rPr>
        <w:t>现场提交或以电子邮件的形式（以通知时所告知的电子邮箱地址为准）提交电子备份投标文件】</w:t>
      </w:r>
      <w:r>
        <w:rPr>
          <w:rFonts w:hint="eastAsia" w:ascii="宋体" w:hAnsi="宋体" w:cs="宋体"/>
          <w:color w:val="auto"/>
          <w:szCs w:val="21"/>
          <w:highlight w:val="none"/>
        </w:rPr>
        <w:t>，若投标人在规定时间内无法解密或解密失败且未提供电子备份投标文件的(包含提供的电子备份文件无效或无法解密的情况)，视为投标无效。</w:t>
      </w:r>
    </w:p>
    <w:p w14:paraId="6D43BDD8">
      <w:pPr>
        <w:pageBreakBefore w:val="0"/>
        <w:kinsoku/>
        <w:wordWrap/>
        <w:overflowPunct/>
        <w:topLinePunct w:val="0"/>
        <w:bidi w:val="0"/>
        <w:snapToGrid/>
        <w:spacing w:line="420" w:lineRule="exact"/>
        <w:rPr>
          <w:rFonts w:ascii="宋体" w:hAnsi="宋体" w:cs="宋体"/>
          <w:color w:val="auto"/>
          <w:szCs w:val="21"/>
          <w:highlight w:val="none"/>
        </w:rPr>
      </w:pPr>
      <w:r>
        <w:rPr>
          <w:rFonts w:hint="eastAsia" w:ascii="宋体" w:hAnsi="宋体" w:cs="宋体"/>
          <w:color w:val="auto"/>
          <w:szCs w:val="21"/>
          <w:highlight w:val="none"/>
        </w:rPr>
        <w:t>5.在线投标（电子投标）说明</w:t>
      </w:r>
    </w:p>
    <w:p w14:paraId="02B76400">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通过广西政府采购云平台实行在线投标响应（电子投标），投标人需要先安装“广西政府采购云平台电子交易客户端”，并按照本招标文件和广西政府采购云平台的要求，通过“广西政府采购云电子交易客户端”编制并加密投标文件。投标人未按规定编制并加密的投标文件，广西政府采购云平台将予以拒收。</w:t>
      </w:r>
    </w:p>
    <w:p w14:paraId="6E263F79">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广西政府采购云平台电子交易客户端”请自行前往广西政府采购网下载并安装（http://www.ccgp-guangxi.gov.cn/OfficeService/DownloadArea/2455918.html?utm=sites_group_front.b8b6c91.0.0.c51f9820a48111eabb9bcbdf01af125e）；电子投标具体操作流程参考《政府采购项目电子交易管理操作指南-供应商》；在使用广西政府采购云投标客户端时，建议使用WIN7及以上操作系统,通过广西政府采购云平台参与在线投标时如遇平台技术问题详询95763。</w:t>
      </w:r>
    </w:p>
    <w:p w14:paraId="5667A416">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（2）为确保网上操作合法、有效和安全，投标人应当在投标截止时间前完成在“广西政府采购云平台”的身份认证，确保在电子投标过程中能够对相关数据电子文件进行加密和使用电子签章。使用“</w:t>
      </w:r>
      <w:r>
        <w:rPr>
          <w:rFonts w:hint="eastAsia" w:ascii="宋体" w:hAnsi="宋体" w:cs="宋体"/>
          <w:color w:val="auto"/>
          <w:szCs w:val="21"/>
          <w:highlight w:val="none"/>
          <w:lang w:val="en-US" w:eastAsia="zh-CN"/>
        </w:rPr>
        <w:t>广西</w:t>
      </w:r>
      <w:r>
        <w:rPr>
          <w:rFonts w:hint="eastAsia" w:ascii="宋体" w:hAnsi="宋体" w:cs="宋体"/>
          <w:color w:val="auto"/>
          <w:szCs w:val="21"/>
          <w:highlight w:val="none"/>
        </w:rPr>
        <w:t>政采云电子交易客户端”需要提前申领CA数字证书，申领流程请自行前往广西政府采购云平台网站进行查阅；</w:t>
      </w:r>
      <w:r>
        <w:rPr>
          <w:rFonts w:hint="eastAsia" w:ascii="宋体" w:hAnsi="宋体" w:cs="宋体"/>
          <w:b/>
          <w:color w:val="auto"/>
          <w:szCs w:val="21"/>
          <w:highlight w:val="none"/>
        </w:rPr>
        <w:t>（完成CA数字证书办理预计一周左右，建议供应商获取投标文件后立即办理。）</w:t>
      </w:r>
    </w:p>
    <w:p w14:paraId="41A89E5E">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应当在投标截止时间前，将生成的“投标文件”上传递交至广西政府采购云平台。投标文件递交截止时间前可以撤回电子投标文件。补充或者修改电子投标文件的，应当先行撤回原文件，补充、修改后重新传输递交，投标文件递交截止时间前未完成传输的，视为撤回投标文件。</w:t>
      </w:r>
    </w:p>
    <w:p w14:paraId="6A3112D6">
      <w:pPr>
        <w:pageBreakBefore w:val="0"/>
        <w:kinsoku/>
        <w:wordWrap/>
        <w:overflowPunct/>
        <w:topLinePunct w:val="0"/>
        <w:bidi w:val="0"/>
        <w:snapToGrid/>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采购项目为广西政府采购云全流程电子化操作，参与投标的供应商需自备计算机和网络设备（设备需可视频通话和读取广西政府采购云CA数字证书），确保投标过程顺利进行；因供应商自身设备或网络原因造成的一切后果，由供应商自行承担。</w:t>
      </w:r>
    </w:p>
    <w:p w14:paraId="52072708">
      <w:pPr>
        <w:pageBreakBefore w:val="0"/>
        <w:kinsoku/>
        <w:wordWrap/>
        <w:overflowPunct/>
        <w:topLinePunct w:val="0"/>
        <w:bidi w:val="0"/>
        <w:snapToGrid/>
        <w:spacing w:line="420" w:lineRule="exact"/>
        <w:rPr>
          <w:rFonts w:ascii="宋体" w:hAnsi="宋体" w:cs="宋体"/>
          <w:color w:val="auto"/>
          <w:szCs w:val="21"/>
          <w:highlight w:val="none"/>
        </w:rPr>
      </w:pPr>
      <w:r>
        <w:rPr>
          <w:rFonts w:hint="eastAsia" w:ascii="宋体" w:hAnsi="宋体" w:cs="宋体"/>
          <w:color w:val="auto"/>
          <w:szCs w:val="21"/>
          <w:highlight w:val="none"/>
        </w:rPr>
        <w:t>七、对本次招标提出询问，请按以下方式联系。</w:t>
      </w:r>
      <w:bookmarkEnd w:id="28"/>
      <w:bookmarkEnd w:id="29"/>
      <w:bookmarkEnd w:id="30"/>
      <w:bookmarkEnd w:id="31"/>
    </w:p>
    <w:p w14:paraId="1BD70000">
      <w:pPr>
        <w:pageBreakBefore w:val="0"/>
        <w:widowControl/>
        <w:kinsoku/>
        <w:wordWrap/>
        <w:overflowPunct/>
        <w:topLinePunct w:val="0"/>
        <w:bidi w:val="0"/>
        <w:snapToGrid/>
        <w:spacing w:line="420" w:lineRule="exact"/>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0B3098E5">
      <w:pPr>
        <w:pageBreakBefore w:val="0"/>
        <w:kinsoku/>
        <w:wordWrap/>
        <w:overflowPunct/>
        <w:topLinePunct w:val="0"/>
        <w:bidi w:val="0"/>
        <w:snapToGrid/>
        <w:spacing w:line="420" w:lineRule="exact"/>
        <w:ind w:left="1041" w:leftChars="371" w:hanging="262" w:hangingChars="125"/>
        <w:jc w:val="left"/>
        <w:rPr>
          <w:rFonts w:ascii="宋体" w:hAnsi="宋体" w:cs="宋体"/>
          <w:color w:val="auto"/>
          <w:szCs w:val="21"/>
          <w:highlight w:val="none"/>
        </w:rPr>
      </w:pPr>
      <w:bookmarkStart w:id="32" w:name="_Toc28359086"/>
      <w:bookmarkStart w:id="33" w:name="_Toc28359009"/>
      <w:r>
        <w:rPr>
          <w:rFonts w:hint="eastAsia" w:ascii="宋体" w:hAnsi="宋体" w:cs="宋体"/>
          <w:color w:val="auto"/>
          <w:szCs w:val="21"/>
          <w:highlight w:val="none"/>
        </w:rPr>
        <w:t>名    称：</w:t>
      </w:r>
      <w:r>
        <w:rPr>
          <w:rFonts w:hint="eastAsia" w:ascii="宋体" w:hAnsi="宋体" w:cs="宋体"/>
          <w:color w:val="auto"/>
          <w:szCs w:val="21"/>
          <w:highlight w:val="none"/>
          <w:u w:val="single"/>
        </w:rPr>
        <w:t>桂林医学院第二附属医院</w:t>
      </w:r>
    </w:p>
    <w:p w14:paraId="7BC3FACF">
      <w:pPr>
        <w:pageBreakBefore w:val="0"/>
        <w:kinsoku/>
        <w:wordWrap/>
        <w:overflowPunct/>
        <w:topLinePunct w:val="0"/>
        <w:bidi w:val="0"/>
        <w:snapToGrid/>
        <w:spacing w:line="420" w:lineRule="exact"/>
        <w:ind w:left="1041" w:leftChars="371" w:hanging="262" w:hangingChars="125"/>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桂林市临桂镇人民路212号</w:t>
      </w:r>
    </w:p>
    <w:p w14:paraId="24ECC727">
      <w:pPr>
        <w:pageBreakBefore w:val="0"/>
        <w:kinsoku/>
        <w:wordWrap/>
        <w:overflowPunct/>
        <w:topLinePunct w:val="0"/>
        <w:bidi w:val="0"/>
        <w:snapToGrid/>
        <w:spacing w:line="420" w:lineRule="exact"/>
        <w:ind w:left="1041" w:leftChars="371" w:hanging="262" w:hangingChars="125"/>
        <w:jc w:val="left"/>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0773-5590063</w:t>
      </w:r>
    </w:p>
    <w:p w14:paraId="3B474D15">
      <w:pPr>
        <w:pageBreakBefore w:val="0"/>
        <w:kinsoku/>
        <w:wordWrap/>
        <w:overflowPunct/>
        <w:topLinePunct w:val="0"/>
        <w:bidi w:val="0"/>
        <w:snapToGrid/>
        <w:spacing w:line="42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32"/>
      <w:bookmarkEnd w:id="33"/>
    </w:p>
    <w:p w14:paraId="4378719E">
      <w:pPr>
        <w:pageBreakBefore w:val="0"/>
        <w:kinsoku/>
        <w:wordWrap/>
        <w:overflowPunct/>
        <w:topLinePunct w:val="0"/>
        <w:bidi w:val="0"/>
        <w:snapToGrid/>
        <w:spacing w:line="420" w:lineRule="exact"/>
        <w:ind w:firstLine="630" w:firstLineChars="300"/>
        <w:rPr>
          <w:rFonts w:ascii="宋体" w:hAnsi="宋体" w:cs="宋体"/>
          <w:color w:val="auto"/>
          <w:szCs w:val="21"/>
          <w:highlight w:val="none"/>
          <w:u w:val="singl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广西奥金斯项目管理有限公司　</w:t>
      </w:r>
    </w:p>
    <w:p w14:paraId="30FC2BCD">
      <w:pPr>
        <w:pageBreakBefore w:val="0"/>
        <w:kinsoku/>
        <w:wordWrap/>
        <w:overflowPunct/>
        <w:topLinePunct w:val="0"/>
        <w:bidi w:val="0"/>
        <w:snapToGrid/>
        <w:spacing w:line="42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桂林市秀峰区翠竹路23号50-2号</w:t>
      </w:r>
    </w:p>
    <w:p w14:paraId="244A3556">
      <w:pPr>
        <w:pageBreakBefore w:val="0"/>
        <w:kinsoku/>
        <w:wordWrap/>
        <w:overflowPunct/>
        <w:topLinePunct w:val="0"/>
        <w:bidi w:val="0"/>
        <w:snapToGrid/>
        <w:spacing w:line="42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联系方式：</w:t>
      </w:r>
      <w:bookmarkStart w:id="34" w:name="_Toc28359010"/>
      <w:bookmarkStart w:id="35" w:name="_Toc28359087"/>
      <w:r>
        <w:rPr>
          <w:rFonts w:ascii="宋体" w:hAnsi="宋体" w:cs="宋体"/>
          <w:color w:val="auto"/>
          <w:szCs w:val="21"/>
          <w:highlight w:val="none"/>
          <w:u w:val="single"/>
        </w:rPr>
        <w:t>0773-</w:t>
      </w:r>
      <w:r>
        <w:rPr>
          <w:rFonts w:hint="eastAsia" w:ascii="宋体" w:hAnsi="宋体" w:cs="宋体"/>
          <w:color w:val="auto"/>
          <w:szCs w:val="21"/>
          <w:highlight w:val="none"/>
          <w:u w:val="single"/>
        </w:rPr>
        <w:t>2690777</w:t>
      </w:r>
    </w:p>
    <w:p w14:paraId="5A2B047E">
      <w:pPr>
        <w:pageBreakBefore w:val="0"/>
        <w:kinsoku/>
        <w:wordWrap/>
        <w:overflowPunct/>
        <w:topLinePunct w:val="0"/>
        <w:bidi w:val="0"/>
        <w:snapToGrid/>
        <w:spacing w:line="420" w:lineRule="exact"/>
        <w:ind w:firstLine="630" w:firstLineChars="300"/>
        <w:rPr>
          <w:rFonts w:ascii="宋体" w:hAnsi="宋体" w:cs="宋体"/>
          <w:color w:val="auto"/>
          <w:szCs w:val="21"/>
          <w:highlight w:val="none"/>
          <w:u w:val="single"/>
        </w:rPr>
      </w:pPr>
      <w:r>
        <w:rPr>
          <w:rFonts w:hint="eastAsia" w:ascii="宋体" w:hAnsi="宋体" w:cs="宋体"/>
          <w:color w:val="auto"/>
          <w:szCs w:val="21"/>
          <w:highlight w:val="none"/>
        </w:rPr>
        <w:t>3.项目联系方式</w:t>
      </w:r>
      <w:bookmarkEnd w:id="34"/>
      <w:bookmarkEnd w:id="35"/>
    </w:p>
    <w:p w14:paraId="5B410357">
      <w:pPr>
        <w:pStyle w:val="17"/>
        <w:pageBreakBefore w:val="0"/>
        <w:kinsoku/>
        <w:wordWrap/>
        <w:overflowPunct/>
        <w:topLinePunct w:val="0"/>
        <w:bidi w:val="0"/>
        <w:snapToGrid/>
        <w:spacing w:line="420" w:lineRule="exact"/>
        <w:ind w:firstLine="630" w:firstLineChars="300"/>
        <w:rPr>
          <w:rFonts w:hAnsi="宋体" w:cs="宋体"/>
          <w:color w:val="auto"/>
          <w:szCs w:val="21"/>
          <w:highlight w:val="none"/>
        </w:rPr>
      </w:pPr>
      <w:r>
        <w:rPr>
          <w:rFonts w:hint="eastAsia" w:hAnsi="宋体" w:cs="宋体"/>
          <w:color w:val="auto"/>
          <w:szCs w:val="21"/>
          <w:highlight w:val="none"/>
        </w:rPr>
        <w:t>项目联系人：</w:t>
      </w:r>
      <w:r>
        <w:rPr>
          <w:rFonts w:hint="eastAsia" w:hAnsi="宋体" w:cs="宋体"/>
          <w:color w:val="auto"/>
          <w:szCs w:val="21"/>
          <w:highlight w:val="none"/>
          <w:u w:val="single"/>
          <w:lang w:val="en-US" w:eastAsia="zh-CN"/>
        </w:rPr>
        <w:t>杨</w:t>
      </w:r>
      <w:r>
        <w:rPr>
          <w:rFonts w:hint="eastAsia" w:hAnsi="宋体" w:cs="宋体"/>
          <w:color w:val="auto"/>
          <w:szCs w:val="21"/>
          <w:highlight w:val="none"/>
          <w:u w:val="single"/>
        </w:rPr>
        <w:t>工</w:t>
      </w:r>
    </w:p>
    <w:p w14:paraId="4E8E42BF">
      <w:pPr>
        <w:pageBreakBefore w:val="0"/>
        <w:kinsoku/>
        <w:wordWrap/>
        <w:overflowPunct/>
        <w:topLinePunct w:val="0"/>
        <w:bidi w:val="0"/>
        <w:snapToGrid/>
        <w:spacing w:line="420" w:lineRule="exact"/>
        <w:ind w:firstLine="630" w:firstLineChars="300"/>
        <w:rPr>
          <w:rFonts w:ascii="宋体" w:hAnsi="宋体" w:cs="宋体"/>
          <w:color w:val="auto"/>
          <w:szCs w:val="21"/>
          <w:highlight w:val="none"/>
          <w:u w:val="single"/>
        </w:rPr>
      </w:pPr>
      <w:r>
        <w:rPr>
          <w:rFonts w:hint="eastAsia" w:ascii="宋体" w:hAnsi="宋体" w:cs="宋体"/>
          <w:color w:val="auto"/>
          <w:szCs w:val="21"/>
          <w:highlight w:val="none"/>
        </w:rPr>
        <w:t>电　话：</w:t>
      </w:r>
      <w:r>
        <w:rPr>
          <w:rFonts w:ascii="宋体" w:hAnsi="宋体" w:cs="宋体"/>
          <w:color w:val="auto"/>
          <w:szCs w:val="21"/>
          <w:highlight w:val="none"/>
          <w:u w:val="single"/>
        </w:rPr>
        <w:t>0773-</w:t>
      </w:r>
      <w:r>
        <w:rPr>
          <w:rFonts w:hint="eastAsia" w:ascii="宋体" w:hAnsi="宋体" w:cs="宋体"/>
          <w:color w:val="auto"/>
          <w:szCs w:val="21"/>
          <w:highlight w:val="none"/>
          <w:u w:val="single"/>
        </w:rPr>
        <w:t>2690777</w:t>
      </w:r>
    </w:p>
    <w:p w14:paraId="42B67E85">
      <w:pPr>
        <w:pStyle w:val="27"/>
        <w:pageBreakBefore w:val="0"/>
        <w:kinsoku/>
        <w:wordWrap/>
        <w:overflowPunct/>
        <w:topLinePunct w:val="0"/>
        <w:bidi w:val="0"/>
        <w:snapToGrid/>
        <w:spacing w:beforeAutospacing="0" w:afterAutospacing="0" w:line="420" w:lineRule="exact"/>
        <w:ind w:left="420" w:leftChars="200" w:firstLine="3570" w:firstLineChars="1700"/>
        <w:rPr>
          <w:rFonts w:ascii="宋体" w:hAnsi="宋体" w:cs="微软雅黑"/>
          <w:bCs/>
          <w:color w:val="auto"/>
          <w:kern w:val="0"/>
          <w:szCs w:val="21"/>
          <w:highlight w:val="none"/>
          <w:shd w:val="clear" w:color="auto" w:fill="FFFFFF"/>
        </w:rPr>
      </w:pPr>
      <w:r>
        <w:rPr>
          <w:rFonts w:hint="eastAsia" w:cs="微软雅黑"/>
          <w:bCs/>
          <w:color w:val="auto"/>
          <w:sz w:val="21"/>
          <w:szCs w:val="21"/>
          <w:highlight w:val="none"/>
          <w:shd w:val="clear" w:color="auto" w:fill="FFFFFF"/>
        </w:rPr>
        <w:t>采购人：桂林医学院第二附属医院</w:t>
      </w:r>
    </w:p>
    <w:p w14:paraId="1DB79596">
      <w:pPr>
        <w:pageBreakBefore w:val="0"/>
        <w:kinsoku/>
        <w:wordWrap/>
        <w:overflowPunct/>
        <w:topLinePunct w:val="0"/>
        <w:bidi w:val="0"/>
        <w:snapToGrid/>
        <w:spacing w:line="420" w:lineRule="exact"/>
        <w:ind w:right="240"/>
        <w:jc w:val="center"/>
        <w:rPr>
          <w:rFonts w:ascii="宋体" w:hAnsi="宋体" w:cs="微软雅黑"/>
          <w:bCs/>
          <w:color w:val="auto"/>
          <w:kern w:val="0"/>
          <w:szCs w:val="21"/>
          <w:highlight w:val="none"/>
          <w:shd w:val="clear" w:color="auto" w:fill="FFFFFF"/>
        </w:rPr>
      </w:pPr>
      <w:r>
        <w:rPr>
          <w:rFonts w:hint="eastAsia" w:ascii="宋体" w:hAnsi="宋体" w:cs="微软雅黑"/>
          <w:bCs/>
          <w:color w:val="auto"/>
          <w:kern w:val="0"/>
          <w:szCs w:val="21"/>
          <w:highlight w:val="none"/>
          <w:shd w:val="clear" w:color="auto" w:fill="FFFFFF"/>
        </w:rPr>
        <w:t xml:space="preserve">                          采购代理机构：广西奥金斯项目管理有限公司 </w:t>
      </w:r>
    </w:p>
    <w:p w14:paraId="246E8261">
      <w:pPr>
        <w:pageBreakBefore w:val="0"/>
        <w:kinsoku/>
        <w:wordWrap/>
        <w:overflowPunct/>
        <w:topLinePunct w:val="0"/>
        <w:bidi w:val="0"/>
        <w:snapToGrid/>
        <w:spacing w:line="420" w:lineRule="exact"/>
        <w:ind w:right="240"/>
        <w:jc w:val="center"/>
        <w:rPr>
          <w:rFonts w:ascii="宋体" w:hAnsi="宋体" w:cs="微软雅黑"/>
          <w:bCs/>
          <w:color w:val="auto"/>
          <w:kern w:val="0"/>
          <w:szCs w:val="21"/>
          <w:highlight w:val="none"/>
          <w:shd w:val="clear" w:color="auto" w:fill="FFFFFF"/>
        </w:rPr>
      </w:pPr>
      <w:r>
        <w:rPr>
          <w:rFonts w:hint="eastAsia" w:ascii="宋体" w:hAnsi="宋体" w:cs="微软雅黑"/>
          <w:bCs/>
          <w:color w:val="auto"/>
          <w:kern w:val="0"/>
          <w:szCs w:val="21"/>
          <w:highlight w:val="none"/>
          <w:shd w:val="clear" w:color="auto" w:fill="FFFFFF"/>
        </w:rPr>
        <w:t xml:space="preserve">                          202</w:t>
      </w:r>
      <w:r>
        <w:rPr>
          <w:rFonts w:hint="eastAsia" w:ascii="宋体" w:hAnsi="宋体" w:cs="微软雅黑"/>
          <w:bCs/>
          <w:color w:val="auto"/>
          <w:kern w:val="0"/>
          <w:szCs w:val="21"/>
          <w:highlight w:val="none"/>
          <w:shd w:val="clear" w:color="auto" w:fill="FFFFFF"/>
          <w:lang w:val="en-US" w:eastAsia="zh-CN"/>
        </w:rPr>
        <w:t>5</w:t>
      </w:r>
      <w:r>
        <w:rPr>
          <w:rFonts w:hint="eastAsia" w:ascii="宋体" w:hAnsi="宋体" w:cs="微软雅黑"/>
          <w:bCs/>
          <w:color w:val="auto"/>
          <w:kern w:val="0"/>
          <w:szCs w:val="21"/>
          <w:highlight w:val="none"/>
          <w:shd w:val="clear" w:color="auto" w:fill="FFFFFF"/>
        </w:rPr>
        <w:t>年</w:t>
      </w:r>
      <w:r>
        <w:rPr>
          <w:rFonts w:hint="eastAsia" w:ascii="宋体" w:hAnsi="宋体" w:cs="微软雅黑"/>
          <w:bCs/>
          <w:color w:val="auto"/>
          <w:kern w:val="0"/>
          <w:szCs w:val="21"/>
          <w:highlight w:val="none"/>
          <w:shd w:val="clear" w:color="auto" w:fill="FFFFFF"/>
          <w:lang w:val="en-US" w:eastAsia="zh-CN"/>
        </w:rPr>
        <w:t>12</w:t>
      </w:r>
      <w:r>
        <w:rPr>
          <w:rFonts w:hint="eastAsia" w:ascii="宋体" w:hAnsi="宋体" w:cs="微软雅黑"/>
          <w:bCs/>
          <w:color w:val="auto"/>
          <w:kern w:val="0"/>
          <w:szCs w:val="21"/>
          <w:highlight w:val="none"/>
          <w:shd w:val="clear" w:color="auto" w:fill="FFFFFF"/>
        </w:rPr>
        <w:t>月</w:t>
      </w:r>
      <w:r>
        <w:rPr>
          <w:rFonts w:hint="eastAsia" w:ascii="宋体" w:hAnsi="宋体" w:cs="微软雅黑"/>
          <w:bCs/>
          <w:color w:val="auto"/>
          <w:kern w:val="0"/>
          <w:szCs w:val="21"/>
          <w:highlight w:val="none"/>
          <w:shd w:val="clear" w:color="auto" w:fill="FFFFFF"/>
          <w:lang w:val="en-US" w:eastAsia="zh-CN"/>
        </w:rPr>
        <w:t>2</w:t>
      </w:r>
      <w:r>
        <w:rPr>
          <w:rFonts w:hint="eastAsia" w:ascii="宋体" w:hAnsi="宋体" w:cs="微软雅黑"/>
          <w:bCs/>
          <w:color w:val="auto"/>
          <w:kern w:val="0"/>
          <w:szCs w:val="21"/>
          <w:highlight w:val="none"/>
          <w:shd w:val="clear" w:color="auto" w:fill="FFFFFF"/>
        </w:rPr>
        <w:t>日</w:t>
      </w:r>
    </w:p>
    <w:p w14:paraId="3D796238">
      <w:pPr>
        <w:pageBreakBefore w:val="0"/>
        <w:kinsoku/>
        <w:wordWrap/>
        <w:overflowPunct/>
        <w:topLinePunct w:val="0"/>
        <w:bidi w:val="0"/>
        <w:snapToGrid/>
        <w:spacing w:line="420" w:lineRule="exact"/>
        <w:jc w:val="center"/>
        <w:outlineLvl w:val="0"/>
        <w:rPr>
          <w:rFonts w:ascii="宋体" w:hAnsi="宋体" w:cs="宋体"/>
          <w:color w:val="auto"/>
          <w:sz w:val="32"/>
          <w:szCs w:val="32"/>
          <w:highlight w:val="none"/>
        </w:rPr>
      </w:pPr>
      <w:r>
        <w:rPr>
          <w:rFonts w:hint="eastAsia" w:ascii="宋体" w:hAnsi="宋体" w:cs="宋体"/>
          <w:color w:val="auto"/>
          <w:sz w:val="32"/>
          <w:szCs w:val="32"/>
          <w:highlight w:val="none"/>
        </w:rPr>
        <w:br w:type="page"/>
      </w:r>
      <w:bookmarkStart w:id="36" w:name="_Toc11477"/>
      <w:bookmarkStart w:id="37" w:name="_Toc8888"/>
      <w:bookmarkStart w:id="38" w:name="_Toc12553"/>
      <w:bookmarkStart w:id="39" w:name="_Toc6817"/>
      <w:r>
        <w:rPr>
          <w:rFonts w:hint="eastAsia" w:ascii="宋体" w:hAnsi="宋体" w:cs="宋体"/>
          <w:b/>
          <w:bCs/>
          <w:color w:val="auto"/>
          <w:kern w:val="44"/>
          <w:sz w:val="32"/>
          <w:szCs w:val="32"/>
          <w:highlight w:val="none"/>
        </w:rPr>
        <w:t>第二章  投标人须知</w:t>
      </w:r>
      <w:bookmarkEnd w:id="36"/>
      <w:bookmarkEnd w:id="37"/>
      <w:bookmarkEnd w:id="38"/>
      <w:bookmarkEnd w:id="39"/>
    </w:p>
    <w:p w14:paraId="05CA908A">
      <w:pPr>
        <w:keepNext w:val="0"/>
        <w:keepLines w:val="0"/>
        <w:pageBreakBefore w:val="0"/>
        <w:tabs>
          <w:tab w:val="left" w:pos="1065"/>
          <w:tab w:val="center" w:pos="4411"/>
        </w:tabs>
        <w:kinsoku/>
        <w:wordWrap/>
        <w:overflowPunct/>
        <w:topLinePunct w:val="0"/>
        <w:bidi w:val="0"/>
        <w:spacing w:line="440" w:lineRule="exact"/>
        <w:jc w:val="center"/>
        <w:outlineLvl w:val="1"/>
        <w:rPr>
          <w:rFonts w:ascii="宋体" w:hAnsi="宋体" w:cs="宋体"/>
          <w:b/>
          <w:color w:val="auto"/>
          <w:sz w:val="24"/>
          <w:highlight w:val="none"/>
        </w:rPr>
      </w:pPr>
      <w:bookmarkStart w:id="40" w:name="_Toc14561"/>
      <w:bookmarkStart w:id="41" w:name="_Toc14222"/>
      <w:bookmarkStart w:id="42" w:name="_Toc26457"/>
      <w:bookmarkStart w:id="43" w:name="_Toc495841753"/>
      <w:bookmarkStart w:id="44" w:name="_Toc17978"/>
      <w:r>
        <w:rPr>
          <w:rFonts w:hint="eastAsia" w:ascii="宋体" w:hAnsi="宋体" w:cs="宋体"/>
          <w:b/>
          <w:color w:val="auto"/>
          <w:sz w:val="24"/>
          <w:highlight w:val="none"/>
        </w:rPr>
        <w:t>投标人须知前附表</w:t>
      </w:r>
      <w:bookmarkEnd w:id="40"/>
      <w:bookmarkEnd w:id="41"/>
      <w:bookmarkEnd w:id="42"/>
      <w:bookmarkEnd w:id="43"/>
      <w:bookmarkEnd w:id="44"/>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3"/>
        <w:gridCol w:w="1587"/>
        <w:gridCol w:w="7011"/>
      </w:tblGrid>
      <w:tr w14:paraId="76FB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456" w:type="dxa"/>
            <w:shd w:val="clear" w:color="auto" w:fill="8DB3E2"/>
            <w:vAlign w:val="center"/>
          </w:tcPr>
          <w:p w14:paraId="4CE9E740">
            <w:pPr>
              <w:keepNext w:val="0"/>
              <w:keepLines w:val="0"/>
              <w:pageBreakBefore w:val="0"/>
              <w:kinsoku/>
              <w:wordWrap/>
              <w:overflowPunct/>
              <w:topLinePunct w:val="0"/>
              <w:bidi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63" w:type="dxa"/>
            <w:shd w:val="clear" w:color="auto" w:fill="8DB3E2"/>
            <w:vAlign w:val="center"/>
          </w:tcPr>
          <w:p w14:paraId="03F8C935">
            <w:pPr>
              <w:keepNext w:val="0"/>
              <w:keepLines w:val="0"/>
              <w:pageBreakBefore w:val="0"/>
              <w:kinsoku/>
              <w:wordWrap/>
              <w:overflowPunct/>
              <w:topLinePunct w:val="0"/>
              <w:bidi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587" w:type="dxa"/>
            <w:shd w:val="clear" w:color="auto" w:fill="8DB3E2"/>
            <w:vAlign w:val="center"/>
          </w:tcPr>
          <w:p w14:paraId="71A7638D">
            <w:pPr>
              <w:keepNext w:val="0"/>
              <w:keepLines w:val="0"/>
              <w:pageBreakBefore w:val="0"/>
              <w:kinsoku/>
              <w:wordWrap/>
              <w:overflowPunct/>
              <w:topLinePunct w:val="0"/>
              <w:bidi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7011" w:type="dxa"/>
            <w:shd w:val="clear" w:color="auto" w:fill="8DB3E2"/>
            <w:vAlign w:val="center"/>
          </w:tcPr>
          <w:p w14:paraId="6A8D9AAE">
            <w:pPr>
              <w:keepNext w:val="0"/>
              <w:keepLines w:val="0"/>
              <w:pageBreakBefore w:val="0"/>
              <w:kinsoku/>
              <w:wordWrap/>
              <w:overflowPunct/>
              <w:topLinePunct w:val="0"/>
              <w:bidi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内容、要求</w:t>
            </w:r>
          </w:p>
        </w:tc>
      </w:tr>
      <w:tr w14:paraId="4777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3DB208A3">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863" w:type="dxa"/>
            <w:vAlign w:val="center"/>
          </w:tcPr>
          <w:p w14:paraId="780D08BE">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87" w:type="dxa"/>
            <w:vAlign w:val="center"/>
          </w:tcPr>
          <w:p w14:paraId="21E73342">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项目名称及项目编号</w:t>
            </w:r>
          </w:p>
        </w:tc>
        <w:tc>
          <w:tcPr>
            <w:tcW w:w="7011" w:type="dxa"/>
            <w:vAlign w:val="center"/>
          </w:tcPr>
          <w:p w14:paraId="3C0F16EF">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项目名称：超高效液相色谱三重四极杆质谱仪</w:t>
            </w:r>
          </w:p>
          <w:p w14:paraId="7B5986D6">
            <w:pPr>
              <w:keepNext w:val="0"/>
              <w:keepLines w:val="0"/>
              <w:pageBreakBefore w:val="0"/>
              <w:kinsoku/>
              <w:wordWrap/>
              <w:overflowPunct/>
              <w:topLinePunct w:val="0"/>
              <w:bidi w:val="0"/>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项目编号：GXZC2025-G1-003641-GXAJ</w:t>
            </w:r>
            <w:r>
              <w:rPr>
                <w:rFonts w:hint="eastAsia" w:ascii="宋体" w:hAnsi="宋体" w:cs="宋体"/>
                <w:color w:val="auto"/>
                <w:szCs w:val="21"/>
                <w:highlight w:val="none"/>
                <w:lang w:val="en-US" w:eastAsia="zh-CN"/>
              </w:rPr>
              <w:t xml:space="preserve"> </w:t>
            </w:r>
          </w:p>
        </w:tc>
      </w:tr>
      <w:tr w14:paraId="3D4A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456" w:type="dxa"/>
            <w:vAlign w:val="center"/>
          </w:tcPr>
          <w:p w14:paraId="025B1D64">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863" w:type="dxa"/>
            <w:vAlign w:val="center"/>
          </w:tcPr>
          <w:p w14:paraId="7E5D12DF">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587" w:type="dxa"/>
            <w:vAlign w:val="center"/>
          </w:tcPr>
          <w:p w14:paraId="62BF47DF">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投标人资格</w:t>
            </w:r>
          </w:p>
        </w:tc>
        <w:tc>
          <w:tcPr>
            <w:tcW w:w="7011" w:type="dxa"/>
            <w:vAlign w:val="center"/>
          </w:tcPr>
          <w:p w14:paraId="01AB73F1">
            <w:pPr>
              <w:keepNext w:val="0"/>
              <w:keepLines w:val="0"/>
              <w:pageBreakBefore w:val="0"/>
              <w:kinsoku/>
              <w:wordWrap/>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5.1符合《中华人民共和国政府采购法》第二十二条和《政府采购法实施条例》第十八条规定，并且在国内注册或登记、具备合法资格，提供本次采购货物或服务的供应商。</w:t>
            </w:r>
          </w:p>
          <w:p w14:paraId="3D01A050">
            <w:pPr>
              <w:keepNext w:val="0"/>
              <w:keepLines w:val="0"/>
              <w:pageBreakBefore w:val="0"/>
              <w:kinsoku/>
              <w:wordWrap/>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5.2 本项目不接受联合体投标。</w:t>
            </w:r>
          </w:p>
          <w:p w14:paraId="729DD22D">
            <w:pPr>
              <w:keepNext w:val="0"/>
              <w:keepLines w:val="0"/>
              <w:pageBreakBefore w:val="0"/>
              <w:kinsoku/>
              <w:wordWrap/>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5.3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382C912F">
            <w:pPr>
              <w:keepNext w:val="0"/>
              <w:keepLines w:val="0"/>
              <w:pageBreakBefore w:val="0"/>
              <w:kinsoku/>
              <w:wordWrap/>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5.4落实政府采购政策需满足的资格要求：无。</w:t>
            </w:r>
          </w:p>
          <w:p w14:paraId="668F0086">
            <w:pPr>
              <w:keepNext w:val="0"/>
              <w:keepLines w:val="0"/>
              <w:pageBreakBefore w:val="0"/>
              <w:kinsoku/>
              <w:wordWrap/>
              <w:overflowPunct/>
              <w:topLinePunct w:val="0"/>
              <w:bidi w:val="0"/>
              <w:spacing w:line="440" w:lineRule="exact"/>
              <w:rPr>
                <w:color w:val="auto"/>
                <w:highlight w:val="none"/>
              </w:rPr>
            </w:pPr>
            <w:r>
              <w:rPr>
                <w:rFonts w:hint="eastAsia" w:ascii="宋体" w:hAnsi="宋体" w:cs="宋体"/>
                <w:color w:val="auto"/>
                <w:highlight w:val="none"/>
              </w:rPr>
              <w:t>5.5本项目的特定资格要求：</w:t>
            </w:r>
            <w:r>
              <w:rPr>
                <w:rFonts w:ascii="宋体" w:hAnsi="宋体" w:cs="宋体"/>
                <w:color w:val="auto"/>
                <w:szCs w:val="21"/>
                <w:highlight w:val="none"/>
              </w:rPr>
              <w:t>投标人按《医疗器械监督管理条例》（国务院令第 739 号）医疗器械分类管理要求具备有效的医疗器械经营备案凭证或者医疗器械经营许可证，且经营范围必须包含采购的医疗器械标的[符合《医疗器械监督管理条例》第四十一条第二款规定的除外]</w:t>
            </w:r>
            <w:r>
              <w:rPr>
                <w:rFonts w:hint="eastAsia" w:ascii="宋体" w:hAnsi="宋体" w:cs="宋体"/>
                <w:color w:val="auto"/>
                <w:szCs w:val="21"/>
                <w:highlight w:val="none"/>
              </w:rPr>
              <w:t>，</w:t>
            </w:r>
            <w:r>
              <w:rPr>
                <w:rFonts w:ascii="宋体" w:hAnsi="宋体" w:cs="宋体"/>
                <w:color w:val="auto"/>
                <w:szCs w:val="21"/>
                <w:highlight w:val="none"/>
              </w:rPr>
              <w:t>所投产品生产厂家具有医疗器械生产许可证</w:t>
            </w:r>
            <w:r>
              <w:rPr>
                <w:rFonts w:hint="eastAsia" w:ascii="宋体" w:hAnsi="宋体" w:cs="宋体"/>
                <w:color w:val="auto"/>
                <w:szCs w:val="21"/>
                <w:highlight w:val="none"/>
              </w:rPr>
              <w:t>，所投产品具有注册凭证或备案凭证。</w:t>
            </w:r>
          </w:p>
        </w:tc>
      </w:tr>
      <w:tr w14:paraId="0426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dxa"/>
            <w:vAlign w:val="center"/>
          </w:tcPr>
          <w:p w14:paraId="4AD24916">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3" w:type="dxa"/>
            <w:vAlign w:val="center"/>
          </w:tcPr>
          <w:p w14:paraId="4D85EEFE">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587" w:type="dxa"/>
            <w:vAlign w:val="center"/>
          </w:tcPr>
          <w:p w14:paraId="367C14E2">
            <w:pPr>
              <w:keepNext w:val="0"/>
              <w:keepLines w:val="0"/>
              <w:pageBreakBefore w:val="0"/>
              <w:kinsoku/>
              <w:wordWrap/>
              <w:overflowPunct/>
              <w:topLinePunct w:val="0"/>
              <w:bidi w:val="0"/>
              <w:spacing w:line="440" w:lineRule="exact"/>
              <w:jc w:val="center"/>
              <w:rPr>
                <w:rFonts w:ascii="宋体" w:hAnsi="宋体" w:cs="宋体"/>
                <w:color w:val="auto"/>
                <w:position w:val="-2"/>
                <w:szCs w:val="21"/>
                <w:highlight w:val="none"/>
              </w:rPr>
            </w:pPr>
            <w:r>
              <w:rPr>
                <w:rFonts w:hint="eastAsia" w:ascii="宋体" w:hAnsi="宋体" w:cs="宋体"/>
                <w:color w:val="auto"/>
                <w:szCs w:val="21"/>
                <w:highlight w:val="none"/>
              </w:rPr>
              <w:t>投标费用</w:t>
            </w:r>
          </w:p>
        </w:tc>
        <w:tc>
          <w:tcPr>
            <w:tcW w:w="7011" w:type="dxa"/>
            <w:vAlign w:val="center"/>
          </w:tcPr>
          <w:p w14:paraId="672896A8">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不论投标结果如何，投标人均应自行承担所有与投标有关的全部费用。</w:t>
            </w:r>
          </w:p>
        </w:tc>
      </w:tr>
      <w:tr w14:paraId="38CC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72A4ECF9">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863" w:type="dxa"/>
            <w:vAlign w:val="center"/>
          </w:tcPr>
          <w:p w14:paraId="471FCA07">
            <w:pPr>
              <w:keepNext w:val="0"/>
              <w:keepLines w:val="0"/>
              <w:pageBreakBefore w:val="0"/>
              <w:kinsoku/>
              <w:wordWrap/>
              <w:overflowPunct/>
              <w:topLinePunct w:val="0"/>
              <w:bidi w:val="0"/>
              <w:spacing w:line="440" w:lineRule="exact"/>
              <w:jc w:val="center"/>
              <w:rPr>
                <w:rFonts w:ascii="宋体" w:hAnsi="宋体" w:cs="宋体"/>
                <w:color w:val="auto"/>
                <w:position w:val="-2"/>
                <w:szCs w:val="21"/>
                <w:highlight w:val="none"/>
              </w:rPr>
            </w:pPr>
            <w:r>
              <w:rPr>
                <w:rFonts w:hint="eastAsia" w:ascii="宋体" w:hAnsi="宋体" w:cs="宋体"/>
                <w:color w:val="auto"/>
                <w:position w:val="-2"/>
                <w:szCs w:val="21"/>
                <w:highlight w:val="none"/>
              </w:rPr>
              <w:t>15</w:t>
            </w:r>
          </w:p>
        </w:tc>
        <w:tc>
          <w:tcPr>
            <w:tcW w:w="1587" w:type="dxa"/>
            <w:vAlign w:val="center"/>
          </w:tcPr>
          <w:p w14:paraId="65B6B79A">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采购预算金额及投标报价</w:t>
            </w:r>
          </w:p>
        </w:tc>
        <w:tc>
          <w:tcPr>
            <w:tcW w:w="7011" w:type="dxa"/>
            <w:vAlign w:val="center"/>
          </w:tcPr>
          <w:p w14:paraId="30B0ECBF">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15.1投标报价应按招标文件中第六章“投标文件（格式）”填写，</w:t>
            </w:r>
            <w:r>
              <w:rPr>
                <w:rFonts w:hint="eastAsia" w:ascii="宋体" w:hAnsi="宋体" w:cs="宋体"/>
                <w:b/>
                <w:color w:val="auto"/>
                <w:szCs w:val="21"/>
                <w:highlight w:val="none"/>
              </w:rPr>
              <w:t>本项目采购预算金额（人民币）：</w:t>
            </w:r>
            <w:r>
              <w:rPr>
                <w:rFonts w:hint="eastAsia" w:ascii="宋体" w:hAnsi="宋体" w:cs="宋体"/>
                <w:b/>
                <w:color w:val="auto"/>
                <w:szCs w:val="21"/>
                <w:highlight w:val="none"/>
                <w:u w:val="single"/>
                <w:lang w:val="en-US" w:eastAsia="zh-CN"/>
              </w:rPr>
              <w:t>2000000.00</w:t>
            </w:r>
            <w:r>
              <w:rPr>
                <w:rFonts w:hint="eastAsia" w:ascii="宋体" w:hAnsi="宋体" w:cs="宋体"/>
                <w:b/>
                <w:color w:val="auto"/>
                <w:szCs w:val="21"/>
                <w:highlight w:val="none"/>
                <w:u w:val="single"/>
              </w:rPr>
              <w:t>元</w:t>
            </w: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最高限价</w:t>
            </w:r>
            <w:r>
              <w:rPr>
                <w:rFonts w:hint="eastAsia" w:ascii="宋体" w:hAnsi="宋体" w:cs="宋体"/>
                <w:b/>
                <w:color w:val="auto"/>
                <w:szCs w:val="21"/>
                <w:highlight w:val="none"/>
              </w:rPr>
              <w:t>（人民币）：</w:t>
            </w:r>
            <w:r>
              <w:rPr>
                <w:rFonts w:hint="eastAsia" w:ascii="宋体" w:hAnsi="宋体" w:cs="宋体"/>
                <w:b/>
                <w:color w:val="auto"/>
                <w:szCs w:val="21"/>
                <w:highlight w:val="none"/>
                <w:u w:val="single"/>
                <w:lang w:val="en-US" w:eastAsia="zh-CN"/>
              </w:rPr>
              <w:t>1520000.00</w:t>
            </w:r>
            <w:r>
              <w:rPr>
                <w:rFonts w:hint="eastAsia" w:ascii="宋体" w:hAnsi="宋体" w:cs="宋体"/>
                <w:b/>
                <w:color w:val="auto"/>
                <w:szCs w:val="21"/>
                <w:highlight w:val="none"/>
                <w:u w:val="single"/>
              </w:rPr>
              <w:t>元</w:t>
            </w:r>
            <w:r>
              <w:rPr>
                <w:rFonts w:hint="eastAsia" w:ascii="宋体" w:hAnsi="宋体" w:cs="宋体"/>
                <w:b/>
                <w:color w:val="auto"/>
                <w:szCs w:val="21"/>
                <w:highlight w:val="none"/>
                <w:u w:val="none"/>
                <w:lang w:eastAsia="zh-CN"/>
              </w:rPr>
              <w:t>，</w:t>
            </w:r>
            <w:r>
              <w:rPr>
                <w:rFonts w:hint="eastAsia" w:ascii="宋体" w:hAnsi="宋体" w:cs="宋体"/>
                <w:b/>
                <w:bCs/>
                <w:color w:val="auto"/>
                <w:szCs w:val="21"/>
                <w:highlight w:val="none"/>
              </w:rPr>
              <w:t>投标报价超过</w:t>
            </w:r>
            <w:r>
              <w:rPr>
                <w:rFonts w:hint="eastAsia" w:ascii="宋体" w:hAnsi="宋体" w:cs="宋体"/>
                <w:b/>
                <w:bCs/>
                <w:color w:val="auto"/>
                <w:szCs w:val="21"/>
                <w:highlight w:val="none"/>
                <w:lang w:val="en-US" w:eastAsia="zh-CN"/>
              </w:rPr>
              <w:t>最高限价</w:t>
            </w:r>
            <w:r>
              <w:rPr>
                <w:rFonts w:hint="eastAsia" w:ascii="宋体" w:hAnsi="宋体" w:cs="宋体"/>
                <w:b/>
                <w:bCs/>
                <w:color w:val="auto"/>
                <w:szCs w:val="21"/>
                <w:highlight w:val="none"/>
              </w:rPr>
              <w:t>金额的，投标文件作无效处理。</w:t>
            </w:r>
          </w:p>
          <w:p w14:paraId="64E1D51D">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15.2投标人必须就“货物采购需求”中所投内容作完整唯一报价，否则，其投标将被拒绝；投标文件只允许有一个报价，有选择的或有条件的报价将不予接受。</w:t>
            </w:r>
          </w:p>
        </w:tc>
      </w:tr>
      <w:tr w14:paraId="6008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6" w:type="dxa"/>
            <w:vAlign w:val="center"/>
          </w:tcPr>
          <w:p w14:paraId="17010538">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863" w:type="dxa"/>
            <w:vAlign w:val="center"/>
          </w:tcPr>
          <w:p w14:paraId="7001EBA3">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16.1</w:t>
            </w:r>
          </w:p>
        </w:tc>
        <w:tc>
          <w:tcPr>
            <w:tcW w:w="1587" w:type="dxa"/>
            <w:vAlign w:val="center"/>
          </w:tcPr>
          <w:p w14:paraId="7B22397A">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011" w:type="dxa"/>
            <w:vAlign w:val="center"/>
          </w:tcPr>
          <w:p w14:paraId="3C111262">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投标截止时间之日起90天。</w:t>
            </w:r>
          </w:p>
        </w:tc>
      </w:tr>
      <w:tr w14:paraId="5FFE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65F25A51">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863" w:type="dxa"/>
            <w:vAlign w:val="center"/>
          </w:tcPr>
          <w:p w14:paraId="51E320B3">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1587" w:type="dxa"/>
            <w:vAlign w:val="center"/>
          </w:tcPr>
          <w:p w14:paraId="394DC5E2">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011" w:type="dxa"/>
          </w:tcPr>
          <w:p w14:paraId="5EA5F18E">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b/>
                <w:bCs/>
                <w:color w:val="auto"/>
                <w:szCs w:val="21"/>
                <w:highlight w:val="none"/>
              </w:rPr>
              <w:t>本项目无需缴纳投标保证金</w:t>
            </w:r>
            <w:r>
              <w:rPr>
                <w:rFonts w:hint="eastAsia" w:ascii="宋体" w:hAnsi="宋体" w:cs="宋体"/>
                <w:color w:val="auto"/>
                <w:szCs w:val="21"/>
                <w:highlight w:val="none"/>
              </w:rPr>
              <w:t>。</w:t>
            </w:r>
          </w:p>
        </w:tc>
      </w:tr>
      <w:tr w14:paraId="16ED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33F1003D">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863" w:type="dxa"/>
            <w:vAlign w:val="center"/>
          </w:tcPr>
          <w:p w14:paraId="059E924D">
            <w:pPr>
              <w:keepNext w:val="0"/>
              <w:keepLines w:val="0"/>
              <w:pageBreakBefore w:val="0"/>
              <w:kinsoku/>
              <w:wordWrap/>
              <w:overflowPunct/>
              <w:topLinePunct w:val="0"/>
              <w:bidi w:val="0"/>
              <w:spacing w:line="440" w:lineRule="exact"/>
              <w:jc w:val="center"/>
              <w:rPr>
                <w:rFonts w:ascii="宋体" w:hAnsi="宋体" w:cs="宋体"/>
                <w:color w:val="auto"/>
                <w:position w:val="10"/>
                <w:szCs w:val="21"/>
                <w:highlight w:val="none"/>
              </w:rPr>
            </w:pPr>
            <w:r>
              <w:rPr>
                <w:rFonts w:hint="eastAsia" w:ascii="宋体" w:hAnsi="宋体" w:cs="宋体"/>
                <w:color w:val="auto"/>
                <w:szCs w:val="21"/>
                <w:highlight w:val="none"/>
              </w:rPr>
              <w:t>18</w:t>
            </w:r>
          </w:p>
        </w:tc>
        <w:tc>
          <w:tcPr>
            <w:tcW w:w="1587" w:type="dxa"/>
            <w:vAlign w:val="center"/>
          </w:tcPr>
          <w:p w14:paraId="5D65EF65">
            <w:pPr>
              <w:keepNext w:val="0"/>
              <w:keepLines w:val="0"/>
              <w:pageBreakBefore w:val="0"/>
              <w:kinsoku/>
              <w:wordWrap/>
              <w:overflowPunct/>
              <w:topLinePunct w:val="0"/>
              <w:bidi w:val="0"/>
              <w:spacing w:line="440" w:lineRule="exact"/>
              <w:jc w:val="center"/>
              <w:rPr>
                <w:rFonts w:ascii="宋体" w:hAnsi="宋体" w:cs="宋体"/>
                <w:color w:val="auto"/>
                <w:position w:val="10"/>
                <w:szCs w:val="21"/>
                <w:highlight w:val="none"/>
              </w:rPr>
            </w:pPr>
            <w:r>
              <w:rPr>
                <w:rFonts w:hint="eastAsia" w:ascii="宋体" w:hAnsi="宋体" w:cs="宋体"/>
                <w:color w:val="auto"/>
                <w:szCs w:val="21"/>
                <w:highlight w:val="none"/>
              </w:rPr>
              <w:t>投标文件的封装</w:t>
            </w:r>
          </w:p>
        </w:tc>
        <w:tc>
          <w:tcPr>
            <w:tcW w:w="7011" w:type="dxa"/>
            <w:vAlign w:val="center"/>
          </w:tcPr>
          <w:p w14:paraId="1184357D">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18.1 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漏读，或者在按招标文件规定的部位查找不到相关内容的，由供应商自行承担。</w:t>
            </w:r>
          </w:p>
          <w:p w14:paraId="020E4697">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18.2 CA 签章上目前没有法人（负责人）或授权代表签字信息，供应商在投标文件中涉及到签字的位置线下签好字然后扫描或者拍照做成 PDF 的格式即可。 </w:t>
            </w:r>
          </w:p>
          <w:p w14:paraId="21F85666">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18.3 投标文件不得涂改，若有修改错漏处，须法定代表人（负责人）或授权委托人签字。投标文件因字迹潦草或表达不清所引起的后果由供应商负责。</w:t>
            </w:r>
          </w:p>
          <w:p w14:paraId="41E1A90C">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18.4评审前准备 </w:t>
            </w:r>
          </w:p>
          <w:p w14:paraId="45EF8D33">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18.4.1本项目实行网上评审，采用电子投标文件。若供应商参与投标，自行承担投标一切费用。 </w:t>
            </w:r>
          </w:p>
          <w:p w14:paraId="72248917">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18.4.2各供应商在截标前应确保成为</w:t>
            </w:r>
            <w:r>
              <w:rPr>
                <w:rFonts w:hint="eastAsia" w:ascii="宋体" w:hAnsi="宋体" w:eastAsia="宋体" w:cs="宋体"/>
                <w:color w:val="auto"/>
                <w:sz w:val="21"/>
                <w:szCs w:val="21"/>
                <w:highlight w:val="none"/>
                <w:u w:val="none"/>
                <w:shd w:val="clear" w:color="auto" w:fill="auto"/>
              </w:rPr>
              <w:t>广西政府采购云平台</w:t>
            </w:r>
            <w:r>
              <w:rPr>
                <w:rFonts w:hint="eastAsia" w:ascii="宋体" w:hAnsi="宋体" w:cs="宋体"/>
                <w:color w:val="auto"/>
                <w:szCs w:val="21"/>
                <w:highlight w:val="none"/>
              </w:rPr>
              <w:t xml:space="preserve">正式注册入库供应商，并完成 CA 数字证书申领。因未注册入库、未办理 CA 数字证书等原因造成无法投标或投标失败等后果由供应商自行承担。 </w:t>
            </w:r>
          </w:p>
          <w:p w14:paraId="690297AC">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18.4.3供应商将</w:t>
            </w:r>
            <w:r>
              <w:rPr>
                <w:rFonts w:hint="eastAsia" w:ascii="宋体" w:hAnsi="宋体" w:eastAsia="宋体" w:cs="宋体"/>
                <w:color w:val="auto"/>
                <w:sz w:val="21"/>
                <w:szCs w:val="21"/>
                <w:highlight w:val="none"/>
                <w:u w:val="none"/>
                <w:shd w:val="clear" w:color="auto" w:fill="auto"/>
              </w:rPr>
              <w:t>广西政府采购云</w:t>
            </w:r>
            <w:r>
              <w:rPr>
                <w:rFonts w:hint="eastAsia" w:ascii="宋体" w:hAnsi="宋体" w:cs="宋体"/>
                <w:color w:val="auto"/>
                <w:szCs w:val="21"/>
                <w:highlight w:val="none"/>
              </w:rPr>
              <w:t>电子交易客户端下载、安装完成后，可通过账号密码或 CA 登录客户端进行投标文件制作。客户端请至网站下载专区查看，如有问题可拨打</w:t>
            </w:r>
            <w:r>
              <w:rPr>
                <w:rFonts w:hint="eastAsia" w:ascii="宋体" w:hAnsi="宋体" w:eastAsia="宋体" w:cs="宋体"/>
                <w:color w:val="auto"/>
                <w:sz w:val="21"/>
                <w:szCs w:val="21"/>
                <w:highlight w:val="none"/>
                <w:u w:val="none"/>
                <w:shd w:val="clear" w:color="auto" w:fill="auto"/>
              </w:rPr>
              <w:t>广西政府采购云</w:t>
            </w:r>
            <w:r>
              <w:rPr>
                <w:rFonts w:hint="eastAsia" w:ascii="宋体" w:hAnsi="宋体" w:cs="宋体"/>
                <w:color w:val="auto"/>
                <w:szCs w:val="21"/>
                <w:highlight w:val="none"/>
              </w:rPr>
              <w:t>客户服务热线 95763 进行咨询。</w:t>
            </w:r>
          </w:p>
        </w:tc>
      </w:tr>
      <w:tr w14:paraId="3E9D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61D1A31">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863" w:type="dxa"/>
            <w:vAlign w:val="center"/>
          </w:tcPr>
          <w:p w14:paraId="3498988B">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19.1</w:t>
            </w:r>
          </w:p>
        </w:tc>
        <w:tc>
          <w:tcPr>
            <w:tcW w:w="1587" w:type="dxa"/>
            <w:vAlign w:val="center"/>
          </w:tcPr>
          <w:p w14:paraId="6DD95DFC">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投标文件的补充、修改和撤回</w:t>
            </w:r>
          </w:p>
        </w:tc>
        <w:tc>
          <w:tcPr>
            <w:tcW w:w="7011" w:type="dxa"/>
            <w:vAlign w:val="center"/>
          </w:tcPr>
          <w:p w14:paraId="6A199042">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19.1 投标文件递交截止时间前可以撤回电子投标文件。补充或者修改电子投标文件的，应当先行撤回原文件，补充、修改后重新传输递交，投标文件递交截止时间前未完成传输的，视为撤回投标文件。</w:t>
            </w:r>
          </w:p>
        </w:tc>
      </w:tr>
      <w:tr w14:paraId="5788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040A807C">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863" w:type="dxa"/>
            <w:vAlign w:val="center"/>
          </w:tcPr>
          <w:p w14:paraId="562EC33F">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1587" w:type="dxa"/>
            <w:vAlign w:val="center"/>
          </w:tcPr>
          <w:p w14:paraId="3518A7C9">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投标文件递交</w:t>
            </w:r>
          </w:p>
        </w:tc>
        <w:tc>
          <w:tcPr>
            <w:tcW w:w="7011" w:type="dxa"/>
            <w:vAlign w:val="center"/>
          </w:tcPr>
          <w:p w14:paraId="0D218DE4">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20.1</w:t>
            </w:r>
            <w:r>
              <w:rPr>
                <w:rFonts w:hint="eastAsia" w:ascii="宋体" w:hAnsi="宋体"/>
                <w:color w:val="auto"/>
                <w:szCs w:val="21"/>
                <w:highlight w:val="none"/>
              </w:rPr>
              <w:t>投标文件递交截止时间：于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日9时30分</w:t>
            </w:r>
            <w:r>
              <w:rPr>
                <w:rFonts w:hint="eastAsia" w:ascii="宋体" w:hAnsi="宋体" w:cs="宋体"/>
                <w:color w:val="auto"/>
                <w:szCs w:val="21"/>
                <w:highlight w:val="none"/>
              </w:rPr>
              <w:t>整之前将电子投标文件上传到</w:t>
            </w:r>
            <w:r>
              <w:rPr>
                <w:rFonts w:hint="eastAsia" w:ascii="宋体" w:hAnsi="宋体" w:eastAsia="宋体" w:cs="宋体"/>
                <w:color w:val="auto"/>
                <w:sz w:val="21"/>
                <w:szCs w:val="21"/>
                <w:highlight w:val="none"/>
                <w:u w:val="none"/>
                <w:shd w:val="clear" w:color="auto" w:fill="auto"/>
              </w:rPr>
              <w:t>广西政府采购云平台</w:t>
            </w:r>
            <w:r>
              <w:rPr>
                <w:rFonts w:hint="eastAsia" w:ascii="宋体" w:hAnsi="宋体" w:cs="宋体"/>
                <w:color w:val="auto"/>
                <w:szCs w:val="21"/>
                <w:highlight w:val="none"/>
              </w:rPr>
              <w:t>。应按照本项目招标文件和</w:t>
            </w:r>
            <w:r>
              <w:rPr>
                <w:rFonts w:hint="eastAsia" w:ascii="宋体" w:hAnsi="宋体" w:eastAsia="宋体" w:cs="宋体"/>
                <w:color w:val="auto"/>
                <w:sz w:val="21"/>
                <w:szCs w:val="21"/>
                <w:highlight w:val="none"/>
                <w:u w:val="none"/>
                <w:shd w:val="clear" w:color="auto" w:fill="auto"/>
              </w:rPr>
              <w:t>广西政府采购云平台</w:t>
            </w:r>
            <w:r>
              <w:rPr>
                <w:rFonts w:hint="eastAsia" w:ascii="宋体" w:hAnsi="宋体" w:cs="宋体"/>
                <w:color w:val="auto"/>
                <w:szCs w:val="21"/>
                <w:highlight w:val="none"/>
              </w:rPr>
              <w:t>的要求编制、加密传输投标文件。供应商在使用系统进行投标的过程中遇到涉及平台使用的任何问题，可致电</w:t>
            </w:r>
            <w:r>
              <w:rPr>
                <w:rFonts w:hint="eastAsia" w:ascii="宋体" w:hAnsi="宋体" w:eastAsia="宋体" w:cs="宋体"/>
                <w:color w:val="auto"/>
                <w:sz w:val="21"/>
                <w:szCs w:val="21"/>
                <w:highlight w:val="none"/>
                <w:u w:val="none"/>
                <w:shd w:val="clear" w:color="auto" w:fill="auto"/>
              </w:rPr>
              <w:t>广西政府采购云平台</w:t>
            </w:r>
            <w:r>
              <w:rPr>
                <w:rFonts w:hint="eastAsia" w:ascii="宋体" w:hAnsi="宋体" w:cs="宋体"/>
                <w:color w:val="auto"/>
                <w:szCs w:val="21"/>
                <w:highlight w:val="none"/>
              </w:rPr>
              <w:t>技术支持热线咨询，联系方式：95763。</w:t>
            </w:r>
          </w:p>
        </w:tc>
      </w:tr>
      <w:tr w14:paraId="45AC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3CB85DB7">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863" w:type="dxa"/>
            <w:vAlign w:val="center"/>
          </w:tcPr>
          <w:p w14:paraId="06191756">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20.2</w:t>
            </w:r>
          </w:p>
        </w:tc>
        <w:tc>
          <w:tcPr>
            <w:tcW w:w="1587" w:type="dxa"/>
            <w:vAlign w:val="center"/>
          </w:tcPr>
          <w:p w14:paraId="14BA107D">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投标文件解密</w:t>
            </w:r>
          </w:p>
        </w:tc>
        <w:tc>
          <w:tcPr>
            <w:tcW w:w="7011" w:type="dxa"/>
            <w:vAlign w:val="center"/>
          </w:tcPr>
          <w:p w14:paraId="5C11C724">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highlight w:val="none"/>
              </w:rPr>
              <w:t>投标文件解密时间：截标时间后</w:t>
            </w:r>
            <w:r>
              <w:rPr>
                <w:rFonts w:hint="eastAsia" w:ascii="宋体" w:hAnsi="宋体" w:cs="宋体"/>
                <w:color w:val="auto"/>
                <w:highlight w:val="none"/>
                <w:u w:val="single"/>
              </w:rPr>
              <w:t>30</w:t>
            </w:r>
            <w:r>
              <w:rPr>
                <w:rFonts w:hint="eastAsia" w:ascii="宋体" w:hAnsi="宋体" w:cs="宋体"/>
                <w:color w:val="auto"/>
                <w:highlight w:val="none"/>
              </w:rPr>
              <w:t>分钟内（</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日9时30分</w:t>
            </w:r>
            <w:r>
              <w:rPr>
                <w:rFonts w:hint="eastAsia" w:ascii="宋体" w:hAnsi="宋体" w:cs="宋体"/>
                <w:color w:val="auto"/>
                <w:highlight w:val="none"/>
                <w:u w:val="single"/>
              </w:rPr>
              <w:t>至10时00分</w:t>
            </w:r>
            <w:r>
              <w:rPr>
                <w:rFonts w:hint="eastAsia" w:ascii="宋体" w:hAnsi="宋体" w:cs="宋体"/>
                <w:color w:val="auto"/>
                <w:highlight w:val="none"/>
              </w:rPr>
              <w:t>)投标人可以登录</w:t>
            </w:r>
            <w:r>
              <w:rPr>
                <w:rFonts w:hint="eastAsia" w:ascii="宋体" w:hAnsi="宋体" w:eastAsia="宋体" w:cs="宋体"/>
                <w:color w:val="auto"/>
                <w:sz w:val="21"/>
                <w:szCs w:val="21"/>
                <w:highlight w:val="none"/>
                <w:u w:val="none"/>
                <w:shd w:val="clear" w:color="auto" w:fill="auto"/>
              </w:rPr>
              <w:t>广西政府采购云平台</w:t>
            </w:r>
            <w:r>
              <w:rPr>
                <w:rFonts w:hint="eastAsia" w:ascii="宋体" w:hAnsi="宋体" w:cs="宋体"/>
                <w:color w:val="auto"/>
                <w:highlight w:val="none"/>
              </w:rPr>
              <w:t>，用“项目采购-开标评标”功能进行解密投标文件。若投标人在规定时间内无法解密或解密失败，可以以电子备份投标文件作为依据</w:t>
            </w:r>
            <w:r>
              <w:rPr>
                <w:rFonts w:hint="eastAsia" w:ascii="宋体" w:hAnsi="宋体" w:cs="宋体"/>
                <w:b/>
                <w:bCs/>
                <w:color w:val="auto"/>
                <w:highlight w:val="none"/>
              </w:rPr>
              <w:t>【在接到无法解密或解密失败的通知后，投标人可根据自身实际情况按通知时要求的时间到桂林市公共资源交易中心</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号</w:t>
            </w:r>
            <w:r>
              <w:rPr>
                <w:rFonts w:hint="eastAsia" w:ascii="宋体" w:hAnsi="宋体" w:cs="宋体"/>
                <w:b/>
                <w:bCs/>
                <w:color w:val="auto"/>
                <w:highlight w:val="none"/>
                <w:lang w:val="en-US" w:eastAsia="zh-CN"/>
              </w:rPr>
              <w:t>政府采购</w:t>
            </w:r>
            <w:r>
              <w:rPr>
                <w:rFonts w:hint="eastAsia" w:ascii="宋体" w:hAnsi="宋体" w:cs="宋体"/>
                <w:b/>
                <w:bCs/>
                <w:color w:val="auto"/>
                <w:highlight w:val="none"/>
              </w:rPr>
              <w:t>开标</w:t>
            </w:r>
            <w:r>
              <w:rPr>
                <w:rFonts w:hint="eastAsia" w:ascii="宋体" w:hAnsi="宋体" w:cs="宋体"/>
                <w:b/>
                <w:bCs/>
                <w:color w:val="auto"/>
                <w:highlight w:val="none"/>
                <w:lang w:val="en-US" w:eastAsia="zh-CN"/>
              </w:rPr>
              <w:t>仓</w:t>
            </w:r>
            <w:r>
              <w:rPr>
                <w:rFonts w:hint="eastAsia" w:ascii="宋体" w:hAnsi="宋体" w:cs="宋体"/>
                <w:b/>
                <w:bCs/>
                <w:color w:val="auto"/>
                <w:highlight w:val="none"/>
              </w:rPr>
              <w:t>现场提交或以电子邮件的形式（以通知时所告知的电子邮箱地址为准）提交电子备份投标文件】</w:t>
            </w:r>
            <w:r>
              <w:rPr>
                <w:rFonts w:hint="eastAsia" w:ascii="宋体" w:hAnsi="宋体" w:cs="宋体"/>
                <w:color w:val="auto"/>
                <w:highlight w:val="none"/>
              </w:rPr>
              <w:t>，若投标人在规定时间内无法解密或解密失败且未提供电子备份投标文件的(包含提供的电子备份文件无效或无法解密的情况)，视为投标无效。</w:t>
            </w:r>
          </w:p>
        </w:tc>
      </w:tr>
      <w:tr w14:paraId="6EFE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674198AC">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863" w:type="dxa"/>
            <w:vAlign w:val="center"/>
          </w:tcPr>
          <w:p w14:paraId="0F2D44D6">
            <w:pPr>
              <w:keepNext w:val="0"/>
              <w:keepLines w:val="0"/>
              <w:pageBreakBefore w:val="0"/>
              <w:kinsoku/>
              <w:wordWrap/>
              <w:overflowPunct/>
              <w:topLinePunct w:val="0"/>
              <w:bidi w:val="0"/>
              <w:spacing w:line="440" w:lineRule="exact"/>
              <w:jc w:val="center"/>
              <w:rPr>
                <w:rFonts w:ascii="宋体" w:hAnsi="宋体" w:cs="宋体"/>
                <w:color w:val="auto"/>
                <w:position w:val="-2"/>
                <w:szCs w:val="21"/>
                <w:highlight w:val="none"/>
              </w:rPr>
            </w:pPr>
            <w:r>
              <w:rPr>
                <w:rFonts w:hint="eastAsia" w:ascii="宋体" w:hAnsi="宋体" w:cs="宋体"/>
                <w:color w:val="auto"/>
                <w:szCs w:val="21"/>
                <w:highlight w:val="none"/>
              </w:rPr>
              <w:t>21.1</w:t>
            </w:r>
          </w:p>
        </w:tc>
        <w:tc>
          <w:tcPr>
            <w:tcW w:w="1587" w:type="dxa"/>
            <w:vAlign w:val="center"/>
          </w:tcPr>
          <w:p w14:paraId="38D85B33">
            <w:pPr>
              <w:keepNext w:val="0"/>
              <w:keepLines w:val="0"/>
              <w:pageBreakBefore w:val="0"/>
              <w:kinsoku/>
              <w:wordWrap/>
              <w:overflowPunct/>
              <w:topLinePunct w:val="0"/>
              <w:bidi w:val="0"/>
              <w:spacing w:line="440" w:lineRule="exact"/>
              <w:jc w:val="center"/>
              <w:rPr>
                <w:rFonts w:ascii="宋体" w:hAnsi="宋体" w:cs="宋体"/>
                <w:color w:val="auto"/>
                <w:position w:val="-2"/>
                <w:szCs w:val="21"/>
                <w:highlight w:val="none"/>
              </w:rPr>
            </w:pPr>
            <w:r>
              <w:rPr>
                <w:rFonts w:hint="eastAsia" w:ascii="宋体" w:hAnsi="宋体" w:cs="宋体"/>
                <w:color w:val="auto"/>
                <w:szCs w:val="21"/>
                <w:highlight w:val="none"/>
              </w:rPr>
              <w:t>开标时间及地点</w:t>
            </w:r>
          </w:p>
        </w:tc>
        <w:tc>
          <w:tcPr>
            <w:tcW w:w="7011" w:type="dxa"/>
          </w:tcPr>
          <w:p w14:paraId="42D0AE8E">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日9时30分</w:t>
            </w:r>
            <w:r>
              <w:rPr>
                <w:rFonts w:hint="eastAsia" w:ascii="宋体" w:hAnsi="宋体" w:cs="宋体"/>
                <w:color w:val="auto"/>
                <w:szCs w:val="21"/>
                <w:highlight w:val="none"/>
              </w:rPr>
              <w:t>（北京时间）截标后。地点：通过</w:t>
            </w:r>
            <w:r>
              <w:rPr>
                <w:rFonts w:hint="eastAsia" w:ascii="宋体" w:hAnsi="宋体" w:eastAsia="宋体" w:cs="宋体"/>
                <w:color w:val="auto"/>
                <w:sz w:val="21"/>
                <w:szCs w:val="21"/>
                <w:highlight w:val="none"/>
                <w:u w:val="none"/>
                <w:shd w:val="clear" w:color="auto" w:fill="auto"/>
              </w:rPr>
              <w:t>广西政府采购云平台</w:t>
            </w:r>
            <w:r>
              <w:rPr>
                <w:rFonts w:hint="eastAsia" w:ascii="宋体" w:hAnsi="宋体" w:cs="宋体"/>
                <w:color w:val="auto"/>
                <w:szCs w:val="21"/>
                <w:highlight w:val="none"/>
              </w:rPr>
              <w:t>实行在线解密开启。提交电子备份投标文件方式：</w:t>
            </w:r>
            <w:r>
              <w:rPr>
                <w:rFonts w:hint="eastAsia" w:ascii="宋体" w:hAnsi="宋体" w:cs="宋体"/>
                <w:b/>
                <w:bCs/>
                <w:color w:val="auto"/>
                <w:highlight w:val="none"/>
              </w:rPr>
              <w:t>在接到无法解密或解密失败的通知后，投标人可根据自身实际情况按通知时要求的时间到桂林市公共资源交易中心</w:t>
            </w:r>
            <w:r>
              <w:rPr>
                <w:rFonts w:hint="eastAsia" w:ascii="宋体" w:hAnsi="宋体" w:cs="宋体"/>
                <w:b/>
                <w:bCs/>
                <w:color w:val="auto"/>
                <w:highlight w:val="none"/>
                <w:lang w:val="en-US" w:eastAsia="zh-CN"/>
              </w:rPr>
              <w:t>2</w:t>
            </w:r>
            <w:r>
              <w:rPr>
                <w:rFonts w:hint="eastAsia" w:ascii="宋体" w:hAnsi="宋体" w:cs="宋体"/>
                <w:b/>
                <w:bCs/>
                <w:color w:val="auto"/>
                <w:highlight w:val="none"/>
              </w:rPr>
              <w:t>号</w:t>
            </w:r>
            <w:r>
              <w:rPr>
                <w:rFonts w:hint="eastAsia" w:ascii="宋体" w:hAnsi="宋体" w:cs="宋体"/>
                <w:b/>
                <w:bCs/>
                <w:color w:val="auto"/>
                <w:highlight w:val="none"/>
                <w:lang w:val="en-US" w:eastAsia="zh-CN"/>
              </w:rPr>
              <w:t>政府采购</w:t>
            </w:r>
            <w:r>
              <w:rPr>
                <w:rFonts w:hint="eastAsia" w:ascii="宋体" w:hAnsi="宋体" w:cs="宋体"/>
                <w:b/>
                <w:bCs/>
                <w:color w:val="auto"/>
                <w:highlight w:val="none"/>
              </w:rPr>
              <w:t>开标</w:t>
            </w:r>
            <w:r>
              <w:rPr>
                <w:rFonts w:hint="eastAsia" w:ascii="宋体" w:hAnsi="宋体" w:cs="宋体"/>
                <w:b/>
                <w:bCs/>
                <w:color w:val="auto"/>
                <w:highlight w:val="none"/>
                <w:lang w:val="en-US" w:eastAsia="zh-CN"/>
              </w:rPr>
              <w:t>仓</w:t>
            </w:r>
            <w:r>
              <w:rPr>
                <w:rFonts w:hint="eastAsia" w:ascii="宋体" w:hAnsi="宋体" w:cs="宋体"/>
                <w:b/>
                <w:bCs/>
                <w:color w:val="auto"/>
                <w:highlight w:val="none"/>
              </w:rPr>
              <w:t>现场提交或以电子邮件的形式（以通知时所告知的电子邮箱地址为准）提交电子备份投标文件</w:t>
            </w:r>
            <w:r>
              <w:rPr>
                <w:rFonts w:hint="eastAsia" w:ascii="宋体" w:hAnsi="宋体" w:cs="宋体"/>
                <w:color w:val="auto"/>
                <w:szCs w:val="21"/>
                <w:highlight w:val="none"/>
              </w:rPr>
              <w:t>。</w:t>
            </w:r>
            <w:r>
              <w:rPr>
                <w:rFonts w:hint="eastAsia" w:ascii="宋体" w:hAnsi="宋体" w:cs="宋体"/>
                <w:color w:val="auto"/>
                <w:highlight w:val="none"/>
              </w:rPr>
              <w:t>投标人可以由法定代表人、负责人、自然人或其委托代理人出席开标会议。</w:t>
            </w:r>
          </w:p>
        </w:tc>
      </w:tr>
      <w:tr w14:paraId="08FE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56" w:type="dxa"/>
            <w:vAlign w:val="center"/>
          </w:tcPr>
          <w:p w14:paraId="5BFB3F6B">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863" w:type="dxa"/>
            <w:vAlign w:val="center"/>
          </w:tcPr>
          <w:p w14:paraId="30CA016D">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1587" w:type="dxa"/>
            <w:vAlign w:val="center"/>
          </w:tcPr>
          <w:p w14:paraId="44E5D7B4">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评标委员会组成</w:t>
            </w:r>
          </w:p>
        </w:tc>
        <w:tc>
          <w:tcPr>
            <w:tcW w:w="7011" w:type="dxa"/>
            <w:vAlign w:val="center"/>
          </w:tcPr>
          <w:p w14:paraId="0E9D47CD">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评标委员会由采购人代表和有关技术、经济等方面的专家组成，成员人数共5人，其中采购人代表1人，技术、经济等专家 4人。</w:t>
            </w:r>
          </w:p>
        </w:tc>
      </w:tr>
      <w:tr w14:paraId="27CB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vAlign w:val="center"/>
          </w:tcPr>
          <w:p w14:paraId="301B566C">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863" w:type="dxa"/>
            <w:vAlign w:val="center"/>
          </w:tcPr>
          <w:p w14:paraId="58EEEA10">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25.1</w:t>
            </w:r>
          </w:p>
        </w:tc>
        <w:tc>
          <w:tcPr>
            <w:tcW w:w="1587" w:type="dxa"/>
            <w:vAlign w:val="center"/>
          </w:tcPr>
          <w:p w14:paraId="04FC2A83">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7011" w:type="dxa"/>
            <w:vAlign w:val="center"/>
          </w:tcPr>
          <w:p w14:paraId="5CADA65B">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综合评分法，具体评标内容及标准详见第四章。</w:t>
            </w:r>
          </w:p>
        </w:tc>
      </w:tr>
      <w:tr w14:paraId="1C6E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6" w:type="dxa"/>
            <w:vAlign w:val="center"/>
          </w:tcPr>
          <w:p w14:paraId="503CC1F9">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863" w:type="dxa"/>
            <w:vAlign w:val="center"/>
          </w:tcPr>
          <w:p w14:paraId="553430AD">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32</w:t>
            </w:r>
          </w:p>
        </w:tc>
        <w:tc>
          <w:tcPr>
            <w:tcW w:w="1587" w:type="dxa"/>
            <w:vAlign w:val="center"/>
          </w:tcPr>
          <w:p w14:paraId="16EE7BBC">
            <w:pPr>
              <w:keepNext w:val="0"/>
              <w:keepLines w:val="0"/>
              <w:pageBreakBefore w:val="0"/>
              <w:tabs>
                <w:tab w:val="left" w:pos="1140"/>
              </w:tabs>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信用查询</w:t>
            </w:r>
          </w:p>
        </w:tc>
        <w:tc>
          <w:tcPr>
            <w:tcW w:w="7011" w:type="dxa"/>
            <w:vAlign w:val="center"/>
          </w:tcPr>
          <w:p w14:paraId="1713D46D">
            <w:pPr>
              <w:keepNext w:val="0"/>
              <w:keepLines w:val="0"/>
              <w:pageBreakBefore w:val="0"/>
              <w:kinsoku/>
              <w:wordWrap/>
              <w:overflowPunct/>
              <w:topLinePunct w:val="0"/>
              <w:autoSpaceDE w:val="0"/>
              <w:autoSpaceDN w:val="0"/>
              <w:bidi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根据《关于做好政府采购有关信用主体标识码登记及在政府采购活动中查询使用信用记录有关问题的通知》桂财采〔2016〕37号的通知，由采购代理机构对第一中标候选供应商进行信用查询：</w:t>
            </w:r>
          </w:p>
          <w:p w14:paraId="6E738F35">
            <w:pPr>
              <w:keepNext w:val="0"/>
              <w:keepLines w:val="0"/>
              <w:pageBreakBefore w:val="0"/>
              <w:kinsoku/>
              <w:wordWrap/>
              <w:overflowPunct/>
              <w:topLinePunct w:val="0"/>
              <w:autoSpaceDE w:val="0"/>
              <w:autoSpaceDN w:val="0"/>
              <w:bidi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14:paraId="7194C6DD">
            <w:pPr>
              <w:keepNext w:val="0"/>
              <w:keepLines w:val="0"/>
              <w:pageBreakBefore w:val="0"/>
              <w:kinsoku/>
              <w:wordWrap/>
              <w:overflowPunct/>
              <w:topLinePunct w:val="0"/>
              <w:autoSpaceDE w:val="0"/>
              <w:autoSpaceDN w:val="0"/>
              <w:bidi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⑵查询时间：中标通知书发出前；</w:t>
            </w:r>
          </w:p>
          <w:p w14:paraId="506459C0">
            <w:pPr>
              <w:keepNext w:val="0"/>
              <w:keepLines w:val="0"/>
              <w:pageBreakBefore w:val="0"/>
              <w:kinsoku/>
              <w:wordWrap/>
              <w:overflowPunct/>
              <w:topLinePunct w:val="0"/>
              <w:autoSpaceDE w:val="0"/>
              <w:autoSpaceDN w:val="0"/>
              <w:bidi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14:paraId="68FC3052">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2B3EE686">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1CA5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6" w:type="dxa"/>
            <w:vAlign w:val="center"/>
          </w:tcPr>
          <w:p w14:paraId="5D23DCC1">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863" w:type="dxa"/>
            <w:vAlign w:val="center"/>
          </w:tcPr>
          <w:p w14:paraId="1747EDE1">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1587" w:type="dxa"/>
            <w:vAlign w:val="center"/>
          </w:tcPr>
          <w:p w14:paraId="32630156">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中标公告及中标通知书</w:t>
            </w:r>
          </w:p>
        </w:tc>
        <w:tc>
          <w:tcPr>
            <w:tcW w:w="7011" w:type="dxa"/>
            <w:vAlign w:val="center"/>
          </w:tcPr>
          <w:p w14:paraId="720FC3D8">
            <w:pPr>
              <w:keepNext w:val="0"/>
              <w:keepLines w:val="0"/>
              <w:pageBreakBefore w:val="0"/>
              <w:tabs>
                <w:tab w:val="left" w:pos="455"/>
              </w:tabs>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3CECE265">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33.2中标公告发布的同时，采购代理机构向中标供应商发出中标通知书，中标供应商应自接到通知之日起七个工作日内，办理中标通知书领取手续。</w:t>
            </w:r>
          </w:p>
        </w:tc>
      </w:tr>
      <w:tr w14:paraId="59AC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vAlign w:val="center"/>
          </w:tcPr>
          <w:p w14:paraId="32E8E70A">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863" w:type="dxa"/>
            <w:vAlign w:val="center"/>
          </w:tcPr>
          <w:p w14:paraId="26E9FF5E">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34</w:t>
            </w:r>
          </w:p>
        </w:tc>
        <w:tc>
          <w:tcPr>
            <w:tcW w:w="1587" w:type="dxa"/>
            <w:vAlign w:val="center"/>
          </w:tcPr>
          <w:p w14:paraId="718A48D8">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011" w:type="dxa"/>
            <w:vAlign w:val="center"/>
          </w:tcPr>
          <w:p w14:paraId="017B8A96">
            <w:pPr>
              <w:keepNext w:val="0"/>
              <w:keepLines w:val="0"/>
              <w:pageBreakBefore w:val="0"/>
              <w:tabs>
                <w:tab w:val="left" w:pos="455"/>
              </w:tabs>
              <w:kinsoku/>
              <w:wordWrap/>
              <w:overflowPunct/>
              <w:topLinePunct w:val="0"/>
              <w:bidi w:val="0"/>
              <w:spacing w:line="440" w:lineRule="exact"/>
              <w:rPr>
                <w:b/>
                <w:color w:val="auto"/>
                <w:highlight w:val="none"/>
              </w:rPr>
            </w:pPr>
            <w:r>
              <w:rPr>
                <w:rFonts w:ascii="宋体" w:hAnsi="宋体" w:cs="宋体"/>
                <w:b/>
                <w:color w:val="auto"/>
                <w:szCs w:val="21"/>
                <w:highlight w:val="none"/>
              </w:rPr>
              <w:t>本项目无需缴纳履约保证金。</w:t>
            </w:r>
          </w:p>
        </w:tc>
      </w:tr>
      <w:tr w14:paraId="404C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vAlign w:val="center"/>
          </w:tcPr>
          <w:p w14:paraId="1131F963">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863" w:type="dxa"/>
            <w:vAlign w:val="center"/>
          </w:tcPr>
          <w:p w14:paraId="3F231405">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35.1</w:t>
            </w:r>
          </w:p>
        </w:tc>
        <w:tc>
          <w:tcPr>
            <w:tcW w:w="1587" w:type="dxa"/>
            <w:vAlign w:val="center"/>
          </w:tcPr>
          <w:p w14:paraId="25407A2A">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签订合同时间</w:t>
            </w:r>
          </w:p>
        </w:tc>
        <w:tc>
          <w:tcPr>
            <w:tcW w:w="7011" w:type="dxa"/>
            <w:vAlign w:val="center"/>
          </w:tcPr>
          <w:p w14:paraId="25C69BCB">
            <w:pPr>
              <w:keepNext w:val="0"/>
              <w:keepLines w:val="0"/>
              <w:pageBreakBefore w:val="0"/>
              <w:kinsoku/>
              <w:wordWrap/>
              <w:overflowPunct/>
              <w:topLinePunct w:val="0"/>
              <w:bidi w:val="0"/>
              <w:spacing w:line="440" w:lineRule="exact"/>
              <w:rPr>
                <w:rFonts w:hAnsi="宋体" w:cs="宋体"/>
                <w:color w:val="auto"/>
                <w:szCs w:val="21"/>
                <w:highlight w:val="none"/>
              </w:rPr>
            </w:pPr>
            <w:r>
              <w:rPr>
                <w:rFonts w:hint="eastAsia" w:ascii="宋体" w:hAnsi="宋体" w:cs="宋体"/>
                <w:color w:val="auto"/>
                <w:szCs w:val="21"/>
                <w:highlight w:val="none"/>
              </w:rPr>
              <w:t>中标通知书发出之日起</w:t>
            </w:r>
            <w:r>
              <w:rPr>
                <w:rFonts w:hint="eastAsia" w:ascii="宋体" w:hAnsi="宋体" w:cs="宋体"/>
                <w:color w:val="auto"/>
                <w:szCs w:val="21"/>
                <w:highlight w:val="none"/>
                <w:lang w:val="en-US" w:eastAsia="zh-CN"/>
              </w:rPr>
              <w:t>25日</w:t>
            </w:r>
            <w:r>
              <w:rPr>
                <w:rFonts w:hint="eastAsia" w:ascii="宋体" w:hAnsi="宋体" w:cs="宋体"/>
                <w:color w:val="auto"/>
                <w:szCs w:val="21"/>
                <w:highlight w:val="none"/>
              </w:rPr>
              <w:t>内。中标人领取中标通知书后，应按规定与采购人签订合同。</w:t>
            </w:r>
          </w:p>
        </w:tc>
      </w:tr>
      <w:tr w14:paraId="52C3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56" w:type="dxa"/>
            <w:vAlign w:val="center"/>
          </w:tcPr>
          <w:p w14:paraId="12B46653">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863" w:type="dxa"/>
            <w:vAlign w:val="center"/>
          </w:tcPr>
          <w:p w14:paraId="258AF2CA">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35.4</w:t>
            </w:r>
          </w:p>
        </w:tc>
        <w:tc>
          <w:tcPr>
            <w:tcW w:w="1587" w:type="dxa"/>
            <w:vAlign w:val="center"/>
          </w:tcPr>
          <w:p w14:paraId="311514D3">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合同备案存档</w:t>
            </w:r>
          </w:p>
        </w:tc>
        <w:tc>
          <w:tcPr>
            <w:tcW w:w="7011" w:type="dxa"/>
            <w:vAlign w:val="center"/>
          </w:tcPr>
          <w:p w14:paraId="78060F58">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rPr>
              <w:t>政府采购合同双方自签订之日起一个工作日内将合同原件一份交采购代理机构，采购人于合同签订之日起七个工作日内将一份合同原件</w:t>
            </w:r>
            <w:r>
              <w:rPr>
                <w:rFonts w:hint="eastAsia" w:ascii="宋体" w:hAnsi="宋体" w:cs="宋体"/>
                <w:color w:val="auto"/>
                <w:szCs w:val="21"/>
                <w:highlight w:val="none"/>
                <w:lang w:val="en-US" w:eastAsia="zh-CN"/>
              </w:rPr>
              <w:t>本级</w:t>
            </w:r>
            <w:r>
              <w:rPr>
                <w:rFonts w:hint="eastAsia" w:ascii="宋体" w:hAnsi="宋体" w:cs="宋体"/>
                <w:color w:val="auto"/>
                <w:szCs w:val="21"/>
                <w:highlight w:val="none"/>
              </w:rPr>
              <w:t>财政部门备案。</w:t>
            </w:r>
          </w:p>
        </w:tc>
      </w:tr>
      <w:tr w14:paraId="06C7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vAlign w:val="center"/>
          </w:tcPr>
          <w:p w14:paraId="27161484">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863" w:type="dxa"/>
            <w:vAlign w:val="center"/>
          </w:tcPr>
          <w:p w14:paraId="1B92A180">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36</w:t>
            </w:r>
          </w:p>
        </w:tc>
        <w:tc>
          <w:tcPr>
            <w:tcW w:w="1587" w:type="dxa"/>
            <w:vAlign w:val="center"/>
          </w:tcPr>
          <w:p w14:paraId="608887B8">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7011" w:type="dxa"/>
            <w:vAlign w:val="center"/>
          </w:tcPr>
          <w:p w14:paraId="4FDE8223">
            <w:pPr>
              <w:keepNext w:val="0"/>
              <w:keepLines w:val="0"/>
              <w:pageBreakBefore w:val="0"/>
              <w:kinsoku/>
              <w:wordWrap/>
              <w:overflowPunct/>
              <w:topLinePunct w:val="0"/>
              <w:bidi w:val="0"/>
              <w:spacing w:line="440" w:lineRule="exact"/>
              <w:rPr>
                <w:rFonts w:ascii="宋体" w:hAnsi="宋体" w:cs="宋体"/>
                <w:b/>
                <w:color w:val="auto"/>
                <w:highlight w:val="none"/>
              </w:rPr>
            </w:pPr>
            <w:r>
              <w:rPr>
                <w:rFonts w:hint="eastAsia" w:ascii="宋体" w:hAnsi="宋体" w:cs="宋体"/>
                <w:color w:val="auto"/>
                <w:szCs w:val="21"/>
                <w:highlight w:val="none"/>
              </w:rPr>
              <w:t>本项目的招标代理服务费：参照计价格[2002]1980号《招标代理服务收费管理暂行办法》货物类收费</w:t>
            </w:r>
            <w:r>
              <w:rPr>
                <w:rFonts w:hint="eastAsia" w:ascii="宋体" w:hAnsi="宋体" w:cs="宋体"/>
                <w:color w:val="auto"/>
                <w:szCs w:val="21"/>
                <w:highlight w:val="none"/>
                <w:lang w:val="en-US" w:eastAsia="zh-CN"/>
              </w:rPr>
              <w:t>的60%</w:t>
            </w:r>
            <w:r>
              <w:rPr>
                <w:rFonts w:hint="eastAsia" w:ascii="宋体" w:hAnsi="宋体" w:cs="宋体"/>
                <w:color w:val="auto"/>
                <w:szCs w:val="21"/>
                <w:highlight w:val="none"/>
              </w:rPr>
              <w:t>标准计取。由中标人向广西奥金斯项目管理有限公司一次性付清代理服务费。</w:t>
            </w:r>
          </w:p>
        </w:tc>
      </w:tr>
      <w:tr w14:paraId="25E8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6" w:type="dxa"/>
            <w:vAlign w:val="center"/>
          </w:tcPr>
          <w:p w14:paraId="2CB790B2">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863" w:type="dxa"/>
            <w:vAlign w:val="center"/>
          </w:tcPr>
          <w:p w14:paraId="24351FCE">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37</w:t>
            </w:r>
          </w:p>
        </w:tc>
        <w:tc>
          <w:tcPr>
            <w:tcW w:w="1587" w:type="dxa"/>
            <w:vAlign w:val="center"/>
          </w:tcPr>
          <w:p w14:paraId="1D249AF5">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解释权</w:t>
            </w:r>
          </w:p>
        </w:tc>
        <w:tc>
          <w:tcPr>
            <w:tcW w:w="7011" w:type="dxa"/>
            <w:vAlign w:val="center"/>
          </w:tcPr>
          <w:p w14:paraId="064C0100">
            <w:pPr>
              <w:keepNext w:val="0"/>
              <w:keepLines w:val="0"/>
              <w:pageBreakBefore w:val="0"/>
              <w:kinsoku/>
              <w:wordWrap/>
              <w:overflowPunct/>
              <w:topLinePunct w:val="0"/>
              <w:bidi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本招标文件是根据《中华人民共和国政府采购法》《中华人民共和国政府采购法实施条例》及《政府采购货物和服务招标投标管理办法》（财政部令第87号）</w:t>
            </w:r>
            <w:r>
              <w:rPr>
                <w:rFonts w:hint="eastAsia" w:ascii="宋体" w:hAnsi="宋体" w:cs="宋体"/>
                <w:color w:val="auto"/>
                <w:highlight w:val="none"/>
              </w:rPr>
              <w:t>和政府采购管理有关规定编制，本招标文件的解释权属于广西奥金斯项目管理有限公司。</w:t>
            </w:r>
          </w:p>
        </w:tc>
      </w:tr>
      <w:tr w14:paraId="0CEB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56" w:type="dxa"/>
            <w:vAlign w:val="center"/>
          </w:tcPr>
          <w:p w14:paraId="4397826A">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863" w:type="dxa"/>
            <w:vAlign w:val="center"/>
          </w:tcPr>
          <w:p w14:paraId="649F3CA0">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38</w:t>
            </w:r>
          </w:p>
        </w:tc>
        <w:tc>
          <w:tcPr>
            <w:tcW w:w="1587" w:type="dxa"/>
            <w:vAlign w:val="center"/>
          </w:tcPr>
          <w:p w14:paraId="32738F89">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监督管理机构</w:t>
            </w:r>
          </w:p>
        </w:tc>
        <w:tc>
          <w:tcPr>
            <w:tcW w:w="7011" w:type="dxa"/>
            <w:vAlign w:val="center"/>
          </w:tcPr>
          <w:p w14:paraId="46F14E1A">
            <w:pPr>
              <w:keepNext w:val="0"/>
              <w:keepLines w:val="0"/>
              <w:pageBreakBefore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广西壮族自治区财政厅政府采购监督管理处 </w:t>
            </w:r>
          </w:p>
          <w:p w14:paraId="430F27EF">
            <w:pPr>
              <w:keepNext w:val="0"/>
              <w:keepLines w:val="0"/>
              <w:pageBreakBefore w:val="0"/>
              <w:kinsoku/>
              <w:wordWrap/>
              <w:overflowPunct/>
              <w:topLinePunct w:val="0"/>
              <w:bidi w:val="0"/>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电话：0771-5331544</w:t>
            </w:r>
          </w:p>
        </w:tc>
      </w:tr>
    </w:tbl>
    <w:p w14:paraId="5DF926AD">
      <w:pPr>
        <w:keepNext w:val="0"/>
        <w:keepLines w:val="0"/>
        <w:pageBreakBefore w:val="0"/>
        <w:kinsoku/>
        <w:wordWrap/>
        <w:overflowPunct/>
        <w:topLinePunct w:val="0"/>
        <w:bidi w:val="0"/>
        <w:spacing w:line="440" w:lineRule="exact"/>
        <w:jc w:val="center"/>
        <w:outlineLvl w:val="1"/>
        <w:rPr>
          <w:rFonts w:ascii="宋体" w:hAnsi="宋体" w:cs="宋体"/>
          <w:b/>
          <w:color w:val="auto"/>
          <w:sz w:val="28"/>
          <w:szCs w:val="28"/>
          <w:highlight w:val="none"/>
        </w:rPr>
      </w:pPr>
      <w:bookmarkStart w:id="45" w:name="_Toc495841754"/>
      <w:bookmarkStart w:id="46" w:name="_Toc3679"/>
      <w:r>
        <w:rPr>
          <w:rFonts w:hint="eastAsia" w:ascii="宋体" w:hAnsi="宋体" w:cs="宋体"/>
          <w:b/>
          <w:color w:val="auto"/>
          <w:sz w:val="28"/>
          <w:szCs w:val="28"/>
          <w:highlight w:val="none"/>
        </w:rPr>
        <w:br w:type="page"/>
      </w:r>
      <w:bookmarkStart w:id="47" w:name="_Toc9775"/>
      <w:bookmarkStart w:id="48" w:name="_Toc3164"/>
      <w:bookmarkStart w:id="49" w:name="_Toc11795"/>
      <w:r>
        <w:rPr>
          <w:rFonts w:hint="eastAsia" w:ascii="宋体" w:hAnsi="宋体" w:cs="宋体"/>
          <w:b/>
          <w:color w:val="auto"/>
          <w:sz w:val="28"/>
          <w:szCs w:val="28"/>
          <w:highlight w:val="none"/>
        </w:rPr>
        <w:t>一、总则</w:t>
      </w:r>
      <w:bookmarkEnd w:id="45"/>
      <w:bookmarkEnd w:id="46"/>
      <w:bookmarkEnd w:id="47"/>
      <w:bookmarkEnd w:id="48"/>
      <w:bookmarkEnd w:id="49"/>
    </w:p>
    <w:p w14:paraId="401DC5CC">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50" w:name="_Toc23807"/>
      <w:bookmarkStart w:id="51" w:name="_Toc9917"/>
      <w:bookmarkStart w:id="52" w:name="_Toc6019"/>
      <w:bookmarkStart w:id="53" w:name="_Toc3575"/>
      <w:r>
        <w:rPr>
          <w:rFonts w:hint="eastAsia" w:ascii="宋体" w:hAnsi="宋体" w:cs="宋体"/>
          <w:b/>
          <w:color w:val="auto"/>
          <w:szCs w:val="21"/>
          <w:highlight w:val="none"/>
        </w:rPr>
        <w:t>1. 项目名称及项目编号</w:t>
      </w:r>
      <w:bookmarkEnd w:id="50"/>
      <w:bookmarkEnd w:id="51"/>
      <w:bookmarkEnd w:id="52"/>
      <w:bookmarkEnd w:id="53"/>
    </w:p>
    <w:p w14:paraId="603E5E35">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bookmarkStart w:id="54" w:name="_Toc340"/>
      <w:r>
        <w:rPr>
          <w:rFonts w:hint="eastAsia" w:ascii="宋体" w:hAnsi="宋体" w:cs="宋体"/>
          <w:color w:val="auto"/>
          <w:szCs w:val="21"/>
          <w:highlight w:val="none"/>
        </w:rPr>
        <w:t>项目名称：超高效液相色谱三重四极杆质谱仪</w:t>
      </w:r>
    </w:p>
    <w:p w14:paraId="08B9EA2E">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bookmarkStart w:id="55" w:name="_Toc13482"/>
      <w:bookmarkStart w:id="56" w:name="_Toc22222"/>
      <w:bookmarkStart w:id="57" w:name="_Toc12501"/>
      <w:bookmarkStart w:id="58" w:name="_Toc8277"/>
      <w:bookmarkStart w:id="59" w:name="_Toc31099"/>
      <w:bookmarkStart w:id="60" w:name="_Toc4835"/>
      <w:bookmarkStart w:id="61" w:name="_Toc6216"/>
      <w:bookmarkStart w:id="62" w:name="_Toc7167"/>
      <w:bookmarkStart w:id="63" w:name="_Toc12938"/>
      <w:bookmarkStart w:id="64" w:name="_Toc9123"/>
      <w:r>
        <w:rPr>
          <w:rFonts w:hint="eastAsia" w:ascii="宋体" w:hAnsi="宋体" w:cs="宋体"/>
          <w:color w:val="auto"/>
          <w:szCs w:val="21"/>
          <w:highlight w:val="none"/>
        </w:rPr>
        <w:t>项目编号：</w:t>
      </w:r>
      <w:bookmarkEnd w:id="55"/>
      <w:bookmarkEnd w:id="56"/>
      <w:bookmarkEnd w:id="57"/>
      <w:bookmarkEnd w:id="58"/>
      <w:bookmarkEnd w:id="59"/>
      <w:bookmarkEnd w:id="60"/>
      <w:bookmarkEnd w:id="61"/>
      <w:bookmarkEnd w:id="62"/>
      <w:bookmarkEnd w:id="63"/>
      <w:bookmarkEnd w:id="64"/>
      <w:r>
        <w:rPr>
          <w:rFonts w:hint="eastAsia" w:ascii="宋体" w:hAnsi="宋体" w:cs="宋体"/>
          <w:color w:val="auto"/>
          <w:szCs w:val="21"/>
          <w:highlight w:val="none"/>
        </w:rPr>
        <w:t>GXZC2025-G1-003641-GXAJ</w:t>
      </w:r>
    </w:p>
    <w:p w14:paraId="5AC07D47">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65" w:name="_Toc1834"/>
      <w:bookmarkStart w:id="66" w:name="_Toc25564"/>
      <w:bookmarkStart w:id="67" w:name="_Toc6964"/>
      <w:r>
        <w:rPr>
          <w:rFonts w:hint="eastAsia" w:ascii="宋体" w:hAnsi="宋体" w:cs="宋体"/>
          <w:b/>
          <w:color w:val="auto"/>
          <w:szCs w:val="21"/>
          <w:highlight w:val="none"/>
        </w:rPr>
        <w:t>2. 适应范围</w:t>
      </w:r>
      <w:bookmarkEnd w:id="54"/>
      <w:bookmarkEnd w:id="65"/>
      <w:bookmarkEnd w:id="66"/>
      <w:bookmarkEnd w:id="67"/>
    </w:p>
    <w:p w14:paraId="520311A0">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本招标文件适用本招标采购项目的招标、投标、评标、合同履约、验收、付款等行为（法律、法规另有规定的，从其规定）。</w:t>
      </w:r>
    </w:p>
    <w:p w14:paraId="02625F1D">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68" w:name="_Toc9873"/>
      <w:bookmarkStart w:id="69" w:name="_Toc13271"/>
      <w:bookmarkStart w:id="70" w:name="_Toc27335"/>
      <w:bookmarkStart w:id="71" w:name="_Toc1895"/>
      <w:r>
        <w:rPr>
          <w:rFonts w:hint="eastAsia" w:ascii="宋体" w:hAnsi="宋体" w:cs="宋体"/>
          <w:b/>
          <w:color w:val="auto"/>
          <w:szCs w:val="21"/>
          <w:highlight w:val="none"/>
        </w:rPr>
        <w:t>3. 定义</w:t>
      </w:r>
      <w:bookmarkEnd w:id="68"/>
      <w:bookmarkEnd w:id="69"/>
      <w:bookmarkEnd w:id="70"/>
      <w:bookmarkEnd w:id="71"/>
    </w:p>
    <w:p w14:paraId="15197962">
      <w:pPr>
        <w:keepNext w:val="0"/>
        <w:keepLines w:val="0"/>
        <w:pageBreakBefore w:val="0"/>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3.1“投标人”系指响应招标、参加投标竞争的法人、其他组织或者自然人。</w:t>
      </w:r>
    </w:p>
    <w:p w14:paraId="694EE811">
      <w:pPr>
        <w:keepNext w:val="0"/>
        <w:keepLines w:val="0"/>
        <w:pageBreakBefore w:val="0"/>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3.2“货物”系指按招标文件规定，投标人须向采购人提供的一切设备、保险、税金、备品备件、工具、手册及其它有关技术资料和材料。</w:t>
      </w:r>
    </w:p>
    <w:p w14:paraId="1F4B7EF0">
      <w:pPr>
        <w:keepNext w:val="0"/>
        <w:keepLines w:val="0"/>
        <w:pageBreakBefore w:val="0"/>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3.3“服务”系指按招标文件规定，投标人须承担的安装、调试、技术协助、校准、培训、技术指导以及其他类似的义务。</w:t>
      </w:r>
    </w:p>
    <w:p w14:paraId="581FCCE8">
      <w:pPr>
        <w:keepNext w:val="0"/>
        <w:keepLines w:val="0"/>
        <w:pageBreakBefore w:val="0"/>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3.4“项目”系指投标人按招标文件规定向采购人提供的货物和服务。</w:t>
      </w:r>
    </w:p>
    <w:p w14:paraId="286E5063">
      <w:pPr>
        <w:keepNext w:val="0"/>
        <w:keepLines w:val="0"/>
        <w:pageBreakBefore w:val="0"/>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3.5“书面形式”包括信函、传真、电报等。</w:t>
      </w:r>
    </w:p>
    <w:p w14:paraId="510D33F5">
      <w:pPr>
        <w:keepNext w:val="0"/>
        <w:keepLines w:val="0"/>
        <w:pageBreakBefore w:val="0"/>
        <w:kinsoku/>
        <w:wordWrap/>
        <w:overflowPunct/>
        <w:topLinePunct w:val="0"/>
        <w:bidi w:val="0"/>
        <w:spacing w:line="440" w:lineRule="exact"/>
        <w:ind w:firstLine="435"/>
        <w:rPr>
          <w:rFonts w:ascii="宋体" w:hAnsi="宋体" w:cs="宋体"/>
          <w:b/>
          <w:color w:val="auto"/>
          <w:szCs w:val="21"/>
          <w:highlight w:val="none"/>
        </w:rPr>
      </w:pPr>
      <w:r>
        <w:rPr>
          <w:rFonts w:hint="eastAsia" w:ascii="宋体" w:hAnsi="宋体" w:cs="宋体"/>
          <w:b/>
          <w:color w:val="auto"/>
          <w:szCs w:val="21"/>
          <w:highlight w:val="none"/>
        </w:rPr>
        <w:t>3.6实质性要求：《货物采购需求》中的“▲”号项及商务要求为实质性要求，不允许负偏离，否则投标无效。</w:t>
      </w:r>
    </w:p>
    <w:p w14:paraId="196D945C">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72" w:name="_Toc19935"/>
      <w:bookmarkStart w:id="73" w:name="_Toc31846"/>
      <w:bookmarkStart w:id="74" w:name="_Toc28906"/>
      <w:bookmarkStart w:id="75" w:name="_Toc194"/>
      <w:r>
        <w:rPr>
          <w:rFonts w:hint="eastAsia" w:ascii="宋体" w:hAnsi="宋体" w:cs="宋体"/>
          <w:b/>
          <w:color w:val="auto"/>
          <w:szCs w:val="21"/>
          <w:highlight w:val="none"/>
        </w:rPr>
        <w:t>4. 招标方式、评分办法</w:t>
      </w:r>
      <w:bookmarkEnd w:id="72"/>
      <w:bookmarkEnd w:id="73"/>
      <w:bookmarkEnd w:id="74"/>
      <w:bookmarkEnd w:id="75"/>
    </w:p>
    <w:p w14:paraId="3E7E3F25">
      <w:pPr>
        <w:keepNext w:val="0"/>
        <w:keepLines w:val="0"/>
        <w:pageBreakBefore w:val="0"/>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公开招标、综合评分法</w:t>
      </w:r>
    </w:p>
    <w:p w14:paraId="7FFB3B38">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76" w:name="_Toc19879"/>
      <w:bookmarkStart w:id="77" w:name="_Toc598"/>
      <w:bookmarkStart w:id="78" w:name="_Toc18449"/>
      <w:bookmarkStart w:id="79" w:name="_Toc17906"/>
      <w:r>
        <w:rPr>
          <w:rFonts w:hint="eastAsia" w:ascii="宋体" w:hAnsi="宋体" w:cs="宋体"/>
          <w:b/>
          <w:color w:val="auto"/>
          <w:szCs w:val="21"/>
          <w:highlight w:val="none"/>
        </w:rPr>
        <w:t>5. 投标人资格</w:t>
      </w:r>
      <w:bookmarkEnd w:id="76"/>
      <w:bookmarkEnd w:id="77"/>
      <w:bookmarkEnd w:id="78"/>
      <w:bookmarkEnd w:id="79"/>
    </w:p>
    <w:p w14:paraId="192B0F17">
      <w:pPr>
        <w:keepNext w:val="0"/>
        <w:keepLines w:val="0"/>
        <w:pageBreakBefore w:val="0"/>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5.1符合《中华人民共和国政府采购法》第二十二条和《政府采购法实施条例》第十八条规定，并且在国内注册或登记、具备合法资格，提供本次采购货物或服务的供应商。</w:t>
      </w:r>
    </w:p>
    <w:p w14:paraId="11311C32">
      <w:pPr>
        <w:keepNext w:val="0"/>
        <w:keepLines w:val="0"/>
        <w:pageBreakBefore w:val="0"/>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5.2 本项目不接受联合体投标。</w:t>
      </w:r>
    </w:p>
    <w:p w14:paraId="16041685">
      <w:pPr>
        <w:keepNext w:val="0"/>
        <w:keepLines w:val="0"/>
        <w:pageBreakBefore w:val="0"/>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5.3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13A57AB8">
      <w:pPr>
        <w:keepNext w:val="0"/>
        <w:keepLines w:val="0"/>
        <w:pageBreakBefore w:val="0"/>
        <w:kinsoku/>
        <w:wordWrap/>
        <w:overflowPunct/>
        <w:topLinePunct w:val="0"/>
        <w:bidi w:val="0"/>
        <w:spacing w:line="440" w:lineRule="exact"/>
        <w:ind w:firstLine="435"/>
        <w:rPr>
          <w:rFonts w:ascii="宋体" w:hAnsi="宋体" w:cs="宋体"/>
          <w:color w:val="auto"/>
          <w:szCs w:val="21"/>
          <w:highlight w:val="none"/>
        </w:rPr>
      </w:pPr>
      <w:bookmarkStart w:id="80" w:name="_Toc24742"/>
      <w:r>
        <w:rPr>
          <w:rFonts w:hint="eastAsia" w:ascii="宋体" w:hAnsi="宋体" w:cs="宋体"/>
          <w:color w:val="auto"/>
          <w:szCs w:val="21"/>
          <w:highlight w:val="none"/>
        </w:rPr>
        <w:t>5.4落实政府采购政策需满足的资格要求：无。</w:t>
      </w:r>
    </w:p>
    <w:p w14:paraId="3EBD8220">
      <w:pPr>
        <w:keepNext w:val="0"/>
        <w:keepLines w:val="0"/>
        <w:pageBreakBefore w:val="0"/>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5.5 本项目的特定资格要求：</w:t>
      </w:r>
      <w:r>
        <w:rPr>
          <w:rFonts w:ascii="宋体" w:hAnsi="宋体" w:cs="宋体"/>
          <w:color w:val="auto"/>
          <w:szCs w:val="21"/>
          <w:highlight w:val="none"/>
        </w:rPr>
        <w:t>投标人按《医疗器械监督管理条例》（国务院令第 739 号）医疗器械分类管理要求具备有效的医疗器械经营备案凭证或者医疗器械经营许可证，且经营范围必须包含采购的医疗器械标的[符合《医疗器械监督管理条例》第四十一条第二款规定的除外]</w:t>
      </w:r>
      <w:r>
        <w:rPr>
          <w:rFonts w:hint="eastAsia" w:ascii="宋体" w:hAnsi="宋体" w:cs="宋体"/>
          <w:color w:val="auto"/>
          <w:szCs w:val="21"/>
          <w:highlight w:val="none"/>
        </w:rPr>
        <w:t>，</w:t>
      </w:r>
      <w:r>
        <w:rPr>
          <w:rFonts w:ascii="宋体" w:hAnsi="宋体" w:cs="宋体"/>
          <w:color w:val="auto"/>
          <w:szCs w:val="21"/>
          <w:highlight w:val="none"/>
        </w:rPr>
        <w:t>所投产品生产厂家具有医疗器械生产许可证</w:t>
      </w:r>
      <w:r>
        <w:rPr>
          <w:rFonts w:hint="eastAsia" w:ascii="宋体" w:hAnsi="宋体" w:cs="宋体"/>
          <w:color w:val="auto"/>
          <w:szCs w:val="21"/>
          <w:highlight w:val="none"/>
        </w:rPr>
        <w:t>，所投产品具有注册凭证或备案凭证</w:t>
      </w:r>
      <w:r>
        <w:rPr>
          <w:rFonts w:hint="eastAsia" w:ascii="宋体" w:hAnsi="宋体" w:cs="宋体"/>
          <w:color w:val="auto"/>
          <w:highlight w:val="none"/>
        </w:rPr>
        <w:t>。</w:t>
      </w:r>
    </w:p>
    <w:p w14:paraId="3C10B5FA">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81" w:name="_Toc21769"/>
      <w:bookmarkStart w:id="82" w:name="_Toc2826"/>
      <w:bookmarkStart w:id="83" w:name="_Toc25658"/>
      <w:r>
        <w:rPr>
          <w:rFonts w:hint="eastAsia" w:ascii="宋体" w:hAnsi="宋体" w:cs="宋体"/>
          <w:b/>
          <w:color w:val="auto"/>
          <w:szCs w:val="21"/>
          <w:highlight w:val="none"/>
        </w:rPr>
        <w:t>6. 投标费用</w:t>
      </w:r>
      <w:bookmarkEnd w:id="80"/>
      <w:bookmarkEnd w:id="81"/>
      <w:bookmarkEnd w:id="82"/>
      <w:bookmarkEnd w:id="83"/>
    </w:p>
    <w:p w14:paraId="55B9C2E7">
      <w:pPr>
        <w:keepNext w:val="0"/>
        <w:keepLines w:val="0"/>
        <w:pageBreakBefore w:val="0"/>
        <w:kinsoku/>
        <w:wordWrap/>
        <w:overflowPunct/>
        <w:topLinePunct w:val="0"/>
        <w:bidi w:val="0"/>
        <w:spacing w:line="440" w:lineRule="exact"/>
        <w:ind w:firstLine="435"/>
        <w:rPr>
          <w:rFonts w:ascii="宋体" w:hAnsi="宋体" w:cs="宋体"/>
          <w:b/>
          <w:color w:val="auto"/>
          <w:szCs w:val="21"/>
          <w:highlight w:val="none"/>
        </w:rPr>
      </w:pPr>
      <w:r>
        <w:rPr>
          <w:rFonts w:hint="eastAsia" w:ascii="宋体" w:hAnsi="宋体" w:cs="宋体"/>
          <w:color w:val="auto"/>
          <w:szCs w:val="21"/>
          <w:highlight w:val="none"/>
        </w:rPr>
        <w:t>不论投标结果如何，投标人均应自行承担所有与投标有关的全部费用。</w:t>
      </w:r>
    </w:p>
    <w:p w14:paraId="237802A5">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84" w:name="_Toc3583"/>
      <w:bookmarkStart w:id="85" w:name="_Toc20471"/>
      <w:bookmarkStart w:id="86" w:name="_Toc6563"/>
      <w:bookmarkStart w:id="87" w:name="_Toc22702"/>
      <w:r>
        <w:rPr>
          <w:rFonts w:hint="eastAsia" w:ascii="宋体" w:hAnsi="宋体" w:cs="宋体"/>
          <w:b/>
          <w:color w:val="auto"/>
          <w:szCs w:val="21"/>
          <w:highlight w:val="none"/>
        </w:rPr>
        <w:t>7. 联合体投标要求</w:t>
      </w:r>
      <w:bookmarkEnd w:id="84"/>
      <w:bookmarkEnd w:id="85"/>
      <w:bookmarkEnd w:id="86"/>
      <w:bookmarkEnd w:id="87"/>
    </w:p>
    <w:p w14:paraId="318C5125">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本项目不接受联合体投标。</w:t>
      </w:r>
    </w:p>
    <w:p w14:paraId="20C31735">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88" w:name="_Toc6046"/>
      <w:bookmarkStart w:id="89" w:name="_Toc27336"/>
      <w:bookmarkStart w:id="90" w:name="_Toc7639"/>
      <w:bookmarkStart w:id="91" w:name="_Toc5893"/>
      <w:r>
        <w:rPr>
          <w:rFonts w:hint="eastAsia" w:ascii="宋体" w:hAnsi="宋体" w:cs="宋体"/>
          <w:b/>
          <w:color w:val="auto"/>
          <w:szCs w:val="21"/>
          <w:highlight w:val="none"/>
        </w:rPr>
        <w:t>8. 转包与分包</w:t>
      </w:r>
      <w:bookmarkEnd w:id="88"/>
      <w:bookmarkEnd w:id="89"/>
      <w:bookmarkEnd w:id="90"/>
      <w:bookmarkEnd w:id="91"/>
    </w:p>
    <w:p w14:paraId="6B9DB9F1">
      <w:pPr>
        <w:keepNext w:val="0"/>
        <w:keepLines w:val="0"/>
        <w:pageBreakBefore w:val="0"/>
        <w:tabs>
          <w:tab w:val="left" w:pos="163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8.1本项目不允许转包。</w:t>
      </w:r>
    </w:p>
    <w:p w14:paraId="6984789F">
      <w:pPr>
        <w:keepNext w:val="0"/>
        <w:keepLines w:val="0"/>
        <w:pageBreakBefore w:val="0"/>
        <w:tabs>
          <w:tab w:val="left" w:pos="1635"/>
        </w:tabs>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8.2本项目不可以分包。</w:t>
      </w:r>
    </w:p>
    <w:p w14:paraId="276A6886">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92" w:name="_Toc13781"/>
      <w:bookmarkStart w:id="93" w:name="_Toc27391"/>
      <w:bookmarkStart w:id="94" w:name="_Toc25644"/>
      <w:bookmarkStart w:id="95" w:name="_Toc1504"/>
      <w:r>
        <w:rPr>
          <w:rFonts w:hint="eastAsia" w:ascii="宋体" w:hAnsi="宋体" w:cs="宋体"/>
          <w:b/>
          <w:color w:val="auto"/>
          <w:szCs w:val="21"/>
          <w:highlight w:val="none"/>
        </w:rPr>
        <w:t>9. 特别说明</w:t>
      </w:r>
      <w:bookmarkEnd w:id="92"/>
      <w:bookmarkEnd w:id="93"/>
      <w:bookmarkEnd w:id="94"/>
      <w:bookmarkEnd w:id="95"/>
    </w:p>
    <w:p w14:paraId="2B7A0510">
      <w:pPr>
        <w:keepNext w:val="0"/>
        <w:keepLines w:val="0"/>
        <w:pageBreakBefore w:val="0"/>
        <w:tabs>
          <w:tab w:val="left" w:pos="163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提供相同品牌产品且通过资格审查、符合性审查的不同投标人参加同一合同项下投标的，按一家投标人计算，评审后得分最高的同品牌投标人获得中标供应商推荐资格；评审得分相同的，评标价最低的同品牌投标人获得中标供应商推荐资格；评标价也相同的，由评标委员会以抽签方式确定中标候选供应商。其他同品牌投标人不作为中标候选供应商。</w:t>
      </w:r>
    </w:p>
    <w:p w14:paraId="6302DF2D">
      <w:pPr>
        <w:keepNext w:val="0"/>
        <w:keepLines w:val="0"/>
        <w:pageBreakBefore w:val="0"/>
        <w:tabs>
          <w:tab w:val="left" w:pos="1635"/>
        </w:tabs>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多家投标人提供的核心产品品牌相同的，按前款规定处理。</w:t>
      </w:r>
    </w:p>
    <w:p w14:paraId="5DBB4A41">
      <w:pPr>
        <w:keepNext w:val="0"/>
        <w:keepLines w:val="0"/>
        <w:pageBreakBefore w:val="0"/>
        <w:tabs>
          <w:tab w:val="left" w:pos="1635"/>
        </w:tabs>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9.2关联供应商不得参加同一合同项下政府采购活动，否则投标文件将被视为无效：</w:t>
      </w:r>
    </w:p>
    <w:p w14:paraId="10C01C10">
      <w:pPr>
        <w:keepNext w:val="0"/>
        <w:keepLines w:val="0"/>
        <w:pageBreakBefore w:val="0"/>
        <w:tabs>
          <w:tab w:val="left" w:pos="163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w:t>
      </w:r>
    </w:p>
    <w:p w14:paraId="228B3F06">
      <w:pPr>
        <w:keepNext w:val="0"/>
        <w:keepLines w:val="0"/>
        <w:pageBreakBefore w:val="0"/>
        <w:tabs>
          <w:tab w:val="left" w:pos="1635"/>
        </w:tabs>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14:paraId="1BE438BE">
      <w:pPr>
        <w:keepNext w:val="0"/>
        <w:keepLines w:val="0"/>
        <w:pageBreakBefore w:val="0"/>
        <w:tabs>
          <w:tab w:val="left" w:pos="1635"/>
        </w:tabs>
        <w:kinsoku/>
        <w:wordWrap/>
        <w:overflowPunct/>
        <w:topLinePunct w:val="0"/>
        <w:bidi w:val="0"/>
        <w:spacing w:line="440" w:lineRule="exact"/>
        <w:ind w:firstLine="435"/>
        <w:rPr>
          <w:rFonts w:ascii="宋体" w:hAnsi="宋体" w:cs="宋体"/>
          <w:color w:val="auto"/>
          <w:szCs w:val="21"/>
          <w:highlight w:val="none"/>
        </w:rPr>
      </w:pPr>
      <w:r>
        <w:rPr>
          <w:rFonts w:hint="eastAsia" w:ascii="宋体" w:hAnsi="宋体" w:cs="宋体"/>
          <w:color w:val="auto"/>
          <w:szCs w:val="21"/>
          <w:highlight w:val="none"/>
        </w:rPr>
        <w:t>9.3投标人应仔细阅读招标文件的所有内容，按照招标文件的要求提交投标文件，并对所提供的全部资料的真实性承担法律责任。</w:t>
      </w:r>
    </w:p>
    <w:p w14:paraId="3981B84B">
      <w:pPr>
        <w:keepNext w:val="0"/>
        <w:keepLines w:val="0"/>
        <w:pageBreakBefore w:val="0"/>
        <w:tabs>
          <w:tab w:val="left" w:pos="1635"/>
        </w:tabs>
        <w:kinsoku/>
        <w:wordWrap/>
        <w:overflowPunct/>
        <w:topLinePunct w:val="0"/>
        <w:bidi w:val="0"/>
        <w:spacing w:line="440" w:lineRule="exact"/>
        <w:ind w:firstLine="435"/>
        <w:rPr>
          <w:rFonts w:ascii="宋体" w:hAnsi="宋体" w:cs="宋体"/>
          <w:b/>
          <w:color w:val="auto"/>
          <w:szCs w:val="21"/>
          <w:highlight w:val="none"/>
        </w:rPr>
      </w:pPr>
      <w:r>
        <w:rPr>
          <w:rFonts w:hint="eastAsia" w:ascii="宋体" w:hAnsi="宋体" w:cs="宋体"/>
          <w:color w:val="auto"/>
          <w:szCs w:val="21"/>
          <w:highlight w:val="none"/>
        </w:rPr>
        <w:t>9.4投标人在投标活动中提供任何虚假材料，其投标无效，并报监管部门查处；中标后发现的，中标供应商须依照《中华人民共和国消费者权益保护法》赔偿采购人，且民事赔偿并不免除违法投标人的行政与刑事责任。</w:t>
      </w:r>
    </w:p>
    <w:p w14:paraId="0720205B">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96" w:name="_Toc8760"/>
      <w:bookmarkStart w:id="97" w:name="_Toc16798"/>
      <w:bookmarkStart w:id="98" w:name="_Toc6489"/>
      <w:bookmarkStart w:id="99" w:name="_Toc11946"/>
      <w:r>
        <w:rPr>
          <w:rFonts w:hint="eastAsia" w:ascii="宋体" w:hAnsi="宋体" w:cs="宋体"/>
          <w:b/>
          <w:color w:val="auto"/>
          <w:szCs w:val="21"/>
          <w:highlight w:val="none"/>
        </w:rPr>
        <w:t>10. 质疑和投诉</w:t>
      </w:r>
      <w:bookmarkEnd w:id="96"/>
      <w:bookmarkEnd w:id="97"/>
      <w:bookmarkEnd w:id="98"/>
      <w:bookmarkEnd w:id="99"/>
    </w:p>
    <w:p w14:paraId="74600C15">
      <w:pPr>
        <w:keepNext w:val="0"/>
        <w:keepLines w:val="0"/>
        <w:pageBreakBefore w:val="0"/>
        <w:tabs>
          <w:tab w:val="left" w:pos="1635"/>
        </w:tabs>
        <w:kinsoku/>
        <w:wordWrap/>
        <w:overflowPunct/>
        <w:topLinePunct w:val="0"/>
        <w:bidi w:val="0"/>
        <w:spacing w:line="440" w:lineRule="exact"/>
        <w:ind w:firstLine="435"/>
        <w:rPr>
          <w:rFonts w:ascii="宋体" w:hAnsi="宋体" w:cs="宋体"/>
          <w:color w:val="auto"/>
          <w:szCs w:val="21"/>
          <w:highlight w:val="none"/>
        </w:rPr>
      </w:pPr>
      <w:bookmarkStart w:id="100" w:name="_Toc8195"/>
      <w:bookmarkStart w:id="101" w:name="_Toc26087"/>
      <w:r>
        <w:rPr>
          <w:rFonts w:hint="eastAsia" w:ascii="宋体" w:hAnsi="宋体" w:cs="宋体"/>
          <w:color w:val="auto"/>
          <w:szCs w:val="21"/>
          <w:highlight w:val="none"/>
        </w:rPr>
        <w:t>10.1投标人认为招标文件使自己的合法权益受到损害的，应当在本项目招标公告期限届满之日起七个工作日内以书面形式向广西奥金斯项目管理有限公司提出质疑。投标人认为招标过程或中标结果使自己的合法权益受到损害的，应当在采购程序环节结束之日或中标公告期限届满之日起七个工作日内，以书面形式向广西奥金斯项目管理有限公司提出质疑。广西奥金斯项目管理有限公司应认真做好质疑处理工作。</w:t>
      </w:r>
      <w:bookmarkEnd w:id="100"/>
      <w:bookmarkEnd w:id="101"/>
    </w:p>
    <w:p w14:paraId="3B28A18B">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接收质疑函方式：以书面形式（原件）提交</w:t>
      </w:r>
    </w:p>
    <w:p w14:paraId="40D5E7F6">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质疑联系人：广西奥金斯项目管理有限公司，联系电话：</w:t>
      </w:r>
      <w:r>
        <w:rPr>
          <w:rFonts w:ascii="宋体" w:hAnsi="宋体" w:cs="宋体"/>
          <w:color w:val="auto"/>
          <w:szCs w:val="20"/>
          <w:highlight w:val="none"/>
        </w:rPr>
        <w:t>0773-2690777</w:t>
      </w:r>
    </w:p>
    <w:p w14:paraId="2E39FEE7">
      <w:pPr>
        <w:keepNext w:val="0"/>
        <w:keepLines w:val="0"/>
        <w:pageBreakBefore w:val="0"/>
        <w:tabs>
          <w:tab w:val="left" w:pos="2190"/>
        </w:tabs>
        <w:kinsoku/>
        <w:wordWrap/>
        <w:overflowPunct/>
        <w:topLinePunct w:val="0"/>
        <w:bidi w:val="0"/>
        <w:spacing w:line="440" w:lineRule="exact"/>
        <w:ind w:firstLine="435"/>
        <w:rPr>
          <w:rFonts w:ascii="宋体" w:hAnsi="宋体" w:cs="宋体"/>
          <w:color w:val="auto"/>
          <w:highlight w:val="none"/>
        </w:rPr>
      </w:pPr>
      <w:r>
        <w:rPr>
          <w:rFonts w:hint="eastAsia" w:ascii="宋体" w:hAnsi="宋体" w:cs="宋体"/>
          <w:color w:val="auto"/>
          <w:szCs w:val="20"/>
          <w:highlight w:val="none"/>
        </w:rPr>
        <w:t>通讯地址：</w:t>
      </w:r>
      <w:r>
        <w:rPr>
          <w:rFonts w:hint="eastAsia" w:ascii="宋体" w:hAnsi="宋体" w:cs="宋体"/>
          <w:color w:val="auto"/>
          <w:highlight w:val="none"/>
        </w:rPr>
        <w:t>桂林市秀峰区翠竹路23号50-2号</w:t>
      </w:r>
    </w:p>
    <w:p w14:paraId="67C0BCAC">
      <w:pPr>
        <w:keepNext w:val="0"/>
        <w:keepLines w:val="0"/>
        <w:pageBreakBefore w:val="0"/>
        <w:tabs>
          <w:tab w:val="left" w:pos="1635"/>
        </w:tabs>
        <w:kinsoku/>
        <w:wordWrap/>
        <w:overflowPunct/>
        <w:topLinePunct w:val="0"/>
        <w:bidi w:val="0"/>
        <w:spacing w:line="440" w:lineRule="exact"/>
        <w:ind w:firstLine="435"/>
        <w:rPr>
          <w:rFonts w:ascii="宋体" w:hAnsi="宋体" w:cs="宋体"/>
          <w:color w:val="auto"/>
          <w:szCs w:val="21"/>
          <w:highlight w:val="none"/>
        </w:rPr>
      </w:pPr>
      <w:bookmarkStart w:id="102" w:name="_Toc5874"/>
      <w:bookmarkStart w:id="103" w:name="_Toc17981"/>
      <w:r>
        <w:rPr>
          <w:rFonts w:hint="eastAsia" w:ascii="宋体" w:hAnsi="宋体" w:cs="宋体"/>
          <w:color w:val="auto"/>
          <w:szCs w:val="21"/>
          <w:highlight w:val="none"/>
        </w:rPr>
        <w:t>10.2投标人对采购代理机构的答复不满意或者采购代理机构未在规定的时间内作出答复的，可以在答复期满后十五个工作日内向</w:t>
      </w:r>
      <w:r>
        <w:rPr>
          <w:rFonts w:hint="eastAsia" w:ascii="宋体" w:hAnsi="宋体" w:cs="宋体"/>
          <w:color w:val="auto"/>
          <w:szCs w:val="21"/>
          <w:highlight w:val="none"/>
          <w:lang w:val="en-US" w:eastAsia="zh-CN"/>
        </w:rPr>
        <w:t>本级</w:t>
      </w:r>
      <w:r>
        <w:rPr>
          <w:rFonts w:hint="eastAsia" w:ascii="宋体" w:hAnsi="宋体" w:cs="宋体"/>
          <w:color w:val="auto"/>
          <w:szCs w:val="21"/>
          <w:highlight w:val="none"/>
        </w:rPr>
        <w:t>财政部门投诉。</w:t>
      </w:r>
      <w:bookmarkEnd w:id="102"/>
      <w:bookmarkEnd w:id="103"/>
    </w:p>
    <w:p w14:paraId="38D5E3C9">
      <w:pPr>
        <w:keepNext w:val="0"/>
        <w:keepLines w:val="0"/>
        <w:pageBreakBefore w:val="0"/>
        <w:tabs>
          <w:tab w:val="left" w:pos="1635"/>
        </w:tabs>
        <w:kinsoku/>
        <w:wordWrap/>
        <w:overflowPunct/>
        <w:topLinePunct w:val="0"/>
        <w:bidi w:val="0"/>
        <w:spacing w:line="440" w:lineRule="exact"/>
        <w:ind w:firstLine="435"/>
        <w:rPr>
          <w:rFonts w:ascii="宋体" w:hAnsi="宋体" w:cs="宋体"/>
          <w:color w:val="auto"/>
          <w:szCs w:val="21"/>
          <w:highlight w:val="none"/>
        </w:rPr>
      </w:pPr>
      <w:bookmarkStart w:id="104" w:name="_Toc613"/>
      <w:bookmarkStart w:id="105" w:name="_Toc23108"/>
      <w:r>
        <w:rPr>
          <w:rFonts w:hint="eastAsia" w:ascii="宋体" w:hAnsi="宋体" w:cs="宋体"/>
          <w:color w:val="auto"/>
          <w:szCs w:val="21"/>
          <w:highlight w:val="none"/>
        </w:rPr>
        <w:t>10.3质疑、投诉应当采用书面形式，质疑书、投诉书实行实名制，均应明确阐述招标文件、招标过程或中标结果中使自己合法权益受到损害的实质性内容，并提供必要的证明材料。</w:t>
      </w:r>
      <w:bookmarkEnd w:id="104"/>
      <w:bookmarkEnd w:id="105"/>
    </w:p>
    <w:p w14:paraId="3608355A">
      <w:pPr>
        <w:keepNext w:val="0"/>
        <w:keepLines w:val="0"/>
        <w:pageBreakBefore w:val="0"/>
        <w:tabs>
          <w:tab w:val="left" w:pos="2190"/>
        </w:tabs>
        <w:kinsoku/>
        <w:wordWrap/>
        <w:overflowPunct/>
        <w:topLinePunct w:val="0"/>
        <w:bidi w:val="0"/>
        <w:spacing w:line="440" w:lineRule="exact"/>
        <w:ind w:firstLine="435"/>
        <w:rPr>
          <w:rFonts w:ascii="宋体" w:hAnsi="宋体" w:cs="宋体"/>
          <w:b/>
          <w:color w:val="auto"/>
          <w:sz w:val="28"/>
          <w:szCs w:val="28"/>
          <w:highlight w:val="none"/>
        </w:rPr>
      </w:pPr>
    </w:p>
    <w:p w14:paraId="415267D2">
      <w:pPr>
        <w:keepNext w:val="0"/>
        <w:keepLines w:val="0"/>
        <w:pageBreakBefore w:val="0"/>
        <w:kinsoku/>
        <w:wordWrap/>
        <w:overflowPunct/>
        <w:topLinePunct w:val="0"/>
        <w:bidi w:val="0"/>
        <w:spacing w:line="440" w:lineRule="exact"/>
        <w:jc w:val="center"/>
        <w:outlineLvl w:val="1"/>
        <w:rPr>
          <w:rFonts w:ascii="宋体" w:hAnsi="宋体" w:cs="宋体"/>
          <w:b/>
          <w:color w:val="auto"/>
          <w:sz w:val="28"/>
          <w:szCs w:val="28"/>
          <w:highlight w:val="none"/>
        </w:rPr>
      </w:pPr>
      <w:bookmarkStart w:id="106" w:name="_Toc495841755"/>
      <w:bookmarkStart w:id="107" w:name="_Toc11938"/>
      <w:bookmarkStart w:id="108" w:name="_Toc26849"/>
      <w:bookmarkStart w:id="109" w:name="_Toc24908"/>
      <w:bookmarkStart w:id="110" w:name="_Toc24358"/>
      <w:r>
        <w:rPr>
          <w:rFonts w:hint="eastAsia" w:ascii="宋体" w:hAnsi="宋体" w:cs="宋体"/>
          <w:b/>
          <w:color w:val="auto"/>
          <w:sz w:val="28"/>
          <w:szCs w:val="28"/>
          <w:highlight w:val="none"/>
        </w:rPr>
        <w:t>二、招标文件</w:t>
      </w:r>
      <w:bookmarkEnd w:id="106"/>
      <w:bookmarkEnd w:id="107"/>
      <w:bookmarkEnd w:id="108"/>
      <w:bookmarkEnd w:id="109"/>
      <w:bookmarkEnd w:id="110"/>
    </w:p>
    <w:p w14:paraId="4323B2BD">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11" w:name="_Toc1558"/>
      <w:bookmarkStart w:id="112" w:name="_Toc1161"/>
      <w:bookmarkStart w:id="113" w:name="_Toc3397"/>
      <w:bookmarkStart w:id="114" w:name="_Toc17941"/>
      <w:r>
        <w:rPr>
          <w:rFonts w:hint="eastAsia" w:ascii="宋体" w:hAnsi="宋体" w:cs="宋体"/>
          <w:b/>
          <w:color w:val="auto"/>
          <w:szCs w:val="21"/>
          <w:highlight w:val="none"/>
        </w:rPr>
        <w:t>11. 招标文件的构成</w:t>
      </w:r>
      <w:bookmarkEnd w:id="111"/>
      <w:bookmarkEnd w:id="112"/>
      <w:bookmarkEnd w:id="113"/>
      <w:bookmarkEnd w:id="114"/>
    </w:p>
    <w:p w14:paraId="22A560E5">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（1）招标公告；</w:t>
      </w:r>
    </w:p>
    <w:p w14:paraId="6D0A4100">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（2）投标人须知；</w:t>
      </w:r>
    </w:p>
    <w:p w14:paraId="2637F767">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（3）货物采购需求；</w:t>
      </w:r>
    </w:p>
    <w:p w14:paraId="37FC652E">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（4）评标办法；</w:t>
      </w:r>
    </w:p>
    <w:p w14:paraId="08F6EFF8">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（5）采购合同（合同主要条款及格式）；</w:t>
      </w:r>
    </w:p>
    <w:p w14:paraId="32BCE453">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（6）投标文件（格式）。</w:t>
      </w:r>
    </w:p>
    <w:p w14:paraId="08D7018C">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15" w:name="_Toc22681"/>
      <w:bookmarkStart w:id="116" w:name="_Toc6277"/>
      <w:bookmarkStart w:id="117" w:name="_Toc230"/>
      <w:bookmarkStart w:id="118" w:name="_Toc24191"/>
      <w:r>
        <w:rPr>
          <w:rFonts w:hint="eastAsia" w:ascii="宋体" w:hAnsi="宋体" w:cs="宋体"/>
          <w:b/>
          <w:color w:val="auto"/>
          <w:szCs w:val="21"/>
          <w:highlight w:val="none"/>
        </w:rPr>
        <w:t>12. 招标文件的澄清与修改</w:t>
      </w:r>
      <w:bookmarkEnd w:id="115"/>
      <w:bookmarkEnd w:id="116"/>
      <w:bookmarkEnd w:id="117"/>
      <w:bookmarkEnd w:id="118"/>
    </w:p>
    <w:p w14:paraId="42A11A31">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12.1投标人应认真阅读招标文件，发现其中有误或有不合理要求的，投标人必须在招标公告期限届满之日起七个工作日内以书面形式要求采购代理机构澄清。</w:t>
      </w:r>
    </w:p>
    <w:p w14:paraId="033ACAD4">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17E9FDE5">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12.3</w:t>
      </w:r>
      <w:r>
        <w:rPr>
          <w:rFonts w:hint="eastAsia" w:ascii="宋体" w:hAnsi="宋体" w:cs="宋体"/>
          <w:b/>
          <w:color w:val="auto"/>
          <w:szCs w:val="21"/>
          <w:highlight w:val="none"/>
        </w:rPr>
        <w:t>投标人下载招标文件后应实时关注相关网站了解澄清、修改等与项目有关的内容，如因投标人未及时登录相关网站了解澄清、修改等与项目有关的内容，从而导致投标无效的，由投标人自行承担责任。</w:t>
      </w:r>
    </w:p>
    <w:p w14:paraId="5473A2CA">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12.4必要的澄清、修改的内容为招标文件的组成部分。当澄清、修改通知就同一内容的表述不一致时，以最后发出的书面文件为准。</w:t>
      </w:r>
    </w:p>
    <w:p w14:paraId="22A062FB">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12.5招标文件的澄清、修改都应该通过采购代理机构以法定形式发布，采购人非通过本机构，不得擅自澄清、修改招标文件。</w:t>
      </w:r>
    </w:p>
    <w:p w14:paraId="0101E6FA">
      <w:pPr>
        <w:keepNext w:val="0"/>
        <w:keepLines w:val="0"/>
        <w:pageBreakBefore w:val="0"/>
        <w:tabs>
          <w:tab w:val="left" w:pos="2190"/>
        </w:tabs>
        <w:kinsoku/>
        <w:wordWrap/>
        <w:overflowPunct/>
        <w:topLinePunct w:val="0"/>
        <w:bidi w:val="0"/>
        <w:spacing w:line="440" w:lineRule="exact"/>
        <w:ind w:firstLine="435"/>
        <w:rPr>
          <w:rFonts w:ascii="宋体" w:hAnsi="宋体" w:cs="宋体"/>
          <w:color w:val="auto"/>
          <w:szCs w:val="21"/>
          <w:highlight w:val="none"/>
        </w:rPr>
      </w:pPr>
    </w:p>
    <w:p w14:paraId="0C89CF05">
      <w:pPr>
        <w:keepNext w:val="0"/>
        <w:keepLines w:val="0"/>
        <w:pageBreakBefore w:val="0"/>
        <w:kinsoku/>
        <w:wordWrap/>
        <w:overflowPunct/>
        <w:topLinePunct w:val="0"/>
        <w:bidi w:val="0"/>
        <w:spacing w:line="440" w:lineRule="exact"/>
        <w:jc w:val="center"/>
        <w:outlineLvl w:val="1"/>
        <w:rPr>
          <w:rFonts w:ascii="宋体" w:hAnsi="宋体" w:cs="宋体"/>
          <w:b/>
          <w:color w:val="auto"/>
          <w:sz w:val="28"/>
          <w:szCs w:val="28"/>
          <w:highlight w:val="none"/>
        </w:rPr>
      </w:pPr>
      <w:bookmarkStart w:id="119" w:name="_Toc17939"/>
      <w:bookmarkStart w:id="120" w:name="_Toc7631"/>
      <w:bookmarkStart w:id="121" w:name="_Toc31136"/>
      <w:bookmarkStart w:id="122" w:name="_Toc14040"/>
      <w:bookmarkStart w:id="123" w:name="_Toc495841756"/>
      <w:r>
        <w:rPr>
          <w:rFonts w:hint="eastAsia" w:ascii="宋体" w:hAnsi="宋体" w:cs="宋体"/>
          <w:b/>
          <w:color w:val="auto"/>
          <w:sz w:val="28"/>
          <w:szCs w:val="28"/>
          <w:highlight w:val="none"/>
        </w:rPr>
        <w:t>三、投标文件的编制</w:t>
      </w:r>
      <w:bookmarkEnd w:id="119"/>
      <w:bookmarkEnd w:id="120"/>
      <w:bookmarkEnd w:id="121"/>
      <w:bookmarkEnd w:id="122"/>
      <w:bookmarkEnd w:id="123"/>
    </w:p>
    <w:p w14:paraId="6782C8C0">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24" w:name="_Toc15443"/>
      <w:bookmarkStart w:id="125" w:name="_Toc9027"/>
      <w:bookmarkStart w:id="126" w:name="_Toc15376"/>
      <w:bookmarkStart w:id="127" w:name="_Toc24340"/>
      <w:r>
        <w:rPr>
          <w:rFonts w:hint="eastAsia" w:ascii="宋体" w:hAnsi="宋体" w:cs="宋体"/>
          <w:b/>
          <w:color w:val="auto"/>
          <w:szCs w:val="21"/>
          <w:highlight w:val="none"/>
        </w:rPr>
        <w:t>13. 投标文件的组成及要求</w:t>
      </w:r>
      <w:bookmarkEnd w:id="124"/>
      <w:bookmarkEnd w:id="125"/>
      <w:bookmarkEnd w:id="126"/>
      <w:bookmarkEnd w:id="127"/>
    </w:p>
    <w:p w14:paraId="1CB11CEA">
      <w:pPr>
        <w:keepNext w:val="0"/>
        <w:keepLines w:val="0"/>
        <w:pageBreakBefore w:val="0"/>
        <w:kinsoku/>
        <w:wordWrap/>
        <w:overflowPunct/>
        <w:topLinePunct w:val="0"/>
        <w:bidi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w:t>
      </w:r>
      <w:r>
        <w:rPr>
          <w:rFonts w:ascii="宋体" w:hAnsi="宋体" w:cs="宋体"/>
          <w:b/>
          <w:bCs/>
          <w:color w:val="auto"/>
          <w:szCs w:val="21"/>
          <w:highlight w:val="none"/>
        </w:rPr>
        <w:t>.1 本项目实行电子投标，供应商应准备电子</w:t>
      </w:r>
      <w:r>
        <w:rPr>
          <w:rFonts w:hint="eastAsia" w:ascii="宋体" w:hAnsi="宋体" w:cs="宋体"/>
          <w:b/>
          <w:bCs/>
          <w:color w:val="auto"/>
          <w:szCs w:val="21"/>
          <w:highlight w:val="none"/>
        </w:rPr>
        <w:t>投标</w:t>
      </w:r>
      <w:r>
        <w:rPr>
          <w:rFonts w:ascii="宋体" w:hAnsi="宋体" w:cs="宋体"/>
          <w:b/>
          <w:bCs/>
          <w:color w:val="auto"/>
          <w:szCs w:val="21"/>
          <w:highlight w:val="none"/>
        </w:rPr>
        <w:t>文件</w:t>
      </w:r>
      <w:r>
        <w:rPr>
          <w:rFonts w:hint="eastAsia" w:ascii="宋体" w:hAnsi="宋体" w:cs="宋体"/>
          <w:b/>
          <w:bCs/>
          <w:color w:val="auto"/>
          <w:szCs w:val="21"/>
          <w:highlight w:val="none"/>
        </w:rPr>
        <w:t>：</w:t>
      </w:r>
    </w:p>
    <w:p w14:paraId="1657130B">
      <w:pPr>
        <w:keepNext w:val="0"/>
        <w:keepLines w:val="0"/>
        <w:pageBreakBefore w:val="0"/>
        <w:kinsoku/>
        <w:wordWrap/>
        <w:overflowPunct/>
        <w:topLinePunct w:val="0"/>
        <w:bidi w:val="0"/>
        <w:spacing w:line="440" w:lineRule="exact"/>
        <w:ind w:firstLine="422" w:firstLineChars="200"/>
        <w:rPr>
          <w:color w:val="auto"/>
          <w:highlight w:val="none"/>
        </w:rPr>
      </w:pPr>
      <w:r>
        <w:rPr>
          <w:rFonts w:hint="eastAsia" w:ascii="宋体" w:hAnsi="宋体" w:cs="宋体"/>
          <w:b/>
          <w:bCs/>
          <w:color w:val="auto"/>
          <w:szCs w:val="21"/>
          <w:highlight w:val="none"/>
        </w:rPr>
        <w:t>13</w:t>
      </w:r>
      <w:r>
        <w:rPr>
          <w:rFonts w:ascii="宋体" w:hAnsi="宋体" w:cs="宋体"/>
          <w:b/>
          <w:bCs/>
          <w:color w:val="auto"/>
          <w:szCs w:val="21"/>
          <w:highlight w:val="none"/>
        </w:rPr>
        <w:t>.1.1 电子</w:t>
      </w:r>
      <w:r>
        <w:rPr>
          <w:rFonts w:hint="eastAsia" w:ascii="宋体" w:hAnsi="宋体" w:cs="宋体"/>
          <w:b/>
          <w:bCs/>
          <w:color w:val="auto"/>
          <w:szCs w:val="21"/>
          <w:highlight w:val="none"/>
        </w:rPr>
        <w:t>投标</w:t>
      </w:r>
      <w:r>
        <w:rPr>
          <w:rFonts w:ascii="宋体" w:hAnsi="宋体" w:cs="宋体"/>
          <w:b/>
          <w:bCs/>
          <w:color w:val="auto"/>
          <w:szCs w:val="21"/>
          <w:highlight w:val="none"/>
        </w:rPr>
        <w:t>文件按</w:t>
      </w:r>
      <w:r>
        <w:rPr>
          <w:rFonts w:hint="eastAsia" w:ascii="宋体" w:hAnsi="宋体" w:cs="宋体"/>
          <w:b/>
          <w:bCs/>
          <w:color w:val="auto"/>
          <w:szCs w:val="21"/>
          <w:highlight w:val="none"/>
        </w:rPr>
        <w:t>广西政府采购云平台</w:t>
      </w:r>
      <w:r>
        <w:rPr>
          <w:rFonts w:ascii="宋体" w:hAnsi="宋体" w:cs="宋体"/>
          <w:b/>
          <w:bCs/>
          <w:color w:val="auto"/>
          <w:szCs w:val="21"/>
          <w:highlight w:val="none"/>
        </w:rPr>
        <w:t>要求及本</w:t>
      </w:r>
      <w:r>
        <w:rPr>
          <w:rFonts w:hint="eastAsia" w:ascii="宋体" w:hAnsi="宋体" w:cs="宋体"/>
          <w:b/>
          <w:bCs/>
          <w:color w:val="auto"/>
          <w:szCs w:val="21"/>
          <w:highlight w:val="none"/>
        </w:rPr>
        <w:t>招标</w:t>
      </w:r>
      <w:r>
        <w:rPr>
          <w:rFonts w:ascii="宋体" w:hAnsi="宋体" w:cs="宋体"/>
          <w:b/>
          <w:bCs/>
          <w:color w:val="auto"/>
          <w:szCs w:val="21"/>
          <w:highlight w:val="none"/>
        </w:rPr>
        <w:t>文件要求制作、加密并递交。具体操作流程可参考《政府采购项目电子交易管理操作指南-供应商》</w:t>
      </w:r>
      <w:r>
        <w:rPr>
          <w:rFonts w:hint="eastAsia" w:ascii="宋体" w:hAnsi="宋体" w:cs="宋体"/>
          <w:b/>
          <w:bCs/>
          <w:color w:val="auto"/>
          <w:szCs w:val="21"/>
          <w:highlight w:val="none"/>
        </w:rPr>
        <w:t>，</w:t>
      </w:r>
      <w:r>
        <w:rPr>
          <w:rFonts w:ascii="宋体" w:hAnsi="宋体" w:cs="宋体"/>
          <w:b/>
          <w:bCs/>
          <w:color w:val="auto"/>
          <w:szCs w:val="21"/>
          <w:highlight w:val="none"/>
        </w:rPr>
        <w:t xml:space="preserve">指南可在 “http://www.ccgp-guangxi.gov.cn/PurchaseAdvisory/ImportantNotice/2866753.html”下载。 </w:t>
      </w:r>
    </w:p>
    <w:p w14:paraId="425F2C28">
      <w:pPr>
        <w:keepNext w:val="0"/>
        <w:keepLines w:val="0"/>
        <w:pageBreakBefore w:val="0"/>
        <w:tabs>
          <w:tab w:val="left" w:pos="2190"/>
        </w:tabs>
        <w:kinsoku/>
        <w:wordWrap/>
        <w:overflowPunct/>
        <w:topLinePunct w:val="0"/>
        <w:bidi w:val="0"/>
        <w:spacing w:line="440" w:lineRule="exact"/>
        <w:ind w:firstLine="435"/>
        <w:rPr>
          <w:rFonts w:ascii="宋体" w:hAnsi="宋体" w:cs="宋体"/>
          <w:b/>
          <w:color w:val="auto"/>
          <w:szCs w:val="21"/>
          <w:highlight w:val="none"/>
        </w:rPr>
      </w:pPr>
      <w:r>
        <w:rPr>
          <w:rFonts w:hint="eastAsia" w:ascii="宋体" w:hAnsi="宋体" w:cs="宋体"/>
          <w:b/>
          <w:bCs/>
          <w:color w:val="auto"/>
          <w:szCs w:val="21"/>
          <w:highlight w:val="none"/>
        </w:rPr>
        <w:t>13.2</w:t>
      </w:r>
      <w:r>
        <w:rPr>
          <w:rFonts w:hint="eastAsia" w:ascii="宋体" w:hAnsi="宋体" w:cs="宋体"/>
          <w:b/>
          <w:color w:val="auto"/>
          <w:szCs w:val="21"/>
          <w:highlight w:val="none"/>
        </w:rPr>
        <w:t>投标文件组成【格式见第六章“投标文件（格式）”】</w:t>
      </w:r>
    </w:p>
    <w:p w14:paraId="287308F8">
      <w:pPr>
        <w:keepNext w:val="0"/>
        <w:keepLines w:val="0"/>
        <w:pageBreakBefore w:val="0"/>
        <w:kinsoku/>
        <w:wordWrap/>
        <w:overflowPunct/>
        <w:topLinePunct w:val="0"/>
        <w:bidi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13.2.1资格性响应证明材料：</w:t>
      </w:r>
    </w:p>
    <w:p w14:paraId="02AFFFEF">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（1）投标人相应的法定代表人或负责人或自然人身份证正反面复印件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46420C62">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（2）投标人</w:t>
      </w:r>
      <w:r>
        <w:rPr>
          <w:rFonts w:hint="eastAsia" w:ascii="宋体" w:hAnsi="宋体" w:cs="宋体"/>
          <w:color w:val="auto"/>
          <w:szCs w:val="21"/>
          <w:highlight w:val="none"/>
        </w:rPr>
        <w:t>的授权委托书原件、委托代理人身份证正反面复印件以及由县级以上（含县级）社会养老保险经办机构出具的供应商为委托代理人交纳的响应文件递交截止时间前半年内连续三个月社保证明复印件，除供应商为以下三种情形的</w:t>
      </w:r>
      <w:r>
        <w:rPr>
          <w:rFonts w:hint="eastAsia" w:ascii="宋体" w:hAnsi="宋体" w:cs="宋体"/>
          <w:color w:val="auto"/>
          <w:kern w:val="0"/>
          <w:szCs w:val="21"/>
          <w:highlight w:val="none"/>
        </w:rPr>
        <w:t>：</w:t>
      </w:r>
    </w:p>
    <w:p w14:paraId="53FF558C">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①如供应商为响应文件提交截止时间前60日以内成立的公司，可以提供供应商与委托代理人签订的劳动合同复印件代替社保证明复印件；②如供应商为事业单位，可以提供事业单位机构编制管理证复印件或事业单位机构为其发放工资的工资条复印件代替社保证明复印件；③如委托代理人为免缴纳社保人员，提供免缴纳社保的证明材料复印件及供应商与委托代理人签订的劳动合同复印件代替养老保险证明复印件。【属自然人的应提供由县级以上（含县级）社会养老保险经办机构出具的自然人本人及委托代理人所交纳的响应文件递交截止时间前半年内连续三个月社保证明复印件】</w:t>
      </w:r>
      <w:r>
        <w:rPr>
          <w:rFonts w:hint="eastAsia" w:ascii="宋体" w:hAnsi="宋体" w:cs="宋体"/>
          <w:b/>
          <w:bCs/>
          <w:color w:val="auto"/>
          <w:kern w:val="0"/>
          <w:szCs w:val="21"/>
          <w:highlight w:val="none"/>
        </w:rPr>
        <w:t>（委托代理时必须提供）</w:t>
      </w:r>
      <w:r>
        <w:rPr>
          <w:rFonts w:hint="eastAsia" w:ascii="宋体" w:hAnsi="宋体" w:cs="宋体"/>
          <w:b/>
          <w:bCs/>
          <w:color w:val="auto"/>
          <w:szCs w:val="21"/>
          <w:highlight w:val="none"/>
        </w:rPr>
        <w:t>；</w:t>
      </w:r>
    </w:p>
    <w:p w14:paraId="0BD672B4">
      <w:pPr>
        <w:keepNext w:val="0"/>
        <w:keepLines w:val="0"/>
        <w:pageBreakBefore w:val="0"/>
        <w:tabs>
          <w:tab w:val="left" w:pos="1305"/>
        </w:tabs>
        <w:kinsoku/>
        <w:wordWrap/>
        <w:overflowPunct/>
        <w:topLinePunct w:val="0"/>
        <w:bidi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（3）投标人的法人或者其他组织营业执照等证明文件复印件</w:t>
      </w:r>
      <w:r>
        <w:rPr>
          <w:rFonts w:hint="eastAsia" w:ascii="宋体" w:hAnsi="宋体"/>
          <w:b/>
          <w:color w:val="auto"/>
          <w:szCs w:val="21"/>
          <w:highlight w:val="none"/>
        </w:rPr>
        <w:t>（必须提供，自然人除外）</w:t>
      </w:r>
      <w:r>
        <w:rPr>
          <w:rFonts w:hint="eastAsia" w:ascii="宋体" w:hAnsi="宋体"/>
          <w:color w:val="auto"/>
          <w:szCs w:val="21"/>
          <w:highlight w:val="none"/>
        </w:rPr>
        <w:t>；</w:t>
      </w:r>
    </w:p>
    <w:p w14:paraId="6B0EF132">
      <w:pPr>
        <w:keepNext w:val="0"/>
        <w:keepLines w:val="0"/>
        <w:pageBreakBefore w:val="0"/>
        <w:tabs>
          <w:tab w:val="left" w:pos="1305"/>
        </w:tabs>
        <w:kinsoku/>
        <w:wordWrap/>
        <w:overflowPunct/>
        <w:topLinePunct w:val="0"/>
        <w:bidi w:val="0"/>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AB508F3">
      <w:pPr>
        <w:keepNext w:val="0"/>
        <w:keepLines w:val="0"/>
        <w:pageBreakBefore w:val="0"/>
        <w:tabs>
          <w:tab w:val="left" w:pos="1305"/>
        </w:tabs>
        <w:kinsoku/>
        <w:wordWrap/>
        <w:overflowPunct/>
        <w:topLinePunct w:val="0"/>
        <w:bidi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（4）投标人参加采购活动前3年内在经营活动中没有重大违法记录及有关信用信息的书面声明</w:t>
      </w:r>
      <w:r>
        <w:rPr>
          <w:rFonts w:hint="eastAsia" w:ascii="宋体" w:hAnsi="宋体"/>
          <w:b/>
          <w:color w:val="auto"/>
          <w:szCs w:val="21"/>
          <w:highlight w:val="none"/>
        </w:rPr>
        <w:t>（格式见附件，必须提供）</w:t>
      </w:r>
      <w:r>
        <w:rPr>
          <w:rFonts w:hint="eastAsia" w:ascii="宋体" w:hAnsi="宋体"/>
          <w:color w:val="auto"/>
          <w:szCs w:val="21"/>
          <w:highlight w:val="none"/>
        </w:rPr>
        <w:t>；</w:t>
      </w:r>
    </w:p>
    <w:p w14:paraId="08D1FEC5">
      <w:pPr>
        <w:keepNext w:val="0"/>
        <w:keepLines w:val="0"/>
        <w:pageBreakBefore w:val="0"/>
        <w:tabs>
          <w:tab w:val="left" w:pos="1305"/>
        </w:tabs>
        <w:kinsoku/>
        <w:wordWrap/>
        <w:overflowPunct/>
        <w:topLinePunct w:val="0"/>
        <w:bidi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s="宋体"/>
          <w:color w:val="auto"/>
          <w:highlight w:val="none"/>
        </w:rPr>
        <w:t>投标人有效的医疗器械经营备案凭证复印件或者医疗器械经营许可证复印件，且经营范围必须包含采购的医疗器械标的[符合《医疗器械监督管理条例》第四十一条第二款规定的除外]</w:t>
      </w:r>
      <w:r>
        <w:rPr>
          <w:rFonts w:hint="eastAsia" w:ascii="宋体" w:hAnsi="宋体" w:cs="宋体"/>
          <w:color w:val="auto"/>
          <w:highlight w:val="none"/>
        </w:rPr>
        <w:t>，</w:t>
      </w:r>
      <w:r>
        <w:rPr>
          <w:rFonts w:ascii="宋体" w:hAnsi="宋体" w:cs="宋体"/>
          <w:color w:val="auto"/>
          <w:highlight w:val="none"/>
        </w:rPr>
        <w:t>所投产品生产厂家具有医疗器械生产许可证复印件</w:t>
      </w:r>
      <w:r>
        <w:rPr>
          <w:rFonts w:hint="eastAsia" w:ascii="宋体" w:hAnsi="宋体" w:cs="宋体"/>
          <w:color w:val="auto"/>
          <w:highlight w:val="none"/>
        </w:rPr>
        <w:t>，所投产品具有注册凭证复印件或备案凭证复印件。</w:t>
      </w:r>
      <w:r>
        <w:rPr>
          <w:rFonts w:hint="eastAsia" w:ascii="宋体" w:hAnsi="宋体" w:cs="宋体"/>
          <w:b/>
          <w:bCs/>
          <w:color w:val="auto"/>
          <w:szCs w:val="21"/>
          <w:highlight w:val="none"/>
        </w:rPr>
        <w:t>（必须提供）</w:t>
      </w:r>
      <w:r>
        <w:rPr>
          <w:rFonts w:hint="eastAsia" w:ascii="宋体" w:hAnsi="宋体" w:cs="宋体"/>
          <w:color w:val="auto"/>
          <w:highlight w:val="none"/>
        </w:rPr>
        <w:t>。</w:t>
      </w:r>
    </w:p>
    <w:p w14:paraId="053ED421">
      <w:pPr>
        <w:keepNext w:val="0"/>
        <w:keepLines w:val="0"/>
        <w:pageBreakBefore w:val="0"/>
        <w:tabs>
          <w:tab w:val="left" w:pos="1305"/>
        </w:tabs>
        <w:kinsoku/>
        <w:wordWrap/>
        <w:overflowPunct/>
        <w:topLinePunct w:val="0"/>
        <w:bidi w:val="0"/>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13.2.2</w:t>
      </w:r>
      <w:r>
        <w:rPr>
          <w:rFonts w:hint="eastAsia" w:ascii="宋体" w:hAnsi="宋体" w:cs="宋体"/>
          <w:b/>
          <w:color w:val="auto"/>
          <w:szCs w:val="21"/>
          <w:highlight w:val="none"/>
        </w:rPr>
        <w:t>商务、技术性响应及其他证明材料：</w:t>
      </w:r>
    </w:p>
    <w:p w14:paraId="6DEC3422">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（1）投标报价表</w:t>
      </w:r>
      <w:r>
        <w:rPr>
          <w:rFonts w:hint="eastAsia" w:ascii="宋体" w:hAnsi="宋体" w:cs="宋体"/>
          <w:b/>
          <w:bCs/>
          <w:color w:val="auto"/>
          <w:szCs w:val="21"/>
          <w:highlight w:val="none"/>
        </w:rPr>
        <w:t>（必须提供）</w:t>
      </w:r>
      <w:r>
        <w:rPr>
          <w:rFonts w:hint="eastAsia"/>
          <w:b/>
          <w:bCs/>
          <w:color w:val="auto"/>
          <w:highlight w:val="none"/>
        </w:rPr>
        <w:t>；</w:t>
      </w:r>
    </w:p>
    <w:p w14:paraId="76D5870F">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（2）技术规格偏离表</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34DA219F">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（3）商务响应表</w:t>
      </w:r>
      <w:r>
        <w:rPr>
          <w:rFonts w:hint="eastAsia" w:ascii="宋体" w:hAnsi="宋体" w:cs="宋体"/>
          <w:b/>
          <w:color w:val="auto"/>
          <w:szCs w:val="21"/>
          <w:highlight w:val="none"/>
        </w:rPr>
        <w:t>（必须提供）</w:t>
      </w:r>
      <w:r>
        <w:rPr>
          <w:rFonts w:hint="eastAsia" w:ascii="宋体" w:hAnsi="宋体" w:cs="宋体"/>
          <w:bCs/>
          <w:color w:val="auto"/>
          <w:szCs w:val="21"/>
          <w:highlight w:val="none"/>
        </w:rPr>
        <w:t>；</w:t>
      </w:r>
    </w:p>
    <w:p w14:paraId="12050645">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（4）“货物采购需求”需提供的有效证明文件</w:t>
      </w:r>
      <w:r>
        <w:rPr>
          <w:rFonts w:hint="eastAsia" w:ascii="宋体" w:hAnsi="宋体" w:cs="宋体"/>
          <w:b/>
          <w:color w:val="auto"/>
          <w:szCs w:val="21"/>
          <w:highlight w:val="none"/>
        </w:rPr>
        <w:t>（如有，按其要求提供）</w:t>
      </w:r>
      <w:r>
        <w:rPr>
          <w:rFonts w:hint="eastAsia" w:ascii="宋体" w:hAnsi="宋体" w:cs="宋体"/>
          <w:color w:val="auto"/>
          <w:szCs w:val="21"/>
          <w:highlight w:val="none"/>
        </w:rPr>
        <w:t>；</w:t>
      </w:r>
    </w:p>
    <w:p w14:paraId="01863C07">
      <w:pPr>
        <w:keepNext w:val="0"/>
        <w:keepLines w:val="0"/>
        <w:pageBreakBefore w:val="0"/>
        <w:tabs>
          <w:tab w:val="left" w:pos="1305"/>
        </w:tabs>
        <w:kinsoku/>
        <w:wordWrap/>
        <w:overflowPunct/>
        <w:topLinePunct w:val="0"/>
        <w:bidi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）安装实施方案</w:t>
      </w:r>
      <w:r>
        <w:rPr>
          <w:rFonts w:hint="eastAsia" w:ascii="宋体" w:hAnsi="宋体" w:eastAsia="宋体" w:cs="宋体"/>
          <w:b/>
          <w:bCs/>
          <w:color w:val="auto"/>
          <w:szCs w:val="21"/>
          <w:highlight w:val="none"/>
        </w:rPr>
        <w:t>（必须提供）；</w:t>
      </w:r>
    </w:p>
    <w:p w14:paraId="0829294C">
      <w:pPr>
        <w:keepNext w:val="0"/>
        <w:keepLines w:val="0"/>
        <w:pageBreakBefore w:val="0"/>
        <w:tabs>
          <w:tab w:val="left" w:pos="1305"/>
        </w:tabs>
        <w:kinsoku/>
        <w:wordWrap/>
        <w:overflowPunct/>
        <w:topLinePunct w:val="0"/>
        <w:bidi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增值售后服务方案</w:t>
      </w:r>
      <w:r>
        <w:rPr>
          <w:rFonts w:hint="eastAsia" w:ascii="宋体" w:hAnsi="宋体" w:eastAsia="宋体" w:cs="宋体"/>
          <w:b/>
          <w:bCs/>
          <w:color w:val="auto"/>
          <w:szCs w:val="21"/>
          <w:highlight w:val="none"/>
          <w:lang w:val="en-US" w:eastAsia="zh-CN"/>
        </w:rPr>
        <w:t>（必须提供）；</w:t>
      </w:r>
    </w:p>
    <w:p w14:paraId="0E31CF22">
      <w:pPr>
        <w:keepNext w:val="0"/>
        <w:keepLines w:val="0"/>
        <w:pageBreakBefore w:val="0"/>
        <w:tabs>
          <w:tab w:val="left" w:pos="1305"/>
        </w:tabs>
        <w:kinsoku/>
        <w:wordWrap/>
        <w:overflowPunct/>
        <w:topLinePunct w:val="0"/>
        <w:bidi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）项目实施人员一览表（如有，请提供）；</w:t>
      </w:r>
    </w:p>
    <w:p w14:paraId="23173F88">
      <w:pPr>
        <w:keepNext w:val="0"/>
        <w:keepLines w:val="0"/>
        <w:pageBreakBefore w:val="0"/>
        <w:tabs>
          <w:tab w:val="left" w:pos="1305"/>
        </w:tabs>
        <w:kinsoku/>
        <w:wordWrap/>
        <w:overflowPunct/>
        <w:topLinePunct w:val="0"/>
        <w:bidi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）节能方面的证书复印件（如有，请提供）；</w:t>
      </w:r>
    </w:p>
    <w:p w14:paraId="78733F5A">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）环境标志方面的证书复印件</w:t>
      </w:r>
      <w:r>
        <w:rPr>
          <w:rFonts w:hint="eastAsia" w:ascii="宋体" w:hAnsi="宋体" w:cs="宋体"/>
          <w:b/>
          <w:color w:val="auto"/>
          <w:szCs w:val="21"/>
          <w:highlight w:val="none"/>
        </w:rPr>
        <w:t>（如有，请提供）</w:t>
      </w:r>
      <w:r>
        <w:rPr>
          <w:rFonts w:hint="eastAsia" w:ascii="宋体" w:hAnsi="宋体" w:cs="宋体"/>
          <w:bCs/>
          <w:color w:val="auto"/>
          <w:szCs w:val="21"/>
          <w:highlight w:val="none"/>
        </w:rPr>
        <w:t>；</w:t>
      </w:r>
    </w:p>
    <w:p w14:paraId="75E9C02F">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w:t>
      </w:r>
      <w:r>
        <w:rPr>
          <w:rFonts w:hint="eastAsia" w:ascii="宋体" w:hAnsi="宋体"/>
          <w:color w:val="auto"/>
          <w:highlight w:val="none"/>
        </w:rPr>
        <w:t>投标人</w:t>
      </w:r>
      <w:r>
        <w:rPr>
          <w:rFonts w:hint="eastAsia" w:ascii="宋体" w:hAnsi="宋体"/>
          <w:color w:val="auto"/>
          <w:szCs w:val="21"/>
          <w:highlight w:val="none"/>
        </w:rPr>
        <w:t>202</w:t>
      </w:r>
      <w:r>
        <w:rPr>
          <w:rFonts w:hint="eastAsia" w:ascii="宋体" w:hAnsi="宋体"/>
          <w:color w:val="auto"/>
          <w:szCs w:val="21"/>
          <w:highlight w:val="none"/>
          <w:lang w:val="en-US" w:eastAsia="zh-CN"/>
        </w:rPr>
        <w:t>1</w:t>
      </w:r>
      <w:r>
        <w:rPr>
          <w:rFonts w:hint="eastAsia" w:ascii="宋体" w:hAnsi="宋体"/>
          <w:color w:val="auto"/>
          <w:szCs w:val="21"/>
          <w:highlight w:val="none"/>
        </w:rPr>
        <w:t>年以来具有同类产品</w:t>
      </w:r>
      <w:r>
        <w:rPr>
          <w:rFonts w:hint="eastAsia" w:ascii="宋体" w:hAnsi="宋体"/>
          <w:color w:val="auto"/>
          <w:highlight w:val="none"/>
        </w:rPr>
        <w:t>的销售业绩的相关证明材料</w:t>
      </w:r>
      <w:r>
        <w:rPr>
          <w:rFonts w:hint="eastAsia" w:ascii="宋体" w:hAnsi="宋体"/>
          <w:color w:val="auto"/>
          <w:spacing w:val="-12"/>
          <w:szCs w:val="21"/>
          <w:highlight w:val="none"/>
        </w:rPr>
        <w:t>【</w:t>
      </w:r>
      <w:r>
        <w:rPr>
          <w:rFonts w:hint="eastAsia" w:ascii="宋体" w:hAnsi="宋体"/>
          <w:color w:val="auto"/>
          <w:szCs w:val="21"/>
          <w:highlight w:val="none"/>
        </w:rPr>
        <w:t>无不良记录，以中标（成交）通知书或签订的销售合同复印件为准，并能清晰反映所销售的货物名称、种类、时间等内容</w:t>
      </w:r>
      <w:r>
        <w:rPr>
          <w:rFonts w:hint="eastAsia" w:ascii="宋体" w:hAnsi="宋体"/>
          <w:color w:val="auto"/>
          <w:highlight w:val="none"/>
        </w:rPr>
        <w:t>】</w:t>
      </w:r>
      <w:r>
        <w:rPr>
          <w:rFonts w:hint="eastAsia" w:ascii="宋体" w:hAnsi="宋体"/>
          <w:b/>
          <w:color w:val="auto"/>
          <w:highlight w:val="none"/>
        </w:rPr>
        <w:t>（具体以评分办法为准，如有，请提供）</w:t>
      </w:r>
      <w:r>
        <w:rPr>
          <w:rFonts w:hint="eastAsia" w:ascii="宋体" w:hAnsi="宋体" w:cs="宋体"/>
          <w:bCs/>
          <w:color w:val="auto"/>
          <w:highlight w:val="none"/>
        </w:rPr>
        <w:t>；</w:t>
      </w:r>
    </w:p>
    <w:p w14:paraId="522416C2">
      <w:pPr>
        <w:keepNext w:val="0"/>
        <w:keepLines w:val="0"/>
        <w:pageBreakBefore w:val="0"/>
        <w:tabs>
          <w:tab w:val="left" w:pos="1305"/>
        </w:tabs>
        <w:kinsoku/>
        <w:wordWrap/>
        <w:overflowPunct/>
        <w:topLinePunct w:val="0"/>
        <w:bidi w:val="0"/>
        <w:spacing w:line="440" w:lineRule="exact"/>
        <w:ind w:firstLine="420" w:firstLineChars="200"/>
        <w:rPr>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）投标人为生产厂家的，投标人的生产制造设备清单及专业技术能力说明</w:t>
      </w:r>
      <w:r>
        <w:rPr>
          <w:rFonts w:hint="eastAsia" w:ascii="宋体" w:hAnsi="宋体" w:cs="宋体"/>
          <w:b/>
          <w:color w:val="auto"/>
          <w:highlight w:val="none"/>
        </w:rPr>
        <w:t>（如有，请提供）</w:t>
      </w:r>
      <w:r>
        <w:rPr>
          <w:rFonts w:hint="eastAsia" w:ascii="宋体" w:hAnsi="宋体" w:cs="宋体"/>
          <w:bCs/>
          <w:color w:val="auto"/>
          <w:highlight w:val="none"/>
        </w:rPr>
        <w:t>；</w:t>
      </w:r>
    </w:p>
    <w:p w14:paraId="1B0E8D0C">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b/>
          <w:color w:val="auto"/>
          <w:highlight w:val="none"/>
        </w:rPr>
      </w:pPr>
      <w:r>
        <w:rPr>
          <w:rFonts w:hint="eastAsia" w:ascii="宋体" w:hAnsi="宋体" w:cs="宋体"/>
          <w:color w:val="auto"/>
          <w:szCs w:val="20"/>
          <w:highlight w:val="none"/>
        </w:rPr>
        <w:t>（1</w:t>
      </w:r>
      <w:r>
        <w:rPr>
          <w:rFonts w:hint="eastAsia" w:ascii="宋体" w:hAnsi="宋体" w:cs="宋体"/>
          <w:color w:val="auto"/>
          <w:szCs w:val="20"/>
          <w:highlight w:val="none"/>
          <w:lang w:val="en-US" w:eastAsia="zh-CN"/>
        </w:rPr>
        <w:t>2</w:t>
      </w:r>
      <w:r>
        <w:rPr>
          <w:rFonts w:hint="eastAsia" w:ascii="宋体" w:hAnsi="宋体" w:cs="宋体"/>
          <w:color w:val="auto"/>
          <w:szCs w:val="20"/>
          <w:highlight w:val="none"/>
        </w:rPr>
        <w:t>）投标人相关获奖证书、认证证书等复印件</w:t>
      </w:r>
      <w:r>
        <w:rPr>
          <w:rFonts w:hint="eastAsia" w:ascii="宋体" w:hAnsi="宋体" w:cs="宋体"/>
          <w:b/>
          <w:color w:val="auto"/>
          <w:highlight w:val="none"/>
        </w:rPr>
        <w:t>（如有，请提供）</w:t>
      </w:r>
      <w:r>
        <w:rPr>
          <w:rFonts w:hint="eastAsia" w:ascii="宋体" w:hAnsi="宋体" w:cs="宋体"/>
          <w:bCs/>
          <w:color w:val="auto"/>
          <w:highlight w:val="none"/>
        </w:rPr>
        <w:t>；</w:t>
      </w:r>
    </w:p>
    <w:p w14:paraId="33266FD1">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3</w:t>
      </w:r>
      <w:r>
        <w:rPr>
          <w:rFonts w:hint="eastAsia" w:ascii="宋体" w:hAnsi="宋体" w:cs="宋体"/>
          <w:color w:val="auto"/>
          <w:highlight w:val="none"/>
        </w:rPr>
        <w:t>）如所提供货物企业属于小型、微型企业【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宋体" w:hAnsi="宋体" w:cs="宋体"/>
          <w:b/>
          <w:bCs/>
          <w:color w:val="auto"/>
          <w:highlight w:val="none"/>
        </w:rPr>
        <w:t>（如有，请提供）</w:t>
      </w:r>
      <w:r>
        <w:rPr>
          <w:rFonts w:hint="eastAsia" w:ascii="宋体" w:hAnsi="宋体" w:cs="宋体"/>
          <w:color w:val="auto"/>
          <w:highlight w:val="none"/>
        </w:rPr>
        <w:t>；</w:t>
      </w:r>
    </w:p>
    <w:p w14:paraId="3ADDD251">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highlight w:val="none"/>
        </w:rPr>
        <w:t>（14）如产品属于监狱企业的，以提供由省级以上监狱管理局、戒毒管理局（含新疆生产建设兵团）出具的属于监狱企业的证明文件为准</w:t>
      </w:r>
      <w:r>
        <w:rPr>
          <w:rFonts w:hint="eastAsia" w:ascii="宋体" w:hAnsi="宋体" w:cs="宋体"/>
          <w:color w:val="auto"/>
          <w:kern w:val="0"/>
          <w:sz w:val="24"/>
          <w:highlight w:val="none"/>
        </w:rPr>
        <w:t>（</w:t>
      </w:r>
      <w:r>
        <w:rPr>
          <w:rFonts w:hint="eastAsia" w:ascii="宋体" w:hAnsi="宋体" w:cs="宋体"/>
          <w:b/>
          <w:color w:val="auto"/>
          <w:highlight w:val="none"/>
        </w:rPr>
        <w:t>如有，请提供</w:t>
      </w:r>
      <w:r>
        <w:rPr>
          <w:rFonts w:hint="eastAsia" w:ascii="宋体" w:hAnsi="宋体" w:cs="宋体"/>
          <w:color w:val="auto"/>
          <w:kern w:val="0"/>
          <w:sz w:val="24"/>
          <w:highlight w:val="none"/>
        </w:rPr>
        <w:t>）；</w:t>
      </w:r>
    </w:p>
    <w:p w14:paraId="673CA83D">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highlight w:val="none"/>
        </w:rPr>
        <w:t>（15）符合条件的残疾人福利性单位在参加政府采购活动时，应当提供《残疾人福利性单位声明函》（见附件），并对声明的真实性负责</w:t>
      </w:r>
      <w:r>
        <w:rPr>
          <w:rFonts w:hint="eastAsia" w:ascii="宋体" w:hAnsi="宋体" w:cs="宋体"/>
          <w:b/>
          <w:bCs/>
          <w:color w:val="auto"/>
          <w:highlight w:val="none"/>
        </w:rPr>
        <w:t>（如有，请提供）</w:t>
      </w:r>
      <w:r>
        <w:rPr>
          <w:rFonts w:hint="eastAsia" w:ascii="宋体" w:hAnsi="宋体" w:cs="宋体"/>
          <w:color w:val="auto"/>
          <w:highlight w:val="none"/>
        </w:rPr>
        <w:t>；</w:t>
      </w:r>
    </w:p>
    <w:p w14:paraId="6ABB48FA">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（16）投标人可结合本项目的评标办法视自身情况自行提交相关证明材料</w:t>
      </w:r>
      <w:r>
        <w:rPr>
          <w:rFonts w:hint="eastAsia" w:ascii="宋体" w:hAnsi="宋体" w:cs="宋体"/>
          <w:b/>
          <w:color w:val="auto"/>
          <w:highlight w:val="none"/>
        </w:rPr>
        <w:t>（如有，请提供）</w:t>
      </w:r>
      <w:r>
        <w:rPr>
          <w:rFonts w:hint="eastAsia" w:ascii="宋体" w:hAnsi="宋体" w:cs="宋体"/>
          <w:color w:val="auto"/>
          <w:szCs w:val="21"/>
          <w:highlight w:val="none"/>
        </w:rPr>
        <w:t>。</w:t>
      </w:r>
    </w:p>
    <w:p w14:paraId="3800A1A7">
      <w:pPr>
        <w:keepNext w:val="0"/>
        <w:keepLines w:val="0"/>
        <w:pageBreakBefore w:val="0"/>
        <w:kinsoku/>
        <w:wordWrap/>
        <w:overflowPunct/>
        <w:topLinePunct w:val="0"/>
        <w:bidi w:val="0"/>
        <w:spacing w:line="440" w:lineRule="exact"/>
        <w:ind w:firstLine="420"/>
        <w:rPr>
          <w:rFonts w:ascii="宋体" w:hAnsi="宋体" w:cs="宋体"/>
          <w:b/>
          <w:bCs/>
          <w:color w:val="auto"/>
          <w:highlight w:val="none"/>
        </w:rPr>
      </w:pPr>
      <w:r>
        <w:rPr>
          <w:rFonts w:hint="eastAsia" w:ascii="宋体" w:hAnsi="宋体" w:cs="宋体"/>
          <w:b/>
          <w:bCs/>
          <w:color w:val="auto"/>
          <w:highlight w:val="none"/>
        </w:rPr>
        <w:t>投标人提供的以上相关证明材料属于“必须提供”的文件应加盖投标人公章（CA签章）/自然人签字或加盖个人CA签章，否则投标无效。</w:t>
      </w:r>
    </w:p>
    <w:p w14:paraId="3238C649">
      <w:pPr>
        <w:keepNext w:val="0"/>
        <w:keepLines w:val="0"/>
        <w:pageBreakBefore w:val="0"/>
        <w:kinsoku/>
        <w:wordWrap/>
        <w:overflowPunct/>
        <w:topLinePunct w:val="0"/>
        <w:bidi w:val="0"/>
        <w:spacing w:line="440" w:lineRule="exact"/>
        <w:ind w:firstLine="420"/>
        <w:rPr>
          <w:rFonts w:ascii="宋体" w:hAnsi="宋体" w:cs="宋体"/>
          <w:color w:val="auto"/>
          <w:highlight w:val="none"/>
        </w:rPr>
      </w:pPr>
      <w:r>
        <w:rPr>
          <w:rFonts w:hint="eastAsia" w:ascii="宋体" w:hAnsi="宋体" w:cs="宋体"/>
          <w:color w:val="auto"/>
          <w:szCs w:val="21"/>
          <w:highlight w:val="none"/>
        </w:rPr>
        <w:t>13.3</w:t>
      </w:r>
      <w:r>
        <w:rPr>
          <w:rFonts w:hint="eastAsia" w:ascii="宋体" w:hAnsi="宋体" w:cs="宋体"/>
          <w:color w:val="auto"/>
          <w:highlight w:val="none"/>
        </w:rPr>
        <w:t>投标人应按招标文件第六章“投标文件（格式）”编制投标文件。</w:t>
      </w:r>
    </w:p>
    <w:p w14:paraId="1CD468EC">
      <w:pPr>
        <w:keepNext w:val="0"/>
        <w:keepLines w:val="0"/>
        <w:pageBreakBefore w:val="0"/>
        <w:kinsoku/>
        <w:wordWrap/>
        <w:overflowPunct/>
        <w:topLinePunct w:val="0"/>
        <w:bidi w:val="0"/>
        <w:spacing w:line="440" w:lineRule="exact"/>
        <w:ind w:firstLine="420"/>
        <w:rPr>
          <w:rFonts w:ascii="宋体" w:hAnsi="宋体" w:cs="宋体"/>
          <w:color w:val="auto"/>
          <w:highlight w:val="none"/>
        </w:rPr>
      </w:pPr>
      <w:r>
        <w:rPr>
          <w:rFonts w:hint="eastAsia" w:ascii="宋体" w:hAnsi="宋体" w:cs="宋体"/>
          <w:color w:val="auto"/>
          <w:highlight w:val="none"/>
        </w:rPr>
        <w:t>13.4投标文件应当对招标文件提出的要求和条件作出明确响应。</w:t>
      </w:r>
    </w:p>
    <w:p w14:paraId="1416ABEA">
      <w:pPr>
        <w:keepNext w:val="0"/>
        <w:keepLines w:val="0"/>
        <w:pageBreakBefore w:val="0"/>
        <w:kinsoku/>
        <w:wordWrap/>
        <w:overflowPunct/>
        <w:topLinePunct w:val="0"/>
        <w:bidi w:val="0"/>
        <w:spacing w:line="440" w:lineRule="exact"/>
        <w:ind w:firstLine="420"/>
        <w:rPr>
          <w:rFonts w:ascii="宋体" w:hAnsi="宋体" w:cs="宋体"/>
          <w:b/>
          <w:bCs/>
          <w:color w:val="auto"/>
          <w:highlight w:val="none"/>
        </w:rPr>
      </w:pPr>
      <w:r>
        <w:rPr>
          <w:rFonts w:hint="eastAsia" w:ascii="宋体" w:hAnsi="宋体" w:cs="宋体"/>
          <w:b/>
          <w:bCs/>
          <w:color w:val="auto"/>
          <w:highlight w:val="none"/>
        </w:rPr>
        <w:t>特别说明：</w:t>
      </w:r>
    </w:p>
    <w:p w14:paraId="1D640790">
      <w:pPr>
        <w:keepNext w:val="0"/>
        <w:keepLines w:val="0"/>
        <w:pageBreakBefore w:val="0"/>
        <w:tabs>
          <w:tab w:val="left" w:pos="1305"/>
        </w:tabs>
        <w:kinsoku/>
        <w:wordWrap/>
        <w:overflowPunct/>
        <w:topLinePunct w:val="0"/>
        <w:bidi w:val="0"/>
        <w:spacing w:line="440" w:lineRule="exact"/>
        <w:ind w:firstLine="422" w:firstLineChars="200"/>
        <w:rPr>
          <w:rFonts w:ascii="宋体" w:hAnsi="宋体" w:cs="宋体"/>
          <w:b/>
          <w:bCs/>
          <w:color w:val="auto"/>
          <w:szCs w:val="21"/>
          <w:highlight w:val="none"/>
        </w:rPr>
      </w:pPr>
      <w:bookmarkStart w:id="128" w:name="_Toc11037"/>
      <w:r>
        <w:rPr>
          <w:rFonts w:hint="eastAsia" w:ascii="宋体" w:hAnsi="宋体" w:cs="宋体"/>
          <w:b/>
          <w:bCs/>
          <w:color w:val="auto"/>
          <w:szCs w:val="21"/>
          <w:highlight w:val="none"/>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42E7B60E">
      <w:pPr>
        <w:keepNext w:val="0"/>
        <w:keepLines w:val="0"/>
        <w:pageBreakBefore w:val="0"/>
        <w:tabs>
          <w:tab w:val="left" w:pos="1305"/>
        </w:tabs>
        <w:kinsoku/>
        <w:wordWrap/>
        <w:overflowPunct/>
        <w:topLinePunct w:val="0"/>
        <w:bidi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（2）招标文件要求法定代表人（负责人）或委托代理人签字的部分必须签字然后扫描或者拍照做成 pdf 格式上传（或加盖个人CA签章），无签字的视为投标无效。</w:t>
      </w:r>
    </w:p>
    <w:p w14:paraId="54AB55C1">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29" w:name="_Toc21633"/>
      <w:bookmarkStart w:id="130" w:name="_Toc31974"/>
      <w:bookmarkStart w:id="131" w:name="_Toc10415"/>
      <w:r>
        <w:rPr>
          <w:rFonts w:hint="eastAsia" w:ascii="宋体" w:hAnsi="宋体" w:cs="宋体"/>
          <w:b/>
          <w:color w:val="auto"/>
          <w:szCs w:val="21"/>
          <w:highlight w:val="none"/>
        </w:rPr>
        <w:t>14. 投标文件的语言及计量</w:t>
      </w:r>
      <w:bookmarkEnd w:id="128"/>
      <w:bookmarkEnd w:id="129"/>
      <w:bookmarkEnd w:id="130"/>
      <w:bookmarkEnd w:id="131"/>
    </w:p>
    <w:p w14:paraId="51EECEA6">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644092DF">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14.2投标计量单位，招标文件已有明确规定的，使用招标文件规定的计量单位；招标文件没有规定的，应采用中华人民共和国法定计量单位（货币单位：元人民币），否则视同未响应。</w:t>
      </w:r>
    </w:p>
    <w:p w14:paraId="52BB09A5">
      <w:pPr>
        <w:keepNext w:val="0"/>
        <w:keepLines w:val="0"/>
        <w:pageBreakBefore w:val="0"/>
        <w:numPr>
          <w:ilvl w:val="0"/>
          <w:numId w:val="2"/>
        </w:numPr>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32" w:name="_Toc22957"/>
      <w:bookmarkStart w:id="133" w:name="_Toc666"/>
      <w:bookmarkStart w:id="134" w:name="_Toc8372"/>
      <w:bookmarkStart w:id="135" w:name="_Toc13903"/>
      <w:r>
        <w:rPr>
          <w:rFonts w:hint="eastAsia" w:ascii="宋体" w:hAnsi="宋体" w:cs="宋体"/>
          <w:b/>
          <w:color w:val="auto"/>
          <w:szCs w:val="21"/>
          <w:highlight w:val="none"/>
        </w:rPr>
        <w:t>投标报价</w:t>
      </w:r>
      <w:bookmarkEnd w:id="132"/>
      <w:bookmarkEnd w:id="133"/>
      <w:bookmarkEnd w:id="134"/>
      <w:bookmarkEnd w:id="135"/>
    </w:p>
    <w:p w14:paraId="2E799D08">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15.1投标报价应按招标文件中第六章“投标文件（格式）”填写，</w:t>
      </w:r>
      <w:r>
        <w:rPr>
          <w:rFonts w:hint="eastAsia" w:ascii="宋体" w:hAnsi="宋体" w:cs="宋体"/>
          <w:b/>
          <w:color w:val="auto"/>
          <w:szCs w:val="21"/>
          <w:highlight w:val="none"/>
        </w:rPr>
        <w:t>本项目采购预算金额（人民币）：</w:t>
      </w:r>
      <w:r>
        <w:rPr>
          <w:rFonts w:hint="eastAsia" w:ascii="宋体" w:hAnsi="宋体" w:cs="宋体"/>
          <w:b/>
          <w:color w:val="auto"/>
          <w:szCs w:val="21"/>
          <w:highlight w:val="none"/>
          <w:u w:val="single"/>
          <w:lang w:val="en-US" w:eastAsia="zh-CN"/>
        </w:rPr>
        <w:t>2000000.00</w:t>
      </w:r>
      <w:r>
        <w:rPr>
          <w:rFonts w:hint="eastAsia" w:ascii="宋体" w:hAnsi="宋体" w:cs="宋体"/>
          <w:b/>
          <w:color w:val="auto"/>
          <w:szCs w:val="21"/>
          <w:highlight w:val="none"/>
          <w:u w:val="single"/>
        </w:rPr>
        <w:t>元</w:t>
      </w: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最高限价（人民币）：</w:t>
      </w:r>
      <w:r>
        <w:rPr>
          <w:rFonts w:hint="eastAsia" w:ascii="宋体" w:hAnsi="宋体" w:cs="宋体"/>
          <w:b/>
          <w:bCs/>
          <w:color w:val="auto"/>
          <w:szCs w:val="21"/>
          <w:highlight w:val="none"/>
          <w:u w:val="single"/>
          <w:lang w:val="en-US" w:eastAsia="zh-CN"/>
        </w:rPr>
        <w:t>1520000.00元</w:t>
      </w:r>
      <w:r>
        <w:rPr>
          <w:rFonts w:hint="eastAsia" w:ascii="宋体" w:hAnsi="宋体" w:cs="宋体"/>
          <w:color w:val="auto"/>
          <w:szCs w:val="21"/>
          <w:highlight w:val="none"/>
          <w:lang w:val="en-US" w:eastAsia="zh-CN"/>
        </w:rPr>
        <w:t>，</w:t>
      </w:r>
      <w:r>
        <w:rPr>
          <w:rFonts w:hint="eastAsia" w:ascii="宋体" w:hAnsi="宋体"/>
          <w:color w:val="auto"/>
          <w:szCs w:val="21"/>
          <w:highlight w:val="none"/>
        </w:rPr>
        <w:t>投标报价超过</w:t>
      </w:r>
      <w:r>
        <w:rPr>
          <w:rFonts w:hint="eastAsia" w:ascii="宋体" w:hAnsi="宋体"/>
          <w:color w:val="auto"/>
          <w:szCs w:val="21"/>
          <w:highlight w:val="none"/>
          <w:lang w:val="en-US" w:eastAsia="zh-CN"/>
        </w:rPr>
        <w:t>最高限价</w:t>
      </w:r>
      <w:r>
        <w:rPr>
          <w:rFonts w:hint="eastAsia" w:ascii="宋体" w:hAnsi="宋体"/>
          <w:color w:val="auto"/>
          <w:szCs w:val="21"/>
          <w:highlight w:val="none"/>
        </w:rPr>
        <w:t>金额的，投标文件作无效处理。</w:t>
      </w:r>
    </w:p>
    <w:p w14:paraId="79D17B40">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15.2投标人必须就“货物采购需求”中所投内容作完整唯一报价，否则，其投标将被拒绝；投标文件只允许有一个报价，有选择的或有条件的报价将不予接受。</w:t>
      </w:r>
    </w:p>
    <w:p w14:paraId="19EC3BF7">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15.3投标报价应包括本次招标采购范围内货物价款、劳务费、技术服务费、设备、运输、交通、检验、售后服务、通讯、办公场地、管理费、保险、税费、利润及其他所有成本费用的总和，</w:t>
      </w:r>
      <w:r>
        <w:rPr>
          <w:rFonts w:hint="eastAsia" w:ascii="宋体" w:hAnsi="宋体" w:cs="宋体"/>
          <w:color w:val="auto"/>
          <w:highlight w:val="none"/>
        </w:rPr>
        <w:t>投标人应综合考虑在报价中。</w:t>
      </w:r>
    </w:p>
    <w:p w14:paraId="612799A0">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36" w:name="_Toc7712"/>
      <w:bookmarkStart w:id="137" w:name="_Toc6473"/>
      <w:bookmarkStart w:id="138" w:name="_Toc22333"/>
      <w:bookmarkStart w:id="139" w:name="_Toc24338"/>
      <w:r>
        <w:rPr>
          <w:rFonts w:hint="eastAsia" w:ascii="宋体" w:hAnsi="宋体" w:cs="宋体"/>
          <w:b/>
          <w:color w:val="auto"/>
          <w:szCs w:val="21"/>
          <w:highlight w:val="none"/>
        </w:rPr>
        <w:t>16. 投标有效期</w:t>
      </w:r>
      <w:bookmarkEnd w:id="136"/>
      <w:bookmarkEnd w:id="137"/>
      <w:bookmarkEnd w:id="138"/>
      <w:bookmarkEnd w:id="139"/>
    </w:p>
    <w:p w14:paraId="036C45A3">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16.1投标有效期：</w:t>
      </w:r>
      <w:r>
        <w:rPr>
          <w:rFonts w:hint="eastAsia" w:ascii="宋体" w:hAnsi="宋体" w:cs="宋体"/>
          <w:color w:val="auto"/>
          <w:highlight w:val="none"/>
        </w:rPr>
        <w:t>投标截止时间之日起90天</w:t>
      </w:r>
      <w:r>
        <w:rPr>
          <w:rFonts w:hint="eastAsia" w:ascii="宋体" w:hAnsi="宋体" w:cs="宋体"/>
          <w:color w:val="auto"/>
          <w:sz w:val="22"/>
          <w:szCs w:val="22"/>
          <w:highlight w:val="none"/>
        </w:rPr>
        <w:t>。</w:t>
      </w:r>
    </w:p>
    <w:p w14:paraId="09B0FE89">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16.2出现特殊情况下，需要延长投标有效期的，采购代理机构以书面形式通知投标人延长投标有效期。投标人同意延长的，原投标文件继续有效。投标人拒绝延长的，其投标无效。</w:t>
      </w:r>
    </w:p>
    <w:p w14:paraId="2127BA47">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40" w:name="_Toc20211"/>
      <w:bookmarkStart w:id="141" w:name="_Toc5668"/>
      <w:bookmarkStart w:id="142" w:name="_Toc23588"/>
      <w:bookmarkStart w:id="143" w:name="_Toc10058"/>
      <w:r>
        <w:rPr>
          <w:rFonts w:hint="eastAsia" w:ascii="宋体" w:hAnsi="宋体" w:cs="宋体"/>
          <w:b/>
          <w:color w:val="auto"/>
          <w:szCs w:val="21"/>
          <w:highlight w:val="none"/>
        </w:rPr>
        <w:t>17. 投标保证金</w:t>
      </w:r>
      <w:bookmarkEnd w:id="140"/>
      <w:bookmarkEnd w:id="141"/>
      <w:bookmarkEnd w:id="142"/>
      <w:bookmarkEnd w:id="143"/>
    </w:p>
    <w:p w14:paraId="5175E366">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本项目无需缴纳投标保证金。</w:t>
      </w:r>
    </w:p>
    <w:p w14:paraId="216A8A69">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44" w:name="_Toc30873"/>
      <w:bookmarkStart w:id="145" w:name="_Toc6809"/>
      <w:bookmarkStart w:id="146" w:name="_Toc20745"/>
      <w:bookmarkStart w:id="147" w:name="_Toc17385"/>
      <w:bookmarkStart w:id="148" w:name="_Toc17461"/>
      <w:bookmarkStart w:id="149" w:name="_Toc25494"/>
      <w:bookmarkStart w:id="150" w:name="_Toc24490"/>
      <w:r>
        <w:rPr>
          <w:rFonts w:hint="eastAsia" w:ascii="宋体" w:hAnsi="宋体" w:cs="宋体"/>
          <w:b/>
          <w:color w:val="auto"/>
          <w:szCs w:val="21"/>
          <w:highlight w:val="none"/>
        </w:rPr>
        <w:t>18. 投标文件的</w:t>
      </w:r>
      <w:bookmarkEnd w:id="144"/>
      <w:bookmarkEnd w:id="145"/>
      <w:r>
        <w:rPr>
          <w:rFonts w:hint="eastAsia" w:ascii="宋体" w:hAnsi="宋体" w:cs="宋体"/>
          <w:b/>
          <w:color w:val="auto"/>
          <w:szCs w:val="21"/>
          <w:highlight w:val="none"/>
        </w:rPr>
        <w:t>封装</w:t>
      </w:r>
      <w:bookmarkEnd w:id="146"/>
      <w:bookmarkEnd w:id="147"/>
      <w:bookmarkEnd w:id="148"/>
      <w:bookmarkEnd w:id="149"/>
    </w:p>
    <w:p w14:paraId="69006591">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18.1 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6D43289D">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18.2 CA 签章上目前没有法人（负责人）或授权代表签字信息，供应商在投标文件中涉及到签字的位置线下签好字然后扫描或者拍照做成 PDF 的格式即可。 </w:t>
      </w:r>
    </w:p>
    <w:p w14:paraId="5EEC3610">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18.3 投标文件不得涂改，若有修改错漏处，须法定代表人（负责人）或授权委托人签字。投标文件因字迹潦草或表达不清所引起的后果由供应商负责。</w:t>
      </w:r>
    </w:p>
    <w:p w14:paraId="7811519D">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18.4评审前准备 </w:t>
      </w:r>
    </w:p>
    <w:p w14:paraId="2AE51B60">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18.4.1本项目实行网上评审，采用电子投标文件。若供应商参与投标，自行承担投标一切费用。 </w:t>
      </w:r>
    </w:p>
    <w:p w14:paraId="5E715DEE">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18.4.2各供应商在截标前应确保成为广西政府采购云平台正式注册入库供应商，并完成 CA 数字证书申领。因未注册入库、未办理 CA 数字证书等原因造成无法投标或投标失败等后果由供应商自行承担。 </w:t>
      </w:r>
    </w:p>
    <w:p w14:paraId="1FB2AAB3">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18.4.3供应商将广西政府采购云电子交易客户端下载、安装完成后，可通过账号密码或 CA 登录客户端进行投标文件制作。客户端请至网站下载专区查看，如有问题可拨打广西政府采购云客户服务热线 95763 进行咨询。</w:t>
      </w:r>
    </w:p>
    <w:bookmarkEnd w:id="150"/>
    <w:p w14:paraId="609431C4">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51" w:name="_Toc2957"/>
      <w:bookmarkStart w:id="152" w:name="_Toc12348"/>
      <w:bookmarkStart w:id="153" w:name="_Toc24718"/>
      <w:bookmarkStart w:id="154" w:name="_Toc15098"/>
      <w:bookmarkStart w:id="155" w:name="_Toc15044"/>
      <w:bookmarkStart w:id="156" w:name="_Toc31572"/>
      <w:r>
        <w:rPr>
          <w:rFonts w:hint="eastAsia" w:ascii="宋体" w:hAnsi="宋体" w:cs="宋体"/>
          <w:b/>
          <w:color w:val="auto"/>
          <w:szCs w:val="21"/>
          <w:highlight w:val="none"/>
        </w:rPr>
        <w:t>19. 投标文件的补充、修改和撤回</w:t>
      </w:r>
      <w:bookmarkEnd w:id="151"/>
      <w:bookmarkEnd w:id="152"/>
      <w:bookmarkEnd w:id="153"/>
      <w:bookmarkEnd w:id="154"/>
      <w:bookmarkEnd w:id="155"/>
    </w:p>
    <w:p w14:paraId="0B95A9D5">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9</w:t>
      </w:r>
      <w:r>
        <w:rPr>
          <w:rFonts w:ascii="宋体" w:hAnsi="宋体" w:cs="宋体"/>
          <w:color w:val="auto"/>
          <w:szCs w:val="21"/>
          <w:highlight w:val="none"/>
        </w:rPr>
        <w:t xml:space="preserve">.1 </w:t>
      </w:r>
      <w:r>
        <w:rPr>
          <w:rFonts w:hint="eastAsia" w:ascii="宋体" w:hAnsi="宋体" w:cs="宋体"/>
          <w:color w:val="auto"/>
          <w:szCs w:val="21"/>
          <w:highlight w:val="none"/>
        </w:rPr>
        <w:t>投标文件递交截止时间前可以撤回电子投标文件。补充或者修改电子投标文件的，应当先行撤回原文件，补充、修改后重新传输递交，投标文件递交截止时间前未完成传输的，视为撤回投标文件。</w:t>
      </w:r>
    </w:p>
    <w:p w14:paraId="23A4E383">
      <w:pPr>
        <w:keepNext w:val="0"/>
        <w:keepLines w:val="0"/>
        <w:pageBreakBefore w:val="0"/>
        <w:kinsoku/>
        <w:wordWrap/>
        <w:overflowPunct/>
        <w:topLinePunct w:val="0"/>
        <w:bidi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9</w:t>
      </w:r>
      <w:r>
        <w:rPr>
          <w:rFonts w:ascii="宋体" w:hAnsi="宋体" w:cs="宋体"/>
          <w:color w:val="auto"/>
          <w:szCs w:val="21"/>
          <w:highlight w:val="none"/>
        </w:rPr>
        <w:t xml:space="preserve">.2 </w:t>
      </w:r>
      <w:r>
        <w:rPr>
          <w:rFonts w:hint="eastAsia" w:ascii="宋体" w:hAnsi="宋体" w:cs="宋体"/>
          <w:color w:val="auto"/>
          <w:szCs w:val="21"/>
          <w:highlight w:val="none"/>
        </w:rPr>
        <w:t>在投标文件递交截止时间后的投标文件有效期内，供应商不得撤回其投标文件。</w:t>
      </w:r>
    </w:p>
    <w:bookmarkEnd w:id="156"/>
    <w:p w14:paraId="394735B5">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57" w:name="_Toc13713"/>
      <w:bookmarkStart w:id="158" w:name="_Toc8182"/>
      <w:bookmarkStart w:id="159" w:name="_Toc25760"/>
      <w:bookmarkStart w:id="160" w:name="_Toc16777"/>
      <w:bookmarkStart w:id="161" w:name="_Toc27123"/>
      <w:r>
        <w:rPr>
          <w:rFonts w:hint="eastAsia" w:ascii="宋体" w:hAnsi="宋体" w:cs="宋体"/>
          <w:b/>
          <w:color w:val="auto"/>
          <w:szCs w:val="21"/>
          <w:highlight w:val="none"/>
        </w:rPr>
        <w:t>20. 投标文件的递交</w:t>
      </w:r>
      <w:bookmarkEnd w:id="157"/>
      <w:r>
        <w:rPr>
          <w:rFonts w:hint="eastAsia" w:ascii="宋体" w:hAnsi="宋体" w:cs="宋体"/>
          <w:b/>
          <w:color w:val="auto"/>
          <w:szCs w:val="21"/>
          <w:highlight w:val="none"/>
        </w:rPr>
        <w:t>和解密</w:t>
      </w:r>
      <w:bookmarkEnd w:id="158"/>
      <w:bookmarkEnd w:id="159"/>
      <w:bookmarkEnd w:id="160"/>
      <w:bookmarkEnd w:id="161"/>
    </w:p>
    <w:p w14:paraId="2C4C7088">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20.1</w:t>
      </w:r>
      <w:r>
        <w:rPr>
          <w:rFonts w:hint="eastAsia" w:ascii="宋体" w:hAnsi="宋体"/>
          <w:color w:val="auto"/>
          <w:szCs w:val="21"/>
          <w:highlight w:val="none"/>
        </w:rPr>
        <w:t>投标文件递交截止时间：于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日9时30分整</w:t>
      </w:r>
      <w:r>
        <w:rPr>
          <w:rFonts w:hint="eastAsia" w:ascii="宋体" w:hAnsi="宋体" w:cs="宋体"/>
          <w:color w:val="auto"/>
          <w:szCs w:val="21"/>
          <w:highlight w:val="none"/>
        </w:rPr>
        <w:t>之前将电子投标文件上传到广西政府采购云平台。应按照本项目招标文件和广西政府采购云平台的要求编制、加密传输投标文件。供应商在使用系统进行投标的过程中遇到涉及平台使用的任何问题，可致电广西政府采购云平台技术支持热线咨询，联系方式：95763。</w:t>
      </w:r>
    </w:p>
    <w:p w14:paraId="61BC3657">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20.2投标文件解密时间：截标时间后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日9时30分</w:t>
      </w:r>
      <w:r>
        <w:rPr>
          <w:rFonts w:hint="eastAsia" w:ascii="宋体" w:hAnsi="宋体" w:cs="宋体"/>
          <w:color w:val="auto"/>
          <w:highlight w:val="none"/>
          <w:u w:val="single"/>
        </w:rPr>
        <w:t>至10时00分</w:t>
      </w:r>
      <w:r>
        <w:rPr>
          <w:rFonts w:hint="eastAsia" w:ascii="宋体" w:hAnsi="宋体" w:cs="宋体"/>
          <w:color w:val="auto"/>
          <w:szCs w:val="21"/>
          <w:highlight w:val="none"/>
        </w:rPr>
        <w:t>)投标人可以登录广西政府采购云平台，用“项目采购-开标评标”功能进行解密投标文件。若投标人在规定时间内无法解密或解密失败，可以以电子备份投标文件作为依据</w:t>
      </w:r>
      <w:r>
        <w:rPr>
          <w:rFonts w:hint="eastAsia" w:ascii="宋体" w:hAnsi="宋体" w:cs="宋体"/>
          <w:b/>
          <w:bCs/>
          <w:color w:val="auto"/>
          <w:szCs w:val="21"/>
          <w:highlight w:val="none"/>
        </w:rPr>
        <w:t>【在接到无法解密或解密失败的通知后，投标人可根据自身实际情况按通知时要求的时间到桂林市公共资源交易中心 号政府采购开标仓现场提交或以电子邮件的形式（以通知时所告知的电子邮箱地址为准）提交电子备份投标文件】</w:t>
      </w:r>
      <w:r>
        <w:rPr>
          <w:rFonts w:hint="eastAsia" w:ascii="宋体" w:hAnsi="宋体" w:cs="宋体"/>
          <w:color w:val="auto"/>
          <w:szCs w:val="21"/>
          <w:highlight w:val="none"/>
        </w:rPr>
        <w:t>，若投标人在规定时间内无法解密或解密失败且未提供电子备份投标文件的(包含提供的电子备份文件无效或无法解密的情况)，视为投标无效。</w:t>
      </w:r>
    </w:p>
    <w:p w14:paraId="604DE875">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20.3 除招标文件另有规定外，供应商所递交的投标文件不予退还。</w:t>
      </w:r>
    </w:p>
    <w:p w14:paraId="0532F367">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20.4 电子投标文件的相关说明</w:t>
      </w:r>
    </w:p>
    <w:p w14:paraId="13ABB194">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 </w:t>
      </w:r>
    </w:p>
    <w:p w14:paraId="0CDDBAA2">
      <w:pPr>
        <w:keepNext w:val="0"/>
        <w:keepLines w:val="0"/>
        <w:pageBreakBefore w:val="0"/>
        <w:kinsoku/>
        <w:wordWrap/>
        <w:overflowPunct/>
        <w:topLinePunct w:val="0"/>
        <w:bidi w:val="0"/>
        <w:spacing w:line="440" w:lineRule="exact"/>
        <w:ind w:firstLine="420" w:firstLineChars="200"/>
        <w:rPr>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6A8B37CB">
      <w:pPr>
        <w:rPr>
          <w:color w:val="auto"/>
          <w:highlight w:val="none"/>
        </w:rPr>
      </w:pPr>
      <w:r>
        <w:rPr>
          <w:color w:val="auto"/>
          <w:highlight w:val="none"/>
        </w:rPr>
        <w:br w:type="page"/>
      </w:r>
    </w:p>
    <w:p w14:paraId="2A2529D1">
      <w:pPr>
        <w:pStyle w:val="49"/>
        <w:keepNext w:val="0"/>
        <w:keepLines w:val="0"/>
        <w:pageBreakBefore w:val="0"/>
        <w:kinsoku/>
        <w:wordWrap/>
        <w:overflowPunct/>
        <w:topLinePunct w:val="0"/>
        <w:bidi w:val="0"/>
        <w:spacing w:line="440" w:lineRule="exact"/>
        <w:rPr>
          <w:color w:val="auto"/>
          <w:highlight w:val="none"/>
        </w:rPr>
      </w:pPr>
    </w:p>
    <w:p w14:paraId="772FDE7E">
      <w:pPr>
        <w:keepNext w:val="0"/>
        <w:keepLines w:val="0"/>
        <w:pageBreakBefore w:val="0"/>
        <w:kinsoku/>
        <w:wordWrap/>
        <w:overflowPunct/>
        <w:topLinePunct w:val="0"/>
        <w:bidi w:val="0"/>
        <w:spacing w:line="440" w:lineRule="exact"/>
        <w:jc w:val="center"/>
        <w:outlineLvl w:val="1"/>
        <w:rPr>
          <w:rFonts w:ascii="宋体" w:hAnsi="宋体" w:cs="宋体"/>
          <w:b/>
          <w:color w:val="auto"/>
          <w:sz w:val="28"/>
          <w:szCs w:val="28"/>
          <w:highlight w:val="none"/>
        </w:rPr>
      </w:pPr>
      <w:bookmarkStart w:id="162" w:name="_Toc29710"/>
      <w:bookmarkStart w:id="163" w:name="_Toc495841757"/>
      <w:bookmarkStart w:id="164" w:name="_Toc11812"/>
      <w:bookmarkStart w:id="165" w:name="_Toc7699"/>
      <w:bookmarkStart w:id="166" w:name="_Toc307"/>
      <w:r>
        <w:rPr>
          <w:rFonts w:hint="eastAsia" w:ascii="宋体" w:hAnsi="宋体" w:cs="宋体"/>
          <w:b/>
          <w:color w:val="auto"/>
          <w:sz w:val="28"/>
          <w:szCs w:val="28"/>
          <w:highlight w:val="none"/>
        </w:rPr>
        <w:t>四、开标</w:t>
      </w:r>
      <w:bookmarkEnd w:id="162"/>
      <w:bookmarkEnd w:id="163"/>
      <w:bookmarkEnd w:id="164"/>
      <w:bookmarkEnd w:id="165"/>
      <w:bookmarkEnd w:id="166"/>
    </w:p>
    <w:p w14:paraId="776474B2">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67" w:name="_Toc18451"/>
      <w:bookmarkStart w:id="168" w:name="_Toc19384"/>
      <w:bookmarkStart w:id="169" w:name="_Toc14613"/>
      <w:bookmarkStart w:id="170" w:name="_Toc11595"/>
      <w:bookmarkStart w:id="171" w:name="_Toc17073"/>
      <w:bookmarkStart w:id="172" w:name="_Toc25198"/>
      <w:bookmarkStart w:id="173" w:name="_Toc13013"/>
      <w:bookmarkStart w:id="174" w:name="_Toc495841758"/>
      <w:r>
        <w:rPr>
          <w:rFonts w:hint="eastAsia" w:ascii="宋体" w:hAnsi="宋体" w:cs="宋体"/>
          <w:b/>
          <w:color w:val="auto"/>
          <w:szCs w:val="21"/>
          <w:highlight w:val="none"/>
        </w:rPr>
        <w:t>21. 开标时间及地点</w:t>
      </w:r>
      <w:bookmarkEnd w:id="167"/>
      <w:bookmarkEnd w:id="168"/>
      <w:bookmarkEnd w:id="169"/>
      <w:bookmarkEnd w:id="170"/>
      <w:bookmarkEnd w:id="171"/>
      <w:bookmarkEnd w:id="172"/>
    </w:p>
    <w:p w14:paraId="05118640">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21.1开标时间及地点：</w:t>
      </w:r>
    </w:p>
    <w:p w14:paraId="2451BB4B">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日9时30分（北京时间）截标后。</w:t>
      </w:r>
    </w:p>
    <w:p w14:paraId="58BACB7F">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点：通过广西政府采购云平台实行在线解密开启。</w:t>
      </w:r>
    </w:p>
    <w:p w14:paraId="263597C7">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提交电子备份投标文件方式：</w:t>
      </w:r>
      <w:r>
        <w:rPr>
          <w:rFonts w:hint="eastAsia" w:ascii="宋体" w:hAnsi="宋体" w:cs="宋体"/>
          <w:b/>
          <w:bCs/>
          <w:color w:val="auto"/>
          <w:highlight w:val="none"/>
        </w:rPr>
        <w:t>在接到无法解密或解密失败的通知后，投标人可根据自身实际情况按通知时要求的时间到桂林市公共资源交易中心 号政府采购开标仓现场提交或以电子邮件的形式（以通知时所告知的电子邮箱地址为准）提交电子备份投标文件</w:t>
      </w:r>
      <w:r>
        <w:rPr>
          <w:rFonts w:hint="eastAsia" w:ascii="宋体" w:hAnsi="宋体" w:cs="宋体"/>
          <w:color w:val="auto"/>
          <w:szCs w:val="21"/>
          <w:highlight w:val="none"/>
        </w:rPr>
        <w:t>。投标人可以由法定代表人、负责人、自然人或其委托代理人出席开标会议。</w:t>
      </w:r>
    </w:p>
    <w:p w14:paraId="63868BC7">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21.2投标人不足3家的，不得开标，采购人或者采购代理机构应当重新组织采购。</w:t>
      </w:r>
    </w:p>
    <w:p w14:paraId="15928385">
      <w:pPr>
        <w:keepNext w:val="0"/>
        <w:keepLines w:val="0"/>
        <w:pageBreakBefore w:val="0"/>
        <w:kinsoku/>
        <w:wordWrap/>
        <w:overflowPunct/>
        <w:topLinePunct w:val="0"/>
        <w:bidi w:val="0"/>
        <w:spacing w:line="440" w:lineRule="exact"/>
        <w:ind w:firstLine="422" w:firstLineChars="200"/>
        <w:rPr>
          <w:rFonts w:ascii="宋体" w:hAnsi="宋体" w:cs="宋体"/>
          <w:b/>
          <w:bCs/>
          <w:color w:val="auto"/>
          <w:szCs w:val="21"/>
          <w:highlight w:val="none"/>
        </w:rPr>
      </w:pPr>
      <w:bookmarkStart w:id="175" w:name="_Toc25753"/>
      <w:bookmarkStart w:id="176" w:name="_Toc11217"/>
      <w:bookmarkStart w:id="177" w:name="_Toc8462"/>
      <w:bookmarkStart w:id="178" w:name="_Toc15515"/>
      <w:bookmarkStart w:id="179" w:name="_Toc26562"/>
      <w:r>
        <w:rPr>
          <w:rFonts w:hint="eastAsia" w:ascii="宋体" w:hAnsi="宋体" w:cs="宋体"/>
          <w:b/>
          <w:bCs/>
          <w:color w:val="auto"/>
          <w:szCs w:val="21"/>
          <w:highlight w:val="none"/>
        </w:rPr>
        <w:t>22. 开标程序</w:t>
      </w:r>
      <w:bookmarkEnd w:id="175"/>
      <w:bookmarkEnd w:id="176"/>
      <w:bookmarkEnd w:id="177"/>
      <w:bookmarkEnd w:id="178"/>
      <w:bookmarkEnd w:id="179"/>
    </w:p>
    <w:p w14:paraId="4CAD7ACC">
      <w:pPr>
        <w:keepNext w:val="0"/>
        <w:keepLines w:val="0"/>
        <w:pageBreakBefore w:val="0"/>
        <w:kinsoku/>
        <w:wordWrap/>
        <w:overflowPunct/>
        <w:topLinePunct w:val="0"/>
        <w:bidi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22.1开标准备</w:t>
      </w:r>
    </w:p>
    <w:p w14:paraId="1F1B6A80">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22.1.1.开标的准备工作由本中心负责落实；</w:t>
      </w:r>
    </w:p>
    <w:p w14:paraId="2193C115">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22.1.2.本中心将按照招标文件规定的时间通过“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3A40AC6A">
      <w:pPr>
        <w:keepNext w:val="0"/>
        <w:keepLines w:val="0"/>
        <w:pageBreakBefore w:val="0"/>
        <w:kinsoku/>
        <w:wordWrap/>
        <w:overflowPunct/>
        <w:topLinePunct w:val="0"/>
        <w:bidi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22.2开标程序</w:t>
      </w:r>
    </w:p>
    <w:p w14:paraId="0C9F3C1F">
      <w:pPr>
        <w:keepNext w:val="0"/>
        <w:keepLines w:val="0"/>
        <w:pageBreakBefore w:val="0"/>
        <w:kinsoku/>
        <w:wordWrap/>
        <w:overflowPunct/>
        <w:topLinePunct w:val="0"/>
        <w:bidi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22.2.1.向各投标供应商发出电子加密投标文件【开始解密】通知，由供应商按招标文件规定的时间内自行进行投标文件解密。投标供应商在规定的时间内无法完成已递交的“电子加密投标文件”解密的，如已按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投标人放弃投标。在线解密时间为 30 分钟。</w:t>
      </w:r>
    </w:p>
    <w:p w14:paraId="5FCF97AC">
      <w:pPr>
        <w:keepNext w:val="0"/>
        <w:keepLines w:val="0"/>
        <w:pageBreakBefore w:val="0"/>
        <w:kinsoku/>
        <w:wordWrap/>
        <w:overflowPunct/>
        <w:topLinePunct w:val="0"/>
        <w:bidi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22.2.2.投标文件解密结束后，开标活动组织人员在线开启投标文件。</w:t>
      </w:r>
    </w:p>
    <w:p w14:paraId="411D12FD">
      <w:pPr>
        <w:keepNext w:val="0"/>
        <w:keepLines w:val="0"/>
        <w:pageBreakBefore w:val="0"/>
        <w:kinsoku/>
        <w:wordWrap/>
        <w:overflowPunct/>
        <w:topLinePunct w:val="0"/>
        <w:bidi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22.2.3.开启投标人报价文件，开标活动组织人员宣读开标（报价）一览表有关内容，投标人代表如果认为宣读有误，可以当场提出异议。</w:t>
      </w:r>
    </w:p>
    <w:p w14:paraId="1FB3B158">
      <w:pPr>
        <w:keepNext w:val="0"/>
        <w:keepLines w:val="0"/>
        <w:pageBreakBefore w:val="0"/>
        <w:kinsoku/>
        <w:wordWrap/>
        <w:overflowPunct/>
        <w:topLinePunct w:val="0"/>
        <w:bidi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开标结束后，如发现开标结果与报价文件不一致者，由评标委员会根据报价文件内容进行修正。</w:t>
      </w:r>
    </w:p>
    <w:p w14:paraId="3C5697AE">
      <w:pPr>
        <w:keepNext w:val="0"/>
        <w:keepLines w:val="0"/>
        <w:pageBreakBefore w:val="0"/>
        <w:kinsoku/>
        <w:wordWrap/>
        <w:overflowPunct/>
        <w:topLinePunct w:val="0"/>
        <w:bidi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特别说明：如遇“政府采购云平台”电子化开标或评审程序调整的，按调整后程序执行。</w:t>
      </w:r>
    </w:p>
    <w:p w14:paraId="71CE4EE4">
      <w:pPr>
        <w:rPr>
          <w:color w:val="auto"/>
          <w:highlight w:val="none"/>
        </w:rPr>
      </w:pPr>
      <w:r>
        <w:rPr>
          <w:color w:val="auto"/>
          <w:highlight w:val="none"/>
        </w:rPr>
        <w:br w:type="page"/>
      </w:r>
    </w:p>
    <w:p w14:paraId="2D594B73">
      <w:pPr>
        <w:pStyle w:val="49"/>
        <w:keepNext w:val="0"/>
        <w:keepLines w:val="0"/>
        <w:pageBreakBefore w:val="0"/>
        <w:kinsoku/>
        <w:wordWrap/>
        <w:overflowPunct/>
        <w:topLinePunct w:val="0"/>
        <w:bidi w:val="0"/>
        <w:spacing w:line="440" w:lineRule="exact"/>
        <w:rPr>
          <w:color w:val="auto"/>
          <w:highlight w:val="none"/>
        </w:rPr>
      </w:pPr>
    </w:p>
    <w:p w14:paraId="4DCEE06B">
      <w:pPr>
        <w:keepNext w:val="0"/>
        <w:keepLines w:val="0"/>
        <w:pageBreakBefore w:val="0"/>
        <w:kinsoku/>
        <w:wordWrap/>
        <w:overflowPunct/>
        <w:topLinePunct w:val="0"/>
        <w:bidi w:val="0"/>
        <w:spacing w:line="440" w:lineRule="exact"/>
        <w:jc w:val="center"/>
        <w:outlineLvl w:val="1"/>
        <w:rPr>
          <w:rFonts w:ascii="宋体" w:hAnsi="宋体" w:cs="宋体"/>
          <w:b/>
          <w:color w:val="auto"/>
          <w:sz w:val="28"/>
          <w:szCs w:val="28"/>
          <w:highlight w:val="none"/>
        </w:rPr>
      </w:pPr>
      <w:bookmarkStart w:id="180" w:name="_Toc6290"/>
      <w:bookmarkStart w:id="181" w:name="_Toc5307"/>
      <w:bookmarkStart w:id="182" w:name="_Toc23919"/>
      <w:r>
        <w:rPr>
          <w:rFonts w:hint="eastAsia" w:ascii="宋体" w:hAnsi="宋体" w:cs="宋体"/>
          <w:b/>
          <w:color w:val="auto"/>
          <w:sz w:val="28"/>
          <w:szCs w:val="28"/>
          <w:highlight w:val="none"/>
        </w:rPr>
        <w:t>五、资格性审查</w:t>
      </w:r>
      <w:bookmarkEnd w:id="173"/>
      <w:bookmarkEnd w:id="174"/>
      <w:bookmarkEnd w:id="180"/>
      <w:bookmarkEnd w:id="181"/>
      <w:bookmarkEnd w:id="182"/>
    </w:p>
    <w:p w14:paraId="23578E69">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83" w:name="_Toc9770"/>
      <w:bookmarkStart w:id="184" w:name="_Toc9656"/>
      <w:bookmarkStart w:id="185" w:name="_Toc26297"/>
      <w:bookmarkStart w:id="186" w:name="_Toc13578"/>
      <w:r>
        <w:rPr>
          <w:rFonts w:hint="eastAsia" w:ascii="宋体" w:hAnsi="宋体" w:cs="宋体"/>
          <w:b/>
          <w:color w:val="auto"/>
          <w:szCs w:val="21"/>
          <w:highlight w:val="none"/>
        </w:rPr>
        <w:t>23. 资格性审查</w:t>
      </w:r>
      <w:bookmarkEnd w:id="183"/>
      <w:bookmarkEnd w:id="184"/>
      <w:bookmarkEnd w:id="185"/>
      <w:bookmarkEnd w:id="186"/>
    </w:p>
    <w:p w14:paraId="32525801">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23.1公开招标采购项目开标结束后，采购人应当依法对投标人的资格进行审查。合格投标人不足3家的，不得评标。</w:t>
      </w:r>
    </w:p>
    <w:p w14:paraId="5D27DFE8">
      <w:pPr>
        <w:keepNext w:val="0"/>
        <w:keepLines w:val="0"/>
        <w:pageBreakBefore w:val="0"/>
        <w:kinsoku/>
        <w:wordWrap/>
        <w:overflowPunct/>
        <w:topLinePunct w:val="0"/>
        <w:bidi w:val="0"/>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23.2</w:t>
      </w:r>
      <w:r>
        <w:rPr>
          <w:rFonts w:hint="eastAsia" w:ascii="宋体" w:hAnsi="宋体" w:cs="宋体"/>
          <w:b/>
          <w:bCs/>
          <w:color w:val="auto"/>
          <w:szCs w:val="21"/>
          <w:highlight w:val="none"/>
        </w:rPr>
        <w:t>采购人或者采购代理机构</w:t>
      </w:r>
      <w:r>
        <w:rPr>
          <w:rFonts w:hint="eastAsia" w:ascii="宋体" w:hAnsi="宋体" w:cs="宋体"/>
          <w:b/>
          <w:color w:val="auto"/>
          <w:szCs w:val="21"/>
          <w:highlight w:val="none"/>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5EE27728">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查询渠道：《国家企业信用信息公示系统》（网址：www.gsxt.gov.cn/index.html）</w:t>
      </w:r>
    </w:p>
    <w:p w14:paraId="70C7ACD0">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审查流程：</w:t>
      </w:r>
    </w:p>
    <w:p w14:paraId="533E7811">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（1）进入《国家企业信用信息公示系统》（网址：www.gsxt.gov.cn/index.html），输入企业名称，进入企业信息主页面；</w:t>
      </w:r>
    </w:p>
    <w:p w14:paraId="52B3140B">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（2）查看主页“股东及出资信息”栏，或年报中的“股东及出资信息”栏信息；</w:t>
      </w:r>
    </w:p>
    <w:p w14:paraId="2341B895">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（3）将各投标人的股东及出资信息进行比对，得出审查结论；</w:t>
      </w:r>
    </w:p>
    <w:p w14:paraId="4E27A7A2">
      <w:pPr>
        <w:keepNext w:val="0"/>
        <w:keepLines w:val="0"/>
        <w:pageBreakBefore w:val="0"/>
        <w:kinsoku/>
        <w:wordWrap/>
        <w:overflowPunct/>
        <w:topLinePunct w:val="0"/>
        <w:bidi w:val="0"/>
        <w:snapToGrid w:val="0"/>
        <w:spacing w:line="44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（4）将相关资料作为评审资料打印存档。</w:t>
      </w:r>
      <w:bookmarkStart w:id="187" w:name="_Toc3415"/>
      <w:bookmarkStart w:id="188" w:name="_Toc495841759"/>
    </w:p>
    <w:p w14:paraId="056A6BEF">
      <w:pPr>
        <w:keepNext w:val="0"/>
        <w:keepLines w:val="0"/>
        <w:pageBreakBefore w:val="0"/>
        <w:kinsoku/>
        <w:wordWrap/>
        <w:overflowPunct/>
        <w:topLinePunct w:val="0"/>
        <w:bidi w:val="0"/>
        <w:spacing w:line="440" w:lineRule="exact"/>
        <w:jc w:val="center"/>
        <w:outlineLvl w:val="1"/>
        <w:rPr>
          <w:rFonts w:ascii="宋体" w:hAnsi="宋体" w:cs="宋体"/>
          <w:b/>
          <w:color w:val="auto"/>
          <w:sz w:val="28"/>
          <w:szCs w:val="28"/>
          <w:highlight w:val="none"/>
        </w:rPr>
      </w:pPr>
      <w:bookmarkStart w:id="189" w:name="_Toc6984"/>
      <w:bookmarkStart w:id="190" w:name="_Toc18708"/>
      <w:bookmarkStart w:id="191" w:name="_Toc32155"/>
      <w:r>
        <w:rPr>
          <w:rFonts w:hint="eastAsia" w:ascii="宋体" w:hAnsi="宋体" w:cs="宋体"/>
          <w:b/>
          <w:color w:val="auto"/>
          <w:sz w:val="28"/>
          <w:szCs w:val="28"/>
          <w:highlight w:val="none"/>
        </w:rPr>
        <w:t>六、评标</w:t>
      </w:r>
      <w:bookmarkEnd w:id="187"/>
      <w:bookmarkEnd w:id="188"/>
      <w:bookmarkEnd w:id="189"/>
      <w:bookmarkEnd w:id="190"/>
      <w:bookmarkEnd w:id="191"/>
    </w:p>
    <w:p w14:paraId="56A853EF">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92" w:name="_Toc27261"/>
      <w:bookmarkStart w:id="193" w:name="_Toc2986"/>
      <w:bookmarkStart w:id="194" w:name="_Toc14749"/>
      <w:bookmarkStart w:id="195" w:name="_Toc21232"/>
      <w:r>
        <w:rPr>
          <w:rFonts w:hint="eastAsia" w:ascii="宋体" w:hAnsi="宋体" w:cs="宋体"/>
          <w:b/>
          <w:color w:val="auto"/>
          <w:szCs w:val="21"/>
          <w:highlight w:val="none"/>
        </w:rPr>
        <w:t>24. 评标委员会组成</w:t>
      </w:r>
      <w:bookmarkEnd w:id="192"/>
      <w:bookmarkEnd w:id="193"/>
      <w:bookmarkEnd w:id="194"/>
      <w:bookmarkEnd w:id="195"/>
    </w:p>
    <w:p w14:paraId="3746E200">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评标委员会由采购人代表和有关技术、经济等方面的专家组成，成员人数共5人，其中采购人代表1人，技术、经济等专家4人。</w:t>
      </w:r>
    </w:p>
    <w:p w14:paraId="2E18DECF">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196" w:name="_Toc24437"/>
      <w:bookmarkStart w:id="197" w:name="_Toc21726"/>
      <w:bookmarkStart w:id="198" w:name="_Toc30841"/>
      <w:bookmarkStart w:id="199" w:name="_Toc26762"/>
      <w:r>
        <w:rPr>
          <w:rFonts w:hint="eastAsia" w:ascii="宋体" w:hAnsi="宋体" w:cs="宋体"/>
          <w:b/>
          <w:color w:val="auto"/>
          <w:szCs w:val="21"/>
          <w:highlight w:val="none"/>
        </w:rPr>
        <w:t>25. 评标</w:t>
      </w:r>
      <w:bookmarkEnd w:id="196"/>
      <w:r>
        <w:rPr>
          <w:rFonts w:hint="eastAsia" w:ascii="宋体" w:hAnsi="宋体" w:cs="宋体"/>
          <w:b/>
          <w:color w:val="auto"/>
          <w:szCs w:val="21"/>
          <w:highlight w:val="none"/>
        </w:rPr>
        <w:t>原则</w:t>
      </w:r>
      <w:bookmarkEnd w:id="197"/>
      <w:bookmarkEnd w:id="198"/>
      <w:bookmarkEnd w:id="199"/>
    </w:p>
    <w:p w14:paraId="4AA356C4">
      <w:pPr>
        <w:keepNext w:val="0"/>
        <w:keepLines w:val="0"/>
        <w:pageBreakBefore w:val="0"/>
        <w:tabs>
          <w:tab w:val="left" w:pos="1140"/>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25.1评标办法：综合评分法，具体评标内容及标准详见第四章。</w:t>
      </w:r>
    </w:p>
    <w:p w14:paraId="4B1F37B8">
      <w:pPr>
        <w:keepNext w:val="0"/>
        <w:keepLines w:val="0"/>
        <w:pageBreakBefore w:val="0"/>
        <w:tabs>
          <w:tab w:val="left" w:pos="1140"/>
        </w:tabs>
        <w:kinsoku/>
        <w:wordWrap/>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szCs w:val="21"/>
          <w:highlight w:val="none"/>
        </w:rPr>
        <w:t>25.2评标委员会应按招标文件进行评标，不得擅自更改评标办法。</w:t>
      </w:r>
    </w:p>
    <w:p w14:paraId="40B9AF3E">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00" w:name="_Toc32561"/>
      <w:bookmarkStart w:id="201" w:name="_Toc31182"/>
      <w:bookmarkStart w:id="202" w:name="_Toc20321"/>
      <w:bookmarkStart w:id="203" w:name="_Toc19085"/>
      <w:r>
        <w:rPr>
          <w:rFonts w:hint="eastAsia" w:ascii="宋体" w:hAnsi="宋体" w:cs="宋体"/>
          <w:b/>
          <w:color w:val="auto"/>
          <w:szCs w:val="21"/>
          <w:highlight w:val="none"/>
        </w:rPr>
        <w:t>26. 评标</w:t>
      </w:r>
      <w:bookmarkEnd w:id="200"/>
      <w:bookmarkEnd w:id="201"/>
      <w:bookmarkEnd w:id="202"/>
      <w:bookmarkEnd w:id="203"/>
    </w:p>
    <w:p w14:paraId="40D5EC6E">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w:t>
      </w:r>
      <w:r>
        <w:rPr>
          <w:rFonts w:hint="eastAsia" w:ascii="宋体" w:hAnsi="宋体" w:cs="宋体"/>
          <w:color w:val="auto"/>
          <w:szCs w:val="21"/>
          <w:highlight w:val="none"/>
          <w:lang w:val="en-US" w:eastAsia="zh-CN"/>
        </w:rPr>
        <w:t>本级</w:t>
      </w:r>
      <w:r>
        <w:rPr>
          <w:rFonts w:hint="eastAsia" w:ascii="宋体" w:hAnsi="宋体" w:cs="宋体"/>
          <w:color w:val="auto"/>
          <w:szCs w:val="21"/>
          <w:highlight w:val="none"/>
        </w:rPr>
        <w:t>财政部门报告；评标工作完成后，按照规定向评标专家支付劳务报酬和异地评审差旅费，不得向评标专家以外的其他人员支付评审劳务报酬。</w:t>
      </w:r>
    </w:p>
    <w:p w14:paraId="34F78699">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中标供应商；向采购人、采购代理机构或者有关部门报告评标中发现的违法行为。</w:t>
      </w:r>
    </w:p>
    <w:p w14:paraId="2709A9B8">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26.3在评标过程中，评标委员会任何人不得对某个投标人发表任何倾向性意见，不得向其他专家评委明示或者暗示自己的评审意见。</w:t>
      </w:r>
    </w:p>
    <w:p w14:paraId="2C1783AB">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26.4评标委员会应当对符合资格的投标人的投标文件进行符合性审查，以确定其是否满足招标文件的实质性要求。</w:t>
      </w:r>
    </w:p>
    <w:p w14:paraId="65B2E435">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26.5对于投标文件中含义不明确、同类问题表述不一致、有明显文字和计算错误或属于投标人疏忽、笔误所造成差错的内容，评标委员会应当以书面形式要求投标人作出必要的澄清、说明或者补正。</w:t>
      </w:r>
    </w:p>
    <w:p w14:paraId="4DB43AFF">
      <w:pPr>
        <w:keepNext w:val="0"/>
        <w:keepLines w:val="0"/>
        <w:pageBreakBefore w:val="0"/>
        <w:tabs>
          <w:tab w:val="left" w:pos="1140"/>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4770C993">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26.6评标委员会应当按照招标文件中规定的评标方法和标准，对符合性审查合格的投标文件进行商务和技术评估，综合比较与评价。</w:t>
      </w:r>
    </w:p>
    <w:p w14:paraId="3D91B3AF">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26.7投标文件报价出现前后不一致的，除招标文件另有规定外，按照下列规定修正：</w:t>
      </w:r>
    </w:p>
    <w:p w14:paraId="4FAE53A7">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（1）投标文件中投标报价表内容与投标文件中相应内容不一致的，以投标报价表为准；</w:t>
      </w:r>
    </w:p>
    <w:p w14:paraId="47D4598B">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8933D65">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9CE7746">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D24891E">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312E94E8">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26.8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CB9C0A">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26.9评标委员会成员对需要共同认定的事项存在争议的，应当按照少数服从多数的原则作出结论。持不同意见的评标委员会成员应当在评标报告上签署不同意见及理由，否则视为同意评标报告。</w:t>
      </w:r>
    </w:p>
    <w:p w14:paraId="44BFAE35">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26.10评标结果汇总完成后，除下列情形外，任何人不得修改评标结果：</w:t>
      </w:r>
    </w:p>
    <w:p w14:paraId="607F5681">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（一）分值汇总计算错误的；</w:t>
      </w:r>
    </w:p>
    <w:p w14:paraId="70CA5AD6">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（二）分项评分超出评分标准范围的；</w:t>
      </w:r>
    </w:p>
    <w:p w14:paraId="0E63787F">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（三）评标委员会成员对客观评审因素评分不一致的；</w:t>
      </w:r>
    </w:p>
    <w:p w14:paraId="331D2EB4">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（四）经评标委员会认定评分畸高、畸低的。</w:t>
      </w:r>
    </w:p>
    <w:p w14:paraId="5D0093F2">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w:t>
      </w:r>
      <w:r>
        <w:rPr>
          <w:rFonts w:hint="eastAsia" w:ascii="宋体" w:hAnsi="宋体" w:cs="宋体"/>
          <w:color w:val="auto"/>
          <w:szCs w:val="21"/>
          <w:highlight w:val="none"/>
          <w:lang w:val="en-US" w:eastAsia="zh-CN"/>
        </w:rPr>
        <w:t>本级</w:t>
      </w:r>
      <w:r>
        <w:rPr>
          <w:rFonts w:hint="eastAsia" w:ascii="宋体" w:hAnsi="宋体" w:cs="宋体"/>
          <w:color w:val="auto"/>
          <w:szCs w:val="21"/>
          <w:highlight w:val="none"/>
        </w:rPr>
        <w:t>财政部门。</w:t>
      </w:r>
    </w:p>
    <w:p w14:paraId="0BF448C6">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投标人对本条第一款情形提出质疑的，采购人或者采购代理机构可以组织原评标委员会进行重新评审，重新评审改变评标结果的，应当书面报告</w:t>
      </w:r>
      <w:r>
        <w:rPr>
          <w:rFonts w:hint="eastAsia" w:ascii="宋体" w:hAnsi="宋体" w:cs="宋体"/>
          <w:color w:val="auto"/>
          <w:szCs w:val="21"/>
          <w:highlight w:val="none"/>
          <w:lang w:val="en-US" w:eastAsia="zh-CN"/>
        </w:rPr>
        <w:t>本级</w:t>
      </w:r>
      <w:r>
        <w:rPr>
          <w:rFonts w:hint="eastAsia" w:ascii="宋体" w:hAnsi="宋体" w:cs="宋体"/>
          <w:color w:val="auto"/>
          <w:szCs w:val="21"/>
          <w:highlight w:val="none"/>
        </w:rPr>
        <w:t>财政部门。</w:t>
      </w:r>
    </w:p>
    <w:p w14:paraId="724291AD">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26.11采购代理机构发现评标委员会有明显的违规倾向或歧视现象，或不按评标办法进行，或其他不正常行为的，应当及时制止。如制止无效，应及时向</w:t>
      </w:r>
      <w:r>
        <w:rPr>
          <w:rFonts w:hint="eastAsia" w:ascii="宋体" w:hAnsi="宋体" w:cs="宋体"/>
          <w:color w:val="auto"/>
          <w:szCs w:val="21"/>
          <w:highlight w:val="none"/>
          <w:lang w:val="en-US" w:eastAsia="zh-CN"/>
        </w:rPr>
        <w:t>本级</w:t>
      </w:r>
      <w:r>
        <w:rPr>
          <w:rFonts w:hint="eastAsia" w:ascii="宋体" w:hAnsi="宋体" w:cs="宋体"/>
          <w:color w:val="auto"/>
          <w:szCs w:val="21"/>
          <w:highlight w:val="none"/>
        </w:rPr>
        <w:t>财政部门报告。</w:t>
      </w:r>
    </w:p>
    <w:p w14:paraId="32010841">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04" w:name="_Toc11289"/>
      <w:bookmarkStart w:id="205" w:name="_Toc30450"/>
      <w:bookmarkStart w:id="206" w:name="_Toc21639"/>
      <w:bookmarkStart w:id="207" w:name="_Toc11811"/>
      <w:r>
        <w:rPr>
          <w:rFonts w:hint="eastAsia" w:ascii="宋体" w:hAnsi="宋体" w:cs="宋体"/>
          <w:b/>
          <w:color w:val="auto"/>
          <w:szCs w:val="21"/>
          <w:highlight w:val="none"/>
        </w:rPr>
        <w:t>27. 推荐及确定中标候选供应商原则</w:t>
      </w:r>
      <w:bookmarkEnd w:id="204"/>
      <w:bookmarkEnd w:id="205"/>
      <w:bookmarkEnd w:id="206"/>
      <w:bookmarkEnd w:id="207"/>
    </w:p>
    <w:p w14:paraId="03DB51D3">
      <w:pPr>
        <w:keepNext w:val="0"/>
        <w:keepLines w:val="0"/>
        <w:pageBreakBefore w:val="0"/>
        <w:tabs>
          <w:tab w:val="left" w:pos="4214"/>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hAnsi="宋体" w:cs="宋体"/>
          <w:color w:val="auto"/>
          <w:szCs w:val="21"/>
          <w:highlight w:val="none"/>
        </w:rPr>
        <w:t>（1）评标委员会根据综合得分由高到低排列次序，若得分相同时，按评标报价由低到高顺序排列；得分相同且评标报价也相同的，</w:t>
      </w:r>
      <w:r>
        <w:rPr>
          <w:rFonts w:hint="eastAsia" w:ascii="宋体" w:hAnsi="宋体" w:cs="宋体"/>
          <w:color w:val="auto"/>
          <w:szCs w:val="21"/>
          <w:highlight w:val="none"/>
        </w:rPr>
        <w:t>以</w:t>
      </w:r>
      <w:r>
        <w:rPr>
          <w:rFonts w:hint="eastAsia" w:hAnsi="宋体" w:cs="宋体"/>
          <w:color w:val="auto"/>
          <w:szCs w:val="21"/>
          <w:highlight w:val="none"/>
        </w:rPr>
        <w:t>综合性能</w:t>
      </w:r>
      <w:r>
        <w:rPr>
          <w:rFonts w:hint="eastAsia" w:ascii="宋体" w:hAnsi="宋体" w:cs="宋体"/>
          <w:color w:val="auto"/>
          <w:szCs w:val="21"/>
          <w:highlight w:val="none"/>
        </w:rPr>
        <w:t>分由</w:t>
      </w:r>
      <w:r>
        <w:rPr>
          <w:rFonts w:hint="eastAsia" w:hAnsi="宋体" w:cs="宋体"/>
          <w:color w:val="auto"/>
          <w:szCs w:val="21"/>
          <w:highlight w:val="none"/>
        </w:rPr>
        <w:t>高</w:t>
      </w:r>
      <w:r>
        <w:rPr>
          <w:rFonts w:hint="eastAsia" w:ascii="宋体" w:hAnsi="宋体" w:cs="宋体"/>
          <w:color w:val="auto"/>
          <w:szCs w:val="21"/>
          <w:highlight w:val="none"/>
        </w:rPr>
        <w:t>到</w:t>
      </w:r>
      <w:r>
        <w:rPr>
          <w:rFonts w:hint="eastAsia" w:hAnsi="宋体" w:cs="宋体"/>
          <w:color w:val="auto"/>
          <w:szCs w:val="21"/>
          <w:highlight w:val="none"/>
        </w:rPr>
        <w:t>低</w:t>
      </w:r>
      <w:r>
        <w:rPr>
          <w:rFonts w:hint="eastAsia" w:ascii="宋体" w:hAnsi="宋体" w:cs="宋体"/>
          <w:color w:val="auto"/>
          <w:szCs w:val="21"/>
          <w:highlight w:val="none"/>
        </w:rPr>
        <w:t>顺序排列；</w:t>
      </w:r>
      <w:r>
        <w:rPr>
          <w:rFonts w:hint="eastAsia" w:hAnsi="宋体" w:cs="宋体"/>
          <w:color w:val="auto"/>
          <w:szCs w:val="21"/>
          <w:highlight w:val="none"/>
        </w:rPr>
        <w:t>若仍相同的，以信誉业绩分</w:t>
      </w:r>
      <w:r>
        <w:rPr>
          <w:rFonts w:hint="eastAsia" w:ascii="宋体" w:hAnsi="宋体" w:cs="宋体"/>
          <w:color w:val="auto"/>
          <w:szCs w:val="21"/>
          <w:highlight w:val="none"/>
        </w:rPr>
        <w:t>由</w:t>
      </w:r>
      <w:r>
        <w:rPr>
          <w:rFonts w:hint="eastAsia" w:hAnsi="宋体" w:cs="宋体"/>
          <w:color w:val="auto"/>
          <w:szCs w:val="21"/>
          <w:highlight w:val="none"/>
        </w:rPr>
        <w:t>高</w:t>
      </w:r>
      <w:r>
        <w:rPr>
          <w:rFonts w:hint="eastAsia" w:ascii="宋体" w:hAnsi="宋体" w:cs="宋体"/>
          <w:color w:val="auto"/>
          <w:szCs w:val="21"/>
          <w:highlight w:val="none"/>
        </w:rPr>
        <w:t>到</w:t>
      </w:r>
      <w:r>
        <w:rPr>
          <w:rFonts w:hint="eastAsia" w:hAnsi="宋体" w:cs="宋体"/>
          <w:color w:val="auto"/>
          <w:szCs w:val="21"/>
          <w:highlight w:val="none"/>
        </w:rPr>
        <w:t>低</w:t>
      </w:r>
      <w:r>
        <w:rPr>
          <w:rFonts w:hint="eastAsia" w:ascii="宋体" w:hAnsi="宋体" w:cs="宋体"/>
          <w:color w:val="auto"/>
          <w:szCs w:val="21"/>
          <w:highlight w:val="none"/>
        </w:rPr>
        <w:t>顺序排列；</w:t>
      </w:r>
      <w:r>
        <w:rPr>
          <w:rFonts w:hint="eastAsia" w:hAnsi="宋体" w:cs="宋体"/>
          <w:color w:val="auto"/>
          <w:szCs w:val="21"/>
          <w:highlight w:val="none"/>
        </w:rPr>
        <w:t>若仍相同的则由评标委员会按照抽签的方式决定排列次序。</w:t>
      </w:r>
    </w:p>
    <w:p w14:paraId="111A00BA">
      <w:pPr>
        <w:keepNext w:val="0"/>
        <w:keepLines w:val="0"/>
        <w:pageBreakBefore w:val="0"/>
        <w:tabs>
          <w:tab w:val="left" w:pos="4214"/>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（2）评标委员会可推荐前三名为中标候选供应商，采购人应当确定评标委员会推荐排名第一的中标候选供应商为中标供应商。</w:t>
      </w:r>
    </w:p>
    <w:p w14:paraId="12FD0F48">
      <w:pPr>
        <w:keepNext w:val="0"/>
        <w:keepLines w:val="0"/>
        <w:pageBreakBefore w:val="0"/>
        <w:kinsoku/>
        <w:wordWrap/>
        <w:overflowPunct/>
        <w:topLinePunct w:val="0"/>
        <w:bidi w:val="0"/>
        <w:spacing w:line="440" w:lineRule="exact"/>
        <w:ind w:firstLine="447" w:firstLineChars="213"/>
        <w:rPr>
          <w:rFonts w:ascii="宋体" w:hAnsi="宋体" w:cs="宋体"/>
          <w:color w:val="auto"/>
          <w:szCs w:val="21"/>
          <w:highlight w:val="none"/>
        </w:rPr>
      </w:pPr>
      <w:r>
        <w:rPr>
          <w:rFonts w:hint="eastAsia" w:ascii="宋体" w:hAnsi="宋体" w:cs="宋体"/>
          <w:color w:val="auto"/>
          <w:szCs w:val="21"/>
          <w:highlight w:val="none"/>
        </w:rPr>
        <w:t>（3）排名第一的中标候选供应商放弃中标、因不可抗力提出不能履行合同，或因失信行为被取消中标候选供应商资格的，采购人可以确定排名第二的中标候选供应商为中标供应商，并依此类推。</w:t>
      </w:r>
    </w:p>
    <w:p w14:paraId="0D05738B">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08" w:name="_Toc10425"/>
      <w:bookmarkStart w:id="209" w:name="_Toc7479"/>
      <w:bookmarkStart w:id="210" w:name="_Toc1836"/>
      <w:bookmarkStart w:id="211" w:name="_Toc31123"/>
      <w:r>
        <w:rPr>
          <w:rFonts w:hint="eastAsia" w:ascii="宋体" w:hAnsi="宋体" w:cs="宋体"/>
          <w:b/>
          <w:color w:val="auto"/>
          <w:szCs w:val="21"/>
          <w:highlight w:val="none"/>
        </w:rPr>
        <w:t>28. 属于下列情况之一者，投标无效</w:t>
      </w:r>
      <w:bookmarkEnd w:id="208"/>
      <w:bookmarkEnd w:id="209"/>
      <w:bookmarkEnd w:id="210"/>
      <w:bookmarkEnd w:id="211"/>
    </w:p>
    <w:p w14:paraId="7F1C1705">
      <w:pPr>
        <w:keepNext w:val="0"/>
        <w:keepLines w:val="0"/>
        <w:pageBreakBefore w:val="0"/>
        <w:kinsoku/>
        <w:wordWrap/>
        <w:overflowPunct/>
        <w:topLinePunct w:val="0"/>
        <w:bidi w:val="0"/>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（1）未按照招标文件规定要求签字、盖章的；</w:t>
      </w:r>
    </w:p>
    <w:p w14:paraId="0870B12D">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（2）报价超过招标文件中规定的预算金额的；</w:t>
      </w:r>
    </w:p>
    <w:p w14:paraId="5BBBF138">
      <w:pPr>
        <w:keepNext w:val="0"/>
        <w:keepLines w:val="0"/>
        <w:pageBreakBefore w:val="0"/>
        <w:kinsoku/>
        <w:wordWrap/>
        <w:overflowPunct/>
        <w:topLinePunct w:val="0"/>
        <w:bidi w:val="0"/>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（3）不具备招标文件中规定的资格要求的</w:t>
      </w:r>
      <w:r>
        <w:rPr>
          <w:rFonts w:hint="eastAsia" w:ascii="宋体" w:hAnsi="宋体" w:cs="宋体"/>
          <w:color w:val="auto"/>
          <w:highlight w:val="none"/>
        </w:rPr>
        <w:t>；</w:t>
      </w:r>
    </w:p>
    <w:p w14:paraId="744B4249">
      <w:pPr>
        <w:keepNext w:val="0"/>
        <w:keepLines w:val="0"/>
        <w:pageBreakBefore w:val="0"/>
        <w:kinsoku/>
        <w:wordWrap/>
        <w:overflowPunct/>
        <w:topLinePunct w:val="0"/>
        <w:bidi w:val="0"/>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（4）投标文件含有采购人不能接受的附加条件的；</w:t>
      </w:r>
    </w:p>
    <w:p w14:paraId="72B66625">
      <w:pPr>
        <w:keepNext w:val="0"/>
        <w:keepLines w:val="0"/>
        <w:pageBreakBefore w:val="0"/>
        <w:kinsoku/>
        <w:wordWrap/>
        <w:overflowPunct/>
        <w:topLinePunct w:val="0"/>
        <w:bidi w:val="0"/>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（5）投标文件未按招标文件的内容和要求编制，或提供虚假材料的；</w:t>
      </w:r>
    </w:p>
    <w:p w14:paraId="4F46F706">
      <w:pPr>
        <w:keepNext w:val="0"/>
        <w:keepLines w:val="0"/>
        <w:pageBreakBefore w:val="0"/>
        <w:kinsoku/>
        <w:wordWrap/>
        <w:overflowPunct/>
        <w:topLinePunct w:val="0"/>
        <w:bidi w:val="0"/>
        <w:snapToGrid w:val="0"/>
        <w:spacing w:line="440" w:lineRule="exact"/>
        <w:ind w:firstLine="411" w:firstLineChars="196"/>
        <w:rPr>
          <w:rFonts w:ascii="宋体" w:hAnsi="宋体" w:cs="宋体"/>
          <w:color w:val="auto"/>
          <w:highlight w:val="none"/>
        </w:rPr>
      </w:pPr>
      <w:r>
        <w:rPr>
          <w:rFonts w:hint="eastAsia" w:ascii="宋体" w:hAnsi="宋体" w:cs="宋体"/>
          <w:color w:val="auto"/>
          <w:szCs w:val="21"/>
          <w:highlight w:val="none"/>
        </w:rPr>
        <w:t>（6）</w:t>
      </w:r>
      <w:r>
        <w:rPr>
          <w:rFonts w:hint="eastAsia" w:ascii="宋体" w:hAnsi="宋体" w:cs="宋体"/>
          <w:color w:val="auto"/>
          <w:highlight w:val="none"/>
        </w:rPr>
        <w:t>投标</w:t>
      </w:r>
      <w:r>
        <w:rPr>
          <w:rFonts w:hint="eastAsia" w:ascii="宋体" w:hAnsi="宋体" w:cs="宋体"/>
          <w:color w:val="auto"/>
          <w:szCs w:val="21"/>
          <w:highlight w:val="none"/>
        </w:rPr>
        <w:t>人未就“货物采购需求”中的所有内容作完整唯一报价的</w:t>
      </w:r>
      <w:r>
        <w:rPr>
          <w:rFonts w:hint="eastAsia" w:ascii="宋体" w:hAnsi="宋体" w:cs="宋体"/>
          <w:color w:val="auto"/>
          <w:highlight w:val="none"/>
        </w:rPr>
        <w:t>；</w:t>
      </w:r>
    </w:p>
    <w:p w14:paraId="6C7F2A8D">
      <w:pPr>
        <w:keepNext w:val="0"/>
        <w:keepLines w:val="0"/>
        <w:pageBreakBefore w:val="0"/>
        <w:kinsoku/>
        <w:wordWrap/>
        <w:overflowPunct/>
        <w:topLinePunct w:val="0"/>
        <w:bidi w:val="0"/>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（7）未完全响应招标文件实质性要求的；</w:t>
      </w:r>
    </w:p>
    <w:p w14:paraId="0F22CBAD">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（8）法律、法规和招标文件规定的其他无效情形。</w:t>
      </w:r>
    </w:p>
    <w:p w14:paraId="297291F4">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12" w:name="_Toc15081"/>
      <w:bookmarkStart w:id="213" w:name="_Toc22590"/>
      <w:bookmarkStart w:id="214" w:name="_Toc27046"/>
      <w:bookmarkStart w:id="215" w:name="_Toc26364"/>
      <w:r>
        <w:rPr>
          <w:rFonts w:hint="eastAsia" w:ascii="宋体" w:hAnsi="宋体" w:cs="宋体"/>
          <w:b/>
          <w:color w:val="auto"/>
          <w:szCs w:val="21"/>
          <w:highlight w:val="none"/>
        </w:rPr>
        <w:t>29. 投标人有下列情形之一的，视为串通投标，投标文件将被视为无效</w:t>
      </w:r>
      <w:bookmarkEnd w:id="212"/>
      <w:bookmarkEnd w:id="213"/>
      <w:bookmarkEnd w:id="214"/>
      <w:bookmarkEnd w:id="215"/>
    </w:p>
    <w:p w14:paraId="425037DD">
      <w:pPr>
        <w:keepNext w:val="0"/>
        <w:keepLines w:val="0"/>
        <w:pageBreakBefore w:val="0"/>
        <w:kinsoku/>
        <w:wordWrap/>
        <w:overflowPunct/>
        <w:topLinePunct w:val="0"/>
        <w:bidi w:val="0"/>
        <w:snapToGrid w:val="0"/>
        <w:spacing w:line="440" w:lineRule="exact"/>
        <w:ind w:left="355" w:leftChars="169" w:firstLine="102" w:firstLineChars="49"/>
        <w:rPr>
          <w:rFonts w:ascii="宋体" w:hAnsi="宋体" w:cs="宋体"/>
          <w:color w:val="auto"/>
          <w:highlight w:val="none"/>
        </w:rPr>
      </w:pPr>
      <w:r>
        <w:rPr>
          <w:rFonts w:hint="eastAsia" w:ascii="宋体" w:hAnsi="宋体" w:cs="宋体"/>
          <w:color w:val="auto"/>
          <w:highlight w:val="none"/>
        </w:rPr>
        <w:t>（1）不同投标人的投标文件由同一单位或者个人编制；</w:t>
      </w:r>
    </w:p>
    <w:p w14:paraId="114960AF">
      <w:pPr>
        <w:keepNext w:val="0"/>
        <w:keepLines w:val="0"/>
        <w:pageBreakBefore w:val="0"/>
        <w:kinsoku/>
        <w:wordWrap/>
        <w:overflowPunct/>
        <w:topLinePunct w:val="0"/>
        <w:bidi w:val="0"/>
        <w:snapToGrid w:val="0"/>
        <w:spacing w:line="440" w:lineRule="exact"/>
        <w:ind w:left="355" w:leftChars="169" w:firstLine="102" w:firstLineChars="49"/>
        <w:rPr>
          <w:rFonts w:ascii="宋体" w:hAnsi="宋体" w:cs="宋体"/>
          <w:color w:val="auto"/>
          <w:highlight w:val="none"/>
        </w:rPr>
      </w:pPr>
      <w:r>
        <w:rPr>
          <w:rFonts w:hint="eastAsia" w:ascii="宋体" w:hAnsi="宋体" w:cs="宋体"/>
          <w:color w:val="auto"/>
          <w:highlight w:val="none"/>
        </w:rPr>
        <w:t>（2）不同投标人委托同一单位或者个人办理投标事宜；</w:t>
      </w:r>
    </w:p>
    <w:p w14:paraId="6053B3C7">
      <w:pPr>
        <w:keepNext w:val="0"/>
        <w:keepLines w:val="0"/>
        <w:pageBreakBefore w:val="0"/>
        <w:kinsoku/>
        <w:wordWrap/>
        <w:overflowPunct/>
        <w:topLinePunct w:val="0"/>
        <w:bidi w:val="0"/>
        <w:snapToGrid w:val="0"/>
        <w:spacing w:line="440" w:lineRule="exact"/>
        <w:ind w:left="355" w:leftChars="169" w:firstLine="102" w:firstLineChars="49"/>
        <w:rPr>
          <w:rFonts w:ascii="宋体" w:hAnsi="宋体" w:cs="宋体"/>
          <w:color w:val="auto"/>
          <w:highlight w:val="none"/>
        </w:rPr>
      </w:pPr>
      <w:r>
        <w:rPr>
          <w:rFonts w:hint="eastAsia" w:ascii="宋体" w:hAnsi="宋体" w:cs="宋体"/>
          <w:color w:val="auto"/>
          <w:highlight w:val="none"/>
        </w:rPr>
        <w:t>（3）不同的投标人的投标文件载明的项目管理员或者联系人员为同一个人；</w:t>
      </w:r>
    </w:p>
    <w:p w14:paraId="565C90C6">
      <w:pPr>
        <w:keepNext w:val="0"/>
        <w:keepLines w:val="0"/>
        <w:pageBreakBefore w:val="0"/>
        <w:kinsoku/>
        <w:wordWrap/>
        <w:overflowPunct/>
        <w:topLinePunct w:val="0"/>
        <w:bidi w:val="0"/>
        <w:snapToGrid w:val="0"/>
        <w:spacing w:line="440" w:lineRule="exact"/>
        <w:ind w:left="355" w:leftChars="169" w:firstLine="102" w:firstLineChars="49"/>
        <w:rPr>
          <w:rFonts w:ascii="宋体" w:hAnsi="宋体" w:cs="宋体"/>
          <w:color w:val="auto"/>
          <w:highlight w:val="none"/>
        </w:rPr>
      </w:pPr>
      <w:r>
        <w:rPr>
          <w:rFonts w:hint="eastAsia" w:ascii="宋体" w:hAnsi="宋体" w:cs="宋体"/>
          <w:color w:val="auto"/>
          <w:highlight w:val="none"/>
        </w:rPr>
        <w:t xml:space="preserve">（4）不同投标人的投标文件异常一致或投标报价呈规律性差异； </w:t>
      </w:r>
    </w:p>
    <w:p w14:paraId="390EF39E">
      <w:pPr>
        <w:keepNext w:val="0"/>
        <w:keepLines w:val="0"/>
        <w:pageBreakBefore w:val="0"/>
        <w:kinsoku/>
        <w:wordWrap/>
        <w:overflowPunct/>
        <w:topLinePunct w:val="0"/>
        <w:bidi w:val="0"/>
        <w:snapToGrid w:val="0"/>
        <w:spacing w:line="440" w:lineRule="exact"/>
        <w:ind w:left="355" w:leftChars="169" w:firstLine="102" w:firstLineChars="49"/>
        <w:rPr>
          <w:rFonts w:ascii="宋体" w:hAnsi="宋体" w:cs="宋体"/>
          <w:color w:val="auto"/>
          <w:highlight w:val="none"/>
        </w:rPr>
      </w:pPr>
      <w:r>
        <w:rPr>
          <w:rFonts w:hint="eastAsia" w:ascii="宋体" w:hAnsi="宋体" w:cs="宋体"/>
          <w:color w:val="auto"/>
          <w:highlight w:val="none"/>
        </w:rPr>
        <w:t>（5）不同投标人的投标文件相互混编；</w:t>
      </w:r>
    </w:p>
    <w:p w14:paraId="7740BAB0">
      <w:pPr>
        <w:keepNext w:val="0"/>
        <w:keepLines w:val="0"/>
        <w:pageBreakBefore w:val="0"/>
        <w:kinsoku/>
        <w:wordWrap/>
        <w:overflowPunct/>
        <w:topLinePunct w:val="0"/>
        <w:bidi w:val="0"/>
        <w:snapToGrid w:val="0"/>
        <w:spacing w:line="440" w:lineRule="exact"/>
        <w:ind w:left="355" w:leftChars="169" w:firstLine="102" w:firstLineChars="49"/>
        <w:rPr>
          <w:rFonts w:ascii="宋体" w:hAnsi="宋体" w:cs="宋体"/>
          <w:color w:val="auto"/>
          <w:highlight w:val="none"/>
        </w:rPr>
      </w:pPr>
      <w:r>
        <w:rPr>
          <w:rFonts w:hint="eastAsia" w:ascii="宋体" w:hAnsi="宋体" w:cs="宋体"/>
          <w:color w:val="auto"/>
          <w:highlight w:val="none"/>
        </w:rPr>
        <w:t>（6）不同投标人的投标保证金从同一单位或者个人账户转出。</w:t>
      </w:r>
    </w:p>
    <w:p w14:paraId="0B0E4596">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16" w:name="_Toc19732"/>
      <w:bookmarkStart w:id="217" w:name="_Toc16182"/>
      <w:bookmarkStart w:id="218" w:name="_Toc18148"/>
      <w:bookmarkStart w:id="219" w:name="_Toc5437"/>
      <w:r>
        <w:rPr>
          <w:rFonts w:hint="eastAsia" w:ascii="宋体" w:hAnsi="宋体" w:cs="宋体"/>
          <w:b/>
          <w:color w:val="auto"/>
          <w:szCs w:val="21"/>
          <w:highlight w:val="none"/>
        </w:rPr>
        <w:t>30. 属于下列情形之一的，应予废标</w:t>
      </w:r>
      <w:bookmarkEnd w:id="216"/>
      <w:bookmarkEnd w:id="217"/>
      <w:bookmarkEnd w:id="218"/>
      <w:bookmarkEnd w:id="219"/>
    </w:p>
    <w:p w14:paraId="14E085FC">
      <w:pPr>
        <w:keepNext w:val="0"/>
        <w:keepLines w:val="0"/>
        <w:pageBreakBefore w:val="0"/>
        <w:tabs>
          <w:tab w:val="left" w:pos="840"/>
        </w:tabs>
        <w:kinsoku/>
        <w:wordWrap/>
        <w:overflowPunct/>
        <w:topLinePunct w:val="0"/>
        <w:bidi w:val="0"/>
        <w:snapToGrid w:val="0"/>
        <w:spacing w:line="440" w:lineRule="exact"/>
        <w:ind w:left="330" w:leftChars="157" w:firstLine="102" w:firstLineChars="49"/>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（1）符合专业条件的供应商或者对招标文件作实质响应的供应商不足3家的；</w:t>
      </w:r>
    </w:p>
    <w:p w14:paraId="488B1DC2">
      <w:pPr>
        <w:keepNext w:val="0"/>
        <w:keepLines w:val="0"/>
        <w:pageBreakBefore w:val="0"/>
        <w:tabs>
          <w:tab w:val="left" w:pos="840"/>
        </w:tabs>
        <w:kinsoku/>
        <w:wordWrap/>
        <w:overflowPunct/>
        <w:topLinePunct w:val="0"/>
        <w:bidi w:val="0"/>
        <w:snapToGrid w:val="0"/>
        <w:spacing w:line="440" w:lineRule="exact"/>
        <w:ind w:left="330" w:leftChars="157" w:firstLine="105" w:firstLineChars="5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05B1F857">
      <w:pPr>
        <w:keepNext w:val="0"/>
        <w:keepLines w:val="0"/>
        <w:pageBreakBefore w:val="0"/>
        <w:tabs>
          <w:tab w:val="left" w:pos="840"/>
        </w:tabs>
        <w:kinsoku/>
        <w:wordWrap/>
        <w:overflowPunct/>
        <w:topLinePunct w:val="0"/>
        <w:bidi w:val="0"/>
        <w:snapToGrid w:val="0"/>
        <w:spacing w:line="440" w:lineRule="exact"/>
        <w:ind w:left="330" w:leftChars="157" w:firstLine="105" w:firstLineChars="50"/>
        <w:rPr>
          <w:rFonts w:ascii="宋体" w:hAnsi="宋体" w:cs="宋体"/>
          <w:color w:val="auto"/>
          <w:highlight w:val="none"/>
        </w:rPr>
      </w:pPr>
      <w:r>
        <w:rPr>
          <w:rFonts w:hint="eastAsia" w:ascii="宋体" w:hAnsi="宋体" w:cs="宋体"/>
          <w:color w:val="auto"/>
          <w:highlight w:val="none"/>
        </w:rPr>
        <w:t>（3）采购文件内容违反国家有关强制性规定的；</w:t>
      </w:r>
    </w:p>
    <w:p w14:paraId="1DDC2F09">
      <w:pPr>
        <w:keepNext w:val="0"/>
        <w:keepLines w:val="0"/>
        <w:pageBreakBefore w:val="0"/>
        <w:tabs>
          <w:tab w:val="left" w:pos="840"/>
        </w:tabs>
        <w:kinsoku/>
        <w:wordWrap/>
        <w:overflowPunct/>
        <w:topLinePunct w:val="0"/>
        <w:bidi w:val="0"/>
        <w:snapToGrid w:val="0"/>
        <w:spacing w:line="440" w:lineRule="exact"/>
        <w:ind w:left="330" w:leftChars="157" w:firstLine="105" w:firstLineChars="50"/>
        <w:rPr>
          <w:rFonts w:ascii="宋体" w:hAnsi="宋体" w:cs="宋体"/>
          <w:color w:val="auto"/>
          <w:highlight w:val="none"/>
        </w:rPr>
      </w:pPr>
      <w:r>
        <w:rPr>
          <w:rFonts w:hint="eastAsia" w:ascii="宋体" w:hAnsi="宋体" w:cs="宋体"/>
          <w:color w:val="auto"/>
          <w:highlight w:val="none"/>
        </w:rPr>
        <w:t>（4）因重大变故，采购任务取消的。</w:t>
      </w:r>
    </w:p>
    <w:p w14:paraId="300E4CCA">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20" w:name="_Toc13917"/>
      <w:bookmarkStart w:id="221" w:name="_Toc32583"/>
      <w:bookmarkStart w:id="222" w:name="_Toc32529"/>
      <w:bookmarkStart w:id="223" w:name="_Toc28686"/>
      <w:r>
        <w:rPr>
          <w:rFonts w:hint="eastAsia" w:ascii="宋体" w:hAnsi="宋体" w:cs="宋体"/>
          <w:b/>
          <w:color w:val="auto"/>
          <w:szCs w:val="21"/>
          <w:highlight w:val="none"/>
        </w:rPr>
        <w:t>31. 开标、评标过程的监控</w:t>
      </w:r>
      <w:bookmarkEnd w:id="220"/>
      <w:bookmarkEnd w:id="221"/>
      <w:bookmarkEnd w:id="222"/>
      <w:bookmarkEnd w:id="223"/>
    </w:p>
    <w:p w14:paraId="75DB53E9">
      <w:pPr>
        <w:keepNext w:val="0"/>
        <w:keepLines w:val="0"/>
        <w:pageBreakBefore w:val="0"/>
        <w:kinsoku/>
        <w:wordWrap/>
        <w:overflowPunct/>
        <w:topLinePunct w:val="0"/>
        <w:bidi w:val="0"/>
        <w:spacing w:line="440" w:lineRule="exact"/>
        <w:ind w:firstLine="411" w:firstLineChars="196"/>
        <w:rPr>
          <w:rFonts w:ascii="宋体" w:hAnsi="宋体" w:cs="宋体"/>
          <w:color w:val="auto"/>
          <w:highlight w:val="none"/>
        </w:rPr>
      </w:pPr>
      <w:r>
        <w:rPr>
          <w:rFonts w:hint="eastAsia" w:ascii="宋体" w:hAnsi="宋体" w:cs="宋体"/>
          <w:color w:val="auto"/>
          <w:highlight w:val="none"/>
        </w:rPr>
        <w:t>本项目开标、评标过程实行全程录音、录像监控，投标人在评标过程中所进行的试图影响评标结果的不公正活动，可能导致其投标被拒绝。</w:t>
      </w:r>
    </w:p>
    <w:p w14:paraId="1B28405E">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24" w:name="_Toc5309"/>
      <w:bookmarkStart w:id="225" w:name="_Toc28118"/>
      <w:bookmarkStart w:id="226" w:name="_Toc1321"/>
      <w:bookmarkStart w:id="227" w:name="_Toc9588"/>
      <w:r>
        <w:rPr>
          <w:rFonts w:hint="eastAsia" w:ascii="宋体" w:hAnsi="宋体" w:cs="宋体"/>
          <w:b/>
          <w:color w:val="auto"/>
          <w:szCs w:val="21"/>
          <w:highlight w:val="none"/>
        </w:rPr>
        <w:t>32. 信用查询</w:t>
      </w:r>
      <w:bookmarkEnd w:id="224"/>
      <w:bookmarkEnd w:id="225"/>
      <w:bookmarkEnd w:id="226"/>
      <w:bookmarkEnd w:id="227"/>
    </w:p>
    <w:p w14:paraId="1868E78B">
      <w:pPr>
        <w:keepNext w:val="0"/>
        <w:keepLines w:val="0"/>
        <w:pageBreakBefore w:val="0"/>
        <w:kinsoku/>
        <w:wordWrap/>
        <w:overflowPunct/>
        <w:topLinePunct w:val="0"/>
        <w:bidi w:val="0"/>
        <w:spacing w:line="440" w:lineRule="exact"/>
        <w:ind w:firstLine="411" w:firstLineChars="196"/>
        <w:rPr>
          <w:rFonts w:ascii="宋体" w:hAnsi="宋体" w:cs="宋体"/>
          <w:color w:val="auto"/>
          <w:highlight w:val="none"/>
        </w:rPr>
      </w:pPr>
      <w:r>
        <w:rPr>
          <w:rFonts w:hint="eastAsia" w:ascii="宋体" w:hAnsi="宋体" w:cs="宋体"/>
          <w:color w:val="auto"/>
          <w:highlight w:val="none"/>
        </w:rPr>
        <w:t>根据《关于做好政府采购有关信用主体标识码登记及在政府采购活动中查询使用信用记录有关问题的通知》桂财采〔2016〕37号，中标通知书发出前，由采购代理机构对第一中标候选供应商进行信用查询：</w:t>
      </w:r>
    </w:p>
    <w:p w14:paraId="1B084B83">
      <w:pPr>
        <w:keepNext w:val="0"/>
        <w:keepLines w:val="0"/>
        <w:pageBreakBefore w:val="0"/>
        <w:kinsoku/>
        <w:wordWrap/>
        <w:overflowPunct/>
        <w:topLinePunct w:val="0"/>
        <w:bidi w:val="0"/>
        <w:spacing w:line="440" w:lineRule="exact"/>
        <w:ind w:firstLine="411" w:firstLineChars="196"/>
        <w:rPr>
          <w:rFonts w:ascii="宋体" w:hAnsi="宋体" w:cs="宋体"/>
          <w:color w:val="auto"/>
          <w:highlight w:val="none"/>
        </w:rPr>
      </w:pPr>
      <w:r>
        <w:rPr>
          <w:rFonts w:hint="eastAsia" w:ascii="宋体" w:hAnsi="宋体" w:cs="宋体"/>
          <w:color w:val="auto"/>
          <w:highlight w:val="none"/>
        </w:rPr>
        <w:t>⑴查询渠道：“信用中国”网站(www.creditchina.gov.cn)、中国政府采购网(www.ccgp.gov.cn)等；</w:t>
      </w:r>
    </w:p>
    <w:p w14:paraId="193E0A53">
      <w:pPr>
        <w:keepNext w:val="0"/>
        <w:keepLines w:val="0"/>
        <w:pageBreakBefore w:val="0"/>
        <w:kinsoku/>
        <w:wordWrap/>
        <w:overflowPunct/>
        <w:topLinePunct w:val="0"/>
        <w:bidi w:val="0"/>
        <w:spacing w:line="440" w:lineRule="exact"/>
        <w:ind w:firstLine="411" w:firstLineChars="196"/>
        <w:rPr>
          <w:rFonts w:ascii="宋体" w:hAnsi="宋体" w:cs="宋体"/>
          <w:color w:val="auto"/>
          <w:highlight w:val="none"/>
        </w:rPr>
      </w:pPr>
      <w:r>
        <w:rPr>
          <w:rFonts w:hint="eastAsia" w:ascii="宋体" w:hAnsi="宋体" w:cs="宋体"/>
          <w:color w:val="auto"/>
          <w:highlight w:val="none"/>
        </w:rPr>
        <w:t>⑵查询时间：中标通知书发出前；</w:t>
      </w:r>
    </w:p>
    <w:p w14:paraId="357C68C0">
      <w:pPr>
        <w:keepNext w:val="0"/>
        <w:keepLines w:val="0"/>
        <w:pageBreakBefore w:val="0"/>
        <w:kinsoku/>
        <w:wordWrap/>
        <w:overflowPunct/>
        <w:topLinePunct w:val="0"/>
        <w:bidi w:val="0"/>
        <w:spacing w:line="440" w:lineRule="exact"/>
        <w:ind w:firstLine="411" w:firstLineChars="196"/>
        <w:rPr>
          <w:rFonts w:ascii="宋体" w:hAnsi="宋体" w:cs="宋体"/>
          <w:color w:val="auto"/>
          <w:highlight w:val="none"/>
        </w:rPr>
      </w:pPr>
      <w:r>
        <w:rPr>
          <w:rFonts w:hint="eastAsia" w:ascii="宋体" w:hAnsi="宋体" w:cs="宋体"/>
          <w:color w:val="auto"/>
          <w:highlight w:val="none"/>
        </w:rPr>
        <w:t>⑶信用信息查询记录和证据留存方式：在查询网站中直接打印查询记录，打印材料作为采购活动资料保存；</w:t>
      </w:r>
    </w:p>
    <w:p w14:paraId="29992CEB">
      <w:pPr>
        <w:keepNext w:val="0"/>
        <w:keepLines w:val="0"/>
        <w:pageBreakBefore w:val="0"/>
        <w:kinsoku/>
        <w:wordWrap/>
        <w:overflowPunct/>
        <w:topLinePunct w:val="0"/>
        <w:bidi w:val="0"/>
        <w:spacing w:line="440" w:lineRule="exact"/>
        <w:ind w:firstLine="411" w:firstLineChars="196"/>
        <w:rPr>
          <w:rFonts w:ascii="宋体" w:hAnsi="宋体" w:cs="宋体"/>
          <w:color w:val="auto"/>
          <w:highlight w:val="none"/>
        </w:rPr>
      </w:pPr>
      <w:r>
        <w:rPr>
          <w:rFonts w:hint="eastAsia" w:ascii="宋体" w:hAnsi="宋体" w:cs="宋体"/>
          <w:color w:val="auto"/>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7D57E509">
      <w:pPr>
        <w:keepNext w:val="0"/>
        <w:keepLines w:val="0"/>
        <w:pageBreakBefore w:val="0"/>
        <w:kinsoku/>
        <w:wordWrap/>
        <w:overflowPunct/>
        <w:topLinePunct w:val="0"/>
        <w:bidi w:val="0"/>
        <w:spacing w:line="440" w:lineRule="exact"/>
        <w:ind w:firstLine="411" w:firstLineChars="196"/>
        <w:rPr>
          <w:rFonts w:ascii="宋体" w:hAnsi="宋体" w:cs="宋体"/>
          <w:color w:val="auto"/>
          <w:highlight w:val="none"/>
        </w:rPr>
      </w:pPr>
      <w:r>
        <w:rPr>
          <w:rFonts w:hint="eastAsia" w:ascii="宋体" w:hAnsi="宋体" w:cs="宋体"/>
          <w:color w:val="auto"/>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4FD1F77E">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28" w:name="_Toc9044"/>
      <w:bookmarkStart w:id="229" w:name="_Toc27712"/>
      <w:bookmarkStart w:id="230" w:name="_Toc17026"/>
      <w:bookmarkStart w:id="231" w:name="_Toc1902"/>
      <w:r>
        <w:rPr>
          <w:rFonts w:hint="eastAsia" w:ascii="宋体" w:hAnsi="宋体" w:cs="宋体"/>
          <w:b/>
          <w:color w:val="auto"/>
          <w:szCs w:val="21"/>
          <w:highlight w:val="none"/>
        </w:rPr>
        <w:t>33. 中标公告及中标通知书</w:t>
      </w:r>
      <w:bookmarkEnd w:id="228"/>
      <w:bookmarkEnd w:id="229"/>
      <w:bookmarkEnd w:id="230"/>
      <w:bookmarkEnd w:id="231"/>
    </w:p>
    <w:p w14:paraId="0CA7C31A">
      <w:pPr>
        <w:keepNext w:val="0"/>
        <w:keepLines w:val="0"/>
        <w:pageBreakBefore w:val="0"/>
        <w:tabs>
          <w:tab w:val="left" w:pos="455"/>
        </w:tabs>
        <w:kinsoku/>
        <w:wordWrap/>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szCs w:val="21"/>
          <w:highlight w:val="none"/>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40969B82">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33.2中标公告发布的同时，采购代理机构向中标供应商发出中标通知书，中标供应商应自接到通知之日起七个工作日内，办理中标通知书领取手续。</w:t>
      </w:r>
      <w:bookmarkStart w:id="232" w:name="_Toc495841760"/>
      <w:bookmarkStart w:id="233" w:name="_Toc31543"/>
    </w:p>
    <w:p w14:paraId="6FC3E19D">
      <w:pPr>
        <w:pStyle w:val="49"/>
        <w:keepNext w:val="0"/>
        <w:keepLines w:val="0"/>
        <w:pageBreakBefore w:val="0"/>
        <w:kinsoku/>
        <w:wordWrap/>
        <w:overflowPunct/>
        <w:topLinePunct w:val="0"/>
        <w:bidi w:val="0"/>
        <w:spacing w:line="440" w:lineRule="exact"/>
        <w:rPr>
          <w:color w:val="auto"/>
          <w:highlight w:val="none"/>
        </w:rPr>
      </w:pPr>
    </w:p>
    <w:p w14:paraId="231E097C">
      <w:pPr>
        <w:keepNext w:val="0"/>
        <w:keepLines w:val="0"/>
        <w:pageBreakBefore w:val="0"/>
        <w:kinsoku/>
        <w:wordWrap/>
        <w:overflowPunct/>
        <w:topLinePunct w:val="0"/>
        <w:bidi w:val="0"/>
        <w:spacing w:line="440" w:lineRule="exact"/>
        <w:jc w:val="center"/>
        <w:outlineLvl w:val="1"/>
        <w:rPr>
          <w:rFonts w:ascii="宋体" w:hAnsi="宋体" w:cs="宋体"/>
          <w:b/>
          <w:color w:val="auto"/>
          <w:sz w:val="28"/>
          <w:szCs w:val="28"/>
          <w:highlight w:val="none"/>
        </w:rPr>
      </w:pPr>
      <w:bookmarkStart w:id="234" w:name="_Toc28678"/>
      <w:bookmarkStart w:id="235" w:name="_Toc5902"/>
      <w:bookmarkStart w:id="236" w:name="_Toc19631"/>
      <w:r>
        <w:rPr>
          <w:rFonts w:hint="eastAsia" w:ascii="宋体" w:hAnsi="宋体" w:cs="宋体"/>
          <w:b/>
          <w:color w:val="auto"/>
          <w:sz w:val="28"/>
          <w:szCs w:val="28"/>
          <w:highlight w:val="none"/>
        </w:rPr>
        <w:t>七、履约保证金及签订合同</w:t>
      </w:r>
      <w:bookmarkEnd w:id="232"/>
      <w:bookmarkEnd w:id="233"/>
      <w:bookmarkEnd w:id="234"/>
      <w:bookmarkEnd w:id="235"/>
      <w:bookmarkEnd w:id="236"/>
    </w:p>
    <w:p w14:paraId="28D2BF14">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37" w:name="_Toc32546"/>
      <w:bookmarkStart w:id="238" w:name="_Toc18290"/>
      <w:bookmarkStart w:id="239" w:name="_Toc6994"/>
      <w:bookmarkStart w:id="240" w:name="_Toc15259"/>
      <w:r>
        <w:rPr>
          <w:rFonts w:hint="eastAsia" w:ascii="宋体" w:hAnsi="宋体" w:cs="宋体"/>
          <w:b/>
          <w:color w:val="auto"/>
          <w:szCs w:val="21"/>
          <w:highlight w:val="none"/>
        </w:rPr>
        <w:t>34. 履约保证金</w:t>
      </w:r>
      <w:bookmarkEnd w:id="237"/>
      <w:bookmarkEnd w:id="238"/>
      <w:bookmarkEnd w:id="239"/>
      <w:bookmarkEnd w:id="240"/>
    </w:p>
    <w:p w14:paraId="0C42A19F">
      <w:pPr>
        <w:keepNext w:val="0"/>
        <w:keepLines w:val="0"/>
        <w:pageBreakBefore w:val="0"/>
        <w:kinsoku/>
        <w:wordWrap/>
        <w:overflowPunct/>
        <w:topLinePunct w:val="0"/>
        <w:bidi w:val="0"/>
        <w:spacing w:line="440" w:lineRule="exact"/>
        <w:ind w:firstLine="624" w:firstLineChars="296"/>
        <w:outlineLvl w:val="2"/>
        <w:rPr>
          <w:rFonts w:ascii="宋体" w:hAnsi="宋体" w:cs="宋体"/>
          <w:b/>
          <w:color w:val="auto"/>
          <w:szCs w:val="21"/>
          <w:highlight w:val="none"/>
        </w:rPr>
      </w:pPr>
      <w:bookmarkStart w:id="241" w:name="_Toc18160"/>
      <w:r>
        <w:rPr>
          <w:rFonts w:ascii="宋体" w:hAnsi="宋体" w:cs="宋体"/>
          <w:b/>
          <w:color w:val="auto"/>
          <w:szCs w:val="21"/>
          <w:highlight w:val="none"/>
        </w:rPr>
        <w:t>本项目无需缴纳履约保证金。</w:t>
      </w:r>
    </w:p>
    <w:p w14:paraId="488C5E7E">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42" w:name="_Toc22983"/>
      <w:bookmarkStart w:id="243" w:name="_Toc11966"/>
      <w:bookmarkStart w:id="244" w:name="_Toc7148"/>
      <w:r>
        <w:rPr>
          <w:rFonts w:hint="eastAsia" w:ascii="宋体" w:hAnsi="宋体" w:cs="宋体"/>
          <w:b/>
          <w:color w:val="auto"/>
          <w:szCs w:val="21"/>
          <w:highlight w:val="none"/>
        </w:rPr>
        <w:t>35. 签订合同</w:t>
      </w:r>
      <w:bookmarkEnd w:id="241"/>
      <w:bookmarkEnd w:id="242"/>
      <w:bookmarkEnd w:id="243"/>
      <w:bookmarkEnd w:id="244"/>
    </w:p>
    <w:p w14:paraId="5CDA9729">
      <w:pPr>
        <w:keepNext w:val="0"/>
        <w:keepLines w:val="0"/>
        <w:pageBreakBefore w:val="0"/>
        <w:kinsoku/>
        <w:wordWrap/>
        <w:overflowPunct/>
        <w:topLinePunct w:val="0"/>
        <w:bidi w:val="0"/>
        <w:spacing w:line="440" w:lineRule="exact"/>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35.1签订合同时间：中标通知书发出之日起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日内。中标供应商领取中标通知书后，应按规定与采购人签订合同。</w:t>
      </w:r>
    </w:p>
    <w:p w14:paraId="47B0BCBC">
      <w:pPr>
        <w:keepNext w:val="0"/>
        <w:keepLines w:val="0"/>
        <w:pageBreakBefore w:val="0"/>
        <w:kinsoku/>
        <w:wordWrap/>
        <w:overflowPunct/>
        <w:topLinePunct w:val="0"/>
        <w:bidi w:val="0"/>
        <w:spacing w:line="440" w:lineRule="exact"/>
        <w:ind w:left="2" w:leftChars="1" w:firstLine="420" w:firstLineChars="200"/>
        <w:rPr>
          <w:rFonts w:ascii="宋体" w:hAnsi="宋体" w:cs="宋体"/>
          <w:color w:val="auto"/>
          <w:szCs w:val="21"/>
          <w:highlight w:val="none"/>
        </w:rPr>
      </w:pPr>
      <w:r>
        <w:rPr>
          <w:rFonts w:hint="eastAsia" w:ascii="宋体" w:hAnsi="宋体" w:cs="宋体"/>
          <w:color w:val="auto"/>
          <w:highlight w:val="none"/>
        </w:rPr>
        <w:t>35.2中标供应商为联合体的，联合体各方均应与采购人签订合同，并承担连带责任。（本项目不接受联合体投标）</w:t>
      </w:r>
    </w:p>
    <w:p w14:paraId="1BDA299F">
      <w:pPr>
        <w:keepNext w:val="0"/>
        <w:keepLines w:val="0"/>
        <w:pageBreakBefore w:val="0"/>
        <w:kinsoku/>
        <w:wordWrap/>
        <w:overflowPunct/>
        <w:topLinePunct w:val="0"/>
        <w:bidi w:val="0"/>
        <w:spacing w:line="440" w:lineRule="exact"/>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35.3如中标供应商有下列情形之一的，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14:paraId="347430FD">
      <w:pPr>
        <w:keepNext w:val="0"/>
        <w:keepLines w:val="0"/>
        <w:pageBreakBefore w:val="0"/>
        <w:kinsoku/>
        <w:wordWrap/>
        <w:overflowPunct/>
        <w:topLinePunct w:val="0"/>
        <w:bidi w:val="0"/>
        <w:spacing w:line="44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（1）中标后不与采购人签订合同的（不可抗力除外）；</w:t>
      </w:r>
    </w:p>
    <w:p w14:paraId="546DD002">
      <w:pPr>
        <w:keepNext w:val="0"/>
        <w:keepLines w:val="0"/>
        <w:pageBreakBefore w:val="0"/>
        <w:kinsoku/>
        <w:wordWrap/>
        <w:overflowPunct/>
        <w:topLinePunct w:val="0"/>
        <w:bidi w:val="0"/>
        <w:spacing w:line="440" w:lineRule="exact"/>
        <w:ind w:left="2" w:leftChars="1" w:firstLine="315" w:firstLineChars="150"/>
        <w:rPr>
          <w:rFonts w:ascii="宋体" w:hAnsi="宋体" w:cs="宋体"/>
          <w:color w:val="auto"/>
          <w:szCs w:val="21"/>
          <w:highlight w:val="none"/>
        </w:rPr>
      </w:pPr>
      <w:r>
        <w:rPr>
          <w:rFonts w:hint="eastAsia" w:ascii="宋体" w:hAnsi="宋体" w:cs="宋体"/>
          <w:color w:val="auto"/>
          <w:szCs w:val="21"/>
          <w:highlight w:val="none"/>
        </w:rPr>
        <w:t>（2）将中标项目转让给他人，或者在投标文件中未说明，且未经采购人同意，将中标项目分包给他人的；</w:t>
      </w:r>
    </w:p>
    <w:p w14:paraId="3CC5D734">
      <w:pPr>
        <w:keepNext w:val="0"/>
        <w:keepLines w:val="0"/>
        <w:pageBreakBefore w:val="0"/>
        <w:kinsoku/>
        <w:wordWrap/>
        <w:overflowPunct/>
        <w:topLinePunct w:val="0"/>
        <w:bidi w:val="0"/>
        <w:spacing w:line="44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（3）拒绝履行合同义务的。</w:t>
      </w:r>
    </w:p>
    <w:p w14:paraId="1B2B4BF4">
      <w:pPr>
        <w:keepNext w:val="0"/>
        <w:keepLines w:val="0"/>
        <w:pageBreakBefore w:val="0"/>
        <w:kinsoku/>
        <w:wordWrap/>
        <w:overflowPunct/>
        <w:topLinePunct w:val="0"/>
        <w:bidi w:val="0"/>
        <w:spacing w:line="440" w:lineRule="exact"/>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35.4合同备案存档：政府采购合同双方自签订之日起一个工作日内将合同原件一份交采购代理机构，采购人于合同签订之日起七个工作日内将一份合同原件送</w:t>
      </w:r>
      <w:r>
        <w:rPr>
          <w:rFonts w:hint="eastAsia" w:ascii="宋体" w:hAnsi="宋体" w:cs="宋体"/>
          <w:color w:val="auto"/>
          <w:szCs w:val="21"/>
          <w:highlight w:val="none"/>
          <w:lang w:val="en-US" w:eastAsia="zh-CN"/>
        </w:rPr>
        <w:t>本级</w:t>
      </w:r>
      <w:r>
        <w:rPr>
          <w:rFonts w:hint="eastAsia" w:ascii="宋体" w:hAnsi="宋体" w:cs="宋体"/>
          <w:color w:val="auto"/>
          <w:szCs w:val="21"/>
          <w:highlight w:val="none"/>
        </w:rPr>
        <w:t>财政部门备案。</w:t>
      </w:r>
    </w:p>
    <w:p w14:paraId="3AFD6527">
      <w:pPr>
        <w:keepNext w:val="0"/>
        <w:keepLines w:val="0"/>
        <w:pageBreakBefore w:val="0"/>
        <w:kinsoku/>
        <w:wordWrap/>
        <w:overflowPunct/>
        <w:topLinePunct w:val="0"/>
        <w:bidi w:val="0"/>
        <w:spacing w:line="440" w:lineRule="exact"/>
        <w:jc w:val="center"/>
        <w:outlineLvl w:val="1"/>
        <w:rPr>
          <w:rFonts w:ascii="宋体" w:hAnsi="宋体" w:cs="宋体"/>
          <w:b/>
          <w:color w:val="auto"/>
          <w:sz w:val="28"/>
          <w:szCs w:val="28"/>
          <w:highlight w:val="none"/>
        </w:rPr>
      </w:pPr>
      <w:bookmarkStart w:id="245" w:name="_Toc1304"/>
      <w:bookmarkStart w:id="246" w:name="_Toc25044"/>
      <w:bookmarkStart w:id="247" w:name="_Toc495841761"/>
      <w:bookmarkStart w:id="248" w:name="_Toc10598"/>
      <w:bookmarkStart w:id="249" w:name="_Toc1909"/>
      <w:r>
        <w:rPr>
          <w:rFonts w:hint="eastAsia" w:ascii="宋体" w:hAnsi="宋体" w:cs="宋体"/>
          <w:b/>
          <w:color w:val="auto"/>
          <w:sz w:val="28"/>
          <w:szCs w:val="28"/>
          <w:highlight w:val="none"/>
        </w:rPr>
        <w:t>八、其他事项</w:t>
      </w:r>
      <w:bookmarkEnd w:id="245"/>
      <w:bookmarkEnd w:id="246"/>
      <w:bookmarkEnd w:id="247"/>
      <w:bookmarkEnd w:id="248"/>
      <w:bookmarkEnd w:id="249"/>
    </w:p>
    <w:p w14:paraId="001E35EF">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50" w:name="_Toc6105"/>
      <w:bookmarkStart w:id="251" w:name="_Toc2437"/>
      <w:bookmarkStart w:id="252" w:name="_Toc32387"/>
      <w:bookmarkStart w:id="253" w:name="_Toc5655"/>
      <w:bookmarkStart w:id="254" w:name="_Toc1860"/>
      <w:bookmarkStart w:id="255" w:name="_Toc4309"/>
      <w:bookmarkStart w:id="256" w:name="_Toc19503"/>
      <w:bookmarkStart w:id="257" w:name="_Toc32243"/>
      <w:r>
        <w:rPr>
          <w:rFonts w:hint="eastAsia" w:ascii="宋体" w:hAnsi="宋体" w:cs="宋体"/>
          <w:b/>
          <w:color w:val="auto"/>
          <w:szCs w:val="21"/>
          <w:highlight w:val="none"/>
        </w:rPr>
        <w:t>36. 招标代理服务费</w:t>
      </w:r>
      <w:bookmarkEnd w:id="250"/>
      <w:bookmarkEnd w:id="251"/>
      <w:bookmarkEnd w:id="252"/>
      <w:bookmarkEnd w:id="253"/>
      <w:bookmarkEnd w:id="254"/>
      <w:bookmarkEnd w:id="255"/>
      <w:bookmarkEnd w:id="256"/>
    </w:p>
    <w:p w14:paraId="3B86F73B">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bookmarkStart w:id="258" w:name="_Toc13398"/>
      <w:bookmarkStart w:id="259" w:name="_Toc5431"/>
      <w:bookmarkStart w:id="260" w:name="_Toc3628"/>
      <w:r>
        <w:rPr>
          <w:rFonts w:hint="eastAsia" w:ascii="宋体" w:hAnsi="宋体" w:cs="宋体"/>
          <w:color w:val="auto"/>
          <w:szCs w:val="21"/>
          <w:highlight w:val="none"/>
        </w:rPr>
        <w:t>本项目的招标代理服务费：参照计价格[2002]1980号《招标代理服务收费管理暂行办法》货物类收费标准</w:t>
      </w:r>
      <w:r>
        <w:rPr>
          <w:rFonts w:hint="eastAsia" w:ascii="宋体" w:hAnsi="宋体" w:cs="宋体"/>
          <w:color w:val="auto"/>
          <w:szCs w:val="21"/>
          <w:highlight w:val="none"/>
          <w:lang w:val="en-US" w:eastAsia="zh-CN"/>
        </w:rPr>
        <w:t>的60%</w:t>
      </w:r>
      <w:r>
        <w:rPr>
          <w:rFonts w:hint="eastAsia" w:ascii="宋体" w:hAnsi="宋体" w:cs="宋体"/>
          <w:color w:val="auto"/>
          <w:szCs w:val="21"/>
          <w:highlight w:val="none"/>
        </w:rPr>
        <w:t>计取。由中标人向广西奥金斯项目管理有限公司一次性付清代理服务费。</w:t>
      </w:r>
    </w:p>
    <w:p w14:paraId="03F58B5B">
      <w:pPr>
        <w:keepNext w:val="0"/>
        <w:keepLines w:val="0"/>
        <w:pageBreakBefore w:val="0"/>
        <w:kinsoku/>
        <w:wordWrap/>
        <w:overflowPunct/>
        <w:topLinePunct w:val="0"/>
        <w:bidi w:val="0"/>
        <w:spacing w:line="440" w:lineRule="exact"/>
        <w:jc w:val="center"/>
        <w:rPr>
          <w:rFonts w:ascii="宋体" w:hAnsi="宋体"/>
          <w:color w:val="auto"/>
          <w:szCs w:val="21"/>
          <w:highlight w:val="none"/>
        </w:rPr>
      </w:pPr>
      <w:r>
        <w:rPr>
          <w:rFonts w:hint="eastAsia" w:ascii="宋体" w:hAnsi="宋体"/>
          <w:color w:val="auto"/>
          <w:szCs w:val="21"/>
          <w:highlight w:val="none"/>
        </w:rPr>
        <w:t>招标代理服务收费标准</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5C6F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880" w:type="dxa"/>
          </w:tcPr>
          <w:p w14:paraId="427E70A1">
            <w:pPr>
              <w:pStyle w:val="17"/>
              <w:keepNext w:val="0"/>
              <w:keepLines w:val="0"/>
              <w:pageBreakBefore w:val="0"/>
              <w:kinsoku/>
              <w:wordWrap/>
              <w:overflowPunct/>
              <w:topLinePunct w:val="0"/>
              <w:bidi w:val="0"/>
              <w:spacing w:line="44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133350</wp:posOffset>
                      </wp:positionV>
                      <wp:extent cx="1828800" cy="396240"/>
                      <wp:effectExtent l="1270" t="6350" r="24130" b="29210"/>
                      <wp:wrapNone/>
                      <wp:docPr id="1" name="直线 11"/>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5.4pt;margin-top:10.5pt;height:31.2pt;width:144pt;z-index:251659264;mso-width-relative:page;mso-height-relative:page;" filled="f" stroked="t" coordsize="21600,21600" o:gfxdata="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a/IATXAAAACQEAAA8AAAAAAAAAAQAgAAAAIgAAAGRycy9kb3ducmV2LnhtbFBLAQIU&#10;ABQAAAAIAIdO4kDl1G959AEAAO8DAAAOAAAAAAAAAAEAIAAAACYBAABkcnMvZTJvRG9jLnhtbFBL&#10;BQYAAAAABgAGAFkBAACMBQ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10795</wp:posOffset>
                      </wp:positionV>
                      <wp:extent cx="1781810" cy="295910"/>
                      <wp:effectExtent l="1270" t="6350" r="20320" b="27940"/>
                      <wp:wrapNone/>
                      <wp:docPr id="3" name="直线 10"/>
                      <wp:cNvGraphicFramePr/>
                      <a:graphic xmlns:a="http://schemas.openxmlformats.org/drawingml/2006/main">
                        <a:graphicData uri="http://schemas.microsoft.com/office/word/2010/wordprocessingShape">
                          <wps:wsp>
                            <wps:cNvCnPr/>
                            <wps:spPr>
                              <a:xfrm>
                                <a:off x="0" y="0"/>
                                <a:ext cx="1781810" cy="29591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5.4pt;margin-top:0.85pt;height:23.3pt;width:140.3pt;z-index:251660288;mso-width-relative:page;mso-height-relative:page;" filled="f" stroked="t" coordsize="21600,21600" o:gfxdata="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Lh9c9YAAAAIAQAADwAAAAAAAAABACAAAAAiAAAAZHJzL2Rvd25yZXYueG1sUEsBAhQAFAAA&#10;AAgAh07iQMWt2rfxAQAA7wMAAA4AAAAAAAAAAQAgAAAAJQEAAGRycy9lMm9Eb2MueG1sUEsFBgAA&#10;AAAGAAYAWQEAAIgFAAAAAA==&#10;">
                      <v:fill on="f" focussize="0,0"/>
                      <v:stroke color="#000000" joinstyle="round"/>
                      <v:imagedata o:title=""/>
                      <o:lock v:ext="edit" aspectratio="f"/>
                    </v:line>
                  </w:pict>
                </mc:Fallback>
              </mc:AlternateContent>
            </w:r>
            <w:r>
              <w:rPr>
                <w:rFonts w:hint="eastAsia" w:hAnsi="宋体"/>
                <w:color w:val="auto"/>
                <w:highlight w:val="none"/>
              </w:rPr>
              <w:t>折扣           服务类型</w:t>
            </w:r>
          </w:p>
          <w:p w14:paraId="3C8C574A">
            <w:pPr>
              <w:pStyle w:val="17"/>
              <w:keepNext w:val="0"/>
              <w:keepLines w:val="0"/>
              <w:pageBreakBefore w:val="0"/>
              <w:kinsoku/>
              <w:wordWrap/>
              <w:overflowPunct/>
              <w:topLinePunct w:val="0"/>
              <w:bidi w:val="0"/>
              <w:spacing w:line="440" w:lineRule="exact"/>
              <w:ind w:left="25"/>
              <w:rPr>
                <w:rFonts w:hAnsi="宋体"/>
                <w:color w:val="auto"/>
                <w:highlight w:val="none"/>
              </w:rPr>
            </w:pPr>
            <w:r>
              <w:rPr>
                <w:rFonts w:hint="eastAsia" w:hAnsi="宋体"/>
                <w:color w:val="auto"/>
                <w:highlight w:val="none"/>
              </w:rPr>
              <w:t>中标金额（万元）</w:t>
            </w:r>
          </w:p>
        </w:tc>
        <w:tc>
          <w:tcPr>
            <w:tcW w:w="1841" w:type="dxa"/>
            <w:vAlign w:val="center"/>
          </w:tcPr>
          <w:p w14:paraId="41E8AFFB">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货物招标</w:t>
            </w:r>
          </w:p>
        </w:tc>
        <w:tc>
          <w:tcPr>
            <w:tcW w:w="1992" w:type="dxa"/>
            <w:vAlign w:val="center"/>
          </w:tcPr>
          <w:p w14:paraId="40E193E3">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服务招标</w:t>
            </w:r>
          </w:p>
        </w:tc>
        <w:tc>
          <w:tcPr>
            <w:tcW w:w="2293" w:type="dxa"/>
            <w:vAlign w:val="center"/>
          </w:tcPr>
          <w:p w14:paraId="4D1460EA">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工程招标</w:t>
            </w:r>
          </w:p>
        </w:tc>
      </w:tr>
      <w:tr w14:paraId="0467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506AF6D6">
            <w:pPr>
              <w:pStyle w:val="17"/>
              <w:keepNext w:val="0"/>
              <w:keepLines w:val="0"/>
              <w:pageBreakBefore w:val="0"/>
              <w:kinsoku/>
              <w:wordWrap/>
              <w:overflowPunct/>
              <w:topLinePunct w:val="0"/>
              <w:bidi w:val="0"/>
              <w:spacing w:line="440" w:lineRule="exact"/>
              <w:ind w:left="25"/>
              <w:rPr>
                <w:rFonts w:hAnsi="宋体"/>
                <w:color w:val="auto"/>
                <w:highlight w:val="none"/>
              </w:rPr>
            </w:pPr>
            <w:r>
              <w:rPr>
                <w:rFonts w:hint="eastAsia" w:hAnsi="宋体"/>
                <w:color w:val="auto"/>
                <w:highlight w:val="none"/>
              </w:rPr>
              <w:t>100以下</w:t>
            </w:r>
          </w:p>
        </w:tc>
        <w:tc>
          <w:tcPr>
            <w:tcW w:w="1841" w:type="dxa"/>
          </w:tcPr>
          <w:p w14:paraId="6555482F">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1.5%</w:t>
            </w:r>
          </w:p>
        </w:tc>
        <w:tc>
          <w:tcPr>
            <w:tcW w:w="1992" w:type="dxa"/>
          </w:tcPr>
          <w:p w14:paraId="43EA899C">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1.5%</w:t>
            </w:r>
          </w:p>
        </w:tc>
        <w:tc>
          <w:tcPr>
            <w:tcW w:w="2293" w:type="dxa"/>
          </w:tcPr>
          <w:p w14:paraId="4BCD2AB4">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1.0%</w:t>
            </w:r>
          </w:p>
        </w:tc>
      </w:tr>
      <w:tr w14:paraId="522E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24E811E3">
            <w:pPr>
              <w:pStyle w:val="17"/>
              <w:keepNext w:val="0"/>
              <w:keepLines w:val="0"/>
              <w:pageBreakBefore w:val="0"/>
              <w:kinsoku/>
              <w:wordWrap/>
              <w:overflowPunct/>
              <w:topLinePunct w:val="0"/>
              <w:bidi w:val="0"/>
              <w:spacing w:line="440" w:lineRule="exact"/>
              <w:ind w:left="25"/>
              <w:rPr>
                <w:rFonts w:hAnsi="宋体"/>
                <w:color w:val="auto"/>
                <w:highlight w:val="none"/>
              </w:rPr>
            </w:pPr>
            <w:r>
              <w:rPr>
                <w:rFonts w:hint="eastAsia" w:hAnsi="宋体"/>
                <w:color w:val="auto"/>
                <w:highlight w:val="none"/>
              </w:rPr>
              <w:t>100-500</w:t>
            </w:r>
          </w:p>
        </w:tc>
        <w:tc>
          <w:tcPr>
            <w:tcW w:w="1841" w:type="dxa"/>
          </w:tcPr>
          <w:p w14:paraId="60D67127">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1.1%</w:t>
            </w:r>
          </w:p>
        </w:tc>
        <w:tc>
          <w:tcPr>
            <w:tcW w:w="1992" w:type="dxa"/>
          </w:tcPr>
          <w:p w14:paraId="01C97426">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0.8%</w:t>
            </w:r>
          </w:p>
        </w:tc>
        <w:tc>
          <w:tcPr>
            <w:tcW w:w="2293" w:type="dxa"/>
          </w:tcPr>
          <w:p w14:paraId="4D7722E4">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0.7%</w:t>
            </w:r>
          </w:p>
        </w:tc>
      </w:tr>
      <w:tr w14:paraId="43D1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6FA0EFB">
            <w:pPr>
              <w:pStyle w:val="17"/>
              <w:keepNext w:val="0"/>
              <w:keepLines w:val="0"/>
              <w:pageBreakBefore w:val="0"/>
              <w:kinsoku/>
              <w:wordWrap/>
              <w:overflowPunct/>
              <w:topLinePunct w:val="0"/>
              <w:bidi w:val="0"/>
              <w:spacing w:line="440" w:lineRule="exact"/>
              <w:ind w:left="25"/>
              <w:rPr>
                <w:rFonts w:hAnsi="宋体"/>
                <w:color w:val="auto"/>
                <w:highlight w:val="none"/>
              </w:rPr>
            </w:pPr>
            <w:r>
              <w:rPr>
                <w:rFonts w:hint="eastAsia" w:hAnsi="宋体"/>
                <w:color w:val="auto"/>
                <w:highlight w:val="none"/>
              </w:rPr>
              <w:t>500-1000</w:t>
            </w:r>
          </w:p>
        </w:tc>
        <w:tc>
          <w:tcPr>
            <w:tcW w:w="1841" w:type="dxa"/>
          </w:tcPr>
          <w:p w14:paraId="75D94F21">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0.8%</w:t>
            </w:r>
          </w:p>
        </w:tc>
        <w:tc>
          <w:tcPr>
            <w:tcW w:w="1992" w:type="dxa"/>
          </w:tcPr>
          <w:p w14:paraId="3E251D46">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0.45%</w:t>
            </w:r>
          </w:p>
        </w:tc>
        <w:tc>
          <w:tcPr>
            <w:tcW w:w="2293" w:type="dxa"/>
          </w:tcPr>
          <w:p w14:paraId="3458926B">
            <w:pPr>
              <w:pStyle w:val="17"/>
              <w:keepNext w:val="0"/>
              <w:keepLines w:val="0"/>
              <w:pageBreakBefore w:val="0"/>
              <w:kinsoku/>
              <w:wordWrap/>
              <w:overflowPunct/>
              <w:topLinePunct w:val="0"/>
              <w:bidi w:val="0"/>
              <w:spacing w:line="440" w:lineRule="exact"/>
              <w:ind w:left="25"/>
              <w:jc w:val="center"/>
              <w:rPr>
                <w:rFonts w:hAnsi="宋体"/>
                <w:color w:val="auto"/>
                <w:highlight w:val="none"/>
              </w:rPr>
            </w:pPr>
            <w:r>
              <w:rPr>
                <w:rFonts w:hint="eastAsia" w:hAnsi="宋体"/>
                <w:color w:val="auto"/>
                <w:highlight w:val="none"/>
              </w:rPr>
              <w:t>0.55%</w:t>
            </w:r>
          </w:p>
        </w:tc>
      </w:tr>
    </w:tbl>
    <w:p w14:paraId="5E6DD86F">
      <w:pPr>
        <w:keepNext w:val="0"/>
        <w:keepLines w:val="0"/>
        <w:pageBreakBefore w:val="0"/>
        <w:kinsoku/>
        <w:wordWrap/>
        <w:overflowPunct/>
        <w:topLinePunct w:val="0"/>
        <w:bidi w:val="0"/>
        <w:spacing w:line="440" w:lineRule="exact"/>
        <w:ind w:firstLine="411" w:firstLineChars="196"/>
        <w:outlineLvl w:val="2"/>
        <w:rPr>
          <w:rFonts w:hAnsi="宋体"/>
          <w:color w:val="auto"/>
          <w:highlight w:val="none"/>
        </w:rPr>
      </w:pPr>
      <w:r>
        <w:rPr>
          <w:rFonts w:hint="eastAsia" w:hAnsi="宋体"/>
          <w:color w:val="auto"/>
          <w:highlight w:val="none"/>
        </w:rPr>
        <w:t>注：招标代理服务收费按差额定率累进法计算。</w:t>
      </w:r>
    </w:p>
    <w:p w14:paraId="328B3D3E">
      <w:pPr>
        <w:keepNext w:val="0"/>
        <w:keepLines w:val="0"/>
        <w:pageBreakBefore w:val="0"/>
        <w:kinsoku/>
        <w:wordWrap/>
        <w:overflowPunct/>
        <w:topLinePunct w:val="0"/>
        <w:bidi w:val="0"/>
        <w:spacing w:line="440" w:lineRule="exact"/>
        <w:rPr>
          <w:rFonts w:ascii="宋体" w:hAnsi="宋体" w:cs="宋体"/>
          <w:color w:val="auto"/>
          <w:highlight w:val="none"/>
        </w:rPr>
      </w:pPr>
      <w:r>
        <w:rPr>
          <w:rFonts w:hint="eastAsia" w:ascii="宋体" w:hAnsi="宋体" w:cs="宋体"/>
          <w:b/>
          <w:color w:val="auto"/>
          <w:highlight w:val="none"/>
        </w:rPr>
        <w:t>交纳代理服务费的银行账户：</w:t>
      </w:r>
    </w:p>
    <w:p w14:paraId="79561784">
      <w:pPr>
        <w:keepNext w:val="0"/>
        <w:keepLines w:val="0"/>
        <w:pageBreakBefore w:val="0"/>
        <w:kinsoku/>
        <w:wordWrap/>
        <w:overflowPunct/>
        <w:topLinePunct w:val="0"/>
        <w:bidi w:val="0"/>
        <w:spacing w:line="440" w:lineRule="exact"/>
        <w:ind w:firstLine="422" w:firstLineChars="200"/>
        <w:rPr>
          <w:rFonts w:ascii="宋体" w:hAnsi="宋体" w:cs="宋体"/>
          <w:b/>
          <w:color w:val="auto"/>
          <w:highlight w:val="none"/>
        </w:rPr>
      </w:pPr>
      <w:r>
        <w:rPr>
          <w:rFonts w:hint="eastAsia" w:ascii="宋体" w:hAnsi="宋体" w:cs="宋体"/>
          <w:b/>
          <w:color w:val="auto"/>
          <w:highlight w:val="none"/>
        </w:rPr>
        <w:t>账户名称：广西奥金斯项目管理有限公司</w:t>
      </w:r>
    </w:p>
    <w:p w14:paraId="270FEDD5">
      <w:pPr>
        <w:keepNext w:val="0"/>
        <w:keepLines w:val="0"/>
        <w:pageBreakBefore w:val="0"/>
        <w:kinsoku/>
        <w:wordWrap/>
        <w:overflowPunct/>
        <w:topLinePunct w:val="0"/>
        <w:bidi w:val="0"/>
        <w:spacing w:line="440" w:lineRule="exact"/>
        <w:ind w:firstLine="422" w:firstLineChars="200"/>
        <w:rPr>
          <w:rFonts w:ascii="宋体" w:hAnsi="宋体" w:cs="宋体"/>
          <w:b/>
          <w:color w:val="auto"/>
          <w:highlight w:val="none"/>
        </w:rPr>
      </w:pPr>
      <w:r>
        <w:rPr>
          <w:rFonts w:hint="eastAsia" w:ascii="宋体" w:hAnsi="宋体" w:cs="宋体"/>
          <w:b/>
          <w:color w:val="auto"/>
          <w:highlight w:val="none"/>
        </w:rPr>
        <w:t>开户银行：中国建设银行股份有限公司桂林瓦窑支行</w:t>
      </w:r>
    </w:p>
    <w:p w14:paraId="1433410A">
      <w:pPr>
        <w:keepNext w:val="0"/>
        <w:keepLines w:val="0"/>
        <w:pageBreakBefore w:val="0"/>
        <w:kinsoku/>
        <w:wordWrap/>
        <w:overflowPunct/>
        <w:topLinePunct w:val="0"/>
        <w:bidi w:val="0"/>
        <w:spacing w:line="440" w:lineRule="exact"/>
        <w:ind w:firstLine="413" w:firstLineChars="196"/>
        <w:outlineLvl w:val="2"/>
        <w:rPr>
          <w:rFonts w:ascii="宋体" w:hAnsi="宋体" w:cs="宋体"/>
          <w:b/>
          <w:bCs/>
          <w:color w:val="auto"/>
          <w:highlight w:val="none"/>
        </w:rPr>
      </w:pPr>
      <w:r>
        <w:rPr>
          <w:rFonts w:hint="eastAsia" w:ascii="宋体" w:hAnsi="宋体" w:cs="宋体"/>
          <w:b/>
          <w:color w:val="auto"/>
          <w:highlight w:val="none"/>
        </w:rPr>
        <w:t xml:space="preserve">银行账号： </w:t>
      </w:r>
      <w:r>
        <w:rPr>
          <w:rFonts w:hint="eastAsia" w:ascii="宋体" w:hAnsi="宋体" w:cs="宋体"/>
          <w:b/>
          <w:bCs/>
          <w:color w:val="auto"/>
          <w:highlight w:val="none"/>
        </w:rPr>
        <w:t>4505 0163 5303 0000 0025</w:t>
      </w:r>
    </w:p>
    <w:p w14:paraId="164D3FF8">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r>
        <w:rPr>
          <w:rFonts w:hint="eastAsia" w:ascii="宋体" w:hAnsi="宋体" w:cs="宋体"/>
          <w:b/>
          <w:color w:val="auto"/>
          <w:szCs w:val="21"/>
          <w:highlight w:val="none"/>
        </w:rPr>
        <w:t>37. 解释权</w:t>
      </w:r>
      <w:bookmarkEnd w:id="258"/>
      <w:bookmarkEnd w:id="259"/>
      <w:bookmarkEnd w:id="260"/>
    </w:p>
    <w:p w14:paraId="7384F243">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highlight w:val="none"/>
        </w:rPr>
      </w:pPr>
      <w:r>
        <w:rPr>
          <w:rFonts w:hint="eastAsia" w:ascii="宋体" w:hAnsi="宋体" w:cs="宋体"/>
          <w:color w:val="auto"/>
          <w:szCs w:val="21"/>
          <w:highlight w:val="none"/>
        </w:rPr>
        <w:t>本招标文件是根据《中华人民共和国政府采购法》《中华人民共和国政府采购法实施条例》及《政府采购货物和服务招标投标管理办法》（财政部令第87号）</w:t>
      </w:r>
      <w:r>
        <w:rPr>
          <w:rFonts w:hint="eastAsia" w:ascii="宋体" w:hAnsi="宋体" w:cs="宋体"/>
          <w:color w:val="auto"/>
          <w:highlight w:val="none"/>
        </w:rPr>
        <w:t>和政府采购管理有关规定编制，本招标文件的解释权属于广西奥金斯项目管理有限公司。</w:t>
      </w:r>
      <w:bookmarkEnd w:id="257"/>
    </w:p>
    <w:p w14:paraId="588A5097">
      <w:pPr>
        <w:keepNext w:val="0"/>
        <w:keepLines w:val="0"/>
        <w:pageBreakBefore w:val="0"/>
        <w:kinsoku/>
        <w:wordWrap/>
        <w:overflowPunct/>
        <w:topLinePunct w:val="0"/>
        <w:bidi w:val="0"/>
        <w:spacing w:line="440" w:lineRule="exact"/>
        <w:ind w:firstLine="413" w:firstLineChars="196"/>
        <w:outlineLvl w:val="2"/>
        <w:rPr>
          <w:rFonts w:ascii="宋体" w:hAnsi="宋体" w:cs="宋体"/>
          <w:b/>
          <w:color w:val="auto"/>
          <w:szCs w:val="21"/>
          <w:highlight w:val="none"/>
        </w:rPr>
      </w:pPr>
      <w:bookmarkStart w:id="261" w:name="_Toc6497"/>
      <w:bookmarkStart w:id="262" w:name="_Toc1384"/>
      <w:bookmarkStart w:id="263" w:name="_Toc9769"/>
      <w:bookmarkStart w:id="264" w:name="_Toc11077"/>
      <w:r>
        <w:rPr>
          <w:rFonts w:hint="eastAsia" w:ascii="宋体" w:hAnsi="宋体" w:cs="宋体"/>
          <w:b/>
          <w:color w:val="auto"/>
          <w:szCs w:val="21"/>
          <w:highlight w:val="none"/>
        </w:rPr>
        <w:t>38. 监督管理机构</w:t>
      </w:r>
      <w:bookmarkEnd w:id="261"/>
      <w:bookmarkEnd w:id="262"/>
      <w:bookmarkEnd w:id="263"/>
    </w:p>
    <w:bookmarkEnd w:id="264"/>
    <w:p w14:paraId="2BA5CECD">
      <w:pPr>
        <w:keepNext w:val="0"/>
        <w:keepLines w:val="0"/>
        <w:pageBreakBefore w:val="0"/>
        <w:widowControl/>
        <w:kinsoku/>
        <w:wordWrap/>
        <w:overflowPunct/>
        <w:topLinePunct w:val="0"/>
        <w:bidi w:val="0"/>
        <w:spacing w:line="440" w:lineRule="exact"/>
        <w:ind w:firstLine="420" w:firstLineChars="200"/>
        <w:jc w:val="left"/>
        <w:rPr>
          <w:b/>
          <w:color w:val="auto"/>
          <w:sz w:val="24"/>
          <w:highlight w:val="none"/>
        </w:rPr>
      </w:pPr>
      <w:bookmarkStart w:id="265" w:name="_Toc32614"/>
      <w:bookmarkStart w:id="266" w:name="_Toc12794"/>
      <w:bookmarkStart w:id="267" w:name="_Toc29861"/>
      <w:bookmarkStart w:id="268" w:name="_Toc12929"/>
      <w:bookmarkStart w:id="269" w:name="_Toc20149"/>
      <w:bookmarkStart w:id="270" w:name="_Toc23297"/>
      <w:r>
        <w:rPr>
          <w:rFonts w:hint="eastAsia" w:ascii="宋体" w:hAnsi="宋体" w:cs="宋体"/>
          <w:color w:val="auto"/>
          <w:szCs w:val="21"/>
          <w:highlight w:val="none"/>
        </w:rPr>
        <w:t>广西壮族自治区财政厅政府采购监督管理处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0771-5331544</w:t>
      </w:r>
    </w:p>
    <w:p w14:paraId="2C324D3A">
      <w:pPr>
        <w:keepNext w:val="0"/>
        <w:keepLines w:val="0"/>
        <w:pageBreakBefore w:val="0"/>
        <w:widowControl/>
        <w:kinsoku/>
        <w:wordWrap/>
        <w:overflowPunct/>
        <w:topLinePunct w:val="0"/>
        <w:bidi w:val="0"/>
        <w:spacing w:line="440" w:lineRule="exact"/>
        <w:jc w:val="left"/>
        <w:rPr>
          <w:b/>
          <w:color w:val="auto"/>
          <w:sz w:val="24"/>
          <w:highlight w:val="none"/>
        </w:rPr>
      </w:pPr>
    </w:p>
    <w:p w14:paraId="46BAA083">
      <w:pPr>
        <w:keepNext w:val="0"/>
        <w:keepLines w:val="0"/>
        <w:pageBreakBefore w:val="0"/>
        <w:widowControl/>
        <w:kinsoku/>
        <w:wordWrap/>
        <w:overflowPunct/>
        <w:topLinePunct w:val="0"/>
        <w:bidi w:val="0"/>
        <w:spacing w:line="440" w:lineRule="exact"/>
        <w:jc w:val="left"/>
        <w:rPr>
          <w:b/>
          <w:color w:val="auto"/>
          <w:sz w:val="24"/>
          <w:highlight w:val="none"/>
        </w:rPr>
      </w:pPr>
    </w:p>
    <w:p w14:paraId="6DE2708A">
      <w:pPr>
        <w:keepNext w:val="0"/>
        <w:keepLines w:val="0"/>
        <w:pageBreakBefore w:val="0"/>
        <w:widowControl/>
        <w:kinsoku/>
        <w:wordWrap/>
        <w:overflowPunct/>
        <w:topLinePunct w:val="0"/>
        <w:bidi w:val="0"/>
        <w:spacing w:line="440" w:lineRule="exact"/>
        <w:jc w:val="left"/>
        <w:rPr>
          <w:b/>
          <w:color w:val="auto"/>
          <w:sz w:val="24"/>
          <w:highlight w:val="none"/>
        </w:rPr>
      </w:pPr>
    </w:p>
    <w:p w14:paraId="415D3C43">
      <w:pPr>
        <w:keepNext w:val="0"/>
        <w:keepLines w:val="0"/>
        <w:pageBreakBefore w:val="0"/>
        <w:widowControl/>
        <w:kinsoku/>
        <w:wordWrap/>
        <w:overflowPunct/>
        <w:topLinePunct w:val="0"/>
        <w:bidi w:val="0"/>
        <w:spacing w:line="440" w:lineRule="exact"/>
        <w:jc w:val="left"/>
        <w:rPr>
          <w:b/>
          <w:color w:val="auto"/>
          <w:sz w:val="24"/>
          <w:highlight w:val="none"/>
        </w:rPr>
      </w:pPr>
    </w:p>
    <w:p w14:paraId="350DAA6A">
      <w:pPr>
        <w:keepNext w:val="0"/>
        <w:keepLines w:val="0"/>
        <w:pageBreakBefore w:val="0"/>
        <w:widowControl/>
        <w:kinsoku/>
        <w:wordWrap/>
        <w:overflowPunct/>
        <w:topLinePunct w:val="0"/>
        <w:bidi w:val="0"/>
        <w:spacing w:line="440" w:lineRule="exact"/>
        <w:jc w:val="left"/>
        <w:rPr>
          <w:b/>
          <w:color w:val="auto"/>
          <w:sz w:val="24"/>
          <w:highlight w:val="none"/>
        </w:rPr>
      </w:pPr>
    </w:p>
    <w:p w14:paraId="4A2F0190">
      <w:pPr>
        <w:keepNext w:val="0"/>
        <w:keepLines w:val="0"/>
        <w:pageBreakBefore w:val="0"/>
        <w:widowControl/>
        <w:kinsoku/>
        <w:wordWrap/>
        <w:overflowPunct/>
        <w:topLinePunct w:val="0"/>
        <w:bidi w:val="0"/>
        <w:spacing w:line="440" w:lineRule="exact"/>
        <w:jc w:val="left"/>
        <w:rPr>
          <w:b/>
          <w:color w:val="auto"/>
          <w:sz w:val="24"/>
          <w:highlight w:val="none"/>
        </w:rPr>
      </w:pPr>
    </w:p>
    <w:p w14:paraId="7386C2F1">
      <w:pPr>
        <w:keepNext w:val="0"/>
        <w:keepLines w:val="0"/>
        <w:pageBreakBefore w:val="0"/>
        <w:widowControl/>
        <w:kinsoku/>
        <w:wordWrap/>
        <w:overflowPunct/>
        <w:topLinePunct w:val="0"/>
        <w:bidi w:val="0"/>
        <w:spacing w:line="440" w:lineRule="exact"/>
        <w:jc w:val="left"/>
        <w:rPr>
          <w:b/>
          <w:color w:val="auto"/>
          <w:sz w:val="24"/>
          <w:highlight w:val="none"/>
        </w:rPr>
      </w:pPr>
    </w:p>
    <w:p w14:paraId="386C274D">
      <w:pPr>
        <w:keepNext w:val="0"/>
        <w:keepLines w:val="0"/>
        <w:pageBreakBefore w:val="0"/>
        <w:widowControl/>
        <w:kinsoku/>
        <w:wordWrap/>
        <w:overflowPunct/>
        <w:topLinePunct w:val="0"/>
        <w:bidi w:val="0"/>
        <w:spacing w:line="440" w:lineRule="exact"/>
        <w:jc w:val="left"/>
        <w:rPr>
          <w:b/>
          <w:color w:val="auto"/>
          <w:sz w:val="24"/>
          <w:highlight w:val="none"/>
        </w:rPr>
      </w:pPr>
    </w:p>
    <w:p w14:paraId="790CCE12">
      <w:pPr>
        <w:keepNext w:val="0"/>
        <w:keepLines w:val="0"/>
        <w:pageBreakBefore w:val="0"/>
        <w:widowControl/>
        <w:kinsoku/>
        <w:wordWrap/>
        <w:overflowPunct/>
        <w:topLinePunct w:val="0"/>
        <w:bidi w:val="0"/>
        <w:spacing w:line="440" w:lineRule="exact"/>
        <w:jc w:val="left"/>
        <w:rPr>
          <w:b/>
          <w:color w:val="auto"/>
          <w:sz w:val="24"/>
          <w:highlight w:val="none"/>
        </w:rPr>
      </w:pPr>
    </w:p>
    <w:p w14:paraId="24B0AC79">
      <w:pPr>
        <w:keepNext w:val="0"/>
        <w:keepLines w:val="0"/>
        <w:pageBreakBefore w:val="0"/>
        <w:widowControl/>
        <w:kinsoku/>
        <w:wordWrap/>
        <w:overflowPunct/>
        <w:topLinePunct w:val="0"/>
        <w:bidi w:val="0"/>
        <w:spacing w:line="440" w:lineRule="exact"/>
        <w:jc w:val="left"/>
        <w:rPr>
          <w:b/>
          <w:color w:val="auto"/>
          <w:sz w:val="24"/>
          <w:highlight w:val="none"/>
        </w:rPr>
      </w:pPr>
    </w:p>
    <w:p w14:paraId="30F31F25">
      <w:pPr>
        <w:keepNext w:val="0"/>
        <w:keepLines w:val="0"/>
        <w:pageBreakBefore w:val="0"/>
        <w:widowControl/>
        <w:kinsoku/>
        <w:wordWrap/>
        <w:overflowPunct/>
        <w:topLinePunct w:val="0"/>
        <w:bidi w:val="0"/>
        <w:spacing w:line="440" w:lineRule="exact"/>
        <w:jc w:val="left"/>
        <w:rPr>
          <w:b/>
          <w:color w:val="auto"/>
          <w:sz w:val="24"/>
          <w:highlight w:val="none"/>
        </w:rPr>
      </w:pPr>
    </w:p>
    <w:p w14:paraId="6EF2665F">
      <w:pPr>
        <w:keepNext w:val="0"/>
        <w:keepLines w:val="0"/>
        <w:pageBreakBefore w:val="0"/>
        <w:widowControl/>
        <w:kinsoku/>
        <w:wordWrap/>
        <w:overflowPunct/>
        <w:topLinePunct w:val="0"/>
        <w:bidi w:val="0"/>
        <w:spacing w:line="440" w:lineRule="exact"/>
        <w:jc w:val="left"/>
        <w:rPr>
          <w:b/>
          <w:color w:val="auto"/>
          <w:sz w:val="24"/>
          <w:highlight w:val="none"/>
        </w:rPr>
      </w:pPr>
    </w:p>
    <w:p w14:paraId="134FCAC6">
      <w:pPr>
        <w:keepNext w:val="0"/>
        <w:keepLines w:val="0"/>
        <w:pageBreakBefore w:val="0"/>
        <w:widowControl/>
        <w:kinsoku/>
        <w:wordWrap/>
        <w:overflowPunct/>
        <w:topLinePunct w:val="0"/>
        <w:bidi w:val="0"/>
        <w:spacing w:line="440" w:lineRule="exact"/>
        <w:jc w:val="left"/>
        <w:rPr>
          <w:b/>
          <w:color w:val="auto"/>
          <w:sz w:val="24"/>
          <w:highlight w:val="none"/>
        </w:rPr>
      </w:pPr>
    </w:p>
    <w:p w14:paraId="5C5BC87E">
      <w:pPr>
        <w:keepNext w:val="0"/>
        <w:keepLines w:val="0"/>
        <w:pageBreakBefore w:val="0"/>
        <w:widowControl/>
        <w:kinsoku/>
        <w:wordWrap/>
        <w:overflowPunct/>
        <w:topLinePunct w:val="0"/>
        <w:bidi w:val="0"/>
        <w:spacing w:line="440" w:lineRule="exact"/>
        <w:jc w:val="left"/>
        <w:rPr>
          <w:b/>
          <w:color w:val="auto"/>
          <w:sz w:val="24"/>
          <w:highlight w:val="none"/>
        </w:rPr>
      </w:pPr>
    </w:p>
    <w:p w14:paraId="1CECCA8A">
      <w:pPr>
        <w:keepNext w:val="0"/>
        <w:keepLines w:val="0"/>
        <w:pageBreakBefore w:val="0"/>
        <w:widowControl/>
        <w:kinsoku/>
        <w:wordWrap/>
        <w:overflowPunct/>
        <w:topLinePunct w:val="0"/>
        <w:bidi w:val="0"/>
        <w:spacing w:line="440" w:lineRule="exact"/>
        <w:jc w:val="left"/>
        <w:rPr>
          <w:b/>
          <w:color w:val="auto"/>
          <w:sz w:val="24"/>
          <w:highlight w:val="none"/>
        </w:rPr>
      </w:pPr>
    </w:p>
    <w:p w14:paraId="76295998">
      <w:pPr>
        <w:keepNext w:val="0"/>
        <w:keepLines w:val="0"/>
        <w:pageBreakBefore w:val="0"/>
        <w:widowControl/>
        <w:kinsoku/>
        <w:wordWrap/>
        <w:overflowPunct/>
        <w:topLinePunct w:val="0"/>
        <w:bidi w:val="0"/>
        <w:spacing w:line="440" w:lineRule="exact"/>
        <w:jc w:val="left"/>
        <w:rPr>
          <w:b/>
          <w:color w:val="auto"/>
          <w:sz w:val="24"/>
          <w:highlight w:val="none"/>
        </w:rPr>
      </w:pPr>
    </w:p>
    <w:p w14:paraId="3691DE6E">
      <w:pPr>
        <w:keepNext w:val="0"/>
        <w:keepLines w:val="0"/>
        <w:pageBreakBefore w:val="0"/>
        <w:widowControl/>
        <w:kinsoku/>
        <w:wordWrap/>
        <w:overflowPunct/>
        <w:topLinePunct w:val="0"/>
        <w:bidi w:val="0"/>
        <w:spacing w:line="440" w:lineRule="exact"/>
        <w:jc w:val="left"/>
        <w:rPr>
          <w:b/>
          <w:color w:val="auto"/>
          <w:sz w:val="24"/>
          <w:highlight w:val="none"/>
        </w:rPr>
      </w:pPr>
    </w:p>
    <w:p w14:paraId="37A0F53D">
      <w:pPr>
        <w:keepNext w:val="0"/>
        <w:keepLines w:val="0"/>
        <w:pageBreakBefore w:val="0"/>
        <w:widowControl/>
        <w:kinsoku/>
        <w:wordWrap/>
        <w:overflowPunct/>
        <w:topLinePunct w:val="0"/>
        <w:bidi w:val="0"/>
        <w:spacing w:line="440" w:lineRule="exact"/>
        <w:jc w:val="left"/>
        <w:rPr>
          <w:b/>
          <w:color w:val="auto"/>
          <w:sz w:val="24"/>
          <w:highlight w:val="none"/>
        </w:rPr>
      </w:pPr>
    </w:p>
    <w:p w14:paraId="1A6971DB">
      <w:pPr>
        <w:keepNext w:val="0"/>
        <w:keepLines w:val="0"/>
        <w:pageBreakBefore w:val="0"/>
        <w:widowControl/>
        <w:kinsoku/>
        <w:wordWrap/>
        <w:overflowPunct/>
        <w:topLinePunct w:val="0"/>
        <w:bidi w:val="0"/>
        <w:spacing w:line="440" w:lineRule="exact"/>
        <w:jc w:val="left"/>
        <w:rPr>
          <w:b/>
          <w:color w:val="auto"/>
          <w:sz w:val="24"/>
          <w:highlight w:val="none"/>
        </w:rPr>
      </w:pPr>
    </w:p>
    <w:p w14:paraId="3A5CE18A">
      <w:pPr>
        <w:keepNext w:val="0"/>
        <w:keepLines w:val="0"/>
        <w:pageBreakBefore w:val="0"/>
        <w:widowControl/>
        <w:kinsoku/>
        <w:wordWrap/>
        <w:overflowPunct/>
        <w:topLinePunct w:val="0"/>
        <w:bidi w:val="0"/>
        <w:spacing w:line="440" w:lineRule="exact"/>
        <w:jc w:val="left"/>
        <w:rPr>
          <w:b/>
          <w:color w:val="auto"/>
          <w:sz w:val="24"/>
          <w:highlight w:val="none"/>
        </w:rPr>
      </w:pPr>
    </w:p>
    <w:p w14:paraId="2F081E98">
      <w:pPr>
        <w:keepNext w:val="0"/>
        <w:keepLines w:val="0"/>
        <w:pageBreakBefore w:val="0"/>
        <w:widowControl/>
        <w:kinsoku/>
        <w:wordWrap/>
        <w:overflowPunct/>
        <w:topLinePunct w:val="0"/>
        <w:bidi w:val="0"/>
        <w:spacing w:line="440" w:lineRule="exact"/>
        <w:jc w:val="left"/>
        <w:rPr>
          <w:b/>
          <w:color w:val="auto"/>
          <w:sz w:val="24"/>
          <w:highlight w:val="none"/>
        </w:rPr>
      </w:pPr>
    </w:p>
    <w:p w14:paraId="32DE1F52">
      <w:pPr>
        <w:keepNext w:val="0"/>
        <w:keepLines w:val="0"/>
        <w:pageBreakBefore w:val="0"/>
        <w:widowControl/>
        <w:kinsoku/>
        <w:wordWrap/>
        <w:overflowPunct/>
        <w:topLinePunct w:val="0"/>
        <w:bidi w:val="0"/>
        <w:spacing w:line="440" w:lineRule="exact"/>
        <w:jc w:val="left"/>
        <w:rPr>
          <w:b/>
          <w:color w:val="auto"/>
          <w:sz w:val="24"/>
          <w:highlight w:val="none"/>
        </w:rPr>
      </w:pPr>
    </w:p>
    <w:p w14:paraId="3BE0618B">
      <w:pPr>
        <w:keepNext w:val="0"/>
        <w:keepLines w:val="0"/>
        <w:pageBreakBefore w:val="0"/>
        <w:widowControl/>
        <w:kinsoku/>
        <w:wordWrap/>
        <w:overflowPunct/>
        <w:topLinePunct w:val="0"/>
        <w:bidi w:val="0"/>
        <w:spacing w:line="440" w:lineRule="exact"/>
        <w:jc w:val="left"/>
        <w:rPr>
          <w:b/>
          <w:color w:val="auto"/>
          <w:sz w:val="24"/>
          <w:highlight w:val="none"/>
        </w:rPr>
      </w:pPr>
    </w:p>
    <w:p w14:paraId="2D09C29D">
      <w:pPr>
        <w:keepNext w:val="0"/>
        <w:keepLines w:val="0"/>
        <w:pageBreakBefore w:val="0"/>
        <w:widowControl/>
        <w:kinsoku/>
        <w:wordWrap/>
        <w:overflowPunct/>
        <w:topLinePunct w:val="0"/>
        <w:bidi w:val="0"/>
        <w:spacing w:line="440" w:lineRule="exact"/>
        <w:jc w:val="left"/>
        <w:rPr>
          <w:b/>
          <w:color w:val="auto"/>
          <w:sz w:val="24"/>
          <w:highlight w:val="none"/>
        </w:rPr>
      </w:pPr>
    </w:p>
    <w:p w14:paraId="60534154">
      <w:pPr>
        <w:rPr>
          <w:b/>
          <w:color w:val="auto"/>
          <w:sz w:val="24"/>
          <w:highlight w:val="none"/>
        </w:rPr>
      </w:pPr>
      <w:r>
        <w:rPr>
          <w:b/>
          <w:color w:val="auto"/>
          <w:sz w:val="24"/>
          <w:highlight w:val="none"/>
        </w:rPr>
        <w:br w:type="page"/>
      </w:r>
    </w:p>
    <w:p w14:paraId="2105BEC5">
      <w:pPr>
        <w:pStyle w:val="21"/>
        <w:rPr>
          <w:color w:val="auto"/>
          <w:highlight w:val="none"/>
        </w:rPr>
      </w:pPr>
    </w:p>
    <w:p w14:paraId="75EF69D8">
      <w:pPr>
        <w:keepNext w:val="0"/>
        <w:keepLines w:val="0"/>
        <w:pageBreakBefore w:val="0"/>
        <w:widowControl/>
        <w:kinsoku/>
        <w:wordWrap/>
        <w:overflowPunct/>
        <w:topLinePunct w:val="0"/>
        <w:bidi w:val="0"/>
        <w:spacing w:line="440" w:lineRule="exact"/>
        <w:jc w:val="left"/>
        <w:rPr>
          <w:b/>
          <w:color w:val="auto"/>
          <w:sz w:val="24"/>
          <w:highlight w:val="none"/>
        </w:rPr>
      </w:pPr>
      <w:r>
        <w:rPr>
          <w:rFonts w:hint="eastAsia"/>
          <w:b/>
          <w:color w:val="auto"/>
          <w:sz w:val="24"/>
          <w:highlight w:val="none"/>
        </w:rPr>
        <w:t>附件</w:t>
      </w:r>
    </w:p>
    <w:p w14:paraId="1D45C37D">
      <w:pPr>
        <w:keepNext w:val="0"/>
        <w:keepLines w:val="0"/>
        <w:pageBreakBefore w:val="0"/>
        <w:kinsoku/>
        <w:wordWrap/>
        <w:overflowPunct/>
        <w:topLinePunct w:val="0"/>
        <w:bidi w:val="0"/>
        <w:spacing w:line="440" w:lineRule="exact"/>
        <w:rPr>
          <w:color w:val="auto"/>
          <w:highlight w:val="none"/>
        </w:rPr>
      </w:pPr>
      <w:r>
        <w:rPr>
          <w:color w:val="auto"/>
          <w:highlight w:val="none"/>
        </w:rPr>
        <w:drawing>
          <wp:anchor distT="0" distB="0" distL="0" distR="0" simplePos="0" relativeHeight="251661312" behindDoc="0" locked="0" layoutInCell="1" allowOverlap="1">
            <wp:simplePos x="0" y="0"/>
            <wp:positionH relativeFrom="column">
              <wp:posOffset>-195580</wp:posOffset>
            </wp:positionH>
            <wp:positionV relativeFrom="paragraph">
              <wp:posOffset>271780</wp:posOffset>
            </wp:positionV>
            <wp:extent cx="6188710" cy="5323205"/>
            <wp:effectExtent l="19050" t="0" r="254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6188710" cy="5323529"/>
                    </a:xfrm>
                    <a:prstGeom prst="rect">
                      <a:avLst/>
                    </a:prstGeom>
                    <a:noFill/>
                    <a:ln w="9525">
                      <a:noFill/>
                      <a:miter lim="800000"/>
                      <a:headEnd/>
                      <a:tailEnd/>
                    </a:ln>
                  </pic:spPr>
                </pic:pic>
              </a:graphicData>
            </a:graphic>
          </wp:anchor>
        </w:drawing>
      </w:r>
    </w:p>
    <w:p w14:paraId="2D860DA7">
      <w:pPr>
        <w:keepNext w:val="0"/>
        <w:keepLines w:val="0"/>
        <w:pageBreakBefore w:val="0"/>
        <w:widowControl/>
        <w:kinsoku/>
        <w:wordWrap/>
        <w:overflowPunct/>
        <w:topLinePunct w:val="0"/>
        <w:bidi w:val="0"/>
        <w:spacing w:line="440" w:lineRule="exact"/>
        <w:jc w:val="left"/>
        <w:rPr>
          <w:rFonts w:ascii="宋体" w:hAnsi="宋体" w:cs="宋体"/>
          <w:color w:val="auto"/>
          <w:szCs w:val="20"/>
          <w:highlight w:val="none"/>
        </w:rPr>
      </w:pPr>
    </w:p>
    <w:p w14:paraId="4117F4AC">
      <w:pPr>
        <w:keepNext w:val="0"/>
        <w:keepLines w:val="0"/>
        <w:pageBreakBefore w:val="0"/>
        <w:widowControl/>
        <w:kinsoku/>
        <w:wordWrap/>
        <w:overflowPunct/>
        <w:topLinePunct w:val="0"/>
        <w:bidi w:val="0"/>
        <w:spacing w:line="440" w:lineRule="exact"/>
        <w:ind w:firstLine="2720" w:firstLineChars="850"/>
        <w:jc w:val="left"/>
        <w:rPr>
          <w:rFonts w:hint="eastAsia"/>
          <w:color w:val="auto"/>
          <w:sz w:val="32"/>
          <w:szCs w:val="32"/>
          <w:highlight w:val="none"/>
        </w:rPr>
      </w:pPr>
    </w:p>
    <w:p w14:paraId="7F22152D">
      <w:pPr>
        <w:keepNext w:val="0"/>
        <w:keepLines w:val="0"/>
        <w:pageBreakBefore w:val="0"/>
        <w:widowControl/>
        <w:kinsoku/>
        <w:wordWrap/>
        <w:overflowPunct/>
        <w:topLinePunct w:val="0"/>
        <w:bidi w:val="0"/>
        <w:spacing w:line="440" w:lineRule="exact"/>
        <w:ind w:firstLine="2720" w:firstLineChars="850"/>
        <w:jc w:val="left"/>
        <w:rPr>
          <w:rFonts w:hint="eastAsia"/>
          <w:color w:val="auto"/>
          <w:sz w:val="32"/>
          <w:szCs w:val="32"/>
          <w:highlight w:val="none"/>
        </w:rPr>
      </w:pPr>
    </w:p>
    <w:p w14:paraId="31A53A54">
      <w:pPr>
        <w:keepNext w:val="0"/>
        <w:keepLines w:val="0"/>
        <w:pageBreakBefore w:val="0"/>
        <w:widowControl/>
        <w:kinsoku/>
        <w:wordWrap/>
        <w:overflowPunct/>
        <w:topLinePunct w:val="0"/>
        <w:bidi w:val="0"/>
        <w:spacing w:line="440" w:lineRule="exact"/>
        <w:ind w:firstLine="2720" w:firstLineChars="850"/>
        <w:jc w:val="left"/>
        <w:rPr>
          <w:rFonts w:hint="eastAsia"/>
          <w:color w:val="auto"/>
          <w:sz w:val="32"/>
          <w:szCs w:val="32"/>
          <w:highlight w:val="none"/>
        </w:rPr>
      </w:pPr>
    </w:p>
    <w:p w14:paraId="463F4149">
      <w:pPr>
        <w:keepNext w:val="0"/>
        <w:keepLines w:val="0"/>
        <w:pageBreakBefore w:val="0"/>
        <w:widowControl/>
        <w:kinsoku/>
        <w:wordWrap/>
        <w:overflowPunct/>
        <w:topLinePunct w:val="0"/>
        <w:bidi w:val="0"/>
        <w:spacing w:line="440" w:lineRule="exact"/>
        <w:ind w:firstLine="2720" w:firstLineChars="850"/>
        <w:jc w:val="left"/>
        <w:rPr>
          <w:rFonts w:hint="eastAsia"/>
          <w:color w:val="auto"/>
          <w:sz w:val="32"/>
          <w:szCs w:val="32"/>
          <w:highlight w:val="none"/>
        </w:rPr>
      </w:pPr>
    </w:p>
    <w:p w14:paraId="0DF6684D">
      <w:pPr>
        <w:keepNext w:val="0"/>
        <w:keepLines w:val="0"/>
        <w:pageBreakBefore w:val="0"/>
        <w:widowControl/>
        <w:kinsoku/>
        <w:wordWrap/>
        <w:overflowPunct/>
        <w:topLinePunct w:val="0"/>
        <w:bidi w:val="0"/>
        <w:spacing w:line="440" w:lineRule="exact"/>
        <w:ind w:firstLine="2720" w:firstLineChars="850"/>
        <w:jc w:val="left"/>
        <w:rPr>
          <w:rFonts w:hint="eastAsia"/>
          <w:color w:val="auto"/>
          <w:sz w:val="32"/>
          <w:szCs w:val="32"/>
          <w:highlight w:val="none"/>
        </w:rPr>
      </w:pPr>
    </w:p>
    <w:p w14:paraId="686445FB">
      <w:pPr>
        <w:keepNext w:val="0"/>
        <w:keepLines w:val="0"/>
        <w:pageBreakBefore w:val="0"/>
        <w:widowControl/>
        <w:kinsoku/>
        <w:wordWrap/>
        <w:overflowPunct/>
        <w:topLinePunct w:val="0"/>
        <w:bidi w:val="0"/>
        <w:spacing w:line="440" w:lineRule="exact"/>
        <w:ind w:firstLine="2720" w:firstLineChars="850"/>
        <w:jc w:val="left"/>
        <w:rPr>
          <w:rFonts w:hint="eastAsia"/>
          <w:color w:val="auto"/>
          <w:sz w:val="32"/>
          <w:szCs w:val="32"/>
          <w:highlight w:val="none"/>
        </w:rPr>
      </w:pPr>
    </w:p>
    <w:p w14:paraId="1C7E17AB">
      <w:pPr>
        <w:keepNext w:val="0"/>
        <w:keepLines w:val="0"/>
        <w:pageBreakBefore w:val="0"/>
        <w:widowControl/>
        <w:kinsoku/>
        <w:wordWrap/>
        <w:overflowPunct/>
        <w:topLinePunct w:val="0"/>
        <w:bidi w:val="0"/>
        <w:spacing w:line="440" w:lineRule="exact"/>
        <w:ind w:firstLine="2720" w:firstLineChars="850"/>
        <w:jc w:val="left"/>
        <w:rPr>
          <w:rFonts w:hint="eastAsia"/>
          <w:color w:val="auto"/>
          <w:sz w:val="32"/>
          <w:szCs w:val="32"/>
          <w:highlight w:val="none"/>
        </w:rPr>
      </w:pPr>
    </w:p>
    <w:p w14:paraId="56BE3E01">
      <w:pPr>
        <w:keepNext w:val="0"/>
        <w:keepLines w:val="0"/>
        <w:pageBreakBefore w:val="0"/>
        <w:widowControl/>
        <w:kinsoku/>
        <w:wordWrap/>
        <w:overflowPunct/>
        <w:topLinePunct w:val="0"/>
        <w:bidi w:val="0"/>
        <w:spacing w:line="440" w:lineRule="exact"/>
        <w:ind w:firstLine="2720" w:firstLineChars="850"/>
        <w:jc w:val="left"/>
        <w:rPr>
          <w:rFonts w:hint="eastAsia"/>
          <w:color w:val="auto"/>
          <w:sz w:val="32"/>
          <w:szCs w:val="32"/>
          <w:highlight w:val="none"/>
        </w:rPr>
      </w:pPr>
    </w:p>
    <w:p w14:paraId="68CCA9C0">
      <w:pPr>
        <w:rPr>
          <w:rFonts w:hint="eastAsia"/>
          <w:color w:val="auto"/>
          <w:sz w:val="32"/>
          <w:szCs w:val="32"/>
          <w:highlight w:val="none"/>
        </w:rPr>
      </w:pPr>
      <w:r>
        <w:rPr>
          <w:rFonts w:hint="eastAsia"/>
          <w:color w:val="auto"/>
          <w:sz w:val="32"/>
          <w:szCs w:val="32"/>
          <w:highlight w:val="none"/>
        </w:rPr>
        <w:br w:type="page"/>
      </w:r>
    </w:p>
    <w:p w14:paraId="79A034A3">
      <w:pPr>
        <w:pStyle w:val="21"/>
        <w:rPr>
          <w:rFonts w:hint="eastAsia"/>
          <w:color w:val="auto"/>
          <w:highlight w:val="none"/>
        </w:rPr>
      </w:pPr>
    </w:p>
    <w:p w14:paraId="17E4E596">
      <w:pPr>
        <w:keepNext w:val="0"/>
        <w:keepLines w:val="0"/>
        <w:pageBreakBefore w:val="0"/>
        <w:widowControl/>
        <w:kinsoku/>
        <w:wordWrap/>
        <w:overflowPunct/>
        <w:topLinePunct w:val="0"/>
        <w:bidi w:val="0"/>
        <w:spacing w:line="440" w:lineRule="exact"/>
        <w:ind w:firstLine="2720" w:firstLineChars="850"/>
        <w:jc w:val="left"/>
        <w:rPr>
          <w:rFonts w:hint="eastAsia"/>
          <w:color w:val="auto"/>
          <w:sz w:val="32"/>
          <w:szCs w:val="32"/>
          <w:highlight w:val="none"/>
        </w:rPr>
      </w:pPr>
    </w:p>
    <w:p w14:paraId="6AC373E0">
      <w:pPr>
        <w:keepNext w:val="0"/>
        <w:keepLines w:val="0"/>
        <w:pageBreakBefore w:val="0"/>
        <w:widowControl/>
        <w:kinsoku/>
        <w:wordWrap/>
        <w:overflowPunct/>
        <w:topLinePunct w:val="0"/>
        <w:bidi w:val="0"/>
        <w:spacing w:line="440" w:lineRule="exact"/>
        <w:ind w:firstLine="2720" w:firstLineChars="850"/>
        <w:jc w:val="left"/>
        <w:rPr>
          <w:rFonts w:ascii="Tahoma" w:hAnsi="Tahoma"/>
          <w:b/>
          <w:bCs/>
          <w:color w:val="auto"/>
          <w:kern w:val="44"/>
          <w:sz w:val="32"/>
          <w:szCs w:val="32"/>
          <w:highlight w:val="none"/>
        </w:rPr>
      </w:pPr>
      <w:r>
        <w:rPr>
          <w:rFonts w:hint="eastAsia"/>
          <w:color w:val="auto"/>
          <w:sz w:val="32"/>
          <w:szCs w:val="32"/>
          <w:highlight w:val="none"/>
        </w:rPr>
        <w:t xml:space="preserve">第三章  </w:t>
      </w:r>
      <w:bookmarkEnd w:id="265"/>
      <w:bookmarkEnd w:id="266"/>
      <w:bookmarkEnd w:id="267"/>
      <w:bookmarkEnd w:id="268"/>
      <w:bookmarkEnd w:id="269"/>
      <w:r>
        <w:rPr>
          <w:rFonts w:hint="eastAsia"/>
          <w:color w:val="auto"/>
          <w:sz w:val="32"/>
          <w:szCs w:val="32"/>
          <w:highlight w:val="none"/>
        </w:rPr>
        <w:t>货物采购需求</w:t>
      </w:r>
    </w:p>
    <w:p w14:paraId="68E35BF6">
      <w:pPr>
        <w:keepNext w:val="0"/>
        <w:keepLines w:val="0"/>
        <w:pageBreakBefore w:val="0"/>
        <w:kinsoku/>
        <w:wordWrap/>
        <w:overflowPunct/>
        <w:topLinePunct w:val="0"/>
        <w:bidi w:val="0"/>
        <w:adjustRightInd w:val="0"/>
        <w:spacing w:line="440" w:lineRule="exact"/>
        <w:rPr>
          <w:rFonts w:ascii="宋体" w:hAnsi="宋体" w:cs="宋体"/>
          <w:b/>
          <w:color w:val="auto"/>
          <w:szCs w:val="21"/>
          <w:highlight w:val="none"/>
        </w:rPr>
      </w:pPr>
      <w:r>
        <w:rPr>
          <w:rFonts w:hint="eastAsia" w:ascii="宋体" w:hAnsi="宋体" w:cs="宋体"/>
          <w:b/>
          <w:color w:val="auto"/>
          <w:szCs w:val="21"/>
          <w:highlight w:val="none"/>
        </w:rPr>
        <w:t>说明：</w:t>
      </w:r>
    </w:p>
    <w:p w14:paraId="542B43B8">
      <w:pPr>
        <w:keepNext w:val="0"/>
        <w:keepLines w:val="0"/>
        <w:pageBreakBefore w:val="0"/>
        <w:kinsoku/>
        <w:wordWrap/>
        <w:overflowPunct/>
        <w:topLinePunct w:val="0"/>
        <w:bidi w:val="0"/>
        <w:adjustRightInd w:val="0"/>
        <w:spacing w:line="440" w:lineRule="exact"/>
        <w:ind w:firstLine="431"/>
        <w:rPr>
          <w:rFonts w:ascii="宋体" w:hAnsi="宋体" w:cs="宋体"/>
          <w:b/>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 xml:space="preserve">、为落实政府采购政策需满足的要求 </w:t>
      </w:r>
    </w:p>
    <w:p w14:paraId="17D42067">
      <w:pPr>
        <w:keepNext w:val="0"/>
        <w:keepLines w:val="0"/>
        <w:pageBreakBefore w:val="0"/>
        <w:kinsoku/>
        <w:wordWrap/>
        <w:overflowPunct/>
        <w:topLinePunct w:val="0"/>
        <w:bidi w:val="0"/>
        <w:adjustRightInd w:val="0"/>
        <w:spacing w:line="440" w:lineRule="exact"/>
        <w:ind w:firstLine="431"/>
        <w:rPr>
          <w:rFonts w:ascii="宋体" w:hAnsi="宋体" w:cs="宋体"/>
          <w:b/>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rPr>
        <w:t>）本招标文件所称中小企业必须符合《政府采购促进中小企业发展管理办法》（财库〔</w:t>
      </w:r>
      <w:r>
        <w:rPr>
          <w:rFonts w:ascii="宋体" w:hAnsi="宋体" w:cs="宋体"/>
          <w:b/>
          <w:bCs/>
          <w:color w:val="auto"/>
          <w:szCs w:val="21"/>
          <w:highlight w:val="none"/>
        </w:rPr>
        <w:t>2020</w:t>
      </w:r>
      <w:r>
        <w:rPr>
          <w:rFonts w:hint="eastAsia" w:ascii="宋体" w:hAnsi="宋体" w:cs="宋体"/>
          <w:b/>
          <w:bCs/>
          <w:color w:val="auto"/>
          <w:szCs w:val="21"/>
          <w:highlight w:val="none"/>
        </w:rPr>
        <w:t>〕</w:t>
      </w:r>
      <w:r>
        <w:rPr>
          <w:rFonts w:ascii="宋体" w:hAnsi="宋体" w:cs="宋体"/>
          <w:b/>
          <w:bCs/>
          <w:color w:val="auto"/>
          <w:szCs w:val="21"/>
          <w:highlight w:val="none"/>
        </w:rPr>
        <w:t xml:space="preserve">46 </w:t>
      </w:r>
      <w:r>
        <w:rPr>
          <w:rFonts w:hint="eastAsia" w:ascii="宋体" w:hAnsi="宋体" w:cs="宋体"/>
          <w:b/>
          <w:bCs/>
          <w:color w:val="auto"/>
          <w:szCs w:val="21"/>
          <w:highlight w:val="none"/>
        </w:rPr>
        <w:t xml:space="preserve">号） </w:t>
      </w:r>
    </w:p>
    <w:p w14:paraId="1CBF5D8E">
      <w:pPr>
        <w:keepNext w:val="0"/>
        <w:keepLines w:val="0"/>
        <w:pageBreakBefore w:val="0"/>
        <w:kinsoku/>
        <w:wordWrap/>
        <w:overflowPunct/>
        <w:topLinePunct w:val="0"/>
        <w:bidi w:val="0"/>
        <w:adjustRightInd w:val="0"/>
        <w:spacing w:line="440" w:lineRule="exact"/>
        <w:rPr>
          <w:rFonts w:ascii="宋体" w:hAnsi="宋体" w:cs="宋体"/>
          <w:b/>
          <w:color w:val="auto"/>
          <w:szCs w:val="21"/>
          <w:highlight w:val="none"/>
        </w:rPr>
      </w:pPr>
      <w:r>
        <w:rPr>
          <w:rFonts w:hint="eastAsia" w:ascii="宋体" w:hAnsi="宋体" w:cs="宋体"/>
          <w:b/>
          <w:bCs/>
          <w:color w:val="auto"/>
          <w:szCs w:val="21"/>
          <w:highlight w:val="none"/>
        </w:rPr>
        <w:t xml:space="preserve">的规定。 </w:t>
      </w:r>
    </w:p>
    <w:p w14:paraId="0134F0CF">
      <w:pPr>
        <w:keepNext w:val="0"/>
        <w:keepLines w:val="0"/>
        <w:pageBreakBefore w:val="0"/>
        <w:kinsoku/>
        <w:wordWrap/>
        <w:overflowPunct/>
        <w:topLinePunct w:val="0"/>
        <w:bidi w:val="0"/>
        <w:adjustRightInd w:val="0"/>
        <w:spacing w:line="440" w:lineRule="exact"/>
        <w:ind w:firstLine="431"/>
        <w:rPr>
          <w:rFonts w:ascii="宋体" w:hAnsi="宋体" w:cs="宋体"/>
          <w:b/>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）根据《财政部 发展改革委 生态环境部 市场监管总局关于调整优化节能产品、环境标志产品政府采购执行机制的通知》（财库〔</w:t>
      </w:r>
      <w:r>
        <w:rPr>
          <w:rFonts w:ascii="宋体" w:hAnsi="宋体" w:cs="宋体"/>
          <w:b/>
          <w:bCs/>
          <w:color w:val="auto"/>
          <w:szCs w:val="21"/>
          <w:highlight w:val="none"/>
        </w:rPr>
        <w:t>2019</w:t>
      </w:r>
      <w:r>
        <w:rPr>
          <w:rFonts w:hint="eastAsia" w:ascii="宋体" w:hAnsi="宋体" w:cs="宋体"/>
          <w:b/>
          <w:bCs/>
          <w:color w:val="auto"/>
          <w:szCs w:val="21"/>
          <w:highlight w:val="none"/>
        </w:rPr>
        <w:t>〕</w:t>
      </w:r>
      <w:r>
        <w:rPr>
          <w:rFonts w:ascii="宋体" w:hAnsi="宋体" w:cs="宋体"/>
          <w:b/>
          <w:bCs/>
          <w:color w:val="auto"/>
          <w:szCs w:val="21"/>
          <w:highlight w:val="none"/>
        </w:rPr>
        <w:t xml:space="preserve">9 </w:t>
      </w:r>
      <w:r>
        <w:rPr>
          <w:rFonts w:hint="eastAsia" w:ascii="宋体" w:hAnsi="宋体" w:cs="宋体"/>
          <w:b/>
          <w:bCs/>
          <w:color w:val="auto"/>
          <w:szCs w:val="21"/>
          <w:highlight w:val="none"/>
        </w:rPr>
        <w:t>号）和《关于印发节能产品政府采购品目清单的通知》（财库〔</w:t>
      </w:r>
      <w:r>
        <w:rPr>
          <w:rFonts w:ascii="宋体" w:hAnsi="宋体" w:cs="宋体"/>
          <w:b/>
          <w:bCs/>
          <w:color w:val="auto"/>
          <w:szCs w:val="21"/>
          <w:highlight w:val="none"/>
        </w:rPr>
        <w:t>2019</w:t>
      </w:r>
      <w:r>
        <w:rPr>
          <w:rFonts w:hint="eastAsia" w:ascii="宋体" w:hAnsi="宋体" w:cs="宋体"/>
          <w:b/>
          <w:bCs/>
          <w:color w:val="auto"/>
          <w:szCs w:val="21"/>
          <w:highlight w:val="none"/>
        </w:rPr>
        <w:t>〕</w:t>
      </w:r>
      <w:r>
        <w:rPr>
          <w:rFonts w:ascii="宋体" w:hAnsi="宋体" w:cs="宋体"/>
          <w:b/>
          <w:bCs/>
          <w:color w:val="auto"/>
          <w:szCs w:val="21"/>
          <w:highlight w:val="none"/>
        </w:rPr>
        <w:t xml:space="preserve">19 </w:t>
      </w:r>
      <w:r>
        <w:rPr>
          <w:rFonts w:hint="eastAsia" w:ascii="宋体" w:hAnsi="宋体" w:cs="宋体"/>
          <w:b/>
          <w:bCs/>
          <w:color w:val="auto"/>
          <w:szCs w:val="21"/>
          <w:highlight w:val="none"/>
        </w:rPr>
        <w:t xml:space="preserve">号）的规定，采购需求中如有货物产品，且货物产品属于节能产品政府采购品目清单内标注“★”的（详见本章后附的节能产品政府采购品目清单），投标人必须在投标文件中提供所投标产品的节能产品认证证书复印件（加盖投标人电子签章），投标人的投标货物必须使用政府强制采购的节能产品，否则投标文件作无效处理。 </w:t>
      </w:r>
    </w:p>
    <w:p w14:paraId="76FE70EC">
      <w:pPr>
        <w:keepNext w:val="0"/>
        <w:keepLines w:val="0"/>
        <w:pageBreakBefore w:val="0"/>
        <w:kinsoku/>
        <w:wordWrap/>
        <w:overflowPunct/>
        <w:topLinePunct w:val="0"/>
        <w:bidi w:val="0"/>
        <w:adjustRightInd w:val="0"/>
        <w:spacing w:line="440" w:lineRule="exact"/>
        <w:ind w:firstLine="431"/>
        <w:rPr>
          <w:rFonts w:ascii="宋体" w:hAnsi="宋体" w:cs="宋体"/>
          <w:b/>
          <w:color w:val="auto"/>
          <w:szCs w:val="21"/>
          <w:highlight w:val="none"/>
        </w:rPr>
      </w:pPr>
      <w:r>
        <w:rPr>
          <w:rFonts w:hint="eastAsia" w:ascii="宋体" w:hAnsi="宋体" w:cs="宋体"/>
          <w:b/>
          <w:color w:val="auto"/>
          <w:szCs w:val="21"/>
          <w:highlight w:val="none"/>
        </w:rPr>
        <w:t>2、“货物采购需求”中的“▲”号项及商务要求为实质性要求。</w:t>
      </w:r>
    </w:p>
    <w:p w14:paraId="4BFC4A19">
      <w:pPr>
        <w:keepNext w:val="0"/>
        <w:keepLines w:val="0"/>
        <w:pageBreakBefore w:val="0"/>
        <w:kinsoku/>
        <w:wordWrap/>
        <w:overflowPunct/>
        <w:topLinePunct w:val="0"/>
        <w:bidi w:val="0"/>
        <w:adjustRightInd w:val="0"/>
        <w:spacing w:line="440" w:lineRule="exact"/>
        <w:ind w:firstLine="431"/>
        <w:rPr>
          <w:rFonts w:ascii="宋体" w:hAnsi="宋体" w:cs="宋体"/>
          <w:b/>
          <w:color w:val="auto"/>
          <w:szCs w:val="21"/>
          <w:highlight w:val="none"/>
        </w:rPr>
      </w:pPr>
      <w:r>
        <w:rPr>
          <w:rFonts w:hint="eastAsia" w:ascii="宋体" w:hAnsi="宋体" w:cs="宋体"/>
          <w:b/>
          <w:color w:val="auto"/>
          <w:szCs w:val="21"/>
          <w:highlight w:val="none"/>
        </w:rPr>
        <w:t>3、投标人须在投标文件中填写/应答技术规格参数，当投标文件中技术参数与招标文件中技术参数有偏离时，须在“偏离”栏内如实注明是“正偏离”或“负偏离”，“正偏离”指投标设备的技术参数优于招标文件中要求，“负偏离”指投标设备的技术参数低于招标文件中要求。投标文件中的技术参数、功能或其它内容有“正偏离”的，投标人须对“正偏离”的情况单独作出说明。</w:t>
      </w:r>
    </w:p>
    <w:tbl>
      <w:tblPr>
        <w:tblStyle w:val="32"/>
        <w:tblW w:w="99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9"/>
        <w:gridCol w:w="576"/>
        <w:gridCol w:w="984"/>
        <w:gridCol w:w="5766"/>
        <w:gridCol w:w="612"/>
        <w:gridCol w:w="567"/>
        <w:gridCol w:w="795"/>
      </w:tblGrid>
      <w:tr w14:paraId="4E48F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49CB75D3">
            <w:pPr>
              <w:keepNext w:val="0"/>
              <w:keepLines w:val="0"/>
              <w:pageBreakBefore w:val="0"/>
              <w:kinsoku/>
              <w:wordWrap/>
              <w:overflowPunct/>
              <w:topLinePunct w:val="0"/>
              <w:bidi w:val="0"/>
              <w:spacing w:line="440" w:lineRule="exact"/>
              <w:jc w:val="center"/>
              <w:rPr>
                <w:rFonts w:hint="eastAsia" w:ascii="宋体" w:hAnsi="宋体" w:eastAsia="宋体" w:cs="宋体"/>
                <w:b/>
                <w:color w:val="auto"/>
                <w:sz w:val="21"/>
                <w:szCs w:val="21"/>
                <w:highlight w:val="none"/>
              </w:rPr>
            </w:pPr>
            <w:bookmarkStart w:id="271" w:name="_Toc22812"/>
            <w:bookmarkStart w:id="272" w:name="_Toc23482"/>
            <w:bookmarkStart w:id="273" w:name="_Toc32733"/>
            <w:r>
              <w:rPr>
                <w:rFonts w:hint="eastAsia" w:ascii="宋体" w:hAnsi="宋体" w:eastAsia="宋体" w:cs="宋体"/>
                <w:b/>
                <w:color w:val="auto"/>
                <w:sz w:val="21"/>
                <w:szCs w:val="21"/>
                <w:highlight w:val="none"/>
              </w:rPr>
              <w:t>项号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8C8D381">
            <w:pPr>
              <w:keepNext w:val="0"/>
              <w:keepLines w:val="0"/>
              <w:pageBreakBefore w:val="0"/>
              <w:kinsoku/>
              <w:wordWrap/>
              <w:overflowPunct/>
              <w:topLinePunct w:val="0"/>
              <w:bidi w:val="0"/>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采购内容</w:t>
            </w:r>
          </w:p>
        </w:tc>
        <w:tc>
          <w:tcPr>
            <w:tcW w:w="5766" w:type="dxa"/>
            <w:tcBorders>
              <w:top w:val="single" w:color="auto" w:sz="4" w:space="0"/>
              <w:left w:val="single" w:color="auto" w:sz="4" w:space="0"/>
              <w:bottom w:val="single" w:color="auto" w:sz="4" w:space="0"/>
              <w:right w:val="single" w:color="auto" w:sz="4" w:space="0"/>
            </w:tcBorders>
            <w:noWrap w:val="0"/>
            <w:vAlign w:val="center"/>
          </w:tcPr>
          <w:p w14:paraId="0976D2C6">
            <w:pPr>
              <w:keepNext w:val="0"/>
              <w:keepLines w:val="0"/>
              <w:pageBreakBefore w:val="0"/>
              <w:kinsoku/>
              <w:wordWrap/>
              <w:overflowPunct/>
              <w:topLinePunct w:val="0"/>
              <w:bidi w:val="0"/>
              <w:spacing w:line="44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项目要求及技术需求</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966F678">
            <w:pPr>
              <w:keepNext w:val="0"/>
              <w:keepLines w:val="0"/>
              <w:pageBreakBefore w:val="0"/>
              <w:kinsoku/>
              <w:wordWrap/>
              <w:overflowPunct/>
              <w:topLinePunct w:val="0"/>
              <w:bidi w:val="0"/>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数量</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D2CFE2E">
            <w:pPr>
              <w:keepNext w:val="0"/>
              <w:keepLines w:val="0"/>
              <w:pageBreakBefore w:val="0"/>
              <w:kinsoku/>
              <w:wordWrap/>
              <w:overflowPunct/>
              <w:topLinePunct w:val="0"/>
              <w:bidi w:val="0"/>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3B02F0A">
            <w:pPr>
              <w:keepNext w:val="0"/>
              <w:keepLines w:val="0"/>
              <w:pageBreakBefore w:val="0"/>
              <w:kinsoku/>
              <w:wordWrap/>
              <w:overflowPunct/>
              <w:topLinePunct w:val="0"/>
              <w:bidi w:val="0"/>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参考单价（元）</w:t>
            </w:r>
          </w:p>
        </w:tc>
      </w:tr>
      <w:tr w14:paraId="3C77E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6ADC6C11">
            <w:pPr>
              <w:keepNext w:val="0"/>
              <w:keepLines w:val="0"/>
              <w:pageBreakBefore w:val="0"/>
              <w:widowControl/>
              <w:kinsoku/>
              <w:wordWrap/>
              <w:overflowPunct/>
              <w:topLinePunct w:val="0"/>
              <w:bidi w:val="0"/>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0B4605A">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超高效液相色谱三重四极杆质谱仪</w:t>
            </w:r>
          </w:p>
          <w:p w14:paraId="5849FEF5">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p>
        </w:tc>
        <w:tc>
          <w:tcPr>
            <w:tcW w:w="5766" w:type="dxa"/>
            <w:tcBorders>
              <w:top w:val="single" w:color="auto" w:sz="4" w:space="0"/>
              <w:left w:val="single" w:color="auto" w:sz="4" w:space="0"/>
              <w:bottom w:val="single" w:color="auto" w:sz="4" w:space="0"/>
              <w:right w:val="single" w:color="auto" w:sz="4" w:space="0"/>
            </w:tcBorders>
            <w:noWrap w:val="0"/>
            <w:vAlign w:val="top"/>
          </w:tcPr>
          <w:p w14:paraId="061D335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质谱部分</w:t>
            </w:r>
          </w:p>
          <w:p w14:paraId="7B8240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▲1.质量数范围：5～2,000amu。（投标文件中提供操作软件截图证明文件）</w:t>
            </w:r>
          </w:p>
          <w:p w14:paraId="35A2AC7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2.质量稳定性：≤0.1amu/24hr。</w:t>
            </w:r>
          </w:p>
          <w:p w14:paraId="6CAC5C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3.扫描速度：≥12,000amu/s，以1amu为步进。</w:t>
            </w:r>
          </w:p>
          <w:p w14:paraId="74901F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4.扫描功能：包含全扫描、子离子扫描、母离子扫描、中性丢失扫描、选择离子扫描、选择反应扫描、多反应监测扫描等多种扫描功能。</w:t>
            </w:r>
          </w:p>
          <w:p w14:paraId="4B0BB3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▲5.检测灵敏度：</w:t>
            </w:r>
          </w:p>
          <w:p w14:paraId="1733B10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1pg利血平柱上进样，m/z609～195，信噪比≥400,000:1，同时满足6针重现性RSD&lt;5%。</w:t>
            </w:r>
          </w:p>
          <w:p w14:paraId="3DFAD2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1pg氯霉素柱上进样，m/z321～152，信噪比≥400,000:1，同时满足6针重现性RSD&lt;5%。</w:t>
            </w:r>
          </w:p>
          <w:p w14:paraId="27F6A5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5.3雌二醇柱上进样1pg，流速1.0 mL/min，相同有机相比例色谱条件下，271&gt;145离子对通道，ESI-信噪比S/N&gt;10,000，进样6针，C.V.&lt;5%</w:t>
            </w:r>
          </w:p>
          <w:p w14:paraId="1E9A8E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17-羟孕酮柱上进样1pg，流速1.0 mL/min，相同有机相比例色谱条件下，331&gt;109离子对通道，APCI+信噪比S/N&gt;2000，进样6针，C.V.&lt;5%</w:t>
            </w:r>
          </w:p>
          <w:p w14:paraId="2A4D1A6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6.动态范围：≥5个数量级</w:t>
            </w:r>
          </w:p>
          <w:p w14:paraId="4AEA6A1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7.独立的电喷雾离子源（ESI）和大气压化学离子源（APCI），插拔式可互换ESI及APCI喷针，更换离子源无需卸真空。</w:t>
            </w:r>
          </w:p>
          <w:p w14:paraId="3441A7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8.离子源流量范围：最大流速≥2mL/min。</w:t>
            </w:r>
          </w:p>
          <w:p w14:paraId="26C91E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▲9.离子源具有辅助加热雾化气设计，辅助加热气温度可达700℃，且可根据化合物特点进行加热气温度优化。（投标文件中提供操作软件截图证明文件）</w:t>
            </w:r>
          </w:p>
          <w:p w14:paraId="13B28F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10.离子源内有主动负压废气排放装置。</w:t>
            </w:r>
          </w:p>
          <w:p w14:paraId="2CC656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▲11.离子源接口采用锥孔结构，无毛细管或其它任何管路传输设计。（投标文件中提供产品结构图证明文件或官方彩页文件）</w:t>
            </w:r>
          </w:p>
          <w:p w14:paraId="4B963B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12.质量分析器：三重四级杆质量分析器。</w:t>
            </w:r>
          </w:p>
          <w:p w14:paraId="6A2AE8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▲13.碰撞室：≥90°弯曲结构高压碰撞室。（投标文件中提供产品结构图证明文件或官方彩页或说明书或验收报告）</w:t>
            </w:r>
          </w:p>
          <w:p w14:paraId="55C09A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14.最小驻留时间：≤1ms。</w:t>
            </w:r>
          </w:p>
          <w:p w14:paraId="7E5E5A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15.检测器：采用电子倍增器。</w:t>
            </w:r>
          </w:p>
          <w:p w14:paraId="233073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16.气源供应：采用氮气发生器提供雾化气和碰撞气。</w:t>
            </w:r>
          </w:p>
          <w:p w14:paraId="6F6F8C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17.能连接到医院</w:t>
            </w:r>
            <w:r>
              <w:rPr>
                <w:rFonts w:hint="eastAsia" w:ascii="宋体" w:hAnsi="宋体" w:cs="宋体"/>
                <w:color w:val="auto"/>
                <w:sz w:val="21"/>
                <w:szCs w:val="21"/>
                <w:highlight w:val="none"/>
                <w:lang w:val="en-US" w:eastAsia="zh-CN"/>
              </w:rPr>
              <w:t>L</w:t>
            </w:r>
            <w:r>
              <w:rPr>
                <w:rFonts w:hint="eastAsia" w:ascii="宋体" w:hAnsi="宋体" w:eastAsia="宋体" w:cs="宋体"/>
                <w:color w:val="auto"/>
                <w:sz w:val="21"/>
                <w:szCs w:val="21"/>
                <w:highlight w:val="none"/>
              </w:rPr>
              <w:t>IS系统，包含相关费用。</w:t>
            </w:r>
          </w:p>
          <w:p w14:paraId="36ABEA4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高效液相色谱部分</w:t>
            </w:r>
          </w:p>
          <w:p w14:paraId="4C0017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1.输液单元：</w:t>
            </w:r>
          </w:p>
          <w:p w14:paraId="4B0558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泵类型：二元高压梯度泵。</w:t>
            </w:r>
          </w:p>
          <w:p w14:paraId="301F67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流速范围：1uL/min～5.0mL/min。</w:t>
            </w:r>
          </w:p>
          <w:p w14:paraId="4F93BD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最大压力：≥9,500psi。</w:t>
            </w:r>
          </w:p>
          <w:p w14:paraId="5F6C62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流速精确度：≤0.06%RSD。</w:t>
            </w:r>
          </w:p>
          <w:p w14:paraId="099C111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梯度设置：0.0～100.0%，最小递增率≤0.1%。</w:t>
            </w:r>
          </w:p>
          <w:p w14:paraId="05E52C3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2.柱温箱：</w:t>
            </w:r>
          </w:p>
          <w:p w14:paraId="2C2379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温度设定范围：≥室温+5℃～80℃。</w:t>
            </w:r>
          </w:p>
          <w:p w14:paraId="6975B9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控温精度：±0.1C</w:t>
            </w:r>
          </w:p>
          <w:p w14:paraId="1882CD1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3.自动进样器：</w:t>
            </w:r>
          </w:p>
          <w:p w14:paraId="275178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进样范围：0.1uL～50.0L。</w:t>
            </w:r>
          </w:p>
          <w:p w14:paraId="7A2054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进样精度：＜0.3%RSD。</w:t>
            </w:r>
          </w:p>
          <w:p w14:paraId="07A059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样品容量：≥100位（1.5ml样品瓶），可兼容96和384孔微孔板。</w:t>
            </w:r>
          </w:p>
          <w:p w14:paraId="51C75A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交叉污染：≤0.0035%。</w:t>
            </w:r>
          </w:p>
          <w:p w14:paraId="6A8989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控温范围：≥4～35℃</w:t>
            </w:r>
          </w:p>
          <w:p w14:paraId="243F63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配置要求：</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109"/>
              <w:gridCol w:w="859"/>
              <w:gridCol w:w="935"/>
            </w:tblGrid>
            <w:tr w14:paraId="7E27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30DEBC0E">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09" w:type="dxa"/>
                  <w:vAlign w:val="center"/>
                </w:tcPr>
                <w:p w14:paraId="665DE175">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859" w:type="dxa"/>
                  <w:vAlign w:val="center"/>
                </w:tcPr>
                <w:p w14:paraId="026B428D">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935" w:type="dxa"/>
                  <w:vAlign w:val="center"/>
                </w:tcPr>
                <w:p w14:paraId="4D9C00B6">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r>
            <w:tr w14:paraId="618A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0C6A891F">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09" w:type="dxa"/>
                  <w:vAlign w:val="center"/>
                </w:tcPr>
                <w:p w14:paraId="67C4E0E5">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三重四级杆质谱仪主机</w:t>
                  </w:r>
                </w:p>
              </w:tc>
              <w:tc>
                <w:tcPr>
                  <w:tcW w:w="859" w:type="dxa"/>
                  <w:vAlign w:val="center"/>
                </w:tcPr>
                <w:p w14:paraId="2993B826">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7773D465">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7521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76231FC8">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09" w:type="dxa"/>
                  <w:vAlign w:val="center"/>
                </w:tcPr>
                <w:p w14:paraId="7C43B701">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独立的ESI和APCI离子源</w:t>
                  </w:r>
                </w:p>
              </w:tc>
              <w:tc>
                <w:tcPr>
                  <w:tcW w:w="859" w:type="dxa"/>
                  <w:vAlign w:val="center"/>
                </w:tcPr>
                <w:p w14:paraId="0108EB7D">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2F884E61">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4BB2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0E01A385">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09" w:type="dxa"/>
                  <w:vAlign w:val="center"/>
                </w:tcPr>
                <w:p w14:paraId="007B8584">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仪器控制和数据处理软件</w:t>
                  </w:r>
                </w:p>
              </w:tc>
              <w:tc>
                <w:tcPr>
                  <w:tcW w:w="859" w:type="dxa"/>
                  <w:vAlign w:val="center"/>
                </w:tcPr>
                <w:p w14:paraId="1E4C4878">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4617AA06">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3476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187BDFBF">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109" w:type="dxa"/>
                  <w:vAlign w:val="center"/>
                </w:tcPr>
                <w:p w14:paraId="1EF4C896">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高压二元梯度泵</w:t>
                  </w:r>
                </w:p>
              </w:tc>
              <w:tc>
                <w:tcPr>
                  <w:tcW w:w="859" w:type="dxa"/>
                  <w:vAlign w:val="center"/>
                </w:tcPr>
                <w:p w14:paraId="39BC8D29">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1485EDC7">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6B3C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0F3672C8">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109" w:type="dxa"/>
                  <w:vAlign w:val="center"/>
                </w:tcPr>
                <w:p w14:paraId="610D74E3">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在线脱气机</w:t>
                  </w:r>
                </w:p>
              </w:tc>
              <w:tc>
                <w:tcPr>
                  <w:tcW w:w="859" w:type="dxa"/>
                  <w:vAlign w:val="center"/>
                </w:tcPr>
                <w:p w14:paraId="2A20A945">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212ACD81">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24C7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4B353CD7">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109" w:type="dxa"/>
                  <w:vAlign w:val="center"/>
                </w:tcPr>
                <w:p w14:paraId="316D523F">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自动进样器</w:t>
                  </w:r>
                </w:p>
              </w:tc>
              <w:tc>
                <w:tcPr>
                  <w:tcW w:w="859" w:type="dxa"/>
                  <w:vAlign w:val="center"/>
                </w:tcPr>
                <w:p w14:paraId="42807E19">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417F2C2B">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4776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69A048D0">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109" w:type="dxa"/>
                  <w:vAlign w:val="center"/>
                </w:tcPr>
                <w:p w14:paraId="48E590C6">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柱温箱</w:t>
                  </w:r>
                </w:p>
              </w:tc>
              <w:tc>
                <w:tcPr>
                  <w:tcW w:w="859" w:type="dxa"/>
                  <w:vAlign w:val="center"/>
                </w:tcPr>
                <w:p w14:paraId="7ACB800A">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54FCB975">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067F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7263BBAB">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109" w:type="dxa"/>
                  <w:vAlign w:val="center"/>
                </w:tcPr>
                <w:p w14:paraId="4E44898E">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UPS稳压电源</w:t>
                  </w:r>
                </w:p>
              </w:tc>
              <w:tc>
                <w:tcPr>
                  <w:tcW w:w="859" w:type="dxa"/>
                  <w:vAlign w:val="center"/>
                </w:tcPr>
                <w:p w14:paraId="16AAFECC">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675F3D88">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7976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1C11DB08">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109" w:type="dxa"/>
                  <w:vAlign w:val="center"/>
                </w:tcPr>
                <w:p w14:paraId="5A4EBD52">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氮气发生器</w:t>
                  </w:r>
                </w:p>
              </w:tc>
              <w:tc>
                <w:tcPr>
                  <w:tcW w:w="859" w:type="dxa"/>
                  <w:vAlign w:val="center"/>
                </w:tcPr>
                <w:p w14:paraId="330CFB01">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486653CA">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37C6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3F3CFB57">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109" w:type="dxa"/>
                  <w:vAlign w:val="center"/>
                </w:tcPr>
                <w:p w14:paraId="68F55AA4">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色谱柱</w:t>
                  </w:r>
                </w:p>
              </w:tc>
              <w:tc>
                <w:tcPr>
                  <w:tcW w:w="859" w:type="dxa"/>
                  <w:vAlign w:val="center"/>
                </w:tcPr>
                <w:p w14:paraId="45DA3E2D">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305FED4E">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r>
            <w:tr w14:paraId="26FD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2621EB28">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109" w:type="dxa"/>
                  <w:vAlign w:val="center"/>
                </w:tcPr>
                <w:p w14:paraId="61DEE444">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泵油</w:t>
                  </w:r>
                </w:p>
              </w:tc>
              <w:tc>
                <w:tcPr>
                  <w:tcW w:w="859" w:type="dxa"/>
                  <w:vAlign w:val="center"/>
                </w:tcPr>
                <w:p w14:paraId="1CA5214D">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35" w:type="dxa"/>
                  <w:vAlign w:val="center"/>
                </w:tcPr>
                <w:p w14:paraId="046C127B">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r>
            <w:tr w14:paraId="2575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5E9CAD64">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109" w:type="dxa"/>
                  <w:vAlign w:val="center"/>
                </w:tcPr>
                <w:p w14:paraId="161352B0">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ESI喷针</w:t>
                  </w:r>
                </w:p>
              </w:tc>
              <w:tc>
                <w:tcPr>
                  <w:tcW w:w="859" w:type="dxa"/>
                  <w:vAlign w:val="center"/>
                </w:tcPr>
                <w:p w14:paraId="1D1992A7">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35" w:type="dxa"/>
                  <w:vAlign w:val="center"/>
                </w:tcPr>
                <w:p w14:paraId="37CCB98A">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r>
            <w:tr w14:paraId="1E5A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080684E8">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3109" w:type="dxa"/>
                  <w:vAlign w:val="center"/>
                </w:tcPr>
                <w:p w14:paraId="3F0FA0D9">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APCI喷针</w:t>
                  </w:r>
                </w:p>
              </w:tc>
              <w:tc>
                <w:tcPr>
                  <w:tcW w:w="859" w:type="dxa"/>
                  <w:vAlign w:val="center"/>
                </w:tcPr>
                <w:p w14:paraId="4EA322B5">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3647B43D">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r>
            <w:tr w14:paraId="4833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758C6294">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3109" w:type="dxa"/>
                  <w:vAlign w:val="center"/>
                </w:tcPr>
                <w:p w14:paraId="0783B32D">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配套打印设备</w:t>
                  </w:r>
                </w:p>
              </w:tc>
              <w:tc>
                <w:tcPr>
                  <w:tcW w:w="859" w:type="dxa"/>
                  <w:vAlign w:val="center"/>
                </w:tcPr>
                <w:p w14:paraId="0F1E20B7">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1A4A3528">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7B6D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6771CEBB">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109" w:type="dxa"/>
                  <w:vAlign w:val="center"/>
                </w:tcPr>
                <w:p w14:paraId="3174679E">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样品瓶</w:t>
                  </w:r>
                </w:p>
              </w:tc>
              <w:tc>
                <w:tcPr>
                  <w:tcW w:w="859" w:type="dxa"/>
                  <w:vAlign w:val="center"/>
                </w:tcPr>
                <w:p w14:paraId="67016267">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935" w:type="dxa"/>
                  <w:vAlign w:val="center"/>
                </w:tcPr>
                <w:p w14:paraId="4C53B2B5">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559B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2EA7B58F">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3109" w:type="dxa"/>
                  <w:vAlign w:val="center"/>
                </w:tcPr>
                <w:p w14:paraId="6ED86EDF">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调谐液</w:t>
                  </w:r>
                </w:p>
              </w:tc>
              <w:tc>
                <w:tcPr>
                  <w:tcW w:w="859" w:type="dxa"/>
                  <w:vAlign w:val="center"/>
                </w:tcPr>
                <w:p w14:paraId="6975D3A3">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241E9484">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r>
            <w:tr w14:paraId="7AD6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51783C9C">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3109" w:type="dxa"/>
                  <w:vAlign w:val="center"/>
                </w:tcPr>
                <w:p w14:paraId="295D1C30">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工作站</w:t>
                  </w:r>
                </w:p>
              </w:tc>
              <w:tc>
                <w:tcPr>
                  <w:tcW w:w="859" w:type="dxa"/>
                  <w:vAlign w:val="center"/>
                </w:tcPr>
                <w:p w14:paraId="65725AAE">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41D568AD">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3B99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1F91617E">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3109" w:type="dxa"/>
                  <w:vAlign w:val="center"/>
                </w:tcPr>
                <w:p w14:paraId="475861C9">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96孔板氮吹</w:t>
                  </w:r>
                </w:p>
              </w:tc>
              <w:tc>
                <w:tcPr>
                  <w:tcW w:w="859" w:type="dxa"/>
                  <w:vAlign w:val="center"/>
                </w:tcPr>
                <w:p w14:paraId="5FF1EDA7">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1BE42108">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5D88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173C74AB">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3109" w:type="dxa"/>
                  <w:vAlign w:val="center"/>
                </w:tcPr>
                <w:p w14:paraId="059F687B">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96孔板离心机</w:t>
                  </w:r>
                </w:p>
              </w:tc>
              <w:tc>
                <w:tcPr>
                  <w:tcW w:w="859" w:type="dxa"/>
                  <w:vAlign w:val="center"/>
                </w:tcPr>
                <w:p w14:paraId="012EFACC">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01EB0675">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45CC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350D3330">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109" w:type="dxa"/>
                  <w:vAlign w:val="center"/>
                </w:tcPr>
                <w:p w14:paraId="62632AE6">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96孔固相萃取装置</w:t>
                  </w:r>
                </w:p>
              </w:tc>
              <w:tc>
                <w:tcPr>
                  <w:tcW w:w="859" w:type="dxa"/>
                  <w:vAlign w:val="center"/>
                </w:tcPr>
                <w:p w14:paraId="10988566">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6D0B79AE">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75FD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5CBBBBD7">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3109" w:type="dxa"/>
                  <w:vAlign w:val="center"/>
                </w:tcPr>
                <w:p w14:paraId="0937DF8C">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超声波清洗机</w:t>
                  </w:r>
                </w:p>
              </w:tc>
              <w:tc>
                <w:tcPr>
                  <w:tcW w:w="859" w:type="dxa"/>
                  <w:vAlign w:val="center"/>
                </w:tcPr>
                <w:p w14:paraId="2B5A947F">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58BE4F83">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1083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79DAA293">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3109" w:type="dxa"/>
                  <w:vAlign w:val="center"/>
                </w:tcPr>
                <w:p w14:paraId="67337A27">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气路管及阀门、万向排气罩、通风橱、</w:t>
                  </w:r>
                </w:p>
              </w:tc>
              <w:tc>
                <w:tcPr>
                  <w:tcW w:w="859" w:type="dxa"/>
                  <w:vAlign w:val="center"/>
                </w:tcPr>
                <w:p w14:paraId="2EF54938">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46FE42D5">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60EF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144AFB74">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3109" w:type="dxa"/>
                  <w:vAlign w:val="center"/>
                </w:tcPr>
                <w:p w14:paraId="7E58A2C0">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减震实验台、装修隔断</w:t>
                  </w:r>
                </w:p>
              </w:tc>
              <w:tc>
                <w:tcPr>
                  <w:tcW w:w="859" w:type="dxa"/>
                  <w:vAlign w:val="center"/>
                </w:tcPr>
                <w:p w14:paraId="07E49201">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6C553327">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44F3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57BC25D7">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3109" w:type="dxa"/>
                  <w:vAlign w:val="center"/>
                </w:tcPr>
                <w:p w14:paraId="6A1A1787">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全自动样品处理系统（磁珠法）</w:t>
                  </w:r>
                </w:p>
              </w:tc>
              <w:tc>
                <w:tcPr>
                  <w:tcW w:w="859" w:type="dxa"/>
                  <w:vAlign w:val="center"/>
                </w:tcPr>
                <w:p w14:paraId="04991233">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5" w:type="dxa"/>
                  <w:vAlign w:val="center"/>
                </w:tcPr>
                <w:p w14:paraId="741E9FAD">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bl>
          <w:p w14:paraId="0E4EF089">
            <w:pPr>
              <w:pStyle w:val="9"/>
              <w:keepNext w:val="0"/>
              <w:keepLines w:val="0"/>
              <w:pageBreakBefore w:val="0"/>
              <w:kinsoku/>
              <w:wordWrap/>
              <w:overflowPunct/>
              <w:topLinePunct w:val="0"/>
              <w:bidi w:val="0"/>
              <w:snapToGrid w:val="0"/>
              <w:spacing w:line="440" w:lineRule="exact"/>
              <w:ind w:left="0" w:leftChars="0" w:firstLine="0" w:firstLineChars="0"/>
              <w:rPr>
                <w:rFonts w:hint="eastAsia" w:ascii="宋体" w:hAnsi="宋体" w:eastAsia="宋体" w:cs="宋体"/>
                <w:color w:val="auto"/>
                <w:sz w:val="21"/>
                <w:szCs w:val="21"/>
                <w:highlight w:val="none"/>
                <w:u w:val="none"/>
                <w:lang w:val="en-US" w:eastAsia="zh-CN"/>
              </w:rPr>
            </w:pPr>
          </w:p>
        </w:tc>
        <w:tc>
          <w:tcPr>
            <w:tcW w:w="612" w:type="dxa"/>
            <w:tcBorders>
              <w:top w:val="single" w:color="auto" w:sz="4" w:space="0"/>
              <w:left w:val="single" w:color="auto" w:sz="4" w:space="0"/>
              <w:bottom w:val="single" w:color="auto" w:sz="4" w:space="0"/>
              <w:right w:val="single" w:color="auto" w:sz="4" w:space="0"/>
            </w:tcBorders>
            <w:noWrap w:val="0"/>
            <w:vAlign w:val="center"/>
          </w:tcPr>
          <w:p w14:paraId="08D7FE36">
            <w:pPr>
              <w:pStyle w:val="12"/>
              <w:keepNext w:val="0"/>
              <w:keepLines w:val="0"/>
              <w:pageBreakBefore w:val="0"/>
              <w:kinsoku/>
              <w:wordWrap/>
              <w:overflowPunct/>
              <w:topLinePunct w:val="0"/>
              <w:bidi w:val="0"/>
              <w:spacing w:line="4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1687EEA">
            <w:pPr>
              <w:pStyle w:val="12"/>
              <w:keepNext w:val="0"/>
              <w:keepLines w:val="0"/>
              <w:pageBreakBefore w:val="0"/>
              <w:kinsoku/>
              <w:wordWrap/>
              <w:overflowPunct/>
              <w:topLinePunct w:val="0"/>
              <w:bidi w:val="0"/>
              <w:spacing w:line="44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897E21B">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1520000 </w:t>
            </w:r>
          </w:p>
        </w:tc>
      </w:tr>
      <w:tr w14:paraId="13BA2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89" w:type="dxa"/>
            <w:gridSpan w:val="7"/>
            <w:tcBorders>
              <w:top w:val="single" w:color="auto" w:sz="4" w:space="0"/>
              <w:left w:val="single" w:color="auto" w:sz="4" w:space="0"/>
              <w:bottom w:val="single" w:color="auto" w:sz="4" w:space="0"/>
              <w:right w:val="single" w:color="auto" w:sz="4" w:space="0"/>
            </w:tcBorders>
            <w:noWrap w:val="0"/>
            <w:vAlign w:val="center"/>
          </w:tcPr>
          <w:p w14:paraId="62509BAA">
            <w:pPr>
              <w:keepNext w:val="0"/>
              <w:keepLines w:val="0"/>
              <w:pageBreakBefore w:val="0"/>
              <w:kinsoku/>
              <w:wordWrap/>
              <w:overflowPunct/>
              <w:topLinePunct w:val="0"/>
              <w:bidi w:val="0"/>
              <w:spacing w:line="440" w:lineRule="exact"/>
              <w:rPr>
                <w:rFonts w:hint="eastAsia" w:ascii="宋体" w:hAnsi="宋体" w:eastAsia="宋体" w:cs="宋体"/>
                <w:color w:val="auto"/>
                <w:kern w:val="0"/>
                <w:sz w:val="21"/>
                <w:szCs w:val="21"/>
                <w:highlight w:val="none"/>
              </w:rPr>
            </w:pPr>
            <w:r>
              <w:rPr>
                <w:rFonts w:hint="eastAsia" w:ascii="仿宋" w:hAnsi="仿宋" w:eastAsia="仿宋" w:cs="仿宋"/>
                <w:color w:val="auto"/>
                <w:sz w:val="24"/>
                <w:highlight w:val="none"/>
              </w:rPr>
              <w:t>▲</w:t>
            </w:r>
            <w:r>
              <w:rPr>
                <w:rFonts w:hint="eastAsia" w:ascii="宋体" w:hAnsi="宋体" w:eastAsia="宋体" w:cs="宋体"/>
                <w:b/>
                <w:color w:val="auto"/>
                <w:sz w:val="21"/>
                <w:szCs w:val="21"/>
                <w:highlight w:val="none"/>
              </w:rPr>
              <w:t>商务要求</w:t>
            </w:r>
          </w:p>
        </w:tc>
      </w:tr>
      <w:tr w14:paraId="53AD8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56773583">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售后服务要求及质量保证</w:t>
            </w:r>
          </w:p>
        </w:tc>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6EFE1DF0">
            <w:pPr>
              <w:keepNext w:val="0"/>
              <w:keepLines w:val="0"/>
              <w:pageBreakBefore w:val="0"/>
              <w:tabs>
                <w:tab w:val="left" w:pos="180"/>
                <w:tab w:val="left" w:pos="1620"/>
              </w:tabs>
              <w:kinsoku/>
              <w:wordWrap/>
              <w:overflowPunct/>
              <w:topLinePunct w:val="0"/>
              <w:bidi w:val="0"/>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1、供应商须保证货物是全新、未使用过的，并完全符合强制性的国家技术质量规范和招标文件规定的质量、规格、性能和技术规范等的要求。因产品质量问题产生的一切责任由中标方负责。</w:t>
            </w:r>
          </w:p>
          <w:p w14:paraId="3F824426">
            <w:pPr>
              <w:keepNext w:val="0"/>
              <w:keepLines w:val="0"/>
              <w:pageBreakBefore w:val="0"/>
              <w:tabs>
                <w:tab w:val="left" w:pos="180"/>
                <w:tab w:val="left" w:pos="1620"/>
              </w:tabs>
              <w:kinsoku/>
              <w:wordWrap/>
              <w:overflowPunct/>
              <w:topLinePunct w:val="0"/>
              <w:bidi w:val="0"/>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2、供应商须保证所提供的货物为原厂生产的合格产品；必须提供所投产品质量保证期</w:t>
            </w:r>
            <w:r>
              <w:rPr>
                <w:rFonts w:hint="eastAsia" w:ascii="宋体" w:hAnsi="宋体" w:eastAsia="宋体" w:cs="宋体"/>
                <w:color w:val="auto"/>
                <w:kern w:val="0"/>
                <w:sz w:val="21"/>
                <w:szCs w:val="21"/>
                <w:highlight w:val="none"/>
                <w:lang w:val="en-US" w:eastAsia="zh-CN"/>
              </w:rPr>
              <w:t>不少于3年</w:t>
            </w:r>
            <w:r>
              <w:rPr>
                <w:rFonts w:hint="eastAsia" w:ascii="宋体" w:hAnsi="宋体" w:eastAsia="宋体" w:cs="宋体"/>
                <w:color w:val="auto"/>
                <w:kern w:val="0"/>
                <w:sz w:val="21"/>
                <w:szCs w:val="21"/>
                <w:highlight w:val="none"/>
              </w:rPr>
              <w:t>的免费上门服务及技术支持。质量保证期内发生的一切费用由供应商承担。</w:t>
            </w:r>
          </w:p>
          <w:p w14:paraId="2D71C408">
            <w:pPr>
              <w:keepNext w:val="0"/>
              <w:keepLines w:val="0"/>
              <w:pageBreakBefore w:val="0"/>
              <w:tabs>
                <w:tab w:val="left" w:pos="180"/>
                <w:tab w:val="left" w:pos="1620"/>
              </w:tabs>
              <w:kinsoku/>
              <w:wordWrap/>
              <w:overflowPunct/>
              <w:topLinePunct w:val="0"/>
              <w:bidi w:val="0"/>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3、质量保证期内，供应商接到故障咨询电话响应时间为2小时内，上门响应时间为48小时内。</w:t>
            </w:r>
          </w:p>
          <w:p w14:paraId="2DBD697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、免费</w:t>
            </w:r>
            <w:r>
              <w:rPr>
                <w:rFonts w:hint="eastAsia" w:ascii="宋体" w:hAnsi="宋体" w:cs="宋体"/>
                <w:color w:val="auto"/>
                <w:kern w:val="0"/>
                <w:sz w:val="21"/>
                <w:szCs w:val="21"/>
                <w:highlight w:val="none"/>
                <w:lang w:val="en-US" w:eastAsia="zh-CN"/>
              </w:rPr>
              <w:t>质保</w:t>
            </w:r>
            <w:r>
              <w:rPr>
                <w:rFonts w:hint="eastAsia" w:ascii="宋体" w:hAnsi="宋体" w:eastAsia="宋体" w:cs="宋体"/>
                <w:color w:val="auto"/>
                <w:kern w:val="0"/>
                <w:sz w:val="21"/>
                <w:szCs w:val="21"/>
                <w:highlight w:val="none"/>
              </w:rPr>
              <w:t>期：</w:t>
            </w:r>
            <w:r>
              <w:rPr>
                <w:rFonts w:hint="eastAsia" w:ascii="宋体" w:hAnsi="宋体" w:cs="宋体"/>
                <w:color w:val="auto"/>
                <w:kern w:val="0"/>
                <w:sz w:val="21"/>
                <w:szCs w:val="21"/>
                <w:highlight w:val="none"/>
                <w:lang w:val="en-US" w:eastAsia="zh-CN"/>
              </w:rPr>
              <w:t>免费原厂质保期不少于3年</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质保</w:t>
            </w:r>
            <w:r>
              <w:rPr>
                <w:rFonts w:hint="eastAsia" w:ascii="宋体" w:hAnsi="宋体" w:eastAsia="宋体" w:cs="宋体"/>
                <w:color w:val="auto"/>
                <w:kern w:val="0"/>
                <w:sz w:val="21"/>
                <w:szCs w:val="21"/>
                <w:highlight w:val="none"/>
              </w:rPr>
              <w:t>期内非人为因素发生的故障均由中标供应商免费维修或更换，质保期外维修的零配件需优惠</w:t>
            </w:r>
            <w:r>
              <w:rPr>
                <w:rFonts w:hint="eastAsia" w:ascii="宋体" w:hAnsi="宋体" w:cs="宋体"/>
                <w:color w:val="auto"/>
                <w:kern w:val="0"/>
                <w:sz w:val="21"/>
                <w:szCs w:val="21"/>
                <w:highlight w:val="none"/>
                <w:lang w:val="en-US" w:eastAsia="zh-CN"/>
              </w:rPr>
              <w:t>不少于</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折。</w:t>
            </w:r>
          </w:p>
          <w:p w14:paraId="0EF51C3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、定期维护：质保期内定期对设备进行免费保养和维护（</w:t>
            </w:r>
            <w:r>
              <w:rPr>
                <w:rFonts w:hint="eastAsia" w:ascii="宋体" w:hAnsi="宋体" w:eastAsia="宋体" w:cs="宋体"/>
                <w:color w:val="auto"/>
                <w:kern w:val="0"/>
                <w:sz w:val="21"/>
                <w:szCs w:val="21"/>
                <w:highlight w:val="none"/>
                <w:lang w:val="en-US" w:eastAsia="zh-CN"/>
              </w:rPr>
              <w:t>每半年一次</w:t>
            </w:r>
            <w:r>
              <w:rPr>
                <w:rFonts w:hint="eastAsia" w:ascii="宋体" w:hAnsi="宋体" w:eastAsia="宋体" w:cs="宋体"/>
                <w:color w:val="auto"/>
                <w:kern w:val="0"/>
                <w:sz w:val="21"/>
                <w:szCs w:val="21"/>
                <w:highlight w:val="none"/>
              </w:rPr>
              <w:t>），定期对用户进行回访、技术支持。</w:t>
            </w:r>
          </w:p>
          <w:p w14:paraId="34FEAEE4">
            <w:pPr>
              <w:keepNext w:val="0"/>
              <w:keepLines w:val="0"/>
              <w:pageBreakBefore w:val="0"/>
              <w:kinsoku/>
              <w:wordWrap/>
              <w:overflowPunct/>
              <w:topLinePunct w:val="0"/>
              <w:bidi w:val="0"/>
              <w:spacing w:line="440" w:lineRule="exact"/>
              <w:jc w:val="left"/>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、技术升级：在质保期内，如果中标供应商的产品或服务升级，中标供应商应及时通知采购人，如采购人有相应要求，中标供应商应对采购人购买的产品或服务进行升级。</w:t>
            </w:r>
          </w:p>
        </w:tc>
      </w:tr>
      <w:tr w14:paraId="176CE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053D3EA1">
            <w:pPr>
              <w:keepNext w:val="0"/>
              <w:keepLines w:val="0"/>
              <w:pageBreakBefore w:val="0"/>
              <w:kinsoku/>
              <w:wordWrap/>
              <w:overflowPunct/>
              <w:topLinePunct w:val="0"/>
              <w:bidi w:val="0"/>
              <w:spacing w:line="440" w:lineRule="exact"/>
              <w:jc w:val="center"/>
              <w:rPr>
                <w:rFonts w:hint="eastAsia" w:ascii="宋体" w:hAnsi="宋体" w:eastAsia="宋体" w:cs="宋体"/>
                <w:b/>
                <w:bCs/>
                <w:color w:val="auto"/>
                <w:kern w:val="0"/>
                <w:sz w:val="21"/>
                <w:szCs w:val="21"/>
                <w:highlight w:val="none"/>
              </w:rPr>
            </w:pPr>
            <w:r>
              <w:rPr>
                <w:rFonts w:hint="eastAsia" w:ascii="宋体" w:hAnsi="宋体"/>
                <w:b/>
                <w:bCs/>
                <w:color w:val="auto"/>
                <w:kern w:val="0"/>
                <w:highlight w:val="none"/>
              </w:rPr>
              <w:t>核心产品</w:t>
            </w:r>
          </w:p>
        </w:tc>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66A88996">
            <w:pPr>
              <w:keepNext w:val="0"/>
              <w:keepLines w:val="0"/>
              <w:pageBreakBefore w:val="0"/>
              <w:kinsoku/>
              <w:wordWrap/>
              <w:overflowPunct/>
              <w:topLinePunct w:val="0"/>
              <w:bidi w:val="0"/>
              <w:spacing w:line="440" w:lineRule="exact"/>
              <w:rPr>
                <w:rFonts w:hint="eastAsia" w:ascii="宋体" w:hAnsi="宋体" w:eastAsia="宋体" w:cs="宋体"/>
                <w:color w:val="auto"/>
                <w:kern w:val="0"/>
                <w:sz w:val="21"/>
                <w:szCs w:val="21"/>
                <w:highlight w:val="none"/>
              </w:rPr>
            </w:pPr>
            <w:r>
              <w:rPr>
                <w:rFonts w:hint="eastAsia" w:ascii="宋体" w:hAnsi="宋体"/>
                <w:color w:val="auto"/>
                <w:kern w:val="0"/>
                <w:highlight w:val="none"/>
              </w:rPr>
              <w:t>本项目核心产品为</w:t>
            </w:r>
            <w:r>
              <w:rPr>
                <w:rFonts w:hint="eastAsia" w:ascii="宋体" w:hAnsi="宋体"/>
                <w:color w:val="auto"/>
                <w:kern w:val="0"/>
                <w:highlight w:val="none"/>
                <w:lang w:val="en-US" w:eastAsia="zh-CN"/>
              </w:rPr>
              <w:t>采购需求</w:t>
            </w:r>
            <w:r>
              <w:rPr>
                <w:rFonts w:hint="eastAsia" w:ascii="宋体" w:hAnsi="宋体"/>
                <w:color w:val="auto"/>
                <w:kern w:val="0"/>
                <w:highlight w:val="none"/>
              </w:rPr>
              <w:t>一览表中的第</w:t>
            </w:r>
            <w:r>
              <w:rPr>
                <w:rFonts w:hint="eastAsia" w:ascii="宋体" w:hAnsi="宋体"/>
                <w:color w:val="auto"/>
                <w:kern w:val="0"/>
                <w:highlight w:val="none"/>
                <w:lang w:val="en-US" w:eastAsia="zh-CN"/>
              </w:rPr>
              <w:t>1</w:t>
            </w:r>
            <w:r>
              <w:rPr>
                <w:rFonts w:hint="eastAsia" w:ascii="宋体" w:hAnsi="宋体"/>
                <w:color w:val="auto"/>
                <w:kern w:val="0"/>
                <w:highlight w:val="none"/>
              </w:rPr>
              <w:t xml:space="preserve">项产品 </w:t>
            </w:r>
            <w:r>
              <w:rPr>
                <w:rFonts w:hint="eastAsia" w:ascii="宋体" w:hAnsi="宋体" w:eastAsia="宋体" w:cs="宋体"/>
                <w:color w:val="auto"/>
                <w:kern w:val="0"/>
                <w:highlight w:val="none"/>
              </w:rPr>
              <w:t>“</w:t>
            </w:r>
            <w:r>
              <w:rPr>
                <w:rFonts w:hint="eastAsia" w:ascii="宋体" w:hAnsi="宋体" w:eastAsia="宋体" w:cs="宋体"/>
                <w:color w:val="auto"/>
                <w:sz w:val="21"/>
                <w:szCs w:val="21"/>
                <w:highlight w:val="none"/>
              </w:rPr>
              <w:t>超高效液相色谱三重四极杆质谱仪</w:t>
            </w:r>
            <w:r>
              <w:rPr>
                <w:rFonts w:hint="eastAsia" w:ascii="宋体" w:hAnsi="宋体" w:eastAsia="宋体" w:cs="宋体"/>
                <w:color w:val="auto"/>
                <w:kern w:val="0"/>
                <w:highlight w:val="none"/>
              </w:rPr>
              <w:t>”</w:t>
            </w:r>
            <w:r>
              <w:rPr>
                <w:rFonts w:hint="eastAsia" w:ascii="宋体" w:hAnsi="宋体"/>
                <w:color w:val="auto"/>
                <w:kern w:val="0"/>
                <w:highlight w:val="none"/>
                <w:lang w:eastAsia="zh-CN"/>
              </w:rPr>
              <w:t>。</w:t>
            </w:r>
          </w:p>
        </w:tc>
      </w:tr>
      <w:tr w14:paraId="55E0B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2CCF5377">
            <w:pPr>
              <w:keepNext w:val="0"/>
              <w:keepLines w:val="0"/>
              <w:pageBreakBefore w:val="0"/>
              <w:widowControl/>
              <w:kinsoku/>
              <w:wordWrap/>
              <w:overflowPunct/>
              <w:topLinePunct w:val="0"/>
              <w:bidi w:val="0"/>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交货时间及地点</w:t>
            </w:r>
          </w:p>
        </w:tc>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2C7E5D66">
            <w:pPr>
              <w:keepNext w:val="0"/>
              <w:keepLines w:val="0"/>
              <w:pageBreakBefore w:val="0"/>
              <w:kinsoku/>
              <w:wordWrap/>
              <w:overflowPunct/>
              <w:topLinePunct w:val="0"/>
              <w:bidi w:val="0"/>
              <w:adjustRightInd w:val="0"/>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1.交付时间：</w:t>
            </w:r>
            <w:r>
              <w:rPr>
                <w:rFonts w:hint="eastAsia" w:hAnsi="宋体"/>
                <w:color w:val="auto"/>
                <w:szCs w:val="21"/>
                <w:highlight w:val="none"/>
              </w:rPr>
              <w:t>自签订合同之日</w:t>
            </w:r>
            <w:r>
              <w:rPr>
                <w:rFonts w:hint="eastAsia" w:hAnsi="宋体"/>
                <w:color w:val="auto"/>
                <w:szCs w:val="21"/>
                <w:highlight w:val="none"/>
                <w:lang w:val="en-US" w:eastAsia="zh-CN"/>
              </w:rPr>
              <w:t>90</w:t>
            </w:r>
            <w:r>
              <w:rPr>
                <w:rFonts w:hint="eastAsia" w:hAnsi="宋体"/>
                <w:color w:val="auto"/>
                <w:szCs w:val="21"/>
                <w:highlight w:val="none"/>
              </w:rPr>
              <w:t>天内全部安装调试合格完毕</w:t>
            </w:r>
            <w:r>
              <w:rPr>
                <w:rFonts w:hint="eastAsia" w:ascii="宋体" w:hAnsi="宋体" w:eastAsia="宋体" w:cs="宋体"/>
                <w:color w:val="auto"/>
                <w:kern w:val="0"/>
                <w:sz w:val="21"/>
                <w:szCs w:val="21"/>
                <w:highlight w:val="none"/>
              </w:rPr>
              <w:t>。</w:t>
            </w:r>
          </w:p>
          <w:p w14:paraId="4ADA2270">
            <w:pPr>
              <w:keepNext w:val="0"/>
              <w:keepLines w:val="0"/>
              <w:pageBreakBefore w:val="0"/>
              <w:kinsoku/>
              <w:wordWrap/>
              <w:overflowPunct/>
              <w:topLinePunct w:val="0"/>
              <w:bidi w:val="0"/>
              <w:adjustRightInd w:val="0"/>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2.交付地点：桂林市采购人指定地点。</w:t>
            </w:r>
          </w:p>
        </w:tc>
      </w:tr>
      <w:tr w14:paraId="2BA1A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29E84A05">
            <w:pPr>
              <w:keepNext w:val="0"/>
              <w:keepLines w:val="0"/>
              <w:pageBreakBefore w:val="0"/>
              <w:kinsoku/>
              <w:wordWrap/>
              <w:overflowPunct/>
              <w:topLinePunct w:val="0"/>
              <w:bidi w:val="0"/>
              <w:adjustRightInd w:val="0"/>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付款方式</w:t>
            </w:r>
          </w:p>
        </w:tc>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10895EB4">
            <w:pPr>
              <w:keepNext w:val="0"/>
              <w:keepLines w:val="0"/>
              <w:pageBreakBefore w:val="0"/>
              <w:kinsoku/>
              <w:wordWrap/>
              <w:overflowPunct/>
              <w:topLinePunct w:val="0"/>
              <w:bidi w:val="0"/>
              <w:adjustRightInd w:val="0"/>
              <w:spacing w:line="440" w:lineRule="exac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合同总价在100-500万元以内的设备，经相关部门验收合格，收到正式发票，投入正常使用满6个月后支付30%货款，正常使用满一年后支付67%货款，合同金额 的3%作为质保金，质保期满后一个月内一次性付清余款。</w:t>
            </w:r>
          </w:p>
        </w:tc>
      </w:tr>
      <w:tr w14:paraId="6DC85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191D00CB">
            <w:pPr>
              <w:keepNext w:val="0"/>
              <w:keepLines w:val="0"/>
              <w:pageBreakBefore w:val="0"/>
              <w:kinsoku/>
              <w:wordWrap/>
              <w:overflowPunct/>
              <w:topLinePunct w:val="0"/>
              <w:bidi w:val="0"/>
              <w:adjustRightInd w:val="0"/>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验收要求</w:t>
            </w:r>
          </w:p>
        </w:tc>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18126BA8">
            <w:pPr>
              <w:keepNext w:val="0"/>
              <w:keepLines w:val="0"/>
              <w:pageBreakBefore w:val="0"/>
              <w:kinsoku/>
              <w:wordWrap/>
              <w:overflowPunct/>
              <w:topLinePunct w:val="0"/>
              <w:bidi w:val="0"/>
              <w:adjustRightInd w:val="0"/>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中标</w:t>
            </w:r>
            <w:r>
              <w:rPr>
                <w:rFonts w:hint="eastAsia" w:ascii="宋体" w:hAnsi="宋体" w:eastAsia="宋体" w:cs="宋体"/>
                <w:color w:val="auto"/>
                <w:kern w:val="0"/>
                <w:sz w:val="21"/>
                <w:szCs w:val="21"/>
                <w:highlight w:val="none"/>
              </w:rPr>
              <w:t>供应商所提供的产品必须为原装正品的、全新的、符合国家有关质量标准的产品。采购人应当在到货（安装、调试完）后七个工作日内进行验收。采购人现场根据</w:t>
            </w:r>
            <w:r>
              <w:rPr>
                <w:rFonts w:hint="eastAsia" w:ascii="宋体" w:hAnsi="宋体" w:eastAsia="宋体" w:cs="宋体"/>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文件要求及</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文件承诺逐条对应进行核验；若核验不合格的采购人有权终止合同执行并全部退货，同时报相关监督管理部门处理，由此造成采购人经济损失的由</w:t>
            </w:r>
            <w:r>
              <w:rPr>
                <w:rFonts w:hint="eastAsia" w:ascii="宋体" w:hAnsi="宋体" w:eastAsia="宋体" w:cs="宋体"/>
                <w:color w:val="auto"/>
                <w:kern w:val="0"/>
                <w:sz w:val="21"/>
                <w:szCs w:val="21"/>
                <w:highlight w:val="none"/>
                <w:lang w:val="en-US" w:eastAsia="zh-CN"/>
              </w:rPr>
              <w:t>中标</w:t>
            </w:r>
            <w:r>
              <w:rPr>
                <w:rFonts w:hint="eastAsia" w:ascii="宋体" w:hAnsi="宋体" w:eastAsia="宋体" w:cs="宋体"/>
                <w:color w:val="auto"/>
                <w:kern w:val="0"/>
                <w:sz w:val="21"/>
                <w:szCs w:val="21"/>
                <w:highlight w:val="none"/>
              </w:rPr>
              <w:t>人负责承担全部赔偿责任。如有异议，将交由国家认可并具检验检测资格的第三方机构邀请相关专家进行实际检验，所有产生的费用由</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承担。</w:t>
            </w:r>
          </w:p>
          <w:p w14:paraId="358F918F">
            <w:pPr>
              <w:keepNext w:val="0"/>
              <w:keepLines w:val="0"/>
              <w:pageBreakBefore w:val="0"/>
              <w:kinsoku/>
              <w:wordWrap/>
              <w:overflowPunct/>
              <w:topLinePunct w:val="0"/>
              <w:bidi w:val="0"/>
              <w:adjustRightInd w:val="0"/>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中标</w:t>
            </w:r>
            <w:r>
              <w:rPr>
                <w:rFonts w:hint="eastAsia" w:ascii="宋体" w:hAnsi="宋体" w:eastAsia="宋体" w:cs="宋体"/>
                <w:color w:val="auto"/>
                <w:kern w:val="0"/>
                <w:sz w:val="21"/>
                <w:szCs w:val="21"/>
                <w:highlight w:val="none"/>
              </w:rPr>
              <w:t>供应商提供的全部货物,均应采用本行业通用的方式进行包装，且该包装应符合国家有关包装的法律、法规的规定。包装应适应于远距离运输、防潮、防震、防锈和防粗暴装卸，确保货物安全无损，运抵交货现场。由于包装不善所引起的货物损坏和损失均由</w:t>
            </w:r>
            <w:r>
              <w:rPr>
                <w:rFonts w:hint="eastAsia" w:ascii="宋体" w:hAnsi="宋体" w:eastAsia="宋体" w:cs="宋体"/>
                <w:color w:val="auto"/>
                <w:kern w:val="0"/>
                <w:sz w:val="21"/>
                <w:szCs w:val="21"/>
                <w:highlight w:val="none"/>
                <w:lang w:val="en-US" w:eastAsia="zh-CN"/>
              </w:rPr>
              <w:t>中标</w:t>
            </w:r>
            <w:r>
              <w:rPr>
                <w:rFonts w:hint="eastAsia" w:ascii="宋体" w:hAnsi="宋体" w:eastAsia="宋体" w:cs="宋体"/>
                <w:color w:val="auto"/>
                <w:kern w:val="0"/>
                <w:sz w:val="21"/>
                <w:szCs w:val="21"/>
                <w:highlight w:val="none"/>
              </w:rPr>
              <w:t>方承担。使用说明书、质量合格证等一并附于货物内。</w:t>
            </w:r>
          </w:p>
          <w:p w14:paraId="4F5E0C1C">
            <w:pPr>
              <w:keepNext w:val="0"/>
              <w:keepLines w:val="0"/>
              <w:pageBreakBefore w:val="0"/>
              <w:kinsoku/>
              <w:wordWrap/>
              <w:overflowPunct/>
              <w:topLinePunct w:val="0"/>
              <w:bidi w:val="0"/>
              <w:adjustRightInd w:val="0"/>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中标</w:t>
            </w:r>
            <w:r>
              <w:rPr>
                <w:rFonts w:hint="eastAsia" w:ascii="宋体" w:hAnsi="宋体" w:eastAsia="宋体" w:cs="宋体"/>
                <w:color w:val="auto"/>
                <w:kern w:val="0"/>
                <w:sz w:val="21"/>
                <w:szCs w:val="21"/>
                <w:highlight w:val="none"/>
              </w:rPr>
              <w:t>供应商和采购人首先现场对数量和外观质量进行验收，之后由双方共同随机取样送至采购人认同的具有检测资质的第三方检测机构进行检测(内容包括货物需求中要求提供检测报告的检测项)，由此产生的所有费用（包括检测费、交通费等）包含在</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报价中。如检验不合格，采购人有权无条件退货，并不予验收及付款，采购人有权取消政府采购合同，由此造成的一切损失由</w:t>
            </w:r>
            <w:r>
              <w:rPr>
                <w:rFonts w:hint="eastAsia" w:ascii="宋体" w:hAnsi="宋体" w:eastAsia="宋体" w:cs="宋体"/>
                <w:color w:val="auto"/>
                <w:kern w:val="0"/>
                <w:sz w:val="21"/>
                <w:szCs w:val="21"/>
                <w:highlight w:val="none"/>
                <w:lang w:val="en-US" w:eastAsia="zh-CN"/>
              </w:rPr>
              <w:t>中标</w:t>
            </w:r>
            <w:r>
              <w:rPr>
                <w:rFonts w:hint="eastAsia" w:ascii="宋体" w:hAnsi="宋体" w:eastAsia="宋体" w:cs="宋体"/>
                <w:color w:val="auto"/>
                <w:kern w:val="0"/>
                <w:sz w:val="21"/>
                <w:szCs w:val="21"/>
                <w:highlight w:val="none"/>
              </w:rPr>
              <w:t>供应商负责。</w:t>
            </w:r>
          </w:p>
        </w:tc>
      </w:tr>
      <w:tr w14:paraId="6A490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05403084">
            <w:pPr>
              <w:keepNext w:val="0"/>
              <w:keepLines w:val="0"/>
              <w:pageBreakBefore w:val="0"/>
              <w:kinsoku/>
              <w:wordWrap/>
              <w:overflowPunct/>
              <w:topLinePunct w:val="0"/>
              <w:bidi w:val="0"/>
              <w:adjustRightInd w:val="0"/>
              <w:spacing w:line="440" w:lineRule="exact"/>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进口产品说明</w:t>
            </w:r>
          </w:p>
        </w:tc>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2BEB7B64">
            <w:pPr>
              <w:keepNext w:val="0"/>
              <w:keepLines w:val="0"/>
              <w:pageBreakBefore w:val="0"/>
              <w:kinsoku/>
              <w:wordWrap/>
              <w:overflowPunct/>
              <w:topLinePunct w:val="0"/>
              <w:bidi w:val="0"/>
              <w:spacing w:line="440" w:lineRule="exact"/>
              <w:rPr>
                <w:rFonts w:hint="eastAsia" w:ascii="宋体" w:hAnsi="宋体" w:eastAsia="宋体" w:cs="宋体"/>
                <w:color w:val="auto"/>
                <w:kern w:val="0"/>
                <w:sz w:val="21"/>
                <w:szCs w:val="21"/>
                <w:highlight w:val="none"/>
              </w:rPr>
            </w:pPr>
            <w:r>
              <w:rPr>
                <w:rFonts w:hint="eastAsia" w:ascii="宋体" w:hAnsi="宋体"/>
                <w:color w:val="auto"/>
                <w:szCs w:val="21"/>
                <w:highlight w:val="none"/>
              </w:rPr>
              <w:t>本表的第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项货物已按规定办妥进口产品采购审核手续，</w:t>
            </w:r>
            <w:r>
              <w:rPr>
                <w:rFonts w:hint="eastAsia" w:ascii="宋体" w:hAnsi="宋体"/>
                <w:color w:val="auto"/>
                <w:szCs w:val="21"/>
                <w:highlight w:val="none"/>
                <w:lang w:val="en-US" w:eastAsia="zh-CN"/>
              </w:rPr>
              <w:t>投标</w:t>
            </w:r>
            <w:r>
              <w:rPr>
                <w:rFonts w:hint="eastAsia" w:ascii="宋体" w:hAnsi="宋体"/>
                <w:color w:val="auto"/>
                <w:szCs w:val="21"/>
                <w:highlight w:val="none"/>
              </w:rPr>
              <w:t>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其他货物不接受进口产品参与</w:t>
            </w:r>
            <w:r>
              <w:rPr>
                <w:rFonts w:hint="eastAsia" w:ascii="宋体" w:hAnsi="宋体"/>
                <w:color w:val="auto"/>
                <w:szCs w:val="21"/>
                <w:highlight w:val="none"/>
                <w:lang w:val="en-US" w:eastAsia="zh-CN"/>
              </w:rPr>
              <w:t>投</w:t>
            </w:r>
            <w:r>
              <w:rPr>
                <w:rFonts w:hint="eastAsia" w:ascii="宋体" w:hAnsi="宋体"/>
                <w:color w:val="auto"/>
                <w:szCs w:val="21"/>
                <w:highlight w:val="none"/>
              </w:rPr>
              <w:t>标，</w:t>
            </w:r>
            <w:r>
              <w:rPr>
                <w:rFonts w:hint="eastAsia" w:ascii="宋体" w:hAnsi="宋体"/>
                <w:b/>
                <w:color w:val="auto"/>
                <w:szCs w:val="21"/>
                <w:highlight w:val="none"/>
              </w:rPr>
              <w:t>否则其响应文件作无效处理。</w:t>
            </w:r>
          </w:p>
        </w:tc>
      </w:tr>
      <w:tr w14:paraId="0933B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460CE771">
            <w:pPr>
              <w:keepNext w:val="0"/>
              <w:keepLines w:val="0"/>
              <w:pageBreakBefore w:val="0"/>
              <w:kinsoku/>
              <w:wordWrap/>
              <w:overflowPunct/>
              <w:topLinePunct w:val="0"/>
              <w:bidi w:val="0"/>
              <w:adjustRightInd w:val="0"/>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其他要求</w:t>
            </w:r>
          </w:p>
        </w:tc>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738B07BE">
            <w:pPr>
              <w:keepNext w:val="0"/>
              <w:keepLines w:val="0"/>
              <w:pageBreakBefore w:val="0"/>
              <w:widowControl/>
              <w:kinsoku/>
              <w:wordWrap/>
              <w:overflowPunct/>
              <w:topLinePunct w:val="0"/>
              <w:bidi w:val="0"/>
              <w:spacing w:line="440" w:lineRule="exact"/>
              <w:ind w:firstLine="211" w:firstLineChars="1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1</w:t>
            </w:r>
            <w:r>
              <w:rPr>
                <w:rFonts w:hint="eastAsia" w:ascii="宋体" w:hAnsi="宋体" w:eastAsia="宋体" w:cs="宋体"/>
                <w:b/>
                <w:color w:val="auto"/>
                <w:kern w:val="0"/>
                <w:sz w:val="21"/>
                <w:szCs w:val="21"/>
                <w:highlight w:val="none"/>
              </w:rPr>
              <w:t>、本项目采购预算金额人民币</w:t>
            </w:r>
            <w:r>
              <w:rPr>
                <w:rFonts w:hint="eastAsia" w:ascii="宋体" w:hAnsi="宋体" w:eastAsia="宋体" w:cs="宋体"/>
                <w:b/>
                <w:color w:val="auto"/>
                <w:sz w:val="21"/>
                <w:szCs w:val="21"/>
                <w:highlight w:val="none"/>
                <w:lang w:val="en-US" w:eastAsia="zh-CN"/>
              </w:rPr>
              <w:t>2000000</w:t>
            </w:r>
            <w:r>
              <w:rPr>
                <w:rFonts w:hint="eastAsia" w:ascii="宋体" w:hAnsi="宋体" w:eastAsia="宋体" w:cs="宋体"/>
                <w:b/>
                <w:color w:val="auto"/>
                <w:sz w:val="21"/>
                <w:szCs w:val="21"/>
                <w:highlight w:val="none"/>
              </w:rPr>
              <w:t>.00</w:t>
            </w:r>
            <w:r>
              <w:rPr>
                <w:rFonts w:hint="eastAsia" w:ascii="宋体" w:hAnsi="宋体" w:eastAsia="宋体" w:cs="宋体"/>
                <w:b/>
                <w:color w:val="auto"/>
                <w:kern w:val="0"/>
                <w:sz w:val="21"/>
                <w:szCs w:val="21"/>
                <w:highlight w:val="none"/>
              </w:rPr>
              <w:t>元，</w:t>
            </w:r>
            <w:r>
              <w:rPr>
                <w:rFonts w:hint="eastAsia" w:ascii="宋体" w:hAnsi="宋体" w:eastAsia="宋体" w:cs="宋体"/>
                <w:b/>
                <w:color w:val="auto"/>
                <w:kern w:val="0"/>
                <w:sz w:val="21"/>
                <w:szCs w:val="21"/>
                <w:highlight w:val="none"/>
                <w:lang w:val="en-US" w:eastAsia="zh-CN"/>
              </w:rPr>
              <w:t>最高限价人民币1520000.00元，投标</w:t>
            </w:r>
            <w:r>
              <w:rPr>
                <w:rFonts w:hint="eastAsia" w:ascii="宋体" w:hAnsi="宋体" w:eastAsia="宋体" w:cs="宋体"/>
                <w:b/>
                <w:color w:val="auto"/>
                <w:kern w:val="0"/>
                <w:sz w:val="21"/>
                <w:szCs w:val="21"/>
                <w:highlight w:val="none"/>
              </w:rPr>
              <w:t>报价超出</w:t>
            </w:r>
            <w:r>
              <w:rPr>
                <w:rFonts w:hint="eastAsia" w:ascii="宋体" w:hAnsi="宋体" w:eastAsia="宋体" w:cs="宋体"/>
                <w:b/>
                <w:color w:val="auto"/>
                <w:kern w:val="0"/>
                <w:sz w:val="21"/>
                <w:szCs w:val="21"/>
                <w:highlight w:val="none"/>
                <w:lang w:val="en-US" w:eastAsia="zh-CN"/>
              </w:rPr>
              <w:t>最高限价投标</w:t>
            </w:r>
            <w:r>
              <w:rPr>
                <w:rFonts w:hint="eastAsia" w:ascii="宋体" w:hAnsi="宋体" w:eastAsia="宋体" w:cs="宋体"/>
                <w:b/>
                <w:color w:val="auto"/>
                <w:kern w:val="0"/>
                <w:sz w:val="21"/>
                <w:szCs w:val="21"/>
                <w:highlight w:val="none"/>
              </w:rPr>
              <w:t>无效。</w:t>
            </w:r>
          </w:p>
          <w:p w14:paraId="3CF98CA1">
            <w:pPr>
              <w:keepNext w:val="0"/>
              <w:keepLines w:val="0"/>
              <w:pageBreakBefore w:val="0"/>
              <w:widowControl/>
              <w:kinsoku/>
              <w:wordWrap/>
              <w:overflowPunct/>
              <w:topLinePunct w:val="0"/>
              <w:bidi w:val="0"/>
              <w:spacing w:line="440" w:lineRule="exact"/>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报价应包括本次招标采购范围内</w:t>
            </w:r>
            <w:r>
              <w:rPr>
                <w:rFonts w:hint="eastAsia" w:ascii="宋体" w:hAnsi="宋体" w:eastAsia="宋体" w:cs="宋体"/>
                <w:color w:val="auto"/>
                <w:kern w:val="0"/>
                <w:sz w:val="21"/>
                <w:szCs w:val="21"/>
                <w:highlight w:val="none"/>
              </w:rPr>
              <w:t>货物价款、备品备件、专用工具、包装、运输、装卸、保险、税金以及货物到位、检验、售后服务、培训等全部费用。供应商综合考虑在报价中。</w:t>
            </w:r>
          </w:p>
        </w:tc>
      </w:tr>
    </w:tbl>
    <w:p w14:paraId="2366903F">
      <w:pPr>
        <w:keepNext w:val="0"/>
        <w:keepLines w:val="0"/>
        <w:pageBreakBefore w:val="0"/>
        <w:kinsoku/>
        <w:wordWrap/>
        <w:overflowPunct/>
        <w:topLinePunct w:val="0"/>
        <w:bidi w:val="0"/>
        <w:spacing w:line="440" w:lineRule="exact"/>
        <w:rPr>
          <w:rStyle w:val="75"/>
          <w:rFonts w:ascii="宋体" w:hAnsi="宋体" w:cs="宋体"/>
          <w:b w:val="0"/>
          <w:bCs w:val="0"/>
          <w:color w:val="auto"/>
          <w:highlight w:val="none"/>
        </w:rPr>
      </w:pPr>
      <w:r>
        <w:rPr>
          <w:rStyle w:val="75"/>
          <w:rFonts w:ascii="宋体" w:hAnsi="宋体" w:cs="宋体"/>
          <w:color w:val="auto"/>
          <w:highlight w:val="none"/>
        </w:rPr>
        <w:br w:type="page"/>
      </w:r>
    </w:p>
    <w:p w14:paraId="01AD89D4">
      <w:pPr>
        <w:pStyle w:val="28"/>
        <w:keepNext w:val="0"/>
        <w:keepLines w:val="0"/>
        <w:pageBreakBefore w:val="0"/>
        <w:numPr>
          <w:ilvl w:val="0"/>
          <w:numId w:val="3"/>
        </w:numPr>
        <w:kinsoku/>
        <w:wordWrap/>
        <w:overflowPunct/>
        <w:topLinePunct w:val="0"/>
        <w:bidi w:val="0"/>
        <w:spacing w:line="440" w:lineRule="exact"/>
        <w:rPr>
          <w:rStyle w:val="75"/>
          <w:rFonts w:ascii="宋体" w:hAnsi="宋体" w:cs="宋体"/>
          <w:b w:val="0"/>
          <w:bCs w:val="0"/>
          <w:color w:val="auto"/>
          <w:highlight w:val="none"/>
        </w:rPr>
      </w:pPr>
      <w:r>
        <w:rPr>
          <w:rStyle w:val="75"/>
          <w:rFonts w:hint="eastAsia" w:ascii="宋体" w:hAnsi="宋体" w:cs="宋体"/>
          <w:b w:val="0"/>
          <w:bCs w:val="0"/>
          <w:color w:val="auto"/>
          <w:highlight w:val="none"/>
        </w:rPr>
        <w:t>评标办法</w:t>
      </w:r>
      <w:bookmarkEnd w:id="271"/>
      <w:bookmarkEnd w:id="272"/>
      <w:bookmarkEnd w:id="273"/>
    </w:p>
    <w:p w14:paraId="601FD46C">
      <w:pPr>
        <w:keepNext w:val="0"/>
        <w:keepLines w:val="0"/>
        <w:pageBreakBefore w:val="0"/>
        <w:kinsoku/>
        <w:wordWrap/>
        <w:overflowPunct/>
        <w:topLinePunct w:val="0"/>
        <w:bidi w:val="0"/>
        <w:spacing w:line="440" w:lineRule="exact"/>
        <w:ind w:firstLine="424" w:firstLineChars="202"/>
        <w:jc w:val="center"/>
        <w:rPr>
          <w:color w:val="auto"/>
          <w:highlight w:val="none"/>
        </w:rPr>
      </w:pPr>
    </w:p>
    <w:p w14:paraId="433AC6BA">
      <w:pPr>
        <w:keepNext w:val="0"/>
        <w:keepLines w:val="0"/>
        <w:pageBreakBefore w:val="0"/>
        <w:kinsoku/>
        <w:wordWrap/>
        <w:overflowPunct/>
        <w:topLinePunct w:val="0"/>
        <w:bidi w:val="0"/>
        <w:spacing w:line="440" w:lineRule="exact"/>
        <w:ind w:firstLine="487" w:firstLineChars="202"/>
        <w:jc w:val="left"/>
        <w:rPr>
          <w:rFonts w:ascii="宋体" w:hAnsi="宋体" w:cs="宋体"/>
          <w:b/>
          <w:color w:val="auto"/>
          <w:sz w:val="24"/>
          <w:highlight w:val="none"/>
        </w:rPr>
      </w:pPr>
      <w:r>
        <w:rPr>
          <w:rFonts w:hint="eastAsia" w:ascii="宋体" w:hAnsi="宋体" w:cs="宋体"/>
          <w:b/>
          <w:color w:val="auto"/>
          <w:sz w:val="24"/>
          <w:highlight w:val="none"/>
        </w:rPr>
        <w:t>一、评标原则</w:t>
      </w:r>
    </w:p>
    <w:p w14:paraId="5BA9C9EC">
      <w:pPr>
        <w:pStyle w:val="17"/>
        <w:keepNext w:val="0"/>
        <w:keepLines w:val="0"/>
        <w:pageBreakBefore w:val="0"/>
        <w:kinsoku/>
        <w:wordWrap/>
        <w:overflowPunct/>
        <w:topLinePunct w:val="0"/>
        <w:bidi w:val="0"/>
        <w:adjustRightInd w:val="0"/>
        <w:spacing w:line="440" w:lineRule="exact"/>
        <w:ind w:firstLine="420" w:firstLineChars="200"/>
        <w:contextualSpacing/>
        <w:rPr>
          <w:rFonts w:hAnsi="宋体" w:cs="宋体"/>
          <w:bCs/>
          <w:color w:val="auto"/>
          <w:szCs w:val="21"/>
          <w:highlight w:val="none"/>
        </w:rPr>
      </w:pPr>
      <w:r>
        <w:rPr>
          <w:rFonts w:hint="eastAsia" w:hAnsi="宋体" w:cs="宋体"/>
          <w:bCs/>
          <w:color w:val="auto"/>
          <w:szCs w:val="21"/>
          <w:highlight w:val="none"/>
        </w:rPr>
        <w:t>（一）评委会组成：本招标采购项目的评标委员会由采购人代表、技术和经济等方面的专家组成。其中，专家评委不得少于成员总数的三分之二。</w:t>
      </w:r>
    </w:p>
    <w:p w14:paraId="297099D4">
      <w:pPr>
        <w:pStyle w:val="17"/>
        <w:keepNext w:val="0"/>
        <w:keepLines w:val="0"/>
        <w:pageBreakBefore w:val="0"/>
        <w:kinsoku/>
        <w:wordWrap/>
        <w:overflowPunct/>
        <w:topLinePunct w:val="0"/>
        <w:bidi w:val="0"/>
        <w:adjustRightInd w:val="0"/>
        <w:spacing w:line="440" w:lineRule="exact"/>
        <w:ind w:firstLine="420" w:firstLineChars="200"/>
        <w:contextualSpacing/>
        <w:rPr>
          <w:rFonts w:hAnsi="宋体" w:cs="宋体"/>
          <w:bCs/>
          <w:color w:val="auto"/>
          <w:szCs w:val="21"/>
          <w:highlight w:val="none"/>
        </w:rPr>
      </w:pPr>
      <w:r>
        <w:rPr>
          <w:rFonts w:hint="eastAsia" w:hAnsi="宋体" w:cs="宋体"/>
          <w:bCs/>
          <w:color w:val="auto"/>
          <w:szCs w:val="21"/>
          <w:highlight w:val="none"/>
        </w:rPr>
        <w:t>（二）评标依据：评委将以招投标文件为评标依据，对投标人的投标</w:t>
      </w:r>
      <w:r>
        <w:rPr>
          <w:rFonts w:hint="eastAsia" w:hAnsi="宋体" w:cs="宋体"/>
          <w:color w:val="auto"/>
          <w:szCs w:val="21"/>
          <w:highlight w:val="none"/>
        </w:rPr>
        <w:t>报价、</w:t>
      </w:r>
      <w:r>
        <w:rPr>
          <w:rFonts w:hint="eastAsia" w:hAnsi="宋体" w:cs="宋体"/>
          <w:color w:val="auto"/>
          <w:szCs w:val="21"/>
          <w:highlight w:val="none"/>
          <w:lang w:val="en-US" w:eastAsia="zh-CN"/>
        </w:rPr>
        <w:t>技术</w:t>
      </w:r>
      <w:r>
        <w:rPr>
          <w:rFonts w:hint="eastAsia" w:hAnsi="宋体" w:cs="宋体"/>
          <w:color w:val="auto"/>
          <w:szCs w:val="21"/>
          <w:highlight w:val="none"/>
        </w:rPr>
        <w:t>性能、安装实施方案、增值售后服务方案</w:t>
      </w:r>
      <w:r>
        <w:rPr>
          <w:rFonts w:hint="eastAsia" w:hAnsi="宋体" w:cs="宋体"/>
          <w:color w:val="auto"/>
          <w:szCs w:val="21"/>
          <w:highlight w:val="none"/>
          <w:lang w:eastAsia="zh-CN"/>
        </w:rPr>
        <w:t>、履约能力、政策</w:t>
      </w:r>
      <w:r>
        <w:rPr>
          <w:rFonts w:hint="eastAsia" w:hAnsi="宋体" w:cs="宋体"/>
          <w:color w:val="auto"/>
          <w:szCs w:val="21"/>
          <w:highlight w:val="none"/>
        </w:rPr>
        <w:t>等方面内容按百分制打分。</w:t>
      </w:r>
    </w:p>
    <w:p w14:paraId="2F99260B">
      <w:pPr>
        <w:pStyle w:val="17"/>
        <w:keepNext w:val="0"/>
        <w:keepLines w:val="0"/>
        <w:pageBreakBefore w:val="0"/>
        <w:kinsoku/>
        <w:wordWrap/>
        <w:overflowPunct/>
        <w:topLinePunct w:val="0"/>
        <w:bidi w:val="0"/>
        <w:adjustRightInd w:val="0"/>
        <w:spacing w:line="440" w:lineRule="exact"/>
        <w:ind w:firstLine="420" w:firstLineChars="200"/>
        <w:contextualSpacing/>
        <w:rPr>
          <w:rFonts w:hAnsi="宋体" w:cs="宋体"/>
          <w:bCs/>
          <w:color w:val="auto"/>
          <w:szCs w:val="21"/>
          <w:highlight w:val="none"/>
        </w:rPr>
      </w:pPr>
      <w:r>
        <w:rPr>
          <w:rFonts w:hint="eastAsia" w:hAnsi="宋体" w:cs="宋体"/>
          <w:bCs/>
          <w:color w:val="auto"/>
          <w:szCs w:val="21"/>
          <w:highlight w:val="none"/>
        </w:rPr>
        <w:t>（三）评标方式：以封闭方式进行。</w:t>
      </w:r>
    </w:p>
    <w:p w14:paraId="6AF1277B">
      <w:pPr>
        <w:keepNext w:val="0"/>
        <w:keepLines w:val="0"/>
        <w:pageBreakBefore w:val="0"/>
        <w:kinsoku/>
        <w:wordWrap/>
        <w:overflowPunct/>
        <w:topLinePunct w:val="0"/>
        <w:bidi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（四）采购人和采购代理机构、评标委员会成员要严格遵守政府采购相关法律制度，依法履行各自职责，公正、客观、审慎地组织和参与评审工作。</w:t>
      </w:r>
    </w:p>
    <w:p w14:paraId="22F73CBF">
      <w:pPr>
        <w:pStyle w:val="17"/>
        <w:keepNext w:val="0"/>
        <w:keepLines w:val="0"/>
        <w:pageBreakBefore w:val="0"/>
        <w:kinsoku/>
        <w:wordWrap/>
        <w:overflowPunct/>
        <w:topLinePunct w:val="0"/>
        <w:bidi w:val="0"/>
        <w:spacing w:line="440" w:lineRule="exact"/>
        <w:rPr>
          <w:rFonts w:hAnsi="宋体" w:cs="宋体"/>
          <w:b/>
          <w:bCs/>
          <w:color w:val="auto"/>
          <w:szCs w:val="21"/>
          <w:highlight w:val="none"/>
        </w:rPr>
      </w:pPr>
      <w:r>
        <w:rPr>
          <w:rFonts w:hint="eastAsia" w:hAnsi="宋体" w:cs="宋体"/>
          <w:b/>
          <w:bCs/>
          <w:color w:val="auto"/>
          <w:szCs w:val="21"/>
          <w:highlight w:val="none"/>
        </w:rPr>
        <w:t>二、评标办法</w:t>
      </w:r>
    </w:p>
    <w:p w14:paraId="2F66A590">
      <w:pPr>
        <w:pStyle w:val="17"/>
        <w:keepNext w:val="0"/>
        <w:keepLines w:val="0"/>
        <w:pageBreakBefore w:val="0"/>
        <w:kinsoku/>
        <w:wordWrap/>
        <w:overflowPunct/>
        <w:topLinePunct w:val="0"/>
        <w:bidi w:val="0"/>
        <w:spacing w:line="440" w:lineRule="exact"/>
        <w:ind w:firstLine="420" w:firstLineChars="200"/>
        <w:rPr>
          <w:rFonts w:hAnsi="宋体" w:cs="宋体"/>
          <w:bCs/>
          <w:color w:val="auto"/>
          <w:szCs w:val="21"/>
          <w:highlight w:val="none"/>
        </w:rPr>
      </w:pPr>
      <w:r>
        <w:rPr>
          <w:rFonts w:hint="eastAsia" w:hAnsi="宋体" w:cs="宋体"/>
          <w:bCs/>
          <w:color w:val="auto"/>
          <w:szCs w:val="21"/>
          <w:highlight w:val="none"/>
        </w:rPr>
        <w:t>（一）对进入详评的，采用综合评分法。</w:t>
      </w:r>
    </w:p>
    <w:p w14:paraId="11CE0F49">
      <w:pPr>
        <w:pStyle w:val="17"/>
        <w:keepNext w:val="0"/>
        <w:keepLines w:val="0"/>
        <w:pageBreakBefore w:val="0"/>
        <w:kinsoku/>
        <w:wordWrap/>
        <w:overflowPunct/>
        <w:topLinePunct w:val="0"/>
        <w:bidi w:val="0"/>
        <w:spacing w:line="440" w:lineRule="exact"/>
        <w:ind w:firstLine="420" w:firstLineChars="200"/>
        <w:rPr>
          <w:rFonts w:hAnsi="宋体" w:cs="宋体"/>
          <w:bCs/>
          <w:color w:val="auto"/>
          <w:szCs w:val="21"/>
          <w:highlight w:val="none"/>
        </w:rPr>
      </w:pPr>
      <w:r>
        <w:rPr>
          <w:rFonts w:hint="eastAsia" w:hAnsi="宋体" w:cs="宋体"/>
          <w:bCs/>
          <w:color w:val="auto"/>
          <w:szCs w:val="21"/>
          <w:highlight w:val="none"/>
        </w:rPr>
        <w:t>（二）计分办法（按四舍五入取至小数点后二位）</w:t>
      </w:r>
    </w:p>
    <w:p w14:paraId="27FB7A40">
      <w:pPr>
        <w:pStyle w:val="17"/>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Ansi="宋体"/>
          <w:bCs/>
          <w:color w:val="auto"/>
          <w:highlight w:val="none"/>
        </w:rPr>
      </w:pPr>
      <w:r>
        <w:rPr>
          <w:rFonts w:hAnsi="宋体"/>
          <w:b/>
          <w:color w:val="auto"/>
          <w:highlight w:val="none"/>
        </w:rPr>
        <w:t>1</w:t>
      </w:r>
      <w:r>
        <w:rPr>
          <w:rFonts w:hint="eastAsia" w:hAnsi="宋体"/>
          <w:b/>
          <w:color w:val="auto"/>
          <w:highlight w:val="none"/>
        </w:rPr>
        <w:t xml:space="preserve">. </w:t>
      </w:r>
      <w:r>
        <w:rPr>
          <w:rFonts w:hint="eastAsia" w:hAnsi="宋体"/>
          <w:b/>
          <w:bCs/>
          <w:color w:val="auto"/>
          <w:highlight w:val="none"/>
        </w:rPr>
        <w:t>价格分</w:t>
      </w:r>
      <w:r>
        <w:rPr>
          <w:rFonts w:hint="eastAsia" w:hAnsi="宋体"/>
          <w:b/>
          <w:color w:val="auto"/>
          <w:highlight w:val="none"/>
        </w:rPr>
        <w:t>…………………………………</w:t>
      </w:r>
      <w:r>
        <w:rPr>
          <w:rFonts w:hint="eastAsia" w:hAnsi="宋体"/>
          <w:bCs/>
          <w:color w:val="auto"/>
          <w:highlight w:val="none"/>
        </w:rPr>
        <w:t>…………</w:t>
      </w:r>
      <w:r>
        <w:rPr>
          <w:rFonts w:hint="eastAsia" w:hAnsi="宋体"/>
          <w:b/>
          <w:color w:val="auto"/>
          <w:highlight w:val="none"/>
        </w:rPr>
        <w:t>…………………………………</w:t>
      </w:r>
      <w:r>
        <w:rPr>
          <w:rFonts w:hint="eastAsia" w:hAnsi="宋体"/>
          <w:b/>
          <w:color w:val="auto"/>
          <w:highlight w:val="none"/>
          <w:lang w:val="en-US" w:eastAsia="zh-CN"/>
        </w:rPr>
        <w:t>3</w:t>
      </w:r>
      <w:r>
        <w:rPr>
          <w:rFonts w:hAnsi="宋体"/>
          <w:b/>
          <w:color w:val="auto"/>
          <w:highlight w:val="none"/>
        </w:rPr>
        <w:t>0</w:t>
      </w:r>
      <w:r>
        <w:rPr>
          <w:rFonts w:hint="eastAsia" w:hAnsi="宋体"/>
          <w:b/>
          <w:color w:val="auto"/>
          <w:highlight w:val="none"/>
        </w:rPr>
        <w:t>分</w:t>
      </w:r>
    </w:p>
    <w:p w14:paraId="441F9366">
      <w:pPr>
        <w:pStyle w:val="1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按照《政府采购促进中小企业发展管理办法》（财库[2020]46号）以及《广西壮族自治区财政厅关于进一步发挥政府采购政策功能促进企业发展的通知》（桂财采〔2022〕30号）规定：①供应商承接本项目的全部货物且供应商为符合政策要求的小型、微型企业的，其最后报价给予20%的扣除，扣除后的价格为评审报价，即供应商的评审报价=最后报价×（1-20%）；②除上述情况外，评审报价=最后报价。注：评审报价为供应商的最后报价进行政策性扣除后的价格，评审报价只是作为评审时使用。最终</w:t>
      </w:r>
      <w:r>
        <w:rPr>
          <w:rFonts w:hint="eastAsia"/>
          <w:color w:val="auto"/>
          <w:highlight w:val="none"/>
          <w:lang w:val="en-US" w:eastAsia="zh-CN"/>
        </w:rPr>
        <w:t>中标</w:t>
      </w:r>
      <w:r>
        <w:rPr>
          <w:rFonts w:hint="eastAsia"/>
          <w:color w:val="auto"/>
          <w:highlight w:val="none"/>
        </w:rPr>
        <w:t>供应商的</w:t>
      </w:r>
      <w:r>
        <w:rPr>
          <w:rFonts w:hint="eastAsia"/>
          <w:color w:val="auto"/>
          <w:highlight w:val="none"/>
          <w:lang w:val="en-US" w:eastAsia="zh-CN"/>
        </w:rPr>
        <w:t>中标</w:t>
      </w:r>
      <w:r>
        <w:rPr>
          <w:rFonts w:hint="eastAsia"/>
          <w:color w:val="auto"/>
          <w:highlight w:val="none"/>
        </w:rPr>
        <w:t>金额＝最后报价。</w:t>
      </w:r>
    </w:p>
    <w:p w14:paraId="701CA977">
      <w:pPr>
        <w:pStyle w:val="1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根据《关于政府采购支持监狱企业发展有关问题的通知》（财库[2014]68号）和《关于促进残疾人就业政府采购政策的通知》（财库[2017]141号），监狱企业和符合条件的残疾人福利性单位视同小型、微型企业，享受小型、微型企业评审中价格扣除的政府采购政策。监狱企业、残疾人福利性单位属于小型、微型企业的，不重复享受政策。</w:t>
      </w:r>
    </w:p>
    <w:p w14:paraId="6E2DD2D4">
      <w:pPr>
        <w:pStyle w:val="1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（3）以进入综合评分环节的最低的评审报价为基准价，基准价报价得分为30分。</w:t>
      </w:r>
    </w:p>
    <w:p w14:paraId="4D234B9F">
      <w:pPr>
        <w:pStyle w:val="1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Ansi="宋体"/>
          <w:b/>
          <w:color w:val="auto"/>
          <w:highlight w:val="none"/>
        </w:rPr>
      </w:pPr>
      <w:r>
        <w:rPr>
          <w:rFonts w:hint="eastAsia"/>
          <w:color w:val="auto"/>
          <w:highlight w:val="none"/>
        </w:rPr>
        <w:t>（4）供应商</w:t>
      </w:r>
      <w:r>
        <w:rPr>
          <w:rFonts w:hint="eastAsia"/>
          <w:color w:val="auto"/>
          <w:highlight w:val="none"/>
          <w:lang w:val="en-US" w:eastAsia="zh-CN"/>
        </w:rPr>
        <w:t>投标</w:t>
      </w:r>
      <w:r>
        <w:rPr>
          <w:rFonts w:hint="eastAsia"/>
          <w:color w:val="auto"/>
          <w:highlight w:val="none"/>
        </w:rPr>
        <w:t>报价得分=（基准价/供应商的评审报价）×30分。</w:t>
      </w:r>
    </w:p>
    <w:p w14:paraId="49F8ED47">
      <w:pPr>
        <w:pStyle w:val="17"/>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Ansi="宋体"/>
          <w:bCs/>
          <w:color w:val="auto"/>
          <w:highlight w:val="none"/>
        </w:rPr>
      </w:pPr>
      <w:r>
        <w:rPr>
          <w:rFonts w:hint="eastAsia" w:hAnsi="宋体"/>
          <w:b/>
          <w:color w:val="auto"/>
          <w:highlight w:val="none"/>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D8F1A74">
      <w:pPr>
        <w:pStyle w:val="150"/>
        <w:keepNext w:val="0"/>
        <w:keepLines w:val="0"/>
        <w:pageBreakBefore w:val="0"/>
        <w:widowControl w:val="0"/>
        <w:kinsoku/>
        <w:wordWrap/>
        <w:overflowPunct/>
        <w:topLinePunct w:val="0"/>
        <w:autoSpaceDE/>
        <w:autoSpaceDN/>
        <w:bidi w:val="0"/>
        <w:adjustRightInd/>
        <w:snapToGrid/>
        <w:spacing w:line="440" w:lineRule="exact"/>
        <w:ind w:firstLine="211" w:firstLineChars="100"/>
        <w:jc w:val="left"/>
        <w:textAlignment w:val="auto"/>
        <w:rPr>
          <w:rFonts w:hAnsi="宋体"/>
          <w:b/>
          <w:bCs/>
          <w:color w:val="auto"/>
          <w:highlight w:val="none"/>
        </w:rPr>
      </w:pPr>
      <w:r>
        <w:rPr>
          <w:rFonts w:hAnsi="宋体"/>
          <w:b/>
          <w:bCs/>
          <w:color w:val="auto"/>
          <w:highlight w:val="none"/>
        </w:rPr>
        <w:t>2</w:t>
      </w:r>
      <w:r>
        <w:rPr>
          <w:rFonts w:hint="eastAsia" w:hAnsi="宋体"/>
          <w:b/>
          <w:bCs/>
          <w:color w:val="auto"/>
          <w:highlight w:val="none"/>
        </w:rPr>
        <w:t>、</w:t>
      </w:r>
      <w:r>
        <w:rPr>
          <w:rFonts w:hint="eastAsia" w:hAnsi="宋体"/>
          <w:b/>
          <w:bCs/>
          <w:color w:val="auto"/>
          <w:highlight w:val="none"/>
          <w:lang w:val="en-US" w:eastAsia="zh-CN"/>
        </w:rPr>
        <w:t>技术性能</w:t>
      </w:r>
      <w:r>
        <w:rPr>
          <w:rFonts w:hint="eastAsia" w:hAnsi="宋体"/>
          <w:b/>
          <w:bCs/>
          <w:color w:val="auto"/>
          <w:highlight w:val="none"/>
        </w:rPr>
        <w:t>分 ………………………………………………………………………</w:t>
      </w:r>
      <w:r>
        <w:rPr>
          <w:rFonts w:hint="eastAsia" w:hAnsi="宋体"/>
          <w:b/>
          <w:bCs/>
          <w:color w:val="auto"/>
          <w:highlight w:val="none"/>
          <w:lang w:val="en-US" w:eastAsia="zh-CN"/>
        </w:rPr>
        <w:t>30</w:t>
      </w:r>
      <w:r>
        <w:rPr>
          <w:rFonts w:hint="eastAsia" w:hAnsi="宋体"/>
          <w:b/>
          <w:bCs/>
          <w:color w:val="auto"/>
          <w:highlight w:val="none"/>
        </w:rPr>
        <w:t>分</w:t>
      </w:r>
    </w:p>
    <w:p w14:paraId="3550CDC1">
      <w:pPr>
        <w:keepNext w:val="0"/>
        <w:keepLines w:val="0"/>
        <w:pageBreakBefore w:val="0"/>
        <w:widowControl w:val="0"/>
        <w:kinsoku/>
        <w:wordWrap/>
        <w:overflowPunct/>
        <w:topLinePunct w:val="0"/>
        <w:autoSpaceDE/>
        <w:autoSpaceDN/>
        <w:bidi w:val="0"/>
        <w:adjustRightInd/>
        <w:snapToGrid/>
        <w:spacing w:line="440" w:lineRule="exact"/>
        <w:ind w:right="-312" w:firstLine="210" w:firstLineChars="1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2.1 投标产品完全满足招标文件所有参数要求的，得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p w14:paraId="3E570AF5">
      <w:pPr>
        <w:keepNext w:val="0"/>
        <w:keepLines w:val="0"/>
        <w:pageBreakBefore w:val="0"/>
        <w:widowControl w:val="0"/>
        <w:kinsoku/>
        <w:wordWrap/>
        <w:overflowPunct/>
        <w:topLinePunct w:val="0"/>
        <w:autoSpaceDE/>
        <w:autoSpaceDN/>
        <w:bidi w:val="0"/>
        <w:adjustRightInd/>
        <w:snapToGrid/>
        <w:spacing w:line="440" w:lineRule="exact"/>
        <w:ind w:right="-312" w:firstLine="210" w:firstLineChars="1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2.2 非实质性参数存在负偏离或漏项的，每项扣</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分，从</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分中扣除，扣完为止。</w:t>
      </w:r>
    </w:p>
    <w:p w14:paraId="72EF78E5">
      <w:pPr>
        <w:keepNext w:val="0"/>
        <w:keepLines w:val="0"/>
        <w:pageBreakBefore w:val="0"/>
        <w:widowControl w:val="0"/>
        <w:kinsoku/>
        <w:wordWrap/>
        <w:overflowPunct/>
        <w:topLinePunct w:val="0"/>
        <w:autoSpaceDE/>
        <w:autoSpaceDN/>
        <w:bidi w:val="0"/>
        <w:adjustRightInd/>
        <w:snapToGrid/>
        <w:spacing w:line="440" w:lineRule="exact"/>
        <w:ind w:right="-312" w:firstLine="211" w:firstLineChars="100"/>
        <w:jc w:val="left"/>
        <w:textAlignment w:val="auto"/>
        <w:rPr>
          <w:rFonts w:ascii="宋体" w:hAnsi="宋体"/>
          <w:b/>
          <w:bCs/>
          <w:color w:val="auto"/>
          <w:highlight w:val="none"/>
        </w:rPr>
      </w:pPr>
      <w:r>
        <w:rPr>
          <w:rFonts w:ascii="宋体" w:hAnsi="宋体"/>
          <w:b/>
          <w:bCs/>
          <w:color w:val="auto"/>
          <w:highlight w:val="none"/>
        </w:rPr>
        <w:t>3</w:t>
      </w:r>
      <w:r>
        <w:rPr>
          <w:rFonts w:hint="eastAsia" w:ascii="宋体" w:hAnsi="宋体"/>
          <w:b/>
          <w:bCs/>
          <w:color w:val="auto"/>
          <w:highlight w:val="none"/>
          <w:lang w:eastAsia="zh-CN"/>
        </w:rPr>
        <w:t>、</w:t>
      </w:r>
      <w:r>
        <w:rPr>
          <w:rFonts w:hint="eastAsia" w:ascii="宋体" w:hAnsi="宋体"/>
          <w:b/>
          <w:bCs/>
          <w:color w:val="auto"/>
          <w:highlight w:val="none"/>
        </w:rPr>
        <w:t>安装实施方案分………………………………………………………</w:t>
      </w:r>
      <w:r>
        <w:rPr>
          <w:rFonts w:ascii="宋体" w:hAnsi="宋体"/>
          <w:b/>
          <w:bCs/>
          <w:color w:val="auto"/>
          <w:highlight w:val="none"/>
        </w:rPr>
        <w:t>……</w:t>
      </w:r>
      <w:r>
        <w:rPr>
          <w:rFonts w:hint="eastAsia" w:ascii="宋体" w:hAnsi="宋体"/>
          <w:b/>
          <w:bCs/>
          <w:color w:val="auto"/>
          <w:highlight w:val="none"/>
        </w:rPr>
        <w:t>…</w:t>
      </w:r>
      <w:r>
        <w:rPr>
          <w:rFonts w:hint="eastAsia" w:ascii="宋体" w:hAnsi="宋体"/>
          <w:b/>
          <w:bCs/>
          <w:color w:val="auto"/>
          <w:highlight w:val="none"/>
          <w:lang w:val="en-US" w:eastAsia="zh-CN"/>
        </w:rPr>
        <w:t>15</w:t>
      </w:r>
      <w:r>
        <w:rPr>
          <w:rFonts w:hint="eastAsia" w:ascii="宋体" w:hAnsi="宋体"/>
          <w:b/>
          <w:bCs/>
          <w:color w:val="auto"/>
          <w:highlight w:val="none"/>
        </w:rPr>
        <w:t xml:space="preserve">分 </w:t>
      </w:r>
    </w:p>
    <w:p w14:paraId="53381028">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color w:val="auto"/>
          <w:kern w:val="2"/>
          <w:sz w:val="21"/>
          <w:highlight w:val="none"/>
        </w:rPr>
      </w:pPr>
      <w:r>
        <w:rPr>
          <w:rFonts w:hint="eastAsia" w:hAnsi="宋体" w:cs="宋体"/>
          <w:color w:val="auto"/>
          <w:kern w:val="2"/>
          <w:sz w:val="21"/>
          <w:highlight w:val="none"/>
        </w:rPr>
        <w:t>评委对投标人提供的安装实施方案（包括但不仅限于：①安装方案；②设备调试方案；③设备试运行方案等）内容进行独立评审并按以下规则独立打分：</w:t>
      </w:r>
    </w:p>
    <w:p w14:paraId="6395A699">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color w:val="auto"/>
          <w:kern w:val="2"/>
          <w:sz w:val="21"/>
          <w:highlight w:val="none"/>
        </w:rPr>
      </w:pPr>
      <w:r>
        <w:rPr>
          <w:rFonts w:hint="eastAsia" w:hAnsi="宋体" w:cs="宋体"/>
          <w:color w:val="auto"/>
          <w:kern w:val="2"/>
          <w:sz w:val="21"/>
          <w:highlight w:val="none"/>
        </w:rPr>
        <w:t>一档（</w:t>
      </w:r>
      <w:r>
        <w:rPr>
          <w:rFonts w:hint="eastAsia" w:hAnsi="宋体" w:cs="宋体"/>
          <w:color w:val="auto"/>
          <w:kern w:val="2"/>
          <w:sz w:val="21"/>
          <w:highlight w:val="none"/>
          <w:lang w:val="en-US" w:eastAsia="zh-CN"/>
        </w:rPr>
        <w:t>4</w:t>
      </w:r>
      <w:r>
        <w:rPr>
          <w:rFonts w:hint="eastAsia" w:hAnsi="宋体" w:cs="宋体"/>
          <w:color w:val="auto"/>
          <w:kern w:val="2"/>
          <w:sz w:val="21"/>
          <w:highlight w:val="none"/>
        </w:rPr>
        <w:t>分）：三项评审内容有一项经评审具有针对性、可操作性、且内容科学合理的；</w:t>
      </w:r>
    </w:p>
    <w:p w14:paraId="7E772281">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color w:val="auto"/>
          <w:kern w:val="2"/>
          <w:sz w:val="21"/>
          <w:highlight w:val="none"/>
        </w:rPr>
      </w:pPr>
      <w:r>
        <w:rPr>
          <w:rFonts w:hint="eastAsia" w:hAnsi="宋体" w:cs="宋体"/>
          <w:color w:val="auto"/>
          <w:kern w:val="2"/>
          <w:sz w:val="21"/>
          <w:highlight w:val="none"/>
        </w:rPr>
        <w:t>二档（</w:t>
      </w:r>
      <w:r>
        <w:rPr>
          <w:rFonts w:hint="eastAsia" w:hAnsi="宋体" w:cs="宋体"/>
          <w:color w:val="auto"/>
          <w:kern w:val="2"/>
          <w:sz w:val="21"/>
          <w:highlight w:val="none"/>
          <w:lang w:val="en-US" w:eastAsia="zh-CN"/>
        </w:rPr>
        <w:t>10</w:t>
      </w:r>
      <w:r>
        <w:rPr>
          <w:rFonts w:hint="eastAsia" w:hAnsi="宋体" w:cs="宋体"/>
          <w:color w:val="auto"/>
          <w:kern w:val="2"/>
          <w:sz w:val="21"/>
          <w:highlight w:val="none"/>
        </w:rPr>
        <w:t>分）：三项评审内容有二项经评审具有针对性、可操作性、且内容科学合理的；</w:t>
      </w:r>
    </w:p>
    <w:p w14:paraId="342CBAD8">
      <w:pPr>
        <w:pStyle w:val="150"/>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hAnsi="宋体" w:cs="宋体"/>
          <w:color w:val="auto"/>
          <w:kern w:val="2"/>
          <w:sz w:val="21"/>
          <w:highlight w:val="none"/>
        </w:rPr>
      </w:pPr>
      <w:r>
        <w:rPr>
          <w:rFonts w:hint="eastAsia" w:hAnsi="宋体" w:cs="宋体"/>
          <w:color w:val="auto"/>
          <w:kern w:val="2"/>
          <w:sz w:val="21"/>
          <w:highlight w:val="none"/>
        </w:rPr>
        <w:t>三档（1</w:t>
      </w:r>
      <w:r>
        <w:rPr>
          <w:rFonts w:hint="eastAsia" w:hAnsi="宋体" w:cs="宋体"/>
          <w:color w:val="auto"/>
          <w:kern w:val="2"/>
          <w:sz w:val="21"/>
          <w:highlight w:val="none"/>
          <w:lang w:val="en-US" w:eastAsia="zh-CN"/>
        </w:rPr>
        <w:t>5</w:t>
      </w:r>
      <w:r>
        <w:rPr>
          <w:rFonts w:hint="eastAsia" w:hAnsi="宋体" w:cs="宋体"/>
          <w:color w:val="auto"/>
          <w:kern w:val="2"/>
          <w:sz w:val="21"/>
          <w:highlight w:val="none"/>
        </w:rPr>
        <w:t>分）：三项评审内容经评审均具有针对性、可操作性、且内容科学合理的。</w:t>
      </w:r>
    </w:p>
    <w:p w14:paraId="3386BAD4">
      <w:pPr>
        <w:pStyle w:val="150"/>
        <w:keepNext w:val="0"/>
        <w:keepLines w:val="0"/>
        <w:pageBreakBefore w:val="0"/>
        <w:widowControl w:val="0"/>
        <w:kinsoku/>
        <w:wordWrap/>
        <w:overflowPunct/>
        <w:topLinePunct w:val="0"/>
        <w:autoSpaceDE/>
        <w:autoSpaceDN/>
        <w:bidi w:val="0"/>
        <w:adjustRightInd/>
        <w:snapToGrid/>
        <w:spacing w:line="440" w:lineRule="exact"/>
        <w:ind w:firstLine="211" w:firstLineChars="100"/>
        <w:jc w:val="left"/>
        <w:textAlignment w:val="auto"/>
        <w:rPr>
          <w:rFonts w:hint="default" w:hAnsi="宋体" w:cs="宋体"/>
          <w:b/>
          <w:bCs/>
          <w:color w:val="auto"/>
          <w:kern w:val="2"/>
          <w:sz w:val="21"/>
          <w:highlight w:val="none"/>
          <w:lang w:val="en-US" w:eastAsia="zh-CN"/>
        </w:rPr>
      </w:pPr>
      <w:r>
        <w:rPr>
          <w:rFonts w:hint="eastAsia" w:hAnsi="宋体" w:cs="宋体"/>
          <w:b/>
          <w:bCs/>
          <w:color w:val="auto"/>
          <w:kern w:val="2"/>
          <w:sz w:val="21"/>
          <w:highlight w:val="none"/>
          <w:lang w:val="en-US" w:eastAsia="zh-CN"/>
        </w:rPr>
        <w:t>4、增值售后服务方案分</w:t>
      </w:r>
      <w:r>
        <w:rPr>
          <w:rFonts w:hint="eastAsia" w:ascii="宋体" w:hAnsi="宋体"/>
          <w:b/>
          <w:bCs/>
          <w:color w:val="auto"/>
          <w:highlight w:val="none"/>
        </w:rPr>
        <w:t>………………………………………………………</w:t>
      </w:r>
      <w:r>
        <w:rPr>
          <w:rFonts w:ascii="宋体" w:hAnsi="宋体"/>
          <w:b/>
          <w:bCs/>
          <w:color w:val="auto"/>
          <w:highlight w:val="none"/>
        </w:rPr>
        <w:t>……</w:t>
      </w:r>
      <w:r>
        <w:rPr>
          <w:rFonts w:hint="eastAsia" w:ascii="宋体" w:hAnsi="宋体"/>
          <w:b/>
          <w:bCs/>
          <w:color w:val="auto"/>
          <w:highlight w:val="none"/>
        </w:rPr>
        <w:t>…</w:t>
      </w:r>
      <w:r>
        <w:rPr>
          <w:rFonts w:hint="eastAsia" w:ascii="宋体" w:hAnsi="宋体"/>
          <w:b/>
          <w:bCs/>
          <w:color w:val="auto"/>
          <w:highlight w:val="none"/>
          <w:lang w:val="en-US" w:eastAsia="zh-CN"/>
        </w:rPr>
        <w:t>15</w:t>
      </w:r>
      <w:r>
        <w:rPr>
          <w:rFonts w:hint="eastAsia" w:ascii="宋体" w:hAnsi="宋体"/>
          <w:b/>
          <w:bCs/>
          <w:color w:val="auto"/>
          <w:highlight w:val="none"/>
        </w:rPr>
        <w:t>分</w:t>
      </w:r>
    </w:p>
    <w:p w14:paraId="7E4D7351">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color w:val="auto"/>
          <w:kern w:val="2"/>
          <w:sz w:val="21"/>
          <w:highlight w:val="none"/>
        </w:rPr>
      </w:pPr>
      <w:r>
        <w:rPr>
          <w:rFonts w:hint="eastAsia" w:hAnsi="宋体" w:cs="宋体"/>
          <w:color w:val="auto"/>
          <w:kern w:val="2"/>
          <w:sz w:val="21"/>
          <w:highlight w:val="none"/>
        </w:rPr>
        <w:t>评委根据投标人所提供的增值售后服务方案内容【包括但不限于：</w:t>
      </w:r>
      <w:r>
        <w:rPr>
          <w:rFonts w:hint="eastAsia" w:hAnsi="宋体" w:cs="宋体"/>
          <w:color w:val="auto"/>
          <w:sz w:val="21"/>
          <w:highlight w:val="none"/>
        </w:rPr>
        <w:t>①服务人员的配备、故障出现解决方案，②定期维护 (注明时间)，③技术培训方案，④保修期外维修方案，⑤售后服务措施及其他优惠措施等</w:t>
      </w:r>
      <w:r>
        <w:rPr>
          <w:rFonts w:hint="eastAsia" w:hAnsi="宋体" w:cs="宋体"/>
          <w:color w:val="auto"/>
          <w:kern w:val="2"/>
          <w:sz w:val="21"/>
          <w:highlight w:val="none"/>
        </w:rPr>
        <w:t>】，按以下方式进行独立评审打分：</w:t>
      </w:r>
    </w:p>
    <w:p w14:paraId="0C241AAC">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color w:val="auto"/>
          <w:sz w:val="21"/>
          <w:highlight w:val="none"/>
        </w:rPr>
      </w:pPr>
      <w:r>
        <w:rPr>
          <w:rFonts w:hint="eastAsia" w:hAnsi="宋体" w:cs="宋体"/>
          <w:color w:val="auto"/>
          <w:sz w:val="21"/>
          <w:highlight w:val="none"/>
        </w:rPr>
        <w:t>一档（</w:t>
      </w:r>
      <w:r>
        <w:rPr>
          <w:rFonts w:hint="eastAsia" w:hAnsi="宋体" w:cs="宋体"/>
          <w:color w:val="auto"/>
          <w:sz w:val="21"/>
          <w:highlight w:val="none"/>
          <w:lang w:val="en-US" w:eastAsia="zh-CN"/>
        </w:rPr>
        <w:t>3</w:t>
      </w:r>
      <w:r>
        <w:rPr>
          <w:rFonts w:hint="eastAsia" w:hAnsi="宋体" w:cs="宋体"/>
          <w:color w:val="auto"/>
          <w:sz w:val="21"/>
          <w:highlight w:val="none"/>
        </w:rPr>
        <w:t>分）：五项评审因素有一项内容经评审合理、可行且具有针对性的；</w:t>
      </w:r>
    </w:p>
    <w:p w14:paraId="1406F1A4">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6</w:t>
      </w:r>
      <w:r>
        <w:rPr>
          <w:rFonts w:hint="eastAsia" w:hAnsi="宋体" w:cs="宋体"/>
          <w:color w:val="auto"/>
          <w:sz w:val="21"/>
          <w:highlight w:val="none"/>
        </w:rPr>
        <w:t>分）：五项评审因素有二项内容经评审合理、可行且具有针对性的；</w:t>
      </w:r>
    </w:p>
    <w:p w14:paraId="781B2891">
      <w:pPr>
        <w:pStyle w:val="17"/>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9</w:t>
      </w:r>
      <w:r>
        <w:rPr>
          <w:rFonts w:hint="eastAsia" w:hAnsi="宋体" w:cs="宋体"/>
          <w:color w:val="auto"/>
          <w:sz w:val="21"/>
          <w:highlight w:val="none"/>
        </w:rPr>
        <w:t>分）：五项评审因素有三项内容经评审合理、可行且具有针对性的；</w:t>
      </w:r>
    </w:p>
    <w:p w14:paraId="55FA7371">
      <w:pPr>
        <w:pStyle w:val="17"/>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Ansi="宋体" w:cs="宋体"/>
          <w:color w:val="auto"/>
          <w:sz w:val="21"/>
          <w:highlight w:val="none"/>
        </w:rPr>
      </w:pPr>
      <w:r>
        <w:rPr>
          <w:rFonts w:hint="eastAsia" w:hAnsi="宋体" w:cs="宋体"/>
          <w:color w:val="auto"/>
          <w:sz w:val="21"/>
          <w:highlight w:val="none"/>
        </w:rPr>
        <w:t>四档（</w:t>
      </w:r>
      <w:r>
        <w:rPr>
          <w:rFonts w:hint="eastAsia" w:hAnsi="宋体" w:cs="宋体"/>
          <w:color w:val="auto"/>
          <w:sz w:val="21"/>
          <w:highlight w:val="none"/>
          <w:lang w:val="en-US" w:eastAsia="zh-CN"/>
        </w:rPr>
        <w:t>12</w:t>
      </w:r>
      <w:r>
        <w:rPr>
          <w:rFonts w:hint="eastAsia" w:hAnsi="宋体" w:cs="宋体"/>
          <w:color w:val="auto"/>
          <w:sz w:val="21"/>
          <w:highlight w:val="none"/>
        </w:rPr>
        <w:t>分）：五项评审因素有四项内容经评审合理、可行且具有针对性的；</w:t>
      </w:r>
    </w:p>
    <w:p w14:paraId="386C7233">
      <w:pPr>
        <w:pStyle w:val="150"/>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cs="宋体"/>
          <w:b/>
          <w:bCs/>
          <w:color w:val="auto"/>
          <w:kern w:val="2"/>
          <w:sz w:val="21"/>
          <w:highlight w:val="none"/>
          <w:lang w:val="en-US" w:eastAsia="zh-CN"/>
        </w:rPr>
      </w:pPr>
      <w:r>
        <w:rPr>
          <w:rFonts w:hint="eastAsia" w:hAnsi="宋体" w:cs="宋体"/>
          <w:color w:val="auto"/>
          <w:sz w:val="21"/>
          <w:highlight w:val="none"/>
        </w:rPr>
        <w:t>五档（1</w:t>
      </w:r>
      <w:r>
        <w:rPr>
          <w:rFonts w:hint="eastAsia" w:hAnsi="宋体" w:cs="宋体"/>
          <w:color w:val="auto"/>
          <w:sz w:val="21"/>
          <w:highlight w:val="none"/>
          <w:lang w:val="en-US" w:eastAsia="zh-CN"/>
        </w:rPr>
        <w:t>5</w:t>
      </w:r>
      <w:r>
        <w:rPr>
          <w:rFonts w:hint="eastAsia" w:hAnsi="宋体" w:cs="宋体"/>
          <w:color w:val="auto"/>
          <w:sz w:val="21"/>
          <w:highlight w:val="none"/>
        </w:rPr>
        <w:t>分）：五项评审因素均合理、可行且具有针对性的。</w:t>
      </w:r>
    </w:p>
    <w:p w14:paraId="17F5BA83">
      <w:pPr>
        <w:pStyle w:val="150"/>
        <w:keepNext w:val="0"/>
        <w:keepLines w:val="0"/>
        <w:pageBreakBefore w:val="0"/>
        <w:widowControl w:val="0"/>
        <w:kinsoku/>
        <w:wordWrap/>
        <w:overflowPunct/>
        <w:topLinePunct w:val="0"/>
        <w:autoSpaceDE/>
        <w:autoSpaceDN/>
        <w:bidi w:val="0"/>
        <w:adjustRightInd/>
        <w:snapToGrid/>
        <w:spacing w:line="440" w:lineRule="exact"/>
        <w:ind w:firstLine="211" w:firstLineChars="100"/>
        <w:jc w:val="left"/>
        <w:textAlignment w:val="auto"/>
        <w:rPr>
          <w:rFonts w:hAnsi="宋体"/>
          <w:b/>
          <w:bCs/>
          <w:color w:val="auto"/>
          <w:highlight w:val="none"/>
        </w:rPr>
      </w:pPr>
      <w:r>
        <w:rPr>
          <w:rFonts w:hint="eastAsia" w:hAnsi="宋体"/>
          <w:b/>
          <w:bCs/>
          <w:color w:val="auto"/>
          <w:highlight w:val="none"/>
          <w:lang w:val="en-US" w:eastAsia="zh-CN"/>
        </w:rPr>
        <w:t>5</w:t>
      </w:r>
      <w:r>
        <w:rPr>
          <w:rFonts w:hint="eastAsia" w:hAnsi="宋体"/>
          <w:b/>
          <w:bCs/>
          <w:color w:val="auto"/>
          <w:highlight w:val="none"/>
        </w:rPr>
        <w:t>、</w:t>
      </w:r>
      <w:r>
        <w:rPr>
          <w:rFonts w:hint="eastAsia" w:hAnsi="宋体"/>
          <w:b/>
          <w:bCs/>
          <w:color w:val="auto"/>
          <w:highlight w:val="none"/>
          <w:lang w:val="en-US" w:eastAsia="zh-CN"/>
        </w:rPr>
        <w:t>履约能力</w:t>
      </w:r>
      <w:r>
        <w:rPr>
          <w:rFonts w:hint="eastAsia" w:hAnsi="宋体"/>
          <w:b/>
          <w:bCs/>
          <w:color w:val="auto"/>
          <w:highlight w:val="none"/>
        </w:rPr>
        <w:t>分……………………………………………………………………</w:t>
      </w:r>
      <w:r>
        <w:rPr>
          <w:rFonts w:hint="eastAsia" w:hAnsi="宋体"/>
          <w:b/>
          <w:bCs/>
          <w:color w:val="auto"/>
          <w:highlight w:val="none"/>
          <w:lang w:val="en-US" w:eastAsia="zh-CN"/>
        </w:rPr>
        <w:t>8</w:t>
      </w:r>
      <w:r>
        <w:rPr>
          <w:rFonts w:hint="eastAsia" w:hAnsi="宋体"/>
          <w:b/>
          <w:bCs/>
          <w:color w:val="auto"/>
          <w:highlight w:val="none"/>
        </w:rPr>
        <w:t>分</w:t>
      </w:r>
    </w:p>
    <w:p w14:paraId="64F345E6">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b w:val="0"/>
          <w:bCs w:val="0"/>
          <w:color w:val="auto"/>
          <w:szCs w:val="21"/>
          <w:highlight w:val="none"/>
        </w:rPr>
      </w:pPr>
      <w:r>
        <w:rPr>
          <w:rFonts w:hint="eastAsia" w:hAnsi="宋体" w:cs="宋体"/>
          <w:b w:val="0"/>
          <w:bCs w:val="0"/>
          <w:color w:val="auto"/>
          <w:szCs w:val="21"/>
          <w:highlight w:val="none"/>
        </w:rPr>
        <w:t>（1）</w:t>
      </w:r>
      <w:r>
        <w:rPr>
          <w:rFonts w:hint="eastAsia" w:hAnsi="宋体" w:cs="宋体"/>
          <w:b w:val="0"/>
          <w:bCs w:val="0"/>
          <w:color w:val="auto"/>
          <w:szCs w:val="21"/>
          <w:highlight w:val="none"/>
          <w:lang w:val="en-US" w:eastAsia="zh-CN"/>
        </w:rPr>
        <w:t>供应商</w:t>
      </w:r>
      <w:r>
        <w:rPr>
          <w:rFonts w:hint="eastAsia" w:hAnsi="宋体" w:cs="宋体"/>
          <w:b w:val="0"/>
          <w:bCs w:val="0"/>
          <w:color w:val="auto"/>
          <w:szCs w:val="21"/>
          <w:highlight w:val="none"/>
        </w:rPr>
        <w:t>或所投产品生产厂家通过国际质量管理体系认证、环境管理体系认证、职业健康安全管理体系认证且有效的（</w:t>
      </w:r>
      <w:r>
        <w:rPr>
          <w:rFonts w:hint="eastAsia" w:hAnsi="宋体" w:cs="宋体"/>
          <w:b w:val="0"/>
          <w:bCs w:val="0"/>
          <w:color w:val="auto"/>
          <w:szCs w:val="21"/>
          <w:highlight w:val="none"/>
          <w:lang w:val="en-US" w:eastAsia="zh-CN"/>
        </w:rPr>
        <w:t>响应</w:t>
      </w:r>
      <w:r>
        <w:rPr>
          <w:rFonts w:hint="eastAsia" w:hAnsi="宋体" w:cs="宋体"/>
          <w:b w:val="0"/>
          <w:bCs w:val="0"/>
          <w:color w:val="auto"/>
          <w:szCs w:val="21"/>
          <w:highlight w:val="none"/>
        </w:rPr>
        <w:t>文件中提供相关有效认证证书复印件，加盖投标人公章），每提供1项得1分，最多得3分。</w:t>
      </w:r>
    </w:p>
    <w:p w14:paraId="1C2A60DC">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b w:val="0"/>
          <w:bCs w:val="0"/>
          <w:color w:val="auto"/>
          <w:szCs w:val="21"/>
          <w:highlight w:val="none"/>
        </w:rPr>
      </w:pPr>
      <w:r>
        <w:rPr>
          <w:rFonts w:hint="eastAsia" w:hAnsi="宋体" w:cs="宋体"/>
          <w:b w:val="0"/>
          <w:bCs w:val="0"/>
          <w:color w:val="auto"/>
          <w:szCs w:val="21"/>
          <w:highlight w:val="none"/>
        </w:rPr>
        <w:t>（2）</w:t>
      </w:r>
      <w:r>
        <w:rPr>
          <w:rFonts w:hint="eastAsia" w:hAnsi="宋体" w:cs="宋体"/>
          <w:b w:val="0"/>
          <w:bCs w:val="0"/>
          <w:color w:val="auto"/>
          <w:szCs w:val="21"/>
          <w:highlight w:val="none"/>
          <w:lang w:val="en-US" w:eastAsia="zh-CN"/>
        </w:rPr>
        <w:t>供应商</w:t>
      </w:r>
      <w:r>
        <w:rPr>
          <w:rFonts w:hint="eastAsia" w:hAnsi="宋体" w:cs="宋体"/>
          <w:b w:val="0"/>
          <w:bCs w:val="0"/>
          <w:color w:val="auto"/>
          <w:szCs w:val="21"/>
          <w:highlight w:val="none"/>
        </w:rPr>
        <w:t>或所投产品生产厂家获得商品售后服务认证证书（于</w:t>
      </w:r>
      <w:r>
        <w:rPr>
          <w:rFonts w:hint="eastAsia" w:hAnsi="宋体" w:cs="宋体"/>
          <w:b w:val="0"/>
          <w:bCs w:val="0"/>
          <w:color w:val="auto"/>
          <w:szCs w:val="21"/>
          <w:highlight w:val="none"/>
          <w:lang w:val="en-US" w:eastAsia="zh-CN"/>
        </w:rPr>
        <w:t>响应</w:t>
      </w:r>
      <w:r>
        <w:rPr>
          <w:rFonts w:hint="eastAsia" w:hAnsi="宋体" w:cs="宋体"/>
          <w:b w:val="0"/>
          <w:bCs w:val="0"/>
          <w:color w:val="auto"/>
          <w:szCs w:val="21"/>
          <w:highlight w:val="none"/>
        </w:rPr>
        <w:t>文件中提供相关有效认证证书复印件，并加盖</w:t>
      </w:r>
      <w:r>
        <w:rPr>
          <w:rFonts w:hint="eastAsia" w:hAnsi="宋体" w:cs="宋体"/>
          <w:b w:val="0"/>
          <w:bCs w:val="0"/>
          <w:color w:val="auto"/>
          <w:szCs w:val="21"/>
          <w:highlight w:val="none"/>
          <w:lang w:val="en-US" w:eastAsia="zh-CN"/>
        </w:rPr>
        <w:t>供应商</w:t>
      </w:r>
      <w:r>
        <w:rPr>
          <w:rFonts w:hint="eastAsia" w:hAnsi="宋体" w:cs="宋体"/>
          <w:b w:val="0"/>
          <w:bCs w:val="0"/>
          <w:color w:val="auto"/>
          <w:szCs w:val="21"/>
          <w:highlight w:val="none"/>
        </w:rPr>
        <w:t>公章），服务能力达三星级的得</w:t>
      </w:r>
      <w:r>
        <w:rPr>
          <w:rFonts w:hint="eastAsia" w:hAnsi="宋体" w:cs="宋体"/>
          <w:b w:val="0"/>
          <w:bCs w:val="0"/>
          <w:color w:val="auto"/>
          <w:szCs w:val="21"/>
          <w:highlight w:val="none"/>
          <w:lang w:val="en-US" w:eastAsia="zh-CN"/>
        </w:rPr>
        <w:t>1</w:t>
      </w:r>
      <w:r>
        <w:rPr>
          <w:rFonts w:hint="eastAsia" w:hAnsi="宋体" w:cs="宋体"/>
          <w:b w:val="0"/>
          <w:bCs w:val="0"/>
          <w:color w:val="auto"/>
          <w:szCs w:val="21"/>
          <w:highlight w:val="none"/>
        </w:rPr>
        <w:t>分，达四星级的得</w:t>
      </w:r>
      <w:r>
        <w:rPr>
          <w:rFonts w:hint="eastAsia" w:hAnsi="宋体" w:cs="宋体"/>
          <w:b w:val="0"/>
          <w:bCs w:val="0"/>
          <w:color w:val="auto"/>
          <w:szCs w:val="21"/>
          <w:highlight w:val="none"/>
          <w:lang w:val="en-US" w:eastAsia="zh-CN"/>
        </w:rPr>
        <w:t>2</w:t>
      </w:r>
      <w:r>
        <w:rPr>
          <w:rFonts w:hint="eastAsia" w:hAnsi="宋体" w:cs="宋体"/>
          <w:b w:val="0"/>
          <w:bCs w:val="0"/>
          <w:color w:val="auto"/>
          <w:szCs w:val="21"/>
          <w:highlight w:val="none"/>
        </w:rPr>
        <w:t>分，达五星级及以上的得</w:t>
      </w:r>
      <w:r>
        <w:rPr>
          <w:rFonts w:hint="eastAsia" w:hAnsi="宋体" w:cs="宋体"/>
          <w:b w:val="0"/>
          <w:bCs w:val="0"/>
          <w:color w:val="auto"/>
          <w:szCs w:val="21"/>
          <w:highlight w:val="none"/>
          <w:lang w:val="en-US" w:eastAsia="zh-CN"/>
        </w:rPr>
        <w:t>3</w:t>
      </w:r>
      <w:r>
        <w:rPr>
          <w:rFonts w:hint="eastAsia" w:hAnsi="宋体" w:cs="宋体"/>
          <w:b w:val="0"/>
          <w:bCs w:val="0"/>
          <w:color w:val="auto"/>
          <w:szCs w:val="21"/>
          <w:highlight w:val="none"/>
        </w:rPr>
        <w:t>分。最多得</w:t>
      </w:r>
      <w:r>
        <w:rPr>
          <w:rFonts w:hint="eastAsia" w:hAnsi="宋体" w:cs="宋体"/>
          <w:b w:val="0"/>
          <w:bCs w:val="0"/>
          <w:color w:val="auto"/>
          <w:szCs w:val="21"/>
          <w:highlight w:val="none"/>
          <w:lang w:val="en-US" w:eastAsia="zh-CN"/>
        </w:rPr>
        <w:t>3</w:t>
      </w:r>
      <w:r>
        <w:rPr>
          <w:rFonts w:hint="eastAsia" w:hAnsi="宋体" w:cs="宋体"/>
          <w:b w:val="0"/>
          <w:bCs w:val="0"/>
          <w:color w:val="auto"/>
          <w:szCs w:val="21"/>
          <w:highlight w:val="none"/>
        </w:rPr>
        <w:t>分。</w:t>
      </w:r>
    </w:p>
    <w:p w14:paraId="04E9C6A7">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b w:val="0"/>
          <w:bCs w:val="0"/>
          <w:color w:val="auto"/>
          <w:szCs w:val="21"/>
          <w:highlight w:val="none"/>
        </w:rPr>
      </w:pPr>
      <w:r>
        <w:rPr>
          <w:rFonts w:hint="eastAsia" w:hAnsi="宋体" w:cs="宋体"/>
          <w:b w:val="0"/>
          <w:bCs w:val="0"/>
          <w:color w:val="auto"/>
          <w:szCs w:val="21"/>
          <w:highlight w:val="none"/>
        </w:rPr>
        <w:t>（3）</w:t>
      </w:r>
      <w:r>
        <w:rPr>
          <w:rFonts w:hint="eastAsia" w:hAnsi="宋体" w:cs="宋体"/>
          <w:b w:val="0"/>
          <w:bCs w:val="0"/>
          <w:color w:val="auto"/>
          <w:szCs w:val="21"/>
          <w:highlight w:val="none"/>
          <w:lang w:val="en-US" w:eastAsia="zh-CN"/>
        </w:rPr>
        <w:t>供应商</w:t>
      </w:r>
      <w:r>
        <w:rPr>
          <w:rFonts w:hint="eastAsia" w:hAnsi="宋体" w:cs="宋体"/>
          <w:b w:val="0"/>
          <w:bCs w:val="0"/>
          <w:color w:val="auto"/>
          <w:szCs w:val="21"/>
          <w:highlight w:val="none"/>
        </w:rPr>
        <w:t>或所投产品生产厂家自</w:t>
      </w:r>
      <w:r>
        <w:rPr>
          <w:rFonts w:hint="eastAsia" w:hAnsi="宋体" w:cs="宋体"/>
          <w:b w:val="0"/>
          <w:bCs w:val="0"/>
          <w:color w:val="auto"/>
          <w:szCs w:val="21"/>
          <w:highlight w:val="none"/>
          <w:lang w:val="en-US" w:eastAsia="zh-CN"/>
        </w:rPr>
        <w:t>2021</w:t>
      </w:r>
      <w:r>
        <w:rPr>
          <w:rFonts w:hint="eastAsia" w:hAnsi="宋体" w:cs="宋体"/>
          <w:b w:val="0"/>
          <w:bCs w:val="0"/>
          <w:color w:val="auto"/>
          <w:szCs w:val="21"/>
          <w:highlight w:val="none"/>
        </w:rPr>
        <w:t>年以来具有同类产品的销售业绩【以签订的合同或中标(成交)通知书复印件为准】，否则将不予评审；同一个编号的项目有两个或两个以上的分标中标的只算一次，每提供1项得</w:t>
      </w:r>
      <w:r>
        <w:rPr>
          <w:rFonts w:hint="eastAsia" w:hAnsi="宋体" w:cs="宋体"/>
          <w:b w:val="0"/>
          <w:bCs w:val="0"/>
          <w:color w:val="auto"/>
          <w:szCs w:val="21"/>
          <w:highlight w:val="none"/>
          <w:lang w:val="en-US" w:eastAsia="zh-CN"/>
        </w:rPr>
        <w:t>1</w:t>
      </w:r>
      <w:r>
        <w:rPr>
          <w:rFonts w:hint="eastAsia" w:hAnsi="宋体" w:cs="宋体"/>
          <w:b w:val="0"/>
          <w:bCs w:val="0"/>
          <w:color w:val="auto"/>
          <w:szCs w:val="21"/>
          <w:highlight w:val="none"/>
        </w:rPr>
        <w:t>分，最多得</w:t>
      </w:r>
      <w:r>
        <w:rPr>
          <w:rFonts w:hint="eastAsia" w:hAnsi="宋体" w:cs="宋体"/>
          <w:b w:val="0"/>
          <w:bCs w:val="0"/>
          <w:color w:val="auto"/>
          <w:szCs w:val="21"/>
          <w:highlight w:val="none"/>
          <w:lang w:val="en-US" w:eastAsia="zh-CN"/>
        </w:rPr>
        <w:t>2</w:t>
      </w:r>
      <w:r>
        <w:rPr>
          <w:rFonts w:hint="eastAsia" w:hAnsi="宋体" w:cs="宋体"/>
          <w:b w:val="0"/>
          <w:bCs w:val="0"/>
          <w:color w:val="auto"/>
          <w:szCs w:val="21"/>
          <w:highlight w:val="none"/>
        </w:rPr>
        <w:t>分。</w:t>
      </w:r>
    </w:p>
    <w:p w14:paraId="51C44AF6">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b w:val="0"/>
          <w:bCs w:val="0"/>
          <w:color w:val="auto"/>
          <w:szCs w:val="21"/>
          <w:highlight w:val="none"/>
          <w:lang w:val="en-US" w:eastAsia="zh-CN"/>
        </w:rPr>
      </w:pPr>
      <w:r>
        <w:rPr>
          <w:rFonts w:hint="eastAsia" w:hAnsi="宋体" w:cs="宋体"/>
          <w:b/>
          <w:bCs/>
          <w:color w:val="auto"/>
          <w:szCs w:val="21"/>
          <w:highlight w:val="none"/>
          <w:lang w:val="en-US" w:eastAsia="zh-CN"/>
        </w:rPr>
        <w:t>6、</w:t>
      </w:r>
      <w:r>
        <w:rPr>
          <w:rFonts w:hint="eastAsia" w:ascii="宋体" w:hAnsi="宋体" w:cs="宋体"/>
          <w:b/>
          <w:color w:val="auto"/>
          <w:szCs w:val="21"/>
          <w:highlight w:val="none"/>
        </w:rPr>
        <w:t>政策分</w:t>
      </w:r>
      <w:r>
        <w:rPr>
          <w:rFonts w:hint="eastAsia" w:hAnsi="宋体"/>
          <w:b/>
          <w:bCs/>
          <w:color w:val="auto"/>
          <w:highlight w:val="none"/>
        </w:rPr>
        <w:t>……………………………………………………………………………</w:t>
      </w:r>
      <w:r>
        <w:rPr>
          <w:rFonts w:hint="eastAsia" w:hAnsi="宋体"/>
          <w:b/>
          <w:bCs/>
          <w:color w:val="auto"/>
          <w:highlight w:val="none"/>
          <w:lang w:val="en-US" w:eastAsia="zh-CN"/>
        </w:rPr>
        <w:t>2</w:t>
      </w:r>
      <w:r>
        <w:rPr>
          <w:rFonts w:hint="eastAsia" w:hAnsi="宋体"/>
          <w:b/>
          <w:bCs/>
          <w:color w:val="auto"/>
          <w:highlight w:val="none"/>
        </w:rPr>
        <w:t>分</w:t>
      </w:r>
    </w:p>
    <w:p w14:paraId="6FAAB83E">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color w:val="auto"/>
          <w:kern w:val="2"/>
          <w:sz w:val="21"/>
          <w:highlight w:val="none"/>
        </w:rPr>
      </w:pPr>
      <w:r>
        <w:rPr>
          <w:rFonts w:hint="eastAsia" w:hAnsi="宋体" w:cs="宋体"/>
          <w:color w:val="auto"/>
          <w:kern w:val="2"/>
          <w:sz w:val="21"/>
          <w:highlight w:val="none"/>
        </w:rPr>
        <w:t>（1）属于财政部《节能产品政府采购品目清单》内优先采购（清单内未标注“★”的品目）的产品[投标文件中提供有效的认证证书复印件及品目清单（标注出投标产品在品目清单中所属的品目），并加盖投标人电子签章]，得1分。</w:t>
      </w:r>
    </w:p>
    <w:p w14:paraId="4DE73A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hAnsi="宋体" w:cs="宋体"/>
          <w:color w:val="auto"/>
          <w:kern w:val="2"/>
          <w:sz w:val="21"/>
          <w:highlight w:val="none"/>
        </w:rPr>
        <w:t>（2）属于财政部《环境标志产品政府采购品目清单》内的产品[投标文件中提供有效的认证证书复印件及品目清单（标注出投标产品在品目清单中所属的品目），并加盖投标人电子签章]，得1分。</w:t>
      </w:r>
    </w:p>
    <w:p w14:paraId="595FA043">
      <w:pPr>
        <w:pStyle w:val="17"/>
        <w:keepNext w:val="0"/>
        <w:keepLines w:val="0"/>
        <w:pageBreakBefore w:val="0"/>
        <w:kinsoku/>
        <w:wordWrap/>
        <w:overflowPunct/>
        <w:topLinePunct w:val="0"/>
        <w:bidi w:val="0"/>
        <w:spacing w:line="440" w:lineRule="exact"/>
        <w:ind w:firstLine="415" w:firstLineChars="197"/>
        <w:rPr>
          <w:rFonts w:hAnsi="宋体" w:cs="宋体"/>
          <w:color w:val="auto"/>
          <w:szCs w:val="21"/>
          <w:highlight w:val="none"/>
        </w:rPr>
      </w:pPr>
      <w:r>
        <w:rPr>
          <w:rFonts w:hint="eastAsia" w:cs="宋体" w:asciiTheme="minorEastAsia" w:hAnsiTheme="minorEastAsia" w:eastAsiaTheme="minorEastAsia"/>
          <w:b/>
          <w:bCs/>
          <w:color w:val="auto"/>
          <w:szCs w:val="21"/>
          <w:highlight w:val="none"/>
        </w:rPr>
        <w:t>7. 综合得分＝1+2+3+4+5+6</w:t>
      </w:r>
    </w:p>
    <w:p w14:paraId="3702D267">
      <w:pPr>
        <w:pStyle w:val="17"/>
        <w:keepNext w:val="0"/>
        <w:keepLines w:val="0"/>
        <w:pageBreakBefore w:val="0"/>
        <w:tabs>
          <w:tab w:val="left" w:pos="4214"/>
        </w:tabs>
        <w:kinsoku/>
        <w:wordWrap/>
        <w:overflowPunct/>
        <w:topLinePunct w:val="0"/>
        <w:bidi w:val="0"/>
        <w:spacing w:line="440" w:lineRule="exact"/>
        <w:ind w:firstLine="422" w:firstLineChars="200"/>
        <w:rPr>
          <w:rFonts w:hAnsi="宋体" w:cs="宋体"/>
          <w:b/>
          <w:color w:val="auto"/>
          <w:szCs w:val="21"/>
          <w:highlight w:val="none"/>
        </w:rPr>
      </w:pPr>
      <w:r>
        <w:rPr>
          <w:rFonts w:hint="eastAsia" w:hAnsi="宋体" w:cs="宋体"/>
          <w:b/>
          <w:color w:val="auto"/>
          <w:szCs w:val="21"/>
          <w:highlight w:val="none"/>
        </w:rPr>
        <w:t>三、推荐及确定中标候选供应商原则</w:t>
      </w:r>
    </w:p>
    <w:p w14:paraId="4B265B57">
      <w:pPr>
        <w:pStyle w:val="17"/>
        <w:keepNext w:val="0"/>
        <w:keepLines w:val="0"/>
        <w:pageBreakBefore w:val="0"/>
        <w:kinsoku/>
        <w:wordWrap/>
        <w:overflowPunct/>
        <w:topLinePunct w:val="0"/>
        <w:bidi w:val="0"/>
        <w:spacing w:line="440" w:lineRule="exact"/>
        <w:ind w:firstLine="413" w:firstLineChars="197"/>
        <w:rPr>
          <w:rFonts w:hAnsi="宋体" w:cs="宋体"/>
          <w:color w:val="auto"/>
          <w:szCs w:val="21"/>
          <w:highlight w:val="none"/>
        </w:rPr>
      </w:pPr>
      <w:r>
        <w:rPr>
          <w:rFonts w:hint="eastAsia" w:hAnsi="宋体" w:cs="宋体"/>
          <w:color w:val="auto"/>
          <w:szCs w:val="21"/>
          <w:highlight w:val="none"/>
        </w:rPr>
        <w:t>（1）评标委员会根据综合得分由高到低排列次序，若得分相同时，按评标报价由低到高顺序排列；得分相同且评标报价也相同的，以</w:t>
      </w:r>
      <w:r>
        <w:rPr>
          <w:rFonts w:hint="eastAsia" w:hAnsi="宋体" w:cs="宋体"/>
          <w:color w:val="auto"/>
          <w:szCs w:val="21"/>
          <w:highlight w:val="none"/>
          <w:lang w:val="en-US" w:eastAsia="zh-CN"/>
        </w:rPr>
        <w:t>技术</w:t>
      </w:r>
      <w:r>
        <w:rPr>
          <w:rFonts w:hint="eastAsia" w:hAnsi="宋体" w:cs="宋体"/>
          <w:color w:val="auto"/>
          <w:szCs w:val="21"/>
          <w:highlight w:val="none"/>
        </w:rPr>
        <w:t>性能分由高到低顺序排列；若仍相同的，以</w:t>
      </w:r>
      <w:r>
        <w:rPr>
          <w:rFonts w:hint="eastAsia" w:hAnsi="宋体" w:cs="宋体"/>
          <w:color w:val="auto"/>
          <w:szCs w:val="21"/>
          <w:highlight w:val="none"/>
          <w:lang w:val="en-US" w:eastAsia="zh-CN"/>
        </w:rPr>
        <w:t>安装实施方案</w:t>
      </w:r>
      <w:r>
        <w:rPr>
          <w:rFonts w:hint="eastAsia" w:hAnsi="宋体" w:cs="宋体"/>
          <w:color w:val="auto"/>
          <w:szCs w:val="21"/>
          <w:highlight w:val="none"/>
        </w:rPr>
        <w:t>分由高到低顺序排列；若仍相同的则由评标委员会按照抽签的方式决定排列次序。</w:t>
      </w:r>
    </w:p>
    <w:p w14:paraId="2A3A953D">
      <w:pPr>
        <w:pStyle w:val="17"/>
        <w:keepNext w:val="0"/>
        <w:keepLines w:val="0"/>
        <w:pageBreakBefore w:val="0"/>
        <w:kinsoku/>
        <w:wordWrap/>
        <w:overflowPunct/>
        <w:topLinePunct w:val="0"/>
        <w:bidi w:val="0"/>
        <w:spacing w:line="440" w:lineRule="exact"/>
        <w:ind w:firstLine="413" w:firstLineChars="197"/>
        <w:rPr>
          <w:rFonts w:hAnsi="宋体" w:cs="宋体"/>
          <w:color w:val="auto"/>
          <w:szCs w:val="21"/>
          <w:highlight w:val="none"/>
        </w:rPr>
      </w:pPr>
      <w:r>
        <w:rPr>
          <w:rFonts w:hint="eastAsia" w:hAnsi="宋体" w:cs="宋体"/>
          <w:color w:val="auto"/>
          <w:szCs w:val="21"/>
          <w:highlight w:val="none"/>
        </w:rPr>
        <w:t>（2）评标委员会可推荐前三名为中标候选人，采购人应当确定评标委员会推荐排名第一的中标候选人为中标人。</w:t>
      </w:r>
    </w:p>
    <w:p w14:paraId="14730C8A">
      <w:pPr>
        <w:pStyle w:val="17"/>
        <w:keepNext w:val="0"/>
        <w:keepLines w:val="0"/>
        <w:pageBreakBefore w:val="0"/>
        <w:kinsoku/>
        <w:wordWrap/>
        <w:overflowPunct/>
        <w:topLinePunct w:val="0"/>
        <w:bidi w:val="0"/>
        <w:spacing w:line="440" w:lineRule="exact"/>
        <w:ind w:firstLine="413" w:firstLineChars="197"/>
        <w:rPr>
          <w:rFonts w:hAnsi="宋体" w:cs="宋体"/>
          <w:color w:val="auto"/>
          <w:szCs w:val="21"/>
          <w:highlight w:val="none"/>
        </w:rPr>
      </w:pPr>
      <w:r>
        <w:rPr>
          <w:rFonts w:hint="eastAsia" w:hAnsi="宋体" w:cs="宋体"/>
          <w:color w:val="auto"/>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663507FA">
      <w:pPr>
        <w:keepNext w:val="0"/>
        <w:keepLines w:val="0"/>
        <w:pageBreakBefore w:val="0"/>
        <w:kinsoku/>
        <w:wordWrap/>
        <w:overflowPunct/>
        <w:topLinePunct w:val="0"/>
        <w:bidi w:val="0"/>
        <w:spacing w:line="440" w:lineRule="exact"/>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四、特别说明</w:t>
      </w:r>
    </w:p>
    <w:p w14:paraId="2302CA8C">
      <w:pPr>
        <w:keepNext w:val="0"/>
        <w:keepLines w:val="0"/>
        <w:pageBreakBefore w:val="0"/>
        <w:kinsoku/>
        <w:wordWrap/>
        <w:overflowPunct/>
        <w:topLinePunct w:val="0"/>
        <w:bidi w:val="0"/>
        <w:spacing w:line="440" w:lineRule="exact"/>
        <w:ind w:firstLine="422" w:firstLineChars="200"/>
        <w:rPr>
          <w:rFonts w:ascii="宋体" w:hAnsi="宋体" w:cs="宋体"/>
          <w:color w:val="auto"/>
          <w:kern w:val="0"/>
          <w:highlight w:val="none"/>
        </w:rPr>
      </w:pPr>
      <w:r>
        <w:rPr>
          <w:rFonts w:hint="eastAsia" w:ascii="宋体" w:hAnsi="宋体" w:cs="宋体"/>
          <w:b/>
          <w:bCs/>
          <w:color w:val="auto"/>
          <w:szCs w:val="21"/>
          <w:highlight w:val="none"/>
          <w:u w:val="double"/>
        </w:rPr>
        <w:t>评审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270"/>
    <w:p w14:paraId="3EF7E385">
      <w:pPr>
        <w:keepNext w:val="0"/>
        <w:keepLines w:val="0"/>
        <w:pageBreakBefore w:val="0"/>
        <w:widowControl/>
        <w:kinsoku/>
        <w:wordWrap/>
        <w:overflowPunct/>
        <w:topLinePunct w:val="0"/>
        <w:bidi w:val="0"/>
        <w:spacing w:line="440" w:lineRule="exact"/>
        <w:jc w:val="left"/>
        <w:rPr>
          <w:rFonts w:ascii="宋体" w:hAnsi="Courier New"/>
          <w:b/>
          <w:bCs/>
          <w:color w:val="auto"/>
          <w:szCs w:val="20"/>
          <w:highlight w:val="none"/>
        </w:rPr>
      </w:pPr>
      <w:r>
        <w:rPr>
          <w:b/>
          <w:bCs/>
          <w:color w:val="auto"/>
          <w:highlight w:val="none"/>
        </w:rPr>
        <w:br w:type="page"/>
      </w:r>
    </w:p>
    <w:p w14:paraId="03F86638">
      <w:pPr>
        <w:pStyle w:val="17"/>
        <w:keepNext w:val="0"/>
        <w:keepLines w:val="0"/>
        <w:pageBreakBefore w:val="0"/>
        <w:kinsoku/>
        <w:wordWrap/>
        <w:overflowPunct/>
        <w:topLinePunct w:val="0"/>
        <w:bidi w:val="0"/>
        <w:adjustRightInd w:val="0"/>
        <w:spacing w:line="440" w:lineRule="exact"/>
        <w:contextualSpacing/>
        <w:rPr>
          <w:rFonts w:hAnsi="宋体" w:cs="宋体"/>
          <w:b/>
          <w:bCs/>
          <w:color w:val="auto"/>
          <w:highlight w:val="none"/>
        </w:rPr>
      </w:pPr>
      <w:r>
        <w:rPr>
          <w:rFonts w:hint="eastAsia"/>
          <w:b/>
          <w:bCs/>
          <w:color w:val="auto"/>
          <w:highlight w:val="none"/>
        </w:rPr>
        <w:t>附表</w:t>
      </w:r>
    </w:p>
    <w:p w14:paraId="2433D45F">
      <w:pPr>
        <w:keepNext w:val="0"/>
        <w:keepLines w:val="0"/>
        <w:pageBreakBefore w:val="0"/>
        <w:widowControl/>
        <w:kinsoku/>
        <w:wordWrap/>
        <w:overflowPunct/>
        <w:topLinePunct w:val="0"/>
        <w:bidi w:val="0"/>
        <w:spacing w:beforeLines="50" w:afterLines="50" w:line="440" w:lineRule="exact"/>
        <w:jc w:val="center"/>
        <w:rPr>
          <w:rFonts w:ascii="宋体" w:hAnsi="宋体" w:cs="宋体"/>
          <w:b/>
          <w:bCs/>
          <w:color w:val="auto"/>
          <w:kern w:val="0"/>
          <w:sz w:val="30"/>
          <w:szCs w:val="30"/>
          <w:highlight w:val="none"/>
        </w:rPr>
      </w:pPr>
      <w:bookmarkStart w:id="274" w:name="_Toc28361_WPSOffice_Level2"/>
      <w:r>
        <w:rPr>
          <w:rFonts w:hint="eastAsia" w:ascii="宋体" w:hAnsi="宋体" w:cs="宋体"/>
          <w:b/>
          <w:bCs/>
          <w:color w:val="auto"/>
          <w:kern w:val="0"/>
          <w:sz w:val="30"/>
          <w:szCs w:val="30"/>
          <w:highlight w:val="none"/>
        </w:rPr>
        <w:t>统计上大中小微型企业划分标准</w:t>
      </w:r>
      <w:bookmarkEnd w:id="274"/>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445"/>
        <w:gridCol w:w="748"/>
        <w:gridCol w:w="1188"/>
        <w:gridCol w:w="1796"/>
        <w:gridCol w:w="1505"/>
        <w:gridCol w:w="1047"/>
      </w:tblGrid>
      <w:tr w14:paraId="3E6A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1" w:type="dxa"/>
            <w:shd w:val="clear" w:color="auto" w:fill="8DB3E2"/>
            <w:vAlign w:val="center"/>
          </w:tcPr>
          <w:p w14:paraId="36F5918C">
            <w:pPr>
              <w:keepNext w:val="0"/>
              <w:keepLines w:val="0"/>
              <w:pageBreakBefore w:val="0"/>
              <w:widowControl/>
              <w:kinsoku/>
              <w:wordWrap/>
              <w:overflowPunct/>
              <w:topLinePunct w:val="0"/>
              <w:bidi w:val="0"/>
              <w:spacing w:line="4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445" w:type="dxa"/>
            <w:shd w:val="clear" w:color="auto" w:fill="8DB3E2"/>
            <w:vAlign w:val="center"/>
          </w:tcPr>
          <w:p w14:paraId="41B84223">
            <w:pPr>
              <w:keepNext w:val="0"/>
              <w:keepLines w:val="0"/>
              <w:pageBreakBefore w:val="0"/>
              <w:widowControl/>
              <w:kinsoku/>
              <w:wordWrap/>
              <w:overflowPunct/>
              <w:topLinePunct w:val="0"/>
              <w:bidi w:val="0"/>
              <w:spacing w:line="44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48" w:type="dxa"/>
            <w:shd w:val="clear" w:color="auto" w:fill="8DB3E2"/>
            <w:vAlign w:val="center"/>
          </w:tcPr>
          <w:p w14:paraId="7FF3A3C8">
            <w:pPr>
              <w:keepNext w:val="0"/>
              <w:keepLines w:val="0"/>
              <w:pageBreakBefore w:val="0"/>
              <w:widowControl/>
              <w:kinsoku/>
              <w:wordWrap/>
              <w:overflowPunct/>
              <w:topLinePunct w:val="0"/>
              <w:bidi w:val="0"/>
              <w:spacing w:line="44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20AE12A8">
            <w:pPr>
              <w:keepNext w:val="0"/>
              <w:keepLines w:val="0"/>
              <w:pageBreakBefore w:val="0"/>
              <w:widowControl/>
              <w:kinsoku/>
              <w:wordWrap/>
              <w:overflowPunct/>
              <w:topLinePunct w:val="0"/>
              <w:bidi w:val="0"/>
              <w:spacing w:line="44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88" w:type="dxa"/>
            <w:shd w:val="clear" w:color="auto" w:fill="8DB3E2"/>
            <w:vAlign w:val="center"/>
          </w:tcPr>
          <w:p w14:paraId="66A82A56">
            <w:pPr>
              <w:keepNext w:val="0"/>
              <w:keepLines w:val="0"/>
              <w:pageBreakBefore w:val="0"/>
              <w:widowControl/>
              <w:kinsoku/>
              <w:wordWrap/>
              <w:overflowPunct/>
              <w:topLinePunct w:val="0"/>
              <w:bidi w:val="0"/>
              <w:spacing w:line="44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96" w:type="dxa"/>
            <w:shd w:val="clear" w:color="auto" w:fill="8DB3E2"/>
            <w:vAlign w:val="center"/>
          </w:tcPr>
          <w:p w14:paraId="52F91E3F">
            <w:pPr>
              <w:keepNext w:val="0"/>
              <w:keepLines w:val="0"/>
              <w:pageBreakBefore w:val="0"/>
              <w:widowControl/>
              <w:kinsoku/>
              <w:wordWrap/>
              <w:overflowPunct/>
              <w:topLinePunct w:val="0"/>
              <w:bidi w:val="0"/>
              <w:spacing w:line="44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505" w:type="dxa"/>
            <w:shd w:val="clear" w:color="auto" w:fill="8DB3E2"/>
            <w:vAlign w:val="center"/>
          </w:tcPr>
          <w:p w14:paraId="4AE00B92">
            <w:pPr>
              <w:keepNext w:val="0"/>
              <w:keepLines w:val="0"/>
              <w:pageBreakBefore w:val="0"/>
              <w:widowControl/>
              <w:kinsoku/>
              <w:wordWrap/>
              <w:overflowPunct/>
              <w:topLinePunct w:val="0"/>
              <w:bidi w:val="0"/>
              <w:spacing w:line="44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1047" w:type="dxa"/>
            <w:shd w:val="clear" w:color="auto" w:fill="8DB3E2"/>
            <w:vAlign w:val="center"/>
          </w:tcPr>
          <w:p w14:paraId="226EBA2A">
            <w:pPr>
              <w:keepNext w:val="0"/>
              <w:keepLines w:val="0"/>
              <w:pageBreakBefore w:val="0"/>
              <w:widowControl/>
              <w:kinsoku/>
              <w:wordWrap/>
              <w:overflowPunct/>
              <w:topLinePunct w:val="0"/>
              <w:bidi w:val="0"/>
              <w:spacing w:line="44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74EC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Align w:val="center"/>
          </w:tcPr>
          <w:p w14:paraId="07138C37">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445" w:type="dxa"/>
            <w:vAlign w:val="center"/>
          </w:tcPr>
          <w:p w14:paraId="3715D34E">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74576DA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33089CD6">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96" w:type="dxa"/>
            <w:vAlign w:val="center"/>
          </w:tcPr>
          <w:p w14:paraId="1173007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05" w:type="dxa"/>
            <w:vAlign w:val="center"/>
          </w:tcPr>
          <w:p w14:paraId="57A9EF1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7" w:type="dxa"/>
            <w:vAlign w:val="center"/>
          </w:tcPr>
          <w:p w14:paraId="45E9AA3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4F8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43D4F32E">
            <w:pPr>
              <w:keepNext w:val="0"/>
              <w:keepLines w:val="0"/>
              <w:pageBreakBefore w:val="0"/>
              <w:widowControl/>
              <w:kinsoku/>
              <w:wordWrap/>
              <w:overflowPunct/>
              <w:topLinePunct w:val="0"/>
              <w:bidi w:val="0"/>
              <w:spacing w:line="440" w:lineRule="exact"/>
              <w:jc w:val="left"/>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工业 *</w:t>
            </w:r>
          </w:p>
        </w:tc>
        <w:tc>
          <w:tcPr>
            <w:tcW w:w="1445" w:type="dxa"/>
            <w:vAlign w:val="center"/>
          </w:tcPr>
          <w:p w14:paraId="32F69A3A">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从业人员(X)</w:t>
            </w:r>
          </w:p>
        </w:tc>
        <w:tc>
          <w:tcPr>
            <w:tcW w:w="748" w:type="dxa"/>
            <w:vAlign w:val="center"/>
          </w:tcPr>
          <w:p w14:paraId="71E627C6">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人</w:t>
            </w:r>
          </w:p>
        </w:tc>
        <w:tc>
          <w:tcPr>
            <w:tcW w:w="1188" w:type="dxa"/>
            <w:vAlign w:val="center"/>
          </w:tcPr>
          <w:p w14:paraId="3D66D33B">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X≥1000</w:t>
            </w:r>
          </w:p>
        </w:tc>
        <w:tc>
          <w:tcPr>
            <w:tcW w:w="1796" w:type="dxa"/>
            <w:vAlign w:val="center"/>
          </w:tcPr>
          <w:p w14:paraId="57095CAD">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300≤X＜1000</w:t>
            </w:r>
          </w:p>
        </w:tc>
        <w:tc>
          <w:tcPr>
            <w:tcW w:w="1505" w:type="dxa"/>
            <w:vAlign w:val="center"/>
          </w:tcPr>
          <w:p w14:paraId="0D3802D8">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20≤X＜300</w:t>
            </w:r>
          </w:p>
        </w:tc>
        <w:tc>
          <w:tcPr>
            <w:tcW w:w="1047" w:type="dxa"/>
            <w:vAlign w:val="center"/>
          </w:tcPr>
          <w:p w14:paraId="55372514">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X＜20</w:t>
            </w:r>
          </w:p>
        </w:tc>
      </w:tr>
      <w:tr w14:paraId="5A10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628C2FAF">
            <w:pPr>
              <w:keepNext w:val="0"/>
              <w:keepLines w:val="0"/>
              <w:pageBreakBefore w:val="0"/>
              <w:widowControl/>
              <w:kinsoku/>
              <w:wordWrap/>
              <w:overflowPunct/>
              <w:topLinePunct w:val="0"/>
              <w:bidi w:val="0"/>
              <w:spacing w:line="440" w:lineRule="exact"/>
              <w:jc w:val="left"/>
              <w:rPr>
                <w:rFonts w:ascii="宋体" w:hAnsi="宋体" w:cs="宋体"/>
                <w:b/>
                <w:color w:val="auto"/>
                <w:kern w:val="0"/>
                <w:sz w:val="18"/>
                <w:szCs w:val="18"/>
                <w:highlight w:val="none"/>
                <w:shd w:val="pct10" w:color="auto" w:fill="FFFFFF"/>
              </w:rPr>
            </w:pPr>
          </w:p>
        </w:tc>
        <w:tc>
          <w:tcPr>
            <w:tcW w:w="1445" w:type="dxa"/>
            <w:vAlign w:val="center"/>
          </w:tcPr>
          <w:p w14:paraId="3226338F">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营业收入(Y)</w:t>
            </w:r>
          </w:p>
        </w:tc>
        <w:tc>
          <w:tcPr>
            <w:tcW w:w="748" w:type="dxa"/>
            <w:vAlign w:val="center"/>
          </w:tcPr>
          <w:p w14:paraId="29159344">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万元</w:t>
            </w:r>
          </w:p>
        </w:tc>
        <w:tc>
          <w:tcPr>
            <w:tcW w:w="1188" w:type="dxa"/>
            <w:vAlign w:val="center"/>
          </w:tcPr>
          <w:p w14:paraId="4958B8BB">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Y≥40000</w:t>
            </w:r>
          </w:p>
        </w:tc>
        <w:tc>
          <w:tcPr>
            <w:tcW w:w="1796" w:type="dxa"/>
            <w:vAlign w:val="center"/>
          </w:tcPr>
          <w:p w14:paraId="0D9AED7F">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2000≤Y＜40000</w:t>
            </w:r>
          </w:p>
        </w:tc>
        <w:tc>
          <w:tcPr>
            <w:tcW w:w="1505" w:type="dxa"/>
            <w:vAlign w:val="center"/>
          </w:tcPr>
          <w:p w14:paraId="3E3E6B41">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300≤Y＜2000</w:t>
            </w:r>
          </w:p>
        </w:tc>
        <w:tc>
          <w:tcPr>
            <w:tcW w:w="1047" w:type="dxa"/>
            <w:vAlign w:val="center"/>
          </w:tcPr>
          <w:p w14:paraId="4A928F9B">
            <w:pPr>
              <w:keepNext w:val="0"/>
              <w:keepLines w:val="0"/>
              <w:pageBreakBefore w:val="0"/>
              <w:widowControl/>
              <w:kinsoku/>
              <w:wordWrap/>
              <w:overflowPunct/>
              <w:topLinePunct w:val="0"/>
              <w:bidi w:val="0"/>
              <w:spacing w:line="440" w:lineRule="exact"/>
              <w:jc w:val="center"/>
              <w:rPr>
                <w:rFonts w:ascii="宋体" w:hAnsi="宋体" w:cs="宋体"/>
                <w:b/>
                <w:color w:val="auto"/>
                <w:kern w:val="0"/>
                <w:sz w:val="18"/>
                <w:szCs w:val="18"/>
                <w:highlight w:val="none"/>
                <w:shd w:val="pct10" w:color="auto" w:fill="FFFFFF"/>
              </w:rPr>
            </w:pPr>
            <w:r>
              <w:rPr>
                <w:rFonts w:hint="eastAsia" w:ascii="宋体" w:hAnsi="宋体" w:cs="宋体"/>
                <w:b/>
                <w:color w:val="auto"/>
                <w:kern w:val="0"/>
                <w:sz w:val="18"/>
                <w:szCs w:val="18"/>
                <w:highlight w:val="none"/>
                <w:shd w:val="pct10" w:color="auto" w:fill="FFFFFF"/>
              </w:rPr>
              <w:t>Y＜300</w:t>
            </w:r>
          </w:p>
        </w:tc>
      </w:tr>
      <w:tr w14:paraId="643F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60DC0C2F">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445" w:type="dxa"/>
            <w:vAlign w:val="center"/>
          </w:tcPr>
          <w:p w14:paraId="7289C75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13D72D4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15EE055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96" w:type="dxa"/>
            <w:vAlign w:val="center"/>
          </w:tcPr>
          <w:p w14:paraId="65ECB69C">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05" w:type="dxa"/>
            <w:vAlign w:val="center"/>
          </w:tcPr>
          <w:p w14:paraId="56B2E00A">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7" w:type="dxa"/>
            <w:vAlign w:val="center"/>
          </w:tcPr>
          <w:p w14:paraId="6F793204">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7D9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5E659EC2">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02270E8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48" w:type="dxa"/>
            <w:vAlign w:val="center"/>
          </w:tcPr>
          <w:p w14:paraId="7632FFD6">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4C79C34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96" w:type="dxa"/>
            <w:vAlign w:val="center"/>
          </w:tcPr>
          <w:p w14:paraId="0C200B71">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05" w:type="dxa"/>
            <w:vAlign w:val="center"/>
          </w:tcPr>
          <w:p w14:paraId="5E1259DB">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7" w:type="dxa"/>
            <w:vAlign w:val="center"/>
          </w:tcPr>
          <w:p w14:paraId="1052DB7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3B2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4EC17EDC">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445" w:type="dxa"/>
            <w:vAlign w:val="center"/>
          </w:tcPr>
          <w:p w14:paraId="0F463A14">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416EFAD4">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197EB9F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96" w:type="dxa"/>
            <w:vAlign w:val="center"/>
          </w:tcPr>
          <w:p w14:paraId="1A87C4C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05" w:type="dxa"/>
            <w:vAlign w:val="center"/>
          </w:tcPr>
          <w:p w14:paraId="7815AA4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7" w:type="dxa"/>
            <w:vAlign w:val="center"/>
          </w:tcPr>
          <w:p w14:paraId="46C2D4A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55E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36FD9DCD">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26FDE3CA">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611F281E">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33EBE89C">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96" w:type="dxa"/>
            <w:vAlign w:val="center"/>
          </w:tcPr>
          <w:p w14:paraId="0873FF01">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05" w:type="dxa"/>
            <w:vAlign w:val="center"/>
          </w:tcPr>
          <w:p w14:paraId="0D531350">
            <w:pPr>
              <w:keepNext w:val="0"/>
              <w:keepLines w:val="0"/>
              <w:pageBreakBefore w:val="0"/>
              <w:widowControl/>
              <w:kinsoku/>
              <w:wordWrap/>
              <w:overflowPunct/>
              <w:topLinePunct w:val="0"/>
              <w:bidi w:val="0"/>
              <w:spacing w:line="44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7" w:type="dxa"/>
            <w:vAlign w:val="center"/>
          </w:tcPr>
          <w:p w14:paraId="2782181F">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37B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21B4D099">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445" w:type="dxa"/>
            <w:vAlign w:val="center"/>
          </w:tcPr>
          <w:p w14:paraId="25E3EE9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152BFA24">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2B6BA81D">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96" w:type="dxa"/>
            <w:vAlign w:val="center"/>
          </w:tcPr>
          <w:p w14:paraId="049DC1FC">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05" w:type="dxa"/>
            <w:vAlign w:val="center"/>
          </w:tcPr>
          <w:p w14:paraId="21A9520C">
            <w:pPr>
              <w:keepNext w:val="0"/>
              <w:keepLines w:val="0"/>
              <w:pageBreakBefore w:val="0"/>
              <w:widowControl/>
              <w:kinsoku/>
              <w:wordWrap/>
              <w:overflowPunct/>
              <w:topLinePunct w:val="0"/>
              <w:bidi w:val="0"/>
              <w:spacing w:line="44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1047" w:type="dxa"/>
            <w:vAlign w:val="center"/>
          </w:tcPr>
          <w:p w14:paraId="5070209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A12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717268D5">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449BF971">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3B4A4C0D">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1371F2AF">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96" w:type="dxa"/>
            <w:vAlign w:val="center"/>
          </w:tcPr>
          <w:p w14:paraId="05512F01">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05" w:type="dxa"/>
            <w:vAlign w:val="center"/>
          </w:tcPr>
          <w:p w14:paraId="10D26201">
            <w:pPr>
              <w:keepNext w:val="0"/>
              <w:keepLines w:val="0"/>
              <w:pageBreakBefore w:val="0"/>
              <w:widowControl/>
              <w:kinsoku/>
              <w:wordWrap/>
              <w:overflowPunct/>
              <w:topLinePunct w:val="0"/>
              <w:bidi w:val="0"/>
              <w:spacing w:line="44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7" w:type="dxa"/>
            <w:vAlign w:val="center"/>
          </w:tcPr>
          <w:p w14:paraId="0C596B2E">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D5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4518DA5C">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445" w:type="dxa"/>
            <w:vAlign w:val="center"/>
          </w:tcPr>
          <w:p w14:paraId="7B29D91D">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3FFEE76D">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05CD463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96" w:type="dxa"/>
            <w:vAlign w:val="center"/>
          </w:tcPr>
          <w:p w14:paraId="5D552F96">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05" w:type="dxa"/>
            <w:vAlign w:val="center"/>
          </w:tcPr>
          <w:p w14:paraId="43B001F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7" w:type="dxa"/>
            <w:vAlign w:val="center"/>
          </w:tcPr>
          <w:p w14:paraId="4549DB5F">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FE8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36E8734B">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156A0A86">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1664ABBB">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0A102243">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96" w:type="dxa"/>
            <w:vAlign w:val="center"/>
          </w:tcPr>
          <w:p w14:paraId="3C3F1B94">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05" w:type="dxa"/>
            <w:vAlign w:val="center"/>
          </w:tcPr>
          <w:p w14:paraId="7F613C3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7" w:type="dxa"/>
            <w:vAlign w:val="center"/>
          </w:tcPr>
          <w:p w14:paraId="4D6EB58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72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7CCC5604">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445" w:type="dxa"/>
            <w:vAlign w:val="center"/>
          </w:tcPr>
          <w:p w14:paraId="636D2BC1">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5AC3C14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0573111E">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96" w:type="dxa"/>
            <w:vAlign w:val="center"/>
          </w:tcPr>
          <w:p w14:paraId="241563A4">
            <w:pPr>
              <w:keepNext w:val="0"/>
              <w:keepLines w:val="0"/>
              <w:pageBreakBefore w:val="0"/>
              <w:widowControl/>
              <w:kinsoku/>
              <w:wordWrap/>
              <w:overflowPunct/>
              <w:topLinePunct w:val="0"/>
              <w:bidi w:val="0"/>
              <w:spacing w:line="44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05" w:type="dxa"/>
            <w:vAlign w:val="center"/>
          </w:tcPr>
          <w:p w14:paraId="56130906">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7" w:type="dxa"/>
            <w:vAlign w:val="center"/>
          </w:tcPr>
          <w:p w14:paraId="0590FB8D">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79E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367E31F4">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2D349276">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2C861743">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3E386F73">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96" w:type="dxa"/>
            <w:vAlign w:val="center"/>
          </w:tcPr>
          <w:p w14:paraId="18ABC723">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05" w:type="dxa"/>
            <w:vAlign w:val="center"/>
          </w:tcPr>
          <w:p w14:paraId="25304A4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7" w:type="dxa"/>
            <w:vAlign w:val="center"/>
          </w:tcPr>
          <w:p w14:paraId="2CE804EA">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85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0B1F1656">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445" w:type="dxa"/>
            <w:vAlign w:val="center"/>
          </w:tcPr>
          <w:p w14:paraId="799C77CF">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2D66360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5ACA059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96" w:type="dxa"/>
            <w:vAlign w:val="center"/>
          </w:tcPr>
          <w:p w14:paraId="20E8E33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05" w:type="dxa"/>
            <w:vAlign w:val="center"/>
          </w:tcPr>
          <w:p w14:paraId="3646C81B">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7" w:type="dxa"/>
            <w:vAlign w:val="center"/>
          </w:tcPr>
          <w:p w14:paraId="05DC64DA">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05A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54B96C94">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25830D1D">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37AE809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110DA973">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96" w:type="dxa"/>
            <w:vAlign w:val="center"/>
          </w:tcPr>
          <w:p w14:paraId="67BD47D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05" w:type="dxa"/>
            <w:vAlign w:val="center"/>
          </w:tcPr>
          <w:p w14:paraId="2077CB1E">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7" w:type="dxa"/>
            <w:vAlign w:val="center"/>
          </w:tcPr>
          <w:p w14:paraId="383BE74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F3B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42DFC2A1">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445" w:type="dxa"/>
            <w:vAlign w:val="center"/>
          </w:tcPr>
          <w:p w14:paraId="43EFBAB4">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026895C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5D7ADA3E">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96" w:type="dxa"/>
            <w:vAlign w:val="center"/>
          </w:tcPr>
          <w:p w14:paraId="4869B578">
            <w:pPr>
              <w:keepNext w:val="0"/>
              <w:keepLines w:val="0"/>
              <w:pageBreakBefore w:val="0"/>
              <w:widowControl/>
              <w:kinsoku/>
              <w:wordWrap/>
              <w:overflowPunct/>
              <w:topLinePunct w:val="0"/>
              <w:bidi w:val="0"/>
              <w:spacing w:line="44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05" w:type="dxa"/>
            <w:vAlign w:val="center"/>
          </w:tcPr>
          <w:p w14:paraId="6B0E2B31">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vAlign w:val="center"/>
          </w:tcPr>
          <w:p w14:paraId="21E85A4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8B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5C4B1F11">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0B887C5B">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390C829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65DD052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96" w:type="dxa"/>
            <w:vAlign w:val="center"/>
          </w:tcPr>
          <w:p w14:paraId="2CAC1F3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05" w:type="dxa"/>
            <w:vAlign w:val="center"/>
          </w:tcPr>
          <w:p w14:paraId="60806DDF">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7" w:type="dxa"/>
            <w:vAlign w:val="center"/>
          </w:tcPr>
          <w:p w14:paraId="5048457E">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2DC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6265197C">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445" w:type="dxa"/>
            <w:vAlign w:val="center"/>
          </w:tcPr>
          <w:p w14:paraId="40769D01">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66C0C62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1559DA9D">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96" w:type="dxa"/>
            <w:vAlign w:val="center"/>
          </w:tcPr>
          <w:p w14:paraId="377A9A28">
            <w:pPr>
              <w:keepNext w:val="0"/>
              <w:keepLines w:val="0"/>
              <w:pageBreakBefore w:val="0"/>
              <w:widowControl/>
              <w:kinsoku/>
              <w:wordWrap/>
              <w:overflowPunct/>
              <w:topLinePunct w:val="0"/>
              <w:bidi w:val="0"/>
              <w:spacing w:line="44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05" w:type="dxa"/>
            <w:vAlign w:val="center"/>
          </w:tcPr>
          <w:p w14:paraId="4D031B8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vAlign w:val="center"/>
          </w:tcPr>
          <w:p w14:paraId="3E6E3F3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981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4BE57AAA">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0F871AAA">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0E9A3C0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454E502F">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96" w:type="dxa"/>
            <w:vAlign w:val="center"/>
          </w:tcPr>
          <w:p w14:paraId="3CCF9EB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05" w:type="dxa"/>
            <w:vAlign w:val="center"/>
          </w:tcPr>
          <w:p w14:paraId="20020FEC">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7" w:type="dxa"/>
            <w:vAlign w:val="center"/>
          </w:tcPr>
          <w:p w14:paraId="718E1740">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B84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714CE786">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445" w:type="dxa"/>
            <w:vAlign w:val="center"/>
          </w:tcPr>
          <w:p w14:paraId="5A60462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607369C1">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3CEC59AF">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96" w:type="dxa"/>
            <w:vAlign w:val="center"/>
          </w:tcPr>
          <w:p w14:paraId="084744AD">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05" w:type="dxa"/>
            <w:vAlign w:val="center"/>
          </w:tcPr>
          <w:p w14:paraId="5D6BE61C">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vAlign w:val="center"/>
          </w:tcPr>
          <w:p w14:paraId="3D4C8A1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B3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1F9181E2">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66BA993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2D385680">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0A2D8D4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96" w:type="dxa"/>
            <w:vAlign w:val="center"/>
          </w:tcPr>
          <w:p w14:paraId="7E485AFA">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05" w:type="dxa"/>
            <w:vAlign w:val="center"/>
          </w:tcPr>
          <w:p w14:paraId="4995623C">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7" w:type="dxa"/>
            <w:vAlign w:val="center"/>
          </w:tcPr>
          <w:p w14:paraId="1753DE7D">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3B1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vAlign w:val="center"/>
          </w:tcPr>
          <w:p w14:paraId="393DA03A">
            <w:pPr>
              <w:keepNext w:val="0"/>
              <w:keepLines w:val="0"/>
              <w:pageBreakBefore w:val="0"/>
              <w:widowControl/>
              <w:kinsoku/>
              <w:wordWrap/>
              <w:overflowPunct/>
              <w:topLinePunct w:val="0"/>
              <w:bidi w:val="0"/>
              <w:spacing w:line="4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445" w:type="dxa"/>
            <w:vAlign w:val="center"/>
          </w:tcPr>
          <w:p w14:paraId="4EF29B61">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650C3D8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313840A0">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96" w:type="dxa"/>
            <w:vAlign w:val="center"/>
          </w:tcPr>
          <w:p w14:paraId="7D5985EC">
            <w:pPr>
              <w:keepNext w:val="0"/>
              <w:keepLines w:val="0"/>
              <w:pageBreakBefore w:val="0"/>
              <w:widowControl/>
              <w:kinsoku/>
              <w:wordWrap/>
              <w:overflowPunct/>
              <w:topLinePunct w:val="0"/>
              <w:bidi w:val="0"/>
              <w:spacing w:line="44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05" w:type="dxa"/>
            <w:vAlign w:val="center"/>
          </w:tcPr>
          <w:p w14:paraId="714B689B">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vAlign w:val="center"/>
          </w:tcPr>
          <w:p w14:paraId="533B2CE0">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74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vAlign w:val="center"/>
          </w:tcPr>
          <w:p w14:paraId="3B92FAFA">
            <w:pPr>
              <w:keepNext w:val="0"/>
              <w:keepLines w:val="0"/>
              <w:pageBreakBefore w:val="0"/>
              <w:widowControl/>
              <w:kinsoku/>
              <w:wordWrap/>
              <w:overflowPunct/>
              <w:topLinePunct w:val="0"/>
              <w:bidi w:val="0"/>
              <w:spacing w:line="440" w:lineRule="exact"/>
              <w:jc w:val="left"/>
              <w:rPr>
                <w:rFonts w:ascii="宋体" w:hAnsi="宋体" w:cs="宋体"/>
                <w:color w:val="auto"/>
                <w:spacing w:val="-12"/>
                <w:kern w:val="0"/>
                <w:sz w:val="18"/>
                <w:szCs w:val="18"/>
                <w:highlight w:val="none"/>
              </w:rPr>
            </w:pPr>
          </w:p>
        </w:tc>
        <w:tc>
          <w:tcPr>
            <w:tcW w:w="1445" w:type="dxa"/>
            <w:vAlign w:val="center"/>
          </w:tcPr>
          <w:p w14:paraId="1ABA53E3">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20BB761F">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4D32807B">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96" w:type="dxa"/>
            <w:vAlign w:val="center"/>
          </w:tcPr>
          <w:p w14:paraId="108DDDB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05" w:type="dxa"/>
            <w:vAlign w:val="center"/>
          </w:tcPr>
          <w:p w14:paraId="6F30DF5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7" w:type="dxa"/>
            <w:vAlign w:val="center"/>
          </w:tcPr>
          <w:p w14:paraId="7E006F7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0E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vAlign w:val="center"/>
          </w:tcPr>
          <w:p w14:paraId="442550B3">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445" w:type="dxa"/>
            <w:vAlign w:val="center"/>
          </w:tcPr>
          <w:p w14:paraId="69D85773">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20DBD4C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610CBFC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96" w:type="dxa"/>
            <w:vAlign w:val="center"/>
          </w:tcPr>
          <w:p w14:paraId="0EF6DA6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05" w:type="dxa"/>
            <w:vAlign w:val="center"/>
          </w:tcPr>
          <w:p w14:paraId="061B800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7" w:type="dxa"/>
            <w:vAlign w:val="center"/>
          </w:tcPr>
          <w:p w14:paraId="61C4D3DF">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EFC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vAlign w:val="center"/>
          </w:tcPr>
          <w:p w14:paraId="0D817E0D">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36B7F54D">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48" w:type="dxa"/>
            <w:vAlign w:val="center"/>
          </w:tcPr>
          <w:p w14:paraId="7553142B">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569AA53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96" w:type="dxa"/>
            <w:vAlign w:val="center"/>
          </w:tcPr>
          <w:p w14:paraId="372C4EDC">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05" w:type="dxa"/>
            <w:vAlign w:val="center"/>
          </w:tcPr>
          <w:p w14:paraId="7B60CFB4">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1047" w:type="dxa"/>
            <w:vAlign w:val="center"/>
          </w:tcPr>
          <w:p w14:paraId="48BAC8B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7BC0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vAlign w:val="center"/>
          </w:tcPr>
          <w:p w14:paraId="36944D95">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445" w:type="dxa"/>
            <w:vAlign w:val="center"/>
          </w:tcPr>
          <w:p w14:paraId="0B3D8814">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1F44571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4285F10B">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96" w:type="dxa"/>
            <w:vAlign w:val="center"/>
          </w:tcPr>
          <w:p w14:paraId="6AA5CE14">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05" w:type="dxa"/>
            <w:vAlign w:val="center"/>
          </w:tcPr>
          <w:p w14:paraId="59B063E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7" w:type="dxa"/>
            <w:vAlign w:val="center"/>
          </w:tcPr>
          <w:p w14:paraId="231752F3">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2F3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vAlign w:val="center"/>
          </w:tcPr>
          <w:p w14:paraId="0CA13E47">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69F7E974">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dxa"/>
            <w:vAlign w:val="center"/>
          </w:tcPr>
          <w:p w14:paraId="03A89760">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1BD08A7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96" w:type="dxa"/>
            <w:vAlign w:val="center"/>
          </w:tcPr>
          <w:p w14:paraId="20C79131">
            <w:pPr>
              <w:keepNext w:val="0"/>
              <w:keepLines w:val="0"/>
              <w:pageBreakBefore w:val="0"/>
              <w:widowControl/>
              <w:kinsoku/>
              <w:wordWrap/>
              <w:overflowPunct/>
              <w:topLinePunct w:val="0"/>
              <w:bidi w:val="0"/>
              <w:spacing w:line="44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05" w:type="dxa"/>
            <w:vAlign w:val="center"/>
          </w:tcPr>
          <w:p w14:paraId="3155496B">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7" w:type="dxa"/>
            <w:vAlign w:val="center"/>
          </w:tcPr>
          <w:p w14:paraId="319F058C">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BC8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vAlign w:val="center"/>
          </w:tcPr>
          <w:p w14:paraId="3734C725">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445" w:type="dxa"/>
            <w:vAlign w:val="center"/>
          </w:tcPr>
          <w:p w14:paraId="1415F6F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40EABCEC">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05DE862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96" w:type="dxa"/>
            <w:vAlign w:val="center"/>
          </w:tcPr>
          <w:p w14:paraId="17D48E6A">
            <w:pPr>
              <w:keepNext w:val="0"/>
              <w:keepLines w:val="0"/>
              <w:pageBreakBefore w:val="0"/>
              <w:widowControl/>
              <w:kinsoku/>
              <w:wordWrap/>
              <w:overflowPunct/>
              <w:topLinePunct w:val="0"/>
              <w:bidi w:val="0"/>
              <w:spacing w:line="44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05" w:type="dxa"/>
            <w:vAlign w:val="center"/>
          </w:tcPr>
          <w:p w14:paraId="575D1EAF">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vAlign w:val="center"/>
          </w:tcPr>
          <w:p w14:paraId="48B487B3">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vAlign w:val="center"/>
          </w:tcPr>
          <w:p w14:paraId="65C0D48E">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p>
        </w:tc>
        <w:tc>
          <w:tcPr>
            <w:tcW w:w="1445" w:type="dxa"/>
            <w:vAlign w:val="center"/>
          </w:tcPr>
          <w:p w14:paraId="75C4DA0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48" w:type="dxa"/>
            <w:vAlign w:val="center"/>
          </w:tcPr>
          <w:p w14:paraId="74AAEF10">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88" w:type="dxa"/>
            <w:vAlign w:val="center"/>
          </w:tcPr>
          <w:p w14:paraId="5FA07E55">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96" w:type="dxa"/>
            <w:vAlign w:val="center"/>
          </w:tcPr>
          <w:p w14:paraId="208D4BA9">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05" w:type="dxa"/>
            <w:vAlign w:val="center"/>
          </w:tcPr>
          <w:p w14:paraId="111B7677">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7" w:type="dxa"/>
            <w:vAlign w:val="center"/>
          </w:tcPr>
          <w:p w14:paraId="1150A688">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14B9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Align w:val="center"/>
          </w:tcPr>
          <w:p w14:paraId="0C5EE50B">
            <w:pPr>
              <w:keepNext w:val="0"/>
              <w:keepLines w:val="0"/>
              <w:pageBreakBefore w:val="0"/>
              <w:widowControl/>
              <w:kinsoku/>
              <w:wordWrap/>
              <w:overflowPunct/>
              <w:topLinePunct w:val="0"/>
              <w:bidi w:val="0"/>
              <w:spacing w:line="4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445" w:type="dxa"/>
            <w:vAlign w:val="center"/>
          </w:tcPr>
          <w:p w14:paraId="0DFF6432">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dxa"/>
            <w:vAlign w:val="center"/>
          </w:tcPr>
          <w:p w14:paraId="356AFD4F">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88" w:type="dxa"/>
            <w:vAlign w:val="center"/>
          </w:tcPr>
          <w:p w14:paraId="69A4323E">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96" w:type="dxa"/>
            <w:vAlign w:val="center"/>
          </w:tcPr>
          <w:p w14:paraId="62C116D8">
            <w:pPr>
              <w:keepNext w:val="0"/>
              <w:keepLines w:val="0"/>
              <w:pageBreakBefore w:val="0"/>
              <w:widowControl/>
              <w:kinsoku/>
              <w:wordWrap/>
              <w:overflowPunct/>
              <w:topLinePunct w:val="0"/>
              <w:bidi w:val="0"/>
              <w:spacing w:line="44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05" w:type="dxa"/>
            <w:vAlign w:val="center"/>
          </w:tcPr>
          <w:p w14:paraId="5506F386">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vAlign w:val="center"/>
          </w:tcPr>
          <w:p w14:paraId="4568251C">
            <w:pPr>
              <w:keepNext w:val="0"/>
              <w:keepLines w:val="0"/>
              <w:pageBreakBefore w:val="0"/>
              <w:widowControl/>
              <w:kinsoku/>
              <w:wordWrap/>
              <w:overflowPunct/>
              <w:topLinePunct w:val="0"/>
              <w:bidi w:val="0"/>
              <w:spacing w:line="4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295B76C">
      <w:pPr>
        <w:keepNext w:val="0"/>
        <w:keepLines w:val="0"/>
        <w:pageBreakBefore w:val="0"/>
        <w:widowControl/>
        <w:kinsoku/>
        <w:wordWrap/>
        <w:overflowPunct/>
        <w:topLinePunct w:val="0"/>
        <w:bidi w:val="0"/>
        <w:spacing w:line="440" w:lineRule="exact"/>
        <w:rPr>
          <w:rFonts w:ascii="宋体" w:hAnsi="宋体" w:cs="宋体"/>
          <w:color w:val="auto"/>
          <w:spacing w:val="8"/>
          <w:kern w:val="0"/>
          <w:sz w:val="24"/>
          <w:highlight w:val="none"/>
        </w:rPr>
      </w:pPr>
    </w:p>
    <w:p w14:paraId="558883C1">
      <w:pPr>
        <w:keepNext w:val="0"/>
        <w:keepLines w:val="0"/>
        <w:pageBreakBefore w:val="0"/>
        <w:widowControl/>
        <w:kinsoku/>
        <w:wordWrap/>
        <w:overflowPunct/>
        <w:topLinePunct w:val="0"/>
        <w:bidi w:val="0"/>
        <w:spacing w:line="440" w:lineRule="exac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说明：</w:t>
      </w:r>
    </w:p>
    <w:p w14:paraId="3881FF91">
      <w:pPr>
        <w:pStyle w:val="17"/>
        <w:keepNext w:val="0"/>
        <w:keepLines w:val="0"/>
        <w:pageBreakBefore w:val="0"/>
        <w:kinsoku/>
        <w:wordWrap/>
        <w:overflowPunct/>
        <w:topLinePunct w:val="0"/>
        <w:bidi w:val="0"/>
        <w:adjustRightInd w:val="0"/>
        <w:spacing w:line="44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1.大型、中型和小型企业须同时满足所列指标的下限，否则下划一档；微型企业只须满足所列指标中的一项即可。</w:t>
      </w:r>
    </w:p>
    <w:p w14:paraId="67198DFA">
      <w:pPr>
        <w:pStyle w:val="17"/>
        <w:keepNext w:val="0"/>
        <w:keepLines w:val="0"/>
        <w:pageBreakBefore w:val="0"/>
        <w:kinsoku/>
        <w:wordWrap/>
        <w:overflowPunct/>
        <w:topLinePunct w:val="0"/>
        <w:bidi w:val="0"/>
        <w:adjustRightInd w:val="0"/>
        <w:spacing w:line="44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6872D84">
      <w:pPr>
        <w:pStyle w:val="17"/>
        <w:keepNext w:val="0"/>
        <w:keepLines w:val="0"/>
        <w:pageBreakBefore w:val="0"/>
        <w:kinsoku/>
        <w:wordWrap/>
        <w:overflowPunct/>
        <w:topLinePunct w:val="0"/>
        <w:bidi w:val="0"/>
        <w:adjustRightInd w:val="0"/>
        <w:spacing w:line="440" w:lineRule="exact"/>
        <w:ind w:firstLine="512" w:firstLineChars="200"/>
        <w:contextualSpacing/>
        <w:rPr>
          <w:rFonts w:hAnsi="宋体" w:cs="宋体"/>
          <w:bCs/>
          <w:color w:val="auto"/>
          <w:highlight w:val="none"/>
        </w:rPr>
      </w:pPr>
      <w:r>
        <w:rPr>
          <w:rFonts w:hint="eastAsia" w:hAnsi="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54F9DF3">
      <w:pPr>
        <w:keepNext w:val="0"/>
        <w:keepLines w:val="0"/>
        <w:pageBreakBefore w:val="0"/>
        <w:kinsoku/>
        <w:wordWrap/>
        <w:overflowPunct/>
        <w:topLinePunct w:val="0"/>
        <w:bidi w:val="0"/>
        <w:spacing w:line="440" w:lineRule="exact"/>
        <w:jc w:val="center"/>
        <w:outlineLvl w:val="0"/>
        <w:rPr>
          <w:rFonts w:ascii="宋体" w:hAnsi="宋体" w:cs="宋体"/>
          <w:color w:val="auto"/>
          <w:sz w:val="32"/>
          <w:szCs w:val="32"/>
          <w:highlight w:val="none"/>
        </w:rPr>
      </w:pPr>
      <w:r>
        <w:rPr>
          <w:rFonts w:hint="eastAsia" w:ascii="宋体" w:hAnsi="宋体" w:cs="宋体"/>
          <w:color w:val="auto"/>
          <w:sz w:val="32"/>
          <w:szCs w:val="32"/>
          <w:highlight w:val="none"/>
        </w:rPr>
        <w:br w:type="page"/>
      </w:r>
      <w:bookmarkStart w:id="275" w:name="_Toc7619"/>
      <w:bookmarkStart w:id="276" w:name="_Toc19096"/>
      <w:bookmarkStart w:id="277" w:name="_Toc30884"/>
      <w:bookmarkStart w:id="278" w:name="_Toc14595"/>
      <w:r>
        <w:rPr>
          <w:rFonts w:hint="eastAsia" w:ascii="宋体" w:hAnsi="宋体" w:cs="宋体"/>
          <w:b/>
          <w:bCs/>
          <w:color w:val="auto"/>
          <w:kern w:val="44"/>
          <w:sz w:val="32"/>
          <w:szCs w:val="32"/>
          <w:highlight w:val="none"/>
        </w:rPr>
        <w:t>第五章  采购合同（合同主要条款及格式）</w:t>
      </w:r>
      <w:bookmarkEnd w:id="275"/>
      <w:bookmarkEnd w:id="276"/>
      <w:bookmarkEnd w:id="277"/>
      <w:bookmarkEnd w:id="278"/>
    </w:p>
    <w:p w14:paraId="7C133D7C">
      <w:pPr>
        <w:keepNext w:val="0"/>
        <w:keepLines w:val="0"/>
        <w:pageBreakBefore w:val="0"/>
        <w:kinsoku/>
        <w:wordWrap/>
        <w:overflowPunct/>
        <w:topLinePunct w:val="0"/>
        <w:bidi w:val="0"/>
        <w:spacing w:line="440" w:lineRule="exact"/>
        <w:rPr>
          <w:rFonts w:ascii="宋体" w:hAnsi="宋体" w:cs="宋体"/>
          <w:color w:val="auto"/>
          <w:highlight w:val="none"/>
        </w:rPr>
      </w:pPr>
    </w:p>
    <w:p w14:paraId="21E94308">
      <w:pPr>
        <w:keepNext w:val="0"/>
        <w:keepLines w:val="0"/>
        <w:pageBreakBefore w:val="0"/>
        <w:kinsoku/>
        <w:wordWrap/>
        <w:overflowPunct/>
        <w:topLinePunct w:val="0"/>
        <w:bidi w:val="0"/>
        <w:spacing w:line="440" w:lineRule="exact"/>
        <w:rPr>
          <w:rFonts w:ascii="宋体" w:hAnsi="宋体" w:cs="宋体"/>
          <w:color w:val="auto"/>
          <w:highlight w:val="none"/>
        </w:rPr>
      </w:pPr>
      <w:bookmarkStart w:id="279" w:name="_Toc26520"/>
      <w:bookmarkStart w:id="280" w:name="_Toc15164"/>
      <w:bookmarkStart w:id="281" w:name="_Toc18889"/>
      <w:bookmarkStart w:id="282" w:name="_Toc3617"/>
      <w:bookmarkStart w:id="283" w:name="_Toc24269"/>
    </w:p>
    <w:p w14:paraId="64F4B304">
      <w:pPr>
        <w:keepNext w:val="0"/>
        <w:keepLines w:val="0"/>
        <w:pageBreakBefore w:val="0"/>
        <w:widowControl w:val="0"/>
        <w:kinsoku/>
        <w:wordWrap/>
        <w:overflowPunct/>
        <w:topLinePunct w:val="0"/>
        <w:autoSpaceDE/>
        <w:autoSpaceDN/>
        <w:bidi w:val="0"/>
        <w:adjustRightInd/>
        <w:snapToGrid w:val="0"/>
        <w:spacing w:line="440" w:lineRule="exact"/>
        <w:ind w:right="480"/>
        <w:textAlignment w:val="auto"/>
        <w:rPr>
          <w:rFonts w:hint="default" w:ascii="仿宋" w:hAnsi="仿宋" w:eastAsia="仿宋"/>
          <w:color w:val="auto"/>
          <w:sz w:val="24"/>
          <w:highlight w:val="none"/>
          <w:lang w:val="en-US" w:eastAsia="zh-CN"/>
        </w:rPr>
      </w:pPr>
      <w:r>
        <w:rPr>
          <w:rFonts w:hint="eastAsia" w:ascii="仿宋" w:hAnsi="仿宋" w:eastAsia="仿宋" w:cs="宋体"/>
          <w:b/>
          <w:color w:val="auto"/>
          <w:kern w:val="0"/>
          <w:sz w:val="32"/>
          <w:szCs w:val="32"/>
          <w:highlight w:val="none"/>
        </w:rPr>
        <w:t xml:space="preserve"> </w:t>
      </w:r>
      <w:bookmarkEnd w:id="279"/>
      <w:r>
        <w:rPr>
          <w:rFonts w:hint="eastAsia" w:ascii="仿宋" w:hAnsi="仿宋" w:eastAsia="仿宋"/>
          <w:color w:val="auto"/>
          <w:sz w:val="24"/>
          <w:highlight w:val="none"/>
        </w:rPr>
        <w:t xml:space="preserve">采购单位（甲方）：桂林医学院第二附属医院      </w:t>
      </w:r>
      <w:r>
        <w:rPr>
          <w:rFonts w:hint="eastAsia" w:ascii="仿宋" w:hAnsi="仿宋" w:eastAsia="仿宋"/>
          <w:color w:val="auto"/>
          <w:sz w:val="24"/>
          <w:highlight w:val="none"/>
          <w:lang w:val="en-US" w:eastAsia="zh-CN"/>
        </w:rPr>
        <w:t xml:space="preserve"> </w:t>
      </w:r>
      <w:r>
        <w:rPr>
          <w:rFonts w:hint="eastAsia" w:ascii="仿宋" w:hAnsi="仿宋" w:eastAsia="仿宋"/>
          <w:bCs/>
          <w:color w:val="auto"/>
          <w:sz w:val="24"/>
          <w:highlight w:val="none"/>
        </w:rPr>
        <w:t>合同编号：</w:t>
      </w:r>
      <w:r>
        <w:rPr>
          <w:rFonts w:hint="eastAsia" w:ascii="仿宋" w:hAnsi="仿宋" w:eastAsia="仿宋"/>
          <w:bCs/>
          <w:color w:val="auto"/>
          <w:sz w:val="24"/>
          <w:highlight w:val="none"/>
          <w:lang w:val="en-US" w:eastAsia="zh-CN"/>
        </w:rPr>
        <w:t>SBK-2024-034</w:t>
      </w:r>
    </w:p>
    <w:p w14:paraId="342D944F">
      <w:pPr>
        <w:keepNext w:val="0"/>
        <w:keepLines w:val="0"/>
        <w:pageBreakBefore w:val="0"/>
        <w:widowControl w:val="0"/>
        <w:kinsoku/>
        <w:wordWrap/>
        <w:overflowPunct/>
        <w:topLinePunct w:val="0"/>
        <w:autoSpaceDE/>
        <w:autoSpaceDN/>
        <w:bidi w:val="0"/>
        <w:adjustRightInd/>
        <w:snapToGrid w:val="0"/>
        <w:spacing w:line="440" w:lineRule="exact"/>
        <w:ind w:firstLine="240" w:firstLineChars="100"/>
        <w:textAlignment w:val="auto"/>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供 应 商（乙方）：</w:t>
      </w:r>
      <w:r>
        <w:rPr>
          <w:rFonts w:hint="eastAsia" w:ascii="仿宋" w:hAnsi="仿宋" w:eastAsia="仿宋"/>
          <w:color w:val="auto"/>
          <w:sz w:val="24"/>
          <w:highlight w:val="none"/>
          <w:lang w:val="en-US" w:eastAsia="zh-CN"/>
        </w:rPr>
        <w:t xml:space="preserve"> 乙</w:t>
      </w:r>
      <w:r>
        <w:rPr>
          <w:rFonts w:hint="eastAsia" w:ascii="仿宋" w:hAnsi="仿宋" w:eastAsia="仿宋"/>
          <w:color w:val="auto"/>
          <w:sz w:val="24"/>
          <w:highlight w:val="none"/>
        </w:rPr>
        <w:t>方</w:t>
      </w:r>
      <w:r>
        <w:rPr>
          <w:rFonts w:hint="eastAsia" w:ascii="仿宋" w:hAnsi="仿宋" w:eastAsia="仿宋"/>
          <w:color w:val="auto"/>
          <w:sz w:val="24"/>
          <w:highlight w:val="none"/>
          <w:lang w:val="en-US" w:eastAsia="zh-CN"/>
        </w:rPr>
        <w:t xml:space="preserve">必填                     </w:t>
      </w:r>
      <w:r>
        <w:rPr>
          <w:rFonts w:hint="eastAsia" w:ascii="仿宋" w:hAnsi="仿宋" w:eastAsia="仿宋"/>
          <w:color w:val="auto"/>
          <w:sz w:val="24"/>
          <w:highlight w:val="none"/>
        </w:rPr>
        <w:t>项目编号：</w:t>
      </w:r>
    </w:p>
    <w:p w14:paraId="18576D45">
      <w:pPr>
        <w:keepNext w:val="0"/>
        <w:keepLines w:val="0"/>
        <w:pageBreakBefore w:val="0"/>
        <w:widowControl w:val="0"/>
        <w:kinsoku/>
        <w:wordWrap/>
        <w:overflowPunct/>
        <w:topLinePunct w:val="0"/>
        <w:autoSpaceDE/>
        <w:autoSpaceDN/>
        <w:bidi w:val="0"/>
        <w:adjustRightInd/>
        <w:snapToGrid w:val="0"/>
        <w:spacing w:line="440" w:lineRule="exact"/>
        <w:ind w:firstLine="240" w:firstLineChars="100"/>
        <w:textAlignment w:val="auto"/>
        <w:rPr>
          <w:rFonts w:hint="eastAsia" w:ascii="仿宋" w:hAnsi="仿宋" w:eastAsia="仿宋"/>
          <w:color w:val="auto"/>
          <w:sz w:val="24"/>
          <w:highlight w:val="none"/>
        </w:rPr>
      </w:pPr>
      <w:r>
        <w:rPr>
          <w:rFonts w:hint="eastAsia" w:ascii="仿宋" w:hAnsi="仿宋" w:eastAsia="仿宋"/>
          <w:color w:val="auto"/>
          <w:sz w:val="24"/>
          <w:highlight w:val="none"/>
        </w:rPr>
        <w:t>签  订  地  点</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 xml:space="preserve">：桂林医学院第二附属医院      </w:t>
      </w:r>
    </w:p>
    <w:p w14:paraId="256D93DE">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根据《中华人民共和国政府采购法》、</w:t>
      </w:r>
      <w:r>
        <w:rPr>
          <w:rFonts w:hint="eastAsia"/>
          <w:color w:val="auto"/>
          <w:sz w:val="24"/>
          <w:highlight w:val="none"/>
        </w:rPr>
        <w:t>《</w:t>
      </w:r>
      <w:r>
        <w:rPr>
          <w:rFonts w:hint="eastAsia" w:ascii="仿宋" w:hAnsi="仿宋" w:eastAsia="仿宋"/>
          <w:color w:val="auto"/>
          <w:sz w:val="24"/>
          <w:highlight w:val="none"/>
        </w:rPr>
        <w:t>中华人民共和国民法典</w:t>
      </w:r>
      <w:r>
        <w:rPr>
          <w:rFonts w:hint="eastAsia"/>
          <w:color w:val="auto"/>
          <w:sz w:val="24"/>
          <w:highlight w:val="none"/>
        </w:rPr>
        <w:t>》</w:t>
      </w:r>
      <w:r>
        <w:rPr>
          <w:rFonts w:hint="eastAsia" w:ascii="仿宋" w:hAnsi="仿宋" w:eastAsia="仿宋"/>
          <w:color w:val="auto"/>
          <w:sz w:val="24"/>
          <w:highlight w:val="none"/>
        </w:rPr>
        <w:t>等法律、法规规定，按照招投标文件（采购文件）规定条款和中标（成交）供应商承诺，甲乙双方签订本合同。</w:t>
      </w:r>
    </w:p>
    <w:p w14:paraId="3DACB27E">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第一条　合同标的</w:t>
      </w:r>
    </w:p>
    <w:p w14:paraId="0599D050">
      <w:pPr>
        <w:keepNext w:val="0"/>
        <w:keepLines w:val="0"/>
        <w:pageBreakBefore w:val="0"/>
        <w:kinsoku/>
        <w:wordWrap/>
        <w:overflowPunct/>
        <w:topLinePunct w:val="0"/>
        <w:bidi w:val="0"/>
        <w:snapToGrid w:val="0"/>
        <w:spacing w:line="440" w:lineRule="exact"/>
        <w:ind w:left="360" w:firstLine="120" w:firstLineChars="50"/>
        <w:rPr>
          <w:rFonts w:hint="eastAsia"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供货一览表:</w:t>
      </w:r>
    </w:p>
    <w:p w14:paraId="16026E9C">
      <w:pPr>
        <w:keepNext w:val="0"/>
        <w:keepLines w:val="0"/>
        <w:pageBreakBefore w:val="0"/>
        <w:kinsoku/>
        <w:wordWrap/>
        <w:overflowPunct/>
        <w:topLinePunct w:val="0"/>
        <w:bidi w:val="0"/>
        <w:snapToGrid w:val="0"/>
        <w:spacing w:line="440" w:lineRule="exact"/>
        <w:rPr>
          <w:rFonts w:hint="eastAsia" w:ascii="仿宋" w:hAnsi="仿宋" w:eastAsia="仿宋"/>
          <w:color w:val="auto"/>
          <w:sz w:val="24"/>
          <w:highlight w:val="none"/>
        </w:rPr>
      </w:pPr>
      <w:r>
        <w:rPr>
          <w:rFonts w:hint="eastAsia" w:ascii="仿宋" w:hAnsi="仿宋" w:eastAsia="仿宋"/>
          <w:color w:val="auto"/>
          <w:sz w:val="24"/>
          <w:highlight w:val="none"/>
        </w:rPr>
        <w:t>产品挂网名称</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注册证产品名称、注册证号</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品牌、规格型号、生产厂家、</w:t>
      </w:r>
      <w:r>
        <w:rPr>
          <w:rFonts w:hint="eastAsia" w:ascii="仿宋" w:hAnsi="仿宋" w:eastAsia="仿宋"/>
          <w:color w:val="auto"/>
          <w:sz w:val="24"/>
          <w:highlight w:val="none"/>
          <w:lang w:val="en-US" w:eastAsia="zh-CN"/>
        </w:rPr>
        <w:t>单位、</w:t>
      </w:r>
      <w:r>
        <w:rPr>
          <w:rFonts w:hint="eastAsia" w:ascii="仿宋" w:hAnsi="仿宋" w:eastAsia="仿宋"/>
          <w:color w:val="auto"/>
          <w:sz w:val="24"/>
          <w:highlight w:val="none"/>
        </w:rPr>
        <w:t>数量、单价（元）</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总价（元）</w:t>
      </w:r>
      <w:r>
        <w:rPr>
          <w:rFonts w:hint="eastAsia" w:ascii="仿宋" w:hAnsi="仿宋" w:eastAsia="仿宋"/>
          <w:color w:val="auto"/>
          <w:sz w:val="24"/>
          <w:highlight w:val="none"/>
          <w:lang w:eastAsia="zh-CN"/>
        </w:rPr>
        <w:t>、备注</w:t>
      </w:r>
      <w:r>
        <w:rPr>
          <w:rFonts w:hint="eastAsia" w:ascii="仿宋" w:hAnsi="仿宋" w:eastAsia="仿宋"/>
          <w:color w:val="auto"/>
          <w:sz w:val="24"/>
          <w:highlight w:val="none"/>
        </w:rPr>
        <w:t>（其中：注册证</w:t>
      </w:r>
      <w:r>
        <w:rPr>
          <w:rFonts w:hint="eastAsia" w:ascii="仿宋" w:hAnsi="仿宋" w:eastAsia="仿宋"/>
          <w:color w:val="auto"/>
          <w:sz w:val="24"/>
          <w:highlight w:val="none"/>
          <w:lang w:eastAsia="zh-CN"/>
        </w:rPr>
        <w:t>的</w:t>
      </w:r>
      <w:r>
        <w:rPr>
          <w:rFonts w:hint="eastAsia" w:ascii="仿宋" w:hAnsi="仿宋" w:eastAsia="仿宋"/>
          <w:color w:val="auto"/>
          <w:sz w:val="24"/>
          <w:highlight w:val="none"/>
        </w:rPr>
        <w:t>产品名称、品牌、规格型号、生产厂家须与医疗器械注册证或备案证一致）。</w:t>
      </w:r>
    </w:p>
    <w:p w14:paraId="692986A0">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b/>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合同合计金额包括招标范围内货物货款、货物标准附件、备品备件、专用工具、包装、运输、装卸、保险、税金、货到就位以及安装、调试、培训、保修等一切税金和费用。</w:t>
      </w:r>
      <w:r>
        <w:rPr>
          <w:rFonts w:hint="eastAsia" w:ascii="仿宋" w:hAnsi="仿宋" w:eastAsia="仿宋"/>
          <w:bCs/>
          <w:color w:val="auto"/>
          <w:kern w:val="2"/>
          <w:sz w:val="24"/>
          <w:szCs w:val="24"/>
          <w:highlight w:val="none"/>
        </w:rPr>
        <w:t>本合同执行期间，甲方无须向乙方支付本合同规定之外的其他任何费用。</w:t>
      </w:r>
      <w:r>
        <w:rPr>
          <w:rFonts w:hint="eastAsia" w:ascii="仿宋" w:hAnsi="仿宋" w:eastAsia="仿宋"/>
          <w:color w:val="auto"/>
          <w:sz w:val="24"/>
          <w:highlight w:val="none"/>
        </w:rPr>
        <w:t>如招标文件对其另有规定的，从其规定。</w:t>
      </w:r>
    </w:p>
    <w:tbl>
      <w:tblPr>
        <w:tblStyle w:val="32"/>
        <w:tblpPr w:leftFromText="180" w:rightFromText="180" w:vertAnchor="text" w:horzAnchor="page" w:tblpX="855" w:tblpY="74"/>
        <w:tblOverlap w:val="never"/>
        <w:tblW w:w="10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245"/>
        <w:gridCol w:w="883"/>
        <w:gridCol w:w="860"/>
        <w:gridCol w:w="883"/>
        <w:gridCol w:w="1319"/>
        <w:gridCol w:w="750"/>
        <w:gridCol w:w="780"/>
        <w:gridCol w:w="990"/>
        <w:gridCol w:w="1004"/>
        <w:gridCol w:w="655"/>
      </w:tblGrid>
      <w:tr w14:paraId="0452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50" w:hRule="atLeast"/>
          <w:jc w:val="center"/>
        </w:trPr>
        <w:tc>
          <w:tcPr>
            <w:tcW w:w="1225" w:type="dxa"/>
            <w:noWrap w:val="0"/>
            <w:vAlign w:val="center"/>
          </w:tcPr>
          <w:p w14:paraId="667D5EF6">
            <w:pPr>
              <w:keepNext w:val="0"/>
              <w:keepLines w:val="0"/>
              <w:pageBreakBefore w:val="0"/>
              <w:kinsoku/>
              <w:wordWrap/>
              <w:overflowPunct/>
              <w:topLinePunct w:val="0"/>
              <w:bidi w:val="0"/>
              <w:snapToGrid w:val="0"/>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产品挂网名称</w:t>
            </w:r>
          </w:p>
        </w:tc>
        <w:tc>
          <w:tcPr>
            <w:tcW w:w="1245" w:type="dxa"/>
            <w:noWrap w:val="0"/>
            <w:vAlign w:val="center"/>
          </w:tcPr>
          <w:p w14:paraId="38926C98">
            <w:pPr>
              <w:keepNext w:val="0"/>
              <w:keepLines w:val="0"/>
              <w:pageBreakBefore w:val="0"/>
              <w:kinsoku/>
              <w:wordWrap/>
              <w:overflowPunct/>
              <w:topLinePunct w:val="0"/>
              <w:bidi w:val="0"/>
              <w:snapToGrid w:val="0"/>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注册证产品名称</w:t>
            </w:r>
          </w:p>
        </w:tc>
        <w:tc>
          <w:tcPr>
            <w:tcW w:w="883" w:type="dxa"/>
            <w:noWrap w:val="0"/>
            <w:vAlign w:val="center"/>
          </w:tcPr>
          <w:p w14:paraId="79BB13C9">
            <w:pPr>
              <w:keepNext w:val="0"/>
              <w:keepLines w:val="0"/>
              <w:pageBreakBefore w:val="0"/>
              <w:kinsoku/>
              <w:wordWrap/>
              <w:overflowPunct/>
              <w:topLinePunct w:val="0"/>
              <w:bidi w:val="0"/>
              <w:snapToGrid w:val="0"/>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注册证号</w:t>
            </w:r>
          </w:p>
        </w:tc>
        <w:tc>
          <w:tcPr>
            <w:tcW w:w="860" w:type="dxa"/>
            <w:noWrap w:val="0"/>
            <w:vAlign w:val="center"/>
          </w:tcPr>
          <w:p w14:paraId="5610DD44">
            <w:pPr>
              <w:keepNext w:val="0"/>
              <w:keepLines w:val="0"/>
              <w:pageBreakBefore w:val="0"/>
              <w:kinsoku/>
              <w:wordWrap/>
              <w:overflowPunct/>
              <w:topLinePunct w:val="0"/>
              <w:bidi w:val="0"/>
              <w:snapToGrid w:val="0"/>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品牌</w:t>
            </w:r>
          </w:p>
        </w:tc>
        <w:tc>
          <w:tcPr>
            <w:tcW w:w="883" w:type="dxa"/>
            <w:noWrap w:val="0"/>
            <w:vAlign w:val="center"/>
          </w:tcPr>
          <w:p w14:paraId="6E4AD40B">
            <w:pPr>
              <w:keepNext w:val="0"/>
              <w:keepLines w:val="0"/>
              <w:pageBreakBefore w:val="0"/>
              <w:kinsoku/>
              <w:wordWrap/>
              <w:overflowPunct/>
              <w:topLinePunct w:val="0"/>
              <w:bidi w:val="0"/>
              <w:snapToGrid w:val="0"/>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规格</w:t>
            </w:r>
            <w:r>
              <w:rPr>
                <w:rFonts w:hint="eastAsia" w:ascii="仿宋" w:hAnsi="仿宋" w:eastAsia="仿宋"/>
                <w:color w:val="auto"/>
                <w:sz w:val="24"/>
                <w:highlight w:val="none"/>
              </w:rPr>
              <w:t>型号</w:t>
            </w:r>
          </w:p>
        </w:tc>
        <w:tc>
          <w:tcPr>
            <w:tcW w:w="1319" w:type="dxa"/>
            <w:noWrap w:val="0"/>
            <w:vAlign w:val="center"/>
          </w:tcPr>
          <w:p w14:paraId="04C33679">
            <w:pPr>
              <w:keepNext w:val="0"/>
              <w:keepLines w:val="0"/>
              <w:pageBreakBefore w:val="0"/>
              <w:kinsoku/>
              <w:wordWrap/>
              <w:overflowPunct/>
              <w:topLinePunct w:val="0"/>
              <w:bidi w:val="0"/>
              <w:snapToGrid w:val="0"/>
              <w:spacing w:line="440" w:lineRule="exact"/>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生产厂家</w:t>
            </w:r>
          </w:p>
        </w:tc>
        <w:tc>
          <w:tcPr>
            <w:tcW w:w="750" w:type="dxa"/>
            <w:noWrap w:val="0"/>
            <w:vAlign w:val="center"/>
          </w:tcPr>
          <w:p w14:paraId="5B7B496F">
            <w:pPr>
              <w:keepNext w:val="0"/>
              <w:keepLines w:val="0"/>
              <w:pageBreakBefore w:val="0"/>
              <w:kinsoku/>
              <w:wordWrap/>
              <w:overflowPunct/>
              <w:topLinePunct w:val="0"/>
              <w:bidi w:val="0"/>
              <w:snapToGrid w:val="0"/>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单位</w:t>
            </w:r>
          </w:p>
        </w:tc>
        <w:tc>
          <w:tcPr>
            <w:tcW w:w="780" w:type="dxa"/>
            <w:noWrap w:val="0"/>
            <w:vAlign w:val="center"/>
          </w:tcPr>
          <w:p w14:paraId="55534D21">
            <w:pPr>
              <w:keepNext w:val="0"/>
              <w:keepLines w:val="0"/>
              <w:pageBreakBefore w:val="0"/>
              <w:kinsoku/>
              <w:wordWrap/>
              <w:overflowPunct/>
              <w:topLinePunct w:val="0"/>
              <w:bidi w:val="0"/>
              <w:snapToGrid w:val="0"/>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数量</w:t>
            </w:r>
          </w:p>
        </w:tc>
        <w:tc>
          <w:tcPr>
            <w:tcW w:w="990" w:type="dxa"/>
            <w:noWrap w:val="0"/>
            <w:vAlign w:val="center"/>
          </w:tcPr>
          <w:p w14:paraId="5F743E38">
            <w:pPr>
              <w:keepNext w:val="0"/>
              <w:keepLines w:val="0"/>
              <w:pageBreakBefore w:val="0"/>
              <w:kinsoku/>
              <w:wordWrap/>
              <w:overflowPunct/>
              <w:topLinePunct w:val="0"/>
              <w:bidi w:val="0"/>
              <w:snapToGrid w:val="0"/>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单价（元）</w:t>
            </w:r>
          </w:p>
        </w:tc>
        <w:tc>
          <w:tcPr>
            <w:tcW w:w="1004" w:type="dxa"/>
            <w:noWrap w:val="0"/>
            <w:vAlign w:val="center"/>
          </w:tcPr>
          <w:p w14:paraId="7053057F">
            <w:pPr>
              <w:keepNext w:val="0"/>
              <w:keepLines w:val="0"/>
              <w:pageBreakBefore w:val="0"/>
              <w:kinsoku/>
              <w:wordWrap/>
              <w:overflowPunct/>
              <w:topLinePunct w:val="0"/>
              <w:bidi w:val="0"/>
              <w:snapToGrid w:val="0"/>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总价（元）</w:t>
            </w:r>
          </w:p>
        </w:tc>
        <w:tc>
          <w:tcPr>
            <w:tcW w:w="655" w:type="dxa"/>
            <w:noWrap w:val="0"/>
            <w:vAlign w:val="center"/>
          </w:tcPr>
          <w:p w14:paraId="119A6639">
            <w:pPr>
              <w:keepNext w:val="0"/>
              <w:keepLines w:val="0"/>
              <w:pageBreakBefore w:val="0"/>
              <w:kinsoku/>
              <w:wordWrap/>
              <w:overflowPunct/>
              <w:topLinePunct w:val="0"/>
              <w:bidi w:val="0"/>
              <w:snapToGrid w:val="0"/>
              <w:spacing w:line="440" w:lineRule="exact"/>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备注</w:t>
            </w:r>
          </w:p>
        </w:tc>
      </w:tr>
      <w:tr w14:paraId="1412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225" w:type="dxa"/>
            <w:noWrap w:val="0"/>
            <w:vAlign w:val="center"/>
          </w:tcPr>
          <w:p w14:paraId="19DE6C74">
            <w:pPr>
              <w:keepNext w:val="0"/>
              <w:keepLines w:val="0"/>
              <w:pageBreakBefore w:val="0"/>
              <w:kinsoku/>
              <w:wordWrap/>
              <w:overflowPunct/>
              <w:topLinePunct w:val="0"/>
              <w:bidi w:val="0"/>
              <w:snapToGrid w:val="0"/>
              <w:spacing w:line="440" w:lineRule="exact"/>
              <w:jc w:val="left"/>
              <w:rPr>
                <w:rFonts w:hint="default" w:ascii="仿宋" w:hAnsi="仿宋" w:eastAsia="仿宋"/>
                <w:color w:val="auto"/>
                <w:szCs w:val="21"/>
                <w:highlight w:val="none"/>
                <w:lang w:val="en-US" w:eastAsia="zh-CN"/>
              </w:rPr>
            </w:pPr>
          </w:p>
        </w:tc>
        <w:tc>
          <w:tcPr>
            <w:tcW w:w="1245" w:type="dxa"/>
            <w:noWrap w:val="0"/>
            <w:vAlign w:val="center"/>
          </w:tcPr>
          <w:p w14:paraId="54BACFD1">
            <w:pPr>
              <w:keepNext w:val="0"/>
              <w:keepLines w:val="0"/>
              <w:pageBreakBefore w:val="0"/>
              <w:kinsoku/>
              <w:wordWrap/>
              <w:overflowPunct/>
              <w:topLinePunct w:val="0"/>
              <w:bidi w:val="0"/>
              <w:snapToGrid w:val="0"/>
              <w:spacing w:line="440" w:lineRule="exact"/>
              <w:jc w:val="left"/>
              <w:rPr>
                <w:rFonts w:hint="eastAsia" w:ascii="仿宋" w:hAnsi="仿宋" w:eastAsia="仿宋"/>
                <w:color w:val="auto"/>
                <w:szCs w:val="21"/>
                <w:highlight w:val="none"/>
                <w:lang w:eastAsia="zh-CN"/>
              </w:rPr>
            </w:pPr>
          </w:p>
        </w:tc>
        <w:tc>
          <w:tcPr>
            <w:tcW w:w="883" w:type="dxa"/>
            <w:noWrap w:val="0"/>
            <w:vAlign w:val="center"/>
          </w:tcPr>
          <w:p w14:paraId="5CFCC294">
            <w:pPr>
              <w:keepNext w:val="0"/>
              <w:keepLines w:val="0"/>
              <w:pageBreakBefore w:val="0"/>
              <w:kinsoku/>
              <w:wordWrap/>
              <w:overflowPunct/>
              <w:topLinePunct w:val="0"/>
              <w:bidi w:val="0"/>
              <w:snapToGrid w:val="0"/>
              <w:spacing w:line="440" w:lineRule="exact"/>
              <w:jc w:val="left"/>
              <w:rPr>
                <w:rFonts w:hint="default" w:ascii="仿宋" w:hAnsi="仿宋" w:eastAsia="仿宋"/>
                <w:color w:val="auto"/>
                <w:szCs w:val="21"/>
                <w:highlight w:val="none"/>
                <w:lang w:val="en-US" w:eastAsia="zh-CN"/>
              </w:rPr>
            </w:pPr>
          </w:p>
        </w:tc>
        <w:tc>
          <w:tcPr>
            <w:tcW w:w="860" w:type="dxa"/>
            <w:noWrap w:val="0"/>
            <w:vAlign w:val="center"/>
          </w:tcPr>
          <w:p w14:paraId="0BE5A170">
            <w:pPr>
              <w:keepNext w:val="0"/>
              <w:keepLines w:val="0"/>
              <w:pageBreakBefore w:val="0"/>
              <w:kinsoku/>
              <w:wordWrap/>
              <w:overflowPunct/>
              <w:topLinePunct w:val="0"/>
              <w:bidi w:val="0"/>
              <w:snapToGrid w:val="0"/>
              <w:spacing w:line="440" w:lineRule="exact"/>
              <w:jc w:val="left"/>
              <w:rPr>
                <w:rFonts w:hint="default" w:ascii="仿宋" w:hAnsi="仿宋" w:eastAsia="仿宋"/>
                <w:color w:val="auto"/>
                <w:szCs w:val="21"/>
                <w:highlight w:val="none"/>
                <w:lang w:val="en-US" w:eastAsia="zh-CN"/>
              </w:rPr>
            </w:pPr>
          </w:p>
        </w:tc>
        <w:tc>
          <w:tcPr>
            <w:tcW w:w="883" w:type="dxa"/>
            <w:noWrap w:val="0"/>
            <w:vAlign w:val="center"/>
          </w:tcPr>
          <w:p w14:paraId="326BED6C">
            <w:pPr>
              <w:keepNext w:val="0"/>
              <w:keepLines w:val="0"/>
              <w:pageBreakBefore w:val="0"/>
              <w:kinsoku/>
              <w:wordWrap/>
              <w:overflowPunct/>
              <w:topLinePunct w:val="0"/>
              <w:bidi w:val="0"/>
              <w:snapToGrid w:val="0"/>
              <w:spacing w:line="440" w:lineRule="exact"/>
              <w:jc w:val="left"/>
              <w:rPr>
                <w:rFonts w:hint="default" w:ascii="仿宋" w:hAnsi="仿宋" w:eastAsia="仿宋"/>
                <w:color w:val="auto"/>
                <w:szCs w:val="21"/>
                <w:highlight w:val="none"/>
                <w:lang w:val="en-US" w:eastAsia="zh-CN"/>
              </w:rPr>
            </w:pPr>
          </w:p>
        </w:tc>
        <w:tc>
          <w:tcPr>
            <w:tcW w:w="1319" w:type="dxa"/>
            <w:noWrap w:val="0"/>
            <w:vAlign w:val="center"/>
          </w:tcPr>
          <w:p w14:paraId="276B221F">
            <w:pPr>
              <w:keepNext w:val="0"/>
              <w:keepLines w:val="0"/>
              <w:pageBreakBefore w:val="0"/>
              <w:kinsoku/>
              <w:wordWrap/>
              <w:overflowPunct/>
              <w:topLinePunct w:val="0"/>
              <w:bidi w:val="0"/>
              <w:snapToGrid w:val="0"/>
              <w:spacing w:line="440" w:lineRule="exact"/>
              <w:jc w:val="left"/>
              <w:rPr>
                <w:rFonts w:hint="default" w:ascii="仿宋" w:hAnsi="仿宋" w:eastAsia="仿宋"/>
                <w:color w:val="auto"/>
                <w:szCs w:val="21"/>
                <w:highlight w:val="none"/>
                <w:lang w:val="en-US" w:eastAsia="zh-CN"/>
              </w:rPr>
            </w:pPr>
          </w:p>
        </w:tc>
        <w:tc>
          <w:tcPr>
            <w:tcW w:w="750" w:type="dxa"/>
            <w:noWrap w:val="0"/>
            <w:vAlign w:val="center"/>
          </w:tcPr>
          <w:p w14:paraId="6E29577D">
            <w:pPr>
              <w:keepNext w:val="0"/>
              <w:keepLines w:val="0"/>
              <w:pageBreakBefore w:val="0"/>
              <w:kinsoku/>
              <w:wordWrap/>
              <w:overflowPunct/>
              <w:topLinePunct w:val="0"/>
              <w:bidi w:val="0"/>
              <w:snapToGrid w:val="0"/>
              <w:spacing w:line="440" w:lineRule="exact"/>
              <w:jc w:val="left"/>
              <w:rPr>
                <w:rFonts w:hint="eastAsia" w:ascii="仿宋" w:hAnsi="仿宋" w:eastAsia="仿宋"/>
                <w:color w:val="auto"/>
                <w:szCs w:val="21"/>
                <w:highlight w:val="none"/>
                <w:lang w:eastAsia="zh-CN"/>
              </w:rPr>
            </w:pPr>
          </w:p>
        </w:tc>
        <w:tc>
          <w:tcPr>
            <w:tcW w:w="780" w:type="dxa"/>
            <w:noWrap w:val="0"/>
            <w:vAlign w:val="center"/>
          </w:tcPr>
          <w:p w14:paraId="2FC26B6F">
            <w:pPr>
              <w:keepNext w:val="0"/>
              <w:keepLines w:val="0"/>
              <w:pageBreakBefore w:val="0"/>
              <w:kinsoku/>
              <w:wordWrap/>
              <w:overflowPunct/>
              <w:topLinePunct w:val="0"/>
              <w:bidi w:val="0"/>
              <w:snapToGrid w:val="0"/>
              <w:spacing w:line="440" w:lineRule="exact"/>
              <w:jc w:val="left"/>
              <w:rPr>
                <w:rFonts w:hint="eastAsia" w:ascii="仿宋" w:hAnsi="仿宋" w:eastAsia="仿宋"/>
                <w:color w:val="auto"/>
                <w:szCs w:val="21"/>
                <w:highlight w:val="none"/>
                <w:lang w:val="en-US" w:eastAsia="zh-CN"/>
              </w:rPr>
            </w:pPr>
          </w:p>
        </w:tc>
        <w:tc>
          <w:tcPr>
            <w:tcW w:w="990" w:type="dxa"/>
            <w:noWrap w:val="0"/>
            <w:vAlign w:val="center"/>
          </w:tcPr>
          <w:p w14:paraId="32EB565A">
            <w:pPr>
              <w:keepNext w:val="0"/>
              <w:keepLines w:val="0"/>
              <w:pageBreakBefore w:val="0"/>
              <w:kinsoku/>
              <w:wordWrap/>
              <w:overflowPunct/>
              <w:topLinePunct w:val="0"/>
              <w:bidi w:val="0"/>
              <w:snapToGrid w:val="0"/>
              <w:spacing w:line="440" w:lineRule="exact"/>
              <w:jc w:val="left"/>
              <w:rPr>
                <w:rFonts w:hint="default" w:ascii="仿宋" w:hAnsi="仿宋" w:eastAsia="仿宋"/>
                <w:color w:val="auto"/>
                <w:szCs w:val="21"/>
                <w:highlight w:val="none"/>
                <w:lang w:val="en-US" w:eastAsia="zh-CN"/>
              </w:rPr>
            </w:pPr>
          </w:p>
        </w:tc>
        <w:tc>
          <w:tcPr>
            <w:tcW w:w="1004" w:type="dxa"/>
            <w:noWrap w:val="0"/>
            <w:vAlign w:val="center"/>
          </w:tcPr>
          <w:p w14:paraId="3543689D">
            <w:pPr>
              <w:keepNext w:val="0"/>
              <w:keepLines w:val="0"/>
              <w:pageBreakBefore w:val="0"/>
              <w:kinsoku/>
              <w:wordWrap/>
              <w:overflowPunct/>
              <w:topLinePunct w:val="0"/>
              <w:bidi w:val="0"/>
              <w:snapToGrid w:val="0"/>
              <w:spacing w:line="440" w:lineRule="exact"/>
              <w:jc w:val="left"/>
              <w:rPr>
                <w:rFonts w:hint="default" w:ascii="仿宋" w:hAnsi="仿宋" w:eastAsia="仿宋"/>
                <w:color w:val="auto"/>
                <w:szCs w:val="21"/>
                <w:highlight w:val="none"/>
                <w:lang w:val="en-US" w:eastAsia="zh-CN"/>
              </w:rPr>
            </w:pPr>
          </w:p>
        </w:tc>
        <w:tc>
          <w:tcPr>
            <w:tcW w:w="655" w:type="dxa"/>
            <w:noWrap w:val="0"/>
            <w:vAlign w:val="center"/>
          </w:tcPr>
          <w:p w14:paraId="4AD18BB3">
            <w:pPr>
              <w:keepNext w:val="0"/>
              <w:keepLines w:val="0"/>
              <w:pageBreakBefore w:val="0"/>
              <w:kinsoku/>
              <w:wordWrap/>
              <w:overflowPunct/>
              <w:topLinePunct w:val="0"/>
              <w:bidi w:val="0"/>
              <w:snapToGrid w:val="0"/>
              <w:spacing w:line="440" w:lineRule="exact"/>
              <w:jc w:val="left"/>
              <w:rPr>
                <w:rFonts w:hint="eastAsia" w:ascii="仿宋" w:hAnsi="仿宋" w:eastAsia="仿宋"/>
                <w:color w:val="auto"/>
                <w:szCs w:val="21"/>
                <w:highlight w:val="none"/>
                <w:lang w:val="en-US" w:eastAsia="zh-CN"/>
              </w:rPr>
            </w:pPr>
          </w:p>
        </w:tc>
      </w:tr>
      <w:tr w14:paraId="0633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0594" w:type="dxa"/>
            <w:gridSpan w:val="11"/>
            <w:noWrap w:val="0"/>
            <w:vAlign w:val="top"/>
          </w:tcPr>
          <w:p w14:paraId="0CAEA509">
            <w:pPr>
              <w:keepNext w:val="0"/>
              <w:keepLines w:val="0"/>
              <w:pageBreakBefore w:val="0"/>
              <w:kinsoku/>
              <w:wordWrap/>
              <w:overflowPunct/>
              <w:topLinePunct w:val="0"/>
              <w:bidi w:val="0"/>
              <w:snapToGrid w:val="0"/>
              <w:spacing w:line="440" w:lineRule="exact"/>
              <w:jc w:val="left"/>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合计金额人民币大写：     整 (小写：     元)</w:t>
            </w:r>
          </w:p>
        </w:tc>
      </w:tr>
    </w:tbl>
    <w:p w14:paraId="79CD000F">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p>
    <w:p w14:paraId="7579F3A5">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第二条　质量保证</w:t>
      </w:r>
    </w:p>
    <w:p w14:paraId="50BF4AE7">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1.乙方所提供的货物型号、技术规格、技术参数等质量必须与投标文件的承诺相一致。乙方提供的自主创新产品、节能和环保产品必须是列入政府采购清单的产品。</w:t>
      </w:r>
    </w:p>
    <w:p w14:paraId="5DE90AD6">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2.乙方所提供的货物必须是全新、未使用的原装产品，且在正常安装、使用和保养条件下，其使用寿命期内各项指标均达到质量要求。</w:t>
      </w:r>
    </w:p>
    <w:p w14:paraId="38990539">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3.如在使用过程中发生质量问题，乙方在接到甲方通知后在按乙方投标文件中承诺的不超过招标要求的响应时间内到达甲方现场处理。</w:t>
      </w:r>
    </w:p>
    <w:p w14:paraId="335A54C0">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4.在质保期内，乙方应对货物出现的质量及安全问题负责处理解决并承担一切费用。</w:t>
      </w:r>
    </w:p>
    <w:p w14:paraId="51F44E98">
      <w:pPr>
        <w:keepNext w:val="0"/>
        <w:keepLines w:val="0"/>
        <w:pageBreakBefore w:val="0"/>
        <w:tabs>
          <w:tab w:val="left" w:pos="900"/>
        </w:tabs>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第三条　权利保证</w:t>
      </w:r>
    </w:p>
    <w:p w14:paraId="3337361F">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乙方应保证所提供货物在使用时不会侵犯任何第三方的专利权、商标权、</w:t>
      </w:r>
      <w:r>
        <w:rPr>
          <w:rFonts w:hint="eastAsia" w:ascii="仿宋" w:hAnsi="仿宋" w:eastAsia="仿宋"/>
          <w:strike w:val="0"/>
          <w:dstrike w:val="0"/>
          <w:color w:val="auto"/>
          <w:sz w:val="24"/>
          <w:highlight w:val="none"/>
          <w:lang w:val="en-US" w:eastAsia="zh-Hans"/>
        </w:rPr>
        <w:t>著作权在内的知识产权</w:t>
      </w:r>
      <w:r>
        <w:rPr>
          <w:rFonts w:hint="eastAsia" w:ascii="仿宋" w:hAnsi="仿宋" w:eastAsia="仿宋"/>
          <w:color w:val="auto"/>
          <w:sz w:val="24"/>
          <w:highlight w:val="none"/>
        </w:rPr>
        <w:t>或其他权利。如果</w:t>
      </w:r>
      <w:r>
        <w:rPr>
          <w:rFonts w:hint="eastAsia" w:ascii="仿宋" w:hAnsi="仿宋" w:eastAsia="仿宋"/>
          <w:color w:val="auto"/>
          <w:sz w:val="24"/>
          <w:highlight w:val="none"/>
          <w:lang w:val="en-US" w:eastAsia="zh-Hans"/>
        </w:rPr>
        <w:t>甲方</w:t>
      </w:r>
      <w:r>
        <w:rPr>
          <w:rFonts w:hint="eastAsia" w:ascii="仿宋" w:hAnsi="仿宋" w:eastAsia="仿宋"/>
          <w:color w:val="auto"/>
          <w:sz w:val="24"/>
          <w:highlight w:val="none"/>
        </w:rPr>
        <w:t>因此遭受到任何第三方的索赔、诉讼或任何权利请求，</w:t>
      </w:r>
      <w:r>
        <w:rPr>
          <w:rFonts w:hint="eastAsia" w:ascii="仿宋" w:hAnsi="仿宋" w:eastAsia="仿宋"/>
          <w:color w:val="auto"/>
          <w:sz w:val="24"/>
          <w:highlight w:val="none"/>
          <w:lang w:val="en-US" w:eastAsia="zh-Hans"/>
        </w:rPr>
        <w:t>乙方</w:t>
      </w:r>
      <w:r>
        <w:rPr>
          <w:rFonts w:hint="eastAsia" w:ascii="仿宋" w:hAnsi="仿宋" w:eastAsia="仿宋"/>
          <w:color w:val="auto"/>
          <w:sz w:val="24"/>
          <w:highlight w:val="none"/>
        </w:rPr>
        <w:t>有义务以</w:t>
      </w:r>
      <w:r>
        <w:rPr>
          <w:rFonts w:hint="eastAsia" w:ascii="仿宋" w:hAnsi="仿宋" w:eastAsia="仿宋"/>
          <w:color w:val="auto"/>
          <w:sz w:val="24"/>
          <w:highlight w:val="none"/>
          <w:lang w:val="en-US" w:eastAsia="zh-CN"/>
        </w:rPr>
        <w:t>甲方</w:t>
      </w:r>
      <w:r>
        <w:rPr>
          <w:rFonts w:hint="eastAsia" w:ascii="仿宋" w:hAnsi="仿宋" w:eastAsia="仿宋"/>
          <w:color w:val="auto"/>
          <w:sz w:val="24"/>
          <w:highlight w:val="none"/>
        </w:rPr>
        <w:t>名义自费处理纠纷，并承担所有法律和经济责任。</w:t>
      </w:r>
    </w:p>
    <w:p w14:paraId="33B60D94">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乙方应按招标文件规定的时间向甲方提供使用货物的有关技术资料。</w:t>
      </w:r>
    </w:p>
    <w:p w14:paraId="031608B5">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83D579F">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乙方保证所交付的货物的所有权完全属于乙方且无任何抵押、质押、</w:t>
      </w:r>
      <w:r>
        <w:rPr>
          <w:rFonts w:hint="eastAsia" w:ascii="仿宋" w:hAnsi="仿宋" w:eastAsia="仿宋"/>
          <w:color w:val="auto"/>
          <w:sz w:val="24"/>
          <w:highlight w:val="none"/>
          <w:lang w:val="en-US" w:eastAsia="zh-Hans"/>
        </w:rPr>
        <w:t>担保</w:t>
      </w:r>
      <w:r>
        <w:rPr>
          <w:rFonts w:hint="default" w:ascii="仿宋" w:hAnsi="仿宋" w:eastAsia="仿宋"/>
          <w:color w:val="auto"/>
          <w:sz w:val="24"/>
          <w:highlight w:val="none"/>
          <w:lang w:eastAsia="zh-Hans"/>
        </w:rPr>
        <w:t>、</w:t>
      </w:r>
      <w:r>
        <w:rPr>
          <w:rFonts w:hint="eastAsia" w:ascii="仿宋" w:hAnsi="仿宋" w:eastAsia="仿宋"/>
          <w:color w:val="auto"/>
          <w:sz w:val="24"/>
          <w:highlight w:val="none"/>
        </w:rPr>
        <w:t>查封等产权瑕疵。若因产权瑕疵导致设备被查封，乙方应于3个工作日内提供同等价值替代设备并承担甲方全部损失。</w:t>
      </w:r>
    </w:p>
    <w:p w14:paraId="6E73CD7D">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第四条　货物包装、发运及运输</w:t>
      </w:r>
    </w:p>
    <w:p w14:paraId="48116714">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1.乙方应在货物发运前对其进行满足运输距离、防潮、防震、防锈和防破损装卸等要求包装，以保证货物安全运达甲方指定地点。</w:t>
      </w:r>
    </w:p>
    <w:p w14:paraId="1880A77C">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2.使用说明书、质量检验证明书、随配附件和工具以及清单一并附于货物内，进口设备必须提供报关单。</w:t>
      </w:r>
    </w:p>
    <w:p w14:paraId="71017281">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3.乙方在货物发运手续办理完毕后及时派人到指定地点接货，货到前至少24小时通知甲方，以便共同查验货物。</w:t>
      </w:r>
    </w:p>
    <w:p w14:paraId="00BFD07A">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第五条　收货和验货</w:t>
      </w:r>
    </w:p>
    <w:p w14:paraId="267F24DE">
      <w:pPr>
        <w:keepNext w:val="0"/>
        <w:keepLines w:val="0"/>
        <w:pageBreakBefore w:val="0"/>
        <w:kinsoku/>
        <w:wordWrap/>
        <w:overflowPunct/>
        <w:topLinePunct w:val="0"/>
        <w:bidi w:val="0"/>
        <w:snapToGrid w:val="0"/>
        <w:spacing w:line="440" w:lineRule="exact"/>
        <w:ind w:firstLine="480"/>
        <w:rPr>
          <w:rFonts w:hint="eastAsia" w:ascii="仿宋" w:hAnsi="仿宋" w:eastAsia="仿宋"/>
          <w:color w:val="auto"/>
          <w:sz w:val="24"/>
          <w:highlight w:val="none"/>
          <w:u w:val="single"/>
          <w:lang w:eastAsia="zh-CN"/>
        </w:rPr>
      </w:pPr>
      <w:r>
        <w:rPr>
          <w:rFonts w:hint="eastAsia" w:ascii="仿宋" w:hAnsi="仿宋" w:eastAsia="仿宋"/>
          <w:color w:val="auto"/>
          <w:sz w:val="24"/>
          <w:highlight w:val="none"/>
        </w:rPr>
        <w:t>1.交货时间：</w:t>
      </w:r>
      <w:r>
        <w:rPr>
          <w:rFonts w:hint="eastAsia" w:ascii="仿宋" w:hAnsi="仿宋" w:eastAsia="仿宋"/>
          <w:color w:val="auto"/>
          <w:sz w:val="24"/>
          <w:highlight w:val="none"/>
          <w:u w:val="none"/>
        </w:rPr>
        <w:t>自签订合同之日起</w:t>
      </w:r>
      <w:r>
        <w:rPr>
          <w:rFonts w:hint="eastAsia" w:ascii="仿宋" w:hAnsi="仿宋" w:eastAsia="仿宋"/>
          <w:color w:val="auto"/>
          <w:sz w:val="24"/>
          <w:highlight w:val="none"/>
          <w:u w:val="none"/>
          <w:lang w:val="en-US" w:eastAsia="zh-CN"/>
        </w:rPr>
        <w:t>90</w:t>
      </w:r>
      <w:r>
        <w:rPr>
          <w:rFonts w:hint="eastAsia" w:ascii="仿宋" w:hAnsi="仿宋" w:eastAsia="仿宋"/>
          <w:color w:val="auto"/>
          <w:sz w:val="24"/>
          <w:highlight w:val="none"/>
          <w:u w:val="none"/>
        </w:rPr>
        <w:t>天内全部安装调试合格完毕</w:t>
      </w:r>
      <w:r>
        <w:rPr>
          <w:rFonts w:hint="eastAsia" w:ascii="仿宋" w:hAnsi="仿宋" w:eastAsia="仿宋"/>
          <w:color w:val="auto"/>
          <w:sz w:val="24"/>
          <w:highlight w:val="none"/>
          <w:u w:val="none"/>
          <w:lang w:eastAsia="zh-CN"/>
        </w:rPr>
        <w:t>。</w:t>
      </w:r>
    </w:p>
    <w:p w14:paraId="02226EE8">
      <w:pPr>
        <w:keepNext w:val="0"/>
        <w:keepLines w:val="0"/>
        <w:pageBreakBefore w:val="0"/>
        <w:kinsoku/>
        <w:wordWrap/>
        <w:overflowPunct/>
        <w:topLinePunct w:val="0"/>
        <w:bidi w:val="0"/>
        <w:snapToGrid w:val="0"/>
        <w:spacing w:line="440" w:lineRule="exact"/>
        <w:ind w:firstLine="720" w:firstLineChars="300"/>
        <w:rPr>
          <w:rFonts w:hint="eastAsia" w:ascii="仿宋" w:hAnsi="仿宋" w:eastAsia="仿宋"/>
          <w:color w:val="auto"/>
          <w:sz w:val="24"/>
          <w:highlight w:val="none"/>
        </w:rPr>
      </w:pPr>
      <w:r>
        <w:rPr>
          <w:rFonts w:hint="eastAsia" w:ascii="仿宋" w:hAnsi="仿宋" w:eastAsia="仿宋"/>
          <w:color w:val="auto"/>
          <w:sz w:val="24"/>
          <w:highlight w:val="none"/>
        </w:rPr>
        <w:t>地</w:t>
      </w:r>
      <w:r>
        <w:rPr>
          <w:rFonts w:ascii="仿宋" w:hAnsi="仿宋" w:eastAsia="仿宋"/>
          <w:color w:val="auto"/>
          <w:sz w:val="24"/>
          <w:highlight w:val="none"/>
        </w:rPr>
        <w:t xml:space="preserve">    </w:t>
      </w:r>
      <w:r>
        <w:rPr>
          <w:rFonts w:hint="eastAsia" w:ascii="仿宋" w:hAnsi="仿宋" w:eastAsia="仿宋"/>
          <w:color w:val="auto"/>
          <w:sz w:val="24"/>
          <w:highlight w:val="none"/>
        </w:rPr>
        <w:t>点：</w:t>
      </w:r>
      <w:r>
        <w:rPr>
          <w:rFonts w:hint="eastAsia" w:ascii="仿宋" w:hAnsi="仿宋" w:eastAsia="仿宋"/>
          <w:color w:val="auto"/>
          <w:sz w:val="24"/>
          <w:highlight w:val="none"/>
          <w:u w:val="single"/>
          <w:lang w:val="en-US" w:eastAsia="zh-CN"/>
        </w:rPr>
        <w:t>甲方</w:t>
      </w:r>
      <w:r>
        <w:rPr>
          <w:rFonts w:hint="eastAsia" w:ascii="仿宋" w:hAnsi="仿宋" w:eastAsia="仿宋"/>
          <w:color w:val="auto"/>
          <w:sz w:val="24"/>
          <w:highlight w:val="none"/>
          <w:u w:val="single"/>
        </w:rPr>
        <w:t>指定地点</w:t>
      </w:r>
    </w:p>
    <w:p w14:paraId="4D7414BC">
      <w:pPr>
        <w:keepNext w:val="0"/>
        <w:keepLines w:val="0"/>
        <w:pageBreakBefore w:val="0"/>
        <w:numPr>
          <w:ilvl w:val="0"/>
          <w:numId w:val="0"/>
        </w:numPr>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kern w:val="2"/>
          <w:sz w:val="24"/>
          <w:szCs w:val="24"/>
          <w:highlight w:val="none"/>
          <w:lang w:val="en-US" w:eastAsia="zh-CN" w:bidi="ar-SA"/>
        </w:rPr>
        <w:t>2.</w:t>
      </w:r>
      <w:r>
        <w:rPr>
          <w:rFonts w:hint="eastAsia" w:ascii="仿宋" w:hAnsi="仿宋" w:eastAsia="仿宋"/>
          <w:color w:val="auto"/>
          <w:sz w:val="24"/>
          <w:highlight w:val="none"/>
          <w:lang w:val="en-US" w:eastAsia="zh-Hans"/>
        </w:rPr>
        <w:t>乙方应提供全新产品</w:t>
      </w:r>
      <w:r>
        <w:rPr>
          <w:rFonts w:hint="default" w:ascii="仿宋" w:hAnsi="仿宋" w:eastAsia="仿宋"/>
          <w:color w:val="auto"/>
          <w:sz w:val="24"/>
          <w:highlight w:val="none"/>
          <w:lang w:eastAsia="zh-Hans"/>
        </w:rPr>
        <w:t>，</w:t>
      </w:r>
      <w:r>
        <w:rPr>
          <w:rFonts w:hint="eastAsia" w:ascii="仿宋" w:hAnsi="仿宋" w:eastAsia="仿宋"/>
          <w:color w:val="auto"/>
          <w:sz w:val="24"/>
          <w:highlight w:val="none"/>
          <w:lang w:val="en-US" w:eastAsia="zh-Hans"/>
        </w:rPr>
        <w:t>符合国家标准并提供产品合格证书</w:t>
      </w:r>
      <w:r>
        <w:rPr>
          <w:rFonts w:hint="default" w:ascii="仿宋" w:hAnsi="仿宋" w:eastAsia="仿宋"/>
          <w:color w:val="auto"/>
          <w:sz w:val="24"/>
          <w:highlight w:val="none"/>
          <w:lang w:eastAsia="zh-Hans"/>
        </w:rPr>
        <w:t>、</w:t>
      </w:r>
      <w:r>
        <w:rPr>
          <w:rFonts w:hint="eastAsia" w:ascii="仿宋" w:hAnsi="仿宋" w:eastAsia="仿宋"/>
          <w:color w:val="auto"/>
          <w:sz w:val="24"/>
          <w:highlight w:val="none"/>
          <w:lang w:val="en-US" w:eastAsia="zh-Hans"/>
        </w:rPr>
        <w:t>检测报告等相关凭证</w:t>
      </w:r>
      <w:r>
        <w:rPr>
          <w:rFonts w:hint="default" w:ascii="仿宋" w:hAnsi="仿宋" w:eastAsia="仿宋"/>
          <w:color w:val="auto"/>
          <w:sz w:val="24"/>
          <w:highlight w:val="none"/>
          <w:lang w:eastAsia="zh-Hans"/>
        </w:rPr>
        <w:t>，</w:t>
      </w:r>
      <w:r>
        <w:rPr>
          <w:rFonts w:hint="eastAsia" w:ascii="仿宋" w:hAnsi="仿宋" w:eastAsia="仿宋"/>
          <w:color w:val="auto"/>
          <w:sz w:val="24"/>
          <w:highlight w:val="none"/>
        </w:rPr>
        <w:t>乙方提供不符合招投标文件和本合同规定的货物，甲方有权拒绝接受。</w:t>
      </w:r>
    </w:p>
    <w:p w14:paraId="7D31E048">
      <w:pPr>
        <w:keepNext w:val="0"/>
        <w:keepLines w:val="0"/>
        <w:pageBreakBefore w:val="0"/>
        <w:numPr>
          <w:ilvl w:val="0"/>
          <w:numId w:val="0"/>
        </w:numPr>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kern w:val="2"/>
          <w:sz w:val="24"/>
          <w:szCs w:val="24"/>
          <w:highlight w:val="none"/>
          <w:lang w:val="en-US" w:eastAsia="zh-CN" w:bidi="ar-SA"/>
        </w:rPr>
        <w:t>3.</w:t>
      </w:r>
      <w:r>
        <w:rPr>
          <w:rFonts w:hint="eastAsia" w:ascii="仿宋" w:hAnsi="仿宋" w:eastAsia="仿宋"/>
          <w:color w:val="auto"/>
          <w:sz w:val="24"/>
          <w:highlight w:val="none"/>
        </w:rPr>
        <w:t>乙方应根据国家计量相关法律法规管理规定提供有效期内的计量检定报告，或根据甲方需求提供有效期内的计量检定报告。</w:t>
      </w:r>
    </w:p>
    <w:p w14:paraId="35086F5A">
      <w:pPr>
        <w:keepNext w:val="0"/>
        <w:keepLines w:val="0"/>
        <w:pageBreakBefore w:val="0"/>
        <w:numPr>
          <w:ilvl w:val="0"/>
          <w:numId w:val="0"/>
        </w:numPr>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kern w:val="2"/>
          <w:sz w:val="24"/>
          <w:szCs w:val="24"/>
          <w:highlight w:val="none"/>
          <w:lang w:val="en-US" w:eastAsia="zh-CN" w:bidi="ar-SA"/>
        </w:rPr>
        <w:t>4.货物属于特种设备时，乙方需提供特种设备使用登记证。</w:t>
      </w:r>
    </w:p>
    <w:p w14:paraId="764A5F6C">
      <w:pPr>
        <w:keepNext w:val="0"/>
        <w:keepLines w:val="0"/>
        <w:pageBreakBefore w:val="0"/>
        <w:numPr>
          <w:ilvl w:val="0"/>
          <w:numId w:val="0"/>
        </w:numPr>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kern w:val="2"/>
          <w:sz w:val="24"/>
          <w:szCs w:val="24"/>
          <w:highlight w:val="none"/>
          <w:lang w:val="en-US" w:eastAsia="zh-CN" w:bidi="ar-SA"/>
        </w:rPr>
        <w:t>5.货物属于放射类设备时，乙方需提供专业检测机构出具的机房辐射防护与性能报告，一二类放射设备还需提供环境部门出具批复及竣工验收报告。</w:t>
      </w:r>
    </w:p>
    <w:p w14:paraId="071417B1">
      <w:pPr>
        <w:keepNext w:val="0"/>
        <w:keepLines w:val="0"/>
        <w:pageBreakBefore w:val="0"/>
        <w:numPr>
          <w:ilvl w:val="0"/>
          <w:numId w:val="0"/>
        </w:numPr>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kern w:val="2"/>
          <w:sz w:val="24"/>
          <w:szCs w:val="24"/>
          <w:highlight w:val="none"/>
          <w:lang w:val="en-US" w:eastAsia="zh-CN" w:bidi="ar-SA"/>
        </w:rPr>
        <w:t>6.</w:t>
      </w:r>
      <w:r>
        <w:rPr>
          <w:rFonts w:hint="eastAsia" w:ascii="仿宋" w:hAnsi="仿宋" w:eastAsia="仿宋"/>
          <w:color w:val="auto"/>
          <w:sz w:val="24"/>
          <w:highlight w:val="none"/>
        </w:rPr>
        <w:t>乙方应在货到后及时通知</w:t>
      </w:r>
      <w:r>
        <w:rPr>
          <w:rFonts w:hint="eastAsia" w:ascii="仿宋" w:hAnsi="仿宋" w:eastAsia="仿宋"/>
          <w:color w:val="auto"/>
          <w:sz w:val="24"/>
          <w:highlight w:val="none"/>
          <w:lang w:val="en-US" w:eastAsia="zh-CN"/>
        </w:rPr>
        <w:t>甲方的设备科</w:t>
      </w:r>
      <w:r>
        <w:rPr>
          <w:rFonts w:hint="eastAsia" w:ascii="仿宋" w:hAnsi="仿宋" w:eastAsia="仿宋"/>
          <w:color w:val="auto"/>
          <w:sz w:val="24"/>
          <w:highlight w:val="none"/>
        </w:rPr>
        <w:t>组织</w:t>
      </w:r>
      <w:r>
        <w:rPr>
          <w:rFonts w:hint="eastAsia" w:ascii="仿宋" w:hAnsi="仿宋" w:eastAsia="仿宋"/>
          <w:color w:val="auto"/>
          <w:sz w:val="24"/>
          <w:highlight w:val="none"/>
          <w:lang w:val="en-US" w:eastAsia="zh-CN"/>
        </w:rPr>
        <w:t>开箱查验</w:t>
      </w:r>
      <w:r>
        <w:rPr>
          <w:rFonts w:hint="eastAsia" w:ascii="仿宋" w:hAnsi="仿宋" w:eastAsia="仿宋"/>
          <w:color w:val="auto"/>
          <w:sz w:val="24"/>
          <w:highlight w:val="none"/>
        </w:rPr>
        <w:t>，并将所提供货物的装箱清单、用户手册、原厂保修卡、随机资料、工具和备品、备件等交付给甲方，如有缺失应及时补齐，否则视为逾期交货。</w:t>
      </w:r>
    </w:p>
    <w:p w14:paraId="03C55B08">
      <w:pPr>
        <w:keepNext w:val="0"/>
        <w:keepLines w:val="0"/>
        <w:pageBreakBefore w:val="0"/>
        <w:numPr>
          <w:ilvl w:val="0"/>
          <w:numId w:val="0"/>
        </w:numPr>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kern w:val="2"/>
          <w:sz w:val="24"/>
          <w:szCs w:val="24"/>
          <w:highlight w:val="none"/>
          <w:lang w:val="en-US" w:eastAsia="zh-CN" w:bidi="ar-SA"/>
        </w:rPr>
        <w:t>7.甲方</w:t>
      </w:r>
      <w:r>
        <w:rPr>
          <w:rFonts w:hint="eastAsia" w:ascii="仿宋" w:hAnsi="仿宋" w:eastAsia="仿宋"/>
          <w:color w:val="auto"/>
          <w:sz w:val="24"/>
          <w:highlight w:val="none"/>
        </w:rPr>
        <w:t>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6C8DE6D">
      <w:pPr>
        <w:keepNext w:val="0"/>
        <w:keepLines w:val="0"/>
        <w:pageBreakBefore w:val="0"/>
        <w:numPr>
          <w:ilvl w:val="0"/>
          <w:numId w:val="0"/>
        </w:numPr>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kern w:val="2"/>
          <w:sz w:val="24"/>
          <w:szCs w:val="24"/>
          <w:highlight w:val="none"/>
          <w:lang w:val="en-US" w:eastAsia="zh-CN" w:bidi="ar-SA"/>
        </w:rPr>
        <w:t>8.</w:t>
      </w:r>
      <w:r>
        <w:rPr>
          <w:rFonts w:hint="eastAsia" w:ascii="仿宋" w:hAnsi="仿宋" w:eastAsia="仿宋"/>
          <w:color w:val="auto"/>
          <w:sz w:val="24"/>
          <w:highlight w:val="none"/>
        </w:rPr>
        <w:t>甲方对验收有异议的，在验收后七个工作日内以书面形式向乙方提出，乙方应自收到甲方书面异议后七个工作日内及时予以解决。</w:t>
      </w:r>
    </w:p>
    <w:p w14:paraId="42C06D25">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第六条　安装和培训</w:t>
      </w:r>
    </w:p>
    <w:p w14:paraId="0733DDE1">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1.甲方</w:t>
      </w:r>
      <w:r>
        <w:rPr>
          <w:rFonts w:hint="eastAsia" w:ascii="仿宋" w:hAnsi="仿宋" w:eastAsia="仿宋"/>
          <w:color w:val="auto"/>
          <w:sz w:val="24"/>
          <w:highlight w:val="none"/>
          <w:lang w:eastAsia="zh-CN"/>
        </w:rPr>
        <w:t>负责</w:t>
      </w:r>
      <w:r>
        <w:rPr>
          <w:rFonts w:hint="eastAsia" w:ascii="仿宋" w:hAnsi="仿宋" w:eastAsia="仿宋"/>
          <w:color w:val="auto"/>
          <w:sz w:val="24"/>
          <w:highlight w:val="none"/>
        </w:rPr>
        <w:t>提供必要</w:t>
      </w:r>
      <w:r>
        <w:rPr>
          <w:rFonts w:hint="eastAsia" w:ascii="仿宋" w:hAnsi="仿宋" w:eastAsia="仿宋"/>
          <w:color w:val="auto"/>
          <w:sz w:val="24"/>
          <w:highlight w:val="none"/>
          <w:lang w:val="en-US" w:eastAsia="zh-CN"/>
        </w:rPr>
        <w:t>的</w:t>
      </w:r>
      <w:r>
        <w:rPr>
          <w:rFonts w:hint="eastAsia" w:ascii="仿宋" w:hAnsi="仿宋" w:eastAsia="仿宋"/>
          <w:color w:val="auto"/>
          <w:sz w:val="24"/>
          <w:highlight w:val="none"/>
          <w:lang w:eastAsia="zh-CN"/>
        </w:rPr>
        <w:t>设备安装场地以及水电气的端口；乙方负责具体满足设备安装条件的施工，直到设备正常使用</w:t>
      </w:r>
      <w:r>
        <w:rPr>
          <w:rFonts w:hint="eastAsia" w:ascii="仿宋" w:hAnsi="仿宋" w:eastAsia="仿宋"/>
          <w:color w:val="auto"/>
          <w:sz w:val="24"/>
          <w:highlight w:val="none"/>
        </w:rPr>
        <w:t>。</w:t>
      </w:r>
    </w:p>
    <w:p w14:paraId="7922BA01">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2.乙方负责甲方有关人员的培训</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培训时间、地点由</w:t>
      </w:r>
      <w:r>
        <w:rPr>
          <w:rFonts w:hint="eastAsia" w:ascii="仿宋" w:hAnsi="仿宋" w:eastAsia="仿宋"/>
          <w:color w:val="auto"/>
          <w:sz w:val="24"/>
          <w:highlight w:val="none"/>
          <w:lang w:val="en-US" w:eastAsia="zh-CN"/>
        </w:rPr>
        <w:t>甲方</w:t>
      </w:r>
      <w:r>
        <w:rPr>
          <w:rFonts w:hint="eastAsia" w:ascii="仿宋" w:hAnsi="仿宋" w:eastAsia="仿宋"/>
          <w:color w:val="auto"/>
          <w:sz w:val="24"/>
          <w:highlight w:val="none"/>
        </w:rPr>
        <w:t>指定。</w:t>
      </w:r>
    </w:p>
    <w:p w14:paraId="290922E4">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第七条　调试、验收和交付</w:t>
      </w:r>
    </w:p>
    <w:p w14:paraId="04765B52">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1.甲方对乙方提交的货物依据招标文件上的技术规格要求和国家有关质量标准进行现场</w:t>
      </w:r>
      <w:r>
        <w:rPr>
          <w:rFonts w:hint="eastAsia" w:ascii="仿宋" w:hAnsi="仿宋" w:eastAsia="仿宋"/>
          <w:color w:val="auto"/>
          <w:sz w:val="24"/>
          <w:highlight w:val="none"/>
          <w:lang w:val="en-US" w:eastAsia="zh-CN"/>
        </w:rPr>
        <w:t>开箱查验</w:t>
      </w:r>
      <w:r>
        <w:rPr>
          <w:rFonts w:hint="eastAsia" w:ascii="仿宋" w:hAnsi="仿宋" w:eastAsia="仿宋"/>
          <w:color w:val="auto"/>
          <w:sz w:val="24"/>
          <w:highlight w:val="none"/>
        </w:rPr>
        <w:t>，外观、说明书符合招标文件技术要求的，给予签收，</w:t>
      </w:r>
      <w:r>
        <w:rPr>
          <w:rFonts w:hint="eastAsia" w:ascii="仿宋" w:hAnsi="仿宋" w:eastAsia="仿宋"/>
          <w:color w:val="auto"/>
          <w:sz w:val="24"/>
          <w:highlight w:val="none"/>
          <w:lang w:val="en-US" w:eastAsia="zh-CN"/>
        </w:rPr>
        <w:t>开箱查验</w:t>
      </w:r>
      <w:r>
        <w:rPr>
          <w:rFonts w:hint="eastAsia" w:ascii="仿宋" w:hAnsi="仿宋" w:eastAsia="仿宋"/>
          <w:color w:val="auto"/>
          <w:sz w:val="24"/>
          <w:highlight w:val="none"/>
        </w:rPr>
        <w:t>不合格的不予签收。</w:t>
      </w:r>
      <w:r>
        <w:rPr>
          <w:rFonts w:hint="eastAsia" w:ascii="仿宋" w:hAnsi="仿宋" w:eastAsia="仿宋"/>
          <w:color w:val="auto"/>
          <w:sz w:val="24"/>
          <w:highlight w:val="none"/>
          <w:lang w:val="en-US" w:eastAsia="zh-CN"/>
        </w:rPr>
        <w:t>乙方提供的货物生产日期必须在一年以内。</w:t>
      </w:r>
    </w:p>
    <w:p w14:paraId="00BB4A68">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2.乙方交货前应对产品作出全面检查和对验收文件进行整理，并列出清单，作为甲方收货验收和使用的技术条件依据，检验的结果应随货物交甲方。</w:t>
      </w:r>
    </w:p>
    <w:p w14:paraId="401EF8E1">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3.甲方对乙方提供的货物在使用前进行调试时，乙方需负责安装并培训甲方的使用操作人员，并协助甲方一起调试，直到符合技术要求，甲方才做最终验收。</w:t>
      </w:r>
    </w:p>
    <w:p w14:paraId="295A2C60">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4.对技术复杂的货物，甲方应请国家认可的专业检测机构参与</w:t>
      </w:r>
      <w:r>
        <w:rPr>
          <w:rFonts w:hint="eastAsia" w:ascii="仿宋" w:hAnsi="仿宋" w:eastAsia="仿宋"/>
          <w:color w:val="auto"/>
          <w:sz w:val="24"/>
          <w:highlight w:val="none"/>
          <w:lang w:val="en-US" w:eastAsia="zh-CN"/>
        </w:rPr>
        <w:t>开箱查验</w:t>
      </w:r>
      <w:r>
        <w:rPr>
          <w:rFonts w:hint="eastAsia" w:ascii="仿宋" w:hAnsi="仿宋" w:eastAsia="仿宋"/>
          <w:color w:val="auto"/>
          <w:sz w:val="24"/>
          <w:highlight w:val="none"/>
        </w:rPr>
        <w:t>及最终验收，并由其出具质量检测报告，费用由乙方承担。</w:t>
      </w:r>
    </w:p>
    <w:p w14:paraId="6DCF4CC2">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5.验收时乙方必须在现场，验收完毕后作出验收结果报告；验收费用由乙方负责。</w:t>
      </w:r>
    </w:p>
    <w:p w14:paraId="5F478403">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6</w:t>
      </w:r>
      <w:r>
        <w:rPr>
          <w:rFonts w:hint="eastAsia" w:ascii="仿宋" w:hAnsi="仿宋" w:eastAsia="仿宋"/>
          <w:color w:val="auto"/>
          <w:sz w:val="24"/>
          <w:highlight w:val="none"/>
          <w:lang w:val="en-US" w:eastAsia="zh-CN"/>
        </w:rPr>
        <w:t>.</w:t>
      </w:r>
      <w:r>
        <w:rPr>
          <w:rFonts w:hint="eastAsia" w:ascii="仿宋" w:hAnsi="仿宋" w:eastAsia="仿宋"/>
          <w:color w:val="auto"/>
          <w:sz w:val="24"/>
          <w:highlight w:val="none"/>
        </w:rPr>
        <w:t>货物交付时间为双方</w:t>
      </w:r>
      <w:r>
        <w:rPr>
          <w:rFonts w:hint="eastAsia" w:ascii="仿宋" w:hAnsi="仿宋" w:eastAsia="仿宋"/>
          <w:color w:val="auto"/>
          <w:sz w:val="24"/>
          <w:highlight w:val="none"/>
          <w:lang w:val="en-US" w:eastAsia="zh-CN"/>
        </w:rPr>
        <w:t>最终</w:t>
      </w:r>
      <w:r>
        <w:rPr>
          <w:rFonts w:hint="eastAsia" w:ascii="仿宋" w:hAnsi="仿宋" w:eastAsia="仿宋"/>
          <w:color w:val="auto"/>
          <w:sz w:val="24"/>
          <w:highlight w:val="none"/>
        </w:rPr>
        <w:t>验收合格后，之前货物的风险由乙方承担。</w:t>
      </w:r>
    </w:p>
    <w:p w14:paraId="28477FF3">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7.甲方的</w:t>
      </w:r>
      <w:r>
        <w:rPr>
          <w:rFonts w:hint="eastAsia" w:ascii="仿宋" w:hAnsi="仿宋" w:eastAsia="仿宋" w:cs="仿宋"/>
          <w:bCs/>
          <w:color w:val="auto"/>
          <w:sz w:val="24"/>
          <w:highlight w:val="none"/>
        </w:rPr>
        <w:t>设备科只负责设备到货验收，不负责接收货物。设备的外包装(木箱、纸皮等）由</w:t>
      </w:r>
      <w:r>
        <w:rPr>
          <w:rFonts w:hint="eastAsia" w:ascii="仿宋" w:hAnsi="仿宋" w:eastAsia="仿宋" w:cs="仿宋"/>
          <w:bCs/>
          <w:color w:val="auto"/>
          <w:sz w:val="24"/>
          <w:highlight w:val="none"/>
          <w:lang w:val="en-US" w:eastAsia="zh-CN"/>
        </w:rPr>
        <w:t>乙方</w:t>
      </w:r>
      <w:r>
        <w:rPr>
          <w:rFonts w:hint="eastAsia" w:ascii="仿宋" w:hAnsi="仿宋" w:eastAsia="仿宋" w:cs="仿宋"/>
          <w:bCs/>
          <w:color w:val="auto"/>
          <w:sz w:val="24"/>
          <w:highlight w:val="none"/>
        </w:rPr>
        <w:t>或工程师负责拆除并自行作院外处理，不得堆放在</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院内，但可委托</w:t>
      </w:r>
      <w:r>
        <w:rPr>
          <w:rFonts w:hint="eastAsia" w:ascii="仿宋" w:hAnsi="仿宋" w:eastAsia="仿宋" w:cs="仿宋"/>
          <w:bCs/>
          <w:color w:val="auto"/>
          <w:sz w:val="24"/>
          <w:highlight w:val="none"/>
          <w:lang w:val="en-US" w:eastAsia="zh-CN"/>
        </w:rPr>
        <w:t>甲方的</w:t>
      </w:r>
      <w:r>
        <w:rPr>
          <w:rFonts w:hint="eastAsia" w:ascii="仿宋" w:hAnsi="仿宋" w:eastAsia="仿宋" w:cs="仿宋"/>
          <w:bCs/>
          <w:color w:val="auto"/>
          <w:sz w:val="24"/>
          <w:highlight w:val="none"/>
        </w:rPr>
        <w:t>后勤部协助处理（需付费）。一经发现设备的外包装在</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院内，</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有权不予验收该设备并从设备货款中扣除200-1000元作为垃圾处理费。</w:t>
      </w:r>
    </w:p>
    <w:p w14:paraId="4FB8F606">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8.</w:t>
      </w:r>
      <w:r>
        <w:rPr>
          <w:rFonts w:hint="eastAsia" w:ascii="仿宋" w:hAnsi="仿宋" w:eastAsia="仿宋" w:cs="仿宋"/>
          <w:bCs/>
          <w:color w:val="auto"/>
          <w:sz w:val="24"/>
          <w:highlight w:val="none"/>
        </w:rPr>
        <w:t>在进口设备到货验收时</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乙方</w:t>
      </w:r>
      <w:r>
        <w:rPr>
          <w:rFonts w:hint="eastAsia" w:ascii="仿宋" w:hAnsi="仿宋" w:eastAsia="仿宋" w:cs="仿宋"/>
          <w:bCs/>
          <w:color w:val="auto"/>
          <w:sz w:val="24"/>
          <w:highlight w:val="none"/>
        </w:rPr>
        <w:t>应提供报关单，如无报关单</w:t>
      </w:r>
      <w:r>
        <w:rPr>
          <w:rFonts w:hint="eastAsia" w:ascii="仿宋" w:hAnsi="仿宋" w:eastAsia="仿宋" w:cs="仿宋"/>
          <w:bCs/>
          <w:color w:val="auto"/>
          <w:sz w:val="24"/>
          <w:highlight w:val="none"/>
          <w:lang w:val="en-US" w:eastAsia="zh-CN"/>
        </w:rPr>
        <w:t>则</w:t>
      </w:r>
      <w:r>
        <w:rPr>
          <w:rFonts w:hint="eastAsia" w:ascii="仿宋" w:hAnsi="仿宋" w:eastAsia="仿宋" w:cs="仿宋"/>
          <w:bCs/>
          <w:color w:val="auto"/>
          <w:sz w:val="24"/>
          <w:highlight w:val="none"/>
        </w:rPr>
        <w:t>该设备将不予验收及付款，并按违约处理。</w:t>
      </w:r>
    </w:p>
    <w:p w14:paraId="000B678D">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递交发票时请附</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发票及合同复印件、验收单</w:t>
      </w:r>
      <w:r>
        <w:rPr>
          <w:rFonts w:hint="eastAsia" w:ascii="仿宋" w:hAnsi="仿宋" w:eastAsia="仿宋" w:cs="仿宋"/>
          <w:bCs/>
          <w:color w:val="auto"/>
          <w:sz w:val="24"/>
          <w:highlight w:val="none"/>
          <w:lang w:val="en-US" w:eastAsia="zh-CN"/>
        </w:rPr>
        <w:t>及</w:t>
      </w:r>
      <w:r>
        <w:rPr>
          <w:rFonts w:hint="eastAsia" w:ascii="仿宋" w:hAnsi="仿宋" w:eastAsia="仿宋" w:cs="仿宋"/>
          <w:bCs/>
          <w:color w:val="auto"/>
          <w:sz w:val="24"/>
          <w:highlight w:val="none"/>
        </w:rPr>
        <w:t>培训单原件、进口设备报关单各一份。合同有分期付款的，</w:t>
      </w:r>
      <w:r>
        <w:rPr>
          <w:rFonts w:hint="eastAsia" w:ascii="仿宋" w:hAnsi="仿宋" w:eastAsia="仿宋" w:cs="仿宋"/>
          <w:bCs/>
          <w:color w:val="auto"/>
          <w:sz w:val="24"/>
          <w:highlight w:val="none"/>
          <w:lang w:val="en-US" w:eastAsia="zh-CN"/>
        </w:rPr>
        <w:t>乙方</w:t>
      </w:r>
      <w:r>
        <w:rPr>
          <w:rFonts w:hint="eastAsia" w:ascii="仿宋" w:hAnsi="仿宋" w:eastAsia="仿宋" w:cs="仿宋"/>
          <w:bCs/>
          <w:color w:val="auto"/>
          <w:sz w:val="24"/>
          <w:highlight w:val="none"/>
        </w:rPr>
        <w:t>在每次递交催款通知单时附上合同复印件一份，并注明本次付款为第几笔款，以便核对。</w:t>
      </w:r>
    </w:p>
    <w:p w14:paraId="1714D12C">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第八条　价格、付款方式和保证金</w:t>
      </w:r>
    </w:p>
    <w:p w14:paraId="411F9C9C">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b w:val="0"/>
          <w:bCs/>
          <w:color w:val="auto"/>
          <w:sz w:val="24"/>
          <w:highlight w:val="none"/>
        </w:rPr>
      </w:pPr>
      <w:r>
        <w:rPr>
          <w:rFonts w:hint="eastAsia" w:ascii="仿宋" w:hAnsi="仿宋" w:eastAsia="仿宋"/>
          <w:b w:val="0"/>
          <w:bCs/>
          <w:color w:val="auto"/>
          <w:sz w:val="24"/>
          <w:highlight w:val="none"/>
        </w:rPr>
        <w:t>1.乙方承诺给甲方的供货价格不高于广西区内同级医院价格，高出部</w:t>
      </w:r>
      <w:r>
        <w:rPr>
          <w:rFonts w:hint="eastAsia" w:ascii="仿宋" w:hAnsi="仿宋" w:eastAsia="仿宋"/>
          <w:b w:val="0"/>
          <w:bCs/>
          <w:color w:val="auto"/>
          <w:sz w:val="24"/>
          <w:highlight w:val="none"/>
          <w:lang w:val="en-US" w:eastAsia="zh-CN"/>
        </w:rPr>
        <w:t>分</w:t>
      </w:r>
      <w:r>
        <w:rPr>
          <w:rFonts w:hint="eastAsia" w:ascii="仿宋" w:hAnsi="仿宋" w:eastAsia="仿宋"/>
          <w:b w:val="0"/>
          <w:bCs/>
          <w:color w:val="auto"/>
          <w:sz w:val="24"/>
          <w:highlight w:val="none"/>
        </w:rPr>
        <w:t>甲方有权拒付。</w:t>
      </w:r>
    </w:p>
    <w:p w14:paraId="0BDE93ED">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b w:val="0"/>
          <w:bCs/>
          <w:color w:val="auto"/>
          <w:sz w:val="24"/>
          <w:highlight w:val="none"/>
        </w:rPr>
      </w:pPr>
      <w:r>
        <w:rPr>
          <w:rFonts w:hint="eastAsia" w:ascii="仿宋" w:hAnsi="仿宋" w:eastAsia="仿宋"/>
          <w:b w:val="0"/>
          <w:bCs/>
          <w:color w:val="auto"/>
          <w:sz w:val="24"/>
          <w:highlight w:val="none"/>
        </w:rPr>
        <w:t>2.当实际使用数量发生变化时，乙方应根据实际使用量供货，合同的最终结算金额按实际使用量乘以成交单价进行计算(使用量变更导致合同变动部分的金额不得超过本采购合同金额的10%，且另需签订补充合同)。</w:t>
      </w:r>
    </w:p>
    <w:p w14:paraId="15A78860">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b w:val="0"/>
          <w:bCs/>
          <w:color w:val="auto"/>
          <w:sz w:val="24"/>
          <w:highlight w:val="none"/>
        </w:rPr>
      </w:pPr>
      <w:r>
        <w:rPr>
          <w:rFonts w:hint="eastAsia" w:ascii="仿宋" w:hAnsi="仿宋" w:eastAsia="仿宋"/>
          <w:b w:val="0"/>
          <w:bCs/>
          <w:color w:val="auto"/>
          <w:sz w:val="24"/>
          <w:highlight w:val="none"/>
        </w:rPr>
        <w:t>3.资金性质:自有资金</w:t>
      </w:r>
    </w:p>
    <w:p w14:paraId="42225284">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b w:val="0"/>
          <w:bCs/>
          <w:color w:val="auto"/>
          <w:sz w:val="24"/>
          <w:highlight w:val="none"/>
        </w:rPr>
      </w:pPr>
      <w:r>
        <w:rPr>
          <w:rFonts w:hint="eastAsia" w:ascii="仿宋" w:hAnsi="仿宋" w:eastAsia="仿宋"/>
          <w:b w:val="0"/>
          <w:bCs/>
          <w:color w:val="auto"/>
          <w:sz w:val="24"/>
          <w:highlight w:val="none"/>
        </w:rPr>
        <w:t>4.付款方式:</w:t>
      </w:r>
      <w:r>
        <w:rPr>
          <w:rFonts w:hint="eastAsia" w:ascii="宋体" w:hAnsi="宋体" w:cs="宋体"/>
          <w:color w:val="auto"/>
          <w:kern w:val="0"/>
          <w:sz w:val="21"/>
          <w:szCs w:val="21"/>
          <w:highlight w:val="none"/>
          <w:lang w:val="en-US" w:eastAsia="zh-CN"/>
        </w:rPr>
        <w:t>合同总价在100-500万元以内的设备，经相关部门验收合格，收到正式发票，投入正常使用满6个月后支付30%货款，正常使用满一年后支付67%货款，合同金额 的3%作为质保金，质保期满后一个月内一次性付清余款。</w:t>
      </w:r>
    </w:p>
    <w:p w14:paraId="2F75F068">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第九条　税费</w:t>
      </w:r>
    </w:p>
    <w:p w14:paraId="65FEB348">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本合同执行中相关的一切税费均由乙方负担。</w:t>
      </w:r>
    </w:p>
    <w:p w14:paraId="1EA38AA1">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第十条　售后服务、质保期</w:t>
      </w:r>
    </w:p>
    <w:p w14:paraId="39A89E2F">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1.乙方应按照国家有关法律法规和“三包”规定以及招投标文件和本合同所附的《服务承诺》，为甲方提供售后服务。</w:t>
      </w:r>
    </w:p>
    <w:p w14:paraId="59E9A357">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2.货物质保期：按乙方投标文件中承诺的不少于招标要求的免费保修期限。</w:t>
      </w:r>
    </w:p>
    <w:p w14:paraId="65A0A741">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3.乙方提供的服务承诺和售后服务及保修期责任等其它具体约定事项。（见合同附件</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w:t>
      </w:r>
    </w:p>
    <w:p w14:paraId="1724BAF8">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olor w:val="auto"/>
          <w:sz w:val="24"/>
          <w:highlight w:val="none"/>
        </w:rPr>
        <w:t>4.上述的货物</w:t>
      </w:r>
      <w:r>
        <w:rPr>
          <w:rFonts w:hint="eastAsia" w:ascii="仿宋" w:hAnsi="仿宋" w:eastAsia="仿宋"/>
          <w:color w:val="auto"/>
          <w:sz w:val="24"/>
          <w:highlight w:val="none"/>
          <w:lang w:val="en-US" w:eastAsia="zh-CN"/>
        </w:rPr>
        <w:t>从验收合格之日起整机</w:t>
      </w:r>
      <w:r>
        <w:rPr>
          <w:rFonts w:hint="eastAsia" w:ascii="仿宋" w:hAnsi="仿宋" w:eastAsia="仿宋"/>
          <w:color w:val="auto"/>
          <w:sz w:val="24"/>
          <w:highlight w:val="none"/>
        </w:rPr>
        <w:t>免费保修期</w:t>
      </w:r>
      <w:r>
        <w:rPr>
          <w:rFonts w:hint="eastAsia" w:ascii="仿宋" w:hAnsi="仿宋" w:eastAsia="仿宋"/>
          <w:color w:val="auto"/>
          <w:sz w:val="24"/>
          <w:highlight w:val="none"/>
          <w:u w:val="single"/>
          <w:lang w:val="en-US" w:eastAsia="zh-CN"/>
        </w:rPr>
        <w:t xml:space="preserve">   3 </w:t>
      </w:r>
      <w:r>
        <w:rPr>
          <w:rFonts w:hint="eastAsia" w:ascii="仿宋" w:hAnsi="仿宋" w:eastAsia="仿宋"/>
          <w:color w:val="auto"/>
          <w:sz w:val="24"/>
          <w:highlight w:val="none"/>
        </w:rPr>
        <w:t>年</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或主机（包含</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lang w:val="en-US" w:eastAsia="zh-CN"/>
        </w:rPr>
        <w:t>）</w:t>
      </w:r>
      <w:r>
        <w:rPr>
          <w:rFonts w:hint="eastAsia" w:ascii="仿宋" w:hAnsi="仿宋" w:eastAsia="仿宋"/>
          <w:color w:val="auto"/>
          <w:sz w:val="24"/>
          <w:highlight w:val="none"/>
        </w:rPr>
        <w:t>免费保修期</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rPr>
        <w:t>年</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其余附件</w:t>
      </w:r>
      <w:r>
        <w:rPr>
          <w:rFonts w:hint="eastAsia" w:ascii="仿宋" w:hAnsi="仿宋" w:eastAsia="仿宋"/>
          <w:color w:val="auto"/>
          <w:sz w:val="24"/>
          <w:highlight w:val="none"/>
        </w:rPr>
        <w:t>免费保修期</w:t>
      </w:r>
      <w:r>
        <w:rPr>
          <w:rFonts w:hint="eastAsia" w:ascii="仿宋" w:hAnsi="仿宋" w:eastAsia="仿宋"/>
          <w:b/>
          <w:bCs/>
          <w:color w:val="auto"/>
          <w:sz w:val="24"/>
          <w:highlight w:val="none"/>
          <w:u w:val="single"/>
          <w:lang w:val="en-US" w:eastAsia="zh-CN"/>
        </w:rPr>
        <w:t xml:space="preserve">   /</w:t>
      </w:r>
      <w:r>
        <w:rPr>
          <w:rFonts w:hint="eastAsia" w:ascii="仿宋" w:hAnsi="仿宋" w:eastAsia="仿宋"/>
          <w:b/>
          <w:bCs/>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。超过保修期的机器设备，终生维修，维修时只收部件成本</w:t>
      </w:r>
      <w:r>
        <w:rPr>
          <w:rFonts w:hint="eastAsia" w:ascii="仿宋" w:hAnsi="仿宋" w:eastAsia="仿宋" w:cs="Times New Roman"/>
          <w:color w:val="auto"/>
          <w:sz w:val="24"/>
          <w:highlight w:val="none"/>
        </w:rPr>
        <w:t>费，成本费不能超过市场价格。</w:t>
      </w:r>
    </w:p>
    <w:p w14:paraId="43A9E811">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5.</w:t>
      </w:r>
      <w:r>
        <w:rPr>
          <w:rFonts w:hint="eastAsia" w:ascii="仿宋" w:hAnsi="仿宋" w:eastAsia="仿宋" w:cs="Times New Roman"/>
          <w:color w:val="auto"/>
          <w:sz w:val="24"/>
          <w:highlight w:val="none"/>
        </w:rPr>
        <w:t>易损零配件和专机专用试剂耗材价格表：本项目合同中，应附易损零配件和专机专用试剂耗材价格表。</w:t>
      </w:r>
    </w:p>
    <w:p w14:paraId="4DCBC72C">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6.</w:t>
      </w:r>
      <w:r>
        <w:rPr>
          <w:rFonts w:hint="eastAsia" w:ascii="仿宋" w:hAnsi="仿宋" w:eastAsia="仿宋" w:cs="Times New Roman"/>
          <w:color w:val="auto"/>
          <w:sz w:val="24"/>
          <w:highlight w:val="none"/>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297B4B55">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7.</w:t>
      </w:r>
      <w:r>
        <w:rPr>
          <w:rFonts w:hint="eastAsia" w:ascii="仿宋" w:hAnsi="仿宋" w:eastAsia="仿宋" w:cs="Times New Roman"/>
          <w:color w:val="auto"/>
          <w:sz w:val="24"/>
          <w:highlight w:val="none"/>
        </w:rPr>
        <w:t>乙方无偿保证甲方获得合同约定范围内所有软件功能，终生单机软件使用权。不得限制硬件配件采购，并在甲方自主更换配件后，无偿帮助甲方恢复原有的软件及系统，使甲方能够正常使用该器械/设备、项目。</w:t>
      </w:r>
    </w:p>
    <w:p w14:paraId="7ACD45ED">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8.</w:t>
      </w:r>
      <w:r>
        <w:rPr>
          <w:rFonts w:hint="eastAsia" w:ascii="仿宋" w:hAnsi="仿宋" w:eastAsia="仿宋" w:cs="Times New Roman"/>
          <w:color w:val="auto"/>
          <w:sz w:val="24"/>
          <w:highlight w:val="none"/>
        </w:rPr>
        <w:t>乙方承诺保修期内，按国家相关规定，执行保养及预防性维护，并提供报告。</w:t>
      </w:r>
    </w:p>
    <w:p w14:paraId="186FD39D">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9.</w:t>
      </w:r>
      <w:r>
        <w:rPr>
          <w:rFonts w:hint="eastAsia" w:ascii="仿宋" w:hAnsi="仿宋" w:eastAsia="仿宋" w:cs="Times New Roman"/>
          <w:color w:val="auto"/>
          <w:sz w:val="24"/>
          <w:highlight w:val="none"/>
        </w:rPr>
        <w:t>在设备规定的使用期限内，乙方必须保证配件供应。</w:t>
      </w:r>
    </w:p>
    <w:p w14:paraId="1300F60B">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10.</w:t>
      </w:r>
      <w:r>
        <w:rPr>
          <w:rFonts w:hint="eastAsia" w:ascii="仿宋" w:hAnsi="仿宋" w:eastAsia="仿宋" w:cs="Times New Roman"/>
          <w:color w:val="auto"/>
          <w:sz w:val="24"/>
          <w:highlight w:val="none"/>
        </w:rPr>
        <w:t>其他售后服务条款，详见售后服务承诺书。</w:t>
      </w:r>
    </w:p>
    <w:p w14:paraId="2E6200B4">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11.</w:t>
      </w:r>
      <w:r>
        <w:rPr>
          <w:rFonts w:hint="eastAsia" w:ascii="仿宋" w:hAnsi="仿宋" w:eastAsia="仿宋" w:cs="Times New Roman"/>
          <w:color w:val="auto"/>
          <w:sz w:val="24"/>
          <w:highlight w:val="none"/>
        </w:rPr>
        <w:t>售后服务承诺书原则上须有生产厂家或省级（含省级）以上代理商的盖章。</w:t>
      </w:r>
    </w:p>
    <w:p w14:paraId="31B3021F">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第十一条　违约责任</w:t>
      </w:r>
    </w:p>
    <w:p w14:paraId="2FD154C8">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1.乙方所提供的货物规格、技术标准、材料等质量不合格的，应及时更换，更换不及时的按逾期交货承担违约责任</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因质量问题甲方不同意接收的或特殊情况甲方同意接收的，乙方应向甲方支付违约货款额5%违约金并赔偿甲方经济损失，包括但不限于维权费用。</w:t>
      </w:r>
    </w:p>
    <w:p w14:paraId="3096EE6D">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2.乙方提供的货物如侵犯了第三方合法权益而引发的任何</w:t>
      </w:r>
      <w:r>
        <w:rPr>
          <w:rFonts w:hint="eastAsia" w:ascii="仿宋" w:hAnsi="仿宋" w:eastAsia="仿宋" w:cs="Times New Roman"/>
          <w:color w:val="auto"/>
          <w:sz w:val="24"/>
          <w:highlight w:val="none"/>
          <w:lang w:val="en-US" w:eastAsia="zh-CN"/>
        </w:rPr>
        <w:t>纠</w:t>
      </w:r>
      <w:r>
        <w:rPr>
          <w:rFonts w:hint="eastAsia" w:ascii="仿宋" w:hAnsi="仿宋" w:eastAsia="仿宋" w:cs="Times New Roman"/>
          <w:color w:val="auto"/>
          <w:sz w:val="24"/>
          <w:highlight w:val="none"/>
        </w:rPr>
        <w:t>纷或诉讼，均由乙方负责交涉并承担全部责任。</w:t>
      </w:r>
    </w:p>
    <w:p w14:paraId="0300F018">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3.因包装、运输引起的货物损坏，按质量不合格处理。</w:t>
      </w:r>
    </w:p>
    <w:p w14:paraId="64340389">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4.乙方逾期交货的，每天向</w:t>
      </w:r>
      <w:r>
        <w:rPr>
          <w:rFonts w:hint="eastAsia" w:ascii="仿宋" w:hAnsi="仿宋" w:eastAsia="仿宋" w:cs="Times New Roman"/>
          <w:color w:val="auto"/>
          <w:sz w:val="24"/>
          <w:highlight w:val="none"/>
          <w:lang w:val="en-US" w:eastAsia="zh-CN"/>
        </w:rPr>
        <w:t>甲</w:t>
      </w:r>
      <w:r>
        <w:rPr>
          <w:rFonts w:hint="eastAsia" w:ascii="仿宋" w:hAnsi="仿宋" w:eastAsia="仿宋" w:cs="Times New Roman"/>
          <w:color w:val="auto"/>
          <w:sz w:val="24"/>
          <w:highlight w:val="none"/>
        </w:rPr>
        <w:t>方偿付违约货款额3‰违约金，但违约金累计不得超过违约货款额5%，超过30天甲方有权解除合同，乙方承担甲方损失，包括但不限于维权费用。</w:t>
      </w:r>
    </w:p>
    <w:p w14:paraId="43A3D0DF">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5.乙方未按本合同和投标文件中规定的服务承诺提供售后服务的，乙方应按本合同合计金额5%向甲方支付违约金并赔偿甲方经济损失，包括但不限于维权费用。</w:t>
      </w:r>
    </w:p>
    <w:p w14:paraId="394CF966">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6.乙方提供的货物在质量保证期内，因设计、工艺或材料的缺陷和其它质量原因造成的问题，由乙方负责，费用从质量保证金中扣除，不足部分，乙方应在7天内</w:t>
      </w:r>
      <w:r>
        <w:rPr>
          <w:rFonts w:hint="eastAsia" w:ascii="仿宋" w:hAnsi="仿宋" w:eastAsia="仿宋" w:cs="Times New Roman"/>
          <w:color w:val="auto"/>
          <w:sz w:val="24"/>
          <w:highlight w:val="none"/>
          <w:lang w:val="en-US" w:eastAsia="zh-CN"/>
        </w:rPr>
        <w:t>补</w:t>
      </w:r>
      <w:r>
        <w:rPr>
          <w:rFonts w:hint="eastAsia" w:ascii="仿宋" w:hAnsi="仿宋" w:eastAsia="仿宋" w:cs="Times New Roman"/>
          <w:color w:val="auto"/>
          <w:sz w:val="24"/>
          <w:highlight w:val="none"/>
        </w:rPr>
        <w:t>足保证金。</w:t>
      </w:r>
    </w:p>
    <w:p w14:paraId="094D300C">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w:t>
      </w:r>
      <w:r>
        <w:rPr>
          <w:rFonts w:hint="eastAsia" w:ascii="仿宋" w:hAnsi="仿宋" w:eastAsia="仿宋" w:cs="Times New Roman"/>
          <w:color w:val="auto"/>
          <w:sz w:val="24"/>
          <w:highlight w:val="none"/>
          <w:lang w:val="en-US" w:eastAsia="zh-Hans"/>
        </w:rPr>
        <w:t>乙方存在</w:t>
      </w:r>
      <w:r>
        <w:rPr>
          <w:rFonts w:hint="eastAsia" w:ascii="仿宋" w:hAnsi="仿宋" w:eastAsia="仿宋" w:cs="Times New Roman"/>
          <w:color w:val="auto"/>
          <w:sz w:val="24"/>
          <w:highlight w:val="none"/>
        </w:rPr>
        <w:t>其它违约行为</w:t>
      </w:r>
      <w:r>
        <w:rPr>
          <w:rFonts w:hint="default" w:ascii="仿宋" w:hAnsi="仿宋" w:eastAsia="仿宋" w:cs="Times New Roman"/>
          <w:color w:val="auto"/>
          <w:sz w:val="24"/>
          <w:highlight w:val="none"/>
        </w:rPr>
        <w:t>，</w:t>
      </w:r>
      <w:r>
        <w:rPr>
          <w:rFonts w:hint="eastAsia" w:ascii="仿宋" w:hAnsi="仿宋" w:eastAsia="仿宋" w:cs="Times New Roman"/>
          <w:color w:val="auto"/>
          <w:sz w:val="24"/>
          <w:highlight w:val="none"/>
          <w:lang w:eastAsia="zh-Hans"/>
        </w:rPr>
        <w:t>乙方应向甲方支付违约货款额5%违约金并赔偿甲方经济损失，包括但不限于维权费用。</w:t>
      </w:r>
    </w:p>
    <w:p w14:paraId="7F90808C">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8.因乙方的行为造成违约的，甲方有权解除合同或者继续履行合同，乙方还应承担甲方为维护权利而支付的</w:t>
      </w:r>
      <w:r>
        <w:rPr>
          <w:rFonts w:hint="eastAsia" w:ascii="仿宋" w:hAnsi="仿宋" w:eastAsia="仿宋"/>
          <w:color w:val="auto"/>
          <w:sz w:val="24"/>
          <w:highlight w:val="none"/>
        </w:rPr>
        <w:t>包括但不限于</w:t>
      </w:r>
      <w:r>
        <w:rPr>
          <w:rFonts w:hint="eastAsia" w:ascii="仿宋" w:hAnsi="仿宋" w:eastAsia="仿宋" w:cs="Times New Roman"/>
          <w:color w:val="auto"/>
          <w:sz w:val="24"/>
          <w:highlight w:val="none"/>
        </w:rPr>
        <w:t>律师费、诉讼费、保全费、财产保全保险费、鉴定费等费用。</w:t>
      </w:r>
    </w:p>
    <w:p w14:paraId="35680603">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第十二条　不可抗力事件处理</w:t>
      </w:r>
    </w:p>
    <w:p w14:paraId="159C1D98">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1.在合同有效期内，任何一方因不可抗力事件导致不能履行合同，则合同履行期可延长，其延长期与不可抗力影响期相同。</w:t>
      </w:r>
    </w:p>
    <w:p w14:paraId="47A14565">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2.不可抗力事件发生后，应立即通知对方，并寄送有关权威机构出具的证明。</w:t>
      </w:r>
    </w:p>
    <w:p w14:paraId="2DB23A20">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3.不可抗力事件延续一百二十天以上，双方应通过友好协商，确定是否继续履行合同。</w:t>
      </w:r>
    </w:p>
    <w:p w14:paraId="7032CF99">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第十三条　合同争议解决</w:t>
      </w:r>
    </w:p>
    <w:p w14:paraId="1CAA4F8F">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1.因货物质量问题发生争议的，应邀请国家认可的质量检测机构对货物质量进行鉴定。由乙方垫付鉴定费用：货物符合标准的，鉴定费由甲方承担；货物不符合标准的，鉴定费由乙方承担。</w:t>
      </w:r>
    </w:p>
    <w:p w14:paraId="40D36E48">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2.因履行本合同引起的或与本合同有关的争议，甲乙双方应首先通过友好协商解决，如果协商不能解决，可向</w:t>
      </w:r>
      <w:r>
        <w:rPr>
          <w:rFonts w:hint="eastAsia" w:ascii="仿宋" w:hAnsi="仿宋" w:eastAsia="仿宋"/>
          <w:color w:val="auto"/>
          <w:sz w:val="24"/>
          <w:highlight w:val="none"/>
          <w:u w:val="none"/>
        </w:rPr>
        <w:t>甲方所在地人民法院</w:t>
      </w:r>
      <w:r>
        <w:rPr>
          <w:rFonts w:hint="eastAsia" w:ascii="仿宋" w:hAnsi="仿宋" w:eastAsia="仿宋"/>
          <w:color w:val="auto"/>
          <w:sz w:val="24"/>
          <w:highlight w:val="none"/>
        </w:rPr>
        <w:t>提起诉讼。</w:t>
      </w:r>
    </w:p>
    <w:p w14:paraId="7342B948">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第十四条　合同生效及其它</w:t>
      </w:r>
    </w:p>
    <w:p w14:paraId="57A1192C">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1.合同经双方法定代表人或被授权人签字并加盖单位公章后生效。</w:t>
      </w:r>
    </w:p>
    <w:p w14:paraId="76684F9C">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2.合同执行中涉及采购资金和采购内容修改或补充的，须经财</w:t>
      </w:r>
      <w:r>
        <w:rPr>
          <w:rFonts w:hint="eastAsia" w:ascii="仿宋" w:hAnsi="仿宋" w:eastAsia="仿宋"/>
          <w:color w:val="auto"/>
          <w:sz w:val="24"/>
          <w:highlight w:val="none"/>
          <w:lang w:val="en-US" w:eastAsia="zh-CN"/>
        </w:rPr>
        <w:t>务</w:t>
      </w:r>
      <w:r>
        <w:rPr>
          <w:rFonts w:hint="eastAsia" w:ascii="仿宋" w:hAnsi="仿宋" w:eastAsia="仿宋"/>
          <w:color w:val="auto"/>
          <w:sz w:val="24"/>
          <w:highlight w:val="none"/>
        </w:rPr>
        <w:t>部门审批，并签书面补充协议报财</w:t>
      </w:r>
      <w:r>
        <w:rPr>
          <w:rFonts w:hint="eastAsia" w:ascii="仿宋" w:hAnsi="仿宋" w:eastAsia="仿宋"/>
          <w:color w:val="auto"/>
          <w:sz w:val="24"/>
          <w:highlight w:val="none"/>
          <w:lang w:val="en-US" w:eastAsia="zh-CN"/>
        </w:rPr>
        <w:t>务</w:t>
      </w:r>
      <w:r>
        <w:rPr>
          <w:rFonts w:hint="eastAsia" w:ascii="仿宋" w:hAnsi="仿宋" w:eastAsia="仿宋"/>
          <w:color w:val="auto"/>
          <w:sz w:val="24"/>
          <w:highlight w:val="none"/>
        </w:rPr>
        <w:t>部门备案，方可作为主合同不可分割的一部分。</w:t>
      </w:r>
    </w:p>
    <w:p w14:paraId="5A5DF5CA">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3.本合同未尽事宜，遵照《</w:t>
      </w:r>
      <w:r>
        <w:rPr>
          <w:rFonts w:hint="eastAsia" w:ascii="仿宋" w:hAnsi="仿宋" w:eastAsia="仿宋"/>
          <w:color w:val="auto"/>
          <w:sz w:val="24"/>
          <w:highlight w:val="none"/>
          <w:lang w:val="en-US" w:eastAsia="zh-CN"/>
        </w:rPr>
        <w:t>民法典</w:t>
      </w:r>
      <w:r>
        <w:rPr>
          <w:rFonts w:hint="eastAsia" w:ascii="仿宋" w:hAnsi="仿宋" w:eastAsia="仿宋"/>
          <w:color w:val="auto"/>
          <w:sz w:val="24"/>
          <w:highlight w:val="none"/>
        </w:rPr>
        <w:t>》有关条文执行。</w:t>
      </w:r>
    </w:p>
    <w:p w14:paraId="71D12139">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第十五条　合同的变更、终止与转让</w:t>
      </w:r>
    </w:p>
    <w:p w14:paraId="26107ABC">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1.除《中华人民共和国政府采购法》第五十条规定的情形外，本合同一经签订，甲乙双方不得擅自变更、中止或终止。</w:t>
      </w:r>
    </w:p>
    <w:p w14:paraId="40ED4DCF">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2.乙方不得擅自转让（无进口资格的供应商委托进口货物除外）其应履行的合同义务。</w:t>
      </w:r>
    </w:p>
    <w:p w14:paraId="7C3B556F">
      <w:pPr>
        <w:keepNext w:val="0"/>
        <w:keepLines w:val="0"/>
        <w:pageBreakBefore w:val="0"/>
        <w:kinsoku/>
        <w:wordWrap/>
        <w:overflowPunct/>
        <w:topLinePunct w:val="0"/>
        <w:bidi w:val="0"/>
        <w:snapToGrid w:val="0"/>
        <w:spacing w:line="440" w:lineRule="exact"/>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第十六条　签订本合同依据</w:t>
      </w:r>
    </w:p>
    <w:p w14:paraId="0E7491FA">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1.招标文件</w:t>
      </w:r>
      <w:r>
        <w:rPr>
          <w:rFonts w:hint="eastAsia" w:ascii="仿宋" w:hAnsi="仿宋" w:eastAsia="仿宋"/>
          <w:color w:val="auto"/>
          <w:sz w:val="24"/>
          <w:highlight w:val="none"/>
          <w:lang w:eastAsia="zh-CN"/>
        </w:rPr>
        <w:t>。</w:t>
      </w:r>
    </w:p>
    <w:p w14:paraId="34E78860">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2.乙方提供的投标（或应答）文件</w:t>
      </w:r>
      <w:r>
        <w:rPr>
          <w:rFonts w:hint="eastAsia" w:ascii="仿宋" w:hAnsi="仿宋" w:eastAsia="仿宋"/>
          <w:color w:val="auto"/>
          <w:sz w:val="24"/>
          <w:highlight w:val="none"/>
          <w:lang w:eastAsia="zh-CN"/>
        </w:rPr>
        <w:t>。</w:t>
      </w:r>
    </w:p>
    <w:p w14:paraId="662116F3">
      <w:pPr>
        <w:keepNext w:val="0"/>
        <w:keepLines w:val="0"/>
        <w:pageBreakBefore w:val="0"/>
        <w:kinsoku/>
        <w:wordWrap/>
        <w:overflowPunct/>
        <w:topLinePunct w:val="0"/>
        <w:bidi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3.售后服务承诺书</w:t>
      </w:r>
      <w:r>
        <w:rPr>
          <w:rFonts w:hint="eastAsia" w:ascii="仿宋" w:hAnsi="仿宋" w:eastAsia="仿宋"/>
          <w:color w:val="auto"/>
          <w:sz w:val="24"/>
          <w:highlight w:val="none"/>
          <w:lang w:eastAsia="zh-CN"/>
        </w:rPr>
        <w:t>。</w:t>
      </w:r>
    </w:p>
    <w:p w14:paraId="31EABAC6">
      <w:pPr>
        <w:pStyle w:val="14"/>
        <w:keepNext w:val="0"/>
        <w:keepLines w:val="0"/>
        <w:pageBreakBefore w:val="0"/>
        <w:kinsoku/>
        <w:wordWrap/>
        <w:overflowPunct/>
        <w:topLinePunct w:val="0"/>
        <w:bidi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4.本合同一式</w:t>
      </w:r>
      <w:r>
        <w:rPr>
          <w:rFonts w:hint="eastAsia" w:ascii="仿宋" w:hAnsi="仿宋" w:eastAsia="仿宋"/>
          <w:color w:val="auto"/>
          <w:sz w:val="24"/>
          <w:highlight w:val="none"/>
          <w:lang w:val="en-US" w:eastAsia="zh-CN"/>
        </w:rPr>
        <w:t>八</w:t>
      </w:r>
      <w:r>
        <w:rPr>
          <w:rFonts w:hint="eastAsia" w:ascii="仿宋" w:hAnsi="仿宋" w:eastAsia="仿宋"/>
          <w:color w:val="auto"/>
          <w:sz w:val="24"/>
          <w:highlight w:val="none"/>
        </w:rPr>
        <w:t>份，甲方</w:t>
      </w:r>
      <w:r>
        <w:rPr>
          <w:rFonts w:hint="eastAsia" w:ascii="仿宋" w:hAnsi="仿宋" w:eastAsia="仿宋"/>
          <w:color w:val="auto"/>
          <w:sz w:val="24"/>
          <w:highlight w:val="none"/>
          <w:lang w:val="en-US" w:eastAsia="zh-CN"/>
        </w:rPr>
        <w:t>陆</w:t>
      </w:r>
      <w:r>
        <w:rPr>
          <w:rFonts w:hint="eastAsia" w:ascii="仿宋" w:hAnsi="仿宋" w:eastAsia="仿宋"/>
          <w:color w:val="auto"/>
          <w:sz w:val="24"/>
          <w:highlight w:val="none"/>
        </w:rPr>
        <w:t>份</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乙方</w:t>
      </w:r>
      <w:r>
        <w:rPr>
          <w:rFonts w:hint="eastAsia" w:ascii="仿宋" w:hAnsi="仿宋" w:eastAsia="仿宋"/>
          <w:color w:val="auto"/>
          <w:sz w:val="24"/>
          <w:highlight w:val="none"/>
          <w:lang w:val="en-US" w:eastAsia="zh-CN"/>
        </w:rPr>
        <w:t>壹</w:t>
      </w:r>
      <w:r>
        <w:rPr>
          <w:rFonts w:hint="eastAsia" w:ascii="仿宋" w:hAnsi="仿宋" w:eastAsia="仿宋"/>
          <w:color w:val="auto"/>
          <w:sz w:val="24"/>
          <w:highlight w:val="none"/>
        </w:rPr>
        <w:t>份</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代理机构壹份，</w:t>
      </w:r>
      <w:r>
        <w:rPr>
          <w:rFonts w:hint="eastAsia" w:ascii="仿宋" w:hAnsi="仿宋" w:eastAsia="仿宋" w:cs="仿宋"/>
          <w:color w:val="auto"/>
          <w:sz w:val="24"/>
          <w:szCs w:val="24"/>
          <w:highlight w:val="none"/>
          <w:lang w:eastAsia="zh-CN"/>
        </w:rPr>
        <w:t>自双方签字盖章之日起生效，</w:t>
      </w:r>
      <w:r>
        <w:rPr>
          <w:rFonts w:hint="eastAsia" w:ascii="仿宋" w:hAnsi="仿宋" w:eastAsia="仿宋" w:cs="仿宋"/>
          <w:color w:val="auto"/>
          <w:sz w:val="24"/>
          <w:szCs w:val="24"/>
          <w:highlight w:val="none"/>
          <w:lang w:val="en-US" w:eastAsia="zh-Hans"/>
        </w:rPr>
        <w:t>每份均具有同等法律效力</w:t>
      </w:r>
      <w:r>
        <w:rPr>
          <w:rFonts w:hint="eastAsia" w:ascii="仿宋" w:hAnsi="仿宋" w:eastAsia="仿宋" w:cs="仿宋"/>
          <w:color w:val="auto"/>
          <w:sz w:val="24"/>
          <w:szCs w:val="24"/>
          <w:highlight w:val="none"/>
          <w:lang w:eastAsia="zh-CN"/>
        </w:rPr>
        <w:t>。</w:t>
      </w:r>
    </w:p>
    <w:p w14:paraId="161B08B2">
      <w:pPr>
        <w:pStyle w:val="14"/>
        <w:keepNext w:val="0"/>
        <w:keepLines w:val="0"/>
        <w:pageBreakBefore w:val="0"/>
        <w:kinsoku/>
        <w:wordWrap/>
        <w:overflowPunct/>
        <w:topLinePunct w:val="0"/>
        <w:bidi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以下为合同签字页，无合同正文</w:t>
      </w:r>
      <w:r>
        <w:rPr>
          <w:rFonts w:hint="eastAsia" w:ascii="仿宋" w:hAnsi="仿宋" w:eastAsia="仿宋"/>
          <w:color w:val="auto"/>
          <w:sz w:val="24"/>
          <w:highlight w:val="none"/>
          <w:lang w:eastAsia="zh-CN"/>
        </w:rPr>
        <w:t>）</w:t>
      </w:r>
    </w:p>
    <w:tbl>
      <w:tblPr>
        <w:tblStyle w:val="32"/>
        <w:tblpPr w:leftFromText="180" w:rightFromText="180" w:vertAnchor="text" w:horzAnchor="page" w:tblpX="1155" w:tblpY="3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0"/>
        <w:gridCol w:w="4819"/>
      </w:tblGrid>
      <w:tr w14:paraId="4FF5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4740" w:type="dxa"/>
            <w:noWrap w:val="0"/>
            <w:vAlign w:val="center"/>
          </w:tcPr>
          <w:p w14:paraId="03EB3DB0">
            <w:pPr>
              <w:keepNext w:val="0"/>
              <w:keepLines w:val="0"/>
              <w:pageBreakBefore w:val="0"/>
              <w:kinsoku/>
              <w:wordWrap/>
              <w:overflowPunct/>
              <w:topLinePunct w:val="0"/>
              <w:bidi w:val="0"/>
              <w:snapToGrid w:val="0"/>
              <w:spacing w:line="440" w:lineRule="exact"/>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rPr>
              <w:t>甲方（章）</w:t>
            </w:r>
            <w:r>
              <w:rPr>
                <w:rFonts w:hint="eastAsia" w:ascii="仿宋" w:hAnsi="仿宋" w:eastAsia="仿宋"/>
                <w:b w:val="0"/>
                <w:bCs w:val="0"/>
                <w:color w:val="auto"/>
                <w:sz w:val="24"/>
                <w:highlight w:val="none"/>
                <w:lang w:val="en-US" w:eastAsia="zh-CN"/>
              </w:rPr>
              <w:t>桂林医学院第二附属医院</w:t>
            </w:r>
          </w:p>
        </w:tc>
        <w:tc>
          <w:tcPr>
            <w:tcW w:w="4819" w:type="dxa"/>
            <w:noWrap w:val="0"/>
            <w:vAlign w:val="center"/>
          </w:tcPr>
          <w:p w14:paraId="54D78415">
            <w:pPr>
              <w:keepNext w:val="0"/>
              <w:keepLines w:val="0"/>
              <w:pageBreakBefore w:val="0"/>
              <w:kinsoku/>
              <w:wordWrap/>
              <w:overflowPunct/>
              <w:topLinePunct w:val="0"/>
              <w:bidi w:val="0"/>
              <w:snapToGrid w:val="0"/>
              <w:spacing w:line="440" w:lineRule="exact"/>
              <w:rPr>
                <w:rFonts w:hint="eastAsia" w:ascii="仿宋" w:hAnsi="仿宋" w:eastAsia="仿宋"/>
                <w:b/>
                <w:bCs/>
                <w:color w:val="auto"/>
                <w:sz w:val="24"/>
                <w:highlight w:val="none"/>
              </w:rPr>
            </w:pPr>
            <w:r>
              <w:rPr>
                <w:rFonts w:hint="eastAsia" w:ascii="仿宋" w:hAnsi="仿宋" w:eastAsia="仿宋"/>
                <w:b/>
                <w:bCs/>
                <w:color w:val="auto"/>
                <w:sz w:val="24"/>
                <w:highlight w:val="none"/>
              </w:rPr>
              <w:t>乙方（章）</w:t>
            </w:r>
            <w:r>
              <w:rPr>
                <w:rFonts w:hint="eastAsia" w:ascii="仿宋" w:hAnsi="仿宋" w:eastAsia="仿宋"/>
                <w:color w:val="auto"/>
                <w:sz w:val="24"/>
                <w:highlight w:val="none"/>
                <w:lang w:val="en-US" w:eastAsia="zh-CN"/>
              </w:rPr>
              <w:t>乙</w:t>
            </w:r>
            <w:r>
              <w:rPr>
                <w:rFonts w:hint="eastAsia" w:ascii="仿宋" w:hAnsi="仿宋" w:eastAsia="仿宋"/>
                <w:color w:val="auto"/>
                <w:sz w:val="24"/>
                <w:highlight w:val="none"/>
              </w:rPr>
              <w:t>方</w:t>
            </w:r>
            <w:r>
              <w:rPr>
                <w:rFonts w:hint="eastAsia" w:ascii="仿宋" w:hAnsi="仿宋" w:eastAsia="仿宋"/>
                <w:color w:val="auto"/>
                <w:sz w:val="24"/>
                <w:highlight w:val="none"/>
                <w:lang w:val="en-US" w:eastAsia="zh-CN"/>
              </w:rPr>
              <w:t>必填</w:t>
            </w:r>
          </w:p>
        </w:tc>
      </w:tr>
      <w:tr w14:paraId="3F14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4740" w:type="dxa"/>
            <w:noWrap w:val="0"/>
            <w:vAlign w:val="center"/>
          </w:tcPr>
          <w:p w14:paraId="1E55C4AC">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olor w:val="auto"/>
                <w:sz w:val="24"/>
                <w:highlight w:val="none"/>
              </w:rPr>
              <w:t>单位地址：</w:t>
            </w:r>
            <w:r>
              <w:rPr>
                <w:rFonts w:hint="eastAsia" w:ascii="仿宋" w:hAnsi="仿宋" w:eastAsia="仿宋"/>
                <w:color w:val="auto"/>
                <w:sz w:val="24"/>
                <w:highlight w:val="none"/>
                <w:lang w:val="en-US" w:eastAsia="zh-CN"/>
              </w:rPr>
              <w:t>广西壮族自治区</w:t>
            </w:r>
            <w:r>
              <w:rPr>
                <w:rFonts w:hint="eastAsia" w:ascii="仿宋" w:hAnsi="仿宋" w:eastAsia="仿宋"/>
                <w:color w:val="auto"/>
                <w:sz w:val="24"/>
                <w:highlight w:val="none"/>
              </w:rPr>
              <w:t>桂林市临桂镇人民路212号</w:t>
            </w:r>
          </w:p>
        </w:tc>
        <w:tc>
          <w:tcPr>
            <w:tcW w:w="4819" w:type="dxa"/>
            <w:noWrap w:val="0"/>
            <w:vAlign w:val="center"/>
          </w:tcPr>
          <w:p w14:paraId="644250DA">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olor w:val="auto"/>
                <w:sz w:val="24"/>
                <w:highlight w:val="none"/>
              </w:rPr>
              <w:t>单位地址：</w:t>
            </w:r>
            <w:r>
              <w:rPr>
                <w:rFonts w:hint="eastAsia" w:ascii="仿宋" w:hAnsi="仿宋" w:eastAsia="仿宋"/>
                <w:color w:val="auto"/>
                <w:sz w:val="24"/>
                <w:highlight w:val="none"/>
                <w:lang w:val="en-US" w:eastAsia="zh-CN"/>
              </w:rPr>
              <w:t>乙</w:t>
            </w:r>
            <w:r>
              <w:rPr>
                <w:rFonts w:hint="eastAsia" w:ascii="仿宋" w:hAnsi="仿宋" w:eastAsia="仿宋"/>
                <w:color w:val="auto"/>
                <w:sz w:val="24"/>
                <w:highlight w:val="none"/>
              </w:rPr>
              <w:t>方</w:t>
            </w:r>
            <w:r>
              <w:rPr>
                <w:rFonts w:hint="eastAsia" w:ascii="仿宋" w:hAnsi="仿宋" w:eastAsia="仿宋"/>
                <w:color w:val="auto"/>
                <w:sz w:val="24"/>
                <w:highlight w:val="none"/>
                <w:lang w:val="en-US" w:eastAsia="zh-CN"/>
              </w:rPr>
              <w:t>必填</w:t>
            </w:r>
          </w:p>
        </w:tc>
      </w:tr>
      <w:tr w14:paraId="3CCD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4740" w:type="dxa"/>
            <w:noWrap w:val="0"/>
            <w:vAlign w:val="center"/>
          </w:tcPr>
          <w:p w14:paraId="41A7889A">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olor w:val="auto"/>
                <w:sz w:val="24"/>
                <w:highlight w:val="none"/>
              </w:rPr>
              <w:t>法定代表人：</w:t>
            </w:r>
          </w:p>
        </w:tc>
        <w:tc>
          <w:tcPr>
            <w:tcW w:w="4819" w:type="dxa"/>
            <w:noWrap w:val="0"/>
            <w:vAlign w:val="center"/>
          </w:tcPr>
          <w:p w14:paraId="44B3F6CD">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法定代表人：</w:t>
            </w:r>
            <w:r>
              <w:rPr>
                <w:rFonts w:hint="eastAsia" w:ascii="仿宋" w:hAnsi="仿宋" w:eastAsia="仿宋"/>
                <w:color w:val="auto"/>
                <w:sz w:val="24"/>
                <w:highlight w:val="none"/>
                <w:lang w:val="en-US" w:eastAsia="zh-CN"/>
              </w:rPr>
              <w:t>手写签名</w:t>
            </w:r>
          </w:p>
        </w:tc>
      </w:tr>
      <w:tr w14:paraId="0030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4740" w:type="dxa"/>
            <w:noWrap w:val="0"/>
            <w:vAlign w:val="center"/>
          </w:tcPr>
          <w:p w14:paraId="799CF976">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olor w:val="auto"/>
                <w:sz w:val="24"/>
                <w:highlight w:val="none"/>
              </w:rPr>
              <w:t>电话：0773-5590063</w:t>
            </w:r>
            <w:r>
              <w:rPr>
                <w:rFonts w:hint="eastAsia" w:ascii="仿宋" w:hAnsi="仿宋" w:eastAsia="仿宋" w:cs="Times New Roman"/>
                <w:color w:val="auto"/>
                <w:sz w:val="24"/>
                <w:highlight w:val="none"/>
                <w:lang w:val="en-US" w:eastAsia="zh-CN"/>
              </w:rPr>
              <w:t>招标采购管理科</w:t>
            </w:r>
          </w:p>
          <w:p w14:paraId="032FCBEA">
            <w:pPr>
              <w:keepNext w:val="0"/>
              <w:keepLines w:val="0"/>
              <w:pageBreakBefore w:val="0"/>
              <w:kinsoku/>
              <w:wordWrap/>
              <w:overflowPunct/>
              <w:topLinePunct w:val="0"/>
              <w:bidi w:val="0"/>
              <w:snapToGrid w:val="0"/>
              <w:spacing w:before="156" w:beforeLines="50" w:after="156" w:afterLines="50" w:line="440" w:lineRule="exact"/>
              <w:ind w:firstLine="720" w:firstLineChars="300"/>
              <w:rPr>
                <w:rFonts w:hint="eastAsia" w:ascii="仿宋" w:hAnsi="仿宋" w:eastAsia="仿宋"/>
                <w:color w:val="auto"/>
                <w:sz w:val="24"/>
                <w:highlight w:val="none"/>
              </w:rPr>
            </w:pPr>
            <w:r>
              <w:rPr>
                <w:rFonts w:hint="eastAsia" w:ascii="仿宋" w:hAnsi="仿宋" w:eastAsia="仿宋"/>
                <w:color w:val="auto"/>
                <w:sz w:val="24"/>
                <w:highlight w:val="none"/>
              </w:rPr>
              <w:t>0773</w:t>
            </w:r>
            <w:r>
              <w:rPr>
                <w:rFonts w:hint="eastAsia" w:ascii="仿宋" w:hAnsi="仿宋" w:eastAsia="仿宋"/>
                <w:color w:val="auto"/>
                <w:sz w:val="24"/>
                <w:highlight w:val="none"/>
                <w:lang w:val="en-US" w:eastAsia="zh-CN"/>
              </w:rPr>
              <w:t>-5582071</w:t>
            </w:r>
            <w:r>
              <w:rPr>
                <w:rFonts w:hint="eastAsia" w:ascii="仿宋" w:hAnsi="仿宋" w:eastAsia="仿宋" w:cs="宋体"/>
                <w:color w:val="auto"/>
                <w:kern w:val="0"/>
                <w:sz w:val="24"/>
                <w:highlight w:val="none"/>
                <w:lang w:bidi="ar"/>
              </w:rPr>
              <w:t>设备科</w:t>
            </w:r>
          </w:p>
        </w:tc>
        <w:tc>
          <w:tcPr>
            <w:tcW w:w="4819" w:type="dxa"/>
            <w:noWrap w:val="0"/>
            <w:vAlign w:val="center"/>
          </w:tcPr>
          <w:p w14:paraId="411FF4D6">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olor w:val="auto"/>
                <w:sz w:val="24"/>
                <w:highlight w:val="none"/>
              </w:rPr>
              <w:t>电话：</w:t>
            </w:r>
            <w:r>
              <w:rPr>
                <w:rFonts w:hint="eastAsia" w:ascii="仿宋" w:hAnsi="仿宋" w:eastAsia="仿宋"/>
                <w:color w:val="auto"/>
                <w:sz w:val="24"/>
                <w:highlight w:val="none"/>
                <w:lang w:val="en-US" w:eastAsia="zh-CN"/>
              </w:rPr>
              <w:t>乙</w:t>
            </w:r>
            <w:r>
              <w:rPr>
                <w:rFonts w:hint="eastAsia" w:ascii="仿宋" w:hAnsi="仿宋" w:eastAsia="仿宋"/>
                <w:color w:val="auto"/>
                <w:sz w:val="24"/>
                <w:highlight w:val="none"/>
              </w:rPr>
              <w:t>方</w:t>
            </w:r>
            <w:r>
              <w:rPr>
                <w:rFonts w:hint="eastAsia" w:ascii="仿宋" w:hAnsi="仿宋" w:eastAsia="仿宋"/>
                <w:color w:val="auto"/>
                <w:sz w:val="24"/>
                <w:highlight w:val="none"/>
                <w:lang w:val="en-US" w:eastAsia="zh-CN"/>
              </w:rPr>
              <w:t>必填</w:t>
            </w:r>
          </w:p>
          <w:p w14:paraId="1E3CAD74">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olor w:val="auto"/>
                <w:sz w:val="24"/>
                <w:highlight w:val="none"/>
              </w:rPr>
              <w:t>手机：</w:t>
            </w:r>
            <w:r>
              <w:rPr>
                <w:rFonts w:hint="eastAsia" w:ascii="仿宋" w:hAnsi="仿宋" w:eastAsia="仿宋"/>
                <w:color w:val="auto"/>
                <w:sz w:val="24"/>
                <w:highlight w:val="none"/>
                <w:lang w:val="en-US" w:eastAsia="zh-CN"/>
              </w:rPr>
              <w:t>乙</w:t>
            </w:r>
            <w:r>
              <w:rPr>
                <w:rFonts w:hint="eastAsia" w:ascii="仿宋" w:hAnsi="仿宋" w:eastAsia="仿宋"/>
                <w:color w:val="auto"/>
                <w:sz w:val="24"/>
                <w:highlight w:val="none"/>
              </w:rPr>
              <w:t>方</w:t>
            </w:r>
            <w:r>
              <w:rPr>
                <w:rFonts w:hint="eastAsia" w:ascii="仿宋" w:hAnsi="仿宋" w:eastAsia="仿宋"/>
                <w:color w:val="auto"/>
                <w:sz w:val="24"/>
                <w:highlight w:val="none"/>
                <w:lang w:val="en-US" w:eastAsia="zh-CN"/>
              </w:rPr>
              <w:t>必填</w:t>
            </w:r>
          </w:p>
        </w:tc>
      </w:tr>
      <w:tr w14:paraId="449A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4740" w:type="dxa"/>
            <w:noWrap w:val="0"/>
            <w:vAlign w:val="center"/>
          </w:tcPr>
          <w:p w14:paraId="0373ACD3">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olor w:val="auto"/>
                <w:sz w:val="24"/>
                <w:highlight w:val="none"/>
              </w:rPr>
              <w:t>开户银行：</w:t>
            </w:r>
            <w:r>
              <w:rPr>
                <w:rFonts w:hint="eastAsia" w:ascii="仿宋" w:hAnsi="仿宋" w:eastAsia="仿宋" w:cs="仿宋"/>
                <w:color w:val="auto"/>
                <w:sz w:val="24"/>
                <w:szCs w:val="24"/>
                <w:highlight w:val="none"/>
              </w:rPr>
              <w:t>建行桂林临桂支行</w:t>
            </w:r>
          </w:p>
        </w:tc>
        <w:tc>
          <w:tcPr>
            <w:tcW w:w="4819" w:type="dxa"/>
            <w:noWrap w:val="0"/>
            <w:vAlign w:val="center"/>
          </w:tcPr>
          <w:p w14:paraId="4F3F9B25">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olor w:val="auto"/>
                <w:sz w:val="24"/>
                <w:highlight w:val="none"/>
              </w:rPr>
              <w:t>开户银行：</w:t>
            </w:r>
            <w:r>
              <w:rPr>
                <w:rFonts w:hint="eastAsia" w:ascii="仿宋" w:hAnsi="仿宋" w:eastAsia="仿宋"/>
                <w:color w:val="auto"/>
                <w:sz w:val="24"/>
                <w:highlight w:val="none"/>
                <w:lang w:val="en-US" w:eastAsia="zh-CN"/>
              </w:rPr>
              <w:t>乙</w:t>
            </w:r>
            <w:r>
              <w:rPr>
                <w:rFonts w:hint="eastAsia" w:ascii="仿宋" w:hAnsi="仿宋" w:eastAsia="仿宋"/>
                <w:color w:val="auto"/>
                <w:sz w:val="24"/>
                <w:highlight w:val="none"/>
              </w:rPr>
              <w:t>方</w:t>
            </w:r>
            <w:r>
              <w:rPr>
                <w:rFonts w:hint="eastAsia" w:ascii="仿宋" w:hAnsi="仿宋" w:eastAsia="仿宋"/>
                <w:color w:val="auto"/>
                <w:sz w:val="24"/>
                <w:highlight w:val="none"/>
                <w:lang w:val="en-US" w:eastAsia="zh-CN"/>
              </w:rPr>
              <w:t>必填</w:t>
            </w:r>
          </w:p>
        </w:tc>
      </w:tr>
      <w:tr w14:paraId="2B32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4740" w:type="dxa"/>
            <w:noWrap w:val="0"/>
            <w:vAlign w:val="center"/>
          </w:tcPr>
          <w:p w14:paraId="0009079F">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s="Times New Roman"/>
                <w:color w:val="auto"/>
                <w:sz w:val="24"/>
                <w:highlight w:val="none"/>
              </w:rPr>
              <w:t>账户名:</w:t>
            </w:r>
            <w:r>
              <w:rPr>
                <w:rFonts w:hint="eastAsia" w:ascii="仿宋" w:hAnsi="仿宋" w:eastAsia="仿宋"/>
                <w:b w:val="0"/>
                <w:bCs w:val="0"/>
                <w:color w:val="auto"/>
                <w:sz w:val="24"/>
                <w:highlight w:val="none"/>
                <w:lang w:val="en-US" w:eastAsia="zh-CN"/>
              </w:rPr>
              <w:t>桂林医学院第二附属医院</w:t>
            </w:r>
          </w:p>
        </w:tc>
        <w:tc>
          <w:tcPr>
            <w:tcW w:w="4819" w:type="dxa"/>
            <w:noWrap w:val="0"/>
            <w:vAlign w:val="center"/>
          </w:tcPr>
          <w:p w14:paraId="3CCDDF17">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s="Times New Roman"/>
                <w:color w:val="auto"/>
                <w:sz w:val="24"/>
                <w:highlight w:val="none"/>
              </w:rPr>
              <w:t>账户名:</w:t>
            </w:r>
            <w:r>
              <w:rPr>
                <w:rFonts w:hint="eastAsia" w:ascii="仿宋" w:hAnsi="仿宋" w:eastAsia="仿宋"/>
                <w:color w:val="auto"/>
                <w:sz w:val="24"/>
                <w:highlight w:val="none"/>
                <w:lang w:val="en-US" w:eastAsia="zh-CN"/>
              </w:rPr>
              <w:t>乙</w:t>
            </w:r>
            <w:r>
              <w:rPr>
                <w:rFonts w:hint="eastAsia" w:ascii="仿宋" w:hAnsi="仿宋" w:eastAsia="仿宋"/>
                <w:color w:val="auto"/>
                <w:sz w:val="24"/>
                <w:highlight w:val="none"/>
              </w:rPr>
              <w:t>方</w:t>
            </w:r>
            <w:r>
              <w:rPr>
                <w:rFonts w:hint="eastAsia" w:ascii="仿宋" w:hAnsi="仿宋" w:eastAsia="仿宋"/>
                <w:color w:val="auto"/>
                <w:sz w:val="24"/>
                <w:highlight w:val="none"/>
                <w:lang w:val="en-US" w:eastAsia="zh-CN"/>
              </w:rPr>
              <w:t>必填</w:t>
            </w:r>
          </w:p>
        </w:tc>
      </w:tr>
      <w:tr w14:paraId="2C4B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4740" w:type="dxa"/>
            <w:noWrap w:val="0"/>
            <w:vAlign w:val="center"/>
          </w:tcPr>
          <w:p w14:paraId="7F9277EE">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olor w:val="auto"/>
                <w:sz w:val="24"/>
                <w:highlight w:val="none"/>
              </w:rPr>
              <w:t>账号：</w:t>
            </w:r>
            <w:r>
              <w:rPr>
                <w:rFonts w:hint="eastAsia"/>
                <w:color w:val="auto"/>
                <w:sz w:val="24"/>
                <w:szCs w:val="24"/>
                <w:highlight w:val="none"/>
              </w:rPr>
              <w:t>4500 1636 6010 5070 5997</w:t>
            </w:r>
          </w:p>
        </w:tc>
        <w:tc>
          <w:tcPr>
            <w:tcW w:w="4819" w:type="dxa"/>
            <w:noWrap w:val="0"/>
            <w:vAlign w:val="center"/>
          </w:tcPr>
          <w:p w14:paraId="14E55D1E">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olor w:val="auto"/>
                <w:sz w:val="24"/>
                <w:highlight w:val="none"/>
              </w:rPr>
              <w:t>账号：</w:t>
            </w:r>
            <w:r>
              <w:rPr>
                <w:rFonts w:hint="eastAsia" w:ascii="仿宋" w:hAnsi="仿宋" w:eastAsia="仿宋"/>
                <w:color w:val="auto"/>
                <w:sz w:val="24"/>
                <w:highlight w:val="none"/>
                <w:lang w:val="en-US" w:eastAsia="zh-CN"/>
              </w:rPr>
              <w:t>乙</w:t>
            </w:r>
            <w:r>
              <w:rPr>
                <w:rFonts w:hint="eastAsia" w:ascii="仿宋" w:hAnsi="仿宋" w:eastAsia="仿宋"/>
                <w:color w:val="auto"/>
                <w:sz w:val="24"/>
                <w:highlight w:val="none"/>
              </w:rPr>
              <w:t>方</w:t>
            </w:r>
            <w:r>
              <w:rPr>
                <w:rFonts w:hint="eastAsia" w:ascii="仿宋" w:hAnsi="仿宋" w:eastAsia="仿宋"/>
                <w:color w:val="auto"/>
                <w:sz w:val="24"/>
                <w:highlight w:val="none"/>
                <w:lang w:val="en-US" w:eastAsia="zh-CN"/>
              </w:rPr>
              <w:t>必填</w:t>
            </w:r>
          </w:p>
        </w:tc>
      </w:tr>
      <w:tr w14:paraId="3113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740" w:type="dxa"/>
            <w:noWrap w:val="0"/>
            <w:vAlign w:val="center"/>
          </w:tcPr>
          <w:p w14:paraId="1DF78981">
            <w:pPr>
              <w:keepNext w:val="0"/>
              <w:keepLines w:val="0"/>
              <w:pageBreakBefore w:val="0"/>
              <w:kinsoku/>
              <w:wordWrap/>
              <w:overflowPunct/>
              <w:topLinePunct w:val="0"/>
              <w:bidi w:val="0"/>
              <w:snapToGrid w:val="0"/>
              <w:spacing w:before="156" w:beforeLines="50" w:after="156" w:afterLines="50" w:line="440" w:lineRule="exact"/>
              <w:rPr>
                <w:rFonts w:ascii="仿宋" w:hAnsi="仿宋" w:eastAsia="仿宋"/>
                <w:color w:val="auto"/>
                <w:sz w:val="24"/>
                <w:highlight w:val="none"/>
              </w:rPr>
            </w:pPr>
            <w:r>
              <w:rPr>
                <w:rFonts w:hint="eastAsia" w:ascii="仿宋" w:hAnsi="仿宋" w:eastAsia="仿宋"/>
                <w:color w:val="auto"/>
                <w:sz w:val="24"/>
                <w:highlight w:val="none"/>
              </w:rPr>
              <w:t>邮政编码：541199</w:t>
            </w:r>
          </w:p>
        </w:tc>
        <w:tc>
          <w:tcPr>
            <w:tcW w:w="4819" w:type="dxa"/>
            <w:noWrap w:val="0"/>
            <w:vAlign w:val="center"/>
          </w:tcPr>
          <w:p w14:paraId="13A82979">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rPr>
            </w:pPr>
            <w:r>
              <w:rPr>
                <w:rFonts w:hint="eastAsia" w:ascii="仿宋" w:hAnsi="仿宋" w:eastAsia="仿宋"/>
                <w:color w:val="auto"/>
                <w:sz w:val="24"/>
                <w:highlight w:val="none"/>
              </w:rPr>
              <w:t>邮政编码：</w:t>
            </w:r>
            <w:r>
              <w:rPr>
                <w:rFonts w:hint="eastAsia" w:ascii="仿宋" w:hAnsi="仿宋" w:eastAsia="仿宋"/>
                <w:color w:val="auto"/>
                <w:sz w:val="24"/>
                <w:highlight w:val="none"/>
                <w:lang w:val="en-US" w:eastAsia="zh-CN"/>
              </w:rPr>
              <w:t>乙</w:t>
            </w:r>
            <w:r>
              <w:rPr>
                <w:rFonts w:hint="eastAsia" w:ascii="仿宋" w:hAnsi="仿宋" w:eastAsia="仿宋"/>
                <w:color w:val="auto"/>
                <w:sz w:val="24"/>
                <w:highlight w:val="none"/>
              </w:rPr>
              <w:t>方</w:t>
            </w:r>
            <w:r>
              <w:rPr>
                <w:rFonts w:hint="eastAsia" w:ascii="仿宋" w:hAnsi="仿宋" w:eastAsia="仿宋"/>
                <w:color w:val="auto"/>
                <w:sz w:val="24"/>
                <w:highlight w:val="none"/>
                <w:lang w:val="en-US" w:eastAsia="zh-CN"/>
              </w:rPr>
              <w:t>必填</w:t>
            </w:r>
          </w:p>
        </w:tc>
      </w:tr>
      <w:tr w14:paraId="6989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740" w:type="dxa"/>
            <w:noWrap w:val="0"/>
            <w:vAlign w:val="center"/>
          </w:tcPr>
          <w:p w14:paraId="121AEDA8">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s="Times New Roman"/>
                <w:color w:val="auto"/>
                <w:sz w:val="24"/>
                <w:highlight w:val="none"/>
                <w:lang w:val="en-US" w:eastAsia="zh-CN"/>
              </w:rPr>
            </w:pPr>
            <w:r>
              <w:rPr>
                <w:rFonts w:hint="eastAsia" w:ascii="仿宋" w:hAnsi="仿宋" w:eastAsia="仿宋"/>
                <w:color w:val="auto"/>
                <w:sz w:val="24"/>
                <w:highlight w:val="none"/>
                <w:lang w:val="en-US" w:eastAsia="zh-CN"/>
              </w:rPr>
              <w:t>邮箱：</w:t>
            </w:r>
            <w:r>
              <w:rPr>
                <w:rFonts w:hint="eastAsia" w:ascii="仿宋" w:hAnsi="仿宋" w:eastAsia="仿宋" w:cs="Times New Roman"/>
                <w:color w:val="auto"/>
                <w:sz w:val="24"/>
                <w:highlight w:val="none"/>
                <w:lang w:val="en-US" w:eastAsia="zh-CN"/>
              </w:rPr>
              <w:fldChar w:fldCharType="begin"/>
            </w:r>
            <w:r>
              <w:rPr>
                <w:rFonts w:hint="eastAsia" w:ascii="仿宋" w:hAnsi="仿宋" w:eastAsia="仿宋" w:cs="Times New Roman"/>
                <w:color w:val="auto"/>
                <w:sz w:val="24"/>
                <w:highlight w:val="none"/>
                <w:lang w:val="en-US" w:eastAsia="zh-CN"/>
              </w:rPr>
              <w:instrText xml:space="preserve"> HYPERLINK "mailto:efyzbbht@163.com招标采购办公室" </w:instrText>
            </w:r>
            <w:r>
              <w:rPr>
                <w:rFonts w:hint="eastAsia" w:ascii="仿宋" w:hAnsi="仿宋" w:eastAsia="仿宋" w:cs="Times New Roman"/>
                <w:color w:val="auto"/>
                <w:sz w:val="24"/>
                <w:highlight w:val="none"/>
                <w:lang w:val="en-US" w:eastAsia="zh-CN"/>
              </w:rPr>
              <w:fldChar w:fldCharType="separate"/>
            </w:r>
            <w:r>
              <w:rPr>
                <w:rFonts w:hint="eastAsia" w:ascii="仿宋" w:hAnsi="仿宋" w:eastAsia="仿宋" w:cs="Times New Roman"/>
                <w:color w:val="auto"/>
                <w:sz w:val="24"/>
                <w:highlight w:val="none"/>
                <w:lang w:val="en-US" w:eastAsia="zh-CN"/>
              </w:rPr>
              <w:t>efyzbbht@163.com招标采购管理科</w:t>
            </w:r>
            <w:r>
              <w:rPr>
                <w:rFonts w:hint="eastAsia" w:ascii="仿宋" w:hAnsi="仿宋" w:eastAsia="仿宋" w:cs="Times New Roman"/>
                <w:color w:val="auto"/>
                <w:sz w:val="24"/>
                <w:highlight w:val="none"/>
                <w:lang w:val="en-US" w:eastAsia="zh-CN"/>
              </w:rPr>
              <w:fldChar w:fldCharType="end"/>
            </w:r>
          </w:p>
          <w:p w14:paraId="5C86DCF1">
            <w:pPr>
              <w:keepNext w:val="0"/>
              <w:keepLines w:val="0"/>
              <w:pageBreakBefore w:val="0"/>
              <w:kinsoku/>
              <w:wordWrap/>
              <w:overflowPunct/>
              <w:topLinePunct w:val="0"/>
              <w:bidi w:val="0"/>
              <w:snapToGrid w:val="0"/>
              <w:spacing w:before="156" w:beforeLines="50" w:after="156" w:afterLines="50" w:line="440" w:lineRule="exact"/>
              <w:ind w:firstLine="720" w:firstLineChars="300"/>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gyefysbk@126.com设备科</w:t>
            </w:r>
          </w:p>
        </w:tc>
        <w:tc>
          <w:tcPr>
            <w:tcW w:w="4819" w:type="dxa"/>
            <w:noWrap w:val="0"/>
            <w:vAlign w:val="center"/>
          </w:tcPr>
          <w:p w14:paraId="7FE8C015">
            <w:pPr>
              <w:keepNext w:val="0"/>
              <w:keepLines w:val="0"/>
              <w:pageBreakBefore w:val="0"/>
              <w:kinsoku/>
              <w:wordWrap/>
              <w:overflowPunct/>
              <w:topLinePunct w:val="0"/>
              <w:bidi w:val="0"/>
              <w:snapToGrid w:val="0"/>
              <w:spacing w:before="156" w:beforeLines="50" w:after="156" w:afterLines="50" w:line="440" w:lineRule="exact"/>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邮箱：乙</w:t>
            </w:r>
            <w:r>
              <w:rPr>
                <w:rFonts w:hint="eastAsia" w:ascii="仿宋" w:hAnsi="仿宋" w:eastAsia="仿宋"/>
                <w:color w:val="auto"/>
                <w:sz w:val="24"/>
                <w:highlight w:val="none"/>
              </w:rPr>
              <w:t>方</w:t>
            </w:r>
            <w:r>
              <w:rPr>
                <w:rFonts w:hint="eastAsia" w:ascii="仿宋" w:hAnsi="仿宋" w:eastAsia="仿宋"/>
                <w:color w:val="auto"/>
                <w:sz w:val="24"/>
                <w:highlight w:val="none"/>
                <w:lang w:val="en-US" w:eastAsia="zh-CN"/>
              </w:rPr>
              <w:t>必填</w:t>
            </w:r>
          </w:p>
        </w:tc>
      </w:tr>
      <w:tr w14:paraId="5658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559" w:type="dxa"/>
            <w:gridSpan w:val="2"/>
            <w:noWrap w:val="0"/>
            <w:vAlign w:val="center"/>
          </w:tcPr>
          <w:p w14:paraId="10F87057">
            <w:pPr>
              <w:keepNext w:val="0"/>
              <w:keepLines w:val="0"/>
              <w:pageBreakBefore w:val="0"/>
              <w:widowControl w:val="0"/>
              <w:kinsoku/>
              <w:wordWrap/>
              <w:overflowPunct/>
              <w:topLinePunct w:val="0"/>
              <w:autoSpaceDE/>
              <w:autoSpaceDN/>
              <w:bidi w:val="0"/>
              <w:adjustRightInd/>
              <w:snapToGrid w:val="0"/>
              <w:spacing w:line="440" w:lineRule="exact"/>
              <w:ind w:firstLine="3360" w:firstLineChars="1400"/>
              <w:textAlignment w:val="auto"/>
              <w:rPr>
                <w:rFonts w:hint="eastAsia" w:ascii="仿宋" w:hAnsi="仿宋" w:eastAsia="仿宋"/>
                <w:color w:val="auto"/>
                <w:sz w:val="24"/>
                <w:highlight w:val="none"/>
              </w:rPr>
            </w:pPr>
            <w:r>
              <w:rPr>
                <w:rFonts w:hint="eastAsia" w:ascii="仿宋" w:hAnsi="仿宋" w:eastAsia="仿宋"/>
                <w:color w:val="auto"/>
                <w:sz w:val="24"/>
                <w:highlight w:val="none"/>
              </w:rPr>
              <w:t>签订</w:t>
            </w:r>
            <w:r>
              <w:rPr>
                <w:rFonts w:hint="eastAsia" w:ascii="仿宋" w:hAnsi="仿宋" w:eastAsia="仿宋"/>
                <w:color w:val="auto"/>
                <w:sz w:val="24"/>
                <w:highlight w:val="none"/>
                <w:lang w:val="en-US" w:eastAsia="zh-CN"/>
              </w:rPr>
              <w:t>日期</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 xml:space="preserve"> </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 xml:space="preserve">年 </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 xml:space="preserve"> </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 xml:space="preserve">月  </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日</w:t>
            </w:r>
          </w:p>
        </w:tc>
      </w:tr>
    </w:tbl>
    <w:p w14:paraId="4B8A0035">
      <w:pPr>
        <w:keepNext w:val="0"/>
        <w:keepLines w:val="0"/>
        <w:pageBreakBefore w:val="0"/>
        <w:kinsoku/>
        <w:wordWrap/>
        <w:overflowPunct/>
        <w:topLinePunct w:val="0"/>
        <w:bidi w:val="0"/>
        <w:spacing w:line="440" w:lineRule="exact"/>
        <w:ind w:firstLine="1807" w:firstLineChars="500"/>
        <w:jc w:val="both"/>
        <w:rPr>
          <w:rFonts w:hint="eastAsia" w:ascii="仿宋" w:hAnsi="仿宋" w:eastAsia="仿宋"/>
          <w:b/>
          <w:color w:val="auto"/>
          <w:sz w:val="36"/>
          <w:szCs w:val="36"/>
          <w:highlight w:val="none"/>
        </w:rPr>
      </w:pPr>
      <w:r>
        <w:rPr>
          <w:rFonts w:hint="eastAsia" w:ascii="仿宋" w:hAnsi="仿宋" w:eastAsia="仿宋"/>
          <w:b/>
          <w:color w:val="auto"/>
          <w:sz w:val="36"/>
          <w:szCs w:val="36"/>
          <w:highlight w:val="none"/>
        </w:rPr>
        <w:t>医疗卫生机构医药产品廉洁购销合同</w:t>
      </w:r>
    </w:p>
    <w:p w14:paraId="330DE79E">
      <w:pPr>
        <w:keepNext w:val="0"/>
        <w:keepLines w:val="0"/>
        <w:pageBreakBefore w:val="0"/>
        <w:kinsoku/>
        <w:wordWrap/>
        <w:overflowPunct/>
        <w:topLinePunct w:val="0"/>
        <w:bidi w:val="0"/>
        <w:spacing w:line="440" w:lineRule="exact"/>
        <w:jc w:val="center"/>
        <w:rPr>
          <w:rFonts w:hint="eastAsia" w:ascii="仿宋" w:hAnsi="仿宋" w:eastAsia="仿宋"/>
          <w:b/>
          <w:color w:val="auto"/>
          <w:sz w:val="36"/>
          <w:szCs w:val="36"/>
          <w:highlight w:val="none"/>
        </w:rPr>
      </w:pPr>
      <w:r>
        <w:rPr>
          <w:rFonts w:hint="eastAsia" w:ascii="宋体" w:hAnsi="宋体"/>
          <w:b/>
          <w:color w:val="auto"/>
          <w:sz w:val="28"/>
          <w:szCs w:val="28"/>
          <w:highlight w:val="none"/>
        </w:rPr>
        <w:t>（含设备、耗材、后勤物资、基建工程、行业服务等）</w:t>
      </w:r>
    </w:p>
    <w:p w14:paraId="6F8144F4">
      <w:pPr>
        <w:keepNext w:val="0"/>
        <w:keepLines w:val="0"/>
        <w:pageBreakBefore w:val="0"/>
        <w:kinsoku/>
        <w:wordWrap/>
        <w:overflowPunct/>
        <w:topLinePunct w:val="0"/>
        <w:bidi w:val="0"/>
        <w:spacing w:line="440" w:lineRule="exact"/>
        <w:rPr>
          <w:rFonts w:hint="eastAsia" w:ascii="仿宋" w:hAnsi="仿宋" w:eastAsia="仿宋" w:cs="宋体"/>
          <w:color w:val="auto"/>
          <w:sz w:val="24"/>
          <w:highlight w:val="none"/>
          <w:lang w:val="en-US" w:eastAsia="zh-CN"/>
        </w:rPr>
      </w:pPr>
      <w:r>
        <w:rPr>
          <w:rFonts w:hint="eastAsia" w:ascii="仿宋" w:hAnsi="仿宋" w:eastAsia="仿宋" w:cs="宋体"/>
          <w:b/>
          <w:color w:val="auto"/>
          <w:sz w:val="24"/>
          <w:highlight w:val="none"/>
        </w:rPr>
        <w:t>甲方</w:t>
      </w:r>
      <w:r>
        <w:rPr>
          <w:rFonts w:hint="eastAsia" w:ascii="仿宋" w:hAnsi="仿宋" w:eastAsia="仿宋" w:cs="宋体"/>
          <w:color w:val="auto"/>
          <w:sz w:val="24"/>
          <w:highlight w:val="none"/>
        </w:rPr>
        <w:t>：桂林医学院第二附属医院</w:t>
      </w:r>
      <w:r>
        <w:rPr>
          <w:rFonts w:hint="eastAsia" w:ascii="仿宋" w:hAnsi="仿宋" w:eastAsia="仿宋" w:cs="宋体"/>
          <w:color w:val="auto"/>
          <w:sz w:val="24"/>
          <w:highlight w:val="none"/>
          <w:lang w:val="en-US" w:eastAsia="zh-CN"/>
        </w:rPr>
        <w:t xml:space="preserve">               </w:t>
      </w:r>
    </w:p>
    <w:p w14:paraId="4CA9EBAC">
      <w:pPr>
        <w:keepNext w:val="0"/>
        <w:keepLines w:val="0"/>
        <w:pageBreakBefore w:val="0"/>
        <w:kinsoku/>
        <w:wordWrap/>
        <w:overflowPunct/>
        <w:topLinePunct w:val="0"/>
        <w:bidi w:val="0"/>
        <w:spacing w:line="440" w:lineRule="exact"/>
        <w:rPr>
          <w:rFonts w:hint="default" w:ascii="仿宋" w:hAnsi="仿宋" w:eastAsia="仿宋" w:cs="宋体"/>
          <w:color w:val="auto"/>
          <w:sz w:val="24"/>
          <w:highlight w:val="none"/>
          <w:lang w:val="en-US" w:eastAsia="zh-CN"/>
        </w:rPr>
      </w:pPr>
      <w:r>
        <w:rPr>
          <w:rFonts w:hint="eastAsia" w:ascii="仿宋" w:hAnsi="仿宋" w:eastAsia="仿宋" w:cs="宋体"/>
          <w:b/>
          <w:color w:val="auto"/>
          <w:sz w:val="24"/>
          <w:highlight w:val="none"/>
        </w:rPr>
        <w:t>乙方</w:t>
      </w: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 xml:space="preserve"> </w:t>
      </w:r>
      <w:r>
        <w:rPr>
          <w:rFonts w:hint="eastAsia" w:ascii="仿宋" w:hAnsi="仿宋" w:eastAsia="仿宋"/>
          <w:color w:val="auto"/>
          <w:sz w:val="24"/>
          <w:highlight w:val="none"/>
          <w:lang w:val="en-US" w:eastAsia="zh-CN"/>
        </w:rPr>
        <w:t>乙</w:t>
      </w:r>
      <w:r>
        <w:rPr>
          <w:rFonts w:hint="eastAsia" w:ascii="仿宋" w:hAnsi="仿宋" w:eastAsia="仿宋"/>
          <w:color w:val="auto"/>
          <w:sz w:val="24"/>
          <w:highlight w:val="none"/>
        </w:rPr>
        <w:t>方</w:t>
      </w:r>
      <w:r>
        <w:rPr>
          <w:rFonts w:hint="eastAsia" w:ascii="仿宋" w:hAnsi="仿宋" w:eastAsia="仿宋"/>
          <w:color w:val="auto"/>
          <w:sz w:val="24"/>
          <w:highlight w:val="none"/>
          <w:lang w:val="en-US" w:eastAsia="zh-CN"/>
        </w:rPr>
        <w:t>必填</w:t>
      </w:r>
      <w:r>
        <w:rPr>
          <w:rFonts w:hint="eastAsia" w:ascii="仿宋" w:hAnsi="仿宋" w:eastAsia="仿宋" w:cs="宋体"/>
          <w:color w:val="auto"/>
          <w:sz w:val="24"/>
          <w:highlight w:val="none"/>
          <w:lang w:val="en-US" w:eastAsia="zh-CN"/>
        </w:rPr>
        <w:t xml:space="preserve">                                  </w:t>
      </w:r>
    </w:p>
    <w:p w14:paraId="4D7D8D12">
      <w:pPr>
        <w:keepNext w:val="0"/>
        <w:keepLines w:val="0"/>
        <w:pageBreakBefore w:val="0"/>
        <w:kinsoku/>
        <w:wordWrap/>
        <w:overflowPunct/>
        <w:topLinePunct w:val="0"/>
        <w:bidi w:val="0"/>
        <w:spacing w:line="440" w:lineRule="exact"/>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为进一步加强医疗卫生行风建设，规范医疗卫生机构医药购销行为，有效防范商业贿赂行为，营造公平交易、诚实守信的购销环境，经甲、乙双方协商，同意签订本协议，并共同遵守：</w:t>
      </w:r>
    </w:p>
    <w:p w14:paraId="489F357F">
      <w:pPr>
        <w:keepNext w:val="0"/>
        <w:keepLines w:val="0"/>
        <w:pageBreakBefore w:val="0"/>
        <w:kinsoku/>
        <w:wordWrap/>
        <w:overflowPunct/>
        <w:topLinePunct w:val="0"/>
        <w:bidi w:val="0"/>
        <w:spacing w:line="440" w:lineRule="exact"/>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一、甲乙双方按照《</w:t>
      </w:r>
      <w:r>
        <w:rPr>
          <w:rFonts w:hint="eastAsia" w:ascii="仿宋" w:hAnsi="仿宋" w:eastAsia="仿宋" w:cs="宋体"/>
          <w:color w:val="auto"/>
          <w:sz w:val="24"/>
          <w:highlight w:val="none"/>
          <w:lang w:val="en-US" w:eastAsia="zh-CN"/>
        </w:rPr>
        <w:t>民法典</w:t>
      </w:r>
      <w:r>
        <w:rPr>
          <w:rFonts w:hint="eastAsia" w:ascii="仿宋" w:hAnsi="仿宋" w:eastAsia="仿宋" w:cs="宋体"/>
          <w:color w:val="auto"/>
          <w:sz w:val="24"/>
          <w:highlight w:val="none"/>
        </w:rPr>
        <w:t>》及医药产品购销合同约定购销药品、医用设备、医用耗材等医药产品。</w:t>
      </w:r>
    </w:p>
    <w:p w14:paraId="63B4DCCA">
      <w:pPr>
        <w:keepNext w:val="0"/>
        <w:keepLines w:val="0"/>
        <w:pageBreakBefore w:val="0"/>
        <w:kinsoku/>
        <w:wordWrap/>
        <w:overflowPunct/>
        <w:topLinePunct w:val="0"/>
        <w:bidi w:val="0"/>
        <w:spacing w:line="440" w:lineRule="exact"/>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二、甲方应当严格执行医药产品购销合同验收、入库制度，对采购医药产品及发票进行查验，不得违反有关规定合同外采购、违价采购或从非规定渠道采购。</w:t>
      </w:r>
    </w:p>
    <w:p w14:paraId="37D215F0">
      <w:pPr>
        <w:keepNext w:val="0"/>
        <w:keepLines w:val="0"/>
        <w:pageBreakBefore w:val="0"/>
        <w:kinsoku/>
        <w:wordWrap/>
        <w:overflowPunct/>
        <w:topLinePunct w:val="0"/>
        <w:bidi w:val="0"/>
        <w:spacing w:line="440" w:lineRule="exact"/>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135296F">
      <w:pPr>
        <w:keepNext w:val="0"/>
        <w:keepLines w:val="0"/>
        <w:pageBreakBefore w:val="0"/>
        <w:kinsoku/>
        <w:wordWrap/>
        <w:overflowPunct/>
        <w:topLinePunct w:val="0"/>
        <w:bidi w:val="0"/>
        <w:spacing w:line="440" w:lineRule="exact"/>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四、严禁甲方工作人员利用任何途径和方式，为乙方统计医师个人及临床科室有关医药产品用量信息，或为乙方统计提供便利。</w:t>
      </w:r>
    </w:p>
    <w:p w14:paraId="0F0607DB">
      <w:pPr>
        <w:keepNext w:val="0"/>
        <w:keepLines w:val="0"/>
        <w:pageBreakBefore w:val="0"/>
        <w:kinsoku/>
        <w:wordWrap/>
        <w:overflowPunct/>
        <w:topLinePunct w:val="0"/>
        <w:bidi w:val="0"/>
        <w:spacing w:line="440" w:lineRule="exact"/>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五、乙方不得以回扣、宴请等方式影响甲方工作人员采购或使用医药产品的选择权，不得在学术活动中提供旅游、超标准支付食宿费用。</w:t>
      </w:r>
    </w:p>
    <w:p w14:paraId="15332601">
      <w:pPr>
        <w:keepNext w:val="0"/>
        <w:keepLines w:val="0"/>
        <w:pageBreakBefore w:val="0"/>
        <w:kinsoku/>
        <w:wordWrap/>
        <w:overflowPunct/>
        <w:topLinePunct w:val="0"/>
        <w:bidi w:val="0"/>
        <w:spacing w:line="440" w:lineRule="exact"/>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六、乙方指定</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u w:val="single"/>
          <w:lang w:val="en-US" w:eastAsia="zh-CN"/>
        </w:rPr>
        <w:t xml:space="preserve"> 必填  </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3A9AB7C">
      <w:pPr>
        <w:keepNext w:val="0"/>
        <w:keepLines w:val="0"/>
        <w:pageBreakBefore w:val="0"/>
        <w:kinsoku/>
        <w:wordWrap/>
        <w:overflowPunct/>
        <w:topLinePunct w:val="0"/>
        <w:bidi w:val="0"/>
        <w:spacing w:line="440" w:lineRule="exact"/>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七、乙方如违反本</w:t>
      </w:r>
      <w:r>
        <w:rPr>
          <w:rFonts w:hint="eastAsia" w:ascii="仿宋" w:hAnsi="仿宋" w:eastAsia="仿宋" w:cs="宋体"/>
          <w:color w:val="auto"/>
          <w:sz w:val="24"/>
          <w:highlight w:val="none"/>
          <w:lang w:val="en-US" w:eastAsia="zh-CN"/>
        </w:rPr>
        <w:t>合同</w:t>
      </w:r>
      <w:r>
        <w:rPr>
          <w:rFonts w:hint="eastAsia" w:ascii="仿宋" w:hAnsi="仿宋" w:eastAsia="仿宋" w:cs="宋体"/>
          <w:color w:val="auto"/>
          <w:sz w:val="24"/>
          <w:highlight w:val="none"/>
        </w:rPr>
        <w:t>，一经发现，甲方有权终止购销合同，并向有关卫生计生行政部门报告。如乙方被列入商业贿赂不良记录，则严格按照《国家卫生计生委关于建立医药购销领域商业贿赂不良记录的规定》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宋体"/>
          <w:color w:val="auto"/>
          <w:sz w:val="24"/>
          <w:highlight w:val="none"/>
          <w:shd w:val="clear" w:color="auto" w:fill="FFFFFF"/>
        </w:rPr>
        <w:t>（国卫法制发〔2013〕50号）</w:t>
      </w:r>
      <w:r>
        <w:rPr>
          <w:rFonts w:hint="eastAsia" w:ascii="仿宋" w:hAnsi="仿宋" w:eastAsia="仿宋" w:cs="宋体"/>
          <w:color w:val="auto"/>
          <w:sz w:val="24"/>
          <w:highlight w:val="none"/>
        </w:rPr>
        <w:t>相关规定处理。</w:t>
      </w:r>
    </w:p>
    <w:p w14:paraId="63DF0106">
      <w:pPr>
        <w:keepNext w:val="0"/>
        <w:keepLines w:val="0"/>
        <w:pageBreakBefore w:val="0"/>
        <w:kinsoku/>
        <w:wordWrap/>
        <w:overflowPunct/>
        <w:topLinePunct w:val="0"/>
        <w:bidi w:val="0"/>
        <w:spacing w:line="440" w:lineRule="exact"/>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八、本</w:t>
      </w:r>
      <w:r>
        <w:rPr>
          <w:rFonts w:hint="eastAsia" w:ascii="仿宋" w:hAnsi="仿宋" w:eastAsia="仿宋" w:cs="宋体"/>
          <w:color w:val="auto"/>
          <w:sz w:val="24"/>
          <w:highlight w:val="none"/>
          <w:lang w:val="en-US" w:eastAsia="zh-CN"/>
        </w:rPr>
        <w:t>合同</w:t>
      </w:r>
      <w:r>
        <w:rPr>
          <w:rFonts w:hint="eastAsia" w:ascii="仿宋" w:hAnsi="仿宋" w:eastAsia="仿宋" w:cs="宋体"/>
          <w:color w:val="auto"/>
          <w:sz w:val="24"/>
          <w:highlight w:val="none"/>
        </w:rPr>
        <w:t>作为医药产品购销合同的重要组成部分，与购销合同一并执行，具有同等的法律效力。</w:t>
      </w:r>
    </w:p>
    <w:p w14:paraId="3A69E4B7">
      <w:pPr>
        <w:keepNext w:val="0"/>
        <w:keepLines w:val="0"/>
        <w:pageBreakBefore w:val="0"/>
        <w:kinsoku/>
        <w:wordWrap/>
        <w:overflowPunct/>
        <w:topLinePunct w:val="0"/>
        <w:bidi w:val="0"/>
        <w:spacing w:line="440" w:lineRule="exact"/>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九、本</w:t>
      </w:r>
      <w:r>
        <w:rPr>
          <w:rFonts w:hint="eastAsia" w:ascii="仿宋" w:hAnsi="仿宋" w:eastAsia="仿宋" w:cs="宋体"/>
          <w:color w:val="auto"/>
          <w:sz w:val="24"/>
          <w:highlight w:val="none"/>
          <w:lang w:val="en-US" w:eastAsia="zh-CN"/>
        </w:rPr>
        <w:t>合同</w:t>
      </w:r>
      <w:r>
        <w:rPr>
          <w:rFonts w:hint="eastAsia" w:ascii="仿宋" w:hAnsi="仿宋" w:eastAsia="仿宋" w:cs="宋体"/>
          <w:color w:val="auto"/>
          <w:sz w:val="24"/>
          <w:highlight w:val="none"/>
        </w:rPr>
        <w:t>一式</w:t>
      </w:r>
      <w:r>
        <w:rPr>
          <w:rFonts w:hint="eastAsia" w:ascii="仿宋" w:hAnsi="仿宋" w:eastAsia="仿宋" w:cs="宋体"/>
          <w:color w:val="auto"/>
          <w:sz w:val="24"/>
          <w:highlight w:val="none"/>
          <w:lang w:val="en-US" w:eastAsia="zh-CN"/>
        </w:rPr>
        <w:t>柒</w:t>
      </w:r>
      <w:r>
        <w:rPr>
          <w:rFonts w:hint="eastAsia" w:ascii="仿宋" w:hAnsi="仿宋" w:eastAsia="仿宋" w:cs="宋体"/>
          <w:color w:val="auto"/>
          <w:sz w:val="24"/>
          <w:highlight w:val="none"/>
        </w:rPr>
        <w:t>份，装订在</w:t>
      </w:r>
      <w:r>
        <w:rPr>
          <w:rFonts w:hint="eastAsia" w:ascii="仿宋" w:hAnsi="仿宋" w:eastAsia="仿宋"/>
          <w:color w:val="auto"/>
          <w:sz w:val="24"/>
          <w:highlight w:val="none"/>
        </w:rPr>
        <w:t>医疗设备</w:t>
      </w:r>
      <w:r>
        <w:rPr>
          <w:rFonts w:hint="eastAsia" w:ascii="仿宋" w:hAnsi="仿宋" w:eastAsia="仿宋"/>
          <w:color w:val="auto"/>
          <w:sz w:val="24"/>
          <w:highlight w:val="none"/>
          <w:lang w:val="en-US" w:eastAsia="zh-CN"/>
        </w:rPr>
        <w:t>采购</w:t>
      </w:r>
      <w:r>
        <w:rPr>
          <w:rFonts w:hint="eastAsia" w:ascii="仿宋" w:hAnsi="仿宋" w:eastAsia="仿宋"/>
          <w:color w:val="auto"/>
          <w:sz w:val="24"/>
          <w:highlight w:val="none"/>
        </w:rPr>
        <w:t>合同</w:t>
      </w:r>
      <w:r>
        <w:rPr>
          <w:rFonts w:hint="eastAsia" w:ascii="仿宋" w:hAnsi="仿宋" w:eastAsia="仿宋"/>
          <w:color w:val="auto"/>
          <w:sz w:val="24"/>
          <w:highlight w:val="none"/>
          <w:lang w:eastAsia="zh-CN"/>
        </w:rPr>
        <w:t>的</w:t>
      </w:r>
      <w:r>
        <w:rPr>
          <w:rFonts w:hint="eastAsia" w:ascii="仿宋" w:hAnsi="仿宋" w:eastAsia="仿宋"/>
          <w:color w:val="auto"/>
          <w:sz w:val="24"/>
          <w:highlight w:val="none"/>
        </w:rPr>
        <w:t>末页，</w:t>
      </w:r>
      <w:r>
        <w:rPr>
          <w:rFonts w:hint="eastAsia" w:ascii="仿宋" w:hAnsi="仿宋" w:eastAsia="仿宋" w:cs="宋体"/>
          <w:color w:val="auto"/>
          <w:sz w:val="24"/>
          <w:highlight w:val="none"/>
        </w:rPr>
        <w:t>自签字</w:t>
      </w:r>
      <w:r>
        <w:rPr>
          <w:rFonts w:hint="eastAsia" w:ascii="仿宋" w:hAnsi="仿宋" w:eastAsia="仿宋" w:cs="宋体"/>
          <w:color w:val="auto"/>
          <w:sz w:val="24"/>
          <w:highlight w:val="none"/>
          <w:lang w:val="en-US" w:eastAsia="zh-CN"/>
        </w:rPr>
        <w:t>及</w:t>
      </w:r>
      <w:r>
        <w:rPr>
          <w:rFonts w:hint="eastAsia" w:ascii="仿宋" w:hAnsi="仿宋" w:eastAsia="仿宋" w:cs="宋体"/>
          <w:color w:val="auto"/>
          <w:sz w:val="24"/>
          <w:highlight w:val="none"/>
        </w:rPr>
        <w:t>盖章之日起生效。</w:t>
      </w:r>
    </w:p>
    <w:p w14:paraId="3AC2DA06">
      <w:pPr>
        <w:keepNext w:val="0"/>
        <w:keepLines w:val="0"/>
        <w:pageBreakBefore w:val="0"/>
        <w:kinsoku/>
        <w:wordWrap/>
        <w:overflowPunct/>
        <w:topLinePunct w:val="0"/>
        <w:bidi w:val="0"/>
        <w:spacing w:line="440" w:lineRule="exact"/>
        <w:ind w:firstLine="480" w:firstLineChars="200"/>
        <w:rPr>
          <w:rFonts w:hint="eastAsia" w:ascii="仿宋" w:hAnsi="仿宋" w:eastAsia="仿宋" w:cs="宋体"/>
          <w:color w:val="auto"/>
          <w:sz w:val="24"/>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1"/>
        <w:gridCol w:w="4902"/>
      </w:tblGrid>
      <w:tr w14:paraId="5374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1" w:type="dxa"/>
            <w:noWrap w:val="0"/>
            <w:vAlign w:val="top"/>
          </w:tcPr>
          <w:p w14:paraId="57CE0C5C">
            <w:pPr>
              <w:keepNext w:val="0"/>
              <w:keepLines w:val="0"/>
              <w:pageBreakBefore w:val="0"/>
              <w:kinsoku/>
              <w:wordWrap/>
              <w:overflowPunct/>
              <w:topLinePunct w:val="0"/>
              <w:bidi w:val="0"/>
              <w:spacing w:line="440" w:lineRule="exact"/>
              <w:rPr>
                <w:rFonts w:hint="default" w:ascii="仿宋" w:hAnsi="仿宋" w:eastAsia="仿宋" w:cs="宋体"/>
                <w:color w:val="auto"/>
                <w:sz w:val="24"/>
                <w:highlight w:val="none"/>
                <w:vertAlign w:val="baseline"/>
                <w:lang w:val="en-US" w:eastAsia="zh-CN"/>
              </w:rPr>
            </w:pPr>
            <w:r>
              <w:rPr>
                <w:rFonts w:hint="eastAsia" w:ascii="仿宋" w:hAnsi="仿宋" w:eastAsia="仿宋" w:cs="宋体"/>
                <w:color w:val="auto"/>
                <w:sz w:val="24"/>
                <w:highlight w:val="none"/>
                <w:vertAlign w:val="baseline"/>
                <w:lang w:val="en-US" w:eastAsia="zh-CN"/>
              </w:rPr>
              <w:t>甲方（章）：桂林医学院第二附属医院</w:t>
            </w:r>
          </w:p>
        </w:tc>
        <w:tc>
          <w:tcPr>
            <w:tcW w:w="4902" w:type="dxa"/>
            <w:noWrap w:val="0"/>
            <w:vAlign w:val="top"/>
          </w:tcPr>
          <w:p w14:paraId="164E0777">
            <w:pPr>
              <w:keepNext w:val="0"/>
              <w:keepLines w:val="0"/>
              <w:pageBreakBefore w:val="0"/>
              <w:kinsoku/>
              <w:wordWrap/>
              <w:overflowPunct/>
              <w:topLinePunct w:val="0"/>
              <w:bidi w:val="0"/>
              <w:spacing w:line="440" w:lineRule="exact"/>
              <w:rPr>
                <w:rFonts w:hint="default" w:ascii="仿宋" w:hAnsi="仿宋" w:eastAsia="仿宋" w:cs="宋体"/>
                <w:color w:val="auto"/>
                <w:sz w:val="24"/>
                <w:highlight w:val="none"/>
                <w:vertAlign w:val="baseline"/>
                <w:lang w:val="en-US" w:eastAsia="zh-CN"/>
              </w:rPr>
            </w:pPr>
            <w:r>
              <w:rPr>
                <w:rFonts w:hint="eastAsia" w:ascii="仿宋" w:hAnsi="仿宋" w:eastAsia="仿宋" w:cs="宋体"/>
                <w:color w:val="auto"/>
                <w:sz w:val="24"/>
                <w:highlight w:val="none"/>
                <w:vertAlign w:val="baseline"/>
                <w:lang w:val="en-US" w:eastAsia="zh-CN"/>
              </w:rPr>
              <w:t>乙方（章：）</w:t>
            </w:r>
          </w:p>
        </w:tc>
      </w:tr>
      <w:tr w14:paraId="79AA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1" w:type="dxa"/>
            <w:noWrap w:val="0"/>
            <w:vAlign w:val="top"/>
          </w:tcPr>
          <w:p w14:paraId="25D00324">
            <w:pPr>
              <w:keepNext w:val="0"/>
              <w:keepLines w:val="0"/>
              <w:pageBreakBefore w:val="0"/>
              <w:kinsoku/>
              <w:wordWrap/>
              <w:overflowPunct/>
              <w:topLinePunct w:val="0"/>
              <w:bidi w:val="0"/>
              <w:spacing w:line="440" w:lineRule="exact"/>
              <w:rPr>
                <w:rFonts w:hint="default" w:ascii="仿宋" w:hAnsi="仿宋" w:eastAsia="仿宋" w:cs="宋体"/>
                <w:color w:val="auto"/>
                <w:sz w:val="24"/>
                <w:highlight w:val="none"/>
                <w:vertAlign w:val="baseline"/>
                <w:lang w:val="en-US" w:eastAsia="zh-CN"/>
              </w:rPr>
            </w:pPr>
            <w:r>
              <w:rPr>
                <w:rFonts w:hint="eastAsia" w:ascii="仿宋" w:hAnsi="仿宋" w:eastAsia="仿宋" w:cs="宋体"/>
                <w:color w:val="auto"/>
                <w:sz w:val="24"/>
                <w:highlight w:val="none"/>
                <w:vertAlign w:val="baseline"/>
                <w:lang w:val="en-US" w:eastAsia="zh-CN"/>
              </w:rPr>
              <w:t>法定代表人：</w:t>
            </w:r>
          </w:p>
        </w:tc>
        <w:tc>
          <w:tcPr>
            <w:tcW w:w="4902" w:type="dxa"/>
            <w:noWrap w:val="0"/>
            <w:vAlign w:val="top"/>
          </w:tcPr>
          <w:p w14:paraId="7E5D14BD">
            <w:pPr>
              <w:keepNext w:val="0"/>
              <w:keepLines w:val="0"/>
              <w:pageBreakBefore w:val="0"/>
              <w:kinsoku/>
              <w:wordWrap/>
              <w:overflowPunct/>
              <w:topLinePunct w:val="0"/>
              <w:bidi w:val="0"/>
              <w:spacing w:line="440" w:lineRule="exact"/>
              <w:rPr>
                <w:rFonts w:hint="default" w:ascii="仿宋" w:hAnsi="仿宋" w:eastAsia="仿宋" w:cs="宋体"/>
                <w:color w:val="auto"/>
                <w:sz w:val="24"/>
                <w:highlight w:val="none"/>
                <w:vertAlign w:val="baseline"/>
                <w:lang w:val="en-US" w:eastAsia="zh-CN"/>
              </w:rPr>
            </w:pPr>
            <w:r>
              <w:rPr>
                <w:rFonts w:hint="eastAsia" w:ascii="仿宋" w:hAnsi="仿宋" w:eastAsia="仿宋" w:cs="宋体"/>
                <w:color w:val="auto"/>
                <w:sz w:val="24"/>
                <w:highlight w:val="none"/>
                <w:vertAlign w:val="baseline"/>
                <w:lang w:val="en-US" w:eastAsia="zh-CN"/>
              </w:rPr>
              <w:t>法定代表人：</w:t>
            </w:r>
          </w:p>
        </w:tc>
      </w:tr>
      <w:tr w14:paraId="5504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3" w:type="dxa"/>
            <w:gridSpan w:val="2"/>
            <w:noWrap w:val="0"/>
            <w:vAlign w:val="top"/>
          </w:tcPr>
          <w:p w14:paraId="10800C39">
            <w:pPr>
              <w:keepNext w:val="0"/>
              <w:keepLines w:val="0"/>
              <w:pageBreakBefore w:val="0"/>
              <w:kinsoku/>
              <w:wordWrap/>
              <w:overflowPunct/>
              <w:topLinePunct w:val="0"/>
              <w:bidi w:val="0"/>
              <w:spacing w:line="440" w:lineRule="exact"/>
              <w:ind w:firstLine="3600" w:firstLineChars="1500"/>
              <w:rPr>
                <w:rFonts w:hint="eastAsia" w:ascii="仿宋" w:hAnsi="仿宋" w:eastAsia="仿宋" w:cs="宋体"/>
                <w:color w:val="auto"/>
                <w:sz w:val="24"/>
                <w:highlight w:val="none"/>
                <w:vertAlign w:val="baseline"/>
                <w:lang w:val="en-US" w:eastAsia="zh-CN"/>
              </w:rPr>
            </w:pPr>
            <w:r>
              <w:rPr>
                <w:rFonts w:hint="eastAsia" w:ascii="仿宋" w:hAnsi="仿宋" w:eastAsia="仿宋" w:cs="宋体"/>
                <w:color w:val="auto"/>
                <w:sz w:val="24"/>
                <w:highlight w:val="none"/>
                <w:lang w:val="en-US" w:eastAsia="zh-CN"/>
              </w:rPr>
              <w:t xml:space="preserve">签订日期：  2025 </w:t>
            </w:r>
            <w:r>
              <w:rPr>
                <w:rFonts w:hint="eastAsia" w:ascii="仿宋" w:hAnsi="仿宋" w:eastAsia="仿宋" w:cs="宋体"/>
                <w:color w:val="auto"/>
                <w:sz w:val="24"/>
                <w:highlight w:val="none"/>
              </w:rPr>
              <w:t xml:space="preserve">年  </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rPr>
              <w:t xml:space="preserve"> 月</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rPr>
              <w:t xml:space="preserve">  日</w:t>
            </w:r>
          </w:p>
        </w:tc>
      </w:tr>
    </w:tbl>
    <w:p w14:paraId="61A78616">
      <w:pPr>
        <w:keepNext w:val="0"/>
        <w:keepLines w:val="0"/>
        <w:pageBreakBefore w:val="0"/>
        <w:kinsoku/>
        <w:wordWrap/>
        <w:overflowPunct/>
        <w:topLinePunct w:val="0"/>
        <w:bidi w:val="0"/>
        <w:spacing w:line="440" w:lineRule="exact"/>
        <w:jc w:val="center"/>
        <w:outlineLvl w:val="0"/>
        <w:rPr>
          <w:rFonts w:ascii="宋体" w:hAnsi="宋体" w:cs="宋体"/>
          <w:b/>
          <w:bCs/>
          <w:color w:val="auto"/>
          <w:kern w:val="44"/>
          <w:sz w:val="32"/>
          <w:szCs w:val="32"/>
          <w:highlight w:val="none"/>
        </w:rPr>
      </w:pPr>
    </w:p>
    <w:p w14:paraId="143270B8">
      <w:pPr>
        <w:keepNext w:val="0"/>
        <w:keepLines w:val="0"/>
        <w:pageBreakBefore w:val="0"/>
        <w:kinsoku/>
        <w:wordWrap/>
        <w:overflowPunct/>
        <w:topLinePunct w:val="0"/>
        <w:bidi w:val="0"/>
        <w:spacing w:line="440" w:lineRule="exact"/>
        <w:jc w:val="center"/>
        <w:outlineLvl w:val="0"/>
        <w:rPr>
          <w:rFonts w:ascii="宋体" w:hAnsi="宋体" w:cs="宋体"/>
          <w:color w:val="auto"/>
          <w:sz w:val="32"/>
          <w:szCs w:val="32"/>
          <w:highlight w:val="none"/>
        </w:rPr>
      </w:pPr>
      <w:r>
        <w:rPr>
          <w:rFonts w:hint="eastAsia" w:ascii="宋体" w:hAnsi="宋体" w:cs="宋体"/>
          <w:b/>
          <w:bCs/>
          <w:color w:val="auto"/>
          <w:kern w:val="44"/>
          <w:sz w:val="32"/>
          <w:szCs w:val="32"/>
          <w:highlight w:val="none"/>
        </w:rPr>
        <w:t>第六章  投标文件（格式）</w:t>
      </w:r>
      <w:bookmarkEnd w:id="280"/>
      <w:bookmarkEnd w:id="281"/>
      <w:bookmarkEnd w:id="282"/>
      <w:bookmarkEnd w:id="283"/>
    </w:p>
    <w:p w14:paraId="7875279C">
      <w:pPr>
        <w:keepNext w:val="0"/>
        <w:keepLines w:val="0"/>
        <w:pageBreakBefore w:val="0"/>
        <w:kinsoku/>
        <w:wordWrap/>
        <w:overflowPunct/>
        <w:topLinePunct w:val="0"/>
        <w:bidi w:val="0"/>
        <w:spacing w:line="440" w:lineRule="exact"/>
        <w:rPr>
          <w:b/>
          <w:bCs/>
          <w:color w:val="auto"/>
          <w:sz w:val="30"/>
          <w:szCs w:val="30"/>
          <w:highlight w:val="none"/>
        </w:rPr>
      </w:pPr>
      <w:bookmarkStart w:id="284" w:name="_Toc486867150"/>
      <w:bookmarkStart w:id="285" w:name="_Toc486695806"/>
      <w:bookmarkStart w:id="286" w:name="_Toc498627082"/>
      <w:bookmarkStart w:id="287" w:name="_Toc498698226"/>
      <w:bookmarkStart w:id="288" w:name="_Toc478137727"/>
      <w:bookmarkStart w:id="289" w:name="_Toc1762"/>
      <w:bookmarkStart w:id="290" w:name="_Toc31410"/>
      <w:r>
        <w:rPr>
          <w:rFonts w:hint="eastAsia"/>
          <w:b/>
          <w:bCs/>
          <w:color w:val="auto"/>
          <w:sz w:val="30"/>
          <w:szCs w:val="30"/>
          <w:highlight w:val="none"/>
        </w:rPr>
        <w:t>投标文件封面格式</w:t>
      </w:r>
      <w:bookmarkEnd w:id="284"/>
      <w:bookmarkEnd w:id="285"/>
      <w:bookmarkEnd w:id="286"/>
      <w:bookmarkEnd w:id="287"/>
      <w:bookmarkEnd w:id="288"/>
      <w:r>
        <w:rPr>
          <w:rFonts w:hint="eastAsia"/>
          <w:b/>
          <w:bCs/>
          <w:color w:val="auto"/>
          <w:sz w:val="30"/>
          <w:szCs w:val="30"/>
          <w:highlight w:val="none"/>
        </w:rPr>
        <w:t>：</w:t>
      </w:r>
      <w:bookmarkEnd w:id="289"/>
      <w:bookmarkEnd w:id="290"/>
    </w:p>
    <w:p w14:paraId="67992C82">
      <w:pPr>
        <w:pStyle w:val="49"/>
        <w:keepNext w:val="0"/>
        <w:keepLines w:val="0"/>
        <w:pageBreakBefore w:val="0"/>
        <w:kinsoku/>
        <w:wordWrap/>
        <w:overflowPunct/>
        <w:topLinePunct w:val="0"/>
        <w:bidi w:val="0"/>
        <w:spacing w:line="440" w:lineRule="exact"/>
        <w:rPr>
          <w:rFonts w:ascii="宋体" w:hAnsi="宋体" w:cs="宋体"/>
          <w:b/>
          <w:color w:val="auto"/>
          <w:sz w:val="44"/>
          <w:szCs w:val="44"/>
          <w:highlight w:val="none"/>
        </w:rPr>
      </w:pPr>
    </w:p>
    <w:p w14:paraId="381F0755">
      <w:pPr>
        <w:pStyle w:val="49"/>
        <w:keepNext w:val="0"/>
        <w:keepLines w:val="0"/>
        <w:pageBreakBefore w:val="0"/>
        <w:kinsoku/>
        <w:wordWrap/>
        <w:overflowPunct/>
        <w:topLinePunct w:val="0"/>
        <w:bidi w:val="0"/>
        <w:spacing w:line="440" w:lineRule="exact"/>
        <w:rPr>
          <w:rFonts w:ascii="宋体" w:hAnsi="宋体" w:cs="宋体"/>
          <w:b/>
          <w:color w:val="auto"/>
          <w:sz w:val="44"/>
          <w:szCs w:val="44"/>
          <w:highlight w:val="none"/>
        </w:rPr>
      </w:pPr>
    </w:p>
    <w:p w14:paraId="00ABE4BA">
      <w:pPr>
        <w:pStyle w:val="49"/>
        <w:keepNext w:val="0"/>
        <w:keepLines w:val="0"/>
        <w:pageBreakBefore w:val="0"/>
        <w:kinsoku/>
        <w:wordWrap/>
        <w:overflowPunct/>
        <w:topLinePunct w:val="0"/>
        <w:bidi w:val="0"/>
        <w:spacing w:line="440" w:lineRule="exact"/>
        <w:rPr>
          <w:rFonts w:ascii="宋体" w:hAnsi="宋体" w:cs="宋体"/>
          <w:b/>
          <w:color w:val="auto"/>
          <w:sz w:val="44"/>
          <w:szCs w:val="44"/>
          <w:highlight w:val="none"/>
        </w:rPr>
      </w:pPr>
    </w:p>
    <w:p w14:paraId="2326CBEF">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ascii="宋体" w:hAnsi="宋体" w:cs="宋体"/>
          <w:b/>
          <w:color w:val="auto"/>
          <w:sz w:val="44"/>
          <w:szCs w:val="44"/>
          <w:highlight w:val="none"/>
        </w:rPr>
      </w:pPr>
      <w:bookmarkStart w:id="291" w:name="_Toc3441_WPSOffice_Level1"/>
      <w:bookmarkStart w:id="292" w:name="_Toc13659_WPSOffice_Level1"/>
      <w:r>
        <w:rPr>
          <w:rFonts w:hint="eastAsia" w:ascii="宋体" w:hAnsi="宋体" w:cs="宋体"/>
          <w:bCs/>
          <w:color w:val="auto"/>
          <w:sz w:val="72"/>
          <w:szCs w:val="72"/>
          <w:highlight w:val="none"/>
        </w:rPr>
        <w:t>投标文件</w:t>
      </w:r>
      <w:bookmarkEnd w:id="291"/>
      <w:bookmarkEnd w:id="292"/>
    </w:p>
    <w:p w14:paraId="5500FACB">
      <w:pPr>
        <w:keepNext w:val="0"/>
        <w:keepLines w:val="0"/>
        <w:pageBreakBefore w:val="0"/>
        <w:kinsoku/>
        <w:wordWrap/>
        <w:overflowPunct/>
        <w:topLinePunct w:val="0"/>
        <w:bidi w:val="0"/>
        <w:adjustRightInd w:val="0"/>
        <w:snapToGrid w:val="0"/>
        <w:spacing w:line="440" w:lineRule="exact"/>
        <w:rPr>
          <w:rFonts w:ascii="宋体" w:hAnsi="宋体" w:cs="宋体"/>
          <w:b/>
          <w:color w:val="auto"/>
          <w:sz w:val="44"/>
          <w:szCs w:val="44"/>
          <w:highlight w:val="none"/>
        </w:rPr>
      </w:pPr>
    </w:p>
    <w:p w14:paraId="767E4A04">
      <w:pPr>
        <w:keepNext w:val="0"/>
        <w:keepLines w:val="0"/>
        <w:pageBreakBefore w:val="0"/>
        <w:kinsoku/>
        <w:wordWrap/>
        <w:overflowPunct/>
        <w:topLinePunct w:val="0"/>
        <w:bidi w:val="0"/>
        <w:adjustRightInd w:val="0"/>
        <w:snapToGrid w:val="0"/>
        <w:spacing w:line="440" w:lineRule="exact"/>
        <w:rPr>
          <w:rFonts w:ascii="宋体" w:hAnsi="宋体" w:cs="宋体"/>
          <w:b/>
          <w:color w:val="auto"/>
          <w:sz w:val="44"/>
          <w:szCs w:val="44"/>
          <w:highlight w:val="none"/>
        </w:rPr>
      </w:pPr>
    </w:p>
    <w:p w14:paraId="4589A8BB">
      <w:pPr>
        <w:pStyle w:val="133"/>
        <w:keepNext w:val="0"/>
        <w:keepLines w:val="0"/>
        <w:pageBreakBefore w:val="0"/>
        <w:kinsoku/>
        <w:wordWrap/>
        <w:overflowPunct/>
        <w:topLinePunct w:val="0"/>
        <w:bidi w:val="0"/>
        <w:spacing w:line="440" w:lineRule="exact"/>
        <w:ind w:firstLine="883"/>
        <w:rPr>
          <w:rFonts w:ascii="宋体" w:hAnsi="宋体" w:cs="宋体"/>
          <w:b/>
          <w:color w:val="auto"/>
          <w:sz w:val="44"/>
          <w:szCs w:val="44"/>
          <w:highlight w:val="none"/>
        </w:rPr>
      </w:pPr>
    </w:p>
    <w:p w14:paraId="7C039641">
      <w:pPr>
        <w:keepNext w:val="0"/>
        <w:keepLines w:val="0"/>
        <w:pageBreakBefore w:val="0"/>
        <w:kinsoku/>
        <w:wordWrap/>
        <w:overflowPunct/>
        <w:topLinePunct w:val="0"/>
        <w:bidi w:val="0"/>
        <w:spacing w:line="440" w:lineRule="exact"/>
        <w:ind w:firstLine="2400" w:firstLineChars="800"/>
        <w:rPr>
          <w:rFonts w:ascii="宋体" w:hAnsi="宋体" w:cs="宋体"/>
          <w:color w:val="auto"/>
          <w:sz w:val="30"/>
          <w:szCs w:val="30"/>
          <w:highlight w:val="none"/>
        </w:rPr>
      </w:pPr>
      <w:r>
        <w:rPr>
          <w:rFonts w:hint="eastAsia" w:ascii="宋体" w:hAnsi="宋体" w:cs="宋体"/>
          <w:bCs/>
          <w:color w:val="auto"/>
          <w:sz w:val="30"/>
          <w:szCs w:val="30"/>
          <w:highlight w:val="none"/>
        </w:rPr>
        <w:t>项目名称：</w:t>
      </w:r>
    </w:p>
    <w:p w14:paraId="342CA146">
      <w:pPr>
        <w:keepNext w:val="0"/>
        <w:keepLines w:val="0"/>
        <w:pageBreakBefore w:val="0"/>
        <w:kinsoku/>
        <w:wordWrap/>
        <w:overflowPunct/>
        <w:topLinePunct w:val="0"/>
        <w:bidi w:val="0"/>
        <w:spacing w:line="440" w:lineRule="exact"/>
        <w:ind w:firstLine="2400" w:firstLineChars="800"/>
        <w:rPr>
          <w:rFonts w:ascii="宋体" w:hAnsi="宋体" w:cs="宋体"/>
          <w:bCs/>
          <w:color w:val="auto"/>
          <w:sz w:val="30"/>
          <w:szCs w:val="30"/>
          <w:highlight w:val="none"/>
          <w:u w:val="single"/>
        </w:rPr>
      </w:pPr>
      <w:r>
        <w:rPr>
          <w:rFonts w:hint="eastAsia" w:ascii="宋体" w:hAnsi="宋体" w:cs="宋体"/>
          <w:bCs/>
          <w:color w:val="auto"/>
          <w:sz w:val="30"/>
          <w:szCs w:val="30"/>
          <w:highlight w:val="none"/>
        </w:rPr>
        <w:t>项目编号：</w:t>
      </w:r>
    </w:p>
    <w:p w14:paraId="359AE9E5">
      <w:pPr>
        <w:keepNext w:val="0"/>
        <w:keepLines w:val="0"/>
        <w:pageBreakBefore w:val="0"/>
        <w:kinsoku/>
        <w:wordWrap/>
        <w:overflowPunct/>
        <w:topLinePunct w:val="0"/>
        <w:bidi w:val="0"/>
        <w:spacing w:line="440" w:lineRule="exact"/>
        <w:ind w:firstLine="741" w:firstLineChars="353"/>
        <w:rPr>
          <w:rFonts w:ascii="宋体" w:hAnsi="宋体" w:cs="宋体"/>
          <w:color w:val="auto"/>
          <w:highlight w:val="none"/>
        </w:rPr>
      </w:pPr>
    </w:p>
    <w:p w14:paraId="42423BCD">
      <w:pPr>
        <w:keepNext w:val="0"/>
        <w:keepLines w:val="0"/>
        <w:pageBreakBefore w:val="0"/>
        <w:kinsoku/>
        <w:wordWrap/>
        <w:overflowPunct/>
        <w:topLinePunct w:val="0"/>
        <w:bidi w:val="0"/>
        <w:snapToGrid w:val="0"/>
        <w:spacing w:beforeLines="50" w:after="50" w:line="440" w:lineRule="exact"/>
        <w:ind w:firstLine="1260" w:firstLineChars="450"/>
        <w:rPr>
          <w:rFonts w:ascii="宋体" w:hAnsi="宋体" w:cs="宋体"/>
          <w:bCs/>
          <w:color w:val="auto"/>
          <w:sz w:val="28"/>
          <w:szCs w:val="28"/>
          <w:highlight w:val="none"/>
        </w:rPr>
      </w:pPr>
    </w:p>
    <w:p w14:paraId="77FA1E93">
      <w:pPr>
        <w:pStyle w:val="133"/>
        <w:keepNext w:val="0"/>
        <w:keepLines w:val="0"/>
        <w:pageBreakBefore w:val="0"/>
        <w:kinsoku/>
        <w:wordWrap/>
        <w:overflowPunct/>
        <w:topLinePunct w:val="0"/>
        <w:bidi w:val="0"/>
        <w:spacing w:line="440" w:lineRule="exact"/>
        <w:rPr>
          <w:color w:val="auto"/>
          <w:highlight w:val="none"/>
        </w:rPr>
      </w:pPr>
    </w:p>
    <w:p w14:paraId="05A24808">
      <w:pPr>
        <w:pStyle w:val="49"/>
        <w:keepNext w:val="0"/>
        <w:keepLines w:val="0"/>
        <w:pageBreakBefore w:val="0"/>
        <w:kinsoku/>
        <w:wordWrap/>
        <w:overflowPunct/>
        <w:topLinePunct w:val="0"/>
        <w:bidi w:val="0"/>
        <w:spacing w:line="440" w:lineRule="exact"/>
        <w:rPr>
          <w:color w:val="auto"/>
          <w:highlight w:val="none"/>
        </w:rPr>
      </w:pPr>
    </w:p>
    <w:p w14:paraId="692740AB">
      <w:pPr>
        <w:keepNext w:val="0"/>
        <w:keepLines w:val="0"/>
        <w:pageBreakBefore w:val="0"/>
        <w:kinsoku/>
        <w:wordWrap/>
        <w:overflowPunct/>
        <w:topLinePunct w:val="0"/>
        <w:bidi w:val="0"/>
        <w:snapToGrid w:val="0"/>
        <w:spacing w:beforeLines="50" w:after="50" w:line="440" w:lineRule="exact"/>
        <w:rPr>
          <w:rFonts w:ascii="宋体" w:hAnsi="宋体" w:cs="宋体"/>
          <w:bCs/>
          <w:color w:val="auto"/>
          <w:sz w:val="28"/>
          <w:szCs w:val="28"/>
          <w:highlight w:val="none"/>
        </w:rPr>
      </w:pPr>
    </w:p>
    <w:p w14:paraId="0EDC61C9">
      <w:pPr>
        <w:keepNext w:val="0"/>
        <w:keepLines w:val="0"/>
        <w:pageBreakBefore w:val="0"/>
        <w:kinsoku/>
        <w:wordWrap/>
        <w:overflowPunct/>
        <w:topLinePunct w:val="0"/>
        <w:bidi w:val="0"/>
        <w:spacing w:line="440" w:lineRule="exact"/>
        <w:ind w:firstLine="964" w:firstLineChars="300"/>
        <w:jc w:val="left"/>
        <w:rPr>
          <w:rFonts w:ascii="宋体" w:hAnsi="宋体" w:cs="宋体"/>
          <w:b/>
          <w:color w:val="auto"/>
          <w:sz w:val="32"/>
          <w:szCs w:val="32"/>
          <w:highlight w:val="none"/>
        </w:rPr>
      </w:pPr>
    </w:p>
    <w:p w14:paraId="16623F5E">
      <w:pPr>
        <w:pStyle w:val="15"/>
        <w:keepNext w:val="0"/>
        <w:keepLines w:val="0"/>
        <w:pageBreakBefore w:val="0"/>
        <w:kinsoku/>
        <w:wordWrap/>
        <w:overflowPunct/>
        <w:topLinePunct w:val="0"/>
        <w:bidi w:val="0"/>
        <w:spacing w:line="440" w:lineRule="exact"/>
        <w:ind w:left="980" w:hanging="560" w:hangingChars="2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采购代理机构：</w:t>
      </w:r>
      <w:r>
        <w:rPr>
          <w:rFonts w:hint="eastAsia" w:ascii="宋体" w:hAnsi="宋体" w:cs="宋体"/>
          <w:bCs/>
          <w:color w:val="auto"/>
          <w:sz w:val="28"/>
          <w:szCs w:val="28"/>
          <w:highlight w:val="none"/>
          <w:u w:val="single"/>
        </w:rPr>
        <w:t>广西奥金斯项目管理有限公司</w:t>
      </w:r>
    </w:p>
    <w:p w14:paraId="66EC2602">
      <w:pPr>
        <w:pStyle w:val="15"/>
        <w:keepNext w:val="0"/>
        <w:keepLines w:val="0"/>
        <w:pageBreakBefore w:val="0"/>
        <w:kinsoku/>
        <w:wordWrap/>
        <w:overflowPunct/>
        <w:topLinePunct w:val="0"/>
        <w:bidi w:val="0"/>
        <w:spacing w:line="440" w:lineRule="exact"/>
        <w:ind w:left="980" w:hanging="560" w:hangingChars="200"/>
        <w:rPr>
          <w:rFonts w:hint="eastAsia" w:ascii="宋体" w:hAnsi="宋体" w:cs="宋体"/>
          <w:bCs/>
          <w:color w:val="auto"/>
          <w:sz w:val="28"/>
          <w:szCs w:val="28"/>
          <w:highlight w:val="none"/>
          <w:u w:val="single"/>
        </w:rPr>
      </w:pPr>
    </w:p>
    <w:p w14:paraId="48858002">
      <w:pPr>
        <w:pStyle w:val="15"/>
        <w:keepNext w:val="0"/>
        <w:keepLines w:val="0"/>
        <w:pageBreakBefore w:val="0"/>
        <w:kinsoku/>
        <w:wordWrap/>
        <w:overflowPunct/>
        <w:topLinePunct w:val="0"/>
        <w:bidi w:val="0"/>
        <w:spacing w:line="440" w:lineRule="exact"/>
        <w:ind w:left="980" w:hanging="560" w:hangingChars="200"/>
        <w:rPr>
          <w:rFonts w:hint="eastAsia" w:ascii="宋体" w:hAnsi="宋体" w:cs="宋体"/>
          <w:bCs/>
          <w:color w:val="auto"/>
          <w:sz w:val="28"/>
          <w:szCs w:val="28"/>
          <w:highlight w:val="none"/>
        </w:rPr>
      </w:pPr>
      <w:bookmarkStart w:id="293" w:name="_Toc20319_WPSOffice_Level2"/>
      <w:bookmarkStart w:id="294" w:name="_Toc4932_WPSOffice_Level2"/>
      <w:r>
        <w:rPr>
          <w:rFonts w:hint="eastAsia" w:ascii="宋体" w:hAnsi="宋体" w:cs="宋体"/>
          <w:bCs/>
          <w:color w:val="auto"/>
          <w:sz w:val="28"/>
          <w:szCs w:val="28"/>
          <w:highlight w:val="none"/>
        </w:rPr>
        <w:t>投标人（CA签章、自然人除外）：</w:t>
      </w:r>
      <w:bookmarkEnd w:id="293"/>
      <w:bookmarkEnd w:id="294"/>
    </w:p>
    <w:p w14:paraId="37952A86">
      <w:pPr>
        <w:pStyle w:val="15"/>
        <w:keepNext w:val="0"/>
        <w:keepLines w:val="0"/>
        <w:pageBreakBefore w:val="0"/>
        <w:kinsoku/>
        <w:wordWrap/>
        <w:overflowPunct/>
        <w:topLinePunct w:val="0"/>
        <w:bidi w:val="0"/>
        <w:spacing w:line="440" w:lineRule="exact"/>
        <w:ind w:left="980" w:hanging="560" w:hangingChars="200"/>
        <w:rPr>
          <w:rFonts w:hint="eastAsia" w:ascii="宋体" w:hAnsi="宋体" w:cs="宋体"/>
          <w:bCs/>
          <w:color w:val="auto"/>
          <w:sz w:val="28"/>
          <w:szCs w:val="28"/>
          <w:highlight w:val="none"/>
        </w:rPr>
      </w:pPr>
    </w:p>
    <w:p w14:paraId="083FC36F">
      <w:pPr>
        <w:pStyle w:val="17"/>
        <w:keepNext w:val="0"/>
        <w:keepLines w:val="0"/>
        <w:pageBreakBefore w:val="0"/>
        <w:kinsoku/>
        <w:wordWrap/>
        <w:overflowPunct/>
        <w:topLinePunct w:val="0"/>
        <w:bidi w:val="0"/>
        <w:spacing w:line="440" w:lineRule="exact"/>
        <w:ind w:firstLine="420"/>
        <w:rPr>
          <w:rFonts w:hint="eastAsia" w:hAnsi="宋体" w:cs="宋体"/>
          <w:color w:val="auto"/>
          <w:sz w:val="28"/>
          <w:szCs w:val="28"/>
          <w:highlight w:val="none"/>
        </w:rPr>
      </w:pPr>
      <w:bookmarkStart w:id="295" w:name="_Toc4767_WPSOffice_Level2"/>
      <w:bookmarkStart w:id="296" w:name="_Toc11679_WPSOffice_Level2"/>
      <w:r>
        <w:rPr>
          <w:rFonts w:hint="eastAsia" w:hAnsi="宋体" w:cs="宋体"/>
          <w:color w:val="auto"/>
          <w:sz w:val="28"/>
          <w:szCs w:val="28"/>
          <w:highlight w:val="none"/>
        </w:rPr>
        <w:t>法定代表人、负责人、自然人或相应的委托代理人签字（或盖章/个人CA签章）（属自然人的应在签名处加盖大拇指指印）：</w:t>
      </w:r>
      <w:bookmarkEnd w:id="295"/>
      <w:bookmarkEnd w:id="296"/>
      <w:bookmarkStart w:id="297" w:name="_Toc32056_WPSOffice_Level2"/>
      <w:bookmarkStart w:id="298" w:name="_Toc9622_WPSOffice_Level2"/>
    </w:p>
    <w:p w14:paraId="0E290528">
      <w:pPr>
        <w:pStyle w:val="7"/>
        <w:keepNext w:val="0"/>
        <w:keepLines w:val="0"/>
        <w:pageBreakBefore w:val="0"/>
        <w:kinsoku/>
        <w:wordWrap/>
        <w:overflowPunct/>
        <w:topLinePunct w:val="0"/>
        <w:bidi w:val="0"/>
        <w:spacing w:line="440" w:lineRule="exact"/>
        <w:rPr>
          <w:color w:val="auto"/>
          <w:highlight w:val="none"/>
        </w:rPr>
      </w:pPr>
    </w:p>
    <w:p w14:paraId="78203A80">
      <w:pPr>
        <w:pStyle w:val="15"/>
        <w:keepNext w:val="0"/>
        <w:keepLines w:val="0"/>
        <w:pageBreakBefore w:val="0"/>
        <w:kinsoku/>
        <w:wordWrap/>
        <w:overflowPunct/>
        <w:topLinePunct w:val="0"/>
        <w:bidi w:val="0"/>
        <w:spacing w:line="440" w:lineRule="exact"/>
        <w:ind w:left="980" w:hanging="560" w:hanging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联系电话：</w:t>
      </w:r>
      <w:bookmarkEnd w:id="297"/>
      <w:bookmarkEnd w:id="298"/>
    </w:p>
    <w:p w14:paraId="04990BFB">
      <w:pPr>
        <w:pStyle w:val="15"/>
        <w:keepNext w:val="0"/>
        <w:keepLines w:val="0"/>
        <w:pageBreakBefore w:val="0"/>
        <w:kinsoku/>
        <w:wordWrap/>
        <w:overflowPunct/>
        <w:topLinePunct w:val="0"/>
        <w:bidi w:val="0"/>
        <w:spacing w:line="440" w:lineRule="exact"/>
        <w:ind w:left="980" w:hanging="560" w:hangingChars="200"/>
        <w:rPr>
          <w:rFonts w:hint="eastAsia" w:ascii="宋体" w:hAnsi="宋体" w:cs="宋体"/>
          <w:bCs/>
          <w:color w:val="auto"/>
          <w:sz w:val="28"/>
          <w:szCs w:val="28"/>
          <w:highlight w:val="none"/>
        </w:rPr>
      </w:pPr>
    </w:p>
    <w:p w14:paraId="5DF0E896">
      <w:pPr>
        <w:pStyle w:val="15"/>
        <w:keepNext w:val="0"/>
        <w:keepLines w:val="0"/>
        <w:pageBreakBefore w:val="0"/>
        <w:kinsoku/>
        <w:wordWrap/>
        <w:overflowPunct/>
        <w:topLinePunct w:val="0"/>
        <w:bidi w:val="0"/>
        <w:spacing w:line="440" w:lineRule="exact"/>
        <w:ind w:left="980" w:hanging="560" w:hangingChars="200"/>
        <w:rPr>
          <w:rFonts w:ascii="宋体" w:hAnsi="宋体" w:cs="宋体"/>
          <w:b/>
          <w:color w:val="auto"/>
          <w:sz w:val="32"/>
          <w:szCs w:val="32"/>
          <w:highlight w:val="none"/>
        </w:rPr>
      </w:pPr>
      <w:bookmarkStart w:id="299" w:name="_Toc26465_WPSOffice_Level2"/>
      <w:bookmarkStart w:id="300"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lang w:val="en-US" w:eastAsia="zh-CN"/>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lang w:val="en-US" w:eastAsia="zh-CN"/>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lang w:val="en-US" w:eastAsia="zh-CN"/>
        </w:rPr>
        <w:t xml:space="preserve">  </w:t>
      </w:r>
      <w:r>
        <w:rPr>
          <w:rFonts w:hint="eastAsia" w:ascii="宋体" w:hAnsi="宋体" w:cs="宋体"/>
          <w:bCs/>
          <w:color w:val="auto"/>
          <w:sz w:val="28"/>
          <w:szCs w:val="28"/>
          <w:highlight w:val="none"/>
        </w:rPr>
        <w:t>日</w:t>
      </w:r>
      <w:bookmarkEnd w:id="299"/>
      <w:bookmarkEnd w:id="300"/>
    </w:p>
    <w:p w14:paraId="4FEE2ECF">
      <w:pPr>
        <w:keepNext w:val="0"/>
        <w:keepLines w:val="0"/>
        <w:pageBreakBefore w:val="0"/>
        <w:widowControl/>
        <w:kinsoku/>
        <w:wordWrap/>
        <w:overflowPunct/>
        <w:topLinePunct w:val="0"/>
        <w:bidi w:val="0"/>
        <w:spacing w:line="440" w:lineRule="exact"/>
        <w:jc w:val="left"/>
        <w:rPr>
          <w:b/>
          <w:bCs/>
          <w:color w:val="auto"/>
          <w:sz w:val="32"/>
          <w:szCs w:val="32"/>
          <w:highlight w:val="none"/>
        </w:rPr>
      </w:pPr>
      <w:r>
        <w:rPr>
          <w:b/>
          <w:bCs/>
          <w:color w:val="auto"/>
          <w:sz w:val="32"/>
          <w:szCs w:val="32"/>
          <w:highlight w:val="none"/>
        </w:rPr>
        <w:br w:type="page"/>
      </w:r>
    </w:p>
    <w:p w14:paraId="25490C3B">
      <w:pPr>
        <w:keepNext w:val="0"/>
        <w:keepLines w:val="0"/>
        <w:pageBreakBefore w:val="0"/>
        <w:kinsoku/>
        <w:wordWrap/>
        <w:overflowPunct/>
        <w:topLinePunct w:val="0"/>
        <w:bidi w:val="0"/>
        <w:spacing w:line="440" w:lineRule="exact"/>
        <w:jc w:val="center"/>
        <w:rPr>
          <w:rFonts w:ascii="宋体" w:hAnsi="宋体" w:cs="宋体"/>
          <w:b/>
          <w:color w:val="auto"/>
          <w:sz w:val="28"/>
          <w:szCs w:val="28"/>
          <w:highlight w:val="none"/>
        </w:rPr>
      </w:pPr>
      <w:r>
        <w:rPr>
          <w:rFonts w:hint="eastAsia"/>
          <w:b/>
          <w:bCs/>
          <w:color w:val="auto"/>
          <w:sz w:val="32"/>
          <w:szCs w:val="32"/>
          <w:highlight w:val="none"/>
        </w:rPr>
        <w:t>投标文件目录</w:t>
      </w:r>
    </w:p>
    <w:p w14:paraId="0A3E92D6">
      <w:pPr>
        <w:keepNext w:val="0"/>
        <w:keepLines w:val="0"/>
        <w:pageBreakBefore w:val="0"/>
        <w:tabs>
          <w:tab w:val="left" w:pos="1305"/>
        </w:tabs>
        <w:kinsoku/>
        <w:wordWrap/>
        <w:overflowPunct/>
        <w:topLinePunct w:val="0"/>
        <w:bidi w:val="0"/>
        <w:spacing w:line="440" w:lineRule="exact"/>
        <w:ind w:firstLine="422" w:firstLineChars="150"/>
        <w:rPr>
          <w:rFonts w:ascii="宋体" w:hAnsi="宋体" w:cs="宋体"/>
          <w:b/>
          <w:color w:val="auto"/>
          <w:sz w:val="28"/>
          <w:szCs w:val="28"/>
          <w:highlight w:val="none"/>
        </w:rPr>
      </w:pPr>
      <w:r>
        <w:rPr>
          <w:rFonts w:hint="eastAsia" w:ascii="宋体" w:hAnsi="宋体" w:cs="宋体"/>
          <w:b/>
          <w:color w:val="auto"/>
          <w:sz w:val="28"/>
          <w:szCs w:val="28"/>
          <w:highlight w:val="none"/>
        </w:rPr>
        <w:t>一、资格性响应证明材料：</w:t>
      </w:r>
    </w:p>
    <w:p w14:paraId="47F866BB">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1.投标人相应的法定代表人、负责人、自然人身份证正反面复印件</w:t>
      </w:r>
      <w:r>
        <w:rPr>
          <w:rFonts w:hint="eastAsia" w:ascii="宋体" w:hAnsi="宋体" w:cs="宋体"/>
          <w:b/>
          <w:bCs/>
          <w:color w:val="auto"/>
          <w:szCs w:val="21"/>
          <w:highlight w:val="none"/>
        </w:rPr>
        <w:t>（必须提供）；</w:t>
      </w:r>
    </w:p>
    <w:p w14:paraId="1BEF0A99">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投标人</w:t>
      </w:r>
      <w:r>
        <w:rPr>
          <w:rFonts w:hint="eastAsia" w:ascii="宋体" w:hAnsi="宋体" w:cs="宋体"/>
          <w:color w:val="auto"/>
          <w:szCs w:val="21"/>
          <w:highlight w:val="none"/>
        </w:rPr>
        <w:t>的授权委托书原件、委托代理人身份证正反面复印件以及由县级以上（含县级）社会养老保险经办机构出具的供应商为委托代理人交纳的响应文件递交截止时间前半年内连续三个月社保证明复印件，除供应商为以下三种情形的</w:t>
      </w:r>
      <w:r>
        <w:rPr>
          <w:rFonts w:hint="eastAsia" w:ascii="宋体" w:hAnsi="宋体" w:cs="宋体"/>
          <w:color w:val="auto"/>
          <w:kern w:val="0"/>
          <w:szCs w:val="21"/>
          <w:highlight w:val="none"/>
        </w:rPr>
        <w:t>：</w:t>
      </w:r>
    </w:p>
    <w:p w14:paraId="7E1F8583">
      <w:pPr>
        <w:keepNext w:val="0"/>
        <w:keepLines w:val="0"/>
        <w:pageBreakBefore w:val="0"/>
        <w:kinsoku/>
        <w:wordWrap/>
        <w:overflowPunct/>
        <w:topLinePunct w:val="0"/>
        <w:bidi w:val="0"/>
        <w:spacing w:line="440" w:lineRule="exact"/>
        <w:ind w:firstLine="411" w:firstLineChars="196"/>
        <w:rPr>
          <w:rFonts w:ascii="宋体" w:hAnsi="宋体"/>
          <w:color w:val="auto"/>
          <w:szCs w:val="21"/>
          <w:highlight w:val="none"/>
        </w:rPr>
      </w:pPr>
      <w:r>
        <w:rPr>
          <w:rFonts w:hint="eastAsia" w:ascii="宋体" w:hAnsi="宋体" w:cs="宋体"/>
          <w:color w:val="auto"/>
          <w:kern w:val="0"/>
          <w:szCs w:val="21"/>
          <w:highlight w:val="none"/>
        </w:rPr>
        <w:t>①如供应商为响应文件提交截止时间前60日以内成立的公司，可以提供供应商与委托代理人签订的劳动合同复印件代替社保证明复印件；②如供应商为事业单位，可以提供事业单位机构编制管理证复印件或事业单位机构为其发放工资的工资条复印件代替社保证明复印件；③如委托代理人为免缴纳社保人员，提供免缴纳社保的证明材料复印件及供应商与委托代理人签订的劳动合同复印件代替养老保险证明复印件。【属自然人的应提供由县级以上（含县级）社会养老保险经办机构出具的自然人本人及委托代理人所交纳的响应文件递交截止时间前半年内连续三个月社保证明复印件】</w:t>
      </w:r>
      <w:r>
        <w:rPr>
          <w:rFonts w:hint="eastAsia" w:ascii="宋体" w:hAnsi="宋体" w:cs="宋体"/>
          <w:b/>
          <w:bCs/>
          <w:color w:val="auto"/>
          <w:kern w:val="0"/>
          <w:szCs w:val="21"/>
          <w:highlight w:val="none"/>
        </w:rPr>
        <w:t>（委托代理时必须提供）</w:t>
      </w:r>
      <w:r>
        <w:rPr>
          <w:rFonts w:hint="eastAsia" w:ascii="宋体" w:hAnsi="宋体"/>
          <w:color w:val="auto"/>
          <w:szCs w:val="21"/>
          <w:highlight w:val="none"/>
        </w:rPr>
        <w:t>；</w:t>
      </w:r>
    </w:p>
    <w:p w14:paraId="44CCFF08">
      <w:pPr>
        <w:keepNext w:val="0"/>
        <w:keepLines w:val="0"/>
        <w:pageBreakBefore w:val="0"/>
        <w:kinsoku/>
        <w:wordWrap/>
        <w:overflowPunct/>
        <w:topLinePunct w:val="0"/>
        <w:bidi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3.投标人的法人或者其他组织营业执照等证明文件复印件</w:t>
      </w:r>
      <w:r>
        <w:rPr>
          <w:rFonts w:hint="eastAsia" w:ascii="宋体" w:hAnsi="宋体" w:cs="宋体"/>
          <w:b/>
          <w:color w:val="auto"/>
          <w:szCs w:val="21"/>
          <w:highlight w:val="none"/>
        </w:rPr>
        <w:t>（必须提供，自然人除外）</w:t>
      </w:r>
      <w:r>
        <w:rPr>
          <w:rFonts w:hint="eastAsia" w:ascii="宋体" w:hAnsi="宋体" w:cs="宋体"/>
          <w:color w:val="auto"/>
          <w:szCs w:val="21"/>
          <w:highlight w:val="none"/>
        </w:rPr>
        <w:t>；</w:t>
      </w:r>
    </w:p>
    <w:p w14:paraId="582545BA">
      <w:pPr>
        <w:keepNext w:val="0"/>
        <w:keepLines w:val="0"/>
        <w:pageBreakBefore w:val="0"/>
        <w:kinsoku/>
        <w:wordWrap/>
        <w:overflowPunct/>
        <w:topLinePunct w:val="0"/>
        <w:bidi w:val="0"/>
        <w:spacing w:line="440" w:lineRule="exact"/>
        <w:ind w:firstLine="420" w:firstLineChars="200"/>
        <w:rPr>
          <w:rFonts w:ascii="宋体" w:hAnsi="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投标人参加采购活动前3年内在经营活动中没有重大违法记录及有关信用信息的书面声明</w:t>
      </w:r>
      <w:r>
        <w:rPr>
          <w:rFonts w:hint="eastAsia" w:ascii="宋体" w:hAnsi="宋体"/>
          <w:b/>
          <w:color w:val="auto"/>
          <w:szCs w:val="21"/>
          <w:highlight w:val="none"/>
        </w:rPr>
        <w:t>（格式见附件，必须提供）</w:t>
      </w:r>
      <w:r>
        <w:rPr>
          <w:rFonts w:hint="eastAsia" w:ascii="宋体" w:hAnsi="宋体"/>
          <w:color w:val="auto"/>
          <w:szCs w:val="21"/>
          <w:highlight w:val="none"/>
        </w:rPr>
        <w:t>；</w:t>
      </w:r>
    </w:p>
    <w:p w14:paraId="31D4489D">
      <w:pPr>
        <w:keepNext w:val="0"/>
        <w:keepLines w:val="0"/>
        <w:pageBreakBefore w:val="0"/>
        <w:kinsoku/>
        <w:wordWrap/>
        <w:overflowPunct/>
        <w:topLinePunct w:val="0"/>
        <w:bidi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s="宋体"/>
          <w:color w:val="auto"/>
          <w:szCs w:val="21"/>
          <w:highlight w:val="none"/>
        </w:rPr>
        <w:t>投标人有效的医疗器械经营备案凭证复印件或者医疗器械经营许可证复印件，且经营范围必须包含采购的医疗器械标的[符合《医疗器械监督管理条例》第四十一条第二款规定的除外]</w:t>
      </w:r>
      <w:r>
        <w:rPr>
          <w:rFonts w:hint="eastAsia" w:ascii="宋体" w:hAnsi="宋体" w:cs="宋体"/>
          <w:color w:val="auto"/>
          <w:szCs w:val="21"/>
          <w:highlight w:val="none"/>
        </w:rPr>
        <w:t>，</w:t>
      </w:r>
      <w:r>
        <w:rPr>
          <w:rFonts w:ascii="宋体" w:hAnsi="宋体" w:cs="宋体"/>
          <w:color w:val="auto"/>
          <w:szCs w:val="21"/>
          <w:highlight w:val="none"/>
        </w:rPr>
        <w:t>所投产品生产厂家医疗器械生产许可证复印件</w:t>
      </w:r>
      <w:r>
        <w:rPr>
          <w:rFonts w:hint="eastAsia" w:ascii="宋体" w:hAnsi="宋体" w:cs="宋体"/>
          <w:color w:val="auto"/>
          <w:szCs w:val="21"/>
          <w:highlight w:val="none"/>
        </w:rPr>
        <w:t>，所投产品注册凭证复印件或备案凭证复印件。</w:t>
      </w:r>
      <w:r>
        <w:rPr>
          <w:rFonts w:hint="eastAsia" w:ascii="宋体" w:hAnsi="宋体" w:cs="宋体"/>
          <w:b/>
          <w:bCs/>
          <w:color w:val="auto"/>
          <w:szCs w:val="21"/>
          <w:highlight w:val="none"/>
        </w:rPr>
        <w:t>（必须提供）</w:t>
      </w:r>
    </w:p>
    <w:p w14:paraId="277B45E1">
      <w:pPr>
        <w:keepNext w:val="0"/>
        <w:keepLines w:val="0"/>
        <w:pageBreakBefore w:val="0"/>
        <w:tabs>
          <w:tab w:val="left" w:pos="1305"/>
        </w:tabs>
        <w:kinsoku/>
        <w:wordWrap/>
        <w:overflowPunct/>
        <w:topLinePunct w:val="0"/>
        <w:bidi w:val="0"/>
        <w:spacing w:line="440" w:lineRule="exact"/>
        <w:ind w:firstLine="422" w:firstLineChars="150"/>
        <w:rPr>
          <w:rFonts w:ascii="宋体" w:hAnsi="宋体" w:cs="宋体"/>
          <w:b/>
          <w:color w:val="auto"/>
          <w:sz w:val="28"/>
          <w:szCs w:val="28"/>
          <w:highlight w:val="none"/>
        </w:rPr>
      </w:pPr>
      <w:r>
        <w:rPr>
          <w:rFonts w:hint="eastAsia" w:ascii="宋体" w:hAnsi="宋体" w:cs="宋体"/>
          <w:b/>
          <w:color w:val="auto"/>
          <w:sz w:val="28"/>
          <w:szCs w:val="28"/>
          <w:highlight w:val="none"/>
        </w:rPr>
        <w:t>二、商务、技术性响应及其他证明材料：</w:t>
      </w:r>
    </w:p>
    <w:p w14:paraId="23C59682">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1.投标报价表（格式见附件）</w:t>
      </w:r>
      <w:r>
        <w:rPr>
          <w:rFonts w:hint="eastAsia" w:ascii="宋体" w:hAnsi="宋体" w:cs="宋体"/>
          <w:b/>
          <w:color w:val="auto"/>
          <w:szCs w:val="21"/>
          <w:highlight w:val="none"/>
        </w:rPr>
        <w:t>（必须提供）</w:t>
      </w:r>
    </w:p>
    <w:p w14:paraId="5C780ED4">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2.技术规格偏离表</w:t>
      </w:r>
      <w:r>
        <w:rPr>
          <w:rFonts w:hint="eastAsia" w:ascii="宋体" w:hAnsi="宋体" w:cs="宋体"/>
          <w:bCs/>
          <w:color w:val="auto"/>
          <w:szCs w:val="21"/>
          <w:highlight w:val="none"/>
        </w:rPr>
        <w:t>（格式见附件）</w:t>
      </w:r>
      <w:r>
        <w:rPr>
          <w:rFonts w:hint="eastAsia" w:ascii="宋体" w:hAnsi="宋体" w:cs="宋体"/>
          <w:b/>
          <w:color w:val="auto"/>
          <w:szCs w:val="21"/>
          <w:highlight w:val="none"/>
        </w:rPr>
        <w:t>（必须提供）</w:t>
      </w:r>
      <w:r>
        <w:rPr>
          <w:rFonts w:hint="eastAsia" w:ascii="宋体" w:hAnsi="宋体" w:cs="宋体"/>
          <w:bCs/>
          <w:color w:val="auto"/>
          <w:szCs w:val="21"/>
          <w:highlight w:val="none"/>
        </w:rPr>
        <w:t>；</w:t>
      </w:r>
    </w:p>
    <w:p w14:paraId="6D33E588">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3.商务响应表</w:t>
      </w:r>
      <w:r>
        <w:rPr>
          <w:rFonts w:hint="eastAsia" w:ascii="宋体" w:hAnsi="宋体" w:cs="宋体"/>
          <w:bCs/>
          <w:color w:val="auto"/>
          <w:szCs w:val="21"/>
          <w:highlight w:val="none"/>
        </w:rPr>
        <w:t>（格式见附件）</w:t>
      </w:r>
      <w:r>
        <w:rPr>
          <w:rFonts w:hint="eastAsia" w:ascii="宋体" w:hAnsi="宋体" w:cs="宋体"/>
          <w:b/>
          <w:color w:val="auto"/>
          <w:szCs w:val="21"/>
          <w:highlight w:val="none"/>
        </w:rPr>
        <w:t>（必须提供）</w:t>
      </w:r>
      <w:r>
        <w:rPr>
          <w:rFonts w:hint="eastAsia" w:ascii="宋体" w:hAnsi="宋体" w:cs="宋体"/>
          <w:bCs/>
          <w:color w:val="auto"/>
          <w:szCs w:val="21"/>
          <w:highlight w:val="none"/>
        </w:rPr>
        <w:t>；</w:t>
      </w:r>
    </w:p>
    <w:p w14:paraId="6DDCF4F2">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4.“货物采购需求”需提供的有效证明文件</w:t>
      </w:r>
      <w:r>
        <w:rPr>
          <w:rFonts w:hint="eastAsia" w:ascii="宋体" w:hAnsi="宋体" w:cs="宋体"/>
          <w:b/>
          <w:bCs/>
          <w:color w:val="auto"/>
          <w:szCs w:val="21"/>
          <w:highlight w:val="none"/>
        </w:rPr>
        <w:t>（按其要求提供）</w:t>
      </w:r>
      <w:r>
        <w:rPr>
          <w:rFonts w:hint="eastAsia" w:ascii="宋体" w:hAnsi="宋体" w:cs="宋体"/>
          <w:color w:val="auto"/>
          <w:szCs w:val="21"/>
          <w:highlight w:val="none"/>
        </w:rPr>
        <w:t>；</w:t>
      </w:r>
    </w:p>
    <w:p w14:paraId="0AF0EE60">
      <w:pPr>
        <w:keepNext w:val="0"/>
        <w:keepLines w:val="0"/>
        <w:pageBreakBefore w:val="0"/>
        <w:kinsoku/>
        <w:wordWrap/>
        <w:overflowPunct/>
        <w:topLinePunct w:val="0"/>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安装实施方案</w:t>
      </w:r>
      <w:r>
        <w:rPr>
          <w:rFonts w:hint="eastAsia" w:ascii="宋体" w:hAnsi="宋体" w:cs="宋体"/>
          <w:b/>
          <w:bCs/>
          <w:color w:val="auto"/>
          <w:szCs w:val="21"/>
          <w:highlight w:val="none"/>
        </w:rPr>
        <w:t>（必须提供）；</w:t>
      </w:r>
    </w:p>
    <w:p w14:paraId="7B633C47">
      <w:pPr>
        <w:keepNext w:val="0"/>
        <w:keepLines w:val="0"/>
        <w:pageBreakBefore w:val="0"/>
        <w:kinsoku/>
        <w:wordWrap/>
        <w:overflowPunct/>
        <w:topLinePunct w:val="0"/>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增值售后服务方案</w:t>
      </w:r>
      <w:r>
        <w:rPr>
          <w:rFonts w:hint="eastAsia" w:ascii="宋体" w:hAnsi="宋体" w:cs="宋体"/>
          <w:b/>
          <w:bCs/>
          <w:color w:val="auto"/>
          <w:szCs w:val="21"/>
          <w:highlight w:val="none"/>
        </w:rPr>
        <w:t>（必须提供）；</w:t>
      </w:r>
    </w:p>
    <w:p w14:paraId="5FC8F4AB">
      <w:pPr>
        <w:keepNext w:val="0"/>
        <w:keepLines w:val="0"/>
        <w:pageBreakBefore w:val="0"/>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.项目实施人员一览表（格式见附件）</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06ED02B9">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.节能方面的证书复印件</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1CEC1E49">
      <w:pPr>
        <w:keepNext w:val="0"/>
        <w:keepLines w:val="0"/>
        <w:pageBreakBefore w:val="0"/>
        <w:kinsoku/>
        <w:wordWrap/>
        <w:overflowPunct/>
        <w:topLinePunct w:val="0"/>
        <w:bidi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.环境标志方面的证书复印件</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07C4EDBC">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olor w:val="auto"/>
          <w:highlight w:val="none"/>
        </w:rPr>
        <w:t>投标人</w:t>
      </w:r>
      <w:r>
        <w:rPr>
          <w:rFonts w:hint="eastAsia" w:ascii="宋体" w:hAnsi="宋体"/>
          <w:color w:val="auto"/>
          <w:szCs w:val="21"/>
          <w:highlight w:val="none"/>
        </w:rPr>
        <w:t>202</w:t>
      </w:r>
      <w:r>
        <w:rPr>
          <w:rFonts w:hint="eastAsia" w:ascii="宋体" w:hAnsi="宋体"/>
          <w:color w:val="auto"/>
          <w:szCs w:val="21"/>
          <w:highlight w:val="none"/>
          <w:lang w:val="en-US" w:eastAsia="zh-CN"/>
        </w:rPr>
        <w:t>1</w:t>
      </w:r>
      <w:r>
        <w:rPr>
          <w:rFonts w:hint="eastAsia" w:ascii="宋体" w:hAnsi="宋体"/>
          <w:color w:val="auto"/>
          <w:szCs w:val="21"/>
          <w:highlight w:val="none"/>
        </w:rPr>
        <w:t>年以来具有同类产品</w:t>
      </w:r>
      <w:r>
        <w:rPr>
          <w:rFonts w:hint="eastAsia" w:ascii="宋体" w:hAnsi="宋体"/>
          <w:color w:val="auto"/>
          <w:highlight w:val="none"/>
        </w:rPr>
        <w:t>的销售业绩的相关证明材料</w:t>
      </w:r>
      <w:r>
        <w:rPr>
          <w:rFonts w:hint="eastAsia" w:ascii="宋体" w:hAnsi="宋体"/>
          <w:color w:val="auto"/>
          <w:spacing w:val="-12"/>
          <w:szCs w:val="21"/>
          <w:highlight w:val="none"/>
        </w:rPr>
        <w:t>【</w:t>
      </w:r>
      <w:r>
        <w:rPr>
          <w:rFonts w:hint="eastAsia" w:ascii="宋体" w:hAnsi="宋体"/>
          <w:color w:val="auto"/>
          <w:szCs w:val="21"/>
          <w:highlight w:val="none"/>
        </w:rPr>
        <w:t>无不良记录，以中标（成交）通知书或签订的销售合同复印件为准，并能清晰反映所销售的货物名称、种类、时间等内容；</w:t>
      </w:r>
      <w:r>
        <w:rPr>
          <w:rFonts w:hint="eastAsia" w:ascii="宋体" w:hAnsi="宋体"/>
          <w:color w:val="auto"/>
          <w:highlight w:val="none"/>
        </w:rPr>
        <w:t>】</w:t>
      </w:r>
      <w:r>
        <w:rPr>
          <w:rFonts w:hint="eastAsia" w:ascii="宋体" w:hAnsi="宋体"/>
          <w:b/>
          <w:color w:val="auto"/>
          <w:highlight w:val="none"/>
        </w:rPr>
        <w:t>（具体以评分办法为准，如有，请提供）</w:t>
      </w:r>
      <w:r>
        <w:rPr>
          <w:rFonts w:hint="eastAsia" w:ascii="宋体" w:hAnsi="宋体" w:cs="宋体"/>
          <w:bCs/>
          <w:color w:val="auto"/>
          <w:highlight w:val="none"/>
        </w:rPr>
        <w:t>；</w:t>
      </w:r>
    </w:p>
    <w:p w14:paraId="1B631FDC">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.投标人为生产厂家的，投标人的生产制造设备清单及专业技术能力说明</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78B57BDE">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.投标人相关获奖证书、认证证书等复印件</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303E5DAD">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.如所提供货物企业属于小型、微型企业【中小微型企业划分标准按照《国家统计局关于印发《统计上大中小微型企业划分办法</w:t>
      </w:r>
      <w:r>
        <w:rPr>
          <w:rFonts w:hint="eastAsia" w:ascii="宋体" w:hAnsi="宋体" w:cs="宋体"/>
          <w:color w:val="auto"/>
          <w:highlight w:val="none"/>
        </w:rPr>
        <w:t>〔2017〕</w:t>
      </w:r>
      <w:r>
        <w:rPr>
          <w:rFonts w:hint="eastAsia" w:ascii="宋体" w:hAnsi="宋体" w:cs="宋体"/>
          <w:color w:val="auto"/>
          <w:szCs w:val="21"/>
          <w:highlight w:val="none"/>
        </w:rPr>
        <w:t>》的通知》（国统字〔2017〕213号）执行，具体划分标准见第四章评标办法中附表《统计上大中小微型企业划分标准》】，以提供的《中小企业声明函》（见附件）为准</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579F5D66">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14.如产品属于监狱企业的，以提供由省级以上监狱管理局、戒毒管理局（含新疆生产建设兵团）出具的属于监狱企业的证明文件为准</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0063FF5B">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15.符合条件的残疾人福利性单位在参加政府采购活动时，应当提供《残疾人福利性单位声明函》（见附件），并对声明的真实性负责</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3BB2448B">
      <w:pPr>
        <w:keepNext w:val="0"/>
        <w:keepLines w:val="0"/>
        <w:pageBreakBefore w:val="0"/>
        <w:tabs>
          <w:tab w:val="left" w:pos="1305"/>
        </w:tabs>
        <w:kinsoku/>
        <w:wordWrap/>
        <w:overflowPunct/>
        <w:topLinePunct w:val="0"/>
        <w:bidi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16.投标人可结合本项目的评标办法视自身情况自行提交相关证明材料</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24EC0DD0">
      <w:pPr>
        <w:keepNext w:val="0"/>
        <w:keepLines w:val="0"/>
        <w:pageBreakBefore w:val="0"/>
        <w:kinsoku/>
        <w:wordWrap/>
        <w:overflowPunct/>
        <w:topLinePunct w:val="0"/>
        <w:bidi w:val="0"/>
        <w:spacing w:line="440" w:lineRule="exact"/>
        <w:ind w:firstLine="420"/>
        <w:rPr>
          <w:rFonts w:ascii="宋体" w:hAnsi="宋体" w:cs="宋体"/>
          <w:b/>
          <w:bCs/>
          <w:color w:val="auto"/>
          <w:highlight w:val="none"/>
        </w:rPr>
      </w:pPr>
      <w:bookmarkStart w:id="301" w:name="_Toc27290"/>
      <w:bookmarkStart w:id="302" w:name="_Toc495841787"/>
      <w:r>
        <w:rPr>
          <w:rFonts w:ascii="宋体" w:hAnsi="宋体" w:cs="宋体"/>
          <w:b/>
          <w:bCs/>
          <w:color w:val="auto"/>
          <w:highlight w:val="none"/>
        </w:rPr>
        <w:br w:type="page"/>
      </w:r>
    </w:p>
    <w:p w14:paraId="2C36B276">
      <w:pPr>
        <w:keepNext w:val="0"/>
        <w:keepLines w:val="0"/>
        <w:pageBreakBefore w:val="0"/>
        <w:kinsoku/>
        <w:wordWrap/>
        <w:overflowPunct/>
        <w:topLinePunct w:val="0"/>
        <w:bidi w:val="0"/>
        <w:spacing w:line="440" w:lineRule="exact"/>
        <w:ind w:firstLine="420"/>
        <w:rPr>
          <w:rFonts w:ascii="宋体" w:hAnsi="宋体" w:cs="宋体"/>
          <w:b/>
          <w:bCs/>
          <w:color w:val="auto"/>
          <w:sz w:val="32"/>
          <w:szCs w:val="32"/>
          <w:highlight w:val="none"/>
        </w:rPr>
      </w:pPr>
      <w:r>
        <w:rPr>
          <w:rFonts w:hint="eastAsia"/>
          <w:b/>
          <w:bCs/>
          <w:color w:val="auto"/>
          <w:sz w:val="32"/>
          <w:szCs w:val="32"/>
          <w:highlight w:val="none"/>
        </w:rPr>
        <w:t>一、资格性响应证明材料（格式）</w:t>
      </w:r>
      <w:bookmarkEnd w:id="301"/>
      <w:bookmarkEnd w:id="302"/>
    </w:p>
    <w:p w14:paraId="65AE53FE">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2B2A5A00">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03" w:name="_Toc11828"/>
      <w:bookmarkStart w:id="304" w:name="_Toc495841788"/>
      <w:r>
        <w:rPr>
          <w:rFonts w:hint="eastAsia" w:ascii="宋体" w:hAnsi="宋体" w:cs="宋体"/>
          <w:b/>
          <w:bCs/>
          <w:color w:val="auto"/>
          <w:sz w:val="32"/>
          <w:szCs w:val="32"/>
          <w:highlight w:val="none"/>
        </w:rPr>
        <w:t>1.投标人相应的法定代表人、负责人、自然人身份证正反面复印件（必须提供）</w:t>
      </w:r>
      <w:bookmarkEnd w:id="303"/>
      <w:bookmarkEnd w:id="304"/>
    </w:p>
    <w:p w14:paraId="4884D9DD">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55EDFCB7">
      <w:pPr>
        <w:pStyle w:val="14"/>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05" w:name="_Toc495841789"/>
      <w:bookmarkStart w:id="306" w:name="_Toc11623"/>
      <w:r>
        <w:rPr>
          <w:rFonts w:hint="eastAsia" w:ascii="宋体" w:hAnsi="宋体" w:cs="宋体"/>
          <w:b/>
          <w:bCs/>
          <w:color w:val="auto"/>
          <w:sz w:val="32"/>
          <w:szCs w:val="32"/>
          <w:highlight w:val="none"/>
        </w:rPr>
        <w:t>2.</w:t>
      </w:r>
      <w:bookmarkEnd w:id="305"/>
      <w:bookmarkEnd w:id="306"/>
      <w:r>
        <w:rPr>
          <w:rFonts w:hint="eastAsia" w:ascii="宋体" w:hAnsi="宋体"/>
          <w:color w:val="auto"/>
          <w:szCs w:val="21"/>
          <w:highlight w:val="none"/>
        </w:rPr>
        <w:t xml:space="preserve"> </w:t>
      </w:r>
      <w:r>
        <w:rPr>
          <w:rFonts w:hint="eastAsia" w:ascii="宋体" w:hAnsi="宋体" w:cs="宋体"/>
          <w:b/>
          <w:bCs/>
          <w:color w:val="auto"/>
          <w:sz w:val="32"/>
          <w:szCs w:val="32"/>
          <w:highlight w:val="none"/>
        </w:rPr>
        <w:t>投标人的授权委托书原件、委托代理人身份证正反面复印件以及由县级以上（含县级）社会养老保险经办机构出具的供应商为委托代理人交纳的响应文件递交截止时间前半年内连续三个月社保证明复印件</w:t>
      </w:r>
    </w:p>
    <w:p w14:paraId="43A125F3">
      <w:pPr>
        <w:pStyle w:val="14"/>
        <w:keepNext w:val="0"/>
        <w:keepLines w:val="0"/>
        <w:pageBreakBefore w:val="0"/>
        <w:kinsoku/>
        <w:wordWrap/>
        <w:overflowPunct/>
        <w:topLinePunct w:val="0"/>
        <w:bidi w:val="0"/>
        <w:spacing w:line="440" w:lineRule="exact"/>
        <w:rPr>
          <w:color w:val="auto"/>
          <w:highlight w:val="none"/>
        </w:rPr>
      </w:pPr>
      <w:r>
        <w:rPr>
          <w:rFonts w:hint="eastAsia" w:ascii="宋体" w:hAnsi="宋体" w:cs="宋体"/>
          <w:b/>
          <w:bCs/>
          <w:color w:val="auto"/>
          <w:sz w:val="32"/>
          <w:szCs w:val="32"/>
          <w:highlight w:val="none"/>
        </w:rPr>
        <w:t>（委托代理时必须提供）；</w:t>
      </w:r>
    </w:p>
    <w:p w14:paraId="2032295F">
      <w:pPr>
        <w:keepNext w:val="0"/>
        <w:keepLines w:val="0"/>
        <w:pageBreakBefore w:val="0"/>
        <w:kinsoku/>
        <w:wordWrap/>
        <w:overflowPunct/>
        <w:topLinePunct w:val="0"/>
        <w:bidi w:val="0"/>
        <w:spacing w:line="440" w:lineRule="exact"/>
        <w:jc w:val="center"/>
        <w:rPr>
          <w:rFonts w:ascii="宋体" w:hAnsi="宋体" w:cs="宋体"/>
          <w:b/>
          <w:color w:val="auto"/>
          <w:sz w:val="32"/>
          <w:highlight w:val="none"/>
        </w:rPr>
      </w:pPr>
      <w:r>
        <w:rPr>
          <w:rFonts w:hint="eastAsia" w:ascii="宋体" w:hAnsi="宋体" w:cs="宋体"/>
          <w:b/>
          <w:color w:val="auto"/>
          <w:sz w:val="32"/>
          <w:highlight w:val="none"/>
        </w:rPr>
        <w:t>授权委托书（格式一）</w:t>
      </w:r>
    </w:p>
    <w:p w14:paraId="318C0D9B">
      <w:pPr>
        <w:keepNext w:val="0"/>
        <w:keepLines w:val="0"/>
        <w:pageBreakBefore w:val="0"/>
        <w:kinsoku/>
        <w:wordWrap/>
        <w:overflowPunct/>
        <w:topLinePunct w:val="0"/>
        <w:bidi w:val="0"/>
        <w:snapToGrid w:val="0"/>
        <w:spacing w:line="440" w:lineRule="exact"/>
        <w:rPr>
          <w:rFonts w:ascii="宋体" w:hAnsi="宋体" w:cs="宋体"/>
          <w:color w:val="auto"/>
          <w:highlight w:val="none"/>
        </w:rPr>
      </w:pPr>
      <w:r>
        <w:rPr>
          <w:rFonts w:hint="eastAsia" w:ascii="宋体" w:hAnsi="宋体" w:cs="宋体"/>
          <w:b/>
          <w:color w:val="auto"/>
          <w:szCs w:val="21"/>
          <w:highlight w:val="none"/>
        </w:rPr>
        <w:t>致</w:t>
      </w:r>
      <w:r>
        <w:rPr>
          <w:rFonts w:hint="eastAsia" w:ascii="宋体" w:hAnsi="宋体" w:cs="宋体"/>
          <w:color w:val="auto"/>
          <w:szCs w:val="21"/>
          <w:highlight w:val="none"/>
        </w:rPr>
        <w:t>：</w:t>
      </w:r>
      <w:r>
        <w:rPr>
          <w:rFonts w:hint="eastAsia" w:ascii="宋体" w:hAnsi="宋体" w:cs="宋体"/>
          <w:color w:val="auto"/>
          <w:highlight w:val="none"/>
          <w:u w:val="single"/>
        </w:rPr>
        <w:t>广西奥金斯项目管理有限公司</w:t>
      </w:r>
    </w:p>
    <w:p w14:paraId="1B82FF0D">
      <w:pPr>
        <w:keepNext w:val="0"/>
        <w:keepLines w:val="0"/>
        <w:pageBreakBefore w:val="0"/>
        <w:kinsoku/>
        <w:wordWrap/>
        <w:overflowPunct/>
        <w:topLinePunct w:val="0"/>
        <w:bidi w:val="0"/>
        <w:spacing w:line="440" w:lineRule="exact"/>
        <w:ind w:firstLine="525" w:firstLineChars="250"/>
        <w:rPr>
          <w:rFonts w:ascii="宋体" w:hAnsi="宋体" w:cs="宋体"/>
          <w:color w:val="auto"/>
          <w:highlight w:val="none"/>
        </w:rPr>
      </w:pPr>
      <w:r>
        <w:rPr>
          <w:rFonts w:hint="eastAsia" w:ascii="宋体" w:hAnsi="宋体" w:cs="宋体"/>
          <w:color w:val="auto"/>
          <w:kern w:val="0"/>
          <w:highlight w:val="none"/>
        </w:rPr>
        <w:t>我（姓名）系（投标人名称）的法定代表人（负责人），现授权委托本单位在职职工（姓名），身份证号码：以我公司名义参加</w:t>
      </w:r>
      <w:r>
        <w:rPr>
          <w:rFonts w:hint="eastAsia" w:ascii="宋体" w:hAnsi="宋体" w:cs="宋体"/>
          <w:color w:val="auto"/>
          <w:highlight w:val="none"/>
          <w:u w:val="single"/>
        </w:rPr>
        <w:t xml:space="preserve">（项目名称及项目编号）    </w:t>
      </w:r>
      <w:r>
        <w:rPr>
          <w:rFonts w:hint="eastAsia" w:ascii="宋体" w:hAnsi="宋体" w:cs="宋体"/>
          <w:color w:val="auto"/>
          <w:highlight w:val="none"/>
        </w:rPr>
        <w:t>项目的投标活动，并代表我方全权办理针对上述项目的投标、开标、评标、签约等具体事务和签署相关文件。</w:t>
      </w:r>
    </w:p>
    <w:p w14:paraId="223B77A5">
      <w:pPr>
        <w:keepNext w:val="0"/>
        <w:keepLines w:val="0"/>
        <w:pageBreakBefore w:val="0"/>
        <w:kinsoku/>
        <w:wordWrap/>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我方对被授权人的签字事项负全部责任。</w:t>
      </w:r>
    </w:p>
    <w:p w14:paraId="5B46FC30">
      <w:pPr>
        <w:keepNext w:val="0"/>
        <w:keepLines w:val="0"/>
        <w:pageBreakBefore w:val="0"/>
        <w:kinsoku/>
        <w:wordWrap/>
        <w:overflowPunct/>
        <w:topLinePunct w:val="0"/>
        <w:bidi w:val="0"/>
        <w:spacing w:line="440" w:lineRule="exact"/>
        <w:ind w:firstLine="420" w:firstLineChars="200"/>
        <w:rPr>
          <w:rFonts w:ascii="宋体" w:hAnsi="宋体" w:cs="宋体"/>
          <w:color w:val="auto"/>
          <w:highlight w:val="none"/>
          <w:u w:val="single"/>
        </w:rPr>
      </w:pPr>
      <w:r>
        <w:rPr>
          <w:rFonts w:hint="eastAsia" w:ascii="宋体" w:hAnsi="宋体" w:cs="宋体"/>
          <w:color w:val="auto"/>
          <w:highlight w:val="none"/>
        </w:rPr>
        <w:t>授权委托代理期限：自即日起至该项目政府采购活动结束。</w:t>
      </w:r>
    </w:p>
    <w:p w14:paraId="75514461">
      <w:pPr>
        <w:keepNext w:val="0"/>
        <w:keepLines w:val="0"/>
        <w:pageBreakBefore w:val="0"/>
        <w:kinsoku/>
        <w:wordWrap/>
        <w:overflowPunct/>
        <w:topLinePunct w:val="0"/>
        <w:bidi w:val="0"/>
        <w:spacing w:line="440" w:lineRule="exact"/>
        <w:rPr>
          <w:rFonts w:ascii="宋体" w:hAnsi="宋体" w:cs="宋体"/>
          <w:color w:val="auto"/>
          <w:highlight w:val="none"/>
          <w:u w:val="single"/>
        </w:rPr>
      </w:pPr>
    </w:p>
    <w:p w14:paraId="1FE53B90">
      <w:pPr>
        <w:keepNext w:val="0"/>
        <w:keepLines w:val="0"/>
        <w:pageBreakBefore w:val="0"/>
        <w:kinsoku/>
        <w:wordWrap/>
        <w:overflowPunct/>
        <w:topLinePunct w:val="0"/>
        <w:bidi w:val="0"/>
        <w:spacing w:line="44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20F3D000">
      <w:pPr>
        <w:keepNext w:val="0"/>
        <w:keepLines w:val="0"/>
        <w:pageBreakBefore w:val="0"/>
        <w:kinsoku/>
        <w:wordWrap/>
        <w:overflowPunct/>
        <w:topLinePunct w:val="0"/>
        <w:bidi w:val="0"/>
        <w:snapToGrid w:val="0"/>
        <w:spacing w:line="440" w:lineRule="exact"/>
        <w:ind w:firstLine="525"/>
        <w:rPr>
          <w:rFonts w:ascii="宋体" w:hAnsi="宋体" w:cs="宋体"/>
          <w:color w:val="auto"/>
          <w:szCs w:val="21"/>
          <w:highlight w:val="none"/>
        </w:rPr>
      </w:pPr>
    </w:p>
    <w:p w14:paraId="71EEE5D4">
      <w:pPr>
        <w:keepNext w:val="0"/>
        <w:keepLines w:val="0"/>
        <w:pageBreakBefore w:val="0"/>
        <w:kinsoku/>
        <w:wordWrap/>
        <w:overflowPunct/>
        <w:topLinePunct w:val="0"/>
        <w:bidi w:val="0"/>
        <w:snapToGrid w:val="0"/>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我已在下面签字，以资证明。</w:t>
      </w:r>
    </w:p>
    <w:p w14:paraId="2BF85A0B">
      <w:pPr>
        <w:keepNext w:val="0"/>
        <w:keepLines w:val="0"/>
        <w:pageBreakBefore w:val="0"/>
        <w:kinsoku/>
        <w:wordWrap/>
        <w:overflowPunct/>
        <w:topLinePunct w:val="0"/>
        <w:bidi w:val="0"/>
        <w:snapToGrid w:val="0"/>
        <w:spacing w:line="440" w:lineRule="exact"/>
        <w:ind w:firstLine="420"/>
        <w:rPr>
          <w:rFonts w:ascii="宋体" w:hAnsi="宋体" w:cs="宋体"/>
          <w:color w:val="auto"/>
          <w:szCs w:val="21"/>
          <w:highlight w:val="none"/>
        </w:rPr>
      </w:pPr>
    </w:p>
    <w:p w14:paraId="5BDC0BCD">
      <w:pPr>
        <w:keepNext w:val="0"/>
        <w:keepLines w:val="0"/>
        <w:pageBreakBefore w:val="0"/>
        <w:kinsoku/>
        <w:wordWrap/>
        <w:overflowPunct/>
        <w:topLinePunct w:val="0"/>
        <w:bidi w:val="0"/>
        <w:snapToGrid w:val="0"/>
        <w:spacing w:line="44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投标人[公章（CA签章）]：</w:t>
      </w:r>
    </w:p>
    <w:p w14:paraId="0DEE3531">
      <w:pPr>
        <w:keepNext w:val="0"/>
        <w:keepLines w:val="0"/>
        <w:pageBreakBefore w:val="0"/>
        <w:kinsoku/>
        <w:wordWrap/>
        <w:overflowPunct/>
        <w:topLinePunct w:val="0"/>
        <w:bidi w:val="0"/>
        <w:snapToGrid w:val="0"/>
        <w:spacing w:line="440" w:lineRule="exact"/>
        <w:ind w:firstLine="420"/>
        <w:rPr>
          <w:rFonts w:ascii="宋体" w:hAnsi="宋体" w:cs="宋体"/>
          <w:color w:val="auto"/>
          <w:szCs w:val="21"/>
          <w:highlight w:val="none"/>
        </w:rPr>
      </w:pPr>
    </w:p>
    <w:p w14:paraId="3E8FD43B">
      <w:pPr>
        <w:keepNext w:val="0"/>
        <w:keepLines w:val="0"/>
        <w:pageBreakBefore w:val="0"/>
        <w:kinsoku/>
        <w:wordWrap/>
        <w:overflowPunct/>
        <w:topLinePunct w:val="0"/>
        <w:bidi w:val="0"/>
        <w:snapToGrid w:val="0"/>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法定代表人（负责人）签字（或个人CA签章）：     　　</w:t>
      </w:r>
    </w:p>
    <w:p w14:paraId="32F8A6E6">
      <w:pPr>
        <w:keepNext w:val="0"/>
        <w:keepLines w:val="0"/>
        <w:pageBreakBefore w:val="0"/>
        <w:kinsoku/>
        <w:wordWrap/>
        <w:overflowPunct/>
        <w:topLinePunct w:val="0"/>
        <w:bidi w:val="0"/>
        <w:snapToGrid w:val="0"/>
        <w:spacing w:line="440" w:lineRule="exact"/>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日期：</w:t>
      </w:r>
    </w:p>
    <w:p w14:paraId="1680EDF9">
      <w:pPr>
        <w:pStyle w:val="17"/>
        <w:keepNext w:val="0"/>
        <w:keepLines w:val="0"/>
        <w:pageBreakBefore w:val="0"/>
        <w:kinsoku/>
        <w:wordWrap/>
        <w:overflowPunct/>
        <w:topLinePunct w:val="0"/>
        <w:bidi w:val="0"/>
        <w:spacing w:line="440" w:lineRule="exact"/>
        <w:rPr>
          <w:rFonts w:hAnsi="宋体" w:cs="宋体"/>
          <w:b/>
          <w:color w:val="auto"/>
          <w:sz w:val="24"/>
          <w:highlight w:val="none"/>
        </w:rPr>
      </w:pPr>
      <w:r>
        <w:rPr>
          <w:rFonts w:hint="eastAsia" w:hAnsi="宋体" w:cs="宋体"/>
          <w:b/>
          <w:color w:val="auto"/>
          <w:sz w:val="24"/>
          <w:highlight w:val="none"/>
        </w:rPr>
        <w:t>附：</w:t>
      </w:r>
      <w:r>
        <w:rPr>
          <w:rFonts w:hint="eastAsia" w:hAnsi="宋体" w:cs="宋体"/>
          <w:b/>
          <w:bCs/>
          <w:color w:val="auto"/>
          <w:sz w:val="24"/>
          <w:highlight w:val="none"/>
        </w:rPr>
        <w:t>委托代理人身份证正反面复印件以及由县级以上（含县级）社会养老保险经办机构出具的供应商为委托代理人交纳的响应文件递交截止时间前半年内连续三个月社保证明复印件</w:t>
      </w:r>
      <w:r>
        <w:rPr>
          <w:rFonts w:hint="eastAsia" w:hAnsi="宋体" w:cs="宋体"/>
          <w:b/>
          <w:color w:val="auto"/>
          <w:sz w:val="24"/>
          <w:highlight w:val="none"/>
        </w:rPr>
        <w:t>。</w:t>
      </w:r>
    </w:p>
    <w:p w14:paraId="3158212F">
      <w:pPr>
        <w:pStyle w:val="17"/>
        <w:keepNext w:val="0"/>
        <w:keepLines w:val="0"/>
        <w:pageBreakBefore w:val="0"/>
        <w:kinsoku/>
        <w:wordWrap/>
        <w:overflowPunct/>
        <w:topLinePunct w:val="0"/>
        <w:bidi w:val="0"/>
        <w:spacing w:line="440" w:lineRule="exact"/>
        <w:jc w:val="center"/>
        <w:rPr>
          <w:rFonts w:hAnsi="宋体" w:cs="宋体"/>
          <w:b/>
          <w:color w:val="auto"/>
          <w:sz w:val="32"/>
          <w:highlight w:val="none"/>
        </w:rPr>
      </w:pPr>
      <w:r>
        <w:rPr>
          <w:rFonts w:hAnsi="宋体" w:cs="宋体"/>
          <w:b/>
          <w:color w:val="auto"/>
          <w:sz w:val="32"/>
          <w:highlight w:val="none"/>
        </w:rPr>
        <w:br w:type="page"/>
      </w:r>
      <w:r>
        <w:rPr>
          <w:rFonts w:hint="eastAsia" w:hAnsi="宋体" w:cs="宋体"/>
          <w:b/>
          <w:color w:val="auto"/>
          <w:sz w:val="32"/>
          <w:highlight w:val="none"/>
        </w:rPr>
        <w:t>授权委托书（格式二）</w:t>
      </w:r>
    </w:p>
    <w:p w14:paraId="12B05A8A">
      <w:pPr>
        <w:keepNext w:val="0"/>
        <w:keepLines w:val="0"/>
        <w:pageBreakBefore w:val="0"/>
        <w:kinsoku/>
        <w:wordWrap/>
        <w:overflowPunct/>
        <w:topLinePunct w:val="0"/>
        <w:bidi w:val="0"/>
        <w:snapToGrid w:val="0"/>
        <w:spacing w:line="440" w:lineRule="exact"/>
        <w:rPr>
          <w:rFonts w:ascii="宋体" w:hAnsi="宋体" w:cs="宋体"/>
          <w:color w:val="auto"/>
          <w:highlight w:val="none"/>
        </w:rPr>
      </w:pPr>
      <w:r>
        <w:rPr>
          <w:rFonts w:hint="eastAsia" w:ascii="宋体" w:hAnsi="宋体" w:cs="宋体"/>
          <w:b/>
          <w:color w:val="auto"/>
          <w:szCs w:val="21"/>
          <w:highlight w:val="none"/>
        </w:rPr>
        <w:t>致</w:t>
      </w:r>
      <w:r>
        <w:rPr>
          <w:rFonts w:hint="eastAsia" w:ascii="宋体" w:hAnsi="宋体" w:cs="宋体"/>
          <w:color w:val="auto"/>
          <w:szCs w:val="21"/>
          <w:highlight w:val="none"/>
        </w:rPr>
        <w:t>：</w:t>
      </w:r>
      <w:r>
        <w:rPr>
          <w:rFonts w:hint="eastAsia" w:ascii="宋体" w:hAnsi="宋体" w:cs="宋体"/>
          <w:color w:val="auto"/>
          <w:highlight w:val="none"/>
          <w:u w:val="single"/>
        </w:rPr>
        <w:t>广西奥金斯项目管理有限公司</w:t>
      </w:r>
    </w:p>
    <w:p w14:paraId="52C7DD27">
      <w:pPr>
        <w:keepNext w:val="0"/>
        <w:keepLines w:val="0"/>
        <w:pageBreakBefore w:val="0"/>
        <w:kinsoku/>
        <w:wordWrap/>
        <w:overflowPunct/>
        <w:topLinePunct w:val="0"/>
        <w:bidi w:val="0"/>
        <w:snapToGrid w:val="0"/>
        <w:spacing w:line="440" w:lineRule="exact"/>
        <w:rPr>
          <w:rFonts w:ascii="宋体" w:hAnsi="宋体" w:cs="宋体"/>
          <w:color w:val="auto"/>
          <w:szCs w:val="21"/>
          <w:highlight w:val="none"/>
          <w:u w:val="single"/>
        </w:rPr>
      </w:pPr>
    </w:p>
    <w:p w14:paraId="7F3C9141">
      <w:pPr>
        <w:pStyle w:val="17"/>
        <w:keepNext w:val="0"/>
        <w:keepLines w:val="0"/>
        <w:pageBreakBefore w:val="0"/>
        <w:kinsoku/>
        <w:wordWrap/>
        <w:overflowPunct/>
        <w:topLinePunct w:val="0"/>
        <w:bidi w:val="0"/>
        <w:spacing w:line="440" w:lineRule="exact"/>
        <w:ind w:firstLine="420" w:firstLineChars="200"/>
        <w:rPr>
          <w:rFonts w:hAnsi="宋体" w:cs="宋体"/>
          <w:color w:val="auto"/>
          <w:highlight w:val="none"/>
        </w:rPr>
      </w:pPr>
      <w:r>
        <w:rPr>
          <w:rFonts w:hint="eastAsia" w:hAnsi="宋体" w:cs="宋体"/>
          <w:color w:val="auto"/>
          <w:kern w:val="0"/>
          <w:highlight w:val="none"/>
        </w:rPr>
        <w:t>我（姓名）系自然人，现授权委托（姓 名），身份证号码：以本人名义参加</w:t>
      </w:r>
      <w:r>
        <w:rPr>
          <w:rFonts w:hint="eastAsia" w:hAnsi="宋体" w:cs="宋体"/>
          <w:color w:val="auto"/>
          <w:highlight w:val="none"/>
          <w:u w:val="single"/>
        </w:rPr>
        <w:t xml:space="preserve">（项目名称及项目编号）        </w:t>
      </w:r>
      <w:r>
        <w:rPr>
          <w:rFonts w:hint="eastAsia" w:hAnsi="宋体" w:cs="宋体"/>
          <w:color w:val="auto"/>
          <w:highlight w:val="none"/>
        </w:rPr>
        <w:t>项目的投标活动，并代表本人全权办理针对上述项目的投标、开标、评标、签约等具体事务和签署相关文件。</w:t>
      </w:r>
    </w:p>
    <w:p w14:paraId="6387EA00">
      <w:pPr>
        <w:pStyle w:val="17"/>
        <w:keepNext w:val="0"/>
        <w:keepLines w:val="0"/>
        <w:pageBreakBefore w:val="0"/>
        <w:kinsoku/>
        <w:wordWrap/>
        <w:overflowPunct/>
        <w:topLinePunct w:val="0"/>
        <w:bidi w:val="0"/>
        <w:spacing w:line="440" w:lineRule="exact"/>
        <w:ind w:firstLine="420" w:firstLineChars="200"/>
        <w:rPr>
          <w:rFonts w:hAnsi="宋体" w:cs="宋体"/>
          <w:color w:val="auto"/>
          <w:highlight w:val="none"/>
        </w:rPr>
      </w:pPr>
      <w:r>
        <w:rPr>
          <w:rFonts w:hint="eastAsia" w:hAnsi="宋体" w:cs="宋体"/>
          <w:color w:val="auto"/>
          <w:highlight w:val="none"/>
        </w:rPr>
        <w:t>本人对被授权人的签字事项负全部责任。</w:t>
      </w:r>
    </w:p>
    <w:p w14:paraId="1621C22D">
      <w:pPr>
        <w:pStyle w:val="17"/>
        <w:keepNext w:val="0"/>
        <w:keepLines w:val="0"/>
        <w:pageBreakBefore w:val="0"/>
        <w:kinsoku/>
        <w:wordWrap/>
        <w:overflowPunct/>
        <w:topLinePunct w:val="0"/>
        <w:bidi w:val="0"/>
        <w:spacing w:line="440" w:lineRule="exact"/>
        <w:ind w:firstLine="420" w:firstLineChars="200"/>
        <w:rPr>
          <w:rFonts w:hAnsi="宋体" w:cs="宋体"/>
          <w:color w:val="auto"/>
          <w:highlight w:val="none"/>
          <w:u w:val="single"/>
        </w:rPr>
      </w:pPr>
      <w:r>
        <w:rPr>
          <w:rFonts w:hint="eastAsia" w:hAnsi="宋体" w:cs="宋体"/>
          <w:color w:val="auto"/>
          <w:highlight w:val="none"/>
        </w:rPr>
        <w:t>授权委托代理期限：自即日起至该项目政府采购活动结束。</w:t>
      </w:r>
    </w:p>
    <w:p w14:paraId="6FAF405D">
      <w:pPr>
        <w:pStyle w:val="17"/>
        <w:keepNext w:val="0"/>
        <w:keepLines w:val="0"/>
        <w:pageBreakBefore w:val="0"/>
        <w:kinsoku/>
        <w:wordWrap/>
        <w:overflowPunct/>
        <w:topLinePunct w:val="0"/>
        <w:bidi w:val="0"/>
        <w:spacing w:line="440" w:lineRule="exact"/>
        <w:ind w:firstLine="420" w:firstLineChars="200"/>
        <w:rPr>
          <w:rFonts w:hAnsi="宋体" w:cs="宋体"/>
          <w:color w:val="auto"/>
          <w:highlight w:val="none"/>
          <w:u w:val="single"/>
        </w:rPr>
      </w:pPr>
    </w:p>
    <w:p w14:paraId="3F5280F1">
      <w:pPr>
        <w:pStyle w:val="17"/>
        <w:keepNext w:val="0"/>
        <w:keepLines w:val="0"/>
        <w:pageBreakBefore w:val="0"/>
        <w:kinsoku/>
        <w:wordWrap/>
        <w:overflowPunct/>
        <w:topLinePunct w:val="0"/>
        <w:bidi w:val="0"/>
        <w:spacing w:line="440" w:lineRule="exact"/>
        <w:rPr>
          <w:rFonts w:hAnsi="宋体" w:cs="宋体"/>
          <w:color w:val="auto"/>
          <w:highlight w:val="none"/>
          <w:u w:val="single"/>
        </w:rPr>
      </w:pPr>
    </w:p>
    <w:p w14:paraId="3E9E76F7">
      <w:pPr>
        <w:keepNext w:val="0"/>
        <w:keepLines w:val="0"/>
        <w:pageBreakBefore w:val="0"/>
        <w:kinsoku/>
        <w:wordWrap/>
        <w:overflowPunct/>
        <w:topLinePunct w:val="0"/>
        <w:bidi w:val="0"/>
        <w:spacing w:line="44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61BFB9AA">
      <w:pPr>
        <w:keepNext w:val="0"/>
        <w:keepLines w:val="0"/>
        <w:pageBreakBefore w:val="0"/>
        <w:kinsoku/>
        <w:wordWrap/>
        <w:overflowPunct/>
        <w:topLinePunct w:val="0"/>
        <w:bidi w:val="0"/>
        <w:snapToGrid w:val="0"/>
        <w:spacing w:line="440" w:lineRule="exact"/>
        <w:ind w:firstLine="525"/>
        <w:rPr>
          <w:rFonts w:ascii="宋体" w:hAnsi="宋体" w:cs="宋体"/>
          <w:color w:val="auto"/>
          <w:szCs w:val="21"/>
          <w:highlight w:val="none"/>
        </w:rPr>
      </w:pPr>
    </w:p>
    <w:p w14:paraId="2BB3B8C9">
      <w:pPr>
        <w:keepNext w:val="0"/>
        <w:keepLines w:val="0"/>
        <w:pageBreakBefore w:val="0"/>
        <w:kinsoku/>
        <w:wordWrap/>
        <w:overflowPunct/>
        <w:topLinePunct w:val="0"/>
        <w:bidi w:val="0"/>
        <w:snapToGrid w:val="0"/>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我已在下面签字，以资证明。</w:t>
      </w:r>
    </w:p>
    <w:p w14:paraId="43CDB34C">
      <w:pPr>
        <w:keepNext w:val="0"/>
        <w:keepLines w:val="0"/>
        <w:pageBreakBefore w:val="0"/>
        <w:kinsoku/>
        <w:wordWrap/>
        <w:overflowPunct/>
        <w:topLinePunct w:val="0"/>
        <w:bidi w:val="0"/>
        <w:snapToGrid w:val="0"/>
        <w:spacing w:line="440" w:lineRule="exact"/>
        <w:ind w:firstLine="420"/>
        <w:rPr>
          <w:rFonts w:ascii="宋体" w:hAnsi="宋体" w:cs="宋体"/>
          <w:color w:val="auto"/>
          <w:szCs w:val="21"/>
          <w:highlight w:val="none"/>
        </w:rPr>
      </w:pPr>
    </w:p>
    <w:p w14:paraId="5BB82F8D">
      <w:pPr>
        <w:keepNext w:val="0"/>
        <w:keepLines w:val="0"/>
        <w:pageBreakBefore w:val="0"/>
        <w:kinsoku/>
        <w:wordWrap/>
        <w:overflowPunct/>
        <w:topLinePunct w:val="0"/>
        <w:bidi w:val="0"/>
        <w:snapToGrid w:val="0"/>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自然人签字（个人CA签章）并在签名处加盖大拇指指印：</w:t>
      </w:r>
    </w:p>
    <w:p w14:paraId="68112081">
      <w:pPr>
        <w:keepNext w:val="0"/>
        <w:keepLines w:val="0"/>
        <w:pageBreakBefore w:val="0"/>
        <w:kinsoku/>
        <w:wordWrap/>
        <w:overflowPunct/>
        <w:topLinePunct w:val="0"/>
        <w:bidi w:val="0"/>
        <w:snapToGrid w:val="0"/>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年月日</w:t>
      </w:r>
    </w:p>
    <w:p w14:paraId="47395EB0">
      <w:pPr>
        <w:keepNext w:val="0"/>
        <w:keepLines w:val="0"/>
        <w:pageBreakBefore w:val="0"/>
        <w:kinsoku/>
        <w:wordWrap/>
        <w:overflowPunct/>
        <w:topLinePunct w:val="0"/>
        <w:bidi w:val="0"/>
        <w:snapToGrid w:val="0"/>
        <w:spacing w:line="440" w:lineRule="exact"/>
        <w:ind w:firstLine="420"/>
        <w:rPr>
          <w:rFonts w:ascii="宋体" w:hAnsi="宋体" w:cs="宋体"/>
          <w:color w:val="auto"/>
          <w:szCs w:val="21"/>
          <w:highlight w:val="none"/>
        </w:rPr>
      </w:pPr>
    </w:p>
    <w:p w14:paraId="788B372A">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hAnsi="宋体"/>
          <w:b/>
          <w:color w:val="auto"/>
          <w:sz w:val="24"/>
          <w:highlight w:val="none"/>
        </w:rPr>
        <w:t>附：</w:t>
      </w:r>
      <w:r>
        <w:rPr>
          <w:rFonts w:hint="eastAsia" w:hAnsi="宋体"/>
          <w:b/>
          <w:bCs/>
          <w:color w:val="auto"/>
          <w:sz w:val="24"/>
          <w:highlight w:val="none"/>
        </w:rPr>
        <w:t>委托代理人身份证正反面复印件以及由县级以上（含县级）社会养老保险经办机构出具的供应商为委托代理人交纳的响应文件递交截止时间前半年内连续三个月社保证明复印件</w:t>
      </w:r>
      <w:r>
        <w:rPr>
          <w:rFonts w:hint="eastAsia" w:hAnsi="宋体"/>
          <w:b/>
          <w:color w:val="auto"/>
          <w:sz w:val="24"/>
          <w:highlight w:val="none"/>
        </w:rPr>
        <w:t>。</w:t>
      </w:r>
    </w:p>
    <w:p w14:paraId="76004298">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174BF0AC">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07" w:name="_Toc12280"/>
      <w:bookmarkStart w:id="308" w:name="_Toc495841790"/>
      <w:r>
        <w:rPr>
          <w:rFonts w:hint="eastAsia" w:ascii="宋体" w:hAnsi="宋体" w:cs="宋体"/>
          <w:b/>
          <w:bCs/>
          <w:color w:val="auto"/>
          <w:sz w:val="32"/>
          <w:szCs w:val="32"/>
          <w:highlight w:val="none"/>
        </w:rPr>
        <w:t>3.投标人的法人或者其他组织营业执照等证明文件复印件（必须提供，自然人除外）</w:t>
      </w:r>
      <w:bookmarkEnd w:id="307"/>
      <w:bookmarkEnd w:id="308"/>
    </w:p>
    <w:p w14:paraId="2ED6A05D">
      <w:pPr>
        <w:keepNext w:val="0"/>
        <w:keepLines w:val="0"/>
        <w:pageBreakBefore w:val="0"/>
        <w:tabs>
          <w:tab w:val="left" w:pos="1305"/>
        </w:tabs>
        <w:kinsoku/>
        <w:wordWrap/>
        <w:overflowPunct/>
        <w:topLinePunct w:val="0"/>
        <w:bidi w:val="0"/>
        <w:spacing w:line="440" w:lineRule="exact"/>
        <w:rPr>
          <w:rFonts w:ascii="宋体" w:hAnsi="宋体" w:cs="宋体"/>
          <w:b/>
          <w:color w:val="auto"/>
          <w:szCs w:val="21"/>
          <w:highlight w:val="none"/>
        </w:rPr>
      </w:pPr>
      <w:r>
        <w:rPr>
          <w:rFonts w:hint="eastAsia" w:ascii="宋体" w:hAnsi="宋体" w:cs="宋体"/>
          <w:b/>
          <w:color w:val="auto"/>
          <w:szCs w:val="21"/>
          <w:highlight w:val="none"/>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46ED7B3">
      <w:pPr>
        <w:keepNext w:val="0"/>
        <w:keepLines w:val="0"/>
        <w:pageBreakBefore w:val="0"/>
        <w:kinsoku/>
        <w:wordWrap/>
        <w:overflowPunct/>
        <w:topLinePunct w:val="0"/>
        <w:bidi w:val="0"/>
        <w:spacing w:line="440" w:lineRule="exact"/>
        <w:ind w:left="420" w:leftChars="200" w:firstLine="157" w:firstLineChars="49"/>
        <w:rPr>
          <w:rFonts w:ascii="宋体" w:hAnsi="宋体" w:cs="宋体"/>
          <w:b/>
          <w:color w:val="auto"/>
          <w:sz w:val="32"/>
          <w:szCs w:val="32"/>
          <w:highlight w:val="none"/>
        </w:rPr>
      </w:pPr>
    </w:p>
    <w:p w14:paraId="375A2CC1">
      <w:pPr>
        <w:keepNext w:val="0"/>
        <w:keepLines w:val="0"/>
        <w:pageBreakBefore w:val="0"/>
        <w:kinsoku/>
        <w:wordWrap/>
        <w:overflowPunct/>
        <w:topLinePunct w:val="0"/>
        <w:bidi w:val="0"/>
        <w:spacing w:line="440" w:lineRule="exact"/>
        <w:ind w:left="420" w:leftChars="200" w:firstLine="157" w:firstLineChars="49"/>
        <w:rPr>
          <w:rFonts w:ascii="宋体" w:hAnsi="宋体" w:cs="宋体"/>
          <w:b/>
          <w:color w:val="auto"/>
          <w:sz w:val="32"/>
          <w:szCs w:val="32"/>
          <w:highlight w:val="none"/>
        </w:rPr>
      </w:pPr>
    </w:p>
    <w:p w14:paraId="00D0CE2F">
      <w:pPr>
        <w:pStyle w:val="49"/>
        <w:keepNext w:val="0"/>
        <w:keepLines w:val="0"/>
        <w:pageBreakBefore w:val="0"/>
        <w:kinsoku/>
        <w:wordWrap/>
        <w:overflowPunct/>
        <w:topLinePunct w:val="0"/>
        <w:bidi w:val="0"/>
        <w:spacing w:line="440" w:lineRule="exact"/>
        <w:rPr>
          <w:color w:val="auto"/>
          <w:highlight w:val="none"/>
        </w:rPr>
      </w:pPr>
      <w:r>
        <w:rPr>
          <w:color w:val="auto"/>
          <w:highlight w:val="none"/>
        </w:rPr>
        <w:br w:type="page"/>
      </w:r>
    </w:p>
    <w:p w14:paraId="06E67A00">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09" w:name="_Toc495841793"/>
      <w:bookmarkStart w:id="310" w:name="_Toc26950"/>
      <w:r>
        <w:rPr>
          <w:rFonts w:hint="eastAsia" w:ascii="宋体" w:hAnsi="宋体" w:cs="宋体"/>
          <w:b/>
          <w:bCs/>
          <w:color w:val="auto"/>
          <w:sz w:val="32"/>
          <w:szCs w:val="32"/>
          <w:highlight w:val="none"/>
        </w:rPr>
        <w:t>4.投标人参加政府采购活动前3年内在经营活动中没有重大违法记录及有关信用信息的书面声明（必须提供）</w:t>
      </w:r>
      <w:bookmarkEnd w:id="309"/>
      <w:bookmarkEnd w:id="310"/>
    </w:p>
    <w:p w14:paraId="0ACBC322">
      <w:pPr>
        <w:pStyle w:val="133"/>
        <w:keepNext w:val="0"/>
        <w:keepLines w:val="0"/>
        <w:pageBreakBefore w:val="0"/>
        <w:kinsoku/>
        <w:wordWrap/>
        <w:overflowPunct/>
        <w:topLinePunct w:val="0"/>
        <w:bidi w:val="0"/>
        <w:spacing w:line="440" w:lineRule="exact"/>
        <w:ind w:firstLine="0" w:firstLineChars="0"/>
        <w:rPr>
          <w:rFonts w:ascii="宋体" w:hAnsi="宋体" w:cs="宋体"/>
          <w:b/>
          <w:bCs/>
          <w:color w:val="auto"/>
          <w:sz w:val="32"/>
          <w:szCs w:val="32"/>
          <w:highlight w:val="none"/>
        </w:rPr>
      </w:pPr>
    </w:p>
    <w:p w14:paraId="38F7FCBF">
      <w:pPr>
        <w:keepNext w:val="0"/>
        <w:keepLines w:val="0"/>
        <w:pageBreakBefore w:val="0"/>
        <w:kinsoku/>
        <w:wordWrap/>
        <w:overflowPunct/>
        <w:topLinePunct w:val="0"/>
        <w:bidi w:val="0"/>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声   明</w:t>
      </w:r>
    </w:p>
    <w:p w14:paraId="73C6D5DB">
      <w:pPr>
        <w:keepNext w:val="0"/>
        <w:keepLines w:val="0"/>
        <w:pageBreakBefore w:val="0"/>
        <w:kinsoku/>
        <w:wordWrap/>
        <w:overflowPunct/>
        <w:topLinePunct w:val="0"/>
        <w:bidi w:val="0"/>
        <w:snapToGrid w:val="0"/>
        <w:spacing w:line="440" w:lineRule="exact"/>
        <w:rPr>
          <w:rFonts w:ascii="宋体" w:hAnsi="宋体" w:cs="宋体"/>
          <w:color w:val="auto"/>
          <w:highlight w:val="none"/>
        </w:rPr>
      </w:pPr>
      <w:r>
        <w:rPr>
          <w:rFonts w:hint="eastAsia" w:ascii="宋体" w:hAnsi="宋体" w:cs="宋体"/>
          <w:b/>
          <w:color w:val="auto"/>
          <w:szCs w:val="21"/>
          <w:highlight w:val="none"/>
        </w:rPr>
        <w:t>致</w:t>
      </w:r>
      <w:r>
        <w:rPr>
          <w:rFonts w:hint="eastAsia" w:ascii="宋体" w:hAnsi="宋体" w:cs="宋体"/>
          <w:color w:val="auto"/>
          <w:szCs w:val="21"/>
          <w:highlight w:val="none"/>
        </w:rPr>
        <w:t>：</w:t>
      </w:r>
      <w:r>
        <w:rPr>
          <w:rFonts w:hint="eastAsia" w:ascii="宋体" w:hAnsi="宋体" w:cs="宋体"/>
          <w:color w:val="auto"/>
          <w:highlight w:val="none"/>
          <w:u w:val="single"/>
        </w:rPr>
        <w:t>广西奥金斯项目管理有限公司</w:t>
      </w:r>
    </w:p>
    <w:p w14:paraId="597A9A28">
      <w:pPr>
        <w:keepNext w:val="0"/>
        <w:keepLines w:val="0"/>
        <w:pageBreakBefore w:val="0"/>
        <w:kinsoku/>
        <w:wordWrap/>
        <w:overflowPunct/>
        <w:topLinePunct w:val="0"/>
        <w:bidi w:val="0"/>
        <w:snapToGrid w:val="0"/>
        <w:spacing w:line="440" w:lineRule="exact"/>
        <w:rPr>
          <w:rFonts w:ascii="宋体" w:hAnsi="宋体" w:cs="宋体"/>
          <w:color w:val="auto"/>
          <w:szCs w:val="21"/>
          <w:highlight w:val="none"/>
          <w:u w:val="single"/>
        </w:rPr>
      </w:pPr>
    </w:p>
    <w:p w14:paraId="3C24A565">
      <w:pPr>
        <w:pStyle w:val="17"/>
        <w:keepNext w:val="0"/>
        <w:keepLines w:val="0"/>
        <w:pageBreakBefore w:val="0"/>
        <w:kinsoku/>
        <w:wordWrap/>
        <w:overflowPunct/>
        <w:topLinePunct w:val="0"/>
        <w:bidi w:val="0"/>
        <w:spacing w:line="440" w:lineRule="exact"/>
        <w:ind w:firstLine="420" w:firstLineChars="200"/>
        <w:rPr>
          <w:rFonts w:hAnsi="宋体" w:cs="宋体"/>
          <w:color w:val="auto"/>
          <w:highlight w:val="none"/>
        </w:rPr>
      </w:pPr>
      <w:r>
        <w:rPr>
          <w:rFonts w:hint="eastAsia" w:hAnsi="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A0E9D7C">
      <w:pPr>
        <w:keepNext w:val="0"/>
        <w:keepLines w:val="0"/>
        <w:pageBreakBefore w:val="0"/>
        <w:kinsoku/>
        <w:wordWrap/>
        <w:overflowPunct/>
        <w:topLinePunct w:val="0"/>
        <w:bidi w:val="0"/>
        <w:snapToGrid w:val="0"/>
        <w:spacing w:line="440" w:lineRule="exact"/>
        <w:ind w:firstLine="4515" w:firstLineChars="2150"/>
        <w:rPr>
          <w:rFonts w:ascii="宋体" w:hAnsi="宋体" w:cs="宋体"/>
          <w:color w:val="auto"/>
          <w:szCs w:val="21"/>
          <w:highlight w:val="none"/>
        </w:rPr>
      </w:pPr>
    </w:p>
    <w:p w14:paraId="2BC18207">
      <w:pPr>
        <w:keepNext w:val="0"/>
        <w:keepLines w:val="0"/>
        <w:pageBreakBefore w:val="0"/>
        <w:kinsoku/>
        <w:wordWrap/>
        <w:overflowPunct/>
        <w:topLinePunct w:val="0"/>
        <w:bidi w:val="0"/>
        <w:snapToGrid w:val="0"/>
        <w:spacing w:line="44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投标人[公章(CA签章)，自然人签字或个人CA签章]：</w:t>
      </w:r>
    </w:p>
    <w:p w14:paraId="1EB9DDB2">
      <w:pPr>
        <w:keepNext w:val="0"/>
        <w:keepLines w:val="0"/>
        <w:pageBreakBefore w:val="0"/>
        <w:kinsoku/>
        <w:wordWrap/>
        <w:overflowPunct/>
        <w:topLinePunct w:val="0"/>
        <w:bidi w:val="0"/>
        <w:snapToGrid w:val="0"/>
        <w:spacing w:line="440" w:lineRule="exact"/>
        <w:ind w:firstLine="1890" w:firstLineChars="900"/>
        <w:rPr>
          <w:rFonts w:ascii="宋体" w:hAnsi="宋体" w:cs="宋体"/>
          <w:color w:val="auto"/>
          <w:highlight w:val="none"/>
          <w:u w:val="single"/>
        </w:rPr>
      </w:pPr>
      <w:r>
        <w:rPr>
          <w:rFonts w:hint="eastAsia" w:ascii="宋体" w:hAnsi="宋体" w:cs="宋体"/>
          <w:color w:val="auto"/>
          <w:szCs w:val="21"/>
          <w:highlight w:val="none"/>
        </w:rPr>
        <w:t>法定代表人、负责人或相应的委托代理人[签字或盖章（CA签章）]：</w:t>
      </w:r>
    </w:p>
    <w:p w14:paraId="13FD2AA9">
      <w:pPr>
        <w:keepNext w:val="0"/>
        <w:keepLines w:val="0"/>
        <w:pageBreakBefore w:val="0"/>
        <w:kinsoku/>
        <w:wordWrap/>
        <w:overflowPunct/>
        <w:topLinePunct w:val="0"/>
        <w:bidi w:val="0"/>
        <w:snapToGrid w:val="0"/>
        <w:spacing w:line="440" w:lineRule="exact"/>
        <w:ind w:firstLine="1890" w:firstLineChars="900"/>
        <w:rPr>
          <w:rFonts w:ascii="宋体" w:hAnsi="宋体" w:cs="宋体"/>
          <w:color w:val="auto"/>
          <w:highlight w:val="none"/>
          <w:u w:val="single"/>
        </w:rPr>
      </w:pPr>
      <w:r>
        <w:rPr>
          <w:rFonts w:hint="eastAsia" w:ascii="宋体" w:hAnsi="宋体" w:cs="宋体"/>
          <w:color w:val="auto"/>
          <w:highlight w:val="none"/>
        </w:rPr>
        <w:t>日          期：</w:t>
      </w:r>
    </w:p>
    <w:p w14:paraId="75DE810D">
      <w:pPr>
        <w:keepNext w:val="0"/>
        <w:keepLines w:val="0"/>
        <w:pageBreakBefore w:val="0"/>
        <w:kinsoku/>
        <w:wordWrap/>
        <w:overflowPunct/>
        <w:topLinePunct w:val="0"/>
        <w:bidi w:val="0"/>
        <w:snapToGrid w:val="0"/>
        <w:spacing w:line="440" w:lineRule="exact"/>
        <w:rPr>
          <w:rFonts w:ascii="宋体" w:hAnsi="宋体" w:cs="宋体"/>
          <w:color w:val="auto"/>
          <w:highlight w:val="none"/>
          <w:u w:val="single"/>
        </w:rPr>
      </w:pPr>
    </w:p>
    <w:p w14:paraId="29895CAE">
      <w:pPr>
        <w:keepNext w:val="0"/>
        <w:keepLines w:val="0"/>
        <w:pageBreakBefore w:val="0"/>
        <w:kinsoku/>
        <w:wordWrap/>
        <w:overflowPunct/>
        <w:topLinePunct w:val="0"/>
        <w:bidi w:val="0"/>
        <w:snapToGrid w:val="0"/>
        <w:spacing w:line="440" w:lineRule="exact"/>
        <w:rPr>
          <w:rFonts w:ascii="宋体" w:hAnsi="宋体" w:cs="宋体"/>
          <w:color w:val="auto"/>
          <w:highlight w:val="none"/>
          <w:u w:val="single"/>
        </w:rPr>
      </w:pPr>
    </w:p>
    <w:p w14:paraId="708222E6">
      <w:pPr>
        <w:keepNext w:val="0"/>
        <w:keepLines w:val="0"/>
        <w:pageBreakBefore w:val="0"/>
        <w:kinsoku/>
        <w:wordWrap/>
        <w:overflowPunct/>
        <w:topLinePunct w:val="0"/>
        <w:bidi w:val="0"/>
        <w:snapToGrid w:val="0"/>
        <w:spacing w:line="440" w:lineRule="exact"/>
        <w:rPr>
          <w:rFonts w:ascii="宋体" w:hAnsi="宋体" w:cs="宋体"/>
          <w:color w:val="auto"/>
          <w:highlight w:val="none"/>
          <w:u w:val="single"/>
        </w:rPr>
      </w:pPr>
    </w:p>
    <w:p w14:paraId="09D476B2">
      <w:pPr>
        <w:keepNext w:val="0"/>
        <w:keepLines w:val="0"/>
        <w:pageBreakBefore w:val="0"/>
        <w:kinsoku/>
        <w:wordWrap/>
        <w:overflowPunct/>
        <w:topLinePunct w:val="0"/>
        <w:bidi w:val="0"/>
        <w:snapToGrid w:val="0"/>
        <w:spacing w:line="440" w:lineRule="exact"/>
        <w:rPr>
          <w:rFonts w:ascii="宋体" w:hAnsi="宋体" w:cs="宋体"/>
          <w:color w:val="auto"/>
          <w:sz w:val="32"/>
          <w:szCs w:val="32"/>
          <w:highlight w:val="none"/>
          <w:u w:val="single"/>
        </w:rPr>
      </w:pPr>
      <w:r>
        <w:rPr>
          <w:rFonts w:hint="eastAsia" w:ascii="宋体" w:hAnsi="宋体" w:cs="宋体"/>
          <w:color w:val="auto"/>
          <w:sz w:val="32"/>
          <w:szCs w:val="32"/>
          <w:highlight w:val="none"/>
        </w:rPr>
        <w:t>5.</w:t>
      </w:r>
      <w:r>
        <w:rPr>
          <w:rFonts w:ascii="宋体" w:hAnsi="宋体" w:cs="宋体"/>
          <w:color w:val="auto"/>
          <w:szCs w:val="21"/>
          <w:highlight w:val="none"/>
        </w:rPr>
        <w:t xml:space="preserve"> </w:t>
      </w:r>
      <w:r>
        <w:rPr>
          <w:rFonts w:ascii="宋体" w:hAnsi="宋体" w:cs="宋体"/>
          <w:color w:val="auto"/>
          <w:sz w:val="32"/>
          <w:szCs w:val="32"/>
          <w:highlight w:val="none"/>
        </w:rPr>
        <w:t>投标人有效的医疗器械经营备案凭证复印件或者医疗器械经营许可证复印件，且经营范围必须包含采购的医疗器械标的[符合《医疗器械监督管理条例》第四十一条第二款规定的除外]，所投产品生产厂家医疗器械生产许可证复印件</w:t>
      </w:r>
      <w:r>
        <w:rPr>
          <w:rFonts w:hint="eastAsia" w:ascii="宋体" w:hAnsi="宋体" w:cs="宋体"/>
          <w:color w:val="auto"/>
          <w:sz w:val="32"/>
          <w:szCs w:val="32"/>
          <w:highlight w:val="none"/>
        </w:rPr>
        <w:t>，所投产品注册凭证复印件或备案凭证复印件。</w:t>
      </w:r>
      <w:r>
        <w:rPr>
          <w:rFonts w:hint="eastAsia" w:ascii="宋体" w:hAnsi="宋体" w:cs="宋体"/>
          <w:b/>
          <w:bCs/>
          <w:color w:val="auto"/>
          <w:sz w:val="32"/>
          <w:szCs w:val="32"/>
          <w:highlight w:val="none"/>
        </w:rPr>
        <w:t>（必须提供）</w:t>
      </w:r>
    </w:p>
    <w:p w14:paraId="4A7C0423">
      <w:pPr>
        <w:pStyle w:val="14"/>
        <w:keepNext w:val="0"/>
        <w:keepLines w:val="0"/>
        <w:pageBreakBefore w:val="0"/>
        <w:kinsoku/>
        <w:wordWrap/>
        <w:overflowPunct/>
        <w:topLinePunct w:val="0"/>
        <w:bidi w:val="0"/>
        <w:spacing w:line="440" w:lineRule="exact"/>
        <w:rPr>
          <w:color w:val="auto"/>
          <w:highlight w:val="none"/>
        </w:rPr>
      </w:pPr>
      <w:r>
        <w:rPr>
          <w:color w:val="auto"/>
          <w:highlight w:val="none"/>
        </w:rPr>
        <w:br w:type="page"/>
      </w:r>
    </w:p>
    <w:p w14:paraId="54AA83A1">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11" w:name="_Toc26652"/>
      <w:r>
        <w:rPr>
          <w:rFonts w:hint="eastAsia" w:ascii="宋体" w:hAnsi="宋体" w:cs="宋体"/>
          <w:b/>
          <w:bCs/>
          <w:color w:val="auto"/>
          <w:sz w:val="32"/>
          <w:szCs w:val="32"/>
          <w:highlight w:val="none"/>
        </w:rPr>
        <w:t>二、商务、技术性响应及其他有效证明材料（格式）</w:t>
      </w:r>
      <w:bookmarkEnd w:id="311"/>
    </w:p>
    <w:p w14:paraId="024532A2">
      <w:pPr>
        <w:keepNext w:val="0"/>
        <w:keepLines w:val="0"/>
        <w:pageBreakBefore w:val="0"/>
        <w:kinsoku/>
        <w:wordWrap/>
        <w:overflowPunct/>
        <w:topLinePunct w:val="0"/>
        <w:bidi w:val="0"/>
        <w:spacing w:line="440" w:lineRule="exact"/>
        <w:rPr>
          <w:rFonts w:ascii="宋体" w:hAnsi="Courier New"/>
          <w:b/>
          <w:color w:val="auto"/>
          <w:sz w:val="32"/>
          <w:szCs w:val="32"/>
          <w:highlight w:val="none"/>
        </w:rPr>
      </w:pPr>
      <w:bookmarkStart w:id="312" w:name="_Toc495841795"/>
      <w:bookmarkStart w:id="313" w:name="_Toc2409"/>
      <w:r>
        <w:rPr>
          <w:rFonts w:hint="eastAsia" w:ascii="宋体" w:hAnsi="宋体" w:cs="宋体"/>
          <w:b/>
          <w:bCs/>
          <w:color w:val="auto"/>
          <w:sz w:val="32"/>
          <w:szCs w:val="32"/>
          <w:highlight w:val="none"/>
        </w:rPr>
        <w:t>1.</w:t>
      </w:r>
      <w:r>
        <w:rPr>
          <w:rFonts w:hint="eastAsia"/>
          <w:b/>
          <w:color w:val="auto"/>
          <w:sz w:val="32"/>
          <w:highlight w:val="none"/>
        </w:rPr>
        <w:t>投标报价表</w:t>
      </w:r>
      <w:r>
        <w:rPr>
          <w:rFonts w:hint="eastAsia" w:ascii="宋体" w:hAnsi="Courier New"/>
          <w:b/>
          <w:color w:val="auto"/>
          <w:sz w:val="32"/>
          <w:szCs w:val="32"/>
          <w:highlight w:val="none"/>
        </w:rPr>
        <w:t>（必须提供）</w:t>
      </w:r>
    </w:p>
    <w:p w14:paraId="283D2E53">
      <w:pPr>
        <w:pStyle w:val="17"/>
        <w:keepNext w:val="0"/>
        <w:keepLines w:val="0"/>
        <w:pageBreakBefore w:val="0"/>
        <w:kinsoku/>
        <w:wordWrap/>
        <w:overflowPunct/>
        <w:topLinePunct w:val="0"/>
        <w:bidi w:val="0"/>
        <w:spacing w:line="440" w:lineRule="exact"/>
        <w:ind w:left="420"/>
        <w:jc w:val="left"/>
        <w:rPr>
          <w:b/>
          <w:color w:val="auto"/>
          <w:sz w:val="24"/>
          <w:szCs w:val="24"/>
          <w:highlight w:val="none"/>
        </w:rPr>
      </w:pPr>
      <w:r>
        <w:rPr>
          <w:rFonts w:hint="eastAsia"/>
          <w:b/>
          <w:color w:val="auto"/>
          <w:sz w:val="24"/>
          <w:szCs w:val="24"/>
          <w:highlight w:val="none"/>
        </w:rPr>
        <w:t>附件：</w:t>
      </w:r>
    </w:p>
    <w:p w14:paraId="7E54D6EB">
      <w:pPr>
        <w:pStyle w:val="17"/>
        <w:keepNext w:val="0"/>
        <w:keepLines w:val="0"/>
        <w:pageBreakBefore w:val="0"/>
        <w:kinsoku/>
        <w:wordWrap/>
        <w:overflowPunct/>
        <w:topLinePunct w:val="0"/>
        <w:bidi w:val="0"/>
        <w:spacing w:line="440" w:lineRule="exact"/>
        <w:ind w:left="420"/>
        <w:jc w:val="center"/>
        <w:rPr>
          <w:b/>
          <w:color w:val="auto"/>
          <w:sz w:val="32"/>
          <w:highlight w:val="none"/>
        </w:rPr>
      </w:pPr>
      <w:r>
        <w:rPr>
          <w:rFonts w:hint="eastAsia"/>
          <w:b/>
          <w:color w:val="auto"/>
          <w:sz w:val="32"/>
          <w:highlight w:val="none"/>
        </w:rPr>
        <w:t>投标报价表（格式）</w:t>
      </w:r>
    </w:p>
    <w:p w14:paraId="1AE62152">
      <w:pPr>
        <w:keepNext w:val="0"/>
        <w:keepLines w:val="0"/>
        <w:pageBreakBefore w:val="0"/>
        <w:kinsoku/>
        <w:wordWrap/>
        <w:overflowPunct/>
        <w:topLinePunct w:val="0"/>
        <w:bidi w:val="0"/>
        <w:spacing w:line="440" w:lineRule="exact"/>
        <w:rPr>
          <w:rFonts w:ascii="宋体" w:hAnsi="宋体"/>
          <w:color w:val="auto"/>
          <w:highlight w:val="none"/>
        </w:rPr>
      </w:pPr>
      <w:r>
        <w:rPr>
          <w:rFonts w:hint="eastAsia" w:ascii="宋体" w:hAnsi="宋体"/>
          <w:color w:val="auto"/>
          <w:szCs w:val="21"/>
          <w:highlight w:val="none"/>
        </w:rPr>
        <w:t>致：</w:t>
      </w:r>
      <w:r>
        <w:rPr>
          <w:rFonts w:hint="eastAsia" w:ascii="宋体" w:hAnsi="宋体"/>
          <w:color w:val="auto"/>
          <w:highlight w:val="none"/>
          <w:u w:val="single"/>
        </w:rPr>
        <w:t>广西奥金斯项目管理有限公司</w:t>
      </w:r>
    </w:p>
    <w:p w14:paraId="7924F760">
      <w:pPr>
        <w:keepNext w:val="0"/>
        <w:keepLines w:val="0"/>
        <w:pageBreakBefore w:val="0"/>
        <w:kinsoku/>
        <w:wordWrap/>
        <w:overflowPunct/>
        <w:topLinePunct w:val="0"/>
        <w:bidi w:val="0"/>
        <w:spacing w:line="440" w:lineRule="exact"/>
        <w:rPr>
          <w:rFonts w:ascii="宋体" w:hAnsi="宋体"/>
          <w:color w:val="auto"/>
          <w:szCs w:val="21"/>
          <w:highlight w:val="none"/>
        </w:rPr>
      </w:pPr>
    </w:p>
    <w:p w14:paraId="46253253">
      <w:pPr>
        <w:pStyle w:val="17"/>
        <w:keepNext w:val="0"/>
        <w:keepLines w:val="0"/>
        <w:pageBreakBefore w:val="0"/>
        <w:kinsoku/>
        <w:wordWrap/>
        <w:overflowPunct/>
        <w:topLinePunct w:val="0"/>
        <w:bidi w:val="0"/>
        <w:spacing w:line="440" w:lineRule="exact"/>
        <w:ind w:firstLine="424" w:firstLineChars="202"/>
        <w:jc w:val="left"/>
        <w:rPr>
          <w:b/>
          <w:color w:val="auto"/>
          <w:sz w:val="32"/>
          <w:highlight w:val="none"/>
          <w:u w:val="single"/>
        </w:rPr>
      </w:pPr>
      <w:r>
        <w:rPr>
          <w:rFonts w:hint="eastAsia" w:hAnsi="宋体"/>
          <w:color w:val="auto"/>
          <w:highlight w:val="none"/>
        </w:rPr>
        <w:t>根据贵方项目招标文件，项目编号</w:t>
      </w:r>
      <w:r>
        <w:rPr>
          <w:rFonts w:hint="eastAsia" w:hAnsi="宋体"/>
          <w:color w:val="auto"/>
          <w:szCs w:val="21"/>
          <w:highlight w:val="none"/>
        </w:rPr>
        <w:t>，签字代表</w:t>
      </w:r>
      <w:r>
        <w:rPr>
          <w:rFonts w:hint="eastAsia" w:hAnsi="宋体"/>
          <w:color w:val="auto"/>
          <w:highlight w:val="none"/>
        </w:rPr>
        <w:t xml:space="preserve">（姓名）经正式授权并代表投标人 </w:t>
      </w:r>
      <w:r>
        <w:rPr>
          <w:rFonts w:hint="eastAsia" w:hAnsi="宋体"/>
          <w:color w:val="auto"/>
          <w:highlight w:val="none"/>
          <w:u w:val="single"/>
        </w:rPr>
        <w:t xml:space="preserve">                                   （</w:t>
      </w:r>
      <w:r>
        <w:rPr>
          <w:rFonts w:hint="eastAsia" w:hAnsi="宋体"/>
          <w:color w:val="auto"/>
          <w:highlight w:val="none"/>
        </w:rPr>
        <w:t>投标单位名称），提交投标文件，并做出如下报价：</w:t>
      </w:r>
    </w:p>
    <w:tbl>
      <w:tblPr>
        <w:tblStyle w:val="3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7"/>
        <w:gridCol w:w="1858"/>
        <w:gridCol w:w="1140"/>
        <w:gridCol w:w="2181"/>
        <w:gridCol w:w="660"/>
        <w:gridCol w:w="548"/>
        <w:gridCol w:w="620"/>
        <w:gridCol w:w="1693"/>
        <w:gridCol w:w="841"/>
      </w:tblGrid>
      <w:tr w14:paraId="72347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214" w:type="pct"/>
            <w:tcBorders>
              <w:top w:val="single" w:color="auto" w:sz="4" w:space="0"/>
              <w:left w:val="single" w:color="auto" w:sz="4" w:space="0"/>
              <w:bottom w:val="single" w:color="auto" w:sz="4" w:space="0"/>
              <w:right w:val="single" w:color="auto" w:sz="4" w:space="0"/>
            </w:tcBorders>
            <w:vAlign w:val="center"/>
          </w:tcPr>
          <w:p w14:paraId="3CF690FF">
            <w:pPr>
              <w:keepNext w:val="0"/>
              <w:keepLines w:val="0"/>
              <w:pageBreakBefore w:val="0"/>
              <w:kinsoku/>
              <w:wordWrap/>
              <w:overflowPunct/>
              <w:topLinePunct w:val="0"/>
              <w:bidi w:val="0"/>
              <w:spacing w:line="440" w:lineRule="exact"/>
              <w:jc w:val="center"/>
              <w:rPr>
                <w:rFonts w:hAnsi="宋体"/>
                <w:color w:val="auto"/>
                <w:highlight w:val="none"/>
              </w:rPr>
            </w:pPr>
            <w:r>
              <w:rPr>
                <w:rFonts w:hint="eastAsia" w:hAnsi="宋体"/>
                <w:color w:val="auto"/>
                <w:highlight w:val="none"/>
              </w:rPr>
              <w:t>项号</w:t>
            </w:r>
          </w:p>
        </w:tc>
        <w:tc>
          <w:tcPr>
            <w:tcW w:w="932" w:type="pct"/>
            <w:tcBorders>
              <w:top w:val="single" w:color="auto" w:sz="4" w:space="0"/>
              <w:left w:val="single" w:color="auto" w:sz="4" w:space="0"/>
              <w:bottom w:val="single" w:color="auto" w:sz="4" w:space="0"/>
              <w:right w:val="single" w:color="auto" w:sz="4" w:space="0"/>
            </w:tcBorders>
            <w:vAlign w:val="center"/>
          </w:tcPr>
          <w:p w14:paraId="7A60279C">
            <w:pPr>
              <w:keepNext w:val="0"/>
              <w:keepLines w:val="0"/>
              <w:pageBreakBefore w:val="0"/>
              <w:kinsoku/>
              <w:wordWrap/>
              <w:overflowPunct/>
              <w:topLinePunct w:val="0"/>
              <w:bidi w:val="0"/>
              <w:spacing w:line="440" w:lineRule="exact"/>
              <w:jc w:val="center"/>
              <w:rPr>
                <w:rFonts w:hAnsi="宋体"/>
                <w:color w:val="auto"/>
                <w:highlight w:val="none"/>
              </w:rPr>
            </w:pPr>
            <w:r>
              <w:rPr>
                <w:rFonts w:hint="eastAsia" w:hAnsi="宋体"/>
                <w:color w:val="auto"/>
                <w:highlight w:val="none"/>
              </w:rPr>
              <w:t>货物名称</w:t>
            </w:r>
          </w:p>
        </w:tc>
        <w:tc>
          <w:tcPr>
            <w:tcW w:w="572" w:type="pct"/>
            <w:tcBorders>
              <w:top w:val="single" w:color="auto" w:sz="4" w:space="0"/>
              <w:left w:val="single" w:color="auto" w:sz="4" w:space="0"/>
              <w:bottom w:val="single" w:color="auto" w:sz="4" w:space="0"/>
              <w:right w:val="single" w:color="auto" w:sz="4" w:space="0"/>
            </w:tcBorders>
            <w:vAlign w:val="center"/>
          </w:tcPr>
          <w:p w14:paraId="35F1B17C">
            <w:pPr>
              <w:keepNext w:val="0"/>
              <w:keepLines w:val="0"/>
              <w:pageBreakBefore w:val="0"/>
              <w:kinsoku/>
              <w:wordWrap/>
              <w:overflowPunct/>
              <w:topLinePunct w:val="0"/>
              <w:bidi w:val="0"/>
              <w:spacing w:line="440" w:lineRule="exact"/>
              <w:jc w:val="center"/>
              <w:rPr>
                <w:rFonts w:hAnsi="宋体"/>
                <w:color w:val="auto"/>
                <w:highlight w:val="none"/>
              </w:rPr>
            </w:pPr>
            <w:r>
              <w:rPr>
                <w:rFonts w:hint="eastAsia" w:hAnsi="宋体"/>
                <w:color w:val="auto"/>
                <w:highlight w:val="none"/>
              </w:rPr>
              <w:t>生产厂家</w:t>
            </w:r>
          </w:p>
        </w:tc>
        <w:tc>
          <w:tcPr>
            <w:tcW w:w="1094" w:type="pct"/>
            <w:tcBorders>
              <w:top w:val="single" w:color="auto" w:sz="4" w:space="0"/>
              <w:left w:val="single" w:color="auto" w:sz="4" w:space="0"/>
              <w:bottom w:val="single" w:color="auto" w:sz="4" w:space="0"/>
              <w:right w:val="single" w:color="auto" w:sz="4" w:space="0"/>
            </w:tcBorders>
            <w:vAlign w:val="center"/>
          </w:tcPr>
          <w:p w14:paraId="5EE24FFD">
            <w:pPr>
              <w:keepNext w:val="0"/>
              <w:keepLines w:val="0"/>
              <w:pageBreakBefore w:val="0"/>
              <w:kinsoku/>
              <w:wordWrap/>
              <w:overflowPunct/>
              <w:topLinePunct w:val="0"/>
              <w:bidi w:val="0"/>
              <w:spacing w:line="440" w:lineRule="exact"/>
              <w:jc w:val="center"/>
              <w:rPr>
                <w:rFonts w:hAnsi="宋体"/>
                <w:color w:val="auto"/>
                <w:highlight w:val="none"/>
              </w:rPr>
            </w:pPr>
            <w:r>
              <w:rPr>
                <w:rFonts w:hint="eastAsia" w:ascii="宋体"/>
                <w:color w:val="auto"/>
                <w:szCs w:val="21"/>
                <w:highlight w:val="none"/>
              </w:rPr>
              <w:t>品牌、规格型号</w:t>
            </w:r>
          </w:p>
        </w:tc>
        <w:tc>
          <w:tcPr>
            <w:tcW w:w="331" w:type="pct"/>
            <w:tcBorders>
              <w:top w:val="single" w:color="auto" w:sz="4" w:space="0"/>
              <w:left w:val="single" w:color="auto" w:sz="4" w:space="0"/>
              <w:bottom w:val="single" w:color="auto" w:sz="4" w:space="0"/>
              <w:right w:val="single" w:color="auto" w:sz="4" w:space="0"/>
            </w:tcBorders>
            <w:vAlign w:val="center"/>
          </w:tcPr>
          <w:p w14:paraId="6B22C64C">
            <w:pPr>
              <w:keepNext w:val="0"/>
              <w:keepLines w:val="0"/>
              <w:pageBreakBefore w:val="0"/>
              <w:kinsoku/>
              <w:wordWrap/>
              <w:overflowPunct/>
              <w:topLinePunct w:val="0"/>
              <w:bidi w:val="0"/>
              <w:spacing w:line="440" w:lineRule="exact"/>
              <w:jc w:val="center"/>
              <w:rPr>
                <w:rFonts w:hAnsi="宋体"/>
                <w:color w:val="auto"/>
                <w:highlight w:val="none"/>
              </w:rPr>
            </w:pPr>
            <w:r>
              <w:rPr>
                <w:rFonts w:hint="eastAsia" w:hAnsi="宋体"/>
                <w:color w:val="auto"/>
                <w:highlight w:val="none"/>
              </w:rPr>
              <w:t>数量</w:t>
            </w:r>
          </w:p>
          <w:p w14:paraId="2FB54E5B">
            <w:pPr>
              <w:keepNext w:val="0"/>
              <w:keepLines w:val="0"/>
              <w:pageBreakBefore w:val="0"/>
              <w:kinsoku/>
              <w:wordWrap/>
              <w:overflowPunct/>
              <w:topLinePunct w:val="0"/>
              <w:bidi w:val="0"/>
              <w:spacing w:line="440" w:lineRule="exact"/>
              <w:jc w:val="center"/>
              <w:rPr>
                <w:rFonts w:hAnsi="宋体"/>
                <w:color w:val="auto"/>
                <w:highlight w:val="none"/>
              </w:rPr>
            </w:pPr>
            <w:r>
              <w:rPr>
                <w:rFonts w:hint="eastAsia" w:ascii="宋体" w:hAnsi="宋体"/>
                <w:color w:val="auto"/>
                <w:szCs w:val="21"/>
                <w:highlight w:val="none"/>
              </w:rPr>
              <w:t>①</w:t>
            </w:r>
          </w:p>
        </w:tc>
        <w:tc>
          <w:tcPr>
            <w:tcW w:w="275" w:type="pct"/>
            <w:tcBorders>
              <w:top w:val="single" w:color="auto" w:sz="4" w:space="0"/>
              <w:left w:val="single" w:color="auto" w:sz="4" w:space="0"/>
              <w:bottom w:val="single" w:color="auto" w:sz="4" w:space="0"/>
              <w:right w:val="single" w:color="auto" w:sz="4" w:space="0"/>
            </w:tcBorders>
            <w:vAlign w:val="center"/>
          </w:tcPr>
          <w:p w14:paraId="5B0332A5">
            <w:pPr>
              <w:keepNext w:val="0"/>
              <w:keepLines w:val="0"/>
              <w:pageBreakBefore w:val="0"/>
              <w:kinsoku/>
              <w:wordWrap/>
              <w:overflowPunct/>
              <w:topLinePunct w:val="0"/>
              <w:bidi w:val="0"/>
              <w:spacing w:line="440" w:lineRule="exact"/>
              <w:jc w:val="center"/>
              <w:rPr>
                <w:rFonts w:hAnsi="宋体"/>
                <w:color w:val="auto"/>
                <w:highlight w:val="none"/>
              </w:rPr>
            </w:pPr>
            <w:r>
              <w:rPr>
                <w:rFonts w:hint="eastAsia" w:hAnsi="宋体"/>
                <w:color w:val="auto"/>
                <w:highlight w:val="none"/>
              </w:rPr>
              <w:t>单位</w:t>
            </w:r>
          </w:p>
        </w:tc>
        <w:tc>
          <w:tcPr>
            <w:tcW w:w="311" w:type="pct"/>
            <w:tcBorders>
              <w:top w:val="single" w:color="auto" w:sz="4" w:space="0"/>
              <w:left w:val="single" w:color="auto" w:sz="4" w:space="0"/>
              <w:bottom w:val="single" w:color="auto" w:sz="4" w:space="0"/>
              <w:right w:val="single" w:color="auto" w:sz="4" w:space="0"/>
            </w:tcBorders>
            <w:vAlign w:val="center"/>
          </w:tcPr>
          <w:p w14:paraId="0B394E74">
            <w:pPr>
              <w:keepNext w:val="0"/>
              <w:keepLines w:val="0"/>
              <w:pageBreakBefore w:val="0"/>
              <w:kinsoku/>
              <w:wordWrap/>
              <w:overflowPunct/>
              <w:topLinePunct w:val="0"/>
              <w:bidi w:val="0"/>
              <w:spacing w:line="440" w:lineRule="exact"/>
              <w:jc w:val="center"/>
              <w:rPr>
                <w:rFonts w:hAnsi="宋体"/>
                <w:color w:val="auto"/>
                <w:highlight w:val="none"/>
              </w:rPr>
            </w:pPr>
            <w:r>
              <w:rPr>
                <w:rFonts w:hint="eastAsia" w:hAnsi="宋体"/>
                <w:color w:val="auto"/>
                <w:highlight w:val="none"/>
              </w:rPr>
              <w:t>单价</w:t>
            </w:r>
          </w:p>
          <w:p w14:paraId="5E070F54">
            <w:pPr>
              <w:keepNext w:val="0"/>
              <w:keepLines w:val="0"/>
              <w:pageBreakBefore w:val="0"/>
              <w:kinsoku/>
              <w:wordWrap/>
              <w:overflowPunct/>
              <w:topLinePunct w:val="0"/>
              <w:bidi w:val="0"/>
              <w:spacing w:line="440" w:lineRule="exact"/>
              <w:jc w:val="center"/>
              <w:rPr>
                <w:rFonts w:hAnsi="宋体"/>
                <w:color w:val="auto"/>
                <w:highlight w:val="none"/>
              </w:rPr>
            </w:pPr>
            <w:r>
              <w:rPr>
                <w:rFonts w:hint="eastAsia" w:ascii="宋体" w:hAnsi="宋体"/>
                <w:color w:val="auto"/>
                <w:szCs w:val="21"/>
                <w:highlight w:val="none"/>
              </w:rPr>
              <w:t>②</w:t>
            </w:r>
          </w:p>
        </w:tc>
        <w:tc>
          <w:tcPr>
            <w:tcW w:w="849" w:type="pct"/>
            <w:tcBorders>
              <w:top w:val="single" w:color="auto" w:sz="4" w:space="0"/>
              <w:left w:val="single" w:color="auto" w:sz="4" w:space="0"/>
              <w:bottom w:val="single" w:color="auto" w:sz="4" w:space="0"/>
              <w:right w:val="single" w:color="auto" w:sz="4" w:space="0"/>
            </w:tcBorders>
            <w:vAlign w:val="center"/>
          </w:tcPr>
          <w:p w14:paraId="6B4E5EE1">
            <w:pPr>
              <w:keepNext w:val="0"/>
              <w:keepLines w:val="0"/>
              <w:pageBreakBefore w:val="0"/>
              <w:kinsoku/>
              <w:wordWrap/>
              <w:overflowPunct/>
              <w:topLinePunct w:val="0"/>
              <w:bidi w:val="0"/>
              <w:spacing w:line="440" w:lineRule="exact"/>
              <w:jc w:val="center"/>
              <w:rPr>
                <w:rFonts w:hAnsi="宋体"/>
                <w:color w:val="auto"/>
                <w:highlight w:val="none"/>
              </w:rPr>
            </w:pPr>
            <w:r>
              <w:rPr>
                <w:rFonts w:hint="eastAsia" w:hAnsi="宋体"/>
                <w:color w:val="auto"/>
                <w:highlight w:val="none"/>
              </w:rPr>
              <w:t>单项合计=数量×单价</w:t>
            </w:r>
          </w:p>
          <w:p w14:paraId="294D73CF">
            <w:pPr>
              <w:keepNext w:val="0"/>
              <w:keepLines w:val="0"/>
              <w:pageBreakBefore w:val="0"/>
              <w:kinsoku/>
              <w:wordWrap/>
              <w:overflowPunct/>
              <w:topLinePunct w:val="0"/>
              <w:bidi w:val="0"/>
              <w:spacing w:line="440" w:lineRule="exact"/>
              <w:jc w:val="center"/>
              <w:rPr>
                <w:rFonts w:hAnsi="宋体"/>
                <w:color w:val="auto"/>
                <w:highlight w:val="none"/>
              </w:rPr>
            </w:pPr>
            <w:r>
              <w:rPr>
                <w:rFonts w:hint="eastAsia" w:ascii="宋体" w:hAnsi="宋体"/>
                <w:color w:val="auto"/>
                <w:szCs w:val="21"/>
                <w:highlight w:val="none"/>
              </w:rPr>
              <w:t>③＝①×②</w:t>
            </w:r>
          </w:p>
        </w:tc>
        <w:tc>
          <w:tcPr>
            <w:tcW w:w="422" w:type="pct"/>
            <w:tcBorders>
              <w:bottom w:val="single" w:color="auto" w:sz="4" w:space="0"/>
            </w:tcBorders>
            <w:vAlign w:val="center"/>
          </w:tcPr>
          <w:p w14:paraId="7B88EC8C">
            <w:pPr>
              <w:keepNext w:val="0"/>
              <w:keepLines w:val="0"/>
              <w:pageBreakBefore w:val="0"/>
              <w:kinsoku/>
              <w:wordWrap/>
              <w:overflowPunct/>
              <w:topLinePunct w:val="0"/>
              <w:bidi w:val="0"/>
              <w:spacing w:line="440" w:lineRule="exact"/>
              <w:jc w:val="center"/>
              <w:rPr>
                <w:rFonts w:hAnsi="宋体"/>
                <w:color w:val="auto"/>
                <w:highlight w:val="none"/>
              </w:rPr>
            </w:pPr>
            <w:r>
              <w:rPr>
                <w:rFonts w:hint="eastAsia" w:hAnsi="宋体"/>
                <w:color w:val="auto"/>
                <w:highlight w:val="none"/>
              </w:rPr>
              <w:t>备注</w:t>
            </w:r>
          </w:p>
        </w:tc>
      </w:tr>
      <w:tr w14:paraId="439C0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214" w:type="pct"/>
            <w:tcBorders>
              <w:top w:val="single" w:color="auto" w:sz="4" w:space="0"/>
              <w:left w:val="single" w:color="auto" w:sz="4" w:space="0"/>
              <w:bottom w:val="single" w:color="auto" w:sz="4" w:space="0"/>
              <w:right w:val="single" w:color="auto" w:sz="4" w:space="0"/>
            </w:tcBorders>
            <w:vAlign w:val="center"/>
          </w:tcPr>
          <w:p w14:paraId="7D57C30E">
            <w:pPr>
              <w:keepNext w:val="0"/>
              <w:keepLines w:val="0"/>
              <w:pageBreakBefore w:val="0"/>
              <w:kinsoku/>
              <w:wordWrap/>
              <w:overflowPunct/>
              <w:topLinePunct w:val="0"/>
              <w:bidi w:val="0"/>
              <w:spacing w:line="440" w:lineRule="exact"/>
              <w:jc w:val="center"/>
              <w:rPr>
                <w:rFonts w:hAnsi="宋体"/>
                <w:bCs/>
                <w:color w:val="auto"/>
                <w:highlight w:val="none"/>
              </w:rPr>
            </w:pPr>
            <w:r>
              <w:rPr>
                <w:rFonts w:hint="eastAsia" w:hAnsi="宋体"/>
                <w:bCs/>
                <w:color w:val="auto"/>
                <w:highlight w:val="none"/>
              </w:rPr>
              <w:t>1</w:t>
            </w:r>
          </w:p>
        </w:tc>
        <w:tc>
          <w:tcPr>
            <w:tcW w:w="932" w:type="pct"/>
            <w:tcBorders>
              <w:top w:val="single" w:color="auto" w:sz="4" w:space="0"/>
              <w:left w:val="single" w:color="auto" w:sz="4" w:space="0"/>
              <w:bottom w:val="single" w:color="auto" w:sz="4" w:space="0"/>
              <w:right w:val="single" w:color="auto" w:sz="4" w:space="0"/>
            </w:tcBorders>
            <w:vAlign w:val="center"/>
          </w:tcPr>
          <w:p w14:paraId="5AE30110">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279055DB">
            <w:pPr>
              <w:keepNext w:val="0"/>
              <w:keepLines w:val="0"/>
              <w:pageBreakBefore w:val="0"/>
              <w:kinsoku/>
              <w:wordWrap/>
              <w:overflowPunct/>
              <w:topLinePunct w:val="0"/>
              <w:bidi w:val="0"/>
              <w:spacing w:line="440" w:lineRule="exact"/>
              <w:jc w:val="center"/>
              <w:rPr>
                <w:rFonts w:hAnsi="宋体"/>
                <w:color w:val="auto"/>
                <w:highlight w:val="none"/>
              </w:rPr>
            </w:pPr>
          </w:p>
        </w:tc>
        <w:tc>
          <w:tcPr>
            <w:tcW w:w="1094" w:type="pct"/>
            <w:tcBorders>
              <w:top w:val="single" w:color="auto" w:sz="4" w:space="0"/>
              <w:left w:val="single" w:color="auto" w:sz="4" w:space="0"/>
              <w:bottom w:val="single" w:color="auto" w:sz="4" w:space="0"/>
              <w:right w:val="single" w:color="auto" w:sz="4" w:space="0"/>
            </w:tcBorders>
            <w:vAlign w:val="center"/>
          </w:tcPr>
          <w:p w14:paraId="4C9A2159">
            <w:pPr>
              <w:keepNext w:val="0"/>
              <w:keepLines w:val="0"/>
              <w:pageBreakBefore w:val="0"/>
              <w:kinsoku/>
              <w:wordWrap/>
              <w:overflowPunct/>
              <w:topLinePunct w:val="0"/>
              <w:bidi w:val="0"/>
              <w:spacing w:line="440" w:lineRule="exact"/>
              <w:jc w:val="center"/>
              <w:rPr>
                <w:rFonts w:hAnsi="宋体"/>
                <w:color w:val="auto"/>
                <w:highlight w:val="none"/>
              </w:rPr>
            </w:pPr>
          </w:p>
        </w:tc>
        <w:tc>
          <w:tcPr>
            <w:tcW w:w="331" w:type="pct"/>
            <w:tcBorders>
              <w:top w:val="single" w:color="auto" w:sz="4" w:space="0"/>
              <w:left w:val="single" w:color="auto" w:sz="4" w:space="0"/>
              <w:bottom w:val="single" w:color="auto" w:sz="4" w:space="0"/>
              <w:right w:val="single" w:color="auto" w:sz="4" w:space="0"/>
            </w:tcBorders>
            <w:vAlign w:val="center"/>
          </w:tcPr>
          <w:p w14:paraId="4CECE9B2">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275" w:type="pct"/>
            <w:tcBorders>
              <w:top w:val="single" w:color="auto" w:sz="4" w:space="0"/>
              <w:left w:val="single" w:color="auto" w:sz="4" w:space="0"/>
              <w:bottom w:val="single" w:color="auto" w:sz="4" w:space="0"/>
              <w:right w:val="single" w:color="auto" w:sz="4" w:space="0"/>
            </w:tcBorders>
            <w:vAlign w:val="center"/>
          </w:tcPr>
          <w:p w14:paraId="70392827">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311" w:type="pct"/>
            <w:tcBorders>
              <w:top w:val="single" w:color="auto" w:sz="4" w:space="0"/>
              <w:left w:val="single" w:color="auto" w:sz="4" w:space="0"/>
              <w:bottom w:val="single" w:color="auto" w:sz="4" w:space="0"/>
              <w:right w:val="single" w:color="auto" w:sz="4" w:space="0"/>
            </w:tcBorders>
            <w:vAlign w:val="center"/>
          </w:tcPr>
          <w:p w14:paraId="64E48BE1">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47B0B86B">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422" w:type="pct"/>
            <w:tcBorders>
              <w:top w:val="single" w:color="auto" w:sz="4" w:space="0"/>
              <w:bottom w:val="single" w:color="auto" w:sz="4" w:space="0"/>
            </w:tcBorders>
            <w:vAlign w:val="center"/>
          </w:tcPr>
          <w:p w14:paraId="71B88FB9">
            <w:pPr>
              <w:keepNext w:val="0"/>
              <w:keepLines w:val="0"/>
              <w:pageBreakBefore w:val="0"/>
              <w:kinsoku/>
              <w:wordWrap/>
              <w:overflowPunct/>
              <w:topLinePunct w:val="0"/>
              <w:bidi w:val="0"/>
              <w:spacing w:line="440" w:lineRule="exact"/>
              <w:jc w:val="center"/>
              <w:rPr>
                <w:rFonts w:hAnsi="宋体"/>
                <w:b/>
                <w:bCs/>
                <w:color w:val="auto"/>
                <w:highlight w:val="none"/>
              </w:rPr>
            </w:pPr>
          </w:p>
        </w:tc>
      </w:tr>
      <w:tr w14:paraId="74D57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214" w:type="pct"/>
            <w:tcBorders>
              <w:top w:val="single" w:color="auto" w:sz="4" w:space="0"/>
              <w:left w:val="single" w:color="auto" w:sz="4" w:space="0"/>
              <w:right w:val="single" w:color="auto" w:sz="4" w:space="0"/>
            </w:tcBorders>
            <w:vAlign w:val="center"/>
          </w:tcPr>
          <w:p w14:paraId="0185ADEE">
            <w:pPr>
              <w:keepNext w:val="0"/>
              <w:keepLines w:val="0"/>
              <w:pageBreakBefore w:val="0"/>
              <w:kinsoku/>
              <w:wordWrap/>
              <w:overflowPunct/>
              <w:topLinePunct w:val="0"/>
              <w:bidi w:val="0"/>
              <w:spacing w:line="440" w:lineRule="exact"/>
              <w:jc w:val="center"/>
              <w:rPr>
                <w:rFonts w:ascii="宋体" w:hAnsi="宋体"/>
                <w:color w:val="auto"/>
                <w:highlight w:val="none"/>
              </w:rPr>
            </w:pPr>
            <w:r>
              <w:rPr>
                <w:rFonts w:hint="eastAsia" w:ascii="宋体" w:hAnsi="宋体"/>
                <w:color w:val="auto"/>
                <w:highlight w:val="none"/>
              </w:rPr>
              <w:t>2</w:t>
            </w:r>
          </w:p>
        </w:tc>
        <w:tc>
          <w:tcPr>
            <w:tcW w:w="932" w:type="pct"/>
            <w:tcBorders>
              <w:top w:val="single" w:color="auto" w:sz="4" w:space="0"/>
              <w:left w:val="single" w:color="auto" w:sz="4" w:space="0"/>
              <w:bottom w:val="single" w:color="auto" w:sz="4" w:space="0"/>
              <w:right w:val="single" w:color="auto" w:sz="4" w:space="0"/>
            </w:tcBorders>
            <w:vAlign w:val="center"/>
          </w:tcPr>
          <w:p w14:paraId="05FFA13A">
            <w:pPr>
              <w:keepNext w:val="0"/>
              <w:keepLines w:val="0"/>
              <w:pageBreakBefore w:val="0"/>
              <w:kinsoku/>
              <w:wordWrap/>
              <w:overflowPunct/>
              <w:topLinePunct w:val="0"/>
              <w:bidi w:val="0"/>
              <w:spacing w:line="440" w:lineRule="exact"/>
              <w:jc w:val="center"/>
              <w:rPr>
                <w:rFonts w:ascii="宋体" w:hAnsi="宋体"/>
                <w:color w:val="auto"/>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3D20F747">
            <w:pPr>
              <w:keepNext w:val="0"/>
              <w:keepLines w:val="0"/>
              <w:pageBreakBefore w:val="0"/>
              <w:kinsoku/>
              <w:wordWrap/>
              <w:overflowPunct/>
              <w:topLinePunct w:val="0"/>
              <w:bidi w:val="0"/>
              <w:spacing w:line="440" w:lineRule="exact"/>
              <w:jc w:val="center"/>
              <w:rPr>
                <w:rFonts w:hAnsi="宋体"/>
                <w:color w:val="auto"/>
                <w:highlight w:val="none"/>
              </w:rPr>
            </w:pPr>
          </w:p>
        </w:tc>
        <w:tc>
          <w:tcPr>
            <w:tcW w:w="1094" w:type="pct"/>
            <w:tcBorders>
              <w:top w:val="single" w:color="auto" w:sz="4" w:space="0"/>
              <w:left w:val="single" w:color="auto" w:sz="4" w:space="0"/>
              <w:bottom w:val="single" w:color="auto" w:sz="4" w:space="0"/>
              <w:right w:val="single" w:color="auto" w:sz="4" w:space="0"/>
            </w:tcBorders>
            <w:vAlign w:val="center"/>
          </w:tcPr>
          <w:p w14:paraId="31AC7AA6">
            <w:pPr>
              <w:keepNext w:val="0"/>
              <w:keepLines w:val="0"/>
              <w:pageBreakBefore w:val="0"/>
              <w:kinsoku/>
              <w:wordWrap/>
              <w:overflowPunct/>
              <w:topLinePunct w:val="0"/>
              <w:bidi w:val="0"/>
              <w:spacing w:line="440" w:lineRule="exact"/>
              <w:jc w:val="center"/>
              <w:rPr>
                <w:rFonts w:hAnsi="宋体"/>
                <w:color w:val="auto"/>
                <w:highlight w:val="none"/>
              </w:rPr>
            </w:pPr>
          </w:p>
        </w:tc>
        <w:tc>
          <w:tcPr>
            <w:tcW w:w="331" w:type="pct"/>
            <w:tcBorders>
              <w:top w:val="single" w:color="auto" w:sz="4" w:space="0"/>
              <w:left w:val="single" w:color="auto" w:sz="4" w:space="0"/>
              <w:bottom w:val="single" w:color="auto" w:sz="4" w:space="0"/>
              <w:right w:val="single" w:color="auto" w:sz="4" w:space="0"/>
            </w:tcBorders>
            <w:vAlign w:val="center"/>
          </w:tcPr>
          <w:p w14:paraId="3B0B974B">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275" w:type="pct"/>
            <w:tcBorders>
              <w:top w:val="single" w:color="auto" w:sz="4" w:space="0"/>
              <w:left w:val="single" w:color="auto" w:sz="4" w:space="0"/>
              <w:bottom w:val="single" w:color="auto" w:sz="4" w:space="0"/>
              <w:right w:val="single" w:color="auto" w:sz="4" w:space="0"/>
            </w:tcBorders>
            <w:vAlign w:val="center"/>
          </w:tcPr>
          <w:p w14:paraId="62B95304">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311" w:type="pct"/>
            <w:tcBorders>
              <w:top w:val="single" w:color="auto" w:sz="4" w:space="0"/>
              <w:left w:val="single" w:color="auto" w:sz="4" w:space="0"/>
              <w:bottom w:val="single" w:color="auto" w:sz="4" w:space="0"/>
              <w:right w:val="single" w:color="auto" w:sz="4" w:space="0"/>
            </w:tcBorders>
            <w:vAlign w:val="center"/>
          </w:tcPr>
          <w:p w14:paraId="18BCE79D">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2D658FDE">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422" w:type="pct"/>
            <w:tcBorders>
              <w:top w:val="single" w:color="auto" w:sz="4" w:space="0"/>
              <w:bottom w:val="single" w:color="auto" w:sz="4" w:space="0"/>
            </w:tcBorders>
            <w:vAlign w:val="center"/>
          </w:tcPr>
          <w:p w14:paraId="5416D390">
            <w:pPr>
              <w:keepNext w:val="0"/>
              <w:keepLines w:val="0"/>
              <w:pageBreakBefore w:val="0"/>
              <w:kinsoku/>
              <w:wordWrap/>
              <w:overflowPunct/>
              <w:topLinePunct w:val="0"/>
              <w:bidi w:val="0"/>
              <w:spacing w:line="440" w:lineRule="exact"/>
              <w:jc w:val="center"/>
              <w:rPr>
                <w:rFonts w:hAnsi="宋体"/>
                <w:b/>
                <w:bCs/>
                <w:color w:val="auto"/>
                <w:highlight w:val="none"/>
              </w:rPr>
            </w:pPr>
          </w:p>
        </w:tc>
      </w:tr>
      <w:tr w14:paraId="56EFA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214" w:type="pct"/>
            <w:tcBorders>
              <w:top w:val="single" w:color="auto" w:sz="4" w:space="0"/>
              <w:left w:val="single" w:color="auto" w:sz="4" w:space="0"/>
              <w:right w:val="single" w:color="auto" w:sz="4" w:space="0"/>
            </w:tcBorders>
            <w:vAlign w:val="center"/>
          </w:tcPr>
          <w:p w14:paraId="7D727E57">
            <w:pPr>
              <w:keepNext w:val="0"/>
              <w:keepLines w:val="0"/>
              <w:pageBreakBefore w:val="0"/>
              <w:kinsoku/>
              <w:wordWrap/>
              <w:overflowPunct/>
              <w:topLinePunct w:val="0"/>
              <w:bidi w:val="0"/>
              <w:spacing w:line="440" w:lineRule="exact"/>
              <w:jc w:val="center"/>
              <w:rPr>
                <w:rFonts w:ascii="宋体" w:hAnsi="宋体"/>
                <w:color w:val="auto"/>
                <w:highlight w:val="none"/>
              </w:rPr>
            </w:pPr>
            <w:r>
              <w:rPr>
                <w:rFonts w:hint="eastAsia" w:ascii="宋体" w:hAnsi="宋体"/>
                <w:color w:val="auto"/>
                <w:highlight w:val="none"/>
              </w:rPr>
              <w:t>…</w:t>
            </w:r>
          </w:p>
        </w:tc>
        <w:tc>
          <w:tcPr>
            <w:tcW w:w="932" w:type="pct"/>
            <w:tcBorders>
              <w:top w:val="single" w:color="auto" w:sz="4" w:space="0"/>
              <w:left w:val="single" w:color="auto" w:sz="4" w:space="0"/>
              <w:bottom w:val="single" w:color="auto" w:sz="4" w:space="0"/>
              <w:right w:val="single" w:color="auto" w:sz="4" w:space="0"/>
            </w:tcBorders>
            <w:vAlign w:val="center"/>
          </w:tcPr>
          <w:p w14:paraId="1145481E">
            <w:pPr>
              <w:keepNext w:val="0"/>
              <w:keepLines w:val="0"/>
              <w:pageBreakBefore w:val="0"/>
              <w:kinsoku/>
              <w:wordWrap/>
              <w:overflowPunct/>
              <w:topLinePunct w:val="0"/>
              <w:bidi w:val="0"/>
              <w:spacing w:line="440" w:lineRule="exact"/>
              <w:jc w:val="center"/>
              <w:rPr>
                <w:rFonts w:ascii="宋体" w:hAnsi="宋体"/>
                <w:color w:val="auto"/>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7BCFE77A">
            <w:pPr>
              <w:keepNext w:val="0"/>
              <w:keepLines w:val="0"/>
              <w:pageBreakBefore w:val="0"/>
              <w:kinsoku/>
              <w:wordWrap/>
              <w:overflowPunct/>
              <w:topLinePunct w:val="0"/>
              <w:bidi w:val="0"/>
              <w:spacing w:line="440" w:lineRule="exact"/>
              <w:jc w:val="center"/>
              <w:rPr>
                <w:rFonts w:hAnsi="宋体"/>
                <w:color w:val="auto"/>
                <w:highlight w:val="none"/>
              </w:rPr>
            </w:pPr>
          </w:p>
        </w:tc>
        <w:tc>
          <w:tcPr>
            <w:tcW w:w="1094" w:type="pct"/>
            <w:tcBorders>
              <w:top w:val="single" w:color="auto" w:sz="4" w:space="0"/>
              <w:left w:val="single" w:color="auto" w:sz="4" w:space="0"/>
              <w:bottom w:val="single" w:color="auto" w:sz="4" w:space="0"/>
              <w:right w:val="single" w:color="auto" w:sz="4" w:space="0"/>
            </w:tcBorders>
            <w:vAlign w:val="center"/>
          </w:tcPr>
          <w:p w14:paraId="0335934C">
            <w:pPr>
              <w:keepNext w:val="0"/>
              <w:keepLines w:val="0"/>
              <w:pageBreakBefore w:val="0"/>
              <w:kinsoku/>
              <w:wordWrap/>
              <w:overflowPunct/>
              <w:topLinePunct w:val="0"/>
              <w:bidi w:val="0"/>
              <w:spacing w:line="440" w:lineRule="exact"/>
              <w:jc w:val="center"/>
              <w:rPr>
                <w:rFonts w:hAnsi="宋体"/>
                <w:color w:val="auto"/>
                <w:highlight w:val="none"/>
              </w:rPr>
            </w:pPr>
          </w:p>
        </w:tc>
        <w:tc>
          <w:tcPr>
            <w:tcW w:w="331" w:type="pct"/>
            <w:tcBorders>
              <w:top w:val="single" w:color="auto" w:sz="4" w:space="0"/>
              <w:left w:val="single" w:color="auto" w:sz="4" w:space="0"/>
              <w:bottom w:val="single" w:color="auto" w:sz="4" w:space="0"/>
              <w:right w:val="single" w:color="auto" w:sz="4" w:space="0"/>
            </w:tcBorders>
            <w:vAlign w:val="center"/>
          </w:tcPr>
          <w:p w14:paraId="76C7866F">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275" w:type="pct"/>
            <w:tcBorders>
              <w:top w:val="single" w:color="auto" w:sz="4" w:space="0"/>
              <w:left w:val="single" w:color="auto" w:sz="4" w:space="0"/>
              <w:bottom w:val="single" w:color="auto" w:sz="4" w:space="0"/>
              <w:right w:val="single" w:color="auto" w:sz="4" w:space="0"/>
            </w:tcBorders>
            <w:vAlign w:val="center"/>
          </w:tcPr>
          <w:p w14:paraId="2B7C443D">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311" w:type="pct"/>
            <w:tcBorders>
              <w:top w:val="single" w:color="auto" w:sz="4" w:space="0"/>
              <w:left w:val="single" w:color="auto" w:sz="4" w:space="0"/>
              <w:bottom w:val="single" w:color="auto" w:sz="4" w:space="0"/>
              <w:right w:val="single" w:color="auto" w:sz="4" w:space="0"/>
            </w:tcBorders>
            <w:vAlign w:val="center"/>
          </w:tcPr>
          <w:p w14:paraId="76523D8B">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34D921F6">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422" w:type="pct"/>
            <w:tcBorders>
              <w:top w:val="single" w:color="auto" w:sz="4" w:space="0"/>
              <w:bottom w:val="single" w:color="auto" w:sz="4" w:space="0"/>
            </w:tcBorders>
            <w:vAlign w:val="center"/>
          </w:tcPr>
          <w:p w14:paraId="2FEDCA12">
            <w:pPr>
              <w:keepNext w:val="0"/>
              <w:keepLines w:val="0"/>
              <w:pageBreakBefore w:val="0"/>
              <w:kinsoku/>
              <w:wordWrap/>
              <w:overflowPunct/>
              <w:topLinePunct w:val="0"/>
              <w:bidi w:val="0"/>
              <w:spacing w:line="440" w:lineRule="exact"/>
              <w:jc w:val="center"/>
              <w:rPr>
                <w:rFonts w:hAnsi="宋体"/>
                <w:b/>
                <w:bCs/>
                <w:color w:val="auto"/>
                <w:highlight w:val="none"/>
              </w:rPr>
            </w:pPr>
          </w:p>
        </w:tc>
      </w:tr>
      <w:tr w14:paraId="1A31A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214" w:type="pct"/>
            <w:tcBorders>
              <w:top w:val="single" w:color="auto" w:sz="4" w:space="0"/>
              <w:left w:val="single" w:color="auto" w:sz="4" w:space="0"/>
              <w:right w:val="single" w:color="auto" w:sz="4" w:space="0"/>
            </w:tcBorders>
            <w:vAlign w:val="center"/>
          </w:tcPr>
          <w:p w14:paraId="3E9BADD4">
            <w:pPr>
              <w:keepNext w:val="0"/>
              <w:keepLines w:val="0"/>
              <w:pageBreakBefore w:val="0"/>
              <w:kinsoku/>
              <w:wordWrap/>
              <w:overflowPunct/>
              <w:topLinePunct w:val="0"/>
              <w:bidi w:val="0"/>
              <w:spacing w:line="440" w:lineRule="exact"/>
              <w:jc w:val="center"/>
              <w:rPr>
                <w:rFonts w:ascii="宋体" w:hAnsi="宋体"/>
                <w:color w:val="auto"/>
                <w:highlight w:val="none"/>
              </w:rPr>
            </w:pPr>
            <w:r>
              <w:rPr>
                <w:rFonts w:hint="eastAsia" w:ascii="宋体" w:hAnsi="宋体"/>
                <w:color w:val="auto"/>
                <w:highlight w:val="none"/>
              </w:rPr>
              <w:t>N</w:t>
            </w:r>
          </w:p>
        </w:tc>
        <w:tc>
          <w:tcPr>
            <w:tcW w:w="932" w:type="pct"/>
            <w:tcBorders>
              <w:top w:val="single" w:color="auto" w:sz="4" w:space="0"/>
              <w:left w:val="single" w:color="auto" w:sz="4" w:space="0"/>
              <w:bottom w:val="single" w:color="auto" w:sz="4" w:space="0"/>
              <w:right w:val="single" w:color="auto" w:sz="4" w:space="0"/>
            </w:tcBorders>
            <w:vAlign w:val="center"/>
          </w:tcPr>
          <w:p w14:paraId="73326113">
            <w:pPr>
              <w:keepNext w:val="0"/>
              <w:keepLines w:val="0"/>
              <w:pageBreakBefore w:val="0"/>
              <w:kinsoku/>
              <w:wordWrap/>
              <w:overflowPunct/>
              <w:topLinePunct w:val="0"/>
              <w:bidi w:val="0"/>
              <w:spacing w:line="440" w:lineRule="exact"/>
              <w:jc w:val="center"/>
              <w:rPr>
                <w:rFonts w:ascii="宋体" w:hAnsi="宋体"/>
                <w:color w:val="auto"/>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390DBDFF">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1094" w:type="pct"/>
            <w:tcBorders>
              <w:top w:val="single" w:color="auto" w:sz="4" w:space="0"/>
              <w:left w:val="single" w:color="auto" w:sz="4" w:space="0"/>
              <w:bottom w:val="single" w:color="auto" w:sz="4" w:space="0"/>
              <w:right w:val="single" w:color="auto" w:sz="4" w:space="0"/>
            </w:tcBorders>
            <w:vAlign w:val="center"/>
          </w:tcPr>
          <w:p w14:paraId="75620710">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331" w:type="pct"/>
            <w:tcBorders>
              <w:top w:val="single" w:color="auto" w:sz="4" w:space="0"/>
              <w:left w:val="single" w:color="auto" w:sz="4" w:space="0"/>
              <w:bottom w:val="single" w:color="auto" w:sz="4" w:space="0"/>
              <w:right w:val="single" w:color="auto" w:sz="4" w:space="0"/>
            </w:tcBorders>
            <w:vAlign w:val="center"/>
          </w:tcPr>
          <w:p w14:paraId="33383D33">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275" w:type="pct"/>
            <w:tcBorders>
              <w:top w:val="single" w:color="auto" w:sz="4" w:space="0"/>
              <w:left w:val="single" w:color="auto" w:sz="4" w:space="0"/>
              <w:bottom w:val="single" w:color="auto" w:sz="4" w:space="0"/>
              <w:right w:val="single" w:color="auto" w:sz="4" w:space="0"/>
            </w:tcBorders>
            <w:vAlign w:val="center"/>
          </w:tcPr>
          <w:p w14:paraId="6DB82CBC">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311" w:type="pct"/>
            <w:tcBorders>
              <w:top w:val="single" w:color="auto" w:sz="4" w:space="0"/>
              <w:left w:val="single" w:color="auto" w:sz="4" w:space="0"/>
              <w:bottom w:val="single" w:color="auto" w:sz="4" w:space="0"/>
              <w:right w:val="single" w:color="auto" w:sz="4" w:space="0"/>
            </w:tcBorders>
            <w:vAlign w:val="center"/>
          </w:tcPr>
          <w:p w14:paraId="72E3E58A">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35E73537">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422" w:type="pct"/>
            <w:tcBorders>
              <w:top w:val="single" w:color="auto" w:sz="4" w:space="0"/>
              <w:bottom w:val="single" w:color="auto" w:sz="4" w:space="0"/>
            </w:tcBorders>
            <w:vAlign w:val="center"/>
          </w:tcPr>
          <w:p w14:paraId="085B064B">
            <w:pPr>
              <w:keepNext w:val="0"/>
              <w:keepLines w:val="0"/>
              <w:pageBreakBefore w:val="0"/>
              <w:kinsoku/>
              <w:wordWrap/>
              <w:overflowPunct/>
              <w:topLinePunct w:val="0"/>
              <w:bidi w:val="0"/>
              <w:spacing w:line="440" w:lineRule="exact"/>
              <w:jc w:val="center"/>
              <w:rPr>
                <w:rFonts w:hAnsi="宋体"/>
                <w:b/>
                <w:bCs/>
                <w:color w:val="auto"/>
                <w:highlight w:val="none"/>
              </w:rPr>
            </w:pPr>
          </w:p>
        </w:tc>
      </w:tr>
      <w:tr w14:paraId="69599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3729" w:type="pct"/>
            <w:gridSpan w:val="7"/>
            <w:tcBorders>
              <w:top w:val="single" w:color="auto" w:sz="4" w:space="0"/>
              <w:left w:val="single" w:color="auto" w:sz="4" w:space="0"/>
              <w:right w:val="single" w:color="auto" w:sz="4" w:space="0"/>
            </w:tcBorders>
            <w:vAlign w:val="center"/>
          </w:tcPr>
          <w:p w14:paraId="1C9D0A10">
            <w:pPr>
              <w:keepNext w:val="0"/>
              <w:keepLines w:val="0"/>
              <w:pageBreakBefore w:val="0"/>
              <w:kinsoku/>
              <w:wordWrap/>
              <w:overflowPunct/>
              <w:topLinePunct w:val="0"/>
              <w:bidi w:val="0"/>
              <w:spacing w:line="440" w:lineRule="exact"/>
              <w:ind w:right="315"/>
              <w:jc w:val="right"/>
              <w:rPr>
                <w:rFonts w:hAnsi="宋体"/>
                <w:bCs/>
                <w:color w:val="auto"/>
                <w:highlight w:val="none"/>
              </w:rPr>
            </w:pPr>
            <w:r>
              <w:rPr>
                <w:rFonts w:hint="eastAsia" w:hAnsi="宋体"/>
                <w:bCs/>
                <w:color w:val="auto"/>
                <w:highlight w:val="none"/>
              </w:rPr>
              <w:t>合计金额</w:t>
            </w:r>
          </w:p>
        </w:tc>
        <w:tc>
          <w:tcPr>
            <w:tcW w:w="849" w:type="pct"/>
            <w:tcBorders>
              <w:top w:val="single" w:color="auto" w:sz="4" w:space="0"/>
              <w:left w:val="single" w:color="auto" w:sz="4" w:space="0"/>
              <w:bottom w:val="single" w:color="auto" w:sz="4" w:space="0"/>
              <w:right w:val="single" w:color="auto" w:sz="4" w:space="0"/>
            </w:tcBorders>
            <w:vAlign w:val="center"/>
          </w:tcPr>
          <w:p w14:paraId="3AA2F67A">
            <w:pPr>
              <w:keepNext w:val="0"/>
              <w:keepLines w:val="0"/>
              <w:pageBreakBefore w:val="0"/>
              <w:kinsoku/>
              <w:wordWrap/>
              <w:overflowPunct/>
              <w:topLinePunct w:val="0"/>
              <w:bidi w:val="0"/>
              <w:spacing w:line="440" w:lineRule="exact"/>
              <w:jc w:val="center"/>
              <w:rPr>
                <w:rFonts w:hAnsi="宋体"/>
                <w:b/>
                <w:bCs/>
                <w:color w:val="auto"/>
                <w:highlight w:val="none"/>
              </w:rPr>
            </w:pPr>
          </w:p>
        </w:tc>
        <w:tc>
          <w:tcPr>
            <w:tcW w:w="422" w:type="pct"/>
            <w:tcBorders>
              <w:top w:val="single" w:color="auto" w:sz="4" w:space="0"/>
              <w:bottom w:val="single" w:color="auto" w:sz="4" w:space="0"/>
            </w:tcBorders>
            <w:vAlign w:val="center"/>
          </w:tcPr>
          <w:p w14:paraId="56702EB8">
            <w:pPr>
              <w:keepNext w:val="0"/>
              <w:keepLines w:val="0"/>
              <w:pageBreakBefore w:val="0"/>
              <w:kinsoku/>
              <w:wordWrap/>
              <w:overflowPunct/>
              <w:topLinePunct w:val="0"/>
              <w:bidi w:val="0"/>
              <w:spacing w:line="440" w:lineRule="exact"/>
              <w:jc w:val="center"/>
              <w:rPr>
                <w:rFonts w:hAnsi="宋体"/>
                <w:b/>
                <w:bCs/>
                <w:color w:val="auto"/>
                <w:highlight w:val="none"/>
              </w:rPr>
            </w:pPr>
          </w:p>
        </w:tc>
      </w:tr>
      <w:tr w14:paraId="6D1B4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000" w:type="pct"/>
            <w:gridSpan w:val="9"/>
            <w:tcBorders>
              <w:top w:val="single" w:color="auto" w:sz="4" w:space="0"/>
              <w:left w:val="single" w:color="auto" w:sz="4" w:space="0"/>
              <w:bottom w:val="single" w:color="auto" w:sz="4" w:space="0"/>
            </w:tcBorders>
            <w:vAlign w:val="center"/>
          </w:tcPr>
          <w:p w14:paraId="2F0DE8CA">
            <w:pPr>
              <w:keepNext w:val="0"/>
              <w:keepLines w:val="0"/>
              <w:pageBreakBefore w:val="0"/>
              <w:kinsoku/>
              <w:wordWrap/>
              <w:overflowPunct/>
              <w:topLinePunct w:val="0"/>
              <w:bidi w:val="0"/>
              <w:spacing w:line="440" w:lineRule="exact"/>
              <w:rPr>
                <w:rFonts w:hAnsi="宋体"/>
                <w:b/>
                <w:bCs/>
                <w:color w:val="auto"/>
                <w:highlight w:val="none"/>
              </w:rPr>
            </w:pPr>
            <w:r>
              <w:rPr>
                <w:rFonts w:hint="eastAsia" w:ascii="宋体" w:hAnsi="宋体"/>
                <w:color w:val="auto"/>
                <w:spacing w:val="-6"/>
                <w:highlight w:val="none"/>
              </w:rPr>
              <w:t>投标总</w:t>
            </w:r>
            <w:r>
              <w:rPr>
                <w:rFonts w:ascii="宋体" w:hAnsi="宋体"/>
                <w:color w:val="auto"/>
                <w:spacing w:val="-6"/>
                <w:highlight w:val="none"/>
              </w:rPr>
              <w:t xml:space="preserve">报价（大写）：            </w:t>
            </w:r>
            <w:r>
              <w:rPr>
                <w:rFonts w:hint="eastAsia" w:ascii="宋体" w:hAnsi="宋体"/>
                <w:color w:val="auto"/>
                <w:spacing w:val="-6"/>
                <w:highlight w:val="none"/>
              </w:rPr>
              <w:t>元</w:t>
            </w:r>
            <w:r>
              <w:rPr>
                <w:rFonts w:ascii="宋体" w:hAnsi="宋体"/>
                <w:color w:val="auto"/>
                <w:spacing w:val="-6"/>
                <w:highlight w:val="none"/>
              </w:rPr>
              <w:t>人民币（￥                      ）</w:t>
            </w:r>
          </w:p>
        </w:tc>
      </w:tr>
      <w:tr w14:paraId="2A144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000" w:type="pct"/>
            <w:gridSpan w:val="9"/>
            <w:tcBorders>
              <w:top w:val="single" w:color="auto" w:sz="4" w:space="0"/>
              <w:left w:val="single" w:color="auto" w:sz="4" w:space="0"/>
              <w:bottom w:val="single" w:color="auto" w:sz="4" w:space="0"/>
            </w:tcBorders>
            <w:vAlign w:val="center"/>
          </w:tcPr>
          <w:p w14:paraId="6DBDB8F3">
            <w:pPr>
              <w:keepNext w:val="0"/>
              <w:keepLines w:val="0"/>
              <w:pageBreakBefore w:val="0"/>
              <w:kinsoku/>
              <w:wordWrap/>
              <w:overflowPunct/>
              <w:topLinePunct w:val="0"/>
              <w:bidi w:val="0"/>
              <w:spacing w:line="440" w:lineRule="exact"/>
              <w:rPr>
                <w:rFonts w:ascii="宋体" w:hAnsi="宋体"/>
                <w:color w:val="auto"/>
                <w:spacing w:val="-6"/>
                <w:highlight w:val="none"/>
              </w:rPr>
            </w:pPr>
            <w:r>
              <w:rPr>
                <w:rFonts w:hint="eastAsia" w:ascii="宋体" w:hAnsi="宋体"/>
                <w:color w:val="auto"/>
                <w:spacing w:val="-6"/>
                <w:highlight w:val="none"/>
              </w:rPr>
              <w:t>交货时间:</w:t>
            </w:r>
          </w:p>
        </w:tc>
      </w:tr>
      <w:tr w14:paraId="49C9A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000" w:type="pct"/>
            <w:gridSpan w:val="9"/>
            <w:tcBorders>
              <w:top w:val="single" w:color="auto" w:sz="4" w:space="0"/>
              <w:left w:val="single" w:color="auto" w:sz="4" w:space="0"/>
              <w:bottom w:val="single" w:color="auto" w:sz="4" w:space="0"/>
            </w:tcBorders>
            <w:vAlign w:val="center"/>
          </w:tcPr>
          <w:p w14:paraId="01AB150F">
            <w:pPr>
              <w:keepNext w:val="0"/>
              <w:keepLines w:val="0"/>
              <w:pageBreakBefore w:val="0"/>
              <w:kinsoku/>
              <w:wordWrap/>
              <w:overflowPunct/>
              <w:topLinePunct w:val="0"/>
              <w:bidi w:val="0"/>
              <w:spacing w:line="440" w:lineRule="exact"/>
              <w:rPr>
                <w:rFonts w:ascii="宋体" w:hAnsi="宋体"/>
                <w:color w:val="auto"/>
                <w:spacing w:val="-6"/>
                <w:highlight w:val="none"/>
              </w:rPr>
            </w:pPr>
            <w:r>
              <w:rPr>
                <w:rFonts w:hint="eastAsia" w:ascii="宋体" w:hAnsi="宋体"/>
                <w:color w:val="auto"/>
                <w:spacing w:val="-6"/>
                <w:highlight w:val="none"/>
              </w:rPr>
              <w:t>免费保修期:</w:t>
            </w:r>
          </w:p>
        </w:tc>
      </w:tr>
      <w:tr w14:paraId="5F025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jc w:val="center"/>
        </w:trPr>
        <w:tc>
          <w:tcPr>
            <w:tcW w:w="5000" w:type="pct"/>
            <w:gridSpan w:val="9"/>
            <w:tcBorders>
              <w:top w:val="single" w:color="auto" w:sz="4" w:space="0"/>
              <w:left w:val="single" w:color="auto" w:sz="4" w:space="0"/>
              <w:bottom w:val="single" w:color="auto" w:sz="4" w:space="0"/>
            </w:tcBorders>
            <w:vAlign w:val="center"/>
          </w:tcPr>
          <w:p w14:paraId="4F290A91">
            <w:pPr>
              <w:keepNext w:val="0"/>
              <w:keepLines w:val="0"/>
              <w:pageBreakBefore w:val="0"/>
              <w:kinsoku/>
              <w:wordWrap/>
              <w:overflowPunct/>
              <w:topLinePunct w:val="0"/>
              <w:bidi w:val="0"/>
              <w:spacing w:line="440" w:lineRule="exact"/>
              <w:rPr>
                <w:rFonts w:hAnsi="宋体"/>
                <w:b/>
                <w:bCs/>
                <w:color w:val="auto"/>
                <w:highlight w:val="none"/>
              </w:rPr>
            </w:pPr>
            <w:r>
              <w:rPr>
                <w:rFonts w:hint="eastAsia"/>
                <w:color w:val="auto"/>
                <w:highlight w:val="none"/>
              </w:rPr>
              <w:t>说明：</w:t>
            </w:r>
            <w:r>
              <w:rPr>
                <w:rFonts w:hint="eastAsia" w:ascii="宋体" w:hAnsi="宋体"/>
                <w:color w:val="auto"/>
                <w:szCs w:val="21"/>
                <w:highlight w:val="none"/>
              </w:rPr>
              <w:t>投标报价应包括本次招标采购范围内货物价款、备品备件、专用工具、包装、运输、装卸、保险、税金以及货物到位、安装、安装所需辅材、调试、检验、售后服务、培训、保修等全部费用；</w:t>
            </w:r>
            <w:r>
              <w:rPr>
                <w:rFonts w:hint="eastAsia" w:ascii="宋体" w:hAnsi="宋体"/>
                <w:color w:val="auto"/>
                <w:highlight w:val="none"/>
              </w:rPr>
              <w:t>投标人综合考虑在报价中。</w:t>
            </w:r>
          </w:p>
        </w:tc>
      </w:tr>
    </w:tbl>
    <w:p w14:paraId="5BAE855D">
      <w:pPr>
        <w:pStyle w:val="17"/>
        <w:keepNext w:val="0"/>
        <w:keepLines w:val="0"/>
        <w:pageBreakBefore w:val="0"/>
        <w:kinsoku/>
        <w:wordWrap/>
        <w:overflowPunct/>
        <w:topLinePunct w:val="0"/>
        <w:bidi w:val="0"/>
        <w:spacing w:line="440" w:lineRule="exact"/>
        <w:ind w:firstLine="420"/>
        <w:rPr>
          <w:rFonts w:hAnsi="宋体"/>
          <w:color w:val="auto"/>
          <w:highlight w:val="none"/>
        </w:rPr>
      </w:pPr>
    </w:p>
    <w:p w14:paraId="1BBA0C22">
      <w:pPr>
        <w:pStyle w:val="17"/>
        <w:keepNext w:val="0"/>
        <w:keepLines w:val="0"/>
        <w:pageBreakBefore w:val="0"/>
        <w:kinsoku/>
        <w:wordWrap/>
        <w:overflowPunct/>
        <w:topLinePunct w:val="0"/>
        <w:bidi w:val="0"/>
        <w:spacing w:line="440" w:lineRule="exact"/>
        <w:ind w:firstLine="420"/>
        <w:rPr>
          <w:rFonts w:hAnsi="宋体"/>
          <w:color w:val="auto"/>
          <w:highlight w:val="none"/>
        </w:rPr>
      </w:pPr>
      <w:r>
        <w:rPr>
          <w:rFonts w:hint="eastAsia" w:hAnsi="宋体"/>
          <w:color w:val="auto"/>
          <w:highlight w:val="none"/>
        </w:rPr>
        <w:t>与本投标有关的正式通讯地址为：</w:t>
      </w:r>
    </w:p>
    <w:p w14:paraId="6540FB80">
      <w:pPr>
        <w:pStyle w:val="17"/>
        <w:keepNext w:val="0"/>
        <w:keepLines w:val="0"/>
        <w:pageBreakBefore w:val="0"/>
        <w:kinsoku/>
        <w:wordWrap/>
        <w:overflowPunct/>
        <w:topLinePunct w:val="0"/>
        <w:bidi w:val="0"/>
        <w:spacing w:line="440" w:lineRule="exact"/>
        <w:ind w:firstLine="420"/>
        <w:rPr>
          <w:color w:val="auto"/>
          <w:highlight w:val="none"/>
        </w:rPr>
      </w:pPr>
      <w:r>
        <w:rPr>
          <w:rFonts w:hint="eastAsia" w:hAnsi="宋体"/>
          <w:color w:val="auto"/>
          <w:highlight w:val="none"/>
        </w:rPr>
        <w:t>地址： 邮编：</w:t>
      </w:r>
      <w:r>
        <w:rPr>
          <w:rFonts w:hint="eastAsia"/>
          <w:color w:val="auto"/>
          <w:highlight w:val="none"/>
        </w:rPr>
        <w:t>邮箱：</w:t>
      </w:r>
    </w:p>
    <w:p w14:paraId="08679956">
      <w:pPr>
        <w:pStyle w:val="17"/>
        <w:keepNext w:val="0"/>
        <w:keepLines w:val="0"/>
        <w:pageBreakBefore w:val="0"/>
        <w:kinsoku/>
        <w:wordWrap/>
        <w:overflowPunct/>
        <w:topLinePunct w:val="0"/>
        <w:bidi w:val="0"/>
        <w:spacing w:line="440" w:lineRule="exact"/>
        <w:ind w:firstLine="420"/>
        <w:rPr>
          <w:rFonts w:hAnsi="宋体"/>
          <w:color w:val="auto"/>
          <w:highlight w:val="none"/>
          <w:u w:val="single"/>
        </w:rPr>
      </w:pPr>
      <w:r>
        <w:rPr>
          <w:rFonts w:hint="eastAsia"/>
          <w:color w:val="auto"/>
          <w:highlight w:val="none"/>
        </w:rPr>
        <w:t>委托代理人联系电话：</w:t>
      </w:r>
    </w:p>
    <w:p w14:paraId="2E327EEA">
      <w:pPr>
        <w:pStyle w:val="17"/>
        <w:keepNext w:val="0"/>
        <w:keepLines w:val="0"/>
        <w:pageBreakBefore w:val="0"/>
        <w:kinsoku/>
        <w:wordWrap/>
        <w:overflowPunct/>
        <w:topLinePunct w:val="0"/>
        <w:bidi w:val="0"/>
        <w:spacing w:line="440" w:lineRule="exact"/>
        <w:ind w:firstLine="420"/>
        <w:rPr>
          <w:rFonts w:hAnsi="宋体"/>
          <w:color w:val="auto"/>
          <w:highlight w:val="none"/>
        </w:rPr>
      </w:pPr>
      <w:r>
        <w:rPr>
          <w:rFonts w:hint="eastAsia" w:hAnsi="宋体"/>
          <w:color w:val="auto"/>
          <w:highlight w:val="none"/>
        </w:rPr>
        <w:t>开户名称：</w:t>
      </w:r>
    </w:p>
    <w:p w14:paraId="27368ABF">
      <w:pPr>
        <w:pStyle w:val="17"/>
        <w:keepNext w:val="0"/>
        <w:keepLines w:val="0"/>
        <w:pageBreakBefore w:val="0"/>
        <w:kinsoku/>
        <w:wordWrap/>
        <w:overflowPunct/>
        <w:topLinePunct w:val="0"/>
        <w:bidi w:val="0"/>
        <w:spacing w:line="440" w:lineRule="exact"/>
        <w:ind w:firstLine="420"/>
        <w:rPr>
          <w:rFonts w:hAnsi="宋体"/>
          <w:color w:val="auto"/>
          <w:highlight w:val="none"/>
        </w:rPr>
      </w:pPr>
      <w:r>
        <w:rPr>
          <w:rFonts w:hint="eastAsia" w:hAnsi="宋体"/>
          <w:color w:val="auto"/>
          <w:highlight w:val="none"/>
        </w:rPr>
        <w:t>开户银行：</w:t>
      </w:r>
      <w:r>
        <w:rPr>
          <w:rFonts w:hint="eastAsia" w:hAnsi="宋体"/>
          <w:color w:val="auto"/>
          <w:highlight w:val="none"/>
          <w:u w:val="single"/>
        </w:rPr>
        <w:t xml:space="preserve">                               　       </w:t>
      </w:r>
    </w:p>
    <w:p w14:paraId="47170D43">
      <w:pPr>
        <w:pStyle w:val="17"/>
        <w:keepNext w:val="0"/>
        <w:keepLines w:val="0"/>
        <w:pageBreakBefore w:val="0"/>
        <w:kinsoku/>
        <w:wordWrap/>
        <w:overflowPunct/>
        <w:topLinePunct w:val="0"/>
        <w:bidi w:val="0"/>
        <w:spacing w:line="440" w:lineRule="exact"/>
        <w:ind w:firstLine="420"/>
        <w:rPr>
          <w:rFonts w:hAnsi="宋体"/>
          <w:color w:val="auto"/>
          <w:highlight w:val="none"/>
        </w:rPr>
      </w:pPr>
      <w:r>
        <w:rPr>
          <w:rFonts w:hint="eastAsia" w:hAnsi="宋体"/>
          <w:color w:val="auto"/>
          <w:highlight w:val="none"/>
        </w:rPr>
        <w:t>账号：</w:t>
      </w:r>
      <w:r>
        <w:rPr>
          <w:rFonts w:hint="eastAsia" w:hAnsi="宋体"/>
          <w:color w:val="auto"/>
          <w:highlight w:val="none"/>
          <w:u w:val="single"/>
        </w:rPr>
        <w:t xml:space="preserve">                                   　　　   </w:t>
      </w:r>
    </w:p>
    <w:p w14:paraId="7F43589F">
      <w:pPr>
        <w:keepNext w:val="0"/>
        <w:keepLines w:val="0"/>
        <w:pageBreakBefore w:val="0"/>
        <w:kinsoku/>
        <w:wordWrap/>
        <w:overflowPunct/>
        <w:topLinePunct w:val="0"/>
        <w:bidi w:val="0"/>
        <w:snapToGrid w:val="0"/>
        <w:spacing w:line="440" w:lineRule="exact"/>
        <w:jc w:val="left"/>
        <w:outlineLvl w:val="4"/>
        <w:rPr>
          <w:rFonts w:hint="eastAsia" w:ascii="宋体" w:hAnsi="宋体"/>
          <w:color w:val="auto"/>
          <w:szCs w:val="21"/>
          <w:highlight w:val="none"/>
        </w:rPr>
      </w:pPr>
      <w:r>
        <w:rPr>
          <w:rFonts w:hint="eastAsia" w:ascii="宋体" w:hAnsi="宋体"/>
          <w:color w:val="auto"/>
          <w:szCs w:val="21"/>
          <w:highlight w:val="none"/>
        </w:rPr>
        <w:t xml:space="preserve">   </w:t>
      </w:r>
    </w:p>
    <w:p w14:paraId="765BC17C">
      <w:pPr>
        <w:keepNext w:val="0"/>
        <w:keepLines w:val="0"/>
        <w:pageBreakBefore w:val="0"/>
        <w:kinsoku/>
        <w:wordWrap/>
        <w:overflowPunct/>
        <w:topLinePunct w:val="0"/>
        <w:bidi w:val="0"/>
        <w:snapToGrid w:val="0"/>
        <w:spacing w:line="440" w:lineRule="exact"/>
        <w:ind w:firstLine="315" w:firstLineChars="150"/>
        <w:jc w:val="left"/>
        <w:outlineLvl w:val="4"/>
        <w:rPr>
          <w:rFonts w:ascii="宋体" w:hAnsi="宋体"/>
          <w:color w:val="auto"/>
          <w:szCs w:val="21"/>
          <w:highlight w:val="none"/>
          <w:u w:val="single"/>
        </w:rPr>
      </w:pPr>
      <w:r>
        <w:rPr>
          <w:rFonts w:hint="eastAsia" w:ascii="宋体" w:hAnsi="宋体"/>
          <w:color w:val="auto"/>
          <w:szCs w:val="21"/>
          <w:highlight w:val="none"/>
        </w:rPr>
        <w:t xml:space="preserve"> 投标人</w:t>
      </w:r>
      <w:r>
        <w:rPr>
          <w:rFonts w:hint="eastAsia" w:ascii="宋体" w:hAnsi="宋体" w:cs="宋体"/>
          <w:color w:val="auto"/>
          <w:szCs w:val="21"/>
          <w:highlight w:val="none"/>
        </w:rPr>
        <w:t xml:space="preserve"> (</w:t>
      </w:r>
      <w:r>
        <w:rPr>
          <w:rFonts w:hint="eastAsia" w:ascii="宋体" w:hAnsi="宋体"/>
          <w:color w:val="auto"/>
          <w:szCs w:val="21"/>
          <w:highlight w:val="none"/>
        </w:rPr>
        <w:t>CA签章</w:t>
      </w:r>
      <w:r>
        <w:rPr>
          <w:rFonts w:hint="eastAsia" w:ascii="宋体" w:hAnsi="宋体" w:cs="宋体"/>
          <w:color w:val="auto"/>
          <w:szCs w:val="21"/>
          <w:highlight w:val="none"/>
        </w:rPr>
        <w:t>，自然人除外)</w:t>
      </w:r>
      <w:r>
        <w:rPr>
          <w:rFonts w:hint="eastAsia" w:ascii="宋体" w:hAnsi="宋体"/>
          <w:color w:val="auto"/>
          <w:szCs w:val="21"/>
          <w:highlight w:val="none"/>
        </w:rPr>
        <w:t>：</w:t>
      </w:r>
    </w:p>
    <w:p w14:paraId="4FEF4B2E">
      <w:pPr>
        <w:pStyle w:val="17"/>
        <w:keepNext w:val="0"/>
        <w:keepLines w:val="0"/>
        <w:pageBreakBefore w:val="0"/>
        <w:kinsoku/>
        <w:wordWrap/>
        <w:overflowPunct/>
        <w:topLinePunct w:val="0"/>
        <w:bidi w:val="0"/>
        <w:spacing w:line="440" w:lineRule="exact"/>
        <w:ind w:firstLine="420"/>
        <w:jc w:val="left"/>
        <w:rPr>
          <w:rFonts w:hAnsi="宋体"/>
          <w:color w:val="auto"/>
          <w:szCs w:val="21"/>
          <w:highlight w:val="none"/>
          <w:u w:val="single"/>
        </w:rPr>
      </w:pPr>
      <w:r>
        <w:rPr>
          <w:rFonts w:hint="eastAsia" w:hAnsi="宋体" w:cs="宋体"/>
          <w:color w:val="auto"/>
          <w:szCs w:val="24"/>
          <w:highlight w:val="none"/>
        </w:rPr>
        <w:t>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（个人CA签章）</w:t>
      </w:r>
      <w:r>
        <w:rPr>
          <w:rFonts w:hint="eastAsia" w:hAnsi="宋体"/>
          <w:color w:val="auto"/>
          <w:highlight w:val="none"/>
        </w:rPr>
        <w:t>：</w:t>
      </w:r>
    </w:p>
    <w:p w14:paraId="7AACE9A7">
      <w:pPr>
        <w:keepNext w:val="0"/>
        <w:keepLines w:val="0"/>
        <w:pageBreakBefore w:val="0"/>
        <w:kinsoku/>
        <w:wordWrap/>
        <w:overflowPunct/>
        <w:topLinePunct w:val="0"/>
        <w:bidi w:val="0"/>
        <w:spacing w:line="440" w:lineRule="exact"/>
        <w:ind w:firstLine="420" w:firstLineChars="200"/>
        <w:jc w:val="left"/>
        <w:rPr>
          <w:rFonts w:ascii="宋体" w:hAnsi="宋体"/>
          <w:color w:val="auto"/>
          <w:szCs w:val="21"/>
          <w:highlight w:val="none"/>
          <w:u w:val="single"/>
        </w:rPr>
      </w:pPr>
      <w:r>
        <w:rPr>
          <w:rFonts w:hint="eastAsia" w:hAnsi="宋体"/>
          <w:color w:val="auto"/>
          <w:highlight w:val="none"/>
        </w:rPr>
        <w:t>日期：</w:t>
      </w:r>
    </w:p>
    <w:p w14:paraId="086BF1B1">
      <w:pPr>
        <w:pStyle w:val="17"/>
        <w:keepNext w:val="0"/>
        <w:keepLines w:val="0"/>
        <w:pageBreakBefore w:val="0"/>
        <w:kinsoku/>
        <w:wordWrap/>
        <w:overflowPunct/>
        <w:topLinePunct w:val="0"/>
        <w:bidi w:val="0"/>
        <w:spacing w:line="440" w:lineRule="exact"/>
        <w:ind w:left="422" w:hanging="422" w:hangingChars="200"/>
        <w:rPr>
          <w:rFonts w:hAnsi="宋体"/>
          <w:b/>
          <w:bCs/>
          <w:color w:val="auto"/>
          <w:szCs w:val="21"/>
          <w:highlight w:val="none"/>
        </w:rPr>
      </w:pPr>
    </w:p>
    <w:p w14:paraId="0A261BA7">
      <w:pPr>
        <w:keepNext w:val="0"/>
        <w:keepLines w:val="0"/>
        <w:pageBreakBefore w:val="0"/>
        <w:tabs>
          <w:tab w:val="left" w:pos="1305"/>
        </w:tabs>
        <w:kinsoku/>
        <w:wordWrap/>
        <w:overflowPunct/>
        <w:topLinePunct w:val="0"/>
        <w:bidi w:val="0"/>
        <w:spacing w:line="440" w:lineRule="exact"/>
        <w:rPr>
          <w:rFonts w:ascii="宋体" w:hAnsi="宋体" w:cs="宋体"/>
          <w:bCs/>
          <w:color w:val="auto"/>
          <w:szCs w:val="21"/>
          <w:highlight w:val="none"/>
        </w:rPr>
      </w:pPr>
      <w:r>
        <w:rPr>
          <w:rFonts w:hint="eastAsia" w:hAnsi="宋体"/>
          <w:b/>
          <w:bCs/>
          <w:color w:val="auto"/>
          <w:szCs w:val="21"/>
          <w:highlight w:val="none"/>
        </w:rPr>
        <w:t>注：</w:t>
      </w:r>
      <w:r>
        <w:rPr>
          <w:rFonts w:hint="eastAsia" w:ascii="宋体" w:hAnsi="宋体" w:cs="宋体"/>
          <w:bCs/>
          <w:color w:val="auto"/>
          <w:szCs w:val="21"/>
          <w:highlight w:val="none"/>
        </w:rPr>
        <w:t>1.各投标人</w:t>
      </w:r>
      <w:r>
        <w:rPr>
          <w:rFonts w:hint="eastAsia" w:ascii="宋体" w:hAnsi="宋体" w:cs="宋体"/>
          <w:color w:val="auto"/>
          <w:szCs w:val="21"/>
          <w:highlight w:val="none"/>
        </w:rPr>
        <w:t>必须就“采购需求”中所有内容作完整唯一报价，否则，其投标将被拒绝。投标文件只允许有一个报价。</w:t>
      </w:r>
    </w:p>
    <w:p w14:paraId="1A648E73">
      <w:pPr>
        <w:pStyle w:val="17"/>
        <w:keepNext w:val="0"/>
        <w:keepLines w:val="0"/>
        <w:pageBreakBefore w:val="0"/>
        <w:kinsoku/>
        <w:wordWrap/>
        <w:overflowPunct/>
        <w:topLinePunct w:val="0"/>
        <w:bidi w:val="0"/>
        <w:spacing w:line="440" w:lineRule="exact"/>
        <w:ind w:firstLine="420" w:firstLineChars="200"/>
        <w:rPr>
          <w:rFonts w:hAnsi="宋体" w:cs="宋体"/>
          <w:color w:val="auto"/>
          <w:szCs w:val="21"/>
          <w:highlight w:val="none"/>
        </w:rPr>
      </w:pPr>
      <w:r>
        <w:rPr>
          <w:rFonts w:hint="eastAsia" w:hAnsi="宋体" w:cs="宋体"/>
          <w:color w:val="auto"/>
          <w:szCs w:val="21"/>
          <w:highlight w:val="none"/>
        </w:rPr>
        <w:t>2.投标人应根据所投项目如实填写投标报价表</w:t>
      </w:r>
      <w:r>
        <w:rPr>
          <w:rFonts w:hint="eastAsia" w:hAnsi="宋体" w:cs="宋体"/>
          <w:bCs/>
          <w:color w:val="auto"/>
          <w:szCs w:val="21"/>
          <w:highlight w:val="none"/>
        </w:rPr>
        <w:t>的各项内容。</w:t>
      </w:r>
    </w:p>
    <w:p w14:paraId="4A148E61">
      <w:pPr>
        <w:keepNext w:val="0"/>
        <w:keepLines w:val="0"/>
        <w:pageBreakBefore w:val="0"/>
        <w:kinsoku/>
        <w:wordWrap/>
        <w:overflowPunct/>
        <w:topLinePunct w:val="0"/>
        <w:bidi w:val="0"/>
        <w:spacing w:line="440" w:lineRule="exact"/>
        <w:ind w:firstLine="420" w:firstLineChars="200"/>
        <w:rPr>
          <w:rFonts w:ascii="宋体" w:hAnsi="宋体" w:cs="宋体"/>
          <w:b/>
          <w:bCs/>
          <w:color w:val="auto"/>
          <w:sz w:val="32"/>
          <w:szCs w:val="32"/>
          <w:highlight w:val="none"/>
        </w:rPr>
      </w:pPr>
      <w:r>
        <w:rPr>
          <w:rFonts w:hint="eastAsia" w:ascii="宋体" w:hAnsi="宋体" w:cs="宋体"/>
          <w:color w:val="auto"/>
          <w:szCs w:val="21"/>
          <w:highlight w:val="none"/>
        </w:rPr>
        <w:t>3.</w:t>
      </w:r>
      <w:r>
        <w:rPr>
          <w:rFonts w:hint="eastAsia" w:ascii="宋体" w:hAnsi="宋体" w:cs="宋体"/>
          <w:color w:val="auto"/>
          <w:highlight w:val="none"/>
        </w:rPr>
        <w:t>投标报价表须由法定代表人负责人、自然人或相应的委托代理人签字或个人CA签章并加盖投标人CA签章（自然人除外）。</w:t>
      </w:r>
      <w:r>
        <w:rPr>
          <w:rFonts w:hint="eastAsia" w:ascii="宋体" w:hAnsi="宋体" w:cs="宋体"/>
          <w:b/>
          <w:color w:val="auto"/>
          <w:highlight w:val="none"/>
        </w:rPr>
        <w:t>当本表由多页构成时，需逐页加盖投标人公章（属自然人的须逐页签字或个人CA签章）</w:t>
      </w:r>
      <w:r>
        <w:rPr>
          <w:rFonts w:ascii="宋体" w:hAnsi="宋体" w:cs="宋体"/>
          <w:b/>
          <w:bCs/>
          <w:color w:val="auto"/>
          <w:sz w:val="32"/>
          <w:szCs w:val="32"/>
          <w:highlight w:val="none"/>
        </w:rPr>
        <w:br w:type="page"/>
      </w:r>
    </w:p>
    <w:p w14:paraId="49704D64">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sectPr>
          <w:footerReference r:id="rId3" w:type="default"/>
          <w:pgSz w:w="11906" w:h="16838"/>
          <w:pgMar w:top="1440" w:right="1077" w:bottom="1440" w:left="1077" w:header="851" w:footer="992" w:gutter="0"/>
          <w:pgNumType w:fmt="numberInDash" w:start="1"/>
          <w:cols w:space="720" w:num="1"/>
          <w:docGrid w:linePitch="312" w:charSpace="0"/>
        </w:sectPr>
      </w:pPr>
    </w:p>
    <w:p w14:paraId="7D767427">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2.技术规格偏离表（格式见附件）（必须提供）</w:t>
      </w:r>
      <w:bookmarkEnd w:id="312"/>
      <w:bookmarkEnd w:id="313"/>
    </w:p>
    <w:p w14:paraId="408468D8">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附件：</w:t>
      </w:r>
    </w:p>
    <w:p w14:paraId="73DFA652">
      <w:pPr>
        <w:keepNext w:val="0"/>
        <w:keepLines w:val="0"/>
        <w:pageBreakBefore w:val="0"/>
        <w:kinsoku/>
        <w:wordWrap/>
        <w:overflowPunct/>
        <w:topLinePunct w:val="0"/>
        <w:bidi w:val="0"/>
        <w:spacing w:line="440" w:lineRule="exact"/>
        <w:jc w:val="center"/>
        <w:rPr>
          <w:rFonts w:ascii="宋体" w:hAnsi="宋体" w:cs="宋体"/>
          <w:b/>
          <w:bCs/>
          <w:color w:val="auto"/>
          <w:sz w:val="32"/>
          <w:highlight w:val="none"/>
        </w:rPr>
      </w:pPr>
      <w:r>
        <w:rPr>
          <w:rFonts w:hint="eastAsia" w:ascii="宋体" w:hAnsi="宋体" w:cs="宋体"/>
          <w:b/>
          <w:color w:val="auto"/>
          <w:sz w:val="32"/>
          <w:szCs w:val="32"/>
          <w:highlight w:val="none"/>
        </w:rPr>
        <w:t>技术规格偏离表</w:t>
      </w:r>
      <w:r>
        <w:rPr>
          <w:rFonts w:hint="eastAsia" w:ascii="宋体" w:hAnsi="宋体" w:cs="宋体"/>
          <w:b/>
          <w:bCs/>
          <w:color w:val="auto"/>
          <w:sz w:val="32"/>
          <w:highlight w:val="none"/>
        </w:rPr>
        <w:t>（格式）</w:t>
      </w:r>
    </w:p>
    <w:p w14:paraId="0E8C92BA">
      <w:pPr>
        <w:pStyle w:val="49"/>
        <w:keepNext w:val="0"/>
        <w:keepLines w:val="0"/>
        <w:pageBreakBefore w:val="0"/>
        <w:kinsoku/>
        <w:wordWrap/>
        <w:overflowPunct/>
        <w:topLinePunct w:val="0"/>
        <w:bidi w:val="0"/>
        <w:spacing w:line="440" w:lineRule="exact"/>
        <w:rPr>
          <w:color w:val="auto"/>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1B4D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shd w:val="clear" w:color="auto" w:fill="8DB3E2"/>
            <w:vAlign w:val="center"/>
          </w:tcPr>
          <w:p w14:paraId="205FDBA0">
            <w:pPr>
              <w:keepNext w:val="0"/>
              <w:keepLines w:val="0"/>
              <w:pageBreakBefore w:val="0"/>
              <w:kinsoku/>
              <w:wordWrap/>
              <w:overflowPunct/>
              <w:topLinePunct w:val="0"/>
              <w:bidi w:val="0"/>
              <w:spacing w:line="440" w:lineRule="exact"/>
              <w:jc w:val="center"/>
              <w:rPr>
                <w:rFonts w:ascii="宋体" w:hAnsi="宋体" w:cs="宋体"/>
                <w:b/>
                <w:color w:val="auto"/>
                <w:highlight w:val="none"/>
              </w:rPr>
            </w:pPr>
            <w:r>
              <w:rPr>
                <w:rFonts w:hint="eastAsia" w:ascii="宋体" w:hAnsi="宋体" w:cs="宋体"/>
                <w:b/>
                <w:color w:val="auto"/>
                <w:highlight w:val="none"/>
              </w:rPr>
              <w:t>序号</w:t>
            </w:r>
          </w:p>
        </w:tc>
        <w:tc>
          <w:tcPr>
            <w:tcW w:w="2126" w:type="dxa"/>
            <w:shd w:val="clear" w:color="auto" w:fill="8DB3E2"/>
            <w:vAlign w:val="center"/>
          </w:tcPr>
          <w:p w14:paraId="3D44EA05">
            <w:pPr>
              <w:keepNext w:val="0"/>
              <w:keepLines w:val="0"/>
              <w:pageBreakBefore w:val="0"/>
              <w:kinsoku/>
              <w:wordWrap/>
              <w:overflowPunct/>
              <w:topLinePunct w:val="0"/>
              <w:bidi w:val="0"/>
              <w:spacing w:line="440" w:lineRule="exact"/>
              <w:jc w:val="center"/>
              <w:rPr>
                <w:rFonts w:ascii="宋体" w:hAnsi="宋体" w:cs="宋体"/>
                <w:b/>
                <w:color w:val="auto"/>
                <w:highlight w:val="none"/>
              </w:rPr>
            </w:pPr>
            <w:r>
              <w:rPr>
                <w:rFonts w:hint="eastAsia" w:ascii="宋体" w:hAnsi="宋体" w:cs="宋体"/>
                <w:b/>
                <w:color w:val="auto"/>
                <w:highlight w:val="none"/>
              </w:rPr>
              <w:t>货物名称</w:t>
            </w:r>
          </w:p>
        </w:tc>
        <w:tc>
          <w:tcPr>
            <w:tcW w:w="2313" w:type="dxa"/>
            <w:shd w:val="clear" w:color="auto" w:fill="8DB3E2"/>
            <w:vAlign w:val="center"/>
          </w:tcPr>
          <w:p w14:paraId="167FD59A">
            <w:pPr>
              <w:keepNext w:val="0"/>
              <w:keepLines w:val="0"/>
              <w:pageBreakBefore w:val="0"/>
              <w:kinsoku/>
              <w:wordWrap/>
              <w:overflowPunct/>
              <w:topLinePunct w:val="0"/>
              <w:bidi w:val="0"/>
              <w:spacing w:line="440" w:lineRule="exact"/>
              <w:jc w:val="center"/>
              <w:rPr>
                <w:rFonts w:ascii="宋体" w:hAnsi="宋体" w:cs="宋体"/>
                <w:b/>
                <w:color w:val="auto"/>
                <w:highlight w:val="none"/>
              </w:rPr>
            </w:pPr>
            <w:r>
              <w:rPr>
                <w:rFonts w:hint="eastAsia" w:ascii="宋体" w:hAnsi="宋体" w:cs="宋体"/>
                <w:b/>
                <w:color w:val="auto"/>
                <w:szCs w:val="21"/>
                <w:highlight w:val="none"/>
              </w:rPr>
              <w:t>项目要求及技术需求</w:t>
            </w:r>
          </w:p>
        </w:tc>
        <w:tc>
          <w:tcPr>
            <w:tcW w:w="2520" w:type="dxa"/>
            <w:shd w:val="clear" w:color="auto" w:fill="8DB3E2"/>
            <w:vAlign w:val="center"/>
          </w:tcPr>
          <w:p w14:paraId="6F753D98">
            <w:pPr>
              <w:keepNext w:val="0"/>
              <w:keepLines w:val="0"/>
              <w:pageBreakBefore w:val="0"/>
              <w:kinsoku/>
              <w:wordWrap/>
              <w:overflowPunct/>
              <w:topLinePunct w:val="0"/>
              <w:bidi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投标文件的响应情况</w:t>
            </w:r>
          </w:p>
        </w:tc>
        <w:tc>
          <w:tcPr>
            <w:tcW w:w="2113" w:type="dxa"/>
            <w:shd w:val="clear" w:color="auto" w:fill="8DB3E2"/>
            <w:vAlign w:val="center"/>
          </w:tcPr>
          <w:p w14:paraId="3E9F99F8">
            <w:pPr>
              <w:keepNext w:val="0"/>
              <w:keepLines w:val="0"/>
              <w:pageBreakBefore w:val="0"/>
              <w:kinsoku/>
              <w:wordWrap/>
              <w:overflowPunct/>
              <w:topLinePunct w:val="0"/>
              <w:bidi w:val="0"/>
              <w:spacing w:line="440" w:lineRule="exact"/>
              <w:jc w:val="center"/>
              <w:rPr>
                <w:rFonts w:ascii="宋体" w:hAnsi="宋体" w:cs="宋体"/>
                <w:b/>
                <w:color w:val="auto"/>
                <w:highlight w:val="none"/>
              </w:rPr>
            </w:pPr>
            <w:bookmarkStart w:id="314" w:name="_Toc254970701"/>
            <w:bookmarkStart w:id="315" w:name="_Toc254970560"/>
            <w:r>
              <w:rPr>
                <w:rFonts w:hint="eastAsia" w:ascii="宋体" w:hAnsi="宋体" w:cs="宋体"/>
                <w:b/>
                <w:color w:val="auto"/>
                <w:highlight w:val="none"/>
              </w:rPr>
              <w:t>偏离情况</w:t>
            </w:r>
            <w:bookmarkEnd w:id="314"/>
            <w:bookmarkEnd w:id="315"/>
            <w:r>
              <w:rPr>
                <w:rFonts w:hint="eastAsia" w:ascii="宋体" w:hAnsi="宋体" w:cs="宋体"/>
                <w:b/>
                <w:color w:val="auto"/>
                <w:highlight w:val="none"/>
              </w:rPr>
              <w:t>说明</w:t>
            </w:r>
          </w:p>
        </w:tc>
      </w:tr>
      <w:tr w14:paraId="042E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DDDEBB4">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26" w:type="dxa"/>
            <w:vAlign w:val="center"/>
          </w:tcPr>
          <w:p w14:paraId="323BDF52">
            <w:pPr>
              <w:keepNext w:val="0"/>
              <w:keepLines w:val="0"/>
              <w:pageBreakBefore w:val="0"/>
              <w:kinsoku/>
              <w:wordWrap/>
              <w:overflowPunct/>
              <w:topLinePunct w:val="0"/>
              <w:bidi w:val="0"/>
              <w:spacing w:line="440" w:lineRule="exact"/>
              <w:rPr>
                <w:rFonts w:ascii="宋体" w:hAnsi="宋体" w:cs="宋体"/>
                <w:color w:val="auto"/>
                <w:kern w:val="0"/>
                <w:szCs w:val="21"/>
                <w:highlight w:val="none"/>
              </w:rPr>
            </w:pPr>
          </w:p>
        </w:tc>
        <w:tc>
          <w:tcPr>
            <w:tcW w:w="2313" w:type="dxa"/>
            <w:vAlign w:val="center"/>
          </w:tcPr>
          <w:p w14:paraId="13EEFEE3">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520" w:type="dxa"/>
          </w:tcPr>
          <w:p w14:paraId="73D2920F">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113" w:type="dxa"/>
            <w:vAlign w:val="center"/>
          </w:tcPr>
          <w:p w14:paraId="319D0E4B">
            <w:pPr>
              <w:keepNext w:val="0"/>
              <w:keepLines w:val="0"/>
              <w:pageBreakBefore w:val="0"/>
              <w:kinsoku/>
              <w:wordWrap/>
              <w:overflowPunct/>
              <w:topLinePunct w:val="0"/>
              <w:bidi w:val="0"/>
              <w:spacing w:line="440" w:lineRule="exact"/>
              <w:jc w:val="left"/>
              <w:rPr>
                <w:rFonts w:ascii="宋体" w:hAnsi="宋体" w:cs="宋体"/>
                <w:color w:val="auto"/>
                <w:highlight w:val="none"/>
              </w:rPr>
            </w:pPr>
          </w:p>
        </w:tc>
      </w:tr>
      <w:tr w14:paraId="545B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99EE6BA">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26" w:type="dxa"/>
            <w:vAlign w:val="center"/>
          </w:tcPr>
          <w:p w14:paraId="52726EC6">
            <w:pPr>
              <w:keepNext w:val="0"/>
              <w:keepLines w:val="0"/>
              <w:pageBreakBefore w:val="0"/>
              <w:kinsoku/>
              <w:wordWrap/>
              <w:overflowPunct/>
              <w:topLinePunct w:val="0"/>
              <w:bidi w:val="0"/>
              <w:spacing w:line="440" w:lineRule="exact"/>
              <w:rPr>
                <w:rFonts w:ascii="宋体" w:hAnsi="宋体" w:cs="宋体"/>
                <w:color w:val="auto"/>
                <w:kern w:val="0"/>
                <w:szCs w:val="21"/>
                <w:highlight w:val="none"/>
              </w:rPr>
            </w:pPr>
          </w:p>
        </w:tc>
        <w:tc>
          <w:tcPr>
            <w:tcW w:w="2313" w:type="dxa"/>
            <w:vAlign w:val="center"/>
          </w:tcPr>
          <w:p w14:paraId="4B2CD8F3">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520" w:type="dxa"/>
          </w:tcPr>
          <w:p w14:paraId="03E19534">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113" w:type="dxa"/>
            <w:vAlign w:val="center"/>
          </w:tcPr>
          <w:p w14:paraId="372215ED">
            <w:pPr>
              <w:keepNext w:val="0"/>
              <w:keepLines w:val="0"/>
              <w:pageBreakBefore w:val="0"/>
              <w:kinsoku/>
              <w:wordWrap/>
              <w:overflowPunct/>
              <w:topLinePunct w:val="0"/>
              <w:bidi w:val="0"/>
              <w:spacing w:line="440" w:lineRule="exact"/>
              <w:jc w:val="left"/>
              <w:rPr>
                <w:rFonts w:ascii="宋体" w:hAnsi="宋体" w:cs="宋体"/>
                <w:color w:val="auto"/>
                <w:highlight w:val="none"/>
              </w:rPr>
            </w:pPr>
          </w:p>
        </w:tc>
      </w:tr>
      <w:tr w14:paraId="692C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EA70543">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26" w:type="dxa"/>
            <w:vAlign w:val="center"/>
          </w:tcPr>
          <w:p w14:paraId="1BE717DF">
            <w:pPr>
              <w:keepNext w:val="0"/>
              <w:keepLines w:val="0"/>
              <w:pageBreakBefore w:val="0"/>
              <w:kinsoku/>
              <w:wordWrap/>
              <w:overflowPunct/>
              <w:topLinePunct w:val="0"/>
              <w:bidi w:val="0"/>
              <w:spacing w:line="440" w:lineRule="exact"/>
              <w:rPr>
                <w:rFonts w:ascii="宋体" w:hAnsi="宋体" w:cs="宋体"/>
                <w:color w:val="auto"/>
                <w:kern w:val="0"/>
                <w:szCs w:val="21"/>
                <w:highlight w:val="none"/>
              </w:rPr>
            </w:pPr>
          </w:p>
        </w:tc>
        <w:tc>
          <w:tcPr>
            <w:tcW w:w="2313" w:type="dxa"/>
          </w:tcPr>
          <w:p w14:paraId="55BB5B41">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520" w:type="dxa"/>
          </w:tcPr>
          <w:p w14:paraId="2394FC76">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113" w:type="dxa"/>
          </w:tcPr>
          <w:p w14:paraId="0BD5CB61">
            <w:pPr>
              <w:keepNext w:val="0"/>
              <w:keepLines w:val="0"/>
              <w:pageBreakBefore w:val="0"/>
              <w:kinsoku/>
              <w:wordWrap/>
              <w:overflowPunct/>
              <w:topLinePunct w:val="0"/>
              <w:bidi w:val="0"/>
              <w:spacing w:line="440" w:lineRule="exact"/>
              <w:jc w:val="left"/>
              <w:rPr>
                <w:rFonts w:ascii="宋体" w:hAnsi="宋体" w:cs="宋体"/>
                <w:color w:val="auto"/>
                <w:highlight w:val="none"/>
              </w:rPr>
            </w:pPr>
          </w:p>
        </w:tc>
      </w:tr>
      <w:tr w14:paraId="4236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A54E1CB">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26" w:type="dxa"/>
            <w:vAlign w:val="center"/>
          </w:tcPr>
          <w:p w14:paraId="23E66FD6">
            <w:pPr>
              <w:keepNext w:val="0"/>
              <w:keepLines w:val="0"/>
              <w:pageBreakBefore w:val="0"/>
              <w:kinsoku/>
              <w:wordWrap/>
              <w:overflowPunct/>
              <w:topLinePunct w:val="0"/>
              <w:bidi w:val="0"/>
              <w:spacing w:line="440" w:lineRule="exact"/>
              <w:rPr>
                <w:rFonts w:ascii="宋体" w:hAnsi="宋体" w:cs="宋体"/>
                <w:color w:val="auto"/>
                <w:kern w:val="0"/>
                <w:szCs w:val="21"/>
                <w:highlight w:val="none"/>
              </w:rPr>
            </w:pPr>
          </w:p>
        </w:tc>
        <w:tc>
          <w:tcPr>
            <w:tcW w:w="2313" w:type="dxa"/>
          </w:tcPr>
          <w:p w14:paraId="7DFAF538">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520" w:type="dxa"/>
          </w:tcPr>
          <w:p w14:paraId="0194FECC">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113" w:type="dxa"/>
          </w:tcPr>
          <w:p w14:paraId="13D5CF05">
            <w:pPr>
              <w:keepNext w:val="0"/>
              <w:keepLines w:val="0"/>
              <w:pageBreakBefore w:val="0"/>
              <w:kinsoku/>
              <w:wordWrap/>
              <w:overflowPunct/>
              <w:topLinePunct w:val="0"/>
              <w:bidi w:val="0"/>
              <w:spacing w:line="440" w:lineRule="exact"/>
              <w:jc w:val="left"/>
              <w:rPr>
                <w:rFonts w:ascii="宋体" w:hAnsi="宋体" w:cs="宋体"/>
                <w:color w:val="auto"/>
                <w:highlight w:val="none"/>
              </w:rPr>
            </w:pPr>
          </w:p>
        </w:tc>
      </w:tr>
      <w:tr w14:paraId="11A4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A948388">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126" w:type="dxa"/>
            <w:vAlign w:val="center"/>
          </w:tcPr>
          <w:p w14:paraId="4C433AE3">
            <w:pPr>
              <w:keepNext w:val="0"/>
              <w:keepLines w:val="0"/>
              <w:pageBreakBefore w:val="0"/>
              <w:kinsoku/>
              <w:wordWrap/>
              <w:overflowPunct/>
              <w:topLinePunct w:val="0"/>
              <w:bidi w:val="0"/>
              <w:spacing w:line="440" w:lineRule="exact"/>
              <w:rPr>
                <w:rFonts w:ascii="宋体" w:hAnsi="宋体" w:cs="宋体"/>
                <w:color w:val="auto"/>
                <w:kern w:val="0"/>
                <w:szCs w:val="21"/>
                <w:highlight w:val="none"/>
              </w:rPr>
            </w:pPr>
          </w:p>
        </w:tc>
        <w:tc>
          <w:tcPr>
            <w:tcW w:w="2313" w:type="dxa"/>
          </w:tcPr>
          <w:p w14:paraId="2F0F68C2">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520" w:type="dxa"/>
          </w:tcPr>
          <w:p w14:paraId="3B891895">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113" w:type="dxa"/>
          </w:tcPr>
          <w:p w14:paraId="29CA30F5">
            <w:pPr>
              <w:keepNext w:val="0"/>
              <w:keepLines w:val="0"/>
              <w:pageBreakBefore w:val="0"/>
              <w:kinsoku/>
              <w:wordWrap/>
              <w:overflowPunct/>
              <w:topLinePunct w:val="0"/>
              <w:bidi w:val="0"/>
              <w:spacing w:line="440" w:lineRule="exact"/>
              <w:jc w:val="left"/>
              <w:rPr>
                <w:rFonts w:ascii="宋体" w:hAnsi="宋体" w:cs="宋体"/>
                <w:color w:val="auto"/>
                <w:highlight w:val="none"/>
              </w:rPr>
            </w:pPr>
          </w:p>
        </w:tc>
      </w:tr>
      <w:tr w14:paraId="289F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BC58999">
            <w:pPr>
              <w:keepNext w:val="0"/>
              <w:keepLines w:val="0"/>
              <w:pageBreakBefore w:val="0"/>
              <w:kinsoku/>
              <w:wordWrap/>
              <w:overflowPunct/>
              <w:topLinePunct w:val="0"/>
              <w:bidi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N</w:t>
            </w:r>
          </w:p>
        </w:tc>
        <w:tc>
          <w:tcPr>
            <w:tcW w:w="2126" w:type="dxa"/>
            <w:vAlign w:val="center"/>
          </w:tcPr>
          <w:p w14:paraId="3F71C431">
            <w:pPr>
              <w:keepNext w:val="0"/>
              <w:keepLines w:val="0"/>
              <w:pageBreakBefore w:val="0"/>
              <w:kinsoku/>
              <w:wordWrap/>
              <w:overflowPunct/>
              <w:topLinePunct w:val="0"/>
              <w:bidi w:val="0"/>
              <w:spacing w:line="440" w:lineRule="exact"/>
              <w:rPr>
                <w:rFonts w:ascii="宋体" w:hAnsi="宋体" w:cs="宋体"/>
                <w:b/>
                <w:bCs/>
                <w:color w:val="auto"/>
                <w:kern w:val="0"/>
                <w:szCs w:val="21"/>
                <w:highlight w:val="none"/>
              </w:rPr>
            </w:pPr>
          </w:p>
        </w:tc>
        <w:tc>
          <w:tcPr>
            <w:tcW w:w="2313" w:type="dxa"/>
          </w:tcPr>
          <w:p w14:paraId="2200CB76">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520" w:type="dxa"/>
          </w:tcPr>
          <w:p w14:paraId="34A3F0D9">
            <w:pPr>
              <w:keepNext w:val="0"/>
              <w:keepLines w:val="0"/>
              <w:pageBreakBefore w:val="0"/>
              <w:kinsoku/>
              <w:wordWrap/>
              <w:overflowPunct/>
              <w:topLinePunct w:val="0"/>
              <w:bidi w:val="0"/>
              <w:spacing w:line="440" w:lineRule="exact"/>
              <w:jc w:val="left"/>
              <w:rPr>
                <w:rFonts w:ascii="宋体" w:hAnsi="宋体" w:cs="宋体"/>
                <w:color w:val="auto"/>
                <w:highlight w:val="none"/>
              </w:rPr>
            </w:pPr>
          </w:p>
        </w:tc>
        <w:tc>
          <w:tcPr>
            <w:tcW w:w="2113" w:type="dxa"/>
          </w:tcPr>
          <w:p w14:paraId="54C2F514">
            <w:pPr>
              <w:keepNext w:val="0"/>
              <w:keepLines w:val="0"/>
              <w:pageBreakBefore w:val="0"/>
              <w:kinsoku/>
              <w:wordWrap/>
              <w:overflowPunct/>
              <w:topLinePunct w:val="0"/>
              <w:bidi w:val="0"/>
              <w:spacing w:line="440" w:lineRule="exact"/>
              <w:jc w:val="left"/>
              <w:rPr>
                <w:rFonts w:ascii="宋体" w:hAnsi="宋体" w:cs="宋体"/>
                <w:color w:val="auto"/>
                <w:highlight w:val="none"/>
              </w:rPr>
            </w:pPr>
          </w:p>
        </w:tc>
      </w:tr>
    </w:tbl>
    <w:p w14:paraId="0A77C39F">
      <w:pPr>
        <w:keepNext w:val="0"/>
        <w:keepLines w:val="0"/>
        <w:pageBreakBefore w:val="0"/>
        <w:kinsoku/>
        <w:wordWrap/>
        <w:overflowPunct/>
        <w:topLinePunct w:val="0"/>
        <w:bidi w:val="0"/>
        <w:snapToGrid w:val="0"/>
        <w:spacing w:line="440" w:lineRule="exact"/>
        <w:rPr>
          <w:rFonts w:ascii="宋体" w:hAnsi="宋体" w:cs="宋体"/>
          <w:color w:val="auto"/>
          <w:szCs w:val="20"/>
          <w:highlight w:val="none"/>
          <w:u w:val="single"/>
        </w:rPr>
      </w:pPr>
      <w:r>
        <w:rPr>
          <w:rFonts w:hint="eastAsia" w:ascii="宋体" w:hAnsi="宋体" w:cs="宋体"/>
          <w:color w:val="auto"/>
          <w:highlight w:val="none"/>
        </w:rPr>
        <w:t>注：投标人应对照招标文件中项目要求及技术需求的内容逐条响应，并在“偏离情况说明”栏注明“正偏离”、“负偏离”或“无偏离”。</w:t>
      </w:r>
    </w:p>
    <w:p w14:paraId="0EB31B34">
      <w:pPr>
        <w:keepNext w:val="0"/>
        <w:keepLines w:val="0"/>
        <w:pageBreakBefore w:val="0"/>
        <w:kinsoku/>
        <w:wordWrap/>
        <w:overflowPunct/>
        <w:topLinePunct w:val="0"/>
        <w:bidi w:val="0"/>
        <w:snapToGrid w:val="0"/>
        <w:spacing w:line="440" w:lineRule="exact"/>
        <w:ind w:firstLine="3780" w:firstLineChars="1800"/>
        <w:rPr>
          <w:rFonts w:ascii="宋体" w:hAnsi="宋体" w:cs="宋体"/>
          <w:color w:val="auto"/>
          <w:szCs w:val="20"/>
          <w:highlight w:val="none"/>
          <w:u w:val="single"/>
        </w:rPr>
      </w:pPr>
    </w:p>
    <w:p w14:paraId="28F4566B">
      <w:pPr>
        <w:keepNext w:val="0"/>
        <w:keepLines w:val="0"/>
        <w:pageBreakBefore w:val="0"/>
        <w:kinsoku/>
        <w:wordWrap/>
        <w:overflowPunct/>
        <w:topLinePunct w:val="0"/>
        <w:bidi w:val="0"/>
        <w:snapToGrid w:val="0"/>
        <w:spacing w:line="440" w:lineRule="exact"/>
        <w:jc w:val="left"/>
        <w:outlineLvl w:val="4"/>
        <w:rPr>
          <w:rFonts w:ascii="宋体" w:hAnsi="宋体"/>
          <w:color w:val="auto"/>
          <w:szCs w:val="21"/>
          <w:highlight w:val="none"/>
          <w:u w:val="single"/>
        </w:rPr>
      </w:pPr>
      <w:r>
        <w:rPr>
          <w:rFonts w:hint="eastAsia" w:ascii="宋体" w:hAnsi="宋体"/>
          <w:color w:val="auto"/>
          <w:szCs w:val="21"/>
          <w:highlight w:val="none"/>
        </w:rPr>
        <w:t xml:space="preserve">    投标人</w:t>
      </w:r>
      <w:r>
        <w:rPr>
          <w:rFonts w:hint="eastAsia" w:ascii="宋体" w:hAnsi="宋体" w:cs="宋体"/>
          <w:color w:val="auto"/>
          <w:szCs w:val="21"/>
          <w:highlight w:val="none"/>
        </w:rPr>
        <w:t xml:space="preserve"> (</w:t>
      </w:r>
      <w:r>
        <w:rPr>
          <w:rFonts w:hint="eastAsia" w:ascii="宋体" w:hAnsi="宋体"/>
          <w:color w:val="auto"/>
          <w:szCs w:val="21"/>
          <w:highlight w:val="none"/>
        </w:rPr>
        <w:t>CA签章</w:t>
      </w:r>
      <w:r>
        <w:rPr>
          <w:rFonts w:hint="eastAsia" w:ascii="宋体" w:hAnsi="宋体" w:cs="宋体"/>
          <w:color w:val="auto"/>
          <w:szCs w:val="21"/>
          <w:highlight w:val="none"/>
        </w:rPr>
        <w:t>，自然人除外)</w:t>
      </w:r>
      <w:r>
        <w:rPr>
          <w:rFonts w:hint="eastAsia" w:ascii="宋体" w:hAnsi="宋体"/>
          <w:color w:val="auto"/>
          <w:szCs w:val="21"/>
          <w:highlight w:val="none"/>
        </w:rPr>
        <w:t>：</w:t>
      </w:r>
    </w:p>
    <w:p w14:paraId="39FE4409">
      <w:pPr>
        <w:pStyle w:val="17"/>
        <w:keepNext w:val="0"/>
        <w:keepLines w:val="0"/>
        <w:pageBreakBefore w:val="0"/>
        <w:kinsoku/>
        <w:wordWrap/>
        <w:overflowPunct/>
        <w:topLinePunct w:val="0"/>
        <w:bidi w:val="0"/>
        <w:spacing w:line="440" w:lineRule="exact"/>
        <w:ind w:firstLine="420"/>
        <w:jc w:val="left"/>
        <w:rPr>
          <w:rFonts w:hAnsi="宋体" w:cs="宋体"/>
          <w:color w:val="auto"/>
          <w:szCs w:val="24"/>
          <w:highlight w:val="none"/>
        </w:rPr>
      </w:pPr>
    </w:p>
    <w:p w14:paraId="5DC57222">
      <w:pPr>
        <w:pStyle w:val="17"/>
        <w:keepNext w:val="0"/>
        <w:keepLines w:val="0"/>
        <w:pageBreakBefore w:val="0"/>
        <w:kinsoku/>
        <w:wordWrap/>
        <w:overflowPunct/>
        <w:topLinePunct w:val="0"/>
        <w:bidi w:val="0"/>
        <w:spacing w:line="440" w:lineRule="exact"/>
        <w:ind w:firstLine="420"/>
        <w:jc w:val="left"/>
        <w:rPr>
          <w:rFonts w:hAnsi="宋体"/>
          <w:color w:val="auto"/>
          <w:szCs w:val="21"/>
          <w:highlight w:val="none"/>
          <w:u w:val="single"/>
        </w:rPr>
      </w:pPr>
      <w:r>
        <w:rPr>
          <w:rFonts w:hint="eastAsia" w:hAnsi="宋体" w:cs="宋体"/>
          <w:color w:val="auto"/>
          <w:szCs w:val="24"/>
          <w:highlight w:val="none"/>
        </w:rPr>
        <w:t>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（个人CA签章）</w:t>
      </w:r>
      <w:r>
        <w:rPr>
          <w:rFonts w:hint="eastAsia" w:hAnsi="宋体"/>
          <w:color w:val="auto"/>
          <w:highlight w:val="none"/>
        </w:rPr>
        <w:t>：</w:t>
      </w:r>
    </w:p>
    <w:p w14:paraId="62E3F2B0">
      <w:pPr>
        <w:keepNext w:val="0"/>
        <w:keepLines w:val="0"/>
        <w:pageBreakBefore w:val="0"/>
        <w:kinsoku/>
        <w:wordWrap/>
        <w:overflowPunct/>
        <w:topLinePunct w:val="0"/>
        <w:bidi w:val="0"/>
        <w:spacing w:line="440" w:lineRule="exact"/>
        <w:jc w:val="left"/>
        <w:rPr>
          <w:rFonts w:hAnsi="宋体"/>
          <w:color w:val="auto"/>
          <w:highlight w:val="none"/>
        </w:rPr>
      </w:pPr>
    </w:p>
    <w:p w14:paraId="3EDD9FB3">
      <w:pPr>
        <w:keepNext w:val="0"/>
        <w:keepLines w:val="0"/>
        <w:pageBreakBefore w:val="0"/>
        <w:kinsoku/>
        <w:wordWrap/>
        <w:overflowPunct/>
        <w:topLinePunct w:val="0"/>
        <w:bidi w:val="0"/>
        <w:spacing w:line="440" w:lineRule="exact"/>
        <w:ind w:firstLine="420" w:firstLineChars="200"/>
        <w:jc w:val="left"/>
        <w:rPr>
          <w:rFonts w:ascii="宋体" w:hAnsi="宋体"/>
          <w:color w:val="auto"/>
          <w:szCs w:val="21"/>
          <w:highlight w:val="none"/>
          <w:u w:val="single"/>
        </w:rPr>
      </w:pPr>
      <w:r>
        <w:rPr>
          <w:rFonts w:hint="eastAsia" w:hAnsi="宋体"/>
          <w:color w:val="auto"/>
          <w:highlight w:val="none"/>
        </w:rPr>
        <w:t>日期：</w:t>
      </w:r>
    </w:p>
    <w:p w14:paraId="49028541">
      <w:pPr>
        <w:keepNext w:val="0"/>
        <w:keepLines w:val="0"/>
        <w:pageBreakBefore w:val="0"/>
        <w:kinsoku/>
        <w:wordWrap/>
        <w:overflowPunct/>
        <w:topLinePunct w:val="0"/>
        <w:bidi w:val="0"/>
        <w:spacing w:line="440" w:lineRule="exact"/>
        <w:rPr>
          <w:rFonts w:ascii="宋体" w:hAnsi="宋体" w:cs="宋体"/>
          <w:color w:val="auto"/>
          <w:highlight w:val="none"/>
        </w:rPr>
      </w:pPr>
    </w:p>
    <w:p w14:paraId="26944750">
      <w:pPr>
        <w:keepNext w:val="0"/>
        <w:keepLines w:val="0"/>
        <w:pageBreakBefore w:val="0"/>
        <w:kinsoku/>
        <w:wordWrap/>
        <w:overflowPunct/>
        <w:topLinePunct w:val="0"/>
        <w:bidi w:val="0"/>
        <w:spacing w:line="440" w:lineRule="exact"/>
        <w:ind w:left="982" w:leftChars="200" w:hanging="562" w:hangingChars="200"/>
        <w:rPr>
          <w:rFonts w:ascii="宋体" w:hAnsi="宋体" w:cs="宋体"/>
          <w:b/>
          <w:color w:val="auto"/>
          <w:sz w:val="24"/>
          <w:highlight w:val="none"/>
        </w:rPr>
      </w:pPr>
      <w:r>
        <w:rPr>
          <w:rFonts w:hint="eastAsia" w:ascii="宋体" w:hAnsi="宋体" w:cs="宋体"/>
          <w:b/>
          <w:bCs/>
          <w:color w:val="auto"/>
          <w:sz w:val="28"/>
          <w:szCs w:val="28"/>
          <w:highlight w:val="none"/>
        </w:rPr>
        <w:t>注：</w:t>
      </w:r>
      <w:r>
        <w:rPr>
          <w:rFonts w:hint="eastAsia" w:ascii="宋体" w:hAnsi="宋体" w:cs="宋体"/>
          <w:b/>
          <w:color w:val="auto"/>
          <w:sz w:val="24"/>
          <w:highlight w:val="none"/>
        </w:rPr>
        <w:t>1.“技术规格偏离表”各项内容必须如实填写。</w:t>
      </w:r>
    </w:p>
    <w:p w14:paraId="3E12A24A">
      <w:pPr>
        <w:keepNext w:val="0"/>
        <w:keepLines w:val="0"/>
        <w:pageBreakBefore w:val="0"/>
        <w:kinsoku/>
        <w:wordWrap/>
        <w:overflowPunct/>
        <w:topLinePunct w:val="0"/>
        <w:bidi w:val="0"/>
        <w:spacing w:line="440" w:lineRule="exact"/>
        <w:ind w:left="840" w:leftChars="400" w:firstLine="181" w:firstLineChars="75"/>
        <w:rPr>
          <w:rFonts w:ascii="宋体" w:hAnsi="宋体" w:cs="宋体"/>
          <w:b/>
          <w:color w:val="auto"/>
          <w:sz w:val="24"/>
          <w:highlight w:val="none"/>
        </w:rPr>
      </w:pPr>
      <w:r>
        <w:rPr>
          <w:rFonts w:hint="eastAsia" w:ascii="宋体" w:hAnsi="宋体" w:cs="宋体"/>
          <w:b/>
          <w:color w:val="auto"/>
          <w:sz w:val="24"/>
          <w:highlight w:val="none"/>
        </w:rPr>
        <w:t>2.当本表由多页构成时，需逐页加盖投标人公章（CA签章）（属自然人的须逐页签字或个人CA签章）。</w:t>
      </w:r>
    </w:p>
    <w:p w14:paraId="01926D41">
      <w:pPr>
        <w:pStyle w:val="17"/>
        <w:keepNext w:val="0"/>
        <w:keepLines w:val="0"/>
        <w:pageBreakBefore w:val="0"/>
        <w:kinsoku/>
        <w:wordWrap/>
        <w:overflowPunct/>
        <w:topLinePunct w:val="0"/>
        <w:bidi w:val="0"/>
        <w:spacing w:line="440" w:lineRule="exact"/>
        <w:jc w:val="center"/>
        <w:rPr>
          <w:rFonts w:hAnsi="宋体" w:cs="宋体"/>
          <w:b/>
          <w:color w:val="auto"/>
          <w:sz w:val="32"/>
          <w:highlight w:val="none"/>
        </w:rPr>
      </w:pPr>
    </w:p>
    <w:p w14:paraId="43CBE855">
      <w:pPr>
        <w:pStyle w:val="7"/>
        <w:keepNext w:val="0"/>
        <w:keepLines w:val="0"/>
        <w:pageBreakBefore w:val="0"/>
        <w:kinsoku/>
        <w:wordWrap/>
        <w:overflowPunct/>
        <w:topLinePunct w:val="0"/>
        <w:bidi w:val="0"/>
        <w:spacing w:line="440" w:lineRule="exact"/>
        <w:rPr>
          <w:rFonts w:hAnsi="宋体" w:cs="宋体"/>
          <w:b/>
          <w:color w:val="auto"/>
          <w:sz w:val="32"/>
          <w:highlight w:val="none"/>
        </w:rPr>
      </w:pPr>
    </w:p>
    <w:p w14:paraId="6E129060">
      <w:pPr>
        <w:keepNext w:val="0"/>
        <w:keepLines w:val="0"/>
        <w:pageBreakBefore w:val="0"/>
        <w:kinsoku/>
        <w:wordWrap/>
        <w:overflowPunct/>
        <w:topLinePunct w:val="0"/>
        <w:bidi w:val="0"/>
        <w:spacing w:line="440" w:lineRule="exact"/>
        <w:rPr>
          <w:rFonts w:hAnsi="宋体" w:cs="宋体"/>
          <w:b/>
          <w:color w:val="auto"/>
          <w:sz w:val="32"/>
          <w:highlight w:val="none"/>
        </w:rPr>
      </w:pPr>
    </w:p>
    <w:p w14:paraId="4D5EC75A">
      <w:pPr>
        <w:pStyle w:val="49"/>
        <w:keepNext w:val="0"/>
        <w:keepLines w:val="0"/>
        <w:pageBreakBefore w:val="0"/>
        <w:kinsoku/>
        <w:wordWrap/>
        <w:overflowPunct/>
        <w:topLinePunct w:val="0"/>
        <w:bidi w:val="0"/>
        <w:spacing w:line="440" w:lineRule="exact"/>
        <w:rPr>
          <w:color w:val="auto"/>
          <w:highlight w:val="none"/>
        </w:rPr>
      </w:pPr>
    </w:p>
    <w:p w14:paraId="52F2095E">
      <w:pPr>
        <w:pStyle w:val="17"/>
        <w:keepNext w:val="0"/>
        <w:keepLines w:val="0"/>
        <w:pageBreakBefore w:val="0"/>
        <w:kinsoku/>
        <w:wordWrap/>
        <w:overflowPunct/>
        <w:topLinePunct w:val="0"/>
        <w:bidi w:val="0"/>
        <w:spacing w:line="440" w:lineRule="exact"/>
        <w:jc w:val="center"/>
        <w:rPr>
          <w:rFonts w:hAnsi="宋体" w:cs="宋体"/>
          <w:b/>
          <w:color w:val="auto"/>
          <w:sz w:val="32"/>
          <w:highlight w:val="none"/>
        </w:rPr>
      </w:pPr>
    </w:p>
    <w:p w14:paraId="6FDF6325">
      <w:pPr>
        <w:pStyle w:val="17"/>
        <w:keepNext w:val="0"/>
        <w:keepLines w:val="0"/>
        <w:pageBreakBefore w:val="0"/>
        <w:kinsoku/>
        <w:wordWrap/>
        <w:overflowPunct/>
        <w:topLinePunct w:val="0"/>
        <w:bidi w:val="0"/>
        <w:spacing w:line="440" w:lineRule="exact"/>
        <w:jc w:val="center"/>
        <w:rPr>
          <w:rFonts w:hAnsi="宋体" w:cs="宋体"/>
          <w:b/>
          <w:color w:val="auto"/>
          <w:sz w:val="32"/>
          <w:highlight w:val="none"/>
        </w:rPr>
      </w:pPr>
    </w:p>
    <w:p w14:paraId="018CF6BC">
      <w:pPr>
        <w:pStyle w:val="7"/>
        <w:keepNext w:val="0"/>
        <w:keepLines w:val="0"/>
        <w:pageBreakBefore w:val="0"/>
        <w:kinsoku/>
        <w:wordWrap/>
        <w:overflowPunct/>
        <w:topLinePunct w:val="0"/>
        <w:bidi w:val="0"/>
        <w:spacing w:line="440" w:lineRule="exact"/>
        <w:rPr>
          <w:rFonts w:hAnsi="宋体" w:cs="宋体"/>
          <w:b/>
          <w:color w:val="auto"/>
          <w:sz w:val="32"/>
          <w:highlight w:val="none"/>
        </w:rPr>
      </w:pPr>
    </w:p>
    <w:p w14:paraId="5D3863DA">
      <w:pPr>
        <w:pStyle w:val="14"/>
        <w:keepNext w:val="0"/>
        <w:keepLines w:val="0"/>
        <w:pageBreakBefore w:val="0"/>
        <w:kinsoku/>
        <w:wordWrap/>
        <w:overflowPunct/>
        <w:topLinePunct w:val="0"/>
        <w:bidi w:val="0"/>
        <w:spacing w:line="440" w:lineRule="exact"/>
        <w:rPr>
          <w:color w:val="auto"/>
          <w:highlight w:val="none"/>
        </w:rPr>
      </w:pPr>
    </w:p>
    <w:p w14:paraId="28FDF4E6">
      <w:pPr>
        <w:keepNext w:val="0"/>
        <w:keepLines w:val="0"/>
        <w:pageBreakBefore w:val="0"/>
        <w:widowControl/>
        <w:kinsoku/>
        <w:wordWrap/>
        <w:overflowPunct/>
        <w:topLinePunct w:val="0"/>
        <w:bidi w:val="0"/>
        <w:spacing w:line="440" w:lineRule="exact"/>
        <w:jc w:val="left"/>
        <w:rPr>
          <w:rFonts w:ascii="宋体" w:hAnsi="宋体" w:cs="宋体"/>
          <w:b/>
          <w:bCs/>
          <w:color w:val="auto"/>
          <w:sz w:val="32"/>
          <w:szCs w:val="32"/>
          <w:highlight w:val="none"/>
        </w:rPr>
      </w:pPr>
      <w:bookmarkStart w:id="316" w:name="_Toc15632"/>
      <w:r>
        <w:rPr>
          <w:rFonts w:ascii="宋体" w:hAnsi="宋体" w:cs="宋体"/>
          <w:b/>
          <w:bCs/>
          <w:color w:val="auto"/>
          <w:sz w:val="32"/>
          <w:szCs w:val="32"/>
          <w:highlight w:val="none"/>
        </w:rPr>
        <w:br w:type="page"/>
      </w:r>
    </w:p>
    <w:p w14:paraId="0FB700C1">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3.商务响应表（格式见附件）（必须提供）</w:t>
      </w:r>
      <w:bookmarkEnd w:id="316"/>
    </w:p>
    <w:p w14:paraId="799B122D">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附件：</w:t>
      </w:r>
    </w:p>
    <w:p w14:paraId="6B08A141">
      <w:pPr>
        <w:keepNext w:val="0"/>
        <w:keepLines w:val="0"/>
        <w:pageBreakBefore w:val="0"/>
        <w:kinsoku/>
        <w:wordWrap/>
        <w:overflowPunct/>
        <w:topLinePunct w:val="0"/>
        <w:bidi w:val="0"/>
        <w:spacing w:line="44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商务响应表（格式）</w:t>
      </w:r>
    </w:p>
    <w:p w14:paraId="5D8CD18E">
      <w:pPr>
        <w:pStyle w:val="49"/>
        <w:keepNext w:val="0"/>
        <w:keepLines w:val="0"/>
        <w:pageBreakBefore w:val="0"/>
        <w:kinsoku/>
        <w:wordWrap/>
        <w:overflowPunct/>
        <w:topLinePunct w:val="0"/>
        <w:bidi w:val="0"/>
        <w:spacing w:line="440" w:lineRule="exact"/>
        <w:rPr>
          <w:color w:val="auto"/>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373"/>
        <w:gridCol w:w="2835"/>
        <w:gridCol w:w="2410"/>
      </w:tblGrid>
      <w:tr w14:paraId="2A112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vAlign w:val="center"/>
          </w:tcPr>
          <w:p w14:paraId="50E8727A">
            <w:pPr>
              <w:keepNext w:val="0"/>
              <w:keepLines w:val="0"/>
              <w:pageBreakBefore w:val="0"/>
              <w:kinsoku/>
              <w:wordWrap/>
              <w:overflowPunct/>
              <w:topLinePunct w:val="0"/>
              <w:bidi w:val="0"/>
              <w:snapToGrid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项号</w:t>
            </w:r>
          </w:p>
        </w:tc>
        <w:tc>
          <w:tcPr>
            <w:tcW w:w="3373" w:type="dxa"/>
            <w:tcBorders>
              <w:top w:val="single" w:color="auto" w:sz="4" w:space="0"/>
              <w:left w:val="single" w:color="auto" w:sz="4" w:space="0"/>
              <w:bottom w:val="single" w:color="auto" w:sz="4" w:space="0"/>
              <w:right w:val="single" w:color="auto" w:sz="4" w:space="0"/>
            </w:tcBorders>
            <w:shd w:val="clear" w:color="auto" w:fill="8DB3E2"/>
            <w:vAlign w:val="center"/>
          </w:tcPr>
          <w:p w14:paraId="4DEB78E9">
            <w:pPr>
              <w:pStyle w:val="17"/>
              <w:keepNext w:val="0"/>
              <w:keepLines w:val="0"/>
              <w:pageBreakBefore w:val="0"/>
              <w:kinsoku/>
              <w:wordWrap/>
              <w:overflowPunct/>
              <w:topLinePunct w:val="0"/>
              <w:bidi w:val="0"/>
              <w:spacing w:line="440" w:lineRule="exact"/>
              <w:jc w:val="center"/>
              <w:rPr>
                <w:rFonts w:hAnsi="宋体" w:cs="宋体"/>
                <w:b/>
                <w:bCs/>
                <w:color w:val="auto"/>
                <w:highlight w:val="none"/>
              </w:rPr>
            </w:pPr>
            <w:r>
              <w:rPr>
                <w:rFonts w:hint="eastAsia" w:hAnsi="宋体" w:cs="宋体"/>
                <w:b/>
                <w:bCs/>
                <w:color w:val="auto"/>
                <w:szCs w:val="24"/>
                <w:highlight w:val="none"/>
              </w:rPr>
              <w:t>招标文件的商务条款</w:t>
            </w:r>
          </w:p>
        </w:tc>
        <w:tc>
          <w:tcPr>
            <w:tcW w:w="2835" w:type="dxa"/>
            <w:tcBorders>
              <w:top w:val="single" w:color="auto" w:sz="4" w:space="0"/>
              <w:left w:val="single" w:color="auto" w:sz="4" w:space="0"/>
              <w:bottom w:val="single" w:color="auto" w:sz="4" w:space="0"/>
              <w:right w:val="single" w:color="auto" w:sz="4" w:space="0"/>
            </w:tcBorders>
            <w:shd w:val="clear" w:color="auto" w:fill="8DB3E2"/>
            <w:vAlign w:val="center"/>
          </w:tcPr>
          <w:p w14:paraId="78C4FE30">
            <w:pPr>
              <w:pStyle w:val="17"/>
              <w:keepNext w:val="0"/>
              <w:keepLines w:val="0"/>
              <w:pageBreakBefore w:val="0"/>
              <w:kinsoku/>
              <w:wordWrap/>
              <w:overflowPunct/>
              <w:topLinePunct w:val="0"/>
              <w:bidi w:val="0"/>
              <w:spacing w:line="440" w:lineRule="exact"/>
              <w:jc w:val="center"/>
              <w:rPr>
                <w:rFonts w:hAnsi="宋体" w:cs="宋体"/>
                <w:b/>
                <w:bCs/>
                <w:color w:val="auto"/>
                <w:highlight w:val="none"/>
              </w:rPr>
            </w:pPr>
            <w:r>
              <w:rPr>
                <w:rFonts w:hint="eastAsia" w:hAnsi="宋体" w:cs="宋体"/>
                <w:b/>
                <w:bCs/>
                <w:color w:val="auto"/>
                <w:szCs w:val="24"/>
                <w:highlight w:val="none"/>
              </w:rPr>
              <w:t>投标文件承诺的商务条款</w:t>
            </w:r>
          </w:p>
        </w:tc>
        <w:tc>
          <w:tcPr>
            <w:tcW w:w="2410" w:type="dxa"/>
            <w:tcBorders>
              <w:top w:val="single" w:color="auto" w:sz="4" w:space="0"/>
              <w:left w:val="single" w:color="auto" w:sz="4" w:space="0"/>
              <w:bottom w:val="single" w:color="auto" w:sz="4" w:space="0"/>
              <w:right w:val="single" w:color="auto" w:sz="4" w:space="0"/>
            </w:tcBorders>
            <w:shd w:val="clear" w:color="auto" w:fill="8DB3E2"/>
            <w:vAlign w:val="center"/>
          </w:tcPr>
          <w:p w14:paraId="48140561">
            <w:pPr>
              <w:pStyle w:val="17"/>
              <w:keepNext w:val="0"/>
              <w:keepLines w:val="0"/>
              <w:pageBreakBefore w:val="0"/>
              <w:kinsoku/>
              <w:wordWrap/>
              <w:overflowPunct/>
              <w:topLinePunct w:val="0"/>
              <w:bidi w:val="0"/>
              <w:spacing w:line="440" w:lineRule="exact"/>
              <w:jc w:val="center"/>
              <w:rPr>
                <w:rFonts w:hAnsi="宋体" w:cs="宋体"/>
                <w:b/>
                <w:bCs/>
                <w:color w:val="auto"/>
                <w:highlight w:val="none"/>
              </w:rPr>
            </w:pPr>
            <w:r>
              <w:rPr>
                <w:rFonts w:hint="eastAsia" w:hAnsi="宋体" w:cs="宋体"/>
                <w:b/>
                <w:bCs/>
                <w:color w:val="auto"/>
                <w:szCs w:val="24"/>
                <w:highlight w:val="none"/>
              </w:rPr>
              <w:t>偏离情况说明</w:t>
            </w:r>
          </w:p>
        </w:tc>
      </w:tr>
      <w:tr w14:paraId="4AC1F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vAlign w:val="center"/>
          </w:tcPr>
          <w:p w14:paraId="6A450C40">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3373" w:type="dxa"/>
            <w:tcBorders>
              <w:top w:val="single" w:color="auto" w:sz="4" w:space="0"/>
              <w:left w:val="single" w:color="auto" w:sz="4" w:space="0"/>
              <w:bottom w:val="single" w:color="auto" w:sz="4" w:space="0"/>
              <w:right w:val="single" w:color="auto" w:sz="4" w:space="0"/>
            </w:tcBorders>
            <w:vAlign w:val="center"/>
          </w:tcPr>
          <w:p w14:paraId="5781C4B8">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DF6CB27">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4613AC65">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r>
      <w:tr w14:paraId="12F82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vAlign w:val="center"/>
          </w:tcPr>
          <w:p w14:paraId="7ECBEF6D">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3373" w:type="dxa"/>
            <w:tcBorders>
              <w:top w:val="single" w:color="auto" w:sz="4" w:space="0"/>
              <w:left w:val="single" w:color="auto" w:sz="4" w:space="0"/>
              <w:bottom w:val="single" w:color="auto" w:sz="4" w:space="0"/>
              <w:right w:val="single" w:color="auto" w:sz="4" w:space="0"/>
            </w:tcBorders>
            <w:vAlign w:val="center"/>
          </w:tcPr>
          <w:p w14:paraId="081AB1BA">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182363DC">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5518962">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r>
      <w:tr w14:paraId="367CA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vAlign w:val="center"/>
          </w:tcPr>
          <w:p w14:paraId="46255E4B">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3373" w:type="dxa"/>
            <w:tcBorders>
              <w:top w:val="single" w:color="auto" w:sz="4" w:space="0"/>
              <w:left w:val="single" w:color="auto" w:sz="4" w:space="0"/>
              <w:bottom w:val="single" w:color="auto" w:sz="4" w:space="0"/>
              <w:right w:val="single" w:color="auto" w:sz="4" w:space="0"/>
            </w:tcBorders>
            <w:vAlign w:val="center"/>
          </w:tcPr>
          <w:p w14:paraId="06D405D1">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1D236E90">
            <w:pPr>
              <w:keepNext w:val="0"/>
              <w:keepLines w:val="0"/>
              <w:pageBreakBefore w:val="0"/>
              <w:kinsoku/>
              <w:wordWrap/>
              <w:overflowPunct/>
              <w:topLinePunct w:val="0"/>
              <w:bidi w:val="0"/>
              <w:snapToGrid w:val="0"/>
              <w:spacing w:beforeLines="50" w:line="440" w:lineRule="exact"/>
              <w:ind w:left="43"/>
              <w:jc w:val="center"/>
              <w:rPr>
                <w:rFonts w:ascii="宋体" w:hAnsi="宋体" w:cs="宋体"/>
                <w:color w:val="auto"/>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435B5C46">
            <w:pPr>
              <w:keepNext w:val="0"/>
              <w:keepLines w:val="0"/>
              <w:pageBreakBefore w:val="0"/>
              <w:kinsoku/>
              <w:wordWrap/>
              <w:overflowPunct/>
              <w:topLinePunct w:val="0"/>
              <w:bidi w:val="0"/>
              <w:snapToGrid w:val="0"/>
              <w:spacing w:beforeLines="50" w:line="440" w:lineRule="exact"/>
              <w:ind w:left="43"/>
              <w:jc w:val="center"/>
              <w:rPr>
                <w:rFonts w:ascii="宋体" w:hAnsi="宋体" w:cs="宋体"/>
                <w:color w:val="auto"/>
                <w:szCs w:val="21"/>
                <w:highlight w:val="none"/>
              </w:rPr>
            </w:pPr>
          </w:p>
        </w:tc>
      </w:tr>
      <w:tr w14:paraId="2B170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vAlign w:val="center"/>
          </w:tcPr>
          <w:p w14:paraId="36AC3C91">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3373" w:type="dxa"/>
            <w:tcBorders>
              <w:top w:val="single" w:color="auto" w:sz="4" w:space="0"/>
              <w:left w:val="single" w:color="auto" w:sz="4" w:space="0"/>
              <w:bottom w:val="single" w:color="auto" w:sz="4" w:space="0"/>
              <w:right w:val="single" w:color="auto" w:sz="4" w:space="0"/>
            </w:tcBorders>
            <w:vAlign w:val="center"/>
          </w:tcPr>
          <w:p w14:paraId="5BC0CC0B">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31392471">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2FFF78A">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r>
      <w:tr w14:paraId="1CC70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vAlign w:val="center"/>
          </w:tcPr>
          <w:p w14:paraId="1C09B914">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3373" w:type="dxa"/>
            <w:tcBorders>
              <w:top w:val="single" w:color="auto" w:sz="4" w:space="0"/>
              <w:left w:val="single" w:color="auto" w:sz="4" w:space="0"/>
              <w:bottom w:val="single" w:color="auto" w:sz="4" w:space="0"/>
              <w:right w:val="single" w:color="auto" w:sz="4" w:space="0"/>
            </w:tcBorders>
            <w:vAlign w:val="center"/>
          </w:tcPr>
          <w:p w14:paraId="41D640A8">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246B058">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84D4731">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r>
      <w:tr w14:paraId="4F341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vAlign w:val="center"/>
          </w:tcPr>
          <w:p w14:paraId="0802FCA5">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3373" w:type="dxa"/>
            <w:tcBorders>
              <w:top w:val="single" w:color="auto" w:sz="4" w:space="0"/>
              <w:left w:val="single" w:color="auto" w:sz="4" w:space="0"/>
              <w:bottom w:val="single" w:color="auto" w:sz="4" w:space="0"/>
              <w:right w:val="single" w:color="auto" w:sz="4" w:space="0"/>
            </w:tcBorders>
            <w:vAlign w:val="center"/>
          </w:tcPr>
          <w:p w14:paraId="3850F5F7">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4A2EF1B8">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437BA059">
            <w:pPr>
              <w:keepNext w:val="0"/>
              <w:keepLines w:val="0"/>
              <w:pageBreakBefore w:val="0"/>
              <w:kinsoku/>
              <w:wordWrap/>
              <w:overflowPunct/>
              <w:topLinePunct w:val="0"/>
              <w:bidi w:val="0"/>
              <w:snapToGrid w:val="0"/>
              <w:spacing w:beforeLines="50" w:line="440" w:lineRule="exact"/>
              <w:jc w:val="center"/>
              <w:rPr>
                <w:rFonts w:ascii="宋体" w:hAnsi="宋体" w:cs="宋体"/>
                <w:color w:val="auto"/>
                <w:szCs w:val="21"/>
                <w:highlight w:val="none"/>
              </w:rPr>
            </w:pPr>
          </w:p>
        </w:tc>
      </w:tr>
    </w:tbl>
    <w:p w14:paraId="43D73C67">
      <w:pPr>
        <w:keepNext w:val="0"/>
        <w:keepLines w:val="0"/>
        <w:pageBreakBefore w:val="0"/>
        <w:kinsoku/>
        <w:wordWrap/>
        <w:overflowPunct/>
        <w:topLinePunct w:val="0"/>
        <w:bidi w:val="0"/>
        <w:snapToGrid w:val="0"/>
        <w:spacing w:before="50" w:after="50" w:line="440" w:lineRule="exact"/>
        <w:rPr>
          <w:rFonts w:ascii="宋体" w:hAnsi="宋体" w:cs="宋体"/>
          <w:color w:val="auto"/>
          <w:highlight w:val="none"/>
        </w:rPr>
      </w:pPr>
      <w:r>
        <w:rPr>
          <w:rFonts w:hint="eastAsia" w:ascii="宋体" w:hAnsi="宋体" w:cs="宋体"/>
          <w:color w:val="auto"/>
          <w:highlight w:val="none"/>
        </w:rPr>
        <w:t>注：投标人应对照招标文件中商务要求的内容逐条响应，并在“偏离情况说明”栏注明“正偏离”、“负偏离”或“无偏离”。</w:t>
      </w:r>
    </w:p>
    <w:p w14:paraId="1AF2E5DE">
      <w:pPr>
        <w:keepNext w:val="0"/>
        <w:keepLines w:val="0"/>
        <w:pageBreakBefore w:val="0"/>
        <w:kinsoku/>
        <w:wordWrap/>
        <w:overflowPunct/>
        <w:topLinePunct w:val="0"/>
        <w:bidi w:val="0"/>
        <w:snapToGrid w:val="0"/>
        <w:spacing w:before="50" w:after="50" w:line="440" w:lineRule="exact"/>
        <w:rPr>
          <w:rFonts w:ascii="宋体" w:hAnsi="宋体" w:cs="宋体"/>
          <w:color w:val="auto"/>
          <w:spacing w:val="20"/>
          <w:sz w:val="24"/>
          <w:highlight w:val="none"/>
        </w:rPr>
      </w:pPr>
    </w:p>
    <w:p w14:paraId="78B9229D">
      <w:pPr>
        <w:keepNext w:val="0"/>
        <w:keepLines w:val="0"/>
        <w:pageBreakBefore w:val="0"/>
        <w:kinsoku/>
        <w:wordWrap/>
        <w:overflowPunct/>
        <w:topLinePunct w:val="0"/>
        <w:bidi w:val="0"/>
        <w:snapToGrid w:val="0"/>
        <w:spacing w:line="440" w:lineRule="exact"/>
        <w:ind w:firstLine="420" w:firstLineChars="200"/>
        <w:jc w:val="left"/>
        <w:outlineLvl w:val="4"/>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s="宋体"/>
          <w:color w:val="auto"/>
          <w:szCs w:val="21"/>
          <w:highlight w:val="none"/>
        </w:rPr>
        <w:t xml:space="preserve"> (</w:t>
      </w:r>
      <w:r>
        <w:rPr>
          <w:rFonts w:hint="eastAsia" w:ascii="宋体" w:hAnsi="宋体"/>
          <w:color w:val="auto"/>
          <w:szCs w:val="21"/>
          <w:highlight w:val="none"/>
        </w:rPr>
        <w:t>CA签章</w:t>
      </w:r>
      <w:r>
        <w:rPr>
          <w:rFonts w:hint="eastAsia" w:ascii="宋体" w:hAnsi="宋体" w:cs="宋体"/>
          <w:color w:val="auto"/>
          <w:szCs w:val="21"/>
          <w:highlight w:val="none"/>
        </w:rPr>
        <w:t>，自然人除外)</w:t>
      </w:r>
      <w:r>
        <w:rPr>
          <w:rFonts w:hint="eastAsia" w:ascii="宋体" w:hAnsi="宋体"/>
          <w:color w:val="auto"/>
          <w:szCs w:val="21"/>
          <w:highlight w:val="none"/>
        </w:rPr>
        <w:t>：</w:t>
      </w:r>
    </w:p>
    <w:p w14:paraId="70B59B3C">
      <w:pPr>
        <w:pStyle w:val="17"/>
        <w:keepNext w:val="0"/>
        <w:keepLines w:val="0"/>
        <w:pageBreakBefore w:val="0"/>
        <w:kinsoku/>
        <w:wordWrap/>
        <w:overflowPunct/>
        <w:topLinePunct w:val="0"/>
        <w:bidi w:val="0"/>
        <w:spacing w:line="440" w:lineRule="exact"/>
        <w:ind w:firstLine="420"/>
        <w:jc w:val="left"/>
        <w:rPr>
          <w:rFonts w:hAnsi="宋体" w:cs="宋体"/>
          <w:color w:val="auto"/>
          <w:szCs w:val="24"/>
          <w:highlight w:val="none"/>
        </w:rPr>
      </w:pPr>
    </w:p>
    <w:p w14:paraId="49B8D2F7">
      <w:pPr>
        <w:pStyle w:val="17"/>
        <w:keepNext w:val="0"/>
        <w:keepLines w:val="0"/>
        <w:pageBreakBefore w:val="0"/>
        <w:kinsoku/>
        <w:wordWrap/>
        <w:overflowPunct/>
        <w:topLinePunct w:val="0"/>
        <w:bidi w:val="0"/>
        <w:spacing w:line="440" w:lineRule="exact"/>
        <w:ind w:firstLine="420"/>
        <w:jc w:val="left"/>
        <w:rPr>
          <w:rFonts w:hAnsi="宋体"/>
          <w:color w:val="auto"/>
          <w:szCs w:val="21"/>
          <w:highlight w:val="none"/>
          <w:u w:val="single"/>
        </w:rPr>
      </w:pPr>
      <w:r>
        <w:rPr>
          <w:rFonts w:hint="eastAsia" w:hAnsi="宋体" w:cs="宋体"/>
          <w:color w:val="auto"/>
          <w:szCs w:val="24"/>
          <w:highlight w:val="none"/>
        </w:rPr>
        <w:t>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（个人CA签章）</w:t>
      </w:r>
      <w:r>
        <w:rPr>
          <w:rFonts w:hint="eastAsia" w:hAnsi="宋体"/>
          <w:color w:val="auto"/>
          <w:highlight w:val="none"/>
        </w:rPr>
        <w:t>：</w:t>
      </w:r>
    </w:p>
    <w:p w14:paraId="60B9F4D3">
      <w:pPr>
        <w:keepNext w:val="0"/>
        <w:keepLines w:val="0"/>
        <w:pageBreakBefore w:val="0"/>
        <w:kinsoku/>
        <w:wordWrap/>
        <w:overflowPunct/>
        <w:topLinePunct w:val="0"/>
        <w:bidi w:val="0"/>
        <w:spacing w:line="440" w:lineRule="exact"/>
        <w:jc w:val="left"/>
        <w:rPr>
          <w:rFonts w:hAnsi="宋体"/>
          <w:color w:val="auto"/>
          <w:highlight w:val="none"/>
        </w:rPr>
      </w:pPr>
    </w:p>
    <w:p w14:paraId="31000C7D">
      <w:pPr>
        <w:keepNext w:val="0"/>
        <w:keepLines w:val="0"/>
        <w:pageBreakBefore w:val="0"/>
        <w:kinsoku/>
        <w:wordWrap/>
        <w:overflowPunct/>
        <w:topLinePunct w:val="0"/>
        <w:bidi w:val="0"/>
        <w:spacing w:line="440" w:lineRule="exact"/>
        <w:ind w:firstLine="420" w:firstLineChars="200"/>
        <w:jc w:val="left"/>
        <w:rPr>
          <w:rFonts w:ascii="宋体" w:hAnsi="宋体"/>
          <w:color w:val="auto"/>
          <w:szCs w:val="21"/>
          <w:highlight w:val="none"/>
          <w:u w:val="single"/>
        </w:rPr>
      </w:pPr>
      <w:r>
        <w:rPr>
          <w:rFonts w:hint="eastAsia" w:hAnsi="宋体"/>
          <w:color w:val="auto"/>
          <w:highlight w:val="none"/>
        </w:rPr>
        <w:t>日期：</w:t>
      </w:r>
    </w:p>
    <w:p w14:paraId="20F53A16">
      <w:pPr>
        <w:keepNext w:val="0"/>
        <w:keepLines w:val="0"/>
        <w:pageBreakBefore w:val="0"/>
        <w:kinsoku/>
        <w:wordWrap/>
        <w:overflowPunct/>
        <w:topLinePunct w:val="0"/>
        <w:bidi w:val="0"/>
        <w:spacing w:line="440" w:lineRule="exact"/>
        <w:ind w:firstLine="1890" w:firstLineChars="900"/>
        <w:rPr>
          <w:rFonts w:ascii="宋体" w:hAnsi="宋体" w:cs="宋体"/>
          <w:color w:val="auto"/>
          <w:highlight w:val="none"/>
          <w:u w:val="single"/>
        </w:rPr>
      </w:pPr>
    </w:p>
    <w:p w14:paraId="3C088577">
      <w:pPr>
        <w:keepNext w:val="0"/>
        <w:keepLines w:val="0"/>
        <w:pageBreakBefore w:val="0"/>
        <w:kinsoku/>
        <w:wordWrap/>
        <w:overflowPunct/>
        <w:topLinePunct w:val="0"/>
        <w:bidi w:val="0"/>
        <w:spacing w:line="440" w:lineRule="exact"/>
        <w:ind w:firstLine="1890" w:firstLineChars="900"/>
        <w:rPr>
          <w:rFonts w:ascii="宋体" w:hAnsi="宋体" w:cs="宋体"/>
          <w:color w:val="auto"/>
          <w:highlight w:val="none"/>
          <w:u w:val="single"/>
        </w:rPr>
      </w:pPr>
    </w:p>
    <w:p w14:paraId="253E2D7F">
      <w:pPr>
        <w:keepNext w:val="0"/>
        <w:keepLines w:val="0"/>
        <w:pageBreakBefore w:val="0"/>
        <w:kinsoku/>
        <w:wordWrap/>
        <w:overflowPunct/>
        <w:topLinePunct w:val="0"/>
        <w:bidi w:val="0"/>
        <w:spacing w:line="440" w:lineRule="exact"/>
        <w:ind w:left="982" w:leftChars="200" w:hanging="562" w:hangingChars="200"/>
        <w:rPr>
          <w:rFonts w:ascii="宋体" w:hAnsi="宋体" w:cs="宋体"/>
          <w:b/>
          <w:bCs/>
          <w:color w:val="auto"/>
          <w:sz w:val="28"/>
          <w:szCs w:val="28"/>
          <w:highlight w:val="none"/>
        </w:rPr>
      </w:pPr>
      <w:r>
        <w:rPr>
          <w:rFonts w:hint="eastAsia" w:ascii="宋体" w:hAnsi="宋体" w:cs="宋体"/>
          <w:b/>
          <w:bCs/>
          <w:color w:val="auto"/>
          <w:sz w:val="28"/>
          <w:szCs w:val="28"/>
          <w:highlight w:val="none"/>
        </w:rPr>
        <w:t>注：</w:t>
      </w:r>
      <w:r>
        <w:rPr>
          <w:rFonts w:hint="eastAsia" w:ascii="宋体" w:hAnsi="宋体" w:cs="宋体"/>
          <w:b/>
          <w:color w:val="auto"/>
          <w:sz w:val="24"/>
          <w:highlight w:val="none"/>
        </w:rPr>
        <w:t>1.“商务响应表”各项内容必须如实填写。</w:t>
      </w:r>
    </w:p>
    <w:p w14:paraId="3BB49F93">
      <w:pPr>
        <w:keepNext w:val="0"/>
        <w:keepLines w:val="0"/>
        <w:pageBreakBefore w:val="0"/>
        <w:kinsoku/>
        <w:wordWrap/>
        <w:overflowPunct/>
        <w:topLinePunct w:val="0"/>
        <w:bidi w:val="0"/>
        <w:spacing w:line="440" w:lineRule="exact"/>
        <w:ind w:firstLine="964" w:firstLineChars="400"/>
        <w:rPr>
          <w:rFonts w:ascii="宋体" w:hAnsi="宋体" w:cs="宋体"/>
          <w:b/>
          <w:bCs/>
          <w:color w:val="auto"/>
          <w:sz w:val="28"/>
          <w:szCs w:val="28"/>
          <w:highlight w:val="none"/>
        </w:rPr>
      </w:pPr>
      <w:r>
        <w:rPr>
          <w:rFonts w:hint="eastAsia" w:ascii="宋体" w:hAnsi="宋体" w:cs="宋体"/>
          <w:b/>
          <w:color w:val="auto"/>
          <w:sz w:val="24"/>
          <w:highlight w:val="none"/>
        </w:rPr>
        <w:t>2.当本表由多页构成时，需逐页加盖投标人公章（CA签章）（属自然人的须逐页签字或个人CA签章）。</w:t>
      </w:r>
    </w:p>
    <w:p w14:paraId="273730EE">
      <w:pPr>
        <w:pStyle w:val="14"/>
        <w:keepNext w:val="0"/>
        <w:keepLines w:val="0"/>
        <w:pageBreakBefore w:val="0"/>
        <w:kinsoku/>
        <w:wordWrap/>
        <w:overflowPunct/>
        <w:topLinePunct w:val="0"/>
        <w:bidi w:val="0"/>
        <w:spacing w:line="440" w:lineRule="exact"/>
        <w:rPr>
          <w:color w:val="auto"/>
          <w:highlight w:val="none"/>
        </w:rPr>
      </w:pPr>
    </w:p>
    <w:p w14:paraId="132C4A8B">
      <w:pPr>
        <w:pStyle w:val="14"/>
        <w:keepNext w:val="0"/>
        <w:keepLines w:val="0"/>
        <w:pageBreakBefore w:val="0"/>
        <w:kinsoku/>
        <w:wordWrap/>
        <w:overflowPunct/>
        <w:topLinePunct w:val="0"/>
        <w:bidi w:val="0"/>
        <w:spacing w:line="440" w:lineRule="exact"/>
        <w:rPr>
          <w:color w:val="auto"/>
          <w:highlight w:val="none"/>
        </w:rPr>
      </w:pPr>
    </w:p>
    <w:p w14:paraId="7B71097A">
      <w:pPr>
        <w:pStyle w:val="14"/>
        <w:keepNext w:val="0"/>
        <w:keepLines w:val="0"/>
        <w:pageBreakBefore w:val="0"/>
        <w:kinsoku/>
        <w:wordWrap/>
        <w:overflowPunct/>
        <w:topLinePunct w:val="0"/>
        <w:bidi w:val="0"/>
        <w:spacing w:line="440" w:lineRule="exact"/>
        <w:rPr>
          <w:color w:val="auto"/>
          <w:highlight w:val="none"/>
        </w:rPr>
      </w:pPr>
    </w:p>
    <w:p w14:paraId="54674947">
      <w:pPr>
        <w:pStyle w:val="14"/>
        <w:keepNext w:val="0"/>
        <w:keepLines w:val="0"/>
        <w:pageBreakBefore w:val="0"/>
        <w:kinsoku/>
        <w:wordWrap/>
        <w:overflowPunct/>
        <w:topLinePunct w:val="0"/>
        <w:bidi w:val="0"/>
        <w:spacing w:line="440" w:lineRule="exact"/>
        <w:rPr>
          <w:color w:val="auto"/>
          <w:highlight w:val="none"/>
        </w:rPr>
      </w:pPr>
    </w:p>
    <w:p w14:paraId="0270E91E">
      <w:pPr>
        <w:pStyle w:val="14"/>
        <w:keepNext w:val="0"/>
        <w:keepLines w:val="0"/>
        <w:pageBreakBefore w:val="0"/>
        <w:kinsoku/>
        <w:wordWrap/>
        <w:overflowPunct/>
        <w:topLinePunct w:val="0"/>
        <w:bidi w:val="0"/>
        <w:spacing w:line="440" w:lineRule="exact"/>
        <w:rPr>
          <w:color w:val="auto"/>
          <w:highlight w:val="none"/>
        </w:rPr>
      </w:pPr>
    </w:p>
    <w:p w14:paraId="11D11424">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17" w:name="_Toc18341"/>
      <w:bookmarkStart w:id="318" w:name="_Toc495841796"/>
      <w:r>
        <w:rPr>
          <w:rFonts w:hint="eastAsia" w:ascii="宋体" w:hAnsi="宋体" w:cs="宋体"/>
          <w:b/>
          <w:bCs/>
          <w:color w:val="auto"/>
          <w:sz w:val="32"/>
          <w:szCs w:val="32"/>
          <w:highlight w:val="none"/>
        </w:rPr>
        <w:t>4.“货物采购需求”需提供的有效证明文件（如有，按其要求提供）：</w:t>
      </w:r>
      <w:bookmarkEnd w:id="317"/>
      <w:bookmarkEnd w:id="318"/>
    </w:p>
    <w:p w14:paraId="069B2925">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3AFA167B">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3D6DA093">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5A7C9195">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6F9A05F1">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19" w:name="_Toc12988"/>
      <w:bookmarkStart w:id="320" w:name="_Toc495841797"/>
    </w:p>
    <w:p w14:paraId="74A759C7">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bookmarkEnd w:id="319"/>
    <w:bookmarkEnd w:id="320"/>
    <w:p w14:paraId="26A3CADE">
      <w:pPr>
        <w:pStyle w:val="14"/>
        <w:keepNext w:val="0"/>
        <w:keepLines w:val="0"/>
        <w:pageBreakBefore w:val="0"/>
        <w:kinsoku/>
        <w:wordWrap/>
        <w:overflowPunct/>
        <w:topLinePunct w:val="0"/>
        <w:bidi w:val="0"/>
        <w:spacing w:line="440" w:lineRule="exact"/>
        <w:rPr>
          <w:color w:val="auto"/>
          <w:highlight w:val="none"/>
        </w:rPr>
      </w:pPr>
    </w:p>
    <w:p w14:paraId="5C0A84F1">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278ACDE2">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rPr>
        <w:t>.项目实施方案（格式见附件）（</w:t>
      </w:r>
      <w:r>
        <w:rPr>
          <w:rFonts w:hint="eastAsia" w:ascii="宋体" w:hAnsi="宋体" w:cs="宋体"/>
          <w:b/>
          <w:bCs/>
          <w:color w:val="auto"/>
          <w:sz w:val="32"/>
          <w:szCs w:val="32"/>
          <w:highlight w:val="none"/>
          <w:lang w:val="en-US" w:eastAsia="zh-CN"/>
        </w:rPr>
        <w:t>必须</w:t>
      </w:r>
      <w:r>
        <w:rPr>
          <w:rFonts w:hint="eastAsia" w:ascii="宋体" w:hAnsi="宋体" w:cs="宋体"/>
          <w:b/>
          <w:bCs/>
          <w:color w:val="auto"/>
          <w:sz w:val="32"/>
          <w:szCs w:val="32"/>
          <w:highlight w:val="none"/>
        </w:rPr>
        <w:t>提供）；</w:t>
      </w:r>
    </w:p>
    <w:p w14:paraId="7D6CA498">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附件：</w:t>
      </w:r>
    </w:p>
    <w:p w14:paraId="27782573">
      <w:pPr>
        <w:pStyle w:val="14"/>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18672FD8">
      <w:pPr>
        <w:pStyle w:val="14"/>
        <w:keepNext w:val="0"/>
        <w:keepLines w:val="0"/>
        <w:pageBreakBefore w:val="0"/>
        <w:kinsoku/>
        <w:wordWrap/>
        <w:overflowPunct/>
        <w:topLinePunct w:val="0"/>
        <w:bidi w:val="0"/>
        <w:spacing w:line="440" w:lineRule="exact"/>
        <w:rPr>
          <w:color w:val="auto"/>
          <w:highlight w:val="none"/>
        </w:rPr>
      </w:pPr>
    </w:p>
    <w:p w14:paraId="4F7F7F7C">
      <w:pPr>
        <w:keepNext w:val="0"/>
        <w:keepLines w:val="0"/>
        <w:pageBreakBefore w:val="0"/>
        <w:kinsoku/>
        <w:wordWrap/>
        <w:overflowPunct/>
        <w:topLinePunct w:val="0"/>
        <w:bidi w:val="0"/>
        <w:spacing w:line="440" w:lineRule="exact"/>
        <w:rPr>
          <w:color w:val="auto"/>
          <w:highlight w:val="none"/>
        </w:rPr>
      </w:pPr>
    </w:p>
    <w:p w14:paraId="15380E5D">
      <w:pPr>
        <w:pStyle w:val="17"/>
        <w:keepNext w:val="0"/>
        <w:keepLines w:val="0"/>
        <w:pageBreakBefore w:val="0"/>
        <w:kinsoku/>
        <w:wordWrap/>
        <w:overflowPunct/>
        <w:topLinePunct w:val="0"/>
        <w:bidi w:val="0"/>
        <w:spacing w:line="440" w:lineRule="exact"/>
        <w:jc w:val="center"/>
        <w:rPr>
          <w:b/>
          <w:color w:val="auto"/>
          <w:sz w:val="32"/>
          <w:szCs w:val="32"/>
          <w:highlight w:val="none"/>
        </w:rPr>
      </w:pPr>
      <w:r>
        <w:rPr>
          <w:rFonts w:hint="eastAsia"/>
          <w:b/>
          <w:color w:val="auto"/>
          <w:sz w:val="32"/>
          <w:szCs w:val="32"/>
          <w:highlight w:val="none"/>
        </w:rPr>
        <w:t>项目实施方案 （格式）</w:t>
      </w:r>
    </w:p>
    <w:p w14:paraId="6652FFB1">
      <w:pPr>
        <w:keepNext w:val="0"/>
        <w:keepLines w:val="0"/>
        <w:pageBreakBefore w:val="0"/>
        <w:kinsoku/>
        <w:wordWrap/>
        <w:overflowPunct/>
        <w:topLinePunct w:val="0"/>
        <w:bidi w:val="0"/>
        <w:spacing w:line="440" w:lineRule="exact"/>
        <w:rPr>
          <w:rFonts w:hAnsi="Courier New"/>
          <w:b/>
          <w:color w:val="auto"/>
          <w:sz w:val="32"/>
          <w:szCs w:val="32"/>
          <w:highlight w:val="none"/>
        </w:rPr>
      </w:pPr>
    </w:p>
    <w:p w14:paraId="3707403E">
      <w:pPr>
        <w:pStyle w:val="14"/>
        <w:keepNext w:val="0"/>
        <w:keepLines w:val="0"/>
        <w:pageBreakBefore w:val="0"/>
        <w:kinsoku/>
        <w:wordWrap/>
        <w:overflowPunct/>
        <w:topLinePunct w:val="0"/>
        <w:bidi w:val="0"/>
        <w:spacing w:line="440" w:lineRule="exact"/>
        <w:rPr>
          <w:color w:val="auto"/>
          <w:highlight w:val="none"/>
        </w:rPr>
      </w:pPr>
    </w:p>
    <w:p w14:paraId="1A044DA2">
      <w:pPr>
        <w:keepNext w:val="0"/>
        <w:keepLines w:val="0"/>
        <w:pageBreakBefore w:val="0"/>
        <w:widowControl/>
        <w:kinsoku/>
        <w:wordWrap/>
        <w:overflowPunct/>
        <w:topLinePunct w:val="0"/>
        <w:bidi w:val="0"/>
        <w:spacing w:line="440" w:lineRule="exact"/>
        <w:ind w:firstLine="3092" w:firstLineChars="1100"/>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 xml:space="preserve">（根据采购需求自行编制） </w:t>
      </w:r>
    </w:p>
    <w:p w14:paraId="7F536F19">
      <w:pPr>
        <w:keepNext w:val="0"/>
        <w:keepLines w:val="0"/>
        <w:pageBreakBefore w:val="0"/>
        <w:widowControl/>
        <w:kinsoku/>
        <w:wordWrap/>
        <w:overflowPunct/>
        <w:topLinePunct w:val="0"/>
        <w:bidi w:val="0"/>
        <w:spacing w:line="440" w:lineRule="exact"/>
        <w:jc w:val="left"/>
        <w:rPr>
          <w:rFonts w:ascii="宋体" w:hAnsi="宋体" w:cs="宋体"/>
          <w:b/>
          <w:color w:val="auto"/>
          <w:kern w:val="0"/>
          <w:sz w:val="28"/>
          <w:szCs w:val="28"/>
          <w:highlight w:val="none"/>
        </w:rPr>
      </w:pPr>
    </w:p>
    <w:p w14:paraId="52D4C1BA">
      <w:pPr>
        <w:keepNext w:val="0"/>
        <w:keepLines w:val="0"/>
        <w:pageBreakBefore w:val="0"/>
        <w:widowControl/>
        <w:kinsoku/>
        <w:wordWrap/>
        <w:overflowPunct/>
        <w:topLinePunct w:val="0"/>
        <w:bidi w:val="0"/>
        <w:spacing w:line="440" w:lineRule="exact"/>
        <w:ind w:firstLine="3092" w:firstLineChars="1100"/>
        <w:jc w:val="left"/>
        <w:rPr>
          <w:rFonts w:ascii="宋体" w:hAnsi="宋体" w:cs="宋体"/>
          <w:b/>
          <w:color w:val="auto"/>
          <w:kern w:val="0"/>
          <w:sz w:val="28"/>
          <w:szCs w:val="28"/>
          <w:highlight w:val="none"/>
        </w:rPr>
      </w:pPr>
    </w:p>
    <w:p w14:paraId="0F04680C">
      <w:pPr>
        <w:keepNext w:val="0"/>
        <w:keepLines w:val="0"/>
        <w:pageBreakBefore w:val="0"/>
        <w:kinsoku/>
        <w:wordWrap/>
        <w:overflowPunct/>
        <w:topLinePunct w:val="0"/>
        <w:bidi w:val="0"/>
        <w:snapToGrid w:val="0"/>
        <w:spacing w:line="440" w:lineRule="exact"/>
        <w:ind w:firstLine="420" w:firstLineChars="200"/>
        <w:jc w:val="left"/>
        <w:outlineLvl w:val="4"/>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s="宋体"/>
          <w:color w:val="auto"/>
          <w:szCs w:val="21"/>
          <w:highlight w:val="none"/>
        </w:rPr>
        <w:t xml:space="preserve"> (</w:t>
      </w:r>
      <w:r>
        <w:rPr>
          <w:rFonts w:hint="eastAsia" w:ascii="宋体" w:hAnsi="宋体"/>
          <w:color w:val="auto"/>
          <w:szCs w:val="21"/>
          <w:highlight w:val="none"/>
        </w:rPr>
        <w:t>CA签章</w:t>
      </w:r>
      <w:r>
        <w:rPr>
          <w:rFonts w:hint="eastAsia" w:ascii="宋体" w:hAnsi="宋体" w:cs="宋体"/>
          <w:color w:val="auto"/>
          <w:szCs w:val="21"/>
          <w:highlight w:val="none"/>
        </w:rPr>
        <w:t>，自然人除外)</w:t>
      </w:r>
      <w:r>
        <w:rPr>
          <w:rFonts w:hint="eastAsia" w:ascii="宋体" w:hAnsi="宋体"/>
          <w:color w:val="auto"/>
          <w:szCs w:val="21"/>
          <w:highlight w:val="none"/>
        </w:rPr>
        <w:t>：</w:t>
      </w:r>
    </w:p>
    <w:p w14:paraId="6ED5FFB2">
      <w:pPr>
        <w:pStyle w:val="17"/>
        <w:keepNext w:val="0"/>
        <w:keepLines w:val="0"/>
        <w:pageBreakBefore w:val="0"/>
        <w:kinsoku/>
        <w:wordWrap/>
        <w:overflowPunct/>
        <w:topLinePunct w:val="0"/>
        <w:bidi w:val="0"/>
        <w:spacing w:line="440" w:lineRule="exact"/>
        <w:ind w:firstLine="420"/>
        <w:jc w:val="left"/>
        <w:rPr>
          <w:rFonts w:hAnsi="宋体" w:cs="宋体"/>
          <w:color w:val="auto"/>
          <w:szCs w:val="24"/>
          <w:highlight w:val="none"/>
        </w:rPr>
      </w:pPr>
    </w:p>
    <w:p w14:paraId="378945E9">
      <w:pPr>
        <w:pStyle w:val="17"/>
        <w:keepNext w:val="0"/>
        <w:keepLines w:val="0"/>
        <w:pageBreakBefore w:val="0"/>
        <w:kinsoku/>
        <w:wordWrap/>
        <w:overflowPunct/>
        <w:topLinePunct w:val="0"/>
        <w:bidi w:val="0"/>
        <w:spacing w:line="440" w:lineRule="exact"/>
        <w:ind w:firstLine="420"/>
        <w:jc w:val="left"/>
        <w:rPr>
          <w:rFonts w:hAnsi="宋体"/>
          <w:color w:val="auto"/>
          <w:szCs w:val="21"/>
          <w:highlight w:val="none"/>
          <w:u w:val="single"/>
        </w:rPr>
      </w:pPr>
      <w:r>
        <w:rPr>
          <w:rFonts w:hint="eastAsia" w:hAnsi="宋体" w:cs="宋体"/>
          <w:color w:val="auto"/>
          <w:szCs w:val="24"/>
          <w:highlight w:val="none"/>
        </w:rPr>
        <w:t>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（个人CA签章）</w:t>
      </w:r>
      <w:r>
        <w:rPr>
          <w:rFonts w:hint="eastAsia" w:hAnsi="宋体"/>
          <w:color w:val="auto"/>
          <w:highlight w:val="none"/>
        </w:rPr>
        <w:t>：</w:t>
      </w:r>
    </w:p>
    <w:p w14:paraId="436B69EB">
      <w:pPr>
        <w:keepNext w:val="0"/>
        <w:keepLines w:val="0"/>
        <w:pageBreakBefore w:val="0"/>
        <w:kinsoku/>
        <w:wordWrap/>
        <w:overflowPunct/>
        <w:topLinePunct w:val="0"/>
        <w:bidi w:val="0"/>
        <w:spacing w:line="440" w:lineRule="exact"/>
        <w:jc w:val="left"/>
        <w:rPr>
          <w:rFonts w:hAnsi="宋体"/>
          <w:color w:val="auto"/>
          <w:highlight w:val="none"/>
        </w:rPr>
      </w:pPr>
    </w:p>
    <w:p w14:paraId="5D82127D">
      <w:pPr>
        <w:keepNext w:val="0"/>
        <w:keepLines w:val="0"/>
        <w:pageBreakBefore w:val="0"/>
        <w:kinsoku/>
        <w:wordWrap/>
        <w:overflowPunct/>
        <w:topLinePunct w:val="0"/>
        <w:bidi w:val="0"/>
        <w:spacing w:line="440" w:lineRule="exact"/>
        <w:ind w:firstLine="420" w:firstLineChars="200"/>
        <w:jc w:val="left"/>
        <w:rPr>
          <w:rFonts w:hint="eastAsia" w:hAnsi="宋体"/>
          <w:color w:val="auto"/>
          <w:highlight w:val="none"/>
        </w:rPr>
      </w:pPr>
      <w:r>
        <w:rPr>
          <w:rFonts w:hint="eastAsia" w:hAnsi="宋体"/>
          <w:color w:val="auto"/>
          <w:highlight w:val="none"/>
        </w:rPr>
        <w:t>日期：</w:t>
      </w:r>
    </w:p>
    <w:p w14:paraId="28D21C60">
      <w:pPr>
        <w:pStyle w:val="21"/>
        <w:keepNext w:val="0"/>
        <w:keepLines w:val="0"/>
        <w:pageBreakBefore w:val="0"/>
        <w:kinsoku/>
        <w:wordWrap/>
        <w:overflowPunct/>
        <w:topLinePunct w:val="0"/>
        <w:bidi w:val="0"/>
        <w:spacing w:line="440" w:lineRule="exact"/>
        <w:rPr>
          <w:rFonts w:hint="eastAsia" w:hAnsi="宋体"/>
          <w:color w:val="auto"/>
          <w:highlight w:val="none"/>
        </w:rPr>
      </w:pPr>
    </w:p>
    <w:p w14:paraId="62ACF4EF">
      <w:pPr>
        <w:pStyle w:val="21"/>
        <w:keepNext w:val="0"/>
        <w:keepLines w:val="0"/>
        <w:pageBreakBefore w:val="0"/>
        <w:kinsoku/>
        <w:wordWrap/>
        <w:overflowPunct/>
        <w:topLinePunct w:val="0"/>
        <w:bidi w:val="0"/>
        <w:spacing w:line="440" w:lineRule="exact"/>
        <w:rPr>
          <w:rFonts w:hint="eastAsia" w:hAnsi="宋体"/>
          <w:color w:val="auto"/>
          <w:highlight w:val="none"/>
        </w:rPr>
      </w:pPr>
    </w:p>
    <w:p w14:paraId="048D5186">
      <w:pPr>
        <w:pStyle w:val="21"/>
        <w:keepNext w:val="0"/>
        <w:keepLines w:val="0"/>
        <w:pageBreakBefore w:val="0"/>
        <w:kinsoku/>
        <w:wordWrap/>
        <w:overflowPunct/>
        <w:topLinePunct w:val="0"/>
        <w:bidi w:val="0"/>
        <w:spacing w:line="440" w:lineRule="exact"/>
        <w:rPr>
          <w:rFonts w:hint="eastAsia" w:hAnsi="宋体"/>
          <w:color w:val="auto"/>
          <w:highlight w:val="none"/>
        </w:rPr>
      </w:pPr>
    </w:p>
    <w:p w14:paraId="2AC643C6">
      <w:pPr>
        <w:pStyle w:val="21"/>
        <w:keepNext w:val="0"/>
        <w:keepLines w:val="0"/>
        <w:pageBreakBefore w:val="0"/>
        <w:kinsoku/>
        <w:wordWrap/>
        <w:overflowPunct/>
        <w:topLinePunct w:val="0"/>
        <w:bidi w:val="0"/>
        <w:spacing w:line="440" w:lineRule="exact"/>
        <w:rPr>
          <w:rFonts w:hint="eastAsia" w:hAnsi="宋体"/>
          <w:color w:val="auto"/>
          <w:highlight w:val="none"/>
        </w:rPr>
      </w:pPr>
    </w:p>
    <w:p w14:paraId="34C15B3F">
      <w:pPr>
        <w:pStyle w:val="21"/>
        <w:keepNext w:val="0"/>
        <w:keepLines w:val="0"/>
        <w:pageBreakBefore w:val="0"/>
        <w:kinsoku/>
        <w:wordWrap/>
        <w:overflowPunct/>
        <w:topLinePunct w:val="0"/>
        <w:bidi w:val="0"/>
        <w:spacing w:line="440" w:lineRule="exact"/>
        <w:rPr>
          <w:rFonts w:hint="eastAsia" w:hAnsi="宋体"/>
          <w:color w:val="auto"/>
          <w:highlight w:val="none"/>
        </w:rPr>
      </w:pPr>
    </w:p>
    <w:p w14:paraId="77DCDDFE">
      <w:pPr>
        <w:pStyle w:val="21"/>
        <w:keepNext w:val="0"/>
        <w:keepLines w:val="0"/>
        <w:pageBreakBefore w:val="0"/>
        <w:kinsoku/>
        <w:wordWrap/>
        <w:overflowPunct/>
        <w:topLinePunct w:val="0"/>
        <w:bidi w:val="0"/>
        <w:spacing w:line="440" w:lineRule="exact"/>
        <w:rPr>
          <w:rFonts w:hint="eastAsia" w:hAnsi="宋体"/>
          <w:color w:val="auto"/>
          <w:highlight w:val="none"/>
        </w:rPr>
      </w:pPr>
    </w:p>
    <w:p w14:paraId="4A87FB33">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6.增值售后服务方案</w:t>
      </w:r>
      <w:r>
        <w:rPr>
          <w:rFonts w:hint="eastAsia" w:ascii="宋体" w:hAnsi="宋体" w:cs="宋体"/>
          <w:b/>
          <w:bCs/>
          <w:color w:val="auto"/>
          <w:sz w:val="32"/>
          <w:szCs w:val="32"/>
          <w:highlight w:val="none"/>
        </w:rPr>
        <w:t>（格式见附件）</w:t>
      </w:r>
      <w:r>
        <w:rPr>
          <w:rFonts w:hint="eastAsia" w:ascii="宋体" w:hAnsi="宋体" w:eastAsia="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lang w:val="en-US" w:eastAsia="zh-CN"/>
        </w:rPr>
        <w:t>必须</w:t>
      </w:r>
      <w:r>
        <w:rPr>
          <w:rFonts w:hint="eastAsia" w:ascii="宋体" w:hAnsi="宋体" w:cs="宋体"/>
          <w:b/>
          <w:bCs/>
          <w:color w:val="auto"/>
          <w:sz w:val="32"/>
          <w:szCs w:val="32"/>
          <w:highlight w:val="none"/>
        </w:rPr>
        <w:t>提供）；</w:t>
      </w:r>
    </w:p>
    <w:p w14:paraId="5EBC7CE6">
      <w:pPr>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sz w:val="32"/>
          <w:szCs w:val="32"/>
          <w:highlight w:val="none"/>
          <w:lang w:val="en-US" w:eastAsia="zh-CN"/>
        </w:rPr>
      </w:pPr>
    </w:p>
    <w:p w14:paraId="7A115A1D">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附件：</w:t>
      </w:r>
    </w:p>
    <w:p w14:paraId="7693E69F">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31B6B9AD">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292D2C9E">
      <w:pPr>
        <w:pStyle w:val="17"/>
        <w:keepNext w:val="0"/>
        <w:keepLines w:val="0"/>
        <w:pageBreakBefore w:val="0"/>
        <w:kinsoku/>
        <w:wordWrap/>
        <w:overflowPunct/>
        <w:topLinePunct w:val="0"/>
        <w:bidi w:val="0"/>
        <w:spacing w:line="440" w:lineRule="exact"/>
        <w:jc w:val="center"/>
        <w:rPr>
          <w:b/>
          <w:color w:val="auto"/>
          <w:sz w:val="32"/>
          <w:szCs w:val="32"/>
          <w:highlight w:val="none"/>
        </w:rPr>
      </w:pPr>
      <w:r>
        <w:rPr>
          <w:rFonts w:hint="eastAsia"/>
          <w:b/>
          <w:color w:val="auto"/>
          <w:sz w:val="32"/>
          <w:szCs w:val="32"/>
          <w:highlight w:val="none"/>
        </w:rPr>
        <w:t>增值售后服务方案（格式）</w:t>
      </w:r>
    </w:p>
    <w:p w14:paraId="060B7B94">
      <w:pPr>
        <w:keepNext w:val="0"/>
        <w:keepLines w:val="0"/>
        <w:pageBreakBefore w:val="0"/>
        <w:kinsoku/>
        <w:wordWrap/>
        <w:overflowPunct/>
        <w:topLinePunct w:val="0"/>
        <w:bidi w:val="0"/>
        <w:spacing w:line="440" w:lineRule="exact"/>
        <w:rPr>
          <w:rFonts w:hAnsi="Courier New"/>
          <w:b/>
          <w:color w:val="auto"/>
          <w:sz w:val="32"/>
          <w:szCs w:val="32"/>
          <w:highlight w:val="none"/>
        </w:rPr>
      </w:pPr>
    </w:p>
    <w:p w14:paraId="0AA642C3">
      <w:pPr>
        <w:pStyle w:val="14"/>
        <w:keepNext w:val="0"/>
        <w:keepLines w:val="0"/>
        <w:pageBreakBefore w:val="0"/>
        <w:kinsoku/>
        <w:wordWrap/>
        <w:overflowPunct/>
        <w:topLinePunct w:val="0"/>
        <w:bidi w:val="0"/>
        <w:spacing w:line="440" w:lineRule="exact"/>
        <w:rPr>
          <w:color w:val="auto"/>
          <w:highlight w:val="none"/>
        </w:rPr>
      </w:pPr>
    </w:p>
    <w:p w14:paraId="0F09AEF3">
      <w:pPr>
        <w:keepNext w:val="0"/>
        <w:keepLines w:val="0"/>
        <w:pageBreakBefore w:val="0"/>
        <w:widowControl/>
        <w:kinsoku/>
        <w:wordWrap/>
        <w:overflowPunct/>
        <w:topLinePunct w:val="0"/>
        <w:bidi w:val="0"/>
        <w:spacing w:line="440" w:lineRule="exact"/>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内容包括但不限于：①服务人员的配备、故障出现解决方案，②定期维护 (注明时间)，③技术培训方案，④保修期外维修方案，⑤售后服务措施及其他优惠措施等</w:t>
      </w:r>
    </w:p>
    <w:p w14:paraId="2E1EAD01">
      <w:pPr>
        <w:keepNext w:val="0"/>
        <w:keepLines w:val="0"/>
        <w:pageBreakBefore w:val="0"/>
        <w:widowControl/>
        <w:kinsoku/>
        <w:wordWrap/>
        <w:overflowPunct/>
        <w:topLinePunct w:val="0"/>
        <w:bidi w:val="0"/>
        <w:spacing w:line="440" w:lineRule="exact"/>
        <w:jc w:val="left"/>
        <w:rPr>
          <w:rFonts w:ascii="宋体" w:hAnsi="宋体" w:cs="宋体"/>
          <w:b/>
          <w:color w:val="auto"/>
          <w:kern w:val="0"/>
          <w:sz w:val="28"/>
          <w:szCs w:val="28"/>
          <w:highlight w:val="none"/>
        </w:rPr>
      </w:pPr>
    </w:p>
    <w:p w14:paraId="5B26E410">
      <w:pPr>
        <w:keepNext w:val="0"/>
        <w:keepLines w:val="0"/>
        <w:pageBreakBefore w:val="0"/>
        <w:widowControl/>
        <w:kinsoku/>
        <w:wordWrap/>
        <w:overflowPunct/>
        <w:topLinePunct w:val="0"/>
        <w:bidi w:val="0"/>
        <w:spacing w:line="440" w:lineRule="exact"/>
        <w:ind w:firstLine="3092" w:firstLineChars="1100"/>
        <w:jc w:val="left"/>
        <w:rPr>
          <w:rFonts w:ascii="宋体" w:hAnsi="宋体" w:cs="宋体"/>
          <w:b/>
          <w:color w:val="auto"/>
          <w:kern w:val="0"/>
          <w:sz w:val="28"/>
          <w:szCs w:val="28"/>
          <w:highlight w:val="none"/>
        </w:rPr>
      </w:pPr>
    </w:p>
    <w:p w14:paraId="7AB86E00">
      <w:pPr>
        <w:keepNext w:val="0"/>
        <w:keepLines w:val="0"/>
        <w:pageBreakBefore w:val="0"/>
        <w:kinsoku/>
        <w:wordWrap/>
        <w:overflowPunct/>
        <w:topLinePunct w:val="0"/>
        <w:bidi w:val="0"/>
        <w:snapToGrid w:val="0"/>
        <w:spacing w:line="440" w:lineRule="exact"/>
        <w:ind w:firstLine="420" w:firstLineChars="200"/>
        <w:jc w:val="left"/>
        <w:outlineLvl w:val="4"/>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s="宋体"/>
          <w:color w:val="auto"/>
          <w:szCs w:val="21"/>
          <w:highlight w:val="none"/>
        </w:rPr>
        <w:t xml:space="preserve"> (</w:t>
      </w:r>
      <w:r>
        <w:rPr>
          <w:rFonts w:hint="eastAsia" w:ascii="宋体" w:hAnsi="宋体"/>
          <w:color w:val="auto"/>
          <w:szCs w:val="21"/>
          <w:highlight w:val="none"/>
        </w:rPr>
        <w:t>CA签章</w:t>
      </w:r>
      <w:r>
        <w:rPr>
          <w:rFonts w:hint="eastAsia" w:ascii="宋体" w:hAnsi="宋体" w:cs="宋体"/>
          <w:color w:val="auto"/>
          <w:szCs w:val="21"/>
          <w:highlight w:val="none"/>
        </w:rPr>
        <w:t>，自然人除外)</w:t>
      </w:r>
      <w:r>
        <w:rPr>
          <w:rFonts w:hint="eastAsia" w:ascii="宋体" w:hAnsi="宋体"/>
          <w:color w:val="auto"/>
          <w:szCs w:val="21"/>
          <w:highlight w:val="none"/>
        </w:rPr>
        <w:t>：</w:t>
      </w:r>
    </w:p>
    <w:p w14:paraId="110647DE">
      <w:pPr>
        <w:pStyle w:val="17"/>
        <w:keepNext w:val="0"/>
        <w:keepLines w:val="0"/>
        <w:pageBreakBefore w:val="0"/>
        <w:kinsoku/>
        <w:wordWrap/>
        <w:overflowPunct/>
        <w:topLinePunct w:val="0"/>
        <w:bidi w:val="0"/>
        <w:spacing w:line="440" w:lineRule="exact"/>
        <w:ind w:firstLine="420"/>
        <w:jc w:val="left"/>
        <w:rPr>
          <w:rFonts w:hAnsi="宋体" w:cs="宋体"/>
          <w:color w:val="auto"/>
          <w:szCs w:val="24"/>
          <w:highlight w:val="none"/>
        </w:rPr>
      </w:pPr>
    </w:p>
    <w:p w14:paraId="798F28DD">
      <w:pPr>
        <w:pStyle w:val="17"/>
        <w:keepNext w:val="0"/>
        <w:keepLines w:val="0"/>
        <w:pageBreakBefore w:val="0"/>
        <w:kinsoku/>
        <w:wordWrap/>
        <w:overflowPunct/>
        <w:topLinePunct w:val="0"/>
        <w:bidi w:val="0"/>
        <w:spacing w:line="440" w:lineRule="exact"/>
        <w:ind w:firstLine="420"/>
        <w:jc w:val="left"/>
        <w:rPr>
          <w:rFonts w:hAnsi="宋体"/>
          <w:color w:val="auto"/>
          <w:szCs w:val="21"/>
          <w:highlight w:val="none"/>
          <w:u w:val="single"/>
        </w:rPr>
      </w:pPr>
      <w:r>
        <w:rPr>
          <w:rFonts w:hint="eastAsia" w:hAnsi="宋体" w:cs="宋体"/>
          <w:color w:val="auto"/>
          <w:szCs w:val="24"/>
          <w:highlight w:val="none"/>
        </w:rPr>
        <w:t>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（个人CA签章）</w:t>
      </w:r>
      <w:r>
        <w:rPr>
          <w:rFonts w:hint="eastAsia" w:hAnsi="宋体"/>
          <w:color w:val="auto"/>
          <w:highlight w:val="none"/>
        </w:rPr>
        <w:t>：</w:t>
      </w:r>
    </w:p>
    <w:p w14:paraId="3F182C12">
      <w:pPr>
        <w:keepNext w:val="0"/>
        <w:keepLines w:val="0"/>
        <w:pageBreakBefore w:val="0"/>
        <w:kinsoku/>
        <w:wordWrap/>
        <w:overflowPunct/>
        <w:topLinePunct w:val="0"/>
        <w:bidi w:val="0"/>
        <w:spacing w:line="440" w:lineRule="exact"/>
        <w:jc w:val="left"/>
        <w:rPr>
          <w:rFonts w:hAnsi="宋体"/>
          <w:color w:val="auto"/>
          <w:highlight w:val="none"/>
        </w:rPr>
      </w:pPr>
    </w:p>
    <w:p w14:paraId="7635BE32">
      <w:pPr>
        <w:keepNext w:val="0"/>
        <w:keepLines w:val="0"/>
        <w:pageBreakBefore w:val="0"/>
        <w:kinsoku/>
        <w:wordWrap/>
        <w:overflowPunct/>
        <w:topLinePunct w:val="0"/>
        <w:bidi w:val="0"/>
        <w:spacing w:line="440" w:lineRule="exact"/>
        <w:ind w:firstLine="420" w:firstLineChars="200"/>
        <w:jc w:val="left"/>
        <w:rPr>
          <w:rFonts w:hint="eastAsia" w:hAnsi="宋体"/>
          <w:color w:val="auto"/>
          <w:highlight w:val="none"/>
        </w:rPr>
      </w:pPr>
      <w:r>
        <w:rPr>
          <w:rFonts w:hint="eastAsia" w:hAnsi="宋体"/>
          <w:color w:val="auto"/>
          <w:highlight w:val="none"/>
        </w:rPr>
        <w:t>日期：</w:t>
      </w:r>
    </w:p>
    <w:p w14:paraId="3C6C4241">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3C74666F">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22D907EE">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15CF86E8">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5E564BB5">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700EE6BA">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0460EAA2">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3FB0D1E1">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78E678BA">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7EC51EC9">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4688232C">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6D04518A">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342B5F40">
      <w:pPr>
        <w:pStyle w:val="21"/>
        <w:keepNext w:val="0"/>
        <w:keepLines w:val="0"/>
        <w:pageBreakBefore w:val="0"/>
        <w:numPr>
          <w:ilvl w:val="0"/>
          <w:numId w:val="0"/>
        </w:numPr>
        <w:kinsoku/>
        <w:wordWrap/>
        <w:overflowPunct/>
        <w:topLinePunct w:val="0"/>
        <w:bidi w:val="0"/>
        <w:spacing w:line="440" w:lineRule="exact"/>
        <w:rPr>
          <w:rFonts w:hint="eastAsia"/>
          <w:color w:val="auto"/>
          <w:highlight w:val="none"/>
          <w:lang w:val="en-US" w:eastAsia="zh-CN"/>
        </w:rPr>
      </w:pPr>
    </w:p>
    <w:p w14:paraId="747B2BB6">
      <w:pPr>
        <w:pStyle w:val="21"/>
        <w:keepNext w:val="0"/>
        <w:keepLines w:val="0"/>
        <w:pageBreakBefore w:val="0"/>
        <w:numPr>
          <w:ilvl w:val="0"/>
          <w:numId w:val="0"/>
        </w:numPr>
        <w:kinsoku/>
        <w:wordWrap/>
        <w:overflowPunct/>
        <w:topLinePunct w:val="0"/>
        <w:bidi w:val="0"/>
        <w:spacing w:line="440" w:lineRule="exact"/>
        <w:rPr>
          <w:rFonts w:hint="default" w:hAnsi="宋体" w:cs="宋体"/>
          <w:color w:val="auto"/>
          <w:kern w:val="2"/>
          <w:sz w:val="21"/>
          <w:highlight w:val="none"/>
          <w:lang w:val="en-US" w:eastAsia="zh-CN"/>
        </w:rPr>
      </w:pPr>
    </w:p>
    <w:p w14:paraId="42D78899">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7.项目实施人员一览表（格式见附件）【如有，请提供】</w:t>
      </w:r>
    </w:p>
    <w:p w14:paraId="0320A18F">
      <w:pPr>
        <w:keepNext w:val="0"/>
        <w:keepLines w:val="0"/>
        <w:pageBreakBefore w:val="0"/>
        <w:kinsoku/>
        <w:wordWrap/>
        <w:overflowPunct/>
        <w:topLinePunct w:val="0"/>
        <w:bidi w:val="0"/>
        <w:spacing w:line="44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w:t>
      </w:r>
    </w:p>
    <w:p w14:paraId="663C0386">
      <w:pPr>
        <w:keepNext w:val="0"/>
        <w:keepLines w:val="0"/>
        <w:pageBreakBefore w:val="0"/>
        <w:kinsoku/>
        <w:wordWrap/>
        <w:overflowPunct/>
        <w:topLinePunct w:val="0"/>
        <w:bidi w:val="0"/>
        <w:spacing w:line="44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项目实施人员一览表（格式）</w:t>
      </w:r>
    </w:p>
    <w:p w14:paraId="45B9108E">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72BC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8DB3E2"/>
            <w:vAlign w:val="center"/>
          </w:tcPr>
          <w:p w14:paraId="6C7447FE">
            <w:pPr>
              <w:keepNext w:val="0"/>
              <w:keepLines w:val="0"/>
              <w:pageBreakBefore w:val="0"/>
              <w:kinsoku/>
              <w:wordWrap/>
              <w:overflowPunct/>
              <w:topLinePunct w:val="0"/>
              <w:bidi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姓 名</w:t>
            </w:r>
          </w:p>
        </w:tc>
        <w:tc>
          <w:tcPr>
            <w:tcW w:w="993" w:type="dxa"/>
            <w:shd w:val="clear" w:color="auto" w:fill="8DB3E2"/>
            <w:vAlign w:val="center"/>
          </w:tcPr>
          <w:p w14:paraId="6E3F2AE5">
            <w:pPr>
              <w:keepNext w:val="0"/>
              <w:keepLines w:val="0"/>
              <w:pageBreakBefore w:val="0"/>
              <w:kinsoku/>
              <w:wordWrap/>
              <w:overflowPunct/>
              <w:topLinePunct w:val="0"/>
              <w:bidi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职务</w:t>
            </w:r>
          </w:p>
        </w:tc>
        <w:tc>
          <w:tcPr>
            <w:tcW w:w="1888" w:type="dxa"/>
            <w:shd w:val="clear" w:color="auto" w:fill="8DB3E2"/>
            <w:vAlign w:val="center"/>
          </w:tcPr>
          <w:p w14:paraId="3FFA8609">
            <w:pPr>
              <w:keepNext w:val="0"/>
              <w:keepLines w:val="0"/>
              <w:pageBreakBefore w:val="0"/>
              <w:kinsoku/>
              <w:wordWrap/>
              <w:overflowPunct/>
              <w:topLinePunct w:val="0"/>
              <w:bidi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专业技术资格</w:t>
            </w:r>
          </w:p>
        </w:tc>
        <w:tc>
          <w:tcPr>
            <w:tcW w:w="1559" w:type="dxa"/>
            <w:shd w:val="clear" w:color="auto" w:fill="8DB3E2"/>
            <w:vAlign w:val="center"/>
          </w:tcPr>
          <w:p w14:paraId="56A731BA">
            <w:pPr>
              <w:keepNext w:val="0"/>
              <w:keepLines w:val="0"/>
              <w:pageBreakBefore w:val="0"/>
              <w:kinsoku/>
              <w:wordWrap/>
              <w:overflowPunct/>
              <w:topLinePunct w:val="0"/>
              <w:bidi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证书编号</w:t>
            </w:r>
          </w:p>
        </w:tc>
        <w:tc>
          <w:tcPr>
            <w:tcW w:w="2163" w:type="dxa"/>
            <w:shd w:val="clear" w:color="auto" w:fill="8DB3E2"/>
            <w:vAlign w:val="center"/>
          </w:tcPr>
          <w:p w14:paraId="18EADA12">
            <w:pPr>
              <w:keepNext w:val="0"/>
              <w:keepLines w:val="0"/>
              <w:pageBreakBefore w:val="0"/>
              <w:kinsoku/>
              <w:wordWrap/>
              <w:overflowPunct/>
              <w:topLinePunct w:val="0"/>
              <w:bidi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参加工作时间</w:t>
            </w:r>
          </w:p>
        </w:tc>
        <w:tc>
          <w:tcPr>
            <w:tcW w:w="1477" w:type="dxa"/>
            <w:shd w:val="clear" w:color="auto" w:fill="8DB3E2"/>
            <w:vAlign w:val="center"/>
          </w:tcPr>
          <w:p w14:paraId="10BD75D1">
            <w:pPr>
              <w:keepNext w:val="0"/>
              <w:keepLines w:val="0"/>
              <w:pageBreakBefore w:val="0"/>
              <w:kinsoku/>
              <w:wordWrap/>
              <w:overflowPunct/>
              <w:topLinePunct w:val="0"/>
              <w:bidi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3767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0B13C9F2">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993" w:type="dxa"/>
          </w:tcPr>
          <w:p w14:paraId="0AE43881">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888" w:type="dxa"/>
          </w:tcPr>
          <w:p w14:paraId="2FC97894">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559" w:type="dxa"/>
          </w:tcPr>
          <w:p w14:paraId="69283B86">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2163" w:type="dxa"/>
          </w:tcPr>
          <w:p w14:paraId="45587B6D">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477" w:type="dxa"/>
          </w:tcPr>
          <w:p w14:paraId="4C8B6AEB">
            <w:pPr>
              <w:keepNext w:val="0"/>
              <w:keepLines w:val="0"/>
              <w:pageBreakBefore w:val="0"/>
              <w:kinsoku/>
              <w:wordWrap/>
              <w:overflowPunct/>
              <w:topLinePunct w:val="0"/>
              <w:bidi w:val="0"/>
              <w:spacing w:line="440" w:lineRule="exact"/>
              <w:rPr>
                <w:rFonts w:ascii="宋体" w:hAnsi="宋体" w:cs="宋体"/>
                <w:color w:val="auto"/>
                <w:szCs w:val="21"/>
                <w:highlight w:val="none"/>
              </w:rPr>
            </w:pPr>
          </w:p>
        </w:tc>
      </w:tr>
      <w:tr w14:paraId="1103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77CC4051">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993" w:type="dxa"/>
          </w:tcPr>
          <w:p w14:paraId="1328910D">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888" w:type="dxa"/>
          </w:tcPr>
          <w:p w14:paraId="5BD1B5BF">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559" w:type="dxa"/>
          </w:tcPr>
          <w:p w14:paraId="3CF0C27E">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2163" w:type="dxa"/>
          </w:tcPr>
          <w:p w14:paraId="0BC5220E">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477" w:type="dxa"/>
          </w:tcPr>
          <w:p w14:paraId="0431CC82">
            <w:pPr>
              <w:keepNext w:val="0"/>
              <w:keepLines w:val="0"/>
              <w:pageBreakBefore w:val="0"/>
              <w:kinsoku/>
              <w:wordWrap/>
              <w:overflowPunct/>
              <w:topLinePunct w:val="0"/>
              <w:bidi w:val="0"/>
              <w:spacing w:line="440" w:lineRule="exact"/>
              <w:rPr>
                <w:rFonts w:ascii="宋体" w:hAnsi="宋体" w:cs="宋体"/>
                <w:color w:val="auto"/>
                <w:szCs w:val="21"/>
                <w:highlight w:val="none"/>
              </w:rPr>
            </w:pPr>
          </w:p>
        </w:tc>
      </w:tr>
      <w:tr w14:paraId="3EE7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68319C18">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993" w:type="dxa"/>
          </w:tcPr>
          <w:p w14:paraId="3A651C92">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888" w:type="dxa"/>
          </w:tcPr>
          <w:p w14:paraId="32159E30">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559" w:type="dxa"/>
          </w:tcPr>
          <w:p w14:paraId="0E06F1C9">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2163" w:type="dxa"/>
          </w:tcPr>
          <w:p w14:paraId="0DD1CA7E">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477" w:type="dxa"/>
          </w:tcPr>
          <w:p w14:paraId="08E8C26A">
            <w:pPr>
              <w:keepNext w:val="0"/>
              <w:keepLines w:val="0"/>
              <w:pageBreakBefore w:val="0"/>
              <w:kinsoku/>
              <w:wordWrap/>
              <w:overflowPunct/>
              <w:topLinePunct w:val="0"/>
              <w:bidi w:val="0"/>
              <w:spacing w:line="440" w:lineRule="exact"/>
              <w:rPr>
                <w:rFonts w:ascii="宋体" w:hAnsi="宋体" w:cs="宋体"/>
                <w:color w:val="auto"/>
                <w:szCs w:val="21"/>
                <w:highlight w:val="none"/>
              </w:rPr>
            </w:pPr>
          </w:p>
        </w:tc>
      </w:tr>
      <w:tr w14:paraId="1492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673F174E">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993" w:type="dxa"/>
          </w:tcPr>
          <w:p w14:paraId="6F7C53AA">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888" w:type="dxa"/>
          </w:tcPr>
          <w:p w14:paraId="74E021C0">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559" w:type="dxa"/>
          </w:tcPr>
          <w:p w14:paraId="23433282">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2163" w:type="dxa"/>
          </w:tcPr>
          <w:p w14:paraId="5BBA8696">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477" w:type="dxa"/>
          </w:tcPr>
          <w:p w14:paraId="09889E47">
            <w:pPr>
              <w:keepNext w:val="0"/>
              <w:keepLines w:val="0"/>
              <w:pageBreakBefore w:val="0"/>
              <w:kinsoku/>
              <w:wordWrap/>
              <w:overflowPunct/>
              <w:topLinePunct w:val="0"/>
              <w:bidi w:val="0"/>
              <w:spacing w:line="440" w:lineRule="exact"/>
              <w:rPr>
                <w:rFonts w:ascii="宋体" w:hAnsi="宋体" w:cs="宋体"/>
                <w:color w:val="auto"/>
                <w:szCs w:val="21"/>
                <w:highlight w:val="none"/>
              </w:rPr>
            </w:pPr>
          </w:p>
        </w:tc>
      </w:tr>
      <w:tr w14:paraId="06B5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6A8F5DB7">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993" w:type="dxa"/>
          </w:tcPr>
          <w:p w14:paraId="55B9BC38">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888" w:type="dxa"/>
          </w:tcPr>
          <w:p w14:paraId="476C6CCE">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559" w:type="dxa"/>
          </w:tcPr>
          <w:p w14:paraId="56B4B6CE">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2163" w:type="dxa"/>
          </w:tcPr>
          <w:p w14:paraId="2EDE21B2">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477" w:type="dxa"/>
          </w:tcPr>
          <w:p w14:paraId="53E52DEF">
            <w:pPr>
              <w:keepNext w:val="0"/>
              <w:keepLines w:val="0"/>
              <w:pageBreakBefore w:val="0"/>
              <w:kinsoku/>
              <w:wordWrap/>
              <w:overflowPunct/>
              <w:topLinePunct w:val="0"/>
              <w:bidi w:val="0"/>
              <w:spacing w:line="440" w:lineRule="exact"/>
              <w:rPr>
                <w:rFonts w:ascii="宋体" w:hAnsi="宋体" w:cs="宋体"/>
                <w:color w:val="auto"/>
                <w:szCs w:val="21"/>
                <w:highlight w:val="none"/>
              </w:rPr>
            </w:pPr>
          </w:p>
        </w:tc>
      </w:tr>
      <w:tr w14:paraId="5299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55B2BD78">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993" w:type="dxa"/>
          </w:tcPr>
          <w:p w14:paraId="79AE698B">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888" w:type="dxa"/>
          </w:tcPr>
          <w:p w14:paraId="60A08170">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559" w:type="dxa"/>
          </w:tcPr>
          <w:p w14:paraId="6C1F5D33">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2163" w:type="dxa"/>
          </w:tcPr>
          <w:p w14:paraId="780FA7B6">
            <w:pPr>
              <w:keepNext w:val="0"/>
              <w:keepLines w:val="0"/>
              <w:pageBreakBefore w:val="0"/>
              <w:kinsoku/>
              <w:wordWrap/>
              <w:overflowPunct/>
              <w:topLinePunct w:val="0"/>
              <w:bidi w:val="0"/>
              <w:spacing w:line="440" w:lineRule="exact"/>
              <w:rPr>
                <w:rFonts w:ascii="宋体" w:hAnsi="宋体" w:cs="宋体"/>
                <w:color w:val="auto"/>
                <w:szCs w:val="21"/>
                <w:highlight w:val="none"/>
              </w:rPr>
            </w:pPr>
          </w:p>
        </w:tc>
        <w:tc>
          <w:tcPr>
            <w:tcW w:w="1477" w:type="dxa"/>
          </w:tcPr>
          <w:p w14:paraId="0703EA5C">
            <w:pPr>
              <w:keepNext w:val="0"/>
              <w:keepLines w:val="0"/>
              <w:pageBreakBefore w:val="0"/>
              <w:kinsoku/>
              <w:wordWrap/>
              <w:overflowPunct/>
              <w:topLinePunct w:val="0"/>
              <w:bidi w:val="0"/>
              <w:spacing w:line="440" w:lineRule="exact"/>
              <w:rPr>
                <w:rFonts w:ascii="宋体" w:hAnsi="宋体" w:cs="宋体"/>
                <w:color w:val="auto"/>
                <w:szCs w:val="21"/>
                <w:highlight w:val="none"/>
              </w:rPr>
            </w:pPr>
          </w:p>
        </w:tc>
      </w:tr>
    </w:tbl>
    <w:p w14:paraId="55884125">
      <w:pPr>
        <w:keepNext w:val="0"/>
        <w:keepLines w:val="0"/>
        <w:pageBreakBefore w:val="0"/>
        <w:kinsoku/>
        <w:wordWrap/>
        <w:overflowPunct/>
        <w:topLinePunct w:val="0"/>
        <w:bidi w:val="0"/>
        <w:spacing w:line="440" w:lineRule="exact"/>
        <w:rPr>
          <w:rFonts w:ascii="宋体" w:hAnsi="宋体" w:cs="宋体"/>
          <w:color w:val="auto"/>
          <w:szCs w:val="21"/>
          <w:highlight w:val="none"/>
        </w:rPr>
      </w:pPr>
    </w:p>
    <w:p w14:paraId="496F71E8">
      <w:pPr>
        <w:keepNext w:val="0"/>
        <w:keepLines w:val="0"/>
        <w:pageBreakBefore w:val="0"/>
        <w:kinsoku/>
        <w:wordWrap/>
        <w:overflowPunct/>
        <w:topLinePunct w:val="0"/>
        <w:bidi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注：在填写时，如本表格不适合投标单位的实际情况，可根据本表格式自行制表填写。</w:t>
      </w:r>
    </w:p>
    <w:p w14:paraId="7E06C566">
      <w:pPr>
        <w:keepNext w:val="0"/>
        <w:keepLines w:val="0"/>
        <w:pageBreakBefore w:val="0"/>
        <w:kinsoku/>
        <w:wordWrap/>
        <w:overflowPunct/>
        <w:topLinePunct w:val="0"/>
        <w:bidi w:val="0"/>
        <w:spacing w:line="440" w:lineRule="exact"/>
        <w:ind w:firstLine="3255" w:firstLineChars="1550"/>
        <w:rPr>
          <w:rFonts w:ascii="宋体" w:hAnsi="宋体" w:cs="宋体"/>
          <w:color w:val="auto"/>
          <w:highlight w:val="none"/>
        </w:rPr>
      </w:pPr>
    </w:p>
    <w:p w14:paraId="00BDC02F">
      <w:pPr>
        <w:keepNext w:val="0"/>
        <w:keepLines w:val="0"/>
        <w:pageBreakBefore w:val="0"/>
        <w:kinsoku/>
        <w:wordWrap/>
        <w:overflowPunct/>
        <w:topLinePunct w:val="0"/>
        <w:bidi w:val="0"/>
        <w:snapToGrid w:val="0"/>
        <w:spacing w:line="440" w:lineRule="exact"/>
        <w:ind w:firstLine="420" w:firstLineChars="200"/>
        <w:jc w:val="left"/>
        <w:outlineLvl w:val="4"/>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s="宋体"/>
          <w:color w:val="auto"/>
          <w:szCs w:val="21"/>
          <w:highlight w:val="none"/>
        </w:rPr>
        <w:t xml:space="preserve"> (</w:t>
      </w:r>
      <w:r>
        <w:rPr>
          <w:rFonts w:hint="eastAsia" w:ascii="宋体" w:hAnsi="宋体"/>
          <w:color w:val="auto"/>
          <w:szCs w:val="21"/>
          <w:highlight w:val="none"/>
        </w:rPr>
        <w:t>CA签章</w:t>
      </w:r>
      <w:r>
        <w:rPr>
          <w:rFonts w:hint="eastAsia" w:ascii="宋体" w:hAnsi="宋体" w:cs="宋体"/>
          <w:color w:val="auto"/>
          <w:szCs w:val="21"/>
          <w:highlight w:val="none"/>
        </w:rPr>
        <w:t>，自然人除外)</w:t>
      </w:r>
      <w:r>
        <w:rPr>
          <w:rFonts w:hint="eastAsia" w:ascii="宋体" w:hAnsi="宋体"/>
          <w:color w:val="auto"/>
          <w:szCs w:val="21"/>
          <w:highlight w:val="none"/>
        </w:rPr>
        <w:t>：</w:t>
      </w:r>
    </w:p>
    <w:p w14:paraId="52B8F605">
      <w:pPr>
        <w:pStyle w:val="17"/>
        <w:keepNext w:val="0"/>
        <w:keepLines w:val="0"/>
        <w:pageBreakBefore w:val="0"/>
        <w:kinsoku/>
        <w:wordWrap/>
        <w:overflowPunct/>
        <w:topLinePunct w:val="0"/>
        <w:bidi w:val="0"/>
        <w:spacing w:line="440" w:lineRule="exact"/>
        <w:ind w:firstLine="420"/>
        <w:jc w:val="left"/>
        <w:rPr>
          <w:rFonts w:hAnsi="宋体" w:cs="宋体"/>
          <w:color w:val="auto"/>
          <w:szCs w:val="24"/>
          <w:highlight w:val="none"/>
        </w:rPr>
      </w:pPr>
    </w:p>
    <w:p w14:paraId="3C910194">
      <w:pPr>
        <w:pStyle w:val="17"/>
        <w:keepNext w:val="0"/>
        <w:keepLines w:val="0"/>
        <w:pageBreakBefore w:val="0"/>
        <w:kinsoku/>
        <w:wordWrap/>
        <w:overflowPunct/>
        <w:topLinePunct w:val="0"/>
        <w:bidi w:val="0"/>
        <w:spacing w:line="440" w:lineRule="exact"/>
        <w:ind w:firstLine="420"/>
        <w:jc w:val="left"/>
        <w:rPr>
          <w:rFonts w:hAnsi="宋体"/>
          <w:color w:val="auto"/>
          <w:szCs w:val="21"/>
          <w:highlight w:val="none"/>
          <w:u w:val="single"/>
        </w:rPr>
      </w:pPr>
      <w:r>
        <w:rPr>
          <w:rFonts w:hint="eastAsia" w:hAnsi="宋体" w:cs="宋体"/>
          <w:color w:val="auto"/>
          <w:szCs w:val="24"/>
          <w:highlight w:val="none"/>
        </w:rPr>
        <w:t>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（个人CA签章）</w:t>
      </w:r>
      <w:r>
        <w:rPr>
          <w:rFonts w:hint="eastAsia" w:hAnsi="宋体"/>
          <w:color w:val="auto"/>
          <w:highlight w:val="none"/>
        </w:rPr>
        <w:t>：</w:t>
      </w:r>
    </w:p>
    <w:p w14:paraId="35C6B055">
      <w:pPr>
        <w:keepNext w:val="0"/>
        <w:keepLines w:val="0"/>
        <w:pageBreakBefore w:val="0"/>
        <w:kinsoku/>
        <w:wordWrap/>
        <w:overflowPunct/>
        <w:topLinePunct w:val="0"/>
        <w:bidi w:val="0"/>
        <w:spacing w:line="440" w:lineRule="exact"/>
        <w:jc w:val="left"/>
        <w:rPr>
          <w:rFonts w:hAnsi="宋体"/>
          <w:color w:val="auto"/>
          <w:highlight w:val="none"/>
        </w:rPr>
      </w:pPr>
    </w:p>
    <w:p w14:paraId="0EE09709">
      <w:pPr>
        <w:keepNext w:val="0"/>
        <w:keepLines w:val="0"/>
        <w:pageBreakBefore w:val="0"/>
        <w:kinsoku/>
        <w:wordWrap/>
        <w:overflowPunct/>
        <w:topLinePunct w:val="0"/>
        <w:bidi w:val="0"/>
        <w:spacing w:line="440" w:lineRule="exact"/>
        <w:ind w:firstLine="420" w:firstLineChars="200"/>
        <w:jc w:val="left"/>
        <w:rPr>
          <w:rFonts w:ascii="宋体" w:hAnsi="宋体"/>
          <w:color w:val="auto"/>
          <w:szCs w:val="21"/>
          <w:highlight w:val="none"/>
          <w:u w:val="single"/>
        </w:rPr>
      </w:pPr>
      <w:r>
        <w:rPr>
          <w:rFonts w:hint="eastAsia" w:hAnsi="宋体"/>
          <w:color w:val="auto"/>
          <w:highlight w:val="none"/>
        </w:rPr>
        <w:t>日期：</w:t>
      </w:r>
    </w:p>
    <w:p w14:paraId="18E3E293">
      <w:pPr>
        <w:keepNext w:val="0"/>
        <w:keepLines w:val="0"/>
        <w:pageBreakBefore w:val="0"/>
        <w:kinsoku/>
        <w:wordWrap/>
        <w:overflowPunct/>
        <w:topLinePunct w:val="0"/>
        <w:bidi w:val="0"/>
        <w:spacing w:line="440" w:lineRule="exact"/>
        <w:ind w:firstLine="4200" w:firstLineChars="2000"/>
        <w:rPr>
          <w:color w:val="auto"/>
          <w:highlight w:val="none"/>
        </w:rPr>
      </w:pPr>
      <w:bookmarkStart w:id="321" w:name="_Toc10856"/>
      <w:bookmarkStart w:id="322" w:name="_Toc495841799"/>
    </w:p>
    <w:p w14:paraId="754AC7A7">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8.节能方面的证书复印件（如有，请提供）</w:t>
      </w:r>
      <w:bookmarkEnd w:id="321"/>
      <w:bookmarkEnd w:id="322"/>
    </w:p>
    <w:p w14:paraId="71455AFE">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4397CD78">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37105650">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23" w:name="_Toc21473"/>
      <w:bookmarkStart w:id="324" w:name="_Toc495841800"/>
      <w:r>
        <w:rPr>
          <w:rFonts w:hint="eastAsia" w:ascii="宋体" w:hAnsi="宋体" w:cs="宋体"/>
          <w:b/>
          <w:bCs/>
          <w:color w:val="auto"/>
          <w:sz w:val="32"/>
          <w:szCs w:val="32"/>
          <w:highlight w:val="none"/>
        </w:rPr>
        <w:t>9.环境标志方面的证书复印件（如有，请提供）</w:t>
      </w:r>
      <w:bookmarkEnd w:id="323"/>
      <w:bookmarkEnd w:id="324"/>
    </w:p>
    <w:p w14:paraId="099A47BB">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0C4D30AA">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75B3C09F">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25" w:name="_Toc6517"/>
      <w:bookmarkStart w:id="326" w:name="_Toc495841802"/>
      <w:r>
        <w:rPr>
          <w:rFonts w:hint="eastAsia" w:ascii="宋体" w:hAnsi="宋体" w:cs="宋体"/>
          <w:b/>
          <w:bCs/>
          <w:color w:val="auto"/>
          <w:sz w:val="32"/>
          <w:szCs w:val="32"/>
          <w:highlight w:val="none"/>
        </w:rPr>
        <w:t>10.</w:t>
      </w:r>
      <w:bookmarkEnd w:id="325"/>
      <w:bookmarkEnd w:id="326"/>
      <w:r>
        <w:rPr>
          <w:rFonts w:hint="eastAsia" w:ascii="宋体" w:hAnsi="宋体" w:cs="宋体"/>
          <w:b/>
          <w:bCs/>
          <w:color w:val="auto"/>
          <w:sz w:val="32"/>
          <w:szCs w:val="32"/>
          <w:highlight w:val="none"/>
        </w:rPr>
        <w:t>投标人202</w:t>
      </w:r>
      <w:r>
        <w:rPr>
          <w:rFonts w:hint="eastAsia" w:ascii="宋体" w:hAnsi="宋体" w:cs="宋体"/>
          <w:b/>
          <w:bCs/>
          <w:color w:val="auto"/>
          <w:sz w:val="32"/>
          <w:szCs w:val="32"/>
          <w:highlight w:val="none"/>
          <w:lang w:val="en-US" w:eastAsia="zh-CN"/>
        </w:rPr>
        <w:t>1</w:t>
      </w:r>
      <w:r>
        <w:rPr>
          <w:rFonts w:hint="eastAsia" w:ascii="宋体" w:hAnsi="宋体" w:cs="宋体"/>
          <w:b/>
          <w:bCs/>
          <w:color w:val="auto"/>
          <w:sz w:val="32"/>
          <w:szCs w:val="32"/>
          <w:highlight w:val="none"/>
        </w:rPr>
        <w:t>年以来具有同类产品的销售业绩的相关证明材料【无不良记录，以中标（成交）通知书或签订的销售合同复印件为准，并能清晰反映所销售的货物名称、种类、时间等内容】（具体以评分办法为准，如有，请提供）</w:t>
      </w:r>
      <w:bookmarkStart w:id="327" w:name="_Toc495841803"/>
      <w:bookmarkStart w:id="328" w:name="_Toc30520"/>
    </w:p>
    <w:p w14:paraId="559104E9">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11.投标人为生产厂家的，投标人的生产制造设备清单及专业技术能力说明（如有，请提供）</w:t>
      </w:r>
      <w:bookmarkEnd w:id="327"/>
      <w:bookmarkEnd w:id="328"/>
    </w:p>
    <w:p w14:paraId="7AAE7883">
      <w:pPr>
        <w:keepNext w:val="0"/>
        <w:keepLines w:val="0"/>
        <w:pageBreakBefore w:val="0"/>
        <w:kinsoku/>
        <w:wordWrap/>
        <w:overflowPunct/>
        <w:topLinePunct w:val="0"/>
        <w:bidi w:val="0"/>
        <w:spacing w:line="440" w:lineRule="exact"/>
        <w:ind w:firstLine="9638" w:firstLineChars="3000"/>
        <w:rPr>
          <w:rFonts w:ascii="宋体" w:hAnsi="宋体" w:cs="宋体"/>
          <w:b/>
          <w:bCs/>
          <w:color w:val="auto"/>
          <w:sz w:val="32"/>
          <w:szCs w:val="32"/>
          <w:highlight w:val="none"/>
        </w:rPr>
      </w:pPr>
      <w:bookmarkStart w:id="329" w:name="_Toc5317"/>
      <w:bookmarkStart w:id="330" w:name="_Toc495841804"/>
    </w:p>
    <w:p w14:paraId="32BD1B78">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12.投标人或所投产品生产厂家相关获奖证书、认证证书等复印件（如有，请提供）</w:t>
      </w:r>
      <w:bookmarkEnd w:id="329"/>
      <w:bookmarkEnd w:id="330"/>
    </w:p>
    <w:p w14:paraId="6067FE04">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4EE04591">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13.如所提供货物企业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如有，请提供）；</w:t>
      </w:r>
    </w:p>
    <w:p w14:paraId="032537B7">
      <w:pPr>
        <w:keepNext w:val="0"/>
        <w:keepLines w:val="0"/>
        <w:pageBreakBefore w:val="0"/>
        <w:kinsoku/>
        <w:wordWrap/>
        <w:overflowPunct/>
        <w:topLinePunct w:val="0"/>
        <w:bidi w:val="0"/>
        <w:spacing w:line="440" w:lineRule="exact"/>
        <w:rPr>
          <w:rFonts w:ascii="宋体" w:hAnsi="宋体" w:cs="宋体"/>
          <w:b/>
          <w:bCs/>
          <w:color w:val="auto"/>
          <w:sz w:val="28"/>
          <w:szCs w:val="28"/>
          <w:highlight w:val="none"/>
        </w:rPr>
      </w:pPr>
      <w:bookmarkStart w:id="331" w:name="_Toc24169_WPSOffice_Level1"/>
      <w:r>
        <w:rPr>
          <w:rFonts w:hint="eastAsia" w:ascii="宋体" w:hAnsi="宋体" w:cs="宋体"/>
          <w:b/>
          <w:bCs/>
          <w:color w:val="auto"/>
          <w:sz w:val="28"/>
          <w:szCs w:val="28"/>
          <w:highlight w:val="none"/>
        </w:rPr>
        <w:t>附件</w:t>
      </w:r>
      <w:bookmarkEnd w:id="331"/>
    </w:p>
    <w:p w14:paraId="083B18F9">
      <w:pPr>
        <w:pStyle w:val="127"/>
        <w:spacing w:after="0" w:line="400" w:lineRule="exact"/>
        <w:rPr>
          <w:b/>
          <w:sz w:val="24"/>
          <w:szCs w:val="24"/>
        </w:rPr>
      </w:pPr>
      <w:r>
        <w:rPr>
          <w:rFonts w:hint="eastAsia"/>
          <w:b/>
          <w:sz w:val="24"/>
          <w:szCs w:val="24"/>
        </w:rPr>
        <w:t>中小企业声明函(货物)</w:t>
      </w:r>
    </w:p>
    <w:p w14:paraId="51A3B17E">
      <w:pPr>
        <w:pStyle w:val="127"/>
        <w:spacing w:after="0" w:line="400" w:lineRule="exact"/>
        <w:rPr>
          <w:rFonts w:hint="eastAsia"/>
          <w:sz w:val="24"/>
          <w:szCs w:val="24"/>
        </w:rPr>
      </w:pPr>
    </w:p>
    <w:p w14:paraId="22E1971B">
      <w:pPr>
        <w:pStyle w:val="139"/>
        <w:spacing w:line="400" w:lineRule="exact"/>
        <w:ind w:firstLine="640"/>
        <w:jc w:val="both"/>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本公司（联合体）郑重声明，根据《政府采购促进中小企业发展管理办法》（财库〔2020〕46号）的规定，本公司 （联合体）参加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釆购活动,提供的货物全部由符合政策要求的中小企业制造。相关企业（含联合体中的中小企业、签订分包意向协议的中小企业）的具体情况如下</w:t>
      </w:r>
      <w:bookmarkStart w:id="332" w:name="bookmark1"/>
      <w:bookmarkEnd w:id="332"/>
      <w:r>
        <w:rPr>
          <w:rFonts w:hint="eastAsia" w:ascii="宋体" w:hAnsi="宋体" w:eastAsia="宋体" w:cs="宋体"/>
          <w:sz w:val="21"/>
          <w:szCs w:val="21"/>
        </w:rPr>
        <w:t>：</w:t>
      </w:r>
    </w:p>
    <w:p w14:paraId="76961CA7">
      <w:pPr>
        <w:pStyle w:val="139"/>
        <w:spacing w:line="400" w:lineRule="exact"/>
        <w:ind w:firstLine="64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工业行业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 xml:space="preserve">； </w:t>
      </w:r>
    </w:p>
    <w:p w14:paraId="664C23C6">
      <w:pPr>
        <w:pStyle w:val="139"/>
        <w:spacing w:line="400" w:lineRule="exact"/>
        <w:ind w:firstLine="640"/>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工业行业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 企业、微型企业）</w:t>
      </w:r>
      <w:r>
        <w:rPr>
          <w:rFonts w:hint="eastAsia" w:ascii="宋体" w:hAnsi="宋体" w:eastAsia="宋体" w:cs="宋体"/>
          <w:sz w:val="21"/>
          <w:szCs w:val="21"/>
        </w:rPr>
        <w:t>；</w:t>
      </w:r>
    </w:p>
    <w:p w14:paraId="4E4727AA">
      <w:pPr>
        <w:pStyle w:val="139"/>
        <w:spacing w:line="400" w:lineRule="exact"/>
        <w:ind w:firstLine="640"/>
        <w:jc w:val="both"/>
        <w:rPr>
          <w:rFonts w:hint="eastAsia" w:ascii="宋体" w:hAnsi="宋体" w:eastAsia="宋体" w:cs="宋体"/>
          <w:sz w:val="21"/>
          <w:szCs w:val="21"/>
        </w:rPr>
      </w:pPr>
      <w:r>
        <w:rPr>
          <w:rFonts w:hint="eastAsia" w:ascii="宋体" w:hAnsi="宋体" w:eastAsia="宋体" w:cs="宋体"/>
          <w:sz w:val="21"/>
          <w:szCs w:val="21"/>
        </w:rPr>
        <w:t>......</w:t>
      </w:r>
    </w:p>
    <w:p w14:paraId="01C88E45">
      <w:pPr>
        <w:pStyle w:val="139"/>
        <w:spacing w:line="400" w:lineRule="exact"/>
        <w:ind w:firstLine="640"/>
        <w:jc w:val="both"/>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7BECBCA3">
      <w:pPr>
        <w:pStyle w:val="139"/>
        <w:spacing w:after="40" w:line="400" w:lineRule="exact"/>
        <w:ind w:firstLine="640"/>
        <w:jc w:val="both"/>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0AE6C700">
      <w:pPr>
        <w:pStyle w:val="139"/>
        <w:spacing w:after="40" w:line="400" w:lineRule="exact"/>
        <w:ind w:firstLine="640"/>
        <w:jc w:val="both"/>
        <w:rPr>
          <w:rFonts w:hint="eastAsia" w:ascii="宋体" w:hAnsi="宋体" w:eastAsia="宋体" w:cs="宋体"/>
          <w:sz w:val="21"/>
          <w:szCs w:val="21"/>
          <w:lang w:eastAsia="zh-CN"/>
        </w:rPr>
      </w:pPr>
    </w:p>
    <w:p w14:paraId="37DFE741">
      <w:pPr>
        <w:jc w:val="center"/>
        <w:rPr>
          <w:rFonts w:hint="eastAsia" w:ascii="宋体" w:hAnsi="宋体" w:eastAsia="宋体" w:cs="宋体"/>
          <w:sz w:val="21"/>
          <w:szCs w:val="21"/>
          <w:u w:val="single"/>
        </w:rPr>
      </w:pPr>
      <w:r>
        <w:rPr>
          <w:rFonts w:hint="eastAsia" w:ascii="宋体" w:hAnsi="宋体" w:eastAsia="宋体" w:cs="宋体"/>
          <w:sz w:val="21"/>
          <w:szCs w:val="21"/>
        </w:rPr>
        <w:t>供应商名称[盖单位公章（CA签章）]：</w:t>
      </w:r>
      <w:r>
        <w:rPr>
          <w:rFonts w:hint="eastAsia" w:ascii="宋体" w:hAnsi="宋体" w:eastAsia="宋体" w:cs="宋体"/>
          <w:sz w:val="21"/>
          <w:szCs w:val="21"/>
          <w:u w:val="single"/>
        </w:rPr>
        <w:t xml:space="preserve">                                         </w:t>
      </w:r>
    </w:p>
    <w:p w14:paraId="1E4D2B9D">
      <w:pPr>
        <w:spacing w:line="360" w:lineRule="auto"/>
        <w:ind w:firstLine="2520" w:firstLineChars="1200"/>
        <w:outlineLvl w:val="1"/>
        <w:rPr>
          <w:rFonts w:hint="eastAsia" w:ascii="宋体" w:hAnsi="宋体" w:eastAsia="宋体" w:cs="宋体"/>
          <w:sz w:val="21"/>
          <w:szCs w:val="21"/>
        </w:rPr>
      </w:pPr>
    </w:p>
    <w:p w14:paraId="2F1F5A16">
      <w:pPr>
        <w:spacing w:line="360" w:lineRule="auto"/>
        <w:ind w:firstLine="2940" w:firstLineChars="1400"/>
        <w:outlineLvl w:val="1"/>
        <w:rPr>
          <w:rFonts w:hint="eastAsia" w:ascii="宋体" w:hAnsi="宋体" w:eastAsia="宋体" w:cs="宋体"/>
          <w:b/>
          <w:sz w:val="21"/>
          <w:szCs w:val="21"/>
        </w:rPr>
      </w:pPr>
      <w:r>
        <w:rPr>
          <w:rFonts w:hint="eastAsia" w:ascii="宋体" w:hAnsi="宋体" w:eastAsia="宋体" w:cs="宋体"/>
          <w:sz w:val="21"/>
          <w:szCs w:val="21"/>
        </w:rPr>
        <w:t xml:space="preserve">日  期： </w:t>
      </w:r>
    </w:p>
    <w:p w14:paraId="72CA3492">
      <w:pPr>
        <w:pStyle w:val="127"/>
        <w:keepNext w:val="0"/>
        <w:keepLines w:val="0"/>
        <w:pageBreakBefore w:val="0"/>
        <w:kinsoku/>
        <w:wordWrap/>
        <w:overflowPunct/>
        <w:topLinePunct w:val="0"/>
        <w:bidi w:val="0"/>
        <w:spacing w:after="0" w:line="440" w:lineRule="exact"/>
        <w:rPr>
          <w:color w:val="auto"/>
          <w:sz w:val="21"/>
          <w:szCs w:val="21"/>
          <w:highlight w:val="none"/>
        </w:rPr>
      </w:pPr>
    </w:p>
    <w:p w14:paraId="2DBF6AA5">
      <w:pPr>
        <w:pStyle w:val="127"/>
        <w:keepNext w:val="0"/>
        <w:keepLines w:val="0"/>
        <w:pageBreakBefore w:val="0"/>
        <w:kinsoku/>
        <w:wordWrap/>
        <w:overflowPunct/>
        <w:topLinePunct w:val="0"/>
        <w:bidi w:val="0"/>
        <w:adjustRightInd w:val="0"/>
        <w:snapToGrid w:val="0"/>
        <w:spacing w:after="0" w:line="440" w:lineRule="exact"/>
        <w:jc w:val="left"/>
        <w:rPr>
          <w:b/>
          <w:color w:val="auto"/>
          <w:sz w:val="21"/>
          <w:szCs w:val="21"/>
          <w:highlight w:val="none"/>
        </w:rPr>
      </w:pPr>
      <w:r>
        <w:rPr>
          <w:rFonts w:hint="eastAsia"/>
          <w:b/>
          <w:color w:val="auto"/>
          <w:sz w:val="21"/>
          <w:szCs w:val="21"/>
          <w:highlight w:val="none"/>
        </w:rPr>
        <w:t>备注：</w:t>
      </w:r>
    </w:p>
    <w:p w14:paraId="250282C3">
      <w:pPr>
        <w:pStyle w:val="127"/>
        <w:keepNext w:val="0"/>
        <w:keepLines w:val="0"/>
        <w:pageBreakBefore w:val="0"/>
        <w:numPr>
          <w:ilvl w:val="0"/>
          <w:numId w:val="4"/>
        </w:numPr>
        <w:kinsoku/>
        <w:wordWrap/>
        <w:overflowPunct/>
        <w:topLinePunct w:val="0"/>
        <w:bidi w:val="0"/>
        <w:adjustRightInd w:val="0"/>
        <w:snapToGrid w:val="0"/>
        <w:spacing w:after="0" w:line="440" w:lineRule="exact"/>
        <w:jc w:val="left"/>
        <w:rPr>
          <w:b/>
          <w:color w:val="auto"/>
          <w:sz w:val="21"/>
          <w:szCs w:val="21"/>
          <w:highlight w:val="none"/>
        </w:rPr>
      </w:pPr>
      <w:r>
        <w:rPr>
          <w:rFonts w:hint="eastAsia"/>
          <w:b/>
          <w:color w:val="auto"/>
          <w:sz w:val="21"/>
          <w:szCs w:val="21"/>
          <w:highlight w:val="none"/>
        </w:rPr>
        <w:t>从业人员、营业收入、资产总额填报上一年度数据，无上一年度数据的新成立企业可不填报。</w:t>
      </w:r>
    </w:p>
    <w:p w14:paraId="1765F0C2">
      <w:pPr>
        <w:pStyle w:val="127"/>
        <w:keepNext w:val="0"/>
        <w:keepLines w:val="0"/>
        <w:pageBreakBefore w:val="0"/>
        <w:kinsoku/>
        <w:wordWrap/>
        <w:overflowPunct/>
        <w:topLinePunct w:val="0"/>
        <w:bidi w:val="0"/>
        <w:adjustRightInd w:val="0"/>
        <w:snapToGrid w:val="0"/>
        <w:spacing w:after="0" w:line="440" w:lineRule="exact"/>
        <w:jc w:val="left"/>
        <w:rPr>
          <w:color w:val="auto"/>
          <w:sz w:val="24"/>
          <w:szCs w:val="24"/>
          <w:highlight w:val="none"/>
        </w:rPr>
      </w:pPr>
      <w:r>
        <w:rPr>
          <w:b/>
          <w:bCs/>
          <w:color w:val="auto"/>
          <w:sz w:val="24"/>
          <w:szCs w:val="24"/>
          <w:highlight w:val="none"/>
        </w:rPr>
        <w:br w:type="page"/>
      </w:r>
    </w:p>
    <w:p w14:paraId="22685A27">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33" w:name="_Toc26450"/>
      <w:r>
        <w:rPr>
          <w:rFonts w:hint="eastAsia" w:ascii="宋体" w:hAnsi="宋体" w:cs="宋体"/>
          <w:b/>
          <w:bCs/>
          <w:color w:val="auto"/>
          <w:sz w:val="32"/>
          <w:szCs w:val="32"/>
          <w:highlight w:val="none"/>
        </w:rPr>
        <w:t>14.如产品属于监狱企业的，以提供由省级以上监狱管理局、戒毒管理局（含新疆生产建设兵团）出具的属于监狱企业的证明文件为准（如有，请提供）；</w:t>
      </w:r>
      <w:bookmarkEnd w:id="333"/>
    </w:p>
    <w:p w14:paraId="14FC908A">
      <w:pPr>
        <w:pStyle w:val="49"/>
        <w:keepNext w:val="0"/>
        <w:keepLines w:val="0"/>
        <w:pageBreakBefore w:val="0"/>
        <w:kinsoku/>
        <w:wordWrap/>
        <w:overflowPunct/>
        <w:topLinePunct w:val="0"/>
        <w:bidi w:val="0"/>
        <w:spacing w:line="440" w:lineRule="exact"/>
        <w:rPr>
          <w:color w:val="auto"/>
          <w:highlight w:val="none"/>
        </w:rPr>
      </w:pPr>
    </w:p>
    <w:p w14:paraId="49ED6A0C">
      <w:pPr>
        <w:pStyle w:val="49"/>
        <w:keepNext w:val="0"/>
        <w:keepLines w:val="0"/>
        <w:pageBreakBefore w:val="0"/>
        <w:kinsoku/>
        <w:wordWrap/>
        <w:overflowPunct/>
        <w:topLinePunct w:val="0"/>
        <w:bidi w:val="0"/>
        <w:spacing w:line="440" w:lineRule="exact"/>
        <w:rPr>
          <w:color w:val="auto"/>
          <w:highlight w:val="none"/>
        </w:rPr>
      </w:pPr>
    </w:p>
    <w:p w14:paraId="26EABC2D">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34" w:name="_Toc17129"/>
      <w:r>
        <w:rPr>
          <w:rFonts w:hint="eastAsia" w:ascii="宋体" w:hAnsi="宋体" w:cs="宋体"/>
          <w:b/>
          <w:bCs/>
          <w:color w:val="auto"/>
          <w:sz w:val="32"/>
          <w:szCs w:val="32"/>
          <w:highlight w:val="none"/>
        </w:rPr>
        <w:t>15.符合条件的残疾人福利性单位在参加政府采购活动时，应当提供《残疾人福利性单位声明函》（见附件），并对声明的真实性负责</w:t>
      </w:r>
      <w:bookmarkEnd w:id="334"/>
      <w:r>
        <w:rPr>
          <w:rFonts w:hint="eastAsia" w:ascii="宋体" w:hAnsi="宋体" w:cs="宋体"/>
          <w:b/>
          <w:bCs/>
          <w:color w:val="auto"/>
          <w:sz w:val="32"/>
          <w:szCs w:val="32"/>
          <w:highlight w:val="none"/>
        </w:rPr>
        <w:t>；</w:t>
      </w:r>
    </w:p>
    <w:p w14:paraId="22333AD5">
      <w:pPr>
        <w:keepNext w:val="0"/>
        <w:keepLines w:val="0"/>
        <w:pageBreakBefore w:val="0"/>
        <w:kinsoku/>
        <w:wordWrap/>
        <w:overflowPunct/>
        <w:topLinePunct w:val="0"/>
        <w:bidi w:val="0"/>
        <w:spacing w:line="440" w:lineRule="exact"/>
        <w:rPr>
          <w:rFonts w:ascii="宋体" w:hAnsi="宋体" w:cs="宋体"/>
          <w:b/>
          <w:bCs/>
          <w:color w:val="auto"/>
          <w:sz w:val="28"/>
          <w:szCs w:val="28"/>
          <w:highlight w:val="none"/>
        </w:rPr>
      </w:pPr>
      <w:r>
        <w:rPr>
          <w:rFonts w:ascii="宋体" w:hAnsi="宋体" w:cs="宋体"/>
          <w:b/>
          <w:bCs/>
          <w:color w:val="auto"/>
          <w:sz w:val="28"/>
          <w:szCs w:val="28"/>
          <w:highlight w:val="none"/>
        </w:rPr>
        <w:t>附件</w:t>
      </w:r>
      <w:r>
        <w:rPr>
          <w:rFonts w:hint="eastAsia" w:ascii="宋体" w:hAnsi="宋体" w:cs="宋体"/>
          <w:b/>
          <w:bCs/>
          <w:color w:val="auto"/>
          <w:sz w:val="28"/>
          <w:szCs w:val="28"/>
          <w:highlight w:val="none"/>
        </w:rPr>
        <w:t>：</w:t>
      </w:r>
    </w:p>
    <w:p w14:paraId="1BEB672D">
      <w:pPr>
        <w:keepNext w:val="0"/>
        <w:keepLines w:val="0"/>
        <w:pageBreakBefore w:val="0"/>
        <w:kinsoku/>
        <w:wordWrap/>
        <w:overflowPunct/>
        <w:topLinePunct w:val="0"/>
        <w:bidi w:val="0"/>
        <w:spacing w:line="440" w:lineRule="exact"/>
        <w:jc w:val="center"/>
        <w:rPr>
          <w:rFonts w:ascii="宋体" w:hAnsi="宋体" w:cs="宋体"/>
          <w:b/>
          <w:color w:val="auto"/>
          <w:spacing w:val="6"/>
          <w:sz w:val="24"/>
          <w:highlight w:val="none"/>
        </w:rPr>
      </w:pPr>
      <w:r>
        <w:rPr>
          <w:rFonts w:hint="eastAsia" w:ascii="宋体" w:hAnsi="宋体" w:cs="宋体"/>
          <w:b/>
          <w:color w:val="auto"/>
          <w:spacing w:val="6"/>
          <w:sz w:val="24"/>
          <w:highlight w:val="none"/>
        </w:rPr>
        <w:t>残疾人福利性单位声明函</w:t>
      </w:r>
    </w:p>
    <w:p w14:paraId="6918D83F">
      <w:pPr>
        <w:keepNext w:val="0"/>
        <w:keepLines w:val="0"/>
        <w:pageBreakBefore w:val="0"/>
        <w:kinsoku/>
        <w:wordWrap/>
        <w:overflowPunct/>
        <w:topLinePunct w:val="0"/>
        <w:bidi w:val="0"/>
        <w:spacing w:line="44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F1B53E">
      <w:pPr>
        <w:keepNext w:val="0"/>
        <w:keepLines w:val="0"/>
        <w:pageBreakBefore w:val="0"/>
        <w:kinsoku/>
        <w:wordWrap/>
        <w:overflowPunct/>
        <w:topLinePunct w:val="0"/>
        <w:bidi w:val="0"/>
        <w:spacing w:line="44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12E6E5EF">
      <w:pPr>
        <w:keepNext w:val="0"/>
        <w:keepLines w:val="0"/>
        <w:pageBreakBefore w:val="0"/>
        <w:kinsoku/>
        <w:wordWrap/>
        <w:overflowPunct/>
        <w:topLinePunct w:val="0"/>
        <w:bidi w:val="0"/>
        <w:spacing w:line="440" w:lineRule="exact"/>
        <w:rPr>
          <w:rFonts w:ascii="宋体" w:hAnsi="宋体" w:cs="宋体"/>
          <w:color w:val="auto"/>
          <w:spacing w:val="6"/>
          <w:szCs w:val="21"/>
          <w:highlight w:val="none"/>
        </w:rPr>
      </w:pPr>
    </w:p>
    <w:p w14:paraId="0268FBCB">
      <w:pPr>
        <w:keepNext w:val="0"/>
        <w:keepLines w:val="0"/>
        <w:pageBreakBefore w:val="0"/>
        <w:kinsoku/>
        <w:wordWrap/>
        <w:overflowPunct/>
        <w:topLinePunct w:val="0"/>
        <w:bidi w:val="0"/>
        <w:spacing w:line="440" w:lineRule="exact"/>
        <w:ind w:firstLine="444" w:firstLineChars="200"/>
        <w:rPr>
          <w:rFonts w:ascii="宋体" w:hAnsi="宋体" w:cs="宋体"/>
          <w:color w:val="auto"/>
          <w:spacing w:val="6"/>
          <w:szCs w:val="21"/>
          <w:highlight w:val="none"/>
        </w:rPr>
      </w:pPr>
    </w:p>
    <w:p w14:paraId="3B6BD89D">
      <w:pPr>
        <w:keepNext w:val="0"/>
        <w:keepLines w:val="0"/>
        <w:pageBreakBefore w:val="0"/>
        <w:tabs>
          <w:tab w:val="left" w:pos="4860"/>
        </w:tabs>
        <w:kinsoku/>
        <w:wordWrap/>
        <w:overflowPunct/>
        <w:topLinePunct w:val="0"/>
        <w:bidi w:val="0"/>
        <w:spacing w:line="440" w:lineRule="exact"/>
        <w:ind w:right="1560" w:firstLine="444" w:firstLineChars="200"/>
        <w:jc w:val="center"/>
        <w:rPr>
          <w:rFonts w:ascii="宋体" w:hAnsi="宋体" w:cs="宋体"/>
          <w:color w:val="auto"/>
          <w:spacing w:val="6"/>
          <w:szCs w:val="21"/>
          <w:highlight w:val="none"/>
        </w:rPr>
      </w:pPr>
      <w:r>
        <w:rPr>
          <w:rFonts w:hint="eastAsia" w:ascii="宋体" w:hAnsi="宋体" w:cs="宋体"/>
          <w:color w:val="auto"/>
          <w:spacing w:val="6"/>
          <w:szCs w:val="21"/>
          <w:highlight w:val="none"/>
        </w:rPr>
        <w:t xml:space="preserve">       单位名称[盖公章(CA签章)]：</w:t>
      </w:r>
    </w:p>
    <w:p w14:paraId="146FCBD0">
      <w:pPr>
        <w:keepNext w:val="0"/>
        <w:keepLines w:val="0"/>
        <w:pageBreakBefore w:val="0"/>
        <w:tabs>
          <w:tab w:val="left" w:pos="4860"/>
        </w:tabs>
        <w:kinsoku/>
        <w:wordWrap/>
        <w:overflowPunct/>
        <w:topLinePunct w:val="0"/>
        <w:bidi w:val="0"/>
        <w:spacing w:line="440" w:lineRule="exact"/>
        <w:ind w:right="1560" w:firstLine="444" w:firstLineChars="200"/>
        <w:jc w:val="center"/>
        <w:rPr>
          <w:rFonts w:ascii="宋体" w:hAnsi="宋体" w:cs="宋体"/>
          <w:b/>
          <w:bCs/>
          <w:color w:val="auto"/>
          <w:szCs w:val="21"/>
          <w:highlight w:val="none"/>
        </w:rPr>
      </w:pPr>
      <w:r>
        <w:rPr>
          <w:rFonts w:hint="eastAsia" w:ascii="宋体" w:hAnsi="宋体" w:cs="宋体"/>
          <w:color w:val="auto"/>
          <w:spacing w:val="6"/>
          <w:szCs w:val="21"/>
          <w:highlight w:val="none"/>
        </w:rPr>
        <w:t xml:space="preserve">                         日  期：</w:t>
      </w:r>
    </w:p>
    <w:p w14:paraId="0639575D">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p>
    <w:p w14:paraId="49D0B984">
      <w:pPr>
        <w:keepNext w:val="0"/>
        <w:keepLines w:val="0"/>
        <w:pageBreakBefore w:val="0"/>
        <w:kinsoku/>
        <w:wordWrap/>
        <w:overflowPunct/>
        <w:topLinePunct w:val="0"/>
        <w:bidi w:val="0"/>
        <w:spacing w:line="440" w:lineRule="exact"/>
        <w:rPr>
          <w:rFonts w:ascii="宋体" w:hAnsi="宋体" w:cs="宋体"/>
          <w:b/>
          <w:bCs/>
          <w:color w:val="auto"/>
          <w:sz w:val="32"/>
          <w:szCs w:val="32"/>
          <w:highlight w:val="none"/>
        </w:rPr>
      </w:pPr>
      <w:bookmarkStart w:id="335" w:name="_Toc495841807"/>
      <w:bookmarkStart w:id="336" w:name="_Toc14735"/>
      <w:r>
        <w:rPr>
          <w:rFonts w:hint="eastAsia" w:ascii="宋体" w:hAnsi="宋体" w:cs="宋体"/>
          <w:b/>
          <w:bCs/>
          <w:color w:val="auto"/>
          <w:sz w:val="32"/>
          <w:szCs w:val="32"/>
          <w:highlight w:val="none"/>
        </w:rPr>
        <w:t>16.投标人可结合本项目的评标办法视自身情况自行提交相关证明材料（如有，请提供）</w:t>
      </w:r>
      <w:bookmarkEnd w:id="335"/>
      <w:bookmarkEnd w:id="336"/>
      <w:r>
        <w:rPr>
          <w:rFonts w:hint="eastAsia" w:ascii="宋体" w:hAnsi="宋体" w:cs="宋体"/>
          <w:b/>
          <w:bCs/>
          <w:color w:val="auto"/>
          <w:sz w:val="32"/>
          <w:szCs w:val="32"/>
          <w:highlight w:val="none"/>
        </w:rPr>
        <w:t>。</w:t>
      </w:r>
    </w:p>
    <w:p w14:paraId="08A854C8">
      <w:pPr>
        <w:pStyle w:val="49"/>
        <w:keepNext w:val="0"/>
        <w:keepLines w:val="0"/>
        <w:pageBreakBefore w:val="0"/>
        <w:kinsoku/>
        <w:wordWrap/>
        <w:overflowPunct/>
        <w:topLinePunct w:val="0"/>
        <w:bidi w:val="0"/>
        <w:spacing w:line="440" w:lineRule="exact"/>
        <w:rPr>
          <w:color w:val="auto"/>
          <w:highlight w:val="none"/>
        </w:rPr>
      </w:pPr>
    </w:p>
    <w:p w14:paraId="02C9277E">
      <w:pPr>
        <w:keepNext w:val="0"/>
        <w:keepLines w:val="0"/>
        <w:pageBreakBefore w:val="0"/>
        <w:widowControl/>
        <w:kinsoku/>
        <w:wordWrap/>
        <w:overflowPunct/>
        <w:topLinePunct w:val="0"/>
        <w:bidi w:val="0"/>
        <w:spacing w:line="440" w:lineRule="exact"/>
        <w:jc w:val="left"/>
        <w:rPr>
          <w:color w:val="auto"/>
          <w:highlight w:val="none"/>
        </w:rPr>
      </w:pPr>
      <w:r>
        <w:rPr>
          <w:color w:val="auto"/>
          <w:highlight w:val="none"/>
        </w:rPr>
        <w:br w:type="page"/>
      </w:r>
    </w:p>
    <w:p w14:paraId="526100B6">
      <w:pPr>
        <w:pStyle w:val="17"/>
        <w:keepNext w:val="0"/>
        <w:keepLines w:val="0"/>
        <w:pageBreakBefore w:val="0"/>
        <w:kinsoku/>
        <w:wordWrap/>
        <w:overflowPunct/>
        <w:topLinePunct w:val="0"/>
        <w:bidi w:val="0"/>
        <w:snapToGrid w:val="0"/>
        <w:spacing w:line="440" w:lineRule="exact"/>
        <w:rPr>
          <w:rFonts w:hAnsi="宋体"/>
          <w:b/>
          <w:color w:val="auto"/>
          <w:sz w:val="24"/>
          <w:szCs w:val="24"/>
          <w:highlight w:val="none"/>
        </w:rPr>
      </w:pPr>
      <w:r>
        <w:rPr>
          <w:rFonts w:hint="eastAsia" w:hAnsi="宋体"/>
          <w:b/>
          <w:color w:val="auto"/>
          <w:sz w:val="24"/>
          <w:szCs w:val="24"/>
          <w:highlight w:val="none"/>
        </w:rPr>
        <w:t>附表1：</w:t>
      </w:r>
    </w:p>
    <w:p w14:paraId="530A80B4">
      <w:pPr>
        <w:keepNext w:val="0"/>
        <w:keepLines w:val="0"/>
        <w:pageBreakBefore w:val="0"/>
        <w:kinsoku/>
        <w:wordWrap/>
        <w:overflowPunct/>
        <w:topLinePunct w:val="0"/>
        <w:bidi w:val="0"/>
        <w:spacing w:line="440" w:lineRule="exact"/>
        <w:jc w:val="center"/>
        <w:rPr>
          <w:rFonts w:ascii="宋体" w:hAnsi="宋体"/>
          <w:color w:val="auto"/>
          <w:sz w:val="44"/>
          <w:highlight w:val="none"/>
        </w:rPr>
      </w:pPr>
      <w:r>
        <w:rPr>
          <w:rFonts w:hint="eastAsia" w:ascii="宋体" w:hAnsi="宋体"/>
          <w:color w:val="auto"/>
          <w:sz w:val="44"/>
          <w:highlight w:val="none"/>
        </w:rPr>
        <w:t>质疑函（格式）</w:t>
      </w:r>
    </w:p>
    <w:p w14:paraId="5F258C1B">
      <w:pPr>
        <w:pStyle w:val="17"/>
        <w:keepNext w:val="0"/>
        <w:keepLines w:val="0"/>
        <w:pageBreakBefore w:val="0"/>
        <w:kinsoku/>
        <w:wordWrap/>
        <w:overflowPunct/>
        <w:topLinePunct w:val="0"/>
        <w:bidi w:val="0"/>
        <w:snapToGrid w:val="0"/>
        <w:spacing w:line="44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1E6521AB">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int="eastAsia" w:hAnsi="宋体"/>
          <w:bCs/>
          <w:color w:val="auto"/>
          <w:highlight w:val="none"/>
        </w:rPr>
        <w:t>质疑供应商：</w:t>
      </w:r>
      <w:r>
        <w:rPr>
          <w:rFonts w:hAnsi="宋体"/>
          <w:bCs/>
          <w:color w:val="auto"/>
          <w:highlight w:val="none"/>
          <w:u w:val="single"/>
        </w:rPr>
        <w:t>    </w:t>
      </w:r>
    </w:p>
    <w:p w14:paraId="44CCF917">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Ansi="宋体"/>
          <w:bCs/>
          <w:color w:val="auto"/>
          <w:highlight w:val="none"/>
        </w:rPr>
        <w:t>邮编</w:t>
      </w:r>
      <w:r>
        <w:rPr>
          <w:rFonts w:hint="eastAsia" w:hAnsi="宋体"/>
          <w:bCs/>
          <w:color w:val="auto"/>
          <w:highlight w:val="none"/>
        </w:rPr>
        <w:t>：</w:t>
      </w:r>
      <w:r>
        <w:rPr>
          <w:rFonts w:hAnsi="宋体"/>
          <w:bCs/>
          <w:color w:val="auto"/>
          <w:highlight w:val="none"/>
          <w:u w:val="single"/>
        </w:rPr>
        <w:t>  </w:t>
      </w:r>
    </w:p>
    <w:p w14:paraId="7869B027">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Ansi="宋体"/>
          <w:bCs/>
          <w:color w:val="auto"/>
          <w:highlight w:val="none"/>
        </w:rPr>
        <w:t>联系人</w:t>
      </w:r>
      <w:r>
        <w:rPr>
          <w:rFonts w:hint="eastAsia" w:hAnsi="宋体"/>
          <w:bCs/>
          <w:color w:val="auto"/>
          <w:highlight w:val="none"/>
        </w:rPr>
        <w:t>：</w:t>
      </w:r>
      <w:r>
        <w:rPr>
          <w:rFonts w:hAnsi="宋体"/>
          <w:bCs/>
          <w:color w:val="auto"/>
          <w:highlight w:val="none"/>
        </w:rPr>
        <w:t>联系电话</w:t>
      </w:r>
      <w:r>
        <w:rPr>
          <w:rFonts w:hint="eastAsia" w:hAnsi="宋体"/>
          <w:bCs/>
          <w:color w:val="auto"/>
          <w:highlight w:val="none"/>
        </w:rPr>
        <w:t>：</w:t>
      </w:r>
      <w:r>
        <w:rPr>
          <w:rFonts w:hAnsi="宋体"/>
          <w:bCs/>
          <w:color w:val="auto"/>
          <w:highlight w:val="none"/>
          <w:u w:val="single"/>
        </w:rPr>
        <w:t>  </w:t>
      </w:r>
    </w:p>
    <w:p w14:paraId="2B20311E">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int="eastAsia" w:hAnsi="宋体"/>
          <w:bCs/>
          <w:color w:val="auto"/>
          <w:highlight w:val="none"/>
        </w:rPr>
        <w:t>授权代表：</w:t>
      </w:r>
      <w:r>
        <w:rPr>
          <w:rFonts w:hAnsi="宋体"/>
          <w:bCs/>
          <w:color w:val="auto"/>
          <w:highlight w:val="none"/>
          <w:u w:val="single"/>
        </w:rPr>
        <w:t>      </w:t>
      </w:r>
      <w:r>
        <w:rPr>
          <w:rFonts w:hAnsi="宋体"/>
          <w:bCs/>
          <w:color w:val="auto"/>
          <w:highlight w:val="none"/>
        </w:rPr>
        <w:t>       联系</w:t>
      </w:r>
      <w:r>
        <w:rPr>
          <w:rFonts w:hint="eastAsia" w:hAnsi="宋体"/>
          <w:bCs/>
          <w:color w:val="auto"/>
          <w:highlight w:val="none"/>
        </w:rPr>
        <w:t>电话：</w:t>
      </w:r>
      <w:r>
        <w:rPr>
          <w:rFonts w:hAnsi="宋体"/>
          <w:bCs/>
          <w:color w:val="auto"/>
          <w:highlight w:val="none"/>
          <w:u w:val="single"/>
        </w:rPr>
        <w:t>  </w:t>
      </w:r>
    </w:p>
    <w:p w14:paraId="2280C50F">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Ansi="宋体"/>
          <w:bCs/>
          <w:color w:val="auto"/>
          <w:highlight w:val="none"/>
        </w:rPr>
        <w:t>邮编</w:t>
      </w:r>
      <w:r>
        <w:rPr>
          <w:rFonts w:hint="eastAsia" w:hAnsi="宋体"/>
          <w:bCs/>
          <w:color w:val="auto"/>
          <w:highlight w:val="none"/>
        </w:rPr>
        <w:t>：</w:t>
      </w:r>
      <w:r>
        <w:rPr>
          <w:rFonts w:hAnsi="宋体"/>
          <w:bCs/>
          <w:color w:val="auto"/>
          <w:highlight w:val="none"/>
          <w:u w:val="single"/>
        </w:rPr>
        <w:t>  </w:t>
      </w:r>
    </w:p>
    <w:p w14:paraId="3A77E2F8">
      <w:pPr>
        <w:pStyle w:val="17"/>
        <w:keepNext w:val="0"/>
        <w:keepLines w:val="0"/>
        <w:pageBreakBefore w:val="0"/>
        <w:kinsoku/>
        <w:wordWrap/>
        <w:overflowPunct/>
        <w:topLinePunct w:val="0"/>
        <w:bidi w:val="0"/>
        <w:snapToGrid w:val="0"/>
        <w:spacing w:line="440" w:lineRule="exact"/>
        <w:ind w:firstLine="422" w:firstLineChars="200"/>
        <w:rPr>
          <w:rFonts w:hAnsi="宋体"/>
          <w:b/>
          <w:bCs/>
          <w:color w:val="auto"/>
          <w:highlight w:val="none"/>
        </w:rPr>
      </w:pPr>
      <w:r>
        <w:rPr>
          <w:rFonts w:hint="eastAsia" w:hAnsi="宋体"/>
          <w:b/>
          <w:bCs/>
          <w:color w:val="auto"/>
          <w:highlight w:val="none"/>
        </w:rPr>
        <w:t xml:space="preserve">二、质疑项目基本情况： </w:t>
      </w:r>
    </w:p>
    <w:p w14:paraId="1E60412F">
      <w:pPr>
        <w:pStyle w:val="17"/>
        <w:keepNext w:val="0"/>
        <w:keepLines w:val="0"/>
        <w:pageBreakBefore w:val="0"/>
        <w:kinsoku/>
        <w:wordWrap/>
        <w:overflowPunct/>
        <w:topLinePunct w:val="0"/>
        <w:bidi w:val="0"/>
        <w:spacing w:line="440" w:lineRule="exact"/>
        <w:ind w:left="25" w:leftChars="12" w:firstLine="413" w:firstLineChars="197"/>
        <w:rPr>
          <w:rFonts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Ansi="宋体"/>
          <w:bCs/>
          <w:color w:val="auto"/>
          <w:highlight w:val="none"/>
          <w:u w:val="single"/>
        </w:rPr>
        <w:t>               </w:t>
      </w:r>
    </w:p>
    <w:p w14:paraId="39DAABAD">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bCs/>
          <w:color w:val="auto"/>
          <w:highlight w:val="none"/>
        </w:rPr>
        <w:t>质疑</w:t>
      </w:r>
      <w:r>
        <w:rPr>
          <w:rFonts w:hint="eastAsia" w:hAnsi="宋体"/>
          <w:color w:val="auto"/>
          <w:szCs w:val="21"/>
          <w:highlight w:val="none"/>
        </w:rPr>
        <w:t>项目的编号：</w:t>
      </w:r>
      <w:r>
        <w:rPr>
          <w:rFonts w:hAnsi="宋体"/>
          <w:bCs/>
          <w:color w:val="auto"/>
          <w:highlight w:val="none"/>
          <w:u w:val="single"/>
        </w:rPr>
        <w:t>  </w:t>
      </w:r>
    </w:p>
    <w:p w14:paraId="0BFF934C">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color w:val="auto"/>
          <w:szCs w:val="21"/>
          <w:highlight w:val="none"/>
        </w:rPr>
        <w:t>采购人名称：</w:t>
      </w:r>
      <w:r>
        <w:rPr>
          <w:rFonts w:hAnsi="宋体"/>
          <w:bCs/>
          <w:color w:val="auto"/>
          <w:highlight w:val="none"/>
          <w:u w:val="single"/>
        </w:rPr>
        <w:t>    </w:t>
      </w:r>
    </w:p>
    <w:p w14:paraId="309DE237">
      <w:pPr>
        <w:pStyle w:val="17"/>
        <w:keepNext w:val="0"/>
        <w:keepLines w:val="0"/>
        <w:pageBreakBefore w:val="0"/>
        <w:kinsoku/>
        <w:wordWrap/>
        <w:overflowPunct/>
        <w:topLinePunct w:val="0"/>
        <w:bidi w:val="0"/>
        <w:spacing w:line="440" w:lineRule="exact"/>
        <w:ind w:left="25" w:leftChars="12" w:firstLine="413" w:firstLineChars="197"/>
        <w:rPr>
          <w:rFonts w:hAnsi="宋体"/>
          <w:color w:val="auto"/>
          <w:szCs w:val="21"/>
          <w:highlight w:val="none"/>
        </w:rPr>
      </w:pPr>
      <w:r>
        <w:rPr>
          <w:rFonts w:hint="eastAsia" w:hAnsi="宋体"/>
          <w:color w:val="auto"/>
          <w:szCs w:val="21"/>
          <w:highlight w:val="none"/>
        </w:rPr>
        <w:t>质疑事项：</w:t>
      </w:r>
    </w:p>
    <w:p w14:paraId="5B9B3FDF">
      <w:pPr>
        <w:pStyle w:val="17"/>
        <w:keepNext w:val="0"/>
        <w:keepLines w:val="0"/>
        <w:pageBreakBefore w:val="0"/>
        <w:kinsoku/>
        <w:wordWrap/>
        <w:overflowPunct/>
        <w:topLinePunct w:val="0"/>
        <w:bidi w:val="0"/>
        <w:spacing w:line="440" w:lineRule="exact"/>
        <w:ind w:left="25" w:leftChars="12" w:firstLine="441" w:firstLineChars="147"/>
        <w:rPr>
          <w:rFonts w:hAnsi="宋体"/>
          <w:bCs/>
          <w:color w:val="auto"/>
          <w:highlight w:val="none"/>
          <w:u w:val="single"/>
        </w:rPr>
      </w:pPr>
      <w:r>
        <w:rPr>
          <w:rFonts w:hint="eastAsia" w:hAnsi="宋体"/>
          <w:color w:val="auto"/>
          <w:sz w:val="30"/>
          <w:szCs w:val="30"/>
          <w:highlight w:val="none"/>
        </w:rPr>
        <w:t>□</w:t>
      </w:r>
      <w:r>
        <w:rPr>
          <w:rFonts w:hint="eastAsia" w:hAnsi="宋体"/>
          <w:color w:val="auto"/>
          <w:szCs w:val="21"/>
          <w:highlight w:val="none"/>
        </w:rPr>
        <w:t>谈判文件   采购文件获取日期：</w:t>
      </w:r>
      <w:r>
        <w:rPr>
          <w:rFonts w:hAnsi="宋体"/>
          <w:bCs/>
          <w:color w:val="auto"/>
          <w:highlight w:val="none"/>
          <w:u w:val="single"/>
        </w:rPr>
        <w:t>    </w:t>
      </w:r>
    </w:p>
    <w:p w14:paraId="2B4731A8">
      <w:pPr>
        <w:pStyle w:val="17"/>
        <w:keepNext w:val="0"/>
        <w:keepLines w:val="0"/>
        <w:pageBreakBefore w:val="0"/>
        <w:kinsoku/>
        <w:wordWrap/>
        <w:overflowPunct/>
        <w:topLinePunct w:val="0"/>
        <w:bidi w:val="0"/>
        <w:spacing w:line="440" w:lineRule="exact"/>
        <w:ind w:left="25" w:leftChars="12" w:firstLine="441" w:firstLineChars="147"/>
        <w:rPr>
          <w:rFonts w:hAnsi="宋体"/>
          <w:color w:val="auto"/>
          <w:szCs w:val="21"/>
          <w:highlight w:val="none"/>
        </w:rPr>
      </w:pPr>
      <w:r>
        <w:rPr>
          <w:rFonts w:hint="eastAsia" w:hAnsi="宋体"/>
          <w:color w:val="auto"/>
          <w:sz w:val="30"/>
          <w:szCs w:val="30"/>
          <w:highlight w:val="none"/>
        </w:rPr>
        <w:t>□</w:t>
      </w:r>
      <w:r>
        <w:rPr>
          <w:rFonts w:hint="eastAsia" w:hAnsi="宋体"/>
          <w:color w:val="auto"/>
          <w:szCs w:val="21"/>
          <w:highlight w:val="none"/>
        </w:rPr>
        <w:t xml:space="preserve">采购过程   </w:t>
      </w:r>
    </w:p>
    <w:p w14:paraId="4D744A85">
      <w:pPr>
        <w:pStyle w:val="17"/>
        <w:keepNext w:val="0"/>
        <w:keepLines w:val="0"/>
        <w:pageBreakBefore w:val="0"/>
        <w:kinsoku/>
        <w:wordWrap/>
        <w:overflowPunct/>
        <w:topLinePunct w:val="0"/>
        <w:bidi w:val="0"/>
        <w:spacing w:line="440" w:lineRule="exact"/>
        <w:ind w:left="25" w:leftChars="12" w:firstLine="441" w:firstLineChars="147"/>
        <w:rPr>
          <w:rFonts w:hAnsi="宋体"/>
          <w:bCs/>
          <w:color w:val="auto"/>
          <w:highlight w:val="none"/>
          <w:u w:val="single"/>
        </w:rPr>
      </w:pPr>
      <w:r>
        <w:rPr>
          <w:rFonts w:hint="eastAsia" w:hAnsi="宋体"/>
          <w:color w:val="auto"/>
          <w:sz w:val="30"/>
          <w:szCs w:val="30"/>
          <w:highlight w:val="none"/>
        </w:rPr>
        <w:t>□</w:t>
      </w:r>
      <w:r>
        <w:rPr>
          <w:rFonts w:hint="eastAsia" w:hAnsi="宋体"/>
          <w:color w:val="auto"/>
          <w:szCs w:val="21"/>
          <w:highlight w:val="none"/>
        </w:rPr>
        <w:t xml:space="preserve">成交结果   </w:t>
      </w:r>
    </w:p>
    <w:p w14:paraId="3CE3E98C">
      <w:pPr>
        <w:pStyle w:val="17"/>
        <w:keepNext w:val="0"/>
        <w:keepLines w:val="0"/>
        <w:pageBreakBefore w:val="0"/>
        <w:kinsoku/>
        <w:wordWrap/>
        <w:overflowPunct/>
        <w:topLinePunct w:val="0"/>
        <w:bidi w:val="0"/>
        <w:spacing w:line="440" w:lineRule="exact"/>
        <w:ind w:left="25" w:leftChars="12" w:firstLine="413" w:firstLineChars="196"/>
        <w:rPr>
          <w:rFonts w:hAnsi="宋体"/>
          <w:b/>
          <w:color w:val="auto"/>
          <w:szCs w:val="21"/>
          <w:highlight w:val="none"/>
        </w:rPr>
      </w:pPr>
      <w:r>
        <w:rPr>
          <w:rFonts w:hint="eastAsia" w:hAnsi="宋体"/>
          <w:b/>
          <w:color w:val="auto"/>
          <w:szCs w:val="21"/>
          <w:highlight w:val="none"/>
        </w:rPr>
        <w:t>三、质疑事项具体内容</w:t>
      </w:r>
    </w:p>
    <w:p w14:paraId="179C583A">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color w:val="auto"/>
          <w:szCs w:val="21"/>
          <w:highlight w:val="none"/>
        </w:rPr>
        <w:t>质疑事项1：</w:t>
      </w:r>
      <w:r>
        <w:rPr>
          <w:rFonts w:hAnsi="宋体"/>
          <w:bCs/>
          <w:color w:val="auto"/>
          <w:highlight w:val="none"/>
          <w:u w:val="single"/>
        </w:rPr>
        <w:t>                </w:t>
      </w:r>
      <w:r>
        <w:rPr>
          <w:rFonts w:hint="eastAsia" w:hAnsi="宋体"/>
          <w:bCs/>
          <w:color w:val="auto"/>
          <w:highlight w:val="none"/>
          <w:u w:val="single"/>
        </w:rPr>
        <w:t xml:space="preserve">               </w:t>
      </w:r>
      <w:r>
        <w:rPr>
          <w:rFonts w:hAnsi="宋体"/>
          <w:bCs/>
          <w:color w:val="auto"/>
          <w:highlight w:val="none"/>
          <w:u w:val="single"/>
        </w:rPr>
        <w:t>   </w:t>
      </w:r>
    </w:p>
    <w:p w14:paraId="057456D3">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color w:val="auto"/>
          <w:szCs w:val="21"/>
          <w:highlight w:val="none"/>
        </w:rPr>
        <w:t>事实依据：</w:t>
      </w:r>
      <w:r>
        <w:rPr>
          <w:rFonts w:hAnsi="宋体"/>
          <w:bCs/>
          <w:color w:val="auto"/>
          <w:highlight w:val="none"/>
          <w:u w:val="single"/>
        </w:rPr>
        <w:t>                      </w:t>
      </w:r>
    </w:p>
    <w:p w14:paraId="3959C99E">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color w:val="auto"/>
          <w:szCs w:val="21"/>
          <w:highlight w:val="none"/>
        </w:rPr>
        <w:t>法律依据：</w:t>
      </w:r>
      <w:r>
        <w:rPr>
          <w:rFonts w:hAnsi="宋体"/>
          <w:bCs/>
          <w:color w:val="auto"/>
          <w:highlight w:val="none"/>
          <w:u w:val="single"/>
        </w:rPr>
        <w:t>          </w:t>
      </w:r>
    </w:p>
    <w:p w14:paraId="56E1CF44">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color w:val="auto"/>
          <w:szCs w:val="21"/>
          <w:highlight w:val="none"/>
        </w:rPr>
        <w:t>质疑事项2：</w:t>
      </w:r>
      <w:r>
        <w:rPr>
          <w:rFonts w:hAnsi="宋体"/>
          <w:bCs/>
          <w:color w:val="auto"/>
          <w:highlight w:val="none"/>
          <w:u w:val="single"/>
        </w:rPr>
        <w:t>          </w:t>
      </w:r>
    </w:p>
    <w:p w14:paraId="660D03CD">
      <w:pPr>
        <w:pStyle w:val="17"/>
        <w:keepNext w:val="0"/>
        <w:keepLines w:val="0"/>
        <w:pageBreakBefore w:val="0"/>
        <w:kinsoku/>
        <w:wordWrap/>
        <w:overflowPunct/>
        <w:topLinePunct w:val="0"/>
        <w:bidi w:val="0"/>
        <w:spacing w:line="440" w:lineRule="exact"/>
        <w:ind w:left="25" w:leftChars="12" w:firstLine="413" w:firstLineChars="197"/>
        <w:rPr>
          <w:rFonts w:hAnsi="宋体"/>
          <w:color w:val="auto"/>
          <w:szCs w:val="21"/>
          <w:highlight w:val="none"/>
        </w:rPr>
      </w:pPr>
      <w:r>
        <w:rPr>
          <w:rFonts w:hAnsi="宋体"/>
          <w:color w:val="auto"/>
          <w:szCs w:val="21"/>
          <w:highlight w:val="none"/>
        </w:rPr>
        <w:t>……</w:t>
      </w:r>
    </w:p>
    <w:p w14:paraId="1B3883B5">
      <w:pPr>
        <w:pStyle w:val="17"/>
        <w:keepNext w:val="0"/>
        <w:keepLines w:val="0"/>
        <w:pageBreakBefore w:val="0"/>
        <w:kinsoku/>
        <w:wordWrap/>
        <w:overflowPunct/>
        <w:topLinePunct w:val="0"/>
        <w:bidi w:val="0"/>
        <w:spacing w:line="440" w:lineRule="exact"/>
        <w:ind w:left="25" w:leftChars="12" w:firstLine="413" w:firstLineChars="197"/>
        <w:rPr>
          <w:rFonts w:hAnsi="宋体"/>
          <w:color w:val="auto"/>
          <w:szCs w:val="21"/>
          <w:highlight w:val="none"/>
        </w:rPr>
      </w:pPr>
      <w:r>
        <w:rPr>
          <w:rFonts w:hint="eastAsia" w:hAnsi="宋体"/>
          <w:color w:val="auto"/>
          <w:szCs w:val="21"/>
          <w:highlight w:val="none"/>
        </w:rPr>
        <w:t>四、与质疑事项相关的质疑请求：</w:t>
      </w:r>
    </w:p>
    <w:p w14:paraId="5309CC18">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color w:val="auto"/>
          <w:szCs w:val="21"/>
          <w:highlight w:val="none"/>
        </w:rPr>
        <w:t>请求：</w:t>
      </w:r>
      <w:r>
        <w:rPr>
          <w:rFonts w:hAnsi="宋体"/>
          <w:bCs/>
          <w:color w:val="auto"/>
          <w:highlight w:val="none"/>
          <w:u w:val="single"/>
        </w:rPr>
        <w:t>              </w:t>
      </w:r>
      <w:r>
        <w:rPr>
          <w:rFonts w:hint="eastAsia" w:hAnsi="宋体"/>
          <w:bCs/>
          <w:color w:val="auto"/>
          <w:highlight w:val="none"/>
          <w:u w:val="single"/>
        </w:rPr>
        <w:t xml:space="preserve">                 </w:t>
      </w:r>
      <w:r>
        <w:rPr>
          <w:rFonts w:hAnsi="宋体"/>
          <w:bCs/>
          <w:color w:val="auto"/>
          <w:highlight w:val="none"/>
          <w:u w:val="single"/>
        </w:rPr>
        <w:t>   </w:t>
      </w:r>
    </w:p>
    <w:p w14:paraId="12362C8B">
      <w:pPr>
        <w:pStyle w:val="17"/>
        <w:keepNext w:val="0"/>
        <w:keepLines w:val="0"/>
        <w:pageBreakBefore w:val="0"/>
        <w:kinsoku/>
        <w:wordWrap/>
        <w:overflowPunct/>
        <w:topLinePunct w:val="0"/>
        <w:bidi w:val="0"/>
        <w:spacing w:line="440" w:lineRule="exact"/>
        <w:ind w:left="25" w:leftChars="12" w:firstLine="413" w:firstLineChars="197"/>
        <w:rPr>
          <w:rFonts w:hAnsi="宋体"/>
          <w:color w:val="auto"/>
          <w:szCs w:val="21"/>
          <w:highlight w:val="none"/>
        </w:rPr>
      </w:pPr>
      <w:r>
        <w:rPr>
          <w:rFonts w:hint="eastAsia" w:hAnsi="宋体"/>
          <w:color w:val="auto"/>
          <w:szCs w:val="21"/>
          <w:highlight w:val="none"/>
        </w:rPr>
        <w:t>签字（签章）：</w:t>
      </w:r>
      <w:r>
        <w:rPr>
          <w:rFonts w:hAnsi="宋体"/>
          <w:color w:val="auto"/>
          <w:szCs w:val="21"/>
          <w:highlight w:val="none"/>
          <w:u w:val="single"/>
        </w:rPr>
        <w:t>             </w:t>
      </w:r>
    </w:p>
    <w:p w14:paraId="07C07193">
      <w:pPr>
        <w:pStyle w:val="17"/>
        <w:keepNext w:val="0"/>
        <w:keepLines w:val="0"/>
        <w:pageBreakBefore w:val="0"/>
        <w:kinsoku/>
        <w:wordWrap/>
        <w:overflowPunct/>
        <w:topLinePunct w:val="0"/>
        <w:bidi w:val="0"/>
        <w:spacing w:line="440" w:lineRule="exact"/>
        <w:ind w:left="25" w:leftChars="12" w:firstLine="413" w:firstLineChars="197"/>
        <w:rPr>
          <w:rFonts w:hAnsi="宋体"/>
          <w:color w:val="auto"/>
          <w:szCs w:val="21"/>
          <w:highlight w:val="none"/>
          <w:u w:val="single"/>
        </w:rPr>
      </w:pPr>
      <w:r>
        <w:rPr>
          <w:rFonts w:hint="eastAsia" w:hAnsi="宋体"/>
          <w:color w:val="auto"/>
          <w:szCs w:val="21"/>
          <w:highlight w:val="none"/>
        </w:rPr>
        <w:t>公章：</w:t>
      </w:r>
      <w:r>
        <w:rPr>
          <w:rFonts w:hAnsi="宋体"/>
          <w:color w:val="auto"/>
          <w:szCs w:val="21"/>
          <w:highlight w:val="none"/>
          <w:u w:val="single"/>
        </w:rPr>
        <w:t>                 </w:t>
      </w:r>
    </w:p>
    <w:p w14:paraId="4DE82F03">
      <w:pPr>
        <w:pStyle w:val="17"/>
        <w:keepNext w:val="0"/>
        <w:keepLines w:val="0"/>
        <w:pageBreakBefore w:val="0"/>
        <w:kinsoku/>
        <w:wordWrap/>
        <w:overflowPunct/>
        <w:topLinePunct w:val="0"/>
        <w:bidi w:val="0"/>
        <w:spacing w:line="440" w:lineRule="exact"/>
        <w:ind w:left="25" w:leftChars="12" w:firstLine="413" w:firstLineChars="197"/>
        <w:rPr>
          <w:rFonts w:hAnsi="宋体"/>
          <w:color w:val="auto"/>
          <w:szCs w:val="21"/>
          <w:highlight w:val="none"/>
        </w:rPr>
      </w:pPr>
      <w:r>
        <w:rPr>
          <w:rFonts w:hint="eastAsia" w:hAnsi="宋体"/>
          <w:color w:val="auto"/>
          <w:szCs w:val="21"/>
          <w:highlight w:val="none"/>
        </w:rPr>
        <w:t>日期：</w:t>
      </w:r>
      <w:r>
        <w:rPr>
          <w:rFonts w:hAnsi="宋体"/>
          <w:color w:val="auto"/>
          <w:szCs w:val="21"/>
          <w:highlight w:val="none"/>
          <w:u w:val="single"/>
        </w:rPr>
        <w:t>                 </w:t>
      </w:r>
    </w:p>
    <w:p w14:paraId="567E9AF4">
      <w:pPr>
        <w:pStyle w:val="17"/>
        <w:keepNext w:val="0"/>
        <w:keepLines w:val="0"/>
        <w:pageBreakBefore w:val="0"/>
        <w:kinsoku/>
        <w:wordWrap/>
        <w:overflowPunct/>
        <w:topLinePunct w:val="0"/>
        <w:bidi w:val="0"/>
        <w:snapToGrid w:val="0"/>
        <w:spacing w:line="440" w:lineRule="exact"/>
        <w:rPr>
          <w:rFonts w:hAnsi="宋体"/>
          <w:b/>
          <w:color w:val="auto"/>
          <w:szCs w:val="21"/>
          <w:highlight w:val="none"/>
        </w:rPr>
      </w:pPr>
    </w:p>
    <w:p w14:paraId="71583825">
      <w:pPr>
        <w:pStyle w:val="17"/>
        <w:keepNext w:val="0"/>
        <w:keepLines w:val="0"/>
        <w:pageBreakBefore w:val="0"/>
        <w:kinsoku/>
        <w:wordWrap/>
        <w:overflowPunct/>
        <w:topLinePunct w:val="0"/>
        <w:bidi w:val="0"/>
        <w:snapToGrid w:val="0"/>
        <w:spacing w:line="440" w:lineRule="exact"/>
        <w:rPr>
          <w:rFonts w:hAnsi="宋体"/>
          <w:b/>
          <w:color w:val="auto"/>
          <w:szCs w:val="21"/>
          <w:highlight w:val="none"/>
        </w:rPr>
      </w:pPr>
      <w:r>
        <w:rPr>
          <w:rFonts w:hint="eastAsia" w:hAnsi="宋体"/>
          <w:b/>
          <w:color w:val="auto"/>
          <w:szCs w:val="21"/>
          <w:highlight w:val="none"/>
        </w:rPr>
        <w:t>说明：</w:t>
      </w:r>
    </w:p>
    <w:p w14:paraId="5E6727A4">
      <w:pPr>
        <w:pStyle w:val="17"/>
        <w:keepNext w:val="0"/>
        <w:keepLines w:val="0"/>
        <w:pageBreakBefore w:val="0"/>
        <w:kinsoku/>
        <w:wordWrap/>
        <w:overflowPunct/>
        <w:topLinePunct w:val="0"/>
        <w:bidi w:val="0"/>
        <w:spacing w:line="440" w:lineRule="exact"/>
        <w:ind w:left="25" w:leftChars="12" w:firstLine="310" w:firstLineChars="147"/>
        <w:rPr>
          <w:rFonts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3F161B8A">
      <w:pPr>
        <w:pStyle w:val="17"/>
        <w:keepNext w:val="0"/>
        <w:keepLines w:val="0"/>
        <w:pageBreakBefore w:val="0"/>
        <w:kinsoku/>
        <w:wordWrap/>
        <w:overflowPunct/>
        <w:topLinePunct w:val="0"/>
        <w:bidi w:val="0"/>
        <w:spacing w:line="440" w:lineRule="exact"/>
        <w:ind w:left="25" w:leftChars="12" w:firstLine="310" w:firstLineChars="147"/>
        <w:rPr>
          <w:rFonts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3717D9">
      <w:pPr>
        <w:pStyle w:val="17"/>
        <w:keepNext w:val="0"/>
        <w:keepLines w:val="0"/>
        <w:pageBreakBefore w:val="0"/>
        <w:kinsoku/>
        <w:wordWrap/>
        <w:overflowPunct/>
        <w:topLinePunct w:val="0"/>
        <w:bidi w:val="0"/>
        <w:spacing w:line="440" w:lineRule="exact"/>
        <w:ind w:left="25" w:leftChars="12" w:firstLine="310" w:firstLineChars="147"/>
        <w:rPr>
          <w:rFonts w:hAnsi="宋体"/>
          <w:b/>
          <w:color w:val="auto"/>
          <w:szCs w:val="21"/>
          <w:highlight w:val="none"/>
        </w:rPr>
      </w:pPr>
      <w:r>
        <w:rPr>
          <w:rFonts w:hint="eastAsia" w:hAnsi="宋体"/>
          <w:b/>
          <w:color w:val="auto"/>
          <w:szCs w:val="21"/>
          <w:highlight w:val="none"/>
        </w:rPr>
        <w:t>3.质疑函的质疑事项应具体、明确，并有必要的事实依据和法律依据。</w:t>
      </w:r>
    </w:p>
    <w:p w14:paraId="3170C406">
      <w:pPr>
        <w:pStyle w:val="17"/>
        <w:keepNext w:val="0"/>
        <w:keepLines w:val="0"/>
        <w:pageBreakBefore w:val="0"/>
        <w:kinsoku/>
        <w:wordWrap/>
        <w:overflowPunct/>
        <w:topLinePunct w:val="0"/>
        <w:bidi w:val="0"/>
        <w:spacing w:line="440" w:lineRule="exact"/>
        <w:ind w:left="25" w:leftChars="12" w:firstLine="310" w:firstLineChars="147"/>
        <w:rPr>
          <w:rFonts w:hAnsi="宋体"/>
          <w:b/>
          <w:color w:val="auto"/>
          <w:szCs w:val="21"/>
          <w:highlight w:val="none"/>
        </w:rPr>
      </w:pPr>
      <w:r>
        <w:rPr>
          <w:rFonts w:hint="eastAsia" w:hAnsi="宋体"/>
          <w:b/>
          <w:color w:val="auto"/>
          <w:szCs w:val="21"/>
          <w:highlight w:val="none"/>
        </w:rPr>
        <w:t>4.质疑函的质疑请求应与质疑事项相关。</w:t>
      </w:r>
    </w:p>
    <w:p w14:paraId="7D3E2EB9">
      <w:pPr>
        <w:pStyle w:val="17"/>
        <w:keepNext w:val="0"/>
        <w:keepLines w:val="0"/>
        <w:pageBreakBefore w:val="0"/>
        <w:kinsoku/>
        <w:wordWrap/>
        <w:overflowPunct/>
        <w:topLinePunct w:val="0"/>
        <w:bidi w:val="0"/>
        <w:spacing w:line="440" w:lineRule="exact"/>
        <w:ind w:left="25" w:leftChars="12" w:firstLine="310" w:firstLineChars="147"/>
        <w:rPr>
          <w:rFonts w:hAnsi="宋体"/>
          <w:b/>
          <w:bCs/>
          <w:color w:val="auto"/>
          <w:highlight w:val="none"/>
        </w:rPr>
      </w:pPr>
      <w:r>
        <w:rPr>
          <w:rFonts w:hAnsi="宋体"/>
          <w:b/>
          <w:bCs/>
          <w:color w:val="auto"/>
          <w:highlight w:val="none"/>
        </w:rPr>
        <w:t>5.</w:t>
      </w:r>
      <w:r>
        <w:rPr>
          <w:rFonts w:hint="eastAsia" w:hAnsi="宋体"/>
          <w:b/>
          <w:bCs/>
          <w:color w:val="auto"/>
          <w:highlight w:val="none"/>
        </w:rPr>
        <w:t>质疑供应商为法人或者其他组织的，质疑函应由法定代表人、主要负责人，或者其授权代表签字或者盖章，并加盖公章。</w:t>
      </w:r>
    </w:p>
    <w:p w14:paraId="75C522FA">
      <w:pPr>
        <w:pStyle w:val="17"/>
        <w:keepNext w:val="0"/>
        <w:keepLines w:val="0"/>
        <w:pageBreakBefore w:val="0"/>
        <w:kinsoku/>
        <w:wordWrap/>
        <w:overflowPunct/>
        <w:topLinePunct w:val="0"/>
        <w:bidi w:val="0"/>
        <w:snapToGrid w:val="0"/>
        <w:spacing w:line="440" w:lineRule="exact"/>
        <w:rPr>
          <w:rFonts w:hAnsi="宋体"/>
          <w:b/>
          <w:color w:val="auto"/>
          <w:sz w:val="24"/>
          <w:szCs w:val="24"/>
          <w:highlight w:val="none"/>
        </w:rPr>
      </w:pPr>
      <w:r>
        <w:rPr>
          <w:rFonts w:hAnsi="宋体"/>
          <w:b/>
          <w:color w:val="auto"/>
          <w:sz w:val="24"/>
          <w:szCs w:val="24"/>
          <w:highlight w:val="none"/>
        </w:rPr>
        <w:br w:type="page"/>
      </w:r>
      <w:r>
        <w:rPr>
          <w:rFonts w:hint="eastAsia" w:hAnsi="宋体"/>
          <w:b/>
          <w:color w:val="auto"/>
          <w:sz w:val="24"/>
          <w:szCs w:val="24"/>
          <w:highlight w:val="none"/>
        </w:rPr>
        <w:t>附表2：</w:t>
      </w:r>
    </w:p>
    <w:p w14:paraId="38402F49">
      <w:pPr>
        <w:keepNext w:val="0"/>
        <w:keepLines w:val="0"/>
        <w:pageBreakBefore w:val="0"/>
        <w:kinsoku/>
        <w:wordWrap/>
        <w:overflowPunct/>
        <w:topLinePunct w:val="0"/>
        <w:bidi w:val="0"/>
        <w:spacing w:line="440" w:lineRule="exact"/>
        <w:jc w:val="center"/>
        <w:rPr>
          <w:rFonts w:ascii="宋体" w:hAnsi="宋体"/>
          <w:color w:val="auto"/>
          <w:sz w:val="44"/>
          <w:highlight w:val="none"/>
        </w:rPr>
      </w:pPr>
    </w:p>
    <w:p w14:paraId="3C150072">
      <w:pPr>
        <w:keepNext w:val="0"/>
        <w:keepLines w:val="0"/>
        <w:pageBreakBefore w:val="0"/>
        <w:kinsoku/>
        <w:wordWrap/>
        <w:overflowPunct/>
        <w:topLinePunct w:val="0"/>
        <w:bidi w:val="0"/>
        <w:spacing w:line="440" w:lineRule="exact"/>
        <w:jc w:val="center"/>
        <w:rPr>
          <w:rFonts w:ascii="宋体" w:hAnsi="宋体"/>
          <w:color w:val="auto"/>
          <w:sz w:val="44"/>
          <w:highlight w:val="none"/>
        </w:rPr>
      </w:pPr>
      <w:r>
        <w:rPr>
          <w:rFonts w:hint="eastAsia" w:ascii="宋体" w:hAnsi="宋体"/>
          <w:color w:val="auto"/>
          <w:sz w:val="44"/>
          <w:highlight w:val="none"/>
        </w:rPr>
        <w:t>投诉书（格式）</w:t>
      </w:r>
    </w:p>
    <w:p w14:paraId="0E6C63EE">
      <w:pPr>
        <w:pStyle w:val="17"/>
        <w:keepNext w:val="0"/>
        <w:keepLines w:val="0"/>
        <w:pageBreakBefore w:val="0"/>
        <w:kinsoku/>
        <w:wordWrap/>
        <w:overflowPunct/>
        <w:topLinePunct w:val="0"/>
        <w:bidi w:val="0"/>
        <w:snapToGrid w:val="0"/>
        <w:spacing w:line="44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1DE00832">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int="eastAsia" w:hAnsi="宋体"/>
          <w:bCs/>
          <w:color w:val="auto"/>
          <w:highlight w:val="none"/>
        </w:rPr>
        <w:t>投标人：</w:t>
      </w:r>
      <w:r>
        <w:rPr>
          <w:rFonts w:hAnsi="宋体"/>
          <w:bCs/>
          <w:color w:val="auto"/>
          <w:highlight w:val="none"/>
          <w:u w:val="single"/>
        </w:rPr>
        <w:t>             </w:t>
      </w:r>
    </w:p>
    <w:p w14:paraId="5F7D1BDB">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rPr>
      </w:pPr>
      <w:r>
        <w:rPr>
          <w:rFonts w:hAnsi="宋体"/>
          <w:bCs/>
          <w:color w:val="auto"/>
          <w:highlight w:val="none"/>
        </w:rPr>
        <w:t>地址</w:t>
      </w:r>
      <w:r>
        <w:rPr>
          <w:rFonts w:hint="eastAsia" w:hAnsi="宋体"/>
          <w:bCs/>
          <w:color w:val="auto"/>
          <w:highlight w:val="none"/>
        </w:rPr>
        <w:t>：</w:t>
      </w:r>
      <w:r>
        <w:rPr>
          <w:rFonts w:hAnsi="宋体"/>
          <w:bCs/>
          <w:color w:val="auto"/>
          <w:highlight w:val="none"/>
        </w:rPr>
        <w:t>邮编</w:t>
      </w:r>
      <w:r>
        <w:rPr>
          <w:rFonts w:hint="eastAsia" w:hAnsi="宋体"/>
          <w:bCs/>
          <w:color w:val="auto"/>
          <w:highlight w:val="none"/>
        </w:rPr>
        <w:t>：</w:t>
      </w:r>
      <w:r>
        <w:rPr>
          <w:rFonts w:hAnsi="宋体"/>
          <w:bCs/>
          <w:color w:val="auto"/>
          <w:highlight w:val="none"/>
          <w:u w:val="single"/>
        </w:rPr>
        <w:t>              </w:t>
      </w:r>
    </w:p>
    <w:p w14:paraId="723F88A5">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int="eastAsia" w:hAnsi="宋体"/>
          <w:bCs/>
          <w:color w:val="auto"/>
          <w:highlight w:val="none"/>
        </w:rPr>
        <w:t>法定代表人/主要负责人：</w:t>
      </w:r>
      <w:r>
        <w:rPr>
          <w:rFonts w:hAnsi="宋体"/>
          <w:bCs/>
          <w:color w:val="auto"/>
          <w:highlight w:val="none"/>
          <w:u w:val="single"/>
        </w:rPr>
        <w:t>     </w:t>
      </w:r>
    </w:p>
    <w:p w14:paraId="6BFF283E">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Ansi="宋体"/>
          <w:bCs/>
          <w:color w:val="auto"/>
          <w:highlight w:val="none"/>
        </w:rPr>
        <w:t>联系电话</w:t>
      </w:r>
      <w:r>
        <w:rPr>
          <w:rFonts w:hint="eastAsia" w:hAnsi="宋体"/>
          <w:bCs/>
          <w:color w:val="auto"/>
          <w:highlight w:val="none"/>
        </w:rPr>
        <w:t>：</w:t>
      </w:r>
      <w:r>
        <w:rPr>
          <w:rFonts w:hAnsi="宋体"/>
          <w:bCs/>
          <w:color w:val="auto"/>
          <w:highlight w:val="none"/>
          <w:u w:val="single"/>
        </w:rPr>
        <w:t>              </w:t>
      </w:r>
    </w:p>
    <w:p w14:paraId="7FF215C1">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int="eastAsia" w:hAnsi="宋体"/>
          <w:bCs/>
          <w:color w:val="auto"/>
          <w:highlight w:val="none"/>
        </w:rPr>
        <w:t>授权代表：</w:t>
      </w:r>
      <w:r>
        <w:rPr>
          <w:rFonts w:hAnsi="宋体"/>
          <w:bCs/>
          <w:color w:val="auto"/>
          <w:highlight w:val="none"/>
        </w:rPr>
        <w:t>联系</w:t>
      </w:r>
      <w:r>
        <w:rPr>
          <w:rFonts w:hint="eastAsia" w:hAnsi="宋体"/>
          <w:bCs/>
          <w:color w:val="auto"/>
          <w:highlight w:val="none"/>
        </w:rPr>
        <w:t>电话：</w:t>
      </w:r>
      <w:r>
        <w:rPr>
          <w:rFonts w:hAnsi="宋体"/>
          <w:bCs/>
          <w:color w:val="auto"/>
          <w:highlight w:val="none"/>
          <w:u w:val="single"/>
        </w:rPr>
        <w:t>              </w:t>
      </w:r>
    </w:p>
    <w:p w14:paraId="046C5D19">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Ansi="宋体"/>
          <w:bCs/>
          <w:color w:val="auto"/>
          <w:highlight w:val="none"/>
        </w:rPr>
        <w:t>邮编</w:t>
      </w:r>
      <w:r>
        <w:rPr>
          <w:rFonts w:hint="eastAsia" w:hAnsi="宋体"/>
          <w:bCs/>
          <w:color w:val="auto"/>
          <w:highlight w:val="none"/>
        </w:rPr>
        <w:t>：</w:t>
      </w:r>
      <w:r>
        <w:rPr>
          <w:rFonts w:hAnsi="宋体"/>
          <w:bCs/>
          <w:color w:val="auto"/>
          <w:highlight w:val="none"/>
          <w:u w:val="single"/>
        </w:rPr>
        <w:t>          </w:t>
      </w:r>
    </w:p>
    <w:p w14:paraId="5EA00C16">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rPr>
      </w:pPr>
      <w:r>
        <w:rPr>
          <w:rFonts w:hint="eastAsia" w:hAnsi="宋体"/>
          <w:bCs/>
          <w:color w:val="auto"/>
          <w:highlight w:val="none"/>
        </w:rPr>
        <w:t>被投诉人1：</w:t>
      </w:r>
      <w:r>
        <w:rPr>
          <w:rFonts w:hAnsi="宋体"/>
          <w:bCs/>
          <w:color w:val="auto"/>
          <w:highlight w:val="none"/>
          <w:u w:val="single"/>
        </w:rPr>
        <w:t>                  </w:t>
      </w:r>
    </w:p>
    <w:p w14:paraId="36ED4ADE">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int="eastAsia" w:hAnsi="宋体"/>
          <w:bCs/>
          <w:color w:val="auto"/>
          <w:highlight w:val="none"/>
        </w:rPr>
        <w:t>地址：</w:t>
      </w:r>
      <w:r>
        <w:rPr>
          <w:rFonts w:hAnsi="宋体"/>
          <w:bCs/>
          <w:color w:val="auto"/>
          <w:highlight w:val="none"/>
        </w:rPr>
        <w:t>邮编</w:t>
      </w:r>
      <w:r>
        <w:rPr>
          <w:rFonts w:hint="eastAsia" w:hAnsi="宋体"/>
          <w:bCs/>
          <w:color w:val="auto"/>
          <w:highlight w:val="none"/>
        </w:rPr>
        <w:t>：</w:t>
      </w:r>
      <w:r>
        <w:rPr>
          <w:rFonts w:hAnsi="宋体"/>
          <w:bCs/>
          <w:color w:val="auto"/>
          <w:highlight w:val="none"/>
          <w:u w:val="single"/>
        </w:rPr>
        <w:t>          </w:t>
      </w:r>
    </w:p>
    <w:p w14:paraId="6AE64F29">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int="eastAsia" w:hAnsi="宋体"/>
          <w:bCs/>
          <w:color w:val="auto"/>
          <w:highlight w:val="none"/>
        </w:rPr>
        <w:t>联系人：</w:t>
      </w:r>
      <w:r>
        <w:rPr>
          <w:rFonts w:hAnsi="宋体"/>
          <w:bCs/>
          <w:color w:val="auto"/>
          <w:highlight w:val="none"/>
        </w:rPr>
        <w:t>联系</w:t>
      </w:r>
      <w:r>
        <w:rPr>
          <w:rFonts w:hint="eastAsia" w:hAnsi="宋体"/>
          <w:bCs/>
          <w:color w:val="auto"/>
          <w:highlight w:val="none"/>
        </w:rPr>
        <w:t>电话：</w:t>
      </w:r>
      <w:r>
        <w:rPr>
          <w:rFonts w:hAnsi="宋体"/>
          <w:bCs/>
          <w:color w:val="auto"/>
          <w:highlight w:val="none"/>
          <w:u w:val="single"/>
        </w:rPr>
        <w:t>              </w:t>
      </w:r>
    </w:p>
    <w:p w14:paraId="2CC041EB">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rPr>
      </w:pPr>
      <w:r>
        <w:rPr>
          <w:rFonts w:hint="eastAsia" w:hAnsi="宋体"/>
          <w:bCs/>
          <w:color w:val="auto"/>
          <w:highlight w:val="none"/>
        </w:rPr>
        <w:t>被投诉人2：</w:t>
      </w:r>
    </w:p>
    <w:p w14:paraId="3A021202">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rPr>
      </w:pPr>
      <w:r>
        <w:rPr>
          <w:rFonts w:hAnsi="宋体"/>
          <w:bCs/>
          <w:color w:val="auto"/>
          <w:highlight w:val="none"/>
        </w:rPr>
        <w:t>……</w:t>
      </w:r>
    </w:p>
    <w:p w14:paraId="51F2F951">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int="eastAsia" w:hAnsi="宋体"/>
          <w:bCs/>
          <w:color w:val="auto"/>
          <w:highlight w:val="none"/>
        </w:rPr>
        <w:t>相关供应商：</w:t>
      </w:r>
    </w:p>
    <w:p w14:paraId="5B17CE6C">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Ansi="宋体"/>
          <w:bCs/>
          <w:color w:val="auto"/>
          <w:highlight w:val="none"/>
        </w:rPr>
        <w:t>邮编</w:t>
      </w:r>
      <w:r>
        <w:rPr>
          <w:rFonts w:hint="eastAsia" w:hAnsi="宋体"/>
          <w:bCs/>
          <w:color w:val="auto"/>
          <w:highlight w:val="none"/>
        </w:rPr>
        <w:t>：</w:t>
      </w:r>
      <w:r>
        <w:rPr>
          <w:rFonts w:hAnsi="宋体"/>
          <w:bCs/>
          <w:color w:val="auto"/>
          <w:highlight w:val="none"/>
          <w:u w:val="single"/>
        </w:rPr>
        <w:t>          </w:t>
      </w:r>
    </w:p>
    <w:p w14:paraId="4BF84B8F">
      <w:pPr>
        <w:pStyle w:val="17"/>
        <w:keepNext w:val="0"/>
        <w:keepLines w:val="0"/>
        <w:pageBreakBefore w:val="0"/>
        <w:kinsoku/>
        <w:wordWrap/>
        <w:overflowPunct/>
        <w:topLinePunct w:val="0"/>
        <w:bidi w:val="0"/>
        <w:snapToGrid w:val="0"/>
        <w:spacing w:line="440" w:lineRule="exact"/>
        <w:ind w:firstLine="420" w:firstLineChars="200"/>
        <w:rPr>
          <w:rFonts w:hAnsi="宋体"/>
          <w:bCs/>
          <w:color w:val="auto"/>
          <w:highlight w:val="none"/>
        </w:rPr>
      </w:pPr>
      <w:r>
        <w:rPr>
          <w:rFonts w:hint="eastAsia" w:hAnsi="宋体"/>
          <w:bCs/>
          <w:color w:val="auto"/>
          <w:highlight w:val="none"/>
        </w:rPr>
        <w:t>联系人：</w:t>
      </w:r>
      <w:r>
        <w:rPr>
          <w:rFonts w:hAnsi="宋体"/>
          <w:bCs/>
          <w:color w:val="auto"/>
          <w:highlight w:val="none"/>
        </w:rPr>
        <w:t>联系</w:t>
      </w:r>
      <w:r>
        <w:rPr>
          <w:rFonts w:hint="eastAsia" w:hAnsi="宋体"/>
          <w:bCs/>
          <w:color w:val="auto"/>
          <w:highlight w:val="none"/>
        </w:rPr>
        <w:t>电话：</w:t>
      </w:r>
      <w:r>
        <w:rPr>
          <w:rFonts w:hAnsi="宋体"/>
          <w:bCs/>
          <w:color w:val="auto"/>
          <w:highlight w:val="none"/>
          <w:u w:val="single"/>
        </w:rPr>
        <w:t>              </w:t>
      </w:r>
    </w:p>
    <w:p w14:paraId="6090FB53">
      <w:pPr>
        <w:pStyle w:val="17"/>
        <w:keepNext w:val="0"/>
        <w:keepLines w:val="0"/>
        <w:pageBreakBefore w:val="0"/>
        <w:kinsoku/>
        <w:wordWrap/>
        <w:overflowPunct/>
        <w:topLinePunct w:val="0"/>
        <w:bidi w:val="0"/>
        <w:snapToGrid w:val="0"/>
        <w:spacing w:line="440" w:lineRule="exact"/>
        <w:ind w:firstLine="422" w:firstLineChars="200"/>
        <w:rPr>
          <w:rFonts w:hAnsi="宋体"/>
          <w:b/>
          <w:bCs/>
          <w:color w:val="auto"/>
          <w:highlight w:val="none"/>
        </w:rPr>
      </w:pPr>
      <w:r>
        <w:rPr>
          <w:rFonts w:hint="eastAsia" w:hAnsi="宋体"/>
          <w:b/>
          <w:bCs/>
          <w:color w:val="auto"/>
          <w:highlight w:val="none"/>
        </w:rPr>
        <w:t>二、投诉项目基本情况：</w:t>
      </w:r>
    </w:p>
    <w:p w14:paraId="4FB01478">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bCs/>
          <w:color w:val="auto"/>
          <w:highlight w:val="none"/>
        </w:rPr>
        <w:t>采购</w:t>
      </w:r>
      <w:r>
        <w:rPr>
          <w:rFonts w:hint="eastAsia" w:hAnsi="宋体"/>
          <w:color w:val="auto"/>
          <w:szCs w:val="21"/>
          <w:highlight w:val="none"/>
        </w:rPr>
        <w:t>项目的名称：</w:t>
      </w:r>
      <w:r>
        <w:rPr>
          <w:rFonts w:hAnsi="宋体"/>
          <w:bCs/>
          <w:color w:val="auto"/>
          <w:highlight w:val="none"/>
          <w:u w:val="single"/>
        </w:rPr>
        <w:t>        </w:t>
      </w:r>
    </w:p>
    <w:p w14:paraId="25F548CD">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bCs/>
          <w:color w:val="auto"/>
          <w:highlight w:val="none"/>
        </w:rPr>
        <w:t>采购</w:t>
      </w:r>
      <w:r>
        <w:rPr>
          <w:rFonts w:hint="eastAsia" w:hAnsi="宋体"/>
          <w:color w:val="auto"/>
          <w:szCs w:val="21"/>
          <w:highlight w:val="none"/>
        </w:rPr>
        <w:t>项目的编号：</w:t>
      </w:r>
      <w:r>
        <w:rPr>
          <w:rFonts w:hAnsi="宋体"/>
          <w:bCs/>
          <w:color w:val="auto"/>
          <w:highlight w:val="none"/>
          <w:u w:val="single"/>
        </w:rPr>
        <w:t>         </w:t>
      </w:r>
    </w:p>
    <w:p w14:paraId="0C79C602">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color w:val="auto"/>
          <w:szCs w:val="21"/>
          <w:highlight w:val="none"/>
        </w:rPr>
        <w:t>采购人名称：</w:t>
      </w:r>
      <w:r>
        <w:rPr>
          <w:rFonts w:hAnsi="宋体"/>
          <w:bCs/>
          <w:color w:val="auto"/>
          <w:highlight w:val="none"/>
          <w:u w:val="single"/>
        </w:rPr>
        <w:t>           </w:t>
      </w:r>
    </w:p>
    <w:p w14:paraId="313EAB11">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color w:val="auto"/>
          <w:szCs w:val="21"/>
          <w:highlight w:val="none"/>
        </w:rPr>
        <w:t>代理机构名称：</w:t>
      </w:r>
      <w:r>
        <w:rPr>
          <w:rFonts w:hAnsi="宋体"/>
          <w:bCs/>
          <w:color w:val="auto"/>
          <w:highlight w:val="none"/>
          <w:u w:val="single"/>
        </w:rPr>
        <w:t>          </w:t>
      </w:r>
    </w:p>
    <w:p w14:paraId="10641E6D">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Ansi="宋体"/>
          <w:bCs/>
          <w:color w:val="auto"/>
          <w:highlight w:val="none"/>
          <w:u w:val="single"/>
        </w:rPr>
        <w:t>              </w:t>
      </w:r>
    </w:p>
    <w:p w14:paraId="1632EBE8">
      <w:pPr>
        <w:pStyle w:val="17"/>
        <w:keepNext w:val="0"/>
        <w:keepLines w:val="0"/>
        <w:pageBreakBefore w:val="0"/>
        <w:kinsoku/>
        <w:wordWrap/>
        <w:overflowPunct/>
        <w:topLinePunct w:val="0"/>
        <w:bidi w:val="0"/>
        <w:spacing w:line="440" w:lineRule="exact"/>
        <w:ind w:left="25" w:leftChars="12" w:firstLine="413" w:firstLineChars="197"/>
        <w:rPr>
          <w:rFonts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Ansi="宋体"/>
          <w:bCs/>
          <w:color w:val="auto"/>
          <w:highlight w:val="none"/>
          <w:u w:val="single"/>
        </w:rPr>
        <w:t>              </w:t>
      </w:r>
    </w:p>
    <w:p w14:paraId="423F0043">
      <w:pPr>
        <w:pStyle w:val="17"/>
        <w:keepNext w:val="0"/>
        <w:keepLines w:val="0"/>
        <w:pageBreakBefore w:val="0"/>
        <w:kinsoku/>
        <w:wordWrap/>
        <w:overflowPunct/>
        <w:topLinePunct w:val="0"/>
        <w:bidi w:val="0"/>
        <w:spacing w:line="440" w:lineRule="exact"/>
        <w:ind w:left="25" w:leftChars="12" w:firstLine="413" w:firstLineChars="196"/>
        <w:rPr>
          <w:rFonts w:hAnsi="宋体"/>
          <w:b/>
          <w:color w:val="auto"/>
          <w:szCs w:val="21"/>
          <w:highlight w:val="none"/>
        </w:rPr>
      </w:pPr>
      <w:r>
        <w:rPr>
          <w:rFonts w:hint="eastAsia" w:hAnsi="宋体"/>
          <w:b/>
          <w:color w:val="auto"/>
          <w:szCs w:val="21"/>
          <w:highlight w:val="none"/>
        </w:rPr>
        <w:t>三、质疑基本情况</w:t>
      </w:r>
    </w:p>
    <w:p w14:paraId="58C5C176">
      <w:pPr>
        <w:pStyle w:val="17"/>
        <w:keepNext w:val="0"/>
        <w:keepLines w:val="0"/>
        <w:pageBreakBefore w:val="0"/>
        <w:kinsoku/>
        <w:wordWrap/>
        <w:overflowPunct/>
        <w:topLinePunct w:val="0"/>
        <w:bidi w:val="0"/>
        <w:spacing w:line="440" w:lineRule="exact"/>
        <w:ind w:left="25" w:leftChars="12" w:firstLine="833" w:firstLineChars="397"/>
        <w:rPr>
          <w:rFonts w:hAnsi="宋体"/>
          <w:color w:val="auto"/>
          <w:szCs w:val="21"/>
          <w:highlight w:val="none"/>
        </w:rPr>
      </w:pPr>
      <w:r>
        <w:rPr>
          <w:rFonts w:hint="eastAsia" w:hAnsi="宋体"/>
          <w:color w:val="auto"/>
          <w:szCs w:val="21"/>
          <w:highlight w:val="none"/>
        </w:rPr>
        <w:t>投诉人于年月日，向提出质疑，质疑事项为：</w:t>
      </w:r>
    </w:p>
    <w:p w14:paraId="7810F472">
      <w:pPr>
        <w:pStyle w:val="17"/>
        <w:keepNext w:val="0"/>
        <w:keepLines w:val="0"/>
        <w:pageBreakBefore w:val="0"/>
        <w:kinsoku/>
        <w:wordWrap/>
        <w:overflowPunct/>
        <w:topLinePunct w:val="0"/>
        <w:bidi w:val="0"/>
        <w:spacing w:line="440" w:lineRule="exact"/>
        <w:ind w:left="25" w:leftChars="12" w:firstLine="399" w:firstLineChars="190"/>
        <w:rPr>
          <w:rFonts w:hAnsi="宋体"/>
          <w:bCs/>
          <w:color w:val="auto"/>
          <w:highlight w:val="none"/>
          <w:u w:val="single"/>
        </w:rPr>
      </w:pPr>
      <w:r>
        <w:rPr>
          <w:rFonts w:hAnsi="宋体"/>
          <w:bCs/>
          <w:color w:val="auto"/>
          <w:highlight w:val="none"/>
          <w:u w:val="single"/>
        </w:rPr>
        <w:t>                                        </w:t>
      </w:r>
    </w:p>
    <w:p w14:paraId="28B6C3C7">
      <w:pPr>
        <w:pStyle w:val="17"/>
        <w:keepNext w:val="0"/>
        <w:keepLines w:val="0"/>
        <w:pageBreakBefore w:val="0"/>
        <w:kinsoku/>
        <w:wordWrap/>
        <w:overflowPunct/>
        <w:topLinePunct w:val="0"/>
        <w:bidi w:val="0"/>
        <w:spacing w:line="440" w:lineRule="exact"/>
        <w:ind w:left="25" w:leftChars="12" w:firstLine="399" w:firstLineChars="190"/>
        <w:rPr>
          <w:rFonts w:hAnsi="宋体"/>
          <w:bCs/>
          <w:color w:val="auto"/>
          <w:highlight w:val="none"/>
          <w:u w:val="single"/>
        </w:rPr>
      </w:pPr>
      <w:r>
        <w:rPr>
          <w:rFonts w:hAnsi="宋体"/>
          <w:bCs/>
          <w:color w:val="auto"/>
          <w:highlight w:val="none"/>
          <w:u w:val="single"/>
        </w:rPr>
        <w:t>                                        </w:t>
      </w:r>
    </w:p>
    <w:p w14:paraId="48AE08DF">
      <w:pPr>
        <w:pStyle w:val="17"/>
        <w:keepNext w:val="0"/>
        <w:keepLines w:val="0"/>
        <w:pageBreakBefore w:val="0"/>
        <w:kinsoku/>
        <w:wordWrap/>
        <w:overflowPunct/>
        <w:topLinePunct w:val="0"/>
        <w:bidi w:val="0"/>
        <w:spacing w:line="440" w:lineRule="exact"/>
        <w:rPr>
          <w:rFonts w:hAnsi="宋体"/>
          <w:color w:val="auto"/>
          <w:szCs w:val="21"/>
          <w:highlight w:val="none"/>
        </w:rPr>
      </w:pP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rPr>
        <w:t>年月日，</w:t>
      </w:r>
      <w:r>
        <w:rPr>
          <w:rFonts w:hint="eastAsia" w:hAnsi="宋体"/>
          <w:bCs/>
          <w:color w:val="auto"/>
          <w:highlight w:val="none"/>
        </w:rPr>
        <w:t xml:space="preserve">就质疑事项作出了答复/没有在法定期限内作出答复。                                                                                             </w:t>
      </w:r>
    </w:p>
    <w:p w14:paraId="22EBD8E7">
      <w:pPr>
        <w:pStyle w:val="17"/>
        <w:keepNext w:val="0"/>
        <w:keepLines w:val="0"/>
        <w:pageBreakBefore w:val="0"/>
        <w:kinsoku/>
        <w:wordWrap/>
        <w:overflowPunct/>
        <w:topLinePunct w:val="0"/>
        <w:bidi w:val="0"/>
        <w:spacing w:line="440" w:lineRule="exact"/>
        <w:ind w:left="25" w:leftChars="12" w:firstLine="413" w:firstLineChars="196"/>
        <w:rPr>
          <w:rFonts w:hAnsi="宋体"/>
          <w:b/>
          <w:color w:val="auto"/>
          <w:szCs w:val="21"/>
          <w:highlight w:val="none"/>
        </w:rPr>
      </w:pPr>
      <w:r>
        <w:rPr>
          <w:rFonts w:hint="eastAsia" w:hAnsi="宋体"/>
          <w:b/>
          <w:color w:val="auto"/>
          <w:szCs w:val="21"/>
          <w:highlight w:val="none"/>
        </w:rPr>
        <w:t>四、投诉事项具体内容</w:t>
      </w:r>
    </w:p>
    <w:p w14:paraId="6A88FE7C">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color w:val="auto"/>
          <w:szCs w:val="21"/>
          <w:highlight w:val="none"/>
        </w:rPr>
        <w:t>投诉事项1：</w:t>
      </w:r>
      <w:r>
        <w:rPr>
          <w:rFonts w:hAnsi="宋体"/>
          <w:bCs/>
          <w:color w:val="auto"/>
          <w:highlight w:val="none"/>
          <w:u w:val="single"/>
        </w:rPr>
        <w:t>              </w:t>
      </w:r>
    </w:p>
    <w:p w14:paraId="1EC6DF9D">
      <w:pPr>
        <w:pStyle w:val="17"/>
        <w:keepNext w:val="0"/>
        <w:keepLines w:val="0"/>
        <w:pageBreakBefore w:val="0"/>
        <w:kinsoku/>
        <w:wordWrap/>
        <w:overflowPunct/>
        <w:topLinePunct w:val="0"/>
        <w:bidi w:val="0"/>
        <w:spacing w:line="440" w:lineRule="exact"/>
        <w:ind w:firstLine="420" w:firstLineChars="200"/>
        <w:rPr>
          <w:rFonts w:hAnsi="宋体"/>
          <w:bCs/>
          <w:color w:val="auto"/>
          <w:highlight w:val="none"/>
          <w:u w:val="single"/>
        </w:rPr>
      </w:pPr>
      <w:r>
        <w:rPr>
          <w:rFonts w:hint="eastAsia" w:hAnsi="宋体"/>
          <w:bCs/>
          <w:color w:val="auto"/>
          <w:highlight w:val="none"/>
        </w:rPr>
        <w:t>事实依据：</w:t>
      </w:r>
      <w:r>
        <w:rPr>
          <w:rFonts w:hAnsi="宋体"/>
          <w:bCs/>
          <w:color w:val="auto"/>
          <w:highlight w:val="none"/>
          <w:u w:val="single"/>
        </w:rPr>
        <w:t>              </w:t>
      </w:r>
    </w:p>
    <w:p w14:paraId="675590C5">
      <w:pPr>
        <w:pStyle w:val="17"/>
        <w:keepNext w:val="0"/>
        <w:keepLines w:val="0"/>
        <w:pageBreakBefore w:val="0"/>
        <w:kinsoku/>
        <w:wordWrap/>
        <w:overflowPunct/>
        <w:topLinePunct w:val="0"/>
        <w:bidi w:val="0"/>
        <w:spacing w:line="440" w:lineRule="exact"/>
        <w:ind w:firstLine="420" w:firstLineChars="200"/>
        <w:rPr>
          <w:rFonts w:hAnsi="宋体"/>
          <w:color w:val="auto"/>
          <w:szCs w:val="21"/>
          <w:highlight w:val="none"/>
        </w:rPr>
      </w:pPr>
      <w:r>
        <w:rPr>
          <w:rFonts w:hAnsi="宋体"/>
          <w:bCs/>
          <w:color w:val="auto"/>
          <w:highlight w:val="none"/>
          <w:u w:val="single"/>
        </w:rPr>
        <w:t>              </w:t>
      </w:r>
    </w:p>
    <w:p w14:paraId="2ECE3F1E">
      <w:pPr>
        <w:pStyle w:val="17"/>
        <w:keepNext w:val="0"/>
        <w:keepLines w:val="0"/>
        <w:pageBreakBefore w:val="0"/>
        <w:kinsoku/>
        <w:wordWrap/>
        <w:overflowPunct/>
        <w:topLinePunct w:val="0"/>
        <w:bidi w:val="0"/>
        <w:spacing w:line="440" w:lineRule="exact"/>
        <w:ind w:firstLine="420" w:firstLineChars="200"/>
        <w:rPr>
          <w:rFonts w:hAnsi="宋体"/>
          <w:bCs/>
          <w:color w:val="auto"/>
          <w:highlight w:val="none"/>
          <w:u w:val="single"/>
        </w:rPr>
      </w:pPr>
      <w:r>
        <w:rPr>
          <w:rFonts w:hint="eastAsia" w:hAnsi="宋体"/>
          <w:bCs/>
          <w:color w:val="auto"/>
          <w:highlight w:val="none"/>
        </w:rPr>
        <w:t>法律依据：</w:t>
      </w:r>
      <w:r>
        <w:rPr>
          <w:rFonts w:hAnsi="宋体"/>
          <w:bCs/>
          <w:color w:val="auto"/>
          <w:highlight w:val="none"/>
          <w:u w:val="single"/>
        </w:rPr>
        <w:t>              </w:t>
      </w:r>
    </w:p>
    <w:p w14:paraId="1E1F4476">
      <w:pPr>
        <w:pStyle w:val="17"/>
        <w:keepNext w:val="0"/>
        <w:keepLines w:val="0"/>
        <w:pageBreakBefore w:val="0"/>
        <w:kinsoku/>
        <w:wordWrap/>
        <w:overflowPunct/>
        <w:topLinePunct w:val="0"/>
        <w:bidi w:val="0"/>
        <w:spacing w:line="440" w:lineRule="exact"/>
        <w:ind w:firstLine="420" w:firstLineChars="200"/>
        <w:rPr>
          <w:rFonts w:hAnsi="宋体"/>
          <w:bCs/>
          <w:color w:val="auto"/>
          <w:highlight w:val="none"/>
          <w:u w:val="single"/>
        </w:rPr>
      </w:pPr>
      <w:r>
        <w:rPr>
          <w:rFonts w:hAnsi="宋体"/>
          <w:bCs/>
          <w:color w:val="auto"/>
          <w:highlight w:val="none"/>
          <w:u w:val="single"/>
        </w:rPr>
        <w:t>              </w:t>
      </w:r>
    </w:p>
    <w:p w14:paraId="5716C8CB">
      <w:pPr>
        <w:pStyle w:val="17"/>
        <w:keepNext w:val="0"/>
        <w:keepLines w:val="0"/>
        <w:pageBreakBefore w:val="0"/>
        <w:kinsoku/>
        <w:wordWrap/>
        <w:overflowPunct/>
        <w:topLinePunct w:val="0"/>
        <w:bidi w:val="0"/>
        <w:spacing w:line="440" w:lineRule="exact"/>
        <w:ind w:firstLine="420" w:firstLineChars="200"/>
        <w:rPr>
          <w:rFonts w:hAnsi="宋体"/>
          <w:bCs/>
          <w:color w:val="auto"/>
          <w:highlight w:val="none"/>
        </w:rPr>
      </w:pPr>
      <w:r>
        <w:rPr>
          <w:rFonts w:hint="eastAsia" w:hAnsi="宋体"/>
          <w:color w:val="auto"/>
          <w:szCs w:val="21"/>
          <w:highlight w:val="none"/>
        </w:rPr>
        <w:t>投诉事项2：</w:t>
      </w:r>
      <w:r>
        <w:rPr>
          <w:rFonts w:hAnsi="宋体"/>
          <w:bCs/>
          <w:color w:val="auto"/>
          <w:highlight w:val="none"/>
          <w:u w:val="single"/>
        </w:rPr>
        <w:t>              </w:t>
      </w:r>
    </w:p>
    <w:p w14:paraId="3AA03524">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rPr>
      </w:pPr>
      <w:r>
        <w:rPr>
          <w:rFonts w:hAnsi="宋体"/>
          <w:bCs/>
          <w:color w:val="auto"/>
          <w:highlight w:val="none"/>
        </w:rPr>
        <w:t>……</w:t>
      </w:r>
    </w:p>
    <w:p w14:paraId="46CBADA6">
      <w:pPr>
        <w:pStyle w:val="17"/>
        <w:keepNext w:val="0"/>
        <w:keepLines w:val="0"/>
        <w:pageBreakBefore w:val="0"/>
        <w:kinsoku/>
        <w:wordWrap/>
        <w:overflowPunct/>
        <w:topLinePunct w:val="0"/>
        <w:bidi w:val="0"/>
        <w:spacing w:line="440" w:lineRule="exact"/>
        <w:ind w:left="25" w:leftChars="12" w:firstLine="413" w:firstLineChars="196"/>
        <w:rPr>
          <w:rFonts w:hAnsi="宋体"/>
          <w:b/>
          <w:color w:val="auto"/>
          <w:szCs w:val="21"/>
          <w:highlight w:val="none"/>
        </w:rPr>
      </w:pPr>
      <w:r>
        <w:rPr>
          <w:rFonts w:hint="eastAsia" w:hAnsi="宋体"/>
          <w:b/>
          <w:color w:val="auto"/>
          <w:szCs w:val="21"/>
          <w:highlight w:val="none"/>
        </w:rPr>
        <w:t>五、与投诉事项相关的投诉请求：</w:t>
      </w:r>
    </w:p>
    <w:p w14:paraId="45D871F3">
      <w:pPr>
        <w:pStyle w:val="17"/>
        <w:keepNext w:val="0"/>
        <w:keepLines w:val="0"/>
        <w:pageBreakBefore w:val="0"/>
        <w:kinsoku/>
        <w:wordWrap/>
        <w:overflowPunct/>
        <w:topLinePunct w:val="0"/>
        <w:bidi w:val="0"/>
        <w:spacing w:line="440" w:lineRule="exact"/>
        <w:ind w:left="25" w:leftChars="12" w:firstLine="413" w:firstLineChars="197"/>
        <w:rPr>
          <w:rFonts w:hAnsi="宋体"/>
          <w:bCs/>
          <w:color w:val="auto"/>
          <w:highlight w:val="none"/>
          <w:u w:val="single"/>
        </w:rPr>
      </w:pPr>
      <w:r>
        <w:rPr>
          <w:rFonts w:hint="eastAsia" w:hAnsi="宋体"/>
          <w:color w:val="auto"/>
          <w:szCs w:val="21"/>
          <w:highlight w:val="none"/>
        </w:rPr>
        <w:t>请求：</w:t>
      </w:r>
      <w:r>
        <w:rPr>
          <w:rFonts w:hAnsi="宋体"/>
          <w:bCs/>
          <w:color w:val="auto"/>
          <w:highlight w:val="none"/>
          <w:u w:val="single"/>
        </w:rPr>
        <w:t>               </w:t>
      </w:r>
    </w:p>
    <w:p w14:paraId="1D6E05AE">
      <w:pPr>
        <w:pStyle w:val="17"/>
        <w:keepNext w:val="0"/>
        <w:keepLines w:val="0"/>
        <w:pageBreakBefore w:val="0"/>
        <w:kinsoku/>
        <w:wordWrap/>
        <w:overflowPunct/>
        <w:topLinePunct w:val="0"/>
        <w:bidi w:val="0"/>
        <w:spacing w:line="440" w:lineRule="exact"/>
        <w:ind w:left="25" w:leftChars="12" w:firstLine="308" w:firstLineChars="147"/>
        <w:rPr>
          <w:rFonts w:hAnsi="宋体"/>
          <w:color w:val="auto"/>
          <w:szCs w:val="21"/>
          <w:highlight w:val="none"/>
        </w:rPr>
      </w:pPr>
      <w:r>
        <w:rPr>
          <w:rFonts w:hAnsi="宋体"/>
          <w:bCs/>
          <w:color w:val="auto"/>
          <w:highlight w:val="none"/>
          <w:u w:val="single"/>
        </w:rPr>
        <w:t>             </w:t>
      </w:r>
    </w:p>
    <w:p w14:paraId="19508964">
      <w:pPr>
        <w:pStyle w:val="17"/>
        <w:keepNext w:val="0"/>
        <w:keepLines w:val="0"/>
        <w:pageBreakBefore w:val="0"/>
        <w:kinsoku/>
        <w:wordWrap/>
        <w:overflowPunct/>
        <w:topLinePunct w:val="0"/>
        <w:bidi w:val="0"/>
        <w:spacing w:line="440" w:lineRule="exact"/>
        <w:ind w:left="25" w:leftChars="12" w:firstLine="413" w:firstLineChars="197"/>
        <w:rPr>
          <w:rFonts w:hAnsi="宋体"/>
          <w:color w:val="auto"/>
          <w:szCs w:val="21"/>
          <w:highlight w:val="none"/>
        </w:rPr>
      </w:pPr>
      <w:r>
        <w:rPr>
          <w:rFonts w:hint="eastAsia" w:hAnsi="宋体"/>
          <w:color w:val="auto"/>
          <w:szCs w:val="21"/>
          <w:highlight w:val="none"/>
        </w:rPr>
        <w:t>签字（签章）：</w:t>
      </w:r>
      <w:r>
        <w:rPr>
          <w:rFonts w:hAnsi="宋体"/>
          <w:color w:val="auto"/>
          <w:szCs w:val="21"/>
          <w:highlight w:val="none"/>
          <w:u w:val="single"/>
        </w:rPr>
        <w:t>             </w:t>
      </w:r>
    </w:p>
    <w:p w14:paraId="0CBF727D">
      <w:pPr>
        <w:pStyle w:val="17"/>
        <w:keepNext w:val="0"/>
        <w:keepLines w:val="0"/>
        <w:pageBreakBefore w:val="0"/>
        <w:kinsoku/>
        <w:wordWrap/>
        <w:overflowPunct/>
        <w:topLinePunct w:val="0"/>
        <w:bidi w:val="0"/>
        <w:spacing w:line="440" w:lineRule="exact"/>
        <w:ind w:left="25" w:leftChars="12" w:firstLine="413" w:firstLineChars="197"/>
        <w:rPr>
          <w:rFonts w:hAnsi="宋体"/>
          <w:color w:val="auto"/>
          <w:szCs w:val="21"/>
          <w:highlight w:val="none"/>
          <w:u w:val="single"/>
        </w:rPr>
      </w:pPr>
      <w:r>
        <w:rPr>
          <w:rFonts w:hint="eastAsia" w:hAnsi="宋体"/>
          <w:color w:val="auto"/>
          <w:szCs w:val="21"/>
          <w:highlight w:val="none"/>
        </w:rPr>
        <w:t>公章：</w:t>
      </w:r>
      <w:r>
        <w:rPr>
          <w:rFonts w:hAnsi="宋体"/>
          <w:color w:val="auto"/>
          <w:szCs w:val="21"/>
          <w:highlight w:val="none"/>
          <w:u w:val="single"/>
        </w:rPr>
        <w:t>                 </w:t>
      </w:r>
    </w:p>
    <w:p w14:paraId="4B94A43D">
      <w:pPr>
        <w:pStyle w:val="17"/>
        <w:keepNext w:val="0"/>
        <w:keepLines w:val="0"/>
        <w:pageBreakBefore w:val="0"/>
        <w:kinsoku/>
        <w:wordWrap/>
        <w:overflowPunct/>
        <w:topLinePunct w:val="0"/>
        <w:bidi w:val="0"/>
        <w:spacing w:line="440" w:lineRule="exact"/>
        <w:ind w:left="25" w:leftChars="12" w:firstLine="413" w:firstLineChars="197"/>
        <w:rPr>
          <w:rFonts w:hAnsi="宋体"/>
          <w:color w:val="auto"/>
          <w:szCs w:val="21"/>
          <w:highlight w:val="none"/>
        </w:rPr>
      </w:pPr>
      <w:r>
        <w:rPr>
          <w:rFonts w:hint="eastAsia" w:hAnsi="宋体"/>
          <w:color w:val="auto"/>
          <w:szCs w:val="21"/>
          <w:highlight w:val="none"/>
        </w:rPr>
        <w:t>日期：</w:t>
      </w:r>
      <w:r>
        <w:rPr>
          <w:rFonts w:hAnsi="宋体"/>
          <w:color w:val="auto"/>
          <w:szCs w:val="21"/>
          <w:highlight w:val="none"/>
          <w:u w:val="single"/>
        </w:rPr>
        <w:t>                 </w:t>
      </w:r>
    </w:p>
    <w:p w14:paraId="2EEA60C2">
      <w:pPr>
        <w:pStyle w:val="17"/>
        <w:keepNext w:val="0"/>
        <w:keepLines w:val="0"/>
        <w:pageBreakBefore w:val="0"/>
        <w:kinsoku/>
        <w:wordWrap/>
        <w:overflowPunct/>
        <w:topLinePunct w:val="0"/>
        <w:bidi w:val="0"/>
        <w:spacing w:line="440" w:lineRule="exact"/>
        <w:ind w:left="25" w:leftChars="12" w:firstLine="413" w:firstLineChars="197"/>
        <w:rPr>
          <w:rFonts w:hAnsi="宋体"/>
          <w:color w:val="auto"/>
          <w:szCs w:val="21"/>
          <w:highlight w:val="none"/>
        </w:rPr>
      </w:pPr>
    </w:p>
    <w:p w14:paraId="5369FA53">
      <w:pPr>
        <w:pStyle w:val="17"/>
        <w:keepNext w:val="0"/>
        <w:keepLines w:val="0"/>
        <w:pageBreakBefore w:val="0"/>
        <w:kinsoku/>
        <w:wordWrap/>
        <w:overflowPunct/>
        <w:topLinePunct w:val="0"/>
        <w:bidi w:val="0"/>
        <w:snapToGrid w:val="0"/>
        <w:spacing w:line="440" w:lineRule="exact"/>
        <w:rPr>
          <w:rFonts w:hAnsi="宋体"/>
          <w:b/>
          <w:color w:val="auto"/>
          <w:szCs w:val="21"/>
          <w:highlight w:val="none"/>
        </w:rPr>
      </w:pPr>
    </w:p>
    <w:p w14:paraId="0447AB1F">
      <w:pPr>
        <w:pStyle w:val="17"/>
        <w:keepNext w:val="0"/>
        <w:keepLines w:val="0"/>
        <w:pageBreakBefore w:val="0"/>
        <w:kinsoku/>
        <w:wordWrap/>
        <w:overflowPunct/>
        <w:topLinePunct w:val="0"/>
        <w:bidi w:val="0"/>
        <w:snapToGrid w:val="0"/>
        <w:spacing w:line="440" w:lineRule="exact"/>
        <w:rPr>
          <w:rFonts w:hAnsi="宋体"/>
          <w:b/>
          <w:color w:val="auto"/>
          <w:szCs w:val="21"/>
          <w:highlight w:val="none"/>
        </w:rPr>
      </w:pPr>
      <w:r>
        <w:rPr>
          <w:rFonts w:hint="eastAsia" w:hAnsi="宋体"/>
          <w:b/>
          <w:color w:val="auto"/>
          <w:szCs w:val="21"/>
          <w:highlight w:val="none"/>
        </w:rPr>
        <w:t>说明：</w:t>
      </w:r>
    </w:p>
    <w:p w14:paraId="6BE57F76">
      <w:pPr>
        <w:pStyle w:val="17"/>
        <w:keepNext w:val="0"/>
        <w:keepLines w:val="0"/>
        <w:pageBreakBefore w:val="0"/>
        <w:kinsoku/>
        <w:wordWrap/>
        <w:overflowPunct/>
        <w:topLinePunct w:val="0"/>
        <w:bidi w:val="0"/>
        <w:spacing w:line="440" w:lineRule="exact"/>
        <w:ind w:left="25" w:leftChars="12" w:firstLine="310" w:firstLineChars="147"/>
        <w:rPr>
          <w:rFonts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r>
        <w:rPr>
          <w:rFonts w:hint="eastAsia" w:hAnsi="宋体"/>
          <w:b/>
          <w:bCs/>
          <w:color w:val="auto"/>
          <w:highlight w:val="none"/>
        </w:rPr>
        <w:t>。</w:t>
      </w:r>
    </w:p>
    <w:p w14:paraId="0BACBB96">
      <w:pPr>
        <w:pStyle w:val="17"/>
        <w:keepNext w:val="0"/>
        <w:keepLines w:val="0"/>
        <w:pageBreakBefore w:val="0"/>
        <w:kinsoku/>
        <w:wordWrap/>
        <w:overflowPunct/>
        <w:topLinePunct w:val="0"/>
        <w:bidi w:val="0"/>
        <w:spacing w:line="440" w:lineRule="exact"/>
        <w:ind w:left="25" w:leftChars="12" w:firstLine="310" w:firstLineChars="147"/>
        <w:rPr>
          <w:rFonts w:hAnsi="宋体"/>
          <w:b/>
          <w:color w:val="auto"/>
          <w:szCs w:val="21"/>
          <w:highlight w:val="none"/>
        </w:rPr>
      </w:pPr>
      <w:r>
        <w:rPr>
          <w:rFonts w:hint="eastAsia" w:hAnsi="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611E9E2">
      <w:pPr>
        <w:pStyle w:val="17"/>
        <w:keepNext w:val="0"/>
        <w:keepLines w:val="0"/>
        <w:pageBreakBefore w:val="0"/>
        <w:kinsoku/>
        <w:wordWrap/>
        <w:overflowPunct/>
        <w:topLinePunct w:val="0"/>
        <w:bidi w:val="0"/>
        <w:spacing w:line="440" w:lineRule="exact"/>
        <w:ind w:left="25" w:leftChars="12" w:firstLine="310" w:firstLineChars="147"/>
        <w:rPr>
          <w:rFonts w:hAnsi="宋体"/>
          <w:b/>
          <w:color w:val="auto"/>
          <w:szCs w:val="21"/>
          <w:highlight w:val="none"/>
        </w:rPr>
      </w:pPr>
      <w:r>
        <w:rPr>
          <w:rFonts w:hint="eastAsia" w:hAnsi="宋体"/>
          <w:b/>
          <w:color w:val="auto"/>
          <w:szCs w:val="21"/>
          <w:highlight w:val="none"/>
        </w:rPr>
        <w:t>3.投诉书应简要列明质疑事项，质疑函、质疑答复等作为附件材料提供。</w:t>
      </w:r>
    </w:p>
    <w:p w14:paraId="357533CC">
      <w:pPr>
        <w:pStyle w:val="17"/>
        <w:keepNext w:val="0"/>
        <w:keepLines w:val="0"/>
        <w:pageBreakBefore w:val="0"/>
        <w:kinsoku/>
        <w:wordWrap/>
        <w:overflowPunct/>
        <w:topLinePunct w:val="0"/>
        <w:bidi w:val="0"/>
        <w:spacing w:line="440" w:lineRule="exact"/>
        <w:ind w:left="25" w:leftChars="12" w:firstLine="310" w:firstLineChars="147"/>
        <w:rPr>
          <w:rFonts w:hAnsi="宋体"/>
          <w:b/>
          <w:color w:val="auto"/>
          <w:szCs w:val="21"/>
          <w:highlight w:val="none"/>
        </w:rPr>
      </w:pPr>
      <w:r>
        <w:rPr>
          <w:rFonts w:hint="eastAsia" w:hAnsi="宋体"/>
          <w:b/>
          <w:color w:val="auto"/>
          <w:szCs w:val="21"/>
          <w:highlight w:val="none"/>
        </w:rPr>
        <w:t>4.投诉书的投诉事项应具体、明确，并有必要的事实依据和法律依据。</w:t>
      </w:r>
    </w:p>
    <w:p w14:paraId="1A831123">
      <w:pPr>
        <w:pStyle w:val="17"/>
        <w:keepNext w:val="0"/>
        <w:keepLines w:val="0"/>
        <w:pageBreakBefore w:val="0"/>
        <w:kinsoku/>
        <w:wordWrap/>
        <w:overflowPunct/>
        <w:topLinePunct w:val="0"/>
        <w:bidi w:val="0"/>
        <w:spacing w:line="440" w:lineRule="exact"/>
        <w:ind w:left="25" w:leftChars="12" w:firstLine="310" w:firstLineChars="147"/>
        <w:rPr>
          <w:rFonts w:hAnsi="宋体"/>
          <w:b/>
          <w:color w:val="auto"/>
          <w:szCs w:val="21"/>
          <w:highlight w:val="none"/>
        </w:rPr>
      </w:pPr>
      <w:r>
        <w:rPr>
          <w:rFonts w:hint="eastAsia" w:hAnsi="宋体"/>
          <w:b/>
          <w:color w:val="auto"/>
          <w:szCs w:val="21"/>
          <w:highlight w:val="none"/>
        </w:rPr>
        <w:t>5.投诉书的投诉请求应与投诉事项相关。</w:t>
      </w:r>
    </w:p>
    <w:p w14:paraId="2CF59E78">
      <w:pPr>
        <w:keepNext w:val="0"/>
        <w:keepLines w:val="0"/>
        <w:pageBreakBefore w:val="0"/>
        <w:kinsoku/>
        <w:wordWrap/>
        <w:overflowPunct/>
        <w:topLinePunct w:val="0"/>
        <w:bidi w:val="0"/>
        <w:spacing w:line="440" w:lineRule="exact"/>
        <w:rPr>
          <w:rFonts w:ascii="宋体" w:hAnsi="宋体"/>
          <w:b/>
          <w:bCs/>
          <w:color w:val="auto"/>
          <w:highlight w:val="none"/>
        </w:rPr>
      </w:pPr>
      <w:r>
        <w:rPr>
          <w:rFonts w:ascii="宋体" w:hAnsi="宋体"/>
          <w:b/>
          <w:color w:val="auto"/>
          <w:szCs w:val="21"/>
          <w:highlight w:val="none"/>
        </w:rPr>
        <w:t>6.</w:t>
      </w:r>
      <w:r>
        <w:rPr>
          <w:rFonts w:hint="eastAsia" w:ascii="宋体" w:hAnsi="宋体"/>
          <w:b/>
          <w:bCs/>
          <w:color w:val="auto"/>
          <w:highlight w:val="none"/>
        </w:rPr>
        <w:t>投诉人为法人或者其他组织的，投诉书应由法定代表人、主要负责人，或者其授权代表签字或者盖章，并加盖公章。</w:t>
      </w:r>
    </w:p>
    <w:p w14:paraId="721F1E6A">
      <w:pPr>
        <w:keepNext w:val="0"/>
        <w:keepLines w:val="0"/>
        <w:pageBreakBefore w:val="0"/>
        <w:widowControl/>
        <w:kinsoku/>
        <w:wordWrap/>
        <w:overflowPunct/>
        <w:topLinePunct w:val="0"/>
        <w:bidi w:val="0"/>
        <w:spacing w:line="440" w:lineRule="exact"/>
        <w:jc w:val="left"/>
        <w:rPr>
          <w:color w:val="auto"/>
          <w:highlight w:val="none"/>
        </w:rPr>
      </w:pPr>
    </w:p>
    <w:sectPr>
      <w:pgSz w:w="11906" w:h="16838"/>
      <w:pgMar w:top="1440" w:right="1077" w:bottom="1440" w:left="107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Ђ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 Sun">
    <w:altName w:val="宋体"/>
    <w:panose1 w:val="00000000000000000000"/>
    <w:charset w:val="86"/>
    <w:family w:val="decorative"/>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70E8">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9014C2">
                          <w:pPr>
                            <w:pStyle w:val="21"/>
                          </w:pPr>
                          <w:r>
                            <w:fldChar w:fldCharType="begin"/>
                          </w:r>
                          <w:r>
                            <w:instrText xml:space="preserve"> PAGE  \* MERGEFORMAT </w:instrText>
                          </w:r>
                          <w:r>
                            <w:fldChar w:fldCharType="separate"/>
                          </w:r>
                          <w:r>
                            <w:t>- 49 -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mu5McBAACb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6Lmu5McBAACbAwAADgAAAAAAAAABACAAAAAeAQAAZHJzL2Uyb0RvYy54&#10;bWxQSwUGAAAAAAYABgBZAQAAVwUAAAAA&#10;">
              <v:fill on="f" focussize="0,0"/>
              <v:stroke on="f"/>
              <v:imagedata o:title=""/>
              <o:lock v:ext="edit" aspectratio="f"/>
              <v:textbox inset="0mm,0mm,0mm,0mm" style="mso-fit-shape-to-text:t;">
                <w:txbxContent>
                  <w:p w14:paraId="199014C2">
                    <w:pPr>
                      <w:pStyle w:val="21"/>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B0A9C"/>
    <w:multiLevelType w:val="singleLevel"/>
    <w:tmpl w:val="A06B0A9C"/>
    <w:lvl w:ilvl="0" w:tentative="0">
      <w:start w:val="1"/>
      <w:numFmt w:val="decimal"/>
      <w:suff w:val="nothing"/>
      <w:lvlText w:val="%1、"/>
      <w:lvlJc w:val="left"/>
    </w:lvl>
  </w:abstractNum>
  <w:abstractNum w:abstractNumId="1">
    <w:nsid w:val="AC0B2570"/>
    <w:multiLevelType w:val="singleLevel"/>
    <w:tmpl w:val="AC0B2570"/>
    <w:lvl w:ilvl="0" w:tentative="0">
      <w:start w:val="4"/>
      <w:numFmt w:val="chineseCounting"/>
      <w:suff w:val="space"/>
      <w:lvlText w:val="第%1章"/>
      <w:lvlJc w:val="left"/>
      <w:rPr>
        <w:rFonts w:hint="eastAsia"/>
      </w:rPr>
    </w:lvl>
  </w:abstractNum>
  <w:abstractNum w:abstractNumId="2">
    <w:nsid w:val="AE8EBBE8"/>
    <w:multiLevelType w:val="singleLevel"/>
    <w:tmpl w:val="AE8EBBE8"/>
    <w:lvl w:ilvl="0" w:tentative="0">
      <w:start w:val="15"/>
      <w:numFmt w:val="decimal"/>
      <w:suff w:val="space"/>
      <w:lvlText w:val="%1."/>
      <w:lvlJc w:val="left"/>
    </w:lvl>
  </w:abstractNum>
  <w:abstractNum w:abstractNumId="3">
    <w:nsid w:val="262694A4"/>
    <w:multiLevelType w:val="singleLevel"/>
    <w:tmpl w:val="262694A4"/>
    <w:lvl w:ilvl="0" w:tentative="0">
      <w:start w:val="1"/>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NzUwMzM1MWIzYzYzMGQ3ZjZjZDViMzY5NjNiZTQifQ=="/>
  </w:docVars>
  <w:rsids>
    <w:rsidRoot w:val="00F92138"/>
    <w:rsid w:val="0000012A"/>
    <w:rsid w:val="000004C3"/>
    <w:rsid w:val="000007B3"/>
    <w:rsid w:val="00000DC5"/>
    <w:rsid w:val="000012F4"/>
    <w:rsid w:val="000013C5"/>
    <w:rsid w:val="0000245C"/>
    <w:rsid w:val="00002511"/>
    <w:rsid w:val="00002604"/>
    <w:rsid w:val="00002682"/>
    <w:rsid w:val="00002771"/>
    <w:rsid w:val="00002789"/>
    <w:rsid w:val="00003EA2"/>
    <w:rsid w:val="00004D43"/>
    <w:rsid w:val="00004D70"/>
    <w:rsid w:val="000064D3"/>
    <w:rsid w:val="000066AE"/>
    <w:rsid w:val="0000694B"/>
    <w:rsid w:val="00007562"/>
    <w:rsid w:val="0000788F"/>
    <w:rsid w:val="00007A12"/>
    <w:rsid w:val="00007F96"/>
    <w:rsid w:val="00010484"/>
    <w:rsid w:val="00010630"/>
    <w:rsid w:val="0001073E"/>
    <w:rsid w:val="00010A38"/>
    <w:rsid w:val="00010C20"/>
    <w:rsid w:val="00010EAD"/>
    <w:rsid w:val="00011006"/>
    <w:rsid w:val="00011968"/>
    <w:rsid w:val="00011B3B"/>
    <w:rsid w:val="0001275D"/>
    <w:rsid w:val="00012CDC"/>
    <w:rsid w:val="0001389F"/>
    <w:rsid w:val="000139C8"/>
    <w:rsid w:val="000139E0"/>
    <w:rsid w:val="00013C53"/>
    <w:rsid w:val="000147E9"/>
    <w:rsid w:val="00014897"/>
    <w:rsid w:val="000154C2"/>
    <w:rsid w:val="00015616"/>
    <w:rsid w:val="00016164"/>
    <w:rsid w:val="000161E6"/>
    <w:rsid w:val="000168D8"/>
    <w:rsid w:val="00016CCE"/>
    <w:rsid w:val="00016DFC"/>
    <w:rsid w:val="00016E25"/>
    <w:rsid w:val="00016F9A"/>
    <w:rsid w:val="000171D6"/>
    <w:rsid w:val="000176F2"/>
    <w:rsid w:val="00020282"/>
    <w:rsid w:val="000204F7"/>
    <w:rsid w:val="00020654"/>
    <w:rsid w:val="000206E4"/>
    <w:rsid w:val="00020A3D"/>
    <w:rsid w:val="00020C2E"/>
    <w:rsid w:val="00020C93"/>
    <w:rsid w:val="00020DFC"/>
    <w:rsid w:val="00021802"/>
    <w:rsid w:val="00021DAE"/>
    <w:rsid w:val="000226EF"/>
    <w:rsid w:val="00022A04"/>
    <w:rsid w:val="00022F6B"/>
    <w:rsid w:val="0002300B"/>
    <w:rsid w:val="00023496"/>
    <w:rsid w:val="00023CCC"/>
    <w:rsid w:val="00024D1C"/>
    <w:rsid w:val="000250DF"/>
    <w:rsid w:val="000253B5"/>
    <w:rsid w:val="000255CC"/>
    <w:rsid w:val="00025BB2"/>
    <w:rsid w:val="00025BFA"/>
    <w:rsid w:val="00026487"/>
    <w:rsid w:val="00026761"/>
    <w:rsid w:val="00026815"/>
    <w:rsid w:val="00026A9C"/>
    <w:rsid w:val="00026BD0"/>
    <w:rsid w:val="00026E89"/>
    <w:rsid w:val="00026FAA"/>
    <w:rsid w:val="00027726"/>
    <w:rsid w:val="00027F50"/>
    <w:rsid w:val="00030259"/>
    <w:rsid w:val="00031CD3"/>
    <w:rsid w:val="00031D23"/>
    <w:rsid w:val="000320DB"/>
    <w:rsid w:val="00032419"/>
    <w:rsid w:val="0003258D"/>
    <w:rsid w:val="00033233"/>
    <w:rsid w:val="00033A28"/>
    <w:rsid w:val="00033C3A"/>
    <w:rsid w:val="00033C62"/>
    <w:rsid w:val="00034267"/>
    <w:rsid w:val="00034581"/>
    <w:rsid w:val="00034D30"/>
    <w:rsid w:val="00034E5F"/>
    <w:rsid w:val="000353B8"/>
    <w:rsid w:val="000357BE"/>
    <w:rsid w:val="00035820"/>
    <w:rsid w:val="00035C6F"/>
    <w:rsid w:val="00036348"/>
    <w:rsid w:val="00036425"/>
    <w:rsid w:val="00036594"/>
    <w:rsid w:val="00037242"/>
    <w:rsid w:val="000373A3"/>
    <w:rsid w:val="00037991"/>
    <w:rsid w:val="000404A8"/>
    <w:rsid w:val="00040678"/>
    <w:rsid w:val="00040706"/>
    <w:rsid w:val="00040C08"/>
    <w:rsid w:val="000425C4"/>
    <w:rsid w:val="000425DB"/>
    <w:rsid w:val="00042F69"/>
    <w:rsid w:val="000433E9"/>
    <w:rsid w:val="00043717"/>
    <w:rsid w:val="00043BC9"/>
    <w:rsid w:val="00043E53"/>
    <w:rsid w:val="00044162"/>
    <w:rsid w:val="00044210"/>
    <w:rsid w:val="0004422A"/>
    <w:rsid w:val="00044409"/>
    <w:rsid w:val="000447E7"/>
    <w:rsid w:val="00044C3F"/>
    <w:rsid w:val="00044E0C"/>
    <w:rsid w:val="00044E5F"/>
    <w:rsid w:val="000457ED"/>
    <w:rsid w:val="00045A4C"/>
    <w:rsid w:val="00045FA3"/>
    <w:rsid w:val="0004657B"/>
    <w:rsid w:val="00047190"/>
    <w:rsid w:val="000473C1"/>
    <w:rsid w:val="00047877"/>
    <w:rsid w:val="000479BB"/>
    <w:rsid w:val="000479E2"/>
    <w:rsid w:val="000500EE"/>
    <w:rsid w:val="0005043F"/>
    <w:rsid w:val="000517CE"/>
    <w:rsid w:val="00052295"/>
    <w:rsid w:val="00052409"/>
    <w:rsid w:val="00053E02"/>
    <w:rsid w:val="0005424F"/>
    <w:rsid w:val="00054CFF"/>
    <w:rsid w:val="00055A2B"/>
    <w:rsid w:val="000561BD"/>
    <w:rsid w:val="00056276"/>
    <w:rsid w:val="0005641F"/>
    <w:rsid w:val="0005650A"/>
    <w:rsid w:val="00056832"/>
    <w:rsid w:val="00057D96"/>
    <w:rsid w:val="00057FA8"/>
    <w:rsid w:val="000606D6"/>
    <w:rsid w:val="0006095D"/>
    <w:rsid w:val="00061342"/>
    <w:rsid w:val="000617D3"/>
    <w:rsid w:val="00061A7B"/>
    <w:rsid w:val="0006269C"/>
    <w:rsid w:val="000629C0"/>
    <w:rsid w:val="00062A93"/>
    <w:rsid w:val="00062EB9"/>
    <w:rsid w:val="0006313B"/>
    <w:rsid w:val="00063580"/>
    <w:rsid w:val="00063621"/>
    <w:rsid w:val="0006377B"/>
    <w:rsid w:val="00063C67"/>
    <w:rsid w:val="000645BF"/>
    <w:rsid w:val="00064792"/>
    <w:rsid w:val="00064E88"/>
    <w:rsid w:val="00064E8B"/>
    <w:rsid w:val="00065C6C"/>
    <w:rsid w:val="0006602F"/>
    <w:rsid w:val="00066231"/>
    <w:rsid w:val="00066254"/>
    <w:rsid w:val="0006630F"/>
    <w:rsid w:val="000663F2"/>
    <w:rsid w:val="00066927"/>
    <w:rsid w:val="000675B5"/>
    <w:rsid w:val="00070648"/>
    <w:rsid w:val="0007072F"/>
    <w:rsid w:val="000707BA"/>
    <w:rsid w:val="00070B84"/>
    <w:rsid w:val="000712BA"/>
    <w:rsid w:val="000715DB"/>
    <w:rsid w:val="00072AF3"/>
    <w:rsid w:val="000731E0"/>
    <w:rsid w:val="0007321D"/>
    <w:rsid w:val="00073EB9"/>
    <w:rsid w:val="00074060"/>
    <w:rsid w:val="000740EE"/>
    <w:rsid w:val="00074441"/>
    <w:rsid w:val="000746A6"/>
    <w:rsid w:val="000746D3"/>
    <w:rsid w:val="00074890"/>
    <w:rsid w:val="00074AAC"/>
    <w:rsid w:val="00074D89"/>
    <w:rsid w:val="000750FD"/>
    <w:rsid w:val="00075405"/>
    <w:rsid w:val="000759B4"/>
    <w:rsid w:val="00075AC6"/>
    <w:rsid w:val="000763B8"/>
    <w:rsid w:val="00080266"/>
    <w:rsid w:val="00080A97"/>
    <w:rsid w:val="00080C72"/>
    <w:rsid w:val="00080DDA"/>
    <w:rsid w:val="00080FD4"/>
    <w:rsid w:val="00081197"/>
    <w:rsid w:val="000815D9"/>
    <w:rsid w:val="0008283C"/>
    <w:rsid w:val="00082B33"/>
    <w:rsid w:val="00082F26"/>
    <w:rsid w:val="000834F3"/>
    <w:rsid w:val="00083AFC"/>
    <w:rsid w:val="000840AE"/>
    <w:rsid w:val="00084236"/>
    <w:rsid w:val="000844B3"/>
    <w:rsid w:val="00085194"/>
    <w:rsid w:val="000858A2"/>
    <w:rsid w:val="00085993"/>
    <w:rsid w:val="00085C26"/>
    <w:rsid w:val="00085EE0"/>
    <w:rsid w:val="00086806"/>
    <w:rsid w:val="00086B00"/>
    <w:rsid w:val="000870A4"/>
    <w:rsid w:val="00087492"/>
    <w:rsid w:val="00087C2E"/>
    <w:rsid w:val="00087C30"/>
    <w:rsid w:val="00087D46"/>
    <w:rsid w:val="000900BE"/>
    <w:rsid w:val="0009120F"/>
    <w:rsid w:val="0009192D"/>
    <w:rsid w:val="00091A92"/>
    <w:rsid w:val="00091ADC"/>
    <w:rsid w:val="00091F7B"/>
    <w:rsid w:val="000921D6"/>
    <w:rsid w:val="00092416"/>
    <w:rsid w:val="00093502"/>
    <w:rsid w:val="0009423E"/>
    <w:rsid w:val="0009439C"/>
    <w:rsid w:val="0009450E"/>
    <w:rsid w:val="0009583E"/>
    <w:rsid w:val="00095D3B"/>
    <w:rsid w:val="0009609B"/>
    <w:rsid w:val="00096254"/>
    <w:rsid w:val="0009629E"/>
    <w:rsid w:val="0009657E"/>
    <w:rsid w:val="0009672C"/>
    <w:rsid w:val="00096B3D"/>
    <w:rsid w:val="0009733E"/>
    <w:rsid w:val="00097869"/>
    <w:rsid w:val="00097B00"/>
    <w:rsid w:val="00097C47"/>
    <w:rsid w:val="000A1985"/>
    <w:rsid w:val="000A1B2D"/>
    <w:rsid w:val="000A1C5C"/>
    <w:rsid w:val="000A22E4"/>
    <w:rsid w:val="000A2348"/>
    <w:rsid w:val="000A482E"/>
    <w:rsid w:val="000A4CC3"/>
    <w:rsid w:val="000A507F"/>
    <w:rsid w:val="000A5F1C"/>
    <w:rsid w:val="000A6BCA"/>
    <w:rsid w:val="000A6E55"/>
    <w:rsid w:val="000A7020"/>
    <w:rsid w:val="000A715A"/>
    <w:rsid w:val="000A7BC1"/>
    <w:rsid w:val="000B005F"/>
    <w:rsid w:val="000B0082"/>
    <w:rsid w:val="000B0948"/>
    <w:rsid w:val="000B116B"/>
    <w:rsid w:val="000B147E"/>
    <w:rsid w:val="000B14E2"/>
    <w:rsid w:val="000B1865"/>
    <w:rsid w:val="000B25AB"/>
    <w:rsid w:val="000B27B0"/>
    <w:rsid w:val="000B2E07"/>
    <w:rsid w:val="000B3350"/>
    <w:rsid w:val="000B3403"/>
    <w:rsid w:val="000B3F43"/>
    <w:rsid w:val="000B414E"/>
    <w:rsid w:val="000B420E"/>
    <w:rsid w:val="000B517B"/>
    <w:rsid w:val="000B599B"/>
    <w:rsid w:val="000B6149"/>
    <w:rsid w:val="000B6464"/>
    <w:rsid w:val="000B6616"/>
    <w:rsid w:val="000B67FF"/>
    <w:rsid w:val="000B6D4B"/>
    <w:rsid w:val="000B7280"/>
    <w:rsid w:val="000B775D"/>
    <w:rsid w:val="000B7B41"/>
    <w:rsid w:val="000B7B6B"/>
    <w:rsid w:val="000C042D"/>
    <w:rsid w:val="000C16C7"/>
    <w:rsid w:val="000C17B3"/>
    <w:rsid w:val="000C18B9"/>
    <w:rsid w:val="000C1C14"/>
    <w:rsid w:val="000C1C47"/>
    <w:rsid w:val="000C1E87"/>
    <w:rsid w:val="000C1FFE"/>
    <w:rsid w:val="000C278F"/>
    <w:rsid w:val="000C3182"/>
    <w:rsid w:val="000C3627"/>
    <w:rsid w:val="000C3D7C"/>
    <w:rsid w:val="000C3E5D"/>
    <w:rsid w:val="000C3EBF"/>
    <w:rsid w:val="000C3EF9"/>
    <w:rsid w:val="000C4226"/>
    <w:rsid w:val="000C46A7"/>
    <w:rsid w:val="000C4B4A"/>
    <w:rsid w:val="000C577C"/>
    <w:rsid w:val="000C5EBC"/>
    <w:rsid w:val="000C6007"/>
    <w:rsid w:val="000C62B4"/>
    <w:rsid w:val="000C63C1"/>
    <w:rsid w:val="000C6487"/>
    <w:rsid w:val="000C66D5"/>
    <w:rsid w:val="000C671D"/>
    <w:rsid w:val="000C6905"/>
    <w:rsid w:val="000C726B"/>
    <w:rsid w:val="000C79D7"/>
    <w:rsid w:val="000C7DC0"/>
    <w:rsid w:val="000C7E03"/>
    <w:rsid w:val="000D04B5"/>
    <w:rsid w:val="000D07D7"/>
    <w:rsid w:val="000D0A2A"/>
    <w:rsid w:val="000D197F"/>
    <w:rsid w:val="000D1EC5"/>
    <w:rsid w:val="000D1F8E"/>
    <w:rsid w:val="000D2C99"/>
    <w:rsid w:val="000D3131"/>
    <w:rsid w:val="000D317E"/>
    <w:rsid w:val="000D3499"/>
    <w:rsid w:val="000D35D0"/>
    <w:rsid w:val="000D3ADD"/>
    <w:rsid w:val="000D416D"/>
    <w:rsid w:val="000D4271"/>
    <w:rsid w:val="000D565B"/>
    <w:rsid w:val="000D5A69"/>
    <w:rsid w:val="000D5C45"/>
    <w:rsid w:val="000D6183"/>
    <w:rsid w:val="000D6249"/>
    <w:rsid w:val="000D663D"/>
    <w:rsid w:val="000D713C"/>
    <w:rsid w:val="000D7241"/>
    <w:rsid w:val="000D7491"/>
    <w:rsid w:val="000D761D"/>
    <w:rsid w:val="000D7811"/>
    <w:rsid w:val="000E0233"/>
    <w:rsid w:val="000E07EE"/>
    <w:rsid w:val="000E1051"/>
    <w:rsid w:val="000E111B"/>
    <w:rsid w:val="000E125D"/>
    <w:rsid w:val="000E17A5"/>
    <w:rsid w:val="000E1EA9"/>
    <w:rsid w:val="000E20CC"/>
    <w:rsid w:val="000E221C"/>
    <w:rsid w:val="000E2C59"/>
    <w:rsid w:val="000E2D2A"/>
    <w:rsid w:val="000E2D3C"/>
    <w:rsid w:val="000E3086"/>
    <w:rsid w:val="000E3A00"/>
    <w:rsid w:val="000E4218"/>
    <w:rsid w:val="000E4714"/>
    <w:rsid w:val="000E477C"/>
    <w:rsid w:val="000E4A2E"/>
    <w:rsid w:val="000E4AA0"/>
    <w:rsid w:val="000E5032"/>
    <w:rsid w:val="000E551D"/>
    <w:rsid w:val="000E6A8A"/>
    <w:rsid w:val="000E6BBF"/>
    <w:rsid w:val="000E7078"/>
    <w:rsid w:val="000E75B1"/>
    <w:rsid w:val="000E7B06"/>
    <w:rsid w:val="000F07E0"/>
    <w:rsid w:val="000F0927"/>
    <w:rsid w:val="000F09EA"/>
    <w:rsid w:val="000F0AEC"/>
    <w:rsid w:val="000F0DF2"/>
    <w:rsid w:val="000F1BF2"/>
    <w:rsid w:val="000F1C7B"/>
    <w:rsid w:val="000F2448"/>
    <w:rsid w:val="000F25B0"/>
    <w:rsid w:val="000F2B3A"/>
    <w:rsid w:val="000F3291"/>
    <w:rsid w:val="000F33D3"/>
    <w:rsid w:val="000F3A6F"/>
    <w:rsid w:val="000F3E81"/>
    <w:rsid w:val="000F433E"/>
    <w:rsid w:val="000F4D92"/>
    <w:rsid w:val="000F512C"/>
    <w:rsid w:val="000F5A14"/>
    <w:rsid w:val="000F6137"/>
    <w:rsid w:val="000F6477"/>
    <w:rsid w:val="000F660D"/>
    <w:rsid w:val="000F72C5"/>
    <w:rsid w:val="000F7404"/>
    <w:rsid w:val="000F7D5B"/>
    <w:rsid w:val="001002A5"/>
    <w:rsid w:val="0010101A"/>
    <w:rsid w:val="0010113E"/>
    <w:rsid w:val="00101C2F"/>
    <w:rsid w:val="0010220C"/>
    <w:rsid w:val="001023DA"/>
    <w:rsid w:val="00103AEB"/>
    <w:rsid w:val="00103B1E"/>
    <w:rsid w:val="00103D34"/>
    <w:rsid w:val="001043E8"/>
    <w:rsid w:val="001051FB"/>
    <w:rsid w:val="00105E7C"/>
    <w:rsid w:val="00106635"/>
    <w:rsid w:val="00106849"/>
    <w:rsid w:val="0010772D"/>
    <w:rsid w:val="00107AAB"/>
    <w:rsid w:val="00107DBE"/>
    <w:rsid w:val="001100AC"/>
    <w:rsid w:val="00110BD9"/>
    <w:rsid w:val="0011171E"/>
    <w:rsid w:val="001118FC"/>
    <w:rsid w:val="00111A1E"/>
    <w:rsid w:val="00111A2D"/>
    <w:rsid w:val="00111B72"/>
    <w:rsid w:val="00111CA9"/>
    <w:rsid w:val="00112548"/>
    <w:rsid w:val="00112720"/>
    <w:rsid w:val="00112F5B"/>
    <w:rsid w:val="00113A0E"/>
    <w:rsid w:val="00113A99"/>
    <w:rsid w:val="00113AF4"/>
    <w:rsid w:val="00114B86"/>
    <w:rsid w:val="00115442"/>
    <w:rsid w:val="00115F5F"/>
    <w:rsid w:val="00115FBC"/>
    <w:rsid w:val="0011635D"/>
    <w:rsid w:val="00116814"/>
    <w:rsid w:val="00116CBB"/>
    <w:rsid w:val="0011747F"/>
    <w:rsid w:val="001174AE"/>
    <w:rsid w:val="00117D20"/>
    <w:rsid w:val="00117D34"/>
    <w:rsid w:val="00117DC0"/>
    <w:rsid w:val="00117E74"/>
    <w:rsid w:val="00120547"/>
    <w:rsid w:val="00120802"/>
    <w:rsid w:val="0012191A"/>
    <w:rsid w:val="001231A6"/>
    <w:rsid w:val="001234BD"/>
    <w:rsid w:val="001235F0"/>
    <w:rsid w:val="001236EF"/>
    <w:rsid w:val="001239B2"/>
    <w:rsid w:val="00123B65"/>
    <w:rsid w:val="001240C4"/>
    <w:rsid w:val="00124323"/>
    <w:rsid w:val="00124ACB"/>
    <w:rsid w:val="001255C6"/>
    <w:rsid w:val="0012638B"/>
    <w:rsid w:val="00130193"/>
    <w:rsid w:val="0013024C"/>
    <w:rsid w:val="001303EA"/>
    <w:rsid w:val="0013041D"/>
    <w:rsid w:val="00130436"/>
    <w:rsid w:val="00130EFA"/>
    <w:rsid w:val="00131BB7"/>
    <w:rsid w:val="00131C08"/>
    <w:rsid w:val="00131D21"/>
    <w:rsid w:val="0013248D"/>
    <w:rsid w:val="00132F97"/>
    <w:rsid w:val="00133180"/>
    <w:rsid w:val="00133205"/>
    <w:rsid w:val="001333DB"/>
    <w:rsid w:val="00133450"/>
    <w:rsid w:val="001335B1"/>
    <w:rsid w:val="00133C3B"/>
    <w:rsid w:val="00133F22"/>
    <w:rsid w:val="0013449B"/>
    <w:rsid w:val="001344C7"/>
    <w:rsid w:val="001346D2"/>
    <w:rsid w:val="00134862"/>
    <w:rsid w:val="00134BD1"/>
    <w:rsid w:val="00134CC0"/>
    <w:rsid w:val="00135E46"/>
    <w:rsid w:val="001361B4"/>
    <w:rsid w:val="001363FF"/>
    <w:rsid w:val="00136517"/>
    <w:rsid w:val="001365A0"/>
    <w:rsid w:val="00137953"/>
    <w:rsid w:val="00140213"/>
    <w:rsid w:val="0014047C"/>
    <w:rsid w:val="0014115B"/>
    <w:rsid w:val="00141AE7"/>
    <w:rsid w:val="00141BE9"/>
    <w:rsid w:val="00141E3C"/>
    <w:rsid w:val="00142784"/>
    <w:rsid w:val="00142C09"/>
    <w:rsid w:val="00142CC9"/>
    <w:rsid w:val="00142FA9"/>
    <w:rsid w:val="00143102"/>
    <w:rsid w:val="0014329A"/>
    <w:rsid w:val="001433F1"/>
    <w:rsid w:val="00143861"/>
    <w:rsid w:val="001440A4"/>
    <w:rsid w:val="00144815"/>
    <w:rsid w:val="00144F89"/>
    <w:rsid w:val="00145537"/>
    <w:rsid w:val="00145D1C"/>
    <w:rsid w:val="00146021"/>
    <w:rsid w:val="00150049"/>
    <w:rsid w:val="00150055"/>
    <w:rsid w:val="001502A2"/>
    <w:rsid w:val="00150373"/>
    <w:rsid w:val="00150AE6"/>
    <w:rsid w:val="00150C40"/>
    <w:rsid w:val="00150D03"/>
    <w:rsid w:val="00151F58"/>
    <w:rsid w:val="00151F67"/>
    <w:rsid w:val="0015285A"/>
    <w:rsid w:val="0015299C"/>
    <w:rsid w:val="00152FB4"/>
    <w:rsid w:val="0015313E"/>
    <w:rsid w:val="001531B4"/>
    <w:rsid w:val="001533BA"/>
    <w:rsid w:val="00153787"/>
    <w:rsid w:val="0015396D"/>
    <w:rsid w:val="00153BBF"/>
    <w:rsid w:val="001543DB"/>
    <w:rsid w:val="0015440E"/>
    <w:rsid w:val="001552FB"/>
    <w:rsid w:val="00155B83"/>
    <w:rsid w:val="00155E4D"/>
    <w:rsid w:val="00156262"/>
    <w:rsid w:val="001563CA"/>
    <w:rsid w:val="00156979"/>
    <w:rsid w:val="00156A19"/>
    <w:rsid w:val="00156D43"/>
    <w:rsid w:val="00157103"/>
    <w:rsid w:val="00157320"/>
    <w:rsid w:val="00157C06"/>
    <w:rsid w:val="00157CF4"/>
    <w:rsid w:val="001600D7"/>
    <w:rsid w:val="0016036D"/>
    <w:rsid w:val="001608AE"/>
    <w:rsid w:val="00160D3E"/>
    <w:rsid w:val="00160F50"/>
    <w:rsid w:val="001610F5"/>
    <w:rsid w:val="00161375"/>
    <w:rsid w:val="001613B7"/>
    <w:rsid w:val="00161A0D"/>
    <w:rsid w:val="00162D4C"/>
    <w:rsid w:val="001631FE"/>
    <w:rsid w:val="00163584"/>
    <w:rsid w:val="001635A4"/>
    <w:rsid w:val="001638BE"/>
    <w:rsid w:val="00163AF5"/>
    <w:rsid w:val="00163FCD"/>
    <w:rsid w:val="00164003"/>
    <w:rsid w:val="00164249"/>
    <w:rsid w:val="00164902"/>
    <w:rsid w:val="00164B0A"/>
    <w:rsid w:val="00164B7B"/>
    <w:rsid w:val="00165240"/>
    <w:rsid w:val="00165735"/>
    <w:rsid w:val="00166390"/>
    <w:rsid w:val="001666A4"/>
    <w:rsid w:val="00166AF1"/>
    <w:rsid w:val="00166B91"/>
    <w:rsid w:val="00166C88"/>
    <w:rsid w:val="00166CED"/>
    <w:rsid w:val="00167F1C"/>
    <w:rsid w:val="00170706"/>
    <w:rsid w:val="00170B25"/>
    <w:rsid w:val="00170BD1"/>
    <w:rsid w:val="001718C5"/>
    <w:rsid w:val="00171A3B"/>
    <w:rsid w:val="00171CE9"/>
    <w:rsid w:val="00171F84"/>
    <w:rsid w:val="0017246C"/>
    <w:rsid w:val="00173282"/>
    <w:rsid w:val="001734B9"/>
    <w:rsid w:val="00173886"/>
    <w:rsid w:val="00173F97"/>
    <w:rsid w:val="00173FCF"/>
    <w:rsid w:val="00174754"/>
    <w:rsid w:val="00175739"/>
    <w:rsid w:val="00175FAB"/>
    <w:rsid w:val="001760DA"/>
    <w:rsid w:val="001769B1"/>
    <w:rsid w:val="00177096"/>
    <w:rsid w:val="001771F7"/>
    <w:rsid w:val="00180926"/>
    <w:rsid w:val="0018107F"/>
    <w:rsid w:val="00181CCB"/>
    <w:rsid w:val="00181D44"/>
    <w:rsid w:val="00181DE6"/>
    <w:rsid w:val="00181F65"/>
    <w:rsid w:val="001821F4"/>
    <w:rsid w:val="00183599"/>
    <w:rsid w:val="00183DF4"/>
    <w:rsid w:val="001841FA"/>
    <w:rsid w:val="0018449C"/>
    <w:rsid w:val="00185480"/>
    <w:rsid w:val="001857E0"/>
    <w:rsid w:val="0018632C"/>
    <w:rsid w:val="001863AB"/>
    <w:rsid w:val="00186697"/>
    <w:rsid w:val="001866AB"/>
    <w:rsid w:val="001867C4"/>
    <w:rsid w:val="00186855"/>
    <w:rsid w:val="00186A0B"/>
    <w:rsid w:val="00186B2C"/>
    <w:rsid w:val="00186DB1"/>
    <w:rsid w:val="001870BC"/>
    <w:rsid w:val="001872B9"/>
    <w:rsid w:val="00187300"/>
    <w:rsid w:val="0018738A"/>
    <w:rsid w:val="00187BD2"/>
    <w:rsid w:val="00187C27"/>
    <w:rsid w:val="00187CB1"/>
    <w:rsid w:val="00187CDD"/>
    <w:rsid w:val="00190215"/>
    <w:rsid w:val="001902E5"/>
    <w:rsid w:val="001904B0"/>
    <w:rsid w:val="00190ED8"/>
    <w:rsid w:val="001914DA"/>
    <w:rsid w:val="00191864"/>
    <w:rsid w:val="001919E8"/>
    <w:rsid w:val="00191DC4"/>
    <w:rsid w:val="00192AFC"/>
    <w:rsid w:val="0019308B"/>
    <w:rsid w:val="001934E3"/>
    <w:rsid w:val="001938D1"/>
    <w:rsid w:val="00194200"/>
    <w:rsid w:val="001942EB"/>
    <w:rsid w:val="00194589"/>
    <w:rsid w:val="00194761"/>
    <w:rsid w:val="001948C3"/>
    <w:rsid w:val="00194924"/>
    <w:rsid w:val="0019500A"/>
    <w:rsid w:val="0019547E"/>
    <w:rsid w:val="0019565F"/>
    <w:rsid w:val="001958CA"/>
    <w:rsid w:val="00195D31"/>
    <w:rsid w:val="00195E63"/>
    <w:rsid w:val="00196835"/>
    <w:rsid w:val="00196FFE"/>
    <w:rsid w:val="00197957"/>
    <w:rsid w:val="00197DF4"/>
    <w:rsid w:val="001A0E8A"/>
    <w:rsid w:val="001A16A9"/>
    <w:rsid w:val="001A1A33"/>
    <w:rsid w:val="001A1AEE"/>
    <w:rsid w:val="001A1C41"/>
    <w:rsid w:val="001A2E4E"/>
    <w:rsid w:val="001A301F"/>
    <w:rsid w:val="001A3D9F"/>
    <w:rsid w:val="001A415B"/>
    <w:rsid w:val="001A42F7"/>
    <w:rsid w:val="001A43DB"/>
    <w:rsid w:val="001A4BAE"/>
    <w:rsid w:val="001A5377"/>
    <w:rsid w:val="001A5641"/>
    <w:rsid w:val="001A58E7"/>
    <w:rsid w:val="001A5C92"/>
    <w:rsid w:val="001A5EEF"/>
    <w:rsid w:val="001A612C"/>
    <w:rsid w:val="001A624C"/>
    <w:rsid w:val="001A62A0"/>
    <w:rsid w:val="001A62BA"/>
    <w:rsid w:val="001A68C1"/>
    <w:rsid w:val="001A6B02"/>
    <w:rsid w:val="001A6F5F"/>
    <w:rsid w:val="001A714B"/>
    <w:rsid w:val="001A71C3"/>
    <w:rsid w:val="001A74B6"/>
    <w:rsid w:val="001A798E"/>
    <w:rsid w:val="001A7D50"/>
    <w:rsid w:val="001B02BF"/>
    <w:rsid w:val="001B0531"/>
    <w:rsid w:val="001B0DD6"/>
    <w:rsid w:val="001B0E49"/>
    <w:rsid w:val="001B16EB"/>
    <w:rsid w:val="001B1A2F"/>
    <w:rsid w:val="001B1ACB"/>
    <w:rsid w:val="001B213D"/>
    <w:rsid w:val="001B2294"/>
    <w:rsid w:val="001B3238"/>
    <w:rsid w:val="001B3D61"/>
    <w:rsid w:val="001B4946"/>
    <w:rsid w:val="001B4A8B"/>
    <w:rsid w:val="001B5976"/>
    <w:rsid w:val="001B5ACC"/>
    <w:rsid w:val="001B5C67"/>
    <w:rsid w:val="001B60D9"/>
    <w:rsid w:val="001B7730"/>
    <w:rsid w:val="001C0110"/>
    <w:rsid w:val="001C0AF7"/>
    <w:rsid w:val="001C0C1A"/>
    <w:rsid w:val="001C0C6B"/>
    <w:rsid w:val="001C0E3E"/>
    <w:rsid w:val="001C0E71"/>
    <w:rsid w:val="001C1D54"/>
    <w:rsid w:val="001C256D"/>
    <w:rsid w:val="001C27CF"/>
    <w:rsid w:val="001C27DF"/>
    <w:rsid w:val="001C34BA"/>
    <w:rsid w:val="001C3AF1"/>
    <w:rsid w:val="001C4E4F"/>
    <w:rsid w:val="001C51B8"/>
    <w:rsid w:val="001C58F2"/>
    <w:rsid w:val="001C6458"/>
    <w:rsid w:val="001C6B56"/>
    <w:rsid w:val="001C701F"/>
    <w:rsid w:val="001C71B5"/>
    <w:rsid w:val="001D0D38"/>
    <w:rsid w:val="001D0F2A"/>
    <w:rsid w:val="001D120F"/>
    <w:rsid w:val="001D1E46"/>
    <w:rsid w:val="001D20A4"/>
    <w:rsid w:val="001D23BC"/>
    <w:rsid w:val="001D23F2"/>
    <w:rsid w:val="001D2E28"/>
    <w:rsid w:val="001D355E"/>
    <w:rsid w:val="001D3AB6"/>
    <w:rsid w:val="001D3AC0"/>
    <w:rsid w:val="001D3CDE"/>
    <w:rsid w:val="001D3F44"/>
    <w:rsid w:val="001D4377"/>
    <w:rsid w:val="001D465D"/>
    <w:rsid w:val="001D4C8D"/>
    <w:rsid w:val="001D4D43"/>
    <w:rsid w:val="001D55BB"/>
    <w:rsid w:val="001D5D94"/>
    <w:rsid w:val="001D5E08"/>
    <w:rsid w:val="001D5E18"/>
    <w:rsid w:val="001D5FED"/>
    <w:rsid w:val="001D6030"/>
    <w:rsid w:val="001D60FE"/>
    <w:rsid w:val="001D684F"/>
    <w:rsid w:val="001D6BA3"/>
    <w:rsid w:val="001E02D1"/>
    <w:rsid w:val="001E0C63"/>
    <w:rsid w:val="001E10B5"/>
    <w:rsid w:val="001E12CD"/>
    <w:rsid w:val="001E148F"/>
    <w:rsid w:val="001E1CC1"/>
    <w:rsid w:val="001E2128"/>
    <w:rsid w:val="001E267B"/>
    <w:rsid w:val="001E2BF6"/>
    <w:rsid w:val="001E3014"/>
    <w:rsid w:val="001E355A"/>
    <w:rsid w:val="001E3645"/>
    <w:rsid w:val="001E3AEC"/>
    <w:rsid w:val="001E40F0"/>
    <w:rsid w:val="001E4584"/>
    <w:rsid w:val="001E539D"/>
    <w:rsid w:val="001E59FB"/>
    <w:rsid w:val="001E5A19"/>
    <w:rsid w:val="001E696A"/>
    <w:rsid w:val="001E6A68"/>
    <w:rsid w:val="001E6C10"/>
    <w:rsid w:val="001E6C70"/>
    <w:rsid w:val="001E6CAE"/>
    <w:rsid w:val="001E75C5"/>
    <w:rsid w:val="001E784D"/>
    <w:rsid w:val="001F02D9"/>
    <w:rsid w:val="001F0617"/>
    <w:rsid w:val="001F0875"/>
    <w:rsid w:val="001F0D48"/>
    <w:rsid w:val="001F0D4F"/>
    <w:rsid w:val="001F0DB7"/>
    <w:rsid w:val="001F10E4"/>
    <w:rsid w:val="001F14D8"/>
    <w:rsid w:val="001F1853"/>
    <w:rsid w:val="001F1982"/>
    <w:rsid w:val="001F1B4F"/>
    <w:rsid w:val="001F22E7"/>
    <w:rsid w:val="001F2B87"/>
    <w:rsid w:val="001F2FC9"/>
    <w:rsid w:val="001F32A9"/>
    <w:rsid w:val="001F352D"/>
    <w:rsid w:val="001F3734"/>
    <w:rsid w:val="001F388F"/>
    <w:rsid w:val="001F3B76"/>
    <w:rsid w:val="001F50A7"/>
    <w:rsid w:val="001F50E9"/>
    <w:rsid w:val="001F542B"/>
    <w:rsid w:val="001F562A"/>
    <w:rsid w:val="001F565A"/>
    <w:rsid w:val="001F56EE"/>
    <w:rsid w:val="001F5959"/>
    <w:rsid w:val="001F5CA6"/>
    <w:rsid w:val="001F606B"/>
    <w:rsid w:val="001F662E"/>
    <w:rsid w:val="001F6B44"/>
    <w:rsid w:val="001F732C"/>
    <w:rsid w:val="001F75C1"/>
    <w:rsid w:val="001F7977"/>
    <w:rsid w:val="001F7A84"/>
    <w:rsid w:val="001F7EC3"/>
    <w:rsid w:val="0020050E"/>
    <w:rsid w:val="00200830"/>
    <w:rsid w:val="0020115A"/>
    <w:rsid w:val="00201F52"/>
    <w:rsid w:val="0020234A"/>
    <w:rsid w:val="00202DFC"/>
    <w:rsid w:val="00204142"/>
    <w:rsid w:val="00205FBE"/>
    <w:rsid w:val="00206225"/>
    <w:rsid w:val="00206463"/>
    <w:rsid w:val="00206878"/>
    <w:rsid w:val="00206D6A"/>
    <w:rsid w:val="00206DF4"/>
    <w:rsid w:val="002103F2"/>
    <w:rsid w:val="002106DB"/>
    <w:rsid w:val="002109BF"/>
    <w:rsid w:val="00210B4E"/>
    <w:rsid w:val="00210F83"/>
    <w:rsid w:val="00210FA9"/>
    <w:rsid w:val="0021128A"/>
    <w:rsid w:val="002113F6"/>
    <w:rsid w:val="00211891"/>
    <w:rsid w:val="00211CED"/>
    <w:rsid w:val="00212153"/>
    <w:rsid w:val="00212499"/>
    <w:rsid w:val="002125D6"/>
    <w:rsid w:val="00212626"/>
    <w:rsid w:val="0021325E"/>
    <w:rsid w:val="002133B5"/>
    <w:rsid w:val="002135A1"/>
    <w:rsid w:val="00214CC2"/>
    <w:rsid w:val="00214FEB"/>
    <w:rsid w:val="00216381"/>
    <w:rsid w:val="00216D6C"/>
    <w:rsid w:val="00216F19"/>
    <w:rsid w:val="0021787D"/>
    <w:rsid w:val="00217EDD"/>
    <w:rsid w:val="002201F5"/>
    <w:rsid w:val="00220601"/>
    <w:rsid w:val="0022092C"/>
    <w:rsid w:val="00220A7A"/>
    <w:rsid w:val="00220BB9"/>
    <w:rsid w:val="002210A3"/>
    <w:rsid w:val="00221704"/>
    <w:rsid w:val="00221C61"/>
    <w:rsid w:val="0022348B"/>
    <w:rsid w:val="002239A4"/>
    <w:rsid w:val="00223DBA"/>
    <w:rsid w:val="00223F41"/>
    <w:rsid w:val="002248DF"/>
    <w:rsid w:val="00224A40"/>
    <w:rsid w:val="00224E71"/>
    <w:rsid w:val="002253D1"/>
    <w:rsid w:val="00225858"/>
    <w:rsid w:val="00225AE7"/>
    <w:rsid w:val="00225E43"/>
    <w:rsid w:val="00225E92"/>
    <w:rsid w:val="00226073"/>
    <w:rsid w:val="0022635C"/>
    <w:rsid w:val="00226B69"/>
    <w:rsid w:val="00226F25"/>
    <w:rsid w:val="002277F1"/>
    <w:rsid w:val="0023032D"/>
    <w:rsid w:val="00230D05"/>
    <w:rsid w:val="00230DF5"/>
    <w:rsid w:val="00230EDB"/>
    <w:rsid w:val="002312B3"/>
    <w:rsid w:val="00231C91"/>
    <w:rsid w:val="00231EB6"/>
    <w:rsid w:val="002323B1"/>
    <w:rsid w:val="00233414"/>
    <w:rsid w:val="002336EB"/>
    <w:rsid w:val="002339C1"/>
    <w:rsid w:val="00233BD9"/>
    <w:rsid w:val="00233D3B"/>
    <w:rsid w:val="0023410C"/>
    <w:rsid w:val="002346BF"/>
    <w:rsid w:val="00234B7A"/>
    <w:rsid w:val="00234C7A"/>
    <w:rsid w:val="00234DC8"/>
    <w:rsid w:val="00235085"/>
    <w:rsid w:val="0023591C"/>
    <w:rsid w:val="00235AD7"/>
    <w:rsid w:val="00235C84"/>
    <w:rsid w:val="002367BC"/>
    <w:rsid w:val="00236898"/>
    <w:rsid w:val="00236F5D"/>
    <w:rsid w:val="002371F2"/>
    <w:rsid w:val="002373BA"/>
    <w:rsid w:val="00237617"/>
    <w:rsid w:val="00237D7B"/>
    <w:rsid w:val="00237DD4"/>
    <w:rsid w:val="002402FB"/>
    <w:rsid w:val="002403AB"/>
    <w:rsid w:val="0024086C"/>
    <w:rsid w:val="00240B43"/>
    <w:rsid w:val="00240CCC"/>
    <w:rsid w:val="002414E2"/>
    <w:rsid w:val="00241A5C"/>
    <w:rsid w:val="00241C15"/>
    <w:rsid w:val="00241F12"/>
    <w:rsid w:val="00242092"/>
    <w:rsid w:val="00242709"/>
    <w:rsid w:val="0024302E"/>
    <w:rsid w:val="002433E8"/>
    <w:rsid w:val="0024369D"/>
    <w:rsid w:val="00243C1C"/>
    <w:rsid w:val="00243F0E"/>
    <w:rsid w:val="002441BE"/>
    <w:rsid w:val="002447C1"/>
    <w:rsid w:val="002451AA"/>
    <w:rsid w:val="002453BE"/>
    <w:rsid w:val="002458F3"/>
    <w:rsid w:val="00245F50"/>
    <w:rsid w:val="0024622C"/>
    <w:rsid w:val="00246238"/>
    <w:rsid w:val="0024656D"/>
    <w:rsid w:val="00246836"/>
    <w:rsid w:val="002468E5"/>
    <w:rsid w:val="00246B28"/>
    <w:rsid w:val="00246BC2"/>
    <w:rsid w:val="00246CF3"/>
    <w:rsid w:val="0024723E"/>
    <w:rsid w:val="002501A4"/>
    <w:rsid w:val="002502A8"/>
    <w:rsid w:val="0025120C"/>
    <w:rsid w:val="00251283"/>
    <w:rsid w:val="002513DE"/>
    <w:rsid w:val="00251C4A"/>
    <w:rsid w:val="00251E7B"/>
    <w:rsid w:val="002522E4"/>
    <w:rsid w:val="002527AC"/>
    <w:rsid w:val="002528CC"/>
    <w:rsid w:val="00252D16"/>
    <w:rsid w:val="00252F49"/>
    <w:rsid w:val="00253376"/>
    <w:rsid w:val="00253443"/>
    <w:rsid w:val="00253667"/>
    <w:rsid w:val="00253715"/>
    <w:rsid w:val="0025374C"/>
    <w:rsid w:val="00253ADA"/>
    <w:rsid w:val="00253C52"/>
    <w:rsid w:val="002544BE"/>
    <w:rsid w:val="00254BEC"/>
    <w:rsid w:val="0025555E"/>
    <w:rsid w:val="0025597E"/>
    <w:rsid w:val="00255BF6"/>
    <w:rsid w:val="00255DC5"/>
    <w:rsid w:val="00255E37"/>
    <w:rsid w:val="00256547"/>
    <w:rsid w:val="00256A19"/>
    <w:rsid w:val="00256D6E"/>
    <w:rsid w:val="00257100"/>
    <w:rsid w:val="00257272"/>
    <w:rsid w:val="00257557"/>
    <w:rsid w:val="00257747"/>
    <w:rsid w:val="002600ED"/>
    <w:rsid w:val="0026041B"/>
    <w:rsid w:val="00260586"/>
    <w:rsid w:val="00260593"/>
    <w:rsid w:val="002609CA"/>
    <w:rsid w:val="002616F3"/>
    <w:rsid w:val="00261726"/>
    <w:rsid w:val="00261A24"/>
    <w:rsid w:val="00262050"/>
    <w:rsid w:val="00262145"/>
    <w:rsid w:val="00262313"/>
    <w:rsid w:val="00262804"/>
    <w:rsid w:val="00262F55"/>
    <w:rsid w:val="002630F3"/>
    <w:rsid w:val="0026318C"/>
    <w:rsid w:val="002634B7"/>
    <w:rsid w:val="002637C6"/>
    <w:rsid w:val="00263CDC"/>
    <w:rsid w:val="00263D17"/>
    <w:rsid w:val="002645AA"/>
    <w:rsid w:val="002647D1"/>
    <w:rsid w:val="00264E2B"/>
    <w:rsid w:val="00264FFE"/>
    <w:rsid w:val="0026598F"/>
    <w:rsid w:val="0026658D"/>
    <w:rsid w:val="002674B7"/>
    <w:rsid w:val="0026774F"/>
    <w:rsid w:val="0026776F"/>
    <w:rsid w:val="00267B04"/>
    <w:rsid w:val="00267DEA"/>
    <w:rsid w:val="00270115"/>
    <w:rsid w:val="002704A0"/>
    <w:rsid w:val="0027076D"/>
    <w:rsid w:val="002709A1"/>
    <w:rsid w:val="00270AFF"/>
    <w:rsid w:val="00270EEB"/>
    <w:rsid w:val="00270F26"/>
    <w:rsid w:val="00271456"/>
    <w:rsid w:val="00272CD9"/>
    <w:rsid w:val="00273516"/>
    <w:rsid w:val="00273FCE"/>
    <w:rsid w:val="00274B4D"/>
    <w:rsid w:val="00275110"/>
    <w:rsid w:val="002755BC"/>
    <w:rsid w:val="00275B61"/>
    <w:rsid w:val="0027652D"/>
    <w:rsid w:val="00276D77"/>
    <w:rsid w:val="00276EBC"/>
    <w:rsid w:val="0027768C"/>
    <w:rsid w:val="002778E6"/>
    <w:rsid w:val="00277CA8"/>
    <w:rsid w:val="00277EC2"/>
    <w:rsid w:val="002802F5"/>
    <w:rsid w:val="002804B6"/>
    <w:rsid w:val="0028059E"/>
    <w:rsid w:val="002808EF"/>
    <w:rsid w:val="00280B47"/>
    <w:rsid w:val="00280E4B"/>
    <w:rsid w:val="00280E9D"/>
    <w:rsid w:val="00280EB0"/>
    <w:rsid w:val="00281541"/>
    <w:rsid w:val="00281F87"/>
    <w:rsid w:val="002820E1"/>
    <w:rsid w:val="002824CA"/>
    <w:rsid w:val="00282762"/>
    <w:rsid w:val="0028343A"/>
    <w:rsid w:val="00283845"/>
    <w:rsid w:val="002839D5"/>
    <w:rsid w:val="00283A86"/>
    <w:rsid w:val="002846FC"/>
    <w:rsid w:val="00284FD0"/>
    <w:rsid w:val="0028552C"/>
    <w:rsid w:val="002874EA"/>
    <w:rsid w:val="00287CD3"/>
    <w:rsid w:val="00287E74"/>
    <w:rsid w:val="00290204"/>
    <w:rsid w:val="002903D6"/>
    <w:rsid w:val="002906A6"/>
    <w:rsid w:val="00290D12"/>
    <w:rsid w:val="00291DB8"/>
    <w:rsid w:val="002922EE"/>
    <w:rsid w:val="002923E8"/>
    <w:rsid w:val="002926ED"/>
    <w:rsid w:val="00292897"/>
    <w:rsid w:val="002928D7"/>
    <w:rsid w:val="00293034"/>
    <w:rsid w:val="002938C6"/>
    <w:rsid w:val="00293F65"/>
    <w:rsid w:val="00293FD7"/>
    <w:rsid w:val="002940BC"/>
    <w:rsid w:val="00295200"/>
    <w:rsid w:val="00295925"/>
    <w:rsid w:val="00295B4E"/>
    <w:rsid w:val="00296A2C"/>
    <w:rsid w:val="00296A4D"/>
    <w:rsid w:val="00296F7D"/>
    <w:rsid w:val="002973ED"/>
    <w:rsid w:val="002976B9"/>
    <w:rsid w:val="002976DF"/>
    <w:rsid w:val="002A1849"/>
    <w:rsid w:val="002A1EF2"/>
    <w:rsid w:val="002A22AA"/>
    <w:rsid w:val="002A2715"/>
    <w:rsid w:val="002A3296"/>
    <w:rsid w:val="002A39A3"/>
    <w:rsid w:val="002A3A57"/>
    <w:rsid w:val="002A3B7C"/>
    <w:rsid w:val="002A3BA3"/>
    <w:rsid w:val="002A3CB1"/>
    <w:rsid w:val="002A3FF4"/>
    <w:rsid w:val="002A425F"/>
    <w:rsid w:val="002A44C2"/>
    <w:rsid w:val="002A46B7"/>
    <w:rsid w:val="002A4A83"/>
    <w:rsid w:val="002A4ADF"/>
    <w:rsid w:val="002A503D"/>
    <w:rsid w:val="002A541A"/>
    <w:rsid w:val="002A6A6B"/>
    <w:rsid w:val="002A6EBA"/>
    <w:rsid w:val="002A72EE"/>
    <w:rsid w:val="002A79A9"/>
    <w:rsid w:val="002A7A32"/>
    <w:rsid w:val="002B0292"/>
    <w:rsid w:val="002B02BA"/>
    <w:rsid w:val="002B055D"/>
    <w:rsid w:val="002B0D7C"/>
    <w:rsid w:val="002B1057"/>
    <w:rsid w:val="002B1200"/>
    <w:rsid w:val="002B1B23"/>
    <w:rsid w:val="002B1B61"/>
    <w:rsid w:val="002B1C8D"/>
    <w:rsid w:val="002B1F6E"/>
    <w:rsid w:val="002B2466"/>
    <w:rsid w:val="002B270F"/>
    <w:rsid w:val="002B27BC"/>
    <w:rsid w:val="002B330D"/>
    <w:rsid w:val="002B3F99"/>
    <w:rsid w:val="002B40BA"/>
    <w:rsid w:val="002B41E2"/>
    <w:rsid w:val="002B4283"/>
    <w:rsid w:val="002B42FF"/>
    <w:rsid w:val="002B45E2"/>
    <w:rsid w:val="002B4AD8"/>
    <w:rsid w:val="002B4AF1"/>
    <w:rsid w:val="002B4FA8"/>
    <w:rsid w:val="002B519B"/>
    <w:rsid w:val="002B59CC"/>
    <w:rsid w:val="002B5F9F"/>
    <w:rsid w:val="002B673E"/>
    <w:rsid w:val="002B6870"/>
    <w:rsid w:val="002B6B4B"/>
    <w:rsid w:val="002B7E97"/>
    <w:rsid w:val="002C0149"/>
    <w:rsid w:val="002C0295"/>
    <w:rsid w:val="002C0B4C"/>
    <w:rsid w:val="002C1004"/>
    <w:rsid w:val="002C1375"/>
    <w:rsid w:val="002C15D0"/>
    <w:rsid w:val="002C1E19"/>
    <w:rsid w:val="002C209E"/>
    <w:rsid w:val="002C2153"/>
    <w:rsid w:val="002C2224"/>
    <w:rsid w:val="002C2536"/>
    <w:rsid w:val="002C2B29"/>
    <w:rsid w:val="002C2B67"/>
    <w:rsid w:val="002C4099"/>
    <w:rsid w:val="002C424A"/>
    <w:rsid w:val="002C4580"/>
    <w:rsid w:val="002C4D0A"/>
    <w:rsid w:val="002C52D1"/>
    <w:rsid w:val="002C5383"/>
    <w:rsid w:val="002C555C"/>
    <w:rsid w:val="002C612B"/>
    <w:rsid w:val="002C6B47"/>
    <w:rsid w:val="002C6D53"/>
    <w:rsid w:val="002C6E0E"/>
    <w:rsid w:val="002C6E3A"/>
    <w:rsid w:val="002C6F79"/>
    <w:rsid w:val="002C73F6"/>
    <w:rsid w:val="002C7C68"/>
    <w:rsid w:val="002D0323"/>
    <w:rsid w:val="002D063F"/>
    <w:rsid w:val="002D0CC4"/>
    <w:rsid w:val="002D128D"/>
    <w:rsid w:val="002D12C2"/>
    <w:rsid w:val="002D15A4"/>
    <w:rsid w:val="002D1988"/>
    <w:rsid w:val="002D19C1"/>
    <w:rsid w:val="002D232A"/>
    <w:rsid w:val="002D27C9"/>
    <w:rsid w:val="002D2C47"/>
    <w:rsid w:val="002D2CAE"/>
    <w:rsid w:val="002D2E7E"/>
    <w:rsid w:val="002D35BD"/>
    <w:rsid w:val="002D36C7"/>
    <w:rsid w:val="002D370A"/>
    <w:rsid w:val="002D3821"/>
    <w:rsid w:val="002D3DCC"/>
    <w:rsid w:val="002D3F19"/>
    <w:rsid w:val="002D42A0"/>
    <w:rsid w:val="002D52F6"/>
    <w:rsid w:val="002D55DE"/>
    <w:rsid w:val="002D5F03"/>
    <w:rsid w:val="002D5F67"/>
    <w:rsid w:val="002D624B"/>
    <w:rsid w:val="002D695F"/>
    <w:rsid w:val="002D6981"/>
    <w:rsid w:val="002D6CAE"/>
    <w:rsid w:val="002D713F"/>
    <w:rsid w:val="002D73C9"/>
    <w:rsid w:val="002D77FE"/>
    <w:rsid w:val="002D78F5"/>
    <w:rsid w:val="002E0209"/>
    <w:rsid w:val="002E045E"/>
    <w:rsid w:val="002E0470"/>
    <w:rsid w:val="002E04F8"/>
    <w:rsid w:val="002E051A"/>
    <w:rsid w:val="002E0AA5"/>
    <w:rsid w:val="002E0DE0"/>
    <w:rsid w:val="002E120D"/>
    <w:rsid w:val="002E1416"/>
    <w:rsid w:val="002E1DDD"/>
    <w:rsid w:val="002E2C4C"/>
    <w:rsid w:val="002E32B8"/>
    <w:rsid w:val="002E3507"/>
    <w:rsid w:val="002E39C5"/>
    <w:rsid w:val="002E3FE4"/>
    <w:rsid w:val="002E430C"/>
    <w:rsid w:val="002E46BB"/>
    <w:rsid w:val="002E4723"/>
    <w:rsid w:val="002E4DFF"/>
    <w:rsid w:val="002E5870"/>
    <w:rsid w:val="002E5B4C"/>
    <w:rsid w:val="002E5BA0"/>
    <w:rsid w:val="002E5DE0"/>
    <w:rsid w:val="002E652A"/>
    <w:rsid w:val="002E77B5"/>
    <w:rsid w:val="002E7F0A"/>
    <w:rsid w:val="002F066C"/>
    <w:rsid w:val="002F096F"/>
    <w:rsid w:val="002F0B8A"/>
    <w:rsid w:val="002F0E87"/>
    <w:rsid w:val="002F111C"/>
    <w:rsid w:val="002F1331"/>
    <w:rsid w:val="002F13E6"/>
    <w:rsid w:val="002F148C"/>
    <w:rsid w:val="002F1590"/>
    <w:rsid w:val="002F1BB3"/>
    <w:rsid w:val="002F1E2E"/>
    <w:rsid w:val="002F1FB4"/>
    <w:rsid w:val="002F2042"/>
    <w:rsid w:val="002F2357"/>
    <w:rsid w:val="002F25EC"/>
    <w:rsid w:val="002F2C27"/>
    <w:rsid w:val="002F375C"/>
    <w:rsid w:val="002F3C9C"/>
    <w:rsid w:val="002F3E7D"/>
    <w:rsid w:val="002F43A6"/>
    <w:rsid w:val="002F4F60"/>
    <w:rsid w:val="002F51D4"/>
    <w:rsid w:val="002F5420"/>
    <w:rsid w:val="002F5A67"/>
    <w:rsid w:val="002F5FBD"/>
    <w:rsid w:val="002F6488"/>
    <w:rsid w:val="002F6D0E"/>
    <w:rsid w:val="002F73A0"/>
    <w:rsid w:val="002F77A3"/>
    <w:rsid w:val="003000B4"/>
    <w:rsid w:val="0030097B"/>
    <w:rsid w:val="00300A97"/>
    <w:rsid w:val="00300F4A"/>
    <w:rsid w:val="00301C9A"/>
    <w:rsid w:val="00301F57"/>
    <w:rsid w:val="003026B8"/>
    <w:rsid w:val="003026EB"/>
    <w:rsid w:val="00302969"/>
    <w:rsid w:val="003039DF"/>
    <w:rsid w:val="0030413D"/>
    <w:rsid w:val="00304417"/>
    <w:rsid w:val="003049C0"/>
    <w:rsid w:val="00304BB2"/>
    <w:rsid w:val="00304DAD"/>
    <w:rsid w:val="00304DF1"/>
    <w:rsid w:val="0030566A"/>
    <w:rsid w:val="003056F9"/>
    <w:rsid w:val="00305979"/>
    <w:rsid w:val="00305B81"/>
    <w:rsid w:val="00305DE0"/>
    <w:rsid w:val="00305FAC"/>
    <w:rsid w:val="0030608A"/>
    <w:rsid w:val="0030646F"/>
    <w:rsid w:val="00306CE9"/>
    <w:rsid w:val="00306FE1"/>
    <w:rsid w:val="003071FE"/>
    <w:rsid w:val="00307420"/>
    <w:rsid w:val="003074F7"/>
    <w:rsid w:val="003103CE"/>
    <w:rsid w:val="0031074F"/>
    <w:rsid w:val="00310792"/>
    <w:rsid w:val="00310AB1"/>
    <w:rsid w:val="00310F5E"/>
    <w:rsid w:val="00310FED"/>
    <w:rsid w:val="0031115B"/>
    <w:rsid w:val="00311566"/>
    <w:rsid w:val="00311611"/>
    <w:rsid w:val="00311690"/>
    <w:rsid w:val="00313073"/>
    <w:rsid w:val="00313FF8"/>
    <w:rsid w:val="003146F7"/>
    <w:rsid w:val="0031474F"/>
    <w:rsid w:val="00314B45"/>
    <w:rsid w:val="00315142"/>
    <w:rsid w:val="0031581E"/>
    <w:rsid w:val="0031603C"/>
    <w:rsid w:val="003160F3"/>
    <w:rsid w:val="0031651E"/>
    <w:rsid w:val="00316F1B"/>
    <w:rsid w:val="00317016"/>
    <w:rsid w:val="00317092"/>
    <w:rsid w:val="003177C2"/>
    <w:rsid w:val="00317C22"/>
    <w:rsid w:val="00320A25"/>
    <w:rsid w:val="00321001"/>
    <w:rsid w:val="00321248"/>
    <w:rsid w:val="00321556"/>
    <w:rsid w:val="00321946"/>
    <w:rsid w:val="00321A1F"/>
    <w:rsid w:val="00321D92"/>
    <w:rsid w:val="00321EF8"/>
    <w:rsid w:val="003224C5"/>
    <w:rsid w:val="00322660"/>
    <w:rsid w:val="003226FF"/>
    <w:rsid w:val="003233C4"/>
    <w:rsid w:val="00323436"/>
    <w:rsid w:val="00323A96"/>
    <w:rsid w:val="003241F6"/>
    <w:rsid w:val="003248ED"/>
    <w:rsid w:val="00325256"/>
    <w:rsid w:val="00325C7F"/>
    <w:rsid w:val="0032622F"/>
    <w:rsid w:val="0032654A"/>
    <w:rsid w:val="00326855"/>
    <w:rsid w:val="00326936"/>
    <w:rsid w:val="00326CE2"/>
    <w:rsid w:val="00326FA8"/>
    <w:rsid w:val="003301C6"/>
    <w:rsid w:val="00330263"/>
    <w:rsid w:val="00330618"/>
    <w:rsid w:val="00330821"/>
    <w:rsid w:val="00331A3D"/>
    <w:rsid w:val="0033238F"/>
    <w:rsid w:val="00333A93"/>
    <w:rsid w:val="00334507"/>
    <w:rsid w:val="0033530A"/>
    <w:rsid w:val="00335404"/>
    <w:rsid w:val="00335C87"/>
    <w:rsid w:val="003360CD"/>
    <w:rsid w:val="0033692A"/>
    <w:rsid w:val="00336D41"/>
    <w:rsid w:val="0033701B"/>
    <w:rsid w:val="003372EE"/>
    <w:rsid w:val="0033794F"/>
    <w:rsid w:val="00337F00"/>
    <w:rsid w:val="003405CA"/>
    <w:rsid w:val="003408D2"/>
    <w:rsid w:val="00340A08"/>
    <w:rsid w:val="00340B21"/>
    <w:rsid w:val="00340DAB"/>
    <w:rsid w:val="00341BF9"/>
    <w:rsid w:val="003421BD"/>
    <w:rsid w:val="00342429"/>
    <w:rsid w:val="003424DC"/>
    <w:rsid w:val="00342823"/>
    <w:rsid w:val="00342F51"/>
    <w:rsid w:val="00343144"/>
    <w:rsid w:val="00343C25"/>
    <w:rsid w:val="00343D34"/>
    <w:rsid w:val="00344781"/>
    <w:rsid w:val="00344D1A"/>
    <w:rsid w:val="00344DD0"/>
    <w:rsid w:val="00344F5E"/>
    <w:rsid w:val="00344FAF"/>
    <w:rsid w:val="003452DA"/>
    <w:rsid w:val="003458ED"/>
    <w:rsid w:val="00345F66"/>
    <w:rsid w:val="0034617F"/>
    <w:rsid w:val="0034674E"/>
    <w:rsid w:val="003467A1"/>
    <w:rsid w:val="00347096"/>
    <w:rsid w:val="0034752B"/>
    <w:rsid w:val="003476A1"/>
    <w:rsid w:val="003501E5"/>
    <w:rsid w:val="0035045F"/>
    <w:rsid w:val="00350EBD"/>
    <w:rsid w:val="00350FAD"/>
    <w:rsid w:val="003513E3"/>
    <w:rsid w:val="003514CF"/>
    <w:rsid w:val="00351506"/>
    <w:rsid w:val="003516E4"/>
    <w:rsid w:val="00351731"/>
    <w:rsid w:val="00351A7E"/>
    <w:rsid w:val="00351BD6"/>
    <w:rsid w:val="003524B0"/>
    <w:rsid w:val="003527E7"/>
    <w:rsid w:val="00352D65"/>
    <w:rsid w:val="00352D90"/>
    <w:rsid w:val="00353588"/>
    <w:rsid w:val="0035368D"/>
    <w:rsid w:val="003537F1"/>
    <w:rsid w:val="00353C15"/>
    <w:rsid w:val="00353F78"/>
    <w:rsid w:val="003557B7"/>
    <w:rsid w:val="0035744C"/>
    <w:rsid w:val="003606BF"/>
    <w:rsid w:val="00360EC2"/>
    <w:rsid w:val="00361164"/>
    <w:rsid w:val="003619AD"/>
    <w:rsid w:val="00362045"/>
    <w:rsid w:val="003621AD"/>
    <w:rsid w:val="00362353"/>
    <w:rsid w:val="0036262E"/>
    <w:rsid w:val="00362958"/>
    <w:rsid w:val="00362EF5"/>
    <w:rsid w:val="0036300A"/>
    <w:rsid w:val="003631D0"/>
    <w:rsid w:val="003633B0"/>
    <w:rsid w:val="003635EE"/>
    <w:rsid w:val="00363A57"/>
    <w:rsid w:val="00363E53"/>
    <w:rsid w:val="00363F68"/>
    <w:rsid w:val="003649E9"/>
    <w:rsid w:val="00364F4C"/>
    <w:rsid w:val="00365079"/>
    <w:rsid w:val="00365530"/>
    <w:rsid w:val="00365A03"/>
    <w:rsid w:val="00366A02"/>
    <w:rsid w:val="00366B46"/>
    <w:rsid w:val="0036768B"/>
    <w:rsid w:val="00367B1F"/>
    <w:rsid w:val="003705F2"/>
    <w:rsid w:val="0037078C"/>
    <w:rsid w:val="00370E22"/>
    <w:rsid w:val="0037132A"/>
    <w:rsid w:val="00371991"/>
    <w:rsid w:val="00371BB4"/>
    <w:rsid w:val="00372AE6"/>
    <w:rsid w:val="00372D3A"/>
    <w:rsid w:val="00373063"/>
    <w:rsid w:val="00373080"/>
    <w:rsid w:val="003736CA"/>
    <w:rsid w:val="00373911"/>
    <w:rsid w:val="00373A66"/>
    <w:rsid w:val="00373ABC"/>
    <w:rsid w:val="00373E25"/>
    <w:rsid w:val="00373FCA"/>
    <w:rsid w:val="0037418D"/>
    <w:rsid w:val="003746AC"/>
    <w:rsid w:val="003747C9"/>
    <w:rsid w:val="00375499"/>
    <w:rsid w:val="00375873"/>
    <w:rsid w:val="0037610F"/>
    <w:rsid w:val="00376A71"/>
    <w:rsid w:val="00376FE3"/>
    <w:rsid w:val="003770CE"/>
    <w:rsid w:val="00380D09"/>
    <w:rsid w:val="00380F4E"/>
    <w:rsid w:val="00380F81"/>
    <w:rsid w:val="0038170D"/>
    <w:rsid w:val="00381898"/>
    <w:rsid w:val="00381D7C"/>
    <w:rsid w:val="0038203B"/>
    <w:rsid w:val="0038255D"/>
    <w:rsid w:val="003828BA"/>
    <w:rsid w:val="00384555"/>
    <w:rsid w:val="003845EF"/>
    <w:rsid w:val="00384BF3"/>
    <w:rsid w:val="00384D6A"/>
    <w:rsid w:val="0038519E"/>
    <w:rsid w:val="003853FB"/>
    <w:rsid w:val="0038615B"/>
    <w:rsid w:val="00386BDE"/>
    <w:rsid w:val="00386CBF"/>
    <w:rsid w:val="003870D7"/>
    <w:rsid w:val="00387253"/>
    <w:rsid w:val="003873DE"/>
    <w:rsid w:val="003906D3"/>
    <w:rsid w:val="00391BBA"/>
    <w:rsid w:val="0039272A"/>
    <w:rsid w:val="00392D7B"/>
    <w:rsid w:val="00392F64"/>
    <w:rsid w:val="00392FAA"/>
    <w:rsid w:val="003934E6"/>
    <w:rsid w:val="00393503"/>
    <w:rsid w:val="003936FE"/>
    <w:rsid w:val="0039391E"/>
    <w:rsid w:val="00393A8D"/>
    <w:rsid w:val="00393D55"/>
    <w:rsid w:val="00393EA4"/>
    <w:rsid w:val="00394061"/>
    <w:rsid w:val="003940DF"/>
    <w:rsid w:val="0039450B"/>
    <w:rsid w:val="0039469E"/>
    <w:rsid w:val="00394CA6"/>
    <w:rsid w:val="00394F18"/>
    <w:rsid w:val="003956A2"/>
    <w:rsid w:val="003956FA"/>
    <w:rsid w:val="00395754"/>
    <w:rsid w:val="00395C8D"/>
    <w:rsid w:val="00396890"/>
    <w:rsid w:val="00396E22"/>
    <w:rsid w:val="00397264"/>
    <w:rsid w:val="0039736F"/>
    <w:rsid w:val="00397EEB"/>
    <w:rsid w:val="00397F46"/>
    <w:rsid w:val="003A0AA5"/>
    <w:rsid w:val="003A0D83"/>
    <w:rsid w:val="003A1464"/>
    <w:rsid w:val="003A1A07"/>
    <w:rsid w:val="003A1E87"/>
    <w:rsid w:val="003A20AA"/>
    <w:rsid w:val="003A2173"/>
    <w:rsid w:val="003A2EF8"/>
    <w:rsid w:val="003A3447"/>
    <w:rsid w:val="003A3513"/>
    <w:rsid w:val="003A3C7F"/>
    <w:rsid w:val="003A3D3F"/>
    <w:rsid w:val="003A3D9F"/>
    <w:rsid w:val="003A3DC3"/>
    <w:rsid w:val="003A440C"/>
    <w:rsid w:val="003A44F5"/>
    <w:rsid w:val="003A4B57"/>
    <w:rsid w:val="003A51C6"/>
    <w:rsid w:val="003A587E"/>
    <w:rsid w:val="003A6A55"/>
    <w:rsid w:val="003A75A9"/>
    <w:rsid w:val="003A75F5"/>
    <w:rsid w:val="003A78E6"/>
    <w:rsid w:val="003B00EA"/>
    <w:rsid w:val="003B0263"/>
    <w:rsid w:val="003B038F"/>
    <w:rsid w:val="003B0B27"/>
    <w:rsid w:val="003B126D"/>
    <w:rsid w:val="003B153B"/>
    <w:rsid w:val="003B1E6B"/>
    <w:rsid w:val="003B1FA4"/>
    <w:rsid w:val="003B22E9"/>
    <w:rsid w:val="003B243A"/>
    <w:rsid w:val="003B248C"/>
    <w:rsid w:val="003B2494"/>
    <w:rsid w:val="003B39F0"/>
    <w:rsid w:val="003B3A2A"/>
    <w:rsid w:val="003B3E70"/>
    <w:rsid w:val="003B4980"/>
    <w:rsid w:val="003B4BD2"/>
    <w:rsid w:val="003B4F2D"/>
    <w:rsid w:val="003B5007"/>
    <w:rsid w:val="003B558E"/>
    <w:rsid w:val="003B5799"/>
    <w:rsid w:val="003B6B85"/>
    <w:rsid w:val="003B7721"/>
    <w:rsid w:val="003B773D"/>
    <w:rsid w:val="003B77DA"/>
    <w:rsid w:val="003B78E1"/>
    <w:rsid w:val="003C09A2"/>
    <w:rsid w:val="003C0D5B"/>
    <w:rsid w:val="003C1032"/>
    <w:rsid w:val="003C1C19"/>
    <w:rsid w:val="003C1CFC"/>
    <w:rsid w:val="003C234A"/>
    <w:rsid w:val="003C23CA"/>
    <w:rsid w:val="003C27A2"/>
    <w:rsid w:val="003C2C05"/>
    <w:rsid w:val="003C35B8"/>
    <w:rsid w:val="003C380A"/>
    <w:rsid w:val="003C3850"/>
    <w:rsid w:val="003C3963"/>
    <w:rsid w:val="003C3B73"/>
    <w:rsid w:val="003C3E20"/>
    <w:rsid w:val="003C4323"/>
    <w:rsid w:val="003C4683"/>
    <w:rsid w:val="003C554A"/>
    <w:rsid w:val="003C5635"/>
    <w:rsid w:val="003C57BA"/>
    <w:rsid w:val="003C57F6"/>
    <w:rsid w:val="003C5C5B"/>
    <w:rsid w:val="003C6664"/>
    <w:rsid w:val="003C66C2"/>
    <w:rsid w:val="003C681E"/>
    <w:rsid w:val="003C7323"/>
    <w:rsid w:val="003C76A1"/>
    <w:rsid w:val="003C7BBC"/>
    <w:rsid w:val="003C7E0E"/>
    <w:rsid w:val="003D06F5"/>
    <w:rsid w:val="003D0EDD"/>
    <w:rsid w:val="003D173E"/>
    <w:rsid w:val="003D1882"/>
    <w:rsid w:val="003D1AA1"/>
    <w:rsid w:val="003D1E17"/>
    <w:rsid w:val="003D22D5"/>
    <w:rsid w:val="003D24D7"/>
    <w:rsid w:val="003D2B4B"/>
    <w:rsid w:val="003D2BAD"/>
    <w:rsid w:val="003D2DA4"/>
    <w:rsid w:val="003D2E71"/>
    <w:rsid w:val="003D39BC"/>
    <w:rsid w:val="003D3D3A"/>
    <w:rsid w:val="003D3DF6"/>
    <w:rsid w:val="003D3E02"/>
    <w:rsid w:val="003D3F4C"/>
    <w:rsid w:val="003D3FE8"/>
    <w:rsid w:val="003D4218"/>
    <w:rsid w:val="003D42CA"/>
    <w:rsid w:val="003D43DA"/>
    <w:rsid w:val="003D43E0"/>
    <w:rsid w:val="003D4780"/>
    <w:rsid w:val="003D47CC"/>
    <w:rsid w:val="003D5083"/>
    <w:rsid w:val="003D5264"/>
    <w:rsid w:val="003D6201"/>
    <w:rsid w:val="003D6DFF"/>
    <w:rsid w:val="003D7979"/>
    <w:rsid w:val="003D7BB8"/>
    <w:rsid w:val="003D7E78"/>
    <w:rsid w:val="003E03FF"/>
    <w:rsid w:val="003E07BA"/>
    <w:rsid w:val="003E0B58"/>
    <w:rsid w:val="003E15FC"/>
    <w:rsid w:val="003E1B37"/>
    <w:rsid w:val="003E1E28"/>
    <w:rsid w:val="003E1EDB"/>
    <w:rsid w:val="003E2189"/>
    <w:rsid w:val="003E2231"/>
    <w:rsid w:val="003E2D16"/>
    <w:rsid w:val="003E3495"/>
    <w:rsid w:val="003E37ED"/>
    <w:rsid w:val="003E37F4"/>
    <w:rsid w:val="003E386F"/>
    <w:rsid w:val="003E4245"/>
    <w:rsid w:val="003E465D"/>
    <w:rsid w:val="003E4D0E"/>
    <w:rsid w:val="003E4F71"/>
    <w:rsid w:val="003E522B"/>
    <w:rsid w:val="003E5530"/>
    <w:rsid w:val="003E55A9"/>
    <w:rsid w:val="003E5938"/>
    <w:rsid w:val="003E61DA"/>
    <w:rsid w:val="003E6558"/>
    <w:rsid w:val="003E6756"/>
    <w:rsid w:val="003E6F05"/>
    <w:rsid w:val="003E6F32"/>
    <w:rsid w:val="003E7809"/>
    <w:rsid w:val="003E7A46"/>
    <w:rsid w:val="003E7C5C"/>
    <w:rsid w:val="003E7ECA"/>
    <w:rsid w:val="003F0C9D"/>
    <w:rsid w:val="003F0D84"/>
    <w:rsid w:val="003F18E5"/>
    <w:rsid w:val="003F1A29"/>
    <w:rsid w:val="003F2356"/>
    <w:rsid w:val="003F2424"/>
    <w:rsid w:val="003F2A5C"/>
    <w:rsid w:val="003F33C6"/>
    <w:rsid w:val="003F3855"/>
    <w:rsid w:val="003F3900"/>
    <w:rsid w:val="003F3BD0"/>
    <w:rsid w:val="003F3C25"/>
    <w:rsid w:val="003F3DE2"/>
    <w:rsid w:val="003F4366"/>
    <w:rsid w:val="003F4884"/>
    <w:rsid w:val="003F4D86"/>
    <w:rsid w:val="003F4D9D"/>
    <w:rsid w:val="003F4DBF"/>
    <w:rsid w:val="003F52AD"/>
    <w:rsid w:val="003F62E3"/>
    <w:rsid w:val="003F6983"/>
    <w:rsid w:val="003F6DFE"/>
    <w:rsid w:val="003F7ABB"/>
    <w:rsid w:val="003F7AE7"/>
    <w:rsid w:val="003F7B0B"/>
    <w:rsid w:val="003F7D3A"/>
    <w:rsid w:val="0040015F"/>
    <w:rsid w:val="00400725"/>
    <w:rsid w:val="0040077A"/>
    <w:rsid w:val="00401210"/>
    <w:rsid w:val="00401ABB"/>
    <w:rsid w:val="00401EFC"/>
    <w:rsid w:val="004024B0"/>
    <w:rsid w:val="0040258E"/>
    <w:rsid w:val="00402723"/>
    <w:rsid w:val="00402DE3"/>
    <w:rsid w:val="00403474"/>
    <w:rsid w:val="004037D1"/>
    <w:rsid w:val="0040385D"/>
    <w:rsid w:val="00403F22"/>
    <w:rsid w:val="0040446F"/>
    <w:rsid w:val="004050A6"/>
    <w:rsid w:val="004050CC"/>
    <w:rsid w:val="00405529"/>
    <w:rsid w:val="00405958"/>
    <w:rsid w:val="004059E8"/>
    <w:rsid w:val="00405E9A"/>
    <w:rsid w:val="004062C0"/>
    <w:rsid w:val="004067A3"/>
    <w:rsid w:val="0040696A"/>
    <w:rsid w:val="00406EB0"/>
    <w:rsid w:val="0040790E"/>
    <w:rsid w:val="00407B9D"/>
    <w:rsid w:val="004103DB"/>
    <w:rsid w:val="00410EEC"/>
    <w:rsid w:val="00410F1F"/>
    <w:rsid w:val="00410F7D"/>
    <w:rsid w:val="00411104"/>
    <w:rsid w:val="00411200"/>
    <w:rsid w:val="004112AA"/>
    <w:rsid w:val="0041155F"/>
    <w:rsid w:val="0041191B"/>
    <w:rsid w:val="00411B47"/>
    <w:rsid w:val="00411B8A"/>
    <w:rsid w:val="00411C4A"/>
    <w:rsid w:val="0041220C"/>
    <w:rsid w:val="004124FE"/>
    <w:rsid w:val="00412D71"/>
    <w:rsid w:val="004132E4"/>
    <w:rsid w:val="0041354D"/>
    <w:rsid w:val="00414152"/>
    <w:rsid w:val="004143A8"/>
    <w:rsid w:val="00414883"/>
    <w:rsid w:val="00414990"/>
    <w:rsid w:val="00414E56"/>
    <w:rsid w:val="004155C6"/>
    <w:rsid w:val="00415F53"/>
    <w:rsid w:val="004163FA"/>
    <w:rsid w:val="00416B07"/>
    <w:rsid w:val="00416C5B"/>
    <w:rsid w:val="00416E6C"/>
    <w:rsid w:val="00416F0A"/>
    <w:rsid w:val="004175EE"/>
    <w:rsid w:val="00417AFB"/>
    <w:rsid w:val="00417DA3"/>
    <w:rsid w:val="00417FF2"/>
    <w:rsid w:val="00420294"/>
    <w:rsid w:val="004205B3"/>
    <w:rsid w:val="004212E8"/>
    <w:rsid w:val="00421A4C"/>
    <w:rsid w:val="00421C9C"/>
    <w:rsid w:val="00421CEE"/>
    <w:rsid w:val="00422A2D"/>
    <w:rsid w:val="00422E10"/>
    <w:rsid w:val="00423387"/>
    <w:rsid w:val="004233B7"/>
    <w:rsid w:val="00423497"/>
    <w:rsid w:val="00423650"/>
    <w:rsid w:val="00423A79"/>
    <w:rsid w:val="0042472C"/>
    <w:rsid w:val="00424A37"/>
    <w:rsid w:val="00424FD0"/>
    <w:rsid w:val="00425056"/>
    <w:rsid w:val="0042506C"/>
    <w:rsid w:val="00425533"/>
    <w:rsid w:val="00425B44"/>
    <w:rsid w:val="00425B55"/>
    <w:rsid w:val="00425E95"/>
    <w:rsid w:val="00425F38"/>
    <w:rsid w:val="00425FCD"/>
    <w:rsid w:val="00426D48"/>
    <w:rsid w:val="004272E1"/>
    <w:rsid w:val="00427443"/>
    <w:rsid w:val="00427A97"/>
    <w:rsid w:val="00427B53"/>
    <w:rsid w:val="004302B8"/>
    <w:rsid w:val="0043080A"/>
    <w:rsid w:val="00431B0D"/>
    <w:rsid w:val="00431CEB"/>
    <w:rsid w:val="00432C69"/>
    <w:rsid w:val="00432DD6"/>
    <w:rsid w:val="0043340C"/>
    <w:rsid w:val="00433727"/>
    <w:rsid w:val="0043374C"/>
    <w:rsid w:val="00433D2C"/>
    <w:rsid w:val="00433ECD"/>
    <w:rsid w:val="0043411B"/>
    <w:rsid w:val="00434D61"/>
    <w:rsid w:val="00434E12"/>
    <w:rsid w:val="00434F6A"/>
    <w:rsid w:val="00435054"/>
    <w:rsid w:val="004354D5"/>
    <w:rsid w:val="00435ADA"/>
    <w:rsid w:val="00435E05"/>
    <w:rsid w:val="00435E77"/>
    <w:rsid w:val="00436E4B"/>
    <w:rsid w:val="004374CD"/>
    <w:rsid w:val="004376E7"/>
    <w:rsid w:val="00437E34"/>
    <w:rsid w:val="00441527"/>
    <w:rsid w:val="004417ED"/>
    <w:rsid w:val="00442FC0"/>
    <w:rsid w:val="0044391B"/>
    <w:rsid w:val="00443C2C"/>
    <w:rsid w:val="00443C41"/>
    <w:rsid w:val="00443F66"/>
    <w:rsid w:val="0044435C"/>
    <w:rsid w:val="00444399"/>
    <w:rsid w:val="004443F4"/>
    <w:rsid w:val="004448C6"/>
    <w:rsid w:val="00444917"/>
    <w:rsid w:val="0044491E"/>
    <w:rsid w:val="00444D0E"/>
    <w:rsid w:val="00445DFA"/>
    <w:rsid w:val="004466E0"/>
    <w:rsid w:val="00447F91"/>
    <w:rsid w:val="0045013F"/>
    <w:rsid w:val="00450651"/>
    <w:rsid w:val="0045158A"/>
    <w:rsid w:val="00452259"/>
    <w:rsid w:val="00452DCC"/>
    <w:rsid w:val="00453477"/>
    <w:rsid w:val="00453B89"/>
    <w:rsid w:val="00454507"/>
    <w:rsid w:val="00454640"/>
    <w:rsid w:val="00454867"/>
    <w:rsid w:val="00454ECF"/>
    <w:rsid w:val="00454F85"/>
    <w:rsid w:val="004554B1"/>
    <w:rsid w:val="0045554E"/>
    <w:rsid w:val="004563B7"/>
    <w:rsid w:val="004575E6"/>
    <w:rsid w:val="004575F0"/>
    <w:rsid w:val="00457A30"/>
    <w:rsid w:val="00457E27"/>
    <w:rsid w:val="004601EB"/>
    <w:rsid w:val="00461079"/>
    <w:rsid w:val="004611DD"/>
    <w:rsid w:val="00462981"/>
    <w:rsid w:val="0046298E"/>
    <w:rsid w:val="004629AB"/>
    <w:rsid w:val="0046326D"/>
    <w:rsid w:val="004634A3"/>
    <w:rsid w:val="00463DD3"/>
    <w:rsid w:val="004640B4"/>
    <w:rsid w:val="0046410B"/>
    <w:rsid w:val="004642B2"/>
    <w:rsid w:val="00464D5E"/>
    <w:rsid w:val="00465395"/>
    <w:rsid w:val="004657C4"/>
    <w:rsid w:val="00466435"/>
    <w:rsid w:val="0046650C"/>
    <w:rsid w:val="00467115"/>
    <w:rsid w:val="00467468"/>
    <w:rsid w:val="0046760E"/>
    <w:rsid w:val="00467E36"/>
    <w:rsid w:val="0047031F"/>
    <w:rsid w:val="00470AB7"/>
    <w:rsid w:val="004710B8"/>
    <w:rsid w:val="0047123D"/>
    <w:rsid w:val="004719E8"/>
    <w:rsid w:val="00472B8D"/>
    <w:rsid w:val="00473868"/>
    <w:rsid w:val="004740B1"/>
    <w:rsid w:val="004747D7"/>
    <w:rsid w:val="00474A04"/>
    <w:rsid w:val="00475897"/>
    <w:rsid w:val="0047610D"/>
    <w:rsid w:val="004767AE"/>
    <w:rsid w:val="00476940"/>
    <w:rsid w:val="00476A0C"/>
    <w:rsid w:val="00476B9B"/>
    <w:rsid w:val="00476EA1"/>
    <w:rsid w:val="00477661"/>
    <w:rsid w:val="00477A6A"/>
    <w:rsid w:val="0048054C"/>
    <w:rsid w:val="0048057C"/>
    <w:rsid w:val="00480FDF"/>
    <w:rsid w:val="00481171"/>
    <w:rsid w:val="004811AA"/>
    <w:rsid w:val="004811E0"/>
    <w:rsid w:val="004819DB"/>
    <w:rsid w:val="00481A39"/>
    <w:rsid w:val="00481B41"/>
    <w:rsid w:val="00481D3F"/>
    <w:rsid w:val="00481E5B"/>
    <w:rsid w:val="00482561"/>
    <w:rsid w:val="00483199"/>
    <w:rsid w:val="004847DC"/>
    <w:rsid w:val="00484FB0"/>
    <w:rsid w:val="004855BF"/>
    <w:rsid w:val="00486272"/>
    <w:rsid w:val="00486433"/>
    <w:rsid w:val="00486DC2"/>
    <w:rsid w:val="004873D3"/>
    <w:rsid w:val="004876F8"/>
    <w:rsid w:val="0048793E"/>
    <w:rsid w:val="00487B07"/>
    <w:rsid w:val="0049062A"/>
    <w:rsid w:val="00490807"/>
    <w:rsid w:val="004917DE"/>
    <w:rsid w:val="00491835"/>
    <w:rsid w:val="00491AD2"/>
    <w:rsid w:val="004928B0"/>
    <w:rsid w:val="00492F33"/>
    <w:rsid w:val="004930CC"/>
    <w:rsid w:val="00493C82"/>
    <w:rsid w:val="00493EEF"/>
    <w:rsid w:val="00493F3B"/>
    <w:rsid w:val="00494185"/>
    <w:rsid w:val="00494A95"/>
    <w:rsid w:val="00495870"/>
    <w:rsid w:val="00495A89"/>
    <w:rsid w:val="00496795"/>
    <w:rsid w:val="00496ACA"/>
    <w:rsid w:val="004970AD"/>
    <w:rsid w:val="004974CF"/>
    <w:rsid w:val="004974FF"/>
    <w:rsid w:val="004978C1"/>
    <w:rsid w:val="004A01CF"/>
    <w:rsid w:val="004A03AD"/>
    <w:rsid w:val="004A06D9"/>
    <w:rsid w:val="004A0B60"/>
    <w:rsid w:val="004A0BFD"/>
    <w:rsid w:val="004A146A"/>
    <w:rsid w:val="004A14E9"/>
    <w:rsid w:val="004A2B6E"/>
    <w:rsid w:val="004A312D"/>
    <w:rsid w:val="004A3329"/>
    <w:rsid w:val="004A3E75"/>
    <w:rsid w:val="004A4188"/>
    <w:rsid w:val="004A43D1"/>
    <w:rsid w:val="004A4D99"/>
    <w:rsid w:val="004A4E60"/>
    <w:rsid w:val="004A4EC7"/>
    <w:rsid w:val="004A51D4"/>
    <w:rsid w:val="004A5483"/>
    <w:rsid w:val="004A5A35"/>
    <w:rsid w:val="004A5C74"/>
    <w:rsid w:val="004A6327"/>
    <w:rsid w:val="004A681E"/>
    <w:rsid w:val="004A6ECC"/>
    <w:rsid w:val="004A7053"/>
    <w:rsid w:val="004A73E3"/>
    <w:rsid w:val="004A75C6"/>
    <w:rsid w:val="004A7602"/>
    <w:rsid w:val="004A76DC"/>
    <w:rsid w:val="004B058F"/>
    <w:rsid w:val="004B08B2"/>
    <w:rsid w:val="004B1166"/>
    <w:rsid w:val="004B1267"/>
    <w:rsid w:val="004B19B1"/>
    <w:rsid w:val="004B1E9E"/>
    <w:rsid w:val="004B2029"/>
    <w:rsid w:val="004B20D1"/>
    <w:rsid w:val="004B2145"/>
    <w:rsid w:val="004B2642"/>
    <w:rsid w:val="004B2CFD"/>
    <w:rsid w:val="004B3181"/>
    <w:rsid w:val="004B382E"/>
    <w:rsid w:val="004B459B"/>
    <w:rsid w:val="004B4DBB"/>
    <w:rsid w:val="004B56F9"/>
    <w:rsid w:val="004B5D69"/>
    <w:rsid w:val="004B5E42"/>
    <w:rsid w:val="004B5ED6"/>
    <w:rsid w:val="004B5F11"/>
    <w:rsid w:val="004B605A"/>
    <w:rsid w:val="004B6742"/>
    <w:rsid w:val="004B67EA"/>
    <w:rsid w:val="004B69B2"/>
    <w:rsid w:val="004B7476"/>
    <w:rsid w:val="004B7849"/>
    <w:rsid w:val="004B7AD8"/>
    <w:rsid w:val="004B7BDF"/>
    <w:rsid w:val="004B7DDC"/>
    <w:rsid w:val="004C0BFB"/>
    <w:rsid w:val="004C1309"/>
    <w:rsid w:val="004C15DC"/>
    <w:rsid w:val="004C1985"/>
    <w:rsid w:val="004C1D3A"/>
    <w:rsid w:val="004C204A"/>
    <w:rsid w:val="004C287D"/>
    <w:rsid w:val="004C30F0"/>
    <w:rsid w:val="004C39E7"/>
    <w:rsid w:val="004C3F22"/>
    <w:rsid w:val="004C3FDD"/>
    <w:rsid w:val="004C42C7"/>
    <w:rsid w:val="004C4C13"/>
    <w:rsid w:val="004C50AB"/>
    <w:rsid w:val="004C518F"/>
    <w:rsid w:val="004C5C54"/>
    <w:rsid w:val="004C615B"/>
    <w:rsid w:val="004C6341"/>
    <w:rsid w:val="004C6857"/>
    <w:rsid w:val="004C6BA0"/>
    <w:rsid w:val="004C7106"/>
    <w:rsid w:val="004C7810"/>
    <w:rsid w:val="004C7AD9"/>
    <w:rsid w:val="004D0354"/>
    <w:rsid w:val="004D08AF"/>
    <w:rsid w:val="004D0E53"/>
    <w:rsid w:val="004D12E8"/>
    <w:rsid w:val="004D1770"/>
    <w:rsid w:val="004D1965"/>
    <w:rsid w:val="004D1A88"/>
    <w:rsid w:val="004D26B2"/>
    <w:rsid w:val="004D2DED"/>
    <w:rsid w:val="004D2E45"/>
    <w:rsid w:val="004D37A1"/>
    <w:rsid w:val="004D3A05"/>
    <w:rsid w:val="004D4166"/>
    <w:rsid w:val="004D439C"/>
    <w:rsid w:val="004D497D"/>
    <w:rsid w:val="004D4C48"/>
    <w:rsid w:val="004D53AC"/>
    <w:rsid w:val="004D5C94"/>
    <w:rsid w:val="004D640C"/>
    <w:rsid w:val="004D6499"/>
    <w:rsid w:val="004D67F9"/>
    <w:rsid w:val="004D699D"/>
    <w:rsid w:val="004D69B4"/>
    <w:rsid w:val="004D7989"/>
    <w:rsid w:val="004D7B8D"/>
    <w:rsid w:val="004D7C30"/>
    <w:rsid w:val="004D7CD2"/>
    <w:rsid w:val="004E00A3"/>
    <w:rsid w:val="004E04BE"/>
    <w:rsid w:val="004E0623"/>
    <w:rsid w:val="004E0896"/>
    <w:rsid w:val="004E08DC"/>
    <w:rsid w:val="004E0E84"/>
    <w:rsid w:val="004E1230"/>
    <w:rsid w:val="004E12FF"/>
    <w:rsid w:val="004E1DA8"/>
    <w:rsid w:val="004E2CF7"/>
    <w:rsid w:val="004E2F97"/>
    <w:rsid w:val="004E3A1A"/>
    <w:rsid w:val="004E4111"/>
    <w:rsid w:val="004E4285"/>
    <w:rsid w:val="004E4AFF"/>
    <w:rsid w:val="004E5069"/>
    <w:rsid w:val="004E5213"/>
    <w:rsid w:val="004E5735"/>
    <w:rsid w:val="004E57B0"/>
    <w:rsid w:val="004E5816"/>
    <w:rsid w:val="004E5E60"/>
    <w:rsid w:val="004E6542"/>
    <w:rsid w:val="004E66DE"/>
    <w:rsid w:val="004E678D"/>
    <w:rsid w:val="004E7556"/>
    <w:rsid w:val="004E7913"/>
    <w:rsid w:val="004E7F54"/>
    <w:rsid w:val="004F01B1"/>
    <w:rsid w:val="004F075B"/>
    <w:rsid w:val="004F0C0D"/>
    <w:rsid w:val="004F1BD4"/>
    <w:rsid w:val="004F1FA2"/>
    <w:rsid w:val="004F2886"/>
    <w:rsid w:val="004F2BB0"/>
    <w:rsid w:val="004F31EC"/>
    <w:rsid w:val="004F3AFA"/>
    <w:rsid w:val="004F3EA0"/>
    <w:rsid w:val="004F3EEE"/>
    <w:rsid w:val="004F419B"/>
    <w:rsid w:val="004F41F9"/>
    <w:rsid w:val="004F4518"/>
    <w:rsid w:val="004F4D91"/>
    <w:rsid w:val="004F4EA1"/>
    <w:rsid w:val="004F5297"/>
    <w:rsid w:val="004F5CA2"/>
    <w:rsid w:val="004F6397"/>
    <w:rsid w:val="004F69B7"/>
    <w:rsid w:val="004F6B45"/>
    <w:rsid w:val="004F6E93"/>
    <w:rsid w:val="004F760C"/>
    <w:rsid w:val="004F79BB"/>
    <w:rsid w:val="004F7D9D"/>
    <w:rsid w:val="00500568"/>
    <w:rsid w:val="0050087D"/>
    <w:rsid w:val="00501300"/>
    <w:rsid w:val="0050135C"/>
    <w:rsid w:val="00501383"/>
    <w:rsid w:val="00501897"/>
    <w:rsid w:val="00501DCF"/>
    <w:rsid w:val="00501E7B"/>
    <w:rsid w:val="00502228"/>
    <w:rsid w:val="005023DC"/>
    <w:rsid w:val="00502560"/>
    <w:rsid w:val="0050276C"/>
    <w:rsid w:val="00502D82"/>
    <w:rsid w:val="005040F2"/>
    <w:rsid w:val="0050467C"/>
    <w:rsid w:val="005046F6"/>
    <w:rsid w:val="00504E44"/>
    <w:rsid w:val="00504F8D"/>
    <w:rsid w:val="0050585D"/>
    <w:rsid w:val="00505880"/>
    <w:rsid w:val="00505AED"/>
    <w:rsid w:val="005069FB"/>
    <w:rsid w:val="005070CD"/>
    <w:rsid w:val="0050727D"/>
    <w:rsid w:val="00507462"/>
    <w:rsid w:val="00507530"/>
    <w:rsid w:val="00507D4E"/>
    <w:rsid w:val="005107EB"/>
    <w:rsid w:val="00510ACD"/>
    <w:rsid w:val="00511852"/>
    <w:rsid w:val="005118AF"/>
    <w:rsid w:val="00511C78"/>
    <w:rsid w:val="00512227"/>
    <w:rsid w:val="00512435"/>
    <w:rsid w:val="00512C8A"/>
    <w:rsid w:val="005130AB"/>
    <w:rsid w:val="005130D4"/>
    <w:rsid w:val="005137F0"/>
    <w:rsid w:val="00513B89"/>
    <w:rsid w:val="00513D09"/>
    <w:rsid w:val="005140F2"/>
    <w:rsid w:val="00514815"/>
    <w:rsid w:val="0051481C"/>
    <w:rsid w:val="00514C92"/>
    <w:rsid w:val="0051574E"/>
    <w:rsid w:val="0051588A"/>
    <w:rsid w:val="00516056"/>
    <w:rsid w:val="00516680"/>
    <w:rsid w:val="0051694B"/>
    <w:rsid w:val="00517089"/>
    <w:rsid w:val="005178D5"/>
    <w:rsid w:val="00517A1E"/>
    <w:rsid w:val="00517AAB"/>
    <w:rsid w:val="005204F3"/>
    <w:rsid w:val="00520692"/>
    <w:rsid w:val="00520E32"/>
    <w:rsid w:val="00521117"/>
    <w:rsid w:val="00521419"/>
    <w:rsid w:val="005217C0"/>
    <w:rsid w:val="00521856"/>
    <w:rsid w:val="00521861"/>
    <w:rsid w:val="00521AC1"/>
    <w:rsid w:val="0052273E"/>
    <w:rsid w:val="00522E47"/>
    <w:rsid w:val="005230C3"/>
    <w:rsid w:val="0052331B"/>
    <w:rsid w:val="0052340C"/>
    <w:rsid w:val="00523956"/>
    <w:rsid w:val="00523CAB"/>
    <w:rsid w:val="00523FAC"/>
    <w:rsid w:val="0052423E"/>
    <w:rsid w:val="005245A2"/>
    <w:rsid w:val="005246D4"/>
    <w:rsid w:val="005252CC"/>
    <w:rsid w:val="0052555D"/>
    <w:rsid w:val="005255F2"/>
    <w:rsid w:val="00525636"/>
    <w:rsid w:val="005256DD"/>
    <w:rsid w:val="00526021"/>
    <w:rsid w:val="00527A07"/>
    <w:rsid w:val="00527E60"/>
    <w:rsid w:val="0053000B"/>
    <w:rsid w:val="00530AC7"/>
    <w:rsid w:val="00530CE0"/>
    <w:rsid w:val="00530DE8"/>
    <w:rsid w:val="00530F9F"/>
    <w:rsid w:val="00531101"/>
    <w:rsid w:val="00531919"/>
    <w:rsid w:val="00532187"/>
    <w:rsid w:val="005331A5"/>
    <w:rsid w:val="005339B1"/>
    <w:rsid w:val="00533D16"/>
    <w:rsid w:val="00533D1B"/>
    <w:rsid w:val="0053435F"/>
    <w:rsid w:val="0053477E"/>
    <w:rsid w:val="0053509C"/>
    <w:rsid w:val="00535170"/>
    <w:rsid w:val="00535513"/>
    <w:rsid w:val="005358B2"/>
    <w:rsid w:val="00535A8C"/>
    <w:rsid w:val="00536365"/>
    <w:rsid w:val="0053649C"/>
    <w:rsid w:val="005369C1"/>
    <w:rsid w:val="00537015"/>
    <w:rsid w:val="00537138"/>
    <w:rsid w:val="005372C9"/>
    <w:rsid w:val="00537577"/>
    <w:rsid w:val="00537934"/>
    <w:rsid w:val="0053796A"/>
    <w:rsid w:val="00537FFB"/>
    <w:rsid w:val="0054046A"/>
    <w:rsid w:val="00540509"/>
    <w:rsid w:val="0054053A"/>
    <w:rsid w:val="00541674"/>
    <w:rsid w:val="00541894"/>
    <w:rsid w:val="005418EE"/>
    <w:rsid w:val="00541C50"/>
    <w:rsid w:val="00541E39"/>
    <w:rsid w:val="0054236F"/>
    <w:rsid w:val="00542C2C"/>
    <w:rsid w:val="00542E32"/>
    <w:rsid w:val="00542ECA"/>
    <w:rsid w:val="00542F5F"/>
    <w:rsid w:val="0054322B"/>
    <w:rsid w:val="00543651"/>
    <w:rsid w:val="00543A3F"/>
    <w:rsid w:val="00543BDB"/>
    <w:rsid w:val="0054450E"/>
    <w:rsid w:val="00544685"/>
    <w:rsid w:val="005447B3"/>
    <w:rsid w:val="0054495C"/>
    <w:rsid w:val="00544AC1"/>
    <w:rsid w:val="00544D90"/>
    <w:rsid w:val="00544F17"/>
    <w:rsid w:val="00544F86"/>
    <w:rsid w:val="00545A48"/>
    <w:rsid w:val="00546369"/>
    <w:rsid w:val="0054659E"/>
    <w:rsid w:val="005465F1"/>
    <w:rsid w:val="00546751"/>
    <w:rsid w:val="0054679A"/>
    <w:rsid w:val="005467ED"/>
    <w:rsid w:val="00546813"/>
    <w:rsid w:val="005468BC"/>
    <w:rsid w:val="0054690F"/>
    <w:rsid w:val="00547B3C"/>
    <w:rsid w:val="00550E1C"/>
    <w:rsid w:val="00551CC8"/>
    <w:rsid w:val="00552075"/>
    <w:rsid w:val="00552F88"/>
    <w:rsid w:val="00553377"/>
    <w:rsid w:val="00553943"/>
    <w:rsid w:val="00553A9A"/>
    <w:rsid w:val="0055406E"/>
    <w:rsid w:val="00554341"/>
    <w:rsid w:val="00554617"/>
    <w:rsid w:val="00554692"/>
    <w:rsid w:val="00554C0C"/>
    <w:rsid w:val="00554C29"/>
    <w:rsid w:val="0055516F"/>
    <w:rsid w:val="00555A02"/>
    <w:rsid w:val="00555C37"/>
    <w:rsid w:val="00556140"/>
    <w:rsid w:val="00556555"/>
    <w:rsid w:val="0055672C"/>
    <w:rsid w:val="00556B24"/>
    <w:rsid w:val="005571C1"/>
    <w:rsid w:val="005571DC"/>
    <w:rsid w:val="0055733F"/>
    <w:rsid w:val="0055749F"/>
    <w:rsid w:val="005574F9"/>
    <w:rsid w:val="00557553"/>
    <w:rsid w:val="005575C1"/>
    <w:rsid w:val="00557718"/>
    <w:rsid w:val="005578A4"/>
    <w:rsid w:val="00557C91"/>
    <w:rsid w:val="00557EB5"/>
    <w:rsid w:val="00557FD7"/>
    <w:rsid w:val="00561067"/>
    <w:rsid w:val="00561140"/>
    <w:rsid w:val="00562131"/>
    <w:rsid w:val="005625D1"/>
    <w:rsid w:val="00562DAB"/>
    <w:rsid w:val="00562E2C"/>
    <w:rsid w:val="0056425D"/>
    <w:rsid w:val="0056451C"/>
    <w:rsid w:val="0056478C"/>
    <w:rsid w:val="00564E7A"/>
    <w:rsid w:val="00565215"/>
    <w:rsid w:val="00565970"/>
    <w:rsid w:val="00565D2A"/>
    <w:rsid w:val="00566020"/>
    <w:rsid w:val="00566713"/>
    <w:rsid w:val="00566791"/>
    <w:rsid w:val="00566852"/>
    <w:rsid w:val="00566DE1"/>
    <w:rsid w:val="0056766B"/>
    <w:rsid w:val="00567C8C"/>
    <w:rsid w:val="00570365"/>
    <w:rsid w:val="0057112A"/>
    <w:rsid w:val="005712CD"/>
    <w:rsid w:val="0057159A"/>
    <w:rsid w:val="00571ED7"/>
    <w:rsid w:val="005725D7"/>
    <w:rsid w:val="0057268E"/>
    <w:rsid w:val="005728A9"/>
    <w:rsid w:val="005733B0"/>
    <w:rsid w:val="005735F4"/>
    <w:rsid w:val="0057372A"/>
    <w:rsid w:val="00573C8E"/>
    <w:rsid w:val="00573EE5"/>
    <w:rsid w:val="00574139"/>
    <w:rsid w:val="005743DE"/>
    <w:rsid w:val="00574524"/>
    <w:rsid w:val="0057474E"/>
    <w:rsid w:val="00574930"/>
    <w:rsid w:val="0057566E"/>
    <w:rsid w:val="005758EA"/>
    <w:rsid w:val="00575F6E"/>
    <w:rsid w:val="005760F0"/>
    <w:rsid w:val="005761F8"/>
    <w:rsid w:val="005765F3"/>
    <w:rsid w:val="00576B47"/>
    <w:rsid w:val="00577202"/>
    <w:rsid w:val="005773A7"/>
    <w:rsid w:val="00577497"/>
    <w:rsid w:val="00577D54"/>
    <w:rsid w:val="00580971"/>
    <w:rsid w:val="0058099B"/>
    <w:rsid w:val="005809BA"/>
    <w:rsid w:val="00580BF3"/>
    <w:rsid w:val="00580E49"/>
    <w:rsid w:val="0058108C"/>
    <w:rsid w:val="005813A0"/>
    <w:rsid w:val="00581798"/>
    <w:rsid w:val="00581A18"/>
    <w:rsid w:val="0058236B"/>
    <w:rsid w:val="00582E32"/>
    <w:rsid w:val="005837C9"/>
    <w:rsid w:val="005837D7"/>
    <w:rsid w:val="00583EF6"/>
    <w:rsid w:val="0058404F"/>
    <w:rsid w:val="005844F5"/>
    <w:rsid w:val="00584D94"/>
    <w:rsid w:val="00584F6E"/>
    <w:rsid w:val="00585EFC"/>
    <w:rsid w:val="005861F5"/>
    <w:rsid w:val="00586448"/>
    <w:rsid w:val="00586936"/>
    <w:rsid w:val="00587590"/>
    <w:rsid w:val="0058760A"/>
    <w:rsid w:val="00587971"/>
    <w:rsid w:val="00587DB7"/>
    <w:rsid w:val="00587F8E"/>
    <w:rsid w:val="00590C13"/>
    <w:rsid w:val="00591771"/>
    <w:rsid w:val="005918CE"/>
    <w:rsid w:val="0059190C"/>
    <w:rsid w:val="00591C40"/>
    <w:rsid w:val="00591C8D"/>
    <w:rsid w:val="0059259D"/>
    <w:rsid w:val="0059296C"/>
    <w:rsid w:val="00593725"/>
    <w:rsid w:val="00593A00"/>
    <w:rsid w:val="005940EB"/>
    <w:rsid w:val="00595308"/>
    <w:rsid w:val="005954A7"/>
    <w:rsid w:val="00595902"/>
    <w:rsid w:val="005959AF"/>
    <w:rsid w:val="00595B9C"/>
    <w:rsid w:val="00595CDD"/>
    <w:rsid w:val="00596858"/>
    <w:rsid w:val="00596D1C"/>
    <w:rsid w:val="00596D54"/>
    <w:rsid w:val="00597674"/>
    <w:rsid w:val="00597884"/>
    <w:rsid w:val="00597EC7"/>
    <w:rsid w:val="005A0212"/>
    <w:rsid w:val="005A0479"/>
    <w:rsid w:val="005A098A"/>
    <w:rsid w:val="005A0F7E"/>
    <w:rsid w:val="005A128F"/>
    <w:rsid w:val="005A229B"/>
    <w:rsid w:val="005A24D7"/>
    <w:rsid w:val="005A25DE"/>
    <w:rsid w:val="005A2B76"/>
    <w:rsid w:val="005A32DD"/>
    <w:rsid w:val="005A33CD"/>
    <w:rsid w:val="005A3647"/>
    <w:rsid w:val="005A392A"/>
    <w:rsid w:val="005A3A50"/>
    <w:rsid w:val="005A3C44"/>
    <w:rsid w:val="005A3C83"/>
    <w:rsid w:val="005A3E4B"/>
    <w:rsid w:val="005A3FF5"/>
    <w:rsid w:val="005A45AB"/>
    <w:rsid w:val="005A4BEE"/>
    <w:rsid w:val="005A4DC0"/>
    <w:rsid w:val="005A5D6E"/>
    <w:rsid w:val="005A5F6F"/>
    <w:rsid w:val="005A6226"/>
    <w:rsid w:val="005A6407"/>
    <w:rsid w:val="005A641F"/>
    <w:rsid w:val="005A6DA4"/>
    <w:rsid w:val="005A7843"/>
    <w:rsid w:val="005A794E"/>
    <w:rsid w:val="005B04AD"/>
    <w:rsid w:val="005B0652"/>
    <w:rsid w:val="005B0A14"/>
    <w:rsid w:val="005B0FEE"/>
    <w:rsid w:val="005B1134"/>
    <w:rsid w:val="005B1267"/>
    <w:rsid w:val="005B1379"/>
    <w:rsid w:val="005B160A"/>
    <w:rsid w:val="005B1935"/>
    <w:rsid w:val="005B1BB2"/>
    <w:rsid w:val="005B1C83"/>
    <w:rsid w:val="005B2238"/>
    <w:rsid w:val="005B2242"/>
    <w:rsid w:val="005B2569"/>
    <w:rsid w:val="005B2E8F"/>
    <w:rsid w:val="005B312A"/>
    <w:rsid w:val="005B398E"/>
    <w:rsid w:val="005B3E44"/>
    <w:rsid w:val="005B3F2A"/>
    <w:rsid w:val="005B3F3B"/>
    <w:rsid w:val="005B4128"/>
    <w:rsid w:val="005B4208"/>
    <w:rsid w:val="005B434C"/>
    <w:rsid w:val="005B46BC"/>
    <w:rsid w:val="005B5018"/>
    <w:rsid w:val="005B55DA"/>
    <w:rsid w:val="005B5808"/>
    <w:rsid w:val="005B5B6C"/>
    <w:rsid w:val="005B5E35"/>
    <w:rsid w:val="005B668C"/>
    <w:rsid w:val="005B68BA"/>
    <w:rsid w:val="005B6E9D"/>
    <w:rsid w:val="005B70C6"/>
    <w:rsid w:val="005B7314"/>
    <w:rsid w:val="005B7AE8"/>
    <w:rsid w:val="005C01B7"/>
    <w:rsid w:val="005C0D88"/>
    <w:rsid w:val="005C123A"/>
    <w:rsid w:val="005C2CC2"/>
    <w:rsid w:val="005C33E6"/>
    <w:rsid w:val="005C4558"/>
    <w:rsid w:val="005C46DF"/>
    <w:rsid w:val="005C4A36"/>
    <w:rsid w:val="005C4C15"/>
    <w:rsid w:val="005C4C84"/>
    <w:rsid w:val="005C5D23"/>
    <w:rsid w:val="005C5E4E"/>
    <w:rsid w:val="005C6579"/>
    <w:rsid w:val="005C6741"/>
    <w:rsid w:val="005C76DF"/>
    <w:rsid w:val="005C7843"/>
    <w:rsid w:val="005C7A51"/>
    <w:rsid w:val="005C7A73"/>
    <w:rsid w:val="005C7F8F"/>
    <w:rsid w:val="005D0F72"/>
    <w:rsid w:val="005D14EA"/>
    <w:rsid w:val="005D15CD"/>
    <w:rsid w:val="005D1830"/>
    <w:rsid w:val="005D1876"/>
    <w:rsid w:val="005D1B12"/>
    <w:rsid w:val="005D2653"/>
    <w:rsid w:val="005D29BD"/>
    <w:rsid w:val="005D2C7C"/>
    <w:rsid w:val="005D2E4B"/>
    <w:rsid w:val="005D2FFB"/>
    <w:rsid w:val="005D3056"/>
    <w:rsid w:val="005D32ED"/>
    <w:rsid w:val="005D3AC8"/>
    <w:rsid w:val="005D41D6"/>
    <w:rsid w:val="005D435C"/>
    <w:rsid w:val="005D4A70"/>
    <w:rsid w:val="005D4FBC"/>
    <w:rsid w:val="005D508A"/>
    <w:rsid w:val="005D551F"/>
    <w:rsid w:val="005D583D"/>
    <w:rsid w:val="005D589F"/>
    <w:rsid w:val="005D5AD2"/>
    <w:rsid w:val="005D5E97"/>
    <w:rsid w:val="005D6D72"/>
    <w:rsid w:val="005D6EC0"/>
    <w:rsid w:val="005E00BF"/>
    <w:rsid w:val="005E04E8"/>
    <w:rsid w:val="005E0538"/>
    <w:rsid w:val="005E075E"/>
    <w:rsid w:val="005E079D"/>
    <w:rsid w:val="005E0C7C"/>
    <w:rsid w:val="005E0E84"/>
    <w:rsid w:val="005E13A7"/>
    <w:rsid w:val="005E17D9"/>
    <w:rsid w:val="005E1B3B"/>
    <w:rsid w:val="005E1BD3"/>
    <w:rsid w:val="005E250F"/>
    <w:rsid w:val="005E3604"/>
    <w:rsid w:val="005E3AF0"/>
    <w:rsid w:val="005E3EDA"/>
    <w:rsid w:val="005E43F2"/>
    <w:rsid w:val="005E4FBB"/>
    <w:rsid w:val="005E5412"/>
    <w:rsid w:val="005E595D"/>
    <w:rsid w:val="005E5A3A"/>
    <w:rsid w:val="005E5C20"/>
    <w:rsid w:val="005E5CC2"/>
    <w:rsid w:val="005E62B7"/>
    <w:rsid w:val="005E6630"/>
    <w:rsid w:val="005E6B1F"/>
    <w:rsid w:val="005E7BD0"/>
    <w:rsid w:val="005E7F3F"/>
    <w:rsid w:val="005F2018"/>
    <w:rsid w:val="005F2164"/>
    <w:rsid w:val="005F22FA"/>
    <w:rsid w:val="005F3150"/>
    <w:rsid w:val="005F4069"/>
    <w:rsid w:val="005F44A2"/>
    <w:rsid w:val="005F46FC"/>
    <w:rsid w:val="005F489D"/>
    <w:rsid w:val="005F49EC"/>
    <w:rsid w:val="005F4AD7"/>
    <w:rsid w:val="005F4C7B"/>
    <w:rsid w:val="005F504A"/>
    <w:rsid w:val="005F5AFE"/>
    <w:rsid w:val="005F5D65"/>
    <w:rsid w:val="005F5F8C"/>
    <w:rsid w:val="005F62EB"/>
    <w:rsid w:val="005F697D"/>
    <w:rsid w:val="005F6ED6"/>
    <w:rsid w:val="005F7102"/>
    <w:rsid w:val="005F757C"/>
    <w:rsid w:val="005F7952"/>
    <w:rsid w:val="005F7A25"/>
    <w:rsid w:val="005F7B74"/>
    <w:rsid w:val="006002E9"/>
    <w:rsid w:val="0060062C"/>
    <w:rsid w:val="00600D04"/>
    <w:rsid w:val="00601A52"/>
    <w:rsid w:val="006023B9"/>
    <w:rsid w:val="006023E9"/>
    <w:rsid w:val="00602441"/>
    <w:rsid w:val="00602864"/>
    <w:rsid w:val="00603BE1"/>
    <w:rsid w:val="00603CD7"/>
    <w:rsid w:val="00603CEE"/>
    <w:rsid w:val="0060412A"/>
    <w:rsid w:val="006044D5"/>
    <w:rsid w:val="00604532"/>
    <w:rsid w:val="00604756"/>
    <w:rsid w:val="00604A94"/>
    <w:rsid w:val="00604AA1"/>
    <w:rsid w:val="00605D73"/>
    <w:rsid w:val="006063F1"/>
    <w:rsid w:val="00606724"/>
    <w:rsid w:val="00606896"/>
    <w:rsid w:val="00607018"/>
    <w:rsid w:val="006074A5"/>
    <w:rsid w:val="00607E6C"/>
    <w:rsid w:val="0061022E"/>
    <w:rsid w:val="0061027F"/>
    <w:rsid w:val="00610D73"/>
    <w:rsid w:val="0061134F"/>
    <w:rsid w:val="0061187E"/>
    <w:rsid w:val="00611E3B"/>
    <w:rsid w:val="006121FC"/>
    <w:rsid w:val="006122A8"/>
    <w:rsid w:val="0061230C"/>
    <w:rsid w:val="006125B8"/>
    <w:rsid w:val="006144AF"/>
    <w:rsid w:val="006145E8"/>
    <w:rsid w:val="006150AD"/>
    <w:rsid w:val="006151A2"/>
    <w:rsid w:val="00615839"/>
    <w:rsid w:val="006159D1"/>
    <w:rsid w:val="00615D51"/>
    <w:rsid w:val="0061740D"/>
    <w:rsid w:val="00617C09"/>
    <w:rsid w:val="00620181"/>
    <w:rsid w:val="006203C0"/>
    <w:rsid w:val="00620E0D"/>
    <w:rsid w:val="0062148A"/>
    <w:rsid w:val="00621628"/>
    <w:rsid w:val="00621AB5"/>
    <w:rsid w:val="00622769"/>
    <w:rsid w:val="00622AFF"/>
    <w:rsid w:val="00622D94"/>
    <w:rsid w:val="00622E50"/>
    <w:rsid w:val="006235AB"/>
    <w:rsid w:val="00623683"/>
    <w:rsid w:val="00623D92"/>
    <w:rsid w:val="0062461B"/>
    <w:rsid w:val="00624E95"/>
    <w:rsid w:val="0062516A"/>
    <w:rsid w:val="006255FD"/>
    <w:rsid w:val="00625F5B"/>
    <w:rsid w:val="006262FF"/>
    <w:rsid w:val="006263A1"/>
    <w:rsid w:val="0062658D"/>
    <w:rsid w:val="00626B4D"/>
    <w:rsid w:val="00626EF5"/>
    <w:rsid w:val="00627084"/>
    <w:rsid w:val="00627838"/>
    <w:rsid w:val="00627A52"/>
    <w:rsid w:val="00627F99"/>
    <w:rsid w:val="006308E3"/>
    <w:rsid w:val="006309FC"/>
    <w:rsid w:val="00631859"/>
    <w:rsid w:val="00631864"/>
    <w:rsid w:val="00631BC3"/>
    <w:rsid w:val="00632639"/>
    <w:rsid w:val="00632D60"/>
    <w:rsid w:val="00632F8E"/>
    <w:rsid w:val="00633057"/>
    <w:rsid w:val="0063374D"/>
    <w:rsid w:val="00635063"/>
    <w:rsid w:val="006356A1"/>
    <w:rsid w:val="006359FD"/>
    <w:rsid w:val="00635A8A"/>
    <w:rsid w:val="006362B8"/>
    <w:rsid w:val="00636579"/>
    <w:rsid w:val="006370CE"/>
    <w:rsid w:val="0063760A"/>
    <w:rsid w:val="006379B2"/>
    <w:rsid w:val="00637ED1"/>
    <w:rsid w:val="00637F05"/>
    <w:rsid w:val="00640460"/>
    <w:rsid w:val="0064060A"/>
    <w:rsid w:val="006409AE"/>
    <w:rsid w:val="00641228"/>
    <w:rsid w:val="00641694"/>
    <w:rsid w:val="00641999"/>
    <w:rsid w:val="00641C8B"/>
    <w:rsid w:val="00642817"/>
    <w:rsid w:val="00642B62"/>
    <w:rsid w:val="00642F2D"/>
    <w:rsid w:val="0064311E"/>
    <w:rsid w:val="00643D31"/>
    <w:rsid w:val="00643DFF"/>
    <w:rsid w:val="00643E73"/>
    <w:rsid w:val="00644758"/>
    <w:rsid w:val="00644870"/>
    <w:rsid w:val="00644B86"/>
    <w:rsid w:val="00645087"/>
    <w:rsid w:val="0064534A"/>
    <w:rsid w:val="00645869"/>
    <w:rsid w:val="00646166"/>
    <w:rsid w:val="0064683D"/>
    <w:rsid w:val="00646AD0"/>
    <w:rsid w:val="00647317"/>
    <w:rsid w:val="00647539"/>
    <w:rsid w:val="00647A91"/>
    <w:rsid w:val="00650154"/>
    <w:rsid w:val="006502F5"/>
    <w:rsid w:val="006504BE"/>
    <w:rsid w:val="006508C5"/>
    <w:rsid w:val="00650AFF"/>
    <w:rsid w:val="00650D49"/>
    <w:rsid w:val="00651095"/>
    <w:rsid w:val="006511B5"/>
    <w:rsid w:val="006513F2"/>
    <w:rsid w:val="006523D5"/>
    <w:rsid w:val="00652470"/>
    <w:rsid w:val="00652B04"/>
    <w:rsid w:val="00652E0D"/>
    <w:rsid w:val="006530B0"/>
    <w:rsid w:val="006530DA"/>
    <w:rsid w:val="00654B7B"/>
    <w:rsid w:val="0065539D"/>
    <w:rsid w:val="00655818"/>
    <w:rsid w:val="006558B6"/>
    <w:rsid w:val="00655DE1"/>
    <w:rsid w:val="00655E5D"/>
    <w:rsid w:val="006562E6"/>
    <w:rsid w:val="00656BFC"/>
    <w:rsid w:val="00656DFD"/>
    <w:rsid w:val="00656FD7"/>
    <w:rsid w:val="00656FD9"/>
    <w:rsid w:val="006572D9"/>
    <w:rsid w:val="006576CE"/>
    <w:rsid w:val="00657FBA"/>
    <w:rsid w:val="00661087"/>
    <w:rsid w:val="0066142F"/>
    <w:rsid w:val="00661CD8"/>
    <w:rsid w:val="00663203"/>
    <w:rsid w:val="00663220"/>
    <w:rsid w:val="0066327F"/>
    <w:rsid w:val="0066350A"/>
    <w:rsid w:val="006635F1"/>
    <w:rsid w:val="0066402C"/>
    <w:rsid w:val="0066410F"/>
    <w:rsid w:val="006641AF"/>
    <w:rsid w:val="006644DD"/>
    <w:rsid w:val="00664998"/>
    <w:rsid w:val="00664C26"/>
    <w:rsid w:val="00664C37"/>
    <w:rsid w:val="00665802"/>
    <w:rsid w:val="00665C41"/>
    <w:rsid w:val="00665CFD"/>
    <w:rsid w:val="00665DEB"/>
    <w:rsid w:val="00665E30"/>
    <w:rsid w:val="00666C39"/>
    <w:rsid w:val="00667A4B"/>
    <w:rsid w:val="006705BF"/>
    <w:rsid w:val="00670920"/>
    <w:rsid w:val="00670987"/>
    <w:rsid w:val="00670ACB"/>
    <w:rsid w:val="00671190"/>
    <w:rsid w:val="006716A2"/>
    <w:rsid w:val="0067176F"/>
    <w:rsid w:val="00671A3F"/>
    <w:rsid w:val="00671D00"/>
    <w:rsid w:val="006720F0"/>
    <w:rsid w:val="006722E8"/>
    <w:rsid w:val="00672918"/>
    <w:rsid w:val="00672A6F"/>
    <w:rsid w:val="00673030"/>
    <w:rsid w:val="0067394F"/>
    <w:rsid w:val="00673F46"/>
    <w:rsid w:val="006748B7"/>
    <w:rsid w:val="00674944"/>
    <w:rsid w:val="00674A91"/>
    <w:rsid w:val="00674F17"/>
    <w:rsid w:val="006753B7"/>
    <w:rsid w:val="006753C7"/>
    <w:rsid w:val="0067560C"/>
    <w:rsid w:val="00675964"/>
    <w:rsid w:val="00675EC1"/>
    <w:rsid w:val="00675FAE"/>
    <w:rsid w:val="00676862"/>
    <w:rsid w:val="00676ABE"/>
    <w:rsid w:val="00676B47"/>
    <w:rsid w:val="006778DF"/>
    <w:rsid w:val="00677BD3"/>
    <w:rsid w:val="006800B7"/>
    <w:rsid w:val="00680435"/>
    <w:rsid w:val="006804B0"/>
    <w:rsid w:val="006807EF"/>
    <w:rsid w:val="00680B69"/>
    <w:rsid w:val="00680B9D"/>
    <w:rsid w:val="00680C9D"/>
    <w:rsid w:val="006810DF"/>
    <w:rsid w:val="00681407"/>
    <w:rsid w:val="006818FD"/>
    <w:rsid w:val="00681DF3"/>
    <w:rsid w:val="0068211F"/>
    <w:rsid w:val="006822B4"/>
    <w:rsid w:val="006824F3"/>
    <w:rsid w:val="00682C98"/>
    <w:rsid w:val="00683A0A"/>
    <w:rsid w:val="00683BEE"/>
    <w:rsid w:val="00683C1B"/>
    <w:rsid w:val="00684689"/>
    <w:rsid w:val="006846C9"/>
    <w:rsid w:val="00684829"/>
    <w:rsid w:val="00684F89"/>
    <w:rsid w:val="00685218"/>
    <w:rsid w:val="00686142"/>
    <w:rsid w:val="00686573"/>
    <w:rsid w:val="006872CE"/>
    <w:rsid w:val="00687C63"/>
    <w:rsid w:val="00687FDD"/>
    <w:rsid w:val="0069015E"/>
    <w:rsid w:val="0069096E"/>
    <w:rsid w:val="00691709"/>
    <w:rsid w:val="00692AD5"/>
    <w:rsid w:val="00692D80"/>
    <w:rsid w:val="006931DF"/>
    <w:rsid w:val="006933AA"/>
    <w:rsid w:val="006936F8"/>
    <w:rsid w:val="0069393C"/>
    <w:rsid w:val="00693BD8"/>
    <w:rsid w:val="00693F24"/>
    <w:rsid w:val="006940BF"/>
    <w:rsid w:val="00694A83"/>
    <w:rsid w:val="00694AA9"/>
    <w:rsid w:val="00694BF3"/>
    <w:rsid w:val="00694F10"/>
    <w:rsid w:val="00694FFD"/>
    <w:rsid w:val="00695177"/>
    <w:rsid w:val="00695563"/>
    <w:rsid w:val="006956E6"/>
    <w:rsid w:val="00695FF9"/>
    <w:rsid w:val="00696977"/>
    <w:rsid w:val="00696B9B"/>
    <w:rsid w:val="00696BA5"/>
    <w:rsid w:val="00696C44"/>
    <w:rsid w:val="00696F55"/>
    <w:rsid w:val="00697721"/>
    <w:rsid w:val="00697754"/>
    <w:rsid w:val="00697832"/>
    <w:rsid w:val="006A09DF"/>
    <w:rsid w:val="006A0B64"/>
    <w:rsid w:val="006A10BB"/>
    <w:rsid w:val="006A11CB"/>
    <w:rsid w:val="006A1C6C"/>
    <w:rsid w:val="006A1DF3"/>
    <w:rsid w:val="006A1EC1"/>
    <w:rsid w:val="006A20A8"/>
    <w:rsid w:val="006A22A5"/>
    <w:rsid w:val="006A242B"/>
    <w:rsid w:val="006A260F"/>
    <w:rsid w:val="006A30F5"/>
    <w:rsid w:val="006A3C70"/>
    <w:rsid w:val="006A3FF8"/>
    <w:rsid w:val="006A50D7"/>
    <w:rsid w:val="006A538A"/>
    <w:rsid w:val="006A5597"/>
    <w:rsid w:val="006A5B14"/>
    <w:rsid w:val="006A5D49"/>
    <w:rsid w:val="006A6C81"/>
    <w:rsid w:val="006A736C"/>
    <w:rsid w:val="006A7AEC"/>
    <w:rsid w:val="006A7BB0"/>
    <w:rsid w:val="006B1255"/>
    <w:rsid w:val="006B1687"/>
    <w:rsid w:val="006B3007"/>
    <w:rsid w:val="006B346D"/>
    <w:rsid w:val="006B37D0"/>
    <w:rsid w:val="006B3B7F"/>
    <w:rsid w:val="006B4328"/>
    <w:rsid w:val="006B4612"/>
    <w:rsid w:val="006B46AE"/>
    <w:rsid w:val="006B483E"/>
    <w:rsid w:val="006B4898"/>
    <w:rsid w:val="006B4E0D"/>
    <w:rsid w:val="006B4E91"/>
    <w:rsid w:val="006B5041"/>
    <w:rsid w:val="006B52A0"/>
    <w:rsid w:val="006B5720"/>
    <w:rsid w:val="006B5C3C"/>
    <w:rsid w:val="006B6027"/>
    <w:rsid w:val="006B6119"/>
    <w:rsid w:val="006B656A"/>
    <w:rsid w:val="006B7203"/>
    <w:rsid w:val="006B72A4"/>
    <w:rsid w:val="006B73AB"/>
    <w:rsid w:val="006B773E"/>
    <w:rsid w:val="006B7F1F"/>
    <w:rsid w:val="006C069D"/>
    <w:rsid w:val="006C06BB"/>
    <w:rsid w:val="006C098D"/>
    <w:rsid w:val="006C09B1"/>
    <w:rsid w:val="006C0BB6"/>
    <w:rsid w:val="006C0D1B"/>
    <w:rsid w:val="006C1A3C"/>
    <w:rsid w:val="006C1A99"/>
    <w:rsid w:val="006C245A"/>
    <w:rsid w:val="006C2CA0"/>
    <w:rsid w:val="006C2D85"/>
    <w:rsid w:val="006C30F8"/>
    <w:rsid w:val="006C33AA"/>
    <w:rsid w:val="006C3563"/>
    <w:rsid w:val="006C3813"/>
    <w:rsid w:val="006C3862"/>
    <w:rsid w:val="006C3B01"/>
    <w:rsid w:val="006C3D0F"/>
    <w:rsid w:val="006C3F83"/>
    <w:rsid w:val="006C4893"/>
    <w:rsid w:val="006C4D46"/>
    <w:rsid w:val="006C5312"/>
    <w:rsid w:val="006C5B90"/>
    <w:rsid w:val="006C5E76"/>
    <w:rsid w:val="006C6D52"/>
    <w:rsid w:val="006C7184"/>
    <w:rsid w:val="006C7D8E"/>
    <w:rsid w:val="006D07D0"/>
    <w:rsid w:val="006D07FB"/>
    <w:rsid w:val="006D0EE7"/>
    <w:rsid w:val="006D1073"/>
    <w:rsid w:val="006D10F8"/>
    <w:rsid w:val="006D128B"/>
    <w:rsid w:val="006D14E7"/>
    <w:rsid w:val="006D150B"/>
    <w:rsid w:val="006D1641"/>
    <w:rsid w:val="006D18B7"/>
    <w:rsid w:val="006D1A62"/>
    <w:rsid w:val="006D2287"/>
    <w:rsid w:val="006D292A"/>
    <w:rsid w:val="006D29F5"/>
    <w:rsid w:val="006D3520"/>
    <w:rsid w:val="006D37BB"/>
    <w:rsid w:val="006D43AB"/>
    <w:rsid w:val="006D443F"/>
    <w:rsid w:val="006D44E5"/>
    <w:rsid w:val="006D52CB"/>
    <w:rsid w:val="006D53C6"/>
    <w:rsid w:val="006D614C"/>
    <w:rsid w:val="006D67EE"/>
    <w:rsid w:val="006D714F"/>
    <w:rsid w:val="006D71A1"/>
    <w:rsid w:val="006D7B45"/>
    <w:rsid w:val="006D7F2D"/>
    <w:rsid w:val="006D7F93"/>
    <w:rsid w:val="006E0298"/>
    <w:rsid w:val="006E08CE"/>
    <w:rsid w:val="006E15CD"/>
    <w:rsid w:val="006E1754"/>
    <w:rsid w:val="006E1767"/>
    <w:rsid w:val="006E17E5"/>
    <w:rsid w:val="006E1BE1"/>
    <w:rsid w:val="006E1E53"/>
    <w:rsid w:val="006E25B1"/>
    <w:rsid w:val="006E263E"/>
    <w:rsid w:val="006E284A"/>
    <w:rsid w:val="006E2BA8"/>
    <w:rsid w:val="006E30B7"/>
    <w:rsid w:val="006E36A7"/>
    <w:rsid w:val="006E36FB"/>
    <w:rsid w:val="006E37ED"/>
    <w:rsid w:val="006E3923"/>
    <w:rsid w:val="006E3C10"/>
    <w:rsid w:val="006E41F3"/>
    <w:rsid w:val="006E439C"/>
    <w:rsid w:val="006E45E5"/>
    <w:rsid w:val="006E48EE"/>
    <w:rsid w:val="006E4977"/>
    <w:rsid w:val="006E4C6A"/>
    <w:rsid w:val="006E4CA6"/>
    <w:rsid w:val="006E4EDC"/>
    <w:rsid w:val="006E50AB"/>
    <w:rsid w:val="006E5AC1"/>
    <w:rsid w:val="006E5EAB"/>
    <w:rsid w:val="006E6380"/>
    <w:rsid w:val="006E66EE"/>
    <w:rsid w:val="006E6C62"/>
    <w:rsid w:val="006E72E4"/>
    <w:rsid w:val="006E738A"/>
    <w:rsid w:val="006E7578"/>
    <w:rsid w:val="006E757B"/>
    <w:rsid w:val="006E790F"/>
    <w:rsid w:val="006F0153"/>
    <w:rsid w:val="006F039F"/>
    <w:rsid w:val="006F08F4"/>
    <w:rsid w:val="006F1804"/>
    <w:rsid w:val="006F1F90"/>
    <w:rsid w:val="006F2453"/>
    <w:rsid w:val="006F25F1"/>
    <w:rsid w:val="006F2891"/>
    <w:rsid w:val="006F2E8D"/>
    <w:rsid w:val="006F31EC"/>
    <w:rsid w:val="006F3B36"/>
    <w:rsid w:val="006F3D82"/>
    <w:rsid w:val="006F3E78"/>
    <w:rsid w:val="006F454C"/>
    <w:rsid w:val="006F49D8"/>
    <w:rsid w:val="006F4ED1"/>
    <w:rsid w:val="006F57A3"/>
    <w:rsid w:val="006F5A64"/>
    <w:rsid w:val="006F5E90"/>
    <w:rsid w:val="006F6209"/>
    <w:rsid w:val="006F646B"/>
    <w:rsid w:val="006F6472"/>
    <w:rsid w:val="006F69EC"/>
    <w:rsid w:val="006F705E"/>
    <w:rsid w:val="006F7301"/>
    <w:rsid w:val="006F7597"/>
    <w:rsid w:val="006F7F39"/>
    <w:rsid w:val="00700253"/>
    <w:rsid w:val="00700997"/>
    <w:rsid w:val="00700D85"/>
    <w:rsid w:val="007010EB"/>
    <w:rsid w:val="0070139F"/>
    <w:rsid w:val="00701A21"/>
    <w:rsid w:val="00701AFE"/>
    <w:rsid w:val="00701C5B"/>
    <w:rsid w:val="0070223D"/>
    <w:rsid w:val="0070260F"/>
    <w:rsid w:val="00702B67"/>
    <w:rsid w:val="00702C36"/>
    <w:rsid w:val="00702E9A"/>
    <w:rsid w:val="00703448"/>
    <w:rsid w:val="007036D4"/>
    <w:rsid w:val="00704603"/>
    <w:rsid w:val="00704BC1"/>
    <w:rsid w:val="00704E93"/>
    <w:rsid w:val="0070535C"/>
    <w:rsid w:val="00705B67"/>
    <w:rsid w:val="00705DE6"/>
    <w:rsid w:val="00706119"/>
    <w:rsid w:val="00706623"/>
    <w:rsid w:val="00706C7B"/>
    <w:rsid w:val="007072DE"/>
    <w:rsid w:val="00707ADB"/>
    <w:rsid w:val="00707EB4"/>
    <w:rsid w:val="00710566"/>
    <w:rsid w:val="00710933"/>
    <w:rsid w:val="00710E5A"/>
    <w:rsid w:val="00710F4D"/>
    <w:rsid w:val="007112A1"/>
    <w:rsid w:val="00711521"/>
    <w:rsid w:val="00711A3A"/>
    <w:rsid w:val="00711C7A"/>
    <w:rsid w:val="00711DB8"/>
    <w:rsid w:val="00711F37"/>
    <w:rsid w:val="0071272D"/>
    <w:rsid w:val="007130FC"/>
    <w:rsid w:val="0071325D"/>
    <w:rsid w:val="007135FD"/>
    <w:rsid w:val="00713E89"/>
    <w:rsid w:val="00714590"/>
    <w:rsid w:val="007147C3"/>
    <w:rsid w:val="0071540A"/>
    <w:rsid w:val="00715EDF"/>
    <w:rsid w:val="00716AA3"/>
    <w:rsid w:val="00716FE1"/>
    <w:rsid w:val="0071716E"/>
    <w:rsid w:val="00717676"/>
    <w:rsid w:val="007177CC"/>
    <w:rsid w:val="00717F73"/>
    <w:rsid w:val="00720143"/>
    <w:rsid w:val="00720751"/>
    <w:rsid w:val="00720BDD"/>
    <w:rsid w:val="00720CB5"/>
    <w:rsid w:val="00720E00"/>
    <w:rsid w:val="00720E47"/>
    <w:rsid w:val="007214AD"/>
    <w:rsid w:val="007219A3"/>
    <w:rsid w:val="007219A6"/>
    <w:rsid w:val="00721DE0"/>
    <w:rsid w:val="00721E46"/>
    <w:rsid w:val="00722130"/>
    <w:rsid w:val="0072247E"/>
    <w:rsid w:val="0072278A"/>
    <w:rsid w:val="00722CA2"/>
    <w:rsid w:val="00722CE1"/>
    <w:rsid w:val="00723A2C"/>
    <w:rsid w:val="0072417D"/>
    <w:rsid w:val="007241BB"/>
    <w:rsid w:val="0072426E"/>
    <w:rsid w:val="00724A2F"/>
    <w:rsid w:val="00725001"/>
    <w:rsid w:val="00725B83"/>
    <w:rsid w:val="00725E63"/>
    <w:rsid w:val="007267B8"/>
    <w:rsid w:val="00726B61"/>
    <w:rsid w:val="00726C1B"/>
    <w:rsid w:val="007270C9"/>
    <w:rsid w:val="007276E6"/>
    <w:rsid w:val="00727EA6"/>
    <w:rsid w:val="0073018B"/>
    <w:rsid w:val="0073055A"/>
    <w:rsid w:val="00730FC2"/>
    <w:rsid w:val="0073104F"/>
    <w:rsid w:val="007314DA"/>
    <w:rsid w:val="0073176A"/>
    <w:rsid w:val="00731D2F"/>
    <w:rsid w:val="0073220A"/>
    <w:rsid w:val="00732F5E"/>
    <w:rsid w:val="007332CA"/>
    <w:rsid w:val="007336B7"/>
    <w:rsid w:val="00733CC2"/>
    <w:rsid w:val="00733F5A"/>
    <w:rsid w:val="00734ACE"/>
    <w:rsid w:val="00734D59"/>
    <w:rsid w:val="00734EBD"/>
    <w:rsid w:val="007352D8"/>
    <w:rsid w:val="00735CBF"/>
    <w:rsid w:val="00736281"/>
    <w:rsid w:val="0073679E"/>
    <w:rsid w:val="007367B2"/>
    <w:rsid w:val="007368C6"/>
    <w:rsid w:val="007368FB"/>
    <w:rsid w:val="00736BD8"/>
    <w:rsid w:val="00736CC4"/>
    <w:rsid w:val="0073765D"/>
    <w:rsid w:val="007379C2"/>
    <w:rsid w:val="007379C4"/>
    <w:rsid w:val="00737BA1"/>
    <w:rsid w:val="00741112"/>
    <w:rsid w:val="0074146D"/>
    <w:rsid w:val="00741887"/>
    <w:rsid w:val="00742098"/>
    <w:rsid w:val="0074296C"/>
    <w:rsid w:val="00742974"/>
    <w:rsid w:val="00742CA6"/>
    <w:rsid w:val="007431DC"/>
    <w:rsid w:val="007434B9"/>
    <w:rsid w:val="00743846"/>
    <w:rsid w:val="00743966"/>
    <w:rsid w:val="00743B89"/>
    <w:rsid w:val="00744423"/>
    <w:rsid w:val="0074457E"/>
    <w:rsid w:val="00744E8D"/>
    <w:rsid w:val="00745422"/>
    <w:rsid w:val="00745A50"/>
    <w:rsid w:val="00745E97"/>
    <w:rsid w:val="00746595"/>
    <w:rsid w:val="00746D08"/>
    <w:rsid w:val="00746E8E"/>
    <w:rsid w:val="0074711F"/>
    <w:rsid w:val="0074741C"/>
    <w:rsid w:val="00747531"/>
    <w:rsid w:val="00747705"/>
    <w:rsid w:val="0074799E"/>
    <w:rsid w:val="00747DBC"/>
    <w:rsid w:val="00747E05"/>
    <w:rsid w:val="00747F0C"/>
    <w:rsid w:val="00750C86"/>
    <w:rsid w:val="00750F87"/>
    <w:rsid w:val="007510CA"/>
    <w:rsid w:val="00751111"/>
    <w:rsid w:val="007511CE"/>
    <w:rsid w:val="00751E3B"/>
    <w:rsid w:val="007521A1"/>
    <w:rsid w:val="00752361"/>
    <w:rsid w:val="007525CC"/>
    <w:rsid w:val="00752702"/>
    <w:rsid w:val="0075283F"/>
    <w:rsid w:val="0075291C"/>
    <w:rsid w:val="007529CA"/>
    <w:rsid w:val="0075301F"/>
    <w:rsid w:val="0075362B"/>
    <w:rsid w:val="00753D75"/>
    <w:rsid w:val="00754354"/>
    <w:rsid w:val="00754F9B"/>
    <w:rsid w:val="007551C6"/>
    <w:rsid w:val="00755CA9"/>
    <w:rsid w:val="00756225"/>
    <w:rsid w:val="00756549"/>
    <w:rsid w:val="00756560"/>
    <w:rsid w:val="0075680A"/>
    <w:rsid w:val="00756B64"/>
    <w:rsid w:val="00756CC6"/>
    <w:rsid w:val="00756F61"/>
    <w:rsid w:val="00756FDD"/>
    <w:rsid w:val="0075700F"/>
    <w:rsid w:val="007571FA"/>
    <w:rsid w:val="0075794B"/>
    <w:rsid w:val="00757CED"/>
    <w:rsid w:val="00757D41"/>
    <w:rsid w:val="007601A1"/>
    <w:rsid w:val="0076060F"/>
    <w:rsid w:val="00760761"/>
    <w:rsid w:val="007609D0"/>
    <w:rsid w:val="00760F0D"/>
    <w:rsid w:val="00761651"/>
    <w:rsid w:val="0076186C"/>
    <w:rsid w:val="00761CF1"/>
    <w:rsid w:val="00762511"/>
    <w:rsid w:val="00762842"/>
    <w:rsid w:val="00762A25"/>
    <w:rsid w:val="00762C7F"/>
    <w:rsid w:val="00762F9F"/>
    <w:rsid w:val="0076325C"/>
    <w:rsid w:val="00763AF3"/>
    <w:rsid w:val="00763D08"/>
    <w:rsid w:val="00763DCB"/>
    <w:rsid w:val="0076469B"/>
    <w:rsid w:val="00764ADF"/>
    <w:rsid w:val="00764F42"/>
    <w:rsid w:val="00765074"/>
    <w:rsid w:val="00765A63"/>
    <w:rsid w:val="00765CCC"/>
    <w:rsid w:val="00765E44"/>
    <w:rsid w:val="00766011"/>
    <w:rsid w:val="00766737"/>
    <w:rsid w:val="0076691D"/>
    <w:rsid w:val="00766DA3"/>
    <w:rsid w:val="00767507"/>
    <w:rsid w:val="00767BF9"/>
    <w:rsid w:val="007705F1"/>
    <w:rsid w:val="00770A5D"/>
    <w:rsid w:val="00770C3B"/>
    <w:rsid w:val="00770DFE"/>
    <w:rsid w:val="00770F75"/>
    <w:rsid w:val="0077130F"/>
    <w:rsid w:val="00771B30"/>
    <w:rsid w:val="00771F9B"/>
    <w:rsid w:val="00772248"/>
    <w:rsid w:val="0077260A"/>
    <w:rsid w:val="00772D3F"/>
    <w:rsid w:val="00772D64"/>
    <w:rsid w:val="00772D6D"/>
    <w:rsid w:val="007742FA"/>
    <w:rsid w:val="0077490F"/>
    <w:rsid w:val="0077502F"/>
    <w:rsid w:val="0077504B"/>
    <w:rsid w:val="00775228"/>
    <w:rsid w:val="00775546"/>
    <w:rsid w:val="00775620"/>
    <w:rsid w:val="00775F70"/>
    <w:rsid w:val="00776048"/>
    <w:rsid w:val="007761C3"/>
    <w:rsid w:val="0077770F"/>
    <w:rsid w:val="00777B93"/>
    <w:rsid w:val="00777C40"/>
    <w:rsid w:val="007800DA"/>
    <w:rsid w:val="007801DD"/>
    <w:rsid w:val="00780437"/>
    <w:rsid w:val="007808B1"/>
    <w:rsid w:val="00780DBF"/>
    <w:rsid w:val="00780E46"/>
    <w:rsid w:val="00781095"/>
    <w:rsid w:val="00781CCB"/>
    <w:rsid w:val="00781FA8"/>
    <w:rsid w:val="007822BA"/>
    <w:rsid w:val="0078284E"/>
    <w:rsid w:val="00782EC7"/>
    <w:rsid w:val="0078334B"/>
    <w:rsid w:val="00783818"/>
    <w:rsid w:val="00783A40"/>
    <w:rsid w:val="0078418B"/>
    <w:rsid w:val="007846AF"/>
    <w:rsid w:val="00784C1F"/>
    <w:rsid w:val="00784C39"/>
    <w:rsid w:val="00785A21"/>
    <w:rsid w:val="00785FBD"/>
    <w:rsid w:val="00786515"/>
    <w:rsid w:val="0078660B"/>
    <w:rsid w:val="0078684F"/>
    <w:rsid w:val="00786F5E"/>
    <w:rsid w:val="007874B0"/>
    <w:rsid w:val="007876AF"/>
    <w:rsid w:val="00787AC1"/>
    <w:rsid w:val="00787F9E"/>
    <w:rsid w:val="007910A5"/>
    <w:rsid w:val="007913CB"/>
    <w:rsid w:val="00791CBB"/>
    <w:rsid w:val="00792046"/>
    <w:rsid w:val="00792302"/>
    <w:rsid w:val="007927D6"/>
    <w:rsid w:val="00792AEC"/>
    <w:rsid w:val="00792B27"/>
    <w:rsid w:val="00792FFC"/>
    <w:rsid w:val="007933F3"/>
    <w:rsid w:val="0079343F"/>
    <w:rsid w:val="00793445"/>
    <w:rsid w:val="00793E86"/>
    <w:rsid w:val="00794031"/>
    <w:rsid w:val="007941C7"/>
    <w:rsid w:val="00795048"/>
    <w:rsid w:val="0079515A"/>
    <w:rsid w:val="007953DE"/>
    <w:rsid w:val="007957A3"/>
    <w:rsid w:val="0079588F"/>
    <w:rsid w:val="00795AD0"/>
    <w:rsid w:val="00795D31"/>
    <w:rsid w:val="00795DC9"/>
    <w:rsid w:val="00795EA6"/>
    <w:rsid w:val="00796239"/>
    <w:rsid w:val="007963AE"/>
    <w:rsid w:val="00797013"/>
    <w:rsid w:val="00797150"/>
    <w:rsid w:val="0079718C"/>
    <w:rsid w:val="00797A00"/>
    <w:rsid w:val="007A08B6"/>
    <w:rsid w:val="007A0EAE"/>
    <w:rsid w:val="007A17C0"/>
    <w:rsid w:val="007A1AA8"/>
    <w:rsid w:val="007A25CB"/>
    <w:rsid w:val="007A28EA"/>
    <w:rsid w:val="007A2D0F"/>
    <w:rsid w:val="007A31A4"/>
    <w:rsid w:val="007A3529"/>
    <w:rsid w:val="007A3B9F"/>
    <w:rsid w:val="007A3E11"/>
    <w:rsid w:val="007A40C2"/>
    <w:rsid w:val="007A4779"/>
    <w:rsid w:val="007A4BB4"/>
    <w:rsid w:val="007A5016"/>
    <w:rsid w:val="007A606B"/>
    <w:rsid w:val="007A66AA"/>
    <w:rsid w:val="007A6897"/>
    <w:rsid w:val="007A6B2B"/>
    <w:rsid w:val="007A6B6C"/>
    <w:rsid w:val="007A7262"/>
    <w:rsid w:val="007A7395"/>
    <w:rsid w:val="007A7AA0"/>
    <w:rsid w:val="007A7ACE"/>
    <w:rsid w:val="007A7FA7"/>
    <w:rsid w:val="007B0593"/>
    <w:rsid w:val="007B0B2F"/>
    <w:rsid w:val="007B0B46"/>
    <w:rsid w:val="007B0BF1"/>
    <w:rsid w:val="007B0EBD"/>
    <w:rsid w:val="007B14F1"/>
    <w:rsid w:val="007B1F92"/>
    <w:rsid w:val="007B1FAC"/>
    <w:rsid w:val="007B1FAD"/>
    <w:rsid w:val="007B20F2"/>
    <w:rsid w:val="007B20FF"/>
    <w:rsid w:val="007B2321"/>
    <w:rsid w:val="007B2492"/>
    <w:rsid w:val="007B2B95"/>
    <w:rsid w:val="007B2CC5"/>
    <w:rsid w:val="007B31BE"/>
    <w:rsid w:val="007B516F"/>
    <w:rsid w:val="007B5B51"/>
    <w:rsid w:val="007B62BF"/>
    <w:rsid w:val="007B745D"/>
    <w:rsid w:val="007B7664"/>
    <w:rsid w:val="007B79EF"/>
    <w:rsid w:val="007B7CCC"/>
    <w:rsid w:val="007B7CE2"/>
    <w:rsid w:val="007B7F9C"/>
    <w:rsid w:val="007C00F9"/>
    <w:rsid w:val="007C0AA1"/>
    <w:rsid w:val="007C20C2"/>
    <w:rsid w:val="007C2288"/>
    <w:rsid w:val="007C2432"/>
    <w:rsid w:val="007C2A61"/>
    <w:rsid w:val="007C371C"/>
    <w:rsid w:val="007C38F6"/>
    <w:rsid w:val="007C3C43"/>
    <w:rsid w:val="007C3F58"/>
    <w:rsid w:val="007C440F"/>
    <w:rsid w:val="007C4577"/>
    <w:rsid w:val="007C4A58"/>
    <w:rsid w:val="007C4C50"/>
    <w:rsid w:val="007C541C"/>
    <w:rsid w:val="007C55E0"/>
    <w:rsid w:val="007C5635"/>
    <w:rsid w:val="007C5697"/>
    <w:rsid w:val="007C608B"/>
    <w:rsid w:val="007C60FF"/>
    <w:rsid w:val="007C6335"/>
    <w:rsid w:val="007C671A"/>
    <w:rsid w:val="007C6D8E"/>
    <w:rsid w:val="007C6E8A"/>
    <w:rsid w:val="007C6F8E"/>
    <w:rsid w:val="007C72CB"/>
    <w:rsid w:val="007C7787"/>
    <w:rsid w:val="007C785C"/>
    <w:rsid w:val="007C79A6"/>
    <w:rsid w:val="007C7B1E"/>
    <w:rsid w:val="007C7F63"/>
    <w:rsid w:val="007C7FF9"/>
    <w:rsid w:val="007D0295"/>
    <w:rsid w:val="007D053C"/>
    <w:rsid w:val="007D0EBF"/>
    <w:rsid w:val="007D0F0E"/>
    <w:rsid w:val="007D129C"/>
    <w:rsid w:val="007D1728"/>
    <w:rsid w:val="007D228F"/>
    <w:rsid w:val="007D243A"/>
    <w:rsid w:val="007D34EB"/>
    <w:rsid w:val="007D380E"/>
    <w:rsid w:val="007D3AC7"/>
    <w:rsid w:val="007D4FF3"/>
    <w:rsid w:val="007D50AD"/>
    <w:rsid w:val="007D51FF"/>
    <w:rsid w:val="007D5254"/>
    <w:rsid w:val="007D54C4"/>
    <w:rsid w:val="007D5772"/>
    <w:rsid w:val="007D6579"/>
    <w:rsid w:val="007D682F"/>
    <w:rsid w:val="007D688E"/>
    <w:rsid w:val="007D68E9"/>
    <w:rsid w:val="007D6CB3"/>
    <w:rsid w:val="007D6E20"/>
    <w:rsid w:val="007D7557"/>
    <w:rsid w:val="007D77FD"/>
    <w:rsid w:val="007D79ED"/>
    <w:rsid w:val="007D7FB6"/>
    <w:rsid w:val="007E0C40"/>
    <w:rsid w:val="007E17F4"/>
    <w:rsid w:val="007E1F10"/>
    <w:rsid w:val="007E24C5"/>
    <w:rsid w:val="007E2859"/>
    <w:rsid w:val="007E2AFC"/>
    <w:rsid w:val="007E3E65"/>
    <w:rsid w:val="007E3FDE"/>
    <w:rsid w:val="007E46E8"/>
    <w:rsid w:val="007E482E"/>
    <w:rsid w:val="007E4A5B"/>
    <w:rsid w:val="007E4B91"/>
    <w:rsid w:val="007E4BDB"/>
    <w:rsid w:val="007E5796"/>
    <w:rsid w:val="007E5B71"/>
    <w:rsid w:val="007E621F"/>
    <w:rsid w:val="007E6444"/>
    <w:rsid w:val="007E676C"/>
    <w:rsid w:val="007E6FA4"/>
    <w:rsid w:val="007E7C24"/>
    <w:rsid w:val="007F0004"/>
    <w:rsid w:val="007F097E"/>
    <w:rsid w:val="007F107C"/>
    <w:rsid w:val="007F1363"/>
    <w:rsid w:val="007F1A76"/>
    <w:rsid w:val="007F275D"/>
    <w:rsid w:val="007F2A76"/>
    <w:rsid w:val="007F330E"/>
    <w:rsid w:val="007F34D4"/>
    <w:rsid w:val="007F355F"/>
    <w:rsid w:val="007F35EC"/>
    <w:rsid w:val="007F39FD"/>
    <w:rsid w:val="007F496A"/>
    <w:rsid w:val="007F49D8"/>
    <w:rsid w:val="007F5039"/>
    <w:rsid w:val="007F5CE9"/>
    <w:rsid w:val="007F67E1"/>
    <w:rsid w:val="007F6A45"/>
    <w:rsid w:val="007F6A50"/>
    <w:rsid w:val="007F6F21"/>
    <w:rsid w:val="007F7655"/>
    <w:rsid w:val="007F7ED5"/>
    <w:rsid w:val="0080033E"/>
    <w:rsid w:val="0080072A"/>
    <w:rsid w:val="008009D0"/>
    <w:rsid w:val="00800AA6"/>
    <w:rsid w:val="00800B3A"/>
    <w:rsid w:val="00800B85"/>
    <w:rsid w:val="008012A6"/>
    <w:rsid w:val="008014A8"/>
    <w:rsid w:val="00802352"/>
    <w:rsid w:val="008023E1"/>
    <w:rsid w:val="00802513"/>
    <w:rsid w:val="008029E0"/>
    <w:rsid w:val="00802AEF"/>
    <w:rsid w:val="0080335D"/>
    <w:rsid w:val="0080381C"/>
    <w:rsid w:val="00803C64"/>
    <w:rsid w:val="008044BE"/>
    <w:rsid w:val="008048D4"/>
    <w:rsid w:val="008049CB"/>
    <w:rsid w:val="008049D5"/>
    <w:rsid w:val="008049DE"/>
    <w:rsid w:val="00804B01"/>
    <w:rsid w:val="0080507A"/>
    <w:rsid w:val="00805E7E"/>
    <w:rsid w:val="0080624F"/>
    <w:rsid w:val="00806805"/>
    <w:rsid w:val="00806953"/>
    <w:rsid w:val="00806B08"/>
    <w:rsid w:val="00806B2A"/>
    <w:rsid w:val="00806B77"/>
    <w:rsid w:val="00806F70"/>
    <w:rsid w:val="0080742F"/>
    <w:rsid w:val="0080769F"/>
    <w:rsid w:val="00810012"/>
    <w:rsid w:val="00810962"/>
    <w:rsid w:val="00810E2C"/>
    <w:rsid w:val="008115A1"/>
    <w:rsid w:val="00811B37"/>
    <w:rsid w:val="00811C59"/>
    <w:rsid w:val="008137A7"/>
    <w:rsid w:val="00813AEC"/>
    <w:rsid w:val="0081411A"/>
    <w:rsid w:val="00814305"/>
    <w:rsid w:val="00814D15"/>
    <w:rsid w:val="0081510C"/>
    <w:rsid w:val="008159D3"/>
    <w:rsid w:val="00815F70"/>
    <w:rsid w:val="00816013"/>
    <w:rsid w:val="008167E6"/>
    <w:rsid w:val="00816A4E"/>
    <w:rsid w:val="008173A8"/>
    <w:rsid w:val="0081747E"/>
    <w:rsid w:val="0081769E"/>
    <w:rsid w:val="00817816"/>
    <w:rsid w:val="00817870"/>
    <w:rsid w:val="00817A97"/>
    <w:rsid w:val="00817CB6"/>
    <w:rsid w:val="00817FA3"/>
    <w:rsid w:val="00820138"/>
    <w:rsid w:val="00820522"/>
    <w:rsid w:val="008208E5"/>
    <w:rsid w:val="008208F6"/>
    <w:rsid w:val="0082095E"/>
    <w:rsid w:val="008209E6"/>
    <w:rsid w:val="00821402"/>
    <w:rsid w:val="0082272F"/>
    <w:rsid w:val="00822A24"/>
    <w:rsid w:val="008233CE"/>
    <w:rsid w:val="00823635"/>
    <w:rsid w:val="008237A2"/>
    <w:rsid w:val="00824497"/>
    <w:rsid w:val="00825A65"/>
    <w:rsid w:val="00825CAA"/>
    <w:rsid w:val="0082644D"/>
    <w:rsid w:val="00827148"/>
    <w:rsid w:val="0082728A"/>
    <w:rsid w:val="0082745B"/>
    <w:rsid w:val="00827A5F"/>
    <w:rsid w:val="00830495"/>
    <w:rsid w:val="008305F9"/>
    <w:rsid w:val="00830FAC"/>
    <w:rsid w:val="008314FE"/>
    <w:rsid w:val="00831695"/>
    <w:rsid w:val="0083201D"/>
    <w:rsid w:val="00832403"/>
    <w:rsid w:val="00832546"/>
    <w:rsid w:val="00832F24"/>
    <w:rsid w:val="00833083"/>
    <w:rsid w:val="00833CFD"/>
    <w:rsid w:val="00833DB2"/>
    <w:rsid w:val="008343B2"/>
    <w:rsid w:val="00835D8B"/>
    <w:rsid w:val="00836130"/>
    <w:rsid w:val="00836316"/>
    <w:rsid w:val="00836474"/>
    <w:rsid w:val="0083700E"/>
    <w:rsid w:val="0083711E"/>
    <w:rsid w:val="008371B9"/>
    <w:rsid w:val="00837442"/>
    <w:rsid w:val="008374EB"/>
    <w:rsid w:val="00837549"/>
    <w:rsid w:val="00837E15"/>
    <w:rsid w:val="008400F6"/>
    <w:rsid w:val="00840315"/>
    <w:rsid w:val="00840ED6"/>
    <w:rsid w:val="0084143F"/>
    <w:rsid w:val="008416B9"/>
    <w:rsid w:val="00841DD8"/>
    <w:rsid w:val="00842317"/>
    <w:rsid w:val="00842FBE"/>
    <w:rsid w:val="00844B7E"/>
    <w:rsid w:val="00844F61"/>
    <w:rsid w:val="00845035"/>
    <w:rsid w:val="00845221"/>
    <w:rsid w:val="008455D8"/>
    <w:rsid w:val="0084597C"/>
    <w:rsid w:val="008462BD"/>
    <w:rsid w:val="0084636B"/>
    <w:rsid w:val="0084663B"/>
    <w:rsid w:val="00846B66"/>
    <w:rsid w:val="00846C07"/>
    <w:rsid w:val="00846C7F"/>
    <w:rsid w:val="008470ED"/>
    <w:rsid w:val="00847D1D"/>
    <w:rsid w:val="008500CB"/>
    <w:rsid w:val="00850154"/>
    <w:rsid w:val="00850155"/>
    <w:rsid w:val="00850A55"/>
    <w:rsid w:val="00851053"/>
    <w:rsid w:val="00851A9A"/>
    <w:rsid w:val="00852604"/>
    <w:rsid w:val="00852DC6"/>
    <w:rsid w:val="00852F0B"/>
    <w:rsid w:val="00853210"/>
    <w:rsid w:val="00854212"/>
    <w:rsid w:val="0085431A"/>
    <w:rsid w:val="00854CFA"/>
    <w:rsid w:val="00854DE5"/>
    <w:rsid w:val="00854EBF"/>
    <w:rsid w:val="00855433"/>
    <w:rsid w:val="008558A5"/>
    <w:rsid w:val="008572B6"/>
    <w:rsid w:val="008573D9"/>
    <w:rsid w:val="00860414"/>
    <w:rsid w:val="00860490"/>
    <w:rsid w:val="008606E5"/>
    <w:rsid w:val="008608DA"/>
    <w:rsid w:val="00861575"/>
    <w:rsid w:val="0086234A"/>
    <w:rsid w:val="008623ED"/>
    <w:rsid w:val="00862F26"/>
    <w:rsid w:val="008632DB"/>
    <w:rsid w:val="008634FC"/>
    <w:rsid w:val="008635AF"/>
    <w:rsid w:val="008638F1"/>
    <w:rsid w:val="008643DE"/>
    <w:rsid w:val="00864A69"/>
    <w:rsid w:val="00864FF9"/>
    <w:rsid w:val="00865029"/>
    <w:rsid w:val="00865653"/>
    <w:rsid w:val="00865735"/>
    <w:rsid w:val="0086595F"/>
    <w:rsid w:val="00865F1B"/>
    <w:rsid w:val="00865FEB"/>
    <w:rsid w:val="008667DC"/>
    <w:rsid w:val="00866A88"/>
    <w:rsid w:val="0086702A"/>
    <w:rsid w:val="0086726B"/>
    <w:rsid w:val="008673E0"/>
    <w:rsid w:val="00867D97"/>
    <w:rsid w:val="008703FE"/>
    <w:rsid w:val="008706EE"/>
    <w:rsid w:val="008708A7"/>
    <w:rsid w:val="00871000"/>
    <w:rsid w:val="0087221D"/>
    <w:rsid w:val="008724DA"/>
    <w:rsid w:val="00872AD4"/>
    <w:rsid w:val="00872E7E"/>
    <w:rsid w:val="008742DD"/>
    <w:rsid w:val="008750C2"/>
    <w:rsid w:val="00876168"/>
    <w:rsid w:val="00876451"/>
    <w:rsid w:val="00876B2A"/>
    <w:rsid w:val="00877020"/>
    <w:rsid w:val="0087761B"/>
    <w:rsid w:val="00877971"/>
    <w:rsid w:val="00877AF4"/>
    <w:rsid w:val="00877D2D"/>
    <w:rsid w:val="008800CC"/>
    <w:rsid w:val="008802D9"/>
    <w:rsid w:val="00880B87"/>
    <w:rsid w:val="008816BA"/>
    <w:rsid w:val="00881D51"/>
    <w:rsid w:val="00882301"/>
    <w:rsid w:val="008827C0"/>
    <w:rsid w:val="00883328"/>
    <w:rsid w:val="008837D6"/>
    <w:rsid w:val="00883AD3"/>
    <w:rsid w:val="00883C32"/>
    <w:rsid w:val="00883E35"/>
    <w:rsid w:val="00884A55"/>
    <w:rsid w:val="00884E03"/>
    <w:rsid w:val="00884E7C"/>
    <w:rsid w:val="0088559D"/>
    <w:rsid w:val="0088562B"/>
    <w:rsid w:val="008856DB"/>
    <w:rsid w:val="008857EF"/>
    <w:rsid w:val="00885818"/>
    <w:rsid w:val="00885BA3"/>
    <w:rsid w:val="00885D8F"/>
    <w:rsid w:val="008861E0"/>
    <w:rsid w:val="00886762"/>
    <w:rsid w:val="00886CCF"/>
    <w:rsid w:val="00886E72"/>
    <w:rsid w:val="00886F2D"/>
    <w:rsid w:val="0088758A"/>
    <w:rsid w:val="00887B34"/>
    <w:rsid w:val="00887D59"/>
    <w:rsid w:val="008906EC"/>
    <w:rsid w:val="0089088B"/>
    <w:rsid w:val="00890F9F"/>
    <w:rsid w:val="008910B1"/>
    <w:rsid w:val="00891649"/>
    <w:rsid w:val="00891FBC"/>
    <w:rsid w:val="008922EE"/>
    <w:rsid w:val="00892561"/>
    <w:rsid w:val="00892A88"/>
    <w:rsid w:val="00893086"/>
    <w:rsid w:val="008937F2"/>
    <w:rsid w:val="008941B1"/>
    <w:rsid w:val="008941FD"/>
    <w:rsid w:val="0089472A"/>
    <w:rsid w:val="008947EA"/>
    <w:rsid w:val="00894DE7"/>
    <w:rsid w:val="00895C54"/>
    <w:rsid w:val="00895C99"/>
    <w:rsid w:val="0089606C"/>
    <w:rsid w:val="00896323"/>
    <w:rsid w:val="008963EB"/>
    <w:rsid w:val="00896590"/>
    <w:rsid w:val="0089665B"/>
    <w:rsid w:val="00896B83"/>
    <w:rsid w:val="00896C23"/>
    <w:rsid w:val="00896DC6"/>
    <w:rsid w:val="008975DD"/>
    <w:rsid w:val="008976DB"/>
    <w:rsid w:val="00897F88"/>
    <w:rsid w:val="00897FEF"/>
    <w:rsid w:val="008A019A"/>
    <w:rsid w:val="008A0267"/>
    <w:rsid w:val="008A05F3"/>
    <w:rsid w:val="008A0C86"/>
    <w:rsid w:val="008A125F"/>
    <w:rsid w:val="008A12C9"/>
    <w:rsid w:val="008A209D"/>
    <w:rsid w:val="008A29D2"/>
    <w:rsid w:val="008A2AA7"/>
    <w:rsid w:val="008A33A0"/>
    <w:rsid w:val="008A3685"/>
    <w:rsid w:val="008A3710"/>
    <w:rsid w:val="008A3C73"/>
    <w:rsid w:val="008A4368"/>
    <w:rsid w:val="008A4668"/>
    <w:rsid w:val="008A4759"/>
    <w:rsid w:val="008A5BE5"/>
    <w:rsid w:val="008A5DCB"/>
    <w:rsid w:val="008A6085"/>
    <w:rsid w:val="008A60BE"/>
    <w:rsid w:val="008A6542"/>
    <w:rsid w:val="008A66C1"/>
    <w:rsid w:val="008A6DE6"/>
    <w:rsid w:val="008A756A"/>
    <w:rsid w:val="008A7A23"/>
    <w:rsid w:val="008B07EB"/>
    <w:rsid w:val="008B0EC5"/>
    <w:rsid w:val="008B1176"/>
    <w:rsid w:val="008B12E9"/>
    <w:rsid w:val="008B17C8"/>
    <w:rsid w:val="008B22B5"/>
    <w:rsid w:val="008B2400"/>
    <w:rsid w:val="008B304B"/>
    <w:rsid w:val="008B3317"/>
    <w:rsid w:val="008B3678"/>
    <w:rsid w:val="008B3A3C"/>
    <w:rsid w:val="008B453B"/>
    <w:rsid w:val="008B51D8"/>
    <w:rsid w:val="008B5674"/>
    <w:rsid w:val="008B621A"/>
    <w:rsid w:val="008B6568"/>
    <w:rsid w:val="008B6C1D"/>
    <w:rsid w:val="008B6D1A"/>
    <w:rsid w:val="008B7023"/>
    <w:rsid w:val="008B713C"/>
    <w:rsid w:val="008B7890"/>
    <w:rsid w:val="008B7C67"/>
    <w:rsid w:val="008C0784"/>
    <w:rsid w:val="008C0BF8"/>
    <w:rsid w:val="008C0DAE"/>
    <w:rsid w:val="008C1B85"/>
    <w:rsid w:val="008C22D6"/>
    <w:rsid w:val="008C22E8"/>
    <w:rsid w:val="008C26CE"/>
    <w:rsid w:val="008C2827"/>
    <w:rsid w:val="008C31B1"/>
    <w:rsid w:val="008C37BB"/>
    <w:rsid w:val="008C3AC2"/>
    <w:rsid w:val="008C4217"/>
    <w:rsid w:val="008C50AB"/>
    <w:rsid w:val="008C52E6"/>
    <w:rsid w:val="008C57D7"/>
    <w:rsid w:val="008C597D"/>
    <w:rsid w:val="008C626E"/>
    <w:rsid w:val="008C6476"/>
    <w:rsid w:val="008C671C"/>
    <w:rsid w:val="008C6BD1"/>
    <w:rsid w:val="008C729D"/>
    <w:rsid w:val="008C78E2"/>
    <w:rsid w:val="008C7AA2"/>
    <w:rsid w:val="008C7DEF"/>
    <w:rsid w:val="008C7E0E"/>
    <w:rsid w:val="008D1D42"/>
    <w:rsid w:val="008D1D87"/>
    <w:rsid w:val="008D2120"/>
    <w:rsid w:val="008D219F"/>
    <w:rsid w:val="008D266F"/>
    <w:rsid w:val="008D26D7"/>
    <w:rsid w:val="008D275B"/>
    <w:rsid w:val="008D2BE3"/>
    <w:rsid w:val="008D2E4D"/>
    <w:rsid w:val="008D497C"/>
    <w:rsid w:val="008D4BE1"/>
    <w:rsid w:val="008D555A"/>
    <w:rsid w:val="008D5D70"/>
    <w:rsid w:val="008D6298"/>
    <w:rsid w:val="008D6DFA"/>
    <w:rsid w:val="008D70EE"/>
    <w:rsid w:val="008D71A2"/>
    <w:rsid w:val="008D7350"/>
    <w:rsid w:val="008E10AA"/>
    <w:rsid w:val="008E1388"/>
    <w:rsid w:val="008E1648"/>
    <w:rsid w:val="008E1704"/>
    <w:rsid w:val="008E1C76"/>
    <w:rsid w:val="008E1D39"/>
    <w:rsid w:val="008E1DAC"/>
    <w:rsid w:val="008E233E"/>
    <w:rsid w:val="008E233F"/>
    <w:rsid w:val="008E236F"/>
    <w:rsid w:val="008E23BD"/>
    <w:rsid w:val="008E26B5"/>
    <w:rsid w:val="008E26F5"/>
    <w:rsid w:val="008E28E3"/>
    <w:rsid w:val="008E3055"/>
    <w:rsid w:val="008E3210"/>
    <w:rsid w:val="008E32E5"/>
    <w:rsid w:val="008E392A"/>
    <w:rsid w:val="008E3F13"/>
    <w:rsid w:val="008E4176"/>
    <w:rsid w:val="008E4489"/>
    <w:rsid w:val="008E454D"/>
    <w:rsid w:val="008E4FE5"/>
    <w:rsid w:val="008E5728"/>
    <w:rsid w:val="008E6291"/>
    <w:rsid w:val="008E75E0"/>
    <w:rsid w:val="008E797E"/>
    <w:rsid w:val="008F0BBF"/>
    <w:rsid w:val="008F0C29"/>
    <w:rsid w:val="008F0EC9"/>
    <w:rsid w:val="008F12C2"/>
    <w:rsid w:val="008F14F2"/>
    <w:rsid w:val="008F1870"/>
    <w:rsid w:val="008F1BB4"/>
    <w:rsid w:val="008F2409"/>
    <w:rsid w:val="008F2426"/>
    <w:rsid w:val="008F2754"/>
    <w:rsid w:val="008F30A8"/>
    <w:rsid w:val="008F38BC"/>
    <w:rsid w:val="008F3988"/>
    <w:rsid w:val="008F3E0D"/>
    <w:rsid w:val="008F3F8D"/>
    <w:rsid w:val="008F4222"/>
    <w:rsid w:val="008F4406"/>
    <w:rsid w:val="008F4BC0"/>
    <w:rsid w:val="008F4EB9"/>
    <w:rsid w:val="008F4FEC"/>
    <w:rsid w:val="008F5A86"/>
    <w:rsid w:val="008F5B8C"/>
    <w:rsid w:val="008F6BA0"/>
    <w:rsid w:val="008F6CED"/>
    <w:rsid w:val="008F7027"/>
    <w:rsid w:val="008F762E"/>
    <w:rsid w:val="008F770B"/>
    <w:rsid w:val="008F7C1D"/>
    <w:rsid w:val="009007F0"/>
    <w:rsid w:val="00900CD8"/>
    <w:rsid w:val="0090102C"/>
    <w:rsid w:val="00901433"/>
    <w:rsid w:val="0090224A"/>
    <w:rsid w:val="009023F8"/>
    <w:rsid w:val="00902655"/>
    <w:rsid w:val="00902814"/>
    <w:rsid w:val="00903036"/>
    <w:rsid w:val="009030CD"/>
    <w:rsid w:val="00903798"/>
    <w:rsid w:val="00903CF7"/>
    <w:rsid w:val="00903DFE"/>
    <w:rsid w:val="009040F1"/>
    <w:rsid w:val="00904C10"/>
    <w:rsid w:val="00904EE1"/>
    <w:rsid w:val="00905012"/>
    <w:rsid w:val="009052E3"/>
    <w:rsid w:val="009067DE"/>
    <w:rsid w:val="009068F7"/>
    <w:rsid w:val="009075C4"/>
    <w:rsid w:val="009079DE"/>
    <w:rsid w:val="00907BA0"/>
    <w:rsid w:val="00907D0B"/>
    <w:rsid w:val="009104A4"/>
    <w:rsid w:val="00910B09"/>
    <w:rsid w:val="00911DB0"/>
    <w:rsid w:val="00912AC1"/>
    <w:rsid w:val="0091300F"/>
    <w:rsid w:val="009130C6"/>
    <w:rsid w:val="00913455"/>
    <w:rsid w:val="0091355F"/>
    <w:rsid w:val="009142DA"/>
    <w:rsid w:val="00914F85"/>
    <w:rsid w:val="009150AC"/>
    <w:rsid w:val="009158CE"/>
    <w:rsid w:val="00915B45"/>
    <w:rsid w:val="009160D0"/>
    <w:rsid w:val="00916130"/>
    <w:rsid w:val="00916911"/>
    <w:rsid w:val="00916B19"/>
    <w:rsid w:val="009170D0"/>
    <w:rsid w:val="00917371"/>
    <w:rsid w:val="009174F5"/>
    <w:rsid w:val="00920D3B"/>
    <w:rsid w:val="00921137"/>
    <w:rsid w:val="0092128E"/>
    <w:rsid w:val="0092133D"/>
    <w:rsid w:val="00921696"/>
    <w:rsid w:val="00921A86"/>
    <w:rsid w:val="00921DEE"/>
    <w:rsid w:val="00921F51"/>
    <w:rsid w:val="009226B3"/>
    <w:rsid w:val="00923B82"/>
    <w:rsid w:val="00923CFC"/>
    <w:rsid w:val="0092425A"/>
    <w:rsid w:val="009244E6"/>
    <w:rsid w:val="009249EA"/>
    <w:rsid w:val="00925422"/>
    <w:rsid w:val="00925711"/>
    <w:rsid w:val="00925918"/>
    <w:rsid w:val="00925C18"/>
    <w:rsid w:val="0092603B"/>
    <w:rsid w:val="009260F8"/>
    <w:rsid w:val="0092659B"/>
    <w:rsid w:val="00926958"/>
    <w:rsid w:val="00926D9F"/>
    <w:rsid w:val="00927BAC"/>
    <w:rsid w:val="0093032D"/>
    <w:rsid w:val="00930CB7"/>
    <w:rsid w:val="009312C6"/>
    <w:rsid w:val="009313A1"/>
    <w:rsid w:val="00931AA4"/>
    <w:rsid w:val="00931CA4"/>
    <w:rsid w:val="00931DCA"/>
    <w:rsid w:val="00931F56"/>
    <w:rsid w:val="00932649"/>
    <w:rsid w:val="0093285E"/>
    <w:rsid w:val="0093286F"/>
    <w:rsid w:val="00932CB0"/>
    <w:rsid w:val="009330F9"/>
    <w:rsid w:val="009336FA"/>
    <w:rsid w:val="00933A6F"/>
    <w:rsid w:val="00933BE3"/>
    <w:rsid w:val="009348D7"/>
    <w:rsid w:val="0093498C"/>
    <w:rsid w:val="00934E07"/>
    <w:rsid w:val="00935912"/>
    <w:rsid w:val="0093660E"/>
    <w:rsid w:val="009366BF"/>
    <w:rsid w:val="00936838"/>
    <w:rsid w:val="00936A8A"/>
    <w:rsid w:val="00937482"/>
    <w:rsid w:val="009402DA"/>
    <w:rsid w:val="009411B9"/>
    <w:rsid w:val="0094122F"/>
    <w:rsid w:val="0094129C"/>
    <w:rsid w:val="00941B71"/>
    <w:rsid w:val="00941C8B"/>
    <w:rsid w:val="0094264B"/>
    <w:rsid w:val="009427E5"/>
    <w:rsid w:val="00942C49"/>
    <w:rsid w:val="009432DD"/>
    <w:rsid w:val="009434F1"/>
    <w:rsid w:val="009439A2"/>
    <w:rsid w:val="009445BB"/>
    <w:rsid w:val="0094471C"/>
    <w:rsid w:val="00944900"/>
    <w:rsid w:val="009449ED"/>
    <w:rsid w:val="00945418"/>
    <w:rsid w:val="009456D4"/>
    <w:rsid w:val="009461DC"/>
    <w:rsid w:val="0094686C"/>
    <w:rsid w:val="009473FE"/>
    <w:rsid w:val="00947B90"/>
    <w:rsid w:val="00947EBC"/>
    <w:rsid w:val="00950063"/>
    <w:rsid w:val="00950379"/>
    <w:rsid w:val="00950551"/>
    <w:rsid w:val="00950A77"/>
    <w:rsid w:val="00951B39"/>
    <w:rsid w:val="0095292F"/>
    <w:rsid w:val="0095374C"/>
    <w:rsid w:val="0095387D"/>
    <w:rsid w:val="00953B1D"/>
    <w:rsid w:val="009544BE"/>
    <w:rsid w:val="0095469E"/>
    <w:rsid w:val="009548CA"/>
    <w:rsid w:val="0095515C"/>
    <w:rsid w:val="009551A9"/>
    <w:rsid w:val="00955C70"/>
    <w:rsid w:val="00955E7B"/>
    <w:rsid w:val="009566C7"/>
    <w:rsid w:val="00956D6E"/>
    <w:rsid w:val="00957999"/>
    <w:rsid w:val="00957AAC"/>
    <w:rsid w:val="00957E9B"/>
    <w:rsid w:val="00957FF7"/>
    <w:rsid w:val="00960165"/>
    <w:rsid w:val="009603AE"/>
    <w:rsid w:val="00961E59"/>
    <w:rsid w:val="00961FCA"/>
    <w:rsid w:val="009624E0"/>
    <w:rsid w:val="0096274F"/>
    <w:rsid w:val="009627E1"/>
    <w:rsid w:val="0096283B"/>
    <w:rsid w:val="00962F22"/>
    <w:rsid w:val="0096308D"/>
    <w:rsid w:val="00963E98"/>
    <w:rsid w:val="009644DE"/>
    <w:rsid w:val="009645C6"/>
    <w:rsid w:val="009645D8"/>
    <w:rsid w:val="00964802"/>
    <w:rsid w:val="00964BFE"/>
    <w:rsid w:val="00965C63"/>
    <w:rsid w:val="00965CED"/>
    <w:rsid w:val="0096610A"/>
    <w:rsid w:val="0096644E"/>
    <w:rsid w:val="00966645"/>
    <w:rsid w:val="009666E1"/>
    <w:rsid w:val="009668EB"/>
    <w:rsid w:val="00966F47"/>
    <w:rsid w:val="0096705E"/>
    <w:rsid w:val="0096754D"/>
    <w:rsid w:val="00970195"/>
    <w:rsid w:val="009702B3"/>
    <w:rsid w:val="009704BB"/>
    <w:rsid w:val="00970997"/>
    <w:rsid w:val="00970A2A"/>
    <w:rsid w:val="00970ADE"/>
    <w:rsid w:val="00970E76"/>
    <w:rsid w:val="00971024"/>
    <w:rsid w:val="00971A53"/>
    <w:rsid w:val="00971B5C"/>
    <w:rsid w:val="00971E4A"/>
    <w:rsid w:val="0097223A"/>
    <w:rsid w:val="00972395"/>
    <w:rsid w:val="0097268F"/>
    <w:rsid w:val="00972723"/>
    <w:rsid w:val="0097287C"/>
    <w:rsid w:val="00973164"/>
    <w:rsid w:val="0097378B"/>
    <w:rsid w:val="009745AE"/>
    <w:rsid w:val="009746ED"/>
    <w:rsid w:val="00974B1E"/>
    <w:rsid w:val="00974C73"/>
    <w:rsid w:val="00975926"/>
    <w:rsid w:val="00976376"/>
    <w:rsid w:val="009764A0"/>
    <w:rsid w:val="0097664A"/>
    <w:rsid w:val="00976669"/>
    <w:rsid w:val="00977579"/>
    <w:rsid w:val="00977875"/>
    <w:rsid w:val="00977C30"/>
    <w:rsid w:val="00977D01"/>
    <w:rsid w:val="00977DEB"/>
    <w:rsid w:val="0098002B"/>
    <w:rsid w:val="00980CC9"/>
    <w:rsid w:val="00980E62"/>
    <w:rsid w:val="00981897"/>
    <w:rsid w:val="009818B5"/>
    <w:rsid w:val="00982BDE"/>
    <w:rsid w:val="00982EBB"/>
    <w:rsid w:val="00982F44"/>
    <w:rsid w:val="0098381A"/>
    <w:rsid w:val="00983903"/>
    <w:rsid w:val="00983956"/>
    <w:rsid w:val="00983E2E"/>
    <w:rsid w:val="00984062"/>
    <w:rsid w:val="009843C9"/>
    <w:rsid w:val="0098505F"/>
    <w:rsid w:val="00985485"/>
    <w:rsid w:val="00985511"/>
    <w:rsid w:val="00985554"/>
    <w:rsid w:val="009857EB"/>
    <w:rsid w:val="00985F9B"/>
    <w:rsid w:val="00986192"/>
    <w:rsid w:val="00986319"/>
    <w:rsid w:val="009867A3"/>
    <w:rsid w:val="0098698A"/>
    <w:rsid w:val="00986AAA"/>
    <w:rsid w:val="0098752F"/>
    <w:rsid w:val="00987933"/>
    <w:rsid w:val="00987987"/>
    <w:rsid w:val="00987995"/>
    <w:rsid w:val="009879D2"/>
    <w:rsid w:val="00987F1A"/>
    <w:rsid w:val="00987FDE"/>
    <w:rsid w:val="00990577"/>
    <w:rsid w:val="009905BC"/>
    <w:rsid w:val="00990B19"/>
    <w:rsid w:val="00990B38"/>
    <w:rsid w:val="00990B6B"/>
    <w:rsid w:val="00990FE4"/>
    <w:rsid w:val="00991777"/>
    <w:rsid w:val="009925C9"/>
    <w:rsid w:val="009928DB"/>
    <w:rsid w:val="00992A29"/>
    <w:rsid w:val="0099375D"/>
    <w:rsid w:val="009941F6"/>
    <w:rsid w:val="009942E0"/>
    <w:rsid w:val="00994832"/>
    <w:rsid w:val="0099496D"/>
    <w:rsid w:val="00994AB3"/>
    <w:rsid w:val="009951FC"/>
    <w:rsid w:val="009958CF"/>
    <w:rsid w:val="00995C7F"/>
    <w:rsid w:val="009961EC"/>
    <w:rsid w:val="0099625A"/>
    <w:rsid w:val="00996D1D"/>
    <w:rsid w:val="00996D6A"/>
    <w:rsid w:val="00996E07"/>
    <w:rsid w:val="009972B9"/>
    <w:rsid w:val="00997475"/>
    <w:rsid w:val="00997DB7"/>
    <w:rsid w:val="00997F99"/>
    <w:rsid w:val="009A01B9"/>
    <w:rsid w:val="009A0233"/>
    <w:rsid w:val="009A063D"/>
    <w:rsid w:val="009A08BE"/>
    <w:rsid w:val="009A0920"/>
    <w:rsid w:val="009A0BA4"/>
    <w:rsid w:val="009A1054"/>
    <w:rsid w:val="009A17EA"/>
    <w:rsid w:val="009A1821"/>
    <w:rsid w:val="009A25F5"/>
    <w:rsid w:val="009A2ADB"/>
    <w:rsid w:val="009A2F2B"/>
    <w:rsid w:val="009A3706"/>
    <w:rsid w:val="009A38A2"/>
    <w:rsid w:val="009A3D7C"/>
    <w:rsid w:val="009A3F33"/>
    <w:rsid w:val="009A3FE1"/>
    <w:rsid w:val="009A4923"/>
    <w:rsid w:val="009A4DDF"/>
    <w:rsid w:val="009A4EC6"/>
    <w:rsid w:val="009A54AB"/>
    <w:rsid w:val="009A5917"/>
    <w:rsid w:val="009A60AD"/>
    <w:rsid w:val="009A65CE"/>
    <w:rsid w:val="009A682B"/>
    <w:rsid w:val="009A6958"/>
    <w:rsid w:val="009A6EDA"/>
    <w:rsid w:val="009A6F73"/>
    <w:rsid w:val="009A72B7"/>
    <w:rsid w:val="009A75DD"/>
    <w:rsid w:val="009A76F8"/>
    <w:rsid w:val="009A7FA3"/>
    <w:rsid w:val="009B0433"/>
    <w:rsid w:val="009B0665"/>
    <w:rsid w:val="009B0A5A"/>
    <w:rsid w:val="009B0B96"/>
    <w:rsid w:val="009B17E1"/>
    <w:rsid w:val="009B1CAB"/>
    <w:rsid w:val="009B1CCC"/>
    <w:rsid w:val="009B1E92"/>
    <w:rsid w:val="009B286D"/>
    <w:rsid w:val="009B2C2A"/>
    <w:rsid w:val="009B352A"/>
    <w:rsid w:val="009B35F1"/>
    <w:rsid w:val="009B3691"/>
    <w:rsid w:val="009B3917"/>
    <w:rsid w:val="009B3A05"/>
    <w:rsid w:val="009B46DE"/>
    <w:rsid w:val="009B49A9"/>
    <w:rsid w:val="009B5047"/>
    <w:rsid w:val="009B50C1"/>
    <w:rsid w:val="009B578F"/>
    <w:rsid w:val="009B6287"/>
    <w:rsid w:val="009B6333"/>
    <w:rsid w:val="009B793A"/>
    <w:rsid w:val="009B7B18"/>
    <w:rsid w:val="009B7BE9"/>
    <w:rsid w:val="009C024E"/>
    <w:rsid w:val="009C1004"/>
    <w:rsid w:val="009C23D5"/>
    <w:rsid w:val="009C279E"/>
    <w:rsid w:val="009C3F0D"/>
    <w:rsid w:val="009C4015"/>
    <w:rsid w:val="009C4048"/>
    <w:rsid w:val="009C43FF"/>
    <w:rsid w:val="009C4AD0"/>
    <w:rsid w:val="009C5017"/>
    <w:rsid w:val="009C51B3"/>
    <w:rsid w:val="009C566D"/>
    <w:rsid w:val="009C5929"/>
    <w:rsid w:val="009C59E6"/>
    <w:rsid w:val="009C5D62"/>
    <w:rsid w:val="009C652D"/>
    <w:rsid w:val="009C67AC"/>
    <w:rsid w:val="009C6947"/>
    <w:rsid w:val="009C6C69"/>
    <w:rsid w:val="009C7B74"/>
    <w:rsid w:val="009C7DB9"/>
    <w:rsid w:val="009C7E15"/>
    <w:rsid w:val="009D0308"/>
    <w:rsid w:val="009D03C3"/>
    <w:rsid w:val="009D0414"/>
    <w:rsid w:val="009D079B"/>
    <w:rsid w:val="009D0A37"/>
    <w:rsid w:val="009D0C9C"/>
    <w:rsid w:val="009D0D14"/>
    <w:rsid w:val="009D10B0"/>
    <w:rsid w:val="009D2493"/>
    <w:rsid w:val="009D338F"/>
    <w:rsid w:val="009D33E7"/>
    <w:rsid w:val="009D44D1"/>
    <w:rsid w:val="009D4DD5"/>
    <w:rsid w:val="009D506C"/>
    <w:rsid w:val="009D69BE"/>
    <w:rsid w:val="009D6FA9"/>
    <w:rsid w:val="009E0024"/>
    <w:rsid w:val="009E037D"/>
    <w:rsid w:val="009E050C"/>
    <w:rsid w:val="009E1C60"/>
    <w:rsid w:val="009E2590"/>
    <w:rsid w:val="009E2D94"/>
    <w:rsid w:val="009E31DC"/>
    <w:rsid w:val="009E364A"/>
    <w:rsid w:val="009E3745"/>
    <w:rsid w:val="009E4360"/>
    <w:rsid w:val="009E493F"/>
    <w:rsid w:val="009E5184"/>
    <w:rsid w:val="009E547B"/>
    <w:rsid w:val="009E5F69"/>
    <w:rsid w:val="009E6070"/>
    <w:rsid w:val="009E6A4B"/>
    <w:rsid w:val="009E6D16"/>
    <w:rsid w:val="009E71E1"/>
    <w:rsid w:val="009F02B3"/>
    <w:rsid w:val="009F03DF"/>
    <w:rsid w:val="009F0967"/>
    <w:rsid w:val="009F0A2E"/>
    <w:rsid w:val="009F0BD2"/>
    <w:rsid w:val="009F1176"/>
    <w:rsid w:val="009F15CC"/>
    <w:rsid w:val="009F1B6D"/>
    <w:rsid w:val="009F1DBB"/>
    <w:rsid w:val="009F2EB3"/>
    <w:rsid w:val="009F2FDF"/>
    <w:rsid w:val="009F3440"/>
    <w:rsid w:val="009F3474"/>
    <w:rsid w:val="009F4BBA"/>
    <w:rsid w:val="009F4D49"/>
    <w:rsid w:val="009F4D6C"/>
    <w:rsid w:val="009F4D71"/>
    <w:rsid w:val="009F6027"/>
    <w:rsid w:val="009F6B6B"/>
    <w:rsid w:val="009F6EBE"/>
    <w:rsid w:val="00A0011C"/>
    <w:rsid w:val="00A0083D"/>
    <w:rsid w:val="00A00988"/>
    <w:rsid w:val="00A00E35"/>
    <w:rsid w:val="00A01528"/>
    <w:rsid w:val="00A017B0"/>
    <w:rsid w:val="00A01BBC"/>
    <w:rsid w:val="00A01C31"/>
    <w:rsid w:val="00A01F61"/>
    <w:rsid w:val="00A021F7"/>
    <w:rsid w:val="00A0243C"/>
    <w:rsid w:val="00A0248E"/>
    <w:rsid w:val="00A0269F"/>
    <w:rsid w:val="00A0277A"/>
    <w:rsid w:val="00A02837"/>
    <w:rsid w:val="00A049DB"/>
    <w:rsid w:val="00A04A02"/>
    <w:rsid w:val="00A04B65"/>
    <w:rsid w:val="00A04FAB"/>
    <w:rsid w:val="00A0503F"/>
    <w:rsid w:val="00A05089"/>
    <w:rsid w:val="00A05141"/>
    <w:rsid w:val="00A0542F"/>
    <w:rsid w:val="00A055B2"/>
    <w:rsid w:val="00A05E90"/>
    <w:rsid w:val="00A0631C"/>
    <w:rsid w:val="00A0635C"/>
    <w:rsid w:val="00A0637F"/>
    <w:rsid w:val="00A06509"/>
    <w:rsid w:val="00A06848"/>
    <w:rsid w:val="00A068CE"/>
    <w:rsid w:val="00A069B4"/>
    <w:rsid w:val="00A06BB8"/>
    <w:rsid w:val="00A07221"/>
    <w:rsid w:val="00A07A4E"/>
    <w:rsid w:val="00A07D41"/>
    <w:rsid w:val="00A07FBD"/>
    <w:rsid w:val="00A1040F"/>
    <w:rsid w:val="00A104AC"/>
    <w:rsid w:val="00A10AE0"/>
    <w:rsid w:val="00A114E3"/>
    <w:rsid w:val="00A114F1"/>
    <w:rsid w:val="00A11B60"/>
    <w:rsid w:val="00A11D0D"/>
    <w:rsid w:val="00A124EC"/>
    <w:rsid w:val="00A12694"/>
    <w:rsid w:val="00A128B0"/>
    <w:rsid w:val="00A12B60"/>
    <w:rsid w:val="00A12ED5"/>
    <w:rsid w:val="00A13083"/>
    <w:rsid w:val="00A136F6"/>
    <w:rsid w:val="00A13A77"/>
    <w:rsid w:val="00A13F04"/>
    <w:rsid w:val="00A14E6F"/>
    <w:rsid w:val="00A14F11"/>
    <w:rsid w:val="00A15543"/>
    <w:rsid w:val="00A15FE5"/>
    <w:rsid w:val="00A16A5F"/>
    <w:rsid w:val="00A16C3E"/>
    <w:rsid w:val="00A17558"/>
    <w:rsid w:val="00A2000D"/>
    <w:rsid w:val="00A20926"/>
    <w:rsid w:val="00A21C0B"/>
    <w:rsid w:val="00A21CDB"/>
    <w:rsid w:val="00A21D9F"/>
    <w:rsid w:val="00A223A5"/>
    <w:rsid w:val="00A230C4"/>
    <w:rsid w:val="00A231CC"/>
    <w:rsid w:val="00A23698"/>
    <w:rsid w:val="00A238ED"/>
    <w:rsid w:val="00A23E5B"/>
    <w:rsid w:val="00A244EE"/>
    <w:rsid w:val="00A24799"/>
    <w:rsid w:val="00A252B8"/>
    <w:rsid w:val="00A25C70"/>
    <w:rsid w:val="00A26556"/>
    <w:rsid w:val="00A273BD"/>
    <w:rsid w:val="00A275FA"/>
    <w:rsid w:val="00A30415"/>
    <w:rsid w:val="00A30D7D"/>
    <w:rsid w:val="00A30FAE"/>
    <w:rsid w:val="00A31748"/>
    <w:rsid w:val="00A3206C"/>
    <w:rsid w:val="00A3257A"/>
    <w:rsid w:val="00A328B9"/>
    <w:rsid w:val="00A328CA"/>
    <w:rsid w:val="00A32AD3"/>
    <w:rsid w:val="00A32C54"/>
    <w:rsid w:val="00A32D66"/>
    <w:rsid w:val="00A32F32"/>
    <w:rsid w:val="00A33102"/>
    <w:rsid w:val="00A33D95"/>
    <w:rsid w:val="00A34013"/>
    <w:rsid w:val="00A340AF"/>
    <w:rsid w:val="00A340EB"/>
    <w:rsid w:val="00A34527"/>
    <w:rsid w:val="00A34B8F"/>
    <w:rsid w:val="00A35133"/>
    <w:rsid w:val="00A3528E"/>
    <w:rsid w:val="00A353B0"/>
    <w:rsid w:val="00A354DA"/>
    <w:rsid w:val="00A35738"/>
    <w:rsid w:val="00A3575C"/>
    <w:rsid w:val="00A35824"/>
    <w:rsid w:val="00A366AA"/>
    <w:rsid w:val="00A37078"/>
    <w:rsid w:val="00A37375"/>
    <w:rsid w:val="00A37B2B"/>
    <w:rsid w:val="00A37EC2"/>
    <w:rsid w:val="00A40098"/>
    <w:rsid w:val="00A4012C"/>
    <w:rsid w:val="00A422C0"/>
    <w:rsid w:val="00A42716"/>
    <w:rsid w:val="00A42A30"/>
    <w:rsid w:val="00A42CEC"/>
    <w:rsid w:val="00A42E1E"/>
    <w:rsid w:val="00A44042"/>
    <w:rsid w:val="00A4416D"/>
    <w:rsid w:val="00A4448F"/>
    <w:rsid w:val="00A4455F"/>
    <w:rsid w:val="00A44841"/>
    <w:rsid w:val="00A44F21"/>
    <w:rsid w:val="00A45399"/>
    <w:rsid w:val="00A4565F"/>
    <w:rsid w:val="00A45C55"/>
    <w:rsid w:val="00A45FB0"/>
    <w:rsid w:val="00A4632A"/>
    <w:rsid w:val="00A46611"/>
    <w:rsid w:val="00A46810"/>
    <w:rsid w:val="00A46E8F"/>
    <w:rsid w:val="00A4714A"/>
    <w:rsid w:val="00A474A1"/>
    <w:rsid w:val="00A50081"/>
    <w:rsid w:val="00A503A0"/>
    <w:rsid w:val="00A503F7"/>
    <w:rsid w:val="00A50CD3"/>
    <w:rsid w:val="00A5201D"/>
    <w:rsid w:val="00A52525"/>
    <w:rsid w:val="00A525B8"/>
    <w:rsid w:val="00A5293B"/>
    <w:rsid w:val="00A52C3C"/>
    <w:rsid w:val="00A5391C"/>
    <w:rsid w:val="00A54237"/>
    <w:rsid w:val="00A543B5"/>
    <w:rsid w:val="00A543D9"/>
    <w:rsid w:val="00A54912"/>
    <w:rsid w:val="00A5582F"/>
    <w:rsid w:val="00A559B9"/>
    <w:rsid w:val="00A55A71"/>
    <w:rsid w:val="00A55BE8"/>
    <w:rsid w:val="00A560AF"/>
    <w:rsid w:val="00A5696A"/>
    <w:rsid w:val="00A56C25"/>
    <w:rsid w:val="00A57157"/>
    <w:rsid w:val="00A573BA"/>
    <w:rsid w:val="00A57B80"/>
    <w:rsid w:val="00A600E1"/>
    <w:rsid w:val="00A60244"/>
    <w:rsid w:val="00A60CD0"/>
    <w:rsid w:val="00A60EED"/>
    <w:rsid w:val="00A610C5"/>
    <w:rsid w:val="00A61885"/>
    <w:rsid w:val="00A62724"/>
    <w:rsid w:val="00A62BA8"/>
    <w:rsid w:val="00A62CEB"/>
    <w:rsid w:val="00A63CDA"/>
    <w:rsid w:val="00A63EB2"/>
    <w:rsid w:val="00A641E3"/>
    <w:rsid w:val="00A64E3A"/>
    <w:rsid w:val="00A6515A"/>
    <w:rsid w:val="00A652E5"/>
    <w:rsid w:val="00A658AD"/>
    <w:rsid w:val="00A659EF"/>
    <w:rsid w:val="00A65DB0"/>
    <w:rsid w:val="00A66483"/>
    <w:rsid w:val="00A66721"/>
    <w:rsid w:val="00A67E1F"/>
    <w:rsid w:val="00A7043A"/>
    <w:rsid w:val="00A70CAB"/>
    <w:rsid w:val="00A710F5"/>
    <w:rsid w:val="00A71199"/>
    <w:rsid w:val="00A714B2"/>
    <w:rsid w:val="00A718AC"/>
    <w:rsid w:val="00A71C01"/>
    <w:rsid w:val="00A71ECC"/>
    <w:rsid w:val="00A72324"/>
    <w:rsid w:val="00A7254A"/>
    <w:rsid w:val="00A726ED"/>
    <w:rsid w:val="00A738B1"/>
    <w:rsid w:val="00A7435B"/>
    <w:rsid w:val="00A749FD"/>
    <w:rsid w:val="00A74B13"/>
    <w:rsid w:val="00A74B5C"/>
    <w:rsid w:val="00A74EB0"/>
    <w:rsid w:val="00A755AD"/>
    <w:rsid w:val="00A76292"/>
    <w:rsid w:val="00A7666B"/>
    <w:rsid w:val="00A766F2"/>
    <w:rsid w:val="00A76BAD"/>
    <w:rsid w:val="00A770BB"/>
    <w:rsid w:val="00A778D7"/>
    <w:rsid w:val="00A801C4"/>
    <w:rsid w:val="00A80710"/>
    <w:rsid w:val="00A8071F"/>
    <w:rsid w:val="00A809C0"/>
    <w:rsid w:val="00A80F86"/>
    <w:rsid w:val="00A812E7"/>
    <w:rsid w:val="00A82378"/>
    <w:rsid w:val="00A825EE"/>
    <w:rsid w:val="00A829FF"/>
    <w:rsid w:val="00A83C4D"/>
    <w:rsid w:val="00A83F31"/>
    <w:rsid w:val="00A8422D"/>
    <w:rsid w:val="00A84644"/>
    <w:rsid w:val="00A846BB"/>
    <w:rsid w:val="00A84B77"/>
    <w:rsid w:val="00A84EC9"/>
    <w:rsid w:val="00A854BF"/>
    <w:rsid w:val="00A85935"/>
    <w:rsid w:val="00A859CD"/>
    <w:rsid w:val="00A85BB2"/>
    <w:rsid w:val="00A85D67"/>
    <w:rsid w:val="00A866BC"/>
    <w:rsid w:val="00A8739B"/>
    <w:rsid w:val="00A87B27"/>
    <w:rsid w:val="00A87C73"/>
    <w:rsid w:val="00A87FFA"/>
    <w:rsid w:val="00A90249"/>
    <w:rsid w:val="00A90409"/>
    <w:rsid w:val="00A9045D"/>
    <w:rsid w:val="00A904AD"/>
    <w:rsid w:val="00A90972"/>
    <w:rsid w:val="00A90F1E"/>
    <w:rsid w:val="00A90FE2"/>
    <w:rsid w:val="00A91038"/>
    <w:rsid w:val="00A91BAD"/>
    <w:rsid w:val="00A91D2D"/>
    <w:rsid w:val="00A9290F"/>
    <w:rsid w:val="00A9310F"/>
    <w:rsid w:val="00A93B61"/>
    <w:rsid w:val="00A93F15"/>
    <w:rsid w:val="00A941EF"/>
    <w:rsid w:val="00A94905"/>
    <w:rsid w:val="00A9492E"/>
    <w:rsid w:val="00A94D93"/>
    <w:rsid w:val="00A94E7A"/>
    <w:rsid w:val="00A94EBE"/>
    <w:rsid w:val="00A957AA"/>
    <w:rsid w:val="00A95A66"/>
    <w:rsid w:val="00A95BA1"/>
    <w:rsid w:val="00A95E4B"/>
    <w:rsid w:val="00A9616C"/>
    <w:rsid w:val="00A96508"/>
    <w:rsid w:val="00A96DF1"/>
    <w:rsid w:val="00A9748A"/>
    <w:rsid w:val="00A977AC"/>
    <w:rsid w:val="00AA0AF7"/>
    <w:rsid w:val="00AA0FBC"/>
    <w:rsid w:val="00AA1174"/>
    <w:rsid w:val="00AA124B"/>
    <w:rsid w:val="00AA17F8"/>
    <w:rsid w:val="00AA1D3E"/>
    <w:rsid w:val="00AA1F6B"/>
    <w:rsid w:val="00AA262C"/>
    <w:rsid w:val="00AA2D5A"/>
    <w:rsid w:val="00AA31C5"/>
    <w:rsid w:val="00AA397B"/>
    <w:rsid w:val="00AA39C8"/>
    <w:rsid w:val="00AA51B8"/>
    <w:rsid w:val="00AA58B8"/>
    <w:rsid w:val="00AA5D08"/>
    <w:rsid w:val="00AA6922"/>
    <w:rsid w:val="00AA78B5"/>
    <w:rsid w:val="00AB05BD"/>
    <w:rsid w:val="00AB0724"/>
    <w:rsid w:val="00AB1717"/>
    <w:rsid w:val="00AB19C8"/>
    <w:rsid w:val="00AB1B6F"/>
    <w:rsid w:val="00AB22E6"/>
    <w:rsid w:val="00AB23D7"/>
    <w:rsid w:val="00AB2843"/>
    <w:rsid w:val="00AB351B"/>
    <w:rsid w:val="00AB37B5"/>
    <w:rsid w:val="00AB39DA"/>
    <w:rsid w:val="00AB3AF5"/>
    <w:rsid w:val="00AB41D3"/>
    <w:rsid w:val="00AB467E"/>
    <w:rsid w:val="00AB4B6C"/>
    <w:rsid w:val="00AB50D0"/>
    <w:rsid w:val="00AB536C"/>
    <w:rsid w:val="00AB5D62"/>
    <w:rsid w:val="00AB5E5D"/>
    <w:rsid w:val="00AB6A3B"/>
    <w:rsid w:val="00AB6E33"/>
    <w:rsid w:val="00AB7587"/>
    <w:rsid w:val="00AC14A0"/>
    <w:rsid w:val="00AC1508"/>
    <w:rsid w:val="00AC165D"/>
    <w:rsid w:val="00AC23A8"/>
    <w:rsid w:val="00AC2440"/>
    <w:rsid w:val="00AC25F2"/>
    <w:rsid w:val="00AC2D98"/>
    <w:rsid w:val="00AC2DFC"/>
    <w:rsid w:val="00AC3009"/>
    <w:rsid w:val="00AC3035"/>
    <w:rsid w:val="00AC3401"/>
    <w:rsid w:val="00AC36A0"/>
    <w:rsid w:val="00AC3E40"/>
    <w:rsid w:val="00AC45DA"/>
    <w:rsid w:val="00AC53B7"/>
    <w:rsid w:val="00AC5CE9"/>
    <w:rsid w:val="00AC5D93"/>
    <w:rsid w:val="00AC61A2"/>
    <w:rsid w:val="00AC61AD"/>
    <w:rsid w:val="00AC6554"/>
    <w:rsid w:val="00AC65C3"/>
    <w:rsid w:val="00AC6BAB"/>
    <w:rsid w:val="00AC7190"/>
    <w:rsid w:val="00AC76A0"/>
    <w:rsid w:val="00AC784C"/>
    <w:rsid w:val="00AC7BB3"/>
    <w:rsid w:val="00AC7D5B"/>
    <w:rsid w:val="00AD0800"/>
    <w:rsid w:val="00AD12F8"/>
    <w:rsid w:val="00AD1BF6"/>
    <w:rsid w:val="00AD269E"/>
    <w:rsid w:val="00AD2DB6"/>
    <w:rsid w:val="00AD35EE"/>
    <w:rsid w:val="00AD384C"/>
    <w:rsid w:val="00AD4ACB"/>
    <w:rsid w:val="00AD5329"/>
    <w:rsid w:val="00AD632C"/>
    <w:rsid w:val="00AD632F"/>
    <w:rsid w:val="00AD6477"/>
    <w:rsid w:val="00AD6B94"/>
    <w:rsid w:val="00AD6D99"/>
    <w:rsid w:val="00AD6F66"/>
    <w:rsid w:val="00AD7438"/>
    <w:rsid w:val="00AE004A"/>
    <w:rsid w:val="00AE086E"/>
    <w:rsid w:val="00AE18FB"/>
    <w:rsid w:val="00AE1D6D"/>
    <w:rsid w:val="00AE1F65"/>
    <w:rsid w:val="00AE2812"/>
    <w:rsid w:val="00AE2DE0"/>
    <w:rsid w:val="00AE329C"/>
    <w:rsid w:val="00AE3E59"/>
    <w:rsid w:val="00AE3F8C"/>
    <w:rsid w:val="00AE46BC"/>
    <w:rsid w:val="00AE4838"/>
    <w:rsid w:val="00AE5179"/>
    <w:rsid w:val="00AE5CD8"/>
    <w:rsid w:val="00AE6F6A"/>
    <w:rsid w:val="00AE73B8"/>
    <w:rsid w:val="00AE73D2"/>
    <w:rsid w:val="00AE7455"/>
    <w:rsid w:val="00AE7CA1"/>
    <w:rsid w:val="00AF027A"/>
    <w:rsid w:val="00AF0EAA"/>
    <w:rsid w:val="00AF1113"/>
    <w:rsid w:val="00AF1303"/>
    <w:rsid w:val="00AF1733"/>
    <w:rsid w:val="00AF190F"/>
    <w:rsid w:val="00AF26FA"/>
    <w:rsid w:val="00AF2927"/>
    <w:rsid w:val="00AF2C5B"/>
    <w:rsid w:val="00AF316C"/>
    <w:rsid w:val="00AF3BE2"/>
    <w:rsid w:val="00AF41DA"/>
    <w:rsid w:val="00AF47BC"/>
    <w:rsid w:val="00AF4D8D"/>
    <w:rsid w:val="00AF51DE"/>
    <w:rsid w:val="00AF52A9"/>
    <w:rsid w:val="00AF5599"/>
    <w:rsid w:val="00AF59AE"/>
    <w:rsid w:val="00AF5C3B"/>
    <w:rsid w:val="00AF625A"/>
    <w:rsid w:val="00AF6BE0"/>
    <w:rsid w:val="00B00AD6"/>
    <w:rsid w:val="00B00E5F"/>
    <w:rsid w:val="00B0186C"/>
    <w:rsid w:val="00B019F6"/>
    <w:rsid w:val="00B01C4B"/>
    <w:rsid w:val="00B01CE3"/>
    <w:rsid w:val="00B020A8"/>
    <w:rsid w:val="00B02525"/>
    <w:rsid w:val="00B02F24"/>
    <w:rsid w:val="00B02FD2"/>
    <w:rsid w:val="00B0303C"/>
    <w:rsid w:val="00B030E2"/>
    <w:rsid w:val="00B032A5"/>
    <w:rsid w:val="00B03341"/>
    <w:rsid w:val="00B03C17"/>
    <w:rsid w:val="00B03F8F"/>
    <w:rsid w:val="00B03FAC"/>
    <w:rsid w:val="00B046D0"/>
    <w:rsid w:val="00B047DC"/>
    <w:rsid w:val="00B04ABA"/>
    <w:rsid w:val="00B04B6B"/>
    <w:rsid w:val="00B04BAF"/>
    <w:rsid w:val="00B04F1E"/>
    <w:rsid w:val="00B0506C"/>
    <w:rsid w:val="00B056FD"/>
    <w:rsid w:val="00B05994"/>
    <w:rsid w:val="00B062F6"/>
    <w:rsid w:val="00B0652F"/>
    <w:rsid w:val="00B067F5"/>
    <w:rsid w:val="00B06BFE"/>
    <w:rsid w:val="00B07556"/>
    <w:rsid w:val="00B076BD"/>
    <w:rsid w:val="00B104B0"/>
    <w:rsid w:val="00B106EB"/>
    <w:rsid w:val="00B10B2B"/>
    <w:rsid w:val="00B10B32"/>
    <w:rsid w:val="00B11221"/>
    <w:rsid w:val="00B12688"/>
    <w:rsid w:val="00B1277A"/>
    <w:rsid w:val="00B12B7F"/>
    <w:rsid w:val="00B12C4F"/>
    <w:rsid w:val="00B12F70"/>
    <w:rsid w:val="00B13970"/>
    <w:rsid w:val="00B1399D"/>
    <w:rsid w:val="00B13CA3"/>
    <w:rsid w:val="00B13DCC"/>
    <w:rsid w:val="00B14402"/>
    <w:rsid w:val="00B14FFB"/>
    <w:rsid w:val="00B15C30"/>
    <w:rsid w:val="00B16A34"/>
    <w:rsid w:val="00B16AAD"/>
    <w:rsid w:val="00B1736C"/>
    <w:rsid w:val="00B17407"/>
    <w:rsid w:val="00B1778B"/>
    <w:rsid w:val="00B178F1"/>
    <w:rsid w:val="00B17BD2"/>
    <w:rsid w:val="00B20536"/>
    <w:rsid w:val="00B20A46"/>
    <w:rsid w:val="00B20A6E"/>
    <w:rsid w:val="00B218FC"/>
    <w:rsid w:val="00B21976"/>
    <w:rsid w:val="00B221E0"/>
    <w:rsid w:val="00B22473"/>
    <w:rsid w:val="00B22EBE"/>
    <w:rsid w:val="00B23062"/>
    <w:rsid w:val="00B238F8"/>
    <w:rsid w:val="00B23A13"/>
    <w:rsid w:val="00B23EB4"/>
    <w:rsid w:val="00B241D3"/>
    <w:rsid w:val="00B24F7B"/>
    <w:rsid w:val="00B254DE"/>
    <w:rsid w:val="00B2578A"/>
    <w:rsid w:val="00B25813"/>
    <w:rsid w:val="00B25E96"/>
    <w:rsid w:val="00B265CF"/>
    <w:rsid w:val="00B272C7"/>
    <w:rsid w:val="00B27711"/>
    <w:rsid w:val="00B30327"/>
    <w:rsid w:val="00B304BA"/>
    <w:rsid w:val="00B31932"/>
    <w:rsid w:val="00B31DAC"/>
    <w:rsid w:val="00B325BE"/>
    <w:rsid w:val="00B32E33"/>
    <w:rsid w:val="00B33018"/>
    <w:rsid w:val="00B33D2E"/>
    <w:rsid w:val="00B34257"/>
    <w:rsid w:val="00B34925"/>
    <w:rsid w:val="00B34A76"/>
    <w:rsid w:val="00B34ADB"/>
    <w:rsid w:val="00B34B9B"/>
    <w:rsid w:val="00B34BA7"/>
    <w:rsid w:val="00B3544D"/>
    <w:rsid w:val="00B35A03"/>
    <w:rsid w:val="00B360F8"/>
    <w:rsid w:val="00B3680A"/>
    <w:rsid w:val="00B3683C"/>
    <w:rsid w:val="00B371B9"/>
    <w:rsid w:val="00B4024C"/>
    <w:rsid w:val="00B40E65"/>
    <w:rsid w:val="00B414A9"/>
    <w:rsid w:val="00B41C17"/>
    <w:rsid w:val="00B41D60"/>
    <w:rsid w:val="00B42461"/>
    <w:rsid w:val="00B42585"/>
    <w:rsid w:val="00B431C7"/>
    <w:rsid w:val="00B4343C"/>
    <w:rsid w:val="00B44181"/>
    <w:rsid w:val="00B44DF0"/>
    <w:rsid w:val="00B461F3"/>
    <w:rsid w:val="00B46331"/>
    <w:rsid w:val="00B47005"/>
    <w:rsid w:val="00B4714D"/>
    <w:rsid w:val="00B47475"/>
    <w:rsid w:val="00B47A93"/>
    <w:rsid w:val="00B47D65"/>
    <w:rsid w:val="00B5024A"/>
    <w:rsid w:val="00B50397"/>
    <w:rsid w:val="00B50762"/>
    <w:rsid w:val="00B50FA7"/>
    <w:rsid w:val="00B510B0"/>
    <w:rsid w:val="00B517CC"/>
    <w:rsid w:val="00B51DAE"/>
    <w:rsid w:val="00B52561"/>
    <w:rsid w:val="00B5290D"/>
    <w:rsid w:val="00B52F8A"/>
    <w:rsid w:val="00B530FD"/>
    <w:rsid w:val="00B5330C"/>
    <w:rsid w:val="00B53423"/>
    <w:rsid w:val="00B535F3"/>
    <w:rsid w:val="00B53927"/>
    <w:rsid w:val="00B539C5"/>
    <w:rsid w:val="00B55096"/>
    <w:rsid w:val="00B55108"/>
    <w:rsid w:val="00B55C77"/>
    <w:rsid w:val="00B560A8"/>
    <w:rsid w:val="00B5643A"/>
    <w:rsid w:val="00B56515"/>
    <w:rsid w:val="00B5714C"/>
    <w:rsid w:val="00B5759C"/>
    <w:rsid w:val="00B60309"/>
    <w:rsid w:val="00B606AA"/>
    <w:rsid w:val="00B611A8"/>
    <w:rsid w:val="00B616B9"/>
    <w:rsid w:val="00B618F6"/>
    <w:rsid w:val="00B61DC7"/>
    <w:rsid w:val="00B62106"/>
    <w:rsid w:val="00B62177"/>
    <w:rsid w:val="00B624E6"/>
    <w:rsid w:val="00B6323C"/>
    <w:rsid w:val="00B636A2"/>
    <w:rsid w:val="00B639DE"/>
    <w:rsid w:val="00B63DB3"/>
    <w:rsid w:val="00B641ED"/>
    <w:rsid w:val="00B6497C"/>
    <w:rsid w:val="00B64BD1"/>
    <w:rsid w:val="00B65517"/>
    <w:rsid w:val="00B65D15"/>
    <w:rsid w:val="00B65E18"/>
    <w:rsid w:val="00B6641D"/>
    <w:rsid w:val="00B6685A"/>
    <w:rsid w:val="00B66B54"/>
    <w:rsid w:val="00B66F0C"/>
    <w:rsid w:val="00B678B1"/>
    <w:rsid w:val="00B67A2E"/>
    <w:rsid w:val="00B71039"/>
    <w:rsid w:val="00B71860"/>
    <w:rsid w:val="00B71892"/>
    <w:rsid w:val="00B71936"/>
    <w:rsid w:val="00B71B2B"/>
    <w:rsid w:val="00B722A4"/>
    <w:rsid w:val="00B7270E"/>
    <w:rsid w:val="00B73933"/>
    <w:rsid w:val="00B73C86"/>
    <w:rsid w:val="00B73EB7"/>
    <w:rsid w:val="00B75B5D"/>
    <w:rsid w:val="00B75C1C"/>
    <w:rsid w:val="00B75FBB"/>
    <w:rsid w:val="00B761B3"/>
    <w:rsid w:val="00B763D7"/>
    <w:rsid w:val="00B76CFD"/>
    <w:rsid w:val="00B7753A"/>
    <w:rsid w:val="00B77904"/>
    <w:rsid w:val="00B77F88"/>
    <w:rsid w:val="00B80144"/>
    <w:rsid w:val="00B804EE"/>
    <w:rsid w:val="00B805DF"/>
    <w:rsid w:val="00B80705"/>
    <w:rsid w:val="00B80803"/>
    <w:rsid w:val="00B80B25"/>
    <w:rsid w:val="00B80C80"/>
    <w:rsid w:val="00B80E32"/>
    <w:rsid w:val="00B80F19"/>
    <w:rsid w:val="00B81004"/>
    <w:rsid w:val="00B815F5"/>
    <w:rsid w:val="00B81D66"/>
    <w:rsid w:val="00B825FC"/>
    <w:rsid w:val="00B82BE7"/>
    <w:rsid w:val="00B82D6C"/>
    <w:rsid w:val="00B83011"/>
    <w:rsid w:val="00B8301C"/>
    <w:rsid w:val="00B83534"/>
    <w:rsid w:val="00B840DC"/>
    <w:rsid w:val="00B84419"/>
    <w:rsid w:val="00B84667"/>
    <w:rsid w:val="00B84980"/>
    <w:rsid w:val="00B8533F"/>
    <w:rsid w:val="00B853B4"/>
    <w:rsid w:val="00B877B3"/>
    <w:rsid w:val="00B878EA"/>
    <w:rsid w:val="00B900BD"/>
    <w:rsid w:val="00B90146"/>
    <w:rsid w:val="00B901F8"/>
    <w:rsid w:val="00B90998"/>
    <w:rsid w:val="00B911D4"/>
    <w:rsid w:val="00B9172E"/>
    <w:rsid w:val="00B91E87"/>
    <w:rsid w:val="00B920BE"/>
    <w:rsid w:val="00B923F2"/>
    <w:rsid w:val="00B92F3E"/>
    <w:rsid w:val="00B932E4"/>
    <w:rsid w:val="00B937E6"/>
    <w:rsid w:val="00B93F9A"/>
    <w:rsid w:val="00B95175"/>
    <w:rsid w:val="00B957D6"/>
    <w:rsid w:val="00B95BA7"/>
    <w:rsid w:val="00B95E3A"/>
    <w:rsid w:val="00B960DB"/>
    <w:rsid w:val="00B96381"/>
    <w:rsid w:val="00B96586"/>
    <w:rsid w:val="00B96744"/>
    <w:rsid w:val="00B97492"/>
    <w:rsid w:val="00B97693"/>
    <w:rsid w:val="00B97864"/>
    <w:rsid w:val="00B9786A"/>
    <w:rsid w:val="00B9790D"/>
    <w:rsid w:val="00B97B23"/>
    <w:rsid w:val="00BA0C41"/>
    <w:rsid w:val="00BA0FA6"/>
    <w:rsid w:val="00BA13CD"/>
    <w:rsid w:val="00BA1440"/>
    <w:rsid w:val="00BA2B8A"/>
    <w:rsid w:val="00BA3053"/>
    <w:rsid w:val="00BA3295"/>
    <w:rsid w:val="00BA3B53"/>
    <w:rsid w:val="00BA40BB"/>
    <w:rsid w:val="00BA429B"/>
    <w:rsid w:val="00BA4422"/>
    <w:rsid w:val="00BA4C9F"/>
    <w:rsid w:val="00BA4F82"/>
    <w:rsid w:val="00BA505D"/>
    <w:rsid w:val="00BA52FA"/>
    <w:rsid w:val="00BA5573"/>
    <w:rsid w:val="00BA5C2D"/>
    <w:rsid w:val="00BA60AA"/>
    <w:rsid w:val="00BA61ED"/>
    <w:rsid w:val="00BA6556"/>
    <w:rsid w:val="00BA6EAC"/>
    <w:rsid w:val="00BA7380"/>
    <w:rsid w:val="00BA754A"/>
    <w:rsid w:val="00BA7790"/>
    <w:rsid w:val="00BA7A07"/>
    <w:rsid w:val="00BA7E73"/>
    <w:rsid w:val="00BA7F13"/>
    <w:rsid w:val="00BB00F5"/>
    <w:rsid w:val="00BB0126"/>
    <w:rsid w:val="00BB037C"/>
    <w:rsid w:val="00BB0523"/>
    <w:rsid w:val="00BB1D25"/>
    <w:rsid w:val="00BB1E8D"/>
    <w:rsid w:val="00BB1F86"/>
    <w:rsid w:val="00BB2257"/>
    <w:rsid w:val="00BB2C9B"/>
    <w:rsid w:val="00BB2CCA"/>
    <w:rsid w:val="00BB2E0D"/>
    <w:rsid w:val="00BB331E"/>
    <w:rsid w:val="00BB3706"/>
    <w:rsid w:val="00BB3723"/>
    <w:rsid w:val="00BB37BB"/>
    <w:rsid w:val="00BB38DF"/>
    <w:rsid w:val="00BB3A53"/>
    <w:rsid w:val="00BB3F38"/>
    <w:rsid w:val="00BB43F1"/>
    <w:rsid w:val="00BB4441"/>
    <w:rsid w:val="00BB4534"/>
    <w:rsid w:val="00BB4634"/>
    <w:rsid w:val="00BB4680"/>
    <w:rsid w:val="00BB490D"/>
    <w:rsid w:val="00BB4EB8"/>
    <w:rsid w:val="00BB4EC4"/>
    <w:rsid w:val="00BB527B"/>
    <w:rsid w:val="00BB5486"/>
    <w:rsid w:val="00BB551F"/>
    <w:rsid w:val="00BB5DB8"/>
    <w:rsid w:val="00BB61C8"/>
    <w:rsid w:val="00BB647C"/>
    <w:rsid w:val="00BB6BA3"/>
    <w:rsid w:val="00BB6EA6"/>
    <w:rsid w:val="00BB739E"/>
    <w:rsid w:val="00BB7FB9"/>
    <w:rsid w:val="00BC006C"/>
    <w:rsid w:val="00BC08F9"/>
    <w:rsid w:val="00BC097D"/>
    <w:rsid w:val="00BC0B4E"/>
    <w:rsid w:val="00BC0BDE"/>
    <w:rsid w:val="00BC103B"/>
    <w:rsid w:val="00BC154D"/>
    <w:rsid w:val="00BC1950"/>
    <w:rsid w:val="00BC1FB9"/>
    <w:rsid w:val="00BC210E"/>
    <w:rsid w:val="00BC23D1"/>
    <w:rsid w:val="00BC3107"/>
    <w:rsid w:val="00BC3948"/>
    <w:rsid w:val="00BC45AD"/>
    <w:rsid w:val="00BC4744"/>
    <w:rsid w:val="00BC4B50"/>
    <w:rsid w:val="00BC549D"/>
    <w:rsid w:val="00BC567F"/>
    <w:rsid w:val="00BC570E"/>
    <w:rsid w:val="00BC64AB"/>
    <w:rsid w:val="00BC66CE"/>
    <w:rsid w:val="00BC6ADD"/>
    <w:rsid w:val="00BC6E15"/>
    <w:rsid w:val="00BC71F8"/>
    <w:rsid w:val="00BC796E"/>
    <w:rsid w:val="00BC7DF5"/>
    <w:rsid w:val="00BC7E41"/>
    <w:rsid w:val="00BC7FED"/>
    <w:rsid w:val="00BD061B"/>
    <w:rsid w:val="00BD07D4"/>
    <w:rsid w:val="00BD0F61"/>
    <w:rsid w:val="00BD1B03"/>
    <w:rsid w:val="00BD1E78"/>
    <w:rsid w:val="00BD23DF"/>
    <w:rsid w:val="00BD291B"/>
    <w:rsid w:val="00BD2CBE"/>
    <w:rsid w:val="00BD4748"/>
    <w:rsid w:val="00BD4CCA"/>
    <w:rsid w:val="00BD4E00"/>
    <w:rsid w:val="00BD5A38"/>
    <w:rsid w:val="00BD5FA9"/>
    <w:rsid w:val="00BD6406"/>
    <w:rsid w:val="00BD7538"/>
    <w:rsid w:val="00BD76F4"/>
    <w:rsid w:val="00BD7C01"/>
    <w:rsid w:val="00BD7EAC"/>
    <w:rsid w:val="00BE0648"/>
    <w:rsid w:val="00BE0853"/>
    <w:rsid w:val="00BE0E42"/>
    <w:rsid w:val="00BE1275"/>
    <w:rsid w:val="00BE1513"/>
    <w:rsid w:val="00BE226A"/>
    <w:rsid w:val="00BE2BA6"/>
    <w:rsid w:val="00BE2FF6"/>
    <w:rsid w:val="00BE32BD"/>
    <w:rsid w:val="00BE3671"/>
    <w:rsid w:val="00BE56F4"/>
    <w:rsid w:val="00BE57A8"/>
    <w:rsid w:val="00BE5899"/>
    <w:rsid w:val="00BE5AF8"/>
    <w:rsid w:val="00BE5CFA"/>
    <w:rsid w:val="00BE60DF"/>
    <w:rsid w:val="00BE6123"/>
    <w:rsid w:val="00BE6202"/>
    <w:rsid w:val="00BE6F4C"/>
    <w:rsid w:val="00BE7A5E"/>
    <w:rsid w:val="00BF0756"/>
    <w:rsid w:val="00BF0E89"/>
    <w:rsid w:val="00BF1352"/>
    <w:rsid w:val="00BF18D0"/>
    <w:rsid w:val="00BF1B6D"/>
    <w:rsid w:val="00BF2731"/>
    <w:rsid w:val="00BF28F4"/>
    <w:rsid w:val="00BF3340"/>
    <w:rsid w:val="00BF359E"/>
    <w:rsid w:val="00BF3C66"/>
    <w:rsid w:val="00BF3FB4"/>
    <w:rsid w:val="00BF4E05"/>
    <w:rsid w:val="00BF4E86"/>
    <w:rsid w:val="00BF63BF"/>
    <w:rsid w:val="00BF6705"/>
    <w:rsid w:val="00BF7186"/>
    <w:rsid w:val="00BF72E6"/>
    <w:rsid w:val="00BF74F9"/>
    <w:rsid w:val="00BF765A"/>
    <w:rsid w:val="00C005D3"/>
    <w:rsid w:val="00C0091C"/>
    <w:rsid w:val="00C00BEC"/>
    <w:rsid w:val="00C00FF7"/>
    <w:rsid w:val="00C01241"/>
    <w:rsid w:val="00C0127C"/>
    <w:rsid w:val="00C01B4F"/>
    <w:rsid w:val="00C01D71"/>
    <w:rsid w:val="00C01F12"/>
    <w:rsid w:val="00C01F75"/>
    <w:rsid w:val="00C02BE6"/>
    <w:rsid w:val="00C02FC6"/>
    <w:rsid w:val="00C03733"/>
    <w:rsid w:val="00C03753"/>
    <w:rsid w:val="00C03869"/>
    <w:rsid w:val="00C044E2"/>
    <w:rsid w:val="00C04A1F"/>
    <w:rsid w:val="00C05032"/>
    <w:rsid w:val="00C0549D"/>
    <w:rsid w:val="00C05855"/>
    <w:rsid w:val="00C06197"/>
    <w:rsid w:val="00C06738"/>
    <w:rsid w:val="00C07F97"/>
    <w:rsid w:val="00C10178"/>
    <w:rsid w:val="00C101FB"/>
    <w:rsid w:val="00C1036A"/>
    <w:rsid w:val="00C103A4"/>
    <w:rsid w:val="00C10518"/>
    <w:rsid w:val="00C1054F"/>
    <w:rsid w:val="00C1079D"/>
    <w:rsid w:val="00C10B9A"/>
    <w:rsid w:val="00C10DAC"/>
    <w:rsid w:val="00C10DE1"/>
    <w:rsid w:val="00C10F67"/>
    <w:rsid w:val="00C11712"/>
    <w:rsid w:val="00C11F21"/>
    <w:rsid w:val="00C1230B"/>
    <w:rsid w:val="00C12322"/>
    <w:rsid w:val="00C12391"/>
    <w:rsid w:val="00C12F25"/>
    <w:rsid w:val="00C1339D"/>
    <w:rsid w:val="00C1371A"/>
    <w:rsid w:val="00C14007"/>
    <w:rsid w:val="00C151D3"/>
    <w:rsid w:val="00C1550F"/>
    <w:rsid w:val="00C158E4"/>
    <w:rsid w:val="00C15CF2"/>
    <w:rsid w:val="00C15FEB"/>
    <w:rsid w:val="00C16358"/>
    <w:rsid w:val="00C16550"/>
    <w:rsid w:val="00C174D3"/>
    <w:rsid w:val="00C179F5"/>
    <w:rsid w:val="00C17C0F"/>
    <w:rsid w:val="00C2024C"/>
    <w:rsid w:val="00C20E42"/>
    <w:rsid w:val="00C2121B"/>
    <w:rsid w:val="00C21605"/>
    <w:rsid w:val="00C217CB"/>
    <w:rsid w:val="00C223B7"/>
    <w:rsid w:val="00C23542"/>
    <w:rsid w:val="00C236FA"/>
    <w:rsid w:val="00C23A48"/>
    <w:rsid w:val="00C23A66"/>
    <w:rsid w:val="00C23B11"/>
    <w:rsid w:val="00C23B2F"/>
    <w:rsid w:val="00C23CAC"/>
    <w:rsid w:val="00C23FE5"/>
    <w:rsid w:val="00C2448C"/>
    <w:rsid w:val="00C248E1"/>
    <w:rsid w:val="00C24904"/>
    <w:rsid w:val="00C252FE"/>
    <w:rsid w:val="00C25C70"/>
    <w:rsid w:val="00C25DC2"/>
    <w:rsid w:val="00C25FB5"/>
    <w:rsid w:val="00C26206"/>
    <w:rsid w:val="00C2754F"/>
    <w:rsid w:val="00C27556"/>
    <w:rsid w:val="00C278C8"/>
    <w:rsid w:val="00C27D76"/>
    <w:rsid w:val="00C301C1"/>
    <w:rsid w:val="00C308B8"/>
    <w:rsid w:val="00C30D91"/>
    <w:rsid w:val="00C30FA2"/>
    <w:rsid w:val="00C318A9"/>
    <w:rsid w:val="00C31C89"/>
    <w:rsid w:val="00C323D5"/>
    <w:rsid w:val="00C3278E"/>
    <w:rsid w:val="00C32B32"/>
    <w:rsid w:val="00C32FFE"/>
    <w:rsid w:val="00C33167"/>
    <w:rsid w:val="00C33E2C"/>
    <w:rsid w:val="00C33E9F"/>
    <w:rsid w:val="00C33FF6"/>
    <w:rsid w:val="00C34119"/>
    <w:rsid w:val="00C342C7"/>
    <w:rsid w:val="00C345B2"/>
    <w:rsid w:val="00C34739"/>
    <w:rsid w:val="00C3473E"/>
    <w:rsid w:val="00C347B3"/>
    <w:rsid w:val="00C355B0"/>
    <w:rsid w:val="00C355C3"/>
    <w:rsid w:val="00C355DD"/>
    <w:rsid w:val="00C35659"/>
    <w:rsid w:val="00C3628B"/>
    <w:rsid w:val="00C3693D"/>
    <w:rsid w:val="00C36B14"/>
    <w:rsid w:val="00C3766B"/>
    <w:rsid w:val="00C37A29"/>
    <w:rsid w:val="00C37CDE"/>
    <w:rsid w:val="00C37CF7"/>
    <w:rsid w:val="00C37D28"/>
    <w:rsid w:val="00C37D9E"/>
    <w:rsid w:val="00C40331"/>
    <w:rsid w:val="00C406E6"/>
    <w:rsid w:val="00C409FD"/>
    <w:rsid w:val="00C40E1B"/>
    <w:rsid w:val="00C4220B"/>
    <w:rsid w:val="00C427A9"/>
    <w:rsid w:val="00C42B40"/>
    <w:rsid w:val="00C432AE"/>
    <w:rsid w:val="00C43614"/>
    <w:rsid w:val="00C4379F"/>
    <w:rsid w:val="00C444F6"/>
    <w:rsid w:val="00C4478A"/>
    <w:rsid w:val="00C4485B"/>
    <w:rsid w:val="00C44C33"/>
    <w:rsid w:val="00C452CB"/>
    <w:rsid w:val="00C456AC"/>
    <w:rsid w:val="00C456C5"/>
    <w:rsid w:val="00C45B61"/>
    <w:rsid w:val="00C45BF3"/>
    <w:rsid w:val="00C45D76"/>
    <w:rsid w:val="00C466C6"/>
    <w:rsid w:val="00C46879"/>
    <w:rsid w:val="00C47726"/>
    <w:rsid w:val="00C47C39"/>
    <w:rsid w:val="00C50570"/>
    <w:rsid w:val="00C50574"/>
    <w:rsid w:val="00C50D7F"/>
    <w:rsid w:val="00C51471"/>
    <w:rsid w:val="00C51610"/>
    <w:rsid w:val="00C5184B"/>
    <w:rsid w:val="00C51BD2"/>
    <w:rsid w:val="00C52026"/>
    <w:rsid w:val="00C528CD"/>
    <w:rsid w:val="00C52C49"/>
    <w:rsid w:val="00C52F66"/>
    <w:rsid w:val="00C53657"/>
    <w:rsid w:val="00C538F3"/>
    <w:rsid w:val="00C54366"/>
    <w:rsid w:val="00C547CA"/>
    <w:rsid w:val="00C549CE"/>
    <w:rsid w:val="00C54F38"/>
    <w:rsid w:val="00C55DD1"/>
    <w:rsid w:val="00C56736"/>
    <w:rsid w:val="00C56D72"/>
    <w:rsid w:val="00C57214"/>
    <w:rsid w:val="00C57B78"/>
    <w:rsid w:val="00C57E44"/>
    <w:rsid w:val="00C606E8"/>
    <w:rsid w:val="00C60709"/>
    <w:rsid w:val="00C613B6"/>
    <w:rsid w:val="00C614A2"/>
    <w:rsid w:val="00C61B18"/>
    <w:rsid w:val="00C61B67"/>
    <w:rsid w:val="00C61EEC"/>
    <w:rsid w:val="00C620A4"/>
    <w:rsid w:val="00C62287"/>
    <w:rsid w:val="00C626E5"/>
    <w:rsid w:val="00C627E0"/>
    <w:rsid w:val="00C633E3"/>
    <w:rsid w:val="00C63443"/>
    <w:rsid w:val="00C634FE"/>
    <w:rsid w:val="00C63803"/>
    <w:rsid w:val="00C63E68"/>
    <w:rsid w:val="00C64240"/>
    <w:rsid w:val="00C64BED"/>
    <w:rsid w:val="00C64D3A"/>
    <w:rsid w:val="00C655C3"/>
    <w:rsid w:val="00C65C59"/>
    <w:rsid w:val="00C65CCB"/>
    <w:rsid w:val="00C65DFC"/>
    <w:rsid w:val="00C66763"/>
    <w:rsid w:val="00C66822"/>
    <w:rsid w:val="00C66C99"/>
    <w:rsid w:val="00C66EBF"/>
    <w:rsid w:val="00C6718D"/>
    <w:rsid w:val="00C677F5"/>
    <w:rsid w:val="00C70450"/>
    <w:rsid w:val="00C70A6A"/>
    <w:rsid w:val="00C70C4D"/>
    <w:rsid w:val="00C71239"/>
    <w:rsid w:val="00C712FD"/>
    <w:rsid w:val="00C71566"/>
    <w:rsid w:val="00C71EF4"/>
    <w:rsid w:val="00C7248B"/>
    <w:rsid w:val="00C73057"/>
    <w:rsid w:val="00C732ED"/>
    <w:rsid w:val="00C73370"/>
    <w:rsid w:val="00C7357C"/>
    <w:rsid w:val="00C73A49"/>
    <w:rsid w:val="00C7464F"/>
    <w:rsid w:val="00C748E3"/>
    <w:rsid w:val="00C74BA5"/>
    <w:rsid w:val="00C74BED"/>
    <w:rsid w:val="00C74C61"/>
    <w:rsid w:val="00C75313"/>
    <w:rsid w:val="00C7554E"/>
    <w:rsid w:val="00C75683"/>
    <w:rsid w:val="00C75B36"/>
    <w:rsid w:val="00C7651D"/>
    <w:rsid w:val="00C767F8"/>
    <w:rsid w:val="00C76CA8"/>
    <w:rsid w:val="00C76E8D"/>
    <w:rsid w:val="00C771B0"/>
    <w:rsid w:val="00C772AE"/>
    <w:rsid w:val="00C77F3F"/>
    <w:rsid w:val="00C800B3"/>
    <w:rsid w:val="00C80165"/>
    <w:rsid w:val="00C80C46"/>
    <w:rsid w:val="00C81378"/>
    <w:rsid w:val="00C813AC"/>
    <w:rsid w:val="00C81709"/>
    <w:rsid w:val="00C81730"/>
    <w:rsid w:val="00C81A8D"/>
    <w:rsid w:val="00C81E38"/>
    <w:rsid w:val="00C823E3"/>
    <w:rsid w:val="00C825B3"/>
    <w:rsid w:val="00C82A06"/>
    <w:rsid w:val="00C82DF4"/>
    <w:rsid w:val="00C8329C"/>
    <w:rsid w:val="00C84359"/>
    <w:rsid w:val="00C8453A"/>
    <w:rsid w:val="00C84716"/>
    <w:rsid w:val="00C8526E"/>
    <w:rsid w:val="00C85355"/>
    <w:rsid w:val="00C8558C"/>
    <w:rsid w:val="00C8592A"/>
    <w:rsid w:val="00C8603F"/>
    <w:rsid w:val="00C86281"/>
    <w:rsid w:val="00C866B2"/>
    <w:rsid w:val="00C869FA"/>
    <w:rsid w:val="00C87528"/>
    <w:rsid w:val="00C90416"/>
    <w:rsid w:val="00C90CEA"/>
    <w:rsid w:val="00C9123D"/>
    <w:rsid w:val="00C9134C"/>
    <w:rsid w:val="00C9184E"/>
    <w:rsid w:val="00C91926"/>
    <w:rsid w:val="00C91A26"/>
    <w:rsid w:val="00C91F5D"/>
    <w:rsid w:val="00C92125"/>
    <w:rsid w:val="00C9310F"/>
    <w:rsid w:val="00C93141"/>
    <w:rsid w:val="00C931BE"/>
    <w:rsid w:val="00C93875"/>
    <w:rsid w:val="00C93A41"/>
    <w:rsid w:val="00C93B44"/>
    <w:rsid w:val="00C93C1A"/>
    <w:rsid w:val="00C93D32"/>
    <w:rsid w:val="00C95136"/>
    <w:rsid w:val="00C95271"/>
    <w:rsid w:val="00C95324"/>
    <w:rsid w:val="00C95519"/>
    <w:rsid w:val="00C95610"/>
    <w:rsid w:val="00C9570A"/>
    <w:rsid w:val="00C95E23"/>
    <w:rsid w:val="00C96715"/>
    <w:rsid w:val="00C969E9"/>
    <w:rsid w:val="00C96FC2"/>
    <w:rsid w:val="00C97882"/>
    <w:rsid w:val="00C97A31"/>
    <w:rsid w:val="00CA059D"/>
    <w:rsid w:val="00CA07CE"/>
    <w:rsid w:val="00CA0CB0"/>
    <w:rsid w:val="00CA0DC5"/>
    <w:rsid w:val="00CA0EC8"/>
    <w:rsid w:val="00CA26D6"/>
    <w:rsid w:val="00CA28C7"/>
    <w:rsid w:val="00CA28D2"/>
    <w:rsid w:val="00CA2E66"/>
    <w:rsid w:val="00CA363E"/>
    <w:rsid w:val="00CA3BAE"/>
    <w:rsid w:val="00CA49E1"/>
    <w:rsid w:val="00CA4CF1"/>
    <w:rsid w:val="00CA4CF2"/>
    <w:rsid w:val="00CA5043"/>
    <w:rsid w:val="00CA59BB"/>
    <w:rsid w:val="00CA5CCD"/>
    <w:rsid w:val="00CA6CEC"/>
    <w:rsid w:val="00CA6FE6"/>
    <w:rsid w:val="00CA745D"/>
    <w:rsid w:val="00CB054B"/>
    <w:rsid w:val="00CB0AEB"/>
    <w:rsid w:val="00CB0C30"/>
    <w:rsid w:val="00CB0D8F"/>
    <w:rsid w:val="00CB1571"/>
    <w:rsid w:val="00CB1A9F"/>
    <w:rsid w:val="00CB1DE9"/>
    <w:rsid w:val="00CB2564"/>
    <w:rsid w:val="00CB26DA"/>
    <w:rsid w:val="00CB36D5"/>
    <w:rsid w:val="00CB3AF4"/>
    <w:rsid w:val="00CB42C0"/>
    <w:rsid w:val="00CB45B7"/>
    <w:rsid w:val="00CB49C5"/>
    <w:rsid w:val="00CB4B70"/>
    <w:rsid w:val="00CB5217"/>
    <w:rsid w:val="00CB56B7"/>
    <w:rsid w:val="00CB5DF7"/>
    <w:rsid w:val="00CB5F5D"/>
    <w:rsid w:val="00CB6122"/>
    <w:rsid w:val="00CB6385"/>
    <w:rsid w:val="00CB6DD8"/>
    <w:rsid w:val="00CB76B9"/>
    <w:rsid w:val="00CB77D0"/>
    <w:rsid w:val="00CB7B09"/>
    <w:rsid w:val="00CB7CCB"/>
    <w:rsid w:val="00CC008A"/>
    <w:rsid w:val="00CC0506"/>
    <w:rsid w:val="00CC12CD"/>
    <w:rsid w:val="00CC13A6"/>
    <w:rsid w:val="00CC1C10"/>
    <w:rsid w:val="00CC1D26"/>
    <w:rsid w:val="00CC22AD"/>
    <w:rsid w:val="00CC2598"/>
    <w:rsid w:val="00CC2CF3"/>
    <w:rsid w:val="00CC2D3A"/>
    <w:rsid w:val="00CC3001"/>
    <w:rsid w:val="00CC3032"/>
    <w:rsid w:val="00CC308F"/>
    <w:rsid w:val="00CC40AD"/>
    <w:rsid w:val="00CC47DD"/>
    <w:rsid w:val="00CC4A10"/>
    <w:rsid w:val="00CC66C1"/>
    <w:rsid w:val="00CC73A7"/>
    <w:rsid w:val="00CC7972"/>
    <w:rsid w:val="00CC79A2"/>
    <w:rsid w:val="00CC7B22"/>
    <w:rsid w:val="00CC7D01"/>
    <w:rsid w:val="00CC7E01"/>
    <w:rsid w:val="00CD0029"/>
    <w:rsid w:val="00CD05F4"/>
    <w:rsid w:val="00CD0974"/>
    <w:rsid w:val="00CD0B23"/>
    <w:rsid w:val="00CD0E2B"/>
    <w:rsid w:val="00CD0ECA"/>
    <w:rsid w:val="00CD0F66"/>
    <w:rsid w:val="00CD1280"/>
    <w:rsid w:val="00CD18D6"/>
    <w:rsid w:val="00CD1B16"/>
    <w:rsid w:val="00CD2506"/>
    <w:rsid w:val="00CD2698"/>
    <w:rsid w:val="00CD3462"/>
    <w:rsid w:val="00CD35C5"/>
    <w:rsid w:val="00CD3850"/>
    <w:rsid w:val="00CD387A"/>
    <w:rsid w:val="00CD3C96"/>
    <w:rsid w:val="00CD4F18"/>
    <w:rsid w:val="00CD5056"/>
    <w:rsid w:val="00CD5136"/>
    <w:rsid w:val="00CD5CA5"/>
    <w:rsid w:val="00CD5D68"/>
    <w:rsid w:val="00CD5F97"/>
    <w:rsid w:val="00CD6579"/>
    <w:rsid w:val="00CD6666"/>
    <w:rsid w:val="00CD6B62"/>
    <w:rsid w:val="00CD6BBB"/>
    <w:rsid w:val="00CD73B5"/>
    <w:rsid w:val="00CD77A6"/>
    <w:rsid w:val="00CD7D7A"/>
    <w:rsid w:val="00CE0291"/>
    <w:rsid w:val="00CE0BE2"/>
    <w:rsid w:val="00CE151A"/>
    <w:rsid w:val="00CE1533"/>
    <w:rsid w:val="00CE1ECF"/>
    <w:rsid w:val="00CE1F19"/>
    <w:rsid w:val="00CE23A4"/>
    <w:rsid w:val="00CE3421"/>
    <w:rsid w:val="00CE349B"/>
    <w:rsid w:val="00CE3659"/>
    <w:rsid w:val="00CE3B93"/>
    <w:rsid w:val="00CE452F"/>
    <w:rsid w:val="00CE4BB8"/>
    <w:rsid w:val="00CE4D9A"/>
    <w:rsid w:val="00CE4F1A"/>
    <w:rsid w:val="00CE5171"/>
    <w:rsid w:val="00CE543D"/>
    <w:rsid w:val="00CE54FD"/>
    <w:rsid w:val="00CE6269"/>
    <w:rsid w:val="00CE640A"/>
    <w:rsid w:val="00CE6F34"/>
    <w:rsid w:val="00CE7277"/>
    <w:rsid w:val="00CE7AF8"/>
    <w:rsid w:val="00CF0032"/>
    <w:rsid w:val="00CF00F1"/>
    <w:rsid w:val="00CF0141"/>
    <w:rsid w:val="00CF014F"/>
    <w:rsid w:val="00CF087E"/>
    <w:rsid w:val="00CF0AE4"/>
    <w:rsid w:val="00CF0C13"/>
    <w:rsid w:val="00CF14F3"/>
    <w:rsid w:val="00CF19F7"/>
    <w:rsid w:val="00CF2511"/>
    <w:rsid w:val="00CF2692"/>
    <w:rsid w:val="00CF31A5"/>
    <w:rsid w:val="00CF3CB2"/>
    <w:rsid w:val="00CF425A"/>
    <w:rsid w:val="00CF42DD"/>
    <w:rsid w:val="00CF43F4"/>
    <w:rsid w:val="00CF4FB5"/>
    <w:rsid w:val="00CF5B34"/>
    <w:rsid w:val="00CF6749"/>
    <w:rsid w:val="00CF739E"/>
    <w:rsid w:val="00CF7D8A"/>
    <w:rsid w:val="00CF7D94"/>
    <w:rsid w:val="00CF7EA2"/>
    <w:rsid w:val="00CF7F79"/>
    <w:rsid w:val="00D00C88"/>
    <w:rsid w:val="00D00F33"/>
    <w:rsid w:val="00D01159"/>
    <w:rsid w:val="00D01248"/>
    <w:rsid w:val="00D01942"/>
    <w:rsid w:val="00D021F0"/>
    <w:rsid w:val="00D0255B"/>
    <w:rsid w:val="00D02686"/>
    <w:rsid w:val="00D027D9"/>
    <w:rsid w:val="00D02EA1"/>
    <w:rsid w:val="00D03332"/>
    <w:rsid w:val="00D034FE"/>
    <w:rsid w:val="00D0498A"/>
    <w:rsid w:val="00D05257"/>
    <w:rsid w:val="00D053F9"/>
    <w:rsid w:val="00D0561D"/>
    <w:rsid w:val="00D05AC6"/>
    <w:rsid w:val="00D06351"/>
    <w:rsid w:val="00D06C0D"/>
    <w:rsid w:val="00D06CD3"/>
    <w:rsid w:val="00D0755B"/>
    <w:rsid w:val="00D07573"/>
    <w:rsid w:val="00D10113"/>
    <w:rsid w:val="00D101E9"/>
    <w:rsid w:val="00D1054C"/>
    <w:rsid w:val="00D1171C"/>
    <w:rsid w:val="00D122ED"/>
    <w:rsid w:val="00D127F2"/>
    <w:rsid w:val="00D1286E"/>
    <w:rsid w:val="00D12A92"/>
    <w:rsid w:val="00D12AA5"/>
    <w:rsid w:val="00D134CA"/>
    <w:rsid w:val="00D136B6"/>
    <w:rsid w:val="00D1406E"/>
    <w:rsid w:val="00D14759"/>
    <w:rsid w:val="00D14762"/>
    <w:rsid w:val="00D1550E"/>
    <w:rsid w:val="00D1563C"/>
    <w:rsid w:val="00D158D0"/>
    <w:rsid w:val="00D15B33"/>
    <w:rsid w:val="00D15C89"/>
    <w:rsid w:val="00D16B8F"/>
    <w:rsid w:val="00D17429"/>
    <w:rsid w:val="00D1796B"/>
    <w:rsid w:val="00D17C4D"/>
    <w:rsid w:val="00D20001"/>
    <w:rsid w:val="00D200F7"/>
    <w:rsid w:val="00D202BD"/>
    <w:rsid w:val="00D20342"/>
    <w:rsid w:val="00D20A32"/>
    <w:rsid w:val="00D212B6"/>
    <w:rsid w:val="00D219B6"/>
    <w:rsid w:val="00D22BA0"/>
    <w:rsid w:val="00D22CFF"/>
    <w:rsid w:val="00D23921"/>
    <w:rsid w:val="00D23CA0"/>
    <w:rsid w:val="00D24372"/>
    <w:rsid w:val="00D244F0"/>
    <w:rsid w:val="00D24911"/>
    <w:rsid w:val="00D25BAA"/>
    <w:rsid w:val="00D26897"/>
    <w:rsid w:val="00D26C86"/>
    <w:rsid w:val="00D2725E"/>
    <w:rsid w:val="00D27CDB"/>
    <w:rsid w:val="00D27D7E"/>
    <w:rsid w:val="00D30678"/>
    <w:rsid w:val="00D30B00"/>
    <w:rsid w:val="00D315F4"/>
    <w:rsid w:val="00D316A3"/>
    <w:rsid w:val="00D31705"/>
    <w:rsid w:val="00D3183C"/>
    <w:rsid w:val="00D31AA0"/>
    <w:rsid w:val="00D32BB1"/>
    <w:rsid w:val="00D32F92"/>
    <w:rsid w:val="00D33490"/>
    <w:rsid w:val="00D33916"/>
    <w:rsid w:val="00D33DFA"/>
    <w:rsid w:val="00D33EC3"/>
    <w:rsid w:val="00D33ED3"/>
    <w:rsid w:val="00D34675"/>
    <w:rsid w:val="00D356BE"/>
    <w:rsid w:val="00D356DE"/>
    <w:rsid w:val="00D3617B"/>
    <w:rsid w:val="00D3628C"/>
    <w:rsid w:val="00D362C9"/>
    <w:rsid w:val="00D36364"/>
    <w:rsid w:val="00D36410"/>
    <w:rsid w:val="00D36518"/>
    <w:rsid w:val="00D3683E"/>
    <w:rsid w:val="00D369CB"/>
    <w:rsid w:val="00D374CA"/>
    <w:rsid w:val="00D407F3"/>
    <w:rsid w:val="00D408A3"/>
    <w:rsid w:val="00D40FB7"/>
    <w:rsid w:val="00D41086"/>
    <w:rsid w:val="00D41636"/>
    <w:rsid w:val="00D41BE7"/>
    <w:rsid w:val="00D420F1"/>
    <w:rsid w:val="00D429D7"/>
    <w:rsid w:val="00D42F55"/>
    <w:rsid w:val="00D42FCA"/>
    <w:rsid w:val="00D4353F"/>
    <w:rsid w:val="00D435E4"/>
    <w:rsid w:val="00D4372B"/>
    <w:rsid w:val="00D437AF"/>
    <w:rsid w:val="00D43B4D"/>
    <w:rsid w:val="00D43D58"/>
    <w:rsid w:val="00D441BC"/>
    <w:rsid w:val="00D441D8"/>
    <w:rsid w:val="00D44582"/>
    <w:rsid w:val="00D45715"/>
    <w:rsid w:val="00D45C81"/>
    <w:rsid w:val="00D46080"/>
    <w:rsid w:val="00D4622E"/>
    <w:rsid w:val="00D466B5"/>
    <w:rsid w:val="00D4731E"/>
    <w:rsid w:val="00D501AE"/>
    <w:rsid w:val="00D50AEC"/>
    <w:rsid w:val="00D50B7A"/>
    <w:rsid w:val="00D50BAB"/>
    <w:rsid w:val="00D5224A"/>
    <w:rsid w:val="00D524B0"/>
    <w:rsid w:val="00D52575"/>
    <w:rsid w:val="00D527F0"/>
    <w:rsid w:val="00D52CC7"/>
    <w:rsid w:val="00D52D40"/>
    <w:rsid w:val="00D53571"/>
    <w:rsid w:val="00D5385E"/>
    <w:rsid w:val="00D53CC7"/>
    <w:rsid w:val="00D548EA"/>
    <w:rsid w:val="00D54928"/>
    <w:rsid w:val="00D556FE"/>
    <w:rsid w:val="00D5576D"/>
    <w:rsid w:val="00D56385"/>
    <w:rsid w:val="00D563E5"/>
    <w:rsid w:val="00D56529"/>
    <w:rsid w:val="00D56E50"/>
    <w:rsid w:val="00D571DB"/>
    <w:rsid w:val="00D603A4"/>
    <w:rsid w:val="00D60D6F"/>
    <w:rsid w:val="00D610E2"/>
    <w:rsid w:val="00D61240"/>
    <w:rsid w:val="00D617A6"/>
    <w:rsid w:val="00D61D52"/>
    <w:rsid w:val="00D625E7"/>
    <w:rsid w:val="00D62762"/>
    <w:rsid w:val="00D627DA"/>
    <w:rsid w:val="00D62D8D"/>
    <w:rsid w:val="00D631A3"/>
    <w:rsid w:val="00D63323"/>
    <w:rsid w:val="00D63848"/>
    <w:rsid w:val="00D63D21"/>
    <w:rsid w:val="00D64451"/>
    <w:rsid w:val="00D644A3"/>
    <w:rsid w:val="00D6461B"/>
    <w:rsid w:val="00D65C1A"/>
    <w:rsid w:val="00D65C61"/>
    <w:rsid w:val="00D65EF7"/>
    <w:rsid w:val="00D66088"/>
    <w:rsid w:val="00D674EC"/>
    <w:rsid w:val="00D676F4"/>
    <w:rsid w:val="00D679CC"/>
    <w:rsid w:val="00D703C1"/>
    <w:rsid w:val="00D70FAD"/>
    <w:rsid w:val="00D716E2"/>
    <w:rsid w:val="00D71AAB"/>
    <w:rsid w:val="00D71CA9"/>
    <w:rsid w:val="00D7266D"/>
    <w:rsid w:val="00D72FA1"/>
    <w:rsid w:val="00D7335C"/>
    <w:rsid w:val="00D73C43"/>
    <w:rsid w:val="00D740D8"/>
    <w:rsid w:val="00D742DB"/>
    <w:rsid w:val="00D748B7"/>
    <w:rsid w:val="00D760CA"/>
    <w:rsid w:val="00D77325"/>
    <w:rsid w:val="00D809FF"/>
    <w:rsid w:val="00D81C85"/>
    <w:rsid w:val="00D81E37"/>
    <w:rsid w:val="00D821A2"/>
    <w:rsid w:val="00D8261B"/>
    <w:rsid w:val="00D8272B"/>
    <w:rsid w:val="00D83B96"/>
    <w:rsid w:val="00D844D4"/>
    <w:rsid w:val="00D84799"/>
    <w:rsid w:val="00D848A7"/>
    <w:rsid w:val="00D85511"/>
    <w:rsid w:val="00D859CF"/>
    <w:rsid w:val="00D86726"/>
    <w:rsid w:val="00D8702A"/>
    <w:rsid w:val="00D874F7"/>
    <w:rsid w:val="00D875B3"/>
    <w:rsid w:val="00D901A3"/>
    <w:rsid w:val="00D915A4"/>
    <w:rsid w:val="00D92701"/>
    <w:rsid w:val="00D92BD4"/>
    <w:rsid w:val="00D92FE1"/>
    <w:rsid w:val="00D9316E"/>
    <w:rsid w:val="00D932BC"/>
    <w:rsid w:val="00D93BF5"/>
    <w:rsid w:val="00D9450C"/>
    <w:rsid w:val="00D94C7A"/>
    <w:rsid w:val="00D952F9"/>
    <w:rsid w:val="00D95424"/>
    <w:rsid w:val="00D9556A"/>
    <w:rsid w:val="00D95A34"/>
    <w:rsid w:val="00D95B56"/>
    <w:rsid w:val="00D95D96"/>
    <w:rsid w:val="00D96951"/>
    <w:rsid w:val="00D96A2F"/>
    <w:rsid w:val="00D974DC"/>
    <w:rsid w:val="00D97FB7"/>
    <w:rsid w:val="00DA0113"/>
    <w:rsid w:val="00DA063D"/>
    <w:rsid w:val="00DA0E9D"/>
    <w:rsid w:val="00DA1180"/>
    <w:rsid w:val="00DA1B28"/>
    <w:rsid w:val="00DA1B5C"/>
    <w:rsid w:val="00DA1E9E"/>
    <w:rsid w:val="00DA24C0"/>
    <w:rsid w:val="00DA25F0"/>
    <w:rsid w:val="00DA28AB"/>
    <w:rsid w:val="00DA2CC4"/>
    <w:rsid w:val="00DA2E4A"/>
    <w:rsid w:val="00DA305F"/>
    <w:rsid w:val="00DA32FE"/>
    <w:rsid w:val="00DA3D47"/>
    <w:rsid w:val="00DA46D3"/>
    <w:rsid w:val="00DA4BDA"/>
    <w:rsid w:val="00DA4CAC"/>
    <w:rsid w:val="00DA4EE4"/>
    <w:rsid w:val="00DA530D"/>
    <w:rsid w:val="00DA5588"/>
    <w:rsid w:val="00DA5BDE"/>
    <w:rsid w:val="00DA6275"/>
    <w:rsid w:val="00DA68D2"/>
    <w:rsid w:val="00DA79A5"/>
    <w:rsid w:val="00DA7FB0"/>
    <w:rsid w:val="00DB078E"/>
    <w:rsid w:val="00DB13D7"/>
    <w:rsid w:val="00DB14FC"/>
    <w:rsid w:val="00DB30B8"/>
    <w:rsid w:val="00DB3102"/>
    <w:rsid w:val="00DB33F0"/>
    <w:rsid w:val="00DB3585"/>
    <w:rsid w:val="00DB3A58"/>
    <w:rsid w:val="00DB3A7F"/>
    <w:rsid w:val="00DB3F39"/>
    <w:rsid w:val="00DB3F63"/>
    <w:rsid w:val="00DB4B0D"/>
    <w:rsid w:val="00DB4DA1"/>
    <w:rsid w:val="00DB5F07"/>
    <w:rsid w:val="00DB6ABE"/>
    <w:rsid w:val="00DB6E8F"/>
    <w:rsid w:val="00DB6F52"/>
    <w:rsid w:val="00DC07BF"/>
    <w:rsid w:val="00DC0AD3"/>
    <w:rsid w:val="00DC1083"/>
    <w:rsid w:val="00DC1118"/>
    <w:rsid w:val="00DC1272"/>
    <w:rsid w:val="00DC18DB"/>
    <w:rsid w:val="00DC1B1B"/>
    <w:rsid w:val="00DC249D"/>
    <w:rsid w:val="00DC24E5"/>
    <w:rsid w:val="00DC24FD"/>
    <w:rsid w:val="00DC28AF"/>
    <w:rsid w:val="00DC2961"/>
    <w:rsid w:val="00DC330F"/>
    <w:rsid w:val="00DC3485"/>
    <w:rsid w:val="00DC3716"/>
    <w:rsid w:val="00DC3E3A"/>
    <w:rsid w:val="00DC5198"/>
    <w:rsid w:val="00DC5AB1"/>
    <w:rsid w:val="00DC5F39"/>
    <w:rsid w:val="00DC62C7"/>
    <w:rsid w:val="00DC68EB"/>
    <w:rsid w:val="00DC7960"/>
    <w:rsid w:val="00DD07C1"/>
    <w:rsid w:val="00DD087F"/>
    <w:rsid w:val="00DD0914"/>
    <w:rsid w:val="00DD0B9F"/>
    <w:rsid w:val="00DD0D93"/>
    <w:rsid w:val="00DD15AE"/>
    <w:rsid w:val="00DD1CC2"/>
    <w:rsid w:val="00DD2245"/>
    <w:rsid w:val="00DD26C8"/>
    <w:rsid w:val="00DD2918"/>
    <w:rsid w:val="00DD2985"/>
    <w:rsid w:val="00DD3139"/>
    <w:rsid w:val="00DD31C8"/>
    <w:rsid w:val="00DD3410"/>
    <w:rsid w:val="00DD3428"/>
    <w:rsid w:val="00DD4828"/>
    <w:rsid w:val="00DD4977"/>
    <w:rsid w:val="00DD4FBE"/>
    <w:rsid w:val="00DD536C"/>
    <w:rsid w:val="00DD555F"/>
    <w:rsid w:val="00DD5A67"/>
    <w:rsid w:val="00DD5BE3"/>
    <w:rsid w:val="00DD5E5E"/>
    <w:rsid w:val="00DD5ED0"/>
    <w:rsid w:val="00DD6254"/>
    <w:rsid w:val="00DD6782"/>
    <w:rsid w:val="00DD6F9F"/>
    <w:rsid w:val="00DD7573"/>
    <w:rsid w:val="00DD7EF8"/>
    <w:rsid w:val="00DE0113"/>
    <w:rsid w:val="00DE026E"/>
    <w:rsid w:val="00DE0475"/>
    <w:rsid w:val="00DE05AF"/>
    <w:rsid w:val="00DE0731"/>
    <w:rsid w:val="00DE0870"/>
    <w:rsid w:val="00DE09E2"/>
    <w:rsid w:val="00DE17FB"/>
    <w:rsid w:val="00DE1B72"/>
    <w:rsid w:val="00DE1C86"/>
    <w:rsid w:val="00DE1E75"/>
    <w:rsid w:val="00DE2849"/>
    <w:rsid w:val="00DE2C5A"/>
    <w:rsid w:val="00DE3B6C"/>
    <w:rsid w:val="00DE4A5C"/>
    <w:rsid w:val="00DE520E"/>
    <w:rsid w:val="00DE5872"/>
    <w:rsid w:val="00DE625D"/>
    <w:rsid w:val="00DE6AE6"/>
    <w:rsid w:val="00DE6D39"/>
    <w:rsid w:val="00DE6E8F"/>
    <w:rsid w:val="00DE77E9"/>
    <w:rsid w:val="00DF112A"/>
    <w:rsid w:val="00DF1167"/>
    <w:rsid w:val="00DF1B65"/>
    <w:rsid w:val="00DF1DF0"/>
    <w:rsid w:val="00DF248A"/>
    <w:rsid w:val="00DF2A17"/>
    <w:rsid w:val="00DF2C91"/>
    <w:rsid w:val="00DF3230"/>
    <w:rsid w:val="00DF37C8"/>
    <w:rsid w:val="00DF3871"/>
    <w:rsid w:val="00DF39D1"/>
    <w:rsid w:val="00DF3C7A"/>
    <w:rsid w:val="00DF402C"/>
    <w:rsid w:val="00DF412D"/>
    <w:rsid w:val="00DF4693"/>
    <w:rsid w:val="00DF4CAE"/>
    <w:rsid w:val="00DF5AB2"/>
    <w:rsid w:val="00DF65EC"/>
    <w:rsid w:val="00DF69EE"/>
    <w:rsid w:val="00DF6B7D"/>
    <w:rsid w:val="00DF73F3"/>
    <w:rsid w:val="00DF76BA"/>
    <w:rsid w:val="00DF77F0"/>
    <w:rsid w:val="00DF7E4E"/>
    <w:rsid w:val="00E007D4"/>
    <w:rsid w:val="00E00ADB"/>
    <w:rsid w:val="00E01050"/>
    <w:rsid w:val="00E016DC"/>
    <w:rsid w:val="00E01A54"/>
    <w:rsid w:val="00E022ED"/>
    <w:rsid w:val="00E024DB"/>
    <w:rsid w:val="00E026D1"/>
    <w:rsid w:val="00E03430"/>
    <w:rsid w:val="00E03497"/>
    <w:rsid w:val="00E03B77"/>
    <w:rsid w:val="00E048E7"/>
    <w:rsid w:val="00E050AB"/>
    <w:rsid w:val="00E05DAC"/>
    <w:rsid w:val="00E05E4E"/>
    <w:rsid w:val="00E05F7B"/>
    <w:rsid w:val="00E06B08"/>
    <w:rsid w:val="00E06B09"/>
    <w:rsid w:val="00E06C0A"/>
    <w:rsid w:val="00E07650"/>
    <w:rsid w:val="00E07664"/>
    <w:rsid w:val="00E0774C"/>
    <w:rsid w:val="00E07AB7"/>
    <w:rsid w:val="00E07BC0"/>
    <w:rsid w:val="00E07DB6"/>
    <w:rsid w:val="00E10341"/>
    <w:rsid w:val="00E103B5"/>
    <w:rsid w:val="00E10508"/>
    <w:rsid w:val="00E10B32"/>
    <w:rsid w:val="00E11103"/>
    <w:rsid w:val="00E112E4"/>
    <w:rsid w:val="00E116DF"/>
    <w:rsid w:val="00E11F47"/>
    <w:rsid w:val="00E12B81"/>
    <w:rsid w:val="00E13163"/>
    <w:rsid w:val="00E13BE2"/>
    <w:rsid w:val="00E13F7B"/>
    <w:rsid w:val="00E143D4"/>
    <w:rsid w:val="00E14581"/>
    <w:rsid w:val="00E1463E"/>
    <w:rsid w:val="00E14991"/>
    <w:rsid w:val="00E14E8D"/>
    <w:rsid w:val="00E14F73"/>
    <w:rsid w:val="00E1577A"/>
    <w:rsid w:val="00E15F21"/>
    <w:rsid w:val="00E168B3"/>
    <w:rsid w:val="00E16CEE"/>
    <w:rsid w:val="00E16F8D"/>
    <w:rsid w:val="00E17666"/>
    <w:rsid w:val="00E17AF9"/>
    <w:rsid w:val="00E20986"/>
    <w:rsid w:val="00E20A8C"/>
    <w:rsid w:val="00E20C6A"/>
    <w:rsid w:val="00E20E4C"/>
    <w:rsid w:val="00E2133D"/>
    <w:rsid w:val="00E21489"/>
    <w:rsid w:val="00E214F0"/>
    <w:rsid w:val="00E2167E"/>
    <w:rsid w:val="00E21890"/>
    <w:rsid w:val="00E2196D"/>
    <w:rsid w:val="00E21E89"/>
    <w:rsid w:val="00E226D8"/>
    <w:rsid w:val="00E22A2E"/>
    <w:rsid w:val="00E22ADF"/>
    <w:rsid w:val="00E22C8F"/>
    <w:rsid w:val="00E23072"/>
    <w:rsid w:val="00E23ACD"/>
    <w:rsid w:val="00E24D18"/>
    <w:rsid w:val="00E25040"/>
    <w:rsid w:val="00E2542A"/>
    <w:rsid w:val="00E2549B"/>
    <w:rsid w:val="00E258B3"/>
    <w:rsid w:val="00E25973"/>
    <w:rsid w:val="00E26C3D"/>
    <w:rsid w:val="00E26E59"/>
    <w:rsid w:val="00E27241"/>
    <w:rsid w:val="00E27B7D"/>
    <w:rsid w:val="00E27C1A"/>
    <w:rsid w:val="00E27FE8"/>
    <w:rsid w:val="00E303A6"/>
    <w:rsid w:val="00E304F4"/>
    <w:rsid w:val="00E3052E"/>
    <w:rsid w:val="00E30B0D"/>
    <w:rsid w:val="00E3141B"/>
    <w:rsid w:val="00E31A80"/>
    <w:rsid w:val="00E31AF5"/>
    <w:rsid w:val="00E31D6D"/>
    <w:rsid w:val="00E31DA0"/>
    <w:rsid w:val="00E32394"/>
    <w:rsid w:val="00E32C5C"/>
    <w:rsid w:val="00E33795"/>
    <w:rsid w:val="00E345C9"/>
    <w:rsid w:val="00E3495F"/>
    <w:rsid w:val="00E351EB"/>
    <w:rsid w:val="00E35F62"/>
    <w:rsid w:val="00E35FC5"/>
    <w:rsid w:val="00E36269"/>
    <w:rsid w:val="00E3642D"/>
    <w:rsid w:val="00E364BE"/>
    <w:rsid w:val="00E36E5D"/>
    <w:rsid w:val="00E37370"/>
    <w:rsid w:val="00E373B3"/>
    <w:rsid w:val="00E37632"/>
    <w:rsid w:val="00E416E8"/>
    <w:rsid w:val="00E41BDA"/>
    <w:rsid w:val="00E42698"/>
    <w:rsid w:val="00E429B1"/>
    <w:rsid w:val="00E436FC"/>
    <w:rsid w:val="00E43CE9"/>
    <w:rsid w:val="00E43F39"/>
    <w:rsid w:val="00E43F76"/>
    <w:rsid w:val="00E45451"/>
    <w:rsid w:val="00E45472"/>
    <w:rsid w:val="00E4564F"/>
    <w:rsid w:val="00E4566E"/>
    <w:rsid w:val="00E45931"/>
    <w:rsid w:val="00E465C1"/>
    <w:rsid w:val="00E46B44"/>
    <w:rsid w:val="00E46E51"/>
    <w:rsid w:val="00E472E5"/>
    <w:rsid w:val="00E47D0A"/>
    <w:rsid w:val="00E50507"/>
    <w:rsid w:val="00E50DF7"/>
    <w:rsid w:val="00E51243"/>
    <w:rsid w:val="00E51263"/>
    <w:rsid w:val="00E51F16"/>
    <w:rsid w:val="00E521A6"/>
    <w:rsid w:val="00E52BBC"/>
    <w:rsid w:val="00E52D47"/>
    <w:rsid w:val="00E5383C"/>
    <w:rsid w:val="00E54178"/>
    <w:rsid w:val="00E54E09"/>
    <w:rsid w:val="00E55638"/>
    <w:rsid w:val="00E55B6B"/>
    <w:rsid w:val="00E55F2A"/>
    <w:rsid w:val="00E56792"/>
    <w:rsid w:val="00E57167"/>
    <w:rsid w:val="00E57602"/>
    <w:rsid w:val="00E5763F"/>
    <w:rsid w:val="00E607BD"/>
    <w:rsid w:val="00E60ECB"/>
    <w:rsid w:val="00E6138D"/>
    <w:rsid w:val="00E61A30"/>
    <w:rsid w:val="00E62436"/>
    <w:rsid w:val="00E63402"/>
    <w:rsid w:val="00E63684"/>
    <w:rsid w:val="00E63915"/>
    <w:rsid w:val="00E639FB"/>
    <w:rsid w:val="00E63BED"/>
    <w:rsid w:val="00E63CEF"/>
    <w:rsid w:val="00E63F50"/>
    <w:rsid w:val="00E647C9"/>
    <w:rsid w:val="00E64896"/>
    <w:rsid w:val="00E6585D"/>
    <w:rsid w:val="00E65BB8"/>
    <w:rsid w:val="00E660C9"/>
    <w:rsid w:val="00E66581"/>
    <w:rsid w:val="00E66908"/>
    <w:rsid w:val="00E673E1"/>
    <w:rsid w:val="00E67972"/>
    <w:rsid w:val="00E67A8E"/>
    <w:rsid w:val="00E70499"/>
    <w:rsid w:val="00E704C4"/>
    <w:rsid w:val="00E70719"/>
    <w:rsid w:val="00E70914"/>
    <w:rsid w:val="00E713F5"/>
    <w:rsid w:val="00E71512"/>
    <w:rsid w:val="00E71546"/>
    <w:rsid w:val="00E719C1"/>
    <w:rsid w:val="00E71A82"/>
    <w:rsid w:val="00E72E67"/>
    <w:rsid w:val="00E7314C"/>
    <w:rsid w:val="00E73377"/>
    <w:rsid w:val="00E73448"/>
    <w:rsid w:val="00E7358D"/>
    <w:rsid w:val="00E73A82"/>
    <w:rsid w:val="00E7443F"/>
    <w:rsid w:val="00E74541"/>
    <w:rsid w:val="00E749B6"/>
    <w:rsid w:val="00E74A01"/>
    <w:rsid w:val="00E74C8F"/>
    <w:rsid w:val="00E7518D"/>
    <w:rsid w:val="00E753E2"/>
    <w:rsid w:val="00E75895"/>
    <w:rsid w:val="00E76A62"/>
    <w:rsid w:val="00E7710B"/>
    <w:rsid w:val="00E7739B"/>
    <w:rsid w:val="00E776BF"/>
    <w:rsid w:val="00E80201"/>
    <w:rsid w:val="00E80EA6"/>
    <w:rsid w:val="00E8105B"/>
    <w:rsid w:val="00E81206"/>
    <w:rsid w:val="00E813EA"/>
    <w:rsid w:val="00E81649"/>
    <w:rsid w:val="00E816F3"/>
    <w:rsid w:val="00E8180A"/>
    <w:rsid w:val="00E81AA8"/>
    <w:rsid w:val="00E81CC0"/>
    <w:rsid w:val="00E82B13"/>
    <w:rsid w:val="00E82D53"/>
    <w:rsid w:val="00E837A4"/>
    <w:rsid w:val="00E8402D"/>
    <w:rsid w:val="00E84BDF"/>
    <w:rsid w:val="00E84ED5"/>
    <w:rsid w:val="00E85E95"/>
    <w:rsid w:val="00E86927"/>
    <w:rsid w:val="00E86D38"/>
    <w:rsid w:val="00E876D3"/>
    <w:rsid w:val="00E87970"/>
    <w:rsid w:val="00E87E45"/>
    <w:rsid w:val="00E87EAF"/>
    <w:rsid w:val="00E901AC"/>
    <w:rsid w:val="00E90B62"/>
    <w:rsid w:val="00E90C0C"/>
    <w:rsid w:val="00E90CEA"/>
    <w:rsid w:val="00E914AB"/>
    <w:rsid w:val="00E9186A"/>
    <w:rsid w:val="00E919AB"/>
    <w:rsid w:val="00E91B0F"/>
    <w:rsid w:val="00E9291F"/>
    <w:rsid w:val="00E931EC"/>
    <w:rsid w:val="00E9367A"/>
    <w:rsid w:val="00E93A18"/>
    <w:rsid w:val="00E93C2B"/>
    <w:rsid w:val="00E944F1"/>
    <w:rsid w:val="00E94B0C"/>
    <w:rsid w:val="00E94F86"/>
    <w:rsid w:val="00E9517F"/>
    <w:rsid w:val="00E9599D"/>
    <w:rsid w:val="00E95A50"/>
    <w:rsid w:val="00E961A5"/>
    <w:rsid w:val="00E9628D"/>
    <w:rsid w:val="00E96567"/>
    <w:rsid w:val="00E969A7"/>
    <w:rsid w:val="00E96B54"/>
    <w:rsid w:val="00E96C2A"/>
    <w:rsid w:val="00E97339"/>
    <w:rsid w:val="00EA01F5"/>
    <w:rsid w:val="00EA0324"/>
    <w:rsid w:val="00EA0BCB"/>
    <w:rsid w:val="00EA1089"/>
    <w:rsid w:val="00EA1152"/>
    <w:rsid w:val="00EA1173"/>
    <w:rsid w:val="00EA1829"/>
    <w:rsid w:val="00EA1A5B"/>
    <w:rsid w:val="00EA1C32"/>
    <w:rsid w:val="00EA1D34"/>
    <w:rsid w:val="00EA2E3A"/>
    <w:rsid w:val="00EA2E77"/>
    <w:rsid w:val="00EA3852"/>
    <w:rsid w:val="00EA38FF"/>
    <w:rsid w:val="00EA3916"/>
    <w:rsid w:val="00EA3966"/>
    <w:rsid w:val="00EA3B34"/>
    <w:rsid w:val="00EA3C14"/>
    <w:rsid w:val="00EA44CA"/>
    <w:rsid w:val="00EA5B4A"/>
    <w:rsid w:val="00EA6074"/>
    <w:rsid w:val="00EA696C"/>
    <w:rsid w:val="00EA6AFD"/>
    <w:rsid w:val="00EA72C0"/>
    <w:rsid w:val="00EA790F"/>
    <w:rsid w:val="00EA7A36"/>
    <w:rsid w:val="00EA7C47"/>
    <w:rsid w:val="00EB0035"/>
    <w:rsid w:val="00EB0D83"/>
    <w:rsid w:val="00EB12C0"/>
    <w:rsid w:val="00EB141A"/>
    <w:rsid w:val="00EB15BE"/>
    <w:rsid w:val="00EB1CCE"/>
    <w:rsid w:val="00EB1E2E"/>
    <w:rsid w:val="00EB289E"/>
    <w:rsid w:val="00EB2A50"/>
    <w:rsid w:val="00EB323E"/>
    <w:rsid w:val="00EB35F9"/>
    <w:rsid w:val="00EB3693"/>
    <w:rsid w:val="00EB3A37"/>
    <w:rsid w:val="00EB3CFE"/>
    <w:rsid w:val="00EB4182"/>
    <w:rsid w:val="00EB4C35"/>
    <w:rsid w:val="00EB50B3"/>
    <w:rsid w:val="00EB52BB"/>
    <w:rsid w:val="00EB5A35"/>
    <w:rsid w:val="00EB5FAD"/>
    <w:rsid w:val="00EB5FFF"/>
    <w:rsid w:val="00EB619F"/>
    <w:rsid w:val="00EB6340"/>
    <w:rsid w:val="00EB64C1"/>
    <w:rsid w:val="00EB65AB"/>
    <w:rsid w:val="00EB6708"/>
    <w:rsid w:val="00EB739B"/>
    <w:rsid w:val="00EB750D"/>
    <w:rsid w:val="00EB7C5C"/>
    <w:rsid w:val="00EC04F2"/>
    <w:rsid w:val="00EC057E"/>
    <w:rsid w:val="00EC0BDE"/>
    <w:rsid w:val="00EC0F40"/>
    <w:rsid w:val="00EC1845"/>
    <w:rsid w:val="00EC190A"/>
    <w:rsid w:val="00EC218C"/>
    <w:rsid w:val="00EC2415"/>
    <w:rsid w:val="00EC2D36"/>
    <w:rsid w:val="00EC3173"/>
    <w:rsid w:val="00EC3A04"/>
    <w:rsid w:val="00EC3A56"/>
    <w:rsid w:val="00EC3A98"/>
    <w:rsid w:val="00EC3DAB"/>
    <w:rsid w:val="00EC3DCE"/>
    <w:rsid w:val="00EC3EB2"/>
    <w:rsid w:val="00EC3FA4"/>
    <w:rsid w:val="00EC4870"/>
    <w:rsid w:val="00EC4B6E"/>
    <w:rsid w:val="00EC53C8"/>
    <w:rsid w:val="00EC5404"/>
    <w:rsid w:val="00EC545B"/>
    <w:rsid w:val="00EC6228"/>
    <w:rsid w:val="00EC6BED"/>
    <w:rsid w:val="00EC6DB9"/>
    <w:rsid w:val="00EC6EFB"/>
    <w:rsid w:val="00EC71F1"/>
    <w:rsid w:val="00ED07FB"/>
    <w:rsid w:val="00ED08F7"/>
    <w:rsid w:val="00ED0E56"/>
    <w:rsid w:val="00ED1761"/>
    <w:rsid w:val="00ED18FE"/>
    <w:rsid w:val="00ED1946"/>
    <w:rsid w:val="00ED1B52"/>
    <w:rsid w:val="00ED1C26"/>
    <w:rsid w:val="00ED1C96"/>
    <w:rsid w:val="00ED1E9C"/>
    <w:rsid w:val="00ED22F3"/>
    <w:rsid w:val="00ED2874"/>
    <w:rsid w:val="00ED29C7"/>
    <w:rsid w:val="00ED2B36"/>
    <w:rsid w:val="00ED405A"/>
    <w:rsid w:val="00ED4146"/>
    <w:rsid w:val="00ED4A08"/>
    <w:rsid w:val="00ED5222"/>
    <w:rsid w:val="00ED5961"/>
    <w:rsid w:val="00ED631C"/>
    <w:rsid w:val="00ED6F48"/>
    <w:rsid w:val="00ED70D4"/>
    <w:rsid w:val="00ED758E"/>
    <w:rsid w:val="00ED7B17"/>
    <w:rsid w:val="00EE01C5"/>
    <w:rsid w:val="00EE0266"/>
    <w:rsid w:val="00EE0747"/>
    <w:rsid w:val="00EE11F6"/>
    <w:rsid w:val="00EE13E9"/>
    <w:rsid w:val="00EE1421"/>
    <w:rsid w:val="00EE15F8"/>
    <w:rsid w:val="00EE172E"/>
    <w:rsid w:val="00EE1BD9"/>
    <w:rsid w:val="00EE1D3E"/>
    <w:rsid w:val="00EE1E6C"/>
    <w:rsid w:val="00EE1F38"/>
    <w:rsid w:val="00EE216B"/>
    <w:rsid w:val="00EE224E"/>
    <w:rsid w:val="00EE26D9"/>
    <w:rsid w:val="00EE276E"/>
    <w:rsid w:val="00EE2A03"/>
    <w:rsid w:val="00EE2BA8"/>
    <w:rsid w:val="00EE3098"/>
    <w:rsid w:val="00EE344E"/>
    <w:rsid w:val="00EE3466"/>
    <w:rsid w:val="00EE3525"/>
    <w:rsid w:val="00EE3D1D"/>
    <w:rsid w:val="00EE3DA3"/>
    <w:rsid w:val="00EE3EB1"/>
    <w:rsid w:val="00EE3EBF"/>
    <w:rsid w:val="00EE3FE7"/>
    <w:rsid w:val="00EE400D"/>
    <w:rsid w:val="00EE4162"/>
    <w:rsid w:val="00EE43CE"/>
    <w:rsid w:val="00EE440A"/>
    <w:rsid w:val="00EE464B"/>
    <w:rsid w:val="00EE480A"/>
    <w:rsid w:val="00EE4EA1"/>
    <w:rsid w:val="00EE6139"/>
    <w:rsid w:val="00EE62D9"/>
    <w:rsid w:val="00EE732F"/>
    <w:rsid w:val="00EE7691"/>
    <w:rsid w:val="00EE772E"/>
    <w:rsid w:val="00EF0267"/>
    <w:rsid w:val="00EF03EB"/>
    <w:rsid w:val="00EF08DB"/>
    <w:rsid w:val="00EF0F65"/>
    <w:rsid w:val="00EF10FF"/>
    <w:rsid w:val="00EF11D3"/>
    <w:rsid w:val="00EF145A"/>
    <w:rsid w:val="00EF260B"/>
    <w:rsid w:val="00EF29BE"/>
    <w:rsid w:val="00EF340A"/>
    <w:rsid w:val="00EF3558"/>
    <w:rsid w:val="00EF35EE"/>
    <w:rsid w:val="00EF3ACF"/>
    <w:rsid w:val="00EF40D1"/>
    <w:rsid w:val="00EF491D"/>
    <w:rsid w:val="00EF4C12"/>
    <w:rsid w:val="00EF4C24"/>
    <w:rsid w:val="00EF52BD"/>
    <w:rsid w:val="00EF5A53"/>
    <w:rsid w:val="00EF5D9B"/>
    <w:rsid w:val="00EF69EC"/>
    <w:rsid w:val="00EF6B7C"/>
    <w:rsid w:val="00EF6E6E"/>
    <w:rsid w:val="00EF6FF1"/>
    <w:rsid w:val="00EF7CC3"/>
    <w:rsid w:val="00EF7F66"/>
    <w:rsid w:val="00F00103"/>
    <w:rsid w:val="00F007BD"/>
    <w:rsid w:val="00F00A48"/>
    <w:rsid w:val="00F012A1"/>
    <w:rsid w:val="00F015E1"/>
    <w:rsid w:val="00F019B0"/>
    <w:rsid w:val="00F01F9C"/>
    <w:rsid w:val="00F02542"/>
    <w:rsid w:val="00F027B3"/>
    <w:rsid w:val="00F02CCE"/>
    <w:rsid w:val="00F02CFD"/>
    <w:rsid w:val="00F03056"/>
    <w:rsid w:val="00F037F5"/>
    <w:rsid w:val="00F03982"/>
    <w:rsid w:val="00F039AD"/>
    <w:rsid w:val="00F03A95"/>
    <w:rsid w:val="00F03DBE"/>
    <w:rsid w:val="00F0447D"/>
    <w:rsid w:val="00F04589"/>
    <w:rsid w:val="00F0463A"/>
    <w:rsid w:val="00F048E0"/>
    <w:rsid w:val="00F05311"/>
    <w:rsid w:val="00F053D5"/>
    <w:rsid w:val="00F05513"/>
    <w:rsid w:val="00F059C5"/>
    <w:rsid w:val="00F05BA6"/>
    <w:rsid w:val="00F065BF"/>
    <w:rsid w:val="00F06733"/>
    <w:rsid w:val="00F06826"/>
    <w:rsid w:val="00F07965"/>
    <w:rsid w:val="00F10989"/>
    <w:rsid w:val="00F10F9F"/>
    <w:rsid w:val="00F114D8"/>
    <w:rsid w:val="00F11B0D"/>
    <w:rsid w:val="00F11C22"/>
    <w:rsid w:val="00F120F3"/>
    <w:rsid w:val="00F12435"/>
    <w:rsid w:val="00F1284E"/>
    <w:rsid w:val="00F12D41"/>
    <w:rsid w:val="00F12DC1"/>
    <w:rsid w:val="00F13112"/>
    <w:rsid w:val="00F13145"/>
    <w:rsid w:val="00F13300"/>
    <w:rsid w:val="00F1332E"/>
    <w:rsid w:val="00F13523"/>
    <w:rsid w:val="00F135C7"/>
    <w:rsid w:val="00F138B2"/>
    <w:rsid w:val="00F14335"/>
    <w:rsid w:val="00F144C3"/>
    <w:rsid w:val="00F14F06"/>
    <w:rsid w:val="00F15412"/>
    <w:rsid w:val="00F159C6"/>
    <w:rsid w:val="00F15CA8"/>
    <w:rsid w:val="00F15DBF"/>
    <w:rsid w:val="00F16431"/>
    <w:rsid w:val="00F16A94"/>
    <w:rsid w:val="00F17013"/>
    <w:rsid w:val="00F173EB"/>
    <w:rsid w:val="00F17595"/>
    <w:rsid w:val="00F17A85"/>
    <w:rsid w:val="00F20170"/>
    <w:rsid w:val="00F2096F"/>
    <w:rsid w:val="00F20D18"/>
    <w:rsid w:val="00F20F44"/>
    <w:rsid w:val="00F218DF"/>
    <w:rsid w:val="00F21A33"/>
    <w:rsid w:val="00F21A85"/>
    <w:rsid w:val="00F21FD7"/>
    <w:rsid w:val="00F22577"/>
    <w:rsid w:val="00F2293D"/>
    <w:rsid w:val="00F22D00"/>
    <w:rsid w:val="00F23316"/>
    <w:rsid w:val="00F23700"/>
    <w:rsid w:val="00F23AB2"/>
    <w:rsid w:val="00F24121"/>
    <w:rsid w:val="00F24BC8"/>
    <w:rsid w:val="00F2526E"/>
    <w:rsid w:val="00F25718"/>
    <w:rsid w:val="00F25885"/>
    <w:rsid w:val="00F25E9D"/>
    <w:rsid w:val="00F26266"/>
    <w:rsid w:val="00F264DD"/>
    <w:rsid w:val="00F265DA"/>
    <w:rsid w:val="00F2669E"/>
    <w:rsid w:val="00F266AB"/>
    <w:rsid w:val="00F268C7"/>
    <w:rsid w:val="00F271BD"/>
    <w:rsid w:val="00F27410"/>
    <w:rsid w:val="00F2776B"/>
    <w:rsid w:val="00F27E27"/>
    <w:rsid w:val="00F30535"/>
    <w:rsid w:val="00F30EB3"/>
    <w:rsid w:val="00F31A0D"/>
    <w:rsid w:val="00F32148"/>
    <w:rsid w:val="00F324B0"/>
    <w:rsid w:val="00F324FD"/>
    <w:rsid w:val="00F33218"/>
    <w:rsid w:val="00F33F2F"/>
    <w:rsid w:val="00F3507D"/>
    <w:rsid w:val="00F35498"/>
    <w:rsid w:val="00F35E9E"/>
    <w:rsid w:val="00F35FD8"/>
    <w:rsid w:val="00F36145"/>
    <w:rsid w:val="00F3624D"/>
    <w:rsid w:val="00F36265"/>
    <w:rsid w:val="00F366AD"/>
    <w:rsid w:val="00F36914"/>
    <w:rsid w:val="00F36BBA"/>
    <w:rsid w:val="00F37902"/>
    <w:rsid w:val="00F37905"/>
    <w:rsid w:val="00F37947"/>
    <w:rsid w:val="00F37997"/>
    <w:rsid w:val="00F40989"/>
    <w:rsid w:val="00F40C39"/>
    <w:rsid w:val="00F4129D"/>
    <w:rsid w:val="00F414C5"/>
    <w:rsid w:val="00F41531"/>
    <w:rsid w:val="00F41F40"/>
    <w:rsid w:val="00F420E5"/>
    <w:rsid w:val="00F42730"/>
    <w:rsid w:val="00F42A4E"/>
    <w:rsid w:val="00F43445"/>
    <w:rsid w:val="00F43DA5"/>
    <w:rsid w:val="00F43E5E"/>
    <w:rsid w:val="00F448D2"/>
    <w:rsid w:val="00F44BB6"/>
    <w:rsid w:val="00F45073"/>
    <w:rsid w:val="00F45DD1"/>
    <w:rsid w:val="00F46513"/>
    <w:rsid w:val="00F46662"/>
    <w:rsid w:val="00F46963"/>
    <w:rsid w:val="00F47044"/>
    <w:rsid w:val="00F4720D"/>
    <w:rsid w:val="00F47216"/>
    <w:rsid w:val="00F47376"/>
    <w:rsid w:val="00F474E9"/>
    <w:rsid w:val="00F479DD"/>
    <w:rsid w:val="00F47CE3"/>
    <w:rsid w:val="00F5024E"/>
    <w:rsid w:val="00F50E6F"/>
    <w:rsid w:val="00F519DC"/>
    <w:rsid w:val="00F51BB7"/>
    <w:rsid w:val="00F52232"/>
    <w:rsid w:val="00F527B4"/>
    <w:rsid w:val="00F52990"/>
    <w:rsid w:val="00F52A7D"/>
    <w:rsid w:val="00F52C56"/>
    <w:rsid w:val="00F53E5C"/>
    <w:rsid w:val="00F548D3"/>
    <w:rsid w:val="00F54A53"/>
    <w:rsid w:val="00F5518C"/>
    <w:rsid w:val="00F5521F"/>
    <w:rsid w:val="00F552FA"/>
    <w:rsid w:val="00F55F24"/>
    <w:rsid w:val="00F56196"/>
    <w:rsid w:val="00F56606"/>
    <w:rsid w:val="00F568F1"/>
    <w:rsid w:val="00F572A9"/>
    <w:rsid w:val="00F57615"/>
    <w:rsid w:val="00F57650"/>
    <w:rsid w:val="00F5791F"/>
    <w:rsid w:val="00F57B90"/>
    <w:rsid w:val="00F57CB4"/>
    <w:rsid w:val="00F6022E"/>
    <w:rsid w:val="00F602B0"/>
    <w:rsid w:val="00F6038A"/>
    <w:rsid w:val="00F6056B"/>
    <w:rsid w:val="00F6074F"/>
    <w:rsid w:val="00F60783"/>
    <w:rsid w:val="00F60ABD"/>
    <w:rsid w:val="00F60F1B"/>
    <w:rsid w:val="00F61A5D"/>
    <w:rsid w:val="00F61E0E"/>
    <w:rsid w:val="00F6201B"/>
    <w:rsid w:val="00F62374"/>
    <w:rsid w:val="00F6238D"/>
    <w:rsid w:val="00F62D78"/>
    <w:rsid w:val="00F63413"/>
    <w:rsid w:val="00F63C4D"/>
    <w:rsid w:val="00F63FC3"/>
    <w:rsid w:val="00F643AE"/>
    <w:rsid w:val="00F644F3"/>
    <w:rsid w:val="00F645A5"/>
    <w:rsid w:val="00F6461F"/>
    <w:rsid w:val="00F64E86"/>
    <w:rsid w:val="00F64F7B"/>
    <w:rsid w:val="00F6564B"/>
    <w:rsid w:val="00F6564D"/>
    <w:rsid w:val="00F66367"/>
    <w:rsid w:val="00F66D0D"/>
    <w:rsid w:val="00F67006"/>
    <w:rsid w:val="00F670C0"/>
    <w:rsid w:val="00F70252"/>
    <w:rsid w:val="00F709BA"/>
    <w:rsid w:val="00F70D8C"/>
    <w:rsid w:val="00F70DF1"/>
    <w:rsid w:val="00F71183"/>
    <w:rsid w:val="00F71B86"/>
    <w:rsid w:val="00F725F3"/>
    <w:rsid w:val="00F72F2A"/>
    <w:rsid w:val="00F73829"/>
    <w:rsid w:val="00F73A12"/>
    <w:rsid w:val="00F73F99"/>
    <w:rsid w:val="00F73FC6"/>
    <w:rsid w:val="00F745D1"/>
    <w:rsid w:val="00F74DE1"/>
    <w:rsid w:val="00F74DEB"/>
    <w:rsid w:val="00F75082"/>
    <w:rsid w:val="00F75405"/>
    <w:rsid w:val="00F7548A"/>
    <w:rsid w:val="00F75B48"/>
    <w:rsid w:val="00F75E70"/>
    <w:rsid w:val="00F76012"/>
    <w:rsid w:val="00F76A13"/>
    <w:rsid w:val="00F76AD3"/>
    <w:rsid w:val="00F76D7C"/>
    <w:rsid w:val="00F7716E"/>
    <w:rsid w:val="00F7766C"/>
    <w:rsid w:val="00F77900"/>
    <w:rsid w:val="00F7795E"/>
    <w:rsid w:val="00F804A0"/>
    <w:rsid w:val="00F80532"/>
    <w:rsid w:val="00F806DA"/>
    <w:rsid w:val="00F80BCA"/>
    <w:rsid w:val="00F80ED3"/>
    <w:rsid w:val="00F80FB8"/>
    <w:rsid w:val="00F818FE"/>
    <w:rsid w:val="00F819D1"/>
    <w:rsid w:val="00F82508"/>
    <w:rsid w:val="00F82A6B"/>
    <w:rsid w:val="00F835D4"/>
    <w:rsid w:val="00F83943"/>
    <w:rsid w:val="00F83EB2"/>
    <w:rsid w:val="00F84D0B"/>
    <w:rsid w:val="00F84DAD"/>
    <w:rsid w:val="00F84DFF"/>
    <w:rsid w:val="00F84FED"/>
    <w:rsid w:val="00F85A30"/>
    <w:rsid w:val="00F85AC2"/>
    <w:rsid w:val="00F86173"/>
    <w:rsid w:val="00F866B4"/>
    <w:rsid w:val="00F86726"/>
    <w:rsid w:val="00F86B22"/>
    <w:rsid w:val="00F87247"/>
    <w:rsid w:val="00F87AF6"/>
    <w:rsid w:val="00F9072C"/>
    <w:rsid w:val="00F907A1"/>
    <w:rsid w:val="00F90B14"/>
    <w:rsid w:val="00F92138"/>
    <w:rsid w:val="00F92596"/>
    <w:rsid w:val="00F92D8E"/>
    <w:rsid w:val="00F92F1D"/>
    <w:rsid w:val="00F935D9"/>
    <w:rsid w:val="00F935DA"/>
    <w:rsid w:val="00F93A6A"/>
    <w:rsid w:val="00F93B95"/>
    <w:rsid w:val="00F9439F"/>
    <w:rsid w:val="00F94805"/>
    <w:rsid w:val="00F9516F"/>
    <w:rsid w:val="00F9559D"/>
    <w:rsid w:val="00F95C4E"/>
    <w:rsid w:val="00F960B0"/>
    <w:rsid w:val="00F96871"/>
    <w:rsid w:val="00F96D5B"/>
    <w:rsid w:val="00F97278"/>
    <w:rsid w:val="00F975D7"/>
    <w:rsid w:val="00FA1458"/>
    <w:rsid w:val="00FA1A3E"/>
    <w:rsid w:val="00FA1B66"/>
    <w:rsid w:val="00FA1BCE"/>
    <w:rsid w:val="00FA2150"/>
    <w:rsid w:val="00FA21D2"/>
    <w:rsid w:val="00FA22B7"/>
    <w:rsid w:val="00FA2C2F"/>
    <w:rsid w:val="00FA2E13"/>
    <w:rsid w:val="00FA2E68"/>
    <w:rsid w:val="00FA3669"/>
    <w:rsid w:val="00FA3718"/>
    <w:rsid w:val="00FA3742"/>
    <w:rsid w:val="00FA3746"/>
    <w:rsid w:val="00FA37B7"/>
    <w:rsid w:val="00FA3C37"/>
    <w:rsid w:val="00FA3C6C"/>
    <w:rsid w:val="00FA43DB"/>
    <w:rsid w:val="00FA485F"/>
    <w:rsid w:val="00FA4999"/>
    <w:rsid w:val="00FA49A7"/>
    <w:rsid w:val="00FA4AA0"/>
    <w:rsid w:val="00FA54DE"/>
    <w:rsid w:val="00FA587B"/>
    <w:rsid w:val="00FA6579"/>
    <w:rsid w:val="00FA6892"/>
    <w:rsid w:val="00FA7AB6"/>
    <w:rsid w:val="00FA7B69"/>
    <w:rsid w:val="00FA7C9B"/>
    <w:rsid w:val="00FA7DF2"/>
    <w:rsid w:val="00FB0199"/>
    <w:rsid w:val="00FB0417"/>
    <w:rsid w:val="00FB0708"/>
    <w:rsid w:val="00FB0731"/>
    <w:rsid w:val="00FB0B07"/>
    <w:rsid w:val="00FB1624"/>
    <w:rsid w:val="00FB169D"/>
    <w:rsid w:val="00FB1B9F"/>
    <w:rsid w:val="00FB1E2C"/>
    <w:rsid w:val="00FB2064"/>
    <w:rsid w:val="00FB20E0"/>
    <w:rsid w:val="00FB2890"/>
    <w:rsid w:val="00FB2BA0"/>
    <w:rsid w:val="00FB2D3D"/>
    <w:rsid w:val="00FB3624"/>
    <w:rsid w:val="00FB36D8"/>
    <w:rsid w:val="00FB36FE"/>
    <w:rsid w:val="00FB37BE"/>
    <w:rsid w:val="00FB3B0C"/>
    <w:rsid w:val="00FB4443"/>
    <w:rsid w:val="00FB44AB"/>
    <w:rsid w:val="00FB4B5C"/>
    <w:rsid w:val="00FB503C"/>
    <w:rsid w:val="00FB5662"/>
    <w:rsid w:val="00FB5B54"/>
    <w:rsid w:val="00FB5E4B"/>
    <w:rsid w:val="00FB63CF"/>
    <w:rsid w:val="00FC093A"/>
    <w:rsid w:val="00FC17B1"/>
    <w:rsid w:val="00FC20DF"/>
    <w:rsid w:val="00FC21BC"/>
    <w:rsid w:val="00FC2469"/>
    <w:rsid w:val="00FC3079"/>
    <w:rsid w:val="00FC343C"/>
    <w:rsid w:val="00FC37D5"/>
    <w:rsid w:val="00FC3B70"/>
    <w:rsid w:val="00FC42A3"/>
    <w:rsid w:val="00FC43FC"/>
    <w:rsid w:val="00FC5489"/>
    <w:rsid w:val="00FC66DA"/>
    <w:rsid w:val="00FC70D5"/>
    <w:rsid w:val="00FD0237"/>
    <w:rsid w:val="00FD0577"/>
    <w:rsid w:val="00FD0DDD"/>
    <w:rsid w:val="00FD0FE8"/>
    <w:rsid w:val="00FD11E7"/>
    <w:rsid w:val="00FD130C"/>
    <w:rsid w:val="00FD14EA"/>
    <w:rsid w:val="00FD169E"/>
    <w:rsid w:val="00FD1828"/>
    <w:rsid w:val="00FD1B05"/>
    <w:rsid w:val="00FD1BC3"/>
    <w:rsid w:val="00FD234E"/>
    <w:rsid w:val="00FD2D65"/>
    <w:rsid w:val="00FD3038"/>
    <w:rsid w:val="00FD3587"/>
    <w:rsid w:val="00FD3DF2"/>
    <w:rsid w:val="00FD3F46"/>
    <w:rsid w:val="00FD415E"/>
    <w:rsid w:val="00FD432F"/>
    <w:rsid w:val="00FD44EA"/>
    <w:rsid w:val="00FD4775"/>
    <w:rsid w:val="00FD477B"/>
    <w:rsid w:val="00FD4872"/>
    <w:rsid w:val="00FD496D"/>
    <w:rsid w:val="00FD4D32"/>
    <w:rsid w:val="00FD5128"/>
    <w:rsid w:val="00FD57D0"/>
    <w:rsid w:val="00FD5974"/>
    <w:rsid w:val="00FD5D0B"/>
    <w:rsid w:val="00FD5F79"/>
    <w:rsid w:val="00FD63F3"/>
    <w:rsid w:val="00FD675A"/>
    <w:rsid w:val="00FD694D"/>
    <w:rsid w:val="00FD719E"/>
    <w:rsid w:val="00FD71F9"/>
    <w:rsid w:val="00FD78B1"/>
    <w:rsid w:val="00FD7C18"/>
    <w:rsid w:val="00FD7E9C"/>
    <w:rsid w:val="00FD7F39"/>
    <w:rsid w:val="00FE0530"/>
    <w:rsid w:val="00FE054D"/>
    <w:rsid w:val="00FE0B8F"/>
    <w:rsid w:val="00FE0DB1"/>
    <w:rsid w:val="00FE123B"/>
    <w:rsid w:val="00FE1E66"/>
    <w:rsid w:val="00FE224C"/>
    <w:rsid w:val="00FE2D21"/>
    <w:rsid w:val="00FE3263"/>
    <w:rsid w:val="00FE406D"/>
    <w:rsid w:val="00FE42D9"/>
    <w:rsid w:val="00FE439C"/>
    <w:rsid w:val="00FE465D"/>
    <w:rsid w:val="00FE48DE"/>
    <w:rsid w:val="00FE533E"/>
    <w:rsid w:val="00FE5516"/>
    <w:rsid w:val="00FE5C3D"/>
    <w:rsid w:val="00FE625F"/>
    <w:rsid w:val="00FE6566"/>
    <w:rsid w:val="00FE7163"/>
    <w:rsid w:val="00FE72BE"/>
    <w:rsid w:val="00FE7A44"/>
    <w:rsid w:val="00FE7DB4"/>
    <w:rsid w:val="00FF004B"/>
    <w:rsid w:val="00FF052D"/>
    <w:rsid w:val="00FF0957"/>
    <w:rsid w:val="00FF0A4D"/>
    <w:rsid w:val="00FF0B8D"/>
    <w:rsid w:val="00FF186B"/>
    <w:rsid w:val="00FF1B56"/>
    <w:rsid w:val="00FF2133"/>
    <w:rsid w:val="00FF25A4"/>
    <w:rsid w:val="00FF2625"/>
    <w:rsid w:val="00FF26FF"/>
    <w:rsid w:val="00FF28D0"/>
    <w:rsid w:val="00FF2960"/>
    <w:rsid w:val="00FF2DE3"/>
    <w:rsid w:val="00FF358A"/>
    <w:rsid w:val="00FF39E3"/>
    <w:rsid w:val="00FF40F5"/>
    <w:rsid w:val="00FF4151"/>
    <w:rsid w:val="00FF43D8"/>
    <w:rsid w:val="00FF47CC"/>
    <w:rsid w:val="00FF4EEB"/>
    <w:rsid w:val="00FF546B"/>
    <w:rsid w:val="00FF54A0"/>
    <w:rsid w:val="00FF5B6A"/>
    <w:rsid w:val="00FF5F39"/>
    <w:rsid w:val="00FF5FEF"/>
    <w:rsid w:val="00FF6162"/>
    <w:rsid w:val="00FF6AD6"/>
    <w:rsid w:val="00FF6ADB"/>
    <w:rsid w:val="00FF6D13"/>
    <w:rsid w:val="00FF6F4B"/>
    <w:rsid w:val="00FF7F16"/>
    <w:rsid w:val="011F6A70"/>
    <w:rsid w:val="0125681A"/>
    <w:rsid w:val="01351DB7"/>
    <w:rsid w:val="013F3D86"/>
    <w:rsid w:val="0150059B"/>
    <w:rsid w:val="017658EE"/>
    <w:rsid w:val="018241E3"/>
    <w:rsid w:val="0187172A"/>
    <w:rsid w:val="018A1439"/>
    <w:rsid w:val="0196032D"/>
    <w:rsid w:val="0199328E"/>
    <w:rsid w:val="01AC6FF2"/>
    <w:rsid w:val="01B41481"/>
    <w:rsid w:val="01B84694"/>
    <w:rsid w:val="01B8481B"/>
    <w:rsid w:val="01CD5676"/>
    <w:rsid w:val="01E53944"/>
    <w:rsid w:val="01EA312A"/>
    <w:rsid w:val="01EC5C3E"/>
    <w:rsid w:val="01F068F2"/>
    <w:rsid w:val="02015B47"/>
    <w:rsid w:val="02061494"/>
    <w:rsid w:val="02235224"/>
    <w:rsid w:val="02282146"/>
    <w:rsid w:val="023341B1"/>
    <w:rsid w:val="02345E8B"/>
    <w:rsid w:val="02354F69"/>
    <w:rsid w:val="02500809"/>
    <w:rsid w:val="02621EB2"/>
    <w:rsid w:val="026B4332"/>
    <w:rsid w:val="02850BB3"/>
    <w:rsid w:val="02934CEF"/>
    <w:rsid w:val="02985EFC"/>
    <w:rsid w:val="029B0F27"/>
    <w:rsid w:val="02A75F90"/>
    <w:rsid w:val="02AA616C"/>
    <w:rsid w:val="02B53CBE"/>
    <w:rsid w:val="02C519A4"/>
    <w:rsid w:val="02C70C22"/>
    <w:rsid w:val="02C766DC"/>
    <w:rsid w:val="02CD15A9"/>
    <w:rsid w:val="02CE7A4B"/>
    <w:rsid w:val="02D012D4"/>
    <w:rsid w:val="02E42A9C"/>
    <w:rsid w:val="02E863D8"/>
    <w:rsid w:val="02FC2C26"/>
    <w:rsid w:val="030B0178"/>
    <w:rsid w:val="030C2E3A"/>
    <w:rsid w:val="033B2F48"/>
    <w:rsid w:val="034B7E0E"/>
    <w:rsid w:val="03576E5E"/>
    <w:rsid w:val="035F7C75"/>
    <w:rsid w:val="036B4142"/>
    <w:rsid w:val="03746140"/>
    <w:rsid w:val="03762D18"/>
    <w:rsid w:val="03783D1C"/>
    <w:rsid w:val="037E0EBC"/>
    <w:rsid w:val="038F1B8A"/>
    <w:rsid w:val="039544B3"/>
    <w:rsid w:val="03A12977"/>
    <w:rsid w:val="03C0711D"/>
    <w:rsid w:val="03C75EE0"/>
    <w:rsid w:val="03E80866"/>
    <w:rsid w:val="03EE33BF"/>
    <w:rsid w:val="03FE4686"/>
    <w:rsid w:val="040A45ED"/>
    <w:rsid w:val="041F0240"/>
    <w:rsid w:val="045D3940"/>
    <w:rsid w:val="04687059"/>
    <w:rsid w:val="047636B0"/>
    <w:rsid w:val="047776B3"/>
    <w:rsid w:val="04797C66"/>
    <w:rsid w:val="04823210"/>
    <w:rsid w:val="04887278"/>
    <w:rsid w:val="049709EF"/>
    <w:rsid w:val="04A32E9D"/>
    <w:rsid w:val="04A85A33"/>
    <w:rsid w:val="04B505E1"/>
    <w:rsid w:val="04CA4B7D"/>
    <w:rsid w:val="04DC5E9A"/>
    <w:rsid w:val="04EE3788"/>
    <w:rsid w:val="04EF33C9"/>
    <w:rsid w:val="04EF6E3D"/>
    <w:rsid w:val="04F03C97"/>
    <w:rsid w:val="04FD6405"/>
    <w:rsid w:val="050429A0"/>
    <w:rsid w:val="05136907"/>
    <w:rsid w:val="051657B3"/>
    <w:rsid w:val="05365FA5"/>
    <w:rsid w:val="05377777"/>
    <w:rsid w:val="054118EE"/>
    <w:rsid w:val="05473182"/>
    <w:rsid w:val="05551897"/>
    <w:rsid w:val="0559116C"/>
    <w:rsid w:val="05594C10"/>
    <w:rsid w:val="05621F7F"/>
    <w:rsid w:val="05642459"/>
    <w:rsid w:val="057B32AF"/>
    <w:rsid w:val="057D3D11"/>
    <w:rsid w:val="0597302A"/>
    <w:rsid w:val="05A12F11"/>
    <w:rsid w:val="05A57D26"/>
    <w:rsid w:val="05A95E4F"/>
    <w:rsid w:val="05C134FC"/>
    <w:rsid w:val="05DB041C"/>
    <w:rsid w:val="06142543"/>
    <w:rsid w:val="061A594B"/>
    <w:rsid w:val="061B18C4"/>
    <w:rsid w:val="063601AC"/>
    <w:rsid w:val="06497B03"/>
    <w:rsid w:val="06606421"/>
    <w:rsid w:val="0665282F"/>
    <w:rsid w:val="066B5016"/>
    <w:rsid w:val="066C6F4E"/>
    <w:rsid w:val="06721A40"/>
    <w:rsid w:val="067B7E89"/>
    <w:rsid w:val="068E2F00"/>
    <w:rsid w:val="0693146B"/>
    <w:rsid w:val="069D4928"/>
    <w:rsid w:val="069F07B9"/>
    <w:rsid w:val="06A25401"/>
    <w:rsid w:val="06B12033"/>
    <w:rsid w:val="06BB0EAA"/>
    <w:rsid w:val="06BC0961"/>
    <w:rsid w:val="06BF04CB"/>
    <w:rsid w:val="06C93296"/>
    <w:rsid w:val="06D90323"/>
    <w:rsid w:val="06D949E3"/>
    <w:rsid w:val="06DD1AFD"/>
    <w:rsid w:val="06E445F8"/>
    <w:rsid w:val="06E87E13"/>
    <w:rsid w:val="06ED18D7"/>
    <w:rsid w:val="07010474"/>
    <w:rsid w:val="07075C9C"/>
    <w:rsid w:val="073C1361"/>
    <w:rsid w:val="07590CF0"/>
    <w:rsid w:val="07797230"/>
    <w:rsid w:val="07832BD0"/>
    <w:rsid w:val="078B100F"/>
    <w:rsid w:val="07953D06"/>
    <w:rsid w:val="079A3F2C"/>
    <w:rsid w:val="07A92473"/>
    <w:rsid w:val="07B465CB"/>
    <w:rsid w:val="07D40FD5"/>
    <w:rsid w:val="07D4316E"/>
    <w:rsid w:val="07E14ADB"/>
    <w:rsid w:val="07F10AB7"/>
    <w:rsid w:val="07F15947"/>
    <w:rsid w:val="07F93805"/>
    <w:rsid w:val="07FA2903"/>
    <w:rsid w:val="08040837"/>
    <w:rsid w:val="081169D5"/>
    <w:rsid w:val="081415B7"/>
    <w:rsid w:val="08252894"/>
    <w:rsid w:val="082A162C"/>
    <w:rsid w:val="082C5831"/>
    <w:rsid w:val="08323C36"/>
    <w:rsid w:val="08364DDB"/>
    <w:rsid w:val="083F75BF"/>
    <w:rsid w:val="084F3B52"/>
    <w:rsid w:val="085E409F"/>
    <w:rsid w:val="08625F36"/>
    <w:rsid w:val="0868273B"/>
    <w:rsid w:val="0876656F"/>
    <w:rsid w:val="08782B49"/>
    <w:rsid w:val="087832DE"/>
    <w:rsid w:val="08834CD2"/>
    <w:rsid w:val="0893420B"/>
    <w:rsid w:val="089D5FCA"/>
    <w:rsid w:val="08A47847"/>
    <w:rsid w:val="08BB0B7D"/>
    <w:rsid w:val="08C554A9"/>
    <w:rsid w:val="08D2725E"/>
    <w:rsid w:val="08D56BA9"/>
    <w:rsid w:val="08DE6430"/>
    <w:rsid w:val="08EE28CE"/>
    <w:rsid w:val="08FA460C"/>
    <w:rsid w:val="08FD1DB0"/>
    <w:rsid w:val="09135118"/>
    <w:rsid w:val="09135DEC"/>
    <w:rsid w:val="09245DBA"/>
    <w:rsid w:val="09311E5E"/>
    <w:rsid w:val="09364BFB"/>
    <w:rsid w:val="093B3D65"/>
    <w:rsid w:val="095A4D71"/>
    <w:rsid w:val="095A61F2"/>
    <w:rsid w:val="096B3FC3"/>
    <w:rsid w:val="098709BF"/>
    <w:rsid w:val="09924976"/>
    <w:rsid w:val="09965E1F"/>
    <w:rsid w:val="099B6A31"/>
    <w:rsid w:val="09A5375D"/>
    <w:rsid w:val="09C36367"/>
    <w:rsid w:val="09DC3A8A"/>
    <w:rsid w:val="09E426AA"/>
    <w:rsid w:val="09E86999"/>
    <w:rsid w:val="09EE6F33"/>
    <w:rsid w:val="09EE6F5D"/>
    <w:rsid w:val="09EF4D90"/>
    <w:rsid w:val="0A0D4FB5"/>
    <w:rsid w:val="0A150CA6"/>
    <w:rsid w:val="0A163992"/>
    <w:rsid w:val="0A1F5988"/>
    <w:rsid w:val="0A2B7FB7"/>
    <w:rsid w:val="0A2D1483"/>
    <w:rsid w:val="0A2F167A"/>
    <w:rsid w:val="0A313A0C"/>
    <w:rsid w:val="0A3251DC"/>
    <w:rsid w:val="0A4859BC"/>
    <w:rsid w:val="0A654C02"/>
    <w:rsid w:val="0A667B75"/>
    <w:rsid w:val="0A7107EE"/>
    <w:rsid w:val="0A736854"/>
    <w:rsid w:val="0A8650D8"/>
    <w:rsid w:val="0A96040B"/>
    <w:rsid w:val="0A980FB2"/>
    <w:rsid w:val="0ABF201D"/>
    <w:rsid w:val="0AE2367F"/>
    <w:rsid w:val="0AFA1FA1"/>
    <w:rsid w:val="0B073641"/>
    <w:rsid w:val="0B1622E9"/>
    <w:rsid w:val="0B1E2A0E"/>
    <w:rsid w:val="0B225152"/>
    <w:rsid w:val="0B303037"/>
    <w:rsid w:val="0B36269B"/>
    <w:rsid w:val="0B3E0F30"/>
    <w:rsid w:val="0B4460B3"/>
    <w:rsid w:val="0B553B0A"/>
    <w:rsid w:val="0B6743F7"/>
    <w:rsid w:val="0B764DD0"/>
    <w:rsid w:val="0B7D6096"/>
    <w:rsid w:val="0B801653"/>
    <w:rsid w:val="0BAE10F3"/>
    <w:rsid w:val="0BBB1DAE"/>
    <w:rsid w:val="0BC63B0D"/>
    <w:rsid w:val="0BCC4159"/>
    <w:rsid w:val="0BCF7BF4"/>
    <w:rsid w:val="0BD0264B"/>
    <w:rsid w:val="0BD50850"/>
    <w:rsid w:val="0BE55276"/>
    <w:rsid w:val="0BEF5CA5"/>
    <w:rsid w:val="0C0C591E"/>
    <w:rsid w:val="0C0F576D"/>
    <w:rsid w:val="0C2801BA"/>
    <w:rsid w:val="0C3B1689"/>
    <w:rsid w:val="0C50067B"/>
    <w:rsid w:val="0C507879"/>
    <w:rsid w:val="0C5478BF"/>
    <w:rsid w:val="0C56615C"/>
    <w:rsid w:val="0C6245B1"/>
    <w:rsid w:val="0C6915F2"/>
    <w:rsid w:val="0C6E0DF7"/>
    <w:rsid w:val="0C856E52"/>
    <w:rsid w:val="0C8672C2"/>
    <w:rsid w:val="0C8835F1"/>
    <w:rsid w:val="0C976AAC"/>
    <w:rsid w:val="0CB41A9D"/>
    <w:rsid w:val="0CC40501"/>
    <w:rsid w:val="0CEB4C3F"/>
    <w:rsid w:val="0CED74B3"/>
    <w:rsid w:val="0CEE0F81"/>
    <w:rsid w:val="0CF85DDF"/>
    <w:rsid w:val="0CFC12EA"/>
    <w:rsid w:val="0D0D7A7B"/>
    <w:rsid w:val="0D2E173F"/>
    <w:rsid w:val="0D3B7E88"/>
    <w:rsid w:val="0D3F4624"/>
    <w:rsid w:val="0D442E57"/>
    <w:rsid w:val="0D6304F1"/>
    <w:rsid w:val="0D842B3F"/>
    <w:rsid w:val="0D8A6929"/>
    <w:rsid w:val="0DB62113"/>
    <w:rsid w:val="0DC64E1F"/>
    <w:rsid w:val="0DC84055"/>
    <w:rsid w:val="0DC935B6"/>
    <w:rsid w:val="0DD80086"/>
    <w:rsid w:val="0DD922BC"/>
    <w:rsid w:val="0DDC36F8"/>
    <w:rsid w:val="0DE60B36"/>
    <w:rsid w:val="0DEE5B60"/>
    <w:rsid w:val="0E0169CE"/>
    <w:rsid w:val="0E172E1A"/>
    <w:rsid w:val="0E1B33D4"/>
    <w:rsid w:val="0E271D31"/>
    <w:rsid w:val="0E29293A"/>
    <w:rsid w:val="0E2D4088"/>
    <w:rsid w:val="0E3B5080"/>
    <w:rsid w:val="0E416F09"/>
    <w:rsid w:val="0E582D17"/>
    <w:rsid w:val="0E5A2693"/>
    <w:rsid w:val="0E5E33BD"/>
    <w:rsid w:val="0E6072A7"/>
    <w:rsid w:val="0E6C24F0"/>
    <w:rsid w:val="0E774B4E"/>
    <w:rsid w:val="0E90717B"/>
    <w:rsid w:val="0E913F3F"/>
    <w:rsid w:val="0E9204DA"/>
    <w:rsid w:val="0E941D8D"/>
    <w:rsid w:val="0E97378D"/>
    <w:rsid w:val="0E9A01FB"/>
    <w:rsid w:val="0E9C77E0"/>
    <w:rsid w:val="0EA5406C"/>
    <w:rsid w:val="0EA639FA"/>
    <w:rsid w:val="0EA83ED5"/>
    <w:rsid w:val="0EAB56CC"/>
    <w:rsid w:val="0EC67D03"/>
    <w:rsid w:val="0ED15D87"/>
    <w:rsid w:val="0ED5743F"/>
    <w:rsid w:val="0EDD26E0"/>
    <w:rsid w:val="0EE160CD"/>
    <w:rsid w:val="0EEF3F2E"/>
    <w:rsid w:val="0EF53F21"/>
    <w:rsid w:val="0F000A81"/>
    <w:rsid w:val="0F016FDB"/>
    <w:rsid w:val="0F086673"/>
    <w:rsid w:val="0F135F9C"/>
    <w:rsid w:val="0F154C5A"/>
    <w:rsid w:val="0F260122"/>
    <w:rsid w:val="0F423C8F"/>
    <w:rsid w:val="0F486211"/>
    <w:rsid w:val="0F503628"/>
    <w:rsid w:val="0F5A0205"/>
    <w:rsid w:val="0F5E7D64"/>
    <w:rsid w:val="0F6059F1"/>
    <w:rsid w:val="0FAE4421"/>
    <w:rsid w:val="0FBB55A1"/>
    <w:rsid w:val="0FBE02AE"/>
    <w:rsid w:val="0FD526A9"/>
    <w:rsid w:val="0FD97FF0"/>
    <w:rsid w:val="0FE30B63"/>
    <w:rsid w:val="0FEF2558"/>
    <w:rsid w:val="0FFB6D68"/>
    <w:rsid w:val="0FFD41FD"/>
    <w:rsid w:val="102A2746"/>
    <w:rsid w:val="10405DD6"/>
    <w:rsid w:val="104C5928"/>
    <w:rsid w:val="1052271B"/>
    <w:rsid w:val="10532DA0"/>
    <w:rsid w:val="105A2214"/>
    <w:rsid w:val="106916D0"/>
    <w:rsid w:val="106D2C14"/>
    <w:rsid w:val="1088161D"/>
    <w:rsid w:val="1089753B"/>
    <w:rsid w:val="1092036D"/>
    <w:rsid w:val="10A613B8"/>
    <w:rsid w:val="10B45948"/>
    <w:rsid w:val="10ED16BE"/>
    <w:rsid w:val="10F94749"/>
    <w:rsid w:val="11050F3A"/>
    <w:rsid w:val="110B7C86"/>
    <w:rsid w:val="111B7796"/>
    <w:rsid w:val="111D46B4"/>
    <w:rsid w:val="11266968"/>
    <w:rsid w:val="112A5FF0"/>
    <w:rsid w:val="113A2D97"/>
    <w:rsid w:val="113A7E7D"/>
    <w:rsid w:val="113F7B1C"/>
    <w:rsid w:val="114C38FF"/>
    <w:rsid w:val="117C494C"/>
    <w:rsid w:val="117F03A9"/>
    <w:rsid w:val="119B0FE2"/>
    <w:rsid w:val="119B6FB0"/>
    <w:rsid w:val="11A608E8"/>
    <w:rsid w:val="11A766E0"/>
    <w:rsid w:val="11AA4CE6"/>
    <w:rsid w:val="11B1249F"/>
    <w:rsid w:val="11BB3F75"/>
    <w:rsid w:val="11C27133"/>
    <w:rsid w:val="11C97AFC"/>
    <w:rsid w:val="11D67D54"/>
    <w:rsid w:val="11D76AC9"/>
    <w:rsid w:val="11D76B45"/>
    <w:rsid w:val="11E91A7A"/>
    <w:rsid w:val="120F4341"/>
    <w:rsid w:val="120F6A9E"/>
    <w:rsid w:val="12103BCB"/>
    <w:rsid w:val="121E178F"/>
    <w:rsid w:val="123E51A5"/>
    <w:rsid w:val="123E53DE"/>
    <w:rsid w:val="124A4CE1"/>
    <w:rsid w:val="124B09DE"/>
    <w:rsid w:val="12515293"/>
    <w:rsid w:val="125315ED"/>
    <w:rsid w:val="12565C90"/>
    <w:rsid w:val="125F485D"/>
    <w:rsid w:val="127F4FF0"/>
    <w:rsid w:val="128A5526"/>
    <w:rsid w:val="129070A2"/>
    <w:rsid w:val="12A61E8B"/>
    <w:rsid w:val="12A714C9"/>
    <w:rsid w:val="12C01FED"/>
    <w:rsid w:val="12C51E41"/>
    <w:rsid w:val="12C77593"/>
    <w:rsid w:val="12DB2936"/>
    <w:rsid w:val="12ED55F4"/>
    <w:rsid w:val="12EF6632"/>
    <w:rsid w:val="12F4621D"/>
    <w:rsid w:val="1301042B"/>
    <w:rsid w:val="13084ABB"/>
    <w:rsid w:val="131360CC"/>
    <w:rsid w:val="132023CD"/>
    <w:rsid w:val="13343E10"/>
    <w:rsid w:val="133E18E4"/>
    <w:rsid w:val="1342238B"/>
    <w:rsid w:val="13485252"/>
    <w:rsid w:val="13497000"/>
    <w:rsid w:val="13535B48"/>
    <w:rsid w:val="13677964"/>
    <w:rsid w:val="136D7CFE"/>
    <w:rsid w:val="13767ADB"/>
    <w:rsid w:val="13891A0B"/>
    <w:rsid w:val="13927E1B"/>
    <w:rsid w:val="1393350B"/>
    <w:rsid w:val="139A46AA"/>
    <w:rsid w:val="139D287A"/>
    <w:rsid w:val="13B859C9"/>
    <w:rsid w:val="13D65416"/>
    <w:rsid w:val="13D8396B"/>
    <w:rsid w:val="13DE69E7"/>
    <w:rsid w:val="13E52FB8"/>
    <w:rsid w:val="14010F13"/>
    <w:rsid w:val="142514EB"/>
    <w:rsid w:val="1426603E"/>
    <w:rsid w:val="14404836"/>
    <w:rsid w:val="14423EDA"/>
    <w:rsid w:val="145950FC"/>
    <w:rsid w:val="147D3462"/>
    <w:rsid w:val="147D7658"/>
    <w:rsid w:val="147E798C"/>
    <w:rsid w:val="14950FCB"/>
    <w:rsid w:val="14A502E2"/>
    <w:rsid w:val="14B6588E"/>
    <w:rsid w:val="14BD12D2"/>
    <w:rsid w:val="14CE758B"/>
    <w:rsid w:val="14CF50F8"/>
    <w:rsid w:val="14D86E56"/>
    <w:rsid w:val="14E0464C"/>
    <w:rsid w:val="14E079D5"/>
    <w:rsid w:val="14F32C2F"/>
    <w:rsid w:val="14FA3215"/>
    <w:rsid w:val="14FA6062"/>
    <w:rsid w:val="15191204"/>
    <w:rsid w:val="151E19F2"/>
    <w:rsid w:val="152C1024"/>
    <w:rsid w:val="15321BAC"/>
    <w:rsid w:val="153F6159"/>
    <w:rsid w:val="15402152"/>
    <w:rsid w:val="154B25EC"/>
    <w:rsid w:val="15573978"/>
    <w:rsid w:val="155C56E0"/>
    <w:rsid w:val="1562240A"/>
    <w:rsid w:val="158F3DE0"/>
    <w:rsid w:val="1594158F"/>
    <w:rsid w:val="15A44760"/>
    <w:rsid w:val="15A93EFE"/>
    <w:rsid w:val="15B6602E"/>
    <w:rsid w:val="15BA472A"/>
    <w:rsid w:val="15C570C4"/>
    <w:rsid w:val="15CE6085"/>
    <w:rsid w:val="160142CD"/>
    <w:rsid w:val="162A58DA"/>
    <w:rsid w:val="16300BEB"/>
    <w:rsid w:val="16331C36"/>
    <w:rsid w:val="1634210F"/>
    <w:rsid w:val="16342542"/>
    <w:rsid w:val="163C2B13"/>
    <w:rsid w:val="16555B6A"/>
    <w:rsid w:val="165F1FC3"/>
    <w:rsid w:val="1660277C"/>
    <w:rsid w:val="166139C2"/>
    <w:rsid w:val="167878C2"/>
    <w:rsid w:val="168123F1"/>
    <w:rsid w:val="16845253"/>
    <w:rsid w:val="16855282"/>
    <w:rsid w:val="168B26F9"/>
    <w:rsid w:val="168C0184"/>
    <w:rsid w:val="16905BEC"/>
    <w:rsid w:val="169A5A8F"/>
    <w:rsid w:val="16A333A7"/>
    <w:rsid w:val="16A50B6A"/>
    <w:rsid w:val="16A57A69"/>
    <w:rsid w:val="16AA28FA"/>
    <w:rsid w:val="16B34D7B"/>
    <w:rsid w:val="16BD198A"/>
    <w:rsid w:val="16D77CBF"/>
    <w:rsid w:val="16DB0BFD"/>
    <w:rsid w:val="16FD5FCF"/>
    <w:rsid w:val="17033859"/>
    <w:rsid w:val="171E3822"/>
    <w:rsid w:val="173349C8"/>
    <w:rsid w:val="173D2EE9"/>
    <w:rsid w:val="17495770"/>
    <w:rsid w:val="174C4AA0"/>
    <w:rsid w:val="175F3247"/>
    <w:rsid w:val="176355F8"/>
    <w:rsid w:val="17666413"/>
    <w:rsid w:val="1768254B"/>
    <w:rsid w:val="176C6D00"/>
    <w:rsid w:val="1772665E"/>
    <w:rsid w:val="177C149C"/>
    <w:rsid w:val="177D2465"/>
    <w:rsid w:val="17800EC8"/>
    <w:rsid w:val="17915AC4"/>
    <w:rsid w:val="1791639B"/>
    <w:rsid w:val="179C70A9"/>
    <w:rsid w:val="17A72666"/>
    <w:rsid w:val="17AF6891"/>
    <w:rsid w:val="17B6028C"/>
    <w:rsid w:val="17BA5811"/>
    <w:rsid w:val="17BB7046"/>
    <w:rsid w:val="17BF757C"/>
    <w:rsid w:val="17C3509D"/>
    <w:rsid w:val="17D32F84"/>
    <w:rsid w:val="17D925B6"/>
    <w:rsid w:val="17E00F6E"/>
    <w:rsid w:val="17E769AB"/>
    <w:rsid w:val="17EF37F9"/>
    <w:rsid w:val="17F673B7"/>
    <w:rsid w:val="18047825"/>
    <w:rsid w:val="18090783"/>
    <w:rsid w:val="181A7AA6"/>
    <w:rsid w:val="182271D1"/>
    <w:rsid w:val="18293512"/>
    <w:rsid w:val="182C548F"/>
    <w:rsid w:val="18327661"/>
    <w:rsid w:val="184B01F2"/>
    <w:rsid w:val="1850387F"/>
    <w:rsid w:val="1856132B"/>
    <w:rsid w:val="185830D7"/>
    <w:rsid w:val="185C2EDF"/>
    <w:rsid w:val="18650AF2"/>
    <w:rsid w:val="18675385"/>
    <w:rsid w:val="186902BF"/>
    <w:rsid w:val="18701884"/>
    <w:rsid w:val="18704BAD"/>
    <w:rsid w:val="18760FDE"/>
    <w:rsid w:val="18902D39"/>
    <w:rsid w:val="18AC19CF"/>
    <w:rsid w:val="18AC3BEE"/>
    <w:rsid w:val="18EC0606"/>
    <w:rsid w:val="18FA1113"/>
    <w:rsid w:val="18FD4F90"/>
    <w:rsid w:val="19044582"/>
    <w:rsid w:val="19087026"/>
    <w:rsid w:val="190A5ABE"/>
    <w:rsid w:val="190C2389"/>
    <w:rsid w:val="192D6B20"/>
    <w:rsid w:val="19304EC5"/>
    <w:rsid w:val="19387784"/>
    <w:rsid w:val="193F069B"/>
    <w:rsid w:val="19455F1C"/>
    <w:rsid w:val="19610DEF"/>
    <w:rsid w:val="1961286F"/>
    <w:rsid w:val="19665D28"/>
    <w:rsid w:val="19850AF9"/>
    <w:rsid w:val="1989144C"/>
    <w:rsid w:val="19902190"/>
    <w:rsid w:val="19A8303F"/>
    <w:rsid w:val="19AF5DD1"/>
    <w:rsid w:val="19BC46A1"/>
    <w:rsid w:val="19C42EF9"/>
    <w:rsid w:val="19C94053"/>
    <w:rsid w:val="19D0149C"/>
    <w:rsid w:val="19D6173B"/>
    <w:rsid w:val="19F0523F"/>
    <w:rsid w:val="19FE6B05"/>
    <w:rsid w:val="1A02498D"/>
    <w:rsid w:val="1A0E3F2E"/>
    <w:rsid w:val="1A126CE5"/>
    <w:rsid w:val="1A145B19"/>
    <w:rsid w:val="1A165FE9"/>
    <w:rsid w:val="1A1B1255"/>
    <w:rsid w:val="1A2364FA"/>
    <w:rsid w:val="1A2D79BA"/>
    <w:rsid w:val="1A3A554B"/>
    <w:rsid w:val="1A3D35E2"/>
    <w:rsid w:val="1A4221B0"/>
    <w:rsid w:val="1A4325D3"/>
    <w:rsid w:val="1A4C24FB"/>
    <w:rsid w:val="1A4E6954"/>
    <w:rsid w:val="1A5D3CBD"/>
    <w:rsid w:val="1A5F0B69"/>
    <w:rsid w:val="1A6316CE"/>
    <w:rsid w:val="1A6A1A25"/>
    <w:rsid w:val="1A6E5FB1"/>
    <w:rsid w:val="1A7B717D"/>
    <w:rsid w:val="1A7C1BE7"/>
    <w:rsid w:val="1A7C5A17"/>
    <w:rsid w:val="1A810791"/>
    <w:rsid w:val="1A920847"/>
    <w:rsid w:val="1AA85A85"/>
    <w:rsid w:val="1AA92FF4"/>
    <w:rsid w:val="1AB0573F"/>
    <w:rsid w:val="1AC53748"/>
    <w:rsid w:val="1AC64307"/>
    <w:rsid w:val="1AD37B8D"/>
    <w:rsid w:val="1AD47B96"/>
    <w:rsid w:val="1AD94DDF"/>
    <w:rsid w:val="1ADF6D58"/>
    <w:rsid w:val="1AEB21F0"/>
    <w:rsid w:val="1AFC2A03"/>
    <w:rsid w:val="1B1258BD"/>
    <w:rsid w:val="1B164B5E"/>
    <w:rsid w:val="1B180311"/>
    <w:rsid w:val="1B183088"/>
    <w:rsid w:val="1B292BC7"/>
    <w:rsid w:val="1B313650"/>
    <w:rsid w:val="1B3B754B"/>
    <w:rsid w:val="1B563F9E"/>
    <w:rsid w:val="1B6B39BC"/>
    <w:rsid w:val="1B6C7155"/>
    <w:rsid w:val="1B72173B"/>
    <w:rsid w:val="1B744224"/>
    <w:rsid w:val="1B7A5099"/>
    <w:rsid w:val="1B7A6C0C"/>
    <w:rsid w:val="1B7E7D96"/>
    <w:rsid w:val="1B7F55A6"/>
    <w:rsid w:val="1B89508D"/>
    <w:rsid w:val="1BAE18A7"/>
    <w:rsid w:val="1BB14302"/>
    <w:rsid w:val="1BBA2DE0"/>
    <w:rsid w:val="1BC65E87"/>
    <w:rsid w:val="1BCE0F9D"/>
    <w:rsid w:val="1BE136C9"/>
    <w:rsid w:val="1BE83AC4"/>
    <w:rsid w:val="1BEE66EE"/>
    <w:rsid w:val="1BF12978"/>
    <w:rsid w:val="1C182E62"/>
    <w:rsid w:val="1C294FF9"/>
    <w:rsid w:val="1C296169"/>
    <w:rsid w:val="1C3138A1"/>
    <w:rsid w:val="1C340F0E"/>
    <w:rsid w:val="1C4A1A70"/>
    <w:rsid w:val="1C50373A"/>
    <w:rsid w:val="1C581A17"/>
    <w:rsid w:val="1C5A78FA"/>
    <w:rsid w:val="1C6E712E"/>
    <w:rsid w:val="1C7B1C92"/>
    <w:rsid w:val="1C961AB5"/>
    <w:rsid w:val="1CBA4001"/>
    <w:rsid w:val="1CE03C2B"/>
    <w:rsid w:val="1D11447C"/>
    <w:rsid w:val="1D1F4F82"/>
    <w:rsid w:val="1D25294D"/>
    <w:rsid w:val="1D3C35D7"/>
    <w:rsid w:val="1D3C7E89"/>
    <w:rsid w:val="1D581489"/>
    <w:rsid w:val="1D582060"/>
    <w:rsid w:val="1D61678A"/>
    <w:rsid w:val="1D6864B5"/>
    <w:rsid w:val="1D8130A9"/>
    <w:rsid w:val="1D830B79"/>
    <w:rsid w:val="1D914288"/>
    <w:rsid w:val="1D9E300B"/>
    <w:rsid w:val="1DA75838"/>
    <w:rsid w:val="1DB65465"/>
    <w:rsid w:val="1DBC3A09"/>
    <w:rsid w:val="1DDD1FE1"/>
    <w:rsid w:val="1DE71DF5"/>
    <w:rsid w:val="1DEC0EC6"/>
    <w:rsid w:val="1E3B0826"/>
    <w:rsid w:val="1E3E2693"/>
    <w:rsid w:val="1E3E2776"/>
    <w:rsid w:val="1E40548E"/>
    <w:rsid w:val="1E4A19AF"/>
    <w:rsid w:val="1E5A579C"/>
    <w:rsid w:val="1E7223AB"/>
    <w:rsid w:val="1E7A3AEF"/>
    <w:rsid w:val="1E7F376F"/>
    <w:rsid w:val="1E874C28"/>
    <w:rsid w:val="1E8F3078"/>
    <w:rsid w:val="1EB14A2F"/>
    <w:rsid w:val="1EB3177A"/>
    <w:rsid w:val="1EB56858"/>
    <w:rsid w:val="1EC705C4"/>
    <w:rsid w:val="1EC83B25"/>
    <w:rsid w:val="1ECD4C36"/>
    <w:rsid w:val="1ED97BDC"/>
    <w:rsid w:val="1EE5351D"/>
    <w:rsid w:val="1EE80EEA"/>
    <w:rsid w:val="1EED33D1"/>
    <w:rsid w:val="1EF8692C"/>
    <w:rsid w:val="1EFB70AD"/>
    <w:rsid w:val="1F02433E"/>
    <w:rsid w:val="1F2545A0"/>
    <w:rsid w:val="1F5B41C5"/>
    <w:rsid w:val="1F5B522B"/>
    <w:rsid w:val="1F602B95"/>
    <w:rsid w:val="1F6034DA"/>
    <w:rsid w:val="1F610464"/>
    <w:rsid w:val="1F6608F6"/>
    <w:rsid w:val="1F6B516B"/>
    <w:rsid w:val="1F737DA7"/>
    <w:rsid w:val="1F914072"/>
    <w:rsid w:val="1F974D47"/>
    <w:rsid w:val="1F9F7601"/>
    <w:rsid w:val="1FAA0518"/>
    <w:rsid w:val="1FAD7813"/>
    <w:rsid w:val="1FC97374"/>
    <w:rsid w:val="1FDF676A"/>
    <w:rsid w:val="1FF110DC"/>
    <w:rsid w:val="1FFE6231"/>
    <w:rsid w:val="1FFF1113"/>
    <w:rsid w:val="200107D5"/>
    <w:rsid w:val="20015EF5"/>
    <w:rsid w:val="20052B5D"/>
    <w:rsid w:val="200F3C1D"/>
    <w:rsid w:val="201620B4"/>
    <w:rsid w:val="202B68AE"/>
    <w:rsid w:val="202F793E"/>
    <w:rsid w:val="203D3166"/>
    <w:rsid w:val="20404305"/>
    <w:rsid w:val="20481907"/>
    <w:rsid w:val="206036D4"/>
    <w:rsid w:val="2064115A"/>
    <w:rsid w:val="206870D0"/>
    <w:rsid w:val="206E103C"/>
    <w:rsid w:val="207634AF"/>
    <w:rsid w:val="20824104"/>
    <w:rsid w:val="208B6F33"/>
    <w:rsid w:val="20904241"/>
    <w:rsid w:val="20923102"/>
    <w:rsid w:val="209A12F6"/>
    <w:rsid w:val="20A5542D"/>
    <w:rsid w:val="20AA40A0"/>
    <w:rsid w:val="20AF6A38"/>
    <w:rsid w:val="20BD1C65"/>
    <w:rsid w:val="20CC5370"/>
    <w:rsid w:val="20CE7CBB"/>
    <w:rsid w:val="20D61ED3"/>
    <w:rsid w:val="20D85477"/>
    <w:rsid w:val="210D463D"/>
    <w:rsid w:val="2122497B"/>
    <w:rsid w:val="212A5E65"/>
    <w:rsid w:val="21382F57"/>
    <w:rsid w:val="21483DCB"/>
    <w:rsid w:val="214F31D6"/>
    <w:rsid w:val="21520506"/>
    <w:rsid w:val="215971DB"/>
    <w:rsid w:val="216840B7"/>
    <w:rsid w:val="21707ABA"/>
    <w:rsid w:val="217C7FFF"/>
    <w:rsid w:val="217D6F5B"/>
    <w:rsid w:val="217F7DE1"/>
    <w:rsid w:val="218C712D"/>
    <w:rsid w:val="219433BE"/>
    <w:rsid w:val="219B42AE"/>
    <w:rsid w:val="219F4DC2"/>
    <w:rsid w:val="21A6323A"/>
    <w:rsid w:val="21B31F32"/>
    <w:rsid w:val="21B8627A"/>
    <w:rsid w:val="21C76342"/>
    <w:rsid w:val="21DC1077"/>
    <w:rsid w:val="21E500BF"/>
    <w:rsid w:val="21F46DD7"/>
    <w:rsid w:val="21FE34D3"/>
    <w:rsid w:val="22102FC3"/>
    <w:rsid w:val="22106435"/>
    <w:rsid w:val="2211058E"/>
    <w:rsid w:val="2212793C"/>
    <w:rsid w:val="222446A3"/>
    <w:rsid w:val="22263305"/>
    <w:rsid w:val="22267251"/>
    <w:rsid w:val="224A3888"/>
    <w:rsid w:val="2258018F"/>
    <w:rsid w:val="2269387C"/>
    <w:rsid w:val="226C7BAC"/>
    <w:rsid w:val="22834CF1"/>
    <w:rsid w:val="228F4F8F"/>
    <w:rsid w:val="229A773C"/>
    <w:rsid w:val="229C6E40"/>
    <w:rsid w:val="229F0037"/>
    <w:rsid w:val="22A77209"/>
    <w:rsid w:val="22B26378"/>
    <w:rsid w:val="22B649DD"/>
    <w:rsid w:val="22B83BBC"/>
    <w:rsid w:val="22C2087A"/>
    <w:rsid w:val="22CE3D5A"/>
    <w:rsid w:val="22DB1E07"/>
    <w:rsid w:val="22DF69C6"/>
    <w:rsid w:val="22E11690"/>
    <w:rsid w:val="22F874E8"/>
    <w:rsid w:val="22FC4DA6"/>
    <w:rsid w:val="230612A7"/>
    <w:rsid w:val="230F4FB3"/>
    <w:rsid w:val="232668D5"/>
    <w:rsid w:val="232A266D"/>
    <w:rsid w:val="232C327F"/>
    <w:rsid w:val="23384757"/>
    <w:rsid w:val="23462716"/>
    <w:rsid w:val="234E1D95"/>
    <w:rsid w:val="234E7067"/>
    <w:rsid w:val="23550AD0"/>
    <w:rsid w:val="23577E5C"/>
    <w:rsid w:val="235A168E"/>
    <w:rsid w:val="235B0632"/>
    <w:rsid w:val="235F6585"/>
    <w:rsid w:val="2394513F"/>
    <w:rsid w:val="23B271DC"/>
    <w:rsid w:val="23B742F4"/>
    <w:rsid w:val="23B9450B"/>
    <w:rsid w:val="23BC0507"/>
    <w:rsid w:val="23CB21DA"/>
    <w:rsid w:val="23DB5B4C"/>
    <w:rsid w:val="23DD1F6C"/>
    <w:rsid w:val="240437AA"/>
    <w:rsid w:val="240C2B3A"/>
    <w:rsid w:val="240D2A9C"/>
    <w:rsid w:val="24210E4E"/>
    <w:rsid w:val="242C18C4"/>
    <w:rsid w:val="242C213A"/>
    <w:rsid w:val="245F17EC"/>
    <w:rsid w:val="24624B37"/>
    <w:rsid w:val="24625EA0"/>
    <w:rsid w:val="246E68E8"/>
    <w:rsid w:val="24895713"/>
    <w:rsid w:val="24A0399F"/>
    <w:rsid w:val="24B564E0"/>
    <w:rsid w:val="24B876B2"/>
    <w:rsid w:val="24CD287B"/>
    <w:rsid w:val="24E821FC"/>
    <w:rsid w:val="24F554E6"/>
    <w:rsid w:val="25090523"/>
    <w:rsid w:val="250A7D5C"/>
    <w:rsid w:val="251746F0"/>
    <w:rsid w:val="253F2264"/>
    <w:rsid w:val="2541397E"/>
    <w:rsid w:val="254B40B2"/>
    <w:rsid w:val="254D335F"/>
    <w:rsid w:val="255346CB"/>
    <w:rsid w:val="25712EAE"/>
    <w:rsid w:val="25847B33"/>
    <w:rsid w:val="259A122B"/>
    <w:rsid w:val="25A179C3"/>
    <w:rsid w:val="25A23B72"/>
    <w:rsid w:val="25B33FA7"/>
    <w:rsid w:val="25BD3CA6"/>
    <w:rsid w:val="25BF3326"/>
    <w:rsid w:val="25BF627F"/>
    <w:rsid w:val="25C766C8"/>
    <w:rsid w:val="25D37304"/>
    <w:rsid w:val="25DC5E42"/>
    <w:rsid w:val="25EE750F"/>
    <w:rsid w:val="26084AA7"/>
    <w:rsid w:val="260A6611"/>
    <w:rsid w:val="260C495A"/>
    <w:rsid w:val="260F58DC"/>
    <w:rsid w:val="2617264B"/>
    <w:rsid w:val="262420A3"/>
    <w:rsid w:val="26407842"/>
    <w:rsid w:val="264D2600"/>
    <w:rsid w:val="267B0D13"/>
    <w:rsid w:val="26916F1C"/>
    <w:rsid w:val="26A1465B"/>
    <w:rsid w:val="26A717FF"/>
    <w:rsid w:val="26A772A7"/>
    <w:rsid w:val="26AE7FF0"/>
    <w:rsid w:val="26B171B9"/>
    <w:rsid w:val="26B86B93"/>
    <w:rsid w:val="26BA2A88"/>
    <w:rsid w:val="27036A48"/>
    <w:rsid w:val="270812F9"/>
    <w:rsid w:val="270A712E"/>
    <w:rsid w:val="27120152"/>
    <w:rsid w:val="2731717E"/>
    <w:rsid w:val="27410905"/>
    <w:rsid w:val="275F7EF3"/>
    <w:rsid w:val="2764097C"/>
    <w:rsid w:val="27767961"/>
    <w:rsid w:val="278542B4"/>
    <w:rsid w:val="279069C1"/>
    <w:rsid w:val="27A66474"/>
    <w:rsid w:val="27CC091C"/>
    <w:rsid w:val="27E67A43"/>
    <w:rsid w:val="27FA15F4"/>
    <w:rsid w:val="27FC19AB"/>
    <w:rsid w:val="28180E41"/>
    <w:rsid w:val="28187989"/>
    <w:rsid w:val="282B5E5B"/>
    <w:rsid w:val="28441B85"/>
    <w:rsid w:val="28445BA3"/>
    <w:rsid w:val="28572FF4"/>
    <w:rsid w:val="2861534B"/>
    <w:rsid w:val="286921AF"/>
    <w:rsid w:val="28776D26"/>
    <w:rsid w:val="289042BD"/>
    <w:rsid w:val="28940373"/>
    <w:rsid w:val="28A06628"/>
    <w:rsid w:val="28AA045C"/>
    <w:rsid w:val="28BD5251"/>
    <w:rsid w:val="28C265E6"/>
    <w:rsid w:val="28D01274"/>
    <w:rsid w:val="28D92391"/>
    <w:rsid w:val="28E901C4"/>
    <w:rsid w:val="28F60BE9"/>
    <w:rsid w:val="29040AEF"/>
    <w:rsid w:val="291717A7"/>
    <w:rsid w:val="2917705B"/>
    <w:rsid w:val="291974D7"/>
    <w:rsid w:val="29357C71"/>
    <w:rsid w:val="2938367F"/>
    <w:rsid w:val="293E43CA"/>
    <w:rsid w:val="29753B56"/>
    <w:rsid w:val="2979190F"/>
    <w:rsid w:val="2980065D"/>
    <w:rsid w:val="2982372F"/>
    <w:rsid w:val="29887F43"/>
    <w:rsid w:val="299A3E32"/>
    <w:rsid w:val="29A2287A"/>
    <w:rsid w:val="29A95FD6"/>
    <w:rsid w:val="29AA5DFE"/>
    <w:rsid w:val="29B26CBD"/>
    <w:rsid w:val="29B915F2"/>
    <w:rsid w:val="29BF65D9"/>
    <w:rsid w:val="29C60BDD"/>
    <w:rsid w:val="29FD49E7"/>
    <w:rsid w:val="29FD5C67"/>
    <w:rsid w:val="2A0C376C"/>
    <w:rsid w:val="2A205C5E"/>
    <w:rsid w:val="2A331DF3"/>
    <w:rsid w:val="2A3335E3"/>
    <w:rsid w:val="2A334528"/>
    <w:rsid w:val="2A3415B0"/>
    <w:rsid w:val="2A366446"/>
    <w:rsid w:val="2A492C82"/>
    <w:rsid w:val="2A4D00D1"/>
    <w:rsid w:val="2A5C4D90"/>
    <w:rsid w:val="2A6D366D"/>
    <w:rsid w:val="2A715FD6"/>
    <w:rsid w:val="2A7C0B09"/>
    <w:rsid w:val="2A836E98"/>
    <w:rsid w:val="2A8B3817"/>
    <w:rsid w:val="2A8F385D"/>
    <w:rsid w:val="2A9034B4"/>
    <w:rsid w:val="2AA605A4"/>
    <w:rsid w:val="2AA60DD9"/>
    <w:rsid w:val="2AB33F87"/>
    <w:rsid w:val="2ACD0B36"/>
    <w:rsid w:val="2AD111FD"/>
    <w:rsid w:val="2ADB2D56"/>
    <w:rsid w:val="2B034328"/>
    <w:rsid w:val="2B052E66"/>
    <w:rsid w:val="2B057B58"/>
    <w:rsid w:val="2B0C6254"/>
    <w:rsid w:val="2B2E3CA3"/>
    <w:rsid w:val="2B507EB6"/>
    <w:rsid w:val="2B5D556F"/>
    <w:rsid w:val="2B5F6EA6"/>
    <w:rsid w:val="2B692A79"/>
    <w:rsid w:val="2B7208B0"/>
    <w:rsid w:val="2B723083"/>
    <w:rsid w:val="2B761F1B"/>
    <w:rsid w:val="2B7E382A"/>
    <w:rsid w:val="2BC02C71"/>
    <w:rsid w:val="2BD6261E"/>
    <w:rsid w:val="2BE0479E"/>
    <w:rsid w:val="2BF60E02"/>
    <w:rsid w:val="2C0C40B6"/>
    <w:rsid w:val="2C0D60C4"/>
    <w:rsid w:val="2C221352"/>
    <w:rsid w:val="2C230F12"/>
    <w:rsid w:val="2C340552"/>
    <w:rsid w:val="2C3A3A18"/>
    <w:rsid w:val="2C406671"/>
    <w:rsid w:val="2C437678"/>
    <w:rsid w:val="2C477AA4"/>
    <w:rsid w:val="2C5F7ED0"/>
    <w:rsid w:val="2C701C82"/>
    <w:rsid w:val="2C770FA3"/>
    <w:rsid w:val="2C7929C9"/>
    <w:rsid w:val="2C7A2CDC"/>
    <w:rsid w:val="2C8C4DA7"/>
    <w:rsid w:val="2C940967"/>
    <w:rsid w:val="2CA3250F"/>
    <w:rsid w:val="2CA83BFD"/>
    <w:rsid w:val="2CA97768"/>
    <w:rsid w:val="2CB172AB"/>
    <w:rsid w:val="2CB5245E"/>
    <w:rsid w:val="2CCC61DC"/>
    <w:rsid w:val="2CD835FA"/>
    <w:rsid w:val="2CE30F22"/>
    <w:rsid w:val="2CE460FF"/>
    <w:rsid w:val="2CF34C3B"/>
    <w:rsid w:val="2CFD1EAE"/>
    <w:rsid w:val="2CFF2CF1"/>
    <w:rsid w:val="2D0020FD"/>
    <w:rsid w:val="2D004449"/>
    <w:rsid w:val="2D040A3A"/>
    <w:rsid w:val="2D1B6979"/>
    <w:rsid w:val="2D3065F6"/>
    <w:rsid w:val="2D3E159C"/>
    <w:rsid w:val="2D454F76"/>
    <w:rsid w:val="2D5E5ACD"/>
    <w:rsid w:val="2D664E53"/>
    <w:rsid w:val="2D764C10"/>
    <w:rsid w:val="2D7A291E"/>
    <w:rsid w:val="2D7A5B83"/>
    <w:rsid w:val="2D7A691B"/>
    <w:rsid w:val="2D7E6051"/>
    <w:rsid w:val="2D8662AB"/>
    <w:rsid w:val="2D9D3CD6"/>
    <w:rsid w:val="2DA41E97"/>
    <w:rsid w:val="2DAB070C"/>
    <w:rsid w:val="2DB81BCA"/>
    <w:rsid w:val="2DBA421D"/>
    <w:rsid w:val="2DCA68D8"/>
    <w:rsid w:val="2DCB4211"/>
    <w:rsid w:val="2DD123D5"/>
    <w:rsid w:val="2DD73EFC"/>
    <w:rsid w:val="2DFF65A7"/>
    <w:rsid w:val="2E007074"/>
    <w:rsid w:val="2E14172E"/>
    <w:rsid w:val="2E156C84"/>
    <w:rsid w:val="2E1F458A"/>
    <w:rsid w:val="2E344DAF"/>
    <w:rsid w:val="2E3933DD"/>
    <w:rsid w:val="2E542892"/>
    <w:rsid w:val="2E7C5CD1"/>
    <w:rsid w:val="2E827222"/>
    <w:rsid w:val="2E881839"/>
    <w:rsid w:val="2E936895"/>
    <w:rsid w:val="2E9C1619"/>
    <w:rsid w:val="2EA90574"/>
    <w:rsid w:val="2EA96D06"/>
    <w:rsid w:val="2EB948EE"/>
    <w:rsid w:val="2EC767B9"/>
    <w:rsid w:val="2ECE30AA"/>
    <w:rsid w:val="2EDE7E92"/>
    <w:rsid w:val="2EDF2CF0"/>
    <w:rsid w:val="2EE32667"/>
    <w:rsid w:val="2EE70C2A"/>
    <w:rsid w:val="2EFE24FC"/>
    <w:rsid w:val="2F0B230D"/>
    <w:rsid w:val="2F1831B2"/>
    <w:rsid w:val="2F1D1825"/>
    <w:rsid w:val="2F1F6148"/>
    <w:rsid w:val="2F383732"/>
    <w:rsid w:val="2F397ECA"/>
    <w:rsid w:val="2F4C7A7D"/>
    <w:rsid w:val="2F622F67"/>
    <w:rsid w:val="2F624BBD"/>
    <w:rsid w:val="2F77336C"/>
    <w:rsid w:val="2F831B61"/>
    <w:rsid w:val="2F8C627E"/>
    <w:rsid w:val="2F9E6F42"/>
    <w:rsid w:val="2FA86799"/>
    <w:rsid w:val="2FBB3BF3"/>
    <w:rsid w:val="2FC25AE3"/>
    <w:rsid w:val="2FDB3DFA"/>
    <w:rsid w:val="2FDD1EC2"/>
    <w:rsid w:val="2FDF0645"/>
    <w:rsid w:val="2FDF697F"/>
    <w:rsid w:val="2FE17991"/>
    <w:rsid w:val="2FE779E3"/>
    <w:rsid w:val="2FED5A57"/>
    <w:rsid w:val="300A7C9C"/>
    <w:rsid w:val="300B61F3"/>
    <w:rsid w:val="301256DD"/>
    <w:rsid w:val="30166435"/>
    <w:rsid w:val="30192227"/>
    <w:rsid w:val="301F4F73"/>
    <w:rsid w:val="3028126B"/>
    <w:rsid w:val="302F1D36"/>
    <w:rsid w:val="30325164"/>
    <w:rsid w:val="303B3444"/>
    <w:rsid w:val="304159E4"/>
    <w:rsid w:val="30461251"/>
    <w:rsid w:val="304F3F56"/>
    <w:rsid w:val="305E6FBC"/>
    <w:rsid w:val="30602CE0"/>
    <w:rsid w:val="30622D1F"/>
    <w:rsid w:val="3071398E"/>
    <w:rsid w:val="307D42E1"/>
    <w:rsid w:val="307D6BEE"/>
    <w:rsid w:val="30826F45"/>
    <w:rsid w:val="308512FF"/>
    <w:rsid w:val="30962223"/>
    <w:rsid w:val="309F66E8"/>
    <w:rsid w:val="30A208D6"/>
    <w:rsid w:val="30A820C2"/>
    <w:rsid w:val="30AD40B6"/>
    <w:rsid w:val="30B02ECD"/>
    <w:rsid w:val="30C97C89"/>
    <w:rsid w:val="30D0747B"/>
    <w:rsid w:val="31000E5F"/>
    <w:rsid w:val="310E2D17"/>
    <w:rsid w:val="311901A8"/>
    <w:rsid w:val="312C3581"/>
    <w:rsid w:val="313308E4"/>
    <w:rsid w:val="31592DB4"/>
    <w:rsid w:val="3164256F"/>
    <w:rsid w:val="316C1AF9"/>
    <w:rsid w:val="316E5904"/>
    <w:rsid w:val="31744959"/>
    <w:rsid w:val="317F3B29"/>
    <w:rsid w:val="31820ECF"/>
    <w:rsid w:val="31890D85"/>
    <w:rsid w:val="31941E22"/>
    <w:rsid w:val="31CC1CE0"/>
    <w:rsid w:val="31CD4724"/>
    <w:rsid w:val="31D04565"/>
    <w:rsid w:val="31D60522"/>
    <w:rsid w:val="31DC5E9C"/>
    <w:rsid w:val="31E06BCA"/>
    <w:rsid w:val="31E37F93"/>
    <w:rsid w:val="31F816AF"/>
    <w:rsid w:val="32083CCE"/>
    <w:rsid w:val="32157EE6"/>
    <w:rsid w:val="322354C0"/>
    <w:rsid w:val="322B2CE8"/>
    <w:rsid w:val="323139FD"/>
    <w:rsid w:val="323B5551"/>
    <w:rsid w:val="32403CD5"/>
    <w:rsid w:val="32484430"/>
    <w:rsid w:val="325A50D2"/>
    <w:rsid w:val="326B0434"/>
    <w:rsid w:val="327D3F00"/>
    <w:rsid w:val="327E1E9E"/>
    <w:rsid w:val="328B180D"/>
    <w:rsid w:val="32A14C53"/>
    <w:rsid w:val="32BA27AC"/>
    <w:rsid w:val="32D3172E"/>
    <w:rsid w:val="32F24B3E"/>
    <w:rsid w:val="32F4036A"/>
    <w:rsid w:val="33273C28"/>
    <w:rsid w:val="332C1869"/>
    <w:rsid w:val="33357C0F"/>
    <w:rsid w:val="334B2CD9"/>
    <w:rsid w:val="33503CCC"/>
    <w:rsid w:val="335C6117"/>
    <w:rsid w:val="336026F6"/>
    <w:rsid w:val="33667930"/>
    <w:rsid w:val="336C29C5"/>
    <w:rsid w:val="33721AC2"/>
    <w:rsid w:val="33760000"/>
    <w:rsid w:val="337D67F0"/>
    <w:rsid w:val="338E2C59"/>
    <w:rsid w:val="339031A2"/>
    <w:rsid w:val="339F1ED0"/>
    <w:rsid w:val="33B212E1"/>
    <w:rsid w:val="33B5385B"/>
    <w:rsid w:val="33B817BD"/>
    <w:rsid w:val="33C95FB0"/>
    <w:rsid w:val="33DB585B"/>
    <w:rsid w:val="33DD6C96"/>
    <w:rsid w:val="33E71C0E"/>
    <w:rsid w:val="33EC63F3"/>
    <w:rsid w:val="33FB3502"/>
    <w:rsid w:val="33FC0C35"/>
    <w:rsid w:val="34115587"/>
    <w:rsid w:val="341C751F"/>
    <w:rsid w:val="342122F5"/>
    <w:rsid w:val="342343BE"/>
    <w:rsid w:val="3427000D"/>
    <w:rsid w:val="345536BE"/>
    <w:rsid w:val="3462223A"/>
    <w:rsid w:val="346D289C"/>
    <w:rsid w:val="34746954"/>
    <w:rsid w:val="348262E8"/>
    <w:rsid w:val="34852DFB"/>
    <w:rsid w:val="34870FF3"/>
    <w:rsid w:val="34AA308A"/>
    <w:rsid w:val="34AE3021"/>
    <w:rsid w:val="34B5369D"/>
    <w:rsid w:val="34C23927"/>
    <w:rsid w:val="34D47C17"/>
    <w:rsid w:val="34D74524"/>
    <w:rsid w:val="34EF21BA"/>
    <w:rsid w:val="34FB21EC"/>
    <w:rsid w:val="350D601C"/>
    <w:rsid w:val="351509F4"/>
    <w:rsid w:val="35255498"/>
    <w:rsid w:val="352B6064"/>
    <w:rsid w:val="353266FE"/>
    <w:rsid w:val="355154B2"/>
    <w:rsid w:val="355B39D5"/>
    <w:rsid w:val="356A1FBE"/>
    <w:rsid w:val="356A72E6"/>
    <w:rsid w:val="358C2E02"/>
    <w:rsid w:val="359274C2"/>
    <w:rsid w:val="359E49E9"/>
    <w:rsid w:val="35AC7D9F"/>
    <w:rsid w:val="35C41F10"/>
    <w:rsid w:val="35C743CC"/>
    <w:rsid w:val="35CC2E55"/>
    <w:rsid w:val="35D25FBE"/>
    <w:rsid w:val="35E20F81"/>
    <w:rsid w:val="35F257DC"/>
    <w:rsid w:val="35F52853"/>
    <w:rsid w:val="36036E4C"/>
    <w:rsid w:val="360646D4"/>
    <w:rsid w:val="360F2A66"/>
    <w:rsid w:val="36177C38"/>
    <w:rsid w:val="363A4100"/>
    <w:rsid w:val="36410A3A"/>
    <w:rsid w:val="364D2060"/>
    <w:rsid w:val="364E7F63"/>
    <w:rsid w:val="36611E9F"/>
    <w:rsid w:val="366A4252"/>
    <w:rsid w:val="367754DE"/>
    <w:rsid w:val="36784AF0"/>
    <w:rsid w:val="36900D69"/>
    <w:rsid w:val="369236D1"/>
    <w:rsid w:val="36A121B3"/>
    <w:rsid w:val="36AF25C1"/>
    <w:rsid w:val="36C64BF6"/>
    <w:rsid w:val="36D72FA9"/>
    <w:rsid w:val="36DD1115"/>
    <w:rsid w:val="36FA4156"/>
    <w:rsid w:val="37013427"/>
    <w:rsid w:val="370653E7"/>
    <w:rsid w:val="370E3984"/>
    <w:rsid w:val="373B505A"/>
    <w:rsid w:val="374F2F07"/>
    <w:rsid w:val="3750792F"/>
    <w:rsid w:val="375236E8"/>
    <w:rsid w:val="375463DB"/>
    <w:rsid w:val="375F7232"/>
    <w:rsid w:val="37625982"/>
    <w:rsid w:val="37671578"/>
    <w:rsid w:val="3768699A"/>
    <w:rsid w:val="378B504F"/>
    <w:rsid w:val="379B76DA"/>
    <w:rsid w:val="37BE4787"/>
    <w:rsid w:val="37C83999"/>
    <w:rsid w:val="37D33F79"/>
    <w:rsid w:val="37D72D05"/>
    <w:rsid w:val="37DF41BC"/>
    <w:rsid w:val="37E21686"/>
    <w:rsid w:val="37F42AB8"/>
    <w:rsid w:val="37F7720E"/>
    <w:rsid w:val="37FB6790"/>
    <w:rsid w:val="37FD4445"/>
    <w:rsid w:val="380517DC"/>
    <w:rsid w:val="381A4EA7"/>
    <w:rsid w:val="38252598"/>
    <w:rsid w:val="382F654A"/>
    <w:rsid w:val="38350332"/>
    <w:rsid w:val="383970A7"/>
    <w:rsid w:val="383A1C1E"/>
    <w:rsid w:val="38495504"/>
    <w:rsid w:val="384E3BBB"/>
    <w:rsid w:val="38650C1B"/>
    <w:rsid w:val="38982766"/>
    <w:rsid w:val="38991B97"/>
    <w:rsid w:val="38A07B54"/>
    <w:rsid w:val="38AC37B6"/>
    <w:rsid w:val="38B5657F"/>
    <w:rsid w:val="38CC4BED"/>
    <w:rsid w:val="38DC2F57"/>
    <w:rsid w:val="38F95415"/>
    <w:rsid w:val="390412D8"/>
    <w:rsid w:val="390C505F"/>
    <w:rsid w:val="392017C0"/>
    <w:rsid w:val="39252B76"/>
    <w:rsid w:val="392C4D9D"/>
    <w:rsid w:val="392E6F43"/>
    <w:rsid w:val="394D69CA"/>
    <w:rsid w:val="394F3CCB"/>
    <w:rsid w:val="3952140A"/>
    <w:rsid w:val="397A1C59"/>
    <w:rsid w:val="397F6E8D"/>
    <w:rsid w:val="399B7825"/>
    <w:rsid w:val="39A209C1"/>
    <w:rsid w:val="39AD6790"/>
    <w:rsid w:val="39C84866"/>
    <w:rsid w:val="39C86214"/>
    <w:rsid w:val="39D252AE"/>
    <w:rsid w:val="39D26619"/>
    <w:rsid w:val="39E25290"/>
    <w:rsid w:val="39E276D4"/>
    <w:rsid w:val="39E93BC2"/>
    <w:rsid w:val="39F8422A"/>
    <w:rsid w:val="39F91CCB"/>
    <w:rsid w:val="3A04454A"/>
    <w:rsid w:val="3A0E457E"/>
    <w:rsid w:val="3A3D6D40"/>
    <w:rsid w:val="3A4112DA"/>
    <w:rsid w:val="3A4335B5"/>
    <w:rsid w:val="3A462802"/>
    <w:rsid w:val="3A485C20"/>
    <w:rsid w:val="3A4A4CC7"/>
    <w:rsid w:val="3A60703D"/>
    <w:rsid w:val="3A6C2289"/>
    <w:rsid w:val="3A6F6FB5"/>
    <w:rsid w:val="3A7A4EC8"/>
    <w:rsid w:val="3A955CCA"/>
    <w:rsid w:val="3A9B2460"/>
    <w:rsid w:val="3AA62464"/>
    <w:rsid w:val="3AB61DD5"/>
    <w:rsid w:val="3AC60DC7"/>
    <w:rsid w:val="3AC97FAA"/>
    <w:rsid w:val="3ACB4EA8"/>
    <w:rsid w:val="3ACF35EC"/>
    <w:rsid w:val="3AE80E8E"/>
    <w:rsid w:val="3AEA2742"/>
    <w:rsid w:val="3AF909B9"/>
    <w:rsid w:val="3AFD6137"/>
    <w:rsid w:val="3AFF52EB"/>
    <w:rsid w:val="3B0376FA"/>
    <w:rsid w:val="3B0D52B2"/>
    <w:rsid w:val="3B143A56"/>
    <w:rsid w:val="3B367657"/>
    <w:rsid w:val="3B410BE2"/>
    <w:rsid w:val="3B411A26"/>
    <w:rsid w:val="3B5732FB"/>
    <w:rsid w:val="3B8904A2"/>
    <w:rsid w:val="3B9A7293"/>
    <w:rsid w:val="3BD24ADD"/>
    <w:rsid w:val="3BDF38AF"/>
    <w:rsid w:val="3C050532"/>
    <w:rsid w:val="3C095D17"/>
    <w:rsid w:val="3C285D82"/>
    <w:rsid w:val="3C32053F"/>
    <w:rsid w:val="3C3E406C"/>
    <w:rsid w:val="3C404221"/>
    <w:rsid w:val="3C51067F"/>
    <w:rsid w:val="3C536B06"/>
    <w:rsid w:val="3C58436E"/>
    <w:rsid w:val="3C672048"/>
    <w:rsid w:val="3C6B206F"/>
    <w:rsid w:val="3CA9364C"/>
    <w:rsid w:val="3CB74FF6"/>
    <w:rsid w:val="3CD72898"/>
    <w:rsid w:val="3CD741BF"/>
    <w:rsid w:val="3CE865B0"/>
    <w:rsid w:val="3CED427C"/>
    <w:rsid w:val="3CF038D6"/>
    <w:rsid w:val="3CF424B3"/>
    <w:rsid w:val="3D083788"/>
    <w:rsid w:val="3D0D7049"/>
    <w:rsid w:val="3D141826"/>
    <w:rsid w:val="3D144F76"/>
    <w:rsid w:val="3D2008A3"/>
    <w:rsid w:val="3D2E2411"/>
    <w:rsid w:val="3D337B31"/>
    <w:rsid w:val="3D5005EB"/>
    <w:rsid w:val="3D6C7D3F"/>
    <w:rsid w:val="3D9307B4"/>
    <w:rsid w:val="3D9F4956"/>
    <w:rsid w:val="3DAA5311"/>
    <w:rsid w:val="3DBD041E"/>
    <w:rsid w:val="3DC765B7"/>
    <w:rsid w:val="3DCB73BA"/>
    <w:rsid w:val="3DD35B24"/>
    <w:rsid w:val="3DEC3A44"/>
    <w:rsid w:val="3E1A50E1"/>
    <w:rsid w:val="3E1C7725"/>
    <w:rsid w:val="3E25747C"/>
    <w:rsid w:val="3E26098F"/>
    <w:rsid w:val="3E3B04B0"/>
    <w:rsid w:val="3E3E7F7D"/>
    <w:rsid w:val="3E4D031B"/>
    <w:rsid w:val="3E4F3306"/>
    <w:rsid w:val="3E6B319E"/>
    <w:rsid w:val="3E796FBB"/>
    <w:rsid w:val="3E7D20AD"/>
    <w:rsid w:val="3E98343F"/>
    <w:rsid w:val="3EA12164"/>
    <w:rsid w:val="3EA22193"/>
    <w:rsid w:val="3EA77B3A"/>
    <w:rsid w:val="3EB44782"/>
    <w:rsid w:val="3EBD0BC4"/>
    <w:rsid w:val="3EBF0B79"/>
    <w:rsid w:val="3EC35584"/>
    <w:rsid w:val="3EC97CCB"/>
    <w:rsid w:val="3ED2230C"/>
    <w:rsid w:val="3EE27E07"/>
    <w:rsid w:val="3F0A6D15"/>
    <w:rsid w:val="3F1C0B53"/>
    <w:rsid w:val="3F337FF6"/>
    <w:rsid w:val="3F394A24"/>
    <w:rsid w:val="3F4802CD"/>
    <w:rsid w:val="3F734553"/>
    <w:rsid w:val="3F822788"/>
    <w:rsid w:val="3F954106"/>
    <w:rsid w:val="3F9723FF"/>
    <w:rsid w:val="3FA24D04"/>
    <w:rsid w:val="3FA45CFF"/>
    <w:rsid w:val="3FB74B6A"/>
    <w:rsid w:val="3FC53F70"/>
    <w:rsid w:val="3FDA4009"/>
    <w:rsid w:val="3FE574EF"/>
    <w:rsid w:val="401C76D3"/>
    <w:rsid w:val="401E4371"/>
    <w:rsid w:val="402179A3"/>
    <w:rsid w:val="40330CA4"/>
    <w:rsid w:val="4051781D"/>
    <w:rsid w:val="40734F8E"/>
    <w:rsid w:val="40890A0A"/>
    <w:rsid w:val="408B2769"/>
    <w:rsid w:val="40963AA1"/>
    <w:rsid w:val="40AE1FF7"/>
    <w:rsid w:val="40B733A7"/>
    <w:rsid w:val="40BA68B9"/>
    <w:rsid w:val="40C16266"/>
    <w:rsid w:val="40C235CF"/>
    <w:rsid w:val="40CF00C1"/>
    <w:rsid w:val="40E40DFF"/>
    <w:rsid w:val="40FD678B"/>
    <w:rsid w:val="410B5436"/>
    <w:rsid w:val="41176148"/>
    <w:rsid w:val="411E7E74"/>
    <w:rsid w:val="412344BF"/>
    <w:rsid w:val="412C5510"/>
    <w:rsid w:val="41356D45"/>
    <w:rsid w:val="414F7E63"/>
    <w:rsid w:val="415818BD"/>
    <w:rsid w:val="4173037E"/>
    <w:rsid w:val="41763898"/>
    <w:rsid w:val="4178619D"/>
    <w:rsid w:val="41997BF4"/>
    <w:rsid w:val="41A25E23"/>
    <w:rsid w:val="41BA20AB"/>
    <w:rsid w:val="41D13F2D"/>
    <w:rsid w:val="41D33240"/>
    <w:rsid w:val="41DB32FB"/>
    <w:rsid w:val="41DB562E"/>
    <w:rsid w:val="41E00282"/>
    <w:rsid w:val="41E24A84"/>
    <w:rsid w:val="41EF5897"/>
    <w:rsid w:val="41F141C8"/>
    <w:rsid w:val="41F769F8"/>
    <w:rsid w:val="41FA44D3"/>
    <w:rsid w:val="41FF317F"/>
    <w:rsid w:val="41FF49C1"/>
    <w:rsid w:val="42092855"/>
    <w:rsid w:val="420F3AD9"/>
    <w:rsid w:val="4255690C"/>
    <w:rsid w:val="426A1BC5"/>
    <w:rsid w:val="426E763A"/>
    <w:rsid w:val="427F1399"/>
    <w:rsid w:val="42970839"/>
    <w:rsid w:val="429C47B7"/>
    <w:rsid w:val="42AB449F"/>
    <w:rsid w:val="42AE439D"/>
    <w:rsid w:val="42B55856"/>
    <w:rsid w:val="42BB0C2D"/>
    <w:rsid w:val="42BF2999"/>
    <w:rsid w:val="42C21EAE"/>
    <w:rsid w:val="42C60F27"/>
    <w:rsid w:val="42D33507"/>
    <w:rsid w:val="42F45061"/>
    <w:rsid w:val="430075B6"/>
    <w:rsid w:val="430A2E6D"/>
    <w:rsid w:val="43275C4F"/>
    <w:rsid w:val="43300406"/>
    <w:rsid w:val="43370D46"/>
    <w:rsid w:val="433711B8"/>
    <w:rsid w:val="43451141"/>
    <w:rsid w:val="434F746B"/>
    <w:rsid w:val="43515022"/>
    <w:rsid w:val="4358292F"/>
    <w:rsid w:val="43713C1A"/>
    <w:rsid w:val="437273A2"/>
    <w:rsid w:val="4373390F"/>
    <w:rsid w:val="43737750"/>
    <w:rsid w:val="43754326"/>
    <w:rsid w:val="437B2F7D"/>
    <w:rsid w:val="438D1048"/>
    <w:rsid w:val="439A257A"/>
    <w:rsid w:val="439B5FC3"/>
    <w:rsid w:val="43A32635"/>
    <w:rsid w:val="43C309A2"/>
    <w:rsid w:val="43C62AA3"/>
    <w:rsid w:val="43D77093"/>
    <w:rsid w:val="43D911A0"/>
    <w:rsid w:val="43D97147"/>
    <w:rsid w:val="43DE3D30"/>
    <w:rsid w:val="43E166FE"/>
    <w:rsid w:val="43E5401A"/>
    <w:rsid w:val="43E73CDC"/>
    <w:rsid w:val="43FA758D"/>
    <w:rsid w:val="43FC5E92"/>
    <w:rsid w:val="44017F76"/>
    <w:rsid w:val="440F49AF"/>
    <w:rsid w:val="441000C1"/>
    <w:rsid w:val="441926A9"/>
    <w:rsid w:val="4424251F"/>
    <w:rsid w:val="442828F8"/>
    <w:rsid w:val="442F79B9"/>
    <w:rsid w:val="443058AA"/>
    <w:rsid w:val="444136BD"/>
    <w:rsid w:val="445769C9"/>
    <w:rsid w:val="44674566"/>
    <w:rsid w:val="446C1472"/>
    <w:rsid w:val="446C449B"/>
    <w:rsid w:val="446E0DE7"/>
    <w:rsid w:val="44855B8D"/>
    <w:rsid w:val="44A01FB0"/>
    <w:rsid w:val="44B63749"/>
    <w:rsid w:val="44B7174C"/>
    <w:rsid w:val="44C03003"/>
    <w:rsid w:val="44E173B8"/>
    <w:rsid w:val="44E33D42"/>
    <w:rsid w:val="44E4163A"/>
    <w:rsid w:val="44E94B58"/>
    <w:rsid w:val="44FD08B9"/>
    <w:rsid w:val="44FD4C59"/>
    <w:rsid w:val="45010901"/>
    <w:rsid w:val="4523483B"/>
    <w:rsid w:val="45503B6C"/>
    <w:rsid w:val="45615A31"/>
    <w:rsid w:val="45631F71"/>
    <w:rsid w:val="45645083"/>
    <w:rsid w:val="45645939"/>
    <w:rsid w:val="45744428"/>
    <w:rsid w:val="457914A8"/>
    <w:rsid w:val="457A431F"/>
    <w:rsid w:val="45863281"/>
    <w:rsid w:val="45873F2E"/>
    <w:rsid w:val="45903A89"/>
    <w:rsid w:val="459A2B4B"/>
    <w:rsid w:val="45AE56E5"/>
    <w:rsid w:val="45B03BFE"/>
    <w:rsid w:val="45B60586"/>
    <w:rsid w:val="45CC0749"/>
    <w:rsid w:val="45CE0436"/>
    <w:rsid w:val="45D547C7"/>
    <w:rsid w:val="45E74894"/>
    <w:rsid w:val="45F11718"/>
    <w:rsid w:val="461E34FB"/>
    <w:rsid w:val="462112DE"/>
    <w:rsid w:val="463B677F"/>
    <w:rsid w:val="46584AC3"/>
    <w:rsid w:val="46586BBB"/>
    <w:rsid w:val="465B2564"/>
    <w:rsid w:val="465B2C13"/>
    <w:rsid w:val="466361E0"/>
    <w:rsid w:val="46745329"/>
    <w:rsid w:val="46756101"/>
    <w:rsid w:val="467B665C"/>
    <w:rsid w:val="467E1040"/>
    <w:rsid w:val="467F1B7C"/>
    <w:rsid w:val="46837434"/>
    <w:rsid w:val="46874FB5"/>
    <w:rsid w:val="46A67E87"/>
    <w:rsid w:val="46B52D8F"/>
    <w:rsid w:val="46C451FF"/>
    <w:rsid w:val="46D13F56"/>
    <w:rsid w:val="46D73768"/>
    <w:rsid w:val="46DB748E"/>
    <w:rsid w:val="46E00800"/>
    <w:rsid w:val="46E42907"/>
    <w:rsid w:val="46EF4536"/>
    <w:rsid w:val="46F904F8"/>
    <w:rsid w:val="47036384"/>
    <w:rsid w:val="47195940"/>
    <w:rsid w:val="47283218"/>
    <w:rsid w:val="4735189F"/>
    <w:rsid w:val="474273EB"/>
    <w:rsid w:val="47462CC4"/>
    <w:rsid w:val="47497311"/>
    <w:rsid w:val="47534AE8"/>
    <w:rsid w:val="47612048"/>
    <w:rsid w:val="476153EE"/>
    <w:rsid w:val="47881DD7"/>
    <w:rsid w:val="47972FC8"/>
    <w:rsid w:val="47AD369A"/>
    <w:rsid w:val="47B71D4B"/>
    <w:rsid w:val="47BB0D42"/>
    <w:rsid w:val="47BD3358"/>
    <w:rsid w:val="47D7281A"/>
    <w:rsid w:val="47D9039A"/>
    <w:rsid w:val="47DD7218"/>
    <w:rsid w:val="47E5751E"/>
    <w:rsid w:val="47F56FB5"/>
    <w:rsid w:val="48082B32"/>
    <w:rsid w:val="4815529C"/>
    <w:rsid w:val="4832333D"/>
    <w:rsid w:val="48387293"/>
    <w:rsid w:val="483C1399"/>
    <w:rsid w:val="483C692C"/>
    <w:rsid w:val="484A137A"/>
    <w:rsid w:val="484E004A"/>
    <w:rsid w:val="4856426D"/>
    <w:rsid w:val="485A7935"/>
    <w:rsid w:val="48680B85"/>
    <w:rsid w:val="486D3B4B"/>
    <w:rsid w:val="487F0AE0"/>
    <w:rsid w:val="48925F17"/>
    <w:rsid w:val="48974472"/>
    <w:rsid w:val="4898557D"/>
    <w:rsid w:val="489D0D0E"/>
    <w:rsid w:val="48A16470"/>
    <w:rsid w:val="48A27D40"/>
    <w:rsid w:val="48AA37A2"/>
    <w:rsid w:val="48B044FA"/>
    <w:rsid w:val="48BB5D35"/>
    <w:rsid w:val="48C470AA"/>
    <w:rsid w:val="48CB26CB"/>
    <w:rsid w:val="48DB204A"/>
    <w:rsid w:val="48DC5F5F"/>
    <w:rsid w:val="48F505DB"/>
    <w:rsid w:val="492B0536"/>
    <w:rsid w:val="492F19EC"/>
    <w:rsid w:val="493311BF"/>
    <w:rsid w:val="4946107B"/>
    <w:rsid w:val="49590FFD"/>
    <w:rsid w:val="49694ABD"/>
    <w:rsid w:val="497D17F6"/>
    <w:rsid w:val="497D527C"/>
    <w:rsid w:val="49800655"/>
    <w:rsid w:val="49921706"/>
    <w:rsid w:val="49951847"/>
    <w:rsid w:val="49966DC8"/>
    <w:rsid w:val="49994F38"/>
    <w:rsid w:val="49AC3B0D"/>
    <w:rsid w:val="49AD35FC"/>
    <w:rsid w:val="49B5767C"/>
    <w:rsid w:val="49BB5692"/>
    <w:rsid w:val="49BF5FA2"/>
    <w:rsid w:val="49C248DD"/>
    <w:rsid w:val="49D41534"/>
    <w:rsid w:val="49D42828"/>
    <w:rsid w:val="49E1749A"/>
    <w:rsid w:val="49F90D4B"/>
    <w:rsid w:val="4A0E4837"/>
    <w:rsid w:val="4A1D15AB"/>
    <w:rsid w:val="4A554FA8"/>
    <w:rsid w:val="4A616062"/>
    <w:rsid w:val="4A623B85"/>
    <w:rsid w:val="4A6A64C2"/>
    <w:rsid w:val="4A6F336A"/>
    <w:rsid w:val="4A700CF9"/>
    <w:rsid w:val="4A712133"/>
    <w:rsid w:val="4A782BCF"/>
    <w:rsid w:val="4A7850FA"/>
    <w:rsid w:val="4A85354F"/>
    <w:rsid w:val="4AA81784"/>
    <w:rsid w:val="4AA87225"/>
    <w:rsid w:val="4AAF6DD6"/>
    <w:rsid w:val="4AB463CE"/>
    <w:rsid w:val="4AB96C56"/>
    <w:rsid w:val="4ABB00CA"/>
    <w:rsid w:val="4ABC3474"/>
    <w:rsid w:val="4ABC72DF"/>
    <w:rsid w:val="4AD31CEC"/>
    <w:rsid w:val="4AD745A3"/>
    <w:rsid w:val="4ADA101D"/>
    <w:rsid w:val="4ADA66EF"/>
    <w:rsid w:val="4AE87FC6"/>
    <w:rsid w:val="4AF26FD5"/>
    <w:rsid w:val="4AF75E99"/>
    <w:rsid w:val="4AF81F9F"/>
    <w:rsid w:val="4B036BAB"/>
    <w:rsid w:val="4B045962"/>
    <w:rsid w:val="4B0C4228"/>
    <w:rsid w:val="4B0D625E"/>
    <w:rsid w:val="4B203B01"/>
    <w:rsid w:val="4B263DDD"/>
    <w:rsid w:val="4B297D57"/>
    <w:rsid w:val="4B2B17CB"/>
    <w:rsid w:val="4B3A0462"/>
    <w:rsid w:val="4B591900"/>
    <w:rsid w:val="4B5A1582"/>
    <w:rsid w:val="4B5A5E4A"/>
    <w:rsid w:val="4B641B1E"/>
    <w:rsid w:val="4B844162"/>
    <w:rsid w:val="4B854101"/>
    <w:rsid w:val="4B8D1E94"/>
    <w:rsid w:val="4BB25E6F"/>
    <w:rsid w:val="4BB62985"/>
    <w:rsid w:val="4BB72DF0"/>
    <w:rsid w:val="4BBF3B05"/>
    <w:rsid w:val="4BC16CB8"/>
    <w:rsid w:val="4BC46E98"/>
    <w:rsid w:val="4BD95B32"/>
    <w:rsid w:val="4C1045AA"/>
    <w:rsid w:val="4C1665C6"/>
    <w:rsid w:val="4C2A0254"/>
    <w:rsid w:val="4C2A62E8"/>
    <w:rsid w:val="4C387FEA"/>
    <w:rsid w:val="4C41408F"/>
    <w:rsid w:val="4C617EA0"/>
    <w:rsid w:val="4C6C058F"/>
    <w:rsid w:val="4C742C79"/>
    <w:rsid w:val="4C81376E"/>
    <w:rsid w:val="4C822C8D"/>
    <w:rsid w:val="4C8D63BF"/>
    <w:rsid w:val="4CA24D1D"/>
    <w:rsid w:val="4CB93537"/>
    <w:rsid w:val="4CCE340B"/>
    <w:rsid w:val="4CD170E8"/>
    <w:rsid w:val="4CDB2ED1"/>
    <w:rsid w:val="4CE40296"/>
    <w:rsid w:val="4CE83472"/>
    <w:rsid w:val="4CED0A5E"/>
    <w:rsid w:val="4CFD2DA9"/>
    <w:rsid w:val="4D010936"/>
    <w:rsid w:val="4D0D702D"/>
    <w:rsid w:val="4D146429"/>
    <w:rsid w:val="4D2B37A9"/>
    <w:rsid w:val="4D3B22CD"/>
    <w:rsid w:val="4D3F2287"/>
    <w:rsid w:val="4D496228"/>
    <w:rsid w:val="4D521DFA"/>
    <w:rsid w:val="4D617E6D"/>
    <w:rsid w:val="4D661B93"/>
    <w:rsid w:val="4D78531A"/>
    <w:rsid w:val="4D7F6329"/>
    <w:rsid w:val="4D897CEC"/>
    <w:rsid w:val="4D8D71BC"/>
    <w:rsid w:val="4DA8587B"/>
    <w:rsid w:val="4DAF7F7D"/>
    <w:rsid w:val="4DB972EA"/>
    <w:rsid w:val="4DDF7306"/>
    <w:rsid w:val="4DE87C74"/>
    <w:rsid w:val="4DEB6BA2"/>
    <w:rsid w:val="4DF1750B"/>
    <w:rsid w:val="4DF2189D"/>
    <w:rsid w:val="4DF56B12"/>
    <w:rsid w:val="4DFE6DA4"/>
    <w:rsid w:val="4E0447E4"/>
    <w:rsid w:val="4E054EF1"/>
    <w:rsid w:val="4E0B28BA"/>
    <w:rsid w:val="4E0D21CB"/>
    <w:rsid w:val="4E273DF2"/>
    <w:rsid w:val="4E275E1F"/>
    <w:rsid w:val="4E2D718E"/>
    <w:rsid w:val="4E324791"/>
    <w:rsid w:val="4E3A332D"/>
    <w:rsid w:val="4E3B0B12"/>
    <w:rsid w:val="4E457CFC"/>
    <w:rsid w:val="4E494054"/>
    <w:rsid w:val="4E5035B9"/>
    <w:rsid w:val="4E5D6EB6"/>
    <w:rsid w:val="4E764269"/>
    <w:rsid w:val="4E796130"/>
    <w:rsid w:val="4E8619E7"/>
    <w:rsid w:val="4E894E7D"/>
    <w:rsid w:val="4ED07F80"/>
    <w:rsid w:val="4ED22AD6"/>
    <w:rsid w:val="4ED25FDC"/>
    <w:rsid w:val="4EDB7BE2"/>
    <w:rsid w:val="4EE143E2"/>
    <w:rsid w:val="4EE30C74"/>
    <w:rsid w:val="4EEC5DC2"/>
    <w:rsid w:val="4EF917AA"/>
    <w:rsid w:val="4EF96C36"/>
    <w:rsid w:val="4EFA1A63"/>
    <w:rsid w:val="4F053BD8"/>
    <w:rsid w:val="4F1064A1"/>
    <w:rsid w:val="4F2E4B36"/>
    <w:rsid w:val="4F3C5038"/>
    <w:rsid w:val="4F524FE5"/>
    <w:rsid w:val="4F5A6B06"/>
    <w:rsid w:val="4F5C69D0"/>
    <w:rsid w:val="4F6C544F"/>
    <w:rsid w:val="4F730BAE"/>
    <w:rsid w:val="4F774221"/>
    <w:rsid w:val="4F7A017A"/>
    <w:rsid w:val="4F8417E0"/>
    <w:rsid w:val="4F921F77"/>
    <w:rsid w:val="4FA249BB"/>
    <w:rsid w:val="4FA56D18"/>
    <w:rsid w:val="4FBF4191"/>
    <w:rsid w:val="4FCB09D8"/>
    <w:rsid w:val="4FCB2AB8"/>
    <w:rsid w:val="4FDD33DB"/>
    <w:rsid w:val="4FE54559"/>
    <w:rsid w:val="4FF41CD9"/>
    <w:rsid w:val="4FFE322B"/>
    <w:rsid w:val="4FFE60A7"/>
    <w:rsid w:val="4FFF545A"/>
    <w:rsid w:val="500510D1"/>
    <w:rsid w:val="500B69CE"/>
    <w:rsid w:val="500E0FC3"/>
    <w:rsid w:val="501F34AD"/>
    <w:rsid w:val="503F7E98"/>
    <w:rsid w:val="504F15D1"/>
    <w:rsid w:val="507B7075"/>
    <w:rsid w:val="507F6E5B"/>
    <w:rsid w:val="50801A86"/>
    <w:rsid w:val="50843B54"/>
    <w:rsid w:val="5084607C"/>
    <w:rsid w:val="5087019C"/>
    <w:rsid w:val="509324F6"/>
    <w:rsid w:val="50AA4569"/>
    <w:rsid w:val="50AC191A"/>
    <w:rsid w:val="50AD363E"/>
    <w:rsid w:val="50C1453A"/>
    <w:rsid w:val="50C432C4"/>
    <w:rsid w:val="50CC7055"/>
    <w:rsid w:val="50D06BF1"/>
    <w:rsid w:val="50D35C50"/>
    <w:rsid w:val="50E0284F"/>
    <w:rsid w:val="50E047FE"/>
    <w:rsid w:val="50E06B31"/>
    <w:rsid w:val="50E4060D"/>
    <w:rsid w:val="50E536AE"/>
    <w:rsid w:val="50EA3832"/>
    <w:rsid w:val="50ED7405"/>
    <w:rsid w:val="50F0306A"/>
    <w:rsid w:val="50F52B7F"/>
    <w:rsid w:val="50FC79A0"/>
    <w:rsid w:val="51011B51"/>
    <w:rsid w:val="510630D2"/>
    <w:rsid w:val="5108514E"/>
    <w:rsid w:val="512750E6"/>
    <w:rsid w:val="512D661B"/>
    <w:rsid w:val="514D180D"/>
    <w:rsid w:val="51567810"/>
    <w:rsid w:val="5171036C"/>
    <w:rsid w:val="51945B03"/>
    <w:rsid w:val="51950E91"/>
    <w:rsid w:val="51B43428"/>
    <w:rsid w:val="51CB2777"/>
    <w:rsid w:val="51CB522C"/>
    <w:rsid w:val="51DC5C72"/>
    <w:rsid w:val="51E55C99"/>
    <w:rsid w:val="52084C12"/>
    <w:rsid w:val="52131673"/>
    <w:rsid w:val="521A5044"/>
    <w:rsid w:val="522354C4"/>
    <w:rsid w:val="52285BEE"/>
    <w:rsid w:val="52365551"/>
    <w:rsid w:val="52460CA3"/>
    <w:rsid w:val="52680BFF"/>
    <w:rsid w:val="5271423C"/>
    <w:rsid w:val="52762A2B"/>
    <w:rsid w:val="528270C2"/>
    <w:rsid w:val="529A6C72"/>
    <w:rsid w:val="52A736F9"/>
    <w:rsid w:val="52AB3F4D"/>
    <w:rsid w:val="52B33BDC"/>
    <w:rsid w:val="52B434C6"/>
    <w:rsid w:val="52C87D18"/>
    <w:rsid w:val="52CD4DEE"/>
    <w:rsid w:val="52D007C3"/>
    <w:rsid w:val="52D34D35"/>
    <w:rsid w:val="52E9496A"/>
    <w:rsid w:val="52EB2434"/>
    <w:rsid w:val="52FB230E"/>
    <w:rsid w:val="52FC6F5F"/>
    <w:rsid w:val="52FE7E6C"/>
    <w:rsid w:val="531418AE"/>
    <w:rsid w:val="53250243"/>
    <w:rsid w:val="5333696C"/>
    <w:rsid w:val="53385012"/>
    <w:rsid w:val="536C28D1"/>
    <w:rsid w:val="536D174D"/>
    <w:rsid w:val="536E2857"/>
    <w:rsid w:val="537E2CA8"/>
    <w:rsid w:val="5381408B"/>
    <w:rsid w:val="538357A7"/>
    <w:rsid w:val="53907BCB"/>
    <w:rsid w:val="539C47DB"/>
    <w:rsid w:val="53AD224A"/>
    <w:rsid w:val="53B603DC"/>
    <w:rsid w:val="53B67B60"/>
    <w:rsid w:val="53B8749A"/>
    <w:rsid w:val="53BE1C17"/>
    <w:rsid w:val="53CF3238"/>
    <w:rsid w:val="53D73191"/>
    <w:rsid w:val="53DF48D5"/>
    <w:rsid w:val="53ED6E6F"/>
    <w:rsid w:val="540253B3"/>
    <w:rsid w:val="54193EB2"/>
    <w:rsid w:val="541E1948"/>
    <w:rsid w:val="54275A2A"/>
    <w:rsid w:val="54365916"/>
    <w:rsid w:val="544C2D66"/>
    <w:rsid w:val="54600756"/>
    <w:rsid w:val="546432CE"/>
    <w:rsid w:val="546557E5"/>
    <w:rsid w:val="54701901"/>
    <w:rsid w:val="547565C0"/>
    <w:rsid w:val="54780A20"/>
    <w:rsid w:val="54C3175A"/>
    <w:rsid w:val="54DE0561"/>
    <w:rsid w:val="55044D0F"/>
    <w:rsid w:val="550B15A7"/>
    <w:rsid w:val="55144508"/>
    <w:rsid w:val="551848D1"/>
    <w:rsid w:val="551C42A6"/>
    <w:rsid w:val="55344AB0"/>
    <w:rsid w:val="5536730A"/>
    <w:rsid w:val="55377AD1"/>
    <w:rsid w:val="553E113E"/>
    <w:rsid w:val="5540237D"/>
    <w:rsid w:val="555518AD"/>
    <w:rsid w:val="55667A85"/>
    <w:rsid w:val="55716CD3"/>
    <w:rsid w:val="55761DEC"/>
    <w:rsid w:val="55776979"/>
    <w:rsid w:val="55790BCE"/>
    <w:rsid w:val="55913F7C"/>
    <w:rsid w:val="559D7A1C"/>
    <w:rsid w:val="55AB6ACF"/>
    <w:rsid w:val="55C01BA4"/>
    <w:rsid w:val="55C36371"/>
    <w:rsid w:val="55C41BF7"/>
    <w:rsid w:val="56127BAF"/>
    <w:rsid w:val="56176400"/>
    <w:rsid w:val="56193A1B"/>
    <w:rsid w:val="561C280F"/>
    <w:rsid w:val="562C5CA2"/>
    <w:rsid w:val="56365852"/>
    <w:rsid w:val="563D1425"/>
    <w:rsid w:val="563F174E"/>
    <w:rsid w:val="56495CB7"/>
    <w:rsid w:val="564A0DC5"/>
    <w:rsid w:val="564A1FCE"/>
    <w:rsid w:val="564E3E87"/>
    <w:rsid w:val="56567E26"/>
    <w:rsid w:val="565A4801"/>
    <w:rsid w:val="56605189"/>
    <w:rsid w:val="5665180E"/>
    <w:rsid w:val="566C32B4"/>
    <w:rsid w:val="567337C7"/>
    <w:rsid w:val="567B79EB"/>
    <w:rsid w:val="569E221B"/>
    <w:rsid w:val="56B27F3E"/>
    <w:rsid w:val="56B605A5"/>
    <w:rsid w:val="56CC3113"/>
    <w:rsid w:val="56CF0992"/>
    <w:rsid w:val="56D3618E"/>
    <w:rsid w:val="56E84067"/>
    <w:rsid w:val="570B1D0C"/>
    <w:rsid w:val="570E2542"/>
    <w:rsid w:val="57105F22"/>
    <w:rsid w:val="571628AF"/>
    <w:rsid w:val="57190023"/>
    <w:rsid w:val="572478E2"/>
    <w:rsid w:val="57286DAB"/>
    <w:rsid w:val="572A0645"/>
    <w:rsid w:val="573F2FA4"/>
    <w:rsid w:val="574861C5"/>
    <w:rsid w:val="574F31E1"/>
    <w:rsid w:val="5763331E"/>
    <w:rsid w:val="576A0E17"/>
    <w:rsid w:val="576D542E"/>
    <w:rsid w:val="579B29DB"/>
    <w:rsid w:val="57A81360"/>
    <w:rsid w:val="57C61FCE"/>
    <w:rsid w:val="57CD6EFE"/>
    <w:rsid w:val="57D207B6"/>
    <w:rsid w:val="57EB1098"/>
    <w:rsid w:val="57ED7304"/>
    <w:rsid w:val="57F80D77"/>
    <w:rsid w:val="57FC04B2"/>
    <w:rsid w:val="580E5DA3"/>
    <w:rsid w:val="58167A35"/>
    <w:rsid w:val="581C39F0"/>
    <w:rsid w:val="58245DB2"/>
    <w:rsid w:val="58260813"/>
    <w:rsid w:val="583160C4"/>
    <w:rsid w:val="5837577C"/>
    <w:rsid w:val="584717C2"/>
    <w:rsid w:val="585579F7"/>
    <w:rsid w:val="58765A48"/>
    <w:rsid w:val="5883673E"/>
    <w:rsid w:val="58866DB9"/>
    <w:rsid w:val="588C3FB5"/>
    <w:rsid w:val="588D1F1F"/>
    <w:rsid w:val="589C20F4"/>
    <w:rsid w:val="58A0117C"/>
    <w:rsid w:val="58A02642"/>
    <w:rsid w:val="58AB5F44"/>
    <w:rsid w:val="58AC4087"/>
    <w:rsid w:val="58AD7C1E"/>
    <w:rsid w:val="58AE77FC"/>
    <w:rsid w:val="58B53257"/>
    <w:rsid w:val="58C23DE8"/>
    <w:rsid w:val="58C62CAE"/>
    <w:rsid w:val="58CD5DCD"/>
    <w:rsid w:val="58E76EAA"/>
    <w:rsid w:val="58E876F8"/>
    <w:rsid w:val="58EF2929"/>
    <w:rsid w:val="58F4772C"/>
    <w:rsid w:val="58F55475"/>
    <w:rsid w:val="5909230E"/>
    <w:rsid w:val="590A238B"/>
    <w:rsid w:val="5917121F"/>
    <w:rsid w:val="591D1ECE"/>
    <w:rsid w:val="59303B88"/>
    <w:rsid w:val="594D4198"/>
    <w:rsid w:val="596E1E52"/>
    <w:rsid w:val="5974413B"/>
    <w:rsid w:val="597B41FB"/>
    <w:rsid w:val="59811429"/>
    <w:rsid w:val="59814F7A"/>
    <w:rsid w:val="59963629"/>
    <w:rsid w:val="59A954D6"/>
    <w:rsid w:val="59BF504A"/>
    <w:rsid w:val="59D01A6D"/>
    <w:rsid w:val="59D0629F"/>
    <w:rsid w:val="59E60AE1"/>
    <w:rsid w:val="59E65B63"/>
    <w:rsid w:val="59FC225C"/>
    <w:rsid w:val="59FC7713"/>
    <w:rsid w:val="59FE4ABB"/>
    <w:rsid w:val="5A007265"/>
    <w:rsid w:val="5A0E23DB"/>
    <w:rsid w:val="5A231AC2"/>
    <w:rsid w:val="5A310067"/>
    <w:rsid w:val="5A3B4856"/>
    <w:rsid w:val="5A534768"/>
    <w:rsid w:val="5A5930CA"/>
    <w:rsid w:val="5A5C0A1F"/>
    <w:rsid w:val="5A8955AF"/>
    <w:rsid w:val="5AA251E6"/>
    <w:rsid w:val="5AAD3CEF"/>
    <w:rsid w:val="5AB16450"/>
    <w:rsid w:val="5ACB4EEC"/>
    <w:rsid w:val="5ACD2AC8"/>
    <w:rsid w:val="5AD32754"/>
    <w:rsid w:val="5ADE17A9"/>
    <w:rsid w:val="5AEA58A1"/>
    <w:rsid w:val="5AF06D6E"/>
    <w:rsid w:val="5AF552C4"/>
    <w:rsid w:val="5B0567F2"/>
    <w:rsid w:val="5B07173B"/>
    <w:rsid w:val="5B110B78"/>
    <w:rsid w:val="5B1374B1"/>
    <w:rsid w:val="5B1661ED"/>
    <w:rsid w:val="5B200B71"/>
    <w:rsid w:val="5B2F2DE4"/>
    <w:rsid w:val="5B47501F"/>
    <w:rsid w:val="5B506F99"/>
    <w:rsid w:val="5B586B25"/>
    <w:rsid w:val="5B7230ED"/>
    <w:rsid w:val="5B771706"/>
    <w:rsid w:val="5B807034"/>
    <w:rsid w:val="5B8153FB"/>
    <w:rsid w:val="5BA73EE2"/>
    <w:rsid w:val="5BA9593B"/>
    <w:rsid w:val="5BB7666F"/>
    <w:rsid w:val="5BBB0088"/>
    <w:rsid w:val="5BC333BC"/>
    <w:rsid w:val="5BC616E3"/>
    <w:rsid w:val="5BD73A7F"/>
    <w:rsid w:val="5BED6F4A"/>
    <w:rsid w:val="5BF66B49"/>
    <w:rsid w:val="5C045C36"/>
    <w:rsid w:val="5C362E9D"/>
    <w:rsid w:val="5C457203"/>
    <w:rsid w:val="5C49705F"/>
    <w:rsid w:val="5C4A1567"/>
    <w:rsid w:val="5C505487"/>
    <w:rsid w:val="5C533B03"/>
    <w:rsid w:val="5C78087D"/>
    <w:rsid w:val="5C7A1980"/>
    <w:rsid w:val="5C8A59C8"/>
    <w:rsid w:val="5CA61E20"/>
    <w:rsid w:val="5CAF25EF"/>
    <w:rsid w:val="5CB35BC5"/>
    <w:rsid w:val="5CC14995"/>
    <w:rsid w:val="5CC43A65"/>
    <w:rsid w:val="5CCA507C"/>
    <w:rsid w:val="5CD3738E"/>
    <w:rsid w:val="5CDF4A83"/>
    <w:rsid w:val="5CE13344"/>
    <w:rsid w:val="5D2C3E5A"/>
    <w:rsid w:val="5D5A4CE6"/>
    <w:rsid w:val="5D7C348F"/>
    <w:rsid w:val="5DC104AA"/>
    <w:rsid w:val="5DC47B64"/>
    <w:rsid w:val="5DC70BDC"/>
    <w:rsid w:val="5DDE50FB"/>
    <w:rsid w:val="5DE128B7"/>
    <w:rsid w:val="5DE73600"/>
    <w:rsid w:val="5DEA527B"/>
    <w:rsid w:val="5DF54A43"/>
    <w:rsid w:val="5E052968"/>
    <w:rsid w:val="5E0D5F92"/>
    <w:rsid w:val="5E217268"/>
    <w:rsid w:val="5E3D5F7C"/>
    <w:rsid w:val="5E5A1110"/>
    <w:rsid w:val="5E616F2D"/>
    <w:rsid w:val="5E6E7A01"/>
    <w:rsid w:val="5E710639"/>
    <w:rsid w:val="5EA03A56"/>
    <w:rsid w:val="5EA17018"/>
    <w:rsid w:val="5EAB2037"/>
    <w:rsid w:val="5EB71C9C"/>
    <w:rsid w:val="5EBD5A8C"/>
    <w:rsid w:val="5ED82EFF"/>
    <w:rsid w:val="5EDF277D"/>
    <w:rsid w:val="5EE04748"/>
    <w:rsid w:val="5F024A3E"/>
    <w:rsid w:val="5F026C79"/>
    <w:rsid w:val="5F086F8E"/>
    <w:rsid w:val="5F10472F"/>
    <w:rsid w:val="5F132FD3"/>
    <w:rsid w:val="5F1753EF"/>
    <w:rsid w:val="5F2C5CBB"/>
    <w:rsid w:val="5F2E2C7D"/>
    <w:rsid w:val="5F3A7040"/>
    <w:rsid w:val="5F490292"/>
    <w:rsid w:val="5F563661"/>
    <w:rsid w:val="5F7A5459"/>
    <w:rsid w:val="5F855458"/>
    <w:rsid w:val="5F8930B2"/>
    <w:rsid w:val="5F9F5B1D"/>
    <w:rsid w:val="5FA9475C"/>
    <w:rsid w:val="5FB764CF"/>
    <w:rsid w:val="5FBC3CFE"/>
    <w:rsid w:val="5FC55060"/>
    <w:rsid w:val="5FC81B85"/>
    <w:rsid w:val="5FCD6D01"/>
    <w:rsid w:val="5FE72417"/>
    <w:rsid w:val="5FE737C0"/>
    <w:rsid w:val="600F2B39"/>
    <w:rsid w:val="601F751B"/>
    <w:rsid w:val="60273FDE"/>
    <w:rsid w:val="60376CFC"/>
    <w:rsid w:val="60472C3A"/>
    <w:rsid w:val="607140D0"/>
    <w:rsid w:val="607D34DA"/>
    <w:rsid w:val="60852CCE"/>
    <w:rsid w:val="60866FC5"/>
    <w:rsid w:val="60880163"/>
    <w:rsid w:val="6088786F"/>
    <w:rsid w:val="608973B8"/>
    <w:rsid w:val="60A3490B"/>
    <w:rsid w:val="60A65036"/>
    <w:rsid w:val="60D3357A"/>
    <w:rsid w:val="60DE464C"/>
    <w:rsid w:val="60E03EFA"/>
    <w:rsid w:val="610142AB"/>
    <w:rsid w:val="610A00CE"/>
    <w:rsid w:val="61155851"/>
    <w:rsid w:val="61205B8C"/>
    <w:rsid w:val="61277E71"/>
    <w:rsid w:val="61550CC1"/>
    <w:rsid w:val="615922E4"/>
    <w:rsid w:val="61643FCD"/>
    <w:rsid w:val="617048F7"/>
    <w:rsid w:val="61707ED7"/>
    <w:rsid w:val="61724738"/>
    <w:rsid w:val="61814313"/>
    <w:rsid w:val="61821264"/>
    <w:rsid w:val="61A87651"/>
    <w:rsid w:val="61AC3F39"/>
    <w:rsid w:val="61BD5AE8"/>
    <w:rsid w:val="61E84CBE"/>
    <w:rsid w:val="61EB219C"/>
    <w:rsid w:val="61F21F33"/>
    <w:rsid w:val="6237573F"/>
    <w:rsid w:val="62405210"/>
    <w:rsid w:val="624D1200"/>
    <w:rsid w:val="624F517C"/>
    <w:rsid w:val="62532BE3"/>
    <w:rsid w:val="62843B1F"/>
    <w:rsid w:val="629532C2"/>
    <w:rsid w:val="62A849E9"/>
    <w:rsid w:val="62C96C1C"/>
    <w:rsid w:val="62E26E6C"/>
    <w:rsid w:val="62E316D0"/>
    <w:rsid w:val="63000919"/>
    <w:rsid w:val="631708CE"/>
    <w:rsid w:val="631B2E02"/>
    <w:rsid w:val="631E09AF"/>
    <w:rsid w:val="63210676"/>
    <w:rsid w:val="632424C1"/>
    <w:rsid w:val="632457CD"/>
    <w:rsid w:val="634C3F40"/>
    <w:rsid w:val="634F395F"/>
    <w:rsid w:val="635C1D50"/>
    <w:rsid w:val="63613007"/>
    <w:rsid w:val="6362619B"/>
    <w:rsid w:val="63703AED"/>
    <w:rsid w:val="63862258"/>
    <w:rsid w:val="639075E2"/>
    <w:rsid w:val="63957971"/>
    <w:rsid w:val="639808F7"/>
    <w:rsid w:val="63A669C9"/>
    <w:rsid w:val="63CB179D"/>
    <w:rsid w:val="63D157DD"/>
    <w:rsid w:val="63E93CBF"/>
    <w:rsid w:val="63F320A2"/>
    <w:rsid w:val="63F61AD4"/>
    <w:rsid w:val="63FF6C76"/>
    <w:rsid w:val="64004618"/>
    <w:rsid w:val="64026086"/>
    <w:rsid w:val="64073EDA"/>
    <w:rsid w:val="640D111D"/>
    <w:rsid w:val="64156BCB"/>
    <w:rsid w:val="641854A2"/>
    <w:rsid w:val="64284D06"/>
    <w:rsid w:val="64402B34"/>
    <w:rsid w:val="64532BB0"/>
    <w:rsid w:val="646A467D"/>
    <w:rsid w:val="646D2223"/>
    <w:rsid w:val="647D193B"/>
    <w:rsid w:val="647F5CA1"/>
    <w:rsid w:val="6486038C"/>
    <w:rsid w:val="649F0473"/>
    <w:rsid w:val="64A65BB3"/>
    <w:rsid w:val="64C62351"/>
    <w:rsid w:val="64D64573"/>
    <w:rsid w:val="64D869FA"/>
    <w:rsid w:val="64D947CF"/>
    <w:rsid w:val="65020B1F"/>
    <w:rsid w:val="650414B6"/>
    <w:rsid w:val="65130F31"/>
    <w:rsid w:val="651E2EA8"/>
    <w:rsid w:val="65214347"/>
    <w:rsid w:val="65260478"/>
    <w:rsid w:val="653F637B"/>
    <w:rsid w:val="65792C9B"/>
    <w:rsid w:val="658A0863"/>
    <w:rsid w:val="658E643A"/>
    <w:rsid w:val="6590782D"/>
    <w:rsid w:val="659E2325"/>
    <w:rsid w:val="65A03D06"/>
    <w:rsid w:val="65A229CA"/>
    <w:rsid w:val="65B323F3"/>
    <w:rsid w:val="65B40A60"/>
    <w:rsid w:val="65CF78AC"/>
    <w:rsid w:val="65E01DC6"/>
    <w:rsid w:val="65E31996"/>
    <w:rsid w:val="65E6308E"/>
    <w:rsid w:val="65EE2CF5"/>
    <w:rsid w:val="660D6812"/>
    <w:rsid w:val="660F2269"/>
    <w:rsid w:val="66196C36"/>
    <w:rsid w:val="66633582"/>
    <w:rsid w:val="66651BDC"/>
    <w:rsid w:val="666D0DF2"/>
    <w:rsid w:val="66744D9F"/>
    <w:rsid w:val="667D0668"/>
    <w:rsid w:val="66817815"/>
    <w:rsid w:val="66832E6F"/>
    <w:rsid w:val="669A088D"/>
    <w:rsid w:val="669C5E53"/>
    <w:rsid w:val="669E4A4E"/>
    <w:rsid w:val="66B05B18"/>
    <w:rsid w:val="66C43DC9"/>
    <w:rsid w:val="66D400FB"/>
    <w:rsid w:val="66D570E2"/>
    <w:rsid w:val="66E02C5B"/>
    <w:rsid w:val="66F425CE"/>
    <w:rsid w:val="66FA7FAF"/>
    <w:rsid w:val="670A28A8"/>
    <w:rsid w:val="670A76B6"/>
    <w:rsid w:val="671110C2"/>
    <w:rsid w:val="671A3B7C"/>
    <w:rsid w:val="671A5EC6"/>
    <w:rsid w:val="672B7CC7"/>
    <w:rsid w:val="67414388"/>
    <w:rsid w:val="675024EE"/>
    <w:rsid w:val="6758406F"/>
    <w:rsid w:val="67591A5A"/>
    <w:rsid w:val="676A667F"/>
    <w:rsid w:val="67977CD1"/>
    <w:rsid w:val="67B93427"/>
    <w:rsid w:val="67BC2E40"/>
    <w:rsid w:val="67D806ED"/>
    <w:rsid w:val="67DA1E3B"/>
    <w:rsid w:val="67DD1918"/>
    <w:rsid w:val="67E91C4C"/>
    <w:rsid w:val="67E944A6"/>
    <w:rsid w:val="67F6367D"/>
    <w:rsid w:val="687703E8"/>
    <w:rsid w:val="688C27B2"/>
    <w:rsid w:val="68934D5C"/>
    <w:rsid w:val="689748C0"/>
    <w:rsid w:val="68975E67"/>
    <w:rsid w:val="689B3943"/>
    <w:rsid w:val="68A4441D"/>
    <w:rsid w:val="68A92BBB"/>
    <w:rsid w:val="68AA3189"/>
    <w:rsid w:val="68B06589"/>
    <w:rsid w:val="68B87AA8"/>
    <w:rsid w:val="68C4047A"/>
    <w:rsid w:val="68CE79E9"/>
    <w:rsid w:val="68CF5FBA"/>
    <w:rsid w:val="68E032BE"/>
    <w:rsid w:val="68E84832"/>
    <w:rsid w:val="68EF4322"/>
    <w:rsid w:val="68F30974"/>
    <w:rsid w:val="68F6064D"/>
    <w:rsid w:val="68FA155B"/>
    <w:rsid w:val="690B782E"/>
    <w:rsid w:val="69381330"/>
    <w:rsid w:val="693B5849"/>
    <w:rsid w:val="69476849"/>
    <w:rsid w:val="694A6159"/>
    <w:rsid w:val="694C06A9"/>
    <w:rsid w:val="69611532"/>
    <w:rsid w:val="697D5A91"/>
    <w:rsid w:val="6999071C"/>
    <w:rsid w:val="69AE1E1C"/>
    <w:rsid w:val="69BF39B8"/>
    <w:rsid w:val="69C33F35"/>
    <w:rsid w:val="69C52D46"/>
    <w:rsid w:val="69C93673"/>
    <w:rsid w:val="69CD7DC8"/>
    <w:rsid w:val="69EF3AA6"/>
    <w:rsid w:val="69FD3BAD"/>
    <w:rsid w:val="6A152E7C"/>
    <w:rsid w:val="6A252E23"/>
    <w:rsid w:val="6A283947"/>
    <w:rsid w:val="6A2B7A6E"/>
    <w:rsid w:val="6A334ED5"/>
    <w:rsid w:val="6A4609B2"/>
    <w:rsid w:val="6A516637"/>
    <w:rsid w:val="6A534F45"/>
    <w:rsid w:val="6A6125E1"/>
    <w:rsid w:val="6A645A26"/>
    <w:rsid w:val="6A655D02"/>
    <w:rsid w:val="6A6F2A4D"/>
    <w:rsid w:val="6A910026"/>
    <w:rsid w:val="6A9A4C08"/>
    <w:rsid w:val="6AA1438C"/>
    <w:rsid w:val="6AA33636"/>
    <w:rsid w:val="6AA52A44"/>
    <w:rsid w:val="6AA9148D"/>
    <w:rsid w:val="6ADA058D"/>
    <w:rsid w:val="6ADB53D5"/>
    <w:rsid w:val="6AF55F2D"/>
    <w:rsid w:val="6AF620F3"/>
    <w:rsid w:val="6B210699"/>
    <w:rsid w:val="6B305200"/>
    <w:rsid w:val="6B5B3E77"/>
    <w:rsid w:val="6B63682C"/>
    <w:rsid w:val="6B7278F9"/>
    <w:rsid w:val="6B76781E"/>
    <w:rsid w:val="6B806B86"/>
    <w:rsid w:val="6B912284"/>
    <w:rsid w:val="6B9504F2"/>
    <w:rsid w:val="6BA023E9"/>
    <w:rsid w:val="6BA45F22"/>
    <w:rsid w:val="6BAF11DE"/>
    <w:rsid w:val="6BB248AE"/>
    <w:rsid w:val="6BC03BE4"/>
    <w:rsid w:val="6C0333AB"/>
    <w:rsid w:val="6C0F32DC"/>
    <w:rsid w:val="6C122F2C"/>
    <w:rsid w:val="6C1848DF"/>
    <w:rsid w:val="6C1D2F9F"/>
    <w:rsid w:val="6C206F72"/>
    <w:rsid w:val="6C2C6A38"/>
    <w:rsid w:val="6C3810A1"/>
    <w:rsid w:val="6C3A5834"/>
    <w:rsid w:val="6C4E22D9"/>
    <w:rsid w:val="6C530186"/>
    <w:rsid w:val="6C545E29"/>
    <w:rsid w:val="6C570C04"/>
    <w:rsid w:val="6C5A228B"/>
    <w:rsid w:val="6C5D23B9"/>
    <w:rsid w:val="6C7A54AF"/>
    <w:rsid w:val="6C8576CF"/>
    <w:rsid w:val="6C906DBE"/>
    <w:rsid w:val="6C940191"/>
    <w:rsid w:val="6C945EC1"/>
    <w:rsid w:val="6C9B5343"/>
    <w:rsid w:val="6C9C771D"/>
    <w:rsid w:val="6CA80F7D"/>
    <w:rsid w:val="6CAE4DC9"/>
    <w:rsid w:val="6CB8006D"/>
    <w:rsid w:val="6CC97D25"/>
    <w:rsid w:val="6CDB120E"/>
    <w:rsid w:val="6CE056C8"/>
    <w:rsid w:val="6CF57915"/>
    <w:rsid w:val="6D0E445B"/>
    <w:rsid w:val="6D154B26"/>
    <w:rsid w:val="6D320AEC"/>
    <w:rsid w:val="6D4315B7"/>
    <w:rsid w:val="6D441015"/>
    <w:rsid w:val="6D476697"/>
    <w:rsid w:val="6D4F17DC"/>
    <w:rsid w:val="6D50460F"/>
    <w:rsid w:val="6D6171C7"/>
    <w:rsid w:val="6D64106F"/>
    <w:rsid w:val="6D663BF9"/>
    <w:rsid w:val="6D6C22C0"/>
    <w:rsid w:val="6D7E41EB"/>
    <w:rsid w:val="6D885DEA"/>
    <w:rsid w:val="6D910891"/>
    <w:rsid w:val="6DA7006F"/>
    <w:rsid w:val="6DAC4AC0"/>
    <w:rsid w:val="6DBE2D94"/>
    <w:rsid w:val="6DCC42B3"/>
    <w:rsid w:val="6DEB30B5"/>
    <w:rsid w:val="6DF96AE0"/>
    <w:rsid w:val="6DFB2674"/>
    <w:rsid w:val="6E094A2E"/>
    <w:rsid w:val="6E0E6F67"/>
    <w:rsid w:val="6E1B1D04"/>
    <w:rsid w:val="6E4F65C4"/>
    <w:rsid w:val="6E753AFC"/>
    <w:rsid w:val="6E780D25"/>
    <w:rsid w:val="6E8D5AE2"/>
    <w:rsid w:val="6E8D6F92"/>
    <w:rsid w:val="6EB4252C"/>
    <w:rsid w:val="6EB85FF9"/>
    <w:rsid w:val="6EC7506B"/>
    <w:rsid w:val="6ECC79E0"/>
    <w:rsid w:val="6ECD3F4B"/>
    <w:rsid w:val="6EE11FA9"/>
    <w:rsid w:val="6EFC3D84"/>
    <w:rsid w:val="6EFC62C8"/>
    <w:rsid w:val="6F2171A4"/>
    <w:rsid w:val="6F5372B3"/>
    <w:rsid w:val="6F541627"/>
    <w:rsid w:val="6F547652"/>
    <w:rsid w:val="6F610BEC"/>
    <w:rsid w:val="6F6A6988"/>
    <w:rsid w:val="6F79580D"/>
    <w:rsid w:val="6F7D12F4"/>
    <w:rsid w:val="6F9375EA"/>
    <w:rsid w:val="6F9F5811"/>
    <w:rsid w:val="6FAE0351"/>
    <w:rsid w:val="6FB369C1"/>
    <w:rsid w:val="6FC54716"/>
    <w:rsid w:val="6FC55C8A"/>
    <w:rsid w:val="6FC707AD"/>
    <w:rsid w:val="6FCA41E1"/>
    <w:rsid w:val="6FCF6A53"/>
    <w:rsid w:val="6FD33F3E"/>
    <w:rsid w:val="6FD44871"/>
    <w:rsid w:val="6FD96315"/>
    <w:rsid w:val="6FDE0649"/>
    <w:rsid w:val="6FE517B6"/>
    <w:rsid w:val="6FEA0BD4"/>
    <w:rsid w:val="6FFA1C6B"/>
    <w:rsid w:val="6FFA5B14"/>
    <w:rsid w:val="70201662"/>
    <w:rsid w:val="7024187D"/>
    <w:rsid w:val="70257AF8"/>
    <w:rsid w:val="7043389A"/>
    <w:rsid w:val="70503F25"/>
    <w:rsid w:val="70513947"/>
    <w:rsid w:val="70526725"/>
    <w:rsid w:val="705A4DB3"/>
    <w:rsid w:val="705E7338"/>
    <w:rsid w:val="707E3635"/>
    <w:rsid w:val="70870E3F"/>
    <w:rsid w:val="709B29A8"/>
    <w:rsid w:val="70B54D0D"/>
    <w:rsid w:val="70C81BA2"/>
    <w:rsid w:val="70CE1D3A"/>
    <w:rsid w:val="70D728AB"/>
    <w:rsid w:val="70E04AB7"/>
    <w:rsid w:val="70E752F8"/>
    <w:rsid w:val="70EE5669"/>
    <w:rsid w:val="70F00542"/>
    <w:rsid w:val="71054859"/>
    <w:rsid w:val="71084A5A"/>
    <w:rsid w:val="710B3E50"/>
    <w:rsid w:val="71234CD4"/>
    <w:rsid w:val="712D5E72"/>
    <w:rsid w:val="7135050C"/>
    <w:rsid w:val="71383FA3"/>
    <w:rsid w:val="71434BED"/>
    <w:rsid w:val="714D544E"/>
    <w:rsid w:val="71560B60"/>
    <w:rsid w:val="71641E43"/>
    <w:rsid w:val="716E5C58"/>
    <w:rsid w:val="71923A1E"/>
    <w:rsid w:val="71A70273"/>
    <w:rsid w:val="71C30463"/>
    <w:rsid w:val="71C84B93"/>
    <w:rsid w:val="71CE363D"/>
    <w:rsid w:val="71E43ADE"/>
    <w:rsid w:val="71F42EB8"/>
    <w:rsid w:val="72143096"/>
    <w:rsid w:val="72214459"/>
    <w:rsid w:val="7225217C"/>
    <w:rsid w:val="722F0E5C"/>
    <w:rsid w:val="72394D2A"/>
    <w:rsid w:val="723B780F"/>
    <w:rsid w:val="724405BD"/>
    <w:rsid w:val="72474748"/>
    <w:rsid w:val="72606560"/>
    <w:rsid w:val="72746531"/>
    <w:rsid w:val="7279326C"/>
    <w:rsid w:val="727B0E73"/>
    <w:rsid w:val="729D67D7"/>
    <w:rsid w:val="72B7269E"/>
    <w:rsid w:val="72BF3070"/>
    <w:rsid w:val="72C82FDE"/>
    <w:rsid w:val="72CE136A"/>
    <w:rsid w:val="72DD1671"/>
    <w:rsid w:val="72E56B49"/>
    <w:rsid w:val="72EB6154"/>
    <w:rsid w:val="72F558F2"/>
    <w:rsid w:val="7312119F"/>
    <w:rsid w:val="731877F4"/>
    <w:rsid w:val="73266077"/>
    <w:rsid w:val="732B21AE"/>
    <w:rsid w:val="73310AF2"/>
    <w:rsid w:val="733A2A9A"/>
    <w:rsid w:val="73524BC5"/>
    <w:rsid w:val="735C766E"/>
    <w:rsid w:val="7365769A"/>
    <w:rsid w:val="73744DDF"/>
    <w:rsid w:val="73846D0E"/>
    <w:rsid w:val="7393571D"/>
    <w:rsid w:val="739E4751"/>
    <w:rsid w:val="73B115E6"/>
    <w:rsid w:val="73B41ED9"/>
    <w:rsid w:val="73B45B4B"/>
    <w:rsid w:val="73C62D23"/>
    <w:rsid w:val="73D420DC"/>
    <w:rsid w:val="73DB329B"/>
    <w:rsid w:val="73DF1BA8"/>
    <w:rsid w:val="73F040FD"/>
    <w:rsid w:val="74003491"/>
    <w:rsid w:val="740560C0"/>
    <w:rsid w:val="74101B27"/>
    <w:rsid w:val="74151F10"/>
    <w:rsid w:val="741833DC"/>
    <w:rsid w:val="742841E7"/>
    <w:rsid w:val="742E52CB"/>
    <w:rsid w:val="743F3C36"/>
    <w:rsid w:val="745E364C"/>
    <w:rsid w:val="746C7A2D"/>
    <w:rsid w:val="746E4153"/>
    <w:rsid w:val="7480721E"/>
    <w:rsid w:val="74A1543A"/>
    <w:rsid w:val="74BB39F0"/>
    <w:rsid w:val="74BD5F94"/>
    <w:rsid w:val="74CE33F7"/>
    <w:rsid w:val="74D74DC6"/>
    <w:rsid w:val="74E00F35"/>
    <w:rsid w:val="74E31889"/>
    <w:rsid w:val="74EC2BF2"/>
    <w:rsid w:val="74F206D6"/>
    <w:rsid w:val="74F6547D"/>
    <w:rsid w:val="74FA443D"/>
    <w:rsid w:val="74FB1E15"/>
    <w:rsid w:val="74FD30C9"/>
    <w:rsid w:val="7505127B"/>
    <w:rsid w:val="750C5109"/>
    <w:rsid w:val="752C3E7A"/>
    <w:rsid w:val="75475154"/>
    <w:rsid w:val="754B62A6"/>
    <w:rsid w:val="75647E61"/>
    <w:rsid w:val="75705734"/>
    <w:rsid w:val="75723327"/>
    <w:rsid w:val="75862DDB"/>
    <w:rsid w:val="758B3BCD"/>
    <w:rsid w:val="758C3017"/>
    <w:rsid w:val="758C661B"/>
    <w:rsid w:val="75A36394"/>
    <w:rsid w:val="75A54A07"/>
    <w:rsid w:val="75B2513F"/>
    <w:rsid w:val="75C8628B"/>
    <w:rsid w:val="75D4791B"/>
    <w:rsid w:val="75E955E5"/>
    <w:rsid w:val="75EE4A87"/>
    <w:rsid w:val="76003899"/>
    <w:rsid w:val="760100FA"/>
    <w:rsid w:val="76044B04"/>
    <w:rsid w:val="76121576"/>
    <w:rsid w:val="76252589"/>
    <w:rsid w:val="762E4E2F"/>
    <w:rsid w:val="763276C8"/>
    <w:rsid w:val="76366201"/>
    <w:rsid w:val="763B707E"/>
    <w:rsid w:val="76483C5A"/>
    <w:rsid w:val="765374A5"/>
    <w:rsid w:val="765F5436"/>
    <w:rsid w:val="76745944"/>
    <w:rsid w:val="76750E1C"/>
    <w:rsid w:val="768874D4"/>
    <w:rsid w:val="7692155B"/>
    <w:rsid w:val="7698649F"/>
    <w:rsid w:val="76A1191A"/>
    <w:rsid w:val="76B471E7"/>
    <w:rsid w:val="76BB0C66"/>
    <w:rsid w:val="76BC1B77"/>
    <w:rsid w:val="76BE141B"/>
    <w:rsid w:val="76CA7A43"/>
    <w:rsid w:val="76DD6660"/>
    <w:rsid w:val="76E617D5"/>
    <w:rsid w:val="77004BC5"/>
    <w:rsid w:val="77055A5F"/>
    <w:rsid w:val="77061CB0"/>
    <w:rsid w:val="77062316"/>
    <w:rsid w:val="77164E54"/>
    <w:rsid w:val="77175110"/>
    <w:rsid w:val="771918E8"/>
    <w:rsid w:val="77255BC6"/>
    <w:rsid w:val="7730549D"/>
    <w:rsid w:val="77332EB5"/>
    <w:rsid w:val="773859A6"/>
    <w:rsid w:val="773C557A"/>
    <w:rsid w:val="77422DE8"/>
    <w:rsid w:val="774232CD"/>
    <w:rsid w:val="77483056"/>
    <w:rsid w:val="77496A23"/>
    <w:rsid w:val="77647724"/>
    <w:rsid w:val="7775505E"/>
    <w:rsid w:val="7784630C"/>
    <w:rsid w:val="7788144F"/>
    <w:rsid w:val="779A60FD"/>
    <w:rsid w:val="77A53815"/>
    <w:rsid w:val="77B5380B"/>
    <w:rsid w:val="77B73DB6"/>
    <w:rsid w:val="77BD62BD"/>
    <w:rsid w:val="77C955DF"/>
    <w:rsid w:val="77F5079C"/>
    <w:rsid w:val="780F0E00"/>
    <w:rsid w:val="782379C5"/>
    <w:rsid w:val="782E0CD5"/>
    <w:rsid w:val="78315774"/>
    <w:rsid w:val="78324E4D"/>
    <w:rsid w:val="783B3B20"/>
    <w:rsid w:val="783E73D2"/>
    <w:rsid w:val="78484950"/>
    <w:rsid w:val="784A450B"/>
    <w:rsid w:val="784A595B"/>
    <w:rsid w:val="78571C44"/>
    <w:rsid w:val="787D0BB5"/>
    <w:rsid w:val="787D7C16"/>
    <w:rsid w:val="788077FA"/>
    <w:rsid w:val="788B712E"/>
    <w:rsid w:val="788C162B"/>
    <w:rsid w:val="78A556E9"/>
    <w:rsid w:val="78C347BB"/>
    <w:rsid w:val="78C47752"/>
    <w:rsid w:val="78D005D7"/>
    <w:rsid w:val="78EE351E"/>
    <w:rsid w:val="78F07AFC"/>
    <w:rsid w:val="78F3175D"/>
    <w:rsid w:val="7904602B"/>
    <w:rsid w:val="791647D5"/>
    <w:rsid w:val="791C2D46"/>
    <w:rsid w:val="79243247"/>
    <w:rsid w:val="793769E2"/>
    <w:rsid w:val="79601FFF"/>
    <w:rsid w:val="79671272"/>
    <w:rsid w:val="79697C10"/>
    <w:rsid w:val="797377DF"/>
    <w:rsid w:val="797B4607"/>
    <w:rsid w:val="79890C5D"/>
    <w:rsid w:val="798F5E60"/>
    <w:rsid w:val="79923CB3"/>
    <w:rsid w:val="79994FDB"/>
    <w:rsid w:val="799B49B2"/>
    <w:rsid w:val="79A023C6"/>
    <w:rsid w:val="79AF6CF7"/>
    <w:rsid w:val="79B83C71"/>
    <w:rsid w:val="79C71E03"/>
    <w:rsid w:val="79CA2953"/>
    <w:rsid w:val="79D05EA5"/>
    <w:rsid w:val="79D0613E"/>
    <w:rsid w:val="79D53D35"/>
    <w:rsid w:val="79DB3E6D"/>
    <w:rsid w:val="79DB7DBB"/>
    <w:rsid w:val="79E90504"/>
    <w:rsid w:val="7A0D78EC"/>
    <w:rsid w:val="7A171326"/>
    <w:rsid w:val="7A304A14"/>
    <w:rsid w:val="7A36742C"/>
    <w:rsid w:val="7A376FAD"/>
    <w:rsid w:val="7A573061"/>
    <w:rsid w:val="7A686C49"/>
    <w:rsid w:val="7A6903C9"/>
    <w:rsid w:val="7A764A1F"/>
    <w:rsid w:val="7A7E2E80"/>
    <w:rsid w:val="7A89352E"/>
    <w:rsid w:val="7A8B7131"/>
    <w:rsid w:val="7A900056"/>
    <w:rsid w:val="7A9F0501"/>
    <w:rsid w:val="7AA95841"/>
    <w:rsid w:val="7AAD7780"/>
    <w:rsid w:val="7AC41352"/>
    <w:rsid w:val="7AC70AE9"/>
    <w:rsid w:val="7ACE6C6A"/>
    <w:rsid w:val="7AD92855"/>
    <w:rsid w:val="7AE74A0C"/>
    <w:rsid w:val="7AE9630D"/>
    <w:rsid w:val="7AEA69B5"/>
    <w:rsid w:val="7AEC352E"/>
    <w:rsid w:val="7B204C6C"/>
    <w:rsid w:val="7B2F13E3"/>
    <w:rsid w:val="7B323B12"/>
    <w:rsid w:val="7B3D406D"/>
    <w:rsid w:val="7B595071"/>
    <w:rsid w:val="7B5B2270"/>
    <w:rsid w:val="7B5F2971"/>
    <w:rsid w:val="7B64725E"/>
    <w:rsid w:val="7B6B0056"/>
    <w:rsid w:val="7B844529"/>
    <w:rsid w:val="7B8F5F44"/>
    <w:rsid w:val="7B96610F"/>
    <w:rsid w:val="7B9A5BCF"/>
    <w:rsid w:val="7BAA1965"/>
    <w:rsid w:val="7BC0698C"/>
    <w:rsid w:val="7BEB25BE"/>
    <w:rsid w:val="7BF34248"/>
    <w:rsid w:val="7BFA3A3D"/>
    <w:rsid w:val="7C14022C"/>
    <w:rsid w:val="7C163543"/>
    <w:rsid w:val="7C16489D"/>
    <w:rsid w:val="7C222BB8"/>
    <w:rsid w:val="7C2358FF"/>
    <w:rsid w:val="7C290D68"/>
    <w:rsid w:val="7C2C7719"/>
    <w:rsid w:val="7C4A3E4B"/>
    <w:rsid w:val="7C4F6131"/>
    <w:rsid w:val="7C606689"/>
    <w:rsid w:val="7C636752"/>
    <w:rsid w:val="7C657B35"/>
    <w:rsid w:val="7C89017F"/>
    <w:rsid w:val="7C9D08C9"/>
    <w:rsid w:val="7CA455DE"/>
    <w:rsid w:val="7CAF47B7"/>
    <w:rsid w:val="7CB86D53"/>
    <w:rsid w:val="7CBA32E5"/>
    <w:rsid w:val="7CC70CCE"/>
    <w:rsid w:val="7CCA0ED7"/>
    <w:rsid w:val="7CCE69FE"/>
    <w:rsid w:val="7CD072E2"/>
    <w:rsid w:val="7CE1380D"/>
    <w:rsid w:val="7CE60EAF"/>
    <w:rsid w:val="7CED5A0D"/>
    <w:rsid w:val="7D0E77C0"/>
    <w:rsid w:val="7D123CCA"/>
    <w:rsid w:val="7D2427B4"/>
    <w:rsid w:val="7D356E56"/>
    <w:rsid w:val="7D4F0510"/>
    <w:rsid w:val="7D667774"/>
    <w:rsid w:val="7D742FBA"/>
    <w:rsid w:val="7D803E8C"/>
    <w:rsid w:val="7D9F5A23"/>
    <w:rsid w:val="7DA85098"/>
    <w:rsid w:val="7DB50378"/>
    <w:rsid w:val="7DB514C6"/>
    <w:rsid w:val="7DB70A93"/>
    <w:rsid w:val="7DDB5C86"/>
    <w:rsid w:val="7DE20D2D"/>
    <w:rsid w:val="7DE340C8"/>
    <w:rsid w:val="7DE77096"/>
    <w:rsid w:val="7DEE545D"/>
    <w:rsid w:val="7DEE75C5"/>
    <w:rsid w:val="7DFA631C"/>
    <w:rsid w:val="7E083B41"/>
    <w:rsid w:val="7E20335F"/>
    <w:rsid w:val="7E321B56"/>
    <w:rsid w:val="7E380FED"/>
    <w:rsid w:val="7E3C0AE6"/>
    <w:rsid w:val="7E3E7829"/>
    <w:rsid w:val="7E4F79AF"/>
    <w:rsid w:val="7E675045"/>
    <w:rsid w:val="7E684851"/>
    <w:rsid w:val="7E7B41D7"/>
    <w:rsid w:val="7E8C2EDF"/>
    <w:rsid w:val="7EB11157"/>
    <w:rsid w:val="7EB50D93"/>
    <w:rsid w:val="7EB53FFA"/>
    <w:rsid w:val="7EBE6507"/>
    <w:rsid w:val="7ECB2E11"/>
    <w:rsid w:val="7ECD1A2A"/>
    <w:rsid w:val="7ED916E7"/>
    <w:rsid w:val="7ED97EFB"/>
    <w:rsid w:val="7EDF2745"/>
    <w:rsid w:val="7EE15BB1"/>
    <w:rsid w:val="7EE443D5"/>
    <w:rsid w:val="7EE45739"/>
    <w:rsid w:val="7EF33C03"/>
    <w:rsid w:val="7EF65A47"/>
    <w:rsid w:val="7EF9195B"/>
    <w:rsid w:val="7F0B0626"/>
    <w:rsid w:val="7F137B09"/>
    <w:rsid w:val="7F142CC8"/>
    <w:rsid w:val="7F146FB9"/>
    <w:rsid w:val="7F201338"/>
    <w:rsid w:val="7F2809A6"/>
    <w:rsid w:val="7F2E3E36"/>
    <w:rsid w:val="7F586BD5"/>
    <w:rsid w:val="7F7B0F72"/>
    <w:rsid w:val="7F9E000F"/>
    <w:rsid w:val="7FAE7F5E"/>
    <w:rsid w:val="7FB70AB2"/>
    <w:rsid w:val="7FB7525C"/>
    <w:rsid w:val="7FC7186A"/>
    <w:rsid w:val="7FD94DD9"/>
    <w:rsid w:val="7FDA6CF1"/>
    <w:rsid w:val="7FF40B62"/>
    <w:rsid w:val="E76FD6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rFonts w:ascii="Tahoma" w:hAnsi="Tahoma"/>
      <w:b/>
      <w:bCs/>
      <w:kern w:val="44"/>
      <w:sz w:val="44"/>
      <w:szCs w:val="44"/>
    </w:rPr>
  </w:style>
  <w:style w:type="paragraph" w:styleId="2">
    <w:name w:val="heading 2"/>
    <w:basedOn w:val="1"/>
    <w:next w:val="1"/>
    <w:link w:val="5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4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6"/>
    <w:basedOn w:val="1"/>
    <w:next w:val="1"/>
    <w:link w:val="52"/>
    <w:qFormat/>
    <w:uiPriority w:val="0"/>
    <w:pPr>
      <w:keepNext/>
      <w:keepLines/>
      <w:spacing w:before="240" w:after="64" w:line="320" w:lineRule="auto"/>
      <w:outlineLvl w:val="5"/>
    </w:pPr>
    <w:rPr>
      <w:rFonts w:ascii="Arial" w:hAnsi="Arial" w:eastAsia="黑体"/>
      <w:b/>
      <w:bCs/>
      <w:sz w:val="24"/>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2940"/>
    </w:pPr>
  </w:style>
  <w:style w:type="paragraph" w:styleId="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Normal Indent"/>
    <w:basedOn w:val="1"/>
    <w:link w:val="53"/>
    <w:qFormat/>
    <w:uiPriority w:val="0"/>
    <w:pPr>
      <w:ind w:firstLine="420"/>
    </w:pPr>
    <w:rPr>
      <w:szCs w:val="20"/>
    </w:rPr>
  </w:style>
  <w:style w:type="paragraph" w:styleId="10">
    <w:name w:val="caption"/>
    <w:basedOn w:val="1"/>
    <w:next w:val="1"/>
    <w:qFormat/>
    <w:uiPriority w:val="0"/>
    <w:rPr>
      <w:rFonts w:ascii="Cambria" w:hAnsi="Cambria" w:eastAsia="黑体"/>
      <w:sz w:val="20"/>
      <w:szCs w:val="20"/>
    </w:rPr>
  </w:style>
  <w:style w:type="paragraph" w:styleId="11">
    <w:name w:val="Document Map"/>
    <w:basedOn w:val="1"/>
    <w:link w:val="54"/>
    <w:qFormat/>
    <w:uiPriority w:val="0"/>
    <w:rPr>
      <w:rFonts w:ascii="宋体" w:hAnsi="Tahoma"/>
      <w:sz w:val="18"/>
      <w:szCs w:val="18"/>
    </w:rPr>
  </w:style>
  <w:style w:type="paragraph" w:styleId="12">
    <w:name w:val="annotation text"/>
    <w:basedOn w:val="1"/>
    <w:link w:val="55"/>
    <w:qFormat/>
    <w:uiPriority w:val="0"/>
    <w:pPr>
      <w:jc w:val="left"/>
    </w:pPr>
  </w:style>
  <w:style w:type="paragraph" w:styleId="13">
    <w:name w:val="Body Text 3"/>
    <w:basedOn w:val="1"/>
    <w:qFormat/>
    <w:uiPriority w:val="0"/>
    <w:pPr>
      <w:spacing w:line="240" w:lineRule="exact"/>
    </w:pPr>
    <w:rPr>
      <w:rFonts w:ascii="宋体" w:hAnsi="宋体"/>
      <w:color w:val="000000"/>
      <w:szCs w:val="21"/>
    </w:rPr>
  </w:style>
  <w:style w:type="paragraph" w:styleId="14">
    <w:name w:val="Body Text"/>
    <w:basedOn w:val="1"/>
    <w:next w:val="1"/>
    <w:link w:val="148"/>
    <w:qFormat/>
    <w:uiPriority w:val="0"/>
    <w:pPr>
      <w:spacing w:line="380" w:lineRule="exact"/>
    </w:pPr>
    <w:rPr>
      <w:sz w:val="24"/>
    </w:rPr>
  </w:style>
  <w:style w:type="paragraph" w:styleId="15">
    <w:name w:val="Body Text Indent"/>
    <w:basedOn w:val="1"/>
    <w:link w:val="56"/>
    <w:qFormat/>
    <w:uiPriority w:val="0"/>
    <w:pPr>
      <w:spacing w:after="120"/>
      <w:ind w:left="420" w:leftChars="200"/>
    </w:pPr>
    <w:rPr>
      <w:rFonts w:ascii="Tahoma" w:hAnsi="Tahoma"/>
    </w:rPr>
  </w:style>
  <w:style w:type="paragraph" w:styleId="16">
    <w:name w:val="toc 3"/>
    <w:basedOn w:val="1"/>
    <w:next w:val="1"/>
    <w:qFormat/>
    <w:uiPriority w:val="39"/>
    <w:pPr>
      <w:ind w:left="840" w:leftChars="400"/>
    </w:pPr>
  </w:style>
  <w:style w:type="paragraph" w:styleId="17">
    <w:name w:val="Plain Text"/>
    <w:basedOn w:val="1"/>
    <w:next w:val="1"/>
    <w:link w:val="57"/>
    <w:qFormat/>
    <w:uiPriority w:val="99"/>
    <w:rPr>
      <w:rFonts w:ascii="宋体" w:hAnsi="Courier New"/>
      <w:szCs w:val="20"/>
    </w:rPr>
  </w:style>
  <w:style w:type="paragraph" w:styleId="18">
    <w:name w:val="Date"/>
    <w:basedOn w:val="1"/>
    <w:next w:val="1"/>
    <w:qFormat/>
    <w:uiPriority w:val="0"/>
    <w:pPr>
      <w:ind w:left="100" w:leftChars="2500"/>
    </w:pPr>
  </w:style>
  <w:style w:type="paragraph" w:styleId="19">
    <w:name w:val="Body Text Indent 2"/>
    <w:basedOn w:val="1"/>
    <w:qFormat/>
    <w:uiPriority w:val="0"/>
    <w:pPr>
      <w:ind w:firstLine="630"/>
    </w:pPr>
    <w:rPr>
      <w:sz w:val="32"/>
      <w:szCs w:val="20"/>
    </w:rPr>
  </w:style>
  <w:style w:type="paragraph" w:styleId="20">
    <w:name w:val="Balloon Text"/>
    <w:basedOn w:val="1"/>
    <w:semiHidden/>
    <w:qFormat/>
    <w:uiPriority w:val="0"/>
    <w:rPr>
      <w:sz w:val="18"/>
      <w:szCs w:val="18"/>
    </w:rPr>
  </w:style>
  <w:style w:type="paragraph" w:styleId="21">
    <w:name w:val="footer"/>
    <w:basedOn w:val="1"/>
    <w:link w:val="58"/>
    <w:qFormat/>
    <w:uiPriority w:val="99"/>
    <w:pPr>
      <w:tabs>
        <w:tab w:val="center" w:pos="4153"/>
        <w:tab w:val="right" w:pos="8306"/>
      </w:tabs>
      <w:snapToGrid w:val="0"/>
      <w:jc w:val="left"/>
    </w:pPr>
    <w:rPr>
      <w:rFonts w:ascii="Tahoma" w:hAnsi="Tahoma"/>
      <w:sz w:val="18"/>
      <w:szCs w:val="18"/>
    </w:rPr>
  </w:style>
  <w:style w:type="paragraph" w:styleId="22">
    <w:name w:val="header"/>
    <w:basedOn w:val="1"/>
    <w:link w:val="59"/>
    <w:qFormat/>
    <w:uiPriority w:val="99"/>
    <w:pPr>
      <w:pBdr>
        <w:bottom w:val="single" w:color="auto" w:sz="6" w:space="1"/>
      </w:pBdr>
      <w:tabs>
        <w:tab w:val="center" w:pos="4153"/>
        <w:tab w:val="right" w:pos="8306"/>
      </w:tabs>
      <w:snapToGrid w:val="0"/>
      <w:jc w:val="center"/>
    </w:pPr>
    <w:rPr>
      <w:rFonts w:ascii="Tahoma" w:hAnsi="Tahoma"/>
      <w:sz w:val="18"/>
      <w:szCs w:val="18"/>
    </w:rPr>
  </w:style>
  <w:style w:type="paragraph" w:styleId="23">
    <w:name w:val="toc 1"/>
    <w:basedOn w:val="1"/>
    <w:next w:val="1"/>
    <w:qFormat/>
    <w:uiPriority w:val="39"/>
  </w:style>
  <w:style w:type="paragraph" w:styleId="24">
    <w:name w:val="toc 2"/>
    <w:basedOn w:val="1"/>
    <w:next w:val="1"/>
    <w:qFormat/>
    <w:uiPriority w:val="39"/>
    <w:pPr>
      <w:ind w:left="420" w:leftChars="200"/>
    </w:pPr>
  </w:style>
  <w:style w:type="paragraph" w:styleId="25">
    <w:name w:val="toc 9"/>
    <w:basedOn w:val="1"/>
    <w:next w:val="1"/>
    <w:qFormat/>
    <w:uiPriority w:val="39"/>
    <w:pPr>
      <w:ind w:left="1680"/>
      <w:jc w:val="left"/>
    </w:pPr>
    <w:rPr>
      <w:sz w:val="18"/>
      <w:szCs w:val="18"/>
    </w:rPr>
  </w:style>
  <w:style w:type="paragraph" w:styleId="26">
    <w:name w:val="List 4"/>
    <w:basedOn w:val="1"/>
    <w:unhideWhenUsed/>
    <w:qFormat/>
    <w:uiPriority w:val="99"/>
    <w:pPr>
      <w:ind w:left="100" w:leftChars="600" w:hanging="200" w:hangingChars="200"/>
      <w:contextualSpacing/>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qFormat/>
    <w:uiPriority w:val="10"/>
    <w:pPr>
      <w:spacing w:before="240" w:after="60"/>
      <w:jc w:val="center"/>
      <w:outlineLvl w:val="0"/>
    </w:pPr>
    <w:rPr>
      <w:rFonts w:ascii="等线 Light" w:hAnsi="等线 Light"/>
      <w:b/>
      <w:bCs/>
      <w:sz w:val="32"/>
      <w:szCs w:val="32"/>
    </w:rPr>
  </w:style>
  <w:style w:type="paragraph" w:styleId="29">
    <w:name w:val="annotation subject"/>
    <w:basedOn w:val="12"/>
    <w:next w:val="12"/>
    <w:semiHidden/>
    <w:qFormat/>
    <w:uiPriority w:val="0"/>
    <w:rPr>
      <w:b/>
      <w:bCs/>
    </w:rPr>
  </w:style>
  <w:style w:type="paragraph" w:styleId="30">
    <w:name w:val="Body Text First Indent"/>
    <w:basedOn w:val="14"/>
    <w:qFormat/>
    <w:uiPriority w:val="0"/>
    <w:pPr>
      <w:autoSpaceDE/>
      <w:autoSpaceDN/>
      <w:spacing w:after="120"/>
      <w:ind w:left="0" w:firstLine="420" w:firstLineChars="100"/>
      <w:jc w:val="both"/>
    </w:pPr>
    <w:rPr>
      <w:rFonts w:ascii="Times New Roman" w:hAnsi="Times New Roman" w:cs="Times New Roman"/>
      <w:kern w:val="2"/>
      <w:szCs w:val="24"/>
      <w:lang w:val="en-US" w:bidi="ar-SA"/>
    </w:rPr>
  </w:style>
  <w:style w:type="paragraph" w:styleId="31">
    <w:name w:val="Body Text First Indent 2"/>
    <w:basedOn w:val="15"/>
    <w:link w:val="146"/>
    <w:qFormat/>
    <w:uiPriority w:val="0"/>
    <w:pPr>
      <w:ind w:firstLine="420" w:firstLineChars="200"/>
    </w:pPr>
    <w:rPr>
      <w:rFonts w:ascii="Times New Roman" w:hAnsi="Times New Roman"/>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rFonts w:ascii="Tahoma" w:hAnsi="Tahoma"/>
      <w:b/>
      <w:bCs/>
      <w:sz w:val="24"/>
      <w:szCs w:val="20"/>
    </w:rPr>
  </w:style>
  <w:style w:type="character" w:styleId="36">
    <w:name w:val="page number"/>
    <w:qFormat/>
    <w:uiPriority w:val="0"/>
  </w:style>
  <w:style w:type="character" w:styleId="37">
    <w:name w:val="FollowedHyperlink"/>
    <w:unhideWhenUsed/>
    <w:qFormat/>
    <w:uiPriority w:val="99"/>
    <w:rPr>
      <w:color w:val="954F72"/>
      <w:u w:val="single"/>
    </w:rPr>
  </w:style>
  <w:style w:type="character" w:styleId="38">
    <w:name w:val="Emphasis"/>
    <w:qFormat/>
    <w:uiPriority w:val="0"/>
  </w:style>
  <w:style w:type="character" w:styleId="39">
    <w:name w:val="HTML Definition"/>
    <w:qFormat/>
    <w:uiPriority w:val="0"/>
  </w:style>
  <w:style w:type="character" w:styleId="40">
    <w:name w:val="HTML Typewriter"/>
    <w:qFormat/>
    <w:uiPriority w:val="0"/>
    <w:rPr>
      <w:rFonts w:hint="default" w:ascii="monospace" w:hAnsi="monospace" w:eastAsia="monospace" w:cs="monospace"/>
      <w:sz w:val="20"/>
    </w:rPr>
  </w:style>
  <w:style w:type="character" w:styleId="41">
    <w:name w:val="HTML Acronym"/>
    <w:qFormat/>
    <w:uiPriority w:val="0"/>
  </w:style>
  <w:style w:type="character" w:styleId="42">
    <w:name w:val="HTML Variable"/>
    <w:qFormat/>
    <w:uiPriority w:val="0"/>
    <w:rPr>
      <w:rFonts w:ascii="Tahoma" w:hAnsi="Tahoma"/>
      <w:sz w:val="24"/>
      <w:szCs w:val="20"/>
    </w:rPr>
  </w:style>
  <w:style w:type="character" w:styleId="43">
    <w:name w:val="Hyperlink"/>
    <w:qFormat/>
    <w:uiPriority w:val="99"/>
    <w:rPr>
      <w:rFonts w:ascii="Tahoma" w:hAnsi="Tahoma"/>
      <w:color w:val="0000FF"/>
      <w:sz w:val="24"/>
      <w:szCs w:val="20"/>
      <w:u w:val="single"/>
    </w:rPr>
  </w:style>
  <w:style w:type="character" w:styleId="44">
    <w:name w:val="HTML Code"/>
    <w:qFormat/>
    <w:uiPriority w:val="0"/>
    <w:rPr>
      <w:rFonts w:ascii="monospace" w:hAnsi="monospace" w:eastAsia="monospace" w:cs="monospace"/>
      <w:sz w:val="20"/>
    </w:rPr>
  </w:style>
  <w:style w:type="character" w:styleId="45">
    <w:name w:val="annotation reference"/>
    <w:semiHidden/>
    <w:qFormat/>
    <w:uiPriority w:val="0"/>
    <w:rPr>
      <w:rFonts w:ascii="Tahoma" w:hAnsi="Tahoma"/>
      <w:sz w:val="21"/>
      <w:szCs w:val="21"/>
    </w:rPr>
  </w:style>
  <w:style w:type="character" w:styleId="46">
    <w:name w:val="HTML Cite"/>
    <w:qFormat/>
    <w:uiPriority w:val="0"/>
  </w:style>
  <w:style w:type="character" w:styleId="47">
    <w:name w:val="HTML Keyboard"/>
    <w:qFormat/>
    <w:uiPriority w:val="0"/>
    <w:rPr>
      <w:rFonts w:hint="default" w:ascii="monospace" w:hAnsi="monospace" w:eastAsia="monospace" w:cs="monospace"/>
      <w:sz w:val="20"/>
    </w:rPr>
  </w:style>
  <w:style w:type="character" w:styleId="48">
    <w:name w:val="HTML Sample"/>
    <w:qFormat/>
    <w:uiPriority w:val="0"/>
    <w:rPr>
      <w:rFonts w:hint="default" w:ascii="monospace" w:hAnsi="monospace" w:eastAsia="monospace" w:cs="monospace"/>
    </w:rPr>
  </w:style>
  <w:style w:type="paragraph" w:customStyle="1" w:styleId="4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0">
    <w:name w:val="标题 1 Char"/>
    <w:link w:val="3"/>
    <w:qFormat/>
    <w:uiPriority w:val="0"/>
    <w:rPr>
      <w:rFonts w:ascii="Tahoma" w:hAnsi="Tahoma"/>
      <w:b/>
      <w:bCs/>
      <w:kern w:val="44"/>
      <w:sz w:val="44"/>
      <w:szCs w:val="44"/>
    </w:rPr>
  </w:style>
  <w:style w:type="character" w:customStyle="1" w:styleId="51">
    <w:name w:val="标题 2 Char"/>
    <w:link w:val="2"/>
    <w:semiHidden/>
    <w:qFormat/>
    <w:uiPriority w:val="0"/>
    <w:rPr>
      <w:rFonts w:ascii="Cambria" w:hAnsi="Cambria" w:eastAsia="宋体" w:cs="Times New Roman"/>
      <w:b/>
      <w:bCs/>
      <w:kern w:val="2"/>
      <w:sz w:val="32"/>
      <w:szCs w:val="32"/>
    </w:rPr>
  </w:style>
  <w:style w:type="character" w:customStyle="1" w:styleId="52">
    <w:name w:val="标题 6 Char"/>
    <w:link w:val="6"/>
    <w:qFormat/>
    <w:uiPriority w:val="0"/>
    <w:rPr>
      <w:rFonts w:ascii="Arial" w:hAnsi="Arial" w:eastAsia="黑体"/>
      <w:b/>
      <w:bCs/>
      <w:kern w:val="2"/>
      <w:sz w:val="24"/>
      <w:szCs w:val="24"/>
      <w:lang w:val="en-US" w:eastAsia="zh-CN" w:bidi="ar-SA"/>
    </w:rPr>
  </w:style>
  <w:style w:type="character" w:customStyle="1" w:styleId="53">
    <w:name w:val="正文缩进 Char"/>
    <w:link w:val="9"/>
    <w:qFormat/>
    <w:locked/>
    <w:uiPriority w:val="0"/>
    <w:rPr>
      <w:rFonts w:eastAsia="宋体"/>
      <w:kern w:val="2"/>
      <w:sz w:val="21"/>
      <w:lang w:val="en-US" w:eastAsia="zh-CN" w:bidi="ar-SA"/>
    </w:rPr>
  </w:style>
  <w:style w:type="character" w:customStyle="1" w:styleId="54">
    <w:name w:val="文档结构图 Char"/>
    <w:link w:val="11"/>
    <w:qFormat/>
    <w:uiPriority w:val="0"/>
    <w:rPr>
      <w:rFonts w:ascii="宋体" w:hAnsi="Tahoma"/>
      <w:kern w:val="2"/>
      <w:sz w:val="18"/>
      <w:szCs w:val="18"/>
    </w:rPr>
  </w:style>
  <w:style w:type="character" w:customStyle="1" w:styleId="55">
    <w:name w:val="批注文字 Char1"/>
    <w:link w:val="12"/>
    <w:qFormat/>
    <w:uiPriority w:val="0"/>
    <w:rPr>
      <w:rFonts w:eastAsia="宋体"/>
      <w:kern w:val="2"/>
      <w:sz w:val="21"/>
      <w:szCs w:val="24"/>
      <w:lang w:val="en-US" w:eastAsia="zh-CN" w:bidi="ar-SA"/>
    </w:rPr>
  </w:style>
  <w:style w:type="character" w:customStyle="1" w:styleId="56">
    <w:name w:val="正文文本缩进 Char1"/>
    <w:link w:val="15"/>
    <w:qFormat/>
    <w:uiPriority w:val="0"/>
    <w:rPr>
      <w:rFonts w:ascii="Tahoma" w:hAnsi="Tahoma"/>
      <w:kern w:val="2"/>
      <w:sz w:val="21"/>
      <w:szCs w:val="24"/>
    </w:rPr>
  </w:style>
  <w:style w:type="character" w:customStyle="1" w:styleId="57">
    <w:name w:val="纯文本 Char2"/>
    <w:link w:val="17"/>
    <w:qFormat/>
    <w:uiPriority w:val="0"/>
    <w:rPr>
      <w:rFonts w:ascii="宋体" w:hAnsi="Courier New" w:eastAsia="宋体"/>
      <w:kern w:val="2"/>
      <w:sz w:val="21"/>
      <w:szCs w:val="20"/>
      <w:lang w:val="en-US" w:eastAsia="zh-CN" w:bidi="ar-SA"/>
    </w:rPr>
  </w:style>
  <w:style w:type="character" w:customStyle="1" w:styleId="58">
    <w:name w:val="页脚 Char"/>
    <w:link w:val="21"/>
    <w:qFormat/>
    <w:uiPriority w:val="99"/>
    <w:rPr>
      <w:rFonts w:ascii="Tahoma" w:hAnsi="Tahoma"/>
      <w:kern w:val="2"/>
      <w:sz w:val="18"/>
      <w:szCs w:val="18"/>
    </w:rPr>
  </w:style>
  <w:style w:type="character" w:customStyle="1" w:styleId="59">
    <w:name w:val="页眉 Char"/>
    <w:link w:val="22"/>
    <w:qFormat/>
    <w:uiPriority w:val="99"/>
    <w:rPr>
      <w:rFonts w:ascii="Tahoma" w:hAnsi="Tahoma"/>
      <w:kern w:val="2"/>
      <w:sz w:val="18"/>
      <w:szCs w:val="18"/>
    </w:rPr>
  </w:style>
  <w:style w:type="character" w:customStyle="1" w:styleId="60">
    <w:name w:val="apple-converted-space"/>
    <w:qFormat/>
    <w:uiPriority w:val="0"/>
  </w:style>
  <w:style w:type="character" w:customStyle="1" w:styleId="61">
    <w:name w:val="批注文字 字符"/>
    <w:qFormat/>
    <w:uiPriority w:val="0"/>
    <w:rPr>
      <w:rFonts w:eastAsia="宋体"/>
      <w:kern w:val="2"/>
      <w:sz w:val="21"/>
      <w:szCs w:val="24"/>
      <w:lang w:val="en-US" w:eastAsia="zh-CN" w:bidi="ar-SA"/>
    </w:rPr>
  </w:style>
  <w:style w:type="character" w:customStyle="1" w:styleId="62">
    <w:name w:val="正文缩进 Char1"/>
    <w:qFormat/>
    <w:locked/>
    <w:uiPriority w:val="0"/>
    <w:rPr>
      <w:rFonts w:eastAsia="宋体"/>
      <w:kern w:val="2"/>
      <w:sz w:val="21"/>
      <w:lang w:val="en-US" w:eastAsia="zh-CN" w:bidi="ar-SA"/>
    </w:rPr>
  </w:style>
  <w:style w:type="character" w:customStyle="1" w:styleId="63">
    <w:name w:val="gjfg"/>
    <w:qFormat/>
    <w:uiPriority w:val="0"/>
  </w:style>
  <w:style w:type="character" w:customStyle="1" w:styleId="64">
    <w:name w:val="纯文本 字符3"/>
    <w:qFormat/>
    <w:uiPriority w:val="0"/>
    <w:rPr>
      <w:rFonts w:ascii="宋体" w:hAnsi="Courier New" w:eastAsia="宋体"/>
      <w:kern w:val="2"/>
      <w:sz w:val="21"/>
      <w:szCs w:val="20"/>
      <w:lang w:val="en-US" w:eastAsia="zh-CN" w:bidi="ar-SA"/>
    </w:rPr>
  </w:style>
  <w:style w:type="character" w:customStyle="1" w:styleId="65">
    <w:name w:val="纯文本 Char"/>
    <w:qFormat/>
    <w:uiPriority w:val="99"/>
    <w:rPr>
      <w:rFonts w:ascii="宋体" w:hAnsi="Courier New" w:eastAsia="宋体"/>
    </w:rPr>
  </w:style>
  <w:style w:type="character" w:customStyle="1" w:styleId="66">
    <w:name w:val="main12"/>
    <w:qFormat/>
    <w:uiPriority w:val="0"/>
    <w:rPr>
      <w:rFonts w:ascii="Arial" w:hAnsi="Arial" w:cs="Arial"/>
      <w:color w:val="000000"/>
      <w:sz w:val="18"/>
      <w:szCs w:val="18"/>
    </w:rPr>
  </w:style>
  <w:style w:type="character" w:customStyle="1" w:styleId="67">
    <w:name w:val="font01"/>
    <w:qFormat/>
    <w:uiPriority w:val="0"/>
    <w:rPr>
      <w:rFonts w:hint="eastAsia" w:ascii="宋体" w:hAnsi="宋体" w:eastAsia="宋体" w:cs="宋体"/>
      <w:color w:val="000000"/>
      <w:sz w:val="22"/>
      <w:szCs w:val="22"/>
      <w:u w:val="none"/>
    </w:rPr>
  </w:style>
  <w:style w:type="character" w:customStyle="1" w:styleId="68">
    <w:name w:val="正文文本缩进 Char"/>
    <w:qFormat/>
    <w:uiPriority w:val="0"/>
    <w:rPr>
      <w:rFonts w:ascii="Times New Roman" w:hAnsi="Times New Roman" w:eastAsia="宋体" w:cs="Times New Roman"/>
      <w:kern w:val="2"/>
      <w:sz w:val="21"/>
      <w:szCs w:val="24"/>
    </w:rPr>
  </w:style>
  <w:style w:type="character" w:customStyle="1" w:styleId="69">
    <w:name w:val="纯文本 Char4"/>
    <w:qFormat/>
    <w:uiPriority w:val="0"/>
    <w:rPr>
      <w:rFonts w:ascii="宋体" w:hAnsi="Courier New" w:eastAsia="宋体" w:cs="Courier New"/>
      <w:kern w:val="2"/>
      <w:sz w:val="21"/>
      <w:szCs w:val="21"/>
      <w:lang w:val="en-US" w:eastAsia="zh-CN" w:bidi="ar-SA"/>
    </w:rPr>
  </w:style>
  <w:style w:type="character" w:customStyle="1" w:styleId="70">
    <w:name w:val="fontstyle01"/>
    <w:qFormat/>
    <w:uiPriority w:val="0"/>
    <w:rPr>
      <w:rFonts w:hint="eastAsia" w:ascii="宋体" w:hAnsi="宋体" w:eastAsia="宋体"/>
      <w:color w:val="000000"/>
      <w:sz w:val="22"/>
      <w:szCs w:val="22"/>
    </w:rPr>
  </w:style>
  <w:style w:type="character" w:customStyle="1" w:styleId="71">
    <w:name w:val="未处理的提及1"/>
    <w:unhideWhenUsed/>
    <w:qFormat/>
    <w:uiPriority w:val="99"/>
    <w:rPr>
      <w:rFonts w:ascii="Tahoma" w:hAnsi="Tahoma"/>
      <w:color w:val="808080"/>
      <w:sz w:val="24"/>
      <w:szCs w:val="20"/>
      <w:shd w:val="clear" w:color="auto" w:fill="E6E6E6"/>
    </w:rPr>
  </w:style>
  <w:style w:type="character" w:customStyle="1" w:styleId="72">
    <w:name w:val="纯文本 字符2"/>
    <w:qFormat/>
    <w:uiPriority w:val="0"/>
    <w:rPr>
      <w:rFonts w:ascii="宋体" w:hAnsi="Courier New" w:eastAsia="宋体"/>
      <w:kern w:val="2"/>
      <w:sz w:val="21"/>
      <w:lang w:val="en-US" w:eastAsia="zh-CN" w:bidi="ar-SA"/>
    </w:rPr>
  </w:style>
  <w:style w:type="character" w:customStyle="1" w:styleId="73">
    <w:name w:val="纯文本 字符1"/>
    <w:qFormat/>
    <w:uiPriority w:val="0"/>
    <w:rPr>
      <w:rFonts w:ascii="Ђˎ̥" w:hAnsi="Verdana" w:eastAsia="Ђˎ̥" w:cs="Verdana"/>
      <w:szCs w:val="21"/>
    </w:rPr>
  </w:style>
  <w:style w:type="character" w:customStyle="1" w:styleId="74">
    <w:name w:val="页脚 字符"/>
    <w:qFormat/>
    <w:uiPriority w:val="99"/>
  </w:style>
  <w:style w:type="character" w:customStyle="1" w:styleId="75">
    <w:name w:val="标题 Char"/>
    <w:qFormat/>
    <w:uiPriority w:val="10"/>
    <w:rPr>
      <w:rFonts w:ascii="Calibri Light" w:hAnsi="Calibri Light" w:cs="Times New Roman"/>
      <w:b/>
      <w:bCs/>
      <w:kern w:val="2"/>
      <w:sz w:val="32"/>
      <w:szCs w:val="32"/>
    </w:rPr>
  </w:style>
  <w:style w:type="character" w:customStyle="1" w:styleId="76">
    <w:name w:val="批注文字 Char"/>
    <w:qFormat/>
    <w:uiPriority w:val="0"/>
    <w:rPr>
      <w:rFonts w:eastAsia="宋体"/>
      <w:kern w:val="2"/>
      <w:sz w:val="21"/>
      <w:szCs w:val="24"/>
      <w:lang w:val="en-US" w:eastAsia="zh-CN" w:bidi="ar-SA"/>
    </w:rPr>
  </w:style>
  <w:style w:type="character" w:customStyle="1" w:styleId="77">
    <w:name w:val="Char Char10"/>
    <w:qFormat/>
    <w:locked/>
    <w:uiPriority w:val="0"/>
    <w:rPr>
      <w:rFonts w:ascii="宋体" w:hAnsi="宋体" w:eastAsia="宋体"/>
      <w:kern w:val="2"/>
      <w:sz w:val="21"/>
      <w:szCs w:val="24"/>
      <w:lang w:val="en-US" w:eastAsia="zh-CN" w:bidi="ar-SA"/>
    </w:rPr>
  </w:style>
  <w:style w:type="character" w:customStyle="1" w:styleId="78">
    <w:name w:val="批注文字 字符1"/>
    <w:qFormat/>
    <w:uiPriority w:val="0"/>
    <w:rPr>
      <w:rFonts w:eastAsia="宋体"/>
      <w:kern w:val="2"/>
      <w:sz w:val="21"/>
      <w:szCs w:val="24"/>
      <w:lang w:val="en-US" w:eastAsia="zh-CN" w:bidi="ar-SA"/>
    </w:rPr>
  </w:style>
  <w:style w:type="character" w:customStyle="1" w:styleId="79">
    <w:name w:val="font21"/>
    <w:qFormat/>
    <w:uiPriority w:val="0"/>
    <w:rPr>
      <w:rFonts w:hint="eastAsia" w:ascii="宋体" w:hAnsi="宋体" w:eastAsia="宋体" w:cs="宋体"/>
      <w:color w:val="000000"/>
      <w:sz w:val="22"/>
      <w:szCs w:val="22"/>
      <w:u w:val="none"/>
    </w:rPr>
  </w:style>
  <w:style w:type="character" w:customStyle="1" w:styleId="80">
    <w:name w:val="redfilefwwh"/>
    <w:qFormat/>
    <w:uiPriority w:val="0"/>
    <w:rPr>
      <w:color w:val="BA2636"/>
      <w:sz w:val="18"/>
      <w:szCs w:val="18"/>
    </w:rPr>
  </w:style>
  <w:style w:type="character" w:customStyle="1" w:styleId="81">
    <w:name w:val="列出段落 Char"/>
    <w:qFormat/>
    <w:locked/>
    <w:uiPriority w:val="34"/>
    <w:rPr>
      <w:rFonts w:ascii="Times New Roman" w:hAnsi="Times New Roman" w:eastAsia="宋体" w:cs="Times New Roman"/>
      <w:kern w:val="0"/>
      <w:sz w:val="24"/>
      <w:szCs w:val="20"/>
    </w:rPr>
  </w:style>
  <w:style w:type="character" w:customStyle="1" w:styleId="82">
    <w:name w:val="Char Char1"/>
    <w:qFormat/>
    <w:uiPriority w:val="0"/>
    <w:rPr>
      <w:rFonts w:eastAsia="宋体"/>
      <w:kern w:val="2"/>
      <w:sz w:val="21"/>
      <w:szCs w:val="24"/>
      <w:lang w:val="en-US" w:eastAsia="zh-CN" w:bidi="ar-SA"/>
    </w:rPr>
  </w:style>
  <w:style w:type="character" w:customStyle="1" w:styleId="83">
    <w:name w:val="无"/>
    <w:qFormat/>
    <w:uiPriority w:val="0"/>
  </w:style>
  <w:style w:type="character" w:customStyle="1" w:styleId="84">
    <w:name w:val="qxdate"/>
    <w:qFormat/>
    <w:uiPriority w:val="0"/>
    <w:rPr>
      <w:color w:val="333333"/>
      <w:sz w:val="18"/>
      <w:szCs w:val="18"/>
    </w:rPr>
  </w:style>
  <w:style w:type="character" w:customStyle="1" w:styleId="85">
    <w:name w:val="纯文本 字符4"/>
    <w:qFormat/>
    <w:uiPriority w:val="0"/>
    <w:rPr>
      <w:rFonts w:ascii="宋体" w:hAnsi="Courier New" w:eastAsia="宋体"/>
      <w:kern w:val="2"/>
      <w:sz w:val="21"/>
      <w:szCs w:val="20"/>
      <w:lang w:val="en-US" w:eastAsia="zh-CN" w:bidi="ar-SA"/>
    </w:rPr>
  </w:style>
  <w:style w:type="character" w:customStyle="1" w:styleId="86">
    <w:name w:val="纯文本 字符"/>
    <w:qFormat/>
    <w:uiPriority w:val="0"/>
    <w:rPr>
      <w:rFonts w:ascii="宋体" w:hAnsi="Courier New" w:eastAsia="宋体" w:cs="Courier New"/>
      <w:szCs w:val="21"/>
    </w:rPr>
  </w:style>
  <w:style w:type="character" w:customStyle="1" w:styleId="87">
    <w:name w:val="cfdate"/>
    <w:qFormat/>
    <w:uiPriority w:val="0"/>
    <w:rPr>
      <w:color w:val="333333"/>
      <w:sz w:val="18"/>
      <w:szCs w:val="18"/>
    </w:rPr>
  </w:style>
  <w:style w:type="character" w:customStyle="1" w:styleId="88">
    <w:name w:val="displayarti"/>
    <w:qFormat/>
    <w:uiPriority w:val="0"/>
    <w:rPr>
      <w:color w:val="FFFFFF"/>
      <w:shd w:val="clear" w:color="auto" w:fill="A00000"/>
    </w:rPr>
  </w:style>
  <w:style w:type="character" w:customStyle="1" w:styleId="89">
    <w:name w:val="普通文字 Char Char5"/>
    <w:qFormat/>
    <w:uiPriority w:val="0"/>
    <w:rPr>
      <w:rFonts w:ascii="宋体" w:hAnsi="Courier New" w:eastAsia="宋体"/>
      <w:szCs w:val="21"/>
      <w:lang w:bidi="ar-SA"/>
    </w:rPr>
  </w:style>
  <w:style w:type="character" w:customStyle="1" w:styleId="90">
    <w:name w:val="font11"/>
    <w:qFormat/>
    <w:uiPriority w:val="0"/>
    <w:rPr>
      <w:rFonts w:hint="default" w:ascii="Times New Roman" w:hAnsi="Times New Roman" w:cs="Times New Roman"/>
      <w:color w:val="000000"/>
      <w:sz w:val="20"/>
      <w:szCs w:val="20"/>
      <w:u w:val="none"/>
    </w:rPr>
  </w:style>
  <w:style w:type="character" w:customStyle="1" w:styleId="91">
    <w:name w:val="纯文本 Char1"/>
    <w:qFormat/>
    <w:uiPriority w:val="0"/>
    <w:rPr>
      <w:rFonts w:ascii="宋体" w:hAnsi="Courier New" w:eastAsia="宋体"/>
      <w:kern w:val="2"/>
      <w:sz w:val="21"/>
      <w:szCs w:val="20"/>
      <w:lang w:val="en-US" w:eastAsia="zh-CN" w:bidi="ar-SA"/>
    </w:rPr>
  </w:style>
  <w:style w:type="character" w:customStyle="1" w:styleId="92">
    <w:name w:val="font61"/>
    <w:qFormat/>
    <w:uiPriority w:val="0"/>
    <w:rPr>
      <w:rFonts w:hint="eastAsia" w:ascii="宋体" w:hAnsi="宋体" w:eastAsia="宋体" w:cs="宋体"/>
      <w:color w:val="000000"/>
      <w:sz w:val="21"/>
      <w:szCs w:val="21"/>
      <w:u w:val="none"/>
    </w:rPr>
  </w:style>
  <w:style w:type="character" w:customStyle="1" w:styleId="93">
    <w:name w:val="列出段落 Char1"/>
    <w:link w:val="94"/>
    <w:qFormat/>
    <w:locked/>
    <w:uiPriority w:val="0"/>
    <w:rPr>
      <w:kern w:val="2"/>
      <w:sz w:val="21"/>
      <w:szCs w:val="24"/>
    </w:rPr>
  </w:style>
  <w:style w:type="paragraph" w:styleId="94">
    <w:name w:val="List Paragraph"/>
    <w:basedOn w:val="1"/>
    <w:link w:val="93"/>
    <w:qFormat/>
    <w:uiPriority w:val="0"/>
    <w:pPr>
      <w:ind w:firstLine="420" w:firstLineChars="200"/>
    </w:pPr>
  </w:style>
  <w:style w:type="character" w:customStyle="1" w:styleId="95">
    <w:name w:val="redfilenumber"/>
    <w:qFormat/>
    <w:uiPriority w:val="0"/>
    <w:rPr>
      <w:color w:val="BA2636"/>
      <w:sz w:val="18"/>
      <w:szCs w:val="18"/>
    </w:rPr>
  </w:style>
  <w:style w:type="paragraph" w:customStyle="1" w:styleId="96">
    <w:name w:val="样式1"/>
    <w:basedOn w:val="1"/>
    <w:qFormat/>
    <w:uiPriority w:val="0"/>
    <w:pPr>
      <w:widowControl/>
      <w:jc w:val="left"/>
    </w:pPr>
    <w:rPr>
      <w:rFonts w:ascii="宋体" w:hAnsi="宋体"/>
      <w:kern w:val="0"/>
      <w:szCs w:val="21"/>
    </w:rPr>
  </w:style>
  <w:style w:type="paragraph" w:customStyle="1" w:styleId="9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8">
    <w:name w:val="xl8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0">
    <w:name w:val="xl72"/>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10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02">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0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_0_0"/>
    <w:qFormat/>
    <w:uiPriority w:val="0"/>
    <w:pPr>
      <w:widowControl w:val="0"/>
      <w:spacing w:line="360" w:lineRule="auto"/>
      <w:ind w:firstLine="480" w:firstLineChars="200"/>
      <w:jc w:val="both"/>
    </w:pPr>
    <w:rPr>
      <w:rFonts w:ascii="宋体" w:hAnsi="宋体" w:eastAsia="宋体" w:cs="Times New Roman"/>
      <w:color w:val="000000"/>
      <w:kern w:val="2"/>
      <w:sz w:val="24"/>
      <w:szCs w:val="24"/>
      <w:lang w:val="en-US" w:eastAsia="zh-CN" w:bidi="ar-SA"/>
    </w:rPr>
  </w:style>
  <w:style w:type="paragraph" w:customStyle="1" w:styleId="10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07">
    <w:name w:val="xl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customStyle="1" w:styleId="111">
    <w:name w:val="1"/>
    <w:basedOn w:val="1"/>
    <w:next w:val="17"/>
    <w:qFormat/>
    <w:uiPriority w:val="0"/>
    <w:rPr>
      <w:rFonts w:ascii="宋体" w:hAnsi="Courier New"/>
      <w:szCs w:val="20"/>
    </w:rPr>
  </w:style>
  <w:style w:type="paragraph" w:customStyle="1" w:styleId="112">
    <w:name w:val="Char Char8"/>
    <w:basedOn w:val="1"/>
    <w:qFormat/>
    <w:uiPriority w:val="0"/>
    <w:rPr>
      <w:rFonts w:ascii="Tahoma" w:hAnsi="Tahoma" w:eastAsia="Times New Roman"/>
      <w:kern w:val="0"/>
      <w:sz w:val="24"/>
      <w:szCs w:val="20"/>
    </w:rPr>
  </w:style>
  <w:style w:type="paragraph" w:customStyle="1" w:styleId="11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15">
    <w:name w:val="p17"/>
    <w:basedOn w:val="1"/>
    <w:qFormat/>
    <w:uiPriority w:val="0"/>
    <w:pPr>
      <w:widowControl/>
    </w:pPr>
    <w:rPr>
      <w:rFonts w:ascii="宋体" w:hAnsi="宋体" w:cs="宋体"/>
      <w:kern w:val="0"/>
      <w:szCs w:val="21"/>
    </w:rPr>
  </w:style>
  <w:style w:type="paragraph" w:customStyle="1" w:styleId="11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18">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19">
    <w:name w:val="Char Char2 Char Char"/>
    <w:basedOn w:val="1"/>
    <w:qFormat/>
    <w:uiPriority w:val="0"/>
    <w:rPr>
      <w:rFonts w:ascii="Tahoma" w:hAnsi="Tahoma"/>
      <w:sz w:val="24"/>
      <w:szCs w:val="20"/>
    </w:rPr>
  </w:style>
  <w:style w:type="paragraph" w:customStyle="1" w:styleId="120">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2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7">
    <w:name w:val="Body text|3"/>
    <w:basedOn w:val="1"/>
    <w:qFormat/>
    <w:uiPriority w:val="0"/>
    <w:pPr>
      <w:spacing w:after="460"/>
      <w:jc w:val="center"/>
    </w:pPr>
    <w:rPr>
      <w:rFonts w:ascii="宋体" w:hAnsi="宋体" w:cs="宋体"/>
      <w:kern w:val="0"/>
      <w:sz w:val="34"/>
      <w:szCs w:val="34"/>
    </w:rPr>
  </w:style>
  <w:style w:type="paragraph" w:customStyle="1" w:styleId="128">
    <w:name w:val="CM14"/>
    <w:basedOn w:val="49"/>
    <w:next w:val="49"/>
    <w:qFormat/>
    <w:uiPriority w:val="0"/>
    <w:pPr>
      <w:spacing w:line="468" w:lineRule="atLeast"/>
    </w:pPr>
    <w:rPr>
      <w:rFonts w:ascii="Sim Sun" w:eastAsia="Sim Sun" w:cs="Times New Roman"/>
      <w:color w:val="auto"/>
    </w:rPr>
  </w:style>
  <w:style w:type="paragraph" w:customStyle="1" w:styleId="129">
    <w:name w:val="普通(网站)1"/>
    <w:basedOn w:val="1"/>
    <w:qFormat/>
    <w:uiPriority w:val="0"/>
    <w:pPr>
      <w:jc w:val="left"/>
    </w:pPr>
    <w:rPr>
      <w:kern w:val="0"/>
      <w:sz w:val="24"/>
    </w:rPr>
  </w:style>
  <w:style w:type="paragraph" w:customStyle="1" w:styleId="130">
    <w:name w:val="CM15"/>
    <w:basedOn w:val="49"/>
    <w:next w:val="49"/>
    <w:qFormat/>
    <w:uiPriority w:val="0"/>
    <w:pPr>
      <w:spacing w:line="468" w:lineRule="atLeast"/>
    </w:pPr>
    <w:rPr>
      <w:rFonts w:ascii="Sim Sun" w:eastAsia="Sim Sun" w:cs="Times New Roman"/>
      <w:color w:val="auto"/>
    </w:rPr>
  </w:style>
  <w:style w:type="paragraph" w:customStyle="1" w:styleId="131">
    <w:name w:val="列出段落1"/>
    <w:basedOn w:val="1"/>
    <w:qFormat/>
    <w:uiPriority w:val="0"/>
    <w:pPr>
      <w:ind w:firstLine="420" w:firstLineChars="200"/>
    </w:pPr>
    <w:rPr>
      <w:rFonts w:ascii="仿宋_GB2312" w:eastAsia="仿宋_GB2312"/>
      <w:sz w:val="32"/>
    </w:rPr>
  </w:style>
  <w:style w:type="paragraph" w:customStyle="1" w:styleId="132">
    <w:name w:val="Table Paragraph"/>
    <w:basedOn w:val="1"/>
    <w:qFormat/>
    <w:uiPriority w:val="1"/>
  </w:style>
  <w:style w:type="paragraph" w:customStyle="1" w:styleId="133">
    <w:name w:val="首行缩进"/>
    <w:basedOn w:val="1"/>
    <w:qFormat/>
    <w:uiPriority w:val="0"/>
    <w:pPr>
      <w:ind w:firstLine="480" w:firstLineChars="200"/>
    </w:pPr>
  </w:style>
  <w:style w:type="paragraph" w:customStyle="1" w:styleId="13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35">
    <w:name w:val="p0"/>
    <w:basedOn w:val="1"/>
    <w:qFormat/>
    <w:uiPriority w:val="0"/>
    <w:pPr>
      <w:widowControl/>
    </w:pPr>
    <w:rPr>
      <w:kern w:val="0"/>
      <w:szCs w:val="20"/>
    </w:rPr>
  </w:style>
  <w:style w:type="paragraph" w:customStyle="1" w:styleId="13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3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Body text|1"/>
    <w:basedOn w:val="1"/>
    <w:qFormat/>
    <w:uiPriority w:val="0"/>
    <w:pPr>
      <w:spacing w:line="350" w:lineRule="auto"/>
      <w:ind w:firstLine="400"/>
      <w:jc w:val="left"/>
    </w:pPr>
    <w:rPr>
      <w:rFonts w:ascii="宋体" w:hAnsi="宋体" w:cs="宋体"/>
      <w:kern w:val="0"/>
      <w:sz w:val="30"/>
      <w:szCs w:val="30"/>
    </w:rPr>
  </w:style>
  <w:style w:type="paragraph" w:customStyle="1" w:styleId="140">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2">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43">
    <w:name w:val="xl8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44">
    <w:name w:val="_Style 36"/>
    <w:basedOn w:val="1"/>
    <w:qFormat/>
    <w:uiPriority w:val="0"/>
    <w:rPr>
      <w:rFonts w:ascii="Tahoma" w:hAnsi="Tahoma"/>
      <w:sz w:val="24"/>
      <w:szCs w:val="20"/>
    </w:rPr>
  </w:style>
  <w:style w:type="paragraph" w:customStyle="1" w:styleId="145">
    <w:name w:val="正文_0"/>
    <w:qFormat/>
    <w:uiPriority w:val="0"/>
    <w:pPr>
      <w:widowControl w:val="0"/>
      <w:tabs>
        <w:tab w:val="left" w:pos="480"/>
      </w:tabs>
      <w:spacing w:line="360" w:lineRule="auto"/>
      <w:jc w:val="both"/>
    </w:pPr>
    <w:rPr>
      <w:rFonts w:ascii="Times New Roman" w:hAnsi="Times New Roman" w:eastAsia="宋体" w:cs="Times New Roman"/>
      <w:kern w:val="2"/>
      <w:sz w:val="24"/>
      <w:szCs w:val="22"/>
      <w:lang w:val="en-US" w:eastAsia="zh-CN" w:bidi="ar-SA"/>
    </w:rPr>
  </w:style>
  <w:style w:type="character" w:customStyle="1" w:styleId="146">
    <w:name w:val="正文首行缩进 2 Char"/>
    <w:basedOn w:val="56"/>
    <w:link w:val="31"/>
    <w:qFormat/>
    <w:uiPriority w:val="0"/>
  </w:style>
  <w:style w:type="character" w:customStyle="1" w:styleId="147">
    <w:name w:val="标题 3 Char"/>
    <w:link w:val="4"/>
    <w:qFormat/>
    <w:uiPriority w:val="0"/>
    <w:rPr>
      <w:b/>
      <w:bCs/>
      <w:kern w:val="2"/>
      <w:sz w:val="32"/>
      <w:szCs w:val="32"/>
    </w:rPr>
  </w:style>
  <w:style w:type="character" w:customStyle="1" w:styleId="148">
    <w:name w:val="正文文本 Char"/>
    <w:basedOn w:val="34"/>
    <w:link w:val="14"/>
    <w:qFormat/>
    <w:uiPriority w:val="0"/>
    <w:rPr>
      <w:kern w:val="2"/>
      <w:sz w:val="24"/>
      <w:szCs w:val="24"/>
    </w:rPr>
  </w:style>
  <w:style w:type="character" w:customStyle="1" w:styleId="149">
    <w:name w:val="NormalCharacter"/>
    <w:qFormat/>
    <w:uiPriority w:val="0"/>
    <w:rPr>
      <w:rFonts w:ascii="Times New Roman" w:hAnsi="Times New Roman" w:eastAsia="宋体"/>
      <w:lang w:val="en-US"/>
    </w:rPr>
  </w:style>
  <w:style w:type="paragraph" w:customStyle="1" w:styleId="150">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60</Pages>
  <Words>29525</Words>
  <Characters>32329</Characters>
  <Lines>344</Lines>
  <Paragraphs>96</Paragraphs>
  <TotalTime>3</TotalTime>
  <ScaleCrop>false</ScaleCrop>
  <LinksUpToDate>false</LinksUpToDate>
  <CharactersWithSpaces>32810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2023-05-15T09:07:00Z</dcterms:created>
  <dc:creator>微软用户</dc:creator>
  <cp:lastModifiedBy>Shallow </cp:lastModifiedBy>
  <cp:lastPrinted>2025-01-06T10:27:00Z</cp:lastPrinted>
  <dcterms:modified xsi:type="dcterms:W3CDTF">2025-12-01T07:02:06Z</dcterms:modified>
  <dc:title>医疗设备采购</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9E78E4CA2EFB4036B7F27E3F9F2CF89C_13</vt:lpwstr>
  </property>
  <property fmtid="{D5CDD505-2E9C-101B-9397-08002B2CF9AE}" pid="4" name="KSOTemplateDocerSaveRecord">
    <vt:lpwstr>eyJoZGlkIjoiYTI3ZDYzMGZmOWU4OTlmNmE5NjVmYTc2NDNlYTdlYjAiLCJ1c2VySWQiOiIyMjg4ODc4NTMifQ==</vt:lpwstr>
  </property>
</Properties>
</file>