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ED8217">
      <w:pPr>
        <w:pStyle w:val="26"/>
        <w:keepNext w:val="0"/>
        <w:keepLines w:val="0"/>
        <w:pageBreakBefore w:val="0"/>
        <w:kinsoku/>
        <w:overflowPunct/>
        <w:topLinePunct w:val="0"/>
        <w:bidi w:val="0"/>
        <w:spacing w:line="360" w:lineRule="auto"/>
        <w:rPr>
          <w:color w:val="auto"/>
          <w:highlight w:val="none"/>
        </w:rPr>
      </w:pPr>
      <w:r>
        <w:rPr>
          <w:color w:val="auto"/>
          <w:spacing w:val="0"/>
          <w:position w:val="0"/>
          <w:highlight w:val="none"/>
        </w:rPr>
        <w:drawing>
          <wp:anchor distT="0" distB="0" distL="114300" distR="114300" simplePos="0" relativeHeight="251662336" behindDoc="1" locked="0" layoutInCell="1" allowOverlap="1">
            <wp:simplePos x="0" y="0"/>
            <wp:positionH relativeFrom="column">
              <wp:posOffset>194310</wp:posOffset>
            </wp:positionH>
            <wp:positionV relativeFrom="paragraph">
              <wp:posOffset>166370</wp:posOffset>
            </wp:positionV>
            <wp:extent cx="5713730" cy="2046605"/>
            <wp:effectExtent l="0" t="0" r="1270" b="1079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713730" cy="2046605"/>
                    </a:xfrm>
                    <a:prstGeom prst="rect">
                      <a:avLst/>
                    </a:prstGeom>
                    <a:noFill/>
                    <a:ln>
                      <a:noFill/>
                    </a:ln>
                  </pic:spPr>
                </pic:pic>
              </a:graphicData>
            </a:graphic>
          </wp:anchor>
        </w:drawing>
      </w:r>
    </w:p>
    <w:p w14:paraId="76997234">
      <w:pPr>
        <w:pStyle w:val="26"/>
        <w:keepNext w:val="0"/>
        <w:keepLines w:val="0"/>
        <w:pageBreakBefore w:val="0"/>
        <w:kinsoku/>
        <w:overflowPunct/>
        <w:topLinePunct w:val="0"/>
        <w:bidi w:val="0"/>
        <w:spacing w:line="360" w:lineRule="auto"/>
        <w:jc w:val="center"/>
        <w:rPr>
          <w:rFonts w:ascii="华文新魏" w:eastAsia="华文新魏"/>
          <w:b/>
          <w:bCs/>
          <w:color w:val="auto"/>
          <w:spacing w:val="80"/>
          <w:sz w:val="72"/>
          <w:highlight w:val="none"/>
        </w:rPr>
      </w:pPr>
    </w:p>
    <w:p w14:paraId="75423C1F">
      <w:pPr>
        <w:pStyle w:val="26"/>
        <w:keepNext w:val="0"/>
        <w:keepLines w:val="0"/>
        <w:pageBreakBefore w:val="0"/>
        <w:kinsoku/>
        <w:overflowPunct/>
        <w:topLinePunct w:val="0"/>
        <w:bidi w:val="0"/>
        <w:spacing w:line="360" w:lineRule="auto"/>
        <w:jc w:val="center"/>
        <w:rPr>
          <w:rFonts w:ascii="楷体_GB2312" w:eastAsia="楷体_GB2312"/>
          <w:b/>
          <w:bCs/>
          <w:color w:val="auto"/>
          <w:sz w:val="72"/>
          <w:highlight w:val="none"/>
        </w:rPr>
      </w:pPr>
    </w:p>
    <w:p w14:paraId="66851358">
      <w:pPr>
        <w:pStyle w:val="26"/>
        <w:keepNext w:val="0"/>
        <w:keepLines w:val="0"/>
        <w:pageBreakBefore w:val="0"/>
        <w:kinsoku/>
        <w:overflowPunct/>
        <w:topLinePunct w:val="0"/>
        <w:bidi w:val="0"/>
        <w:spacing w:line="360" w:lineRule="auto"/>
        <w:jc w:val="center"/>
        <w:rPr>
          <w:color w:val="auto"/>
          <w:highlight w:val="none"/>
        </w:rPr>
      </w:pPr>
    </w:p>
    <w:p w14:paraId="5C589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eastAsia="楷体_GB2312"/>
          <w:b/>
          <w:color w:val="auto"/>
          <w:spacing w:val="60"/>
          <w:sz w:val="132"/>
          <w:szCs w:val="132"/>
          <w:highlight w:val="none"/>
        </w:rPr>
      </w:pPr>
    </w:p>
    <w:p w14:paraId="2435C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143BFEE2">
      <w:pPr>
        <w:pStyle w:val="26"/>
        <w:keepNext w:val="0"/>
        <w:keepLines w:val="0"/>
        <w:pageBreakBefore w:val="0"/>
        <w:kinsoku/>
        <w:overflowPunct/>
        <w:topLinePunct w:val="0"/>
        <w:bidi w:val="0"/>
        <w:spacing w:line="360" w:lineRule="auto"/>
        <w:rPr>
          <w:color w:val="auto"/>
          <w:highlight w:val="none"/>
        </w:rPr>
      </w:pPr>
    </w:p>
    <w:p w14:paraId="03D9AE4F">
      <w:pPr>
        <w:pStyle w:val="26"/>
        <w:keepNext w:val="0"/>
        <w:keepLines w:val="0"/>
        <w:pageBreakBefore w:val="0"/>
        <w:kinsoku/>
        <w:overflowPunct/>
        <w:topLinePunct w:val="0"/>
        <w:bidi w:val="0"/>
        <w:spacing w:line="360" w:lineRule="auto"/>
        <w:rPr>
          <w:color w:val="auto"/>
          <w:highlight w:val="none"/>
        </w:rPr>
      </w:pPr>
    </w:p>
    <w:p w14:paraId="63E71B46">
      <w:pPr>
        <w:keepNext w:val="0"/>
        <w:keepLines w:val="0"/>
        <w:pageBreakBefore w:val="0"/>
        <w:kinsoku/>
        <w:overflowPunct/>
        <w:topLinePunct w:val="0"/>
        <w:bidi w:val="0"/>
        <w:spacing w:line="360" w:lineRule="auto"/>
        <w:ind w:left="2823" w:leftChars="608" w:hanging="1546" w:hangingChars="500"/>
        <w:rPr>
          <w:rFonts w:hint="eastAsia" w:ascii="宋体" w:hAnsi="宋体"/>
          <w:b/>
          <w:bCs/>
          <w:color w:val="auto"/>
          <w:spacing w:val="-6"/>
          <w:sz w:val="32"/>
          <w:highlight w:val="none"/>
        </w:rPr>
      </w:pPr>
    </w:p>
    <w:p w14:paraId="722C07AF">
      <w:pPr>
        <w:keepNext w:val="0"/>
        <w:keepLines w:val="0"/>
        <w:pageBreakBefore w:val="0"/>
        <w:kinsoku/>
        <w:overflowPunct/>
        <w:topLinePunct w:val="0"/>
        <w:bidi w:val="0"/>
        <w:spacing w:line="360" w:lineRule="auto"/>
        <w:ind w:left="2823" w:leftChars="608" w:hanging="1546" w:hangingChars="500"/>
        <w:rPr>
          <w:rFonts w:hint="eastAsia" w:ascii="宋体" w:hAnsi="宋体"/>
          <w:b/>
          <w:bCs/>
          <w:color w:val="auto"/>
          <w:spacing w:val="-6"/>
          <w:sz w:val="32"/>
          <w:highlight w:val="none"/>
        </w:rPr>
      </w:pPr>
    </w:p>
    <w:p w14:paraId="3F0D084A">
      <w:pPr>
        <w:keepNext w:val="0"/>
        <w:keepLines w:val="0"/>
        <w:pageBreakBefore w:val="0"/>
        <w:kinsoku/>
        <w:overflowPunct/>
        <w:topLinePunct w:val="0"/>
        <w:bidi w:val="0"/>
        <w:spacing w:line="360" w:lineRule="auto"/>
        <w:ind w:left="2823" w:leftChars="608" w:hanging="1546" w:hangingChars="5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项目名称：</w:t>
      </w:r>
      <w:r>
        <w:rPr>
          <w:rFonts w:hint="eastAsia" w:ascii="宋体" w:hAnsi="宋体" w:cs="宋体"/>
          <w:b/>
          <w:bCs/>
          <w:color w:val="auto"/>
          <w:sz w:val="32"/>
          <w:szCs w:val="32"/>
          <w:highlight w:val="none"/>
          <w:lang w:eastAsia="zh-CN"/>
        </w:rPr>
        <w:t>资源县中峰镇工业园区污水处理厂污水处理设施项目设备采购</w:t>
      </w:r>
    </w:p>
    <w:p w14:paraId="515B9F5C">
      <w:pPr>
        <w:keepNext w:val="0"/>
        <w:keepLines w:val="0"/>
        <w:pageBreakBefore w:val="0"/>
        <w:kinsoku/>
        <w:overflowPunct/>
        <w:topLinePunct w:val="0"/>
        <w:bidi w:val="0"/>
        <w:spacing w:line="360" w:lineRule="auto"/>
        <w:ind w:firstLine="1237" w:firstLineChars="400"/>
        <w:rPr>
          <w:color w:val="auto"/>
          <w:highlight w:val="none"/>
        </w:rPr>
      </w:pPr>
      <w:r>
        <w:rPr>
          <w:rFonts w:hint="eastAsia" w:ascii="宋体" w:hAnsi="宋体"/>
          <w:b/>
          <w:bCs/>
          <w:color w:val="auto"/>
          <w:spacing w:val="-6"/>
          <w:sz w:val="32"/>
          <w:highlight w:val="none"/>
        </w:rPr>
        <w:t>项目编号：GLZC2025-G1-290120-GXCJ</w:t>
      </w:r>
    </w:p>
    <w:p w14:paraId="41CC0A24">
      <w:pPr>
        <w:keepNext w:val="0"/>
        <w:keepLines w:val="0"/>
        <w:pageBreakBefore w:val="0"/>
        <w:kinsoku/>
        <w:overflowPunct/>
        <w:topLinePunct w:val="0"/>
        <w:bidi w:val="0"/>
        <w:spacing w:line="360" w:lineRule="auto"/>
        <w:ind w:left="103" w:leftChars="49" w:firstLine="1470" w:firstLineChars="700"/>
        <w:jc w:val="center"/>
        <w:rPr>
          <w:color w:val="auto"/>
          <w:highlight w:val="none"/>
        </w:rPr>
      </w:pPr>
    </w:p>
    <w:p w14:paraId="12A290EE">
      <w:pPr>
        <w:keepNext w:val="0"/>
        <w:keepLines w:val="0"/>
        <w:pageBreakBefore w:val="0"/>
        <w:kinsoku/>
        <w:overflowPunct/>
        <w:topLinePunct w:val="0"/>
        <w:bidi w:val="0"/>
        <w:spacing w:line="360" w:lineRule="auto"/>
        <w:ind w:left="103" w:leftChars="49" w:firstLine="1470" w:firstLineChars="700"/>
        <w:jc w:val="center"/>
        <w:rPr>
          <w:color w:val="auto"/>
          <w:highlight w:val="none"/>
        </w:rPr>
      </w:pPr>
    </w:p>
    <w:p w14:paraId="71F6C6E6">
      <w:pPr>
        <w:keepNext w:val="0"/>
        <w:keepLines w:val="0"/>
        <w:pageBreakBefore w:val="0"/>
        <w:kinsoku/>
        <w:overflowPunct/>
        <w:topLinePunct w:val="0"/>
        <w:bidi w:val="0"/>
        <w:spacing w:line="360" w:lineRule="auto"/>
        <w:ind w:left="103" w:leftChars="49" w:firstLine="1470" w:firstLineChars="700"/>
        <w:jc w:val="center"/>
        <w:rPr>
          <w:color w:val="auto"/>
          <w:highlight w:val="none"/>
        </w:rPr>
      </w:pPr>
    </w:p>
    <w:p w14:paraId="4C1A3E8A">
      <w:pPr>
        <w:pStyle w:val="2"/>
        <w:rPr>
          <w:color w:val="auto"/>
          <w:highlight w:val="none"/>
        </w:rPr>
      </w:pPr>
    </w:p>
    <w:p w14:paraId="23F4DF04">
      <w:pPr>
        <w:keepNext w:val="0"/>
        <w:keepLines w:val="0"/>
        <w:pageBreakBefore w:val="0"/>
        <w:widowControl w:val="0"/>
        <w:kinsoku/>
        <w:wordWrap w:val="0"/>
        <w:overflowPunct/>
        <w:topLinePunct w:val="0"/>
        <w:bidi w:val="0"/>
        <w:spacing w:line="360" w:lineRule="auto"/>
        <w:ind w:firstLine="840" w:firstLineChars="400"/>
        <w:jc w:val="center"/>
        <w:rPr>
          <w:rFonts w:ascii="宋体" w:hAnsi="宋体"/>
          <w:b/>
          <w:bCs/>
          <w:color w:val="auto"/>
          <w:spacing w:val="8"/>
          <w:kern w:val="0"/>
          <w:sz w:val="32"/>
          <w:highlight w:val="none"/>
        </w:rPr>
      </w:pPr>
      <w:r>
        <w:rPr>
          <w:color w:val="auto"/>
          <w:highlight w:val="none"/>
        </w:rPr>
        <w:cr/>
      </w:r>
      <w:r>
        <w:rPr>
          <w:rFonts w:hint="eastAsia" w:ascii="宋体" w:hAnsi="宋体" w:eastAsia="宋体" w:cs="宋体"/>
          <w:b/>
          <w:bCs/>
          <w:color w:val="auto"/>
          <w:sz w:val="32"/>
          <w:szCs w:val="32"/>
          <w:highlight w:val="none"/>
          <w:lang w:eastAsia="zh-CN"/>
        </w:rPr>
        <w:t>采购代理机构：广西昶吉工程项目管理有限公司</w:t>
      </w:r>
      <w:r>
        <w:rPr>
          <w:rFonts w:hint="eastAsia" w:ascii="宋体" w:hAnsi="宋体"/>
          <w:b/>
          <w:bCs/>
          <w:color w:val="auto"/>
          <w:spacing w:val="40"/>
          <w:sz w:val="32"/>
          <w:highlight w:val="none"/>
        </w:rPr>
        <w:cr/>
      </w:r>
      <w:r>
        <w:rPr>
          <w:rFonts w:hint="eastAsia" w:ascii="黑体" w:eastAsia="黑体"/>
          <w:color w:val="auto"/>
          <w:spacing w:val="-8"/>
          <w:sz w:val="32"/>
          <w:highlight w:val="none"/>
        </w:rPr>
        <w:t xml:space="preserve"> </w:t>
      </w:r>
      <w:r>
        <w:rPr>
          <w:rFonts w:ascii="黑体" w:eastAsia="黑体"/>
          <w:color w:val="auto"/>
          <w:spacing w:val="-8"/>
          <w:sz w:val="32"/>
          <w:highlight w:val="none"/>
        </w:rPr>
        <w:t xml:space="preserve"> </w:t>
      </w:r>
      <w:r>
        <w:rPr>
          <w:rFonts w:hint="eastAsia" w:ascii="宋体" w:hAnsi="宋体"/>
          <w:b/>
          <w:bCs/>
          <w:color w:val="auto"/>
          <w:spacing w:val="107"/>
          <w:kern w:val="0"/>
          <w:sz w:val="32"/>
          <w:highlight w:val="none"/>
          <w:fitText w:val="3925" w:id="99222529"/>
        </w:rPr>
        <w:t>2025年</w:t>
      </w:r>
      <w:r>
        <w:rPr>
          <w:rFonts w:hint="eastAsia" w:ascii="宋体" w:hAnsi="宋体"/>
          <w:b/>
          <w:bCs/>
          <w:color w:val="auto"/>
          <w:spacing w:val="107"/>
          <w:kern w:val="0"/>
          <w:sz w:val="32"/>
          <w:highlight w:val="none"/>
          <w:fitText w:val="3925" w:id="99222529"/>
          <w:lang w:val="en-US" w:eastAsia="zh-CN"/>
        </w:rPr>
        <w:t>12</w:t>
      </w:r>
      <w:r>
        <w:rPr>
          <w:rFonts w:hint="eastAsia" w:ascii="宋体" w:hAnsi="宋体"/>
          <w:b/>
          <w:bCs/>
          <w:color w:val="auto"/>
          <w:spacing w:val="107"/>
          <w:kern w:val="0"/>
          <w:sz w:val="32"/>
          <w:highlight w:val="none"/>
          <w:fitText w:val="3925" w:id="99222529"/>
        </w:rPr>
        <w:t>月</w:t>
      </w:r>
      <w:r>
        <w:rPr>
          <w:rFonts w:hint="eastAsia" w:ascii="宋体" w:hAnsi="宋体"/>
          <w:b/>
          <w:bCs/>
          <w:color w:val="auto"/>
          <w:spacing w:val="107"/>
          <w:kern w:val="0"/>
          <w:sz w:val="32"/>
          <w:highlight w:val="none"/>
          <w:fitText w:val="3925" w:id="99222529"/>
          <w:lang w:val="en-US" w:eastAsia="zh-CN"/>
        </w:rPr>
        <w:t>3</w:t>
      </w:r>
      <w:r>
        <w:rPr>
          <w:rFonts w:hint="eastAsia" w:ascii="宋体" w:hAnsi="宋体"/>
          <w:b/>
          <w:bCs/>
          <w:color w:val="auto"/>
          <w:spacing w:val="0"/>
          <w:kern w:val="0"/>
          <w:sz w:val="32"/>
          <w:highlight w:val="none"/>
          <w:fitText w:val="3925" w:id="99222529"/>
        </w:rPr>
        <w:t>日</w:t>
      </w:r>
    </w:p>
    <w:p w14:paraId="39AC20EC">
      <w:pPr>
        <w:pStyle w:val="26"/>
        <w:keepNext w:val="0"/>
        <w:keepLines w:val="0"/>
        <w:pageBreakBefore w:val="0"/>
        <w:kinsoku/>
        <w:overflowPunct/>
        <w:topLinePunct w:val="0"/>
        <w:bidi w:val="0"/>
        <w:spacing w:line="360" w:lineRule="auto"/>
        <w:jc w:val="center"/>
        <w:rPr>
          <w:rFonts w:ascii="隶书" w:eastAsia="隶书"/>
          <w:color w:val="auto"/>
          <w:sz w:val="44"/>
          <w:highlight w:val="none"/>
        </w:rPr>
      </w:pPr>
      <w:r>
        <w:rPr>
          <w:rFonts w:hint="eastAsia" w:ascii="隶书" w:eastAsia="隶书"/>
          <w:color w:val="auto"/>
          <w:sz w:val="44"/>
          <w:highlight w:val="none"/>
        </w:rPr>
        <w:t>目     录</w:t>
      </w:r>
    </w:p>
    <w:p w14:paraId="16424AD0">
      <w:pPr>
        <w:pStyle w:val="26"/>
        <w:keepNext w:val="0"/>
        <w:keepLines w:val="0"/>
        <w:pageBreakBefore w:val="0"/>
        <w:kinsoku/>
        <w:overflowPunct/>
        <w:topLinePunct w:val="0"/>
        <w:bidi w:val="0"/>
        <w:spacing w:line="360" w:lineRule="auto"/>
        <w:jc w:val="center"/>
        <w:rPr>
          <w:rFonts w:ascii="隶书" w:eastAsia="隶书"/>
          <w:color w:val="auto"/>
          <w:highlight w:val="none"/>
        </w:rPr>
      </w:pPr>
    </w:p>
    <w:p w14:paraId="6EE6764B">
      <w:pPr>
        <w:keepNext w:val="0"/>
        <w:keepLines w:val="0"/>
        <w:pageBreakBefore w:val="0"/>
        <w:tabs>
          <w:tab w:val="left" w:pos="8860"/>
          <w:tab w:val="left" w:pos="9140"/>
        </w:tabs>
        <w:kinsoku/>
        <w:overflowPunct/>
        <w:topLinePunct w:val="0"/>
        <w:bidi w:val="0"/>
        <w:spacing w:line="360" w:lineRule="auto"/>
        <w:ind w:firstLine="735"/>
        <w:rPr>
          <w:rFonts w:hint="eastAsia" w:ascii="隶书" w:hAnsi="Courier New" w:eastAsia="隶书"/>
          <w:color w:val="auto"/>
          <w:sz w:val="32"/>
          <w:szCs w:val="22"/>
          <w:highlight w:val="none"/>
          <w:lang w:eastAsia="zh-CN"/>
        </w:rPr>
      </w:pPr>
      <w:r>
        <w:rPr>
          <w:rFonts w:hint="eastAsia" w:ascii="隶书" w:hAnsi="Courier New" w:eastAsia="隶书"/>
          <w:color w:val="auto"/>
          <w:sz w:val="32"/>
          <w:szCs w:val="22"/>
          <w:highlight w:val="none"/>
        </w:rPr>
        <w:t>第一章：招标公告……………………………………………</w:t>
      </w:r>
      <w:r>
        <w:rPr>
          <w:rFonts w:hint="eastAsia" w:ascii="隶书" w:hAnsi="Courier New" w:eastAsia="隶书"/>
          <w:color w:val="auto"/>
          <w:sz w:val="32"/>
          <w:szCs w:val="22"/>
          <w:highlight w:val="none"/>
          <w:lang w:val="en-US" w:eastAsia="zh-CN"/>
        </w:rPr>
        <w:t>1</w:t>
      </w:r>
    </w:p>
    <w:p w14:paraId="689C46F2">
      <w:pPr>
        <w:keepNext w:val="0"/>
        <w:keepLines w:val="0"/>
        <w:pageBreakBefore w:val="0"/>
        <w:tabs>
          <w:tab w:val="left" w:pos="1800"/>
          <w:tab w:val="left" w:pos="8860"/>
          <w:tab w:val="left" w:pos="9140"/>
        </w:tabs>
        <w:kinsoku/>
        <w:overflowPunct/>
        <w:topLinePunct w:val="0"/>
        <w:bidi w:val="0"/>
        <w:spacing w:line="360" w:lineRule="auto"/>
        <w:ind w:firstLine="735"/>
        <w:rPr>
          <w:rFonts w:hint="eastAsia" w:ascii="隶书" w:hAnsi="Courier New" w:eastAsia="隶书"/>
          <w:color w:val="auto"/>
          <w:sz w:val="32"/>
          <w:szCs w:val="22"/>
          <w:highlight w:val="none"/>
          <w:lang w:eastAsia="zh-CN"/>
        </w:rPr>
      </w:pPr>
      <w:r>
        <w:rPr>
          <w:rFonts w:hint="eastAsia" w:ascii="隶书" w:hAnsi="Courier New" w:eastAsia="隶书"/>
          <w:color w:val="auto"/>
          <w:sz w:val="32"/>
          <w:szCs w:val="22"/>
          <w:highlight w:val="none"/>
        </w:rPr>
        <w:t>第二章：投标人须知…………………………………………</w:t>
      </w:r>
      <w:r>
        <w:rPr>
          <w:rFonts w:hint="eastAsia" w:ascii="隶书" w:hAnsi="Courier New" w:eastAsia="隶书"/>
          <w:color w:val="auto"/>
          <w:sz w:val="32"/>
          <w:szCs w:val="22"/>
          <w:highlight w:val="none"/>
          <w:lang w:val="en-US" w:eastAsia="zh-CN"/>
        </w:rPr>
        <w:t>4</w:t>
      </w:r>
    </w:p>
    <w:p w14:paraId="3ED35857">
      <w:pPr>
        <w:keepNext w:val="0"/>
        <w:keepLines w:val="0"/>
        <w:pageBreakBefore w:val="0"/>
        <w:kinsoku/>
        <w:overflowPunct/>
        <w:topLinePunct w:val="0"/>
        <w:bidi w:val="0"/>
        <w:spacing w:line="360" w:lineRule="auto"/>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第三章：采购需求……………………………………………</w:t>
      </w:r>
      <w:r>
        <w:rPr>
          <w:rFonts w:hint="eastAsia" w:ascii="隶书" w:hAnsi="Courier New" w:eastAsia="隶书"/>
          <w:color w:val="auto"/>
          <w:sz w:val="32"/>
          <w:szCs w:val="22"/>
          <w:highlight w:val="none"/>
          <w:lang w:val="en-US" w:eastAsia="zh-CN"/>
        </w:rPr>
        <w:t>31</w:t>
      </w:r>
    </w:p>
    <w:p w14:paraId="608A837C">
      <w:pPr>
        <w:keepNext w:val="0"/>
        <w:keepLines w:val="0"/>
        <w:pageBreakBefore w:val="0"/>
        <w:tabs>
          <w:tab w:val="left" w:pos="8930"/>
          <w:tab w:val="left" w:pos="9105"/>
        </w:tabs>
        <w:kinsoku/>
        <w:overflowPunct/>
        <w:topLinePunct w:val="0"/>
        <w:bidi w:val="0"/>
        <w:spacing w:line="360" w:lineRule="auto"/>
        <w:ind w:left="2011" w:leftChars="348" w:hanging="1280" w:hangingChars="400"/>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第四章：评标办法……………………………………………</w:t>
      </w:r>
      <w:r>
        <w:rPr>
          <w:rFonts w:hint="eastAsia" w:ascii="隶书" w:hAnsi="Courier New" w:eastAsia="隶书"/>
          <w:color w:val="auto"/>
          <w:sz w:val="32"/>
          <w:szCs w:val="22"/>
          <w:highlight w:val="none"/>
          <w:lang w:val="en-US" w:eastAsia="zh-CN"/>
        </w:rPr>
        <w:t>52</w:t>
      </w:r>
    </w:p>
    <w:p w14:paraId="381B935F">
      <w:pPr>
        <w:keepNext w:val="0"/>
        <w:keepLines w:val="0"/>
        <w:pageBreakBefore w:val="0"/>
        <w:kinsoku/>
        <w:overflowPunct/>
        <w:topLinePunct w:val="0"/>
        <w:bidi w:val="0"/>
        <w:spacing w:line="360" w:lineRule="auto"/>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第五章：政府采购合同（合同主要条款及格式）…………</w:t>
      </w:r>
      <w:r>
        <w:rPr>
          <w:rFonts w:hint="eastAsia" w:ascii="隶书" w:hAnsi="Courier New" w:eastAsia="隶书"/>
          <w:color w:val="auto"/>
          <w:sz w:val="32"/>
          <w:szCs w:val="22"/>
          <w:highlight w:val="none"/>
          <w:lang w:val="en-US" w:eastAsia="zh-CN"/>
        </w:rPr>
        <w:t>57</w:t>
      </w:r>
    </w:p>
    <w:p w14:paraId="58DE6CC3">
      <w:pPr>
        <w:keepNext w:val="0"/>
        <w:keepLines w:val="0"/>
        <w:pageBreakBefore w:val="0"/>
        <w:kinsoku/>
        <w:overflowPunct/>
        <w:topLinePunct w:val="0"/>
        <w:bidi w:val="0"/>
        <w:spacing w:line="360" w:lineRule="auto"/>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第六章：投标文件（格式）…………………………………</w:t>
      </w:r>
      <w:r>
        <w:rPr>
          <w:rFonts w:hint="eastAsia" w:ascii="隶书" w:hAnsi="Courier New" w:eastAsia="隶书"/>
          <w:color w:val="auto"/>
          <w:sz w:val="32"/>
          <w:szCs w:val="22"/>
          <w:highlight w:val="none"/>
          <w:lang w:val="en-US" w:eastAsia="zh-CN"/>
        </w:rPr>
        <w:t>61</w:t>
      </w:r>
    </w:p>
    <w:p w14:paraId="0D3486F4">
      <w:pPr>
        <w:keepNext w:val="0"/>
        <w:keepLines w:val="0"/>
        <w:pageBreakBefore w:val="0"/>
        <w:kinsoku/>
        <w:overflowPunct/>
        <w:topLinePunct w:val="0"/>
        <w:bidi w:val="0"/>
        <w:spacing w:line="360" w:lineRule="auto"/>
        <w:ind w:firstLine="2730" w:firstLineChars="1300"/>
        <w:rPr>
          <w:color w:val="auto"/>
          <w:szCs w:val="21"/>
          <w:highlight w:val="none"/>
        </w:rPr>
      </w:pPr>
    </w:p>
    <w:p w14:paraId="3819A7BA">
      <w:pPr>
        <w:keepNext w:val="0"/>
        <w:keepLines w:val="0"/>
        <w:pageBreakBefore w:val="0"/>
        <w:kinsoku/>
        <w:overflowPunct/>
        <w:topLinePunct w:val="0"/>
        <w:bidi w:val="0"/>
        <w:spacing w:line="360" w:lineRule="auto"/>
        <w:ind w:firstLine="2730" w:firstLineChars="1300"/>
        <w:rPr>
          <w:color w:val="auto"/>
          <w:szCs w:val="21"/>
          <w:highlight w:val="none"/>
        </w:rPr>
      </w:pPr>
    </w:p>
    <w:p w14:paraId="0DBD71D7">
      <w:pPr>
        <w:keepNext w:val="0"/>
        <w:keepLines w:val="0"/>
        <w:pageBreakBefore w:val="0"/>
        <w:kinsoku/>
        <w:overflowPunct/>
        <w:topLinePunct w:val="0"/>
        <w:bidi w:val="0"/>
        <w:spacing w:line="360" w:lineRule="auto"/>
        <w:ind w:firstLine="2730" w:firstLineChars="1300"/>
        <w:rPr>
          <w:color w:val="auto"/>
          <w:szCs w:val="21"/>
          <w:highlight w:val="none"/>
        </w:rPr>
      </w:pPr>
    </w:p>
    <w:p w14:paraId="50751CB4">
      <w:pPr>
        <w:keepNext w:val="0"/>
        <w:keepLines w:val="0"/>
        <w:pageBreakBefore w:val="0"/>
        <w:kinsoku/>
        <w:overflowPunct/>
        <w:topLinePunct w:val="0"/>
        <w:bidi w:val="0"/>
        <w:spacing w:line="360" w:lineRule="auto"/>
        <w:ind w:firstLine="2730" w:firstLineChars="1300"/>
        <w:rPr>
          <w:color w:val="auto"/>
          <w:szCs w:val="21"/>
          <w:highlight w:val="none"/>
        </w:rPr>
      </w:pPr>
    </w:p>
    <w:p w14:paraId="6B008090">
      <w:pPr>
        <w:keepNext w:val="0"/>
        <w:keepLines w:val="0"/>
        <w:pageBreakBefore w:val="0"/>
        <w:kinsoku/>
        <w:overflowPunct/>
        <w:topLinePunct w:val="0"/>
        <w:bidi w:val="0"/>
        <w:spacing w:line="360" w:lineRule="auto"/>
        <w:ind w:firstLine="2730" w:firstLineChars="1300"/>
        <w:rPr>
          <w:color w:val="auto"/>
          <w:szCs w:val="21"/>
          <w:highlight w:val="none"/>
        </w:rPr>
      </w:pPr>
    </w:p>
    <w:p w14:paraId="64612BFA">
      <w:pPr>
        <w:keepNext w:val="0"/>
        <w:keepLines w:val="0"/>
        <w:pageBreakBefore w:val="0"/>
        <w:kinsoku/>
        <w:overflowPunct/>
        <w:topLinePunct w:val="0"/>
        <w:bidi w:val="0"/>
        <w:spacing w:line="360" w:lineRule="auto"/>
        <w:ind w:firstLine="2730" w:firstLineChars="1300"/>
        <w:rPr>
          <w:color w:val="auto"/>
          <w:szCs w:val="21"/>
          <w:highlight w:val="none"/>
        </w:rPr>
      </w:pPr>
    </w:p>
    <w:p w14:paraId="1A07E2B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42FB8CB">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A2CC65F">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F91BC45">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ABECCDA">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3DFFFDA">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0890C7A9">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272F31A3">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062AF518">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433C15A9">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E794A53">
      <w:pPr>
        <w:keepNext w:val="0"/>
        <w:keepLines w:val="0"/>
        <w:pageBreakBefore w:val="0"/>
        <w:kinsoku/>
        <w:overflowPunct/>
        <w:topLinePunct w:val="0"/>
        <w:bidi w:val="0"/>
        <w:spacing w:line="360" w:lineRule="auto"/>
        <w:jc w:val="center"/>
        <w:rPr>
          <w:rFonts w:hint="eastAsia" w:ascii="宋体" w:hAnsi="宋体"/>
          <w:b/>
          <w:color w:val="auto"/>
          <w:sz w:val="32"/>
          <w:szCs w:val="32"/>
          <w:highlight w:val="none"/>
        </w:rPr>
      </w:pPr>
    </w:p>
    <w:p w14:paraId="42E2E497">
      <w:pPr>
        <w:keepNext w:val="0"/>
        <w:keepLines w:val="0"/>
        <w:pageBreakBefore w:val="0"/>
        <w:kinsoku/>
        <w:overflowPunct/>
        <w:topLinePunct w:val="0"/>
        <w:bidi w:val="0"/>
        <w:spacing w:line="360" w:lineRule="auto"/>
        <w:jc w:val="center"/>
        <w:rPr>
          <w:rFonts w:hint="eastAsia" w:ascii="宋体" w:hAnsi="宋体"/>
          <w:b/>
          <w:color w:val="auto"/>
          <w:sz w:val="32"/>
          <w:szCs w:val="32"/>
          <w:highlight w:val="none"/>
        </w:rPr>
        <w:sectPr>
          <w:pgSz w:w="11905" w:h="16838"/>
          <w:pgMar w:top="1429" w:right="1043" w:bottom="1423" w:left="1400" w:header="0" w:footer="0" w:gutter="0"/>
          <w:cols w:space="0" w:num="1"/>
          <w:rtlGutter w:val="0"/>
          <w:docGrid w:linePitch="0" w:charSpace="0"/>
        </w:sectPr>
      </w:pPr>
    </w:p>
    <w:p w14:paraId="36401413">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b/>
          <w:color w:val="auto"/>
          <w:sz w:val="32"/>
          <w:szCs w:val="32"/>
          <w:highlight w:val="none"/>
        </w:rPr>
        <w:t>第一章</w:t>
      </w:r>
      <w:r>
        <w:rPr>
          <w:rFonts w:hint="eastAsia" w:ascii="宋体" w:hAnsi="宋体"/>
          <w:color w:val="auto"/>
          <w:highlight w:val="none"/>
        </w:rPr>
        <w:t xml:space="preserve">  </w:t>
      </w:r>
      <w:bookmarkStart w:id="0" w:name="OLE_LINK23"/>
      <w:r>
        <w:rPr>
          <w:rFonts w:hint="eastAsia" w:ascii="宋体" w:hAnsi="宋体"/>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333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0935CF6">
            <w:pPr>
              <w:keepNext w:val="0"/>
              <w:keepLines w:val="0"/>
              <w:pageBreakBefore w:val="0"/>
              <w:kinsoku/>
              <w:overflowPunct/>
              <w:topLinePunct w:val="0"/>
              <w:bidi w:val="0"/>
              <w:spacing w:line="360" w:lineRule="auto"/>
              <w:jc w:val="left"/>
              <w:rPr>
                <w:rFonts w:ascii="宋体" w:hAnsi="宋体"/>
                <w:color w:val="auto"/>
                <w:highlight w:val="none"/>
              </w:rPr>
            </w:pPr>
            <w:r>
              <w:rPr>
                <w:rFonts w:hint="eastAsia" w:ascii="宋体" w:hAnsi="宋体"/>
                <w:color w:val="auto"/>
                <w:highlight w:val="none"/>
              </w:rPr>
              <w:t>项目概况</w:t>
            </w:r>
          </w:p>
          <w:p w14:paraId="756A791B">
            <w:pPr>
              <w:keepNext w:val="0"/>
              <w:keepLines w:val="0"/>
              <w:pageBreakBefore w:val="0"/>
              <w:kinsoku/>
              <w:overflowPunct/>
              <w:topLinePunct w:val="0"/>
              <w:bidi w:val="0"/>
              <w:spacing w:line="360" w:lineRule="auto"/>
              <w:ind w:firstLine="525" w:firstLineChars="250"/>
              <w:jc w:val="left"/>
              <w:rPr>
                <w:rFonts w:ascii="宋体" w:hAnsi="宋体"/>
                <w:color w:val="auto"/>
                <w:highlight w:val="none"/>
              </w:rPr>
            </w:pPr>
            <w:r>
              <w:rPr>
                <w:rFonts w:hint="eastAsia" w:ascii="宋体" w:hAnsi="宋体"/>
                <w:bCs/>
                <w:color w:val="auto"/>
                <w:szCs w:val="21"/>
                <w:highlight w:val="none"/>
                <w:lang w:eastAsia="zh-CN"/>
              </w:rPr>
              <w:t>资源县中峰镇工业园区污水处理厂污水处理设施项目设备采购</w:t>
            </w:r>
            <w:r>
              <w:rPr>
                <w:rFonts w:hint="eastAsia" w:ascii="宋体" w:hAnsi="宋体"/>
                <w:color w:val="auto"/>
                <w:highlight w:val="none"/>
              </w:rPr>
              <w:t>的潜在投标</w:t>
            </w:r>
            <w:r>
              <w:rPr>
                <w:rFonts w:hint="eastAsia" w:ascii="宋体" w:hAnsi="宋体"/>
                <w:color w:val="auto"/>
                <w:szCs w:val="21"/>
                <w:highlight w:val="none"/>
              </w:rPr>
              <w:t>人应在</w:t>
            </w:r>
            <w:r>
              <w:rPr>
                <w:rFonts w:hint="eastAsia" w:ascii="宋体" w:hAnsi="宋体" w:cs="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szCs w:val="21"/>
                <w:highlight w:val="none"/>
              </w:rPr>
              <w:t>下载招标文件电子版，</w:t>
            </w:r>
            <w:r>
              <w:rPr>
                <w:rFonts w:hint="eastAsia" w:ascii="宋体" w:hAnsi="宋体"/>
                <w:color w:val="auto"/>
                <w:highlight w:val="none"/>
              </w:rPr>
              <w:t>并于</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25 </w:t>
            </w:r>
            <w:r>
              <w:rPr>
                <w:rFonts w:hint="eastAsia" w:ascii="宋体" w:hAnsi="宋体"/>
                <w:color w:val="auto"/>
                <w:szCs w:val="21"/>
                <w:highlight w:val="none"/>
              </w:rPr>
              <w:t>日</w:t>
            </w:r>
            <w:r>
              <w:rPr>
                <w:rFonts w:hint="eastAsia" w:ascii="宋体" w:hAnsi="宋体"/>
                <w:bCs/>
                <w:color w:val="auto"/>
                <w:highlight w:val="none"/>
              </w:rPr>
              <w:t>上午9:30（北京时间）</w:t>
            </w:r>
            <w:r>
              <w:rPr>
                <w:rFonts w:hint="eastAsia" w:ascii="宋体" w:hAnsi="宋体"/>
                <w:color w:val="auto"/>
                <w:highlight w:val="none"/>
              </w:rPr>
              <w:t>前递交投标</w:t>
            </w:r>
            <w:r>
              <w:rPr>
                <w:rFonts w:ascii="宋体" w:hAnsi="宋体"/>
                <w:color w:val="auto"/>
                <w:highlight w:val="none"/>
              </w:rPr>
              <w:t>文件</w:t>
            </w:r>
            <w:r>
              <w:rPr>
                <w:rFonts w:hint="eastAsia" w:ascii="宋体" w:hAnsi="宋体"/>
                <w:color w:val="auto"/>
                <w:highlight w:val="none"/>
              </w:rPr>
              <w:t>。</w:t>
            </w:r>
          </w:p>
        </w:tc>
      </w:tr>
    </w:tbl>
    <w:p w14:paraId="7B0BFBFD">
      <w:pPr>
        <w:keepNext w:val="0"/>
        <w:keepLines w:val="0"/>
        <w:pageBreakBefore w:val="0"/>
        <w:numPr>
          <w:ilvl w:val="0"/>
          <w:numId w:val="4"/>
        </w:numPr>
        <w:kinsoku/>
        <w:overflowPunct/>
        <w:topLinePunct w:val="0"/>
        <w:bidi w:val="0"/>
        <w:spacing w:line="360" w:lineRule="auto"/>
        <w:rPr>
          <w:rFonts w:ascii="宋体" w:hAnsi="宋体"/>
          <w:bCs/>
          <w:color w:val="auto"/>
          <w:szCs w:val="21"/>
          <w:highlight w:val="none"/>
        </w:rPr>
      </w:pPr>
      <w:r>
        <w:rPr>
          <w:rFonts w:hint="eastAsia" w:ascii="宋体" w:hAnsi="宋体" w:cs="宋体"/>
          <w:b/>
          <w:color w:val="auto"/>
          <w:szCs w:val="21"/>
          <w:highlight w:val="none"/>
        </w:rPr>
        <w:t>项目基本情况</w:t>
      </w:r>
    </w:p>
    <w:p w14:paraId="785626E1">
      <w:pPr>
        <w:keepNext w:val="0"/>
        <w:keepLines w:val="0"/>
        <w:pageBreakBefore w:val="0"/>
        <w:widowControl/>
        <w:shd w:val="clear" w:color="auto" w:fill="FFFFFF"/>
        <w:kinsoku/>
        <w:overflowPunct/>
        <w:topLinePunct w:val="0"/>
        <w:bidi w:val="0"/>
        <w:spacing w:line="360" w:lineRule="auto"/>
        <w:ind w:left="105" w:right="360" w:firstLine="315" w:firstLineChars="150"/>
        <w:jc w:val="left"/>
        <w:rPr>
          <w:rFonts w:ascii="宋体" w:hAnsi="宋体"/>
          <w:bCs/>
          <w:color w:val="auto"/>
          <w:szCs w:val="21"/>
          <w:highlight w:val="none"/>
        </w:rPr>
      </w:pPr>
      <w:r>
        <w:rPr>
          <w:rFonts w:hint="eastAsia" w:ascii="宋体" w:hAnsi="宋体"/>
          <w:bCs/>
          <w:color w:val="auto"/>
          <w:szCs w:val="21"/>
          <w:highlight w:val="none"/>
        </w:rPr>
        <w:t>项目编号：</w:t>
      </w:r>
      <w:r>
        <w:rPr>
          <w:rFonts w:hint="eastAsia" w:ascii="宋体" w:hAnsi="宋体"/>
          <w:bCs/>
          <w:color w:val="auto"/>
          <w:szCs w:val="21"/>
          <w:highlight w:val="none"/>
          <w:lang w:eastAsia="zh-CN"/>
        </w:rPr>
        <w:t>GLZC2025-G1-290120-GXCJ</w:t>
      </w:r>
    </w:p>
    <w:p w14:paraId="1BAB99EF">
      <w:pPr>
        <w:keepNext w:val="0"/>
        <w:keepLines w:val="0"/>
        <w:pageBreakBefore w:val="0"/>
        <w:kinsoku/>
        <w:overflowPunct/>
        <w:topLinePunct w:val="0"/>
        <w:bidi w:val="0"/>
        <w:spacing w:line="360" w:lineRule="auto"/>
        <w:ind w:firstLine="420" w:firstLineChars="200"/>
        <w:rPr>
          <w:rFonts w:hint="eastAsia" w:ascii="宋体" w:hAnsi="宋体" w:eastAsia="宋体"/>
          <w:bCs/>
          <w:color w:val="auto"/>
          <w:szCs w:val="21"/>
          <w:highlight w:val="none"/>
          <w:lang w:eastAsia="zh-CN"/>
        </w:rPr>
      </w:pPr>
      <w:r>
        <w:rPr>
          <w:rFonts w:hint="eastAsia" w:ascii="宋体" w:hAnsi="宋体"/>
          <w:color w:val="auto"/>
          <w:szCs w:val="21"/>
          <w:highlight w:val="none"/>
        </w:rPr>
        <w:t>项目名称</w:t>
      </w:r>
      <w:r>
        <w:rPr>
          <w:rFonts w:hint="eastAsia" w:ascii="宋体" w:hAnsi="宋体"/>
          <w:bCs/>
          <w:color w:val="auto"/>
          <w:szCs w:val="21"/>
          <w:highlight w:val="none"/>
        </w:rPr>
        <w:t>：</w:t>
      </w:r>
      <w:r>
        <w:rPr>
          <w:rFonts w:hint="eastAsia" w:ascii="宋体" w:hAnsi="宋体"/>
          <w:bCs/>
          <w:color w:val="auto"/>
          <w:szCs w:val="21"/>
          <w:highlight w:val="none"/>
          <w:lang w:eastAsia="zh-CN"/>
        </w:rPr>
        <w:t>资源县中峰镇工业园区污水处理厂污水处理设施项目设备采购</w:t>
      </w:r>
    </w:p>
    <w:p w14:paraId="1CD042D6">
      <w:pPr>
        <w:keepNext w:val="0"/>
        <w:keepLines w:val="0"/>
        <w:pageBreakBefore w:val="0"/>
        <w:kinsoku/>
        <w:overflowPunct/>
        <w:topLinePunct w:val="0"/>
        <w:bidi w:val="0"/>
        <w:spacing w:line="360" w:lineRule="auto"/>
        <w:ind w:firstLine="420" w:firstLineChars="200"/>
        <w:rPr>
          <w:rFonts w:ascii="宋体" w:hAnsi="宋体"/>
          <w:bCs/>
          <w:color w:val="auto"/>
          <w:szCs w:val="21"/>
          <w:highlight w:val="none"/>
        </w:rPr>
      </w:pPr>
      <w:r>
        <w:rPr>
          <w:rFonts w:hint="eastAsia" w:ascii="宋体" w:hAnsi="宋体"/>
          <w:color w:val="auto"/>
          <w:highlight w:val="none"/>
        </w:rPr>
        <w:t>预算总金</w:t>
      </w:r>
      <w:r>
        <w:rPr>
          <w:rFonts w:hint="eastAsia" w:ascii="宋体" w:hAnsi="宋体"/>
          <w:bCs/>
          <w:color w:val="auto"/>
          <w:szCs w:val="21"/>
          <w:highlight w:val="none"/>
        </w:rPr>
        <w:t>额（元）：</w:t>
      </w:r>
      <w:r>
        <w:rPr>
          <w:rFonts w:hint="eastAsia" w:ascii="宋体" w:hAnsi="宋体"/>
          <w:bCs/>
          <w:color w:val="auto"/>
          <w:szCs w:val="21"/>
          <w:highlight w:val="none"/>
          <w:lang w:val="en-US" w:eastAsia="zh-CN"/>
        </w:rPr>
        <w:t>1815570.34</w:t>
      </w:r>
    </w:p>
    <w:p w14:paraId="112CDC10">
      <w:pPr>
        <w:pStyle w:val="31"/>
        <w:keepNext w:val="0"/>
        <w:keepLines w:val="0"/>
        <w:pageBreakBefore w:val="0"/>
        <w:widowControl w:val="0"/>
        <w:kinsoku/>
        <w:wordWrap w:val="0"/>
        <w:overflowPunct/>
        <w:topLinePunct w:val="0"/>
        <w:bidi w:val="0"/>
        <w:spacing w:line="360" w:lineRule="auto"/>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采购需求：</w:t>
      </w:r>
    </w:p>
    <w:p w14:paraId="037E1656">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资源县中峰镇工业园区污水处理厂污水处理设施项目设备采购</w:t>
      </w:r>
    </w:p>
    <w:p w14:paraId="779D41D3">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数量:1</w:t>
      </w:r>
    </w:p>
    <w:p w14:paraId="24E9FB33">
      <w:pPr>
        <w:pStyle w:val="31"/>
        <w:keepNext w:val="0"/>
        <w:keepLines w:val="0"/>
        <w:pageBreakBefore w:val="0"/>
        <w:widowControl w:val="0"/>
        <w:kinsoku/>
        <w:wordWrap w:val="0"/>
        <w:overflowPunct/>
        <w:topLinePunct w:val="0"/>
        <w:bidi w:val="0"/>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1815570.34</w:t>
      </w:r>
    </w:p>
    <w:p w14:paraId="0CEE7F8F">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简要规格描述或项目基本概况介绍、用途：</w:t>
      </w:r>
      <w:r>
        <w:rPr>
          <w:rFonts w:hint="eastAsia" w:ascii="宋体" w:hAnsi="宋体" w:eastAsia="宋体" w:cs="宋体"/>
          <w:color w:val="auto"/>
          <w:sz w:val="21"/>
          <w:szCs w:val="21"/>
          <w:highlight w:val="none"/>
          <w:lang w:eastAsia="zh-CN"/>
        </w:rPr>
        <w:t>资源县中峰镇工业园区污水处理厂污水处理设施</w:t>
      </w:r>
      <w:r>
        <w:rPr>
          <w:rFonts w:hint="eastAsia" w:ascii="宋体" w:hAnsi="宋体" w:eastAsia="宋体" w:cs="宋体"/>
          <w:color w:val="auto"/>
          <w:sz w:val="21"/>
          <w:szCs w:val="21"/>
          <w:highlight w:val="none"/>
          <w:lang w:val="en-US" w:eastAsia="zh-CN"/>
        </w:rPr>
        <w:t>一批</w:t>
      </w:r>
      <w:r>
        <w:rPr>
          <w:rFonts w:hint="eastAsia" w:ascii="宋体" w:hAnsi="宋体" w:eastAsia="宋体" w:cs="宋体"/>
          <w:color w:val="auto"/>
          <w:sz w:val="21"/>
          <w:szCs w:val="21"/>
          <w:highlight w:val="none"/>
        </w:rPr>
        <w:t>，具体内容见《货物采购需求》。</w:t>
      </w:r>
    </w:p>
    <w:p w14:paraId="58A20F18">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最高限价（如有）：</w:t>
      </w:r>
      <w:r>
        <w:rPr>
          <w:rFonts w:hint="eastAsia" w:ascii="宋体" w:hAnsi="宋体" w:cs="宋体"/>
          <w:color w:val="auto"/>
          <w:sz w:val="21"/>
          <w:szCs w:val="21"/>
          <w:highlight w:val="none"/>
          <w:lang w:val="en-US" w:eastAsia="zh-CN"/>
        </w:rPr>
        <w:t>/</w:t>
      </w:r>
    </w:p>
    <w:p w14:paraId="3AF1AC46">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4"/>
          <w:highlight w:val="none"/>
          <w:lang w:eastAsia="zh-CN"/>
        </w:rPr>
      </w:pPr>
      <w:r>
        <w:rPr>
          <w:rFonts w:hint="eastAsia" w:ascii="宋体" w:hAnsi="宋体" w:cs="宋体"/>
          <w:color w:val="auto"/>
          <w:sz w:val="21"/>
          <w:szCs w:val="21"/>
          <w:highlight w:val="none"/>
        </w:rPr>
        <w:t>合同履约期限：</w:t>
      </w:r>
      <w:r>
        <w:rPr>
          <w:rFonts w:hint="eastAsia" w:ascii="宋体" w:hAnsi="宋体" w:eastAsia="宋体" w:cs="宋体"/>
          <w:color w:val="auto"/>
          <w:sz w:val="21"/>
          <w:szCs w:val="24"/>
          <w:highlight w:val="none"/>
          <w:lang w:eastAsia="zh-CN"/>
        </w:rPr>
        <w:t>自签订合同之日起</w:t>
      </w:r>
      <w:r>
        <w:rPr>
          <w:rFonts w:hint="eastAsia" w:ascii="宋体" w:hAnsi="宋体" w:eastAsia="宋体" w:cs="宋体"/>
          <w:color w:val="auto"/>
          <w:sz w:val="21"/>
          <w:szCs w:val="24"/>
          <w:highlight w:val="none"/>
          <w:lang w:val="en-US" w:eastAsia="zh-CN"/>
        </w:rPr>
        <w:t>10天内</w:t>
      </w:r>
      <w:r>
        <w:rPr>
          <w:rFonts w:hint="eastAsia" w:ascii="宋体" w:hAnsi="宋体" w:eastAsia="宋体" w:cs="宋体"/>
          <w:color w:val="auto"/>
          <w:sz w:val="21"/>
          <w:szCs w:val="24"/>
          <w:highlight w:val="none"/>
          <w:lang w:eastAsia="zh-CN"/>
        </w:rPr>
        <w:t>交货并验收合格。</w:t>
      </w:r>
    </w:p>
    <w:p w14:paraId="0C3BEDBA">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本标项（否）接受联合体</w:t>
      </w:r>
      <w:r>
        <w:rPr>
          <w:rFonts w:hint="eastAsia" w:ascii="宋体" w:hAnsi="宋体" w:cs="宋体"/>
          <w:color w:val="auto"/>
          <w:sz w:val="21"/>
          <w:szCs w:val="21"/>
          <w:highlight w:val="none"/>
          <w:lang w:val="en-US" w:eastAsia="zh-CN"/>
        </w:rPr>
        <w:t>投标</w:t>
      </w:r>
    </w:p>
    <w:p w14:paraId="3B52D2B4">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备注：/</w:t>
      </w:r>
      <w:bookmarkStart w:id="34" w:name="_GoBack"/>
      <w:bookmarkEnd w:id="34"/>
    </w:p>
    <w:p w14:paraId="34E77626">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5A4ADB91">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4EFA156C">
      <w:pPr>
        <w:keepNext w:val="0"/>
        <w:keepLines w:val="0"/>
        <w:pageBreakBefore w:val="0"/>
        <w:kinsoku/>
        <w:overflowPunct/>
        <w:topLinePunct w:val="0"/>
        <w:bidi w:val="0"/>
        <w:spacing w:line="360" w:lineRule="auto"/>
        <w:ind w:firstLine="420" w:firstLineChars="200"/>
        <w:rPr>
          <w:rFonts w:hint="eastAsia" w:ascii="宋体" w:hAnsi="宋体"/>
          <w:color w:val="auto"/>
          <w:highlight w:val="none"/>
          <w:lang w:val="en-US" w:eastAsia="zh-CN"/>
        </w:rPr>
      </w:pPr>
      <w:r>
        <w:rPr>
          <w:rFonts w:hint="eastAsia" w:ascii="宋体" w:hAnsi="宋体"/>
          <w:color w:val="auto"/>
          <w:highlight w:val="none"/>
        </w:rPr>
        <w:t>2.落实政府采购政策需满足的资格要求：</w:t>
      </w:r>
      <w:r>
        <w:rPr>
          <w:rFonts w:hint="eastAsia" w:ascii="宋体" w:hAnsi="宋体"/>
          <w:color w:val="auto"/>
          <w:highlight w:val="none"/>
          <w:lang w:val="en-US" w:eastAsia="zh-CN"/>
        </w:rPr>
        <w:t>无</w:t>
      </w:r>
    </w:p>
    <w:p w14:paraId="1A7790EB">
      <w:pPr>
        <w:keepNext w:val="0"/>
        <w:keepLines w:val="0"/>
        <w:pageBreakBefore w:val="0"/>
        <w:kinsoku/>
        <w:overflowPunct/>
        <w:topLinePunct w:val="0"/>
        <w:bidi w:val="0"/>
        <w:spacing w:line="360" w:lineRule="auto"/>
        <w:ind w:firstLine="420" w:firstLineChars="200"/>
        <w:rPr>
          <w:rFonts w:hint="eastAsia" w:ascii="宋体" w:hAnsi="宋体" w:eastAsia="宋体"/>
          <w:color w:val="auto"/>
          <w:highlight w:val="none"/>
          <w:lang w:val="en-US" w:eastAsia="zh-CN"/>
        </w:rPr>
      </w:pPr>
      <w:r>
        <w:rPr>
          <w:rFonts w:hint="eastAsia" w:ascii="宋体" w:hAnsi="宋体"/>
          <w:color w:val="auto"/>
          <w:highlight w:val="none"/>
        </w:rPr>
        <w:t>3.本项目的特定资格要求：</w:t>
      </w:r>
      <w:r>
        <w:rPr>
          <w:rFonts w:hint="eastAsia" w:ascii="宋体" w:hAnsi="宋体"/>
          <w:color w:val="auto"/>
          <w:highlight w:val="none"/>
          <w:lang w:val="en-US" w:eastAsia="zh-CN"/>
        </w:rPr>
        <w:t>无</w:t>
      </w:r>
    </w:p>
    <w:p w14:paraId="40CC3C8F">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三、获取招标文件</w:t>
      </w:r>
    </w:p>
    <w:p w14:paraId="191F9484">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lang w:val="en-US" w:eastAsia="zh-CN"/>
        </w:rPr>
        <w:t>发布公告之日起</w:t>
      </w:r>
      <w:r>
        <w:rPr>
          <w:rFonts w:ascii="宋体" w:hAnsi="宋体"/>
          <w:color w:val="auto"/>
          <w:szCs w:val="21"/>
          <w:highlight w:val="none"/>
        </w:rPr>
        <w:t>至</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25 </w:t>
      </w:r>
      <w:r>
        <w:rPr>
          <w:rFonts w:hint="eastAsia" w:ascii="宋体" w:hAnsi="宋体"/>
          <w:color w:val="auto"/>
          <w:szCs w:val="21"/>
          <w:highlight w:val="none"/>
        </w:rPr>
        <w:t>日</w:t>
      </w:r>
      <w:r>
        <w:rPr>
          <w:rFonts w:ascii="宋体" w:hAnsi="宋体"/>
          <w:color w:val="auto"/>
          <w:szCs w:val="21"/>
          <w:highlight w:val="none"/>
        </w:rPr>
        <w:t>，每天上午00:00至12:00，下午12:0</w:t>
      </w:r>
      <w:r>
        <w:rPr>
          <w:rFonts w:hint="eastAsia" w:ascii="宋体" w:hAnsi="宋体"/>
          <w:color w:val="auto"/>
          <w:szCs w:val="21"/>
          <w:highlight w:val="none"/>
        </w:rPr>
        <w:t>1</w:t>
      </w:r>
      <w:r>
        <w:rPr>
          <w:rFonts w:ascii="宋体" w:hAnsi="宋体"/>
          <w:color w:val="auto"/>
          <w:szCs w:val="21"/>
          <w:highlight w:val="none"/>
        </w:rPr>
        <w:t>至23:59（北京时间，法定节假日除外）</w:t>
      </w:r>
    </w:p>
    <w:p w14:paraId="1D002C5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地点（网址）：</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szCs w:val="21"/>
          <w:highlight w:val="none"/>
        </w:rPr>
        <w:t>。</w:t>
      </w:r>
    </w:p>
    <w:p w14:paraId="1214F11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方式：</w:t>
      </w:r>
      <w:r>
        <w:rPr>
          <w:color w:val="auto"/>
          <w:highlight w:val="none"/>
        </w:rPr>
        <w:t>投标人应在</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color w:val="auto"/>
          <w:highlight w:val="none"/>
        </w:rPr>
        <w:t>下载招标文件电子版</w:t>
      </w:r>
      <w:r>
        <w:rPr>
          <w:rFonts w:hint="eastAsia" w:ascii="宋体" w:hAnsi="宋体"/>
          <w:color w:val="auto"/>
          <w:szCs w:val="21"/>
          <w:highlight w:val="none"/>
        </w:rPr>
        <w:t xml:space="preserve">。 </w:t>
      </w:r>
    </w:p>
    <w:p w14:paraId="2178154A">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售价（元）：0 </w:t>
      </w:r>
    </w:p>
    <w:p w14:paraId="545D481B">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r>
        <w:rPr>
          <w:rFonts w:hint="eastAsia" w:ascii="宋体" w:hAnsi="宋体"/>
          <w:b/>
          <w:color w:val="auto"/>
          <w:szCs w:val="21"/>
          <w:highlight w:val="none"/>
        </w:rPr>
        <w:t>：</w:t>
      </w:r>
    </w:p>
    <w:p w14:paraId="27771EAF">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25  </w:t>
      </w:r>
      <w:r>
        <w:rPr>
          <w:rFonts w:hint="eastAsia" w:ascii="宋体" w:hAnsi="宋体"/>
          <w:color w:val="auto"/>
          <w:szCs w:val="21"/>
          <w:highlight w:val="none"/>
        </w:rPr>
        <w:t>日</w:t>
      </w:r>
      <w:r>
        <w:rPr>
          <w:rFonts w:hint="eastAsia" w:ascii="宋体" w:hAnsi="宋体"/>
          <w:bCs/>
          <w:color w:val="auto"/>
          <w:highlight w:val="none"/>
        </w:rPr>
        <w:t>上午9:30（北京时间）</w:t>
      </w:r>
    </w:p>
    <w:p w14:paraId="0D28D52B">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投标地点：请登录广西政府采购云平台投标客户端投标。</w:t>
      </w:r>
    </w:p>
    <w:p w14:paraId="253C72A2">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25 </w:t>
      </w:r>
      <w:r>
        <w:rPr>
          <w:rFonts w:hint="eastAsia" w:ascii="宋体" w:hAnsi="宋体"/>
          <w:color w:val="auto"/>
          <w:szCs w:val="21"/>
          <w:highlight w:val="none"/>
        </w:rPr>
        <w:t>日</w:t>
      </w:r>
      <w:r>
        <w:rPr>
          <w:rFonts w:hint="eastAsia" w:ascii="宋体" w:hAnsi="宋体"/>
          <w:bCs/>
          <w:color w:val="auto"/>
          <w:highlight w:val="none"/>
        </w:rPr>
        <w:t>上午9:30（北京时间）</w:t>
      </w:r>
    </w:p>
    <w:p w14:paraId="6BAE035B">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w:t>
      </w:r>
      <w:r>
        <w:rPr>
          <w:rFonts w:hint="eastAsia" w:ascii="宋体" w:hAnsi="宋体"/>
          <w:bCs/>
          <w:color w:val="auto"/>
          <w:highlight w:val="none"/>
        </w:rPr>
        <w:t>平台在线解密开启。</w:t>
      </w:r>
    </w:p>
    <w:p w14:paraId="67D82D8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五、公告期限</w:t>
      </w:r>
    </w:p>
    <w:p w14:paraId="4935880C">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ascii="宋体" w:hAnsi="宋体"/>
          <w:bCs/>
          <w:color w:val="auto"/>
          <w:highlight w:val="none"/>
        </w:rPr>
        <w:t>自本公告发布之日起5个工作日。</w:t>
      </w:r>
    </w:p>
    <w:p w14:paraId="6B9E67A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bookmarkStart w:id="1" w:name="_Toc35393626"/>
      <w:bookmarkStart w:id="2" w:name="_Toc44405606"/>
      <w:bookmarkStart w:id="3" w:name="_Toc35393795"/>
      <w:r>
        <w:rPr>
          <w:rFonts w:hint="eastAsia" w:ascii="宋体" w:hAnsi="宋体"/>
          <w:b/>
          <w:color w:val="auto"/>
          <w:szCs w:val="21"/>
          <w:highlight w:val="none"/>
        </w:rPr>
        <w:t>六、其他补充事宜</w:t>
      </w:r>
      <w:bookmarkEnd w:id="1"/>
      <w:bookmarkEnd w:id="2"/>
      <w:bookmarkEnd w:id="3"/>
    </w:p>
    <w:p w14:paraId="502630D9">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信息公告发布媒体：中国政府采购网（www.ccgp.gov.cn）、广西壮族自治区政府采购网（</w:t>
      </w:r>
      <w:r>
        <w:rPr>
          <w:rFonts w:ascii="宋体" w:hAnsi="宋体"/>
          <w:color w:val="auto"/>
          <w:highlight w:val="none"/>
        </w:rPr>
        <w:t>zfcg.gxzf.gov.cn</w:t>
      </w:r>
      <w:r>
        <w:rPr>
          <w:rFonts w:hint="eastAsia" w:ascii="宋体" w:hAnsi="宋体"/>
          <w:color w:val="auto"/>
          <w:highlight w:val="none"/>
        </w:rPr>
        <w:t>）</w:t>
      </w:r>
      <w:r>
        <w:rPr>
          <w:rFonts w:ascii="宋体" w:hAnsi="宋体"/>
          <w:bCs/>
          <w:color w:val="auto"/>
          <w:highlight w:val="none"/>
        </w:rPr>
        <w:t>、桂林市政府采购网</w:t>
      </w:r>
      <w:r>
        <w:rPr>
          <w:rFonts w:hint="eastAsia" w:ascii="宋体" w:hAnsi="宋体"/>
          <w:bCs/>
          <w:color w:val="auto"/>
          <w:highlight w:val="none"/>
        </w:rPr>
        <w:t>（</w:t>
      </w:r>
      <w:r>
        <w:rPr>
          <w:rFonts w:ascii="宋体" w:hAnsi="宋体"/>
          <w:bCs/>
          <w:color w:val="auto"/>
          <w:highlight w:val="none"/>
        </w:rPr>
        <w:t>zfcg.czj.guilin.gov.cn</w:t>
      </w:r>
      <w:r>
        <w:rPr>
          <w:rFonts w:hint="eastAsia" w:ascii="宋体" w:hAnsi="宋体"/>
          <w:bCs/>
          <w:color w:val="auto"/>
          <w:highlight w:val="none"/>
        </w:rPr>
        <w:t>）。</w:t>
      </w:r>
    </w:p>
    <w:p w14:paraId="233E20CA">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2.</w:t>
      </w:r>
      <w:r>
        <w:rPr>
          <w:rFonts w:hint="eastAsia" w:ascii="宋体" w:hAnsi="宋体"/>
          <w:color w:val="auto"/>
          <w:szCs w:val="21"/>
          <w:highlight w:val="none"/>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6EC2D6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本项目需要落实的政府采购政策</w:t>
      </w:r>
    </w:p>
    <w:p w14:paraId="4C1A16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（1）政府采购促进中小企业发展。</w:t>
      </w:r>
    </w:p>
    <w:p w14:paraId="382BFD72">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（2）政府采购支持监狱企业发展。</w:t>
      </w:r>
    </w:p>
    <w:p w14:paraId="779357F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（3）政府采购促进残疾人就业政策。</w:t>
      </w:r>
    </w:p>
    <w:p w14:paraId="0443FCC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（4）优先采购节能产品、环境标志产品。</w:t>
      </w:r>
    </w:p>
    <w:p w14:paraId="3CBBEF8E">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（5）政府采购支持采用本国产品的政策。</w:t>
      </w:r>
    </w:p>
    <w:p w14:paraId="26C59D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4.本项目</w:t>
      </w:r>
      <w:r>
        <w:rPr>
          <w:rFonts w:hint="eastAsia" w:ascii="宋体" w:hAnsi="宋体"/>
          <w:color w:val="auto"/>
          <w:szCs w:val="21"/>
          <w:highlight w:val="none"/>
          <w:lang w:val="en-US" w:eastAsia="zh-CN"/>
        </w:rPr>
        <w:t>非</w:t>
      </w:r>
      <w:r>
        <w:rPr>
          <w:rFonts w:hint="eastAsia" w:ascii="宋体" w:hAnsi="宋体"/>
          <w:color w:val="auto"/>
          <w:szCs w:val="21"/>
          <w:highlight w:val="none"/>
        </w:rPr>
        <w:t>专门面向中小企业采购。</w:t>
      </w:r>
    </w:p>
    <w:p w14:paraId="4E6FF2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资格条件特别说明：</w:t>
      </w:r>
    </w:p>
    <w:p w14:paraId="72D720CC">
      <w:pPr>
        <w:keepNext w:val="0"/>
        <w:keepLines w:val="0"/>
        <w:pageBreakBefore w:val="0"/>
        <w:kinsoku/>
        <w:overflowPunct/>
        <w:topLinePunct w:val="0"/>
        <w:bidi w:val="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highlight w:val="none"/>
        </w:rPr>
        <w:t>该采购项目</w:t>
      </w:r>
      <w:r>
        <w:rPr>
          <w:rFonts w:ascii="宋体" w:hAnsi="宋体" w:cs="宋体"/>
          <w:color w:val="auto"/>
          <w:kern w:val="0"/>
          <w:szCs w:val="21"/>
          <w:highlight w:val="none"/>
        </w:rPr>
        <w:t>的其他采购活动</w:t>
      </w:r>
      <w:r>
        <w:rPr>
          <w:rFonts w:hint="eastAsia" w:ascii="宋体" w:hAnsi="宋体" w:cs="宋体"/>
          <w:color w:val="auto"/>
          <w:kern w:val="0"/>
          <w:szCs w:val="21"/>
          <w:highlight w:val="none"/>
        </w:rPr>
        <w:t>；</w:t>
      </w:r>
    </w:p>
    <w:p w14:paraId="2B95B488">
      <w:pPr>
        <w:keepNext w:val="0"/>
        <w:keepLines w:val="0"/>
        <w:pageBreakBefore w:val="0"/>
        <w:kinsoku/>
        <w:overflowPunct/>
        <w:topLinePunct w:val="0"/>
        <w:bidi w:val="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8195984">
      <w:pPr>
        <w:keepNext w:val="0"/>
        <w:keepLines w:val="0"/>
        <w:pageBreakBefore w:val="0"/>
        <w:kinsoku/>
        <w:overflowPunct/>
        <w:topLinePunct w:val="0"/>
        <w:bidi w:val="0"/>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6.</w:t>
      </w:r>
      <w:r>
        <w:rPr>
          <w:rFonts w:hint="eastAsia" w:ascii="宋体" w:hAnsi="宋体" w:cs="宋体"/>
          <w:bCs/>
          <w:color w:val="auto"/>
          <w:szCs w:val="21"/>
          <w:highlight w:val="none"/>
        </w:rPr>
        <w:t xml:space="preserve"> </w:t>
      </w:r>
      <w:r>
        <w:rPr>
          <w:rFonts w:hint="eastAsia" w:ascii="宋体" w:hAnsi="宋体"/>
          <w:b/>
          <w:color w:val="auto"/>
          <w:szCs w:val="21"/>
          <w:highlight w:val="none"/>
        </w:rPr>
        <w:t>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7AE33B43">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07377A09">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bCs/>
          <w:color w:val="auto"/>
          <w:highlight w:val="none"/>
        </w:rPr>
        <w:t>）。</w:t>
      </w:r>
    </w:p>
    <w:p w14:paraId="5F110DA8">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29788F1A">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1A04A63">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344F5C54">
      <w:pPr>
        <w:keepNext w:val="0"/>
        <w:keepLines w:val="0"/>
        <w:pageBreakBefore w:val="0"/>
        <w:widowControl/>
        <w:kinsoku/>
        <w:overflowPunct/>
        <w:topLinePunct w:val="0"/>
        <w:bidi w:val="0"/>
        <w:spacing w:line="360" w:lineRule="auto"/>
        <w:jc w:val="left"/>
        <w:rPr>
          <w:rFonts w:ascii="宋体" w:hAnsi="宋体"/>
          <w:color w:val="auto"/>
          <w:highlight w:val="none"/>
        </w:rPr>
      </w:pPr>
      <w:r>
        <w:rPr>
          <w:rFonts w:hint="eastAsia" w:ascii="宋体" w:hAnsi="宋体" w:cs="宋体"/>
          <w:color w:val="auto"/>
          <w:highlight w:val="none"/>
        </w:rPr>
        <w:t>　   1.采购人信息</w:t>
      </w:r>
    </w:p>
    <w:p w14:paraId="092DE5DE">
      <w:pPr>
        <w:keepNext w:val="0"/>
        <w:keepLines w:val="0"/>
        <w:pageBreakBefore w:val="0"/>
        <w:kinsoku/>
        <w:overflowPunct/>
        <w:topLinePunct w:val="0"/>
        <w:bidi w:val="0"/>
        <w:spacing w:line="360" w:lineRule="auto"/>
        <w:jc w:val="left"/>
        <w:rPr>
          <w:rFonts w:ascii="宋体" w:hAnsi="宋体"/>
          <w:color w:val="auto"/>
          <w:highlight w:val="none"/>
        </w:rPr>
      </w:pPr>
      <w:r>
        <w:rPr>
          <w:rFonts w:hint="eastAsia" w:ascii="宋体" w:hAnsi="宋体"/>
          <w:color w:val="auto"/>
          <w:highlight w:val="none"/>
        </w:rPr>
        <w:t xml:space="preserve">     名   称：资源县住房和城乡建设局</w:t>
      </w:r>
    </w:p>
    <w:p w14:paraId="031A53D1">
      <w:pPr>
        <w:keepNext w:val="0"/>
        <w:keepLines w:val="0"/>
        <w:pageBreakBefore w:val="0"/>
        <w:kinsoku/>
        <w:overflowPunct/>
        <w:topLinePunct w:val="0"/>
        <w:bidi w:val="0"/>
        <w:spacing w:line="360" w:lineRule="auto"/>
        <w:jc w:val="left"/>
        <w:rPr>
          <w:rFonts w:ascii="宋体" w:hAnsi="宋体"/>
          <w:color w:val="auto"/>
          <w:highlight w:val="none"/>
        </w:rPr>
      </w:pPr>
      <w:r>
        <w:rPr>
          <w:rFonts w:hint="eastAsia" w:ascii="宋体" w:hAnsi="宋体"/>
          <w:color w:val="auto"/>
          <w:highlight w:val="none"/>
        </w:rPr>
        <w:t xml:space="preserve">     地   址：</w:t>
      </w:r>
      <w:r>
        <w:rPr>
          <w:rStyle w:val="126"/>
          <w:rFonts w:hint="eastAsia" w:ascii="宋体" w:hAnsi="宋体" w:eastAsia="宋体" w:cs="宋体"/>
          <w:color w:val="auto"/>
          <w:szCs w:val="21"/>
          <w:highlight w:val="none"/>
          <w:lang w:eastAsia="zh-CN"/>
        </w:rPr>
        <w:t>资源县城北新区</w:t>
      </w:r>
    </w:p>
    <w:p w14:paraId="337FFE57">
      <w:pPr>
        <w:keepNext w:val="0"/>
        <w:keepLines w:val="0"/>
        <w:pageBreakBefore w:val="0"/>
        <w:kinsoku/>
        <w:overflowPunct/>
        <w:topLinePunct w:val="0"/>
        <w:bidi w:val="0"/>
        <w:spacing w:line="360" w:lineRule="auto"/>
        <w:ind w:firstLine="567" w:firstLineChars="270"/>
        <w:rPr>
          <w:rFonts w:ascii="宋体" w:hAnsi="宋体"/>
          <w:color w:val="auto"/>
          <w:highlight w:val="none"/>
        </w:rPr>
      </w:pPr>
      <w:bookmarkStart w:id="4" w:name="_Toc28359009"/>
      <w:bookmarkStart w:id="5" w:name="_Toc28359086"/>
      <w:r>
        <w:rPr>
          <w:rFonts w:hint="eastAsia" w:ascii="宋体" w:hAnsi="宋体"/>
          <w:color w:val="auto"/>
          <w:highlight w:val="none"/>
        </w:rPr>
        <w:t>2.采购代理机构信息</w:t>
      </w:r>
      <w:bookmarkEnd w:id="4"/>
      <w:bookmarkEnd w:id="5"/>
    </w:p>
    <w:p w14:paraId="756B6551">
      <w:pPr>
        <w:keepNext w:val="0"/>
        <w:keepLines w:val="0"/>
        <w:pageBreakBefore w:val="0"/>
        <w:kinsoku/>
        <w:overflowPunct/>
        <w:topLinePunct w:val="0"/>
        <w:bidi w:val="0"/>
        <w:spacing w:line="360" w:lineRule="auto"/>
        <w:ind w:firstLine="567" w:firstLineChars="270"/>
        <w:rPr>
          <w:rFonts w:hint="eastAsia" w:ascii="宋体" w:hAnsi="宋体" w:eastAsia="宋体"/>
          <w:color w:val="auto"/>
          <w:highlight w:val="none"/>
          <w:lang w:eastAsia="zh-CN"/>
        </w:rPr>
      </w:pPr>
      <w:r>
        <w:rPr>
          <w:rFonts w:hint="eastAsia" w:ascii="宋体" w:hAnsi="宋体"/>
          <w:color w:val="auto"/>
          <w:highlight w:val="none"/>
        </w:rPr>
        <w:t>名   称：</w:t>
      </w:r>
      <w:r>
        <w:rPr>
          <w:rFonts w:hint="eastAsia" w:ascii="宋体" w:hAnsi="宋体"/>
          <w:color w:val="auto"/>
          <w:highlight w:val="none"/>
          <w:lang w:eastAsia="zh-CN"/>
        </w:rPr>
        <w:t>广西昶吉工程项目管理有限公司</w:t>
      </w:r>
    </w:p>
    <w:bookmarkEnd w:id="0"/>
    <w:p w14:paraId="3BBA58AC">
      <w:pPr>
        <w:keepNext w:val="0"/>
        <w:keepLines w:val="0"/>
        <w:pageBreakBefore w:val="0"/>
        <w:widowControl w:val="0"/>
        <w:kinsoku/>
        <w:wordWrap w:val="0"/>
        <w:overflowPunct/>
        <w:topLinePunct w:val="0"/>
        <w:bidi w:val="0"/>
        <w:spacing w:line="360" w:lineRule="auto"/>
        <w:ind w:firstLine="630" w:firstLineChars="300"/>
        <w:rPr>
          <w:rStyle w:val="126"/>
          <w:rFonts w:hint="eastAsia" w:ascii="宋体" w:hAnsi="宋体" w:eastAsia="宋体" w:cs="宋体"/>
          <w:color w:val="auto"/>
          <w:szCs w:val="21"/>
          <w:highlight w:val="none"/>
          <w:lang w:eastAsia="zh-CN"/>
        </w:rPr>
      </w:pPr>
      <w:bookmarkStart w:id="6" w:name="_Toc28359010"/>
      <w:bookmarkStart w:id="7" w:name="_Toc28359087"/>
      <w:r>
        <w:rPr>
          <w:rStyle w:val="126"/>
          <w:rFonts w:hint="eastAsia" w:ascii="宋体" w:hAnsi="宋体" w:cs="宋体"/>
          <w:color w:val="auto"/>
          <w:szCs w:val="21"/>
          <w:highlight w:val="none"/>
        </w:rPr>
        <w:t>地　　址：</w:t>
      </w:r>
      <w:r>
        <w:rPr>
          <w:rStyle w:val="126"/>
          <w:rFonts w:hint="eastAsia" w:ascii="宋体" w:hAnsi="宋体" w:cs="宋体"/>
          <w:color w:val="auto"/>
          <w:szCs w:val="21"/>
          <w:highlight w:val="none"/>
          <w:lang w:eastAsia="zh-CN"/>
        </w:rPr>
        <w:t>桂林市七星区莫家里二路文化楼二楼</w:t>
      </w:r>
    </w:p>
    <w:p w14:paraId="625D2F0E">
      <w:pPr>
        <w:keepNext w:val="0"/>
        <w:keepLines w:val="0"/>
        <w:pageBreakBefore w:val="0"/>
        <w:widowControl w:val="0"/>
        <w:kinsoku/>
        <w:wordWrap w:val="0"/>
        <w:overflowPunct/>
        <w:topLinePunct w:val="0"/>
        <w:bidi w:val="0"/>
        <w:spacing w:line="360" w:lineRule="auto"/>
        <w:ind w:firstLine="630" w:firstLineChars="300"/>
        <w:rPr>
          <w:rStyle w:val="126"/>
          <w:rFonts w:hint="eastAsia" w:ascii="宋体" w:hAnsi="宋体" w:cs="宋体"/>
          <w:color w:val="auto"/>
          <w:szCs w:val="21"/>
          <w:highlight w:val="none"/>
        </w:rPr>
      </w:pPr>
      <w:r>
        <w:rPr>
          <w:rStyle w:val="126"/>
          <w:rFonts w:hint="eastAsia" w:ascii="宋体" w:hAnsi="宋体" w:cs="宋体"/>
          <w:color w:val="auto"/>
          <w:szCs w:val="21"/>
          <w:highlight w:val="none"/>
        </w:rPr>
        <w:t>联系方式：</w:t>
      </w:r>
      <w:bookmarkStart w:id="8" w:name="_Toc35393639"/>
      <w:bookmarkStart w:id="9" w:name="_Toc35393808"/>
      <w:bookmarkStart w:id="10" w:name="_Toc28359021"/>
      <w:bookmarkStart w:id="11" w:name="_Toc28359098"/>
      <w:r>
        <w:rPr>
          <w:rFonts w:hint="eastAsia" w:ascii="宋体" w:hAnsi="宋体" w:eastAsia="宋体" w:cs="宋体"/>
          <w:color w:val="auto"/>
          <w:kern w:val="0"/>
          <w:sz w:val="21"/>
          <w:szCs w:val="21"/>
          <w:highlight w:val="none"/>
        </w:rPr>
        <w:t xml:space="preserve"> 0773-</w:t>
      </w:r>
      <w:r>
        <w:rPr>
          <w:rFonts w:hint="eastAsia" w:ascii="宋体" w:hAnsi="宋体" w:eastAsia="宋体" w:cs="宋体"/>
          <w:color w:val="auto"/>
          <w:kern w:val="0"/>
          <w:sz w:val="21"/>
          <w:szCs w:val="21"/>
          <w:highlight w:val="none"/>
          <w:lang w:val="en-US" w:eastAsia="zh-CN"/>
        </w:rPr>
        <w:t>2534755</w:t>
      </w:r>
    </w:p>
    <w:p w14:paraId="121824F2">
      <w:pPr>
        <w:keepNext w:val="0"/>
        <w:keepLines w:val="0"/>
        <w:pageBreakBefore w:val="0"/>
        <w:widowControl w:val="0"/>
        <w:kinsoku/>
        <w:wordWrap w:val="0"/>
        <w:overflowPunct/>
        <w:topLinePunct w:val="0"/>
        <w:bidi w:val="0"/>
        <w:spacing w:line="360" w:lineRule="auto"/>
        <w:ind w:firstLine="420" w:firstLineChars="200"/>
        <w:rPr>
          <w:rStyle w:val="126"/>
          <w:rFonts w:hint="eastAsia" w:ascii="宋体" w:hAnsi="宋体" w:cs="宋体"/>
          <w:color w:val="auto"/>
          <w:szCs w:val="21"/>
          <w:highlight w:val="none"/>
        </w:rPr>
      </w:pPr>
      <w:r>
        <w:rPr>
          <w:rStyle w:val="126"/>
          <w:rFonts w:hint="eastAsia" w:ascii="宋体" w:hAnsi="宋体" w:cs="宋体"/>
          <w:color w:val="auto"/>
          <w:szCs w:val="21"/>
          <w:highlight w:val="none"/>
        </w:rPr>
        <w:t>3.项目联系方式</w:t>
      </w:r>
      <w:bookmarkEnd w:id="8"/>
      <w:bookmarkEnd w:id="9"/>
      <w:bookmarkEnd w:id="10"/>
      <w:bookmarkEnd w:id="11"/>
    </w:p>
    <w:p w14:paraId="6A352C25">
      <w:pPr>
        <w:keepNext w:val="0"/>
        <w:keepLines w:val="0"/>
        <w:pageBreakBefore w:val="0"/>
        <w:widowControl w:val="0"/>
        <w:kinsoku/>
        <w:wordWrap w:val="0"/>
        <w:overflowPunct/>
        <w:topLinePunct w:val="0"/>
        <w:bidi w:val="0"/>
        <w:spacing w:line="360" w:lineRule="auto"/>
        <w:ind w:firstLine="630" w:firstLineChars="300"/>
        <w:rPr>
          <w:rStyle w:val="126"/>
          <w:rFonts w:hint="eastAsia" w:ascii="宋体" w:hAnsi="宋体" w:cs="宋体"/>
          <w:color w:val="auto"/>
          <w:szCs w:val="21"/>
          <w:highlight w:val="none"/>
        </w:rPr>
      </w:pPr>
      <w:r>
        <w:rPr>
          <w:rStyle w:val="126"/>
          <w:rFonts w:hint="eastAsia" w:ascii="宋体" w:hAnsi="宋体" w:cs="宋体"/>
          <w:color w:val="auto"/>
          <w:szCs w:val="21"/>
          <w:highlight w:val="none"/>
        </w:rPr>
        <w:t>项目联系人：</w:t>
      </w:r>
      <w:r>
        <w:rPr>
          <w:rFonts w:hint="eastAsia" w:ascii="宋体" w:hAnsi="宋体" w:eastAsia="宋体" w:cs="宋体"/>
          <w:color w:val="auto"/>
          <w:kern w:val="0"/>
          <w:sz w:val="21"/>
          <w:szCs w:val="21"/>
          <w:highlight w:val="none"/>
          <w:lang w:val="en-US" w:eastAsia="zh-CN"/>
        </w:rPr>
        <w:t>周工</w:t>
      </w:r>
    </w:p>
    <w:p w14:paraId="3B6C3786">
      <w:pPr>
        <w:keepNext w:val="0"/>
        <w:keepLines w:val="0"/>
        <w:pageBreakBefore w:val="0"/>
        <w:widowControl w:val="0"/>
        <w:kinsoku/>
        <w:wordWrap w:val="0"/>
        <w:overflowPunct/>
        <w:topLinePunct w:val="0"/>
        <w:bidi w:val="0"/>
        <w:spacing w:line="360" w:lineRule="auto"/>
        <w:ind w:firstLine="630" w:firstLineChars="300"/>
        <w:rPr>
          <w:rFonts w:ascii="仿宋" w:hAnsi="仿宋" w:eastAsia="仿宋"/>
          <w:color w:val="auto"/>
          <w:sz w:val="28"/>
          <w:szCs w:val="28"/>
          <w:highlight w:val="none"/>
        </w:rPr>
      </w:pPr>
      <w:r>
        <w:rPr>
          <w:rStyle w:val="126"/>
          <w:rFonts w:hint="eastAsia" w:ascii="宋体" w:hAnsi="宋体" w:cs="宋体"/>
          <w:color w:val="auto"/>
          <w:szCs w:val="21"/>
          <w:highlight w:val="none"/>
        </w:rPr>
        <w:t>电　　  话：</w:t>
      </w:r>
      <w:r>
        <w:rPr>
          <w:rFonts w:hint="eastAsia" w:ascii="宋体" w:hAnsi="宋体" w:eastAsia="宋体" w:cs="宋体"/>
          <w:color w:val="auto"/>
          <w:kern w:val="0"/>
          <w:sz w:val="21"/>
          <w:szCs w:val="21"/>
          <w:highlight w:val="none"/>
        </w:rPr>
        <w:t xml:space="preserve"> 0773-</w:t>
      </w:r>
      <w:r>
        <w:rPr>
          <w:rFonts w:hint="eastAsia" w:ascii="宋体" w:hAnsi="宋体" w:eastAsia="宋体" w:cs="宋体"/>
          <w:color w:val="auto"/>
          <w:kern w:val="0"/>
          <w:sz w:val="21"/>
          <w:szCs w:val="21"/>
          <w:highlight w:val="none"/>
          <w:lang w:val="en-US" w:eastAsia="zh-CN"/>
        </w:rPr>
        <w:t>2534755</w:t>
      </w:r>
      <w:bookmarkEnd w:id="6"/>
      <w:bookmarkEnd w:id="7"/>
    </w:p>
    <w:p w14:paraId="5ECF7649">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第二章  投标人须知</w:t>
      </w:r>
    </w:p>
    <w:p w14:paraId="001ED088">
      <w:pPr>
        <w:keepNext w:val="0"/>
        <w:keepLines w:val="0"/>
        <w:pageBreakBefore w:val="0"/>
        <w:tabs>
          <w:tab w:val="left" w:pos="1065"/>
          <w:tab w:val="center" w:pos="4411"/>
        </w:tabs>
        <w:kinsoku/>
        <w:overflowPunct/>
        <w:topLinePunct w:val="0"/>
        <w:bidi w:val="0"/>
        <w:spacing w:line="360" w:lineRule="auto"/>
        <w:jc w:val="center"/>
        <w:rPr>
          <w:rFonts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07BD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5B5852A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850" w:type="dxa"/>
            <w:vAlign w:val="center"/>
          </w:tcPr>
          <w:p w14:paraId="4B24D87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条款号</w:t>
            </w:r>
          </w:p>
        </w:tc>
        <w:tc>
          <w:tcPr>
            <w:tcW w:w="1701" w:type="dxa"/>
            <w:vAlign w:val="center"/>
          </w:tcPr>
          <w:p w14:paraId="51334856">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条款名称</w:t>
            </w:r>
          </w:p>
        </w:tc>
        <w:tc>
          <w:tcPr>
            <w:tcW w:w="6946" w:type="dxa"/>
            <w:vAlign w:val="center"/>
          </w:tcPr>
          <w:p w14:paraId="15E7AFF2">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内容、要求</w:t>
            </w:r>
          </w:p>
        </w:tc>
      </w:tr>
      <w:tr w14:paraId="2A8F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15B0F92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850" w:type="dxa"/>
            <w:vAlign w:val="center"/>
          </w:tcPr>
          <w:p w14:paraId="3D78A2E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1701" w:type="dxa"/>
            <w:vAlign w:val="center"/>
          </w:tcPr>
          <w:p w14:paraId="0B090D8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项目名称及项目编号</w:t>
            </w:r>
          </w:p>
        </w:tc>
        <w:tc>
          <w:tcPr>
            <w:tcW w:w="6946" w:type="dxa"/>
            <w:vAlign w:val="center"/>
          </w:tcPr>
          <w:p w14:paraId="3FF882A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资源县中峰镇工业园区污水处理厂污水处理设施项目设备采购</w:t>
            </w:r>
            <w:r>
              <w:rPr>
                <w:rFonts w:hint="eastAsia" w:ascii="宋体" w:hAnsi="宋体"/>
                <w:color w:val="auto"/>
                <w:szCs w:val="21"/>
                <w:highlight w:val="none"/>
              </w:rPr>
              <w:t xml:space="preserve"> </w:t>
            </w:r>
          </w:p>
          <w:p w14:paraId="0764CA29">
            <w:pPr>
              <w:keepNext w:val="0"/>
              <w:keepLines w:val="0"/>
              <w:pageBreakBefore w:val="0"/>
              <w:kinsoku/>
              <w:overflowPunct/>
              <w:topLinePunct w:val="0"/>
              <w:bidi w:val="0"/>
              <w:spacing w:line="360" w:lineRule="auto"/>
              <w:rPr>
                <w:rFonts w:hint="eastAsia" w:ascii="宋体" w:hAnsi="宋体" w:eastAsia="宋体"/>
                <w:color w:val="auto"/>
                <w:szCs w:val="21"/>
                <w:highlight w:val="none"/>
                <w:lang w:eastAsia="zh-CN"/>
              </w:rPr>
            </w:pPr>
            <w:r>
              <w:rPr>
                <w:rFonts w:hint="eastAsia" w:ascii="宋体" w:hAnsi="宋体"/>
                <w:color w:val="auto"/>
                <w:highlight w:val="none"/>
              </w:rPr>
              <w:t>项目编号：</w:t>
            </w:r>
            <w:r>
              <w:rPr>
                <w:rFonts w:hint="eastAsia" w:ascii="宋体" w:hAnsi="宋体"/>
                <w:color w:val="auto"/>
                <w:highlight w:val="none"/>
                <w:lang w:eastAsia="zh-CN"/>
              </w:rPr>
              <w:t>GLZC2025-G1-290120-GXCJ</w:t>
            </w:r>
          </w:p>
        </w:tc>
      </w:tr>
      <w:tr w14:paraId="1E22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1E669AE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850" w:type="dxa"/>
            <w:vAlign w:val="center"/>
          </w:tcPr>
          <w:p w14:paraId="4451117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5.1</w:t>
            </w:r>
          </w:p>
        </w:tc>
        <w:tc>
          <w:tcPr>
            <w:tcW w:w="1701" w:type="dxa"/>
            <w:vAlign w:val="center"/>
          </w:tcPr>
          <w:p w14:paraId="76CA21B6">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投标人资格</w:t>
            </w:r>
          </w:p>
        </w:tc>
        <w:tc>
          <w:tcPr>
            <w:tcW w:w="6946" w:type="dxa"/>
            <w:vAlign w:val="center"/>
          </w:tcPr>
          <w:p w14:paraId="77E2BFF9">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满足《中华人民共和国政府采购法》第二十二条规定；</w:t>
            </w:r>
          </w:p>
          <w:p w14:paraId="69494356">
            <w:pPr>
              <w:keepNext w:val="0"/>
              <w:keepLines w:val="0"/>
              <w:pageBreakBefore w:val="0"/>
              <w:kinsoku/>
              <w:overflowPunct/>
              <w:topLinePunct w:val="0"/>
              <w:bidi w:val="0"/>
              <w:spacing w:line="360" w:lineRule="auto"/>
              <w:rPr>
                <w:rFonts w:hint="eastAsia" w:ascii="宋体" w:hAnsi="宋体" w:eastAsia="宋体"/>
                <w:color w:val="auto"/>
                <w:szCs w:val="21"/>
                <w:highlight w:val="none"/>
                <w:lang w:val="en-US" w:eastAsia="zh-CN"/>
              </w:rPr>
            </w:pPr>
            <w:r>
              <w:rPr>
                <w:rFonts w:hint="eastAsia" w:ascii="宋体" w:hAnsi="宋体"/>
                <w:color w:val="auto"/>
                <w:szCs w:val="21"/>
                <w:highlight w:val="none"/>
              </w:rPr>
              <w:t>（2）落实政府采购政策需满足的资格要求：</w:t>
            </w:r>
            <w:r>
              <w:rPr>
                <w:rFonts w:hint="eastAsia" w:ascii="Arial" w:hAnsi="Arial" w:cs="Arial"/>
                <w:b w:val="0"/>
                <w:bCs w:val="0"/>
                <w:color w:val="auto"/>
                <w:szCs w:val="21"/>
                <w:highlight w:val="none"/>
                <w:lang w:val="en-US" w:eastAsia="zh-CN"/>
              </w:rPr>
              <w:t>无</w:t>
            </w:r>
          </w:p>
          <w:p w14:paraId="410EFA1E">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highlight w:val="none"/>
              </w:rPr>
              <w:t>（3）本项目的特定资格要求：</w:t>
            </w:r>
            <w:r>
              <w:rPr>
                <w:rFonts w:hint="eastAsia" w:ascii="宋体" w:hAnsi="宋体"/>
                <w:color w:val="auto"/>
                <w:highlight w:val="none"/>
                <w:lang w:val="en-US" w:eastAsia="zh-CN"/>
              </w:rPr>
              <w:t>无</w:t>
            </w:r>
            <w:r>
              <w:rPr>
                <w:rFonts w:hint="eastAsia" w:ascii="宋体" w:hAnsi="宋体"/>
                <w:color w:val="auto"/>
                <w:highlight w:val="none"/>
              </w:rPr>
              <w:t>。</w:t>
            </w:r>
          </w:p>
        </w:tc>
      </w:tr>
      <w:tr w14:paraId="64BD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275DC700">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850" w:type="dxa"/>
            <w:vAlign w:val="center"/>
          </w:tcPr>
          <w:p w14:paraId="4D20178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6</w:t>
            </w:r>
          </w:p>
        </w:tc>
        <w:tc>
          <w:tcPr>
            <w:tcW w:w="1701" w:type="dxa"/>
            <w:vAlign w:val="center"/>
          </w:tcPr>
          <w:p w14:paraId="473FC2A4">
            <w:pPr>
              <w:keepNext w:val="0"/>
              <w:keepLines w:val="0"/>
              <w:pageBreakBefore w:val="0"/>
              <w:kinsoku/>
              <w:overflowPunct/>
              <w:topLinePunct w:val="0"/>
              <w:bidi w:val="0"/>
              <w:spacing w:line="360" w:lineRule="auto"/>
              <w:jc w:val="center"/>
              <w:rPr>
                <w:rFonts w:ascii="宋体" w:hAnsi="宋体"/>
                <w:color w:val="auto"/>
                <w:position w:val="-2"/>
                <w:szCs w:val="21"/>
                <w:highlight w:val="none"/>
              </w:rPr>
            </w:pPr>
            <w:r>
              <w:rPr>
                <w:rFonts w:hint="eastAsia" w:ascii="宋体" w:hAnsi="宋体"/>
                <w:color w:val="auto"/>
                <w:szCs w:val="21"/>
                <w:highlight w:val="none"/>
              </w:rPr>
              <w:t>广西政府采购云平台电子投标注意事项</w:t>
            </w:r>
          </w:p>
        </w:tc>
        <w:tc>
          <w:tcPr>
            <w:tcW w:w="6946" w:type="dxa"/>
            <w:vAlign w:val="center"/>
          </w:tcPr>
          <w:p w14:paraId="303B69D8">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1B5FA427">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5A7166CE">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066CCDD0">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5349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91F272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4</w:t>
            </w:r>
          </w:p>
        </w:tc>
        <w:tc>
          <w:tcPr>
            <w:tcW w:w="850" w:type="dxa"/>
            <w:vAlign w:val="center"/>
          </w:tcPr>
          <w:p w14:paraId="51D41427">
            <w:pPr>
              <w:keepNext w:val="0"/>
              <w:keepLines w:val="0"/>
              <w:pageBreakBefore w:val="0"/>
              <w:kinsoku/>
              <w:overflowPunct/>
              <w:topLinePunct w:val="0"/>
              <w:bidi w:val="0"/>
              <w:spacing w:line="360" w:lineRule="auto"/>
              <w:jc w:val="center"/>
              <w:rPr>
                <w:rFonts w:ascii="宋体" w:hAnsi="宋体"/>
                <w:color w:val="auto"/>
                <w:position w:val="-2"/>
                <w:szCs w:val="21"/>
                <w:highlight w:val="none"/>
              </w:rPr>
            </w:pPr>
            <w:r>
              <w:rPr>
                <w:rFonts w:hint="eastAsia" w:ascii="宋体" w:hAnsi="宋体"/>
                <w:color w:val="auto"/>
                <w:position w:val="-2"/>
                <w:szCs w:val="21"/>
                <w:highlight w:val="none"/>
              </w:rPr>
              <w:t>15</w:t>
            </w:r>
          </w:p>
        </w:tc>
        <w:tc>
          <w:tcPr>
            <w:tcW w:w="1701" w:type="dxa"/>
            <w:vAlign w:val="center"/>
          </w:tcPr>
          <w:p w14:paraId="32312DE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投标报价</w:t>
            </w:r>
          </w:p>
        </w:tc>
        <w:tc>
          <w:tcPr>
            <w:tcW w:w="6946" w:type="dxa"/>
            <w:vAlign w:val="center"/>
          </w:tcPr>
          <w:p w14:paraId="367E9174">
            <w:pPr>
              <w:keepNext w:val="0"/>
              <w:keepLines w:val="0"/>
              <w:pageBreakBefore w:val="0"/>
              <w:tabs>
                <w:tab w:val="left" w:pos="1305"/>
              </w:tabs>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134FD26D">
            <w:pPr>
              <w:keepNext w:val="0"/>
              <w:keepLines w:val="0"/>
              <w:pageBreakBefore w:val="0"/>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15.2本项目采购预算金额为</w:t>
            </w:r>
            <w:r>
              <w:rPr>
                <w:rFonts w:hint="eastAsia" w:ascii="宋体" w:hAnsi="宋体" w:eastAsia="宋体" w:cs="宋体"/>
                <w:b/>
                <w:bCs/>
                <w:color w:val="auto"/>
                <w:kern w:val="0"/>
                <w:szCs w:val="21"/>
                <w:highlight w:val="none"/>
                <w:lang w:val="en-US" w:eastAsia="zh-CN"/>
              </w:rPr>
              <w:t>壹佰捌拾壹万伍仟伍佰柒拾元叁角肆分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en-US" w:eastAsia="zh-CN"/>
              </w:rPr>
              <w:t>1815570.34</w:t>
            </w:r>
            <w:r>
              <w:rPr>
                <w:rFonts w:hint="eastAsia" w:ascii="宋体" w:hAnsi="宋体" w:eastAsia="宋体" w:cs="宋体"/>
                <w:b/>
                <w:bCs/>
                <w:color w:val="auto"/>
                <w:kern w:val="0"/>
                <w:szCs w:val="21"/>
                <w:highlight w:val="none"/>
              </w:rPr>
              <w:t>）</w:t>
            </w:r>
            <w:r>
              <w:rPr>
                <w:rFonts w:hint="eastAsia" w:ascii="宋体" w:hAnsi="宋体"/>
                <w:b/>
                <w:color w:val="auto"/>
                <w:szCs w:val="21"/>
                <w:highlight w:val="none"/>
                <w:lang w:eastAsia="zh-CN"/>
              </w:rPr>
              <w:t>。</w:t>
            </w:r>
            <w:r>
              <w:rPr>
                <w:rFonts w:hint="eastAsia" w:ascii="宋体" w:hAnsi="宋体"/>
                <w:b/>
                <w:color w:val="auto"/>
                <w:szCs w:val="21"/>
                <w:highlight w:val="none"/>
              </w:rPr>
              <w:t>投标人的投标报价超过</w:t>
            </w:r>
            <w:r>
              <w:rPr>
                <w:rFonts w:hint="eastAsia" w:ascii="宋体" w:hAnsi="宋体"/>
                <w:b/>
                <w:color w:val="auto"/>
                <w:szCs w:val="21"/>
                <w:highlight w:val="none"/>
                <w:lang w:val="en-US" w:eastAsia="zh-CN"/>
              </w:rPr>
              <w:t>采购预算</w:t>
            </w:r>
            <w:r>
              <w:rPr>
                <w:rFonts w:hint="eastAsia" w:ascii="宋体" w:hAnsi="宋体"/>
                <w:b/>
                <w:color w:val="auto"/>
                <w:szCs w:val="21"/>
                <w:highlight w:val="none"/>
              </w:rPr>
              <w:t>的，投标文件按无效处理。</w:t>
            </w:r>
          </w:p>
          <w:p w14:paraId="6F31172F">
            <w:pPr>
              <w:keepNext w:val="0"/>
              <w:keepLines w:val="0"/>
              <w:pageBreakBefore w:val="0"/>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tc>
      </w:tr>
      <w:tr w14:paraId="5DF5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782C104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5</w:t>
            </w:r>
          </w:p>
        </w:tc>
        <w:tc>
          <w:tcPr>
            <w:tcW w:w="850" w:type="dxa"/>
            <w:vAlign w:val="center"/>
          </w:tcPr>
          <w:p w14:paraId="048A7AC9">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16</w:t>
            </w:r>
          </w:p>
        </w:tc>
        <w:tc>
          <w:tcPr>
            <w:tcW w:w="1701" w:type="dxa"/>
            <w:vAlign w:val="center"/>
          </w:tcPr>
          <w:p w14:paraId="5EEFC5D7">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投标有效期</w:t>
            </w:r>
          </w:p>
        </w:tc>
        <w:tc>
          <w:tcPr>
            <w:tcW w:w="6946" w:type="dxa"/>
            <w:vAlign w:val="center"/>
          </w:tcPr>
          <w:p w14:paraId="619A8A37">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357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3533DE1">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6</w:t>
            </w:r>
          </w:p>
        </w:tc>
        <w:tc>
          <w:tcPr>
            <w:tcW w:w="850" w:type="dxa"/>
            <w:vAlign w:val="center"/>
          </w:tcPr>
          <w:p w14:paraId="1A41D657">
            <w:pPr>
              <w:keepNext w:val="0"/>
              <w:keepLines w:val="0"/>
              <w:pageBreakBefore w:val="0"/>
              <w:kinsoku/>
              <w:overflowPunct/>
              <w:topLinePunct w:val="0"/>
              <w:bidi w:val="0"/>
              <w:spacing w:line="360" w:lineRule="auto"/>
              <w:jc w:val="center"/>
              <w:rPr>
                <w:color w:val="auto"/>
                <w:highlight w:val="none"/>
              </w:rPr>
            </w:pPr>
            <w:r>
              <w:rPr>
                <w:rFonts w:hint="eastAsia" w:ascii="宋体" w:hAnsi="宋体" w:cs="宋体"/>
                <w:color w:val="auto"/>
                <w:kern w:val="0"/>
                <w:szCs w:val="21"/>
                <w:highlight w:val="none"/>
              </w:rPr>
              <w:t>18</w:t>
            </w:r>
          </w:p>
        </w:tc>
        <w:tc>
          <w:tcPr>
            <w:tcW w:w="1701" w:type="dxa"/>
            <w:vAlign w:val="center"/>
          </w:tcPr>
          <w:p w14:paraId="21DC80B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s="宋体"/>
                <w:color w:val="auto"/>
                <w:kern w:val="0"/>
                <w:szCs w:val="21"/>
                <w:highlight w:val="none"/>
              </w:rPr>
              <w:t>电子投标文件的制作、加密要求</w:t>
            </w:r>
          </w:p>
        </w:tc>
        <w:tc>
          <w:tcPr>
            <w:tcW w:w="6946" w:type="dxa"/>
            <w:vAlign w:val="center"/>
          </w:tcPr>
          <w:p w14:paraId="5FD5364D">
            <w:pPr>
              <w:keepNext w:val="0"/>
              <w:keepLines w:val="0"/>
              <w:pageBreakBefore w:val="0"/>
              <w:kinsoku/>
              <w:overflowPunct/>
              <w:topLinePunct w:val="0"/>
              <w:bidi w:val="0"/>
              <w:snapToGrid w:val="0"/>
              <w:spacing w:line="360" w:lineRule="auto"/>
              <w:jc w:val="left"/>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12C240BF">
            <w:pPr>
              <w:keepNext w:val="0"/>
              <w:keepLines w:val="0"/>
              <w:pageBreakBefore w:val="0"/>
              <w:kinsoku/>
              <w:overflowPunct/>
              <w:topLinePunct w:val="0"/>
              <w:bidi w:val="0"/>
              <w:snapToGrid w:val="0"/>
              <w:spacing w:line="360" w:lineRule="auto"/>
              <w:jc w:val="left"/>
              <w:rPr>
                <w:rFonts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4C34BDAC">
            <w:pPr>
              <w:keepNext w:val="0"/>
              <w:keepLines w:val="0"/>
              <w:pageBreakBefore w:val="0"/>
              <w:kinsoku/>
              <w:overflowPunct/>
              <w:topLinePunct w:val="0"/>
              <w:bidi w:val="0"/>
              <w:snapToGrid w:val="0"/>
              <w:spacing w:line="360" w:lineRule="auto"/>
              <w:jc w:val="left"/>
              <w:rPr>
                <w:rFonts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0D340307">
            <w:pPr>
              <w:keepNext w:val="0"/>
              <w:keepLines w:val="0"/>
              <w:pageBreakBefore w:val="0"/>
              <w:kinsoku/>
              <w:overflowPunct/>
              <w:topLinePunct w:val="0"/>
              <w:bidi w:val="0"/>
              <w:snapToGrid w:val="0"/>
              <w:spacing w:line="360" w:lineRule="auto"/>
              <w:jc w:val="left"/>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56C3E356">
            <w:pPr>
              <w:pStyle w:val="26"/>
              <w:keepNext w:val="0"/>
              <w:keepLines w:val="0"/>
              <w:pageBreakBefore w:val="0"/>
              <w:kinsoku/>
              <w:overflowPunct/>
              <w:topLinePunct w:val="0"/>
              <w:bidi w:val="0"/>
              <w:snapToGrid w:val="0"/>
              <w:spacing w:line="360" w:lineRule="auto"/>
              <w:rPr>
                <w:rFonts w:hAnsi="宋体"/>
                <w:color w:val="auto"/>
                <w:szCs w:val="21"/>
                <w:highlight w:val="none"/>
              </w:rPr>
            </w:pPr>
            <w:r>
              <w:rPr>
                <w:rFonts w:hint="eastAsia" w:hAnsi="宋体" w:cs="宋体"/>
                <w:color w:val="auto"/>
                <w:highlight w:val="none"/>
              </w:rPr>
              <w:t>18.5投标人编制、生成电子投标文件后应当加密投标文件。投标人未按规定编制并加密的投标文件，</w:t>
            </w:r>
            <w:r>
              <w:rPr>
                <w:rFonts w:hint="eastAsia" w:hAnsi="宋体" w:cs="宋体"/>
                <w:b/>
                <w:color w:val="auto"/>
                <w:highlight w:val="none"/>
              </w:rPr>
              <w:t>广西政府采购云平台将予以拒收</w:t>
            </w:r>
            <w:r>
              <w:rPr>
                <w:rFonts w:hint="eastAsia" w:hAnsi="宋体" w:cs="宋体"/>
                <w:color w:val="auto"/>
                <w:highlight w:val="none"/>
              </w:rPr>
              <w:t>。</w:t>
            </w:r>
          </w:p>
        </w:tc>
      </w:tr>
      <w:tr w14:paraId="1A07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C905D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7</w:t>
            </w:r>
          </w:p>
        </w:tc>
        <w:tc>
          <w:tcPr>
            <w:tcW w:w="850" w:type="dxa"/>
            <w:vAlign w:val="center"/>
          </w:tcPr>
          <w:p w14:paraId="43D03F3C">
            <w:pPr>
              <w:keepNext w:val="0"/>
              <w:keepLines w:val="0"/>
              <w:pageBreakBefore w:val="0"/>
              <w:kinsoku/>
              <w:overflowPunct/>
              <w:topLinePunct w:val="0"/>
              <w:bidi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1701" w:type="dxa"/>
            <w:vAlign w:val="center"/>
          </w:tcPr>
          <w:p w14:paraId="7D304B3F">
            <w:pPr>
              <w:keepNext w:val="0"/>
              <w:keepLines w:val="0"/>
              <w:pageBreakBefore w:val="0"/>
              <w:kinsoku/>
              <w:overflowPunct/>
              <w:topLinePunct w:val="0"/>
              <w:bidi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6946" w:type="dxa"/>
            <w:vAlign w:val="center"/>
          </w:tcPr>
          <w:p w14:paraId="186923D6">
            <w:pPr>
              <w:keepNext w:val="0"/>
              <w:keepLines w:val="0"/>
              <w:pageBreakBefore w:val="0"/>
              <w:tabs>
                <w:tab w:val="left" w:pos="7200"/>
              </w:tabs>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19.1投标文件递交要求：</w:t>
            </w:r>
          </w:p>
          <w:p w14:paraId="39BF2BFD">
            <w:pPr>
              <w:keepNext w:val="0"/>
              <w:keepLines w:val="0"/>
              <w:pageBreakBefore w:val="0"/>
              <w:tabs>
                <w:tab w:val="left" w:pos="7200"/>
              </w:tabs>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投标截止时间：2025年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25 </w:t>
            </w:r>
            <w:r>
              <w:rPr>
                <w:rFonts w:hint="eastAsia" w:ascii="宋体" w:hAnsi="宋体"/>
                <w:color w:val="auto"/>
                <w:szCs w:val="21"/>
                <w:highlight w:val="none"/>
              </w:rPr>
              <w:t>日上午9时30分（北京时间）。</w:t>
            </w:r>
          </w:p>
          <w:p w14:paraId="2FCBF5C6">
            <w:pPr>
              <w:keepNext w:val="0"/>
              <w:keepLines w:val="0"/>
              <w:pageBreakBefore w:val="0"/>
              <w:tabs>
                <w:tab w:val="left" w:pos="7200"/>
              </w:tabs>
              <w:kinsoku/>
              <w:overflowPunct/>
              <w:topLinePunct w:val="0"/>
              <w:bidi w:val="0"/>
              <w:spacing w:line="360" w:lineRule="auto"/>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1027E968">
            <w:pPr>
              <w:keepNext w:val="0"/>
              <w:keepLines w:val="0"/>
              <w:pageBreakBefore w:val="0"/>
              <w:kinsoku/>
              <w:overflowPunct/>
              <w:topLinePunct w:val="0"/>
              <w:bidi w:val="0"/>
              <w:snapToGrid w:val="0"/>
              <w:spacing w:line="360" w:lineRule="auto"/>
              <w:jc w:val="left"/>
              <w:rPr>
                <w:rFonts w:ascii="宋体" w:hAnsi="宋体" w:cs="宋体"/>
                <w:color w:val="auto"/>
                <w:highlight w:val="none"/>
              </w:rPr>
            </w:pPr>
            <w:r>
              <w:rPr>
                <w:rFonts w:hint="eastAsia" w:ascii="宋体" w:hAnsi="宋体"/>
                <w:color w:val="auto"/>
                <w:szCs w:val="21"/>
                <w:highlight w:val="none"/>
              </w:rPr>
              <w:t>19.2除招标文件另有规定外，投标人所递交的投标文件不予退还。</w:t>
            </w:r>
          </w:p>
        </w:tc>
      </w:tr>
      <w:tr w14:paraId="486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4FB6655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8</w:t>
            </w:r>
          </w:p>
        </w:tc>
        <w:tc>
          <w:tcPr>
            <w:tcW w:w="850" w:type="dxa"/>
            <w:vAlign w:val="center"/>
          </w:tcPr>
          <w:p w14:paraId="4020FA9A">
            <w:pPr>
              <w:keepNext w:val="0"/>
              <w:keepLines w:val="0"/>
              <w:pageBreakBefore w:val="0"/>
              <w:kinsoku/>
              <w:overflowPunct/>
              <w:topLinePunct w:val="0"/>
              <w:bidi w:val="0"/>
              <w:spacing w:line="360" w:lineRule="auto"/>
              <w:jc w:val="center"/>
              <w:rPr>
                <w:rFonts w:ascii="宋体" w:hAnsi="宋体"/>
                <w:color w:val="auto"/>
                <w:position w:val="10"/>
                <w:szCs w:val="21"/>
                <w:highlight w:val="none"/>
              </w:rPr>
            </w:pPr>
            <w:r>
              <w:rPr>
                <w:rFonts w:hint="eastAsia" w:ascii="宋体" w:hAnsi="宋体" w:cs="宋体"/>
                <w:color w:val="auto"/>
                <w:szCs w:val="21"/>
                <w:highlight w:val="none"/>
              </w:rPr>
              <w:t>20</w:t>
            </w:r>
          </w:p>
        </w:tc>
        <w:tc>
          <w:tcPr>
            <w:tcW w:w="1701" w:type="dxa"/>
            <w:vAlign w:val="center"/>
          </w:tcPr>
          <w:p w14:paraId="50E18912">
            <w:pPr>
              <w:keepNext w:val="0"/>
              <w:keepLines w:val="0"/>
              <w:pageBreakBefore w:val="0"/>
              <w:kinsoku/>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946" w:type="dxa"/>
            <w:vAlign w:val="center"/>
          </w:tcPr>
          <w:p w14:paraId="0E5E0FBC">
            <w:pPr>
              <w:keepNext w:val="0"/>
              <w:keepLines w:val="0"/>
              <w:pageBreakBefore w:val="0"/>
              <w:kinsoku/>
              <w:overflowPunct/>
              <w:topLinePunct w:val="0"/>
              <w:bidi w:val="0"/>
              <w:adjustRightInd w:val="0"/>
              <w:snapToGrid w:val="0"/>
              <w:spacing w:line="360" w:lineRule="auto"/>
              <w:rPr>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14:paraId="4DE7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7890F6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9</w:t>
            </w:r>
          </w:p>
        </w:tc>
        <w:tc>
          <w:tcPr>
            <w:tcW w:w="850" w:type="dxa"/>
            <w:vAlign w:val="center"/>
          </w:tcPr>
          <w:p w14:paraId="0617932C">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 xml:space="preserve">21 </w:t>
            </w:r>
          </w:p>
        </w:tc>
        <w:tc>
          <w:tcPr>
            <w:tcW w:w="1701" w:type="dxa"/>
            <w:vAlign w:val="center"/>
          </w:tcPr>
          <w:p w14:paraId="0D8920E2">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开标时间及地点</w:t>
            </w:r>
          </w:p>
        </w:tc>
        <w:tc>
          <w:tcPr>
            <w:tcW w:w="6946" w:type="dxa"/>
            <w:vAlign w:val="center"/>
          </w:tcPr>
          <w:p w14:paraId="2EB384AC">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21.1开标时间及地点：</w:t>
            </w:r>
          </w:p>
          <w:p w14:paraId="6C9CFC64">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 xml:space="preserve">12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25 </w:t>
            </w:r>
            <w:r>
              <w:rPr>
                <w:rFonts w:hint="eastAsia" w:ascii="宋体" w:hAnsi="宋体"/>
                <w:color w:val="auto"/>
                <w:szCs w:val="21"/>
                <w:highlight w:val="none"/>
              </w:rPr>
              <w:t>日</w:t>
            </w:r>
            <w:r>
              <w:rPr>
                <w:rFonts w:hint="eastAsia" w:ascii="宋体" w:hAnsi="宋体"/>
                <w:color w:val="auto"/>
                <w:highlight w:val="none"/>
              </w:rPr>
              <w:t>上午9时30分（北京时间）；</w:t>
            </w:r>
          </w:p>
          <w:p w14:paraId="1507835A">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51E85486">
            <w:pPr>
              <w:keepNext w:val="0"/>
              <w:keepLines w:val="0"/>
              <w:pageBreakBefore w:val="0"/>
              <w:kinsoku/>
              <w:overflowPunct/>
              <w:topLinePunct w:val="0"/>
              <w:bidi w:val="0"/>
              <w:spacing w:line="360" w:lineRule="auto"/>
              <w:rPr>
                <w:color w:val="auto"/>
                <w:highlight w:val="none"/>
              </w:rPr>
            </w:pPr>
            <w:r>
              <w:rPr>
                <w:rFonts w:hint="eastAsia" w:ascii="宋体" w:hAnsi="宋体"/>
                <w:color w:val="auto"/>
                <w:highlight w:val="none"/>
              </w:rPr>
              <w:t>21.2投标人不足3家的，不得开标，采购人或者采购代理机构应当重新组织采购。</w:t>
            </w:r>
          </w:p>
        </w:tc>
      </w:tr>
      <w:tr w14:paraId="3B28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61704B4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10</w:t>
            </w:r>
          </w:p>
        </w:tc>
        <w:tc>
          <w:tcPr>
            <w:tcW w:w="850" w:type="dxa"/>
            <w:vAlign w:val="center"/>
          </w:tcPr>
          <w:p w14:paraId="52FAE1F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22</w:t>
            </w:r>
          </w:p>
        </w:tc>
        <w:tc>
          <w:tcPr>
            <w:tcW w:w="1701" w:type="dxa"/>
            <w:vAlign w:val="center"/>
          </w:tcPr>
          <w:p w14:paraId="152242D0">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开标程序</w:t>
            </w:r>
          </w:p>
        </w:tc>
        <w:tc>
          <w:tcPr>
            <w:tcW w:w="6946" w:type="dxa"/>
            <w:vAlign w:val="center"/>
          </w:tcPr>
          <w:p w14:paraId="05C58E9B">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CA5080B">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p>
          <w:p w14:paraId="0D2F46F5">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377456FD">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54E4C6F9">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22.5投标人线上确认投标报价。</w:t>
            </w:r>
          </w:p>
          <w:p w14:paraId="0430F099">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0B4EC480">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highlight w:val="none"/>
              </w:rPr>
              <w:t>采购人、采购代理机构对投标人代表提出的询问或者回避申请应当及时处理。</w:t>
            </w:r>
          </w:p>
          <w:p w14:paraId="5496E657">
            <w:pPr>
              <w:keepNext w:val="0"/>
              <w:keepLines w:val="0"/>
              <w:pageBreakBefore w:val="0"/>
              <w:kinsoku/>
              <w:overflowPunct/>
              <w:topLinePunct w:val="0"/>
              <w:bidi w:val="0"/>
              <w:adjustRightInd w:val="0"/>
              <w:snapToGrid w:val="0"/>
              <w:spacing w:line="360" w:lineRule="auto"/>
              <w:rPr>
                <w:rFonts w:ascii="宋体" w:hAnsi="宋体" w:cs="宋体"/>
                <w:color w:val="auto"/>
                <w:szCs w:val="21"/>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tc>
      </w:tr>
      <w:tr w14:paraId="7298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413C06B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11</w:t>
            </w:r>
          </w:p>
        </w:tc>
        <w:tc>
          <w:tcPr>
            <w:tcW w:w="850" w:type="dxa"/>
            <w:vAlign w:val="center"/>
          </w:tcPr>
          <w:p w14:paraId="3A268FD1">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24</w:t>
            </w:r>
          </w:p>
        </w:tc>
        <w:tc>
          <w:tcPr>
            <w:tcW w:w="1701" w:type="dxa"/>
            <w:vAlign w:val="center"/>
          </w:tcPr>
          <w:p w14:paraId="1342BB8C">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评标委员会组成</w:t>
            </w:r>
          </w:p>
        </w:tc>
        <w:tc>
          <w:tcPr>
            <w:tcW w:w="6946" w:type="dxa"/>
            <w:vAlign w:val="center"/>
          </w:tcPr>
          <w:p w14:paraId="31FD24CD">
            <w:pPr>
              <w:keepNext w:val="0"/>
              <w:keepLines w:val="0"/>
              <w:pageBreakBefore w:val="0"/>
              <w:kinsoku/>
              <w:overflowPunct/>
              <w:topLinePunct w:val="0"/>
              <w:bidi w:val="0"/>
              <w:spacing w:line="360" w:lineRule="auto"/>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7A0D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1DA78169">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12</w:t>
            </w:r>
          </w:p>
        </w:tc>
        <w:tc>
          <w:tcPr>
            <w:tcW w:w="850" w:type="dxa"/>
            <w:vAlign w:val="center"/>
          </w:tcPr>
          <w:p w14:paraId="42AFC98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25.1</w:t>
            </w:r>
          </w:p>
        </w:tc>
        <w:tc>
          <w:tcPr>
            <w:tcW w:w="1701" w:type="dxa"/>
            <w:vAlign w:val="center"/>
          </w:tcPr>
          <w:p w14:paraId="5BE113C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评标办法</w:t>
            </w:r>
          </w:p>
        </w:tc>
        <w:tc>
          <w:tcPr>
            <w:tcW w:w="6946" w:type="dxa"/>
            <w:vAlign w:val="center"/>
          </w:tcPr>
          <w:p w14:paraId="7E17151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3314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39BB533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13</w:t>
            </w:r>
          </w:p>
        </w:tc>
        <w:tc>
          <w:tcPr>
            <w:tcW w:w="850" w:type="dxa"/>
            <w:vAlign w:val="center"/>
          </w:tcPr>
          <w:p w14:paraId="00E3800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32</w:t>
            </w:r>
          </w:p>
        </w:tc>
        <w:tc>
          <w:tcPr>
            <w:tcW w:w="1701" w:type="dxa"/>
            <w:vAlign w:val="center"/>
          </w:tcPr>
          <w:p w14:paraId="17461CD4">
            <w:pPr>
              <w:keepNext w:val="0"/>
              <w:keepLines w:val="0"/>
              <w:pageBreakBefore w:val="0"/>
              <w:tabs>
                <w:tab w:val="left" w:pos="1140"/>
              </w:tabs>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信用查询</w:t>
            </w:r>
          </w:p>
        </w:tc>
        <w:tc>
          <w:tcPr>
            <w:tcW w:w="6946" w:type="dxa"/>
            <w:vAlign w:val="center"/>
          </w:tcPr>
          <w:p w14:paraId="07E56FC6">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4D2617F6">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14:paraId="7A17C5C9">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⑵查询截止时间：中标通知书发出前；</w:t>
            </w:r>
          </w:p>
          <w:p w14:paraId="63D4C3F6">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6C663CBD">
            <w:pPr>
              <w:pStyle w:val="224"/>
              <w:keepNext w:val="0"/>
              <w:keepLines w:val="0"/>
              <w:pageBreakBefore w:val="0"/>
              <w:kinsoku/>
              <w:overflowPunct/>
              <w:topLinePunct w:val="0"/>
              <w:bidi w:val="0"/>
              <w:spacing w:line="360" w:lineRule="auto"/>
              <w:rPr>
                <w:rFonts w:hAnsi="宋体"/>
                <w:color w:val="auto"/>
                <w:szCs w:val="21"/>
                <w:highlight w:val="none"/>
              </w:rPr>
            </w:pPr>
            <w:r>
              <w:rPr>
                <w:rFonts w:hint="eastAsia" w:hAnsi="宋体"/>
                <w:color w:val="auto"/>
                <w:szCs w:val="21"/>
                <w:highlight w:val="none"/>
              </w:rPr>
              <w:t>⑷信用信息使用规则：对在“信用中国”网站（www.creditchina.gov.cn）、中国政府采购网（www.ccgp.gov.cn）等渠道列入失信被执行人、</w:t>
            </w:r>
            <w:r>
              <w:rPr>
                <w:rFonts w:hint="eastAsia" w:hAnsi="宋体" w:cs="宋体"/>
                <w:color w:val="auto"/>
                <w:kern w:val="0"/>
                <w:szCs w:val="21"/>
                <w:highlight w:val="none"/>
              </w:rPr>
              <w:t>重大税收违法失信主体</w:t>
            </w:r>
            <w:r>
              <w:rPr>
                <w:rFonts w:hint="eastAsia" w:hAnsi="宋体"/>
                <w:color w:val="auto"/>
                <w:szCs w:val="21"/>
                <w:highlight w:val="none"/>
              </w:rPr>
              <w:t>、政府采购严重违法失信行为记录名单及其他不符合《中华人民共和国政府采购法》第二十二条规定条件的供应商，取消其中标候选人资格。</w:t>
            </w:r>
          </w:p>
        </w:tc>
      </w:tr>
      <w:tr w14:paraId="4733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5F5FD6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14</w:t>
            </w:r>
          </w:p>
        </w:tc>
        <w:tc>
          <w:tcPr>
            <w:tcW w:w="850" w:type="dxa"/>
            <w:vAlign w:val="center"/>
          </w:tcPr>
          <w:p w14:paraId="4AC4EB9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33</w:t>
            </w:r>
          </w:p>
        </w:tc>
        <w:tc>
          <w:tcPr>
            <w:tcW w:w="1701" w:type="dxa"/>
            <w:vAlign w:val="center"/>
          </w:tcPr>
          <w:p w14:paraId="39019DB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中标公告及中标通知书</w:t>
            </w:r>
          </w:p>
        </w:tc>
        <w:tc>
          <w:tcPr>
            <w:tcW w:w="6946" w:type="dxa"/>
            <w:vAlign w:val="center"/>
          </w:tcPr>
          <w:p w14:paraId="09F6A2F8">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highlight w:val="none"/>
              </w:rPr>
              <w:t>采购人在收到评标报告</w:t>
            </w:r>
            <w:r>
              <w:rPr>
                <w:rFonts w:hint="eastAsia" w:ascii="宋体" w:hAnsi="宋体"/>
                <w:color w:val="auto"/>
                <w:szCs w:val="21"/>
                <w:highlight w:val="none"/>
              </w:rPr>
              <w:t>五</w:t>
            </w:r>
            <w:r>
              <w:rPr>
                <w:rFonts w:ascii="宋体"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highlight w:val="none"/>
              </w:rPr>
              <w:t>采购代理机构在中标人确定之日起两个工作日内在指定媒体上公告中标结果，</w:t>
            </w:r>
            <w:r>
              <w:rPr>
                <w:rFonts w:ascii="宋体" w:hAnsi="宋体"/>
                <w:color w:val="auto"/>
                <w:szCs w:val="21"/>
                <w:highlight w:val="none"/>
              </w:rPr>
              <w:t>中标公告期限为1个工作日</w:t>
            </w:r>
            <w:r>
              <w:rPr>
                <w:rFonts w:hint="eastAsia" w:ascii="宋体" w:hAnsi="宋体"/>
                <w:color w:val="auto"/>
                <w:szCs w:val="21"/>
                <w:highlight w:val="none"/>
              </w:rPr>
              <w:t>。</w:t>
            </w:r>
          </w:p>
          <w:p w14:paraId="4B588A4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3251696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32.3</w:t>
            </w:r>
            <w:r>
              <w:rPr>
                <w:rFonts w:ascii="宋体" w:hAnsi="宋体"/>
                <w:color w:val="auto"/>
                <w:szCs w:val="21"/>
                <w:highlight w:val="none"/>
              </w:rPr>
              <w:t>中标公告</w:t>
            </w:r>
            <w:r>
              <w:rPr>
                <w:rFonts w:hint="eastAsia" w:ascii="宋体" w:hAnsi="宋体"/>
                <w:color w:val="auto"/>
                <w:szCs w:val="21"/>
                <w:highlight w:val="none"/>
              </w:rPr>
              <w:t>发布同时，采购代理机构通过</w:t>
            </w:r>
            <w:r>
              <w:rPr>
                <w:rFonts w:hint="eastAsia" w:ascii="宋体" w:hAnsi="宋体" w:cs="宋体"/>
                <w:color w:val="auto"/>
                <w:highlight w:val="none"/>
              </w:rPr>
              <w:t>广西政府采购云平台</w:t>
            </w:r>
            <w:r>
              <w:rPr>
                <w:rFonts w:hint="eastAsia" w:ascii="宋体" w:hAnsi="宋体"/>
                <w:color w:val="auto"/>
                <w:szCs w:val="21"/>
                <w:highlight w:val="none"/>
              </w:rPr>
              <w:t>在线向中标人发出中标通知书，中标人应自行关注</w:t>
            </w:r>
            <w:r>
              <w:rPr>
                <w:rFonts w:hint="eastAsia" w:ascii="宋体" w:hAnsi="宋体" w:cs="宋体"/>
                <w:color w:val="auto"/>
                <w:highlight w:val="none"/>
              </w:rPr>
              <w:t>广西政府采购云平台</w:t>
            </w:r>
            <w:r>
              <w:rPr>
                <w:rFonts w:hint="eastAsia" w:ascii="宋体" w:hAnsi="宋体"/>
                <w:color w:val="auto"/>
                <w:szCs w:val="21"/>
                <w:highlight w:val="none"/>
              </w:rPr>
              <w:t>信息，确保及时查收中标通知书。</w:t>
            </w:r>
          </w:p>
        </w:tc>
      </w:tr>
      <w:tr w14:paraId="7F86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77D5DC60">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15</w:t>
            </w:r>
          </w:p>
        </w:tc>
        <w:tc>
          <w:tcPr>
            <w:tcW w:w="850" w:type="dxa"/>
            <w:vAlign w:val="center"/>
          </w:tcPr>
          <w:p w14:paraId="775EBE3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34</w:t>
            </w:r>
          </w:p>
        </w:tc>
        <w:tc>
          <w:tcPr>
            <w:tcW w:w="1701" w:type="dxa"/>
            <w:vAlign w:val="center"/>
          </w:tcPr>
          <w:p w14:paraId="634FAFB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履约保证金</w:t>
            </w:r>
          </w:p>
        </w:tc>
        <w:tc>
          <w:tcPr>
            <w:tcW w:w="6946" w:type="dxa"/>
            <w:vAlign w:val="center"/>
          </w:tcPr>
          <w:p w14:paraId="21D0A235">
            <w:pPr>
              <w:pStyle w:val="26"/>
              <w:keepNext w:val="0"/>
              <w:keepLines w:val="0"/>
              <w:pageBreakBefore w:val="0"/>
              <w:kinsoku/>
              <w:overflowPunct/>
              <w:topLinePunct w:val="0"/>
              <w:bidi w:val="0"/>
              <w:spacing w:line="360" w:lineRule="auto"/>
              <w:ind w:left="6" w:leftChars="3"/>
              <w:rPr>
                <w:rFonts w:hAnsi="宋体"/>
                <w:color w:val="auto"/>
                <w:szCs w:val="21"/>
                <w:highlight w:val="none"/>
              </w:rPr>
            </w:pPr>
            <w:r>
              <w:rPr>
                <w:rFonts w:hint="eastAsia" w:hAnsi="宋体"/>
                <w:color w:val="auto"/>
                <w:szCs w:val="21"/>
                <w:highlight w:val="none"/>
              </w:rPr>
              <w:t>本项目不收取履约保证金。</w:t>
            </w:r>
          </w:p>
        </w:tc>
      </w:tr>
      <w:tr w14:paraId="4096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7783863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16</w:t>
            </w:r>
          </w:p>
        </w:tc>
        <w:tc>
          <w:tcPr>
            <w:tcW w:w="850" w:type="dxa"/>
            <w:vAlign w:val="center"/>
          </w:tcPr>
          <w:p w14:paraId="27BE33C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35.1</w:t>
            </w:r>
          </w:p>
        </w:tc>
        <w:tc>
          <w:tcPr>
            <w:tcW w:w="1701" w:type="dxa"/>
            <w:vAlign w:val="center"/>
          </w:tcPr>
          <w:p w14:paraId="2C7F868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签订合同时间</w:t>
            </w:r>
          </w:p>
        </w:tc>
        <w:tc>
          <w:tcPr>
            <w:tcW w:w="6946" w:type="dxa"/>
            <w:vAlign w:val="center"/>
          </w:tcPr>
          <w:p w14:paraId="7323CC40">
            <w:pPr>
              <w:keepNext w:val="0"/>
              <w:keepLines w:val="0"/>
              <w:pageBreakBefore w:val="0"/>
              <w:kinsoku/>
              <w:overflowPunct/>
              <w:topLinePunct w:val="0"/>
              <w:bidi w:val="0"/>
              <w:spacing w:line="360" w:lineRule="auto"/>
              <w:rPr>
                <w:rFonts w:ascii="宋体" w:hAnsi="宋体"/>
                <w:color w:val="auto"/>
                <w:szCs w:val="21"/>
                <w:highlight w:val="none"/>
              </w:rPr>
            </w:pPr>
            <w:r>
              <w:rPr>
                <w:rFonts w:hint="eastAsia" w:hAnsi="宋体"/>
                <w:color w:val="auto"/>
                <w:szCs w:val="21"/>
                <w:highlight w:val="none"/>
              </w:rPr>
              <w:t>中标通知书发出之日起8个工作日内</w:t>
            </w:r>
            <w:r>
              <w:rPr>
                <w:rFonts w:hint="eastAsia" w:ascii="宋体" w:hAnsi="宋体"/>
                <w:color w:val="auto"/>
                <w:szCs w:val="21"/>
                <w:highlight w:val="none"/>
              </w:rPr>
              <w:t>。中标人应按规定与采购人签订合同。</w:t>
            </w:r>
          </w:p>
        </w:tc>
      </w:tr>
      <w:tr w14:paraId="562A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75CF7CC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17</w:t>
            </w:r>
          </w:p>
        </w:tc>
        <w:tc>
          <w:tcPr>
            <w:tcW w:w="850" w:type="dxa"/>
            <w:vAlign w:val="center"/>
          </w:tcPr>
          <w:p w14:paraId="101A40F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35.3</w:t>
            </w:r>
          </w:p>
        </w:tc>
        <w:tc>
          <w:tcPr>
            <w:tcW w:w="1701" w:type="dxa"/>
            <w:vAlign w:val="center"/>
          </w:tcPr>
          <w:p w14:paraId="051EB95C">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合同公告</w:t>
            </w:r>
          </w:p>
        </w:tc>
        <w:tc>
          <w:tcPr>
            <w:tcW w:w="6946" w:type="dxa"/>
            <w:vAlign w:val="center"/>
          </w:tcPr>
          <w:p w14:paraId="6E152C4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tc>
      </w:tr>
      <w:tr w14:paraId="2C3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3F549F6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18</w:t>
            </w:r>
          </w:p>
        </w:tc>
        <w:tc>
          <w:tcPr>
            <w:tcW w:w="850" w:type="dxa"/>
            <w:vAlign w:val="center"/>
          </w:tcPr>
          <w:p w14:paraId="6107BD5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36</w:t>
            </w:r>
          </w:p>
        </w:tc>
        <w:tc>
          <w:tcPr>
            <w:tcW w:w="1701" w:type="dxa"/>
            <w:vAlign w:val="center"/>
          </w:tcPr>
          <w:p w14:paraId="11CBABD7">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采购代理服务费</w:t>
            </w:r>
          </w:p>
        </w:tc>
        <w:tc>
          <w:tcPr>
            <w:tcW w:w="6946" w:type="dxa"/>
            <w:vAlign w:val="center"/>
          </w:tcPr>
          <w:p w14:paraId="440719D6">
            <w:pPr>
              <w:keepNext w:val="0"/>
              <w:keepLines w:val="0"/>
              <w:pageBreakBefore w:val="0"/>
              <w:widowControl w:val="0"/>
              <w:kinsoku/>
              <w:wordWrap w:val="0"/>
              <w:overflowPunct/>
              <w:topLinePunct w:val="0"/>
              <w:autoSpaceDE/>
              <w:autoSpaceDN/>
              <w:bidi w:val="0"/>
              <w:adjustRightInd/>
              <w:spacing w:line="360" w:lineRule="auto"/>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本项目采购代理服务费按本须知第36.2条“采购代理服务收费标准”中“货物招标”收费标准</w:t>
            </w:r>
            <w:r>
              <w:rPr>
                <w:rFonts w:hint="eastAsia" w:ascii="宋体" w:hAnsi="宋体" w:cs="宋体"/>
                <w:b w:val="0"/>
                <w:bCs/>
                <w:color w:val="auto"/>
                <w:szCs w:val="21"/>
                <w:highlight w:val="none"/>
                <w:lang w:val="en-US" w:eastAsia="zh-CN"/>
              </w:rPr>
              <w:t>的80%</w:t>
            </w:r>
            <w:r>
              <w:rPr>
                <w:rFonts w:hint="eastAsia" w:ascii="宋体" w:hAnsi="宋体" w:cs="宋体"/>
                <w:b w:val="0"/>
                <w:bCs/>
                <w:color w:val="auto"/>
                <w:szCs w:val="21"/>
                <w:highlight w:val="none"/>
              </w:rPr>
              <w:t>计算（不足人民币6000元的，按6000元计），根据本项目采购代理协议该“采购代理服务费”由中标人在获取中标通知书前向采购代理机构一次性付清（否则，该不利后果由中标人承担）。</w:t>
            </w:r>
          </w:p>
          <w:p w14:paraId="2357B692">
            <w:pPr>
              <w:keepNext w:val="0"/>
              <w:keepLines w:val="0"/>
              <w:pageBreakBefore w:val="0"/>
              <w:widowControl w:val="0"/>
              <w:kinsoku/>
              <w:wordWrap w:val="0"/>
              <w:overflowPunct/>
              <w:topLinePunct w:val="0"/>
              <w:autoSpaceDE/>
              <w:autoSpaceDN/>
              <w:bidi w:val="0"/>
              <w:adjustRightInd/>
              <w:spacing w:line="360" w:lineRule="auto"/>
              <w:textAlignment w:val="auto"/>
              <w:rPr>
                <w:rFonts w:hint="eastAsia" w:ascii="宋体" w:hAnsi="宋体" w:cs="宋体"/>
                <w:b/>
                <w:color w:val="auto"/>
                <w:szCs w:val="21"/>
                <w:highlight w:val="none"/>
              </w:rPr>
            </w:pPr>
            <w:r>
              <w:rPr>
                <w:rFonts w:hint="eastAsia" w:ascii="宋体" w:hAnsi="宋体" w:cs="宋体"/>
                <w:b/>
                <w:color w:val="auto"/>
                <w:szCs w:val="21"/>
                <w:highlight w:val="none"/>
              </w:rPr>
              <w:t>服务费的银行缴纳账户：</w:t>
            </w:r>
          </w:p>
          <w:p w14:paraId="14194EA0">
            <w:pPr>
              <w:keepNext w:val="0"/>
              <w:keepLines w:val="0"/>
              <w:pageBreakBefore w:val="0"/>
              <w:widowControl w:val="0"/>
              <w:kinsoku/>
              <w:wordWrap w:val="0"/>
              <w:overflowPunct/>
              <w:topLinePunct w:val="0"/>
              <w:autoSpaceDE/>
              <w:autoSpaceDN/>
              <w:bidi w:val="0"/>
              <w:adjustRightInd/>
              <w:spacing w:line="360" w:lineRule="auto"/>
              <w:ind w:left="25" w:firstLine="0" w:firstLineChars="0"/>
              <w:textAlignment w:val="auto"/>
              <w:rPr>
                <w:rFonts w:hint="eastAsia" w:ascii="宋体" w:hAnsi="宋体" w:eastAsia="宋体" w:cs="宋体"/>
                <w:color w:val="auto"/>
                <w:kern w:val="0"/>
                <w:sz w:val="21"/>
                <w:szCs w:val="20"/>
                <w:highlight w:val="none"/>
              </w:rPr>
            </w:pPr>
            <w:r>
              <w:rPr>
                <w:rFonts w:hint="eastAsia" w:ascii="宋体" w:hAnsi="宋体" w:eastAsia="宋体" w:cs="宋体"/>
                <w:color w:val="auto"/>
                <w:kern w:val="0"/>
                <w:sz w:val="21"/>
                <w:szCs w:val="20"/>
                <w:highlight w:val="none"/>
              </w:rPr>
              <w:t>账户名称：</w:t>
            </w:r>
            <w:r>
              <w:rPr>
                <w:rFonts w:hint="eastAsia" w:ascii="宋体" w:hAnsi="宋体" w:eastAsia="宋体" w:cs="宋体"/>
                <w:b/>
                <w:bCs/>
                <w:color w:val="auto"/>
                <w:kern w:val="0"/>
                <w:sz w:val="21"/>
                <w:szCs w:val="20"/>
                <w:highlight w:val="none"/>
                <w:lang w:eastAsia="zh-CN"/>
              </w:rPr>
              <w:t>广西昶吉工程项目管理有限公司</w:t>
            </w:r>
          </w:p>
          <w:p w14:paraId="45D11BC2">
            <w:pPr>
              <w:keepNext w:val="0"/>
              <w:keepLines w:val="0"/>
              <w:pageBreakBefore w:val="0"/>
              <w:widowControl w:val="0"/>
              <w:kinsoku/>
              <w:wordWrap w:val="0"/>
              <w:overflowPunct/>
              <w:topLinePunct w:val="0"/>
              <w:autoSpaceDE/>
              <w:autoSpaceDN/>
              <w:bidi w:val="0"/>
              <w:adjustRightInd/>
              <w:spacing w:line="360" w:lineRule="auto"/>
              <w:ind w:left="25" w:firstLine="0" w:firstLineChars="0"/>
              <w:textAlignment w:val="auto"/>
              <w:rPr>
                <w:rFonts w:hint="eastAsia" w:ascii="宋体" w:hAnsi="宋体" w:eastAsia="宋体" w:cs="宋体"/>
                <w:color w:val="auto"/>
                <w:kern w:val="0"/>
                <w:sz w:val="21"/>
                <w:szCs w:val="20"/>
                <w:highlight w:val="none"/>
              </w:rPr>
            </w:pPr>
            <w:r>
              <w:rPr>
                <w:rFonts w:hint="eastAsia" w:ascii="宋体" w:hAnsi="宋体" w:eastAsia="宋体" w:cs="宋体"/>
                <w:color w:val="auto"/>
                <w:kern w:val="0"/>
                <w:sz w:val="21"/>
                <w:szCs w:val="20"/>
                <w:highlight w:val="none"/>
              </w:rPr>
              <w:t>开户银行：</w:t>
            </w:r>
            <w:r>
              <w:rPr>
                <w:rFonts w:hint="eastAsia" w:ascii="宋体" w:hAnsi="宋体" w:eastAsia="宋体" w:cs="宋体"/>
                <w:b/>
                <w:bCs/>
                <w:color w:val="auto"/>
                <w:kern w:val="0"/>
                <w:sz w:val="21"/>
                <w:szCs w:val="20"/>
                <w:highlight w:val="none"/>
              </w:rPr>
              <w:t>广西桂林漓江农村合作银行</w:t>
            </w:r>
            <w:r>
              <w:rPr>
                <w:rFonts w:hint="eastAsia" w:ascii="宋体" w:hAnsi="宋体" w:eastAsia="宋体" w:cs="宋体"/>
                <w:b/>
                <w:bCs/>
                <w:color w:val="auto"/>
                <w:kern w:val="0"/>
                <w:sz w:val="21"/>
                <w:szCs w:val="20"/>
                <w:highlight w:val="none"/>
                <w:lang w:val="en-US" w:eastAsia="zh-CN"/>
              </w:rPr>
              <w:t>营业部</w:t>
            </w:r>
          </w:p>
          <w:p w14:paraId="013FFEBA">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eastAsia="宋体" w:cs="宋体"/>
                <w:color w:val="auto"/>
                <w:kern w:val="0"/>
                <w:sz w:val="21"/>
                <w:szCs w:val="20"/>
                <w:highlight w:val="none"/>
              </w:rPr>
              <w:t>银行账号：</w:t>
            </w:r>
            <w:r>
              <w:rPr>
                <w:rFonts w:hint="eastAsia" w:ascii="宋体" w:hAnsi="宋体" w:eastAsia="宋体" w:cs="宋体"/>
                <w:b/>
                <w:bCs/>
                <w:color w:val="auto"/>
                <w:kern w:val="0"/>
                <w:sz w:val="21"/>
                <w:szCs w:val="20"/>
                <w:highlight w:val="none"/>
                <w:lang w:val="en-US" w:eastAsia="zh-CN"/>
              </w:rPr>
              <w:t>376212010101926981</w:t>
            </w:r>
            <w:r>
              <w:rPr>
                <w:rFonts w:hint="eastAsia" w:ascii="宋体" w:hAnsi="宋体" w:eastAsia="宋体" w:cs="宋体"/>
                <w:color w:val="auto"/>
                <w:kern w:val="0"/>
                <w:sz w:val="21"/>
                <w:szCs w:val="20"/>
                <w:highlight w:val="none"/>
              </w:rPr>
              <w:t> </w:t>
            </w:r>
          </w:p>
        </w:tc>
      </w:tr>
      <w:tr w14:paraId="6D2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5145E565">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19</w:t>
            </w:r>
          </w:p>
        </w:tc>
        <w:tc>
          <w:tcPr>
            <w:tcW w:w="850" w:type="dxa"/>
            <w:vAlign w:val="center"/>
          </w:tcPr>
          <w:p w14:paraId="6782E65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39</w:t>
            </w:r>
          </w:p>
        </w:tc>
        <w:tc>
          <w:tcPr>
            <w:tcW w:w="1701" w:type="dxa"/>
            <w:vAlign w:val="center"/>
          </w:tcPr>
          <w:p w14:paraId="20101D8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解释权</w:t>
            </w:r>
          </w:p>
        </w:tc>
        <w:tc>
          <w:tcPr>
            <w:tcW w:w="6946" w:type="dxa"/>
            <w:vAlign w:val="center"/>
          </w:tcPr>
          <w:p w14:paraId="2FD412B9">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本招标文件是根据《中华人民共和国政府采购法》、《中华人民共和国政府采购法实施条例》及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79A0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5F979E0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20</w:t>
            </w:r>
          </w:p>
        </w:tc>
        <w:tc>
          <w:tcPr>
            <w:tcW w:w="850" w:type="dxa"/>
            <w:vAlign w:val="center"/>
          </w:tcPr>
          <w:p w14:paraId="30D3BA3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40</w:t>
            </w:r>
          </w:p>
        </w:tc>
        <w:tc>
          <w:tcPr>
            <w:tcW w:w="1701" w:type="dxa"/>
            <w:vAlign w:val="center"/>
          </w:tcPr>
          <w:p w14:paraId="3B21BFB1">
            <w:pPr>
              <w:keepNext w:val="0"/>
              <w:keepLines w:val="0"/>
              <w:pageBreakBefore w:val="0"/>
              <w:kinsoku/>
              <w:overflowPunct/>
              <w:topLinePunct w:val="0"/>
              <w:bidi w:val="0"/>
              <w:spacing w:line="360" w:lineRule="auto"/>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6946" w:type="dxa"/>
            <w:vAlign w:val="center"/>
          </w:tcPr>
          <w:p w14:paraId="3C285EF2">
            <w:pPr>
              <w:keepNext w:val="0"/>
              <w:keepLines w:val="0"/>
              <w:pageBreakBefore w:val="0"/>
              <w:kinsoku/>
              <w:overflowPunct/>
              <w:topLinePunct w:val="0"/>
              <w:bidi w:val="0"/>
              <w:spacing w:line="360" w:lineRule="auto"/>
              <w:rPr>
                <w:rFonts w:hint="eastAsia" w:ascii="宋体" w:hAnsi="宋体" w:eastAsia="宋体"/>
                <w:color w:val="auto"/>
                <w:szCs w:val="21"/>
                <w:highlight w:val="none"/>
                <w:lang w:eastAsia="zh-CN"/>
              </w:rPr>
            </w:pPr>
            <w:r>
              <w:rPr>
                <w:rFonts w:hint="eastAsia" w:ascii="宋体" w:hAnsi="宋体"/>
                <w:color w:val="auto"/>
                <w:kern w:val="0"/>
                <w:szCs w:val="21"/>
                <w:highlight w:val="none"/>
                <w:lang w:eastAsia="zh-CN"/>
              </w:rPr>
              <w:t>资源县财政局   电话：0773-4315648</w:t>
            </w:r>
          </w:p>
        </w:tc>
      </w:tr>
    </w:tbl>
    <w:p w14:paraId="4D02D6B8">
      <w:pPr>
        <w:keepNext w:val="0"/>
        <w:keepLines w:val="0"/>
        <w:pageBreakBefore w:val="0"/>
        <w:kinsoku/>
        <w:overflowPunct/>
        <w:topLinePunct w:val="0"/>
        <w:bidi w:val="0"/>
        <w:spacing w:line="360" w:lineRule="auto"/>
        <w:jc w:val="center"/>
        <w:rPr>
          <w:rFonts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4AF884FE">
      <w:pPr>
        <w:keepNext w:val="0"/>
        <w:keepLines w:val="0"/>
        <w:pageBreakBefore w:val="0"/>
        <w:kinsoku/>
        <w:overflowPunct/>
        <w:topLinePunct w:val="0"/>
        <w:bidi w:val="0"/>
        <w:spacing w:line="360" w:lineRule="auto"/>
        <w:ind w:firstLine="413" w:firstLineChars="196"/>
        <w:rPr>
          <w:rFonts w:ascii="宋体" w:hAnsi="宋体"/>
          <w:b/>
          <w:color w:val="auto"/>
          <w:szCs w:val="21"/>
          <w:highlight w:val="none"/>
        </w:rPr>
      </w:pPr>
      <w:r>
        <w:rPr>
          <w:rFonts w:hint="eastAsia" w:ascii="宋体" w:hAnsi="宋体"/>
          <w:b/>
          <w:color w:val="auto"/>
          <w:szCs w:val="21"/>
          <w:highlight w:val="none"/>
        </w:rPr>
        <w:t>1. 项目名称及项目编号</w:t>
      </w:r>
    </w:p>
    <w:p w14:paraId="5A01E6D5">
      <w:pPr>
        <w:keepNext w:val="0"/>
        <w:keepLines w:val="0"/>
        <w:pageBreakBefore w:val="0"/>
        <w:kinsoku/>
        <w:overflowPunct/>
        <w:topLinePunct w:val="0"/>
        <w:bidi w:val="0"/>
        <w:spacing w:line="360" w:lineRule="auto"/>
        <w:ind w:firstLine="720" w:firstLineChars="343"/>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资源县中峰镇工业园区污水处理厂污水处理设施项目设备采购</w:t>
      </w:r>
      <w:r>
        <w:rPr>
          <w:rFonts w:hint="eastAsia" w:ascii="宋体" w:hAnsi="宋体"/>
          <w:bCs/>
          <w:color w:val="auto"/>
          <w:szCs w:val="21"/>
          <w:highlight w:val="none"/>
        </w:rPr>
        <w:t xml:space="preserve"> </w:t>
      </w:r>
    </w:p>
    <w:p w14:paraId="10F15AC1">
      <w:pPr>
        <w:keepNext w:val="0"/>
        <w:keepLines w:val="0"/>
        <w:pageBreakBefore w:val="0"/>
        <w:kinsoku/>
        <w:overflowPunct/>
        <w:topLinePunct w:val="0"/>
        <w:bidi w:val="0"/>
        <w:spacing w:line="360" w:lineRule="auto"/>
        <w:ind w:firstLine="720" w:firstLineChars="343"/>
        <w:rPr>
          <w:rFonts w:hint="eastAsia" w:ascii="宋体" w:hAnsi="宋体" w:eastAsia="宋体"/>
          <w:bCs/>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GLZC2025-G1-290120-GXCJ</w:t>
      </w:r>
    </w:p>
    <w:p w14:paraId="4D28A9D8">
      <w:pPr>
        <w:keepNext w:val="0"/>
        <w:keepLines w:val="0"/>
        <w:pageBreakBefore w:val="0"/>
        <w:kinsoku/>
        <w:overflowPunct/>
        <w:topLinePunct w:val="0"/>
        <w:bidi w:val="0"/>
        <w:spacing w:line="360" w:lineRule="auto"/>
        <w:ind w:firstLine="413" w:firstLineChars="196"/>
        <w:rPr>
          <w:rFonts w:ascii="宋体" w:hAnsi="宋体"/>
          <w:b/>
          <w:color w:val="auto"/>
          <w:szCs w:val="21"/>
          <w:highlight w:val="none"/>
        </w:rPr>
      </w:pPr>
      <w:r>
        <w:rPr>
          <w:rFonts w:hint="eastAsia" w:ascii="宋体" w:hAnsi="宋体"/>
          <w:b/>
          <w:color w:val="auto"/>
          <w:szCs w:val="21"/>
          <w:highlight w:val="none"/>
        </w:rPr>
        <w:t>2. 适应范围</w:t>
      </w:r>
    </w:p>
    <w:p w14:paraId="5A62D88B">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本招标文件适用本招标采购项目的招标、投标、评标、合同履约、验收、付款等行为（法律、法规另有规定的，从其规定）。</w:t>
      </w:r>
    </w:p>
    <w:p w14:paraId="3C52B93F">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3. 定义</w:t>
      </w:r>
    </w:p>
    <w:p w14:paraId="226B040B">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1A1AA32C">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0CD01BC6">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29381407">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505A9455">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3.5“书面形式”包括信函、传真、电报。</w:t>
      </w:r>
    </w:p>
    <w:p w14:paraId="3FEF6F78">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A581BE4">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3.</w:t>
      </w:r>
      <w:r>
        <w:rPr>
          <w:rFonts w:hint="eastAsia" w:ascii="宋体" w:hAnsi="宋体"/>
          <w:b/>
          <w:color w:val="auto"/>
          <w:szCs w:val="21"/>
          <w:highlight w:val="none"/>
          <w:lang w:val="en-US" w:eastAsia="zh-CN"/>
        </w:rPr>
        <w:t>7</w:t>
      </w:r>
      <w:r>
        <w:rPr>
          <w:rFonts w:hint="eastAsia" w:ascii="宋体" w:hAnsi="宋体"/>
          <w:b/>
          <w:color w:val="auto"/>
          <w:szCs w:val="21"/>
          <w:highlight w:val="none"/>
        </w:rPr>
        <w:t>实质性要求是指“采购需求”中标注“</w:t>
      </w:r>
      <w:r>
        <w:rPr>
          <w:rFonts w:hint="eastAsia" w:ascii="宋体" w:hAnsi="宋体" w:eastAsia="宋体" w:cs="宋体"/>
          <w:b w:val="0"/>
          <w:bCs/>
          <w:color w:val="auto"/>
          <w:kern w:val="0"/>
          <w:sz w:val="24"/>
          <w:szCs w:val="24"/>
          <w:highlight w:val="none"/>
        </w:rPr>
        <w:t>★</w:t>
      </w:r>
      <w:r>
        <w:rPr>
          <w:rFonts w:hint="eastAsia" w:ascii="宋体" w:hAnsi="宋体"/>
          <w:b/>
          <w:color w:val="auto"/>
          <w:szCs w:val="21"/>
          <w:highlight w:val="none"/>
        </w:rPr>
        <w:t>”符号的条款以及招标文件中要求“必须提供”的条款，投标人对实质性要求若有任意一项不满足，投标文件按无效</w:t>
      </w:r>
      <w:r>
        <w:rPr>
          <w:rFonts w:hint="eastAsia" w:ascii="宋体" w:hAnsi="宋体"/>
          <w:b/>
          <w:color w:val="auto"/>
          <w:szCs w:val="21"/>
          <w:highlight w:val="none"/>
          <w:lang w:val="en-US" w:eastAsia="zh-CN"/>
        </w:rPr>
        <w:t>投标</w:t>
      </w:r>
      <w:r>
        <w:rPr>
          <w:rFonts w:hint="eastAsia" w:ascii="宋体" w:hAnsi="宋体"/>
          <w:b/>
          <w:color w:val="auto"/>
          <w:szCs w:val="21"/>
          <w:highlight w:val="none"/>
        </w:rPr>
        <w:t>处理。</w:t>
      </w:r>
    </w:p>
    <w:p w14:paraId="144B663E">
      <w:pPr>
        <w:keepNext w:val="0"/>
        <w:keepLines w:val="0"/>
        <w:pageBreakBefore w:val="0"/>
        <w:numPr>
          <w:ilvl w:val="0"/>
          <w:numId w:val="5"/>
        </w:numPr>
        <w:kinsoku/>
        <w:overflowPunct/>
        <w:topLinePunct w:val="0"/>
        <w:bidi w:val="0"/>
        <w:spacing w:line="360" w:lineRule="auto"/>
        <w:ind w:firstLine="435"/>
        <w:rPr>
          <w:rFonts w:hint="eastAsia" w:ascii="宋体" w:hAnsi="宋体"/>
          <w:b/>
          <w:color w:val="auto"/>
          <w:szCs w:val="21"/>
          <w:highlight w:val="none"/>
        </w:rPr>
      </w:pPr>
      <w:r>
        <w:rPr>
          <w:rFonts w:hint="eastAsia" w:ascii="宋体" w:hAnsi="宋体"/>
          <w:b/>
          <w:color w:val="auto"/>
          <w:szCs w:val="21"/>
          <w:highlight w:val="none"/>
        </w:rPr>
        <w:t>招标方式、评分办法</w:t>
      </w:r>
    </w:p>
    <w:p w14:paraId="14A915BE">
      <w:pPr>
        <w:keepNext w:val="0"/>
        <w:keepLines w:val="0"/>
        <w:pageBreakBefore w:val="0"/>
        <w:numPr>
          <w:ilvl w:val="0"/>
          <w:numId w:val="0"/>
        </w:numPr>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公开招标、综合评分法</w:t>
      </w:r>
    </w:p>
    <w:p w14:paraId="681F8004">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714BFC44">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4D8FF94E">
      <w:pPr>
        <w:keepNext w:val="0"/>
        <w:keepLines w:val="0"/>
        <w:pageBreakBefore w:val="0"/>
        <w:kinsoku/>
        <w:overflowPunct/>
        <w:topLinePunct w:val="0"/>
        <w:bidi w:val="0"/>
        <w:spacing w:line="360" w:lineRule="auto"/>
        <w:ind w:firstLine="435"/>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647CEEF7">
      <w:pPr>
        <w:keepNext w:val="0"/>
        <w:keepLines w:val="0"/>
        <w:pageBreakBefore w:val="0"/>
        <w:kinsoku/>
        <w:overflowPunct/>
        <w:topLinePunct w:val="0"/>
        <w:bidi w:val="0"/>
        <w:spacing w:line="360" w:lineRule="auto"/>
        <w:ind w:firstLine="435"/>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）落实政府采购政策需满足的资格要求：</w:t>
      </w:r>
      <w:r>
        <w:rPr>
          <w:rFonts w:hint="eastAsia" w:ascii="Arial" w:hAnsi="Arial" w:cs="Arial"/>
          <w:b w:val="0"/>
          <w:bCs w:val="0"/>
          <w:color w:val="auto"/>
          <w:szCs w:val="21"/>
          <w:highlight w:val="none"/>
          <w:lang w:val="en-US" w:eastAsia="zh-CN"/>
        </w:rPr>
        <w:t>无</w:t>
      </w:r>
    </w:p>
    <w:p w14:paraId="72FED310">
      <w:pPr>
        <w:keepNext w:val="0"/>
        <w:keepLines w:val="0"/>
        <w:pageBreakBefore w:val="0"/>
        <w:kinsoku/>
        <w:overflowPunct/>
        <w:topLinePunct w:val="0"/>
        <w:bidi w:val="0"/>
        <w:spacing w:line="360" w:lineRule="auto"/>
        <w:ind w:firstLine="435"/>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w:t>
      </w:r>
      <w:r>
        <w:rPr>
          <w:rFonts w:hint="eastAsia" w:ascii="宋体" w:hAnsi="宋体" w:cs="宋体"/>
          <w:color w:val="auto"/>
          <w:kern w:val="0"/>
          <w:szCs w:val="21"/>
          <w:highlight w:val="none"/>
          <w:lang w:val="en-US" w:eastAsia="zh-CN"/>
        </w:rPr>
        <w:t>无</w:t>
      </w:r>
    </w:p>
    <w:p w14:paraId="729152FE">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7B8CF000">
      <w:pPr>
        <w:keepNext w:val="0"/>
        <w:keepLines w:val="0"/>
        <w:pageBreakBefore w:val="0"/>
        <w:kinsoku/>
        <w:overflowPunct/>
        <w:topLinePunct w:val="0"/>
        <w:bidi w:val="0"/>
        <w:spacing w:line="360" w:lineRule="auto"/>
        <w:ind w:firstLine="435"/>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highlight w:val="none"/>
        </w:rPr>
        <w:t>不得再参加该采购项目的其他采购活动；</w:t>
      </w:r>
    </w:p>
    <w:p w14:paraId="63DBE42F">
      <w:pPr>
        <w:keepNext w:val="0"/>
        <w:keepLines w:val="0"/>
        <w:pageBreakBefore w:val="0"/>
        <w:kinsoku/>
        <w:overflowPunct/>
        <w:topLinePunct w:val="0"/>
        <w:bidi w:val="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、中国政府采购网（www.ccgp.gov.cn）被列入失信被执行人、</w:t>
      </w:r>
      <w:r>
        <w:rPr>
          <w:rFonts w:hint="eastAsia" w:ascii="宋体" w:hAnsi="宋体" w:cs="宋体"/>
          <w:color w:val="auto"/>
          <w:kern w:val="0"/>
          <w:szCs w:val="21"/>
          <w:highlight w:val="none"/>
        </w:rPr>
        <w:t>重大税收违法失信主体</w:t>
      </w:r>
      <w:r>
        <w:rPr>
          <w:rFonts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7749DD7D">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6. 广西政府采购云平台电子投标注意事项</w:t>
      </w:r>
    </w:p>
    <w:p w14:paraId="76ED38E4">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6E2D51C">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6C6C967D">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48EFDE6E">
      <w:pPr>
        <w:keepNext w:val="0"/>
        <w:keepLines w:val="0"/>
        <w:pageBreakBefore w:val="0"/>
        <w:tabs>
          <w:tab w:val="left" w:pos="1635"/>
        </w:tabs>
        <w:kinsoku/>
        <w:overflowPunct/>
        <w:topLinePunct w:val="0"/>
        <w:bidi w:val="0"/>
        <w:spacing w:line="360" w:lineRule="auto"/>
        <w:ind w:firstLine="435"/>
        <w:rPr>
          <w:rFonts w:ascii="宋体" w:hAnsi="宋体" w:cs="宋体"/>
          <w:color w:val="auto"/>
          <w:kern w:val="0"/>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14384D79">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7. 联合体投标要求</w:t>
      </w:r>
    </w:p>
    <w:p w14:paraId="20335EAC">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本项目不接受联合体投标。</w:t>
      </w:r>
    </w:p>
    <w:p w14:paraId="0B33FE7C">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8. 转包与分包</w:t>
      </w:r>
    </w:p>
    <w:p w14:paraId="6F8BD582">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8.1本项目不允许转包。</w:t>
      </w:r>
    </w:p>
    <w:p w14:paraId="65C47B14">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8.2本项目不接受分包。</w:t>
      </w:r>
    </w:p>
    <w:p w14:paraId="298DACE2">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9. 特别说明</w:t>
      </w:r>
    </w:p>
    <w:p w14:paraId="39A0DCE0">
      <w:pPr>
        <w:keepNext w:val="0"/>
        <w:keepLines w:val="0"/>
        <w:pageBreakBefore w:val="0"/>
        <w:tabs>
          <w:tab w:val="left" w:pos="1635"/>
        </w:tabs>
        <w:kinsoku/>
        <w:overflowPunct/>
        <w:topLinePunct w:val="0"/>
        <w:bidi w:val="0"/>
        <w:spacing w:line="360" w:lineRule="auto"/>
        <w:ind w:firstLine="435"/>
        <w:rPr>
          <w:rFonts w:ascii="宋体" w:hAnsi="宋体" w:cs="Arial"/>
          <w:color w:val="auto"/>
          <w:szCs w:val="21"/>
          <w:highlight w:val="none"/>
        </w:rPr>
      </w:pPr>
      <w:r>
        <w:rPr>
          <w:rFonts w:hint="eastAsia" w:ascii="宋体" w:hAnsi="宋体"/>
          <w:color w:val="auto"/>
          <w:szCs w:val="21"/>
          <w:highlight w:val="none"/>
        </w:rPr>
        <w:t>9.1</w:t>
      </w:r>
      <w:r>
        <w:rPr>
          <w:rFonts w:ascii="宋体" w:hAnsi="宋体" w:cs="Arial"/>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highlight w:val="none"/>
        </w:rPr>
        <w:t>评标报价最低的同品牌投标人获得</w:t>
      </w:r>
      <w:r>
        <w:rPr>
          <w:rFonts w:ascii="宋体" w:hAnsi="宋体" w:cs="Arial"/>
          <w:color w:val="auto"/>
          <w:szCs w:val="21"/>
          <w:highlight w:val="none"/>
        </w:rPr>
        <w:t>中标人推荐资格，</w:t>
      </w:r>
      <w:r>
        <w:rPr>
          <w:rFonts w:hint="eastAsia" w:ascii="宋体" w:hAnsi="宋体" w:cs="Arial"/>
          <w:color w:val="auto"/>
          <w:szCs w:val="21"/>
          <w:highlight w:val="none"/>
        </w:rPr>
        <w:t>评标报价也相同的，由评标委员会以抽签</w:t>
      </w:r>
      <w:r>
        <w:rPr>
          <w:rFonts w:ascii="宋体" w:hAnsi="宋体" w:cs="Arial"/>
          <w:color w:val="auto"/>
          <w:szCs w:val="21"/>
          <w:highlight w:val="none"/>
        </w:rPr>
        <w:t>方式确定</w:t>
      </w:r>
      <w:r>
        <w:rPr>
          <w:rFonts w:hint="eastAsia" w:ascii="宋体" w:hAnsi="宋体" w:cs="Arial"/>
          <w:color w:val="auto"/>
          <w:szCs w:val="21"/>
          <w:highlight w:val="none"/>
        </w:rPr>
        <w:t>中标候选人</w:t>
      </w:r>
      <w:r>
        <w:rPr>
          <w:rFonts w:ascii="宋体" w:hAnsi="宋体" w:cs="Arial"/>
          <w:color w:val="auto"/>
          <w:szCs w:val="21"/>
          <w:highlight w:val="none"/>
        </w:rPr>
        <w:t>，其他同品牌投标人不作为中标候选人。</w:t>
      </w:r>
    </w:p>
    <w:p w14:paraId="1DCE8D3E">
      <w:pPr>
        <w:keepNext w:val="0"/>
        <w:keepLines w:val="0"/>
        <w:pageBreakBefore w:val="0"/>
        <w:tabs>
          <w:tab w:val="left" w:pos="1635"/>
        </w:tabs>
        <w:kinsoku/>
        <w:overflowPunct/>
        <w:topLinePunct w:val="0"/>
        <w:bidi w:val="0"/>
        <w:spacing w:line="360" w:lineRule="auto"/>
        <w:ind w:firstLine="435"/>
        <w:rPr>
          <w:rFonts w:ascii="宋体" w:hAnsi="宋体" w:cs="Arial"/>
          <w:color w:val="auto"/>
          <w:szCs w:val="21"/>
          <w:highlight w:val="none"/>
        </w:rPr>
      </w:pPr>
      <w:r>
        <w:rPr>
          <w:rFonts w:hint="eastAsia" w:ascii="宋体" w:hAnsi="宋体" w:cs="Arial"/>
          <w:color w:val="auto"/>
          <w:szCs w:val="21"/>
          <w:highlight w:val="none"/>
        </w:rPr>
        <w:t>非单一产品采购项目，</w:t>
      </w:r>
      <w:r>
        <w:rPr>
          <w:rFonts w:ascii="宋体" w:hAnsi="宋体" w:cs="Arial"/>
          <w:color w:val="auto"/>
          <w:szCs w:val="21"/>
          <w:highlight w:val="none"/>
        </w:rPr>
        <w:t>多家投标人提供的核心产品品牌相同的，按前款规定处理。</w:t>
      </w:r>
    </w:p>
    <w:p w14:paraId="67148F03">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9.2关联供应商不得参加同一合同项下政府采购活动，否则投标文件将被视为无效：</w:t>
      </w:r>
    </w:p>
    <w:p w14:paraId="65F9B40D">
      <w:pPr>
        <w:keepNext w:val="0"/>
        <w:keepLines w:val="0"/>
        <w:pageBreakBefore w:val="0"/>
        <w:tabs>
          <w:tab w:val="left" w:pos="163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20B08658">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20492FDD">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6B4BB55D">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9.3投标人必须仔细阅读招标文件的所有内容，按照招标文件的要求提交投标文件，并对所提供的全部资料的真实性承担法律责任。</w:t>
      </w:r>
    </w:p>
    <w:p w14:paraId="0C16600C">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3023E8C0">
      <w:pPr>
        <w:keepNext w:val="0"/>
        <w:keepLines w:val="0"/>
        <w:pageBreakBefore w:val="0"/>
        <w:tabs>
          <w:tab w:val="left" w:pos="2190"/>
        </w:tabs>
        <w:kinsoku/>
        <w:overflowPunct/>
        <w:topLinePunct w:val="0"/>
        <w:bidi w:val="0"/>
        <w:spacing w:line="360" w:lineRule="auto"/>
        <w:ind w:firstLine="413" w:firstLineChars="196"/>
        <w:rPr>
          <w:rFonts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3DA11C48">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4E285D11">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6FCD4A64">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445537C2">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w:t>
      </w:r>
      <w:r>
        <w:rPr>
          <w:rFonts w:hint="eastAsia" w:ascii="宋体" w:hAnsi="宋体"/>
          <w:color w:val="auto"/>
          <w:szCs w:val="21"/>
          <w:highlight w:val="none"/>
          <w:lang w:val="en-US" w:eastAsia="zh-CN"/>
        </w:rPr>
        <w:t>资源县</w:t>
      </w:r>
      <w:r>
        <w:rPr>
          <w:rFonts w:hint="eastAsia" w:ascii="宋体" w:hAnsi="宋体"/>
          <w:color w:val="auto"/>
          <w:szCs w:val="21"/>
          <w:highlight w:val="none"/>
        </w:rPr>
        <w:t>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0508D0CB">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10AAE2D3">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77C4B72E">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1A5BF5CC">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6DBA06D9">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53BC26C8">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79CE8B99">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5FB8EA27">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62AEBD92">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4EB0FCC6">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接收质疑函方式：以书面形式</w:t>
      </w:r>
    </w:p>
    <w:p w14:paraId="062F7FAB">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质疑联系部门及联系方式：</w:t>
      </w:r>
      <w:r>
        <w:rPr>
          <w:rFonts w:hint="eastAsia" w:ascii="宋体" w:hAnsi="宋体"/>
          <w:color w:val="auto"/>
          <w:szCs w:val="21"/>
          <w:highlight w:val="none"/>
          <w:lang w:eastAsia="zh-CN"/>
        </w:rPr>
        <w:t>广西昶吉工程项目管理有限公司</w:t>
      </w:r>
      <w:r>
        <w:rPr>
          <w:rFonts w:hint="eastAsia" w:ascii="宋体" w:hAnsi="宋体"/>
          <w:color w:val="auto"/>
          <w:szCs w:val="21"/>
          <w:highlight w:val="none"/>
        </w:rPr>
        <w:t>，联系人：</w:t>
      </w:r>
      <w:r>
        <w:rPr>
          <w:rFonts w:hint="eastAsia" w:ascii="宋体" w:hAnsi="宋体"/>
          <w:color w:val="auto"/>
          <w:szCs w:val="21"/>
          <w:highlight w:val="none"/>
          <w:lang w:val="en-US" w:eastAsia="zh-CN"/>
        </w:rPr>
        <w:t>周工</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w:t>
      </w:r>
      <w:r>
        <w:rPr>
          <w:rFonts w:hint="eastAsia" w:ascii="宋体" w:hAnsi="宋体"/>
          <w:color w:val="auto"/>
          <w:szCs w:val="21"/>
          <w:highlight w:val="none"/>
          <w:lang w:eastAsia="zh-CN"/>
        </w:rPr>
        <w:t>2534755</w:t>
      </w:r>
      <w:r>
        <w:rPr>
          <w:rFonts w:hint="eastAsia" w:ascii="宋体" w:hAnsi="宋体"/>
          <w:color w:val="auto"/>
          <w:szCs w:val="21"/>
          <w:highlight w:val="none"/>
        </w:rPr>
        <w:t>。</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olor w:val="auto"/>
          <w:highlight w:val="none"/>
          <w:lang w:val="en-US" w:eastAsia="zh-CN"/>
        </w:rPr>
        <w:t>桂林市七星区莫家里二路文化楼二楼</w:t>
      </w:r>
      <w:r>
        <w:rPr>
          <w:rFonts w:hint="eastAsia" w:ascii="宋体" w:hAnsi="宋体"/>
          <w:color w:val="auto"/>
          <w:szCs w:val="21"/>
          <w:highlight w:val="none"/>
        </w:rPr>
        <w:t>。</w:t>
      </w:r>
    </w:p>
    <w:p w14:paraId="184719C7">
      <w:pPr>
        <w:keepNext w:val="0"/>
        <w:keepLines w:val="0"/>
        <w:pageBreakBefore w:val="0"/>
        <w:tabs>
          <w:tab w:val="left" w:pos="2190"/>
        </w:tabs>
        <w:kinsoku/>
        <w:overflowPunct/>
        <w:topLinePunct w:val="0"/>
        <w:bidi w:val="0"/>
        <w:spacing w:line="360" w:lineRule="auto"/>
        <w:ind w:firstLine="435"/>
        <w:jc w:val="center"/>
        <w:rPr>
          <w:rFonts w:ascii="宋体" w:hAnsi="宋体"/>
          <w:b/>
          <w:color w:val="auto"/>
          <w:sz w:val="28"/>
          <w:szCs w:val="28"/>
          <w:highlight w:val="none"/>
        </w:rPr>
      </w:pPr>
    </w:p>
    <w:p w14:paraId="66ABBCF9">
      <w:pPr>
        <w:keepNext w:val="0"/>
        <w:keepLines w:val="0"/>
        <w:pageBreakBefore w:val="0"/>
        <w:tabs>
          <w:tab w:val="left" w:pos="2190"/>
        </w:tabs>
        <w:kinsoku/>
        <w:overflowPunct/>
        <w:topLinePunct w:val="0"/>
        <w:bidi w:val="0"/>
        <w:spacing w:line="360" w:lineRule="auto"/>
        <w:ind w:firstLine="435"/>
        <w:jc w:val="center"/>
        <w:rPr>
          <w:rFonts w:ascii="宋体" w:hAnsi="宋体"/>
          <w:b/>
          <w:color w:val="auto"/>
          <w:sz w:val="28"/>
          <w:szCs w:val="28"/>
          <w:highlight w:val="none"/>
        </w:rPr>
      </w:pPr>
      <w:r>
        <w:rPr>
          <w:rFonts w:hint="eastAsia" w:ascii="宋体" w:hAnsi="宋体"/>
          <w:b/>
          <w:color w:val="auto"/>
          <w:sz w:val="28"/>
          <w:szCs w:val="28"/>
          <w:highlight w:val="none"/>
        </w:rPr>
        <w:t>二、招标文件</w:t>
      </w:r>
    </w:p>
    <w:p w14:paraId="59E9A076">
      <w:pPr>
        <w:keepNext w:val="0"/>
        <w:keepLines w:val="0"/>
        <w:pageBreakBefore w:val="0"/>
        <w:tabs>
          <w:tab w:val="left" w:pos="2190"/>
        </w:tabs>
        <w:kinsoku/>
        <w:overflowPunct/>
        <w:topLinePunct w:val="0"/>
        <w:bidi w:val="0"/>
        <w:spacing w:line="360" w:lineRule="auto"/>
        <w:ind w:firstLine="437"/>
        <w:rPr>
          <w:rFonts w:ascii="宋体" w:hAnsi="宋体"/>
          <w:b/>
          <w:color w:val="auto"/>
          <w:szCs w:val="21"/>
          <w:highlight w:val="none"/>
        </w:rPr>
      </w:pPr>
      <w:r>
        <w:rPr>
          <w:rFonts w:hint="eastAsia" w:ascii="宋体" w:hAnsi="宋体"/>
          <w:b/>
          <w:color w:val="auto"/>
          <w:szCs w:val="21"/>
          <w:highlight w:val="none"/>
        </w:rPr>
        <w:t>11. 招标文件的构成</w:t>
      </w:r>
    </w:p>
    <w:p w14:paraId="0D056DA6">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（1）招标公告；</w:t>
      </w:r>
    </w:p>
    <w:p w14:paraId="17676BF9">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（2）投标人须知；</w:t>
      </w:r>
    </w:p>
    <w:p w14:paraId="4C7452C4">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（3）采购需求；</w:t>
      </w:r>
    </w:p>
    <w:p w14:paraId="3D05DFA1">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（4）评标办法；</w:t>
      </w:r>
    </w:p>
    <w:p w14:paraId="70ECA998">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（5）政府采购合同（合同主要条款及格式）；</w:t>
      </w:r>
    </w:p>
    <w:p w14:paraId="0C5928E0">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（6）投标文件（格式）。</w:t>
      </w:r>
    </w:p>
    <w:p w14:paraId="611B60E6">
      <w:pPr>
        <w:keepNext w:val="0"/>
        <w:keepLines w:val="0"/>
        <w:pageBreakBefore w:val="0"/>
        <w:tabs>
          <w:tab w:val="left" w:pos="2190"/>
        </w:tabs>
        <w:kinsoku/>
        <w:overflowPunct/>
        <w:topLinePunct w:val="0"/>
        <w:bidi w:val="0"/>
        <w:spacing w:line="360" w:lineRule="auto"/>
        <w:ind w:firstLine="437"/>
        <w:rPr>
          <w:rFonts w:ascii="宋体" w:hAnsi="宋体"/>
          <w:b/>
          <w:color w:val="auto"/>
          <w:szCs w:val="21"/>
          <w:highlight w:val="none"/>
        </w:rPr>
      </w:pPr>
      <w:r>
        <w:rPr>
          <w:rFonts w:hint="eastAsia" w:ascii="宋体" w:hAnsi="宋体"/>
          <w:b/>
          <w:color w:val="auto"/>
          <w:szCs w:val="21"/>
          <w:highlight w:val="none"/>
        </w:rPr>
        <w:t>12. 招标文件的澄清与修改</w:t>
      </w:r>
    </w:p>
    <w:p w14:paraId="60DD56C1">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12.1投标人必须认真阅读招标文件，发现其中有误或有不合理要求的，投标人必须在本项目公告期限届满之日起七个工作日内以书面形式要求采购代理机构澄清。</w:t>
      </w:r>
    </w:p>
    <w:p w14:paraId="7D945FD6">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16FB59F2">
      <w:pPr>
        <w:keepNext w:val="0"/>
        <w:keepLines w:val="0"/>
        <w:pageBreakBefore w:val="0"/>
        <w:tabs>
          <w:tab w:val="left" w:pos="2190"/>
        </w:tabs>
        <w:kinsoku/>
        <w:overflowPunct/>
        <w:topLinePunct w:val="0"/>
        <w:bidi w:val="0"/>
        <w:spacing w:line="360" w:lineRule="auto"/>
        <w:ind w:firstLine="437"/>
        <w:rPr>
          <w:rFonts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5580C0DF">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7A58F570">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3627790F">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02BD994F">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p>
    <w:p w14:paraId="50157C21">
      <w:pPr>
        <w:keepNext w:val="0"/>
        <w:keepLines w:val="0"/>
        <w:pageBreakBefore w:val="0"/>
        <w:tabs>
          <w:tab w:val="left" w:pos="2190"/>
        </w:tabs>
        <w:kinsoku/>
        <w:overflowPunct/>
        <w:topLinePunct w:val="0"/>
        <w:bidi w:val="0"/>
        <w:spacing w:line="360" w:lineRule="auto"/>
        <w:ind w:firstLine="435"/>
        <w:jc w:val="center"/>
        <w:rPr>
          <w:rFonts w:ascii="宋体" w:hAnsi="宋体"/>
          <w:b/>
          <w:color w:val="auto"/>
          <w:sz w:val="28"/>
          <w:szCs w:val="28"/>
          <w:highlight w:val="none"/>
        </w:rPr>
      </w:pPr>
      <w:r>
        <w:rPr>
          <w:rFonts w:hint="eastAsia" w:ascii="宋体" w:hAnsi="宋体"/>
          <w:b/>
          <w:color w:val="auto"/>
          <w:sz w:val="28"/>
          <w:szCs w:val="28"/>
          <w:highlight w:val="none"/>
        </w:rPr>
        <w:t>三、投标文件的编制</w:t>
      </w:r>
    </w:p>
    <w:p w14:paraId="048EA519">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13. 投标文件的组成及要求</w:t>
      </w:r>
    </w:p>
    <w:p w14:paraId="30FFE740">
      <w:pPr>
        <w:keepNext w:val="0"/>
        <w:keepLines w:val="0"/>
        <w:pageBreakBefore w:val="0"/>
        <w:tabs>
          <w:tab w:val="left" w:pos="2190"/>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4592090F">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13.1.1资格性响应证明材料：</w:t>
      </w:r>
    </w:p>
    <w:p w14:paraId="4B5348B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（1）</w:t>
      </w:r>
      <w:r>
        <w:rPr>
          <w:rFonts w:hint="eastAsia" w:hAnsi="宋体"/>
          <w:b w:val="0"/>
          <w:bCs/>
          <w:color w:val="auto"/>
          <w:highlight w:val="none"/>
          <w:lang w:val="en-US" w:eastAsia="zh-CN"/>
        </w:rPr>
        <w:t>投标人</w:t>
      </w:r>
      <w:r>
        <w:rPr>
          <w:rFonts w:hint="eastAsia" w:hAnsi="宋体"/>
          <w:b w:val="0"/>
          <w:bCs/>
          <w:color w:val="auto"/>
          <w:highlight w:val="none"/>
        </w:rPr>
        <w:t>相应的法定代表人、负责人、自然人身份证正反两面复印件或扫描件（必须提供）；</w:t>
      </w:r>
    </w:p>
    <w:p w14:paraId="7FEF3308">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（2）</w:t>
      </w:r>
      <w:r>
        <w:rPr>
          <w:rFonts w:hint="eastAsia" w:hAnsi="宋体"/>
          <w:b w:val="0"/>
          <w:bCs/>
          <w:color w:val="auto"/>
          <w:highlight w:val="none"/>
          <w:lang w:val="en-US" w:eastAsia="zh-CN"/>
        </w:rPr>
        <w:t>投标人</w:t>
      </w:r>
      <w:r>
        <w:rPr>
          <w:rFonts w:hint="eastAsia" w:hAnsi="宋体"/>
          <w:b w:val="0"/>
          <w:bCs/>
          <w:color w:val="auto"/>
          <w:highlight w:val="none"/>
        </w:rPr>
        <w:t>的授权委托书原件、委托代理人身份证正反面复印件或扫描件以及由县级以上（含县级）社会养老保险经办机构出具的供应商为委托代理人交纳的响应文件递交截止时间前半年内任意1个月养老保险证明复印件或扫描件，除供应商为以下三种情形的：</w:t>
      </w:r>
    </w:p>
    <w:p w14:paraId="5BD0616E">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①如</w:t>
      </w:r>
      <w:r>
        <w:rPr>
          <w:rFonts w:hint="eastAsia" w:hAnsi="宋体"/>
          <w:b w:val="0"/>
          <w:bCs/>
          <w:color w:val="auto"/>
          <w:highlight w:val="none"/>
          <w:lang w:val="en-US" w:eastAsia="zh-CN"/>
        </w:rPr>
        <w:t>投标人</w:t>
      </w:r>
      <w:r>
        <w:rPr>
          <w:rFonts w:hint="eastAsia" w:hAnsi="宋体"/>
          <w:b w:val="0"/>
          <w:bCs/>
          <w:color w:val="auto"/>
          <w:highlight w:val="none"/>
        </w:rPr>
        <w:t>为截标时间前60日以内成立的公司，可以提供供应商与委托代理人签订的劳动合同复印件或扫描件代替养老保险证明复印件或扫描件；</w:t>
      </w:r>
    </w:p>
    <w:p w14:paraId="65A983DC">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②如</w:t>
      </w:r>
      <w:r>
        <w:rPr>
          <w:rFonts w:hint="eastAsia" w:hAnsi="宋体"/>
          <w:b w:val="0"/>
          <w:bCs/>
          <w:color w:val="auto"/>
          <w:highlight w:val="none"/>
          <w:lang w:val="en-US" w:eastAsia="zh-CN"/>
        </w:rPr>
        <w:t>投标人</w:t>
      </w:r>
      <w:r>
        <w:rPr>
          <w:rFonts w:hint="eastAsia" w:hAnsi="宋体"/>
          <w:b w:val="0"/>
          <w:bCs/>
          <w:color w:val="auto"/>
          <w:highlight w:val="none"/>
        </w:rPr>
        <w:t>为事业单位，可以提供事业单位机构编制管理证复印件或扫描件或事业单位机构为其发放工资的工资条复印件或扫描件代替养老保险证明复印件或扫描件；</w:t>
      </w:r>
    </w:p>
    <w:p w14:paraId="6DFA8623">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③如委托代理人为免缴纳养老保险人员，提供免缴纳养老保险的证明材料复印件或扫描件及供应商与委托代理人签订的劳动合同复印件或扫描件代替养老保险证明复印件或扫描件。</w:t>
      </w:r>
    </w:p>
    <w:p w14:paraId="13770785">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【属自然人的应提供由县级以上（含县级）社会养老保险经办机构出具的自然人本人及委托代理人所交纳的响应文件递交截止时间前半年内任意1个月养老保险证明复印件或扫描件】（委托代理时必须提供）；</w:t>
      </w:r>
    </w:p>
    <w:p w14:paraId="3CD75403">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（3）</w:t>
      </w:r>
      <w:r>
        <w:rPr>
          <w:rFonts w:hint="eastAsia" w:hAnsi="宋体"/>
          <w:b w:val="0"/>
          <w:bCs/>
          <w:color w:val="auto"/>
          <w:highlight w:val="none"/>
          <w:lang w:val="en-US" w:eastAsia="zh-CN"/>
        </w:rPr>
        <w:t>投标人</w:t>
      </w:r>
      <w:r>
        <w:rPr>
          <w:rFonts w:hint="eastAsia" w:hAnsi="宋体"/>
          <w:b w:val="0"/>
          <w:bCs/>
          <w:color w:val="auto"/>
          <w:highlight w:val="none"/>
        </w:rPr>
        <w:t>参加政府采购活动前3年内在经营活动中没有重大违法记录及有关信用信息的书面声明（必须提供）；</w:t>
      </w:r>
    </w:p>
    <w:p w14:paraId="6695404A">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（4）</w:t>
      </w:r>
      <w:r>
        <w:rPr>
          <w:rFonts w:hint="eastAsia" w:hAnsi="宋体"/>
          <w:b w:val="0"/>
          <w:bCs/>
          <w:color w:val="auto"/>
          <w:highlight w:val="none"/>
          <w:lang w:val="en-US" w:eastAsia="zh-CN"/>
        </w:rPr>
        <w:t>投标人</w:t>
      </w:r>
      <w:r>
        <w:rPr>
          <w:rFonts w:hint="eastAsia" w:hAnsi="宋体"/>
          <w:b w:val="0"/>
          <w:bCs/>
          <w:color w:val="auto"/>
          <w:highlight w:val="none"/>
        </w:rPr>
        <w:t>的法人或者其他组织营业执照等证明文件复印件或扫描件（必须提供，自然人除外）；</w:t>
      </w:r>
    </w:p>
    <w:p w14:paraId="76C6402D">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hAnsi="宋体"/>
          <w:b w:val="0"/>
          <w:bCs/>
          <w:color w:val="auto"/>
          <w:highlight w:val="none"/>
          <w:lang w:val="en-US" w:eastAsia="zh-CN"/>
        </w:rPr>
        <w:t>投标人</w:t>
      </w:r>
      <w:r>
        <w:rPr>
          <w:rFonts w:hint="eastAsia" w:hAnsi="宋体"/>
          <w:b w:val="0"/>
          <w:bCs/>
          <w:color w:val="auto"/>
          <w:highlight w:val="none"/>
        </w:rPr>
        <w:t>为事业单位，应提供有效的“事业单位法人证书”；</w:t>
      </w:r>
      <w:r>
        <w:rPr>
          <w:rFonts w:hint="eastAsia" w:hAnsi="宋体"/>
          <w:b w:val="0"/>
          <w:bCs/>
          <w:color w:val="auto"/>
          <w:highlight w:val="none"/>
          <w:lang w:val="en-US" w:eastAsia="zh-CN"/>
        </w:rPr>
        <w:t>投标人</w:t>
      </w:r>
      <w:r>
        <w:rPr>
          <w:rFonts w:hint="eastAsia" w:hAnsi="宋体"/>
          <w:b w:val="0"/>
          <w:bCs/>
          <w:color w:val="auto"/>
          <w:highlight w:val="none"/>
        </w:rPr>
        <w:t>为非企业专业服务机构的，应提供执业许可证等证明文件；</w:t>
      </w:r>
      <w:r>
        <w:rPr>
          <w:rFonts w:hint="eastAsia" w:hAnsi="宋体"/>
          <w:b w:val="0"/>
          <w:bCs/>
          <w:color w:val="auto"/>
          <w:highlight w:val="none"/>
          <w:lang w:val="en-US" w:eastAsia="zh-CN"/>
        </w:rPr>
        <w:t>投标人</w:t>
      </w:r>
      <w:r>
        <w:rPr>
          <w:rFonts w:hint="eastAsia" w:hAnsi="宋体"/>
          <w:b w:val="0"/>
          <w:bCs/>
          <w:color w:val="auto"/>
          <w:highlight w:val="none"/>
        </w:rPr>
        <w:t>为个体工商户，应提供有效的“个体工商户营业执照”。</w:t>
      </w:r>
    </w:p>
    <w:p w14:paraId="5E53F381">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（5）</w:t>
      </w:r>
      <w:r>
        <w:rPr>
          <w:rFonts w:hint="eastAsia" w:hAnsi="宋体"/>
          <w:b w:val="0"/>
          <w:bCs/>
          <w:color w:val="auto"/>
          <w:highlight w:val="none"/>
          <w:lang w:val="en-US" w:eastAsia="zh-CN"/>
        </w:rPr>
        <w:t>投标人</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5</w:t>
      </w:r>
      <w:r>
        <w:rPr>
          <w:rFonts w:hint="eastAsia" w:hAnsi="宋体"/>
          <w:b w:val="0"/>
          <w:bCs/>
          <w:color w:val="auto"/>
          <w:highlight w:val="none"/>
        </w:rPr>
        <w:t>月至</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10</w:t>
      </w:r>
      <w:r>
        <w:rPr>
          <w:rFonts w:hint="eastAsia" w:hAnsi="宋体"/>
          <w:b w:val="0"/>
          <w:bCs/>
          <w:color w:val="auto"/>
          <w:highlight w:val="none"/>
        </w:rPr>
        <w:t>月任意一个月或任一季度依法缴纳税收的证明材料【增值税发票(税收完税证明)或企业所得税完税证明或税务部门出具的无欠税证明或免税证明】复印件或扫描件（必须提供）；</w:t>
      </w:r>
    </w:p>
    <w:p w14:paraId="3A194AC5">
      <w:pPr>
        <w:keepNext w:val="0"/>
        <w:keepLines w:val="0"/>
        <w:pageBreakBefore w:val="0"/>
        <w:kinsoku/>
        <w:overflowPunct/>
        <w:topLinePunct w:val="0"/>
        <w:autoSpaceDE w:val="0"/>
        <w:autoSpaceDN w:val="0"/>
        <w:bidi w:val="0"/>
        <w:snapToGrid w:val="0"/>
        <w:spacing w:line="360" w:lineRule="auto"/>
        <w:ind w:firstLine="411" w:firstLineChars="196"/>
        <w:jc w:val="left"/>
        <w:rPr>
          <w:rFonts w:hint="default" w:hAnsi="宋体"/>
          <w:b w:val="0"/>
          <w:bCs/>
          <w:color w:val="auto"/>
          <w:highlight w:val="none"/>
          <w:lang w:val="en-US"/>
        </w:rPr>
      </w:pPr>
      <w:r>
        <w:rPr>
          <w:rFonts w:hint="eastAsia" w:hAnsi="宋体"/>
          <w:b w:val="0"/>
          <w:bCs/>
          <w:color w:val="auto"/>
          <w:highlight w:val="none"/>
        </w:rPr>
        <w:t>（6）</w:t>
      </w:r>
      <w:r>
        <w:rPr>
          <w:rFonts w:hint="eastAsia" w:hAnsi="宋体"/>
          <w:b w:val="0"/>
          <w:bCs/>
          <w:color w:val="auto"/>
          <w:highlight w:val="none"/>
          <w:lang w:val="en-US" w:eastAsia="zh-CN"/>
        </w:rPr>
        <w:t>投标人</w:t>
      </w:r>
      <w:r>
        <w:rPr>
          <w:rFonts w:hint="eastAsia" w:hAnsi="宋体"/>
          <w:b w:val="0"/>
          <w:bCs/>
          <w:color w:val="auto"/>
          <w:highlight w:val="none"/>
          <w:lang w:eastAsia="zh-CN"/>
        </w:rPr>
        <w:t>2024年度的财务状况报告（可以是</w:t>
      </w:r>
      <w:r>
        <w:rPr>
          <w:rFonts w:hint="eastAsia" w:hAnsi="宋体"/>
          <w:b w:val="0"/>
          <w:bCs/>
          <w:color w:val="auto"/>
          <w:highlight w:val="none"/>
          <w:lang w:val="en-US" w:eastAsia="zh-CN"/>
        </w:rPr>
        <w:t>投标人</w:t>
      </w:r>
      <w:r>
        <w:rPr>
          <w:rFonts w:hint="eastAsia" w:hAnsi="宋体"/>
          <w:b w:val="0"/>
          <w:bCs/>
          <w:color w:val="auto"/>
          <w:highlight w:val="none"/>
          <w:lang w:eastAsia="zh-CN"/>
        </w:rPr>
        <w:t>自行编制也可是通过第三方审计公司编制，如为自行编制至少须提供现金流量表、负债表及利润表）或 2025 年以来银行出具的资信证明或 2025 年以来中国人民银行征信中心出具的征信报告（必须提供）</w:t>
      </w:r>
      <w:r>
        <w:rPr>
          <w:rFonts w:hint="eastAsia" w:hAnsi="宋体"/>
          <w:b w:val="0"/>
          <w:bCs/>
          <w:color w:val="auto"/>
          <w:highlight w:val="none"/>
          <w:lang w:val="en-US" w:eastAsia="zh-CN"/>
        </w:rPr>
        <w:t>；</w:t>
      </w:r>
    </w:p>
    <w:p w14:paraId="1B97AB4D">
      <w:pPr>
        <w:keepNext w:val="0"/>
        <w:keepLines w:val="0"/>
        <w:pageBreakBefore w:val="0"/>
        <w:numPr>
          <w:ilvl w:val="0"/>
          <w:numId w:val="0"/>
        </w:numPr>
        <w:tabs>
          <w:tab w:val="left" w:pos="1305"/>
        </w:tabs>
        <w:kinsoku/>
        <w:overflowPunct/>
        <w:topLinePunct w:val="0"/>
        <w:bidi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7）</w:t>
      </w:r>
      <w:r>
        <w:rPr>
          <w:rFonts w:hint="eastAsia" w:ascii="宋体" w:hAnsi="宋体"/>
          <w:b w:val="0"/>
          <w:bCs/>
          <w:color w:val="auto"/>
          <w:szCs w:val="21"/>
          <w:highlight w:val="none"/>
        </w:rPr>
        <w:t>投标人参加本项目无围标串标行为的承诺函（必须提供）。</w:t>
      </w:r>
    </w:p>
    <w:p w14:paraId="07DA0FAB">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13.1.2商务、技术性响应证明材料：</w:t>
      </w:r>
    </w:p>
    <w:p w14:paraId="2CBA5522">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color w:val="auto"/>
          <w:szCs w:val="21"/>
          <w:highlight w:val="none"/>
        </w:rPr>
        <w:t>（</w:t>
      </w:r>
      <w:r>
        <w:rPr>
          <w:rFonts w:hint="eastAsia" w:ascii="宋体" w:hAnsi="宋体"/>
          <w:b w:val="0"/>
          <w:bCs/>
          <w:color w:val="auto"/>
          <w:szCs w:val="21"/>
          <w:highlight w:val="none"/>
        </w:rPr>
        <w:t>1）投标函（必须提供）；</w:t>
      </w:r>
    </w:p>
    <w:p w14:paraId="50E405D6">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val="0"/>
          <w:bCs/>
          <w:color w:val="auto"/>
          <w:szCs w:val="21"/>
          <w:highlight w:val="none"/>
        </w:rPr>
        <w:t>（2）投标报价表（必须提供）；</w:t>
      </w:r>
    </w:p>
    <w:p w14:paraId="7D14E1E4">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（3）技术偏离表（必须提供）；</w:t>
      </w:r>
    </w:p>
    <w:p w14:paraId="6D9AAF9A">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（4）商务响应表（必须提供）；</w:t>
      </w:r>
    </w:p>
    <w:p w14:paraId="62961BA9">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ascii="宋体" w:hAnsi="宋体"/>
          <w:b w:val="0"/>
          <w:bCs/>
          <w:color w:val="auto"/>
          <w:szCs w:val="21"/>
          <w:highlight w:val="none"/>
        </w:rPr>
        <w:t>（5）“采购需求”中要求必须提供的有效证明文件（“采购需求”中要求必须提供的，必须提供）。</w:t>
      </w:r>
    </w:p>
    <w:p w14:paraId="72C15B81">
      <w:pPr>
        <w:keepNext w:val="0"/>
        <w:keepLines w:val="0"/>
        <w:pageBreakBefore w:val="0"/>
        <w:tabs>
          <w:tab w:val="left" w:pos="1305"/>
        </w:tabs>
        <w:kinsoku/>
        <w:overflowPunct/>
        <w:topLinePunct w:val="0"/>
        <w:bidi w:val="0"/>
        <w:spacing w:line="360" w:lineRule="auto"/>
        <w:ind w:firstLine="420" w:firstLineChars="200"/>
        <w:rPr>
          <w:rFonts w:hint="eastAsia" w:ascii="宋体" w:hAnsi="宋体"/>
          <w:b w:val="0"/>
          <w:bCs/>
          <w:color w:val="auto"/>
          <w:highlight w:val="none"/>
        </w:rPr>
      </w:pPr>
      <w:r>
        <w:rPr>
          <w:rFonts w:hint="eastAsia" w:ascii="宋体" w:hAnsi="宋体"/>
          <w:b w:val="0"/>
          <w:bCs/>
          <w:color w:val="auto"/>
          <w:highlight w:val="none"/>
        </w:rPr>
        <w:t>（6）</w:t>
      </w:r>
      <w:r>
        <w:rPr>
          <w:rFonts w:hint="eastAsia" w:ascii="宋体" w:hAnsi="宋体" w:eastAsia="宋体" w:cs="宋体"/>
          <w:b w:val="0"/>
          <w:bCs/>
          <w:color w:val="auto"/>
          <w:sz w:val="21"/>
          <w:szCs w:val="21"/>
          <w:highlight w:val="none"/>
          <w:lang w:val="en-US" w:eastAsia="zh-CN"/>
        </w:rPr>
        <w:t>项目</w:t>
      </w:r>
      <w:r>
        <w:rPr>
          <w:rFonts w:hint="eastAsia" w:ascii="宋体" w:hAnsi="宋体" w:eastAsia="宋体" w:cs="宋体"/>
          <w:b w:val="0"/>
          <w:bCs/>
          <w:color w:val="auto"/>
          <w:sz w:val="21"/>
          <w:szCs w:val="21"/>
          <w:highlight w:val="none"/>
        </w:rPr>
        <w:t>实施方案</w:t>
      </w:r>
      <w:r>
        <w:rPr>
          <w:rFonts w:hint="eastAsia" w:hAnsi="宋体"/>
          <w:b w:val="0"/>
          <w:bCs/>
          <w:color w:val="auto"/>
          <w:szCs w:val="21"/>
          <w:highlight w:val="none"/>
        </w:rPr>
        <w:t>（如有，请提供）；</w:t>
      </w:r>
    </w:p>
    <w:p w14:paraId="0CC32480">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hAnsi="宋体"/>
          <w:b w:val="0"/>
          <w:bCs/>
          <w:color w:val="auto"/>
          <w:szCs w:val="21"/>
          <w:highlight w:val="none"/>
          <w:lang w:eastAsia="zh-CN"/>
        </w:rPr>
        <w:t>（</w:t>
      </w:r>
      <w:r>
        <w:rPr>
          <w:rFonts w:hint="eastAsia" w:hAnsi="宋体"/>
          <w:b w:val="0"/>
          <w:bCs/>
          <w:color w:val="auto"/>
          <w:szCs w:val="21"/>
          <w:highlight w:val="none"/>
          <w:lang w:val="en-US" w:eastAsia="zh-CN"/>
        </w:rPr>
        <w:t>7）</w:t>
      </w:r>
      <w:r>
        <w:rPr>
          <w:rFonts w:hint="eastAsia" w:hAnsi="宋体"/>
          <w:b w:val="0"/>
          <w:bCs/>
          <w:color w:val="auto"/>
          <w:szCs w:val="21"/>
          <w:highlight w:val="none"/>
        </w:rPr>
        <w:t>配送及安装实施方案（如有，请提供）；</w:t>
      </w:r>
    </w:p>
    <w:p w14:paraId="07E777FC">
      <w:pPr>
        <w:keepNext w:val="0"/>
        <w:keepLines w:val="0"/>
        <w:pageBreakBefore w:val="0"/>
        <w:tabs>
          <w:tab w:val="left" w:pos="1305"/>
        </w:tabs>
        <w:kinsoku/>
        <w:overflowPunct/>
        <w:topLinePunct w:val="0"/>
        <w:bidi w:val="0"/>
        <w:spacing w:line="360" w:lineRule="auto"/>
        <w:ind w:firstLine="420" w:firstLineChars="200"/>
        <w:rPr>
          <w:rFonts w:hAnsi="宋体"/>
          <w:b w:val="0"/>
          <w:bCs/>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hAnsi="宋体"/>
          <w:color w:val="auto"/>
          <w:szCs w:val="21"/>
          <w:highlight w:val="none"/>
        </w:rPr>
        <w:t>售后服务方案</w:t>
      </w:r>
      <w:r>
        <w:rPr>
          <w:rFonts w:hint="eastAsia" w:hAnsi="宋体"/>
          <w:b w:val="0"/>
          <w:bCs/>
          <w:color w:val="auto"/>
          <w:szCs w:val="21"/>
          <w:highlight w:val="none"/>
        </w:rPr>
        <w:t>（如有，请提供）；</w:t>
      </w:r>
    </w:p>
    <w:p w14:paraId="7454555B">
      <w:pPr>
        <w:keepNext w:val="0"/>
        <w:keepLines w:val="0"/>
        <w:pageBreakBefore w:val="0"/>
        <w:kinsoku/>
        <w:overflowPunct/>
        <w:topLinePunct w:val="0"/>
        <w:bidi w:val="0"/>
        <w:snapToGrid w:val="0"/>
        <w:spacing w:line="360" w:lineRule="auto"/>
        <w:ind w:firstLine="420" w:firstLineChars="200"/>
        <w:outlineLvl w:val="4"/>
        <w:rPr>
          <w:rFonts w:ascii="宋体" w:hAnsi="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9</w:t>
      </w:r>
      <w:r>
        <w:rPr>
          <w:rFonts w:hint="eastAsia" w:ascii="宋体" w:hAnsi="宋体"/>
          <w:b w:val="0"/>
          <w:bCs/>
          <w:color w:val="auto"/>
          <w:szCs w:val="20"/>
          <w:highlight w:val="none"/>
        </w:rPr>
        <w:t>）“采购需求中”有关</w:t>
      </w:r>
      <w:r>
        <w:rPr>
          <w:rFonts w:hint="eastAsia" w:ascii="宋体" w:hAnsi="宋体"/>
          <w:b w:val="0"/>
          <w:bCs/>
          <w:color w:val="auto"/>
          <w:szCs w:val="21"/>
          <w:highlight w:val="none"/>
        </w:rPr>
        <w:t>履约能力的相关证明材料复印件（如有，请提供）；</w:t>
      </w:r>
    </w:p>
    <w:p w14:paraId="7DA36C32">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10</w:t>
      </w:r>
      <w:r>
        <w:rPr>
          <w:rFonts w:hint="eastAsia" w:ascii="宋体" w:hAnsi="宋体"/>
          <w:b w:val="0"/>
          <w:bCs/>
          <w:color w:val="auto"/>
          <w:szCs w:val="20"/>
          <w:highlight w:val="none"/>
        </w:rPr>
        <w:t>）</w:t>
      </w:r>
      <w:r>
        <w:rPr>
          <w:rFonts w:hint="eastAsia" w:ascii="宋体" w:hAnsi="宋体" w:eastAsia="宋体" w:cs="宋体"/>
          <w:b w:val="0"/>
          <w:bCs/>
          <w:color w:val="auto"/>
          <w:szCs w:val="21"/>
          <w:highlight w:val="none"/>
        </w:rPr>
        <w:t>节能方面证书的相关证明材料（如有，请提供）；</w:t>
      </w:r>
    </w:p>
    <w:p w14:paraId="1682533F">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）环保方面证书的相关证明材料（如有，请提供）；</w:t>
      </w:r>
    </w:p>
    <w:p w14:paraId="0AC6A06E">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）中小企业的相关有效证明材料（</w:t>
      </w:r>
      <w:r>
        <w:rPr>
          <w:rFonts w:hint="eastAsia" w:ascii="宋体" w:hAnsi="宋体" w:eastAsia="宋体" w:cs="宋体"/>
          <w:color w:val="auto"/>
          <w:szCs w:val="21"/>
          <w:highlight w:val="none"/>
        </w:rPr>
        <w:t>如有，请提供</w:t>
      </w:r>
      <w:r>
        <w:rPr>
          <w:rFonts w:hint="eastAsia" w:ascii="宋体" w:hAnsi="宋体"/>
          <w:color w:val="auto"/>
          <w:highlight w:val="none"/>
        </w:rPr>
        <w:t>）；</w:t>
      </w:r>
    </w:p>
    <w:p w14:paraId="6F5391C9">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注：①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5476644B">
      <w:pPr>
        <w:keepNext w:val="0"/>
        <w:keepLines w:val="0"/>
        <w:pageBreakBefore w:val="0"/>
        <w:tabs>
          <w:tab w:val="left" w:pos="1305"/>
        </w:tabs>
        <w:kinsoku/>
        <w:overflowPunct/>
        <w:topLinePunct w:val="0"/>
        <w:bidi w:val="0"/>
        <w:spacing w:line="360" w:lineRule="auto"/>
        <w:ind w:firstLine="420" w:firstLineChars="200"/>
        <w:rPr>
          <w:rFonts w:hint="eastAsia" w:ascii="宋体" w:hAnsi="宋体" w:eastAsia="宋体"/>
          <w:color w:val="auto"/>
          <w:highlight w:val="none"/>
          <w:lang w:eastAsia="zh-CN"/>
        </w:rPr>
      </w:pPr>
      <w:r>
        <w:rPr>
          <w:rFonts w:hint="eastAsia" w:ascii="宋体" w:hAnsi="宋体"/>
          <w:color w:val="auto"/>
          <w:highlight w:val="none"/>
        </w:rPr>
        <w:t>②符合条件的残疾人福利性单位在参加政府采购活动时，提供《残疾人福利性单位声明函》，并对声明的真实性负责（如有，请提供）</w:t>
      </w:r>
      <w:r>
        <w:rPr>
          <w:rFonts w:hint="eastAsia" w:ascii="宋体" w:hAnsi="宋体"/>
          <w:color w:val="auto"/>
          <w:highlight w:val="none"/>
          <w:lang w:eastAsia="zh-CN"/>
        </w:rPr>
        <w:t>。</w:t>
      </w:r>
    </w:p>
    <w:p w14:paraId="44F8EF10">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13）</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17C2CFA1">
      <w:pPr>
        <w:pStyle w:val="26"/>
        <w:keepNext w:val="0"/>
        <w:keepLines w:val="0"/>
        <w:pageBreakBefore w:val="0"/>
        <w:kinsoku/>
        <w:overflowPunct/>
        <w:topLinePunct w:val="0"/>
        <w:bidi w:val="0"/>
        <w:spacing w:line="360" w:lineRule="auto"/>
        <w:ind w:firstLine="422" w:firstLineChars="200"/>
        <w:rPr>
          <w:rFonts w:hAnsi="宋体"/>
          <w:b/>
          <w:color w:val="auto"/>
          <w:szCs w:val="21"/>
          <w:highlight w:val="none"/>
        </w:rPr>
      </w:pPr>
      <w:r>
        <w:rPr>
          <w:rFonts w:hint="eastAsia" w:hAnsi="宋体"/>
          <w:b/>
          <w:color w:val="auto"/>
          <w:szCs w:val="21"/>
          <w:highlight w:val="none"/>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4D0CC869">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0F7E657D">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311EBE78">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14. 投标文件的语言及计量</w:t>
      </w:r>
    </w:p>
    <w:p w14:paraId="6112C130">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8C5923D">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4A80A3A2">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15.投标报价</w:t>
      </w:r>
    </w:p>
    <w:p w14:paraId="009CC094">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lang w:val="en-US" w:eastAsia="zh-CN"/>
        </w:rPr>
        <w:t>1</w:t>
      </w:r>
      <w:r>
        <w:rPr>
          <w:rFonts w:hint="eastAsia" w:ascii="宋体" w:hAnsi="宋体"/>
          <w:b/>
          <w:color w:val="auto"/>
          <w:szCs w:val="21"/>
          <w:highlight w:val="none"/>
        </w:rPr>
        <w:t>5.1投标报价必须按招标文件中第六章“投标文件（格式）”填写。</w:t>
      </w:r>
    </w:p>
    <w:p w14:paraId="1BA5F305">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15.2本项目采购预算金额为</w:t>
      </w:r>
      <w:r>
        <w:rPr>
          <w:rFonts w:hint="eastAsia" w:ascii="宋体" w:hAnsi="宋体" w:eastAsia="宋体" w:cs="宋体"/>
          <w:b/>
          <w:bCs/>
          <w:color w:val="auto"/>
          <w:kern w:val="0"/>
          <w:szCs w:val="21"/>
          <w:highlight w:val="none"/>
          <w:lang w:val="en-US" w:eastAsia="zh-CN"/>
        </w:rPr>
        <w:t>壹佰捌拾壹万伍仟伍佰柒拾元叁角肆分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en-US" w:eastAsia="zh-CN"/>
        </w:rPr>
        <w:t>1815570.34</w:t>
      </w:r>
      <w:r>
        <w:rPr>
          <w:rFonts w:hint="eastAsia" w:ascii="宋体" w:hAnsi="宋体" w:eastAsia="宋体" w:cs="宋体"/>
          <w:b/>
          <w:bCs/>
          <w:color w:val="auto"/>
          <w:kern w:val="0"/>
          <w:szCs w:val="21"/>
          <w:highlight w:val="none"/>
        </w:rPr>
        <w:t>）</w:t>
      </w:r>
      <w:r>
        <w:rPr>
          <w:rFonts w:hint="eastAsia" w:ascii="宋体" w:hAnsi="宋体"/>
          <w:b/>
          <w:color w:val="auto"/>
          <w:szCs w:val="21"/>
          <w:highlight w:val="none"/>
          <w:lang w:eastAsia="zh-CN"/>
        </w:rPr>
        <w:t>。</w:t>
      </w:r>
      <w:r>
        <w:rPr>
          <w:rFonts w:hint="eastAsia" w:ascii="宋体" w:hAnsi="宋体"/>
          <w:b/>
          <w:color w:val="auto"/>
          <w:szCs w:val="21"/>
          <w:highlight w:val="none"/>
        </w:rPr>
        <w:t>投标人的投标报价超过</w:t>
      </w:r>
      <w:r>
        <w:rPr>
          <w:rFonts w:hint="eastAsia" w:ascii="宋体" w:hAnsi="宋体"/>
          <w:b/>
          <w:color w:val="auto"/>
          <w:szCs w:val="21"/>
          <w:highlight w:val="none"/>
          <w:lang w:val="en-US" w:eastAsia="zh-CN"/>
        </w:rPr>
        <w:t>采购预算</w:t>
      </w:r>
      <w:r>
        <w:rPr>
          <w:rFonts w:hint="eastAsia" w:ascii="宋体" w:hAnsi="宋体"/>
          <w:b/>
          <w:color w:val="auto"/>
          <w:szCs w:val="21"/>
          <w:highlight w:val="none"/>
        </w:rPr>
        <w:t>的，投标文件按无效处理。</w:t>
      </w:r>
    </w:p>
    <w:p w14:paraId="1987B89E">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p w14:paraId="6398B4F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15.4投标报价：投标报价包括招标范围内货物货款、货物标准附件、备品备件、专用工具、包装、运输、装卸、保险、税金、货到就位以及安装、调试、培训、保修等一切费用。</w:t>
      </w:r>
    </w:p>
    <w:p w14:paraId="339A4327">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16. 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7B378DEA">
      <w:pPr>
        <w:keepNext w:val="0"/>
        <w:keepLines w:val="0"/>
        <w:pageBreakBefore w:val="0"/>
        <w:kinsoku/>
        <w:overflowPunct/>
        <w:topLinePunct w:val="0"/>
        <w:bidi w:val="0"/>
        <w:spacing w:line="360" w:lineRule="auto"/>
        <w:ind w:firstLine="413" w:firstLineChars="196"/>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2A6B1038">
      <w:pPr>
        <w:keepNext w:val="0"/>
        <w:keepLines w:val="0"/>
        <w:pageBreakBefore w:val="0"/>
        <w:tabs>
          <w:tab w:val="left" w:pos="1305"/>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本项目无需缴纳投标保证金。</w:t>
      </w:r>
    </w:p>
    <w:p w14:paraId="5DB704D3">
      <w:pPr>
        <w:keepNext w:val="0"/>
        <w:keepLines w:val="0"/>
        <w:pageBreakBefore w:val="0"/>
        <w:tabs>
          <w:tab w:val="left" w:pos="1305"/>
        </w:tabs>
        <w:kinsoku/>
        <w:overflowPunct/>
        <w:topLinePunct w:val="0"/>
        <w:bidi w:val="0"/>
        <w:spacing w:line="360" w:lineRule="auto"/>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1688F3F8">
      <w:pPr>
        <w:keepNext w:val="0"/>
        <w:keepLines w:val="0"/>
        <w:pageBreakBefore w:val="0"/>
        <w:kinsoku/>
        <w:overflowPunct/>
        <w:topLinePunct w:val="0"/>
        <w:bidi w:val="0"/>
        <w:snapToGrid w:val="0"/>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26E24088">
      <w:pPr>
        <w:keepNext w:val="0"/>
        <w:keepLines w:val="0"/>
        <w:pageBreakBefore w:val="0"/>
        <w:kinsoku/>
        <w:overflowPunct/>
        <w:topLinePunct w:val="0"/>
        <w:bidi w:val="0"/>
        <w:snapToGrid w:val="0"/>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1117B105">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bCs/>
          <w:color w:val="auto"/>
          <w:szCs w:val="21"/>
          <w:highlight w:val="none"/>
        </w:rPr>
        <w:t>18.3投标人应按</w:t>
      </w:r>
      <w:r>
        <w:rPr>
          <w:rFonts w:ascii="宋体" w:hAnsi="宋体" w:cs="宋体"/>
          <w:bCs/>
          <w:color w:val="auto"/>
          <w:szCs w:val="21"/>
          <w:highlight w:val="none"/>
        </w:rPr>
        <w:t>“</w:t>
      </w:r>
      <w:r>
        <w:rPr>
          <w:rFonts w:hint="eastAsia" w:ascii="宋体" w:hAnsi="宋体" w:cs="宋体"/>
          <w:bCs/>
          <w:color w:val="auto"/>
          <w:szCs w:val="21"/>
          <w:highlight w:val="none"/>
        </w:rPr>
        <w:t>电子投标客户端</w:t>
      </w:r>
      <w:r>
        <w:rPr>
          <w:rFonts w:ascii="宋体" w:hAnsi="宋体" w:cs="宋体"/>
          <w:bCs/>
          <w:color w:val="auto"/>
          <w:szCs w:val="21"/>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77EB2016">
      <w:pPr>
        <w:keepNext w:val="0"/>
        <w:keepLines w:val="0"/>
        <w:pageBreakBefore w:val="0"/>
        <w:kinsoku/>
        <w:overflowPunct/>
        <w:topLinePunct w:val="0"/>
        <w:bidi w:val="0"/>
        <w:snapToGrid w:val="0"/>
        <w:spacing w:line="360" w:lineRule="auto"/>
        <w:ind w:firstLine="422" w:firstLineChars="200"/>
        <w:jc w:val="left"/>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1EF1E438">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w:t>
      </w:r>
      <w:r>
        <w:rPr>
          <w:rFonts w:hint="eastAsia" w:ascii="宋体" w:hAnsi="宋体" w:cs="宋体"/>
          <w:b/>
          <w:color w:val="auto"/>
          <w:highlight w:val="none"/>
        </w:rPr>
        <w:t>广西政府采购云平台将予以拒收</w:t>
      </w:r>
      <w:r>
        <w:rPr>
          <w:rFonts w:hint="eastAsia" w:ascii="宋体" w:hAnsi="宋体" w:cs="宋体"/>
          <w:color w:val="auto"/>
          <w:highlight w:val="none"/>
        </w:rPr>
        <w:t>。</w:t>
      </w:r>
    </w:p>
    <w:p w14:paraId="29871F51">
      <w:pPr>
        <w:keepNext w:val="0"/>
        <w:keepLines w:val="0"/>
        <w:pageBreakBefore w:val="0"/>
        <w:kinsoku/>
        <w:overflowPunct/>
        <w:topLinePunct w:val="0"/>
        <w:bidi w:val="0"/>
        <w:snapToGrid w:val="0"/>
        <w:spacing w:line="360" w:lineRule="auto"/>
        <w:ind w:firstLine="422" w:firstLineChars="200"/>
        <w:jc w:val="left"/>
        <w:rPr>
          <w:rFonts w:ascii="宋体" w:hAnsi="宋体" w:cs="宋体"/>
          <w:b/>
          <w:color w:val="auto"/>
          <w:highlight w:val="none"/>
        </w:rPr>
      </w:pPr>
      <w:r>
        <w:rPr>
          <w:rFonts w:hint="eastAsia" w:ascii="宋体" w:hAnsi="宋体" w:cs="宋体"/>
          <w:b/>
          <w:color w:val="auto"/>
          <w:highlight w:val="none"/>
        </w:rPr>
        <w:t>18.6投标人公章、签字、电子签章、电子签名</w:t>
      </w:r>
    </w:p>
    <w:p w14:paraId="3F1856C3">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04785534">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7D71D352">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18.6.3本招标文件所称的“电子签章”、“电子签名”，是指经</w:t>
      </w:r>
      <w:r>
        <w:rPr>
          <w:rFonts w:hint="eastAsia" w:ascii="宋体" w:hAnsi="宋体" w:cs="宋体"/>
          <w:bCs/>
          <w:color w:val="auto"/>
          <w:szCs w:val="21"/>
          <w:highlight w:val="none"/>
        </w:rPr>
        <w:t>广西政府采购云平台</w:t>
      </w:r>
      <w:r>
        <w:rPr>
          <w:rFonts w:hint="eastAsia" w:ascii="宋体" w:hAnsi="宋体" w:cs="宋体"/>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6669C113">
      <w:pPr>
        <w:keepNext w:val="0"/>
        <w:keepLines w:val="0"/>
        <w:pageBreakBefore w:val="0"/>
        <w:kinsoku/>
        <w:overflowPunct/>
        <w:topLinePunct w:val="0"/>
        <w:bidi w:val="0"/>
        <w:snapToGrid w:val="0"/>
        <w:spacing w:line="360" w:lineRule="auto"/>
        <w:ind w:firstLine="422" w:firstLineChars="200"/>
        <w:jc w:val="left"/>
        <w:rPr>
          <w:rFonts w:ascii="宋体" w:hAnsi="宋体" w:cs="宋体"/>
          <w:b/>
          <w:color w:val="auto"/>
          <w:highlight w:val="none"/>
        </w:rPr>
      </w:pPr>
      <w:r>
        <w:rPr>
          <w:rFonts w:hint="eastAsia" w:ascii="宋体" w:hAnsi="宋体" w:cs="宋体"/>
          <w:b/>
          <w:color w:val="auto"/>
          <w:highlight w:val="none"/>
        </w:rPr>
        <w:t>19. 投标文件的递交</w:t>
      </w:r>
    </w:p>
    <w:p w14:paraId="47F2DA46">
      <w:pPr>
        <w:keepNext w:val="0"/>
        <w:keepLines w:val="0"/>
        <w:pageBreakBefore w:val="0"/>
        <w:tabs>
          <w:tab w:val="left" w:pos="720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19.1投标文件递交要求：</w:t>
      </w:r>
    </w:p>
    <w:p w14:paraId="139FC43C">
      <w:pPr>
        <w:keepNext w:val="0"/>
        <w:keepLines w:val="0"/>
        <w:pageBreakBefore w:val="0"/>
        <w:tabs>
          <w:tab w:val="left" w:pos="720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投标截止时间：2025年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日午9时30分（北京时间）。</w:t>
      </w:r>
    </w:p>
    <w:p w14:paraId="56CEF92C">
      <w:pPr>
        <w:keepNext w:val="0"/>
        <w:keepLines w:val="0"/>
        <w:pageBreakBefore w:val="0"/>
        <w:tabs>
          <w:tab w:val="left" w:pos="7200"/>
        </w:tabs>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527DBD07">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7DA6C826">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20. 投标文件的补充、修改和撤回</w:t>
      </w:r>
    </w:p>
    <w:p w14:paraId="7AEEE32E">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投标人在投标截止时间前，可以通过</w:t>
      </w:r>
      <w:r>
        <w:rPr>
          <w:rFonts w:hint="eastAsia" w:ascii="宋体" w:hAnsi="宋体" w:cs="宋体"/>
          <w:bCs/>
          <w:color w:val="auto"/>
          <w:szCs w:val="21"/>
          <w:highlight w:val="none"/>
        </w:rPr>
        <w:t>广西政府采购云平台</w:t>
      </w:r>
      <w:r>
        <w:rPr>
          <w:rFonts w:hint="eastAsia" w:ascii="宋体" w:hAnsi="宋体"/>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highlight w:val="none"/>
        </w:rPr>
        <w:t>广西政府采购云平台</w:t>
      </w:r>
      <w:r>
        <w:rPr>
          <w:rFonts w:hint="eastAsia" w:ascii="宋体" w:hAnsi="宋体"/>
          <w:color w:val="auto"/>
          <w:szCs w:val="21"/>
          <w:highlight w:val="none"/>
        </w:rPr>
        <w:t>，作为投标文件的组成部分。在投标文件递交截止时间后的投标文件有效期内，投标人不得撤回其投标文件。</w:t>
      </w:r>
    </w:p>
    <w:p w14:paraId="30D8DFD4">
      <w:pPr>
        <w:pStyle w:val="31"/>
        <w:keepNext w:val="0"/>
        <w:keepLines w:val="0"/>
        <w:pageBreakBefore w:val="0"/>
        <w:kinsoku/>
        <w:overflowPunct/>
        <w:topLinePunct w:val="0"/>
        <w:bidi w:val="0"/>
        <w:spacing w:line="360" w:lineRule="auto"/>
        <w:rPr>
          <w:color w:val="auto"/>
          <w:highlight w:val="none"/>
        </w:rPr>
      </w:pPr>
    </w:p>
    <w:p w14:paraId="54A489B0">
      <w:pPr>
        <w:keepNext w:val="0"/>
        <w:keepLines w:val="0"/>
        <w:pageBreakBefore w:val="0"/>
        <w:kinsoku/>
        <w:overflowPunct/>
        <w:topLinePunct w:val="0"/>
        <w:bidi w:val="0"/>
        <w:spacing w:line="360" w:lineRule="auto"/>
        <w:ind w:firstLine="435"/>
        <w:jc w:val="center"/>
        <w:rPr>
          <w:rFonts w:ascii="宋体" w:hAnsi="宋体"/>
          <w:b/>
          <w:color w:val="auto"/>
          <w:sz w:val="28"/>
          <w:szCs w:val="28"/>
          <w:highlight w:val="none"/>
        </w:rPr>
      </w:pPr>
    </w:p>
    <w:p w14:paraId="299AD974">
      <w:pPr>
        <w:keepNext w:val="0"/>
        <w:keepLines w:val="0"/>
        <w:pageBreakBefore w:val="0"/>
        <w:kinsoku/>
        <w:overflowPunct/>
        <w:topLinePunct w:val="0"/>
        <w:bidi w:val="0"/>
        <w:spacing w:line="360" w:lineRule="auto"/>
        <w:ind w:firstLine="435"/>
        <w:jc w:val="center"/>
        <w:rPr>
          <w:rFonts w:ascii="宋体" w:hAnsi="宋体"/>
          <w:b/>
          <w:color w:val="auto"/>
          <w:sz w:val="28"/>
          <w:szCs w:val="28"/>
          <w:highlight w:val="none"/>
        </w:rPr>
      </w:pPr>
      <w:r>
        <w:rPr>
          <w:rFonts w:hint="eastAsia" w:ascii="宋体" w:hAnsi="宋体"/>
          <w:b/>
          <w:color w:val="auto"/>
          <w:sz w:val="28"/>
          <w:szCs w:val="28"/>
          <w:highlight w:val="none"/>
        </w:rPr>
        <w:t>四、开标</w:t>
      </w:r>
    </w:p>
    <w:p w14:paraId="541B8814">
      <w:pPr>
        <w:keepNext w:val="0"/>
        <w:keepLines w:val="0"/>
        <w:pageBreakBefore w:val="0"/>
        <w:kinsoku/>
        <w:overflowPunct/>
        <w:topLinePunct w:val="0"/>
        <w:bidi w:val="0"/>
        <w:spacing w:line="360" w:lineRule="auto"/>
        <w:ind w:firstLine="435"/>
        <w:rPr>
          <w:rFonts w:ascii="宋体" w:hAnsi="宋体"/>
          <w:b/>
          <w:color w:val="auto"/>
          <w:highlight w:val="none"/>
        </w:rPr>
      </w:pPr>
      <w:r>
        <w:rPr>
          <w:rFonts w:hint="eastAsia" w:ascii="宋体" w:hAnsi="宋体"/>
          <w:b/>
          <w:color w:val="auto"/>
          <w:highlight w:val="none"/>
        </w:rPr>
        <w:t>21. 开标时间及地点</w:t>
      </w:r>
    </w:p>
    <w:p w14:paraId="1C4CB6B6">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21.1开标时间及地点：</w:t>
      </w:r>
    </w:p>
    <w:p w14:paraId="5D528937">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25  </w:t>
      </w:r>
      <w:r>
        <w:rPr>
          <w:rFonts w:hint="eastAsia" w:ascii="宋体" w:hAnsi="宋体"/>
          <w:color w:val="auto"/>
          <w:szCs w:val="21"/>
          <w:highlight w:val="none"/>
        </w:rPr>
        <w:t>日</w:t>
      </w:r>
      <w:r>
        <w:rPr>
          <w:rFonts w:hint="eastAsia" w:ascii="宋体" w:hAnsi="宋体"/>
          <w:color w:val="auto"/>
          <w:highlight w:val="none"/>
        </w:rPr>
        <w:t>上午9时30分</w:t>
      </w:r>
      <w:r>
        <w:rPr>
          <w:rFonts w:hint="eastAsia" w:ascii="宋体" w:hAnsi="宋体"/>
          <w:color w:val="auto"/>
          <w:szCs w:val="21"/>
          <w:highlight w:val="none"/>
        </w:rPr>
        <w:t>（北京时间）</w:t>
      </w:r>
      <w:r>
        <w:rPr>
          <w:rFonts w:hint="eastAsia" w:ascii="宋体" w:hAnsi="宋体"/>
          <w:color w:val="auto"/>
          <w:highlight w:val="none"/>
        </w:rPr>
        <w:t>；</w:t>
      </w:r>
    </w:p>
    <w:p w14:paraId="18F0F7DF">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3D0230CC">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6367BA76">
      <w:pPr>
        <w:keepNext w:val="0"/>
        <w:keepLines w:val="0"/>
        <w:pageBreakBefore w:val="0"/>
        <w:kinsoku/>
        <w:overflowPunct/>
        <w:topLinePunct w:val="0"/>
        <w:bidi w:val="0"/>
        <w:spacing w:line="360" w:lineRule="auto"/>
        <w:ind w:firstLine="435"/>
        <w:rPr>
          <w:rFonts w:ascii="宋体" w:hAnsi="宋体"/>
          <w:b/>
          <w:color w:val="auto"/>
          <w:highlight w:val="none"/>
        </w:rPr>
      </w:pPr>
      <w:r>
        <w:rPr>
          <w:rFonts w:hint="eastAsia" w:ascii="宋体" w:hAnsi="宋体"/>
          <w:b/>
          <w:color w:val="auto"/>
          <w:highlight w:val="none"/>
        </w:rPr>
        <w:t>22. 开标程序</w:t>
      </w:r>
    </w:p>
    <w:p w14:paraId="465D51FB">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B220503">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highlight w:val="none"/>
        </w:rPr>
        <w:t>。</w:t>
      </w:r>
    </w:p>
    <w:p w14:paraId="2D409E56">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642D2FEB">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04A0E26D">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22.5投标人线上确认投标报价。</w:t>
      </w:r>
    </w:p>
    <w:p w14:paraId="026F0654">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59A1FAEF">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4793B41">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p w14:paraId="1AB0B20F">
      <w:pPr>
        <w:keepNext w:val="0"/>
        <w:keepLines w:val="0"/>
        <w:pageBreakBefore w:val="0"/>
        <w:tabs>
          <w:tab w:val="left" w:pos="1305"/>
        </w:tabs>
        <w:kinsoku/>
        <w:overflowPunct/>
        <w:topLinePunct w:val="0"/>
        <w:bidi w:val="0"/>
        <w:spacing w:line="360" w:lineRule="auto"/>
        <w:ind w:firstLine="562" w:firstLineChars="200"/>
        <w:jc w:val="center"/>
        <w:rPr>
          <w:rFonts w:ascii="宋体" w:hAnsi="宋体"/>
          <w:b/>
          <w:color w:val="auto"/>
          <w:sz w:val="28"/>
          <w:szCs w:val="28"/>
          <w:highlight w:val="none"/>
        </w:rPr>
      </w:pPr>
    </w:p>
    <w:p w14:paraId="1356FD95">
      <w:pPr>
        <w:keepNext w:val="0"/>
        <w:keepLines w:val="0"/>
        <w:pageBreakBefore w:val="0"/>
        <w:tabs>
          <w:tab w:val="left" w:pos="1305"/>
        </w:tabs>
        <w:kinsoku/>
        <w:overflowPunct/>
        <w:topLinePunct w:val="0"/>
        <w:bidi w:val="0"/>
        <w:spacing w:line="360" w:lineRule="auto"/>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五、资格性审查</w:t>
      </w:r>
    </w:p>
    <w:p w14:paraId="61F161F5">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 资格性审查</w:t>
      </w:r>
    </w:p>
    <w:p w14:paraId="37E830A8">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63F12A89">
      <w:pPr>
        <w:keepNext w:val="0"/>
        <w:keepLines w:val="0"/>
        <w:pageBreakBefore w:val="0"/>
        <w:tabs>
          <w:tab w:val="left" w:pos="1305"/>
        </w:tabs>
        <w:kinsoku/>
        <w:overflowPunct/>
        <w:topLinePunct w:val="0"/>
        <w:bidi w:val="0"/>
        <w:spacing w:line="360" w:lineRule="auto"/>
        <w:rPr>
          <w:rFonts w:ascii="宋体" w:hAnsi="宋体"/>
          <w:color w:val="auto"/>
          <w:szCs w:val="21"/>
          <w:highlight w:val="none"/>
        </w:rPr>
      </w:pPr>
      <w:r>
        <w:rPr>
          <w:rFonts w:ascii="宋体" w:hAnsi="宋体"/>
          <w:color w:val="auto"/>
          <w:szCs w:val="21"/>
          <w:highlight w:val="none"/>
        </w:rPr>
        <w:t>合格投标人不足3家的，不得评标。</w:t>
      </w:r>
    </w:p>
    <w:p w14:paraId="76889972">
      <w:pPr>
        <w:keepNext w:val="0"/>
        <w:keepLines w:val="0"/>
        <w:pageBreakBefore w:val="0"/>
        <w:kinsoku/>
        <w:overflowPunct/>
        <w:topLinePunct w:val="0"/>
        <w:bidi w:val="0"/>
        <w:spacing w:line="360" w:lineRule="auto"/>
        <w:ind w:firstLine="482" w:firstLineChars="200"/>
        <w:rPr>
          <w:rFonts w:ascii="宋体" w:hAnsi="宋体"/>
          <w:b w:val="0"/>
          <w:bCs/>
          <w:color w:val="auto"/>
          <w:sz w:val="24"/>
          <w:highlight w:val="none"/>
        </w:rPr>
      </w:pPr>
      <w:r>
        <w:rPr>
          <w:rFonts w:hint="eastAsia" w:ascii="宋体" w:hAnsi="宋体"/>
          <w:b/>
          <w:color w:val="auto"/>
          <w:sz w:val="24"/>
          <w:highlight w:val="none"/>
        </w:rPr>
        <w:t>23.2</w:t>
      </w:r>
      <w:r>
        <w:rPr>
          <w:rFonts w:hint="eastAsia" w:ascii="宋体" w:hAnsi="宋体" w:eastAsia="宋体" w:cs="Times New Roman"/>
          <w:color w:val="auto"/>
          <w:highlight w:val="none"/>
        </w:rPr>
        <w:t>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606CB7D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w:t>
      </w:r>
    </w:p>
    <w:p w14:paraId="76C3312F">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审查流程：</w:t>
      </w:r>
    </w:p>
    <w:p w14:paraId="13A5CBDD">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），输入企业名称，进入企业信息主页面；</w:t>
      </w:r>
    </w:p>
    <w:p w14:paraId="3F62A8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4C3D6B8F">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41E2D3B9">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（4）将相关资料作为评审资料打印存档。</w:t>
      </w:r>
    </w:p>
    <w:p w14:paraId="13AB9FAF">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6447BA5B">
      <w:pPr>
        <w:keepNext w:val="0"/>
        <w:keepLines w:val="0"/>
        <w:pageBreakBefore w:val="0"/>
        <w:kinsoku/>
        <w:overflowPunct/>
        <w:topLinePunct w:val="0"/>
        <w:bidi w:val="0"/>
        <w:spacing w:line="360" w:lineRule="auto"/>
        <w:ind w:firstLine="422" w:firstLineChars="200"/>
        <w:rPr>
          <w:rFonts w:ascii="宋体" w:hAnsi="宋体"/>
          <w:b/>
          <w:color w:val="auto"/>
          <w:sz w:val="21"/>
          <w:szCs w:val="21"/>
          <w:highlight w:val="none"/>
        </w:rPr>
      </w:pPr>
      <w:r>
        <w:rPr>
          <w:rFonts w:hint="eastAsia" w:ascii="宋体" w:hAnsi="宋体"/>
          <w:b/>
          <w:color w:val="auto"/>
          <w:sz w:val="21"/>
          <w:szCs w:val="21"/>
          <w:highlight w:val="none"/>
        </w:rPr>
        <w:t>23.3采购人或者采购代理机构在资格审查结束前，对投标人进行信用查询。</w:t>
      </w:r>
    </w:p>
    <w:p w14:paraId="5D6A4F98">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（1）查询渠道：“信用中国”网站（www.creditchina.gov.cn）、中国政府采购网（www.ccgp.gov.cn）链接入口。</w:t>
      </w:r>
    </w:p>
    <w:p w14:paraId="05A12FFC">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（2）信用查询截止时点：资格审查结束前。</w:t>
      </w:r>
    </w:p>
    <w:p w14:paraId="6058B076">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（3）查询记录和证据留存方式：在查询网站中直接查询，截图另存为电子文档作为评审资料保存。</w:t>
      </w:r>
    </w:p>
    <w:p w14:paraId="094DC63D">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00122233">
      <w:pPr>
        <w:keepNext w:val="0"/>
        <w:keepLines w:val="0"/>
        <w:pageBreakBefore w:val="0"/>
        <w:kinsoku/>
        <w:overflowPunct/>
        <w:topLinePunct w:val="0"/>
        <w:bidi w:val="0"/>
        <w:spacing w:line="360" w:lineRule="auto"/>
        <w:ind w:firstLine="422" w:firstLineChars="200"/>
        <w:rPr>
          <w:rFonts w:hint="eastAsia" w:ascii="宋体" w:hAnsi="宋体" w:eastAsia="宋体" w:cs="Times New Roman"/>
          <w:color w:val="auto"/>
          <w:highlight w:val="none"/>
        </w:rPr>
      </w:pPr>
      <w:r>
        <w:rPr>
          <w:rFonts w:hint="eastAsia" w:ascii="宋体" w:hAnsi="宋体" w:eastAsia="宋体" w:cs="Times New Roman"/>
          <w:b/>
          <w:bCs/>
          <w:color w:val="auto"/>
          <w:highlight w:val="none"/>
        </w:rPr>
        <w:t>23.4采购人或者采购代理机构在对投标人进行资格性审查时，如投标人出现下列情况之一者，按资格审查不通过处理：</w:t>
      </w:r>
      <w:r>
        <w:rPr>
          <w:rFonts w:hint="eastAsia" w:ascii="宋体" w:hAnsi="宋体"/>
          <w:b/>
          <w:color w:val="auto"/>
          <w:sz w:val="24"/>
          <w:highlight w:val="none"/>
        </w:rPr>
        <w:br w:type="textWrapping"/>
      </w:r>
      <w:r>
        <w:rPr>
          <w:rFonts w:hint="eastAsia" w:ascii="宋体" w:hAnsi="宋体"/>
          <w:b/>
          <w:color w:val="auto"/>
          <w:sz w:val="24"/>
          <w:highlight w:val="none"/>
        </w:rPr>
        <w:t xml:space="preserve"> </w:t>
      </w:r>
      <w:r>
        <w:rPr>
          <w:rFonts w:hint="eastAsia" w:ascii="宋体" w:hAnsi="宋体" w:eastAsia="宋体" w:cs="Times New Roman"/>
          <w:color w:val="auto"/>
          <w:highlight w:val="none"/>
        </w:rPr>
        <w:t xml:space="preserve"> （1）不具备本招标文件规定的资格要求的；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（2）投标文件中的资格性响应证明材料缺少投标人须知“资格性响应证明材料”规定的任一项“必须提供”的文件资料的；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（3）投标文件中的资格性响应证明材料出现任一项不符合投标人须知“资格性响应证明材料”规定的“必须提供”的文件资料要求或者无效的；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（4）投标文件中的资格性响应证明材料存在投标人须知第28条、29条载明的投标无效情形的。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23.5资格审查不通过的投标人，不得进入下一阶段的评标环节。通过资格审查的合格投标人不足3家的，予以废标。</w:t>
      </w:r>
    </w:p>
    <w:p w14:paraId="47CAE979">
      <w:pPr>
        <w:keepNext w:val="0"/>
        <w:keepLines w:val="0"/>
        <w:pageBreakBefore w:val="0"/>
        <w:tabs>
          <w:tab w:val="center" w:pos="4411"/>
          <w:tab w:val="left" w:pos="5475"/>
        </w:tabs>
        <w:kinsoku/>
        <w:overflowPunct/>
        <w:topLinePunct w:val="0"/>
        <w:bidi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六、评标</w:t>
      </w:r>
    </w:p>
    <w:p w14:paraId="24CB8EA1">
      <w:pPr>
        <w:keepNext w:val="0"/>
        <w:keepLines w:val="0"/>
        <w:pageBreakBefore w:val="0"/>
        <w:tabs>
          <w:tab w:val="center" w:pos="4411"/>
          <w:tab w:val="left" w:pos="5475"/>
        </w:tabs>
        <w:kinsoku/>
        <w:overflowPunct/>
        <w:topLinePunct w:val="0"/>
        <w:bidi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24. 评标委员会组成</w:t>
      </w:r>
    </w:p>
    <w:p w14:paraId="22FB1E1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w:t>
      </w:r>
      <w:r>
        <w:rPr>
          <w:rFonts w:ascii="宋体" w:hAnsi="宋体"/>
          <w:color w:val="auto"/>
          <w:szCs w:val="21"/>
          <w:highlight w:val="none"/>
        </w:rPr>
        <w:t>人</w:t>
      </w:r>
      <w:r>
        <w:rPr>
          <w:rFonts w:hint="eastAsia" w:ascii="宋体" w:hAnsi="宋体"/>
          <w:color w:val="auto"/>
          <w:szCs w:val="21"/>
          <w:highlight w:val="none"/>
        </w:rPr>
        <w:t>，其中评审专家不得少于成员总数的2/3</w:t>
      </w:r>
      <w:r>
        <w:rPr>
          <w:rFonts w:ascii="宋体" w:hAnsi="宋体"/>
          <w:color w:val="auto"/>
          <w:szCs w:val="21"/>
          <w:highlight w:val="none"/>
        </w:rPr>
        <w:t>。</w:t>
      </w:r>
    </w:p>
    <w:p w14:paraId="2D702C3B">
      <w:pPr>
        <w:keepNext w:val="0"/>
        <w:keepLines w:val="0"/>
        <w:pageBreakBefore w:val="0"/>
        <w:kinsoku/>
        <w:overflowPunct/>
        <w:topLinePunct w:val="0"/>
        <w:bidi w:val="0"/>
        <w:spacing w:line="360" w:lineRule="auto"/>
        <w:ind w:firstLine="422" w:firstLineChars="200"/>
        <w:rPr>
          <w:rFonts w:ascii="宋体" w:hAnsi="宋体"/>
          <w:color w:val="auto"/>
          <w:szCs w:val="21"/>
          <w:highlight w:val="none"/>
        </w:rPr>
      </w:pPr>
      <w:r>
        <w:rPr>
          <w:rFonts w:hint="eastAsia" w:ascii="宋体" w:hAnsi="宋体"/>
          <w:b/>
          <w:color w:val="auto"/>
          <w:szCs w:val="21"/>
          <w:highlight w:val="none"/>
        </w:rPr>
        <w:t>25. 评标办法</w:t>
      </w:r>
    </w:p>
    <w:p w14:paraId="4735391B">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7F61A416">
      <w:pPr>
        <w:keepNext w:val="0"/>
        <w:keepLines w:val="0"/>
        <w:pageBreakBefore w:val="0"/>
        <w:tabs>
          <w:tab w:val="left" w:pos="1140"/>
        </w:tabs>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szCs w:val="21"/>
          <w:highlight w:val="none"/>
        </w:rPr>
        <w:t>25.2评标委员会应按招标文件进行评标，不得擅自更改评标办法。</w:t>
      </w:r>
      <w:r>
        <w:rPr>
          <w:rFonts w:hint="eastAsia" w:ascii="宋体" w:hAnsi="宋体"/>
          <w:color w:val="auto"/>
          <w:highlight w:val="none"/>
        </w:rPr>
        <w:t>　　　　　　　　　　　　　　　　　　　　　　　　　　　　　　　　　　　　　　　　　　　　　　　　　　　　　　　　　　</w:t>
      </w:r>
    </w:p>
    <w:p w14:paraId="62850551">
      <w:pPr>
        <w:keepNext w:val="0"/>
        <w:keepLines w:val="0"/>
        <w:pageBreakBefore w:val="0"/>
        <w:tabs>
          <w:tab w:val="left" w:pos="1140"/>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 评标</w:t>
      </w:r>
    </w:p>
    <w:p w14:paraId="10C462C1">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由桂林市公共资源交易中心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2138ACEB">
      <w:pPr>
        <w:pStyle w:val="45"/>
        <w:keepNext w:val="0"/>
        <w:keepLines w:val="0"/>
        <w:pageBreakBefore w:val="0"/>
        <w:shd w:val="clear" w:color="auto" w:fill="FFFFFF"/>
        <w:kinsoku/>
        <w:overflowPunct/>
        <w:topLinePunct w:val="0"/>
        <w:bidi w:val="0"/>
        <w:spacing w:before="0" w:beforeAutospacing="0" w:after="0" w:afterAutospacing="0" w:line="360" w:lineRule="auto"/>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04F4DFB">
      <w:pPr>
        <w:pStyle w:val="45"/>
        <w:keepNext w:val="0"/>
        <w:keepLines w:val="0"/>
        <w:pageBreakBefore w:val="0"/>
        <w:shd w:val="clear" w:color="auto" w:fill="FFFFFF"/>
        <w:kinsoku/>
        <w:overflowPunct/>
        <w:topLinePunct w:val="0"/>
        <w:bidi w:val="0"/>
        <w:spacing w:before="0" w:beforeAutospacing="0" w:after="0" w:afterAutospacing="0" w:line="360" w:lineRule="auto"/>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28DB521B">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41DA2A57">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0752A76B">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s="宋体"/>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155E1DA2">
      <w:pPr>
        <w:pStyle w:val="26"/>
        <w:keepNext w:val="0"/>
        <w:keepLines w:val="0"/>
        <w:pageBreakBefore w:val="0"/>
        <w:kinsoku/>
        <w:overflowPunct/>
        <w:topLinePunct w:val="0"/>
        <w:bidi w:val="0"/>
        <w:spacing w:line="360" w:lineRule="auto"/>
        <w:ind w:firstLine="411" w:firstLineChars="196"/>
        <w:rPr>
          <w:rFonts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76E7A9EC">
      <w:pPr>
        <w:pStyle w:val="26"/>
        <w:keepNext w:val="0"/>
        <w:keepLines w:val="0"/>
        <w:pageBreakBefore w:val="0"/>
        <w:kinsoku/>
        <w:overflowPunct/>
        <w:topLinePunct w:val="0"/>
        <w:bidi w:val="0"/>
        <w:snapToGrid w:val="0"/>
        <w:spacing w:line="360" w:lineRule="auto"/>
        <w:ind w:firstLine="420" w:firstLineChars="200"/>
        <w:rPr>
          <w:rFonts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37EBA859">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40AD9FED">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2BAE657A">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1FE5C854">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02991B97">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3655EF13">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2A08E6E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26.9</w:t>
      </w:r>
      <w:r>
        <w:rPr>
          <w:rFonts w:ascii="宋体" w:hAnsi="宋体"/>
          <w:b/>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5347377">
      <w:pPr>
        <w:pStyle w:val="26"/>
        <w:keepNext w:val="0"/>
        <w:keepLines w:val="0"/>
        <w:pageBreakBefore w:val="0"/>
        <w:kinsoku/>
        <w:overflowPunct/>
        <w:topLinePunct w:val="0"/>
        <w:bidi w:val="0"/>
        <w:spacing w:line="360" w:lineRule="auto"/>
        <w:ind w:firstLine="411" w:firstLineChars="196"/>
        <w:rPr>
          <w:rFonts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5F12CC0">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57D7B66D">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（一）分值汇总计算错误的；</w:t>
      </w:r>
    </w:p>
    <w:p w14:paraId="37C6EDBC">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（二）分项评分超出评分标准范围的；</w:t>
      </w:r>
    </w:p>
    <w:p w14:paraId="3325CDC9">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（三）评标委员会成员对客观评审因素评分不一致的；</w:t>
      </w:r>
    </w:p>
    <w:p w14:paraId="16B37C23">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（四）经评标委员会认定评分畸高、畸低的。</w:t>
      </w:r>
    </w:p>
    <w:p w14:paraId="7BBFC0F6">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w:t>
      </w:r>
    </w:p>
    <w:p w14:paraId="62FC9BC8">
      <w:pPr>
        <w:keepNext w:val="0"/>
        <w:keepLines w:val="0"/>
        <w:pageBreakBefore w:val="0"/>
        <w:kinsoku/>
        <w:overflowPunct/>
        <w:topLinePunct w:val="0"/>
        <w:bidi w:val="0"/>
        <w:snapToGrid w:val="0"/>
        <w:spacing w:line="360" w:lineRule="auto"/>
        <w:rPr>
          <w:rFonts w:ascii="宋体" w:hAnsi="宋体"/>
          <w:color w:val="auto"/>
          <w:szCs w:val="21"/>
          <w:highlight w:val="none"/>
        </w:rPr>
      </w:pPr>
      <w:r>
        <w:rPr>
          <w:rFonts w:ascii="宋体" w:hAnsi="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3E980802">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1420750">
      <w:pPr>
        <w:pStyle w:val="26"/>
        <w:keepNext w:val="0"/>
        <w:keepLines w:val="0"/>
        <w:pageBreakBefore w:val="0"/>
        <w:kinsoku/>
        <w:overflowPunct/>
        <w:topLinePunct w:val="0"/>
        <w:bidi w:val="0"/>
        <w:spacing w:line="360" w:lineRule="auto"/>
        <w:ind w:firstLine="411" w:firstLineChars="196"/>
        <w:rPr>
          <w:rFonts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754CE389">
      <w:pPr>
        <w:pStyle w:val="26"/>
        <w:keepNext w:val="0"/>
        <w:keepLines w:val="0"/>
        <w:pageBreakBefore w:val="0"/>
        <w:tabs>
          <w:tab w:val="left" w:pos="4214"/>
        </w:tabs>
        <w:kinsoku/>
        <w:overflowPunct/>
        <w:topLinePunct w:val="0"/>
        <w:bidi w:val="0"/>
        <w:spacing w:line="360" w:lineRule="auto"/>
        <w:ind w:firstLine="422" w:firstLineChars="200"/>
        <w:rPr>
          <w:rFonts w:hAnsi="宋体"/>
          <w:b/>
          <w:color w:val="auto"/>
          <w:highlight w:val="none"/>
        </w:rPr>
      </w:pPr>
      <w:r>
        <w:rPr>
          <w:rFonts w:hint="eastAsia" w:hAnsi="宋体"/>
          <w:b/>
          <w:color w:val="auto"/>
          <w:highlight w:val="none"/>
        </w:rPr>
        <w:t>27</w:t>
      </w:r>
      <w:r>
        <w:rPr>
          <w:rFonts w:hint="eastAsia" w:hAnsi="宋体"/>
          <w:color w:val="auto"/>
          <w:highlight w:val="none"/>
        </w:rPr>
        <w:t>.</w:t>
      </w:r>
      <w:r>
        <w:rPr>
          <w:rFonts w:hint="eastAsia" w:hAnsi="宋体"/>
          <w:b/>
          <w:color w:val="auto"/>
          <w:highlight w:val="none"/>
        </w:rPr>
        <w:t>推荐及确定中标候选人原则</w:t>
      </w:r>
    </w:p>
    <w:p w14:paraId="1A52520B">
      <w:pPr>
        <w:pStyle w:val="26"/>
        <w:keepNext w:val="0"/>
        <w:keepLines w:val="0"/>
        <w:pageBreakBefore w:val="0"/>
        <w:tabs>
          <w:tab w:val="left" w:pos="4214"/>
        </w:tabs>
        <w:kinsoku/>
        <w:overflowPunct/>
        <w:topLinePunct w:val="0"/>
        <w:bidi w:val="0"/>
        <w:spacing w:line="360" w:lineRule="auto"/>
        <w:ind w:firstLine="420" w:firstLineChars="200"/>
        <w:rPr>
          <w:color w:val="auto"/>
          <w:highlight w:val="none"/>
        </w:rPr>
      </w:pPr>
      <w:r>
        <w:rPr>
          <w:rFonts w:hint="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38594BA1">
      <w:pPr>
        <w:pStyle w:val="26"/>
        <w:keepNext w:val="0"/>
        <w:keepLines w:val="0"/>
        <w:pageBreakBefore w:val="0"/>
        <w:tabs>
          <w:tab w:val="left" w:pos="4214"/>
        </w:tabs>
        <w:kinsoku/>
        <w:overflowPunct/>
        <w:topLinePunct w:val="0"/>
        <w:bidi w:val="0"/>
        <w:spacing w:line="360" w:lineRule="auto"/>
        <w:ind w:firstLine="420" w:firstLineChars="200"/>
        <w:rPr>
          <w:color w:val="auto"/>
          <w:highlight w:val="none"/>
        </w:rPr>
      </w:pPr>
      <w:r>
        <w:rPr>
          <w:rFonts w:hint="eastAsia"/>
          <w:color w:val="auto"/>
          <w:highlight w:val="none"/>
        </w:rPr>
        <w:t>（2）采购人应当自收到评标报告之日起5个工作日内，在评标报告确定的中标候选人名单中按顺序确定中标人。中标候选人并列的，采购人依次按技术分高的优先、配送及安装实施方案分高的优先、售后服务方案分高的优先、履约能力分高的优先、政策功能分（节能、环保）高的优先、保修期长的优先、交付时间短的优先顺序确定中标人。</w:t>
      </w:r>
    </w:p>
    <w:p w14:paraId="1CE5A02C">
      <w:pPr>
        <w:pStyle w:val="26"/>
        <w:keepNext w:val="0"/>
        <w:keepLines w:val="0"/>
        <w:pageBreakBefore w:val="0"/>
        <w:tabs>
          <w:tab w:val="left" w:pos="4214"/>
        </w:tabs>
        <w:kinsoku/>
        <w:overflowPunct/>
        <w:topLinePunct w:val="0"/>
        <w:bidi w:val="0"/>
        <w:spacing w:line="360" w:lineRule="auto"/>
        <w:ind w:firstLine="420" w:firstLineChars="200"/>
        <w:rPr>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4A8D91E3">
      <w:pPr>
        <w:keepNext w:val="0"/>
        <w:keepLines w:val="0"/>
        <w:pageBreakBefore w:val="0"/>
        <w:kinsoku/>
        <w:overflowPunct/>
        <w:topLinePunct w:val="0"/>
        <w:bidi w:val="0"/>
        <w:snapToGrid w:val="0"/>
        <w:spacing w:line="360" w:lineRule="auto"/>
        <w:ind w:firstLine="422" w:firstLineChars="200"/>
        <w:outlineLvl w:val="4"/>
        <w:rPr>
          <w:rFonts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.属于下列情况之一者，投标无效：</w:t>
      </w:r>
    </w:p>
    <w:p w14:paraId="535D318C">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（1）未按照招标文件规定要求签字、盖章的；</w:t>
      </w:r>
    </w:p>
    <w:p w14:paraId="1E5A7ADB">
      <w:pPr>
        <w:keepNext w:val="0"/>
        <w:keepLines w:val="0"/>
        <w:pageBreakBefore w:val="0"/>
        <w:kinsoku/>
        <w:overflowPunct/>
        <w:topLinePunct w:val="0"/>
        <w:bidi w:val="0"/>
        <w:snapToGrid w:val="0"/>
        <w:spacing w:line="360" w:lineRule="auto"/>
        <w:ind w:firstLine="422" w:firstLineChars="200"/>
        <w:outlineLvl w:val="4"/>
        <w:rPr>
          <w:rFonts w:ascii="宋体" w:hAnsi="宋体"/>
          <w:b/>
          <w:color w:val="auto"/>
          <w:szCs w:val="21"/>
          <w:highlight w:val="none"/>
        </w:rPr>
      </w:pPr>
      <w:r>
        <w:rPr>
          <w:rFonts w:hint="eastAsia" w:ascii="宋体" w:hAnsi="宋体"/>
          <w:b/>
          <w:color w:val="auto"/>
          <w:szCs w:val="21"/>
          <w:highlight w:val="none"/>
        </w:rPr>
        <w:t>（2）投标</w:t>
      </w:r>
      <w:r>
        <w:rPr>
          <w:rFonts w:ascii="宋体" w:hAnsi="宋体"/>
          <w:b/>
          <w:color w:val="auto"/>
          <w:szCs w:val="21"/>
          <w:highlight w:val="none"/>
        </w:rPr>
        <w:t>报价超过招标文件中规定</w:t>
      </w:r>
      <w:r>
        <w:rPr>
          <w:rFonts w:hint="eastAsia" w:ascii="宋体" w:hAnsi="宋体"/>
          <w:b/>
          <w:color w:val="auto"/>
          <w:szCs w:val="21"/>
          <w:highlight w:val="none"/>
        </w:rPr>
        <w:t>的</w:t>
      </w:r>
      <w:r>
        <w:rPr>
          <w:rFonts w:hint="eastAsia" w:ascii="宋体" w:hAnsi="宋体"/>
          <w:b/>
          <w:color w:val="auto"/>
          <w:szCs w:val="21"/>
          <w:highlight w:val="none"/>
          <w:lang w:eastAsia="zh-CN"/>
        </w:rPr>
        <w:t>最高限价</w:t>
      </w:r>
      <w:r>
        <w:rPr>
          <w:rFonts w:hint="eastAsia" w:ascii="宋体" w:hAnsi="宋体"/>
          <w:b/>
          <w:color w:val="auto"/>
          <w:szCs w:val="21"/>
          <w:highlight w:val="none"/>
        </w:rPr>
        <w:t>的</w:t>
      </w:r>
      <w:r>
        <w:rPr>
          <w:rFonts w:ascii="宋体" w:hAnsi="宋体"/>
          <w:b/>
          <w:color w:val="auto"/>
          <w:szCs w:val="21"/>
          <w:highlight w:val="none"/>
        </w:rPr>
        <w:t>；</w:t>
      </w:r>
    </w:p>
    <w:p w14:paraId="67EFCD22">
      <w:pPr>
        <w:keepNext w:val="0"/>
        <w:keepLines w:val="0"/>
        <w:pageBreakBefore w:val="0"/>
        <w:kinsoku/>
        <w:overflowPunct/>
        <w:topLinePunct w:val="0"/>
        <w:bidi w:val="0"/>
        <w:snapToGrid w:val="0"/>
        <w:spacing w:line="360" w:lineRule="auto"/>
        <w:ind w:firstLine="422" w:firstLineChars="200"/>
        <w:outlineLvl w:val="4"/>
        <w:rPr>
          <w:rFonts w:ascii="宋体" w:hAnsi="宋体"/>
          <w:b/>
          <w:color w:val="auto"/>
          <w:szCs w:val="21"/>
          <w:highlight w:val="none"/>
        </w:rPr>
      </w:pPr>
      <w:r>
        <w:rPr>
          <w:rFonts w:hint="eastAsia" w:ascii="宋体" w:hAnsi="宋体"/>
          <w:b/>
          <w:color w:val="auto"/>
          <w:szCs w:val="21"/>
          <w:highlight w:val="none"/>
        </w:rPr>
        <w:t>（3）未通过资格审查的；</w:t>
      </w:r>
    </w:p>
    <w:p w14:paraId="7CD07D04">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（4）未按本招标文件规定提供符合性响应证明材料中的任意一项材料的；或提供的符合性响应证明材料中的任意一项材料无效的；</w:t>
      </w:r>
    </w:p>
    <w:p w14:paraId="56664A66">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5945F158">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56888EAB">
      <w:pPr>
        <w:keepNext w:val="0"/>
        <w:keepLines w:val="0"/>
        <w:pageBreakBefore w:val="0"/>
        <w:kinsoku/>
        <w:overflowPunct/>
        <w:topLinePunct w:val="0"/>
        <w:bidi w:val="0"/>
        <w:snapToGrid w:val="0"/>
        <w:spacing w:line="360" w:lineRule="auto"/>
        <w:ind w:firstLine="413" w:firstLineChars="196"/>
        <w:outlineLvl w:val="4"/>
        <w:rPr>
          <w:rFonts w:ascii="宋体" w:hAnsi="宋体"/>
          <w:color w:val="auto"/>
          <w:szCs w:val="21"/>
          <w:highlight w:val="none"/>
        </w:rPr>
      </w:pPr>
      <w:r>
        <w:rPr>
          <w:rFonts w:hint="eastAsia" w:ascii="宋体" w:hAnsi="宋体"/>
          <w:b/>
          <w:color w:val="auto"/>
          <w:szCs w:val="21"/>
          <w:highlight w:val="none"/>
        </w:rPr>
        <w:t>（7）投标人未就“采购需求”中所有标的作完整唯一报价的或有缺漏项报价的；</w:t>
      </w:r>
    </w:p>
    <w:p w14:paraId="5126FBD9">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（8）未完全响应招标文件实质性要求的；</w:t>
      </w:r>
    </w:p>
    <w:p w14:paraId="0A7E9D75">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（9）投标人为联合体投标的；</w:t>
      </w:r>
    </w:p>
    <w:p w14:paraId="284BACAD">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（10）</w:t>
      </w:r>
      <w:r>
        <w:rPr>
          <w:rFonts w:ascii="宋体" w:hAnsi="宋体"/>
          <w:b/>
          <w:color w:val="auto"/>
          <w:szCs w:val="21"/>
          <w:highlight w:val="none"/>
        </w:rPr>
        <w:t>法律、法规和招标文件规定的其他无效情形。</w:t>
      </w:r>
    </w:p>
    <w:p w14:paraId="74F9559D">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29.投标人有下列情形之一的，视为串通投标，投标文件将被视为无效：</w:t>
      </w:r>
    </w:p>
    <w:p w14:paraId="657B7D3A">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（1）不同投标人的投标文件由同一单位或者个人编制；</w:t>
      </w:r>
    </w:p>
    <w:p w14:paraId="4BD12150">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00260D74">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630AFF70">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046FCE40">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（5）不同投标人的投标文件相互混装的；</w:t>
      </w:r>
    </w:p>
    <w:p w14:paraId="2A18F186">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30. 属于下列情形之一的，应予废标：</w:t>
      </w:r>
    </w:p>
    <w:p w14:paraId="0B5D90D3">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7C76316F">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（2）出现影响采购公正的违法、违规行为的；</w:t>
      </w:r>
    </w:p>
    <w:p w14:paraId="7D22CA44">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17B38F87">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（4）因重大变故，采购任务取消的。</w:t>
      </w:r>
    </w:p>
    <w:p w14:paraId="5EE30E69">
      <w:pPr>
        <w:pStyle w:val="26"/>
        <w:keepNext w:val="0"/>
        <w:keepLines w:val="0"/>
        <w:pageBreakBefore w:val="0"/>
        <w:kinsoku/>
        <w:overflowPunct/>
        <w:topLinePunct w:val="0"/>
        <w:bidi w:val="0"/>
        <w:spacing w:line="360" w:lineRule="auto"/>
        <w:ind w:firstLine="413" w:firstLineChars="196"/>
        <w:rPr>
          <w:rFonts w:hAnsi="宋体"/>
          <w:b/>
          <w:color w:val="auto"/>
          <w:highlight w:val="none"/>
        </w:rPr>
      </w:pPr>
      <w:r>
        <w:rPr>
          <w:rFonts w:hint="eastAsia" w:hAnsi="宋体"/>
          <w:b/>
          <w:color w:val="auto"/>
          <w:highlight w:val="none"/>
        </w:rPr>
        <w:t>31.开标、评标过程的监控</w:t>
      </w:r>
    </w:p>
    <w:p w14:paraId="6B9B4378">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02A53FFB">
      <w:pPr>
        <w:pStyle w:val="26"/>
        <w:keepNext w:val="0"/>
        <w:keepLines w:val="0"/>
        <w:pageBreakBefore w:val="0"/>
        <w:kinsoku/>
        <w:overflowPunct/>
        <w:topLinePunct w:val="0"/>
        <w:bidi w:val="0"/>
        <w:spacing w:line="360" w:lineRule="auto"/>
        <w:ind w:firstLine="413" w:firstLineChars="196"/>
        <w:rPr>
          <w:rFonts w:hAnsi="宋体"/>
          <w:b/>
          <w:color w:val="auto"/>
          <w:highlight w:val="none"/>
        </w:rPr>
      </w:pPr>
      <w:r>
        <w:rPr>
          <w:rFonts w:hint="eastAsia" w:hAnsi="宋体"/>
          <w:b/>
          <w:color w:val="auto"/>
          <w:highlight w:val="none"/>
        </w:rPr>
        <w:t>32.信用查询</w:t>
      </w:r>
    </w:p>
    <w:p w14:paraId="66C50CA3">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w:t>
      </w:r>
      <w:r>
        <w:rPr>
          <w:rFonts w:hint="eastAsia" w:hAnsi="宋体"/>
          <w:color w:val="auto"/>
          <w:spacing w:val="-4"/>
          <w:highlight w:val="none"/>
        </w:rPr>
        <w:t>通知》（桂财采〔2016〕37号）的通知，中标通知书发出前，由采购代理机构对第一中标候选人进行信用查询：</w:t>
      </w:r>
    </w:p>
    <w:p w14:paraId="13BF8A51">
      <w:pPr>
        <w:pStyle w:val="26"/>
        <w:keepNext w:val="0"/>
        <w:keepLines w:val="0"/>
        <w:pageBreakBefore w:val="0"/>
        <w:kinsoku/>
        <w:overflowPunct/>
        <w:topLinePunct w:val="0"/>
        <w:bidi w:val="0"/>
        <w:spacing w:line="360" w:lineRule="auto"/>
        <w:ind w:firstLine="411" w:firstLineChars="196"/>
        <w:rPr>
          <w:rFonts w:hAnsi="宋体"/>
          <w:color w:val="auto"/>
          <w:spacing w:val="-4"/>
          <w:highlight w:val="none"/>
        </w:rPr>
      </w:pPr>
      <w:r>
        <w:rPr>
          <w:rFonts w:hint="eastAsia" w:hAnsi="宋体"/>
          <w:color w:val="auto"/>
          <w:highlight w:val="none"/>
        </w:rPr>
        <w:t>⑴</w:t>
      </w:r>
      <w:r>
        <w:rPr>
          <w:rFonts w:hint="eastAsia" w:hAnsi="宋体"/>
          <w:color w:val="auto"/>
          <w:spacing w:val="-4"/>
          <w:highlight w:val="none"/>
        </w:rPr>
        <w:t>查询渠道：“信用中国”网站（www.creditchina.gov.cn）、中国政府采购网（www.ccgp.gov.cn）等；</w:t>
      </w:r>
    </w:p>
    <w:p w14:paraId="52ACF60D">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⑵查询截止时间：中标通知书发出前；</w:t>
      </w:r>
    </w:p>
    <w:p w14:paraId="0E51ACA0">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002B3858">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highlight w:val="none"/>
        </w:rPr>
        <w:t>录名单及其他不符合《中华人民共和国政府采购法》第二十二条规定条件的供应商，取消其中标候选人资格。</w:t>
      </w:r>
    </w:p>
    <w:p w14:paraId="1BD059F2">
      <w:pPr>
        <w:pStyle w:val="26"/>
        <w:keepNext w:val="0"/>
        <w:keepLines w:val="0"/>
        <w:pageBreakBefore w:val="0"/>
        <w:kinsoku/>
        <w:overflowPunct/>
        <w:topLinePunct w:val="0"/>
        <w:bidi w:val="0"/>
        <w:spacing w:line="360" w:lineRule="auto"/>
        <w:ind w:firstLine="413" w:firstLineChars="196"/>
        <w:rPr>
          <w:rFonts w:hAnsi="宋体"/>
          <w:b/>
          <w:color w:val="auto"/>
          <w:highlight w:val="none"/>
        </w:rPr>
      </w:pPr>
      <w:r>
        <w:rPr>
          <w:rFonts w:hint="eastAsia" w:hAnsi="宋体"/>
          <w:b/>
          <w:color w:val="auto"/>
          <w:highlight w:val="none"/>
        </w:rPr>
        <w:t>33. 中标公告及中标通知书</w:t>
      </w:r>
    </w:p>
    <w:p w14:paraId="5C3E1311">
      <w:pPr>
        <w:pStyle w:val="26"/>
        <w:keepNext w:val="0"/>
        <w:keepLines w:val="0"/>
        <w:pageBreakBefore w:val="0"/>
        <w:tabs>
          <w:tab w:val="left" w:pos="455"/>
        </w:tabs>
        <w:kinsoku/>
        <w:overflowPunct/>
        <w:topLinePunct w:val="0"/>
        <w:bidi w:val="0"/>
        <w:spacing w:line="360" w:lineRule="auto"/>
        <w:ind w:firstLine="420" w:firstLineChars="200"/>
        <w:rPr>
          <w:rFonts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4F962835">
      <w:pPr>
        <w:pStyle w:val="26"/>
        <w:keepNext w:val="0"/>
        <w:keepLines w:val="0"/>
        <w:pageBreakBefore w:val="0"/>
        <w:tabs>
          <w:tab w:val="left" w:pos="455"/>
        </w:tabs>
        <w:kinsoku/>
        <w:overflowPunct/>
        <w:topLinePunct w:val="0"/>
        <w:bidi w:val="0"/>
        <w:spacing w:line="360" w:lineRule="auto"/>
        <w:ind w:firstLine="422" w:firstLineChars="200"/>
        <w:rPr>
          <w:rFonts w:hAnsi="宋体"/>
          <w:color w:val="auto"/>
          <w:highlight w:val="none"/>
        </w:rPr>
      </w:pPr>
      <w:r>
        <w:rPr>
          <w:rFonts w:hint="eastAsia" w:hAnsi="宋体"/>
          <w:b/>
          <w:color w:val="auto"/>
          <w:szCs w:val="21"/>
          <w:highlight w:val="none"/>
        </w:rPr>
        <w:t>33.2</w:t>
      </w:r>
      <w:r>
        <w:rPr>
          <w:rFonts w:hint="eastAsia" w:hAnsi="宋体"/>
          <w:b/>
          <w:bCs/>
          <w:color w:val="auto"/>
          <w:szCs w:val="21"/>
          <w:highlight w:val="none"/>
        </w:rPr>
        <w:t>中小企业在政府采购活动过程中，请根据自己的真实情况出具《中小企业声明函》。依法享受中小企业优惠政策的，采购人或采购代理机构在公告中标结果时，同时公告其《中小企业声明函》，接受社会监督。</w:t>
      </w:r>
    </w:p>
    <w:p w14:paraId="0209F942">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szCs w:val="21"/>
          <w:highlight w:val="none"/>
        </w:rPr>
        <w:t>33.3</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192AFF6B">
      <w:pPr>
        <w:keepNext w:val="0"/>
        <w:keepLines w:val="0"/>
        <w:pageBreakBefore w:val="0"/>
        <w:tabs>
          <w:tab w:val="left" w:pos="1140"/>
        </w:tabs>
        <w:kinsoku/>
        <w:overflowPunct/>
        <w:topLinePunct w:val="0"/>
        <w:bidi w:val="0"/>
        <w:spacing w:line="360" w:lineRule="auto"/>
        <w:ind w:left="420" w:leftChars="200"/>
        <w:rPr>
          <w:rFonts w:ascii="宋体" w:hAnsi="宋体"/>
          <w:b/>
          <w:color w:val="auto"/>
          <w:sz w:val="28"/>
          <w:szCs w:val="28"/>
          <w:highlight w:val="none"/>
        </w:rPr>
      </w:pPr>
    </w:p>
    <w:p w14:paraId="669C0135">
      <w:pPr>
        <w:keepNext w:val="0"/>
        <w:keepLines w:val="0"/>
        <w:pageBreakBefore w:val="0"/>
        <w:tabs>
          <w:tab w:val="left" w:pos="1140"/>
        </w:tabs>
        <w:kinsoku/>
        <w:overflowPunct/>
        <w:topLinePunct w:val="0"/>
        <w:bidi w:val="0"/>
        <w:spacing w:line="360" w:lineRule="auto"/>
        <w:ind w:left="420" w:leftChars="200"/>
        <w:jc w:val="center"/>
        <w:rPr>
          <w:rFonts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39430444">
      <w:pPr>
        <w:keepNext w:val="0"/>
        <w:keepLines w:val="0"/>
        <w:pageBreakBefore w:val="0"/>
        <w:tabs>
          <w:tab w:val="left" w:pos="1305"/>
        </w:tabs>
        <w:kinsoku/>
        <w:overflowPunct/>
        <w:topLinePunct w:val="0"/>
        <w:bidi w:val="0"/>
        <w:spacing w:line="360" w:lineRule="auto"/>
        <w:ind w:firstLine="316" w:firstLineChars="150"/>
        <w:rPr>
          <w:rFonts w:ascii="宋体" w:hAnsi="宋体"/>
          <w:color w:val="auto"/>
          <w:szCs w:val="21"/>
          <w:highlight w:val="none"/>
        </w:rPr>
      </w:pPr>
      <w:r>
        <w:rPr>
          <w:rFonts w:hint="eastAsia" w:ascii="宋体" w:hAnsi="宋体"/>
          <w:b/>
          <w:color w:val="auto"/>
          <w:highlight w:val="none"/>
        </w:rPr>
        <w:t xml:space="preserve"> 34</w:t>
      </w:r>
      <w:r>
        <w:rPr>
          <w:rFonts w:hint="eastAsia" w:ascii="宋体" w:hAnsi="宋体"/>
          <w:b/>
          <w:color w:val="auto"/>
          <w:szCs w:val="21"/>
          <w:highlight w:val="none"/>
        </w:rPr>
        <w:t>. 履约保证金</w:t>
      </w:r>
    </w:p>
    <w:p w14:paraId="4C943270">
      <w:pPr>
        <w:pStyle w:val="26"/>
        <w:keepNext w:val="0"/>
        <w:keepLines w:val="0"/>
        <w:pageBreakBefore w:val="0"/>
        <w:kinsoku/>
        <w:overflowPunct/>
        <w:topLinePunct w:val="0"/>
        <w:bidi w:val="0"/>
        <w:spacing w:line="360" w:lineRule="auto"/>
        <w:ind w:left="2" w:leftChars="1" w:firstLine="420" w:firstLineChars="200"/>
        <w:rPr>
          <w:rFonts w:hAnsi="宋体"/>
          <w:color w:val="auto"/>
          <w:highlight w:val="none"/>
        </w:rPr>
      </w:pPr>
      <w:r>
        <w:rPr>
          <w:rFonts w:hint="eastAsia" w:hAnsi="宋体"/>
          <w:color w:val="auto"/>
          <w:szCs w:val="21"/>
          <w:highlight w:val="none"/>
        </w:rPr>
        <w:t>本项目不收取履约保证金</w:t>
      </w:r>
      <w:r>
        <w:rPr>
          <w:rFonts w:hint="eastAsia" w:hAnsi="宋体"/>
          <w:color w:val="auto"/>
          <w:highlight w:val="none"/>
        </w:rPr>
        <w:t>。</w:t>
      </w:r>
    </w:p>
    <w:p w14:paraId="3320A67D">
      <w:pPr>
        <w:keepNext w:val="0"/>
        <w:keepLines w:val="0"/>
        <w:pageBreakBefore w:val="0"/>
        <w:tabs>
          <w:tab w:val="left" w:pos="1140"/>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35. 签订合同</w:t>
      </w:r>
    </w:p>
    <w:p w14:paraId="29F71BE3">
      <w:pPr>
        <w:pStyle w:val="26"/>
        <w:keepNext w:val="0"/>
        <w:keepLines w:val="0"/>
        <w:pageBreakBefore w:val="0"/>
        <w:kinsoku/>
        <w:overflowPunct/>
        <w:topLinePunct w:val="0"/>
        <w:bidi w:val="0"/>
        <w:spacing w:line="360" w:lineRule="auto"/>
        <w:ind w:left="2" w:leftChars="1" w:firstLine="420" w:firstLineChars="200"/>
        <w:rPr>
          <w:rFonts w:hAnsi="宋体"/>
          <w:color w:val="auto"/>
          <w:szCs w:val="21"/>
          <w:highlight w:val="none"/>
        </w:rPr>
      </w:pPr>
      <w:r>
        <w:rPr>
          <w:rFonts w:hint="eastAsia" w:hAnsi="宋体"/>
          <w:color w:val="auto"/>
          <w:szCs w:val="21"/>
          <w:highlight w:val="none"/>
        </w:rPr>
        <w:t>35.1签订合同时间：中标通知书发出之日起8个工作日内。中标人应按规定与采购人签订合同。</w:t>
      </w:r>
    </w:p>
    <w:p w14:paraId="14B9CEA7">
      <w:pPr>
        <w:pStyle w:val="26"/>
        <w:keepNext w:val="0"/>
        <w:keepLines w:val="0"/>
        <w:pageBreakBefore w:val="0"/>
        <w:kinsoku/>
        <w:overflowPunct/>
        <w:topLinePunct w:val="0"/>
        <w:bidi w:val="0"/>
        <w:spacing w:line="360" w:lineRule="auto"/>
        <w:ind w:left="2" w:leftChars="1" w:firstLine="420" w:firstLineChars="200"/>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57CC298A">
      <w:pPr>
        <w:pStyle w:val="26"/>
        <w:keepNext w:val="0"/>
        <w:keepLines w:val="0"/>
        <w:pageBreakBefore w:val="0"/>
        <w:kinsoku/>
        <w:overflowPunct/>
        <w:topLinePunct w:val="0"/>
        <w:bidi w:val="0"/>
        <w:spacing w:line="360" w:lineRule="auto"/>
        <w:ind w:firstLine="315" w:firstLineChars="150"/>
        <w:rPr>
          <w:rFonts w:hAnsi="宋体"/>
          <w:color w:val="auto"/>
          <w:szCs w:val="21"/>
          <w:highlight w:val="none"/>
        </w:rPr>
      </w:pPr>
      <w:r>
        <w:rPr>
          <w:rFonts w:hint="eastAsia" w:hAnsi="宋体"/>
          <w:color w:val="auto"/>
          <w:szCs w:val="21"/>
          <w:highlight w:val="none"/>
        </w:rPr>
        <w:t xml:space="preserve"> （1）中标后不与采购人签订合同的（不可抗力除外）；</w:t>
      </w:r>
    </w:p>
    <w:p w14:paraId="260456D0">
      <w:pPr>
        <w:pStyle w:val="26"/>
        <w:keepNext w:val="0"/>
        <w:keepLines w:val="0"/>
        <w:pageBreakBefore w:val="0"/>
        <w:kinsoku/>
        <w:overflowPunct/>
        <w:topLinePunct w:val="0"/>
        <w:bidi w:val="0"/>
        <w:spacing w:line="360" w:lineRule="auto"/>
        <w:ind w:left="2" w:leftChars="1" w:firstLine="315" w:firstLineChars="150"/>
        <w:rPr>
          <w:rFonts w:hAnsi="宋体"/>
          <w:color w:val="auto"/>
          <w:szCs w:val="21"/>
          <w:highlight w:val="none"/>
        </w:rPr>
      </w:pPr>
      <w:r>
        <w:rPr>
          <w:rFonts w:hint="eastAsia" w:hAnsi="宋体"/>
          <w:color w:val="auto"/>
          <w:szCs w:val="21"/>
          <w:highlight w:val="none"/>
        </w:rPr>
        <w:t xml:space="preserve"> （2）将中标项目转让给他人，或者在投标文件中未说明，且未经采购人同意，将中标项目分包给他人的；</w:t>
      </w:r>
    </w:p>
    <w:p w14:paraId="2A21E435">
      <w:pPr>
        <w:pStyle w:val="26"/>
        <w:keepNext w:val="0"/>
        <w:keepLines w:val="0"/>
        <w:pageBreakBefore w:val="0"/>
        <w:kinsoku/>
        <w:overflowPunct/>
        <w:topLinePunct w:val="0"/>
        <w:bidi w:val="0"/>
        <w:spacing w:line="360" w:lineRule="auto"/>
        <w:ind w:left="2" w:leftChars="1" w:firstLine="420" w:firstLineChars="200"/>
        <w:rPr>
          <w:rFonts w:hAnsi="宋体"/>
          <w:color w:val="auto"/>
          <w:highlight w:val="none"/>
        </w:rPr>
      </w:pPr>
      <w:r>
        <w:rPr>
          <w:rFonts w:hint="eastAsia" w:hAnsi="宋体"/>
          <w:color w:val="auto"/>
          <w:szCs w:val="21"/>
          <w:highlight w:val="none"/>
        </w:rPr>
        <w:t>（3）拒绝履行合同义</w:t>
      </w:r>
      <w:r>
        <w:rPr>
          <w:rFonts w:hint="eastAsia" w:hAnsi="宋体"/>
          <w:color w:val="auto"/>
          <w:highlight w:val="none"/>
        </w:rPr>
        <w:t>务的。</w:t>
      </w:r>
    </w:p>
    <w:p w14:paraId="2C63E67E">
      <w:pPr>
        <w:pStyle w:val="26"/>
        <w:keepNext w:val="0"/>
        <w:keepLines w:val="0"/>
        <w:pageBreakBefore w:val="0"/>
        <w:kinsoku/>
        <w:overflowPunct/>
        <w:topLinePunct w:val="0"/>
        <w:bidi w:val="0"/>
        <w:spacing w:line="360" w:lineRule="auto"/>
        <w:ind w:left="2" w:leftChars="1" w:firstLine="420" w:firstLineChars="200"/>
        <w:rPr>
          <w:rFonts w:hAnsi="宋体"/>
          <w:color w:val="auto"/>
          <w:szCs w:val="21"/>
          <w:highlight w:val="none"/>
        </w:rPr>
      </w:pPr>
      <w:r>
        <w:rPr>
          <w:rFonts w:hint="eastAsia" w:hAnsi="宋体"/>
          <w:color w:val="auto"/>
          <w:highlight w:val="none"/>
        </w:rPr>
        <w:t>35.3合同公告：政府采购合同双方自签订之日起2个工作日内在省级以上人民政府财政部门指定媒体上公告</w:t>
      </w:r>
      <w:r>
        <w:rPr>
          <w:rFonts w:hint="eastAsia" w:hAnsi="宋体"/>
          <w:color w:val="auto"/>
          <w:szCs w:val="21"/>
          <w:highlight w:val="none"/>
        </w:rPr>
        <w:t>。</w:t>
      </w:r>
    </w:p>
    <w:p w14:paraId="585A65AE">
      <w:pPr>
        <w:pStyle w:val="26"/>
        <w:keepNext w:val="0"/>
        <w:keepLines w:val="0"/>
        <w:pageBreakBefore w:val="0"/>
        <w:kinsoku/>
        <w:overflowPunct/>
        <w:topLinePunct w:val="0"/>
        <w:bidi w:val="0"/>
        <w:spacing w:line="360" w:lineRule="auto"/>
        <w:ind w:left="3"/>
        <w:jc w:val="center"/>
        <w:rPr>
          <w:rFonts w:hAnsi="宋体"/>
          <w:b/>
          <w:color w:val="auto"/>
          <w:sz w:val="28"/>
          <w:szCs w:val="28"/>
          <w:highlight w:val="none"/>
        </w:rPr>
      </w:pPr>
    </w:p>
    <w:p w14:paraId="4E112865">
      <w:pPr>
        <w:pStyle w:val="26"/>
        <w:keepNext w:val="0"/>
        <w:keepLines w:val="0"/>
        <w:pageBreakBefore w:val="0"/>
        <w:kinsoku/>
        <w:overflowPunct/>
        <w:topLinePunct w:val="0"/>
        <w:bidi w:val="0"/>
        <w:spacing w:line="360" w:lineRule="auto"/>
        <w:ind w:left="3"/>
        <w:jc w:val="center"/>
        <w:rPr>
          <w:rFonts w:hAnsi="宋体"/>
          <w:b/>
          <w:color w:val="auto"/>
          <w:sz w:val="28"/>
          <w:szCs w:val="28"/>
          <w:highlight w:val="none"/>
        </w:rPr>
      </w:pPr>
      <w:r>
        <w:rPr>
          <w:rFonts w:hint="eastAsia" w:hAnsi="宋体"/>
          <w:b/>
          <w:color w:val="auto"/>
          <w:sz w:val="28"/>
          <w:szCs w:val="28"/>
          <w:highlight w:val="none"/>
        </w:rPr>
        <w:t>八、其他事项</w:t>
      </w:r>
    </w:p>
    <w:p w14:paraId="4357AC51">
      <w:pPr>
        <w:pStyle w:val="26"/>
        <w:keepNext w:val="0"/>
        <w:keepLines w:val="0"/>
        <w:pageBreakBefore w:val="0"/>
        <w:kinsoku/>
        <w:overflowPunct/>
        <w:topLinePunct w:val="0"/>
        <w:bidi w:val="0"/>
        <w:spacing w:line="360" w:lineRule="auto"/>
        <w:ind w:firstLine="422" w:firstLineChars="200"/>
        <w:rPr>
          <w:rFonts w:hAnsi="宋体"/>
          <w:b/>
          <w:color w:val="auto"/>
          <w:highlight w:val="none"/>
        </w:rPr>
      </w:pPr>
      <w:r>
        <w:rPr>
          <w:rFonts w:hint="eastAsia" w:hAnsi="宋体"/>
          <w:b/>
          <w:color w:val="auto"/>
          <w:highlight w:val="none"/>
        </w:rPr>
        <w:t>36.采购代理服务费</w:t>
      </w:r>
    </w:p>
    <w:p w14:paraId="33AA7878">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36.1采购代理服务费：</w:t>
      </w:r>
      <w:r>
        <w:rPr>
          <w:rFonts w:hint="eastAsia" w:ascii="宋体" w:hAnsi="宋体"/>
          <w:color w:val="auto"/>
          <w:highlight w:val="none"/>
        </w:rPr>
        <w:t>本项目采购代理服务费按本须知第36.2条“采购代理服务收费标准”中“货物招标”收费标准</w:t>
      </w:r>
      <w:r>
        <w:rPr>
          <w:rFonts w:hint="eastAsia" w:ascii="宋体" w:hAnsi="宋体"/>
          <w:color w:val="auto"/>
          <w:highlight w:val="none"/>
          <w:lang w:val="en-US" w:eastAsia="zh-CN"/>
        </w:rPr>
        <w:t>的80%</w:t>
      </w:r>
      <w:r>
        <w:rPr>
          <w:rFonts w:hint="eastAsia" w:ascii="宋体" w:hAnsi="宋体"/>
          <w:color w:val="auto"/>
          <w:highlight w:val="none"/>
        </w:rPr>
        <w:t>计算（不足人民币6000元的，按6000元计），根据本项目采购代理协议该“采购代理服务费”由中标人在获取中标通知书前向采购代理机构一次性付清（否则，该不利后果由中标人承担）。</w:t>
      </w:r>
    </w:p>
    <w:p w14:paraId="34BCA0C1">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576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5BFF5034">
            <w:pPr>
              <w:pStyle w:val="26"/>
              <w:keepNext w:val="0"/>
              <w:keepLines w:val="0"/>
              <w:pageBreakBefore w:val="0"/>
              <w:kinsoku/>
              <w:overflowPunct/>
              <w:topLinePunct w:val="0"/>
              <w:bidi w:val="0"/>
              <w:spacing w:line="360" w:lineRule="auto"/>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highlight w:val="none"/>
              </w:rPr>
              <w:t>费率           服务类型</w:t>
            </w:r>
          </w:p>
          <w:p w14:paraId="581A5857">
            <w:pPr>
              <w:pStyle w:val="26"/>
              <w:keepNext w:val="0"/>
              <w:keepLines w:val="0"/>
              <w:pageBreakBefore w:val="0"/>
              <w:kinsoku/>
              <w:overflowPunct/>
              <w:topLinePunct w:val="0"/>
              <w:bidi w:val="0"/>
              <w:spacing w:line="360" w:lineRule="auto"/>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3C9F5D4E">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中标金额</w:t>
            </w:r>
          </w:p>
        </w:tc>
        <w:tc>
          <w:tcPr>
            <w:tcW w:w="1841" w:type="dxa"/>
            <w:vAlign w:val="center"/>
          </w:tcPr>
          <w:p w14:paraId="23F87C29">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货物招标</w:t>
            </w:r>
          </w:p>
        </w:tc>
        <w:tc>
          <w:tcPr>
            <w:tcW w:w="1992" w:type="dxa"/>
            <w:vAlign w:val="center"/>
          </w:tcPr>
          <w:p w14:paraId="696FE80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服务招标</w:t>
            </w:r>
          </w:p>
        </w:tc>
        <w:tc>
          <w:tcPr>
            <w:tcW w:w="2293" w:type="dxa"/>
            <w:vAlign w:val="center"/>
          </w:tcPr>
          <w:p w14:paraId="7F4C0EDE">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工程招标</w:t>
            </w:r>
          </w:p>
        </w:tc>
      </w:tr>
      <w:tr w14:paraId="0550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25C2D655">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100万元以下</w:t>
            </w:r>
          </w:p>
        </w:tc>
        <w:tc>
          <w:tcPr>
            <w:tcW w:w="1841" w:type="dxa"/>
          </w:tcPr>
          <w:p w14:paraId="01A43000">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1.5%</w:t>
            </w:r>
          </w:p>
        </w:tc>
        <w:tc>
          <w:tcPr>
            <w:tcW w:w="1992" w:type="dxa"/>
          </w:tcPr>
          <w:p w14:paraId="39AA8369">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1.5%</w:t>
            </w:r>
          </w:p>
        </w:tc>
        <w:tc>
          <w:tcPr>
            <w:tcW w:w="2293" w:type="dxa"/>
          </w:tcPr>
          <w:p w14:paraId="3646BA29">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1.0%</w:t>
            </w:r>
          </w:p>
        </w:tc>
      </w:tr>
      <w:tr w14:paraId="05D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4C9882B3">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100～500万元</w:t>
            </w:r>
          </w:p>
        </w:tc>
        <w:tc>
          <w:tcPr>
            <w:tcW w:w="1841" w:type="dxa"/>
          </w:tcPr>
          <w:p w14:paraId="7D6B7995">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1.1%</w:t>
            </w:r>
          </w:p>
        </w:tc>
        <w:tc>
          <w:tcPr>
            <w:tcW w:w="1992" w:type="dxa"/>
          </w:tcPr>
          <w:p w14:paraId="500CC853">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0.8%</w:t>
            </w:r>
          </w:p>
        </w:tc>
        <w:tc>
          <w:tcPr>
            <w:tcW w:w="2293" w:type="dxa"/>
          </w:tcPr>
          <w:p w14:paraId="568E9A14">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0.7%</w:t>
            </w:r>
          </w:p>
        </w:tc>
      </w:tr>
      <w:tr w14:paraId="1C4F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0E2E77B">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500～1000万元</w:t>
            </w:r>
          </w:p>
        </w:tc>
        <w:tc>
          <w:tcPr>
            <w:tcW w:w="1841" w:type="dxa"/>
          </w:tcPr>
          <w:p w14:paraId="0E1ACCDC">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0.8%</w:t>
            </w:r>
          </w:p>
        </w:tc>
        <w:tc>
          <w:tcPr>
            <w:tcW w:w="1992" w:type="dxa"/>
          </w:tcPr>
          <w:p w14:paraId="5CC7D009">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0.45%</w:t>
            </w:r>
          </w:p>
        </w:tc>
        <w:tc>
          <w:tcPr>
            <w:tcW w:w="2293" w:type="dxa"/>
          </w:tcPr>
          <w:p w14:paraId="1722A9F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0.55%</w:t>
            </w:r>
          </w:p>
        </w:tc>
      </w:tr>
      <w:tr w14:paraId="025A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6753E26">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1000～5000万元</w:t>
            </w:r>
          </w:p>
        </w:tc>
        <w:tc>
          <w:tcPr>
            <w:tcW w:w="1841" w:type="dxa"/>
          </w:tcPr>
          <w:p w14:paraId="60DF9B95">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0.5%</w:t>
            </w:r>
          </w:p>
        </w:tc>
        <w:tc>
          <w:tcPr>
            <w:tcW w:w="1992" w:type="dxa"/>
          </w:tcPr>
          <w:p w14:paraId="77FF9777">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0.25%</w:t>
            </w:r>
          </w:p>
        </w:tc>
        <w:tc>
          <w:tcPr>
            <w:tcW w:w="2293" w:type="dxa"/>
          </w:tcPr>
          <w:p w14:paraId="0DC2BCF0">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0.35%</w:t>
            </w:r>
          </w:p>
        </w:tc>
      </w:tr>
      <w:tr w14:paraId="05D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9F217E8">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5000万元～1亿元</w:t>
            </w:r>
          </w:p>
        </w:tc>
        <w:tc>
          <w:tcPr>
            <w:tcW w:w="1841" w:type="dxa"/>
          </w:tcPr>
          <w:p w14:paraId="668EA3B2">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0.25%</w:t>
            </w:r>
          </w:p>
        </w:tc>
        <w:tc>
          <w:tcPr>
            <w:tcW w:w="1992" w:type="dxa"/>
          </w:tcPr>
          <w:p w14:paraId="60D1A85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0.1%</w:t>
            </w:r>
          </w:p>
        </w:tc>
        <w:tc>
          <w:tcPr>
            <w:tcW w:w="2293" w:type="dxa"/>
          </w:tcPr>
          <w:p w14:paraId="1481D56C">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0.2%</w:t>
            </w:r>
          </w:p>
        </w:tc>
      </w:tr>
      <w:tr w14:paraId="7CC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BD61E5B">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1～5亿元</w:t>
            </w:r>
          </w:p>
        </w:tc>
        <w:tc>
          <w:tcPr>
            <w:tcW w:w="1841" w:type="dxa"/>
          </w:tcPr>
          <w:p w14:paraId="01B53981">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0.05%</w:t>
            </w:r>
          </w:p>
        </w:tc>
        <w:tc>
          <w:tcPr>
            <w:tcW w:w="1992" w:type="dxa"/>
          </w:tcPr>
          <w:p w14:paraId="0C7B9B7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0.05%</w:t>
            </w:r>
          </w:p>
        </w:tc>
        <w:tc>
          <w:tcPr>
            <w:tcW w:w="2293" w:type="dxa"/>
          </w:tcPr>
          <w:p w14:paraId="7D32C2AD">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0.05%</w:t>
            </w:r>
          </w:p>
        </w:tc>
      </w:tr>
      <w:tr w14:paraId="0DF5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0F3ADE9">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5～10亿元</w:t>
            </w:r>
          </w:p>
        </w:tc>
        <w:tc>
          <w:tcPr>
            <w:tcW w:w="1841" w:type="dxa"/>
          </w:tcPr>
          <w:p w14:paraId="40BA1974">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0.035%</w:t>
            </w:r>
          </w:p>
        </w:tc>
        <w:tc>
          <w:tcPr>
            <w:tcW w:w="1992" w:type="dxa"/>
          </w:tcPr>
          <w:p w14:paraId="7DA97AD1">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0.035%</w:t>
            </w:r>
          </w:p>
        </w:tc>
        <w:tc>
          <w:tcPr>
            <w:tcW w:w="2293" w:type="dxa"/>
          </w:tcPr>
          <w:p w14:paraId="59A6DA1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0.035%</w:t>
            </w:r>
          </w:p>
        </w:tc>
      </w:tr>
      <w:tr w14:paraId="29F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992B0BF">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10～50亿元</w:t>
            </w:r>
          </w:p>
        </w:tc>
        <w:tc>
          <w:tcPr>
            <w:tcW w:w="1841" w:type="dxa"/>
          </w:tcPr>
          <w:p w14:paraId="30696E3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0.008%</w:t>
            </w:r>
          </w:p>
        </w:tc>
        <w:tc>
          <w:tcPr>
            <w:tcW w:w="1992" w:type="dxa"/>
          </w:tcPr>
          <w:p w14:paraId="65A351C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0.008%</w:t>
            </w:r>
          </w:p>
        </w:tc>
        <w:tc>
          <w:tcPr>
            <w:tcW w:w="2293" w:type="dxa"/>
          </w:tcPr>
          <w:p w14:paraId="169E626D">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0.008%</w:t>
            </w:r>
          </w:p>
        </w:tc>
      </w:tr>
      <w:tr w14:paraId="662C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6B51396">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50～100亿元</w:t>
            </w:r>
          </w:p>
        </w:tc>
        <w:tc>
          <w:tcPr>
            <w:tcW w:w="1841" w:type="dxa"/>
          </w:tcPr>
          <w:p w14:paraId="216E71E2">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0.006%</w:t>
            </w:r>
          </w:p>
        </w:tc>
        <w:tc>
          <w:tcPr>
            <w:tcW w:w="1992" w:type="dxa"/>
          </w:tcPr>
          <w:p w14:paraId="11ABA08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0.006%</w:t>
            </w:r>
          </w:p>
        </w:tc>
        <w:tc>
          <w:tcPr>
            <w:tcW w:w="2293" w:type="dxa"/>
          </w:tcPr>
          <w:p w14:paraId="2FC3BD78">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0.006%</w:t>
            </w:r>
          </w:p>
        </w:tc>
      </w:tr>
      <w:tr w14:paraId="42AE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399A0C8">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100亿以上</w:t>
            </w:r>
          </w:p>
        </w:tc>
        <w:tc>
          <w:tcPr>
            <w:tcW w:w="1841" w:type="dxa"/>
          </w:tcPr>
          <w:p w14:paraId="29E03BB1">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0.004%</w:t>
            </w:r>
          </w:p>
        </w:tc>
        <w:tc>
          <w:tcPr>
            <w:tcW w:w="1992" w:type="dxa"/>
          </w:tcPr>
          <w:p w14:paraId="14A71CC9">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0.004%</w:t>
            </w:r>
          </w:p>
        </w:tc>
        <w:tc>
          <w:tcPr>
            <w:tcW w:w="2293" w:type="dxa"/>
          </w:tcPr>
          <w:p w14:paraId="4994D232">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0.004%</w:t>
            </w:r>
          </w:p>
        </w:tc>
      </w:tr>
    </w:tbl>
    <w:p w14:paraId="2EE4D7E4">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注：采购代理服务收费按差额定率累进法计算。</w:t>
      </w:r>
    </w:p>
    <w:p w14:paraId="7042D586">
      <w:pPr>
        <w:keepNext w:val="0"/>
        <w:keepLines w:val="0"/>
        <w:pageBreakBefore w:val="0"/>
        <w:kinsoku/>
        <w:overflowPunct/>
        <w:topLinePunct w:val="0"/>
        <w:bidi w:val="0"/>
        <w:spacing w:line="360" w:lineRule="auto"/>
        <w:ind w:firstLine="422" w:firstLineChars="200"/>
        <w:rPr>
          <w:rFonts w:ascii="宋体" w:hAnsi="宋体"/>
          <w:b/>
          <w:color w:val="auto"/>
          <w:highlight w:val="none"/>
        </w:rPr>
      </w:pPr>
      <w:r>
        <w:rPr>
          <w:rFonts w:hint="eastAsia" w:ascii="宋体" w:hAnsi="宋体"/>
          <w:b/>
          <w:color w:val="auto"/>
          <w:highlight w:val="none"/>
        </w:rPr>
        <w:t>37.采购代理机构银行账户（用于交纳采购代理服务费）：</w:t>
      </w:r>
    </w:p>
    <w:p w14:paraId="5A405318">
      <w:pPr>
        <w:keepNext w:val="0"/>
        <w:keepLines w:val="0"/>
        <w:pageBreakBefore w:val="0"/>
        <w:widowControl w:val="0"/>
        <w:kinsoku/>
        <w:wordWrap w:val="0"/>
        <w:overflowPunct/>
        <w:topLinePunct w:val="0"/>
        <w:bidi w:val="0"/>
        <w:spacing w:line="360" w:lineRule="auto"/>
        <w:ind w:left="25" w:firstLine="420" w:firstLineChars="200"/>
        <w:rPr>
          <w:rFonts w:hint="eastAsia" w:ascii="宋体" w:hAnsi="宋体" w:eastAsia="宋体" w:cs="宋体"/>
          <w:b w:val="0"/>
          <w:bCs w:val="0"/>
          <w:color w:val="auto"/>
          <w:kern w:val="0"/>
          <w:sz w:val="21"/>
          <w:szCs w:val="20"/>
          <w:highlight w:val="none"/>
        </w:rPr>
      </w:pPr>
      <w:r>
        <w:rPr>
          <w:rFonts w:hint="eastAsia" w:ascii="宋体" w:hAnsi="宋体" w:eastAsia="宋体" w:cs="宋体"/>
          <w:b w:val="0"/>
          <w:bCs w:val="0"/>
          <w:color w:val="auto"/>
          <w:kern w:val="0"/>
          <w:sz w:val="21"/>
          <w:szCs w:val="20"/>
          <w:highlight w:val="none"/>
        </w:rPr>
        <w:t>账户名称：</w:t>
      </w:r>
      <w:r>
        <w:rPr>
          <w:rFonts w:hint="eastAsia" w:ascii="宋体" w:hAnsi="宋体" w:eastAsia="宋体" w:cs="宋体"/>
          <w:b w:val="0"/>
          <w:bCs w:val="0"/>
          <w:color w:val="auto"/>
          <w:kern w:val="0"/>
          <w:sz w:val="21"/>
          <w:szCs w:val="20"/>
          <w:highlight w:val="none"/>
          <w:lang w:eastAsia="zh-CN"/>
        </w:rPr>
        <w:t>广西昶吉工程项目管理有限公司</w:t>
      </w:r>
    </w:p>
    <w:p w14:paraId="49BA8DC2">
      <w:pPr>
        <w:keepNext w:val="0"/>
        <w:keepLines w:val="0"/>
        <w:pageBreakBefore w:val="0"/>
        <w:widowControl w:val="0"/>
        <w:kinsoku/>
        <w:wordWrap w:val="0"/>
        <w:overflowPunct/>
        <w:topLinePunct w:val="0"/>
        <w:bidi w:val="0"/>
        <w:spacing w:line="360" w:lineRule="auto"/>
        <w:ind w:left="25" w:firstLine="420" w:firstLineChars="200"/>
        <w:rPr>
          <w:rFonts w:hint="eastAsia" w:ascii="宋体" w:hAnsi="宋体" w:eastAsia="宋体" w:cs="宋体"/>
          <w:b w:val="0"/>
          <w:bCs w:val="0"/>
          <w:color w:val="auto"/>
          <w:kern w:val="0"/>
          <w:sz w:val="21"/>
          <w:szCs w:val="20"/>
          <w:highlight w:val="none"/>
        </w:rPr>
      </w:pPr>
      <w:r>
        <w:rPr>
          <w:rFonts w:hint="eastAsia" w:ascii="宋体" w:hAnsi="宋体" w:eastAsia="宋体" w:cs="宋体"/>
          <w:b w:val="0"/>
          <w:bCs w:val="0"/>
          <w:color w:val="auto"/>
          <w:kern w:val="0"/>
          <w:sz w:val="21"/>
          <w:szCs w:val="20"/>
          <w:highlight w:val="none"/>
        </w:rPr>
        <w:t>开户银行：广西桂林漓江农村合作银行</w:t>
      </w:r>
      <w:r>
        <w:rPr>
          <w:rFonts w:hint="eastAsia" w:ascii="宋体" w:hAnsi="宋体" w:eastAsia="宋体" w:cs="宋体"/>
          <w:b w:val="0"/>
          <w:bCs w:val="0"/>
          <w:color w:val="auto"/>
          <w:kern w:val="0"/>
          <w:sz w:val="21"/>
          <w:szCs w:val="20"/>
          <w:highlight w:val="none"/>
          <w:lang w:val="en-US" w:eastAsia="zh-CN"/>
        </w:rPr>
        <w:t>营业部</w:t>
      </w:r>
    </w:p>
    <w:p w14:paraId="53F9746A">
      <w:pPr>
        <w:keepNext w:val="0"/>
        <w:keepLines w:val="0"/>
        <w:pageBreakBefore w:val="0"/>
        <w:widowControl w:val="0"/>
        <w:kinsoku/>
        <w:wordWrap w:val="0"/>
        <w:overflowPunct/>
        <w:topLinePunct w:val="0"/>
        <w:bidi w:val="0"/>
        <w:spacing w:line="360" w:lineRule="auto"/>
        <w:ind w:left="25" w:firstLine="420" w:firstLineChars="200"/>
        <w:rPr>
          <w:rFonts w:hint="eastAsia" w:ascii="宋体" w:hAnsi="宋体" w:eastAsia="宋体" w:cs="宋体"/>
          <w:b w:val="0"/>
          <w:bCs w:val="0"/>
          <w:color w:val="auto"/>
          <w:kern w:val="0"/>
          <w:sz w:val="21"/>
          <w:szCs w:val="20"/>
          <w:highlight w:val="none"/>
        </w:rPr>
      </w:pPr>
      <w:r>
        <w:rPr>
          <w:rFonts w:hint="eastAsia" w:ascii="宋体" w:hAnsi="宋体" w:eastAsia="宋体" w:cs="宋体"/>
          <w:b w:val="0"/>
          <w:bCs w:val="0"/>
          <w:color w:val="auto"/>
          <w:kern w:val="0"/>
          <w:sz w:val="21"/>
          <w:szCs w:val="20"/>
          <w:highlight w:val="none"/>
        </w:rPr>
        <w:t>银行账号：</w:t>
      </w:r>
      <w:r>
        <w:rPr>
          <w:rFonts w:hint="eastAsia" w:ascii="宋体" w:hAnsi="宋体" w:eastAsia="宋体" w:cs="宋体"/>
          <w:b w:val="0"/>
          <w:bCs w:val="0"/>
          <w:color w:val="auto"/>
          <w:kern w:val="0"/>
          <w:sz w:val="21"/>
          <w:szCs w:val="20"/>
          <w:highlight w:val="none"/>
          <w:lang w:val="en-US" w:eastAsia="zh-CN"/>
        </w:rPr>
        <w:t>376212010101926981</w:t>
      </w:r>
      <w:r>
        <w:rPr>
          <w:rFonts w:hint="eastAsia" w:ascii="宋体" w:hAnsi="宋体" w:eastAsia="宋体" w:cs="宋体"/>
          <w:b w:val="0"/>
          <w:bCs w:val="0"/>
          <w:color w:val="auto"/>
          <w:kern w:val="0"/>
          <w:sz w:val="21"/>
          <w:szCs w:val="20"/>
          <w:highlight w:val="none"/>
        </w:rPr>
        <w:t> </w:t>
      </w:r>
    </w:p>
    <w:p w14:paraId="203E0993">
      <w:pPr>
        <w:keepNext w:val="0"/>
        <w:keepLines w:val="0"/>
        <w:pageBreakBefore w:val="0"/>
        <w:kinsoku/>
        <w:overflowPunct/>
        <w:topLinePunct w:val="0"/>
        <w:bidi w:val="0"/>
        <w:spacing w:line="360" w:lineRule="auto"/>
        <w:ind w:firstLine="422"/>
        <w:rPr>
          <w:rFonts w:ascii="宋体" w:hAnsi="宋体" w:cs="宋体"/>
          <w:b/>
          <w:color w:val="auto"/>
          <w:kern w:val="0"/>
          <w:highlight w:val="none"/>
        </w:rPr>
      </w:pPr>
      <w:r>
        <w:rPr>
          <w:rFonts w:hint="eastAsia" w:hAnsi="宋体"/>
          <w:b/>
          <w:color w:val="auto"/>
          <w:highlight w:val="none"/>
        </w:rPr>
        <w:t>38.</w:t>
      </w:r>
      <w:r>
        <w:rPr>
          <w:rFonts w:hint="eastAsia" w:ascii="宋体" w:hAnsi="宋体" w:cs="宋体"/>
          <w:b/>
          <w:color w:val="auto"/>
          <w:kern w:val="0"/>
          <w:highlight w:val="none"/>
        </w:rPr>
        <w:t>广西线上“政采贷”政策详见附表4.</w:t>
      </w:r>
    </w:p>
    <w:p w14:paraId="725142D9">
      <w:pPr>
        <w:pStyle w:val="26"/>
        <w:keepNext w:val="0"/>
        <w:keepLines w:val="0"/>
        <w:pageBreakBefore w:val="0"/>
        <w:kinsoku/>
        <w:overflowPunct/>
        <w:topLinePunct w:val="0"/>
        <w:bidi w:val="0"/>
        <w:snapToGrid w:val="0"/>
        <w:spacing w:line="360" w:lineRule="auto"/>
        <w:ind w:firstLine="422" w:firstLineChars="200"/>
        <w:rPr>
          <w:rFonts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113B870A">
      <w:pPr>
        <w:keepNext w:val="0"/>
        <w:keepLines w:val="0"/>
        <w:pageBreakBefore w:val="0"/>
        <w:kinsoku/>
        <w:overflowPunct/>
        <w:topLinePunct w:val="0"/>
        <w:bidi w:val="0"/>
        <w:snapToGrid w:val="0"/>
        <w:spacing w:line="360" w:lineRule="auto"/>
        <w:ind w:firstLine="422" w:firstLineChars="200"/>
        <w:rPr>
          <w:rFonts w:hint="eastAsia" w:ascii="宋体" w:hAnsi="宋体" w:eastAsia="宋体"/>
          <w:b/>
          <w:color w:val="auto"/>
          <w:sz w:val="32"/>
          <w:szCs w:val="32"/>
          <w:highlight w:val="none"/>
          <w:lang w:eastAsia="zh-CN"/>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lang w:eastAsia="zh-CN"/>
        </w:rPr>
        <w:t>资源县财政局   电话：0773-4315648</w:t>
      </w:r>
    </w:p>
    <w:p w14:paraId="0AB51193">
      <w:pPr>
        <w:pStyle w:val="26"/>
        <w:keepNext w:val="0"/>
        <w:keepLines w:val="0"/>
        <w:pageBreakBefore w:val="0"/>
        <w:kinsoku/>
        <w:overflowPunct/>
        <w:topLinePunct w:val="0"/>
        <w:bidi w:val="0"/>
        <w:snapToGrid w:val="0"/>
        <w:spacing w:line="360" w:lineRule="auto"/>
        <w:ind w:firstLine="422" w:firstLineChars="200"/>
        <w:rPr>
          <w:rFonts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4C20F3A6">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 xml:space="preserve">（1）电子交易平台发生故障而无法登录访问的； </w:t>
      </w:r>
    </w:p>
    <w:p w14:paraId="685B6F04">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（2）电子交易平台应用或数据库出现错误，不能进行正常操作的；</w:t>
      </w:r>
    </w:p>
    <w:p w14:paraId="657562A3">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（3）电子交易平台发现严重安全漏洞，有潜在泄密危险的；</w:t>
      </w:r>
    </w:p>
    <w:p w14:paraId="703AE427">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 xml:space="preserve">（4）病毒发作导致不能进行正常操作的； </w:t>
      </w:r>
    </w:p>
    <w:p w14:paraId="1E824229">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（5）其他无法保证电子交易的公平、公正和安全的情况。</w:t>
      </w:r>
    </w:p>
    <w:p w14:paraId="52E0779F">
      <w:pPr>
        <w:pStyle w:val="26"/>
        <w:keepNext w:val="0"/>
        <w:keepLines w:val="0"/>
        <w:pageBreakBefore w:val="0"/>
        <w:kinsoku/>
        <w:overflowPunct/>
        <w:topLinePunct w:val="0"/>
        <w:bidi w:val="0"/>
        <w:snapToGrid w:val="0"/>
        <w:spacing w:line="360" w:lineRule="auto"/>
        <w:rPr>
          <w:rFonts w:hAnsi="宋体"/>
          <w:b/>
          <w:color w:val="auto"/>
          <w:sz w:val="24"/>
          <w:szCs w:val="24"/>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highlight w:val="none"/>
        </w:rPr>
        <w:br w:type="page"/>
      </w:r>
      <w:r>
        <w:rPr>
          <w:rFonts w:hint="eastAsia"/>
          <w:b/>
          <w:color w:val="auto"/>
          <w:sz w:val="24"/>
          <w:szCs w:val="24"/>
          <w:highlight w:val="none"/>
        </w:rPr>
        <w:t>附表1：</w:t>
      </w:r>
    </w:p>
    <w:p w14:paraId="52A5EA54">
      <w:pPr>
        <w:keepNext w:val="0"/>
        <w:keepLines w:val="0"/>
        <w:pageBreakBefore w:val="0"/>
        <w:kinsoku/>
        <w:overflowPunct/>
        <w:topLinePunct w:val="0"/>
        <w:bidi w:val="0"/>
        <w:spacing w:line="360" w:lineRule="auto"/>
        <w:jc w:val="center"/>
        <w:rPr>
          <w:rFonts w:eastAsia="隶书"/>
          <w:color w:val="auto"/>
          <w:sz w:val="44"/>
          <w:highlight w:val="none"/>
        </w:rPr>
      </w:pPr>
      <w:r>
        <w:rPr>
          <w:rFonts w:hint="eastAsia" w:eastAsia="隶书"/>
          <w:color w:val="auto"/>
          <w:sz w:val="44"/>
          <w:highlight w:val="none"/>
        </w:rPr>
        <w:t>质疑函（格式）</w:t>
      </w:r>
    </w:p>
    <w:p w14:paraId="09177EAE">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一、质疑供应商基本信息：</w:t>
      </w:r>
    </w:p>
    <w:p w14:paraId="2B442F71">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r>
        <w:rPr>
          <w:rFonts w:hint="eastAsia" w:hAnsi="宋体"/>
          <w:bCs/>
          <w:color w:val="auto"/>
          <w:highlight w:val="none"/>
        </w:rPr>
        <w:t xml:space="preserve">                 </w:t>
      </w:r>
    </w:p>
    <w:p w14:paraId="27E14087">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0D5E818">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279BBB62">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6CE3C781">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7A881EF0">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650BC8B">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二、质疑项目基本情况：</w:t>
      </w:r>
    </w:p>
    <w:p w14:paraId="51925CDE">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7DA21CDD">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u w:val="single"/>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color w:val="auto"/>
          <w:szCs w:val="21"/>
          <w:highlight w:val="none"/>
          <w:u w:val="single"/>
        </w:rPr>
        <w:t xml:space="preserve">              </w:t>
      </w:r>
    </w:p>
    <w:p w14:paraId="3D520CC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采购人名称：</w:t>
      </w:r>
      <w:r>
        <w:rPr>
          <w:rFonts w:hint="eastAsia" w:hAnsi="宋体"/>
          <w:bCs/>
          <w:color w:val="auto"/>
          <w:highlight w:val="none"/>
          <w:u w:val="single"/>
        </w:rPr>
        <w:t xml:space="preserve">                                         </w:t>
      </w:r>
    </w:p>
    <w:p w14:paraId="39F9A78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质疑事项：</w:t>
      </w:r>
    </w:p>
    <w:p w14:paraId="29077609">
      <w:pPr>
        <w:pStyle w:val="26"/>
        <w:keepNext w:val="0"/>
        <w:keepLines w:val="0"/>
        <w:pageBreakBefore w:val="0"/>
        <w:kinsoku/>
        <w:overflowPunct/>
        <w:topLinePunct w:val="0"/>
        <w:bidi w:val="0"/>
        <w:spacing w:line="360" w:lineRule="auto"/>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r>
        <w:rPr>
          <w:rFonts w:hint="eastAsia" w:hAnsi="宋体"/>
          <w:bCs/>
          <w:color w:val="auto"/>
          <w:highlight w:val="none"/>
          <w:u w:val="single"/>
        </w:rPr>
        <w:t xml:space="preserve">                                   </w:t>
      </w:r>
    </w:p>
    <w:p w14:paraId="3D030E1F">
      <w:pPr>
        <w:pStyle w:val="26"/>
        <w:keepNext w:val="0"/>
        <w:keepLines w:val="0"/>
        <w:pageBreakBefore w:val="0"/>
        <w:kinsoku/>
        <w:overflowPunct/>
        <w:topLinePunct w:val="0"/>
        <w:bidi w:val="0"/>
        <w:spacing w:line="360" w:lineRule="auto"/>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2B10B30F">
      <w:pPr>
        <w:pStyle w:val="26"/>
        <w:keepNext w:val="0"/>
        <w:keepLines w:val="0"/>
        <w:pageBreakBefore w:val="0"/>
        <w:kinsoku/>
        <w:overflowPunct/>
        <w:topLinePunct w:val="0"/>
        <w:bidi w:val="0"/>
        <w:spacing w:line="360" w:lineRule="auto"/>
        <w:ind w:left="25" w:leftChars="12" w:firstLine="441" w:firstLineChars="147"/>
        <w:rPr>
          <w:rFonts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6CCBA047">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三、质疑事项具体内容</w:t>
      </w:r>
    </w:p>
    <w:p w14:paraId="16D5D248">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49B63B5D">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49772523">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74CA1C1E">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质疑事项2</w:t>
      </w:r>
    </w:p>
    <w:p w14:paraId="271106CB">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Ansi="宋体"/>
          <w:color w:val="auto"/>
          <w:szCs w:val="21"/>
          <w:highlight w:val="none"/>
        </w:rPr>
        <w:t>……</w:t>
      </w:r>
    </w:p>
    <w:p w14:paraId="1F29106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四、与质疑事项相关的质疑请求：</w:t>
      </w:r>
    </w:p>
    <w:p w14:paraId="3BCCF570">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14BE091D">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4E9E5AD9">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139F72D1">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53ADD62D">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日期：</w:t>
      </w:r>
    </w:p>
    <w:p w14:paraId="7A89A682">
      <w:pPr>
        <w:pStyle w:val="26"/>
        <w:keepNext w:val="0"/>
        <w:keepLines w:val="0"/>
        <w:pageBreakBefore w:val="0"/>
        <w:kinsoku/>
        <w:overflowPunct/>
        <w:topLinePunct w:val="0"/>
        <w:bidi w:val="0"/>
        <w:snapToGrid w:val="0"/>
        <w:spacing w:line="360" w:lineRule="auto"/>
        <w:rPr>
          <w:rFonts w:hAnsi="宋体"/>
          <w:b/>
          <w:color w:val="auto"/>
          <w:szCs w:val="21"/>
          <w:highlight w:val="none"/>
        </w:rPr>
      </w:pPr>
    </w:p>
    <w:p w14:paraId="59F1298E">
      <w:pPr>
        <w:pStyle w:val="26"/>
        <w:keepNext w:val="0"/>
        <w:keepLines w:val="0"/>
        <w:pageBreakBefore w:val="0"/>
        <w:kinsoku/>
        <w:overflowPunct/>
        <w:topLinePunct w:val="0"/>
        <w:bidi w:val="0"/>
        <w:snapToGrid w:val="0"/>
        <w:spacing w:line="360" w:lineRule="auto"/>
        <w:rPr>
          <w:rFonts w:hAnsi="宋体"/>
          <w:b/>
          <w:color w:val="auto"/>
          <w:szCs w:val="21"/>
          <w:highlight w:val="none"/>
        </w:rPr>
      </w:pPr>
      <w:r>
        <w:rPr>
          <w:rFonts w:hint="eastAsia" w:hAnsi="宋体"/>
          <w:b/>
          <w:color w:val="auto"/>
          <w:szCs w:val="21"/>
          <w:highlight w:val="none"/>
        </w:rPr>
        <w:t>说明：</w:t>
      </w:r>
    </w:p>
    <w:p w14:paraId="379A7F1E">
      <w:pPr>
        <w:pStyle w:val="26"/>
        <w:keepNext w:val="0"/>
        <w:keepLines w:val="0"/>
        <w:pageBreakBefore w:val="0"/>
        <w:kinsoku/>
        <w:overflowPunct/>
        <w:topLinePunct w:val="0"/>
        <w:bidi w:val="0"/>
        <w:spacing w:line="360" w:lineRule="auto"/>
        <w:ind w:left="25" w:leftChars="12" w:firstLine="310" w:firstLineChars="147"/>
        <w:rPr>
          <w:rFonts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2FD32289">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9D5A82A">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3.质疑函的质疑事项应具体、明确，并有必要的事实依据和法律依据。</w:t>
      </w:r>
    </w:p>
    <w:p w14:paraId="025461EA">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4.质疑函的质疑请求应与质疑事项相关。</w:t>
      </w:r>
    </w:p>
    <w:p w14:paraId="6529A297">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10D8982E">
      <w:pPr>
        <w:pStyle w:val="26"/>
        <w:keepNext w:val="0"/>
        <w:keepLines w:val="0"/>
        <w:pageBreakBefore w:val="0"/>
        <w:kinsoku/>
        <w:overflowPunct/>
        <w:topLinePunct w:val="0"/>
        <w:bidi w:val="0"/>
        <w:spacing w:line="360" w:lineRule="auto"/>
        <w:jc w:val="center"/>
        <w:rPr>
          <w:rFonts w:hAnsi="宋体"/>
          <w:b/>
          <w:color w:val="auto"/>
          <w:sz w:val="32"/>
          <w:highlight w:val="none"/>
        </w:rPr>
      </w:pPr>
      <w:r>
        <w:rPr>
          <w:color w:val="auto"/>
          <w:highlight w:val="none"/>
        </w:rPr>
        <w:br w:type="page"/>
      </w:r>
      <w:r>
        <w:rPr>
          <w:rFonts w:hint="eastAsia" w:hAnsi="宋体"/>
          <w:b/>
          <w:color w:val="auto"/>
          <w:sz w:val="32"/>
          <w:highlight w:val="none"/>
        </w:rPr>
        <w:t>质疑授权委托书（格式）</w:t>
      </w:r>
    </w:p>
    <w:p w14:paraId="43D27451">
      <w:pPr>
        <w:keepNext w:val="0"/>
        <w:keepLines w:val="0"/>
        <w:pageBreakBefore w:val="0"/>
        <w:kinsoku/>
        <w:overflowPunct/>
        <w:topLinePunct w:val="0"/>
        <w:bidi w:val="0"/>
        <w:snapToGrid w:val="0"/>
        <w:spacing w:line="360" w:lineRule="auto"/>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 xml:space="preserve">                  </w:t>
      </w:r>
    </w:p>
    <w:p w14:paraId="1418D332">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6503BC64">
      <w:pPr>
        <w:keepNext w:val="0"/>
        <w:keepLines w:val="0"/>
        <w:pageBreakBefore w:val="0"/>
        <w:kinsoku/>
        <w:overflowPunct/>
        <w:topLinePunct w:val="0"/>
        <w:bidi w:val="0"/>
        <w:spacing w:line="360" w:lineRule="auto"/>
        <w:ind w:firstLine="525" w:firstLineChars="250"/>
        <w:rPr>
          <w:rFonts w:ascii="宋体" w:hAnsi="宋体"/>
          <w:color w:val="auto"/>
          <w:szCs w:val="20"/>
          <w:highlight w:val="none"/>
        </w:rPr>
      </w:pPr>
      <w:r>
        <w:rPr>
          <w:rFonts w:hint="eastAsia" w:ascii="宋体" w:hAnsi="宋体"/>
          <w:color w:val="auto"/>
          <w:kern w:val="0"/>
          <w:szCs w:val="20"/>
          <w:highlight w:val="none"/>
        </w:rPr>
        <w:t>我</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（姓名）系</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（投标人名称）的法定代表人，现授权委托本单位在职职工</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（姓名）以我公司名义办理</w:t>
      </w:r>
      <w:r>
        <w:rPr>
          <w:rFonts w:hint="eastAsia" w:ascii="宋体" w:hAnsi="宋体"/>
          <w:color w:val="auto"/>
          <w:kern w:val="0"/>
          <w:szCs w:val="20"/>
          <w:highlight w:val="none"/>
          <w:u w:val="single"/>
        </w:rPr>
        <w:t xml:space="preserve">      </w:t>
      </w:r>
      <w:r>
        <w:rPr>
          <w:rFonts w:hint="eastAsia" w:ascii="宋体" w:hAnsi="宋体"/>
          <w:color w:val="auto"/>
          <w:szCs w:val="20"/>
          <w:highlight w:val="none"/>
          <w:u w:val="single"/>
        </w:rPr>
        <w:t xml:space="preserve">（项目名称及项目编号）        </w:t>
      </w:r>
      <w:r>
        <w:rPr>
          <w:rFonts w:hint="eastAsia" w:ascii="宋体" w:hAnsi="宋体"/>
          <w:color w:val="auto"/>
          <w:szCs w:val="20"/>
          <w:highlight w:val="none"/>
        </w:rPr>
        <w:t>项目的质疑事项，代表我方全权办理针对上述项目的质疑具体事务和签署相关文件。</w:t>
      </w:r>
    </w:p>
    <w:p w14:paraId="474B98EC">
      <w:pPr>
        <w:keepNext w:val="0"/>
        <w:keepLines w:val="0"/>
        <w:pageBreakBefore w:val="0"/>
        <w:kinsoku/>
        <w:overflowPunct/>
        <w:topLinePunct w:val="0"/>
        <w:bidi w:val="0"/>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我方对被授权人的签字事项负全部责任。</w:t>
      </w:r>
    </w:p>
    <w:p w14:paraId="467773BD">
      <w:pPr>
        <w:keepNext w:val="0"/>
        <w:keepLines w:val="0"/>
        <w:pageBreakBefore w:val="0"/>
        <w:kinsoku/>
        <w:overflowPunct/>
        <w:topLinePunct w:val="0"/>
        <w:bidi w:val="0"/>
        <w:spacing w:line="360" w:lineRule="auto"/>
        <w:ind w:firstLine="420" w:firstLineChars="200"/>
        <w:rPr>
          <w:rFonts w:ascii="宋体" w:hAnsi="宋体"/>
          <w:color w:val="auto"/>
          <w:szCs w:val="20"/>
          <w:highlight w:val="none"/>
          <w:u w:val="single"/>
        </w:rPr>
      </w:pPr>
      <w:r>
        <w:rPr>
          <w:rFonts w:hint="eastAsia" w:ascii="宋体" w:hAnsi="宋体"/>
          <w:color w:val="auto"/>
          <w:szCs w:val="20"/>
          <w:highlight w:val="none"/>
        </w:rPr>
        <w:t>授权委托代理期限：自即日起至该项目政府采购活动结束</w:t>
      </w:r>
      <w:r>
        <w:rPr>
          <w:rFonts w:hint="eastAsia"/>
          <w:color w:val="auto"/>
          <w:highlight w:val="none"/>
        </w:rPr>
        <w:t>止</w:t>
      </w:r>
      <w:r>
        <w:rPr>
          <w:rFonts w:hint="eastAsia" w:ascii="宋体" w:hAnsi="宋体"/>
          <w:color w:val="auto"/>
          <w:szCs w:val="20"/>
          <w:highlight w:val="none"/>
        </w:rPr>
        <w:t xml:space="preserve">。                                                                                         </w:t>
      </w:r>
    </w:p>
    <w:p w14:paraId="2AF3946C">
      <w:pPr>
        <w:keepNext w:val="0"/>
        <w:keepLines w:val="0"/>
        <w:pageBreakBefore w:val="0"/>
        <w:kinsoku/>
        <w:overflowPunct/>
        <w:topLinePunct w:val="0"/>
        <w:bidi w:val="0"/>
        <w:spacing w:line="360" w:lineRule="auto"/>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91C1AD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5695FEF7">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0A06893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EA4528F">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2E86277E">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E5AC194">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401B88B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A646AFA">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721CBCFB">
      <w:pPr>
        <w:keepNext w:val="0"/>
        <w:keepLines w:val="0"/>
        <w:pageBreakBefore w:val="0"/>
        <w:tabs>
          <w:tab w:val="left" w:pos="1305"/>
        </w:tabs>
        <w:kinsoku/>
        <w:overflowPunct/>
        <w:topLinePunct w:val="0"/>
        <w:bidi w:val="0"/>
        <w:spacing w:line="360" w:lineRule="auto"/>
        <w:rPr>
          <w:rFonts w:hAnsi="宋体"/>
          <w:b/>
          <w:color w:val="auto"/>
          <w:sz w:val="24"/>
          <w:highlight w:val="none"/>
        </w:rPr>
      </w:pPr>
      <w:r>
        <w:rPr>
          <w:rFonts w:hint="eastAsia" w:hAnsi="宋体"/>
          <w:b/>
          <w:color w:val="auto"/>
          <w:sz w:val="24"/>
          <w:highlight w:val="none"/>
        </w:rPr>
        <w:t>附：委托代理人身份证正反面复印件。</w:t>
      </w:r>
    </w:p>
    <w:p w14:paraId="0CB7EC8D">
      <w:pPr>
        <w:pStyle w:val="14"/>
        <w:keepNext w:val="0"/>
        <w:keepLines w:val="0"/>
        <w:pageBreakBefore w:val="0"/>
        <w:kinsoku/>
        <w:overflowPunct/>
        <w:topLinePunct w:val="0"/>
        <w:bidi w:val="0"/>
        <w:spacing w:line="360" w:lineRule="auto"/>
        <w:ind w:firstLine="420"/>
        <w:rPr>
          <w:color w:val="auto"/>
          <w:highlight w:val="none"/>
        </w:rPr>
      </w:pPr>
    </w:p>
    <w:p w14:paraId="63B880B5">
      <w:pPr>
        <w:pStyle w:val="26"/>
        <w:keepNext w:val="0"/>
        <w:keepLines w:val="0"/>
        <w:pageBreakBefore w:val="0"/>
        <w:kinsoku/>
        <w:overflowPunct/>
        <w:topLinePunct w:val="0"/>
        <w:bidi w:val="0"/>
        <w:snapToGrid w:val="0"/>
        <w:spacing w:line="360" w:lineRule="auto"/>
        <w:rPr>
          <w:b/>
          <w:color w:val="auto"/>
          <w:sz w:val="24"/>
          <w:szCs w:val="24"/>
          <w:highlight w:val="none"/>
        </w:rPr>
      </w:pPr>
    </w:p>
    <w:p w14:paraId="1C494E87">
      <w:pPr>
        <w:pStyle w:val="26"/>
        <w:keepNext w:val="0"/>
        <w:keepLines w:val="0"/>
        <w:pageBreakBefore w:val="0"/>
        <w:kinsoku/>
        <w:overflowPunct/>
        <w:topLinePunct w:val="0"/>
        <w:bidi w:val="0"/>
        <w:snapToGrid w:val="0"/>
        <w:spacing w:line="360" w:lineRule="auto"/>
        <w:rPr>
          <w:rFonts w:hAnsi="宋体"/>
          <w:b/>
          <w:color w:val="auto"/>
          <w:sz w:val="24"/>
          <w:szCs w:val="24"/>
          <w:highlight w:val="none"/>
        </w:rPr>
      </w:pPr>
      <w:r>
        <w:rPr>
          <w:b/>
          <w:color w:val="auto"/>
          <w:sz w:val="24"/>
          <w:szCs w:val="24"/>
          <w:highlight w:val="none"/>
        </w:rPr>
        <w:br w:type="page"/>
      </w:r>
      <w:r>
        <w:rPr>
          <w:rFonts w:hint="eastAsia"/>
          <w:b/>
          <w:color w:val="auto"/>
          <w:sz w:val="24"/>
          <w:szCs w:val="24"/>
          <w:highlight w:val="none"/>
        </w:rPr>
        <w:t>附表2：</w:t>
      </w:r>
    </w:p>
    <w:p w14:paraId="72820665">
      <w:pPr>
        <w:keepNext w:val="0"/>
        <w:keepLines w:val="0"/>
        <w:pageBreakBefore w:val="0"/>
        <w:kinsoku/>
        <w:overflowPunct/>
        <w:topLinePunct w:val="0"/>
        <w:bidi w:val="0"/>
        <w:spacing w:line="360" w:lineRule="auto"/>
        <w:jc w:val="center"/>
        <w:rPr>
          <w:rFonts w:eastAsia="隶书"/>
          <w:color w:val="auto"/>
          <w:sz w:val="44"/>
          <w:highlight w:val="none"/>
        </w:rPr>
      </w:pPr>
    </w:p>
    <w:p w14:paraId="069BC90E">
      <w:pPr>
        <w:keepNext w:val="0"/>
        <w:keepLines w:val="0"/>
        <w:pageBreakBefore w:val="0"/>
        <w:kinsoku/>
        <w:overflowPunct/>
        <w:topLinePunct w:val="0"/>
        <w:bidi w:val="0"/>
        <w:spacing w:line="360" w:lineRule="auto"/>
        <w:jc w:val="center"/>
        <w:rPr>
          <w:rFonts w:eastAsia="隶书"/>
          <w:color w:val="auto"/>
          <w:sz w:val="44"/>
          <w:highlight w:val="none"/>
        </w:rPr>
      </w:pPr>
      <w:r>
        <w:rPr>
          <w:rFonts w:hint="eastAsia" w:eastAsia="隶书"/>
          <w:color w:val="auto"/>
          <w:sz w:val="44"/>
          <w:highlight w:val="none"/>
        </w:rPr>
        <w:t>投诉书（格式）</w:t>
      </w:r>
    </w:p>
    <w:p w14:paraId="09D131CA">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一、投诉相关主体基本情况：</w:t>
      </w:r>
    </w:p>
    <w:p w14:paraId="475E385D">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r>
        <w:rPr>
          <w:rFonts w:hint="eastAsia" w:hAnsi="宋体"/>
          <w:bCs/>
          <w:color w:val="auto"/>
          <w:highlight w:val="none"/>
        </w:rPr>
        <w:t xml:space="preserve">                 </w:t>
      </w:r>
    </w:p>
    <w:p w14:paraId="4EC50423">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CF2536C">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4103DDC9">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008A6A26">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1AADADF4">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157806F">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被投诉人1：</w:t>
      </w:r>
    </w:p>
    <w:p w14:paraId="10A5F9C4">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0825DD1">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29BB0559">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被投诉人2：</w:t>
      </w:r>
    </w:p>
    <w:p w14:paraId="2E59F8BB">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w:t>
      </w:r>
    </w:p>
    <w:p w14:paraId="76F48A9C">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790F6E7A">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068DB96C">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r>
        <w:rPr>
          <w:rFonts w:hint="eastAsia" w:hAnsi="宋体"/>
          <w:bCs/>
          <w:color w:val="auto"/>
          <w:highlight w:val="none"/>
        </w:rPr>
        <w:t xml:space="preserve">                </w:t>
      </w:r>
    </w:p>
    <w:p w14:paraId="35BD65A4">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二、投诉项目基本情况：</w:t>
      </w:r>
    </w:p>
    <w:p w14:paraId="0AE9A53B">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7A12B61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p>
    <w:p w14:paraId="6FFA4C97">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59A96219">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31ED6F77">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7E832856">
      <w:pPr>
        <w:pStyle w:val="26"/>
        <w:keepNext w:val="0"/>
        <w:keepLines w:val="0"/>
        <w:pageBreakBefore w:val="0"/>
        <w:kinsoku/>
        <w:overflowPunct/>
        <w:topLinePunct w:val="0"/>
        <w:bidi w:val="0"/>
        <w:spacing w:line="360" w:lineRule="auto"/>
        <w:ind w:left="25" w:leftChars="12" w:firstLine="413" w:firstLineChars="197"/>
        <w:rPr>
          <w:rFonts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222A2F04">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三、质疑基本情况</w:t>
      </w:r>
    </w:p>
    <w:p w14:paraId="670214EB">
      <w:pPr>
        <w:pStyle w:val="26"/>
        <w:keepNext w:val="0"/>
        <w:keepLines w:val="0"/>
        <w:pageBreakBefore w:val="0"/>
        <w:kinsoku/>
        <w:overflowPunct/>
        <w:topLinePunct w:val="0"/>
        <w:bidi w:val="0"/>
        <w:spacing w:line="360" w:lineRule="auto"/>
        <w:ind w:left="25" w:leftChars="12" w:firstLine="833" w:firstLineChars="397"/>
        <w:rPr>
          <w:rFonts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2D000AC3">
      <w:pPr>
        <w:pStyle w:val="26"/>
        <w:keepNext w:val="0"/>
        <w:keepLines w:val="0"/>
        <w:pageBreakBefore w:val="0"/>
        <w:kinsoku/>
        <w:overflowPunct/>
        <w:topLinePunct w:val="0"/>
        <w:bidi w:val="0"/>
        <w:spacing w:line="360" w:lineRule="auto"/>
        <w:rPr>
          <w:rFonts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4527B7BE">
      <w:pPr>
        <w:pStyle w:val="26"/>
        <w:keepNext w:val="0"/>
        <w:keepLines w:val="0"/>
        <w:pageBreakBefore w:val="0"/>
        <w:kinsoku/>
        <w:overflowPunct/>
        <w:topLinePunct w:val="0"/>
        <w:bidi w:val="0"/>
        <w:spacing w:line="360" w:lineRule="auto"/>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00577784">
      <w:pPr>
        <w:pStyle w:val="26"/>
        <w:keepNext w:val="0"/>
        <w:keepLines w:val="0"/>
        <w:pageBreakBefore w:val="0"/>
        <w:kinsoku/>
        <w:overflowPunct/>
        <w:topLinePunct w:val="0"/>
        <w:bidi w:val="0"/>
        <w:spacing w:line="360" w:lineRule="auto"/>
        <w:rPr>
          <w:rFonts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02BC727E">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四、投诉事项具体内容</w:t>
      </w:r>
    </w:p>
    <w:p w14:paraId="3812A419">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1DD53623">
      <w:pPr>
        <w:pStyle w:val="26"/>
        <w:keepNext w:val="0"/>
        <w:keepLines w:val="0"/>
        <w:pageBreakBefore w:val="0"/>
        <w:kinsoku/>
        <w:overflowPunct/>
        <w:topLinePunct w:val="0"/>
        <w:bidi w:val="0"/>
        <w:spacing w:line="360" w:lineRule="auto"/>
        <w:ind w:firstLine="420" w:firstLineChars="200"/>
        <w:rPr>
          <w:rFonts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B0CBC15">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u w:val="single"/>
        </w:rPr>
        <w:t xml:space="preserve">                                                                                        </w:t>
      </w:r>
    </w:p>
    <w:p w14:paraId="41051456">
      <w:pPr>
        <w:pStyle w:val="26"/>
        <w:keepNext w:val="0"/>
        <w:keepLines w:val="0"/>
        <w:pageBreakBefore w:val="0"/>
        <w:kinsoku/>
        <w:overflowPunct/>
        <w:topLinePunct w:val="0"/>
        <w:bidi w:val="0"/>
        <w:spacing w:line="360" w:lineRule="auto"/>
        <w:ind w:firstLine="420" w:firstLineChars="200"/>
        <w:rPr>
          <w:rFonts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5AE286E">
      <w:pPr>
        <w:pStyle w:val="26"/>
        <w:keepNext w:val="0"/>
        <w:keepLines w:val="0"/>
        <w:pageBreakBefore w:val="0"/>
        <w:kinsoku/>
        <w:overflowPunct/>
        <w:topLinePunct w:val="0"/>
        <w:bidi w:val="0"/>
        <w:spacing w:line="360" w:lineRule="auto"/>
        <w:ind w:left="25" w:leftChars="12" w:firstLine="308" w:firstLineChars="147"/>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1A042F09">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rPr>
      </w:pPr>
      <w:r>
        <w:rPr>
          <w:rFonts w:hint="eastAsia" w:hAnsi="宋体"/>
          <w:color w:val="auto"/>
          <w:szCs w:val="21"/>
          <w:highlight w:val="none"/>
        </w:rPr>
        <w:t xml:space="preserve">投诉事项2  </w:t>
      </w:r>
      <w:r>
        <w:rPr>
          <w:rFonts w:hint="eastAsia" w:hAnsi="宋体"/>
          <w:bCs/>
          <w:color w:val="auto"/>
          <w:highlight w:val="none"/>
        </w:rPr>
        <w:t xml:space="preserve">   </w:t>
      </w:r>
    </w:p>
    <w:p w14:paraId="0ED6C9D0">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rPr>
      </w:pPr>
      <w:r>
        <w:rPr>
          <w:rFonts w:hAnsi="宋体"/>
          <w:bCs/>
          <w:color w:val="auto"/>
          <w:highlight w:val="none"/>
        </w:rPr>
        <w:t>……</w:t>
      </w:r>
    </w:p>
    <w:p w14:paraId="03A00A3E">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五、与投诉事项相关的投诉请求：</w:t>
      </w:r>
    </w:p>
    <w:p w14:paraId="099E34A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7B962C85">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47271E8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7F93D30C">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27E063F8">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日期：</w:t>
      </w:r>
    </w:p>
    <w:p w14:paraId="2687A189">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 xml:space="preserve">                                                                                 </w:t>
      </w:r>
    </w:p>
    <w:p w14:paraId="220458CA">
      <w:pPr>
        <w:pStyle w:val="26"/>
        <w:keepNext w:val="0"/>
        <w:keepLines w:val="0"/>
        <w:pageBreakBefore w:val="0"/>
        <w:kinsoku/>
        <w:overflowPunct/>
        <w:topLinePunct w:val="0"/>
        <w:bidi w:val="0"/>
        <w:snapToGrid w:val="0"/>
        <w:spacing w:line="360" w:lineRule="auto"/>
        <w:rPr>
          <w:rFonts w:hAnsi="宋体"/>
          <w:b/>
          <w:color w:val="auto"/>
          <w:szCs w:val="21"/>
          <w:highlight w:val="none"/>
        </w:rPr>
      </w:pPr>
    </w:p>
    <w:p w14:paraId="07FE689E">
      <w:pPr>
        <w:pStyle w:val="26"/>
        <w:keepNext w:val="0"/>
        <w:keepLines w:val="0"/>
        <w:pageBreakBefore w:val="0"/>
        <w:kinsoku/>
        <w:overflowPunct/>
        <w:topLinePunct w:val="0"/>
        <w:bidi w:val="0"/>
        <w:snapToGrid w:val="0"/>
        <w:spacing w:line="360" w:lineRule="auto"/>
        <w:rPr>
          <w:rFonts w:hAnsi="宋体"/>
          <w:b/>
          <w:color w:val="auto"/>
          <w:szCs w:val="21"/>
          <w:highlight w:val="none"/>
        </w:rPr>
      </w:pPr>
      <w:r>
        <w:rPr>
          <w:rFonts w:hint="eastAsia" w:hAnsi="宋体"/>
          <w:b/>
          <w:color w:val="auto"/>
          <w:szCs w:val="21"/>
          <w:highlight w:val="none"/>
        </w:rPr>
        <w:t>说明：</w:t>
      </w:r>
    </w:p>
    <w:p w14:paraId="39FD9A65">
      <w:pPr>
        <w:pStyle w:val="26"/>
        <w:keepNext w:val="0"/>
        <w:keepLines w:val="0"/>
        <w:pageBreakBefore w:val="0"/>
        <w:kinsoku/>
        <w:overflowPunct/>
        <w:topLinePunct w:val="0"/>
        <w:bidi w:val="0"/>
        <w:spacing w:line="360" w:lineRule="auto"/>
        <w:ind w:left="25" w:leftChars="12" w:firstLine="310" w:firstLineChars="147"/>
        <w:rPr>
          <w:rFonts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20CB13F1">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E3A2E83">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1EDCAF13">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4.投诉书的投诉事项应具体、明确，并有必要的事实依据和法律依据。</w:t>
      </w:r>
    </w:p>
    <w:p w14:paraId="485DFF11">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5.投诉书的投诉请求应与投诉事项相关。</w:t>
      </w:r>
    </w:p>
    <w:p w14:paraId="29FE679B">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0328DE8C">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p>
    <w:p w14:paraId="6B38AE9F">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2C9053F2">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048547B">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4BE54A01">
      <w:pPr>
        <w:pStyle w:val="2"/>
        <w:rPr>
          <w:rFonts w:ascii="宋体" w:hAnsi="宋体"/>
          <w:b/>
          <w:color w:val="auto"/>
          <w:sz w:val="32"/>
          <w:szCs w:val="32"/>
          <w:highlight w:val="none"/>
        </w:rPr>
      </w:pPr>
    </w:p>
    <w:p w14:paraId="181AAA4B"/>
    <w:p w14:paraId="5196E41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74DAD27">
      <w:pPr>
        <w:keepNext w:val="0"/>
        <w:keepLines w:val="0"/>
        <w:pageBreakBefore w:val="0"/>
        <w:kinsoku/>
        <w:overflowPunct/>
        <w:topLinePunct w:val="0"/>
        <w:bidi w:val="0"/>
        <w:spacing w:line="360" w:lineRule="auto"/>
        <w:jc w:val="left"/>
        <w:rPr>
          <w:rFonts w:hAnsi="宋体" w:cs="宋体"/>
          <w:b/>
          <w:color w:val="auto"/>
          <w:sz w:val="24"/>
          <w:highlight w:val="none"/>
        </w:rPr>
      </w:pPr>
      <w:r>
        <w:rPr>
          <w:rFonts w:hint="eastAsia" w:hAnsi="宋体" w:cs="宋体"/>
          <w:b/>
          <w:color w:val="auto"/>
          <w:sz w:val="24"/>
          <w:highlight w:val="none"/>
        </w:rPr>
        <w:t>附表3：</w:t>
      </w:r>
    </w:p>
    <w:p w14:paraId="04F9597B">
      <w:pPr>
        <w:keepNext w:val="0"/>
        <w:keepLines w:val="0"/>
        <w:pageBreakBefore w:val="0"/>
        <w:kinsoku/>
        <w:overflowPunct/>
        <w:topLinePunct w:val="0"/>
        <w:bidi w:val="0"/>
        <w:spacing w:line="360" w:lineRule="auto"/>
        <w:jc w:val="center"/>
        <w:rPr>
          <w:rFonts w:ascii="Arial Unicode MS" w:hAnsi="仿宋" w:eastAsia="Arial Unicode MS"/>
          <w:color w:val="auto"/>
          <w:kern w:val="0"/>
          <w:sz w:val="36"/>
          <w:szCs w:val="36"/>
          <w:highlight w:val="none"/>
        </w:rPr>
      </w:pPr>
      <w:r>
        <w:rPr>
          <w:rFonts w:hint="eastAsia" w:ascii="宋体" w:hAnsi="宋体" w:cs="宋体"/>
          <w:color w:val="auto"/>
          <w:sz w:val="44"/>
          <w:highlight w:val="none"/>
        </w:rPr>
        <w:t>政府采购项目合同验收书（格式）</w:t>
      </w:r>
    </w:p>
    <w:p w14:paraId="583CEA4B">
      <w:pPr>
        <w:keepNext w:val="0"/>
        <w:keepLines w:val="0"/>
        <w:pageBreakBefore w:val="0"/>
        <w:widowControl/>
        <w:kinsoku/>
        <w:overflowPunct/>
        <w:topLinePunct w:val="0"/>
        <w:bidi w:val="0"/>
        <w:spacing w:line="360" w:lineRule="auto"/>
        <w:ind w:firstLine="482"/>
        <w:jc w:val="left"/>
        <w:rPr>
          <w:rFonts w:hint="eastAsia" w:ascii="宋体" w:hAnsi="宋体" w:cs="仿宋"/>
          <w:color w:val="auto"/>
          <w:kern w:val="0"/>
          <w:sz w:val="24"/>
          <w:highlight w:val="none"/>
        </w:rPr>
      </w:pPr>
    </w:p>
    <w:p w14:paraId="07F0A7D7">
      <w:pPr>
        <w:keepNext w:val="0"/>
        <w:keepLines w:val="0"/>
        <w:pageBreakBefore w:val="0"/>
        <w:widowControl/>
        <w:kinsoku/>
        <w:overflowPunct/>
        <w:topLinePunct w:val="0"/>
        <w:bidi w:val="0"/>
        <w:spacing w:line="360" w:lineRule="auto"/>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）政府采购项目中标（或</w:t>
      </w:r>
      <w:r>
        <w:rPr>
          <w:rFonts w:hint="eastAsia" w:ascii="宋体" w:hAnsi="宋体" w:cs="仿宋"/>
          <w:color w:val="auto"/>
          <w:kern w:val="0"/>
          <w:sz w:val="24"/>
          <w:highlight w:val="none"/>
          <w:lang w:eastAsia="zh-CN"/>
        </w:rPr>
        <w:t>中标</w:t>
      </w:r>
      <w:r>
        <w:rPr>
          <w:rFonts w:hint="eastAsia" w:ascii="宋体" w:hAnsi="宋体" w:cs="仿宋"/>
          <w:color w:val="auto"/>
          <w:kern w:val="0"/>
          <w:sz w:val="24"/>
          <w:highlight w:val="none"/>
        </w:rPr>
        <w:t>）供应商（</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w:t>
      </w:r>
      <w:r>
        <w:rPr>
          <w:rFonts w:hint="eastAsia" w:ascii="宋体" w:hAnsi="宋体"/>
          <w:color w:val="auto"/>
          <w:kern w:val="0"/>
          <w:sz w:val="24"/>
          <w:highlight w:val="none"/>
        </w:rPr>
        <w:t> </w:t>
      </w:r>
      <w:r>
        <w:rPr>
          <w:rFonts w:hint="eastAsia" w:ascii="宋体" w:hAnsi="宋体" w:cs="仿宋"/>
          <w:color w:val="auto"/>
          <w:kern w:val="0"/>
          <w:sz w:val="24"/>
          <w:highlight w:val="none"/>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B84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224ADB33">
            <w:pPr>
              <w:keepNext w:val="0"/>
              <w:keepLines w:val="0"/>
              <w:pageBreakBefore w:val="0"/>
              <w:widowControl/>
              <w:kinsoku/>
              <w:overflowPunct/>
              <w:topLinePunct w:val="0"/>
              <w:bidi w:val="0"/>
              <w:spacing w:line="360" w:lineRule="auto"/>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36BB2D2E">
            <w:pPr>
              <w:keepNext w:val="0"/>
              <w:keepLines w:val="0"/>
              <w:pageBreakBefore w:val="0"/>
              <w:widowControl/>
              <w:kinsoku/>
              <w:overflowPunct/>
              <w:topLinePunct w:val="0"/>
              <w:bidi w:val="0"/>
              <w:spacing w:line="360" w:lineRule="auto"/>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263D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78FE6D1">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08F81EF9">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21C0C0E1">
            <w:pPr>
              <w:keepNext w:val="0"/>
              <w:keepLines w:val="0"/>
              <w:pageBreakBefore w:val="0"/>
              <w:widowControl/>
              <w:kinsoku/>
              <w:overflowPunct/>
              <w:topLinePunct w:val="0"/>
              <w:bidi w:val="0"/>
              <w:spacing w:line="360" w:lineRule="auto"/>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16F2276D">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7C72859">
            <w:pPr>
              <w:keepNext w:val="0"/>
              <w:keepLines w:val="0"/>
              <w:pageBreakBefore w:val="0"/>
              <w:widowControl/>
              <w:kinsoku/>
              <w:overflowPunct/>
              <w:topLinePunct w:val="0"/>
              <w:bidi w:val="0"/>
              <w:spacing w:line="360" w:lineRule="auto"/>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63B78DFD">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3B73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A0E633B">
            <w:pPr>
              <w:keepNext w:val="0"/>
              <w:keepLines w:val="0"/>
              <w:pageBreakBefore w:val="0"/>
              <w:widowControl/>
              <w:kinsoku/>
              <w:overflowPunct/>
              <w:topLinePunct w:val="0"/>
              <w:bidi w:val="0"/>
              <w:spacing w:line="360" w:lineRule="auto"/>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5D4FEC56">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01C9DFAF">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6B43854">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17BBAC2A">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05C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15D5AB2">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00C7B983">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BACDF6D">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2CB69D8">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0E18DD5F">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5FCF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A14A048">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72157B4F">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1797078">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1D37C87">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5B0C2CD1">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134A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3416CEED">
            <w:pPr>
              <w:keepNext w:val="0"/>
              <w:keepLines w:val="0"/>
              <w:pageBreakBefore w:val="0"/>
              <w:widowControl/>
              <w:kinsoku/>
              <w:overflowPunct/>
              <w:topLinePunct w:val="0"/>
              <w:bidi w:val="0"/>
              <w:spacing w:line="360" w:lineRule="auto"/>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01904D8D">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07BD4FB0">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19E2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6EFE0BB2">
            <w:pPr>
              <w:keepNext w:val="0"/>
              <w:keepLines w:val="0"/>
              <w:pageBreakBefore w:val="0"/>
              <w:widowControl/>
              <w:kinsoku/>
              <w:overflowPunct/>
              <w:topLinePunct w:val="0"/>
              <w:bidi w:val="0"/>
              <w:spacing w:line="360" w:lineRule="auto"/>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4461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FB723E0">
            <w:pPr>
              <w:keepNext w:val="0"/>
              <w:keepLines w:val="0"/>
              <w:pageBreakBefore w:val="0"/>
              <w:widowControl/>
              <w:kinsoku/>
              <w:overflowPunct/>
              <w:topLinePunct w:val="0"/>
              <w:bidi w:val="0"/>
              <w:spacing w:line="360" w:lineRule="auto"/>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0492F1A4">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2E664E0">
            <w:pPr>
              <w:keepNext w:val="0"/>
              <w:keepLines w:val="0"/>
              <w:pageBreakBefore w:val="0"/>
              <w:widowControl/>
              <w:kinsoku/>
              <w:overflowPunct/>
              <w:topLinePunct w:val="0"/>
              <w:bidi w:val="0"/>
              <w:spacing w:line="360" w:lineRule="auto"/>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C1EDA36">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4221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DED88DC">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2A56FE34">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B7C64F6">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770CDD7E">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5B67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E46618">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88D580">
            <w:pPr>
              <w:keepNext w:val="0"/>
              <w:keepLines w:val="0"/>
              <w:pageBreakBefore w:val="0"/>
              <w:widowControl/>
              <w:kinsoku/>
              <w:overflowPunct/>
              <w:topLinePunct w:val="0"/>
              <w:bidi w:val="0"/>
              <w:spacing w:line="360" w:lineRule="auto"/>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（应按采购合同、招标文件、投标响应文件及验收方案等进行验收；并核对中标或者</w:t>
            </w:r>
            <w:r>
              <w:rPr>
                <w:rFonts w:hint="eastAsia" w:ascii="宋体" w:hAnsi="宋体" w:cs="宋体"/>
                <w:color w:val="auto"/>
                <w:kern w:val="0"/>
                <w:highlight w:val="none"/>
                <w:lang w:eastAsia="zh-CN"/>
              </w:rPr>
              <w:t>中标</w:t>
            </w:r>
            <w:r>
              <w:rPr>
                <w:rFonts w:hint="eastAsia" w:ascii="宋体" w:hAnsi="宋体" w:cs="宋体"/>
                <w:color w:val="auto"/>
                <w:kern w:val="0"/>
                <w:highlight w:val="none"/>
              </w:rPr>
              <w:t>供应商在安装调试等方面是否违反合同约定或服务规范要求、提供的质量保证证明材料是否齐全、应有的配件及附件是否达到合同约定等。可附件）</w:t>
            </w:r>
          </w:p>
        </w:tc>
      </w:tr>
      <w:tr w14:paraId="6C4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9A8249">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3BB0D84C">
            <w:pPr>
              <w:keepNext w:val="0"/>
              <w:keepLines w:val="0"/>
              <w:pageBreakBefore w:val="0"/>
              <w:widowControl/>
              <w:kinsoku/>
              <w:overflowPunct/>
              <w:topLinePunct w:val="0"/>
              <w:bidi w:val="0"/>
              <w:spacing w:line="360" w:lineRule="auto"/>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3E61EA78">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ascii="宋体"/>
                <w:color w:val="auto"/>
                <w:kern w:val="0"/>
                <w:highlight w:val="none"/>
              </w:rPr>
              <w:t> </w:t>
            </w:r>
          </w:p>
        </w:tc>
      </w:tr>
      <w:tr w14:paraId="013F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2EB351">
            <w:pPr>
              <w:keepNext w:val="0"/>
              <w:keepLines w:val="0"/>
              <w:pageBreakBefore w:val="0"/>
              <w:widowControl/>
              <w:kinsoku/>
              <w:overflowPunct/>
              <w:topLinePunct w:val="0"/>
              <w:bidi w:val="0"/>
              <w:spacing w:line="360" w:lineRule="auto"/>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079B0242">
            <w:pPr>
              <w:keepNext w:val="0"/>
              <w:keepLines w:val="0"/>
              <w:pageBreakBefore w:val="0"/>
              <w:widowControl/>
              <w:kinsoku/>
              <w:overflowPunct/>
              <w:topLinePunct w:val="0"/>
              <w:bidi w:val="0"/>
              <w:spacing w:line="360" w:lineRule="auto"/>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78A464E7">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443C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185630">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4E6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6390F5">
            <w:pPr>
              <w:keepNext w:val="0"/>
              <w:keepLines w:val="0"/>
              <w:pageBreakBefore w:val="0"/>
              <w:widowControl/>
              <w:kinsoku/>
              <w:overflowPunct/>
              <w:topLinePunct w:val="0"/>
              <w:bidi w:val="0"/>
              <w:spacing w:line="360" w:lineRule="auto"/>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24D3F8AE">
            <w:pPr>
              <w:keepNext w:val="0"/>
              <w:keepLines w:val="0"/>
              <w:pageBreakBefore w:val="0"/>
              <w:widowControl/>
              <w:kinsoku/>
              <w:overflowPunct/>
              <w:topLinePunct w:val="0"/>
              <w:bidi w:val="0"/>
              <w:spacing w:line="360" w:lineRule="auto"/>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4EB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956B47">
            <w:pPr>
              <w:keepNext w:val="0"/>
              <w:keepLines w:val="0"/>
              <w:pageBreakBefore w:val="0"/>
              <w:widowControl/>
              <w:kinsoku/>
              <w:overflowPunct/>
              <w:topLinePunct w:val="0"/>
              <w:bidi w:val="0"/>
              <w:spacing w:line="360" w:lineRule="auto"/>
              <w:ind w:firstLine="74"/>
              <w:jc w:val="left"/>
              <w:rPr>
                <w:rFonts w:ascii="宋体" w:hAnsi="Calibri"/>
                <w:color w:val="auto"/>
                <w:kern w:val="0"/>
                <w:szCs w:val="21"/>
                <w:highlight w:val="none"/>
              </w:rPr>
            </w:pPr>
            <w:r>
              <w:rPr>
                <w:rFonts w:hint="eastAsia" w:ascii="宋体" w:hAnsi="宋体" w:cs="宋体"/>
                <w:color w:val="auto"/>
                <w:kern w:val="0"/>
                <w:highlight w:val="none"/>
              </w:rPr>
              <w:t>中标或者</w:t>
            </w:r>
            <w:r>
              <w:rPr>
                <w:rFonts w:hint="eastAsia" w:ascii="宋体" w:hAnsi="宋体" w:cs="宋体"/>
                <w:color w:val="auto"/>
                <w:kern w:val="0"/>
                <w:highlight w:val="none"/>
                <w:lang w:eastAsia="zh-CN"/>
              </w:rPr>
              <w:t>中标</w:t>
            </w:r>
            <w:r>
              <w:rPr>
                <w:rFonts w:hint="eastAsia" w:ascii="宋体" w:hAnsi="宋体" w:cs="宋体"/>
                <w:color w:val="auto"/>
                <w:kern w:val="0"/>
                <w:highlight w:val="none"/>
              </w:rPr>
              <w:t>供应商负责人签字或盖章：</w:t>
            </w:r>
          </w:p>
          <w:p w14:paraId="7732968E">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7EB2FDE4">
            <w:pPr>
              <w:keepNext w:val="0"/>
              <w:keepLines w:val="0"/>
              <w:pageBreakBefore w:val="0"/>
              <w:widowControl/>
              <w:kinsoku/>
              <w:overflowPunct/>
              <w:topLinePunct w:val="0"/>
              <w:bidi w:val="0"/>
              <w:spacing w:line="360" w:lineRule="auto"/>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3ED8722E">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日</w:t>
            </w:r>
          </w:p>
        </w:tc>
      </w:tr>
    </w:tbl>
    <w:p w14:paraId="76C1ECD8">
      <w:pPr>
        <w:pStyle w:val="26"/>
        <w:keepNext w:val="0"/>
        <w:keepLines w:val="0"/>
        <w:pageBreakBefore w:val="0"/>
        <w:kinsoku/>
        <w:overflowPunct/>
        <w:topLinePunct w:val="0"/>
        <w:bidi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附表4：</w:t>
      </w:r>
    </w:p>
    <w:p w14:paraId="521586FE">
      <w:pPr>
        <w:keepNext w:val="0"/>
        <w:keepLines w:val="0"/>
        <w:pageBreakBefore w:val="0"/>
        <w:widowControl/>
        <w:kinsoku/>
        <w:overflowPunct/>
        <w:topLinePunct w:val="0"/>
        <w:bidi w:val="0"/>
        <w:spacing w:line="360" w:lineRule="auto"/>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928360" cy="5829300"/>
                    </a:xfrm>
                    <a:prstGeom prst="rect">
                      <a:avLst/>
                    </a:prstGeom>
                    <a:noFill/>
                    <a:ln>
                      <a:noFill/>
                    </a:ln>
                  </pic:spPr>
                </pic:pic>
              </a:graphicData>
            </a:graphic>
          </wp:inline>
        </w:drawing>
      </w:r>
    </w:p>
    <w:p w14:paraId="54312515">
      <w:pPr>
        <w:keepNext w:val="0"/>
        <w:keepLines w:val="0"/>
        <w:pageBreakBefore w:val="0"/>
        <w:kinsoku/>
        <w:overflowPunct/>
        <w:topLinePunct w:val="0"/>
        <w:bidi w:val="0"/>
        <w:spacing w:line="360" w:lineRule="auto"/>
        <w:ind w:firstLine="480"/>
        <w:jc w:val="center"/>
        <w:rPr>
          <w:rFonts w:ascii="宋体" w:hAnsi="宋体"/>
          <w:b/>
          <w:color w:val="auto"/>
          <w:sz w:val="32"/>
          <w:szCs w:val="32"/>
          <w:highlight w:val="none"/>
        </w:rPr>
      </w:pPr>
    </w:p>
    <w:p w14:paraId="30F74703">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492F07A2">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05DB2487">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0BE7FE75">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1DAC8826">
      <w:pPr>
        <w:pStyle w:val="2"/>
      </w:pPr>
    </w:p>
    <w:p w14:paraId="2EC99EC6">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745A5561">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第三章　采购需求</w:t>
      </w:r>
    </w:p>
    <w:p w14:paraId="71ED0D52">
      <w:pPr>
        <w:keepNext w:val="0"/>
        <w:keepLines w:val="0"/>
        <w:pageBreakBefore w:val="0"/>
        <w:kinsoku/>
        <w:overflowPunct/>
        <w:topLinePunct w:val="0"/>
        <w:bidi w:val="0"/>
        <w:adjustRightInd w:val="0"/>
        <w:spacing w:line="360" w:lineRule="auto"/>
        <w:ind w:firstLine="431"/>
        <w:rPr>
          <w:rFonts w:ascii="宋体" w:hAnsi="宋体"/>
          <w:b/>
          <w:bCs/>
          <w:color w:val="auto"/>
          <w:highlight w:val="none"/>
        </w:rPr>
      </w:pPr>
    </w:p>
    <w:p w14:paraId="30017091">
      <w:pPr>
        <w:keepNext w:val="0"/>
        <w:keepLines w:val="0"/>
        <w:pageBreakBefore w:val="0"/>
        <w:kinsoku/>
        <w:overflowPunct/>
        <w:topLinePunct w:val="0"/>
        <w:bidi w:val="0"/>
        <w:adjustRightInd w:val="0"/>
        <w:spacing w:line="360" w:lineRule="auto"/>
        <w:rPr>
          <w:rFonts w:ascii="宋体" w:hAnsi="宋体"/>
          <w:b/>
          <w:bCs/>
          <w:color w:val="auto"/>
          <w:sz w:val="24"/>
          <w:highlight w:val="none"/>
        </w:rPr>
      </w:pPr>
      <w:r>
        <w:rPr>
          <w:rFonts w:hint="eastAsia" w:ascii="宋体" w:hAnsi="宋体"/>
          <w:b/>
          <w:bCs/>
          <w:color w:val="auto"/>
          <w:sz w:val="24"/>
          <w:highlight w:val="none"/>
        </w:rPr>
        <w:t>Ⅰ、说明：</w:t>
      </w:r>
    </w:p>
    <w:p w14:paraId="55BA319E">
      <w:pPr>
        <w:keepNext w:val="0"/>
        <w:keepLines w:val="0"/>
        <w:pageBreakBefore w:val="0"/>
        <w:kinsoku/>
        <w:overflowPunct/>
        <w:topLinePunct w:val="0"/>
        <w:bidi w:val="0"/>
        <w:adjustRightInd w:val="0"/>
        <w:spacing w:line="360" w:lineRule="auto"/>
        <w:ind w:firstLine="422" w:firstLineChars="200"/>
        <w:rPr>
          <w:rFonts w:ascii="宋体" w:hAnsi="宋体"/>
          <w:b/>
          <w:bCs/>
          <w:color w:val="auto"/>
          <w:highlight w:val="none"/>
        </w:rPr>
      </w:pPr>
      <w:r>
        <w:rPr>
          <w:rFonts w:hint="eastAsia" w:ascii="宋体" w:hAnsi="宋体"/>
          <w:b/>
          <w:bCs/>
          <w:color w:val="auto"/>
          <w:highlight w:val="none"/>
        </w:rPr>
        <w:t>一、本项目所要执行的政府采购政策：</w:t>
      </w:r>
    </w:p>
    <w:p w14:paraId="6B92E433">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rPr>
        <w:t>[</w:t>
      </w:r>
      <w:r>
        <w:rPr>
          <w:rFonts w:ascii="宋体" w:hAnsi="宋体"/>
          <w:color w:val="auto"/>
          <w:szCs w:val="21"/>
          <w:highlight w:val="none"/>
        </w:rPr>
        <w:t>2020</w:t>
      </w:r>
      <w:r>
        <w:rPr>
          <w:rFonts w:hint="eastAsia" w:ascii="宋体" w:hAnsi="宋体"/>
          <w:color w:val="auto"/>
          <w:szCs w:val="21"/>
          <w:highlight w:val="none"/>
        </w:rPr>
        <w:t>]</w:t>
      </w:r>
      <w:r>
        <w:rPr>
          <w:rFonts w:ascii="宋体" w:hAnsi="宋体"/>
          <w:color w:val="auto"/>
          <w:szCs w:val="21"/>
          <w:highlight w:val="none"/>
        </w:rPr>
        <w:t>46号）</w:t>
      </w:r>
      <w:r>
        <w:rPr>
          <w:rFonts w:hint="eastAsia" w:ascii="宋体" w:hAnsi="宋体"/>
          <w:color w:val="auto"/>
          <w:szCs w:val="21"/>
          <w:highlight w:val="none"/>
        </w:rPr>
        <w:t>、《广西壮族自治区财政厅关于持续优化政府采购营商环境推动高质量发展的通知》（桂财采〔2024〕55号）</w:t>
      </w:r>
      <w:r>
        <w:rPr>
          <w:color w:val="auto"/>
          <w:highlight w:val="none"/>
        </w:rPr>
        <w:t>的规定</w:t>
      </w:r>
      <w:r>
        <w:rPr>
          <w:rFonts w:ascii="宋体" w:hAnsi="宋体"/>
          <w:color w:val="auto"/>
          <w:szCs w:val="21"/>
          <w:highlight w:val="none"/>
        </w:rPr>
        <w:t>，</w:t>
      </w:r>
      <w:r>
        <w:rPr>
          <w:rFonts w:hint="eastAsia" w:ascii="宋体" w:hAnsi="宋体"/>
          <w:color w:val="auto"/>
          <w:szCs w:val="21"/>
          <w:highlight w:val="none"/>
        </w:rPr>
        <w:t>投标人提供的货物全部由符合政策要求的小型、微型企业制造，投标文件中提供《中小企业声明函》的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%的扣除。本项目非专门面向中小企业采购。</w:t>
      </w:r>
    </w:p>
    <w:p w14:paraId="2355C1FC">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（二）根据财政部、司法部关于政府采购支持监狱企业发展有关问题的通知（财库[2014]68号），监狱企业视同小型、微型企业，</w:t>
      </w:r>
      <w:r>
        <w:rPr>
          <w:rFonts w:hint="eastAsia" w:hAnsi="宋体"/>
          <w:bCs/>
          <w:color w:val="auto"/>
          <w:highlight w:val="none"/>
        </w:rPr>
        <w:t>享受预留份额、评审价格扣除等政府采购政策。</w:t>
      </w:r>
      <w:r>
        <w:rPr>
          <w:rFonts w:hint="eastAsia" w:ascii="宋体" w:hAnsi="宋体"/>
          <w:color w:val="auto"/>
          <w:szCs w:val="21"/>
          <w:highlight w:val="none"/>
        </w:rPr>
        <w:t>监狱企业</w:t>
      </w:r>
      <w:r>
        <w:rPr>
          <w:rFonts w:hint="eastAsia" w:ascii="宋体" w:hAnsi="宋体"/>
          <w:bCs/>
          <w:color w:val="auto"/>
          <w:highlight w:val="none"/>
        </w:rPr>
        <w:t>属于小型、微型企业的，不重复享受政策。</w:t>
      </w:r>
    </w:p>
    <w:p w14:paraId="59B31723">
      <w:pPr>
        <w:keepNext w:val="0"/>
        <w:keepLines w:val="0"/>
        <w:pageBreakBefore w:val="0"/>
        <w:kinsoku/>
        <w:overflowPunct/>
        <w:topLinePunct w:val="0"/>
        <w:bidi w:val="0"/>
        <w:spacing w:line="360" w:lineRule="auto"/>
        <w:ind w:firstLine="420" w:firstLineChars="200"/>
        <w:rPr>
          <w:rFonts w:hAnsi="宋体"/>
          <w:bCs/>
          <w:color w:val="auto"/>
          <w:highlight w:val="none"/>
        </w:rPr>
      </w:pPr>
      <w:r>
        <w:rPr>
          <w:rFonts w:hint="eastAsia" w:ascii="宋体" w:hAnsi="宋体"/>
          <w:color w:val="auto"/>
          <w:highlight w:val="none"/>
        </w:rPr>
        <w:t>（三）按照</w:t>
      </w:r>
      <w:r>
        <w:rPr>
          <w:rFonts w:hint="eastAsia" w:ascii="宋体" w:hAnsi="宋体"/>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48BF8DF">
      <w:pPr>
        <w:pStyle w:val="18"/>
        <w:keepNext w:val="0"/>
        <w:keepLines w:val="0"/>
        <w:pageBreakBefore w:val="0"/>
        <w:kinsoku/>
        <w:overflowPunct/>
        <w:topLinePunct w:val="0"/>
        <w:bidi w:val="0"/>
        <w:spacing w:line="360" w:lineRule="auto"/>
        <w:rPr>
          <w:rFonts w:ascii="宋体" w:hAnsi="宋体" w:cs="宋体"/>
          <w:b/>
          <w:color w:val="auto"/>
          <w:kern w:val="0"/>
          <w:sz w:val="24"/>
          <w:highlight w:val="none"/>
        </w:rPr>
      </w:pPr>
      <w:r>
        <w:rPr>
          <w:rFonts w:hint="eastAsia" w:ascii="宋体" w:hAnsi="宋体"/>
          <w:b/>
          <w:bCs/>
          <w:color w:val="auto"/>
          <w:highlight w:val="none"/>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highlight w:val="none"/>
        </w:rPr>
        <w:t>★</w:t>
      </w:r>
      <w:r>
        <w:rPr>
          <w:rFonts w:hint="eastAsia" w:ascii="宋体" w:hAnsi="宋体"/>
          <w:b/>
          <w:bCs/>
          <w:color w:val="auto"/>
          <w:highlight w:val="none"/>
        </w:rPr>
        <w:t>”的品目，属于政府强制采购节能产品。本项目不涉及政府强制采购节能产品。</w:t>
      </w:r>
    </w:p>
    <w:p w14:paraId="204A3020">
      <w:pPr>
        <w:keepNext w:val="0"/>
        <w:keepLines w:val="0"/>
        <w:pageBreakBefore w:val="0"/>
        <w:kinsoku/>
        <w:overflowPunct/>
        <w:topLinePunct w:val="0"/>
        <w:bidi w:val="0"/>
        <w:adjustRightInd w:val="0"/>
        <w:spacing w:line="360" w:lineRule="auto"/>
        <w:ind w:firstLine="431"/>
        <w:rPr>
          <w:rFonts w:ascii="宋体" w:hAnsi="宋体"/>
          <w:color w:val="auto"/>
          <w:szCs w:val="21"/>
          <w:highlight w:val="none"/>
        </w:rPr>
      </w:pPr>
      <w:r>
        <w:rPr>
          <w:rFonts w:hint="eastAsia" w:ascii="宋体" w:hAnsi="宋体"/>
          <w:color w:val="auto"/>
          <w:szCs w:val="21"/>
          <w:highlight w:val="none"/>
        </w:rPr>
        <w:t>（五）优先采购环境标志产品、节能产品。</w:t>
      </w:r>
    </w:p>
    <w:p w14:paraId="4A66A2DF">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3C726FED">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三、投标人必须自行为其投标产品侵犯他人的知识产权或者专利成果或其他合法权益的行为承担相应法律责任。</w:t>
      </w:r>
    </w:p>
    <w:p w14:paraId="0401A9FA">
      <w:pPr>
        <w:keepNext w:val="0"/>
        <w:keepLines w:val="0"/>
        <w:pageBreakBefore w:val="0"/>
        <w:kinsoku/>
        <w:overflowPunct/>
        <w:topLinePunct w:val="0"/>
        <w:bidi w:val="0"/>
        <w:spacing w:line="360" w:lineRule="auto"/>
        <w:ind w:firstLine="420" w:firstLineChars="200"/>
        <w:rPr>
          <w:rFonts w:hint="eastAsia" w:ascii="宋体" w:hAnsi="宋体" w:eastAsia="宋体" w:cs="Times New Roman"/>
          <w:b/>
          <w:color w:val="auto"/>
          <w:highlight w:val="none"/>
          <w:lang w:val="en-US" w:eastAsia="zh-CN"/>
        </w:rPr>
      </w:pPr>
      <w:r>
        <w:rPr>
          <w:rFonts w:hint="eastAsia" w:ascii="宋体" w:hAnsi="宋体"/>
          <w:bCs/>
          <w:color w:val="auto"/>
          <w:highlight w:val="none"/>
        </w:rPr>
        <w:t>四、</w:t>
      </w:r>
      <w:r>
        <w:rPr>
          <w:rFonts w:hint="eastAsia" w:ascii="宋体" w:hAnsi="宋体" w:eastAsia="宋体" w:cs="Times New Roman"/>
          <w:b/>
          <w:color w:val="auto"/>
          <w:highlight w:val="none"/>
          <w:lang w:val="en-US" w:eastAsia="zh-CN"/>
        </w:rPr>
        <w:t>本项目采购标的所属行业：“工业”。</w:t>
      </w:r>
    </w:p>
    <w:tbl>
      <w:tblPr>
        <w:tblStyle w:val="51"/>
        <w:tblW w:w="98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
        <w:gridCol w:w="1502"/>
        <w:gridCol w:w="5277"/>
        <w:gridCol w:w="562"/>
        <w:gridCol w:w="563"/>
        <w:gridCol w:w="1291"/>
      </w:tblGrid>
      <w:tr w14:paraId="2E65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2D6F12">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序号</w:t>
            </w: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E8B0E49">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名称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27CBFE">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2CFD6B7">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单位</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04C1CA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数量</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0238EA1">
            <w:pPr>
              <w:keepNext w:val="0"/>
              <w:keepLines w:val="0"/>
              <w:pageBreakBefore w:val="0"/>
              <w:widowControl w:val="0"/>
              <w:suppressLineNumbers w:val="0"/>
              <w:kinsoku/>
              <w:wordWrap w:val="0"/>
              <w:overflowPunct/>
              <w:topLinePunct w:val="0"/>
              <w:bidi w:val="0"/>
              <w:spacing w:line="360" w:lineRule="auto"/>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上限控制</w:t>
            </w:r>
            <w:r>
              <w:rPr>
                <w:rFonts w:hint="eastAsia" w:ascii="宋体" w:hAnsi="宋体" w:eastAsia="宋体" w:cs="宋体"/>
                <w:i w:val="0"/>
                <w:iCs w:val="0"/>
                <w:color w:val="auto"/>
                <w:kern w:val="0"/>
                <w:sz w:val="20"/>
                <w:szCs w:val="20"/>
                <w:highlight w:val="none"/>
                <w:u w:val="none"/>
                <w:lang w:val="en-US" w:eastAsia="zh-CN" w:bidi="ar"/>
              </w:rPr>
              <w:t>单价</w:t>
            </w:r>
            <w:r>
              <w:rPr>
                <w:rFonts w:hint="eastAsia" w:ascii="宋体" w:hAnsi="宋体" w:cs="宋体"/>
                <w:i w:val="0"/>
                <w:iCs w:val="0"/>
                <w:color w:val="auto"/>
                <w:kern w:val="0"/>
                <w:sz w:val="20"/>
                <w:szCs w:val="20"/>
                <w:highlight w:val="none"/>
                <w:u w:val="none"/>
                <w:lang w:val="en-US" w:eastAsia="zh-CN" w:bidi="ar"/>
              </w:rPr>
              <w:t>（元）</w:t>
            </w:r>
          </w:p>
        </w:tc>
      </w:tr>
      <w:tr w14:paraId="6BB52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F265A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308E1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污水提升泵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AF455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流量42m</w:t>
            </w:r>
            <w:r>
              <w:rPr>
                <w:rFonts w:hint="eastAsia" w:ascii="宋体" w:hAnsi="宋体" w:eastAsia="宋体" w:cs="宋体"/>
                <w:i w:val="0"/>
                <w:iCs w:val="0"/>
                <w:color w:val="auto"/>
                <w:kern w:val="0"/>
                <w:sz w:val="20"/>
                <w:szCs w:val="20"/>
                <w:highlight w:val="none"/>
                <w:u w:val="none"/>
                <w:vertAlign w:val="superscript"/>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/h，扬程10m，功率2.2kw；具有电机绕组过热保护功能，配自耦及镀锌轨，导轨2根；长度满足池深6m安装需求，含安装材料。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10F1FB0">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F65C4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B91B61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4050.00 </w:t>
            </w:r>
          </w:p>
        </w:tc>
      </w:tr>
      <w:tr w14:paraId="58EFF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A6D45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42A00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混流式高效深度处理一体化设备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EC36AF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包括混流式反应系统，泥水分离系统，排泥系统，药剂回收系统等，含安装材料。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0D73BEB">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E9EDE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9C84F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364406.71 </w:t>
            </w:r>
          </w:p>
        </w:tc>
      </w:tr>
      <w:tr w14:paraId="07547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D56B8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35E815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进水管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C787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D643F3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AA4682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0504D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371.68 </w:t>
            </w:r>
          </w:p>
        </w:tc>
      </w:tr>
      <w:tr w14:paraId="49FB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70D76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942A0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出水管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7C8C9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1F1D01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74783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0D7E8E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371.68 </w:t>
            </w:r>
          </w:p>
        </w:tc>
      </w:tr>
      <w:tr w14:paraId="2DBBA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671BE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9370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蝶阀</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2C6B9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BFBAEF3">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8FA42A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31533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1069.11 </w:t>
            </w:r>
          </w:p>
        </w:tc>
      </w:tr>
      <w:tr w14:paraId="2C2B2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461D4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4A465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弯头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7B213D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94F5A06">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25ED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AC9221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122.99 </w:t>
            </w:r>
          </w:p>
        </w:tc>
      </w:tr>
      <w:tr w14:paraId="2958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DA4DE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D408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软接头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56E74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990677A">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2BAC69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064899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933.40 </w:t>
            </w:r>
          </w:p>
        </w:tc>
      </w:tr>
      <w:tr w14:paraId="4C407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EB06D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E0A68F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三通</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6529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A00F3AE">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760D5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C93B9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1286.34 </w:t>
            </w:r>
          </w:p>
        </w:tc>
      </w:tr>
      <w:tr w14:paraId="044F3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01D7B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128CA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污泥回流泵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83486D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流量82m3/h，扬程10m，功率5.5kw；具有电机绕组过热保护功能，配自耦及镀锌导轨，导轨2根；长度满足池深3m安装需求，含安装材料。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B3D68DB">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BDAAB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91F980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5800.00 </w:t>
            </w:r>
          </w:p>
        </w:tc>
      </w:tr>
      <w:tr w14:paraId="389E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69D3B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A2BE6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消化液回流泵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E44C4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流量82m3/h，扬程10m，功率5.5kw；具有电机绕组过热保护功能，配自耦及镀锌导轨，导轨2根；长度满足池深3m安装需求，含安装材料。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5DC6B2B">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C8FE9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0C36F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5800.00 </w:t>
            </w:r>
          </w:p>
        </w:tc>
      </w:tr>
      <w:tr w14:paraId="47DEA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55858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2984A9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搅拌机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171A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φ325mm，功率1.5kw；材质不锈钢，配套不锈钢支架、起吊装置等，含安装材料。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622AF4F">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4FB782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DBF199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10000.00 </w:t>
            </w:r>
          </w:p>
        </w:tc>
      </w:tr>
      <w:tr w14:paraId="17B0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8221E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3FB0B3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加药装置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27A056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包括储药箱2000L，搅拌机：2台，N=0.25KW；计量泵：2台，0-120L/H，0.5Mpa，1用1备；含安装材料。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03BAFB4">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BB1F4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8FFAFE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38000.00 </w:t>
            </w:r>
          </w:p>
        </w:tc>
      </w:tr>
      <w:tr w14:paraId="6643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5CACF0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B2B32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325677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XL-21 1400*800*600（参考尺寸）户外SS304不锈钢双门可视，带防雨檐</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8C5C6D3">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063800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77B962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29500.00 </w:t>
            </w:r>
          </w:p>
        </w:tc>
      </w:tr>
      <w:tr w14:paraId="6D7D7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CA8D4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24FF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废气处理装置系统</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E8A8A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处理规模Q=5000m3/h,含废气处理装置、收集管道、集气罩、15m排放塔DN400，含固定支架等；离心风机Q=5000m3/h；主体为PP材质，不锈钢外壳的等离子除臭；含安装材料。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22CAF48">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B619B6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F74ABA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198000.00 </w:t>
            </w:r>
          </w:p>
        </w:tc>
      </w:tr>
      <w:tr w14:paraId="4DD5A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8191D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254672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B973A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YJV-1kv-5x6mm2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686FCF1">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E80C7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93F40D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107.00 </w:t>
            </w:r>
          </w:p>
        </w:tc>
      </w:tr>
      <w:tr w14:paraId="31026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9DBDB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264B7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CB51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YJV-1kv-4x2.5mm2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1296CE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F862B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BF88D5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36.21 </w:t>
            </w:r>
          </w:p>
        </w:tc>
      </w:tr>
      <w:tr w14:paraId="58081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BD38EA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AA2B5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06E865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SC32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0326676">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1B9AEE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E568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43.00 </w:t>
            </w:r>
          </w:p>
        </w:tc>
      </w:tr>
      <w:tr w14:paraId="37C89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10071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671DEE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液位控制仪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8DF2BA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材质：PP</w:t>
            </w:r>
          </w:p>
          <w:p w14:paraId="3FCEF6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防护等级：IP65</w:t>
            </w:r>
          </w:p>
          <w:p w14:paraId="284F5EC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开关类型：SPDT</w:t>
            </w:r>
          </w:p>
          <w:p w14:paraId="61F6E39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微动开关型</w:t>
            </w:r>
          </w:p>
          <w:p w14:paraId="46383E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电缆长度:5m</w:t>
            </w:r>
          </w:p>
          <w:p w14:paraId="195BB1C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含高低位浮球（两球一组）</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6DF0012">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B3760B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FAD5E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926.47 </w:t>
            </w:r>
          </w:p>
        </w:tc>
      </w:tr>
      <w:tr w14:paraId="08737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00698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10DA0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潜水泵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14E16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Q=250m3/h，H=22m，30kw；具有电机绕组过热保护功能，配自耦及镀锌导轨导链，导轨2根；导绳1根，长15m；长度满足池深9m安装需求，含拆旧、安装材料。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CB9FBE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465579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E8F2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25300.00 </w:t>
            </w:r>
          </w:p>
        </w:tc>
      </w:tr>
      <w:tr w14:paraId="5C7E2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D82CD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8A08C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叠螺式污泥脱水机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B973E5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301型叠螺式污泥脱水机； 304不锈钢主体 + 碳钢环氧防腐架体；配套污泥输送泵、电控柜、泥斗等，含拆旧、安装材料。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C19BBE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4F3CC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FB8D8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69668.57 </w:t>
            </w:r>
          </w:p>
        </w:tc>
      </w:tr>
      <w:tr w14:paraId="6AAE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7FD6A3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014F1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鼓风机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FCF4A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出口压力53.9KPa，功率11Kw,7m3/min，配套变频器、消音器、挠性接头、泄压阀、压力表、止回阀等，含拆旧、安装材料。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CCE53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55E19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86396F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20158.30 </w:t>
            </w:r>
          </w:p>
        </w:tc>
      </w:tr>
      <w:tr w14:paraId="43B5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2FCF12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B6F98C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845AB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YJV-1kv-5x6mm2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1AF20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FEF30C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97CB73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52.66 </w:t>
            </w:r>
          </w:p>
        </w:tc>
      </w:tr>
      <w:tr w14:paraId="6C2C1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E89CA6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C73A7D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EF216A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YJV-1kv-5x10mm2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87C81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76C2C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C44F5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92.59 </w:t>
            </w:r>
          </w:p>
        </w:tc>
      </w:tr>
      <w:tr w14:paraId="1D6A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11D93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5E2D8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69D9A6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YJV-1kv-5x16mm2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5E7F4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CE823E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0EA4E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145.44 </w:t>
            </w:r>
          </w:p>
        </w:tc>
      </w:tr>
      <w:tr w14:paraId="609EA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C7D41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7C72C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EDFE4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YJV-1kv-5x4mm2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70A94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5C061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BD1521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49.69 </w:t>
            </w:r>
          </w:p>
        </w:tc>
      </w:tr>
      <w:tr w14:paraId="03FB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36F0D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214C8F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2231B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YJV-1kv-4x50+1x25mm2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F2BFA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3EFE9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B77194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399.15 </w:t>
            </w:r>
          </w:p>
        </w:tc>
      </w:tr>
      <w:tr w14:paraId="149A7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11DABF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11788A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E9A1B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YJV-1kv-4x70+1x35mm2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435FC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D9312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9F881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542.74 </w:t>
            </w:r>
          </w:p>
        </w:tc>
      </w:tr>
      <w:tr w14:paraId="0CA9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2CE1B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F149A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9CEB7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KVV-1kv-5x1.5mm2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A9765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E85D3D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1CD8E1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38.99 </w:t>
            </w:r>
          </w:p>
        </w:tc>
      </w:tr>
      <w:tr w14:paraId="3BDB7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A1DEC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21E5AA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5EE97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KVV-1kv-12x1.5mm2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5B61E9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C2595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4EE8DC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86.38 </w:t>
            </w:r>
          </w:p>
        </w:tc>
      </w:tr>
      <w:tr w14:paraId="32D42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30565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23D02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EBF875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SC80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D277C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5FA17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269DC8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110.60 </w:t>
            </w:r>
          </w:p>
        </w:tc>
      </w:tr>
      <w:tr w14:paraId="53C8C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345A8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1844E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16D90C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SC70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CCAED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B920CC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7D0DA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103.65 </w:t>
            </w:r>
          </w:p>
        </w:tc>
      </w:tr>
      <w:tr w14:paraId="6C58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F0C7A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2B6A1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470D22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SC40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CEEDD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67DC3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C6D01A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51.07 </w:t>
            </w:r>
          </w:p>
        </w:tc>
      </w:tr>
      <w:tr w14:paraId="28164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44FC6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560523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15C8A8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SC32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999D85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B51DB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D255DD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43.00 </w:t>
            </w:r>
          </w:p>
        </w:tc>
      </w:tr>
      <w:tr w14:paraId="4792F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532FF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0370F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总磷在线分析仪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E014D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量程：0-10mg/L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精度：5%测量方法：钼酸铵分光光度法电源：220V AC，50Hz输出：4-20mADC通讯：RS232、RS485样品预处理系统显示：彩色触摸屏</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45B41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A9EF56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98E19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23600.00 </w:t>
            </w:r>
          </w:p>
        </w:tc>
      </w:tr>
      <w:tr w14:paraId="79B22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C91E0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D76617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总氮在线分析仪（紫外法）</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3F6E7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量程：0-50mg/L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精度：5%测量方法：碱性过硫酸钾消解紫外分光光度法电源：220V AC，50Hz输出：4-20mADC通讯：RS232、RS485样品预处理系统显示：彩色触摸屏</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1B651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20AD2B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6DDE5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25600.00 </w:t>
            </w:r>
          </w:p>
        </w:tc>
      </w:tr>
      <w:tr w14:paraId="7F10D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798F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961E3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PH计（带水温）</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0D9DB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量程：0-12ph/0-80℃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配套浸没式支架传感器配套电缆10米双通道输出：PH和实时温度电源：220V AC，50Hz双通道输出：4-20mADC配不锈钢仪表箱，具有可视窗，防护等级IP55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AF0A42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F87A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C184F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1769.91 </w:t>
            </w:r>
          </w:p>
        </w:tc>
      </w:tr>
      <w:tr w14:paraId="57FF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6AD8B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7625D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精密酸度计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12B4A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pH级别：0.01级</w:t>
            </w:r>
          </w:p>
          <w:p w14:paraId="4CA821B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测量参数：pH，mV</w:t>
            </w:r>
          </w:p>
          <w:p w14:paraId="5BD1FF4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mV范围：（-1999～1999）mV</w:t>
            </w:r>
          </w:p>
          <w:p w14:paraId="76D77DD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最小分辨率：1 mV</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44D432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B26D1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F3A0D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1859.00 </w:t>
            </w:r>
          </w:p>
        </w:tc>
      </w:tr>
      <w:tr w14:paraId="782DA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FCD7F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D359F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便携式溶解氧分析仪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F9B650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范围：（0.00～20.00）mg/L</w:t>
            </w:r>
          </w:p>
          <w:p w14:paraId="177EF02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最小分辨率：0.01 mg/L</w:t>
            </w:r>
          </w:p>
          <w:p w14:paraId="7BCF7CE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电子单元示值误差：±0.10mg/L</w:t>
            </w:r>
          </w:p>
          <w:p w14:paraId="2ADB55F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仪器示值误差：±0.30mg/L</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C84D1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DE176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D0362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1841.00 </w:t>
            </w:r>
          </w:p>
        </w:tc>
      </w:tr>
      <w:tr w14:paraId="4530D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C642C6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F59AD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去离子纯水机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37E2F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产水量：20升/小时</w:t>
            </w:r>
          </w:p>
          <w:p w14:paraId="0D624DB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出水口（正面）：2个：RO反渗透水，DI去离子水</w:t>
            </w:r>
          </w:p>
          <w:p w14:paraId="2FB2BE3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出水水质参数：</w:t>
            </w:r>
          </w:p>
          <w:p w14:paraId="2F75503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去离子水水质：</w:t>
            </w:r>
          </w:p>
          <w:p w14:paraId="348226C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1电阻率(25℃)：&gt;17.5MΩ.cm</w:t>
            </w:r>
          </w:p>
          <w:p w14:paraId="5F8EF17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2电导率(25℃)&lt;0.057 μs/cm</w:t>
            </w:r>
          </w:p>
          <w:p w14:paraId="1AF818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RO反渗透水水质：</w:t>
            </w:r>
          </w:p>
          <w:p w14:paraId="1B71817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3无机离子截留率：98-99%（使用新RO膜时）</w:t>
            </w:r>
          </w:p>
          <w:p w14:paraId="5CC6252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4可溶性有机物截留率&gt;99%（MW&gt;300 Dalton）</w:t>
            </w:r>
          </w:p>
          <w:p w14:paraId="43319BE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5微粒及细菌去除率&gt;99%</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47334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A9503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FE7D8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7696.55 </w:t>
            </w:r>
          </w:p>
        </w:tc>
      </w:tr>
      <w:tr w14:paraId="36BE0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326304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0F7454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噪声仪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901AE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1)传声器：AWA14421B型预极化测试电容传声器，外径Φ12.7 mm(1/2〞)。标称灵敏度：约4.5 mV/Pa，</w:t>
            </w:r>
          </w:p>
          <w:p w14:paraId="626456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2)频率范围：20 Hz～12.5 kHz</w:t>
            </w:r>
          </w:p>
          <w:p w14:paraId="3E58276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3)测量范围：40 dBA～130 dBA</w:t>
            </w:r>
          </w:p>
          <w:p w14:paraId="56ED44C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4)频率范围：20 Hz～12.5 kHz</w:t>
            </w:r>
          </w:p>
          <w:p w14:paraId="3D09EC0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5)本底噪声：小于33 dBA</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FF4E3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93490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DF4073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1144.87 </w:t>
            </w:r>
          </w:p>
        </w:tc>
      </w:tr>
      <w:tr w14:paraId="6DE18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57B4EE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82851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电热鼓风干燥箱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8312B6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控温范围：室温+5～250℃</w:t>
            </w:r>
          </w:p>
          <w:p w14:paraId="415A295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温度波度：±1℃</w:t>
            </w:r>
          </w:p>
          <w:p w14:paraId="3AF0C72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工作环境温度：5～40℃</w:t>
            </w:r>
          </w:p>
          <w:p w14:paraId="10E9F2F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温度均匀度：2.5%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A8C11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FC9E09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7B761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2089.06 </w:t>
            </w:r>
          </w:p>
        </w:tc>
      </w:tr>
      <w:tr w14:paraId="59F71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CAC25F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4262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生化培养箱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387994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控温范围：0～60℃</w:t>
            </w:r>
          </w:p>
          <w:p w14:paraId="44113B0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温度分辨率：0.1℃</w:t>
            </w:r>
          </w:p>
          <w:p w14:paraId="641322E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温度波动度：高温±0.5℃ 低温±1.0℃</w:t>
            </w:r>
          </w:p>
          <w:p w14:paraId="4D2F1F8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温度均匀度：±1.5℃（测试点为25℃）</w:t>
            </w:r>
          </w:p>
          <w:p w14:paraId="1EBAD26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外形尺寸(mm)W×D×H：600×630×1360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8A0D67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244AE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B2C08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7916.45 </w:t>
            </w:r>
          </w:p>
        </w:tc>
      </w:tr>
      <w:tr w14:paraId="249E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BB3788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C30C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医用冷藏冷冻箱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A410C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1.产品样式：立式。</w:t>
            </w:r>
          </w:p>
          <w:p w14:paraId="3A253D8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2.冷藏室容积：198L。</w:t>
            </w:r>
          </w:p>
          <w:p w14:paraId="41B6083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3.冷冻室容积：102L。</w:t>
            </w:r>
          </w:p>
          <w:p w14:paraId="7F66B55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4.总容积：300L。</w:t>
            </w:r>
          </w:p>
          <w:p w14:paraId="2248D39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5.额定功率：349W。</w:t>
            </w:r>
          </w:p>
          <w:p w14:paraId="5EEAAFE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6.产品净重：100kg。</w:t>
            </w:r>
          </w:p>
          <w:p w14:paraId="6C6B45D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7.气候类型：SN/N。</w:t>
            </w:r>
          </w:p>
          <w:p w14:paraId="6A64801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8.制冷方式：冷藏室采用风冷设计；冷冻室采用直冷设计。</w:t>
            </w:r>
          </w:p>
          <w:p w14:paraId="027215B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9.温度范围：冷藏室2℃～8℃；冷冻室-10℃～-25℃。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63F2ED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0C455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7F06B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7578.57 </w:t>
            </w:r>
          </w:p>
        </w:tc>
      </w:tr>
      <w:tr w14:paraId="31CE1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44D18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92830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数显双列四孔水浴锅(提前控制)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1A1B7F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    源 220V 50Hz</w:t>
            </w:r>
          </w:p>
          <w:p w14:paraId="041B2F7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2.加热功率 1200W </w:t>
            </w:r>
          </w:p>
          <w:p w14:paraId="21F791B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3.控温范围 室温-99.9℃</w:t>
            </w:r>
          </w:p>
          <w:p w14:paraId="319DCB8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4.水温波动 ≤0.5℃</w:t>
            </w:r>
          </w:p>
          <w:p w14:paraId="0D96072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5.控温精度 ≤0.5℃</w:t>
            </w:r>
          </w:p>
          <w:p w14:paraId="1913F00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6.工作室容积 320×320×90(mm)</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5A5FC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7F4482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783A58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659.70 </w:t>
            </w:r>
          </w:p>
        </w:tc>
      </w:tr>
      <w:tr w14:paraId="3657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9DFEE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518BC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电子天平</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3D3B34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1量程：220g；</w:t>
            </w:r>
          </w:p>
          <w:p w14:paraId="6B914F3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2可读性：0.1mg；</w:t>
            </w:r>
          </w:p>
          <w:p w14:paraId="409888B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3典型重复性：≤±0.08mg；</w:t>
            </w:r>
          </w:p>
          <w:p w14:paraId="36C25E1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4线性：≤±0.06mg；</w:t>
            </w:r>
          </w:p>
          <w:p w14:paraId="59A0E21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5稳定时间：≤1.5S；</w:t>
            </w:r>
          </w:p>
          <w:p w14:paraId="62FBD5D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6灵敏度漂移（+10°C ~+30°C）：≤±1.5ppm/K；、</w:t>
            </w:r>
          </w:p>
          <w:p w14:paraId="6432D6A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 LED触摸屏，操作容易，读数方便；</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6F2290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50964C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6EAD1E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13743.83 </w:t>
            </w:r>
          </w:p>
        </w:tc>
      </w:tr>
      <w:tr w14:paraId="32EB9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A16B2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04AA9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电子天平</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EE07FD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最大称量：500g</w:t>
            </w:r>
          </w:p>
          <w:p w14:paraId="4595D9C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分辨率（d）：0.1g</w:t>
            </w:r>
          </w:p>
          <w:p w14:paraId="20D0DD1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检定分度值（e）：10d</w:t>
            </w:r>
          </w:p>
          <w:p w14:paraId="07BDC85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去皮范围：0~500g</w:t>
            </w:r>
          </w:p>
          <w:p w14:paraId="279AE31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校准重量：500g</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DCF710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36D944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26B4C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329.00 </w:t>
            </w:r>
          </w:p>
        </w:tc>
      </w:tr>
      <w:tr w14:paraId="14F08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89513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C998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生物显微镜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758C85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放大40X-1000X。</w:t>
            </w:r>
          </w:p>
          <w:p w14:paraId="70030C6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目镜：10×，视场数F.N. 18 （防霉处理）</w:t>
            </w:r>
          </w:p>
          <w:p w14:paraId="39172E7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物镜：4X、10X、40X、100X</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8628D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3A179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EC29F1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2199.01 </w:t>
            </w:r>
          </w:p>
        </w:tc>
      </w:tr>
      <w:tr w14:paraId="7543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E9675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22602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手提式不锈钢压力蒸汽灭菌器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2311C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功率 ：2KW，容积：18L</w:t>
            </w:r>
          </w:p>
          <w:p w14:paraId="2D6D8C4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温度设定范围50℃-126℃，时间设定范围0-99h</w:t>
            </w:r>
          </w:p>
          <w:p w14:paraId="5EAA83B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工作电压：220V；频率：50Hz</w:t>
            </w:r>
          </w:p>
          <w:p w14:paraId="4E8BBEC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毛重：23kg,净重：21Kg</w:t>
            </w:r>
          </w:p>
          <w:p w14:paraId="2DEF9FB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内胆直径*高度：269*260 mm</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EDA43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DD469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858BB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3300.00 </w:t>
            </w:r>
          </w:p>
        </w:tc>
      </w:tr>
      <w:tr w14:paraId="3466D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25A95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5C54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磁力加热搅拌器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437784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转速：0-1250rpm</w:t>
            </w:r>
          </w:p>
          <w:p w14:paraId="0F0DBE3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电机功率：25W</w:t>
            </w:r>
          </w:p>
          <w:p w14:paraId="7301B96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加热功率200W</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78C2F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134C46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6679B3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241.89 </w:t>
            </w:r>
          </w:p>
        </w:tc>
      </w:tr>
      <w:tr w14:paraId="640A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A749A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98B8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紫外可见分光光度计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4FA89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仪器型号：UV-1150 </w:t>
            </w:r>
          </w:p>
          <w:p w14:paraId="5C0340F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波长范围：195-1050 nm </w:t>
            </w:r>
          </w:p>
          <w:p w14:paraId="03E0C9C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光谱带宽：4nm</w:t>
            </w:r>
          </w:p>
          <w:p w14:paraId="61A8D2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波长准确度：±2nm </w:t>
            </w:r>
          </w:p>
          <w:p w14:paraId="24A1174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波长重复性：≤0.5nm </w:t>
            </w:r>
          </w:p>
          <w:p w14:paraId="6F7969C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光度准确度：±0.5 %T 或 ±0.004 </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7D108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23CC8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C6582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6597.04 </w:t>
            </w:r>
          </w:p>
        </w:tc>
      </w:tr>
      <w:tr w14:paraId="32D09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667CF0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5B11E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COD自动消解器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65FCB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测量范围：0～1000mg/L, 0～10000mg/L(水样稀释)</w:t>
            </w:r>
          </w:p>
          <w:p w14:paraId="309D0BF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测量时间：不大于2小时</w:t>
            </w:r>
          </w:p>
          <w:p w14:paraId="13DFE20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测量误差：邻苯二甲酸氢钾标准溶液（500mg/L），相对标准偏不大于5.0%；工业有机废水（500mg/L），相对标准偏不大于8.0%</w:t>
            </w:r>
          </w:p>
          <w:p w14:paraId="0EEE4F2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环境温度：室温～40℃</w:t>
            </w:r>
          </w:p>
          <w:p w14:paraId="0C60AB8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加热功率：1500W （AC 220V±22V,50HZ）</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EE9D5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B05BEA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29C9A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3298.52 </w:t>
            </w:r>
          </w:p>
        </w:tc>
      </w:tr>
      <w:tr w14:paraId="1D37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CA4DA2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77A5D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真空泵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E4AA8D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抽气速率: 1升/秒</w:t>
            </w:r>
          </w:p>
          <w:p w14:paraId="213B785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极限真空:6x10-2 Pa</w:t>
            </w:r>
          </w:p>
          <w:p w14:paraId="0183E18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转速:1400转/分</w:t>
            </w:r>
          </w:p>
          <w:p w14:paraId="4727019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电机功率:0.18KW</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6FD48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0A0BF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6E4C2C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1044.53 </w:t>
            </w:r>
          </w:p>
        </w:tc>
      </w:tr>
      <w:tr w14:paraId="4BAEC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BE969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C9D675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温湿度计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49E7F6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室内温度测量范围: -50C-+70C</w:t>
            </w:r>
          </w:p>
          <w:p w14:paraId="7F8B954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室外温度测量范围: - -50C~+70C</w:t>
            </w:r>
          </w:p>
          <w:p w14:paraId="582956F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温度分辨率:0.1° C(0.2° F)</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FA7D80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59EE51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28A19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7050F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D1E6C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1D025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水银温度计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2C433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0-150℃ 30cm 1℃</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668966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57B81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0C665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7.70 </w:t>
            </w:r>
          </w:p>
        </w:tc>
      </w:tr>
      <w:tr w14:paraId="3DDB8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B6CBC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E8B43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COD微波消解装置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C636FA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用于CODcr消解时:</w:t>
            </w:r>
          </w:p>
          <w:p w14:paraId="372F4E5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A、具有抗氯离子干扰的能力，能测定CODcr值大于50mg/L,氯离子含量高达10000mg/L的水平。</w:t>
            </w:r>
          </w:p>
          <w:p w14:paraId="4715706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B、可测定10mg/L以下CODcr值</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DC09A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7C1BC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29E47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3500.00 </w:t>
            </w:r>
          </w:p>
        </w:tc>
      </w:tr>
      <w:tr w14:paraId="202B9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1237AB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4C0C8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COD·氨氮双参数测定仪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4D5CC5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1.内存曲线：内存170条曲线，</w:t>
            </w:r>
          </w:p>
          <w:p w14:paraId="338CDF9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2.数据存储：可精确存储1.2万个测定数据</w:t>
            </w:r>
          </w:p>
          <w:p w14:paraId="4CD0C9D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3.COD测定范围：（0~15000）mg/L(分段)</w:t>
            </w:r>
          </w:p>
          <w:p w14:paraId="00DD140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示值误差：COD≤50mg/L，误差≤±8%；COD＞50mg/L，误差≤±5%</w:t>
            </w:r>
          </w:p>
          <w:p w14:paraId="3C571EB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4.测定时间：20分钟</w:t>
            </w:r>
          </w:p>
          <w:p w14:paraId="75427D8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5批处理量：16支</w:t>
            </w:r>
          </w:p>
          <w:p w14:paraId="63BABDA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6重复性：≤±3%</w:t>
            </w:r>
          </w:p>
          <w:p w14:paraId="6090110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7抗氯干扰：［CL-］＜1000mg/L（无影响）；［CL-］＜4000mg/L（可选）</w:t>
            </w:r>
          </w:p>
          <w:p w14:paraId="11E9EE2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8.氨氮：</w:t>
            </w:r>
          </w:p>
          <w:p w14:paraId="00578B2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测定范围：（0~160）mg/L（分段）</w:t>
            </w:r>
          </w:p>
          <w:p w14:paraId="7E06E50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示值误差：误差≤±5%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54F43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3FB656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11202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16500.00 </w:t>
            </w:r>
          </w:p>
        </w:tc>
      </w:tr>
      <w:tr w14:paraId="681E7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A428B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28E4C9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铁架台 附杆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D95528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杆长60cm（±0.5cm）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68F9C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付</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A1312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465460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35.62 </w:t>
            </w:r>
          </w:p>
        </w:tc>
      </w:tr>
      <w:tr w14:paraId="79F9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ADAC4D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8FE5B2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酸具塞滴定管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73EA3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C805FB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7D6729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64C84F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52.23 </w:t>
            </w:r>
          </w:p>
        </w:tc>
      </w:tr>
      <w:tr w14:paraId="1885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942A2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BCDB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皮头碱滴定管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A5D6F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07D9F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598DC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75F62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31.89 </w:t>
            </w:r>
          </w:p>
        </w:tc>
      </w:tr>
      <w:tr w14:paraId="460F9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FEC7CA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666234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全自动滴定管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1F66E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2CE8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92DB5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6911B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296.87 </w:t>
            </w:r>
          </w:p>
        </w:tc>
      </w:tr>
      <w:tr w14:paraId="3F1E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6254B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A834B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全自动滴定管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2B6885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E8E63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48529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1E2D45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296.87 </w:t>
            </w:r>
          </w:p>
        </w:tc>
      </w:tr>
      <w:tr w14:paraId="26B4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4C4966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5610E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滴水架55位</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009AF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DR650-506 50×360mm（±2mm）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41A1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5657BA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515A2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21C48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3FA569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74BD57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4911C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73EE42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C82F1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0D9EC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0A7B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4C5B05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6BD98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378E71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BCF07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8FD75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769F8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47D9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5FF9E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BA25A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36851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FD990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8D557A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BABC0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70994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A63B93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1BCC9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82510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1A2AFF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16CE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12484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10.12 </w:t>
            </w:r>
          </w:p>
        </w:tc>
      </w:tr>
      <w:tr w14:paraId="651B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F1EEC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E8D5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溶剂过滤器（新款）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14C444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1834C5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D7F6BE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C884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552.07 </w:t>
            </w:r>
          </w:p>
        </w:tc>
      </w:tr>
      <w:tr w14:paraId="63549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8F584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23A97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锥回流装置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76B4DB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250ml/300mm  球形</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2C6F2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E5F24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B7044B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6288C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85F52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145E8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塑料洗瓶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E9C9AE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6C3B3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1E27E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5A9F58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2.97 </w:t>
            </w:r>
          </w:p>
        </w:tc>
      </w:tr>
      <w:tr w14:paraId="2B9E8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012199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727A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B9F7BB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2E36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D901C2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C840A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10.45 </w:t>
            </w:r>
          </w:p>
        </w:tc>
      </w:tr>
      <w:tr w14:paraId="75199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D4148B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C7C49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8BABAD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12BBB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1C010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BE738E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10.45 </w:t>
            </w:r>
          </w:p>
        </w:tc>
      </w:tr>
      <w:tr w14:paraId="71BA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DB7F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33708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D19EE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32867E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5B6A91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6D37B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11.54 </w:t>
            </w:r>
          </w:p>
        </w:tc>
      </w:tr>
      <w:tr w14:paraId="7682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FD7DA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E339A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F6A41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BBEE7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43AF7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D7EDE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6BE5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26835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4E412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大肚吸管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37172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79186D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A0C5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6E3F23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12.09 </w:t>
            </w:r>
          </w:p>
        </w:tc>
      </w:tr>
      <w:tr w14:paraId="57A12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FF80C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E64B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大肚吸管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F8E6E6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4EDA7E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98AE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3AFCBE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13.52 </w:t>
            </w:r>
          </w:p>
        </w:tc>
      </w:tr>
      <w:tr w14:paraId="0EE8C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303E2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BFC02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大肚吸管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F9516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8FE9C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4F46D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B66ADF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17.59 </w:t>
            </w:r>
          </w:p>
        </w:tc>
      </w:tr>
      <w:tr w14:paraId="5124A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BCC669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A07A09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3F92A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8E4876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7617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D3968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14.29 </w:t>
            </w:r>
          </w:p>
        </w:tc>
      </w:tr>
      <w:tr w14:paraId="12AD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8C1685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6CC8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塑料刻度量筒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A48EAC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8B787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EFC88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31C4F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4.40 </w:t>
            </w:r>
          </w:p>
        </w:tc>
      </w:tr>
      <w:tr w14:paraId="4523A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FAF609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CD75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DB445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E4E2EA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645F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33AA8F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40.68 </w:t>
            </w:r>
          </w:p>
        </w:tc>
      </w:tr>
      <w:tr w14:paraId="7AAC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56753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1BAE7A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单道手动可调式移液器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005FBF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100-1000μl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EA445D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6BA12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F2A3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 </w:t>
            </w:r>
          </w:p>
        </w:tc>
      </w:tr>
      <w:tr w14:paraId="4B7FC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A0920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9C09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单道手动可调式移液器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6AAEEF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0.5-5ml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FC73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597DA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71DA0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 </w:t>
            </w:r>
          </w:p>
        </w:tc>
      </w:tr>
      <w:tr w14:paraId="65527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C38286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2D8F4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单道手动可调式移液器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70105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6FB60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95589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FE65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 </w:t>
            </w:r>
          </w:p>
        </w:tc>
      </w:tr>
      <w:tr w14:paraId="4AC6D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1215B7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AE9AF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枪嘴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6E8A7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100-1000μl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DC0FA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袋</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2635D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1B3F8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775BC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BC16C8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67E8DA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枪嘴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49BE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C8B4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袋</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B560E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1052BE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03616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C3E409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425A1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枪嘴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E3CB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7BE6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袋</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D39E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A6116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148.43 </w:t>
            </w:r>
          </w:p>
        </w:tc>
      </w:tr>
      <w:tr w14:paraId="0880E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6E3EF1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938E2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碳钢敷料镊子</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6F673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6DE8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AA942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1F74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4.40 </w:t>
            </w:r>
          </w:p>
        </w:tc>
      </w:tr>
      <w:tr w14:paraId="5EE05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3A6B6E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F0798F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直型滴管（带胶头）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4F00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8×150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199E1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49C0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4049B8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0.66 </w:t>
            </w:r>
          </w:p>
        </w:tc>
      </w:tr>
      <w:tr w14:paraId="4CBBF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BD794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CB864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单头不锈钢药匙</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00BF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E929D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52E35E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B21A4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19C26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A4687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FD7D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增氧泵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225E931">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3.5w</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B16443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90DD9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4F201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 </w:t>
            </w:r>
          </w:p>
        </w:tc>
      </w:tr>
      <w:tr w14:paraId="5D487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65263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6FBD6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搪瓷方盘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B657D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25×30×3cm.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EFD4E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93095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B91E70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63B2C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9E0586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48E4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F1A3ED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2E962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42747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53ACFC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0569F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EC52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403690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742BA4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6FFFA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37B3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90A01A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0DB19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B786F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8F4B1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玻璃搅拌棒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7C008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6-8mm 300mm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BBE0DB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BC08CD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87FD1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0.88 </w:t>
            </w:r>
          </w:p>
        </w:tc>
      </w:tr>
      <w:tr w14:paraId="63A0D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F0ACC3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B8039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标短漏斗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E3A91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φ9cm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43AF5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CF714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25FB35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4.73 </w:t>
            </w:r>
          </w:p>
        </w:tc>
      </w:tr>
      <w:tr w14:paraId="728B6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D4B90B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A343D0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3.3具塞比色管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822B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25mlA/12×1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F7B5CF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291654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C1E46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98.96 </w:t>
            </w:r>
          </w:p>
        </w:tc>
      </w:tr>
      <w:tr w14:paraId="1E882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3E8BB5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C5EF8D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比色管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A83B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50ml/12×1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6DBF9D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9D6B1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A9A0CE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186.92 </w:t>
            </w:r>
          </w:p>
        </w:tc>
      </w:tr>
      <w:tr w14:paraId="1B305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97A17A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3149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比色管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B3C4E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100ml/12×1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A03288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FE167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C417C2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236.17 </w:t>
            </w:r>
          </w:p>
        </w:tc>
      </w:tr>
      <w:tr w14:paraId="75B72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E2A4F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3BCB45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木比色管架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A2EF38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25ml×12孔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766BF6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F2E1B7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F4EFB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19.24 </w:t>
            </w:r>
          </w:p>
        </w:tc>
      </w:tr>
      <w:tr w14:paraId="31FFF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3D14B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5F5F1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有机玻璃比色管架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3E07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50ml×12孔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8A2E5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B7955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51943C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40.68 </w:t>
            </w:r>
          </w:p>
        </w:tc>
      </w:tr>
      <w:tr w14:paraId="3D2D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47279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333377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单排木试管架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41F9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φ20mm 8孔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0797E6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79FA6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68AA0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14.29 </w:t>
            </w:r>
          </w:p>
        </w:tc>
      </w:tr>
      <w:tr w14:paraId="616E2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843AE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1046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组合试管架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F42EE9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φ16×60孔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BB4ED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236DA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405AE1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10.56 </w:t>
            </w:r>
          </w:p>
        </w:tc>
      </w:tr>
      <w:tr w14:paraId="2C475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9E9B6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0D4E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F15ED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24#</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D3FB8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C99F2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D5E86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19.24 </w:t>
            </w:r>
          </w:p>
        </w:tc>
      </w:tr>
      <w:tr w14:paraId="496FB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3E386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DF60A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三角瓶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3995F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大口</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A373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A0123A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D6922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7.70 </w:t>
            </w:r>
          </w:p>
        </w:tc>
      </w:tr>
      <w:tr w14:paraId="0AAC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85295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90B21F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广范试纸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E107F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1-14pH</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B66E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CD780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9199D7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1.76 </w:t>
            </w:r>
          </w:p>
        </w:tc>
      </w:tr>
      <w:tr w14:paraId="37F52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3533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3B9001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定性滤纸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66CC60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φ15cm(中)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530439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E0F5F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60BA2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20.89 </w:t>
            </w:r>
          </w:p>
        </w:tc>
      </w:tr>
      <w:tr w14:paraId="662B8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32744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FBA2F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称量纸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9A2DF6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100×100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310CE3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20AC8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DC81C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11.43 </w:t>
            </w:r>
          </w:p>
        </w:tc>
      </w:tr>
      <w:tr w14:paraId="66813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97619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F93C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微孔滤膜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A36569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0.45μ×φ50(水系)</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F42066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2F776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087C8A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87.96 </w:t>
            </w:r>
          </w:p>
        </w:tc>
      </w:tr>
      <w:tr w14:paraId="6D911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098D0E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145F4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布氏漏斗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7C543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φ12cm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B2493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6576A7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B264B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32.99 </w:t>
            </w:r>
          </w:p>
        </w:tc>
      </w:tr>
      <w:tr w14:paraId="4A04F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28BC0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3B236F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手术剪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C90158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J21190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898BC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1D55D1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A291A6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63.77 </w:t>
            </w:r>
          </w:p>
        </w:tc>
      </w:tr>
      <w:tr w14:paraId="49C25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7AE81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1EB54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普通黄滴瓶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3042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7691F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8B584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3C0F5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6.60 </w:t>
            </w:r>
          </w:p>
        </w:tc>
      </w:tr>
      <w:tr w14:paraId="6330C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35893C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725A2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98911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4A397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875AA3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242588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18.69 </w:t>
            </w:r>
          </w:p>
        </w:tc>
      </w:tr>
      <w:tr w14:paraId="157AD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3F631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7D0032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A9DB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8A921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5B8E4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388ED3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32D2B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1F03AB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61C9B6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57036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E7C0B0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66A76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34188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52.78 </w:t>
            </w:r>
          </w:p>
        </w:tc>
      </w:tr>
      <w:tr w14:paraId="75B3C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8C157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23767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纱布卷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3510C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80cm×9.5m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320EDD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79D3DD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2F037B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5E1A8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25724C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82003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优级胶管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EEF6B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8×12</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353913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88675D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DAE11B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24.74 </w:t>
            </w:r>
          </w:p>
        </w:tc>
      </w:tr>
      <w:tr w14:paraId="2184E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AF95E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61992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一次性使用非灭菌橡胶检查手套(麻面有粉)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F2A94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大#(抽式)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52D4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AD2FA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29C55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417B6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7C9A6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A0E50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一次性使用非灭菌橡胶检查手套(麻面有粉)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15B58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中#(抽式)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F826E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9DA01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847ABC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35DC5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1419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7092EA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塑料桶(特厚)</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DCAAF6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25kg，加厚，带内盖</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BEACD7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1C6F10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DC88F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42.88 </w:t>
            </w:r>
          </w:p>
        </w:tc>
      </w:tr>
      <w:tr w14:paraId="70688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2C53B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4A617F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天平刷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50978F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小号 11.5cm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3D0BC7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93316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B31A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4.40 </w:t>
            </w:r>
          </w:p>
        </w:tc>
      </w:tr>
      <w:tr w14:paraId="269BF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8A773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02AD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499721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44B39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F68A36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B7F91E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 </w:t>
            </w:r>
          </w:p>
        </w:tc>
      </w:tr>
      <w:tr w14:paraId="1C37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8F65B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97E78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F45506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EBF69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65AC62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8CE15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 </w:t>
            </w:r>
          </w:p>
        </w:tc>
      </w:tr>
      <w:tr w14:paraId="1E613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5BB32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6DD3F4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FC3AED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21B1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08CEF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50C9C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 </w:t>
            </w:r>
          </w:p>
        </w:tc>
      </w:tr>
      <w:tr w14:paraId="57933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C45CB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A756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长袖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63EB81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CDE16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8BAF7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2104E6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47.83 </w:t>
            </w:r>
          </w:p>
        </w:tc>
      </w:tr>
      <w:tr w14:paraId="3A521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7FAE7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2B34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长袖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833D3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AAC20A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E1D480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6792C2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47.83 </w:t>
            </w:r>
          </w:p>
        </w:tc>
      </w:tr>
      <w:tr w14:paraId="4C07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CDFD1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7B9651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短袖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9FCDA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A42E7C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9FFA8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911C35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41.23 </w:t>
            </w:r>
          </w:p>
        </w:tc>
      </w:tr>
      <w:tr w14:paraId="43CA3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18A386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D23D8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短袖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50BC95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B43E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B5408B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95B687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41.23 </w:t>
            </w:r>
          </w:p>
        </w:tc>
      </w:tr>
      <w:tr w14:paraId="7C88E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B48C8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112236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定制彩色标签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0C26B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24小张/A4纸</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F1EB1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86548B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C533F3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2.20 </w:t>
            </w:r>
          </w:p>
        </w:tc>
      </w:tr>
      <w:tr w14:paraId="440CA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E65F1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7FF02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冲洗器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A785AA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30ml(小号)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04277F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85B520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E778D9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2.64 </w:t>
            </w:r>
          </w:p>
        </w:tc>
      </w:tr>
      <w:tr w14:paraId="31D4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B0E76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17B03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冲洗器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D93B3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90ml(大号)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40D46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70CA66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93FCD8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48E0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BB522C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537D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一次性使用非灭菌橡胶检查手套(麻面有粉)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229747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中#(抽式)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2C4EB9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342B3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8B919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13393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1C3FD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AB998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耐高温手套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4B87D48">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耐高温300℃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07C7D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E6F05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AE647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11.00 </w:t>
            </w:r>
          </w:p>
        </w:tc>
      </w:tr>
      <w:tr w14:paraId="722CE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BDFFDD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32D450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放水瓶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D26DAF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25412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1430A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094E6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197.91 </w:t>
            </w:r>
          </w:p>
        </w:tc>
      </w:tr>
      <w:tr w14:paraId="06C50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D8FDA4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78C2E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纱布口罩</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207924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12层</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CADB1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12B3B4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6D4E5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2.20 </w:t>
            </w:r>
          </w:p>
        </w:tc>
      </w:tr>
      <w:tr w14:paraId="5D7EA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38E5A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13512A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耐高温手套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C767B6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耐高温200℃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EE7D7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E6EDD4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77FF63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11.00 </w:t>
            </w:r>
          </w:p>
        </w:tc>
      </w:tr>
      <w:tr w14:paraId="499A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19697B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9F0F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镜头纸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890E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10×15</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30134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2F50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3EBA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3.96 </w:t>
            </w:r>
          </w:p>
        </w:tc>
      </w:tr>
      <w:tr w14:paraId="710F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12C989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577169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载玻片7101（光面1-1.2mm）</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7C913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25.4*76.2mm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ED51B3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F1A99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4CD67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11.00 </w:t>
            </w:r>
          </w:p>
        </w:tc>
      </w:tr>
      <w:tr w14:paraId="560D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90770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49751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盖玻片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17FBF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22×22</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BBDD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F33C5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80865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5F30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085A02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7BD7AF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AB4E58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23403B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62D62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9D568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9.90 </w:t>
            </w:r>
          </w:p>
        </w:tc>
      </w:tr>
      <w:tr w14:paraId="67B3A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3596B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E9E87A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6B7D0E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7486B0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6556B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63C4B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11.54 </w:t>
            </w:r>
          </w:p>
        </w:tc>
      </w:tr>
      <w:tr w14:paraId="0C8E9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0E13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66C3B1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753F9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10B9A1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0EBB50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F218C6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17.37 </w:t>
            </w:r>
          </w:p>
        </w:tc>
      </w:tr>
      <w:tr w14:paraId="1CFD9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CD3B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20B3FD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FD1CCA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81681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85C08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CBA2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29.69 </w:t>
            </w:r>
          </w:p>
        </w:tc>
      </w:tr>
      <w:tr w14:paraId="71B42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2B564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EFE051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242C79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AAA3AF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4861E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09554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24E4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008E9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A8F05F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3.3棕色高硼硅广口试剂瓶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3ABD31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933F7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22E7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C0A833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22.43 </w:t>
            </w:r>
          </w:p>
        </w:tc>
      </w:tr>
      <w:tr w14:paraId="55E3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B3D7D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C14701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棕量瓶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DC273E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EE421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E847B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ADA3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33.21 </w:t>
            </w:r>
          </w:p>
        </w:tc>
      </w:tr>
      <w:tr w14:paraId="3D9EB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16A5F9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F82E1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棕量瓶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C23C4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4F342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FD9D3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19525E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11.43 </w:t>
            </w:r>
          </w:p>
        </w:tc>
      </w:tr>
      <w:tr w14:paraId="3AE2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1B67E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05DFAF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棕量瓶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3994D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757F5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E183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D3297C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17.48 </w:t>
            </w:r>
          </w:p>
        </w:tc>
      </w:tr>
      <w:tr w14:paraId="66604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8FA25C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5F82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3DCBB2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5B3BBB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C9051E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F474C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8.25 </w:t>
            </w:r>
          </w:p>
        </w:tc>
      </w:tr>
      <w:tr w14:paraId="034DD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7ED03D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281CC8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15689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7DC9BA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3BAE8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F037A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9.46 </w:t>
            </w:r>
          </w:p>
        </w:tc>
      </w:tr>
      <w:tr w14:paraId="0E62D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E6830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FA3A2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62942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4C35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B699A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C1AF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4F56A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F042D0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E7379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01707F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4A40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71273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D2F1C1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17.81 </w:t>
            </w:r>
          </w:p>
        </w:tc>
      </w:tr>
      <w:tr w14:paraId="7B7CA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1CAF2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CB5D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17C99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5AEF3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448BAD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DB7EB3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13.74 </w:t>
            </w:r>
          </w:p>
        </w:tc>
      </w:tr>
      <w:tr w14:paraId="3E97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F4A7A3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16C0A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399FA1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8D74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223AB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A00C3A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21.00 </w:t>
            </w:r>
          </w:p>
        </w:tc>
      </w:tr>
      <w:tr w14:paraId="1E2B8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524C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367A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FBACD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7832F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175AE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AF861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2884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375B5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1D343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8DBBB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1578A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82C3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7F298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38.48 </w:t>
            </w:r>
          </w:p>
        </w:tc>
      </w:tr>
      <w:tr w14:paraId="73EB1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CD6B58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140758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04C0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796128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E61D1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A0E9E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52.78 </w:t>
            </w:r>
          </w:p>
        </w:tc>
      </w:tr>
      <w:tr w14:paraId="478C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BBEE5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6B98A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B5F0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632266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056AE5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B0BF0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4A441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6B4D57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95390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9DC4F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E2F7DE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A3A17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3D2F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68ACA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46786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6D1032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E615D3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ADBA0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5964A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4D918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53D2C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9FE77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76371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383833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1498D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1BFEF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DC5E36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4.95 </w:t>
            </w:r>
          </w:p>
        </w:tc>
      </w:tr>
      <w:tr w14:paraId="0D39C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724F9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2F5114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3687E3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7230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A7D9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BEA702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9.90 </w:t>
            </w:r>
          </w:p>
        </w:tc>
      </w:tr>
      <w:tr w14:paraId="341DB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33FBE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329F3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刻度塑料烧杯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C1068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F2B23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F44249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9BE5D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47264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C4F554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D2531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刻度塑料烧杯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6BE74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9C5B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9C5DC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01C79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28D4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2CEF8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707CF1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低型称量瓶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F6166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50×30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045A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3D8C7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AF7D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5.94 </w:t>
            </w:r>
          </w:p>
        </w:tc>
      </w:tr>
      <w:tr w14:paraId="768AA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B12EF7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090EC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标短漏斗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FFEC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ф7.5cm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5A233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11D55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92904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4.07 </w:t>
            </w:r>
          </w:p>
        </w:tc>
      </w:tr>
      <w:tr w14:paraId="22C44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09C9FF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5C349E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木分液漏斗架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A3F2EF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6孔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86F64C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35F64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D7E404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52.78 </w:t>
            </w:r>
          </w:p>
        </w:tc>
      </w:tr>
      <w:tr w14:paraId="16204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36543B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88277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不锈钢试管架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B5CAA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ST500-80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6CC4A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FC4FF0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12C90C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49.81 </w:t>
            </w:r>
          </w:p>
        </w:tc>
      </w:tr>
      <w:tr w14:paraId="7B93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E731C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6D274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棉线（装订线）</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D24185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W-4/004 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3897FD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48CA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C469C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7582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9F0ADF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A5412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三角瓶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28D5D4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大口</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FEC59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FF134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D25CA9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7.70 </w:t>
            </w:r>
          </w:p>
        </w:tc>
      </w:tr>
      <w:tr w14:paraId="2767F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D43F05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537F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直型滴管 带红胶头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519D8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8×180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FE5E2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47B3A0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696C0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0.55 </w:t>
            </w:r>
          </w:p>
        </w:tc>
      </w:tr>
      <w:tr w14:paraId="15DEA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BB12E2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CD263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定量滤纸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8858D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φ12.5cm(中)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F08AA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C3A84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0E8C34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44.42 </w:t>
            </w:r>
          </w:p>
        </w:tc>
      </w:tr>
      <w:tr w14:paraId="0F53B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29A019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858D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布氏漏斗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01E51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φ10cm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757F3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41250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094296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18.47 </w:t>
            </w:r>
          </w:p>
        </w:tc>
      </w:tr>
      <w:tr w14:paraId="36858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ED2D6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41C0A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上口抽滤瓶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2DE7A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4EE8AE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3E6F5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F2E98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7260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42F21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8F8423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橡胶漏斗套塞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67334B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8*1整套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41D2C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4E6F0F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1CB32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17.92 </w:t>
            </w:r>
          </w:p>
        </w:tc>
      </w:tr>
      <w:tr w14:paraId="1EB3E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3BD10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A15442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干燥器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4E5F5C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φ24cm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4D909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67181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752404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129.96 </w:t>
            </w:r>
          </w:p>
        </w:tc>
      </w:tr>
      <w:tr w14:paraId="58639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344F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9D2263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玻璃搅拌棒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AD8CE6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6-8mm 300mm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6C8CE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9CFCF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75AD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0.88 </w:t>
            </w:r>
          </w:p>
        </w:tc>
      </w:tr>
      <w:tr w14:paraId="7BCCD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299BC8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793F7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有机玻璃吸管架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812F18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97C601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DE32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B06D2F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57.17 </w:t>
            </w:r>
          </w:p>
        </w:tc>
      </w:tr>
      <w:tr w14:paraId="7A4FB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65F3E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56AA1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有机玻璃吸管架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55C03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大号横竖两用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EE2F4F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1732D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F23AB3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50.36 </w:t>
            </w:r>
          </w:p>
        </w:tc>
      </w:tr>
      <w:tr w14:paraId="7EF8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C39F1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9AB93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镜头纸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458CA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10×15</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A35C45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BBD0C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65DB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3.96 </w:t>
            </w:r>
          </w:p>
        </w:tc>
      </w:tr>
      <w:tr w14:paraId="22CB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5FD59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A7D2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溶剂过滤器（新款）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4AFE7E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EEEBE7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B9451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0F1FB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623.42 </w:t>
            </w:r>
          </w:p>
        </w:tc>
      </w:tr>
      <w:tr w14:paraId="3CB7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849A7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212CB5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木比色管架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A99D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100ml×12孔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3D5930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B181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E31A0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29.36 </w:t>
            </w:r>
          </w:p>
        </w:tc>
      </w:tr>
      <w:tr w14:paraId="5383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C68FB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8B749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(铝喷塑)滴定夹</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0776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YSQ-15-1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507CB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DB6BD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D4D12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21.55 </w:t>
            </w:r>
          </w:p>
        </w:tc>
      </w:tr>
      <w:tr w14:paraId="33D6A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54F85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4961F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BACC32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EE4FEB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D4212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2F40B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71775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1613E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FEC4E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9FA73A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144F32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3D5D8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5C5DD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6CDB7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14B30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DCBB39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C1EC54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45765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C58F27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96953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1.65 </w:t>
            </w:r>
          </w:p>
        </w:tc>
      </w:tr>
      <w:tr w14:paraId="140B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518DA7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5B1265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FC386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339E3F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99392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84E65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2.20 </w:t>
            </w:r>
          </w:p>
        </w:tc>
      </w:tr>
      <w:tr w14:paraId="2E92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8FDEF0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E835CB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28EB46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706ED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1BAFF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FBE5A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1.32 </w:t>
            </w:r>
          </w:p>
        </w:tc>
      </w:tr>
      <w:tr w14:paraId="4B317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F3C25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C03F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DC14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1C2082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83E97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1CAFD9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0.55 </w:t>
            </w:r>
          </w:p>
        </w:tc>
      </w:tr>
      <w:tr w14:paraId="73CFC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A2E9B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D3DE4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手术剪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B013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J21190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5A026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63ACC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7BAB06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63.88 </w:t>
            </w:r>
          </w:p>
        </w:tc>
      </w:tr>
      <w:tr w14:paraId="18538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9FFB5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8582B3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PH缓冲剂</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2BC3A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4183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F5745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4142E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9.46 </w:t>
            </w:r>
          </w:p>
        </w:tc>
      </w:tr>
      <w:tr w14:paraId="62119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B3301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3C8B2B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微孔滤膜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7744CF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0.45μ×φ50(水系)</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C33A0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8CEC1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79613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51.57 </w:t>
            </w:r>
          </w:p>
        </w:tc>
      </w:tr>
      <w:tr w14:paraId="31279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EE8E83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8E88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定量滤纸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C797D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φ12.5cm(中)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E170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2F17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5E646E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44.42 </w:t>
            </w:r>
          </w:p>
        </w:tc>
      </w:tr>
      <w:tr w14:paraId="0754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EBA290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B00C6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一水合硫酸锰(II)</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14E0B4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E0AD1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E741BD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AF343C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21.55 </w:t>
            </w:r>
          </w:p>
        </w:tc>
      </w:tr>
      <w:tr w14:paraId="48764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8EF9A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B921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碘化钾 粉状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646759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6F40B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B15936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027BD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417.81 </w:t>
            </w:r>
          </w:p>
        </w:tc>
      </w:tr>
      <w:tr w14:paraId="339A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B9A66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735D5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硫酸(须办备案证明方可购买)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AE712C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E63D39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F0B78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4BE0BB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39.58 </w:t>
            </w:r>
          </w:p>
        </w:tc>
      </w:tr>
      <w:tr w14:paraId="02108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ECF4F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B1B39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可溶性淀粉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8DA04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E81F7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A4179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56E1BE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17.59 </w:t>
            </w:r>
          </w:p>
        </w:tc>
      </w:tr>
      <w:tr w14:paraId="5EE89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82CE4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AF8075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重铬酸钾(易制爆)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7B75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C31C9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1158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4E1C45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75746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652431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3AFC5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五水合硫代硫酸钠(大苏打)</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CAF1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5C9B77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2D71B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3FC66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13.63 </w:t>
            </w:r>
          </w:p>
        </w:tc>
      </w:tr>
      <w:tr w14:paraId="28B17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FEE8C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38C7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邻啡罗啉(1.10-菲啰啉) 一水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CC76C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8C3B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5580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105E3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32.11 </w:t>
            </w:r>
          </w:p>
        </w:tc>
      </w:tr>
      <w:tr w14:paraId="210F2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52149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C5234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六水合硫酸亚铁铵/硫酸铁(II)铵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778A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78371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147F2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73A675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16.71 </w:t>
            </w:r>
          </w:p>
        </w:tc>
      </w:tr>
      <w:tr w14:paraId="36BD8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C7336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A73EE7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七水合硫酸亚铁</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60862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429DF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4EBB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1FB219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10.67 </w:t>
            </w:r>
          </w:p>
        </w:tc>
      </w:tr>
      <w:tr w14:paraId="6AB75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29CEF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2A371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4C1BC9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974CCE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30E2F2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D8E6D1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335.35 </w:t>
            </w:r>
          </w:p>
        </w:tc>
      </w:tr>
      <w:tr w14:paraId="4F38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560B3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5F9815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A45E7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B916E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AA45F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BE9943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577.24 </w:t>
            </w:r>
          </w:p>
        </w:tc>
      </w:tr>
      <w:tr w14:paraId="7D5D3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51899C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0EA1A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邻苯二甲酸氢钾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60E377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24089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35B7F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8BC5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45.52 </w:t>
            </w:r>
          </w:p>
        </w:tc>
      </w:tr>
      <w:tr w14:paraId="56340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0D88A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CEF2E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磷酸二氢钾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07E0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C74BE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7CF98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3D2F01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27.71 </w:t>
            </w:r>
          </w:p>
        </w:tc>
      </w:tr>
      <w:tr w14:paraId="6599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DC37F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3C760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三水合磷酸氢二钾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FDCB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7D0C73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52DD6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5D265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26.06 </w:t>
            </w:r>
          </w:p>
        </w:tc>
      </w:tr>
      <w:tr w14:paraId="38D8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A85BF7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E8508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三水合磷酸氢二钾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C4DF9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66FE8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E16CA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C6E0C9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26.06 </w:t>
            </w:r>
          </w:p>
        </w:tc>
      </w:tr>
      <w:tr w14:paraId="390B5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B6380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91A1E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3CE0B3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C1C05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3C48D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7AD3C4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14.95 </w:t>
            </w:r>
          </w:p>
        </w:tc>
      </w:tr>
      <w:tr w14:paraId="74B33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E84EC1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6E9D1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七水合硫酸镁</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A733E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07126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B0D7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D1629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15.17 </w:t>
            </w:r>
          </w:p>
        </w:tc>
      </w:tr>
      <w:tr w14:paraId="50D6E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36F40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04FB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二水合氯化钙</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3771F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7A5A68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A6597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BB8E21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18.58 </w:t>
            </w:r>
          </w:p>
        </w:tc>
      </w:tr>
      <w:tr w14:paraId="71E7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5DE6B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838B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六水合三氯化铁</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0F1DF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63E76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F6310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22A8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29.69 </w:t>
            </w:r>
          </w:p>
        </w:tc>
      </w:tr>
      <w:tr w14:paraId="4A804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8AF334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2DCF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盐酸(须办备案证明方可购买)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95DE4E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783F2B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F4E1A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C2D0E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14F3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A352D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42A3D5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氢氧化钠(烧碱)珠状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20B1D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4F677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B576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6C790E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2A2E8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DE43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D78985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无水亚硫酸钠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5E27E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5AB21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9B75D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0A67C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15.61 </w:t>
            </w:r>
          </w:p>
        </w:tc>
      </w:tr>
      <w:tr w14:paraId="622B1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B81D1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9E40F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D(+)葡萄糖，一水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C2A1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E8F12E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284EE9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31FB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28.92 </w:t>
            </w:r>
          </w:p>
        </w:tc>
      </w:tr>
      <w:tr w14:paraId="2F51E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4630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3C522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L-谷氨酸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9309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BR100g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C90D5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032036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B6DE6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30.90 </w:t>
            </w:r>
          </w:p>
        </w:tc>
      </w:tr>
      <w:tr w14:paraId="02CA3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EBA3BB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327BE2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L(+)抗坏血酸(VC)</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9B3AD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5F232E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8889B8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E3DA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9.13 </w:t>
            </w:r>
          </w:p>
        </w:tc>
      </w:tr>
      <w:tr w14:paraId="4D04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697AA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6588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钼酸铵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AE82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2D151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D25B8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BD2B9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267.18 </w:t>
            </w:r>
          </w:p>
        </w:tc>
      </w:tr>
      <w:tr w14:paraId="1D933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5733B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6DBAF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酒石酸锑钾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B9270A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BEAE97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7E60A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C72BAF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150.41 </w:t>
            </w:r>
          </w:p>
        </w:tc>
      </w:tr>
      <w:tr w14:paraId="49153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9CA88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6627A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磷酸二氢钾(磷酸一钾)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D00C55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05785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F153B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012AC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35.62 </w:t>
            </w:r>
          </w:p>
        </w:tc>
      </w:tr>
      <w:tr w14:paraId="0295B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5E49A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BC955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氢氧化钠(烧碱)珠状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DE0E1C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A56A81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D32B0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A3235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3EA9A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0DAC1F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D8A5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过硫酸钾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AA1BC1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EBBB8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DF6E38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C60413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1429.36 </w:t>
            </w:r>
          </w:p>
        </w:tc>
      </w:tr>
      <w:tr w14:paraId="700A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61A1E8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01084E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三氯甲烷(须办备案证明方可购买)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121AF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2DF9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DD173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156F6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96.76 </w:t>
            </w:r>
          </w:p>
        </w:tc>
      </w:tr>
      <w:tr w14:paraId="3DCA3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19B11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40CCA9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硝酸钾(*)(易制爆)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1101B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7BC949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AF1C8D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12ABF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42.33 </w:t>
            </w:r>
          </w:p>
        </w:tc>
      </w:tr>
      <w:tr w14:paraId="74BD8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611B36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B8BE36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七水合硫酸锌</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F73EF8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C0D224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D7B6AF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65DB8C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18.58 </w:t>
            </w:r>
          </w:p>
        </w:tc>
      </w:tr>
      <w:tr w14:paraId="51F21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4564B9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E6B441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碘化钾 粉状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3F0B15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65203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2F0DF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BA7D42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494.78 </w:t>
            </w:r>
          </w:p>
        </w:tc>
      </w:tr>
      <w:tr w14:paraId="0A07C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606A8E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9B8840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氯化汞 （剧毒）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DA42C6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CBA1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B6B3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24EF4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989.56 </w:t>
            </w:r>
          </w:p>
        </w:tc>
      </w:tr>
      <w:tr w14:paraId="1A7B4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DD63C7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40825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9A7CB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AR100g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5E6FC8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95BF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C486F4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395.82 </w:t>
            </w:r>
          </w:p>
        </w:tc>
      </w:tr>
      <w:tr w14:paraId="20009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B5D8B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D5286F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四水合酒石酸钾钠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22B4B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88F007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899F5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AD066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30.46 </w:t>
            </w:r>
          </w:p>
        </w:tc>
      </w:tr>
      <w:tr w14:paraId="7F904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5DE245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9D4DAC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30%过氧化氢(双氧水)(易制爆)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077D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DF6674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2705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B98E50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16.38 </w:t>
            </w:r>
          </w:p>
        </w:tc>
      </w:tr>
      <w:tr w14:paraId="67770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169EBA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3BC3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无水乙醇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C34173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 玻瓶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2C6AA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EDED18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4F064F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12.09 </w:t>
            </w:r>
          </w:p>
        </w:tc>
      </w:tr>
      <w:tr w14:paraId="1CE1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0BFFD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2FDF2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凡士林(白)</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C6281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1A618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016A8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E14860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17.37 </w:t>
            </w:r>
          </w:p>
        </w:tc>
      </w:tr>
      <w:tr w14:paraId="4A5B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4AA5DF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1A7636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变色硅胶(干燥剂)</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576B0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491E50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98D9F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A063F7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15.39 </w:t>
            </w:r>
          </w:p>
        </w:tc>
      </w:tr>
      <w:tr w14:paraId="329F1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2F0DD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DE698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B322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0E204A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54273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2CDFB5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56.29 </w:t>
            </w:r>
          </w:p>
        </w:tc>
      </w:tr>
      <w:tr w14:paraId="39DE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C5A300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57E64E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甲基橙</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AFA6E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IND25g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FA6C0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1D42A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42F21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35.62 </w:t>
            </w:r>
          </w:p>
        </w:tc>
      </w:tr>
      <w:tr w14:paraId="19485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1EDC8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7AA3B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酚酞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1EC00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IND25g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85845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BDFEE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D50A3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22.32 </w:t>
            </w:r>
          </w:p>
        </w:tc>
      </w:tr>
      <w:tr w14:paraId="18880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DB213B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CECDEE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亚硝基铁氰化钠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5430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12BAE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F931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0D062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87.96 </w:t>
            </w:r>
          </w:p>
        </w:tc>
      </w:tr>
      <w:tr w14:paraId="24484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1690E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D70343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二氯异氰尿酸钠96%</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7D7D72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S817863-500g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C850A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5311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C9A93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131.94 </w:t>
            </w:r>
          </w:p>
        </w:tc>
      </w:tr>
      <w:tr w14:paraId="17296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45DAE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7254B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水杨酸钠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7457B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F521E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4BED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802A9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19.79 </w:t>
            </w:r>
          </w:p>
        </w:tc>
      </w:tr>
      <w:tr w14:paraId="0954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78BCCE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C876ED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化学耗氧量成分分析标准物质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4140E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符合GBW(E)080273标准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6A9FD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646EA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2129CD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116.55 </w:t>
            </w:r>
          </w:p>
        </w:tc>
      </w:tr>
      <w:tr w14:paraId="428B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402F6A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15F2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标样/水质 总氮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45C29F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符合GSB 07-3168-2014标准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A140B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6A44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D31472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 </w:t>
            </w:r>
          </w:p>
        </w:tc>
      </w:tr>
      <w:tr w14:paraId="1304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5BD36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D646F2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标样/水质 总氮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9EC718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符合GSB 07-3168-2014标准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E79C9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23E5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EE0B7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65.53 </w:t>
            </w:r>
          </w:p>
        </w:tc>
      </w:tr>
      <w:tr w14:paraId="1AC71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5A652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9372C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钾摩尔制剂(当)0.1mol/L 稀释500ml</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A15AF98">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0.1mol/L 稀释500ml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3035F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B3655C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F5AC6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38.14 </w:t>
            </w:r>
          </w:p>
        </w:tc>
      </w:tr>
      <w:tr w14:paraId="4B7B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AA84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4F9899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48E0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336D1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CB364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72511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15.65 </w:t>
            </w:r>
          </w:p>
        </w:tc>
      </w:tr>
      <w:tr w14:paraId="4D9A1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78671E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AC58C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水中氨氮成分分析标准物质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3F95C7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GBW(E)080220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556AEF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DAD27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25D537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109.54 </w:t>
            </w:r>
          </w:p>
        </w:tc>
      </w:tr>
      <w:tr w14:paraId="42D33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0953A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11760D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边台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2E7B40">
            <w:pPr>
              <w:keepNext w:val="0"/>
              <w:keepLines w:val="0"/>
              <w:pageBreakBefore w:val="0"/>
              <w:widowControl/>
              <w:suppressLineNumbers w:val="0"/>
              <w:kinsoku/>
              <w:overflowPunct/>
              <w:topLinePunct w:val="0"/>
              <w:bidi w:val="0"/>
              <w:spacing w:line="360" w:lineRule="auto"/>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钢木结构，13mm耐酸碱实芯理化板台面，操作边加厚到26mm，带PP中号水槽三口水龙头1套</w:t>
            </w:r>
            <w:r>
              <w:rPr>
                <w:rFonts w:hint="eastAsia" w:ascii="宋体" w:hAnsi="宋体" w:cs="宋体"/>
                <w:i w:val="0"/>
                <w:iCs w:val="0"/>
                <w:color w:val="auto"/>
                <w:kern w:val="0"/>
                <w:sz w:val="20"/>
                <w:szCs w:val="20"/>
                <w:highlight w:val="none"/>
                <w:u w:val="none"/>
                <w:lang w:val="en-US" w:eastAsia="zh-CN" w:bidi="ar"/>
              </w:rPr>
              <w:t>，(长宽高：2100*750*850±2mm)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B52903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28458F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F7653F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4381.60 </w:t>
            </w:r>
          </w:p>
        </w:tc>
      </w:tr>
      <w:tr w14:paraId="2B9F7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C60B2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3B19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角柜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A74A9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钢木结构，13mm耐酸碱实芯理化板台面，操作边加厚到26mm</w:t>
            </w:r>
            <w:r>
              <w:rPr>
                <w:rFonts w:hint="eastAsia" w:ascii="宋体" w:hAnsi="宋体" w:cs="宋体"/>
                <w:i w:val="0"/>
                <w:iCs w:val="0"/>
                <w:color w:val="auto"/>
                <w:kern w:val="0"/>
                <w:sz w:val="20"/>
                <w:szCs w:val="20"/>
                <w:highlight w:val="none"/>
                <w:u w:val="none"/>
                <w:lang w:val="en-US" w:eastAsia="zh-CN" w:bidi="ar"/>
              </w:rPr>
              <w:t>(长宽高：1000*1000*850±2mm)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595DD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FA6165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8FAF80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5497.53 </w:t>
            </w:r>
          </w:p>
        </w:tc>
      </w:tr>
      <w:tr w14:paraId="49F9A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F86143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4D100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通风柜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698D71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PP结构,13mm耐酸碱实芯理化板台面，操作边加厚到26mm，带水位，不含排风系统</w:t>
            </w:r>
            <w:r>
              <w:rPr>
                <w:rFonts w:hint="eastAsia" w:ascii="宋体" w:hAnsi="宋体" w:cs="宋体"/>
                <w:i w:val="0"/>
                <w:iCs w:val="0"/>
                <w:color w:val="auto"/>
                <w:kern w:val="0"/>
                <w:sz w:val="20"/>
                <w:szCs w:val="20"/>
                <w:highlight w:val="none"/>
                <w:u w:val="none"/>
                <w:lang w:val="en-US" w:eastAsia="zh-CN" w:bidi="ar"/>
              </w:rPr>
              <w:t>(长宽高：1500*8500*2350±2mm)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897EA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2BB44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970A9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7865.00 </w:t>
            </w:r>
          </w:p>
        </w:tc>
      </w:tr>
      <w:tr w14:paraId="65062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DB3DF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E3375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通风系统</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2B29FE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Style w:val="130"/>
                <w:rFonts w:hint="eastAsia" w:ascii="宋体" w:hAnsi="宋体" w:eastAsia="宋体" w:cs="宋体"/>
                <w:color w:val="auto"/>
                <w:sz w:val="20"/>
                <w:szCs w:val="20"/>
                <w:highlight w:val="none"/>
                <w:lang w:val="en-US" w:eastAsia="zh-CN" w:bidi="ar"/>
              </w:rPr>
              <w:t>通风柜一套直排通风系统，（含：SJG-3.0F玻璃钢斜流风机，风量：1900</w:t>
            </w:r>
            <w:r>
              <w:rPr>
                <w:rStyle w:val="115"/>
                <w:rFonts w:hint="eastAsia" w:ascii="宋体" w:hAnsi="宋体" w:eastAsia="宋体" w:cs="宋体"/>
                <w:color w:val="auto"/>
                <w:sz w:val="20"/>
                <w:szCs w:val="20"/>
                <w:highlight w:val="none"/>
                <w:lang w:val="en-US" w:eastAsia="zh-CN" w:bidi="ar"/>
              </w:rPr>
              <w:t>³</w:t>
            </w:r>
            <w:r>
              <w:rPr>
                <w:rStyle w:val="130"/>
                <w:rFonts w:hint="eastAsia" w:ascii="宋体" w:hAnsi="宋体" w:eastAsia="宋体" w:cs="宋体"/>
                <w:color w:val="auto"/>
                <w:sz w:val="20"/>
                <w:szCs w:val="20"/>
                <w:highlight w:val="none"/>
                <w:lang w:val="en-US" w:eastAsia="zh-CN" w:bidi="ar"/>
              </w:rPr>
              <w:t>/h,功率：0.18KW，PVC风管、墙上开孔、等零星材料）</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3465BB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AA5D7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6FD1A5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6985.00 </w:t>
            </w:r>
          </w:p>
        </w:tc>
      </w:tr>
      <w:tr w14:paraId="4F290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FAEF5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FC06A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ED64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钢木结构，13mm耐酸碱实芯理化板台面，操作边加厚到26mm</w:t>
            </w:r>
            <w:r>
              <w:rPr>
                <w:rFonts w:hint="eastAsia" w:ascii="宋体" w:hAnsi="宋体" w:cs="宋体"/>
                <w:i w:val="0"/>
                <w:iCs w:val="0"/>
                <w:color w:val="auto"/>
                <w:kern w:val="0"/>
                <w:sz w:val="20"/>
                <w:szCs w:val="20"/>
                <w:highlight w:val="none"/>
                <w:u w:val="none"/>
                <w:lang w:val="en-US" w:eastAsia="zh-CN" w:bidi="ar"/>
              </w:rPr>
              <w:t>(长宽高：3000*1200*850±2mm)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69B74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0919BC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8A2AD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7182.00 </w:t>
            </w:r>
          </w:p>
        </w:tc>
      </w:tr>
      <w:tr w14:paraId="63126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70A135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8857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试剂柜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30E61D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铝木结构，上玻璃门下木门，带活动层板</w:t>
            </w:r>
            <w:r>
              <w:rPr>
                <w:rFonts w:hint="eastAsia" w:ascii="宋体" w:hAnsi="宋体" w:cs="宋体"/>
                <w:i w:val="0"/>
                <w:iCs w:val="0"/>
                <w:color w:val="auto"/>
                <w:kern w:val="0"/>
                <w:sz w:val="20"/>
                <w:szCs w:val="20"/>
                <w:highlight w:val="none"/>
                <w:u w:val="none"/>
                <w:lang w:val="en-US" w:eastAsia="zh-CN" w:bidi="ar"/>
              </w:rPr>
              <w:t>（长宽高：9000*450*1800±2mm）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790CA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A0AE39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30967D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1150.00 </w:t>
            </w:r>
          </w:p>
        </w:tc>
      </w:tr>
      <w:tr w14:paraId="576D7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51C63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FDDCCF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574A3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w:t>
            </w:r>
            <w:r>
              <w:rPr>
                <w:rStyle w:val="96"/>
                <w:rFonts w:hint="eastAsia" w:ascii="宋体" w:hAnsi="宋体" w:eastAsia="宋体" w:cs="宋体"/>
                <w:color w:val="auto"/>
                <w:sz w:val="20"/>
                <w:szCs w:val="20"/>
                <w:highlight w:val="none"/>
                <w:lang w:val="en-US" w:eastAsia="zh-CN" w:bidi="ar"/>
              </w:rPr>
              <w:t>³</w:t>
            </w:r>
            <w:r>
              <w:rPr>
                <w:rFonts w:hint="eastAsia" w:ascii="宋体" w:hAnsi="宋体" w:eastAsia="宋体" w:cs="宋体"/>
                <w:i w:val="0"/>
                <w:iCs w:val="0"/>
                <w:color w:val="auto"/>
                <w:kern w:val="0"/>
                <w:sz w:val="20"/>
                <w:szCs w:val="20"/>
                <w:highlight w:val="none"/>
                <w:u w:val="none"/>
                <w:lang w:val="en-US" w:eastAsia="zh-CN" w:bidi="ar"/>
              </w:rPr>
              <w:t>/h，支持手机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A5F71D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5006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50C996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46A3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41E23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DD329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F7588A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配置为正品四核、8G 高速内存、 120G 固态、独立图形加速卡，搭配 22 寸液晶显示器。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B7D333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810EC9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38F978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826.83 </w:t>
            </w:r>
          </w:p>
        </w:tc>
      </w:tr>
      <w:tr w14:paraId="02F9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A8727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B5EA4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3D8DDA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1200x700x600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DDE5C0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B0ECC9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B76DD6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3C812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2804C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BBC5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7DCCDC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1200×1500，900×1500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A57F1A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7974D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88C6D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6BBEB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B3EE5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1511E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3D82B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1200×1500，900×900，900×1500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B2FF87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13831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F132E2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2E5DB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A7F4A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1B5A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办公柜</w:t>
            </w:r>
          </w:p>
        </w:tc>
        <w:tc>
          <w:tcPr>
            <w:tcW w:w="5277" w:type="dxa"/>
            <w:tcBorders>
              <w:top w:val="nil"/>
              <w:left w:val="nil"/>
              <w:bottom w:val="nil"/>
              <w:right w:val="nil"/>
            </w:tcBorders>
            <w:noWrap/>
            <w:vAlign w:val="center"/>
          </w:tcPr>
          <w:p w14:paraId="4FF4150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  400×  1200 铁质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A702B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C436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83398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230.90 </w:t>
            </w:r>
          </w:p>
        </w:tc>
      </w:tr>
      <w:tr w14:paraId="1A0A2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24396C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51CC4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打印机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AAF7D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类型：黑白激光一体机。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涵盖功能：打印、复印、扫描。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最大处理幅面：A4。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打印速度：18 页 / 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打印分辨率：600×600dpi。</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扫描分辨率：600×600dpi。</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扫描速度：18 页 / 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复印分辨率：600×600dpi。</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复印速度：18 页 / 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最大复印页数：99 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网络打印：支持无线 / 有线网络打印。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接口类型：USB 2.0 接口。</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740D1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639BE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4B5CA7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603.63 </w:t>
            </w:r>
          </w:p>
        </w:tc>
      </w:tr>
      <w:tr w14:paraId="5A85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7B5C8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966C7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饮水机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4F5C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放置方式为立式，产品尺寸为 278×258×850mm，产品重量为 7kg。适用水源为桶装饮用水，额定制冷功率为 70W，制热水能力为 5L/h≥90℃，制冷水能力为 0.5L/h≤15℃，耗电量为 1.3KW・h/24h。采用食品接触用 304 不锈钢材质，双重温控，具有防干烧、防串温功能，还设有安全童锁设计。</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A6087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BA142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E4E53D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305.66 </w:t>
            </w:r>
          </w:p>
        </w:tc>
      </w:tr>
      <w:tr w14:paraId="67F5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14E44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9A62A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704BA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配置为正品四核、8G 高速内存、 120G 固态、独立图形加速卡，搭配 22 寸液晶显示器。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7AEB10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FC6A3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C7FC72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826.83 </w:t>
            </w:r>
          </w:p>
        </w:tc>
      </w:tr>
      <w:tr w14:paraId="5263C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839032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0F59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6B7A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1200x700x600(±1mm)材质为木质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BE5FF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C28F5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B8571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7A0AE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BE59E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8CC8F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00B035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FA7C8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BAF5C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0A3EE5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64AD3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8DEB5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DBD63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378BCF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FC96D8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509E4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79C0A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780DC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43996D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EFE08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AFB44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21CF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03635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916C7B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518AC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8D3FA7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B2F0C5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8B98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14CC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A833A5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ECC879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64371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636F8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5D997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05BD6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落地三层；尺寸 80×60×50cm；加厚不锈钢材质，单层承重 40KG；层板折边宽 40MM，三角结构，层距可调节 6cm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D688A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91E40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9B1015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229.36 </w:t>
            </w:r>
          </w:p>
        </w:tc>
      </w:tr>
      <w:tr w14:paraId="4D678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C56691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2D2C7D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D578E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5A1727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5C0FD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D6DD11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55B72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8B4214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E2A635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1B0A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7425A8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27DD0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822AF7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1630B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3C734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2198E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A5822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250DC7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E3986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521CF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47C5B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CFB67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D7196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FDC04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6CA2BA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5DF6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71CE7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24519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C8A52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E6CB59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1AF0A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1200×1500，900×900，900×1500(±5mm)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A3DE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6D3761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F9277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60783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8CF6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3884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洗漱台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ED422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核心尺寸参数（单位：cm）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台面宽度：60(±0.5cm)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台面深度：50(±0.5cm)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整体高度：80(±0.5cm)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盆体尺寸：嵌入式盆内径约 40×35×15(±0.5cm)陶瓷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ED5C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F61C40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FBB470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5AD96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E6EE3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6F8D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洗衣机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A78A2B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半自动双桶；洗涤容量 8kg，脱水容量 5.5kg；能效等级二级；双缸波轮设计，满足日常衣物及小件家纺清洗需求</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4679CB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157A5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8E77A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481.58 </w:t>
            </w:r>
          </w:p>
        </w:tc>
      </w:tr>
      <w:tr w14:paraId="2DB25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0B55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90508B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热水器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0628E1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容积 50 升；横式安装；二级能效；额定功率 2000W；机械控制；搪瓷内胆；产品尺寸 688×385×385mm(±10mm)；净重 17.5kg(±0.5kg)；8 年保修期</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649B1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B80C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FDD49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599.23 </w:t>
            </w:r>
          </w:p>
        </w:tc>
      </w:tr>
      <w:tr w14:paraId="76991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6D4A04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1CAC8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B171A7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2DF9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5077E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C259E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19165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D87AB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32C0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D4B9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F7954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77D4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2B54B6">
            <w:pPr>
              <w:keepNext w:val="0"/>
              <w:keepLines w:val="0"/>
              <w:pageBreakBefore w:val="0"/>
              <w:kinsoku/>
              <w:overflowPunct/>
              <w:topLinePunct w:val="0"/>
              <w:bidi w:val="0"/>
              <w:spacing w:line="360" w:lineRule="auto"/>
              <w:rPr>
                <w:rFonts w:hint="eastAsia" w:ascii="宋体" w:hAnsi="宋体" w:eastAsia="宋体" w:cs="宋体"/>
                <w:i w:val="0"/>
                <w:iCs w:val="0"/>
                <w:color w:val="auto"/>
                <w:kern w:val="0"/>
                <w:sz w:val="20"/>
                <w:szCs w:val="20"/>
                <w:highlight w:val="none"/>
                <w:u w:val="none"/>
                <w:lang w:val="en-US" w:eastAsia="zh-CN" w:bidi="ar"/>
              </w:rPr>
            </w:pPr>
          </w:p>
        </w:tc>
      </w:tr>
      <w:tr w14:paraId="59DCB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79489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E543C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FB04B2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C734A2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950D8F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751A3F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59E2F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B5DE8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62E0C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D1D8CF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1800×2000(±5mm)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6F64C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6D09C1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50890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6E92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74F78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184648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衣柜</w:t>
            </w:r>
          </w:p>
        </w:tc>
        <w:tc>
          <w:tcPr>
            <w:tcW w:w="5277" w:type="dxa"/>
            <w:tcBorders>
              <w:top w:val="nil"/>
              <w:left w:val="nil"/>
              <w:bottom w:val="nil"/>
              <w:right w:val="nil"/>
            </w:tcBorders>
            <w:noWrap/>
            <w:vAlign w:val="center"/>
          </w:tcPr>
          <w:p w14:paraId="24EC2F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1500×550×1800 (±5mm)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8109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A559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7A5297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44B3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D7839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6425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48303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办公桌核心参数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尺寸：120×60×72cm(±1cm)</w:t>
            </w:r>
          </w:p>
          <w:p w14:paraId="7BA5841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材质：桌面为密度板 / 颗粒板（E1 级），桌腿为钢管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承重：桌面均匀承重 20-30kg，适配电脑、书籍等基础办公用品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尺寸：椅面 40×40cm(±1cm)，椅高 42-50cm(±1cm)（可升降），椅背高 85cm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材质：椅面网布 / PU 皮，框架钢管 + 塑料，五星脚架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功能：气压杆高度调节，静音滚轮（直径 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承重：80-100kg，满足成人日常使用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06E34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2688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B20AAB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1F00A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011E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D81CA5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DE5C4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FCA3D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5F0F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966D7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2ADB5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7FEDB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C42D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13647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70146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8B0E6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C4793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75B45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52BF04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A11A3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5360E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0C0E8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A2D298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B071D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3229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8B31F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E1A02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2B0C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1800×2000 (±5mm)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21C3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BAF1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94A9E0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6379D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D3B4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AB9EF1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衣柜</w:t>
            </w:r>
          </w:p>
        </w:tc>
        <w:tc>
          <w:tcPr>
            <w:tcW w:w="5277" w:type="dxa"/>
            <w:tcBorders>
              <w:top w:val="nil"/>
              <w:left w:val="nil"/>
              <w:bottom w:val="nil"/>
              <w:right w:val="nil"/>
            </w:tcBorders>
            <w:noWrap/>
            <w:vAlign w:val="center"/>
          </w:tcPr>
          <w:p w14:paraId="3C4128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900×500×1800 (±5mm)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802F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2D25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26FB2A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3F907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955A4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4D8454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99366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尺寸：120×60×72cm(±0.5cm)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材质：桌面为密度板 / 颗粒板（E1 级），桌腿为钢管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承重：桌面均匀承重 20-30kg，适配电脑、书籍等基础办公用品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办公椅核心参数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尺寸：椅面 40×40cm(±0.5cm)，椅高 42-50cm（可升降），椅背高 85cm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材质：椅面网布 / PU 皮，框架钢管 + 塑料，五星脚架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功能：气压杆高度调节，静音滚轮（直径 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承重：80-100kg，满足成人日常使用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4C8EE9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7CCF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AFEE33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40642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4C6EC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7BE6FA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785BDC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9E91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591C0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F36388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2057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1B456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6D5F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D0DF52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57568D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E97C1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6C0438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629F4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7A0D0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96706B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651D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20BF38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EE33B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D97467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3B75A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0E0FC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228C9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081A9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尺寸：120×60×72cm(±0.5cm)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材质：桌面为密度板 / 颗粒板（E1 级），桌腿为钢管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承重：桌面均匀承重 20-30kg，适配电脑、书籍等基础办公用品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尺寸：椅面 40×40cm(±0.5cm)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，椅高 42-50cm（可升降），椅背高 85cm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材质：椅面网布 / PU 皮，框架钢管 + 塑料，五星脚架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功能：气压杆高度调节，静音滚轮（直径 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承重：80-100kg，满足成人日常使用。材质为木质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FCE61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BDC7E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DE789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0D86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9DC2C0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0353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油烟机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B4A35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排风量18 - 28m³/min</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风压与静压标称风压 280 - 310Pa，最大静压 350 - 400Pa电机功率 180 - 368W噪音 65 - 71dB(A)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6C49A7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069799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F5C31D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787.25 </w:t>
            </w:r>
          </w:p>
        </w:tc>
      </w:tr>
      <w:tr w14:paraId="049D2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9D0B6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3AF10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厨柜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6FB804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材质：柜体多为实木颗粒板（环保等级 E1 级），门板可选 PET 平开门或双饰面门板，台面以人造石为主。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尺寸：常规地柜深度 55-60cm、高度 80-85cm，吊柜深度 30-35cm、高度 60-70cm，单柜宽度常见 40/60/80cm。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五金：基础款冷轧钢铰链（无缓冲）、普通三节导轨，拉手为塑料或简易金属款。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环保性：甲醛释放量≤0.124mg/m³（符合 E1 级国标），无额外环保认证。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185AD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A39B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8A360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1D3F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81A968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E4B27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1E216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93013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C4636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D78C85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4CE1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A8E8B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712217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燃气灶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1FA89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适用气源为天然气 (12T)，安装方式为台嵌两用，采用钢化玻璃面板，具有 5KW 家用猛火，配备熄火保护装置，能效等级为一级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0C2ADC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C0E61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15523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392.52 </w:t>
            </w:r>
          </w:p>
        </w:tc>
      </w:tr>
      <w:tr w14:paraId="4023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4AF54B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96F1E0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消毒柜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858F0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容积：23 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安装方式：台式。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额定功率：300 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消毒温度：120 摄氏度。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控制方式：按键式。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面板材质：钢化玻璃。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外形尺寸：430x330x310 (±5mm)毫米。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消毒方式：高温。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消毒星级：二星级。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5DA6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B167B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F586EC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252.89 </w:t>
            </w:r>
          </w:p>
        </w:tc>
      </w:tr>
      <w:tr w14:paraId="6E6B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080126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6E1FE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冰箱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D6D4C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产品类别：双门冰箱。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总容积：86L，其中冷藏室容积 25L，冷冻室容积 61L。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温控方式：机械温控。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制冷方式：直冷。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能效等级：3 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日耗电量：1 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冷冻能力：2 千克 / 24 小时。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制冷剂：R600a。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噪声值：38db。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外形尺寸：470×525×830mm(±5mm)。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产品重量：24kg。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F2962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35DF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C15FC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835.03 </w:t>
            </w:r>
          </w:p>
        </w:tc>
      </w:tr>
      <w:tr w14:paraId="7A8C0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A26EF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38B0A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19088D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2D5699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509D3E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B804A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256CE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E6FAF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CF14B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84524B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A7495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B25B0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8D37C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5A8FF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B1C17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D26B53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餐桌椅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585074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餐桌 1200×680×7501800×1500(±1mm)；椅子 390×410×900 (±1mm)材质为木质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03F65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EF3893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3A895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289.17 </w:t>
            </w:r>
          </w:p>
        </w:tc>
      </w:tr>
      <w:tr w14:paraId="1F04E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99F911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8F7A1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D335A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0B4F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0A119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0E63A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7F63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761992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F7F32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00ED7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3CBB3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F78F9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67B65E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3046C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B809D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DF9DC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电焊机全套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45419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400型</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4576AD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3E4271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2ABEB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1394.96 </w:t>
            </w:r>
          </w:p>
        </w:tc>
      </w:tr>
      <w:tr w14:paraId="23E5E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0FE2D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C662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园艺割草机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4ED512">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139双背 900W</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2B768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DE2F49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D419A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930.80 </w:t>
            </w:r>
          </w:p>
        </w:tc>
      </w:tr>
      <w:tr w14:paraId="07D3A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12271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8E6DA0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50型消防水带</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6344D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DN50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066F7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92E3D0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3C0702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93.46 </w:t>
            </w:r>
          </w:p>
        </w:tc>
      </w:tr>
      <w:tr w14:paraId="2B960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C9EF4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64641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电动高压水枪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676CF3">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220V 2Kw 手提式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112C2E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019F32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0E50F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607.97 </w:t>
            </w:r>
          </w:p>
        </w:tc>
      </w:tr>
      <w:tr w14:paraId="6354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472196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2F331F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斗车</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BBC399">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 可翻斗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8C09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3B2E8E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3E991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362.84 </w:t>
            </w:r>
          </w:p>
        </w:tc>
      </w:tr>
      <w:tr w14:paraId="26D2B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215A2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1A43CE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气体检测仪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B6ABB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四合一气体检测SW-7500A 锂电款</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4668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32CE8D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C94CD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562.47 </w:t>
            </w:r>
          </w:p>
        </w:tc>
      </w:tr>
      <w:tr w14:paraId="145E3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9BD91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54083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电缆线</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265BB83">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2芯*4平方</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621C1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A60D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0ED6B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518.27 </w:t>
            </w:r>
          </w:p>
        </w:tc>
      </w:tr>
      <w:tr w14:paraId="0CE08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CC0F8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AF02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1.5千瓦污水泵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93581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DN50 流量15m3/h 扬程15米</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9BA0C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4C840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A3C7A1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384.80 </w:t>
            </w:r>
          </w:p>
        </w:tc>
      </w:tr>
      <w:tr w14:paraId="63EDB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077808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0BC5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1.1千瓦污水泵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8C6EB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DN50 流量10m3/h 扬程10米</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AFDA8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2FE6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825E15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334.50 </w:t>
            </w:r>
          </w:p>
        </w:tc>
      </w:tr>
      <w:tr w14:paraId="6DF3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A53A98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AF264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手提式轴流风机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558686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220V 8寸手提轴流风机+5米风管</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B9F35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4795F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06A15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351.84 </w:t>
            </w:r>
          </w:p>
        </w:tc>
      </w:tr>
      <w:tr w14:paraId="3BAD5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6CDFA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D5ABC7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角磨机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04DFC55">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100型 1Kw</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44E5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830BF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CBC2D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275.67 </w:t>
            </w:r>
          </w:p>
        </w:tc>
      </w:tr>
      <w:tr w14:paraId="6CD93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287423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367C2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套筒扳手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7578A1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 32件套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552A3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EB187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D4D80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275.67 </w:t>
            </w:r>
          </w:p>
        </w:tc>
      </w:tr>
      <w:tr w14:paraId="7862C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4897A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17A1A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梅花扳手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883531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 10件套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8E711C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2DF6AD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F1D3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131.94 </w:t>
            </w:r>
          </w:p>
        </w:tc>
      </w:tr>
      <w:tr w14:paraId="625F1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07015E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FF61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下井水裤</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DC3E27">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橡胶制 连体</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859FE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76CF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17B887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120.95 </w:t>
            </w:r>
          </w:p>
        </w:tc>
      </w:tr>
      <w:tr w14:paraId="65D0C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4ADF3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8D5B7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消防安全绳全套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0D34C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化纤制品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6D44A1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F3474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D9B72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109.95 </w:t>
            </w:r>
          </w:p>
        </w:tc>
      </w:tr>
      <w:tr w14:paraId="39D7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1742CF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90073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拉马</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1A7A57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钢铁制300mm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09EB7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2D0091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3EB96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131.94 </w:t>
            </w:r>
          </w:p>
        </w:tc>
      </w:tr>
      <w:tr w14:paraId="75C2B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ACFC9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947185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5E4FA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橡胶质 39-44码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251BA9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F8BE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2B6F7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32.99 </w:t>
            </w:r>
          </w:p>
        </w:tc>
      </w:tr>
      <w:tr w14:paraId="759CD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4FFE0A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53ED7F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563996">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65-80cm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B8C766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CBABD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ADF101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30.79 </w:t>
            </w:r>
          </w:p>
        </w:tc>
      </w:tr>
      <w:tr w14:paraId="2EA57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868CB6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E480CB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不锈钢捞机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5C7335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291F5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4254EF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F7B520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19F5D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648AD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357FC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钢撬</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3F24922">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1.5m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4CFCC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ECDC4D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0B3CB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6173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16E6E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48615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大枝剪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5D67D4">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582DF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ED6BC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B2995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45C51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78BB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3FA06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软水胶管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A374CA4">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橡胶质 DN25</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9C336E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A4F6F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63DB67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109.95 </w:t>
            </w:r>
          </w:p>
        </w:tc>
      </w:tr>
      <w:tr w14:paraId="0F512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86C31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6CD55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开口扳手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3E5F656">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 10件套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9ADF7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BB177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293EB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93.46 </w:t>
            </w:r>
          </w:p>
        </w:tc>
      </w:tr>
      <w:tr w14:paraId="50662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A2E53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4C9D5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砂轮片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469B50">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1313DF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0DD2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9B239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71.47 </w:t>
            </w:r>
          </w:p>
        </w:tc>
      </w:tr>
      <w:tr w14:paraId="5DC0C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9D3210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0955E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ED143C5">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8-16号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CD84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E2D1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4AAD7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71.47 </w:t>
            </w:r>
          </w:p>
        </w:tc>
      </w:tr>
      <w:tr w14:paraId="36D56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9EA409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D3BF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柴刀</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092E3CC">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AAD8B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71D6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FA75E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32.99 </w:t>
            </w:r>
          </w:p>
        </w:tc>
      </w:tr>
      <w:tr w14:paraId="40BC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249E4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90C2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锄头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E2E0511">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F454D3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2D2775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8F44F8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563E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228F8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BCDF6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拖把</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681343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吸水拖把</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B4DE9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C165CF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03237D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671C3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0B172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DD875E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C29109">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300型12寸</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555FBF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E4BFFF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A92D9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318E5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0FFD8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D055B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大钳子</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56C68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200mm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C0B0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27A3E8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727AC9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6820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ADB89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FCEBC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尖嘴钳</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35B91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150mm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4C5E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A465C8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15DA8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7AC1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D57853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FBD6D4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剥线剪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A80C387">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175mm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EEE326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F33E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5516F4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5CDE3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C2F4B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BD2C7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内6角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EB5EC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9件套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FB84F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7D00F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08B6C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313C6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FC10D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34BCD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工具包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DB2D035">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帆布制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ACF8A4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D1F639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73E23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00233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6B1F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3E93A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电笔</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A6BBE7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数字电笔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4CC5E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4326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633A0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 </w:t>
            </w:r>
          </w:p>
        </w:tc>
      </w:tr>
      <w:tr w14:paraId="747F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A95979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D98D38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簸箕</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CE9C322">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塑料制品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113C1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F7EA6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38328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 </w:t>
            </w:r>
          </w:p>
        </w:tc>
      </w:tr>
      <w:tr w14:paraId="4C7DA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8C9423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E6B272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扫帚</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E582F5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塑料制品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5CE9C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0F2A3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37FDD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 </w:t>
            </w:r>
          </w:p>
        </w:tc>
      </w:tr>
      <w:tr w14:paraId="6104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835" w:type="dxa"/>
            <w:gridSpan w:val="6"/>
            <w:noWrap w:val="0"/>
            <w:vAlign w:val="center"/>
          </w:tcPr>
          <w:p w14:paraId="50A1AC4F">
            <w:pPr>
              <w:keepNext w:val="0"/>
              <w:keepLines w:val="0"/>
              <w:pageBreakBefore w:val="0"/>
              <w:widowControl w:val="0"/>
              <w:kinsoku/>
              <w:wordWrap w:val="0"/>
              <w:overflowPunct/>
              <w:topLinePunct w:val="0"/>
              <w:bidi w:val="0"/>
              <w:adjustRightInd w:val="0"/>
              <w:spacing w:line="360" w:lineRule="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★二、商务要求</w:t>
            </w:r>
          </w:p>
        </w:tc>
      </w:tr>
      <w:tr w14:paraId="5896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142" w:type="dxa"/>
            <w:gridSpan w:val="2"/>
            <w:noWrap w:val="0"/>
            <w:vAlign w:val="center"/>
          </w:tcPr>
          <w:p w14:paraId="06F255D8">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售后服务要求及质量保证期</w:t>
            </w:r>
          </w:p>
        </w:tc>
        <w:tc>
          <w:tcPr>
            <w:tcW w:w="7693" w:type="dxa"/>
            <w:gridSpan w:val="4"/>
            <w:noWrap w:val="0"/>
            <w:vAlign w:val="center"/>
          </w:tcPr>
          <w:p w14:paraId="5DCB2865">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免费送货上门，按国家有关产品“三包”规定执行“三包”。采购范围内的货物如在供货时出现尺寸不合体或在供货后一个月内出现质量问题，由中标供应商无条件免费进行更换。。</w:t>
            </w:r>
          </w:p>
        </w:tc>
      </w:tr>
      <w:tr w14:paraId="4104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42" w:type="dxa"/>
            <w:gridSpan w:val="2"/>
            <w:noWrap w:val="0"/>
            <w:vAlign w:val="center"/>
          </w:tcPr>
          <w:p w14:paraId="48C8E251">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交付使用时间及地点</w:t>
            </w:r>
          </w:p>
        </w:tc>
        <w:tc>
          <w:tcPr>
            <w:tcW w:w="7693" w:type="dxa"/>
            <w:gridSpan w:val="4"/>
            <w:noWrap w:val="0"/>
            <w:vAlign w:val="center"/>
          </w:tcPr>
          <w:p w14:paraId="2280E2F2">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textAlignment w:val="auto"/>
              <w:rPr>
                <w:rFonts w:hint="eastAsia" w:ascii="宋体" w:hAnsi="宋体" w:eastAsia="宋体" w:cs="宋体"/>
                <w:b w:val="0"/>
                <w:bCs/>
                <w:color w:val="auto"/>
                <w:kern w:val="0"/>
                <w:sz w:val="20"/>
                <w:szCs w:val="20"/>
                <w:highlight w:val="none"/>
                <w:lang w:eastAsia="zh-CN"/>
              </w:rPr>
            </w:pPr>
            <w:r>
              <w:rPr>
                <w:rFonts w:hint="eastAsia" w:ascii="宋体" w:hAnsi="宋体" w:eastAsia="宋体" w:cs="宋体"/>
                <w:b w:val="0"/>
                <w:bCs/>
                <w:color w:val="auto"/>
                <w:kern w:val="0"/>
                <w:sz w:val="20"/>
                <w:szCs w:val="20"/>
                <w:highlight w:val="none"/>
              </w:rPr>
              <w:t>1.交付使用时间：</w:t>
            </w:r>
            <w:r>
              <w:rPr>
                <w:rFonts w:hint="eastAsia" w:ascii="宋体" w:hAnsi="宋体" w:eastAsia="宋体" w:cs="宋体"/>
                <w:b w:val="0"/>
                <w:bCs/>
                <w:color w:val="auto"/>
                <w:kern w:val="0"/>
                <w:sz w:val="20"/>
                <w:szCs w:val="20"/>
                <w:highlight w:val="none"/>
                <w:lang w:eastAsia="zh-CN"/>
              </w:rPr>
              <w:t>自签订合同之日起</w:t>
            </w:r>
            <w:r>
              <w:rPr>
                <w:rFonts w:hint="eastAsia" w:ascii="宋体" w:hAnsi="宋体" w:eastAsia="宋体" w:cs="宋体"/>
                <w:b w:val="0"/>
                <w:bCs/>
                <w:color w:val="auto"/>
                <w:kern w:val="0"/>
                <w:sz w:val="20"/>
                <w:szCs w:val="20"/>
                <w:highlight w:val="none"/>
                <w:lang w:val="en-US" w:eastAsia="zh-CN"/>
              </w:rPr>
              <w:t>10天</w:t>
            </w:r>
            <w:r>
              <w:rPr>
                <w:rFonts w:hint="eastAsia" w:ascii="宋体" w:hAnsi="宋体" w:eastAsia="宋体" w:cs="宋体"/>
                <w:b w:val="0"/>
                <w:bCs/>
                <w:color w:val="auto"/>
                <w:kern w:val="0"/>
                <w:sz w:val="20"/>
                <w:szCs w:val="20"/>
                <w:highlight w:val="none"/>
                <w:lang w:eastAsia="zh-CN"/>
              </w:rPr>
              <w:t>内交货并验收合格。</w:t>
            </w:r>
          </w:p>
          <w:p w14:paraId="04A45BA9">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2.交货地点：广西桂林市采购人指定地点。</w:t>
            </w:r>
          </w:p>
        </w:tc>
      </w:tr>
      <w:tr w14:paraId="73B9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2" w:type="dxa"/>
            <w:gridSpan w:val="2"/>
            <w:noWrap w:val="0"/>
            <w:vAlign w:val="center"/>
          </w:tcPr>
          <w:p w14:paraId="1EC79F9B">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付款方式及履约保证金</w:t>
            </w:r>
          </w:p>
        </w:tc>
        <w:tc>
          <w:tcPr>
            <w:tcW w:w="7693" w:type="dxa"/>
            <w:gridSpan w:val="4"/>
            <w:noWrap w:val="0"/>
            <w:vAlign w:val="center"/>
          </w:tcPr>
          <w:p w14:paraId="73E4675A">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lang w:val="en-US" w:eastAsia="zh-CN"/>
              </w:rPr>
            </w:pPr>
            <w:r>
              <w:rPr>
                <w:rFonts w:hint="eastAsia" w:ascii="宋体" w:hAnsi="宋体" w:eastAsia="宋体" w:cs="宋体"/>
                <w:b w:val="0"/>
                <w:bCs/>
                <w:color w:val="auto"/>
                <w:kern w:val="0"/>
                <w:sz w:val="20"/>
                <w:szCs w:val="20"/>
                <w:highlight w:val="none"/>
              </w:rPr>
              <w:t>1.付款方式：</w:t>
            </w:r>
            <w:r>
              <w:rPr>
                <w:rFonts w:hint="eastAsia" w:ascii="宋体" w:hAnsi="宋体" w:eastAsia="宋体" w:cs="宋体"/>
                <w:b w:val="0"/>
                <w:bCs/>
                <w:color w:val="auto"/>
                <w:kern w:val="0"/>
                <w:sz w:val="20"/>
                <w:szCs w:val="20"/>
                <w:highlight w:val="none"/>
                <w:lang w:val="en-US" w:eastAsia="zh-CN"/>
              </w:rPr>
              <w:t>签订合同后7个工作日内支付30%，全部货物到场支付至80%，货物安装验收合格后7个工作日付清（无息）。】</w:t>
            </w:r>
          </w:p>
          <w:p w14:paraId="730588FC">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2.履约保证金：本项目不收取履约保证金。</w:t>
            </w:r>
          </w:p>
        </w:tc>
      </w:tr>
      <w:tr w14:paraId="01BE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2" w:type="dxa"/>
            <w:gridSpan w:val="2"/>
            <w:noWrap w:val="0"/>
            <w:vAlign w:val="center"/>
          </w:tcPr>
          <w:p w14:paraId="02CD509C">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验收标准</w:t>
            </w:r>
          </w:p>
        </w:tc>
        <w:tc>
          <w:tcPr>
            <w:tcW w:w="7693" w:type="dxa"/>
            <w:gridSpan w:val="4"/>
            <w:noWrap w:val="0"/>
            <w:vAlign w:val="center"/>
          </w:tcPr>
          <w:p w14:paraId="19A68566">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1、现场验收。</w:t>
            </w:r>
          </w:p>
          <w:p w14:paraId="62E14965">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2、验收依据：按照招标文件要求及中标人的投标文件。</w:t>
            </w:r>
          </w:p>
          <w:p w14:paraId="5FE1D9C8">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3、中标供应商必须提供原装正品、全新的、符合有关质量标准的产品。交货时，采购人现场根据招标文件要求及投标文件承诺逐条对应进行核验，若发现产品不符合招标文件和投标文件承诺要求的，采购人不予验收，同时报相关监督管理部门处理，由此造成采购人经济损失的由中标供应商负责承担全部赔偿责任。</w:t>
            </w:r>
          </w:p>
          <w:p w14:paraId="5A008AFD">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4、在验收过程中，采购人有权随机抽样送质检部门检验，如检验不符合招标文件要求及中标供应商的投标文件承诺的，采购人不予验收，并按违约责任处理，同时报相关监督管理部门处理，由此造成采购人经济损失的由中标供应商负责承担全部赔偿责任。送检费用含在投标报价中。</w:t>
            </w:r>
          </w:p>
        </w:tc>
      </w:tr>
      <w:tr w14:paraId="7810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42" w:type="dxa"/>
            <w:gridSpan w:val="2"/>
            <w:noWrap w:val="0"/>
            <w:vAlign w:val="center"/>
          </w:tcPr>
          <w:p w14:paraId="0F7A83FD">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其他要求</w:t>
            </w:r>
          </w:p>
        </w:tc>
        <w:tc>
          <w:tcPr>
            <w:tcW w:w="7693" w:type="dxa"/>
            <w:gridSpan w:val="4"/>
            <w:noWrap w:val="0"/>
            <w:vAlign w:val="center"/>
          </w:tcPr>
          <w:p w14:paraId="7914AD84">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1.采购范围内的货物免费送货上门。</w:t>
            </w:r>
          </w:p>
          <w:p w14:paraId="62FDAD11">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2.中标人应保证货物是全新、未使用过的，并完全符合合同规定的质量、规格和性能的要求。</w:t>
            </w:r>
          </w:p>
          <w:p w14:paraId="6682A848">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3、投标报价指本次采购范围备品备件、包装、运输、装卸、修补、换货及售后服务、检验及验收、保修、保险、税金等全部费用，投标人综合考虑在报价中。</w:t>
            </w:r>
          </w:p>
          <w:p w14:paraId="7D1D7BF7">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lang w:val="en-US" w:eastAsia="zh-CN"/>
              </w:rPr>
              <w:t>4</w:t>
            </w:r>
            <w:r>
              <w:rPr>
                <w:rFonts w:hint="eastAsia" w:ascii="宋体" w:hAnsi="宋体" w:eastAsia="宋体" w:cs="宋体"/>
                <w:b w:val="0"/>
                <w:bCs/>
                <w:color w:val="auto"/>
                <w:kern w:val="0"/>
                <w:sz w:val="20"/>
                <w:szCs w:val="20"/>
                <w:highlight w:val="none"/>
              </w:rPr>
              <w:t>、本项目政府采购预算金额为（人民币）：</w:t>
            </w:r>
            <w:r>
              <w:rPr>
                <w:rFonts w:hint="eastAsia" w:ascii="宋体" w:hAnsi="宋体" w:eastAsia="宋体" w:cs="宋体"/>
                <w:b w:val="0"/>
                <w:bCs/>
                <w:color w:val="auto"/>
                <w:kern w:val="0"/>
                <w:sz w:val="20"/>
                <w:szCs w:val="20"/>
                <w:highlight w:val="none"/>
                <w:lang w:val="en-US" w:eastAsia="zh-CN"/>
              </w:rPr>
              <w:t>壹佰捌拾壹万伍仟伍佰柒拾元叁角肆分</w:t>
            </w:r>
            <w:r>
              <w:rPr>
                <w:rFonts w:hint="eastAsia" w:ascii="宋体" w:hAnsi="宋体" w:eastAsia="宋体" w:cs="宋体"/>
                <w:b w:val="0"/>
                <w:bCs/>
                <w:color w:val="auto"/>
                <w:kern w:val="0"/>
                <w:sz w:val="20"/>
                <w:szCs w:val="20"/>
                <w:highlight w:val="none"/>
              </w:rPr>
              <w:t>（￥</w:t>
            </w:r>
            <w:r>
              <w:rPr>
                <w:rFonts w:hint="eastAsia" w:ascii="宋体" w:hAnsi="宋体" w:eastAsia="宋体" w:cs="宋体"/>
                <w:b w:val="0"/>
                <w:bCs/>
                <w:color w:val="auto"/>
                <w:kern w:val="0"/>
                <w:sz w:val="20"/>
                <w:szCs w:val="20"/>
                <w:highlight w:val="none"/>
                <w:lang w:val="en-US" w:eastAsia="zh-CN"/>
              </w:rPr>
              <w:t>1815570.34</w:t>
            </w:r>
            <w:r>
              <w:rPr>
                <w:rFonts w:hint="eastAsia" w:ascii="宋体" w:hAnsi="宋体" w:eastAsia="宋体" w:cs="宋体"/>
                <w:b w:val="0"/>
                <w:bCs/>
                <w:color w:val="auto"/>
                <w:kern w:val="0"/>
                <w:sz w:val="20"/>
                <w:szCs w:val="20"/>
                <w:highlight w:val="none"/>
              </w:rPr>
              <w:t>），投标总报价超出采购预算总金额的将被视为无效投标；评标委员会认为投标人的投标报价明显低于其他通过符合性审查投标人的投标报价，有可能影响产品质量或者不能诚信履约的，应当要求其在评标现场合理的时间内提供书面说明，必要时提交相关证明材料；投标人不能证明其投标报价合理性的，评标委员会应当将其作为无效投标处理。</w:t>
            </w:r>
          </w:p>
          <w:p w14:paraId="66BA00A5">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lang w:val="en-US" w:eastAsia="zh-CN"/>
              </w:rPr>
              <w:t>5</w:t>
            </w:r>
            <w:r>
              <w:rPr>
                <w:rFonts w:hint="eastAsia" w:ascii="宋体" w:hAnsi="宋体" w:eastAsia="宋体" w:cs="宋体"/>
                <w:b w:val="0"/>
                <w:bCs/>
                <w:color w:val="auto"/>
                <w:kern w:val="0"/>
                <w:sz w:val="20"/>
                <w:szCs w:val="20"/>
                <w:highlight w:val="none"/>
              </w:rPr>
              <w:t>.本项目不接受进口产品（即通过中国海关报关验放进入中国境内且产自关境外的产品）参与投标，如有此类产品参与投标的，作无效投标处理。</w:t>
            </w:r>
          </w:p>
          <w:p w14:paraId="3C03C48A">
            <w:pPr>
              <w:keepNext w:val="0"/>
              <w:keepLines w:val="0"/>
              <w:pageBreakBefore w:val="0"/>
              <w:kinsoku/>
              <w:wordWrap w:val="0"/>
              <w:overflowPunct/>
              <w:topLinePunct w:val="0"/>
              <w:bidi w:val="0"/>
              <w:adjustRightInd w:val="0"/>
              <w:spacing w:line="360" w:lineRule="auto"/>
              <w:rPr>
                <w:rFonts w:hint="eastAsia" w:ascii="宋体" w:hAnsi="宋体" w:eastAsia="宋体" w:cs="宋体"/>
                <w:b w:val="0"/>
                <w:bCs/>
                <w:color w:val="auto"/>
                <w:kern w:val="0"/>
                <w:sz w:val="20"/>
                <w:szCs w:val="20"/>
                <w:highlight w:val="none"/>
                <w:lang w:eastAsia="zh-CN"/>
              </w:rPr>
            </w:pPr>
            <w:r>
              <w:rPr>
                <w:rFonts w:hint="eastAsia" w:ascii="宋体" w:hAnsi="宋体" w:eastAsia="宋体" w:cs="宋体"/>
                <w:b w:val="0"/>
                <w:bCs/>
                <w:color w:val="auto"/>
                <w:kern w:val="0"/>
                <w:sz w:val="20"/>
                <w:szCs w:val="20"/>
                <w:highlight w:val="none"/>
                <w:lang w:val="en-US" w:eastAsia="zh-CN"/>
              </w:rPr>
              <w:t>6</w:t>
            </w:r>
            <w:r>
              <w:rPr>
                <w:rFonts w:hint="eastAsia" w:ascii="宋体" w:hAnsi="宋体" w:eastAsia="宋体" w:cs="宋体"/>
                <w:b w:val="0"/>
                <w:bCs/>
                <w:color w:val="auto"/>
                <w:kern w:val="0"/>
                <w:sz w:val="20"/>
                <w:szCs w:val="20"/>
                <w:highlight w:val="none"/>
              </w:rPr>
              <w:t>.本项目核心产品</w:t>
            </w:r>
            <w:r>
              <w:rPr>
                <w:rFonts w:hint="eastAsia" w:ascii="宋体" w:hAnsi="宋体" w:eastAsia="宋体" w:cs="宋体"/>
                <w:b w:val="0"/>
                <w:bCs/>
                <w:color w:val="auto"/>
                <w:kern w:val="0"/>
                <w:sz w:val="20"/>
                <w:szCs w:val="20"/>
                <w:highlight w:val="none"/>
                <w:lang w:val="en-US" w:eastAsia="zh-CN"/>
              </w:rPr>
              <w:t>:</w:t>
            </w:r>
          </w:p>
          <w:p w14:paraId="0958425E">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lang w:val="en-US" w:eastAsia="zh-CN"/>
              </w:rPr>
            </w:pPr>
            <w:r>
              <w:rPr>
                <w:rFonts w:hint="eastAsia" w:ascii="宋体" w:hAnsi="宋体" w:eastAsia="宋体" w:cs="宋体"/>
                <w:b w:val="0"/>
                <w:bCs/>
                <w:color w:val="auto"/>
                <w:kern w:val="0"/>
                <w:sz w:val="20"/>
                <w:szCs w:val="20"/>
                <w:highlight w:val="none"/>
                <w:lang w:val="en-US" w:eastAsia="zh-CN"/>
              </w:rPr>
              <w:t>（1）第2项：混流式高效深度处理一体化设备</w:t>
            </w:r>
          </w:p>
          <w:p w14:paraId="6221C567">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lang w:val="en-US" w:eastAsia="zh-CN"/>
              </w:rPr>
            </w:pPr>
            <w:r>
              <w:rPr>
                <w:rFonts w:hint="eastAsia" w:ascii="宋体" w:hAnsi="宋体" w:eastAsia="宋体" w:cs="宋体"/>
                <w:b w:val="0"/>
                <w:bCs/>
                <w:color w:val="auto"/>
                <w:kern w:val="0"/>
                <w:sz w:val="20"/>
                <w:szCs w:val="20"/>
                <w:highlight w:val="none"/>
                <w:lang w:val="en-US" w:eastAsia="zh-CN"/>
              </w:rPr>
              <w:t>（2）第14项：废气处理装置系统；</w:t>
            </w:r>
          </w:p>
          <w:p w14:paraId="0E7B1B54">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lang w:val="en-US" w:eastAsia="zh-CN"/>
              </w:rPr>
            </w:pPr>
            <w:r>
              <w:rPr>
                <w:rFonts w:hint="eastAsia" w:ascii="宋体" w:hAnsi="宋体" w:eastAsia="宋体" w:cs="宋体"/>
                <w:b w:val="0"/>
                <w:bCs/>
                <w:color w:val="auto"/>
                <w:kern w:val="0"/>
                <w:sz w:val="20"/>
                <w:szCs w:val="20"/>
                <w:highlight w:val="none"/>
              </w:rPr>
              <w:t>(多家投标人提供的核心产品品牌相同的，视为提供同品牌产品。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投标报价最低的同品牌投标人获得中标人推荐资格；投标报价也相同的，由评标委员会以抽签方式确定一个中标人推荐资格，其他同品牌投标人不作为中标候选人。）</w:t>
            </w:r>
          </w:p>
        </w:tc>
      </w:tr>
    </w:tbl>
    <w:p w14:paraId="22F99C93">
      <w:pPr>
        <w:keepNext w:val="0"/>
        <w:keepLines w:val="0"/>
        <w:pageBreakBefore w:val="0"/>
        <w:kinsoku/>
        <w:overflowPunct/>
        <w:topLinePunct w:val="0"/>
        <w:bidi w:val="0"/>
        <w:spacing w:line="360" w:lineRule="auto"/>
        <w:ind w:firstLine="643" w:firstLineChars="200"/>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第四章 评标办法</w:t>
      </w:r>
    </w:p>
    <w:p w14:paraId="5A4AE28C">
      <w:pPr>
        <w:pStyle w:val="26"/>
        <w:keepNext w:val="0"/>
        <w:keepLines w:val="0"/>
        <w:pageBreakBefore w:val="0"/>
        <w:kinsoku/>
        <w:overflowPunct/>
        <w:topLinePunct w:val="0"/>
        <w:bidi w:val="0"/>
        <w:spacing w:line="360" w:lineRule="auto"/>
        <w:ind w:firstLine="413" w:firstLineChars="196"/>
        <w:rPr>
          <w:rFonts w:hAnsi="宋体"/>
          <w:b/>
          <w:bCs/>
          <w:color w:val="auto"/>
          <w:highlight w:val="none"/>
        </w:rPr>
      </w:pPr>
      <w:r>
        <w:rPr>
          <w:rFonts w:hint="eastAsia" w:hAnsi="宋体"/>
          <w:b/>
          <w:bCs/>
          <w:color w:val="auto"/>
          <w:highlight w:val="none"/>
        </w:rPr>
        <w:t>一、评标依据及方式</w:t>
      </w:r>
    </w:p>
    <w:p w14:paraId="46D94CD5">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1.评标依据：评标委员会以招标文件和投标文件为评标依据，对投标人的投标报价、技术、配送及安装实施方案、售后服务方案、履约能力、政策功能（节能、环保等）等方面内容进行评审并按百分制打分。</w:t>
      </w:r>
    </w:p>
    <w:p w14:paraId="1DE23F50">
      <w:pPr>
        <w:pStyle w:val="26"/>
        <w:keepNext w:val="0"/>
        <w:keepLines w:val="0"/>
        <w:pageBreakBefore w:val="0"/>
        <w:kinsoku/>
        <w:overflowPunct/>
        <w:topLinePunct w:val="0"/>
        <w:bidi w:val="0"/>
        <w:spacing w:line="360" w:lineRule="auto"/>
        <w:ind w:left="210" w:leftChars="100" w:firstLine="210" w:firstLineChars="100"/>
        <w:rPr>
          <w:rFonts w:hAnsi="宋体"/>
          <w:color w:val="auto"/>
          <w:highlight w:val="none"/>
        </w:rPr>
      </w:pPr>
      <w:r>
        <w:rPr>
          <w:rFonts w:hint="eastAsia" w:hAnsi="宋体"/>
          <w:color w:val="auto"/>
          <w:highlight w:val="none"/>
        </w:rPr>
        <w:t>2.评标方式：以封闭方式进行评标。</w:t>
      </w:r>
    </w:p>
    <w:p w14:paraId="7A296235">
      <w:pPr>
        <w:pStyle w:val="26"/>
        <w:keepNext w:val="0"/>
        <w:keepLines w:val="0"/>
        <w:pageBreakBefore w:val="0"/>
        <w:kinsoku/>
        <w:overflowPunct/>
        <w:topLinePunct w:val="0"/>
        <w:bidi w:val="0"/>
        <w:spacing w:line="360" w:lineRule="auto"/>
        <w:ind w:left="210" w:leftChars="100" w:firstLine="210" w:firstLineChars="100"/>
        <w:rPr>
          <w:rFonts w:hAnsi="宋体"/>
          <w:b/>
          <w:bCs/>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4DED86A3">
      <w:pPr>
        <w:pStyle w:val="26"/>
        <w:keepNext w:val="0"/>
        <w:keepLines w:val="0"/>
        <w:pageBreakBefore w:val="0"/>
        <w:kinsoku/>
        <w:overflowPunct/>
        <w:topLinePunct w:val="0"/>
        <w:bidi w:val="0"/>
        <w:spacing w:line="360" w:lineRule="auto"/>
        <w:ind w:firstLine="422" w:firstLineChars="200"/>
        <w:rPr>
          <w:rFonts w:hAnsi="宋体"/>
          <w:b/>
          <w:bCs/>
          <w:color w:val="auto"/>
          <w:highlight w:val="none"/>
        </w:rPr>
      </w:pPr>
      <w:r>
        <w:rPr>
          <w:rFonts w:hint="eastAsia" w:hAnsi="宋体"/>
          <w:b/>
          <w:bCs/>
          <w:color w:val="auto"/>
          <w:highlight w:val="none"/>
        </w:rPr>
        <w:t>二、评标办法</w:t>
      </w:r>
    </w:p>
    <w:p w14:paraId="1BD3A34C">
      <w:pPr>
        <w:pStyle w:val="26"/>
        <w:keepNext w:val="0"/>
        <w:keepLines w:val="0"/>
        <w:pageBreakBefore w:val="0"/>
        <w:kinsoku/>
        <w:overflowPunct/>
        <w:topLinePunct w:val="0"/>
        <w:bidi w:val="0"/>
        <w:spacing w:line="360" w:lineRule="auto"/>
        <w:ind w:firstLine="420" w:firstLineChars="200"/>
        <w:rPr>
          <w:rFonts w:hAnsi="宋体"/>
          <w:bCs/>
          <w:color w:val="auto"/>
          <w:highlight w:val="none"/>
        </w:rPr>
      </w:pPr>
      <w:r>
        <w:rPr>
          <w:rFonts w:hint="eastAsia" w:hAnsi="宋体"/>
          <w:bCs/>
          <w:color w:val="auto"/>
          <w:highlight w:val="none"/>
        </w:rPr>
        <w:t>（一）对进入详评的，采用综合评分法。</w:t>
      </w:r>
    </w:p>
    <w:p w14:paraId="734A49F0">
      <w:pPr>
        <w:pStyle w:val="26"/>
        <w:keepNext w:val="0"/>
        <w:keepLines w:val="0"/>
        <w:pageBreakBefore w:val="0"/>
        <w:kinsoku/>
        <w:overflowPunct/>
        <w:topLinePunct w:val="0"/>
        <w:bidi w:val="0"/>
        <w:spacing w:line="360" w:lineRule="auto"/>
        <w:ind w:firstLine="420" w:firstLineChars="200"/>
        <w:rPr>
          <w:rFonts w:hAnsi="宋体"/>
          <w:b/>
          <w:color w:val="auto"/>
          <w:highlight w:val="none"/>
        </w:rPr>
      </w:pPr>
      <w:r>
        <w:rPr>
          <w:rFonts w:hint="eastAsia" w:hAnsi="宋体"/>
          <w:bCs/>
          <w:color w:val="auto"/>
          <w:highlight w:val="none"/>
        </w:rPr>
        <w:t>（二）计分办法（按四舍五入取至小数点后二位）</w:t>
      </w:r>
    </w:p>
    <w:p w14:paraId="16CC1A2C">
      <w:pPr>
        <w:pStyle w:val="26"/>
        <w:keepNext w:val="0"/>
        <w:keepLines w:val="0"/>
        <w:pageBreakBefore w:val="0"/>
        <w:kinsoku/>
        <w:overflowPunct/>
        <w:topLinePunct w:val="0"/>
        <w:bidi w:val="0"/>
        <w:spacing w:line="360" w:lineRule="auto"/>
        <w:ind w:firstLine="420"/>
        <w:rPr>
          <w:rFonts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int="eastAsia" w:hAnsi="宋体"/>
          <w:b/>
          <w:bCs/>
          <w:color w:val="auto"/>
          <w:highlight w:val="none"/>
          <w:lang w:val="en-US" w:eastAsia="zh-CN"/>
        </w:rPr>
        <w:t>3</w:t>
      </w:r>
      <w:r>
        <w:rPr>
          <w:rFonts w:hint="eastAsia" w:hAnsi="宋体"/>
          <w:b/>
          <w:bCs/>
          <w:color w:val="auto"/>
          <w:highlight w:val="none"/>
        </w:rPr>
        <w:t>0分</w:t>
      </w:r>
    </w:p>
    <w:p w14:paraId="258DB385">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bCs/>
          <w:color w:val="auto"/>
          <w:highlight w:val="none"/>
        </w:rPr>
        <w:t>1.1</w:t>
      </w:r>
      <w:r>
        <w:rPr>
          <w:rFonts w:hint="eastAsia"/>
          <w:color w:val="auto"/>
          <w:highlight w:val="none"/>
        </w:rPr>
        <w:t>根据《政府采购促进中小企业发展管理办法》（财库〔2020〕46号）的规定、</w:t>
      </w:r>
      <w:r>
        <w:rPr>
          <w:rFonts w:hint="eastAsia" w:hAnsi="宋体"/>
          <w:color w:val="auto"/>
          <w:szCs w:val="21"/>
          <w:highlight w:val="none"/>
        </w:rPr>
        <w:t>《广西壮族自治区财政厅关于持续优化政府采购营商环境推动高质量发展的通知》（桂财采〔2024〕55号）</w:t>
      </w:r>
      <w:r>
        <w:rPr>
          <w:color w:val="auto"/>
          <w:highlight w:val="none"/>
        </w:rPr>
        <w:t>的规定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1CBDC6A7">
      <w:pPr>
        <w:pStyle w:val="26"/>
        <w:keepNext w:val="0"/>
        <w:keepLines w:val="0"/>
        <w:pageBreakBefore w:val="0"/>
        <w:kinsoku/>
        <w:overflowPunct/>
        <w:topLinePunct w:val="0"/>
        <w:bidi w:val="0"/>
        <w:spacing w:line="360" w:lineRule="auto"/>
        <w:ind w:firstLine="420" w:firstLineChars="200"/>
        <w:rPr>
          <w:color w:val="auto"/>
          <w:highlight w:val="none"/>
        </w:rPr>
      </w:pPr>
      <w:r>
        <w:rPr>
          <w:rFonts w:hint="eastAsia" w:hAnsi="宋体"/>
          <w:color w:val="auto"/>
          <w:highlight w:val="none"/>
        </w:rPr>
        <w:t>1.2</w:t>
      </w:r>
      <w:r>
        <w:rPr>
          <w:rFonts w:hint="eastAsia"/>
          <w:color w:val="auto"/>
          <w:highlight w:val="none"/>
        </w:rPr>
        <w:t>除上述情况外，评标报价=投标报价。</w:t>
      </w:r>
    </w:p>
    <w:p w14:paraId="77C8F609">
      <w:pPr>
        <w:pStyle w:val="26"/>
        <w:keepNext w:val="0"/>
        <w:keepLines w:val="0"/>
        <w:pageBreakBefore w:val="0"/>
        <w:kinsoku/>
        <w:overflowPunct/>
        <w:topLinePunct w:val="0"/>
        <w:bidi w:val="0"/>
        <w:spacing w:line="360" w:lineRule="auto"/>
        <w:ind w:firstLine="420"/>
        <w:rPr>
          <w:rFonts w:hAnsi="宋体"/>
          <w:b/>
          <w:color w:val="auto"/>
          <w:highlight w:val="none"/>
        </w:rPr>
      </w:pPr>
      <w:r>
        <w:rPr>
          <w:rFonts w:hint="eastAsia" w:hAnsi="宋体"/>
          <w:b/>
          <w:color w:val="auto"/>
          <w:highlight w:val="none"/>
        </w:rPr>
        <w:t>注：①小型、微型企业提供中型企业制造的货物的，视同为中型企业。</w:t>
      </w:r>
    </w:p>
    <w:p w14:paraId="368EDAFF">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0A6720BA">
      <w:pPr>
        <w:pStyle w:val="26"/>
        <w:keepNext w:val="0"/>
        <w:keepLines w:val="0"/>
        <w:pageBreakBefore w:val="0"/>
        <w:kinsoku/>
        <w:overflowPunct/>
        <w:topLinePunct w:val="0"/>
        <w:bidi w:val="0"/>
        <w:spacing w:line="360" w:lineRule="auto"/>
        <w:ind w:firstLine="359" w:firstLineChars="171"/>
        <w:rPr>
          <w:color w:val="auto"/>
          <w:highlight w:val="none"/>
        </w:rPr>
      </w:pPr>
      <w:r>
        <w:rPr>
          <w:rFonts w:hint="eastAsia"/>
          <w:color w:val="auto"/>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190D1D54">
      <w:pPr>
        <w:pStyle w:val="26"/>
        <w:keepNext w:val="0"/>
        <w:keepLines w:val="0"/>
        <w:pageBreakBefore w:val="0"/>
        <w:kinsoku/>
        <w:overflowPunct/>
        <w:topLinePunct w:val="0"/>
        <w:bidi w:val="0"/>
        <w:spacing w:line="360" w:lineRule="auto"/>
        <w:ind w:firstLine="359" w:firstLineChars="171"/>
        <w:rPr>
          <w:color w:val="auto"/>
          <w:highlight w:val="none"/>
        </w:rPr>
      </w:pPr>
      <w:r>
        <w:rPr>
          <w:rFonts w:hint="eastAsia"/>
          <w:color w:val="auto"/>
          <w:highlight w:val="none"/>
        </w:rPr>
        <w:t>1.4以进入评标的最低的评标报价为</w:t>
      </w:r>
      <w:r>
        <w:rPr>
          <w:rFonts w:hint="eastAsia"/>
          <w:color w:val="auto"/>
          <w:highlight w:val="none"/>
          <w:lang w:val="en-US" w:eastAsia="zh-CN"/>
        </w:rPr>
        <w:t>3</w:t>
      </w:r>
      <w:r>
        <w:rPr>
          <w:rFonts w:hint="eastAsia"/>
          <w:color w:val="auto"/>
          <w:highlight w:val="none"/>
        </w:rPr>
        <w:t>0分。</w:t>
      </w:r>
    </w:p>
    <w:p w14:paraId="0F1A6B64">
      <w:pPr>
        <w:pStyle w:val="26"/>
        <w:keepNext w:val="0"/>
        <w:keepLines w:val="0"/>
        <w:pageBreakBefore w:val="0"/>
        <w:kinsoku/>
        <w:overflowPunct/>
        <w:topLinePunct w:val="0"/>
        <w:bidi w:val="0"/>
        <w:spacing w:line="360" w:lineRule="auto"/>
        <w:ind w:firstLine="3255" w:firstLineChars="1550"/>
        <w:rPr>
          <w:color w:val="auto"/>
          <w:highlight w:val="none"/>
        </w:rPr>
      </w:pPr>
      <w:r>
        <w:rPr>
          <w:rFonts w:hint="eastAsia"/>
          <w:color w:val="auto"/>
          <w:highlight w:val="none"/>
        </w:rPr>
        <w:t xml:space="preserve">最低投标人评标报价金额          </w:t>
      </w:r>
    </w:p>
    <w:p w14:paraId="272C7E40">
      <w:pPr>
        <w:pStyle w:val="26"/>
        <w:keepNext w:val="0"/>
        <w:keepLines w:val="0"/>
        <w:pageBreakBefore w:val="0"/>
        <w:kinsoku/>
        <w:overflowPunct/>
        <w:topLinePunct w:val="0"/>
        <w:bidi w:val="0"/>
        <w:spacing w:line="360" w:lineRule="auto"/>
        <w:ind w:firstLine="359" w:firstLineChars="171"/>
        <w:rPr>
          <w:color w:val="auto"/>
          <w:highlight w:val="none"/>
        </w:rPr>
      </w:pP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1312;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highlight w:val="none"/>
        </w:rPr>
        <w:t>1.5投标人价格分 =                                　       ×</w:t>
      </w:r>
      <w:r>
        <w:rPr>
          <w:rFonts w:hint="eastAsia"/>
          <w:color w:val="auto"/>
          <w:highlight w:val="none"/>
          <w:lang w:val="en-US" w:eastAsia="zh-CN"/>
        </w:rPr>
        <w:t>3</w:t>
      </w:r>
      <w:r>
        <w:rPr>
          <w:rFonts w:hint="eastAsia"/>
          <w:color w:val="auto"/>
          <w:highlight w:val="none"/>
        </w:rPr>
        <w:t>0分</w:t>
      </w:r>
    </w:p>
    <w:p w14:paraId="3EAB50E5">
      <w:pPr>
        <w:pStyle w:val="26"/>
        <w:keepNext w:val="0"/>
        <w:keepLines w:val="0"/>
        <w:pageBreakBefore w:val="0"/>
        <w:kinsoku/>
        <w:overflowPunct/>
        <w:topLinePunct w:val="0"/>
        <w:bidi w:val="0"/>
        <w:spacing w:line="360" w:lineRule="auto"/>
        <w:ind w:firstLine="535" w:firstLineChars="255"/>
        <w:rPr>
          <w:color w:val="auto"/>
          <w:highlight w:val="none"/>
        </w:rPr>
      </w:pPr>
      <w:r>
        <w:rPr>
          <w:rFonts w:hint="eastAsia"/>
          <w:color w:val="auto"/>
          <w:highlight w:val="none"/>
        </w:rPr>
        <w:t xml:space="preserve">                           投标人评标报价金额    </w:t>
      </w:r>
    </w:p>
    <w:p w14:paraId="6CCEF510">
      <w:pPr>
        <w:pStyle w:val="26"/>
        <w:keepNext w:val="0"/>
        <w:keepLines w:val="0"/>
        <w:pageBreakBefore w:val="0"/>
        <w:kinsoku/>
        <w:overflowPunct/>
        <w:topLinePunct w:val="0"/>
        <w:bidi w:val="0"/>
        <w:spacing w:line="360" w:lineRule="auto"/>
        <w:ind w:firstLine="422" w:firstLineChars="200"/>
        <w:outlineLvl w:val="0"/>
        <w:rPr>
          <w:rFonts w:hAnsi="宋体"/>
          <w:b/>
          <w:bCs/>
          <w:color w:val="auto"/>
          <w:highlight w:val="none"/>
        </w:rPr>
      </w:pPr>
      <w:r>
        <w:rPr>
          <w:rFonts w:hint="eastAsia" w:hAnsi="宋体"/>
          <w:b/>
          <w:bCs/>
          <w:color w:val="auto"/>
          <w:highlight w:val="none"/>
        </w:rPr>
        <w:t>2.技术分…………………………………………………………………………………………………</w:t>
      </w:r>
      <w:r>
        <w:rPr>
          <w:rFonts w:hint="eastAsia" w:hAnsi="宋体"/>
          <w:b/>
          <w:bCs/>
          <w:color w:val="auto"/>
          <w:highlight w:val="none"/>
          <w:lang w:val="en-US" w:eastAsia="zh-CN"/>
        </w:rPr>
        <w:t>20</w:t>
      </w:r>
      <w:r>
        <w:rPr>
          <w:rFonts w:hint="eastAsia" w:hAnsi="宋体"/>
          <w:b/>
          <w:bCs/>
          <w:color w:val="auto"/>
          <w:highlight w:val="none"/>
        </w:rPr>
        <w:t>分</w:t>
      </w:r>
    </w:p>
    <w:p w14:paraId="33FDA49A">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所投产品完全符合招标文件第三章货物采购需求中货物指标参数的得</w:t>
      </w:r>
      <w:r>
        <w:rPr>
          <w:rFonts w:hint="eastAsia" w:ascii="宋体" w:hAnsi="宋体" w:cs="宋体"/>
          <w:color w:val="auto"/>
          <w:kern w:val="0"/>
          <w:sz w:val="21"/>
          <w:szCs w:val="21"/>
          <w:highlight w:val="none"/>
          <w:lang w:val="en-US" w:eastAsia="zh-CN" w:bidi="ar-SA"/>
        </w:rPr>
        <w:t>20</w:t>
      </w:r>
      <w:r>
        <w:rPr>
          <w:rFonts w:hint="eastAsia" w:ascii="宋体" w:hAnsi="宋体" w:eastAsia="宋体" w:cs="宋体"/>
          <w:color w:val="auto"/>
          <w:kern w:val="0"/>
          <w:sz w:val="21"/>
          <w:szCs w:val="21"/>
          <w:highlight w:val="none"/>
          <w:lang w:val="en-US" w:eastAsia="zh-CN" w:bidi="ar-SA"/>
        </w:rPr>
        <w:t>分；如所投产品技术参数</w:t>
      </w:r>
      <w:r>
        <w:rPr>
          <w:rFonts w:hint="eastAsia" w:ascii="宋体" w:hAnsi="宋体" w:cs="宋体"/>
          <w:color w:val="auto"/>
          <w:kern w:val="0"/>
          <w:sz w:val="21"/>
          <w:szCs w:val="21"/>
          <w:highlight w:val="none"/>
          <w:lang w:val="en-US" w:eastAsia="zh-CN" w:bidi="ar-SA"/>
        </w:rPr>
        <w:t>/要求（</w:t>
      </w:r>
      <w:r>
        <w:rPr>
          <w:rFonts w:hint="eastAsia" w:ascii="宋体" w:hAnsi="宋体" w:eastAsia="宋体" w:cs="宋体"/>
          <w:color w:val="auto"/>
          <w:kern w:val="0"/>
          <w:sz w:val="21"/>
          <w:szCs w:val="21"/>
          <w:highlight w:val="none"/>
          <w:lang w:val="en-US" w:eastAsia="zh-CN" w:bidi="ar-SA"/>
        </w:rPr>
        <w:t>非标“★”参数）有负偏离的，每一项扣 2 分；标注“★”参数</w:t>
      </w:r>
      <w:r>
        <w:rPr>
          <w:rFonts w:hint="eastAsia" w:ascii="宋体" w:hAnsi="宋体" w:cs="宋体"/>
          <w:color w:val="auto"/>
          <w:kern w:val="0"/>
          <w:sz w:val="21"/>
          <w:szCs w:val="21"/>
          <w:highlight w:val="none"/>
          <w:lang w:val="en-US" w:eastAsia="zh-CN" w:bidi="ar-SA"/>
        </w:rPr>
        <w:t>/要求</w:t>
      </w:r>
      <w:r>
        <w:rPr>
          <w:rFonts w:hint="eastAsia" w:ascii="宋体" w:hAnsi="宋体" w:eastAsia="宋体" w:cs="宋体"/>
          <w:color w:val="auto"/>
          <w:kern w:val="0"/>
          <w:sz w:val="21"/>
          <w:szCs w:val="21"/>
          <w:highlight w:val="none"/>
          <w:lang w:val="en-US" w:eastAsia="zh-CN" w:bidi="ar-SA"/>
        </w:rPr>
        <w:t xml:space="preserve">有负偏离的，如出现负偏离则视为无效投标。 </w:t>
      </w:r>
    </w:p>
    <w:p w14:paraId="18245BEB">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负偏离包括但不限于：配置不详，技术参数不清楚或缺漏项或前后不一致。如应答时缺项，则该项作负偏离处理。如招标文件中要求提供证明材料，投标人未按要求提供证明材料或所提供的证明材料不满足（或不能证明）投标文件相应技术参数要求的，相应视为负偏离；投标人投标文件中的响应承诺与证明材料不一致的，以证明材料为准。</w:t>
      </w:r>
    </w:p>
    <w:p w14:paraId="43BCB712">
      <w:pPr>
        <w:keepNext w:val="0"/>
        <w:keepLines w:val="0"/>
        <w:pageBreakBefore w:val="0"/>
        <w:widowControl w:val="0"/>
        <w:kinsoku/>
        <w:wordWrap w:val="0"/>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bCs/>
          <w:color w:val="auto"/>
          <w:sz w:val="21"/>
          <w:szCs w:val="21"/>
          <w:highlight w:val="none"/>
        </w:rPr>
      </w:pPr>
      <w:r>
        <w:rPr>
          <w:rFonts w:hint="eastAsia" w:hAnsi="宋体"/>
          <w:b/>
          <w:bCs/>
          <w:color w:val="auto"/>
          <w:highlight w:val="none"/>
        </w:rPr>
        <w:t>3.</w:t>
      </w:r>
      <w:r>
        <w:rPr>
          <w:rFonts w:hint="eastAsia" w:ascii="宋体" w:hAnsi="宋体" w:eastAsia="宋体" w:cs="宋体"/>
          <w:b/>
          <w:bCs/>
          <w:color w:val="auto"/>
          <w:sz w:val="21"/>
          <w:szCs w:val="21"/>
          <w:highlight w:val="none"/>
          <w:lang w:val="en-US" w:eastAsia="zh-CN"/>
        </w:rPr>
        <w:t>项目</w:t>
      </w:r>
      <w:r>
        <w:rPr>
          <w:rFonts w:hint="eastAsia" w:ascii="宋体" w:hAnsi="宋体" w:eastAsia="宋体" w:cs="宋体"/>
          <w:b/>
          <w:bCs/>
          <w:color w:val="auto"/>
          <w:sz w:val="21"/>
          <w:szCs w:val="21"/>
          <w:highlight w:val="none"/>
        </w:rPr>
        <w:t>实施方案分……………………………………………………………</w:t>
      </w:r>
      <w:r>
        <w:rPr>
          <w:rFonts w:hint="eastAsia" w:hAnsi="宋体"/>
          <w:b/>
          <w:color w:val="auto"/>
          <w:sz w:val="21"/>
          <w:szCs w:val="21"/>
          <w:highlight w:val="none"/>
        </w:rPr>
        <w:t>………</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分</w:t>
      </w:r>
    </w:p>
    <w:p w14:paraId="31C3602F">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由评委在打分前根据招标文件要求，对比各供应商提供的项目实施方案（包括不限于应当包括、实施进度及保证措施、人员配置、质量保证、技术培训、验收要求等内容），内容的详尽性、科学性、合理性进行独立评审，并在相应档次内独立打分。</w:t>
      </w:r>
    </w:p>
    <w:p w14:paraId="5AEE2ABC">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一档（0分）：未提供实施方案或者实施方案缺项达3项以上；</w:t>
      </w:r>
    </w:p>
    <w:p w14:paraId="2953448C">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二档（4分）：实施方案内容基本齐全，但描述简单，针对性不强；</w:t>
      </w:r>
    </w:p>
    <w:p w14:paraId="3C075475">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三档（8分）：实施方案内容齐全，描述较详细，针对性较强；</w:t>
      </w:r>
    </w:p>
    <w:p w14:paraId="1A7BBF2B">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四档（12分）：实施方案内容齐全，描述详细，针对性、可操作性强。</w:t>
      </w:r>
    </w:p>
    <w:p w14:paraId="60D7B40E">
      <w:pPr>
        <w:pStyle w:val="26"/>
        <w:keepNext w:val="0"/>
        <w:keepLines w:val="0"/>
        <w:pageBreakBefore w:val="0"/>
        <w:kinsoku/>
        <w:overflowPunct/>
        <w:topLinePunct w:val="0"/>
        <w:bidi w:val="0"/>
        <w:spacing w:line="360" w:lineRule="auto"/>
        <w:ind w:firstLine="361" w:firstLineChars="171"/>
        <w:rPr>
          <w:rFonts w:hAnsi="宋体"/>
          <w:bCs/>
          <w:color w:val="auto"/>
          <w:highlight w:val="none"/>
        </w:rPr>
      </w:pPr>
      <w:r>
        <w:rPr>
          <w:rFonts w:hint="eastAsia" w:hAnsi="宋体"/>
          <w:b/>
          <w:bCs/>
          <w:color w:val="auto"/>
          <w:highlight w:val="none"/>
          <w:lang w:val="en-US" w:eastAsia="zh-CN"/>
        </w:rPr>
        <w:t>4、</w:t>
      </w:r>
      <w:r>
        <w:rPr>
          <w:rFonts w:hint="eastAsia" w:hAnsi="宋体"/>
          <w:b/>
          <w:bCs/>
          <w:color w:val="auto"/>
          <w:highlight w:val="none"/>
        </w:rPr>
        <w:t>配送及安装实施方案</w:t>
      </w:r>
      <w:r>
        <w:rPr>
          <w:rFonts w:hint="eastAsia" w:hAnsi="宋体"/>
          <w:b/>
          <w:color w:val="auto"/>
          <w:spacing w:val="-4"/>
          <w:highlight w:val="none"/>
        </w:rPr>
        <w:t>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rPr>
        <w:t>1</w:t>
      </w:r>
      <w:r>
        <w:rPr>
          <w:rFonts w:hint="eastAsia" w:hAnsi="宋体"/>
          <w:b/>
          <w:bCs/>
          <w:color w:val="auto"/>
          <w:highlight w:val="none"/>
          <w:lang w:val="en-US" w:eastAsia="zh-CN"/>
        </w:rPr>
        <w:t>6</w:t>
      </w:r>
      <w:r>
        <w:rPr>
          <w:rFonts w:hint="eastAsia" w:hAnsi="宋体"/>
          <w:b/>
          <w:bCs/>
          <w:color w:val="auto"/>
          <w:highlight w:val="none"/>
        </w:rPr>
        <w:t>分</w:t>
      </w:r>
    </w:p>
    <w:p w14:paraId="4FE6B972">
      <w:pPr>
        <w:keepNext w:val="0"/>
        <w:keepLines w:val="0"/>
        <w:pageBreakBefore w:val="0"/>
        <w:widowControl w:val="0"/>
        <w:kinsoku/>
        <w:wordWrap w:val="0"/>
        <w:overflowPunct/>
        <w:topLinePunct w:val="0"/>
        <w:bidi w:val="0"/>
        <w:spacing w:line="360" w:lineRule="auto"/>
        <w:ind w:firstLine="422" w:firstLineChars="200"/>
        <w:rPr>
          <w:rStyle w:val="126"/>
          <w:rFonts w:hint="eastAsia" w:ascii="宋体" w:hAnsi="宋体" w:eastAsia="宋体" w:cs="Times New Roman"/>
          <w:b/>
          <w:i w:val="0"/>
          <w:caps w:val="0"/>
          <w:color w:val="auto"/>
          <w:spacing w:val="0"/>
          <w:w w:val="100"/>
          <w:kern w:val="2"/>
          <w:sz w:val="21"/>
          <w:szCs w:val="21"/>
          <w:highlight w:val="none"/>
          <w:lang w:val="en-US" w:eastAsia="zh-CN" w:bidi="ar-SA"/>
        </w:rPr>
      </w:pPr>
      <w:r>
        <w:rPr>
          <w:rStyle w:val="126"/>
          <w:rFonts w:hint="eastAsia" w:ascii="宋体" w:hAnsi="宋体" w:eastAsia="宋体" w:cs="Times New Roman"/>
          <w:b/>
          <w:i w:val="0"/>
          <w:caps w:val="0"/>
          <w:color w:val="auto"/>
          <w:spacing w:val="0"/>
          <w:w w:val="100"/>
          <w:kern w:val="2"/>
          <w:sz w:val="21"/>
          <w:szCs w:val="21"/>
          <w:highlight w:val="none"/>
          <w:lang w:val="en-US" w:eastAsia="zh-CN" w:bidi="ar-SA"/>
        </w:rPr>
        <w:t xml:space="preserve">评标委员会对投标人提供的所投产品，配送及安装方案，包括但不仅限于①配送计划②安装方案③设备调试④设备试运行等内容进行评价： </w:t>
      </w:r>
    </w:p>
    <w:p w14:paraId="7FFC7954">
      <w:pPr>
        <w:pStyle w:val="26"/>
        <w:keepNext w:val="0"/>
        <w:keepLines w:val="0"/>
        <w:pageBreakBefore w:val="0"/>
        <w:widowControl w:val="0"/>
        <w:kinsoku/>
        <w:wordWrap w:val="0"/>
        <w:overflowPunct/>
        <w:topLinePunct w:val="0"/>
        <w:bidi w:val="0"/>
        <w:spacing w:line="360" w:lineRule="auto"/>
        <w:ind w:firstLine="359" w:firstLineChars="171"/>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一档（0分）：未提供或不满足入档要求得0分；</w:t>
      </w:r>
    </w:p>
    <w:p w14:paraId="696C1FD4">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二档（4 分）配送及安装实施方案内容齐全，4 项评审内容有 1 项经评审具有针对性、可操作性、内容科学合理且无缺陷的； </w:t>
      </w:r>
    </w:p>
    <w:p w14:paraId="452C0EC7">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三档（8 分）配送及安装实施方案内容齐全，4 项评审内容有 2 项经评审具有针对性、可操作性、 内容科学合理且无缺陷的； </w:t>
      </w:r>
    </w:p>
    <w:p w14:paraId="309FBF45">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四档（12 分）配送及安装实施方案内容齐全，4 项评审内容 3 项经评审具有针对性、可操作性、内容科学合理且无缺陷的； </w:t>
      </w:r>
    </w:p>
    <w:p w14:paraId="06C4B5C9">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五档（16分）配送及安装实施方案内容齐全，4 项评审内容 4 项经评审具有针对性、可操作性、且内容科学合理且无缺陷的。 </w:t>
      </w:r>
    </w:p>
    <w:p w14:paraId="049D220E">
      <w:pPr>
        <w:pStyle w:val="26"/>
        <w:keepNext w:val="0"/>
        <w:keepLines w:val="0"/>
        <w:pageBreakBefore w:val="0"/>
        <w:widowControl w:val="0"/>
        <w:kinsoku/>
        <w:wordWrap w:val="0"/>
        <w:overflowPunct/>
        <w:topLinePunct w:val="0"/>
        <w:bidi w:val="0"/>
        <w:spacing w:line="360" w:lineRule="auto"/>
        <w:ind w:firstLine="359" w:firstLineChars="171"/>
        <w:rPr>
          <w:rStyle w:val="126"/>
          <w:rFonts w:hint="eastAsia" w:ascii="宋体" w:hAnsi="宋体" w:eastAsia="宋体" w:cs="Times New Roman"/>
          <w:b w:val="0"/>
          <w:bCs/>
          <w:i w:val="0"/>
          <w:caps w:val="0"/>
          <w:color w:val="auto"/>
          <w:spacing w:val="0"/>
          <w:w w:val="100"/>
          <w:kern w:val="2"/>
          <w:sz w:val="21"/>
          <w:szCs w:val="21"/>
          <w:highlight w:val="none"/>
          <w:lang w:val="en-US" w:eastAsia="zh-CN" w:bidi="ar-SA"/>
        </w:rPr>
      </w:pPr>
      <w:r>
        <w:rPr>
          <w:rFonts w:hint="eastAsia" w:ascii="宋体" w:hAnsi="宋体" w:eastAsia="宋体" w:cs="宋体"/>
          <w:color w:val="auto"/>
          <w:sz w:val="21"/>
          <w:highlight w:val="none"/>
          <w:lang w:val="en-US" w:eastAsia="zh-CN"/>
        </w:rPr>
        <w:t>（缺陷是指：非专门针对本项目或不适用项目特性的情形、内容不完整或缺少关键节点、套用其 他项目方案，内容前后矛盾，规范及标准错误，不利于项目实施，不可能实现的情形等任意一种情形）</w:t>
      </w:r>
      <w:r>
        <w:rPr>
          <w:rStyle w:val="126"/>
          <w:rFonts w:hint="eastAsia" w:ascii="宋体" w:hAnsi="宋体" w:eastAsia="宋体" w:cs="Times New Roman"/>
          <w:b w:val="0"/>
          <w:bCs/>
          <w:i w:val="0"/>
          <w:caps w:val="0"/>
          <w:color w:val="auto"/>
          <w:spacing w:val="0"/>
          <w:w w:val="100"/>
          <w:kern w:val="2"/>
          <w:sz w:val="21"/>
          <w:szCs w:val="21"/>
          <w:highlight w:val="none"/>
          <w:lang w:val="en-US" w:eastAsia="zh-CN" w:bidi="ar-SA"/>
        </w:rPr>
        <w:t xml:space="preserve"> </w:t>
      </w:r>
    </w:p>
    <w:p w14:paraId="05C5CF60">
      <w:pPr>
        <w:pStyle w:val="26"/>
        <w:keepNext w:val="0"/>
        <w:keepLines w:val="0"/>
        <w:pageBreakBefore w:val="0"/>
        <w:kinsoku/>
        <w:overflowPunct/>
        <w:topLinePunct w:val="0"/>
        <w:bidi w:val="0"/>
        <w:spacing w:line="360" w:lineRule="auto"/>
        <w:ind w:firstLine="361" w:firstLineChars="171"/>
        <w:rPr>
          <w:rFonts w:hAnsi="宋体"/>
          <w:bCs/>
          <w:color w:val="auto"/>
          <w:highlight w:val="none"/>
        </w:rPr>
      </w:pPr>
      <w:r>
        <w:rPr>
          <w:rFonts w:hint="eastAsia" w:hAnsi="宋体"/>
          <w:b/>
          <w:bCs/>
          <w:color w:val="auto"/>
          <w:highlight w:val="none"/>
        </w:rPr>
        <w:t>4.</w:t>
      </w:r>
      <w:r>
        <w:rPr>
          <w:rFonts w:hint="eastAsia" w:hAnsi="宋体"/>
          <w:b/>
          <w:color w:val="auto"/>
          <w:spacing w:val="-4"/>
          <w:highlight w:val="none"/>
        </w:rPr>
        <w:t>售后服务方案分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rPr>
        <w:t>1</w:t>
      </w:r>
      <w:r>
        <w:rPr>
          <w:rFonts w:hint="eastAsia" w:hAnsi="宋体"/>
          <w:b/>
          <w:bCs/>
          <w:color w:val="auto"/>
          <w:highlight w:val="none"/>
          <w:lang w:val="en-US" w:eastAsia="zh-CN"/>
        </w:rPr>
        <w:t>4</w:t>
      </w:r>
      <w:r>
        <w:rPr>
          <w:rFonts w:hint="eastAsia" w:hAnsi="宋体"/>
          <w:b/>
          <w:bCs/>
          <w:color w:val="auto"/>
          <w:highlight w:val="none"/>
        </w:rPr>
        <w:t>分</w:t>
      </w:r>
    </w:p>
    <w:p w14:paraId="7A48F4B7">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zh-CN" w:eastAsia="zh-CN"/>
        </w:rPr>
        <w:t>评委根据投标文件中售后服务方案内容的完整性、可行性，</w:t>
      </w:r>
      <w:r>
        <w:rPr>
          <w:rFonts w:hint="eastAsia" w:ascii="宋体" w:hAnsi="宋体" w:eastAsia="宋体" w:cs="宋体"/>
          <w:color w:val="auto"/>
          <w:sz w:val="21"/>
          <w:highlight w:val="none"/>
          <w:lang w:val="en-US" w:eastAsia="zh-CN"/>
        </w:rPr>
        <w:t>并对</w:t>
      </w:r>
      <w:r>
        <w:rPr>
          <w:rFonts w:hint="eastAsia" w:ascii="宋体" w:hAnsi="宋体" w:eastAsia="宋体" w:cs="宋体"/>
          <w:color w:val="auto"/>
          <w:sz w:val="21"/>
          <w:highlight w:val="none"/>
          <w:lang w:val="zh-CN" w:eastAsia="zh-CN"/>
        </w:rPr>
        <w:t>到达故障现场时间、故障出现解决方案、定期维护 (注明时间)、</w:t>
      </w:r>
      <w:r>
        <w:rPr>
          <w:rFonts w:hint="eastAsia" w:ascii="宋体" w:hAnsi="宋体" w:eastAsia="宋体" w:cs="宋体"/>
          <w:color w:val="auto"/>
          <w:sz w:val="21"/>
          <w:highlight w:val="none"/>
          <w:lang w:val="en-US" w:eastAsia="zh-CN"/>
        </w:rPr>
        <w:t>免费技术培训方案、其他优惠措施等方面独立评审并在相应档次内独立打分：</w:t>
      </w:r>
    </w:p>
    <w:p w14:paraId="372C5262">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一档（0分）：未提供或不满足入档要求得0分；</w:t>
      </w:r>
    </w:p>
    <w:p w14:paraId="16950E8E">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en-US" w:eastAsia="zh-CN"/>
        </w:rPr>
        <w:t>二</w:t>
      </w:r>
      <w:r>
        <w:rPr>
          <w:rFonts w:hint="eastAsia" w:ascii="宋体" w:hAnsi="宋体" w:eastAsia="宋体" w:cs="宋体"/>
          <w:color w:val="auto"/>
          <w:sz w:val="21"/>
          <w:highlight w:val="none"/>
          <w:lang w:val="zh-CN" w:eastAsia="zh-CN"/>
        </w:rPr>
        <w:t>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基本满足招标文件售后服务要求的同时，</w:t>
      </w:r>
      <w:r>
        <w:rPr>
          <w:rFonts w:hint="eastAsia" w:ascii="宋体" w:hAnsi="宋体" w:eastAsia="宋体" w:cs="宋体"/>
          <w:color w:val="auto"/>
          <w:sz w:val="21"/>
          <w:highlight w:val="none"/>
          <w:lang w:val="zh-CN" w:eastAsia="zh-CN"/>
        </w:rPr>
        <w:t>提供的售后服务方案不够完整</w:t>
      </w:r>
      <w:r>
        <w:rPr>
          <w:rFonts w:hint="eastAsia" w:ascii="宋体" w:hAnsi="宋体" w:eastAsia="宋体" w:cs="宋体"/>
          <w:color w:val="auto"/>
          <w:sz w:val="21"/>
          <w:highlight w:val="none"/>
          <w:lang w:val="en-US" w:eastAsia="zh-CN"/>
        </w:rPr>
        <w:t>或缺少关键节点，售后服务承诺，售后服务流程、应急预案、质量保障等内容简单没有针对性；</w:t>
      </w:r>
    </w:p>
    <w:p w14:paraId="4CBEA64A">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en-US" w:eastAsia="zh-CN"/>
        </w:rPr>
        <w:t>三</w:t>
      </w:r>
      <w:r>
        <w:rPr>
          <w:rFonts w:hint="eastAsia" w:ascii="宋体" w:hAnsi="宋体" w:eastAsia="宋体" w:cs="宋体"/>
          <w:color w:val="auto"/>
          <w:sz w:val="21"/>
          <w:highlight w:val="none"/>
          <w:lang w:val="zh-CN" w:eastAsia="zh-CN"/>
        </w:rPr>
        <w:t>档（</w:t>
      </w:r>
      <w:r>
        <w:rPr>
          <w:rFonts w:hint="eastAsia" w:ascii="宋体" w:hAnsi="宋体" w:eastAsia="宋体" w:cs="宋体"/>
          <w:color w:val="auto"/>
          <w:sz w:val="21"/>
          <w:highlight w:val="none"/>
          <w:lang w:val="en-US" w:eastAsia="zh-CN"/>
        </w:rPr>
        <w:t>10</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满足招标文件售后服务要求的同时，方案完整可行合理，有较详细的售后服务承诺，售后服务流程、应急预案、质量保障等内容，</w:t>
      </w:r>
      <w:r>
        <w:rPr>
          <w:rFonts w:hint="eastAsia" w:ascii="宋体" w:hAnsi="宋体" w:eastAsia="宋体" w:cs="宋体"/>
          <w:color w:val="auto"/>
          <w:sz w:val="21"/>
          <w:highlight w:val="none"/>
          <w:lang w:val="zh-CN" w:eastAsia="zh-CN"/>
        </w:rPr>
        <w:t>到达现场维护时间、故障出现解决方案优于</w:t>
      </w:r>
      <w:r>
        <w:rPr>
          <w:rFonts w:hint="eastAsia" w:ascii="宋体" w:hAnsi="宋体" w:eastAsia="宋体" w:cs="宋体"/>
          <w:color w:val="auto"/>
          <w:sz w:val="21"/>
          <w:highlight w:val="none"/>
          <w:lang w:val="en-US" w:eastAsia="zh-CN"/>
        </w:rPr>
        <w:t>招标</w:t>
      </w:r>
      <w:r>
        <w:rPr>
          <w:rFonts w:hint="eastAsia" w:ascii="宋体" w:hAnsi="宋体" w:eastAsia="宋体" w:cs="宋体"/>
          <w:color w:val="auto"/>
          <w:sz w:val="21"/>
          <w:highlight w:val="none"/>
          <w:lang w:val="zh-CN" w:eastAsia="zh-CN"/>
        </w:rPr>
        <w:t>文件要求，有定期维护（注明时间），</w:t>
      </w:r>
      <w:r>
        <w:rPr>
          <w:rFonts w:hint="eastAsia" w:ascii="宋体" w:hAnsi="宋体" w:eastAsia="宋体" w:cs="宋体"/>
          <w:color w:val="auto"/>
          <w:sz w:val="21"/>
          <w:highlight w:val="none"/>
          <w:lang w:val="en-US" w:eastAsia="zh-CN"/>
        </w:rPr>
        <w:t>售后保障措施完备，</w:t>
      </w:r>
      <w:r>
        <w:rPr>
          <w:rFonts w:hint="eastAsia" w:ascii="宋体" w:hAnsi="宋体" w:eastAsia="宋体" w:cs="宋体"/>
          <w:color w:val="auto"/>
          <w:sz w:val="21"/>
          <w:highlight w:val="none"/>
          <w:lang w:val="zh-CN" w:eastAsia="zh-CN"/>
        </w:rPr>
        <w:t>其他优惠措施满足</w:t>
      </w:r>
      <w:r>
        <w:rPr>
          <w:rFonts w:hint="eastAsia" w:ascii="宋体" w:hAnsi="宋体" w:eastAsia="宋体" w:cs="宋体"/>
          <w:color w:val="auto"/>
          <w:sz w:val="21"/>
          <w:highlight w:val="none"/>
          <w:lang w:val="en-US" w:eastAsia="zh-CN"/>
        </w:rPr>
        <w:t>招标</w:t>
      </w:r>
      <w:r>
        <w:rPr>
          <w:rFonts w:hint="eastAsia" w:ascii="宋体" w:hAnsi="宋体" w:eastAsia="宋体" w:cs="宋体"/>
          <w:color w:val="auto"/>
          <w:sz w:val="21"/>
          <w:highlight w:val="none"/>
          <w:lang w:val="zh-CN" w:eastAsia="zh-CN"/>
        </w:rPr>
        <w:t>文件要求；</w:t>
      </w:r>
    </w:p>
    <w:p w14:paraId="4A5F6A48">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四</w:t>
      </w:r>
      <w:r>
        <w:rPr>
          <w:rFonts w:hint="eastAsia" w:ascii="宋体" w:hAnsi="宋体" w:eastAsia="宋体" w:cs="宋体"/>
          <w:color w:val="auto"/>
          <w:sz w:val="21"/>
          <w:highlight w:val="none"/>
          <w:lang w:val="zh-CN" w:eastAsia="zh-CN"/>
        </w:rPr>
        <w:t>档（</w:t>
      </w:r>
      <w:r>
        <w:rPr>
          <w:rFonts w:hint="eastAsia" w:ascii="宋体" w:hAnsi="宋体" w:eastAsia="宋体" w:cs="宋体"/>
          <w:color w:val="auto"/>
          <w:sz w:val="21"/>
          <w:highlight w:val="none"/>
          <w:lang w:val="en-US" w:eastAsia="zh-CN"/>
        </w:rPr>
        <w:t>14</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在三档基础上方案完整可行合理细致，有详细的售后服务承诺，售后服务流程、应急预案、质量保障等内容，售后保障措施完备，售后服务经验丰富，售后响应及时快速，为确保项目具有完整、良好的售后服务，具有完整可靠的售后服务团队，其他增值售后服务措施等能充分为采购人考虑，优于招标文件要求。</w:t>
      </w:r>
    </w:p>
    <w:p w14:paraId="77CA60CC">
      <w:pPr>
        <w:pStyle w:val="26"/>
        <w:keepNext w:val="0"/>
        <w:keepLines w:val="0"/>
        <w:pageBreakBefore w:val="0"/>
        <w:tabs>
          <w:tab w:val="left" w:pos="4214"/>
        </w:tabs>
        <w:kinsoku/>
        <w:overflowPunct/>
        <w:topLinePunct w:val="0"/>
        <w:bidi w:val="0"/>
        <w:spacing w:line="360" w:lineRule="auto"/>
        <w:ind w:firstLine="422" w:firstLineChars="200"/>
        <w:rPr>
          <w:rFonts w:hAnsi="宋体" w:cs="宋体"/>
          <w:b/>
          <w:color w:val="auto"/>
          <w:szCs w:val="21"/>
          <w:highlight w:val="none"/>
          <w:shd w:val="clear" w:color="auto" w:fill="FFFFFF"/>
          <w:lang w:bidi="ar"/>
        </w:rPr>
      </w:pPr>
      <w:r>
        <w:rPr>
          <w:rFonts w:hAnsi="宋体"/>
          <w:b/>
          <w:bCs/>
          <w:color w:val="auto"/>
          <w:highlight w:val="none"/>
        </w:rPr>
        <w:t>5</w:t>
      </w:r>
      <w:r>
        <w:rPr>
          <w:rFonts w:hint="eastAsia" w:hAnsi="宋体"/>
          <w:b/>
          <w:bCs/>
          <w:color w:val="auto"/>
          <w:highlight w:val="none"/>
        </w:rPr>
        <w:t>.履约能力分……………………………………………………………………………………………</w:t>
      </w:r>
      <w:r>
        <w:rPr>
          <w:rFonts w:hint="eastAsia" w:hAnsi="宋体"/>
          <w:b/>
          <w:bCs/>
          <w:color w:val="auto"/>
          <w:highlight w:val="none"/>
          <w:lang w:val="en-US" w:eastAsia="zh-CN"/>
        </w:rPr>
        <w:t>8</w:t>
      </w:r>
      <w:r>
        <w:rPr>
          <w:rFonts w:hint="eastAsia" w:hAnsi="宋体"/>
          <w:b/>
          <w:bCs/>
          <w:color w:val="auto"/>
          <w:highlight w:val="none"/>
        </w:rPr>
        <w:t>分</w:t>
      </w:r>
    </w:p>
    <w:p w14:paraId="770E896F">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hAnsi="宋体" w:cs="宋体"/>
          <w:color w:val="auto"/>
          <w:sz w:val="21"/>
          <w:highlight w:val="none"/>
          <w:lang w:val="en-US" w:eastAsia="zh-CN"/>
        </w:rPr>
        <w:t>(1).</w:t>
      </w:r>
      <w:r>
        <w:rPr>
          <w:rFonts w:hint="eastAsia" w:ascii="宋体" w:hAnsi="宋体" w:eastAsia="宋体" w:cs="宋体"/>
          <w:color w:val="auto"/>
          <w:sz w:val="21"/>
          <w:highlight w:val="none"/>
          <w:lang w:val="zh-CN" w:eastAsia="zh-CN"/>
        </w:rPr>
        <w:t>团队配置项目实施人员</w:t>
      </w:r>
      <w:r>
        <w:rPr>
          <w:rFonts w:hint="eastAsia" w:ascii="宋体" w:hAnsi="宋体" w:eastAsia="宋体" w:cs="宋体"/>
          <w:color w:val="auto"/>
          <w:sz w:val="21"/>
          <w:highlight w:val="none"/>
          <w:lang w:val="en-US" w:eastAsia="zh-CN"/>
        </w:rPr>
        <w:t>中</w:t>
      </w:r>
      <w:r>
        <w:rPr>
          <w:rFonts w:hint="eastAsia" w:ascii="宋体" w:hAnsi="宋体" w:eastAsia="宋体" w:cs="宋体"/>
          <w:color w:val="auto"/>
          <w:sz w:val="21"/>
          <w:highlight w:val="none"/>
          <w:lang w:val="zh-CN" w:eastAsia="zh-CN"/>
        </w:rPr>
        <w:t>，具有生态环境保护工程高级工程师职称，每人</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中级工程师职称每人1分</w:t>
      </w:r>
      <w:r>
        <w:rPr>
          <w:rFonts w:hint="eastAsia" w:ascii="宋体" w:hAnsi="宋体" w:eastAsia="宋体" w:cs="宋体"/>
          <w:color w:val="auto"/>
          <w:sz w:val="21"/>
          <w:highlight w:val="none"/>
          <w:lang w:val="zh-CN" w:eastAsia="zh-CN"/>
        </w:rPr>
        <w:t>，满分</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val="zh-CN" w:eastAsia="zh-CN"/>
        </w:rPr>
        <w:t>分；</w:t>
      </w:r>
    </w:p>
    <w:p w14:paraId="7E136823">
      <w:pPr>
        <w:pStyle w:val="26"/>
        <w:keepNext w:val="0"/>
        <w:keepLines w:val="0"/>
        <w:pageBreakBefore w:val="0"/>
        <w:kinsoku/>
        <w:overflowPunct/>
        <w:topLinePunct w:val="0"/>
        <w:bidi w:val="0"/>
        <w:spacing w:line="360" w:lineRule="auto"/>
        <w:ind w:firstLine="411" w:firstLineChars="196"/>
        <w:rPr>
          <w:rFonts w:hint="eastAsia" w:ascii="宋体" w:hAnsi="宋体" w:eastAsia="宋体" w:cs="宋体"/>
          <w:color w:val="auto"/>
          <w:sz w:val="21"/>
          <w:highlight w:val="none"/>
          <w:lang w:val="zh-CN" w:eastAsia="zh-CN"/>
        </w:rPr>
      </w:pPr>
      <w:r>
        <w:rPr>
          <w:rFonts w:hint="eastAsia" w:hAnsi="宋体" w:cs="宋体"/>
          <w:color w:val="auto"/>
          <w:sz w:val="21"/>
          <w:highlight w:val="none"/>
          <w:lang w:val="en-US" w:eastAsia="zh-CN"/>
        </w:rPr>
        <w:t>(2).</w:t>
      </w:r>
      <w:r>
        <w:rPr>
          <w:rFonts w:hint="eastAsia" w:ascii="宋体" w:hAnsi="宋体" w:eastAsia="宋体" w:cs="宋体"/>
          <w:color w:val="auto"/>
          <w:sz w:val="21"/>
          <w:highlight w:val="none"/>
          <w:lang w:val="zh-CN" w:eastAsia="zh-CN"/>
        </w:rPr>
        <w:t xml:space="preserve">获得有效期内质量体系管理认证、环境管理体系认证、职业健康安全管理体系认证证书，提供齐全得 </w:t>
      </w:r>
      <w:r>
        <w:rPr>
          <w:rFonts w:hint="eastAsia" w:ascii="宋体" w:hAnsi="宋体" w:eastAsia="宋体" w:cs="宋体"/>
          <w:color w:val="auto"/>
          <w:sz w:val="21"/>
          <w:highlight w:val="none"/>
          <w:lang w:val="en-US" w:eastAsia="zh-CN"/>
        </w:rPr>
        <w:t>3</w:t>
      </w:r>
      <w:r>
        <w:rPr>
          <w:rFonts w:hint="eastAsia" w:ascii="宋体" w:hAnsi="宋体" w:eastAsia="宋体" w:cs="宋体"/>
          <w:color w:val="auto"/>
          <w:sz w:val="21"/>
          <w:highlight w:val="none"/>
          <w:lang w:val="zh-CN" w:eastAsia="zh-CN"/>
        </w:rPr>
        <w:t>分，不齐全得</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lang w:val="zh-CN" w:eastAsia="zh-CN"/>
        </w:rPr>
        <w:t>分。</w:t>
      </w:r>
    </w:p>
    <w:p w14:paraId="5C32BC47">
      <w:pPr>
        <w:pStyle w:val="26"/>
        <w:keepNext w:val="0"/>
        <w:keepLines w:val="0"/>
        <w:pageBreakBefore w:val="0"/>
        <w:kinsoku/>
        <w:overflowPunct/>
        <w:topLinePunct w:val="0"/>
        <w:bidi w:val="0"/>
        <w:spacing w:line="360" w:lineRule="auto"/>
        <w:ind w:firstLine="538" w:firstLineChars="255"/>
        <w:rPr>
          <w:rFonts w:hAnsi="宋体"/>
          <w:b/>
          <w:color w:val="auto"/>
          <w:highlight w:val="none"/>
        </w:rPr>
      </w:pPr>
      <w:r>
        <w:rPr>
          <w:rFonts w:hint="eastAsia" w:hAnsi="宋体"/>
          <w:b/>
          <w:color w:val="auto"/>
          <w:szCs w:val="21"/>
          <w:highlight w:val="none"/>
          <w:lang w:val="en-US" w:eastAsia="zh-CN"/>
        </w:rPr>
        <w:t>6</w:t>
      </w:r>
      <w:r>
        <w:rPr>
          <w:rFonts w:hint="eastAsia" w:hAnsi="宋体"/>
          <w:b/>
          <w:color w:val="auto"/>
          <w:szCs w:val="21"/>
          <w:highlight w:val="none"/>
        </w:rPr>
        <w:t>.</w:t>
      </w:r>
      <w:r>
        <w:rPr>
          <w:rFonts w:hAnsi="宋体"/>
          <w:b/>
          <w:color w:val="auto"/>
          <w:szCs w:val="21"/>
          <w:highlight w:val="none"/>
        </w:rPr>
        <w:t xml:space="preserve"> 总得分为以上各项评审因素得分合计。</w:t>
      </w:r>
    </w:p>
    <w:p w14:paraId="3559E78E">
      <w:pPr>
        <w:pStyle w:val="26"/>
        <w:keepNext w:val="0"/>
        <w:keepLines w:val="0"/>
        <w:pageBreakBefore w:val="0"/>
        <w:tabs>
          <w:tab w:val="left" w:pos="4214"/>
        </w:tabs>
        <w:kinsoku/>
        <w:overflowPunct/>
        <w:topLinePunct w:val="0"/>
        <w:bidi w:val="0"/>
        <w:spacing w:line="360" w:lineRule="auto"/>
        <w:ind w:firstLine="422" w:firstLineChars="200"/>
        <w:rPr>
          <w:rFonts w:hAnsi="宋体"/>
          <w:b/>
          <w:color w:val="auto"/>
          <w:highlight w:val="none"/>
        </w:rPr>
      </w:pPr>
    </w:p>
    <w:p w14:paraId="50D41366">
      <w:pPr>
        <w:pStyle w:val="26"/>
        <w:keepNext w:val="0"/>
        <w:keepLines w:val="0"/>
        <w:pageBreakBefore w:val="0"/>
        <w:tabs>
          <w:tab w:val="left" w:pos="4214"/>
        </w:tabs>
        <w:kinsoku/>
        <w:overflowPunct/>
        <w:topLinePunct w:val="0"/>
        <w:bidi w:val="0"/>
        <w:spacing w:line="360" w:lineRule="auto"/>
        <w:ind w:firstLine="422" w:firstLineChars="200"/>
        <w:jc w:val="left"/>
        <w:rPr>
          <w:rFonts w:hAnsi="宋体"/>
          <w:b/>
          <w:color w:val="auto"/>
          <w:highlight w:val="none"/>
        </w:rPr>
      </w:pPr>
      <w:r>
        <w:rPr>
          <w:rFonts w:hint="eastAsia" w:hAnsi="宋体"/>
          <w:b/>
          <w:color w:val="auto"/>
          <w:highlight w:val="none"/>
        </w:rPr>
        <w:t>三、推荐及确定中标候选人原则</w:t>
      </w:r>
    </w:p>
    <w:p w14:paraId="7B1320DE">
      <w:pPr>
        <w:pStyle w:val="26"/>
        <w:keepNext w:val="0"/>
        <w:keepLines w:val="0"/>
        <w:pageBreakBefore w:val="0"/>
        <w:tabs>
          <w:tab w:val="left" w:pos="4214"/>
        </w:tabs>
        <w:kinsoku/>
        <w:overflowPunct/>
        <w:topLinePunct w:val="0"/>
        <w:bidi w:val="0"/>
        <w:spacing w:line="360" w:lineRule="auto"/>
        <w:ind w:firstLine="420" w:firstLineChars="200"/>
        <w:jc w:val="left"/>
        <w:rPr>
          <w:color w:val="auto"/>
          <w:highlight w:val="none"/>
        </w:rPr>
      </w:pPr>
      <w:r>
        <w:rPr>
          <w:color w:val="auto"/>
          <w:highlight w:val="none"/>
        </w:rPr>
        <w:t>（1）评标委员会将根据评标结果按评审后得分由高到低顺序排列。得分相同的，按投标报价由低到高顺序排列；得分相同且投标报价相同的并列。</w:t>
      </w:r>
      <w:r>
        <w:rPr>
          <w:rFonts w:hint="eastAsia"/>
          <w:color w:val="auto"/>
          <w:highlight w:val="none"/>
        </w:rPr>
        <w:t>投标文件满足招标文件全部实质性要求，且按照评审因素的量化指标评审得分最高的投标人为排名第一的中标候选人。</w:t>
      </w:r>
    </w:p>
    <w:p w14:paraId="6A05BE9C">
      <w:pPr>
        <w:pStyle w:val="26"/>
        <w:keepNext w:val="0"/>
        <w:keepLines w:val="0"/>
        <w:pageBreakBefore w:val="0"/>
        <w:tabs>
          <w:tab w:val="left" w:pos="4214"/>
        </w:tabs>
        <w:kinsoku/>
        <w:overflowPunct/>
        <w:topLinePunct w:val="0"/>
        <w:bidi w:val="0"/>
        <w:spacing w:line="360" w:lineRule="auto"/>
        <w:ind w:firstLine="420" w:firstLineChars="200"/>
        <w:jc w:val="left"/>
        <w:rPr>
          <w:color w:val="auto"/>
          <w:highlight w:val="none"/>
        </w:rPr>
      </w:pPr>
      <w:r>
        <w:rPr>
          <w:rFonts w:hint="eastAsia"/>
          <w:color w:val="auto"/>
          <w:highlight w:val="none"/>
        </w:rPr>
        <w:t>（2）采购人应当自收到评标报告之日起</w:t>
      </w:r>
      <w:r>
        <w:rPr>
          <w:color w:val="auto"/>
          <w:highlight w:val="none"/>
        </w:rPr>
        <w:t>5</w:t>
      </w:r>
      <w:r>
        <w:rPr>
          <w:rFonts w:hint="eastAsia"/>
          <w:color w:val="auto"/>
          <w:highlight w:val="none"/>
        </w:rPr>
        <w:t>个工作日内，在评标报告确定的中标候选人名单中按顺序确定中标人。中标候选人并列的</w:t>
      </w:r>
      <w:r>
        <w:rPr>
          <w:color w:val="auto"/>
          <w:highlight w:val="none"/>
        </w:rPr>
        <w:t>，采购人</w:t>
      </w:r>
      <w:r>
        <w:rPr>
          <w:rFonts w:hint="eastAsia"/>
          <w:color w:val="auto"/>
          <w:highlight w:val="none"/>
        </w:rPr>
        <w:t>按以下的方式确定中标人：依次按技术分高的优先、配送及安装实施方案分的优先、售后服务方案分高的优先、履约能力分高的优先、政策功能分（节能、环保）高的优先、保修期长的优先、交付时间短的优先顺序确定中标人。</w:t>
      </w:r>
    </w:p>
    <w:p w14:paraId="6FBAD046">
      <w:pPr>
        <w:pStyle w:val="26"/>
        <w:keepNext w:val="0"/>
        <w:keepLines w:val="0"/>
        <w:pageBreakBefore w:val="0"/>
        <w:tabs>
          <w:tab w:val="left" w:pos="4214"/>
        </w:tabs>
        <w:kinsoku/>
        <w:overflowPunct/>
        <w:topLinePunct w:val="0"/>
        <w:bidi w:val="0"/>
        <w:spacing w:line="360" w:lineRule="auto"/>
        <w:ind w:firstLine="420" w:firstLineChars="200"/>
        <w:jc w:val="left"/>
        <w:rPr>
          <w:rFonts w:hint="eastAsia"/>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w:t>
      </w:r>
      <w:r>
        <w:rPr>
          <w:color w:val="auto"/>
          <w:highlight w:val="none"/>
        </w:rPr>
        <w:t>的期限内未能提交的，采购人可以</w:t>
      </w:r>
      <w:r>
        <w:rPr>
          <w:rFonts w:hint="eastAsia"/>
          <w:color w:val="auto"/>
          <w:highlight w:val="none"/>
        </w:rPr>
        <w:t>按照评审报告推荐的中标候选人名单排序，确定下一候选人中标，也可以重新开展政府采购活动。</w:t>
      </w:r>
    </w:p>
    <w:p w14:paraId="694E1493">
      <w:pPr>
        <w:pStyle w:val="26"/>
        <w:keepNext w:val="0"/>
        <w:keepLines w:val="0"/>
        <w:pageBreakBefore w:val="0"/>
        <w:tabs>
          <w:tab w:val="left" w:pos="4214"/>
        </w:tabs>
        <w:kinsoku/>
        <w:overflowPunct/>
        <w:topLinePunct w:val="0"/>
        <w:bidi w:val="0"/>
        <w:spacing w:line="360" w:lineRule="auto"/>
        <w:ind w:firstLine="414" w:firstLineChars="200"/>
        <w:jc w:val="left"/>
        <w:rPr>
          <w:rFonts w:ascii="宋体" w:hAnsi="宋体" w:eastAsia="宋体" w:cs="宋体"/>
          <w:color w:val="auto"/>
          <w:sz w:val="24"/>
          <w:szCs w:val="24"/>
          <w:highlight w:val="none"/>
        </w:rPr>
      </w:pPr>
      <w:r>
        <w:rPr>
          <w:rFonts w:ascii="宋体" w:hAnsi="宋体" w:eastAsia="宋体" w:cs="宋体"/>
          <w:b/>
          <w:bCs/>
          <w:color w:val="auto"/>
          <w:spacing w:val="-17"/>
          <w:sz w:val="24"/>
          <w:szCs w:val="24"/>
          <w:highlight w:val="none"/>
        </w:rPr>
        <w:t>附表</w:t>
      </w:r>
    </w:p>
    <w:p w14:paraId="034AB5D4">
      <w:pPr>
        <w:spacing w:before="245" w:line="219" w:lineRule="auto"/>
        <w:ind w:left="2644"/>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统计上大中小微型企业划分标准</w:t>
      </w:r>
    </w:p>
    <w:p w14:paraId="5A4ECF78">
      <w:pPr>
        <w:spacing w:line="112" w:lineRule="exact"/>
        <w:rPr>
          <w:color w:val="auto"/>
          <w:highlight w:val="none"/>
        </w:rPr>
      </w:pPr>
    </w:p>
    <w:tbl>
      <w:tblPr>
        <w:tblStyle w:val="230"/>
        <w:tblW w:w="94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2"/>
        <w:gridCol w:w="1371"/>
        <w:gridCol w:w="710"/>
        <w:gridCol w:w="1126"/>
        <w:gridCol w:w="1704"/>
        <w:gridCol w:w="1428"/>
        <w:gridCol w:w="998"/>
      </w:tblGrid>
      <w:tr w14:paraId="2536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122" w:type="dxa"/>
            <w:shd w:val="clear" w:color="auto" w:fill="8DB3E2"/>
            <w:vAlign w:val="top"/>
          </w:tcPr>
          <w:p w14:paraId="4D623E9B">
            <w:pPr>
              <w:pStyle w:val="229"/>
              <w:spacing w:before="219" w:line="220" w:lineRule="auto"/>
              <w:ind w:left="705"/>
              <w:rPr>
                <w:color w:val="auto"/>
                <w:sz w:val="18"/>
                <w:szCs w:val="18"/>
                <w:highlight w:val="none"/>
              </w:rPr>
            </w:pPr>
            <w:r>
              <w:rPr>
                <w:b/>
                <w:bCs/>
                <w:color w:val="auto"/>
                <w:spacing w:val="-4"/>
                <w:sz w:val="18"/>
                <w:szCs w:val="18"/>
                <w:highlight w:val="none"/>
              </w:rPr>
              <w:t>行业名称</w:t>
            </w:r>
          </w:p>
        </w:tc>
        <w:tc>
          <w:tcPr>
            <w:tcW w:w="1371" w:type="dxa"/>
            <w:shd w:val="clear" w:color="auto" w:fill="8DB3E2"/>
            <w:vAlign w:val="top"/>
          </w:tcPr>
          <w:p w14:paraId="7924DBEB">
            <w:pPr>
              <w:pStyle w:val="229"/>
              <w:spacing w:before="219" w:line="220" w:lineRule="auto"/>
              <w:ind w:left="327"/>
              <w:rPr>
                <w:color w:val="auto"/>
                <w:sz w:val="18"/>
                <w:szCs w:val="18"/>
                <w:highlight w:val="none"/>
              </w:rPr>
            </w:pPr>
            <w:r>
              <w:rPr>
                <w:b/>
                <w:bCs/>
                <w:color w:val="auto"/>
                <w:spacing w:val="-4"/>
                <w:sz w:val="18"/>
                <w:szCs w:val="18"/>
                <w:highlight w:val="none"/>
              </w:rPr>
              <w:t>指标名称</w:t>
            </w:r>
          </w:p>
        </w:tc>
        <w:tc>
          <w:tcPr>
            <w:tcW w:w="710" w:type="dxa"/>
            <w:shd w:val="clear" w:color="auto" w:fill="8DB3E2"/>
            <w:vAlign w:val="top"/>
          </w:tcPr>
          <w:p w14:paraId="77E3E970">
            <w:pPr>
              <w:pStyle w:val="229"/>
              <w:spacing w:before="219" w:line="221" w:lineRule="auto"/>
              <w:ind w:left="178"/>
              <w:rPr>
                <w:color w:val="auto"/>
                <w:sz w:val="18"/>
                <w:szCs w:val="18"/>
                <w:highlight w:val="none"/>
              </w:rPr>
            </w:pPr>
            <w:r>
              <w:rPr>
                <w:b/>
                <w:bCs/>
                <w:color w:val="auto"/>
                <w:spacing w:val="-6"/>
                <w:sz w:val="18"/>
                <w:szCs w:val="18"/>
                <w:highlight w:val="none"/>
              </w:rPr>
              <w:t>计量</w:t>
            </w:r>
          </w:p>
        </w:tc>
        <w:tc>
          <w:tcPr>
            <w:tcW w:w="1126" w:type="dxa"/>
            <w:shd w:val="clear" w:color="auto" w:fill="8DB3E2"/>
            <w:vAlign w:val="top"/>
          </w:tcPr>
          <w:p w14:paraId="7FD06AD6">
            <w:pPr>
              <w:pStyle w:val="229"/>
              <w:spacing w:before="219" w:line="220" w:lineRule="auto"/>
              <w:ind w:left="389"/>
              <w:rPr>
                <w:color w:val="auto"/>
                <w:sz w:val="18"/>
                <w:szCs w:val="18"/>
                <w:highlight w:val="none"/>
              </w:rPr>
            </w:pPr>
            <w:r>
              <w:rPr>
                <w:b/>
                <w:bCs/>
                <w:color w:val="auto"/>
                <w:spacing w:val="-7"/>
                <w:sz w:val="18"/>
                <w:szCs w:val="18"/>
                <w:highlight w:val="none"/>
              </w:rPr>
              <w:t>大型</w:t>
            </w:r>
          </w:p>
        </w:tc>
        <w:tc>
          <w:tcPr>
            <w:tcW w:w="1704" w:type="dxa"/>
            <w:shd w:val="clear" w:color="auto" w:fill="8DB3E2"/>
            <w:vAlign w:val="top"/>
          </w:tcPr>
          <w:p w14:paraId="20DA8611">
            <w:pPr>
              <w:pStyle w:val="229"/>
              <w:spacing w:before="219" w:line="220" w:lineRule="auto"/>
              <w:ind w:left="694"/>
              <w:rPr>
                <w:color w:val="auto"/>
                <w:sz w:val="18"/>
                <w:szCs w:val="18"/>
                <w:highlight w:val="none"/>
              </w:rPr>
            </w:pPr>
            <w:r>
              <w:rPr>
                <w:b/>
                <w:bCs/>
                <w:color w:val="auto"/>
                <w:spacing w:val="-14"/>
                <w:sz w:val="18"/>
                <w:szCs w:val="18"/>
                <w:highlight w:val="none"/>
              </w:rPr>
              <w:t>中型</w:t>
            </w:r>
          </w:p>
        </w:tc>
        <w:tc>
          <w:tcPr>
            <w:tcW w:w="1428" w:type="dxa"/>
            <w:shd w:val="clear" w:color="auto" w:fill="8DB3E2"/>
            <w:vAlign w:val="top"/>
          </w:tcPr>
          <w:p w14:paraId="389CB4A7">
            <w:pPr>
              <w:pStyle w:val="229"/>
              <w:spacing w:before="220" w:line="221" w:lineRule="auto"/>
              <w:ind w:left="543"/>
              <w:rPr>
                <w:color w:val="auto"/>
                <w:sz w:val="18"/>
                <w:szCs w:val="18"/>
                <w:highlight w:val="none"/>
              </w:rPr>
            </w:pPr>
            <w:r>
              <w:rPr>
                <w:b/>
                <w:bCs/>
                <w:color w:val="auto"/>
                <w:spacing w:val="-8"/>
                <w:sz w:val="18"/>
                <w:szCs w:val="18"/>
                <w:highlight w:val="none"/>
              </w:rPr>
              <w:t>小型</w:t>
            </w:r>
          </w:p>
        </w:tc>
        <w:tc>
          <w:tcPr>
            <w:tcW w:w="998" w:type="dxa"/>
            <w:shd w:val="clear" w:color="auto" w:fill="8DB3E2"/>
            <w:vAlign w:val="top"/>
          </w:tcPr>
          <w:p w14:paraId="616040F4">
            <w:pPr>
              <w:pStyle w:val="229"/>
              <w:spacing w:before="220" w:line="219" w:lineRule="auto"/>
              <w:ind w:left="322"/>
              <w:rPr>
                <w:color w:val="auto"/>
                <w:sz w:val="18"/>
                <w:szCs w:val="18"/>
                <w:highlight w:val="none"/>
              </w:rPr>
            </w:pPr>
            <w:r>
              <w:rPr>
                <w:b/>
                <w:bCs/>
                <w:color w:val="auto"/>
                <w:spacing w:val="-6"/>
                <w:sz w:val="18"/>
                <w:szCs w:val="18"/>
                <w:highlight w:val="none"/>
              </w:rPr>
              <w:t>微型</w:t>
            </w:r>
          </w:p>
        </w:tc>
      </w:tr>
      <w:tr w14:paraId="09B15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Align w:val="top"/>
          </w:tcPr>
          <w:p w14:paraId="7C659A2F">
            <w:pPr>
              <w:pStyle w:val="229"/>
              <w:spacing w:before="215" w:line="185" w:lineRule="auto"/>
              <w:ind w:left="114"/>
              <w:rPr>
                <w:color w:val="auto"/>
                <w:sz w:val="18"/>
                <w:szCs w:val="18"/>
                <w:highlight w:val="none"/>
              </w:rPr>
            </w:pPr>
            <w:r>
              <w:rPr>
                <w:color w:val="auto"/>
                <w:spacing w:val="-1"/>
                <w:sz w:val="18"/>
                <w:szCs w:val="18"/>
                <w:highlight w:val="none"/>
              </w:rPr>
              <w:t>农、林、牧、渔业</w:t>
            </w:r>
          </w:p>
        </w:tc>
        <w:tc>
          <w:tcPr>
            <w:tcW w:w="1371" w:type="dxa"/>
            <w:vAlign w:val="top"/>
          </w:tcPr>
          <w:p w14:paraId="29518E82">
            <w:pPr>
              <w:pStyle w:val="229"/>
              <w:spacing w:before="215" w:line="185"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7CD66FA7">
            <w:pPr>
              <w:pStyle w:val="229"/>
              <w:spacing w:before="215" w:line="185" w:lineRule="auto"/>
              <w:ind w:left="182"/>
              <w:rPr>
                <w:color w:val="auto"/>
                <w:sz w:val="18"/>
                <w:szCs w:val="18"/>
                <w:highlight w:val="none"/>
              </w:rPr>
            </w:pPr>
            <w:r>
              <w:rPr>
                <w:color w:val="auto"/>
                <w:spacing w:val="-6"/>
                <w:sz w:val="18"/>
                <w:szCs w:val="18"/>
                <w:highlight w:val="none"/>
              </w:rPr>
              <w:t>万元</w:t>
            </w:r>
          </w:p>
        </w:tc>
        <w:tc>
          <w:tcPr>
            <w:tcW w:w="1126" w:type="dxa"/>
            <w:vAlign w:val="top"/>
          </w:tcPr>
          <w:p w14:paraId="61F31F1C">
            <w:pPr>
              <w:pStyle w:val="229"/>
              <w:spacing w:before="215" w:line="185" w:lineRule="auto"/>
              <w:ind w:left="204"/>
              <w:rPr>
                <w:color w:val="auto"/>
                <w:sz w:val="18"/>
                <w:szCs w:val="18"/>
                <w:highlight w:val="none"/>
              </w:rPr>
            </w:pPr>
            <w:r>
              <w:rPr>
                <w:color w:val="auto"/>
                <w:spacing w:val="-1"/>
                <w:sz w:val="18"/>
                <w:szCs w:val="18"/>
                <w:highlight w:val="none"/>
              </w:rPr>
              <w:t>Y≥20000</w:t>
            </w:r>
          </w:p>
        </w:tc>
        <w:tc>
          <w:tcPr>
            <w:tcW w:w="1704" w:type="dxa"/>
            <w:vAlign w:val="top"/>
          </w:tcPr>
          <w:p w14:paraId="498F3463">
            <w:pPr>
              <w:pStyle w:val="229"/>
              <w:spacing w:before="215" w:line="185" w:lineRule="auto"/>
              <w:ind w:left="275"/>
              <w:rPr>
                <w:color w:val="auto"/>
                <w:sz w:val="18"/>
                <w:szCs w:val="18"/>
                <w:highlight w:val="none"/>
              </w:rPr>
            </w:pPr>
            <w:r>
              <w:rPr>
                <w:color w:val="auto"/>
                <w:spacing w:val="-1"/>
                <w:sz w:val="18"/>
                <w:szCs w:val="18"/>
                <w:highlight w:val="none"/>
              </w:rPr>
              <w:t>500≤Y＜20000</w:t>
            </w:r>
          </w:p>
        </w:tc>
        <w:tc>
          <w:tcPr>
            <w:tcW w:w="1428" w:type="dxa"/>
            <w:vAlign w:val="top"/>
          </w:tcPr>
          <w:p w14:paraId="71600255">
            <w:pPr>
              <w:pStyle w:val="229"/>
              <w:spacing w:before="215" w:line="185" w:lineRule="auto"/>
              <w:ind w:left="273"/>
              <w:rPr>
                <w:color w:val="auto"/>
                <w:sz w:val="18"/>
                <w:szCs w:val="18"/>
                <w:highlight w:val="none"/>
              </w:rPr>
            </w:pPr>
            <w:r>
              <w:rPr>
                <w:color w:val="auto"/>
                <w:spacing w:val="-2"/>
                <w:sz w:val="18"/>
                <w:szCs w:val="18"/>
                <w:highlight w:val="none"/>
              </w:rPr>
              <w:t>50≤Y＜500</w:t>
            </w:r>
          </w:p>
        </w:tc>
        <w:tc>
          <w:tcPr>
            <w:tcW w:w="998" w:type="dxa"/>
            <w:vAlign w:val="top"/>
          </w:tcPr>
          <w:p w14:paraId="1A78820E">
            <w:pPr>
              <w:pStyle w:val="229"/>
              <w:spacing w:before="215" w:line="185" w:lineRule="auto"/>
              <w:ind w:left="276"/>
              <w:rPr>
                <w:color w:val="auto"/>
                <w:sz w:val="18"/>
                <w:szCs w:val="18"/>
                <w:highlight w:val="none"/>
              </w:rPr>
            </w:pPr>
            <w:r>
              <w:rPr>
                <w:color w:val="auto"/>
                <w:spacing w:val="-2"/>
                <w:sz w:val="18"/>
                <w:szCs w:val="18"/>
                <w:highlight w:val="none"/>
              </w:rPr>
              <w:t>Y＜50</w:t>
            </w:r>
          </w:p>
        </w:tc>
      </w:tr>
      <w:tr w14:paraId="7FA15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41ED9D88">
            <w:pPr>
              <w:spacing w:line="329" w:lineRule="auto"/>
              <w:rPr>
                <w:rFonts w:ascii="Arial"/>
                <w:color w:val="auto"/>
                <w:sz w:val="21"/>
                <w:highlight w:val="none"/>
              </w:rPr>
            </w:pPr>
          </w:p>
          <w:p w14:paraId="44D24318">
            <w:pPr>
              <w:pStyle w:val="229"/>
              <w:spacing w:before="58" w:line="232" w:lineRule="auto"/>
              <w:ind w:left="116"/>
              <w:rPr>
                <w:color w:val="auto"/>
                <w:sz w:val="18"/>
                <w:szCs w:val="18"/>
                <w:highlight w:val="none"/>
              </w:rPr>
            </w:pPr>
            <w:r>
              <w:rPr>
                <w:color w:val="auto"/>
                <w:spacing w:val="-4"/>
                <w:sz w:val="18"/>
                <w:szCs w:val="18"/>
                <w:highlight w:val="none"/>
              </w:rPr>
              <w:t>工业</w:t>
            </w:r>
            <w:r>
              <w:rPr>
                <w:color w:val="auto"/>
                <w:spacing w:val="6"/>
                <w:sz w:val="18"/>
                <w:szCs w:val="18"/>
                <w:highlight w:val="none"/>
              </w:rPr>
              <w:t xml:space="preserve"> </w:t>
            </w:r>
            <w:r>
              <w:rPr>
                <w:color w:val="auto"/>
                <w:spacing w:val="-4"/>
                <w:sz w:val="18"/>
                <w:szCs w:val="18"/>
                <w:highlight w:val="none"/>
              </w:rPr>
              <w:t>*</w:t>
            </w:r>
          </w:p>
        </w:tc>
        <w:tc>
          <w:tcPr>
            <w:tcW w:w="1371" w:type="dxa"/>
            <w:vAlign w:val="top"/>
          </w:tcPr>
          <w:p w14:paraId="58F96EFE">
            <w:pPr>
              <w:pStyle w:val="229"/>
              <w:spacing w:before="215" w:line="185"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7DCDB3A5">
            <w:pPr>
              <w:pStyle w:val="229"/>
              <w:spacing w:before="215" w:line="185" w:lineRule="auto"/>
              <w:ind w:left="271"/>
              <w:rPr>
                <w:color w:val="auto"/>
                <w:sz w:val="18"/>
                <w:szCs w:val="18"/>
                <w:highlight w:val="none"/>
              </w:rPr>
            </w:pPr>
            <w:r>
              <w:rPr>
                <w:color w:val="auto"/>
                <w:sz w:val="18"/>
                <w:szCs w:val="18"/>
                <w:highlight w:val="none"/>
              </w:rPr>
              <w:t>人</w:t>
            </w:r>
          </w:p>
        </w:tc>
        <w:tc>
          <w:tcPr>
            <w:tcW w:w="1126" w:type="dxa"/>
            <w:vAlign w:val="top"/>
          </w:tcPr>
          <w:p w14:paraId="2F141564">
            <w:pPr>
              <w:pStyle w:val="229"/>
              <w:spacing w:before="215" w:line="185" w:lineRule="auto"/>
              <w:ind w:left="248"/>
              <w:rPr>
                <w:color w:val="auto"/>
                <w:sz w:val="18"/>
                <w:szCs w:val="18"/>
                <w:highlight w:val="none"/>
              </w:rPr>
            </w:pPr>
            <w:r>
              <w:rPr>
                <w:color w:val="auto"/>
                <w:spacing w:val="-1"/>
                <w:sz w:val="18"/>
                <w:szCs w:val="18"/>
                <w:highlight w:val="none"/>
              </w:rPr>
              <w:t>X≥1000</w:t>
            </w:r>
          </w:p>
        </w:tc>
        <w:tc>
          <w:tcPr>
            <w:tcW w:w="1704" w:type="dxa"/>
            <w:vAlign w:val="top"/>
          </w:tcPr>
          <w:p w14:paraId="22A6E531">
            <w:pPr>
              <w:pStyle w:val="229"/>
              <w:spacing w:before="215" w:line="185" w:lineRule="auto"/>
              <w:ind w:left="321"/>
              <w:rPr>
                <w:color w:val="auto"/>
                <w:sz w:val="18"/>
                <w:szCs w:val="18"/>
                <w:highlight w:val="none"/>
              </w:rPr>
            </w:pPr>
            <w:r>
              <w:rPr>
                <w:color w:val="auto"/>
                <w:spacing w:val="-1"/>
                <w:sz w:val="18"/>
                <w:szCs w:val="18"/>
                <w:highlight w:val="none"/>
              </w:rPr>
              <w:t>300≤X＜1000</w:t>
            </w:r>
          </w:p>
        </w:tc>
        <w:tc>
          <w:tcPr>
            <w:tcW w:w="1428" w:type="dxa"/>
            <w:vAlign w:val="top"/>
          </w:tcPr>
          <w:p w14:paraId="32DD5E83">
            <w:pPr>
              <w:pStyle w:val="229"/>
              <w:spacing w:before="215" w:line="185" w:lineRule="auto"/>
              <w:ind w:left="271"/>
              <w:rPr>
                <w:color w:val="auto"/>
                <w:sz w:val="18"/>
                <w:szCs w:val="18"/>
                <w:highlight w:val="none"/>
              </w:rPr>
            </w:pPr>
            <w:r>
              <w:rPr>
                <w:color w:val="auto"/>
                <w:spacing w:val="-2"/>
                <w:sz w:val="18"/>
                <w:szCs w:val="18"/>
                <w:highlight w:val="none"/>
              </w:rPr>
              <w:t>20≤X＜300</w:t>
            </w:r>
          </w:p>
        </w:tc>
        <w:tc>
          <w:tcPr>
            <w:tcW w:w="998" w:type="dxa"/>
            <w:vAlign w:val="top"/>
          </w:tcPr>
          <w:p w14:paraId="035FFD1D">
            <w:pPr>
              <w:pStyle w:val="229"/>
              <w:spacing w:before="215" w:line="185" w:lineRule="auto"/>
              <w:ind w:left="277"/>
              <w:rPr>
                <w:color w:val="auto"/>
                <w:sz w:val="18"/>
                <w:szCs w:val="18"/>
                <w:highlight w:val="none"/>
              </w:rPr>
            </w:pPr>
            <w:r>
              <w:rPr>
                <w:color w:val="auto"/>
                <w:spacing w:val="-2"/>
                <w:sz w:val="18"/>
                <w:szCs w:val="18"/>
                <w:highlight w:val="none"/>
              </w:rPr>
              <w:t>X＜20</w:t>
            </w:r>
          </w:p>
        </w:tc>
      </w:tr>
      <w:tr w14:paraId="2E5A3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7FECB23E">
            <w:pPr>
              <w:rPr>
                <w:rFonts w:ascii="Arial"/>
                <w:color w:val="auto"/>
                <w:sz w:val="21"/>
                <w:highlight w:val="none"/>
              </w:rPr>
            </w:pPr>
          </w:p>
        </w:tc>
        <w:tc>
          <w:tcPr>
            <w:tcW w:w="1371" w:type="dxa"/>
            <w:vAlign w:val="top"/>
          </w:tcPr>
          <w:p w14:paraId="742F6DA0">
            <w:pPr>
              <w:pStyle w:val="229"/>
              <w:spacing w:before="214" w:line="186"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63A846BD">
            <w:pPr>
              <w:pStyle w:val="229"/>
              <w:spacing w:before="214" w:line="186" w:lineRule="auto"/>
              <w:ind w:left="182"/>
              <w:rPr>
                <w:color w:val="auto"/>
                <w:sz w:val="18"/>
                <w:szCs w:val="18"/>
                <w:highlight w:val="none"/>
              </w:rPr>
            </w:pPr>
            <w:r>
              <w:rPr>
                <w:color w:val="auto"/>
                <w:spacing w:val="-6"/>
                <w:sz w:val="18"/>
                <w:szCs w:val="18"/>
                <w:highlight w:val="none"/>
              </w:rPr>
              <w:t>万元</w:t>
            </w:r>
          </w:p>
        </w:tc>
        <w:tc>
          <w:tcPr>
            <w:tcW w:w="1126" w:type="dxa"/>
            <w:vAlign w:val="top"/>
          </w:tcPr>
          <w:p w14:paraId="1DDBEBF7">
            <w:pPr>
              <w:pStyle w:val="229"/>
              <w:spacing w:before="214" w:line="186" w:lineRule="auto"/>
              <w:ind w:left="204"/>
              <w:rPr>
                <w:color w:val="auto"/>
                <w:sz w:val="18"/>
                <w:szCs w:val="18"/>
                <w:highlight w:val="none"/>
              </w:rPr>
            </w:pPr>
            <w:r>
              <w:rPr>
                <w:color w:val="auto"/>
                <w:spacing w:val="-1"/>
                <w:sz w:val="18"/>
                <w:szCs w:val="18"/>
                <w:highlight w:val="none"/>
              </w:rPr>
              <w:t>Y≥40000</w:t>
            </w:r>
          </w:p>
        </w:tc>
        <w:tc>
          <w:tcPr>
            <w:tcW w:w="1704" w:type="dxa"/>
            <w:vAlign w:val="top"/>
          </w:tcPr>
          <w:p w14:paraId="131ABFA6">
            <w:pPr>
              <w:pStyle w:val="229"/>
              <w:spacing w:before="214" w:line="186" w:lineRule="auto"/>
              <w:ind w:left="228"/>
              <w:rPr>
                <w:color w:val="auto"/>
                <w:sz w:val="18"/>
                <w:szCs w:val="18"/>
                <w:highlight w:val="none"/>
              </w:rPr>
            </w:pPr>
            <w:r>
              <w:rPr>
                <w:color w:val="auto"/>
                <w:spacing w:val="-1"/>
                <w:sz w:val="18"/>
                <w:szCs w:val="18"/>
                <w:highlight w:val="none"/>
              </w:rPr>
              <w:t>2000≤Y＜40000</w:t>
            </w:r>
          </w:p>
        </w:tc>
        <w:tc>
          <w:tcPr>
            <w:tcW w:w="1428" w:type="dxa"/>
            <w:vAlign w:val="top"/>
          </w:tcPr>
          <w:p w14:paraId="478AB9FA">
            <w:pPr>
              <w:pStyle w:val="229"/>
              <w:spacing w:before="214" w:line="186" w:lineRule="auto"/>
              <w:ind w:left="182"/>
              <w:rPr>
                <w:color w:val="auto"/>
                <w:sz w:val="18"/>
                <w:szCs w:val="18"/>
                <w:highlight w:val="none"/>
              </w:rPr>
            </w:pPr>
            <w:r>
              <w:rPr>
                <w:color w:val="auto"/>
                <w:spacing w:val="-1"/>
                <w:sz w:val="18"/>
                <w:szCs w:val="18"/>
                <w:highlight w:val="none"/>
              </w:rPr>
              <w:t>300≤Y＜2000</w:t>
            </w:r>
          </w:p>
        </w:tc>
        <w:tc>
          <w:tcPr>
            <w:tcW w:w="998" w:type="dxa"/>
            <w:vAlign w:val="top"/>
          </w:tcPr>
          <w:p w14:paraId="3B6E0CB3">
            <w:pPr>
              <w:pStyle w:val="229"/>
              <w:spacing w:before="214" w:line="186" w:lineRule="auto"/>
              <w:ind w:left="230"/>
              <w:rPr>
                <w:color w:val="auto"/>
                <w:sz w:val="18"/>
                <w:szCs w:val="18"/>
                <w:highlight w:val="none"/>
              </w:rPr>
            </w:pPr>
            <w:r>
              <w:rPr>
                <w:color w:val="auto"/>
                <w:spacing w:val="-1"/>
                <w:sz w:val="18"/>
                <w:szCs w:val="18"/>
                <w:highlight w:val="none"/>
              </w:rPr>
              <w:t>Y＜300</w:t>
            </w:r>
          </w:p>
        </w:tc>
      </w:tr>
      <w:tr w14:paraId="12212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22359405">
            <w:pPr>
              <w:spacing w:line="331" w:lineRule="auto"/>
              <w:rPr>
                <w:rFonts w:ascii="Arial"/>
                <w:color w:val="auto"/>
                <w:sz w:val="21"/>
                <w:highlight w:val="none"/>
              </w:rPr>
            </w:pPr>
          </w:p>
          <w:p w14:paraId="7F36F669">
            <w:pPr>
              <w:pStyle w:val="229"/>
              <w:spacing w:before="58" w:line="220" w:lineRule="auto"/>
              <w:ind w:left="116"/>
              <w:rPr>
                <w:color w:val="auto"/>
                <w:sz w:val="18"/>
                <w:szCs w:val="18"/>
                <w:highlight w:val="none"/>
              </w:rPr>
            </w:pPr>
            <w:r>
              <w:rPr>
                <w:color w:val="auto"/>
                <w:spacing w:val="-4"/>
                <w:sz w:val="18"/>
                <w:szCs w:val="18"/>
                <w:highlight w:val="none"/>
              </w:rPr>
              <w:t>建筑业</w:t>
            </w:r>
          </w:p>
        </w:tc>
        <w:tc>
          <w:tcPr>
            <w:tcW w:w="1371" w:type="dxa"/>
            <w:vAlign w:val="top"/>
          </w:tcPr>
          <w:p w14:paraId="15200EF2">
            <w:pPr>
              <w:pStyle w:val="229"/>
              <w:spacing w:before="216" w:line="184"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117095A6">
            <w:pPr>
              <w:pStyle w:val="229"/>
              <w:spacing w:before="216" w:line="184" w:lineRule="auto"/>
              <w:ind w:left="182"/>
              <w:rPr>
                <w:color w:val="auto"/>
                <w:sz w:val="18"/>
                <w:szCs w:val="18"/>
                <w:highlight w:val="none"/>
              </w:rPr>
            </w:pPr>
            <w:r>
              <w:rPr>
                <w:color w:val="auto"/>
                <w:spacing w:val="-6"/>
                <w:sz w:val="18"/>
                <w:szCs w:val="18"/>
                <w:highlight w:val="none"/>
              </w:rPr>
              <w:t>万元</w:t>
            </w:r>
          </w:p>
        </w:tc>
        <w:tc>
          <w:tcPr>
            <w:tcW w:w="1126" w:type="dxa"/>
            <w:vAlign w:val="top"/>
          </w:tcPr>
          <w:p w14:paraId="265B41F9">
            <w:pPr>
              <w:pStyle w:val="229"/>
              <w:spacing w:before="216" w:line="184" w:lineRule="auto"/>
              <w:ind w:left="204"/>
              <w:rPr>
                <w:color w:val="auto"/>
                <w:sz w:val="18"/>
                <w:szCs w:val="18"/>
                <w:highlight w:val="none"/>
              </w:rPr>
            </w:pPr>
            <w:r>
              <w:rPr>
                <w:color w:val="auto"/>
                <w:spacing w:val="-1"/>
                <w:sz w:val="18"/>
                <w:szCs w:val="18"/>
                <w:highlight w:val="none"/>
              </w:rPr>
              <w:t>Y≥80000</w:t>
            </w:r>
          </w:p>
        </w:tc>
        <w:tc>
          <w:tcPr>
            <w:tcW w:w="1704" w:type="dxa"/>
            <w:vAlign w:val="top"/>
          </w:tcPr>
          <w:p w14:paraId="4E1620E4">
            <w:pPr>
              <w:pStyle w:val="229"/>
              <w:spacing w:before="216" w:line="184" w:lineRule="auto"/>
              <w:ind w:left="228"/>
              <w:rPr>
                <w:color w:val="auto"/>
                <w:sz w:val="18"/>
                <w:szCs w:val="18"/>
                <w:highlight w:val="none"/>
              </w:rPr>
            </w:pPr>
            <w:r>
              <w:rPr>
                <w:color w:val="auto"/>
                <w:spacing w:val="-1"/>
                <w:sz w:val="18"/>
                <w:szCs w:val="18"/>
                <w:highlight w:val="none"/>
              </w:rPr>
              <w:t>6000≤Y＜80000</w:t>
            </w:r>
          </w:p>
        </w:tc>
        <w:tc>
          <w:tcPr>
            <w:tcW w:w="1428" w:type="dxa"/>
            <w:vAlign w:val="top"/>
          </w:tcPr>
          <w:p w14:paraId="0572ADBB">
            <w:pPr>
              <w:pStyle w:val="229"/>
              <w:spacing w:before="216" w:line="184" w:lineRule="auto"/>
              <w:ind w:left="182"/>
              <w:rPr>
                <w:color w:val="auto"/>
                <w:sz w:val="18"/>
                <w:szCs w:val="18"/>
                <w:highlight w:val="none"/>
              </w:rPr>
            </w:pPr>
            <w:r>
              <w:rPr>
                <w:color w:val="auto"/>
                <w:spacing w:val="-1"/>
                <w:sz w:val="18"/>
                <w:szCs w:val="18"/>
                <w:highlight w:val="none"/>
              </w:rPr>
              <w:t>300≤Y＜6000</w:t>
            </w:r>
          </w:p>
        </w:tc>
        <w:tc>
          <w:tcPr>
            <w:tcW w:w="998" w:type="dxa"/>
            <w:vAlign w:val="top"/>
          </w:tcPr>
          <w:p w14:paraId="6057B9E1">
            <w:pPr>
              <w:pStyle w:val="229"/>
              <w:spacing w:before="216" w:line="184" w:lineRule="auto"/>
              <w:ind w:left="230"/>
              <w:rPr>
                <w:color w:val="auto"/>
                <w:sz w:val="18"/>
                <w:szCs w:val="18"/>
                <w:highlight w:val="none"/>
              </w:rPr>
            </w:pPr>
            <w:r>
              <w:rPr>
                <w:color w:val="auto"/>
                <w:spacing w:val="-1"/>
                <w:sz w:val="18"/>
                <w:szCs w:val="18"/>
                <w:highlight w:val="none"/>
              </w:rPr>
              <w:t>Y＜300</w:t>
            </w:r>
          </w:p>
        </w:tc>
      </w:tr>
      <w:tr w14:paraId="751BB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18A6F396">
            <w:pPr>
              <w:rPr>
                <w:rFonts w:ascii="Arial"/>
                <w:color w:val="auto"/>
                <w:sz w:val="21"/>
                <w:highlight w:val="none"/>
              </w:rPr>
            </w:pPr>
          </w:p>
        </w:tc>
        <w:tc>
          <w:tcPr>
            <w:tcW w:w="1371" w:type="dxa"/>
            <w:vAlign w:val="top"/>
          </w:tcPr>
          <w:p w14:paraId="023538CC">
            <w:pPr>
              <w:pStyle w:val="229"/>
              <w:spacing w:before="215" w:line="185" w:lineRule="auto"/>
              <w:ind w:left="201"/>
              <w:rPr>
                <w:color w:val="auto"/>
                <w:sz w:val="18"/>
                <w:szCs w:val="18"/>
                <w:highlight w:val="none"/>
              </w:rPr>
            </w:pPr>
            <w:r>
              <w:rPr>
                <w:color w:val="auto"/>
                <w:spacing w:val="-2"/>
                <w:sz w:val="18"/>
                <w:szCs w:val="18"/>
                <w:highlight w:val="none"/>
              </w:rPr>
              <w:t>资产总额(Z)</w:t>
            </w:r>
          </w:p>
        </w:tc>
        <w:tc>
          <w:tcPr>
            <w:tcW w:w="710" w:type="dxa"/>
            <w:vAlign w:val="top"/>
          </w:tcPr>
          <w:p w14:paraId="4F4F8ECA">
            <w:pPr>
              <w:pStyle w:val="229"/>
              <w:spacing w:before="215" w:line="185" w:lineRule="auto"/>
              <w:ind w:left="182"/>
              <w:rPr>
                <w:color w:val="auto"/>
                <w:sz w:val="18"/>
                <w:szCs w:val="18"/>
                <w:highlight w:val="none"/>
              </w:rPr>
            </w:pPr>
            <w:r>
              <w:rPr>
                <w:color w:val="auto"/>
                <w:spacing w:val="-6"/>
                <w:sz w:val="18"/>
                <w:szCs w:val="18"/>
                <w:highlight w:val="none"/>
              </w:rPr>
              <w:t>万元</w:t>
            </w:r>
          </w:p>
        </w:tc>
        <w:tc>
          <w:tcPr>
            <w:tcW w:w="1126" w:type="dxa"/>
            <w:vAlign w:val="top"/>
          </w:tcPr>
          <w:p w14:paraId="1F744F9F">
            <w:pPr>
              <w:pStyle w:val="229"/>
              <w:spacing w:before="215" w:line="185" w:lineRule="auto"/>
              <w:ind w:left="207"/>
              <w:rPr>
                <w:color w:val="auto"/>
                <w:sz w:val="18"/>
                <w:szCs w:val="18"/>
                <w:highlight w:val="none"/>
              </w:rPr>
            </w:pPr>
            <w:r>
              <w:rPr>
                <w:color w:val="auto"/>
                <w:spacing w:val="-1"/>
                <w:sz w:val="18"/>
                <w:szCs w:val="18"/>
                <w:highlight w:val="none"/>
              </w:rPr>
              <w:t>Z≥80000</w:t>
            </w:r>
          </w:p>
        </w:tc>
        <w:tc>
          <w:tcPr>
            <w:tcW w:w="1704" w:type="dxa"/>
            <w:vAlign w:val="top"/>
          </w:tcPr>
          <w:p w14:paraId="4948A170">
            <w:pPr>
              <w:pStyle w:val="229"/>
              <w:spacing w:before="215" w:line="185" w:lineRule="auto"/>
              <w:ind w:left="230"/>
              <w:rPr>
                <w:color w:val="auto"/>
                <w:sz w:val="18"/>
                <w:szCs w:val="18"/>
                <w:highlight w:val="none"/>
              </w:rPr>
            </w:pPr>
            <w:r>
              <w:rPr>
                <w:color w:val="auto"/>
                <w:spacing w:val="-1"/>
                <w:sz w:val="18"/>
                <w:szCs w:val="18"/>
                <w:highlight w:val="none"/>
              </w:rPr>
              <w:t>5000≤Z＜80000</w:t>
            </w:r>
          </w:p>
        </w:tc>
        <w:tc>
          <w:tcPr>
            <w:tcW w:w="1428" w:type="dxa"/>
            <w:vAlign w:val="top"/>
          </w:tcPr>
          <w:p w14:paraId="362E93BE">
            <w:pPr>
              <w:pStyle w:val="229"/>
              <w:spacing w:before="215" w:line="185" w:lineRule="auto"/>
              <w:ind w:left="182"/>
              <w:rPr>
                <w:color w:val="auto"/>
                <w:sz w:val="18"/>
                <w:szCs w:val="18"/>
                <w:highlight w:val="none"/>
              </w:rPr>
            </w:pPr>
            <w:r>
              <w:rPr>
                <w:color w:val="auto"/>
                <w:spacing w:val="-1"/>
                <w:sz w:val="18"/>
                <w:szCs w:val="18"/>
                <w:highlight w:val="none"/>
              </w:rPr>
              <w:t>300≤Z＜5000</w:t>
            </w:r>
          </w:p>
        </w:tc>
        <w:tc>
          <w:tcPr>
            <w:tcW w:w="998" w:type="dxa"/>
            <w:vAlign w:val="top"/>
          </w:tcPr>
          <w:p w14:paraId="732A79FC">
            <w:pPr>
              <w:pStyle w:val="229"/>
              <w:spacing w:before="215" w:line="185" w:lineRule="auto"/>
              <w:ind w:left="233"/>
              <w:rPr>
                <w:color w:val="auto"/>
                <w:sz w:val="18"/>
                <w:szCs w:val="18"/>
                <w:highlight w:val="none"/>
              </w:rPr>
            </w:pPr>
            <w:r>
              <w:rPr>
                <w:color w:val="auto"/>
                <w:spacing w:val="-2"/>
                <w:sz w:val="18"/>
                <w:szCs w:val="18"/>
                <w:highlight w:val="none"/>
              </w:rPr>
              <w:t>Z＜300</w:t>
            </w:r>
          </w:p>
        </w:tc>
      </w:tr>
      <w:tr w14:paraId="17417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1AC2F689">
            <w:pPr>
              <w:spacing w:line="329" w:lineRule="auto"/>
              <w:rPr>
                <w:rFonts w:ascii="Arial"/>
                <w:color w:val="auto"/>
                <w:sz w:val="21"/>
                <w:highlight w:val="none"/>
              </w:rPr>
            </w:pPr>
          </w:p>
          <w:p w14:paraId="49ED43C9">
            <w:pPr>
              <w:pStyle w:val="229"/>
              <w:spacing w:before="59" w:line="220" w:lineRule="auto"/>
              <w:ind w:left="114"/>
              <w:rPr>
                <w:color w:val="auto"/>
                <w:sz w:val="18"/>
                <w:szCs w:val="18"/>
                <w:highlight w:val="none"/>
              </w:rPr>
            </w:pPr>
            <w:r>
              <w:rPr>
                <w:color w:val="auto"/>
                <w:spacing w:val="-3"/>
                <w:sz w:val="18"/>
                <w:szCs w:val="18"/>
                <w:highlight w:val="none"/>
              </w:rPr>
              <w:t>批发业</w:t>
            </w:r>
          </w:p>
        </w:tc>
        <w:tc>
          <w:tcPr>
            <w:tcW w:w="1371" w:type="dxa"/>
            <w:vAlign w:val="top"/>
          </w:tcPr>
          <w:p w14:paraId="53D7E026">
            <w:pPr>
              <w:pStyle w:val="229"/>
              <w:spacing w:before="215" w:line="185"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0EA56D4D">
            <w:pPr>
              <w:pStyle w:val="229"/>
              <w:spacing w:before="215" w:line="185" w:lineRule="auto"/>
              <w:ind w:left="271"/>
              <w:rPr>
                <w:color w:val="auto"/>
                <w:sz w:val="18"/>
                <w:szCs w:val="18"/>
                <w:highlight w:val="none"/>
              </w:rPr>
            </w:pPr>
            <w:r>
              <w:rPr>
                <w:color w:val="auto"/>
                <w:sz w:val="18"/>
                <w:szCs w:val="18"/>
                <w:highlight w:val="none"/>
              </w:rPr>
              <w:t>人</w:t>
            </w:r>
          </w:p>
        </w:tc>
        <w:tc>
          <w:tcPr>
            <w:tcW w:w="1126" w:type="dxa"/>
            <w:vAlign w:val="top"/>
          </w:tcPr>
          <w:p w14:paraId="6ADF77BE">
            <w:pPr>
              <w:pStyle w:val="229"/>
              <w:spacing w:before="215" w:line="185" w:lineRule="auto"/>
              <w:ind w:left="294"/>
              <w:rPr>
                <w:color w:val="auto"/>
                <w:sz w:val="18"/>
                <w:szCs w:val="18"/>
                <w:highlight w:val="none"/>
              </w:rPr>
            </w:pPr>
            <w:r>
              <w:rPr>
                <w:color w:val="auto"/>
                <w:spacing w:val="-1"/>
                <w:sz w:val="18"/>
                <w:szCs w:val="18"/>
                <w:highlight w:val="none"/>
              </w:rPr>
              <w:t>X≥200</w:t>
            </w:r>
          </w:p>
        </w:tc>
        <w:tc>
          <w:tcPr>
            <w:tcW w:w="1704" w:type="dxa"/>
            <w:vAlign w:val="top"/>
          </w:tcPr>
          <w:p w14:paraId="0C670008">
            <w:pPr>
              <w:pStyle w:val="229"/>
              <w:spacing w:before="215" w:line="185" w:lineRule="auto"/>
              <w:ind w:left="408"/>
              <w:rPr>
                <w:color w:val="auto"/>
                <w:sz w:val="18"/>
                <w:szCs w:val="18"/>
                <w:highlight w:val="none"/>
              </w:rPr>
            </w:pPr>
            <w:r>
              <w:rPr>
                <w:color w:val="auto"/>
                <w:spacing w:val="-1"/>
                <w:sz w:val="18"/>
                <w:szCs w:val="18"/>
                <w:highlight w:val="none"/>
              </w:rPr>
              <w:t>20≤X＜200</w:t>
            </w:r>
          </w:p>
        </w:tc>
        <w:tc>
          <w:tcPr>
            <w:tcW w:w="1428" w:type="dxa"/>
            <w:vAlign w:val="top"/>
          </w:tcPr>
          <w:p w14:paraId="79481779">
            <w:pPr>
              <w:pStyle w:val="229"/>
              <w:spacing w:before="215" w:line="185" w:lineRule="auto"/>
              <w:ind w:left="362"/>
              <w:rPr>
                <w:color w:val="auto"/>
                <w:sz w:val="18"/>
                <w:szCs w:val="18"/>
                <w:highlight w:val="none"/>
              </w:rPr>
            </w:pPr>
            <w:r>
              <w:rPr>
                <w:color w:val="auto"/>
                <w:spacing w:val="-2"/>
                <w:sz w:val="18"/>
                <w:szCs w:val="18"/>
                <w:highlight w:val="none"/>
              </w:rPr>
              <w:t>5≤X＜20</w:t>
            </w:r>
          </w:p>
        </w:tc>
        <w:tc>
          <w:tcPr>
            <w:tcW w:w="998" w:type="dxa"/>
            <w:vAlign w:val="top"/>
          </w:tcPr>
          <w:p w14:paraId="760DE81D">
            <w:pPr>
              <w:pStyle w:val="229"/>
              <w:spacing w:before="215" w:line="185" w:lineRule="auto"/>
              <w:ind w:left="320"/>
              <w:rPr>
                <w:color w:val="auto"/>
                <w:sz w:val="18"/>
                <w:szCs w:val="18"/>
                <w:highlight w:val="none"/>
              </w:rPr>
            </w:pPr>
            <w:r>
              <w:rPr>
                <w:color w:val="auto"/>
                <w:spacing w:val="-2"/>
                <w:sz w:val="18"/>
                <w:szCs w:val="18"/>
                <w:highlight w:val="none"/>
              </w:rPr>
              <w:t>X＜5</w:t>
            </w:r>
          </w:p>
        </w:tc>
      </w:tr>
      <w:tr w14:paraId="7FC74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14BD95D9">
            <w:pPr>
              <w:rPr>
                <w:rFonts w:ascii="Arial"/>
                <w:color w:val="auto"/>
                <w:sz w:val="21"/>
                <w:highlight w:val="none"/>
              </w:rPr>
            </w:pPr>
          </w:p>
        </w:tc>
        <w:tc>
          <w:tcPr>
            <w:tcW w:w="1371" w:type="dxa"/>
            <w:vAlign w:val="top"/>
          </w:tcPr>
          <w:p w14:paraId="6F024239">
            <w:pPr>
              <w:pStyle w:val="229"/>
              <w:spacing w:before="214" w:line="186"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4FA87EE2">
            <w:pPr>
              <w:pStyle w:val="229"/>
              <w:spacing w:before="214" w:line="186" w:lineRule="auto"/>
              <w:ind w:left="182"/>
              <w:rPr>
                <w:color w:val="auto"/>
                <w:sz w:val="18"/>
                <w:szCs w:val="18"/>
                <w:highlight w:val="none"/>
              </w:rPr>
            </w:pPr>
            <w:r>
              <w:rPr>
                <w:color w:val="auto"/>
                <w:spacing w:val="-6"/>
                <w:sz w:val="18"/>
                <w:szCs w:val="18"/>
                <w:highlight w:val="none"/>
              </w:rPr>
              <w:t>万元</w:t>
            </w:r>
          </w:p>
        </w:tc>
        <w:tc>
          <w:tcPr>
            <w:tcW w:w="1126" w:type="dxa"/>
            <w:vAlign w:val="top"/>
          </w:tcPr>
          <w:p w14:paraId="4F5819C7">
            <w:pPr>
              <w:pStyle w:val="229"/>
              <w:spacing w:before="214" w:line="186" w:lineRule="auto"/>
              <w:ind w:left="204"/>
              <w:rPr>
                <w:color w:val="auto"/>
                <w:sz w:val="18"/>
                <w:szCs w:val="18"/>
                <w:highlight w:val="none"/>
              </w:rPr>
            </w:pPr>
            <w:r>
              <w:rPr>
                <w:color w:val="auto"/>
                <w:spacing w:val="-1"/>
                <w:sz w:val="18"/>
                <w:szCs w:val="18"/>
                <w:highlight w:val="none"/>
              </w:rPr>
              <w:t>Y≥40000</w:t>
            </w:r>
          </w:p>
        </w:tc>
        <w:tc>
          <w:tcPr>
            <w:tcW w:w="1704" w:type="dxa"/>
            <w:vAlign w:val="top"/>
          </w:tcPr>
          <w:p w14:paraId="563DF0F1">
            <w:pPr>
              <w:pStyle w:val="229"/>
              <w:spacing w:before="214" w:line="186" w:lineRule="auto"/>
              <w:ind w:left="230"/>
              <w:rPr>
                <w:color w:val="auto"/>
                <w:sz w:val="18"/>
                <w:szCs w:val="18"/>
                <w:highlight w:val="none"/>
              </w:rPr>
            </w:pPr>
            <w:r>
              <w:rPr>
                <w:color w:val="auto"/>
                <w:spacing w:val="-1"/>
                <w:sz w:val="18"/>
                <w:szCs w:val="18"/>
                <w:highlight w:val="none"/>
              </w:rPr>
              <w:t>5000≤Y＜40000</w:t>
            </w:r>
          </w:p>
        </w:tc>
        <w:tc>
          <w:tcPr>
            <w:tcW w:w="1428" w:type="dxa"/>
            <w:vAlign w:val="top"/>
          </w:tcPr>
          <w:p w14:paraId="7B25F04B">
            <w:pPr>
              <w:pStyle w:val="229"/>
              <w:spacing w:before="214" w:line="186" w:lineRule="auto"/>
              <w:ind w:left="146"/>
              <w:rPr>
                <w:color w:val="auto"/>
                <w:sz w:val="18"/>
                <w:szCs w:val="18"/>
                <w:highlight w:val="none"/>
              </w:rPr>
            </w:pPr>
            <w:r>
              <w:rPr>
                <w:color w:val="auto"/>
                <w:spacing w:val="-2"/>
                <w:sz w:val="18"/>
                <w:szCs w:val="18"/>
                <w:highlight w:val="none"/>
              </w:rPr>
              <w:t>1000≤Y＜5000</w:t>
            </w:r>
          </w:p>
        </w:tc>
        <w:tc>
          <w:tcPr>
            <w:tcW w:w="998" w:type="dxa"/>
            <w:vAlign w:val="top"/>
          </w:tcPr>
          <w:p w14:paraId="68F19F7B">
            <w:pPr>
              <w:pStyle w:val="229"/>
              <w:spacing w:before="214" w:line="186" w:lineRule="auto"/>
              <w:ind w:left="185"/>
              <w:rPr>
                <w:color w:val="auto"/>
                <w:sz w:val="18"/>
                <w:szCs w:val="18"/>
                <w:highlight w:val="none"/>
              </w:rPr>
            </w:pPr>
            <w:r>
              <w:rPr>
                <w:color w:val="auto"/>
                <w:spacing w:val="-1"/>
                <w:sz w:val="18"/>
                <w:szCs w:val="18"/>
                <w:highlight w:val="none"/>
              </w:rPr>
              <w:t>Y＜1000</w:t>
            </w:r>
          </w:p>
        </w:tc>
      </w:tr>
      <w:tr w14:paraId="02AB3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122" w:type="dxa"/>
            <w:vMerge w:val="restart"/>
            <w:tcBorders>
              <w:bottom w:val="nil"/>
            </w:tcBorders>
            <w:vAlign w:val="top"/>
          </w:tcPr>
          <w:p w14:paraId="14B679F8">
            <w:pPr>
              <w:spacing w:line="355" w:lineRule="auto"/>
              <w:rPr>
                <w:rFonts w:ascii="Arial"/>
                <w:color w:val="auto"/>
                <w:sz w:val="21"/>
                <w:highlight w:val="none"/>
              </w:rPr>
            </w:pPr>
          </w:p>
          <w:p w14:paraId="20EFA979">
            <w:pPr>
              <w:pStyle w:val="229"/>
              <w:spacing w:before="58" w:line="219" w:lineRule="auto"/>
              <w:ind w:left="115"/>
              <w:rPr>
                <w:color w:val="auto"/>
                <w:sz w:val="18"/>
                <w:szCs w:val="18"/>
                <w:highlight w:val="none"/>
              </w:rPr>
            </w:pPr>
            <w:r>
              <w:rPr>
                <w:color w:val="auto"/>
                <w:spacing w:val="-3"/>
                <w:sz w:val="18"/>
                <w:szCs w:val="18"/>
                <w:highlight w:val="none"/>
              </w:rPr>
              <w:t>零售业</w:t>
            </w:r>
          </w:p>
        </w:tc>
        <w:tc>
          <w:tcPr>
            <w:tcW w:w="1371" w:type="dxa"/>
            <w:vAlign w:val="top"/>
          </w:tcPr>
          <w:p w14:paraId="7F86A36C">
            <w:pPr>
              <w:pStyle w:val="229"/>
              <w:spacing w:before="216" w:line="220"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57DA5072">
            <w:pPr>
              <w:pStyle w:val="229"/>
              <w:spacing w:before="216" w:line="222" w:lineRule="auto"/>
              <w:ind w:left="271"/>
              <w:rPr>
                <w:color w:val="auto"/>
                <w:sz w:val="18"/>
                <w:szCs w:val="18"/>
                <w:highlight w:val="none"/>
              </w:rPr>
            </w:pPr>
            <w:r>
              <w:rPr>
                <w:color w:val="auto"/>
                <w:sz w:val="18"/>
                <w:szCs w:val="18"/>
                <w:highlight w:val="none"/>
              </w:rPr>
              <w:t>人</w:t>
            </w:r>
          </w:p>
        </w:tc>
        <w:tc>
          <w:tcPr>
            <w:tcW w:w="1126" w:type="dxa"/>
            <w:vAlign w:val="top"/>
          </w:tcPr>
          <w:p w14:paraId="6091CF14">
            <w:pPr>
              <w:pStyle w:val="229"/>
              <w:spacing w:before="215" w:line="236" w:lineRule="auto"/>
              <w:ind w:left="294"/>
              <w:rPr>
                <w:color w:val="auto"/>
                <w:sz w:val="18"/>
                <w:szCs w:val="18"/>
                <w:highlight w:val="none"/>
              </w:rPr>
            </w:pPr>
            <w:r>
              <w:rPr>
                <w:color w:val="auto"/>
                <w:spacing w:val="-1"/>
                <w:sz w:val="18"/>
                <w:szCs w:val="18"/>
                <w:highlight w:val="none"/>
              </w:rPr>
              <w:t>X≥300</w:t>
            </w:r>
          </w:p>
        </w:tc>
        <w:tc>
          <w:tcPr>
            <w:tcW w:w="1704" w:type="dxa"/>
            <w:vAlign w:val="top"/>
          </w:tcPr>
          <w:p w14:paraId="749C032E">
            <w:pPr>
              <w:pStyle w:val="229"/>
              <w:spacing w:before="215" w:line="236" w:lineRule="auto"/>
              <w:ind w:left="410"/>
              <w:rPr>
                <w:color w:val="auto"/>
                <w:sz w:val="18"/>
                <w:szCs w:val="18"/>
                <w:highlight w:val="none"/>
              </w:rPr>
            </w:pPr>
            <w:r>
              <w:rPr>
                <w:color w:val="auto"/>
                <w:spacing w:val="-2"/>
                <w:sz w:val="18"/>
                <w:szCs w:val="18"/>
                <w:highlight w:val="none"/>
              </w:rPr>
              <w:t>50≤X＜300</w:t>
            </w:r>
          </w:p>
        </w:tc>
        <w:tc>
          <w:tcPr>
            <w:tcW w:w="1428" w:type="dxa"/>
            <w:vAlign w:val="top"/>
          </w:tcPr>
          <w:p w14:paraId="4B76DBCE">
            <w:pPr>
              <w:pStyle w:val="229"/>
              <w:spacing w:before="215" w:line="236" w:lineRule="auto"/>
              <w:ind w:left="326"/>
              <w:rPr>
                <w:color w:val="auto"/>
                <w:sz w:val="18"/>
                <w:szCs w:val="18"/>
                <w:highlight w:val="none"/>
              </w:rPr>
            </w:pPr>
            <w:r>
              <w:rPr>
                <w:color w:val="auto"/>
                <w:spacing w:val="-3"/>
                <w:sz w:val="18"/>
                <w:szCs w:val="18"/>
                <w:highlight w:val="none"/>
              </w:rPr>
              <w:t>10≤X＜50</w:t>
            </w:r>
          </w:p>
        </w:tc>
        <w:tc>
          <w:tcPr>
            <w:tcW w:w="998" w:type="dxa"/>
            <w:vAlign w:val="top"/>
          </w:tcPr>
          <w:p w14:paraId="14334D18">
            <w:pPr>
              <w:pStyle w:val="229"/>
              <w:spacing w:before="215" w:line="236" w:lineRule="auto"/>
              <w:ind w:left="277"/>
              <w:rPr>
                <w:color w:val="auto"/>
                <w:sz w:val="18"/>
                <w:szCs w:val="18"/>
                <w:highlight w:val="none"/>
              </w:rPr>
            </w:pPr>
            <w:r>
              <w:rPr>
                <w:color w:val="auto"/>
                <w:spacing w:val="-2"/>
                <w:sz w:val="18"/>
                <w:szCs w:val="18"/>
                <w:highlight w:val="none"/>
              </w:rPr>
              <w:t>X＜10</w:t>
            </w:r>
          </w:p>
        </w:tc>
      </w:tr>
      <w:tr w14:paraId="16A81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309CE0F1">
            <w:pPr>
              <w:rPr>
                <w:rFonts w:ascii="Arial"/>
                <w:color w:val="auto"/>
                <w:sz w:val="21"/>
                <w:highlight w:val="none"/>
              </w:rPr>
            </w:pPr>
          </w:p>
        </w:tc>
        <w:tc>
          <w:tcPr>
            <w:tcW w:w="1371" w:type="dxa"/>
            <w:vAlign w:val="top"/>
          </w:tcPr>
          <w:p w14:paraId="29CBAF93">
            <w:pPr>
              <w:pStyle w:val="229"/>
              <w:spacing w:before="216" w:line="184"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71B20D02">
            <w:pPr>
              <w:pStyle w:val="229"/>
              <w:spacing w:before="216" w:line="184" w:lineRule="auto"/>
              <w:ind w:left="182"/>
              <w:rPr>
                <w:color w:val="auto"/>
                <w:sz w:val="18"/>
                <w:szCs w:val="18"/>
                <w:highlight w:val="none"/>
              </w:rPr>
            </w:pPr>
            <w:r>
              <w:rPr>
                <w:color w:val="auto"/>
                <w:spacing w:val="-6"/>
                <w:sz w:val="18"/>
                <w:szCs w:val="18"/>
                <w:highlight w:val="none"/>
              </w:rPr>
              <w:t>万元</w:t>
            </w:r>
          </w:p>
        </w:tc>
        <w:tc>
          <w:tcPr>
            <w:tcW w:w="1126" w:type="dxa"/>
            <w:vAlign w:val="top"/>
          </w:tcPr>
          <w:p w14:paraId="56351E14">
            <w:pPr>
              <w:pStyle w:val="229"/>
              <w:spacing w:before="216" w:line="184" w:lineRule="auto"/>
              <w:ind w:left="204"/>
              <w:rPr>
                <w:color w:val="auto"/>
                <w:sz w:val="18"/>
                <w:szCs w:val="18"/>
                <w:highlight w:val="none"/>
              </w:rPr>
            </w:pPr>
            <w:r>
              <w:rPr>
                <w:color w:val="auto"/>
                <w:spacing w:val="-1"/>
                <w:sz w:val="18"/>
                <w:szCs w:val="18"/>
                <w:highlight w:val="none"/>
              </w:rPr>
              <w:t>Y≥20000</w:t>
            </w:r>
          </w:p>
        </w:tc>
        <w:tc>
          <w:tcPr>
            <w:tcW w:w="1704" w:type="dxa"/>
            <w:vAlign w:val="top"/>
          </w:tcPr>
          <w:p w14:paraId="2D81BE12">
            <w:pPr>
              <w:pStyle w:val="229"/>
              <w:spacing w:before="216" w:line="184" w:lineRule="auto"/>
              <w:ind w:left="275"/>
              <w:rPr>
                <w:color w:val="auto"/>
                <w:sz w:val="18"/>
                <w:szCs w:val="18"/>
                <w:highlight w:val="none"/>
              </w:rPr>
            </w:pPr>
            <w:r>
              <w:rPr>
                <w:color w:val="auto"/>
                <w:spacing w:val="-1"/>
                <w:sz w:val="18"/>
                <w:szCs w:val="18"/>
                <w:highlight w:val="none"/>
              </w:rPr>
              <w:t>500≤Y＜20000</w:t>
            </w:r>
          </w:p>
        </w:tc>
        <w:tc>
          <w:tcPr>
            <w:tcW w:w="1428" w:type="dxa"/>
            <w:vAlign w:val="top"/>
          </w:tcPr>
          <w:p w14:paraId="7A0FF8F6">
            <w:pPr>
              <w:pStyle w:val="229"/>
              <w:spacing w:before="216" w:line="184" w:lineRule="auto"/>
              <w:ind w:left="237"/>
              <w:rPr>
                <w:color w:val="auto"/>
                <w:sz w:val="18"/>
                <w:szCs w:val="18"/>
                <w:highlight w:val="none"/>
              </w:rPr>
            </w:pPr>
            <w:r>
              <w:rPr>
                <w:color w:val="auto"/>
                <w:spacing w:val="-3"/>
                <w:sz w:val="18"/>
                <w:szCs w:val="18"/>
                <w:highlight w:val="none"/>
              </w:rPr>
              <w:t>100≤Y＜500</w:t>
            </w:r>
          </w:p>
        </w:tc>
        <w:tc>
          <w:tcPr>
            <w:tcW w:w="998" w:type="dxa"/>
            <w:vAlign w:val="top"/>
          </w:tcPr>
          <w:p w14:paraId="621E0AC9">
            <w:pPr>
              <w:pStyle w:val="229"/>
              <w:spacing w:before="216" w:line="184" w:lineRule="auto"/>
              <w:ind w:left="230"/>
              <w:rPr>
                <w:color w:val="auto"/>
                <w:sz w:val="18"/>
                <w:szCs w:val="18"/>
                <w:highlight w:val="none"/>
              </w:rPr>
            </w:pPr>
            <w:r>
              <w:rPr>
                <w:color w:val="auto"/>
                <w:spacing w:val="-1"/>
                <w:sz w:val="18"/>
                <w:szCs w:val="18"/>
                <w:highlight w:val="none"/>
              </w:rPr>
              <w:t>Y＜100</w:t>
            </w:r>
          </w:p>
        </w:tc>
      </w:tr>
      <w:tr w14:paraId="0C039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499ED201">
            <w:pPr>
              <w:spacing w:line="332" w:lineRule="auto"/>
              <w:rPr>
                <w:rFonts w:ascii="Arial"/>
                <w:color w:val="auto"/>
                <w:sz w:val="21"/>
                <w:highlight w:val="none"/>
              </w:rPr>
            </w:pPr>
          </w:p>
          <w:p w14:paraId="65DD2B79">
            <w:pPr>
              <w:pStyle w:val="229"/>
              <w:spacing w:before="59" w:line="219" w:lineRule="auto"/>
              <w:ind w:left="118"/>
              <w:rPr>
                <w:color w:val="auto"/>
                <w:sz w:val="18"/>
                <w:szCs w:val="18"/>
                <w:highlight w:val="none"/>
              </w:rPr>
            </w:pPr>
            <w:r>
              <w:rPr>
                <w:color w:val="auto"/>
                <w:spacing w:val="-1"/>
                <w:sz w:val="18"/>
                <w:szCs w:val="18"/>
                <w:highlight w:val="none"/>
              </w:rPr>
              <w:t>交通运输业 *</w:t>
            </w:r>
          </w:p>
        </w:tc>
        <w:tc>
          <w:tcPr>
            <w:tcW w:w="1371" w:type="dxa"/>
            <w:vAlign w:val="top"/>
          </w:tcPr>
          <w:p w14:paraId="35AA6ACE">
            <w:pPr>
              <w:pStyle w:val="229"/>
              <w:spacing w:before="215" w:line="185"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71DA308F">
            <w:pPr>
              <w:pStyle w:val="229"/>
              <w:spacing w:before="215" w:line="185" w:lineRule="auto"/>
              <w:ind w:left="271"/>
              <w:rPr>
                <w:color w:val="auto"/>
                <w:sz w:val="18"/>
                <w:szCs w:val="18"/>
                <w:highlight w:val="none"/>
              </w:rPr>
            </w:pPr>
            <w:r>
              <w:rPr>
                <w:color w:val="auto"/>
                <w:sz w:val="18"/>
                <w:szCs w:val="18"/>
                <w:highlight w:val="none"/>
              </w:rPr>
              <w:t>人</w:t>
            </w:r>
          </w:p>
        </w:tc>
        <w:tc>
          <w:tcPr>
            <w:tcW w:w="1126" w:type="dxa"/>
            <w:vAlign w:val="top"/>
          </w:tcPr>
          <w:p w14:paraId="26B881A6">
            <w:pPr>
              <w:pStyle w:val="229"/>
              <w:spacing w:before="215" w:line="185" w:lineRule="auto"/>
              <w:ind w:left="248"/>
              <w:rPr>
                <w:color w:val="auto"/>
                <w:sz w:val="18"/>
                <w:szCs w:val="18"/>
                <w:highlight w:val="none"/>
              </w:rPr>
            </w:pPr>
            <w:r>
              <w:rPr>
                <w:color w:val="auto"/>
                <w:spacing w:val="-1"/>
                <w:sz w:val="18"/>
                <w:szCs w:val="18"/>
                <w:highlight w:val="none"/>
              </w:rPr>
              <w:t>X≥1000</w:t>
            </w:r>
          </w:p>
        </w:tc>
        <w:tc>
          <w:tcPr>
            <w:tcW w:w="1704" w:type="dxa"/>
            <w:vAlign w:val="top"/>
          </w:tcPr>
          <w:p w14:paraId="4A405506">
            <w:pPr>
              <w:pStyle w:val="229"/>
              <w:spacing w:before="215" w:line="185" w:lineRule="auto"/>
              <w:ind w:left="321"/>
              <w:rPr>
                <w:color w:val="auto"/>
                <w:sz w:val="18"/>
                <w:szCs w:val="18"/>
                <w:highlight w:val="none"/>
              </w:rPr>
            </w:pPr>
            <w:r>
              <w:rPr>
                <w:color w:val="auto"/>
                <w:spacing w:val="-1"/>
                <w:sz w:val="18"/>
                <w:szCs w:val="18"/>
                <w:highlight w:val="none"/>
              </w:rPr>
              <w:t>300≤X＜1000</w:t>
            </w:r>
          </w:p>
        </w:tc>
        <w:tc>
          <w:tcPr>
            <w:tcW w:w="1428" w:type="dxa"/>
            <w:vAlign w:val="top"/>
          </w:tcPr>
          <w:p w14:paraId="0D80F4EB">
            <w:pPr>
              <w:pStyle w:val="229"/>
              <w:spacing w:before="215" w:line="185" w:lineRule="auto"/>
              <w:ind w:left="271"/>
              <w:rPr>
                <w:color w:val="auto"/>
                <w:sz w:val="18"/>
                <w:szCs w:val="18"/>
                <w:highlight w:val="none"/>
              </w:rPr>
            </w:pPr>
            <w:r>
              <w:rPr>
                <w:color w:val="auto"/>
                <w:spacing w:val="-2"/>
                <w:sz w:val="18"/>
                <w:szCs w:val="18"/>
                <w:highlight w:val="none"/>
              </w:rPr>
              <w:t>20≤X＜300</w:t>
            </w:r>
          </w:p>
        </w:tc>
        <w:tc>
          <w:tcPr>
            <w:tcW w:w="998" w:type="dxa"/>
            <w:vAlign w:val="top"/>
          </w:tcPr>
          <w:p w14:paraId="740D6E9D">
            <w:pPr>
              <w:pStyle w:val="229"/>
              <w:spacing w:before="215" w:line="185" w:lineRule="auto"/>
              <w:ind w:left="277"/>
              <w:rPr>
                <w:color w:val="auto"/>
                <w:sz w:val="18"/>
                <w:szCs w:val="18"/>
                <w:highlight w:val="none"/>
              </w:rPr>
            </w:pPr>
            <w:r>
              <w:rPr>
                <w:color w:val="auto"/>
                <w:spacing w:val="-2"/>
                <w:sz w:val="18"/>
                <w:szCs w:val="18"/>
                <w:highlight w:val="none"/>
              </w:rPr>
              <w:t>X＜20</w:t>
            </w:r>
          </w:p>
        </w:tc>
      </w:tr>
      <w:tr w14:paraId="2B25A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1749343C">
            <w:pPr>
              <w:rPr>
                <w:rFonts w:ascii="Arial"/>
                <w:color w:val="auto"/>
                <w:sz w:val="21"/>
                <w:highlight w:val="none"/>
              </w:rPr>
            </w:pPr>
          </w:p>
        </w:tc>
        <w:tc>
          <w:tcPr>
            <w:tcW w:w="1371" w:type="dxa"/>
            <w:vAlign w:val="top"/>
          </w:tcPr>
          <w:p w14:paraId="35206673">
            <w:pPr>
              <w:pStyle w:val="229"/>
              <w:spacing w:before="217" w:line="183"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330453D9">
            <w:pPr>
              <w:pStyle w:val="229"/>
              <w:spacing w:before="217" w:line="183" w:lineRule="auto"/>
              <w:ind w:left="182"/>
              <w:rPr>
                <w:color w:val="auto"/>
                <w:sz w:val="18"/>
                <w:szCs w:val="18"/>
                <w:highlight w:val="none"/>
              </w:rPr>
            </w:pPr>
            <w:r>
              <w:rPr>
                <w:color w:val="auto"/>
                <w:spacing w:val="-6"/>
                <w:sz w:val="18"/>
                <w:szCs w:val="18"/>
                <w:highlight w:val="none"/>
              </w:rPr>
              <w:t>万元</w:t>
            </w:r>
          </w:p>
        </w:tc>
        <w:tc>
          <w:tcPr>
            <w:tcW w:w="1126" w:type="dxa"/>
            <w:vAlign w:val="top"/>
          </w:tcPr>
          <w:p w14:paraId="12415632">
            <w:pPr>
              <w:pStyle w:val="229"/>
              <w:spacing w:before="217" w:line="183" w:lineRule="auto"/>
              <w:ind w:left="204"/>
              <w:rPr>
                <w:color w:val="auto"/>
                <w:sz w:val="18"/>
                <w:szCs w:val="18"/>
                <w:highlight w:val="none"/>
              </w:rPr>
            </w:pPr>
            <w:r>
              <w:rPr>
                <w:color w:val="auto"/>
                <w:spacing w:val="-1"/>
                <w:sz w:val="18"/>
                <w:szCs w:val="18"/>
                <w:highlight w:val="none"/>
              </w:rPr>
              <w:t>Y≥30000</w:t>
            </w:r>
          </w:p>
        </w:tc>
        <w:tc>
          <w:tcPr>
            <w:tcW w:w="1704" w:type="dxa"/>
            <w:vAlign w:val="top"/>
          </w:tcPr>
          <w:p w14:paraId="2D682A4C">
            <w:pPr>
              <w:pStyle w:val="229"/>
              <w:spacing w:before="217" w:line="183" w:lineRule="auto"/>
              <w:ind w:left="230"/>
              <w:rPr>
                <w:color w:val="auto"/>
                <w:sz w:val="18"/>
                <w:szCs w:val="18"/>
                <w:highlight w:val="none"/>
              </w:rPr>
            </w:pPr>
            <w:r>
              <w:rPr>
                <w:color w:val="auto"/>
                <w:spacing w:val="-1"/>
                <w:sz w:val="18"/>
                <w:szCs w:val="18"/>
                <w:highlight w:val="none"/>
              </w:rPr>
              <w:t>3000≤Y＜30000</w:t>
            </w:r>
          </w:p>
        </w:tc>
        <w:tc>
          <w:tcPr>
            <w:tcW w:w="1428" w:type="dxa"/>
            <w:vAlign w:val="top"/>
          </w:tcPr>
          <w:p w14:paraId="603E3FB1">
            <w:pPr>
              <w:pStyle w:val="229"/>
              <w:spacing w:before="217" w:line="183" w:lineRule="auto"/>
              <w:ind w:left="180"/>
              <w:rPr>
                <w:color w:val="auto"/>
                <w:sz w:val="18"/>
                <w:szCs w:val="18"/>
                <w:highlight w:val="none"/>
              </w:rPr>
            </w:pPr>
            <w:r>
              <w:rPr>
                <w:color w:val="auto"/>
                <w:spacing w:val="-1"/>
                <w:sz w:val="18"/>
                <w:szCs w:val="18"/>
                <w:highlight w:val="none"/>
              </w:rPr>
              <w:t>200≤Y＜3000</w:t>
            </w:r>
          </w:p>
        </w:tc>
        <w:tc>
          <w:tcPr>
            <w:tcW w:w="998" w:type="dxa"/>
            <w:vAlign w:val="top"/>
          </w:tcPr>
          <w:p w14:paraId="65D0572A">
            <w:pPr>
              <w:pStyle w:val="229"/>
              <w:spacing w:before="217" w:line="183" w:lineRule="auto"/>
              <w:ind w:left="230"/>
              <w:rPr>
                <w:color w:val="auto"/>
                <w:sz w:val="18"/>
                <w:szCs w:val="18"/>
                <w:highlight w:val="none"/>
              </w:rPr>
            </w:pPr>
            <w:r>
              <w:rPr>
                <w:color w:val="auto"/>
                <w:spacing w:val="-1"/>
                <w:sz w:val="18"/>
                <w:szCs w:val="18"/>
                <w:highlight w:val="none"/>
              </w:rPr>
              <w:t>Y＜200</w:t>
            </w:r>
          </w:p>
        </w:tc>
      </w:tr>
      <w:tr w14:paraId="73A1B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2AA131C4">
            <w:pPr>
              <w:spacing w:line="331" w:lineRule="auto"/>
              <w:rPr>
                <w:rFonts w:ascii="Arial"/>
                <w:color w:val="auto"/>
                <w:sz w:val="21"/>
                <w:highlight w:val="none"/>
              </w:rPr>
            </w:pPr>
          </w:p>
          <w:p w14:paraId="27A73DB0">
            <w:pPr>
              <w:pStyle w:val="229"/>
              <w:spacing w:before="58" w:line="220" w:lineRule="auto"/>
              <w:ind w:left="114"/>
              <w:rPr>
                <w:color w:val="auto"/>
                <w:sz w:val="18"/>
                <w:szCs w:val="18"/>
                <w:highlight w:val="none"/>
              </w:rPr>
            </w:pPr>
            <w:r>
              <w:rPr>
                <w:color w:val="auto"/>
                <w:spacing w:val="-2"/>
                <w:sz w:val="18"/>
                <w:szCs w:val="18"/>
                <w:highlight w:val="none"/>
              </w:rPr>
              <w:t>仓储业*</w:t>
            </w:r>
          </w:p>
        </w:tc>
        <w:tc>
          <w:tcPr>
            <w:tcW w:w="1371" w:type="dxa"/>
            <w:vAlign w:val="top"/>
          </w:tcPr>
          <w:p w14:paraId="64B4B53A">
            <w:pPr>
              <w:pStyle w:val="229"/>
              <w:spacing w:before="216" w:line="184"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3C18646F">
            <w:pPr>
              <w:pStyle w:val="229"/>
              <w:spacing w:before="216" w:line="184" w:lineRule="auto"/>
              <w:ind w:left="271"/>
              <w:rPr>
                <w:color w:val="auto"/>
                <w:sz w:val="18"/>
                <w:szCs w:val="18"/>
                <w:highlight w:val="none"/>
              </w:rPr>
            </w:pPr>
            <w:r>
              <w:rPr>
                <w:color w:val="auto"/>
                <w:sz w:val="18"/>
                <w:szCs w:val="18"/>
                <w:highlight w:val="none"/>
              </w:rPr>
              <w:t>人</w:t>
            </w:r>
          </w:p>
        </w:tc>
        <w:tc>
          <w:tcPr>
            <w:tcW w:w="1126" w:type="dxa"/>
            <w:vAlign w:val="top"/>
          </w:tcPr>
          <w:p w14:paraId="260345CE">
            <w:pPr>
              <w:pStyle w:val="229"/>
              <w:spacing w:before="216" w:line="184" w:lineRule="auto"/>
              <w:ind w:left="294"/>
              <w:rPr>
                <w:color w:val="auto"/>
                <w:sz w:val="18"/>
                <w:szCs w:val="18"/>
                <w:highlight w:val="none"/>
              </w:rPr>
            </w:pPr>
            <w:r>
              <w:rPr>
                <w:color w:val="auto"/>
                <w:spacing w:val="-1"/>
                <w:sz w:val="18"/>
                <w:szCs w:val="18"/>
                <w:highlight w:val="none"/>
              </w:rPr>
              <w:t>X≥200</w:t>
            </w:r>
          </w:p>
        </w:tc>
        <w:tc>
          <w:tcPr>
            <w:tcW w:w="1704" w:type="dxa"/>
            <w:vAlign w:val="top"/>
          </w:tcPr>
          <w:p w14:paraId="48DFBEDA">
            <w:pPr>
              <w:pStyle w:val="229"/>
              <w:spacing w:before="216" w:line="184" w:lineRule="auto"/>
              <w:ind w:left="321"/>
              <w:rPr>
                <w:color w:val="auto"/>
                <w:sz w:val="18"/>
                <w:szCs w:val="18"/>
                <w:highlight w:val="none"/>
              </w:rPr>
            </w:pPr>
            <w:r>
              <w:rPr>
                <w:color w:val="auto"/>
                <w:spacing w:val="-3"/>
                <w:sz w:val="18"/>
                <w:szCs w:val="18"/>
                <w:highlight w:val="none"/>
              </w:rPr>
              <w:t>100≤X＜200</w:t>
            </w:r>
          </w:p>
        </w:tc>
        <w:tc>
          <w:tcPr>
            <w:tcW w:w="1428" w:type="dxa"/>
            <w:vAlign w:val="top"/>
          </w:tcPr>
          <w:p w14:paraId="2D569DF4">
            <w:pPr>
              <w:pStyle w:val="229"/>
              <w:spacing w:before="216" w:line="184" w:lineRule="auto"/>
              <w:ind w:left="271"/>
              <w:rPr>
                <w:color w:val="auto"/>
                <w:sz w:val="18"/>
                <w:szCs w:val="18"/>
                <w:highlight w:val="none"/>
              </w:rPr>
            </w:pPr>
            <w:r>
              <w:rPr>
                <w:color w:val="auto"/>
                <w:spacing w:val="-2"/>
                <w:sz w:val="18"/>
                <w:szCs w:val="18"/>
                <w:highlight w:val="none"/>
              </w:rPr>
              <w:t>20≤X＜100</w:t>
            </w:r>
          </w:p>
        </w:tc>
        <w:tc>
          <w:tcPr>
            <w:tcW w:w="998" w:type="dxa"/>
            <w:vAlign w:val="top"/>
          </w:tcPr>
          <w:p w14:paraId="31E5A399">
            <w:pPr>
              <w:pStyle w:val="229"/>
              <w:spacing w:before="216" w:line="184" w:lineRule="auto"/>
              <w:ind w:left="277"/>
              <w:rPr>
                <w:color w:val="auto"/>
                <w:sz w:val="18"/>
                <w:szCs w:val="18"/>
                <w:highlight w:val="none"/>
              </w:rPr>
            </w:pPr>
            <w:r>
              <w:rPr>
                <w:color w:val="auto"/>
                <w:spacing w:val="-2"/>
                <w:sz w:val="18"/>
                <w:szCs w:val="18"/>
                <w:highlight w:val="none"/>
              </w:rPr>
              <w:t>X＜20</w:t>
            </w:r>
          </w:p>
        </w:tc>
      </w:tr>
      <w:tr w14:paraId="5783D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1F53F858">
            <w:pPr>
              <w:rPr>
                <w:rFonts w:ascii="Arial"/>
                <w:color w:val="auto"/>
                <w:sz w:val="21"/>
                <w:highlight w:val="none"/>
              </w:rPr>
            </w:pPr>
          </w:p>
        </w:tc>
        <w:tc>
          <w:tcPr>
            <w:tcW w:w="1371" w:type="dxa"/>
            <w:vAlign w:val="top"/>
          </w:tcPr>
          <w:p w14:paraId="52A8E0BF">
            <w:pPr>
              <w:pStyle w:val="229"/>
              <w:spacing w:before="216" w:line="184"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11EBDC74">
            <w:pPr>
              <w:pStyle w:val="229"/>
              <w:spacing w:before="216" w:line="184" w:lineRule="auto"/>
              <w:ind w:left="182"/>
              <w:rPr>
                <w:color w:val="auto"/>
                <w:sz w:val="18"/>
                <w:szCs w:val="18"/>
                <w:highlight w:val="none"/>
              </w:rPr>
            </w:pPr>
            <w:r>
              <w:rPr>
                <w:color w:val="auto"/>
                <w:spacing w:val="-6"/>
                <w:sz w:val="18"/>
                <w:szCs w:val="18"/>
                <w:highlight w:val="none"/>
              </w:rPr>
              <w:t>万元</w:t>
            </w:r>
          </w:p>
        </w:tc>
        <w:tc>
          <w:tcPr>
            <w:tcW w:w="1126" w:type="dxa"/>
            <w:vAlign w:val="top"/>
          </w:tcPr>
          <w:p w14:paraId="090FABED">
            <w:pPr>
              <w:pStyle w:val="229"/>
              <w:spacing w:before="216" w:line="184" w:lineRule="auto"/>
              <w:ind w:left="204"/>
              <w:rPr>
                <w:color w:val="auto"/>
                <w:sz w:val="18"/>
                <w:szCs w:val="18"/>
                <w:highlight w:val="none"/>
              </w:rPr>
            </w:pPr>
            <w:r>
              <w:rPr>
                <w:color w:val="auto"/>
                <w:spacing w:val="-1"/>
                <w:sz w:val="18"/>
                <w:szCs w:val="18"/>
                <w:highlight w:val="none"/>
              </w:rPr>
              <w:t>Y≥30000</w:t>
            </w:r>
          </w:p>
        </w:tc>
        <w:tc>
          <w:tcPr>
            <w:tcW w:w="1704" w:type="dxa"/>
            <w:vAlign w:val="top"/>
          </w:tcPr>
          <w:p w14:paraId="786A5B00">
            <w:pPr>
              <w:pStyle w:val="229"/>
              <w:spacing w:before="216" w:line="184" w:lineRule="auto"/>
              <w:ind w:left="239"/>
              <w:rPr>
                <w:color w:val="auto"/>
                <w:sz w:val="18"/>
                <w:szCs w:val="18"/>
                <w:highlight w:val="none"/>
              </w:rPr>
            </w:pPr>
            <w:r>
              <w:rPr>
                <w:color w:val="auto"/>
                <w:spacing w:val="-2"/>
                <w:sz w:val="18"/>
                <w:szCs w:val="18"/>
                <w:highlight w:val="none"/>
              </w:rPr>
              <w:t>1000≤Y＜30000</w:t>
            </w:r>
          </w:p>
        </w:tc>
        <w:tc>
          <w:tcPr>
            <w:tcW w:w="1428" w:type="dxa"/>
            <w:vAlign w:val="top"/>
          </w:tcPr>
          <w:p w14:paraId="28E78772">
            <w:pPr>
              <w:pStyle w:val="229"/>
              <w:spacing w:before="216" w:line="184" w:lineRule="auto"/>
              <w:ind w:left="191"/>
              <w:rPr>
                <w:color w:val="auto"/>
                <w:sz w:val="18"/>
                <w:szCs w:val="18"/>
                <w:highlight w:val="none"/>
              </w:rPr>
            </w:pPr>
            <w:r>
              <w:rPr>
                <w:color w:val="auto"/>
                <w:spacing w:val="-2"/>
                <w:sz w:val="18"/>
                <w:szCs w:val="18"/>
                <w:highlight w:val="none"/>
              </w:rPr>
              <w:t>100≤Y＜1000</w:t>
            </w:r>
          </w:p>
        </w:tc>
        <w:tc>
          <w:tcPr>
            <w:tcW w:w="998" w:type="dxa"/>
            <w:vAlign w:val="top"/>
          </w:tcPr>
          <w:p w14:paraId="4824352E">
            <w:pPr>
              <w:pStyle w:val="229"/>
              <w:spacing w:before="216" w:line="184" w:lineRule="auto"/>
              <w:ind w:left="230"/>
              <w:rPr>
                <w:color w:val="auto"/>
                <w:sz w:val="18"/>
                <w:szCs w:val="18"/>
                <w:highlight w:val="none"/>
              </w:rPr>
            </w:pPr>
            <w:r>
              <w:rPr>
                <w:color w:val="auto"/>
                <w:spacing w:val="-1"/>
                <w:sz w:val="18"/>
                <w:szCs w:val="18"/>
                <w:highlight w:val="none"/>
              </w:rPr>
              <w:t>Y＜100</w:t>
            </w:r>
          </w:p>
        </w:tc>
      </w:tr>
      <w:tr w14:paraId="4BC5F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06C9CB73">
            <w:pPr>
              <w:spacing w:line="332" w:lineRule="auto"/>
              <w:rPr>
                <w:rFonts w:ascii="Arial"/>
                <w:color w:val="auto"/>
                <w:sz w:val="21"/>
                <w:highlight w:val="none"/>
              </w:rPr>
            </w:pPr>
          </w:p>
          <w:p w14:paraId="2DDF66E9">
            <w:pPr>
              <w:pStyle w:val="229"/>
              <w:spacing w:before="58" w:line="221" w:lineRule="auto"/>
              <w:ind w:left="128"/>
              <w:rPr>
                <w:color w:val="auto"/>
                <w:sz w:val="18"/>
                <w:szCs w:val="18"/>
                <w:highlight w:val="none"/>
              </w:rPr>
            </w:pPr>
            <w:r>
              <w:rPr>
                <w:color w:val="auto"/>
                <w:spacing w:val="-7"/>
                <w:sz w:val="18"/>
                <w:szCs w:val="18"/>
                <w:highlight w:val="none"/>
              </w:rPr>
              <w:t>邮政业</w:t>
            </w:r>
          </w:p>
        </w:tc>
        <w:tc>
          <w:tcPr>
            <w:tcW w:w="1371" w:type="dxa"/>
            <w:vAlign w:val="top"/>
          </w:tcPr>
          <w:p w14:paraId="65CE3F9D">
            <w:pPr>
              <w:pStyle w:val="229"/>
              <w:spacing w:before="215" w:line="185"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1C3053C0">
            <w:pPr>
              <w:pStyle w:val="229"/>
              <w:spacing w:before="215" w:line="185" w:lineRule="auto"/>
              <w:ind w:left="271"/>
              <w:rPr>
                <w:color w:val="auto"/>
                <w:sz w:val="18"/>
                <w:szCs w:val="18"/>
                <w:highlight w:val="none"/>
              </w:rPr>
            </w:pPr>
            <w:r>
              <w:rPr>
                <w:color w:val="auto"/>
                <w:sz w:val="18"/>
                <w:szCs w:val="18"/>
                <w:highlight w:val="none"/>
              </w:rPr>
              <w:t>人</w:t>
            </w:r>
          </w:p>
        </w:tc>
        <w:tc>
          <w:tcPr>
            <w:tcW w:w="1126" w:type="dxa"/>
            <w:vAlign w:val="top"/>
          </w:tcPr>
          <w:p w14:paraId="64C3F492">
            <w:pPr>
              <w:pStyle w:val="229"/>
              <w:spacing w:before="215" w:line="185" w:lineRule="auto"/>
              <w:ind w:left="248"/>
              <w:rPr>
                <w:color w:val="auto"/>
                <w:sz w:val="18"/>
                <w:szCs w:val="18"/>
                <w:highlight w:val="none"/>
              </w:rPr>
            </w:pPr>
            <w:r>
              <w:rPr>
                <w:color w:val="auto"/>
                <w:spacing w:val="-1"/>
                <w:sz w:val="18"/>
                <w:szCs w:val="18"/>
                <w:highlight w:val="none"/>
              </w:rPr>
              <w:t>X≥1000</w:t>
            </w:r>
          </w:p>
        </w:tc>
        <w:tc>
          <w:tcPr>
            <w:tcW w:w="1704" w:type="dxa"/>
            <w:vAlign w:val="top"/>
          </w:tcPr>
          <w:p w14:paraId="355C1AD9">
            <w:pPr>
              <w:pStyle w:val="229"/>
              <w:spacing w:before="215" w:line="185" w:lineRule="auto"/>
              <w:ind w:left="321"/>
              <w:rPr>
                <w:color w:val="auto"/>
                <w:sz w:val="18"/>
                <w:szCs w:val="18"/>
                <w:highlight w:val="none"/>
              </w:rPr>
            </w:pPr>
            <w:r>
              <w:rPr>
                <w:color w:val="auto"/>
                <w:spacing w:val="-1"/>
                <w:sz w:val="18"/>
                <w:szCs w:val="18"/>
                <w:highlight w:val="none"/>
              </w:rPr>
              <w:t>300≤X＜1000</w:t>
            </w:r>
          </w:p>
        </w:tc>
        <w:tc>
          <w:tcPr>
            <w:tcW w:w="1428" w:type="dxa"/>
            <w:vAlign w:val="top"/>
          </w:tcPr>
          <w:p w14:paraId="63B69B8B">
            <w:pPr>
              <w:pStyle w:val="229"/>
              <w:spacing w:before="215" w:line="185" w:lineRule="auto"/>
              <w:ind w:left="271"/>
              <w:rPr>
                <w:color w:val="auto"/>
                <w:sz w:val="18"/>
                <w:szCs w:val="18"/>
                <w:highlight w:val="none"/>
              </w:rPr>
            </w:pPr>
            <w:r>
              <w:rPr>
                <w:color w:val="auto"/>
                <w:spacing w:val="-2"/>
                <w:sz w:val="18"/>
                <w:szCs w:val="18"/>
                <w:highlight w:val="none"/>
              </w:rPr>
              <w:t>20≤X＜300</w:t>
            </w:r>
          </w:p>
        </w:tc>
        <w:tc>
          <w:tcPr>
            <w:tcW w:w="998" w:type="dxa"/>
            <w:vAlign w:val="top"/>
          </w:tcPr>
          <w:p w14:paraId="5899C089">
            <w:pPr>
              <w:pStyle w:val="229"/>
              <w:spacing w:before="215" w:line="185" w:lineRule="auto"/>
              <w:ind w:left="277"/>
              <w:rPr>
                <w:color w:val="auto"/>
                <w:sz w:val="18"/>
                <w:szCs w:val="18"/>
                <w:highlight w:val="none"/>
              </w:rPr>
            </w:pPr>
            <w:r>
              <w:rPr>
                <w:color w:val="auto"/>
                <w:spacing w:val="-2"/>
                <w:sz w:val="18"/>
                <w:szCs w:val="18"/>
                <w:highlight w:val="none"/>
              </w:rPr>
              <w:t>X＜20</w:t>
            </w:r>
          </w:p>
        </w:tc>
      </w:tr>
      <w:tr w14:paraId="5DFD0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6B649458">
            <w:pPr>
              <w:rPr>
                <w:rFonts w:ascii="Arial"/>
                <w:color w:val="auto"/>
                <w:sz w:val="21"/>
                <w:highlight w:val="none"/>
              </w:rPr>
            </w:pPr>
          </w:p>
        </w:tc>
        <w:tc>
          <w:tcPr>
            <w:tcW w:w="1371" w:type="dxa"/>
            <w:vAlign w:val="top"/>
          </w:tcPr>
          <w:p w14:paraId="5635710C">
            <w:pPr>
              <w:pStyle w:val="229"/>
              <w:spacing w:before="217" w:line="183"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39CB37DA">
            <w:pPr>
              <w:pStyle w:val="229"/>
              <w:spacing w:before="217" w:line="183" w:lineRule="auto"/>
              <w:ind w:left="182"/>
              <w:rPr>
                <w:color w:val="auto"/>
                <w:sz w:val="18"/>
                <w:szCs w:val="18"/>
                <w:highlight w:val="none"/>
              </w:rPr>
            </w:pPr>
            <w:r>
              <w:rPr>
                <w:color w:val="auto"/>
                <w:spacing w:val="-6"/>
                <w:sz w:val="18"/>
                <w:szCs w:val="18"/>
                <w:highlight w:val="none"/>
              </w:rPr>
              <w:t>万元</w:t>
            </w:r>
          </w:p>
        </w:tc>
        <w:tc>
          <w:tcPr>
            <w:tcW w:w="1126" w:type="dxa"/>
            <w:vAlign w:val="top"/>
          </w:tcPr>
          <w:p w14:paraId="54507D34">
            <w:pPr>
              <w:pStyle w:val="229"/>
              <w:spacing w:before="217" w:line="183" w:lineRule="auto"/>
              <w:ind w:left="204"/>
              <w:rPr>
                <w:color w:val="auto"/>
                <w:sz w:val="18"/>
                <w:szCs w:val="18"/>
                <w:highlight w:val="none"/>
              </w:rPr>
            </w:pPr>
            <w:r>
              <w:rPr>
                <w:color w:val="auto"/>
                <w:spacing w:val="-1"/>
                <w:sz w:val="18"/>
                <w:szCs w:val="18"/>
                <w:highlight w:val="none"/>
              </w:rPr>
              <w:t>Y≥30000</w:t>
            </w:r>
          </w:p>
        </w:tc>
        <w:tc>
          <w:tcPr>
            <w:tcW w:w="1704" w:type="dxa"/>
            <w:vAlign w:val="top"/>
          </w:tcPr>
          <w:p w14:paraId="586D85BF">
            <w:pPr>
              <w:pStyle w:val="229"/>
              <w:spacing w:before="217" w:line="183" w:lineRule="auto"/>
              <w:ind w:left="228"/>
              <w:rPr>
                <w:color w:val="auto"/>
                <w:sz w:val="18"/>
                <w:szCs w:val="18"/>
                <w:highlight w:val="none"/>
              </w:rPr>
            </w:pPr>
            <w:r>
              <w:rPr>
                <w:color w:val="auto"/>
                <w:spacing w:val="-1"/>
                <w:sz w:val="18"/>
                <w:szCs w:val="18"/>
                <w:highlight w:val="none"/>
              </w:rPr>
              <w:t>2000≤Y＜30000</w:t>
            </w:r>
          </w:p>
        </w:tc>
        <w:tc>
          <w:tcPr>
            <w:tcW w:w="1428" w:type="dxa"/>
            <w:vAlign w:val="top"/>
          </w:tcPr>
          <w:p w14:paraId="3BE80F6D">
            <w:pPr>
              <w:pStyle w:val="229"/>
              <w:spacing w:before="217" w:line="183" w:lineRule="auto"/>
              <w:ind w:left="191"/>
              <w:rPr>
                <w:color w:val="auto"/>
                <w:sz w:val="18"/>
                <w:szCs w:val="18"/>
                <w:highlight w:val="none"/>
              </w:rPr>
            </w:pPr>
            <w:r>
              <w:rPr>
                <w:color w:val="auto"/>
                <w:spacing w:val="-2"/>
                <w:sz w:val="18"/>
                <w:szCs w:val="18"/>
                <w:highlight w:val="none"/>
              </w:rPr>
              <w:t>100≤Y＜2000</w:t>
            </w:r>
          </w:p>
        </w:tc>
        <w:tc>
          <w:tcPr>
            <w:tcW w:w="998" w:type="dxa"/>
            <w:vAlign w:val="top"/>
          </w:tcPr>
          <w:p w14:paraId="4D2C79E6">
            <w:pPr>
              <w:pStyle w:val="229"/>
              <w:spacing w:before="217" w:line="183" w:lineRule="auto"/>
              <w:ind w:left="230"/>
              <w:rPr>
                <w:color w:val="auto"/>
                <w:sz w:val="18"/>
                <w:szCs w:val="18"/>
                <w:highlight w:val="none"/>
              </w:rPr>
            </w:pPr>
            <w:r>
              <w:rPr>
                <w:color w:val="auto"/>
                <w:spacing w:val="-1"/>
                <w:sz w:val="18"/>
                <w:szCs w:val="18"/>
                <w:highlight w:val="none"/>
              </w:rPr>
              <w:t>Y＜100</w:t>
            </w:r>
          </w:p>
        </w:tc>
      </w:tr>
      <w:tr w14:paraId="32B88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3D00A6B5">
            <w:pPr>
              <w:spacing w:line="331" w:lineRule="auto"/>
              <w:rPr>
                <w:rFonts w:ascii="Arial"/>
                <w:color w:val="auto"/>
                <w:sz w:val="21"/>
                <w:highlight w:val="none"/>
              </w:rPr>
            </w:pPr>
          </w:p>
          <w:p w14:paraId="3C3073E9">
            <w:pPr>
              <w:pStyle w:val="229"/>
              <w:spacing w:before="59" w:line="219" w:lineRule="auto"/>
              <w:ind w:left="114"/>
              <w:rPr>
                <w:color w:val="auto"/>
                <w:sz w:val="18"/>
                <w:szCs w:val="18"/>
                <w:highlight w:val="none"/>
              </w:rPr>
            </w:pPr>
            <w:r>
              <w:rPr>
                <w:color w:val="auto"/>
                <w:spacing w:val="-3"/>
                <w:sz w:val="18"/>
                <w:szCs w:val="18"/>
                <w:highlight w:val="none"/>
              </w:rPr>
              <w:t>住宿业</w:t>
            </w:r>
          </w:p>
        </w:tc>
        <w:tc>
          <w:tcPr>
            <w:tcW w:w="1371" w:type="dxa"/>
            <w:vAlign w:val="top"/>
          </w:tcPr>
          <w:p w14:paraId="11D06D88">
            <w:pPr>
              <w:pStyle w:val="229"/>
              <w:spacing w:before="216" w:line="184"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57532EE0">
            <w:pPr>
              <w:pStyle w:val="229"/>
              <w:spacing w:before="216" w:line="184" w:lineRule="auto"/>
              <w:ind w:left="271"/>
              <w:rPr>
                <w:color w:val="auto"/>
                <w:sz w:val="18"/>
                <w:szCs w:val="18"/>
                <w:highlight w:val="none"/>
              </w:rPr>
            </w:pPr>
            <w:r>
              <w:rPr>
                <w:color w:val="auto"/>
                <w:sz w:val="18"/>
                <w:szCs w:val="18"/>
                <w:highlight w:val="none"/>
              </w:rPr>
              <w:t>人</w:t>
            </w:r>
          </w:p>
        </w:tc>
        <w:tc>
          <w:tcPr>
            <w:tcW w:w="1126" w:type="dxa"/>
            <w:vAlign w:val="top"/>
          </w:tcPr>
          <w:p w14:paraId="2FABF81A">
            <w:pPr>
              <w:pStyle w:val="229"/>
              <w:spacing w:before="216" w:line="184" w:lineRule="auto"/>
              <w:ind w:left="294"/>
              <w:rPr>
                <w:color w:val="auto"/>
                <w:sz w:val="18"/>
                <w:szCs w:val="18"/>
                <w:highlight w:val="none"/>
              </w:rPr>
            </w:pPr>
            <w:r>
              <w:rPr>
                <w:color w:val="auto"/>
                <w:spacing w:val="-1"/>
                <w:sz w:val="18"/>
                <w:szCs w:val="18"/>
                <w:highlight w:val="none"/>
              </w:rPr>
              <w:t>X≥300</w:t>
            </w:r>
          </w:p>
        </w:tc>
        <w:tc>
          <w:tcPr>
            <w:tcW w:w="1704" w:type="dxa"/>
            <w:vAlign w:val="top"/>
          </w:tcPr>
          <w:p w14:paraId="41FD23FE">
            <w:pPr>
              <w:pStyle w:val="229"/>
              <w:spacing w:before="216" w:line="184" w:lineRule="auto"/>
              <w:ind w:left="321"/>
              <w:rPr>
                <w:color w:val="auto"/>
                <w:sz w:val="18"/>
                <w:szCs w:val="18"/>
                <w:highlight w:val="none"/>
              </w:rPr>
            </w:pPr>
            <w:r>
              <w:rPr>
                <w:color w:val="auto"/>
                <w:spacing w:val="-3"/>
                <w:sz w:val="18"/>
                <w:szCs w:val="18"/>
                <w:highlight w:val="none"/>
              </w:rPr>
              <w:t>100≤X＜300</w:t>
            </w:r>
          </w:p>
        </w:tc>
        <w:tc>
          <w:tcPr>
            <w:tcW w:w="1428" w:type="dxa"/>
            <w:vAlign w:val="top"/>
          </w:tcPr>
          <w:p w14:paraId="7D7529EA">
            <w:pPr>
              <w:pStyle w:val="229"/>
              <w:spacing w:before="216" w:line="184" w:lineRule="auto"/>
              <w:ind w:left="283"/>
              <w:rPr>
                <w:color w:val="auto"/>
                <w:sz w:val="18"/>
                <w:szCs w:val="18"/>
                <w:highlight w:val="none"/>
              </w:rPr>
            </w:pPr>
            <w:r>
              <w:rPr>
                <w:color w:val="auto"/>
                <w:spacing w:val="-3"/>
                <w:sz w:val="18"/>
                <w:szCs w:val="18"/>
                <w:highlight w:val="none"/>
              </w:rPr>
              <w:t>10≤X＜100</w:t>
            </w:r>
          </w:p>
        </w:tc>
        <w:tc>
          <w:tcPr>
            <w:tcW w:w="998" w:type="dxa"/>
            <w:vAlign w:val="top"/>
          </w:tcPr>
          <w:p w14:paraId="0E7A7CB0">
            <w:pPr>
              <w:pStyle w:val="229"/>
              <w:spacing w:before="216" w:line="184" w:lineRule="auto"/>
              <w:ind w:left="277"/>
              <w:rPr>
                <w:color w:val="auto"/>
                <w:sz w:val="18"/>
                <w:szCs w:val="18"/>
                <w:highlight w:val="none"/>
              </w:rPr>
            </w:pPr>
            <w:r>
              <w:rPr>
                <w:color w:val="auto"/>
                <w:spacing w:val="-2"/>
                <w:sz w:val="18"/>
                <w:szCs w:val="18"/>
                <w:highlight w:val="none"/>
              </w:rPr>
              <w:t>X＜10</w:t>
            </w:r>
          </w:p>
        </w:tc>
      </w:tr>
      <w:tr w14:paraId="20567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519C34BF">
            <w:pPr>
              <w:rPr>
                <w:rFonts w:ascii="Arial"/>
                <w:color w:val="auto"/>
                <w:sz w:val="21"/>
                <w:highlight w:val="none"/>
              </w:rPr>
            </w:pPr>
          </w:p>
        </w:tc>
        <w:tc>
          <w:tcPr>
            <w:tcW w:w="1371" w:type="dxa"/>
            <w:vAlign w:val="top"/>
          </w:tcPr>
          <w:p w14:paraId="786F5E39">
            <w:pPr>
              <w:pStyle w:val="229"/>
              <w:spacing w:before="216" w:line="184"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79F18B4F">
            <w:pPr>
              <w:pStyle w:val="229"/>
              <w:spacing w:before="216" w:line="184" w:lineRule="auto"/>
              <w:ind w:left="182"/>
              <w:rPr>
                <w:color w:val="auto"/>
                <w:sz w:val="18"/>
                <w:szCs w:val="18"/>
                <w:highlight w:val="none"/>
              </w:rPr>
            </w:pPr>
            <w:r>
              <w:rPr>
                <w:color w:val="auto"/>
                <w:spacing w:val="-6"/>
                <w:sz w:val="18"/>
                <w:szCs w:val="18"/>
                <w:highlight w:val="none"/>
              </w:rPr>
              <w:t>万元</w:t>
            </w:r>
          </w:p>
        </w:tc>
        <w:tc>
          <w:tcPr>
            <w:tcW w:w="1126" w:type="dxa"/>
            <w:vAlign w:val="top"/>
          </w:tcPr>
          <w:p w14:paraId="4F106E1E">
            <w:pPr>
              <w:pStyle w:val="229"/>
              <w:spacing w:before="216" w:line="184" w:lineRule="auto"/>
              <w:ind w:left="204"/>
              <w:rPr>
                <w:color w:val="auto"/>
                <w:sz w:val="18"/>
                <w:szCs w:val="18"/>
                <w:highlight w:val="none"/>
              </w:rPr>
            </w:pPr>
            <w:r>
              <w:rPr>
                <w:color w:val="auto"/>
                <w:spacing w:val="-1"/>
                <w:sz w:val="18"/>
                <w:szCs w:val="18"/>
                <w:highlight w:val="none"/>
              </w:rPr>
              <w:t>Y≥10000</w:t>
            </w:r>
          </w:p>
        </w:tc>
        <w:tc>
          <w:tcPr>
            <w:tcW w:w="1704" w:type="dxa"/>
            <w:vAlign w:val="top"/>
          </w:tcPr>
          <w:p w14:paraId="41629B61">
            <w:pPr>
              <w:pStyle w:val="229"/>
              <w:spacing w:before="216" w:line="184" w:lineRule="auto"/>
              <w:ind w:left="228"/>
              <w:rPr>
                <w:color w:val="auto"/>
                <w:sz w:val="18"/>
                <w:szCs w:val="18"/>
                <w:highlight w:val="none"/>
              </w:rPr>
            </w:pPr>
            <w:r>
              <w:rPr>
                <w:color w:val="auto"/>
                <w:spacing w:val="-1"/>
                <w:sz w:val="18"/>
                <w:szCs w:val="18"/>
                <w:highlight w:val="none"/>
              </w:rPr>
              <w:t>2000≤Y＜10000</w:t>
            </w:r>
          </w:p>
        </w:tc>
        <w:tc>
          <w:tcPr>
            <w:tcW w:w="1428" w:type="dxa"/>
            <w:vAlign w:val="top"/>
          </w:tcPr>
          <w:p w14:paraId="5F81E20B">
            <w:pPr>
              <w:pStyle w:val="229"/>
              <w:spacing w:before="216" w:line="184" w:lineRule="auto"/>
              <w:ind w:left="191"/>
              <w:rPr>
                <w:color w:val="auto"/>
                <w:sz w:val="18"/>
                <w:szCs w:val="18"/>
                <w:highlight w:val="none"/>
              </w:rPr>
            </w:pPr>
            <w:r>
              <w:rPr>
                <w:color w:val="auto"/>
                <w:spacing w:val="-2"/>
                <w:sz w:val="18"/>
                <w:szCs w:val="18"/>
                <w:highlight w:val="none"/>
              </w:rPr>
              <w:t>100≤Y＜2000</w:t>
            </w:r>
          </w:p>
        </w:tc>
        <w:tc>
          <w:tcPr>
            <w:tcW w:w="998" w:type="dxa"/>
            <w:vAlign w:val="top"/>
          </w:tcPr>
          <w:p w14:paraId="36F72FD5">
            <w:pPr>
              <w:pStyle w:val="229"/>
              <w:spacing w:before="216" w:line="184" w:lineRule="auto"/>
              <w:ind w:left="230"/>
              <w:rPr>
                <w:color w:val="auto"/>
                <w:sz w:val="18"/>
                <w:szCs w:val="18"/>
                <w:highlight w:val="none"/>
              </w:rPr>
            </w:pPr>
            <w:r>
              <w:rPr>
                <w:color w:val="auto"/>
                <w:spacing w:val="-1"/>
                <w:sz w:val="18"/>
                <w:szCs w:val="18"/>
                <w:highlight w:val="none"/>
              </w:rPr>
              <w:t>Y＜100</w:t>
            </w:r>
          </w:p>
        </w:tc>
      </w:tr>
      <w:tr w14:paraId="3BF66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09D25919">
            <w:pPr>
              <w:spacing w:line="332" w:lineRule="auto"/>
              <w:rPr>
                <w:rFonts w:ascii="Arial"/>
                <w:color w:val="auto"/>
                <w:sz w:val="21"/>
                <w:highlight w:val="none"/>
              </w:rPr>
            </w:pPr>
          </w:p>
          <w:p w14:paraId="767F8DC5">
            <w:pPr>
              <w:pStyle w:val="229"/>
              <w:spacing w:before="59" w:line="219" w:lineRule="auto"/>
              <w:ind w:left="116"/>
              <w:rPr>
                <w:color w:val="auto"/>
                <w:sz w:val="18"/>
                <w:szCs w:val="18"/>
                <w:highlight w:val="none"/>
              </w:rPr>
            </w:pPr>
            <w:r>
              <w:rPr>
                <w:color w:val="auto"/>
                <w:spacing w:val="-3"/>
                <w:sz w:val="18"/>
                <w:szCs w:val="18"/>
                <w:highlight w:val="none"/>
              </w:rPr>
              <w:t>餐饮业</w:t>
            </w:r>
          </w:p>
        </w:tc>
        <w:tc>
          <w:tcPr>
            <w:tcW w:w="1371" w:type="dxa"/>
            <w:vAlign w:val="top"/>
          </w:tcPr>
          <w:p w14:paraId="627FB3D6">
            <w:pPr>
              <w:pStyle w:val="229"/>
              <w:spacing w:before="215" w:line="185"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7E15D4B8">
            <w:pPr>
              <w:pStyle w:val="229"/>
              <w:spacing w:before="215" w:line="185" w:lineRule="auto"/>
              <w:ind w:left="271"/>
              <w:rPr>
                <w:color w:val="auto"/>
                <w:sz w:val="18"/>
                <w:szCs w:val="18"/>
                <w:highlight w:val="none"/>
              </w:rPr>
            </w:pPr>
            <w:r>
              <w:rPr>
                <w:color w:val="auto"/>
                <w:sz w:val="18"/>
                <w:szCs w:val="18"/>
                <w:highlight w:val="none"/>
              </w:rPr>
              <w:t>人</w:t>
            </w:r>
          </w:p>
        </w:tc>
        <w:tc>
          <w:tcPr>
            <w:tcW w:w="1126" w:type="dxa"/>
            <w:vAlign w:val="top"/>
          </w:tcPr>
          <w:p w14:paraId="3D29B2D5">
            <w:pPr>
              <w:pStyle w:val="229"/>
              <w:spacing w:before="215" w:line="185" w:lineRule="auto"/>
              <w:ind w:left="294"/>
              <w:rPr>
                <w:color w:val="auto"/>
                <w:sz w:val="18"/>
                <w:szCs w:val="18"/>
                <w:highlight w:val="none"/>
              </w:rPr>
            </w:pPr>
            <w:r>
              <w:rPr>
                <w:color w:val="auto"/>
                <w:spacing w:val="-1"/>
                <w:sz w:val="18"/>
                <w:szCs w:val="18"/>
                <w:highlight w:val="none"/>
              </w:rPr>
              <w:t>X≥300</w:t>
            </w:r>
          </w:p>
        </w:tc>
        <w:tc>
          <w:tcPr>
            <w:tcW w:w="1704" w:type="dxa"/>
            <w:vAlign w:val="top"/>
          </w:tcPr>
          <w:p w14:paraId="7511D0EA">
            <w:pPr>
              <w:pStyle w:val="229"/>
              <w:spacing w:before="215" w:line="185" w:lineRule="auto"/>
              <w:ind w:left="321"/>
              <w:rPr>
                <w:color w:val="auto"/>
                <w:sz w:val="18"/>
                <w:szCs w:val="18"/>
                <w:highlight w:val="none"/>
              </w:rPr>
            </w:pPr>
            <w:r>
              <w:rPr>
                <w:color w:val="auto"/>
                <w:spacing w:val="-3"/>
                <w:sz w:val="18"/>
                <w:szCs w:val="18"/>
                <w:highlight w:val="none"/>
              </w:rPr>
              <w:t>100≤X＜300</w:t>
            </w:r>
          </w:p>
        </w:tc>
        <w:tc>
          <w:tcPr>
            <w:tcW w:w="1428" w:type="dxa"/>
            <w:vAlign w:val="top"/>
          </w:tcPr>
          <w:p w14:paraId="1AE7111F">
            <w:pPr>
              <w:pStyle w:val="229"/>
              <w:spacing w:before="215" w:line="185" w:lineRule="auto"/>
              <w:ind w:left="283"/>
              <w:rPr>
                <w:color w:val="auto"/>
                <w:sz w:val="18"/>
                <w:szCs w:val="18"/>
                <w:highlight w:val="none"/>
              </w:rPr>
            </w:pPr>
            <w:r>
              <w:rPr>
                <w:color w:val="auto"/>
                <w:spacing w:val="-3"/>
                <w:sz w:val="18"/>
                <w:szCs w:val="18"/>
                <w:highlight w:val="none"/>
              </w:rPr>
              <w:t>10≤X＜100</w:t>
            </w:r>
          </w:p>
        </w:tc>
        <w:tc>
          <w:tcPr>
            <w:tcW w:w="998" w:type="dxa"/>
            <w:vAlign w:val="top"/>
          </w:tcPr>
          <w:p w14:paraId="71462009">
            <w:pPr>
              <w:pStyle w:val="229"/>
              <w:spacing w:before="215" w:line="185" w:lineRule="auto"/>
              <w:ind w:left="277"/>
              <w:rPr>
                <w:color w:val="auto"/>
                <w:sz w:val="18"/>
                <w:szCs w:val="18"/>
                <w:highlight w:val="none"/>
              </w:rPr>
            </w:pPr>
            <w:r>
              <w:rPr>
                <w:color w:val="auto"/>
                <w:spacing w:val="-2"/>
                <w:sz w:val="18"/>
                <w:szCs w:val="18"/>
                <w:highlight w:val="none"/>
              </w:rPr>
              <w:t>X＜10</w:t>
            </w:r>
          </w:p>
        </w:tc>
      </w:tr>
      <w:tr w14:paraId="22283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43FFE294">
            <w:pPr>
              <w:rPr>
                <w:rFonts w:ascii="Arial"/>
                <w:color w:val="auto"/>
                <w:sz w:val="21"/>
                <w:highlight w:val="none"/>
              </w:rPr>
            </w:pPr>
          </w:p>
        </w:tc>
        <w:tc>
          <w:tcPr>
            <w:tcW w:w="1371" w:type="dxa"/>
            <w:vAlign w:val="top"/>
          </w:tcPr>
          <w:p w14:paraId="5554058D">
            <w:pPr>
              <w:pStyle w:val="229"/>
              <w:spacing w:before="217" w:line="183"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367BFB15">
            <w:pPr>
              <w:pStyle w:val="229"/>
              <w:spacing w:before="217" w:line="183" w:lineRule="auto"/>
              <w:ind w:left="182"/>
              <w:rPr>
                <w:color w:val="auto"/>
                <w:sz w:val="18"/>
                <w:szCs w:val="18"/>
                <w:highlight w:val="none"/>
              </w:rPr>
            </w:pPr>
            <w:r>
              <w:rPr>
                <w:color w:val="auto"/>
                <w:spacing w:val="-6"/>
                <w:sz w:val="18"/>
                <w:szCs w:val="18"/>
                <w:highlight w:val="none"/>
              </w:rPr>
              <w:t>万元</w:t>
            </w:r>
          </w:p>
        </w:tc>
        <w:tc>
          <w:tcPr>
            <w:tcW w:w="1126" w:type="dxa"/>
            <w:vAlign w:val="top"/>
          </w:tcPr>
          <w:p w14:paraId="480073C5">
            <w:pPr>
              <w:pStyle w:val="229"/>
              <w:spacing w:before="217" w:line="183" w:lineRule="auto"/>
              <w:ind w:left="204"/>
              <w:rPr>
                <w:color w:val="auto"/>
                <w:sz w:val="18"/>
                <w:szCs w:val="18"/>
                <w:highlight w:val="none"/>
              </w:rPr>
            </w:pPr>
            <w:r>
              <w:rPr>
                <w:color w:val="auto"/>
                <w:spacing w:val="-1"/>
                <w:sz w:val="18"/>
                <w:szCs w:val="18"/>
                <w:highlight w:val="none"/>
              </w:rPr>
              <w:t>Y≥10000</w:t>
            </w:r>
          </w:p>
        </w:tc>
        <w:tc>
          <w:tcPr>
            <w:tcW w:w="1704" w:type="dxa"/>
            <w:vAlign w:val="top"/>
          </w:tcPr>
          <w:p w14:paraId="3772AA99">
            <w:pPr>
              <w:pStyle w:val="229"/>
              <w:spacing w:before="217" w:line="183" w:lineRule="auto"/>
              <w:ind w:left="228"/>
              <w:rPr>
                <w:color w:val="auto"/>
                <w:sz w:val="18"/>
                <w:szCs w:val="18"/>
                <w:highlight w:val="none"/>
              </w:rPr>
            </w:pPr>
            <w:r>
              <w:rPr>
                <w:color w:val="auto"/>
                <w:spacing w:val="-1"/>
                <w:sz w:val="18"/>
                <w:szCs w:val="18"/>
                <w:highlight w:val="none"/>
              </w:rPr>
              <w:t>2000≤Y＜10000</w:t>
            </w:r>
          </w:p>
        </w:tc>
        <w:tc>
          <w:tcPr>
            <w:tcW w:w="1428" w:type="dxa"/>
            <w:vAlign w:val="top"/>
          </w:tcPr>
          <w:p w14:paraId="1FD9A803">
            <w:pPr>
              <w:pStyle w:val="229"/>
              <w:spacing w:before="217" w:line="183" w:lineRule="auto"/>
              <w:ind w:left="191"/>
              <w:rPr>
                <w:color w:val="auto"/>
                <w:sz w:val="18"/>
                <w:szCs w:val="18"/>
                <w:highlight w:val="none"/>
              </w:rPr>
            </w:pPr>
            <w:r>
              <w:rPr>
                <w:color w:val="auto"/>
                <w:spacing w:val="-2"/>
                <w:sz w:val="18"/>
                <w:szCs w:val="18"/>
                <w:highlight w:val="none"/>
              </w:rPr>
              <w:t>100≤Y＜2000</w:t>
            </w:r>
          </w:p>
        </w:tc>
        <w:tc>
          <w:tcPr>
            <w:tcW w:w="998" w:type="dxa"/>
            <w:vAlign w:val="top"/>
          </w:tcPr>
          <w:p w14:paraId="7ABC81F0">
            <w:pPr>
              <w:pStyle w:val="229"/>
              <w:spacing w:before="217" w:line="183" w:lineRule="auto"/>
              <w:ind w:left="230"/>
              <w:rPr>
                <w:color w:val="auto"/>
                <w:sz w:val="18"/>
                <w:szCs w:val="18"/>
                <w:highlight w:val="none"/>
              </w:rPr>
            </w:pPr>
            <w:r>
              <w:rPr>
                <w:color w:val="auto"/>
                <w:spacing w:val="-1"/>
                <w:sz w:val="18"/>
                <w:szCs w:val="18"/>
                <w:highlight w:val="none"/>
              </w:rPr>
              <w:t>Y＜100</w:t>
            </w:r>
          </w:p>
        </w:tc>
      </w:tr>
      <w:tr w14:paraId="18202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restart"/>
            <w:tcBorders>
              <w:bottom w:val="nil"/>
            </w:tcBorders>
            <w:vAlign w:val="top"/>
          </w:tcPr>
          <w:p w14:paraId="4C741A53">
            <w:pPr>
              <w:spacing w:line="331" w:lineRule="auto"/>
              <w:rPr>
                <w:rFonts w:ascii="Arial"/>
                <w:color w:val="auto"/>
                <w:sz w:val="21"/>
                <w:highlight w:val="none"/>
              </w:rPr>
            </w:pPr>
          </w:p>
          <w:p w14:paraId="7AD22B57">
            <w:pPr>
              <w:pStyle w:val="229"/>
              <w:spacing w:before="58" w:line="219" w:lineRule="auto"/>
              <w:ind w:left="114"/>
              <w:rPr>
                <w:color w:val="auto"/>
                <w:sz w:val="18"/>
                <w:szCs w:val="18"/>
                <w:highlight w:val="none"/>
              </w:rPr>
            </w:pPr>
            <w:r>
              <w:rPr>
                <w:color w:val="auto"/>
                <w:spacing w:val="-1"/>
                <w:sz w:val="18"/>
                <w:szCs w:val="18"/>
                <w:highlight w:val="none"/>
              </w:rPr>
              <w:t>信息传输业 *</w:t>
            </w:r>
          </w:p>
        </w:tc>
        <w:tc>
          <w:tcPr>
            <w:tcW w:w="1371" w:type="dxa"/>
            <w:vAlign w:val="top"/>
          </w:tcPr>
          <w:p w14:paraId="2B10F7FD">
            <w:pPr>
              <w:pStyle w:val="229"/>
              <w:spacing w:before="216" w:line="184"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5D563658">
            <w:pPr>
              <w:pStyle w:val="229"/>
              <w:spacing w:before="216" w:line="184" w:lineRule="auto"/>
              <w:ind w:left="271"/>
              <w:rPr>
                <w:color w:val="auto"/>
                <w:sz w:val="18"/>
                <w:szCs w:val="18"/>
                <w:highlight w:val="none"/>
              </w:rPr>
            </w:pPr>
            <w:r>
              <w:rPr>
                <w:color w:val="auto"/>
                <w:sz w:val="18"/>
                <w:szCs w:val="18"/>
                <w:highlight w:val="none"/>
              </w:rPr>
              <w:t>人</w:t>
            </w:r>
          </w:p>
        </w:tc>
        <w:tc>
          <w:tcPr>
            <w:tcW w:w="1126" w:type="dxa"/>
            <w:vAlign w:val="top"/>
          </w:tcPr>
          <w:p w14:paraId="2F729199">
            <w:pPr>
              <w:pStyle w:val="229"/>
              <w:spacing w:before="216" w:line="184" w:lineRule="auto"/>
              <w:ind w:left="248"/>
              <w:rPr>
                <w:color w:val="auto"/>
                <w:sz w:val="18"/>
                <w:szCs w:val="18"/>
                <w:highlight w:val="none"/>
              </w:rPr>
            </w:pPr>
            <w:r>
              <w:rPr>
                <w:color w:val="auto"/>
                <w:spacing w:val="-1"/>
                <w:sz w:val="18"/>
                <w:szCs w:val="18"/>
                <w:highlight w:val="none"/>
              </w:rPr>
              <w:t>X≥2000</w:t>
            </w:r>
          </w:p>
        </w:tc>
        <w:tc>
          <w:tcPr>
            <w:tcW w:w="1704" w:type="dxa"/>
            <w:vAlign w:val="top"/>
          </w:tcPr>
          <w:p w14:paraId="66E6F7F2">
            <w:pPr>
              <w:pStyle w:val="229"/>
              <w:spacing w:before="216" w:line="184" w:lineRule="auto"/>
              <w:ind w:left="331"/>
              <w:rPr>
                <w:color w:val="auto"/>
                <w:sz w:val="18"/>
                <w:szCs w:val="18"/>
                <w:highlight w:val="none"/>
              </w:rPr>
            </w:pPr>
            <w:r>
              <w:rPr>
                <w:color w:val="auto"/>
                <w:spacing w:val="-2"/>
                <w:sz w:val="18"/>
                <w:szCs w:val="18"/>
                <w:highlight w:val="none"/>
              </w:rPr>
              <w:t>100≤X＜2000</w:t>
            </w:r>
          </w:p>
        </w:tc>
        <w:tc>
          <w:tcPr>
            <w:tcW w:w="1428" w:type="dxa"/>
            <w:vAlign w:val="top"/>
          </w:tcPr>
          <w:p w14:paraId="068C2E08">
            <w:pPr>
              <w:pStyle w:val="229"/>
              <w:spacing w:before="216" w:line="184" w:lineRule="auto"/>
              <w:ind w:left="283"/>
              <w:rPr>
                <w:color w:val="auto"/>
                <w:sz w:val="18"/>
                <w:szCs w:val="18"/>
                <w:highlight w:val="none"/>
              </w:rPr>
            </w:pPr>
            <w:r>
              <w:rPr>
                <w:color w:val="auto"/>
                <w:spacing w:val="-3"/>
                <w:sz w:val="18"/>
                <w:szCs w:val="18"/>
                <w:highlight w:val="none"/>
              </w:rPr>
              <w:t>10≤X＜100</w:t>
            </w:r>
          </w:p>
        </w:tc>
        <w:tc>
          <w:tcPr>
            <w:tcW w:w="998" w:type="dxa"/>
            <w:vAlign w:val="top"/>
          </w:tcPr>
          <w:p w14:paraId="410C863A">
            <w:pPr>
              <w:pStyle w:val="229"/>
              <w:spacing w:before="216" w:line="184" w:lineRule="auto"/>
              <w:ind w:left="277"/>
              <w:rPr>
                <w:color w:val="auto"/>
                <w:sz w:val="18"/>
                <w:szCs w:val="18"/>
                <w:highlight w:val="none"/>
              </w:rPr>
            </w:pPr>
            <w:r>
              <w:rPr>
                <w:color w:val="auto"/>
                <w:spacing w:val="-2"/>
                <w:sz w:val="18"/>
                <w:szCs w:val="18"/>
                <w:highlight w:val="none"/>
              </w:rPr>
              <w:t>X＜10</w:t>
            </w:r>
          </w:p>
        </w:tc>
      </w:tr>
      <w:tr w14:paraId="7E7A9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122" w:type="dxa"/>
            <w:vMerge w:val="continue"/>
            <w:tcBorders>
              <w:top w:val="nil"/>
            </w:tcBorders>
            <w:vAlign w:val="top"/>
          </w:tcPr>
          <w:p w14:paraId="0041702A">
            <w:pPr>
              <w:rPr>
                <w:rFonts w:ascii="Arial"/>
                <w:color w:val="auto"/>
                <w:sz w:val="21"/>
                <w:highlight w:val="none"/>
              </w:rPr>
            </w:pPr>
          </w:p>
        </w:tc>
        <w:tc>
          <w:tcPr>
            <w:tcW w:w="1371" w:type="dxa"/>
            <w:vAlign w:val="top"/>
          </w:tcPr>
          <w:p w14:paraId="0DEB66ED">
            <w:pPr>
              <w:pStyle w:val="229"/>
              <w:spacing w:before="216" w:line="184"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2626B047">
            <w:pPr>
              <w:pStyle w:val="229"/>
              <w:spacing w:before="216" w:line="184" w:lineRule="auto"/>
              <w:ind w:left="182"/>
              <w:rPr>
                <w:color w:val="auto"/>
                <w:sz w:val="18"/>
                <w:szCs w:val="18"/>
                <w:highlight w:val="none"/>
              </w:rPr>
            </w:pPr>
            <w:r>
              <w:rPr>
                <w:color w:val="auto"/>
                <w:spacing w:val="-6"/>
                <w:sz w:val="18"/>
                <w:szCs w:val="18"/>
                <w:highlight w:val="none"/>
              </w:rPr>
              <w:t>万元</w:t>
            </w:r>
          </w:p>
        </w:tc>
        <w:tc>
          <w:tcPr>
            <w:tcW w:w="1126" w:type="dxa"/>
            <w:vAlign w:val="top"/>
          </w:tcPr>
          <w:p w14:paraId="278EA0A0">
            <w:pPr>
              <w:pStyle w:val="229"/>
              <w:spacing w:before="216" w:line="184" w:lineRule="auto"/>
              <w:ind w:left="159"/>
              <w:rPr>
                <w:color w:val="auto"/>
                <w:sz w:val="18"/>
                <w:szCs w:val="18"/>
                <w:highlight w:val="none"/>
              </w:rPr>
            </w:pPr>
            <w:r>
              <w:rPr>
                <w:color w:val="auto"/>
                <w:spacing w:val="-1"/>
                <w:sz w:val="18"/>
                <w:szCs w:val="18"/>
                <w:highlight w:val="none"/>
              </w:rPr>
              <w:t>Y≥100000</w:t>
            </w:r>
          </w:p>
        </w:tc>
        <w:tc>
          <w:tcPr>
            <w:tcW w:w="1704" w:type="dxa"/>
            <w:vAlign w:val="top"/>
          </w:tcPr>
          <w:p w14:paraId="355BB431">
            <w:pPr>
              <w:pStyle w:val="229"/>
              <w:spacing w:before="216" w:line="184" w:lineRule="auto"/>
              <w:ind w:left="194"/>
              <w:rPr>
                <w:color w:val="auto"/>
                <w:sz w:val="18"/>
                <w:szCs w:val="18"/>
                <w:highlight w:val="none"/>
              </w:rPr>
            </w:pPr>
            <w:r>
              <w:rPr>
                <w:color w:val="auto"/>
                <w:spacing w:val="-2"/>
                <w:sz w:val="18"/>
                <w:szCs w:val="18"/>
                <w:highlight w:val="none"/>
              </w:rPr>
              <w:t>1000≤Y＜100000</w:t>
            </w:r>
          </w:p>
        </w:tc>
        <w:tc>
          <w:tcPr>
            <w:tcW w:w="1428" w:type="dxa"/>
            <w:vAlign w:val="top"/>
          </w:tcPr>
          <w:p w14:paraId="44791E2E">
            <w:pPr>
              <w:pStyle w:val="229"/>
              <w:spacing w:before="216" w:line="184" w:lineRule="auto"/>
              <w:ind w:left="191"/>
              <w:rPr>
                <w:color w:val="auto"/>
                <w:sz w:val="18"/>
                <w:szCs w:val="18"/>
                <w:highlight w:val="none"/>
              </w:rPr>
            </w:pPr>
            <w:r>
              <w:rPr>
                <w:color w:val="auto"/>
                <w:spacing w:val="-2"/>
                <w:sz w:val="18"/>
                <w:szCs w:val="18"/>
                <w:highlight w:val="none"/>
              </w:rPr>
              <w:t>100≤Y＜1000</w:t>
            </w:r>
          </w:p>
        </w:tc>
        <w:tc>
          <w:tcPr>
            <w:tcW w:w="998" w:type="dxa"/>
            <w:vAlign w:val="top"/>
          </w:tcPr>
          <w:p w14:paraId="03A344BF">
            <w:pPr>
              <w:pStyle w:val="229"/>
              <w:spacing w:before="216" w:line="184" w:lineRule="auto"/>
              <w:ind w:left="230"/>
              <w:rPr>
                <w:color w:val="auto"/>
                <w:sz w:val="18"/>
                <w:szCs w:val="18"/>
                <w:highlight w:val="none"/>
              </w:rPr>
            </w:pPr>
            <w:r>
              <w:rPr>
                <w:color w:val="auto"/>
                <w:spacing w:val="-1"/>
                <w:sz w:val="18"/>
                <w:szCs w:val="18"/>
                <w:highlight w:val="none"/>
              </w:rPr>
              <w:t>Y＜100</w:t>
            </w:r>
          </w:p>
        </w:tc>
      </w:tr>
      <w:tr w14:paraId="661D3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122" w:type="dxa"/>
            <w:vMerge w:val="restart"/>
            <w:tcBorders>
              <w:bottom w:val="nil"/>
            </w:tcBorders>
            <w:vAlign w:val="top"/>
          </w:tcPr>
          <w:p w14:paraId="5D220E90">
            <w:pPr>
              <w:spacing w:line="344" w:lineRule="auto"/>
              <w:rPr>
                <w:rFonts w:ascii="Arial"/>
                <w:color w:val="auto"/>
                <w:sz w:val="21"/>
                <w:highlight w:val="none"/>
              </w:rPr>
            </w:pPr>
          </w:p>
          <w:p w14:paraId="38194544">
            <w:pPr>
              <w:pStyle w:val="229"/>
              <w:spacing w:before="59" w:line="219" w:lineRule="auto"/>
              <w:ind w:left="116"/>
              <w:rPr>
                <w:color w:val="auto"/>
                <w:sz w:val="18"/>
                <w:szCs w:val="18"/>
                <w:highlight w:val="none"/>
              </w:rPr>
            </w:pPr>
            <w:r>
              <w:rPr>
                <w:color w:val="auto"/>
                <w:spacing w:val="-15"/>
                <w:w w:val="97"/>
                <w:sz w:val="18"/>
                <w:szCs w:val="18"/>
                <w:highlight w:val="none"/>
              </w:rPr>
              <w:t>软件和信息技术服务业</w:t>
            </w:r>
          </w:p>
        </w:tc>
        <w:tc>
          <w:tcPr>
            <w:tcW w:w="1371" w:type="dxa"/>
            <w:vAlign w:val="top"/>
          </w:tcPr>
          <w:p w14:paraId="63A7F15B">
            <w:pPr>
              <w:pStyle w:val="229"/>
              <w:spacing w:before="215" w:line="213"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2F9247B9">
            <w:pPr>
              <w:pStyle w:val="229"/>
              <w:spacing w:before="215" w:line="213" w:lineRule="auto"/>
              <w:ind w:left="271"/>
              <w:rPr>
                <w:color w:val="auto"/>
                <w:sz w:val="18"/>
                <w:szCs w:val="18"/>
                <w:highlight w:val="none"/>
              </w:rPr>
            </w:pPr>
            <w:r>
              <w:rPr>
                <w:color w:val="auto"/>
                <w:sz w:val="18"/>
                <w:szCs w:val="18"/>
                <w:highlight w:val="none"/>
              </w:rPr>
              <w:t>人</w:t>
            </w:r>
          </w:p>
        </w:tc>
        <w:tc>
          <w:tcPr>
            <w:tcW w:w="1126" w:type="dxa"/>
            <w:vAlign w:val="top"/>
          </w:tcPr>
          <w:p w14:paraId="4E675FA9">
            <w:pPr>
              <w:pStyle w:val="229"/>
              <w:spacing w:before="215" w:line="213" w:lineRule="auto"/>
              <w:ind w:left="294"/>
              <w:rPr>
                <w:color w:val="auto"/>
                <w:sz w:val="18"/>
                <w:szCs w:val="18"/>
                <w:highlight w:val="none"/>
              </w:rPr>
            </w:pPr>
            <w:r>
              <w:rPr>
                <w:color w:val="auto"/>
                <w:spacing w:val="-1"/>
                <w:sz w:val="18"/>
                <w:szCs w:val="18"/>
                <w:highlight w:val="none"/>
              </w:rPr>
              <w:t>X≥300</w:t>
            </w:r>
          </w:p>
        </w:tc>
        <w:tc>
          <w:tcPr>
            <w:tcW w:w="1704" w:type="dxa"/>
            <w:vAlign w:val="top"/>
          </w:tcPr>
          <w:p w14:paraId="4B1AF6FF">
            <w:pPr>
              <w:pStyle w:val="229"/>
              <w:spacing w:before="215" w:line="213" w:lineRule="auto"/>
              <w:ind w:left="321"/>
              <w:rPr>
                <w:color w:val="auto"/>
                <w:sz w:val="18"/>
                <w:szCs w:val="18"/>
                <w:highlight w:val="none"/>
              </w:rPr>
            </w:pPr>
            <w:r>
              <w:rPr>
                <w:color w:val="auto"/>
                <w:spacing w:val="-3"/>
                <w:sz w:val="18"/>
                <w:szCs w:val="18"/>
                <w:highlight w:val="none"/>
              </w:rPr>
              <w:t>100≤X＜300</w:t>
            </w:r>
          </w:p>
        </w:tc>
        <w:tc>
          <w:tcPr>
            <w:tcW w:w="1428" w:type="dxa"/>
            <w:vAlign w:val="top"/>
          </w:tcPr>
          <w:p w14:paraId="567C68CB">
            <w:pPr>
              <w:pStyle w:val="229"/>
              <w:spacing w:before="215" w:line="213" w:lineRule="auto"/>
              <w:ind w:left="283"/>
              <w:rPr>
                <w:color w:val="auto"/>
                <w:sz w:val="18"/>
                <w:szCs w:val="18"/>
                <w:highlight w:val="none"/>
              </w:rPr>
            </w:pPr>
            <w:r>
              <w:rPr>
                <w:color w:val="auto"/>
                <w:spacing w:val="-3"/>
                <w:sz w:val="18"/>
                <w:szCs w:val="18"/>
                <w:highlight w:val="none"/>
              </w:rPr>
              <w:t>10≤X＜100</w:t>
            </w:r>
          </w:p>
        </w:tc>
        <w:tc>
          <w:tcPr>
            <w:tcW w:w="998" w:type="dxa"/>
            <w:vAlign w:val="top"/>
          </w:tcPr>
          <w:p w14:paraId="2AED00FC">
            <w:pPr>
              <w:pStyle w:val="229"/>
              <w:spacing w:before="215" w:line="213" w:lineRule="auto"/>
              <w:ind w:left="277"/>
              <w:rPr>
                <w:color w:val="auto"/>
                <w:sz w:val="18"/>
                <w:szCs w:val="18"/>
                <w:highlight w:val="none"/>
              </w:rPr>
            </w:pPr>
            <w:r>
              <w:rPr>
                <w:color w:val="auto"/>
                <w:spacing w:val="-2"/>
                <w:sz w:val="18"/>
                <w:szCs w:val="18"/>
                <w:highlight w:val="none"/>
              </w:rPr>
              <w:t>X＜10</w:t>
            </w:r>
          </w:p>
        </w:tc>
      </w:tr>
      <w:tr w14:paraId="47EB4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22" w:type="dxa"/>
            <w:vMerge w:val="continue"/>
            <w:tcBorders>
              <w:top w:val="nil"/>
            </w:tcBorders>
            <w:vAlign w:val="top"/>
          </w:tcPr>
          <w:p w14:paraId="2ACC4766">
            <w:pPr>
              <w:rPr>
                <w:rFonts w:ascii="Arial"/>
                <w:color w:val="auto"/>
                <w:sz w:val="21"/>
                <w:highlight w:val="none"/>
              </w:rPr>
            </w:pPr>
          </w:p>
        </w:tc>
        <w:tc>
          <w:tcPr>
            <w:tcW w:w="1371" w:type="dxa"/>
            <w:vAlign w:val="top"/>
          </w:tcPr>
          <w:p w14:paraId="75C8EB46">
            <w:pPr>
              <w:pStyle w:val="229"/>
              <w:spacing w:before="216" w:line="186"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11BF010B">
            <w:pPr>
              <w:pStyle w:val="229"/>
              <w:spacing w:before="216" w:line="186" w:lineRule="auto"/>
              <w:ind w:left="182"/>
              <w:rPr>
                <w:color w:val="auto"/>
                <w:sz w:val="18"/>
                <w:szCs w:val="18"/>
                <w:highlight w:val="none"/>
              </w:rPr>
            </w:pPr>
            <w:r>
              <w:rPr>
                <w:color w:val="auto"/>
                <w:spacing w:val="-6"/>
                <w:sz w:val="18"/>
                <w:szCs w:val="18"/>
                <w:highlight w:val="none"/>
              </w:rPr>
              <w:t>万元</w:t>
            </w:r>
          </w:p>
        </w:tc>
        <w:tc>
          <w:tcPr>
            <w:tcW w:w="1126" w:type="dxa"/>
            <w:vAlign w:val="top"/>
          </w:tcPr>
          <w:p w14:paraId="2C62DC06">
            <w:pPr>
              <w:pStyle w:val="229"/>
              <w:spacing w:before="216" w:line="186" w:lineRule="auto"/>
              <w:ind w:left="204"/>
              <w:rPr>
                <w:color w:val="auto"/>
                <w:sz w:val="18"/>
                <w:szCs w:val="18"/>
                <w:highlight w:val="none"/>
              </w:rPr>
            </w:pPr>
            <w:r>
              <w:rPr>
                <w:color w:val="auto"/>
                <w:spacing w:val="-1"/>
                <w:sz w:val="18"/>
                <w:szCs w:val="18"/>
                <w:highlight w:val="none"/>
              </w:rPr>
              <w:t>Y≥10000</w:t>
            </w:r>
          </w:p>
        </w:tc>
        <w:tc>
          <w:tcPr>
            <w:tcW w:w="1704" w:type="dxa"/>
            <w:vAlign w:val="top"/>
          </w:tcPr>
          <w:p w14:paraId="28974EF6">
            <w:pPr>
              <w:pStyle w:val="229"/>
              <w:spacing w:before="216" w:line="186" w:lineRule="auto"/>
              <w:ind w:left="239"/>
              <w:rPr>
                <w:color w:val="auto"/>
                <w:sz w:val="18"/>
                <w:szCs w:val="18"/>
                <w:highlight w:val="none"/>
              </w:rPr>
            </w:pPr>
            <w:r>
              <w:rPr>
                <w:color w:val="auto"/>
                <w:spacing w:val="-2"/>
                <w:sz w:val="18"/>
                <w:szCs w:val="18"/>
                <w:highlight w:val="none"/>
              </w:rPr>
              <w:t>1000≤Y＜10000</w:t>
            </w:r>
          </w:p>
        </w:tc>
        <w:tc>
          <w:tcPr>
            <w:tcW w:w="1428" w:type="dxa"/>
            <w:vAlign w:val="top"/>
          </w:tcPr>
          <w:p w14:paraId="7D17434F">
            <w:pPr>
              <w:pStyle w:val="229"/>
              <w:spacing w:before="216" w:line="186" w:lineRule="auto"/>
              <w:ind w:left="227"/>
              <w:rPr>
                <w:color w:val="auto"/>
                <w:sz w:val="18"/>
                <w:szCs w:val="18"/>
                <w:highlight w:val="none"/>
              </w:rPr>
            </w:pPr>
            <w:r>
              <w:rPr>
                <w:color w:val="auto"/>
                <w:spacing w:val="-1"/>
                <w:sz w:val="18"/>
                <w:szCs w:val="18"/>
                <w:highlight w:val="none"/>
              </w:rPr>
              <w:t>50≤Y＜1000</w:t>
            </w:r>
          </w:p>
        </w:tc>
        <w:tc>
          <w:tcPr>
            <w:tcW w:w="998" w:type="dxa"/>
            <w:vAlign w:val="top"/>
          </w:tcPr>
          <w:p w14:paraId="020185CA">
            <w:pPr>
              <w:pStyle w:val="229"/>
              <w:spacing w:before="216" w:line="186" w:lineRule="auto"/>
              <w:ind w:left="276"/>
              <w:rPr>
                <w:color w:val="auto"/>
                <w:sz w:val="18"/>
                <w:szCs w:val="18"/>
                <w:highlight w:val="none"/>
              </w:rPr>
            </w:pPr>
            <w:r>
              <w:rPr>
                <w:color w:val="auto"/>
                <w:spacing w:val="-2"/>
                <w:sz w:val="18"/>
                <w:szCs w:val="18"/>
                <w:highlight w:val="none"/>
              </w:rPr>
              <w:t>Y＜50</w:t>
            </w:r>
          </w:p>
        </w:tc>
      </w:tr>
      <w:tr w14:paraId="74B1A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2122" w:type="dxa"/>
            <w:vMerge w:val="restart"/>
            <w:tcBorders>
              <w:bottom w:val="nil"/>
            </w:tcBorders>
            <w:vAlign w:val="top"/>
          </w:tcPr>
          <w:p w14:paraId="46D05AE3">
            <w:pPr>
              <w:spacing w:line="350" w:lineRule="auto"/>
              <w:rPr>
                <w:rFonts w:ascii="Arial"/>
                <w:color w:val="auto"/>
                <w:sz w:val="21"/>
                <w:highlight w:val="none"/>
              </w:rPr>
            </w:pPr>
          </w:p>
          <w:p w14:paraId="5C0DAD82">
            <w:pPr>
              <w:pStyle w:val="229"/>
              <w:spacing w:before="59" w:line="219" w:lineRule="auto"/>
              <w:ind w:left="115"/>
              <w:rPr>
                <w:color w:val="auto"/>
                <w:sz w:val="18"/>
                <w:szCs w:val="18"/>
                <w:highlight w:val="none"/>
              </w:rPr>
            </w:pPr>
            <w:r>
              <w:rPr>
                <w:color w:val="auto"/>
                <w:spacing w:val="-2"/>
                <w:sz w:val="18"/>
                <w:szCs w:val="18"/>
                <w:highlight w:val="none"/>
              </w:rPr>
              <w:t>房地产开发经营</w:t>
            </w:r>
          </w:p>
        </w:tc>
        <w:tc>
          <w:tcPr>
            <w:tcW w:w="1371" w:type="dxa"/>
            <w:vAlign w:val="top"/>
          </w:tcPr>
          <w:p w14:paraId="0F551582">
            <w:pPr>
              <w:pStyle w:val="229"/>
              <w:spacing w:before="216" w:line="219"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4A4548AB">
            <w:pPr>
              <w:pStyle w:val="229"/>
              <w:spacing w:before="216" w:line="220" w:lineRule="auto"/>
              <w:ind w:left="182"/>
              <w:rPr>
                <w:color w:val="auto"/>
                <w:sz w:val="18"/>
                <w:szCs w:val="18"/>
                <w:highlight w:val="none"/>
              </w:rPr>
            </w:pPr>
            <w:r>
              <w:rPr>
                <w:color w:val="auto"/>
                <w:spacing w:val="-6"/>
                <w:sz w:val="18"/>
                <w:szCs w:val="18"/>
                <w:highlight w:val="none"/>
              </w:rPr>
              <w:t>万元</w:t>
            </w:r>
          </w:p>
        </w:tc>
        <w:tc>
          <w:tcPr>
            <w:tcW w:w="1126" w:type="dxa"/>
            <w:vAlign w:val="top"/>
          </w:tcPr>
          <w:p w14:paraId="3165864D">
            <w:pPr>
              <w:pStyle w:val="229"/>
              <w:spacing w:before="216" w:line="220" w:lineRule="auto"/>
              <w:ind w:left="159"/>
              <w:rPr>
                <w:color w:val="auto"/>
                <w:sz w:val="18"/>
                <w:szCs w:val="18"/>
                <w:highlight w:val="none"/>
              </w:rPr>
            </w:pPr>
            <w:r>
              <w:rPr>
                <w:color w:val="auto"/>
                <w:spacing w:val="-1"/>
                <w:sz w:val="18"/>
                <w:szCs w:val="18"/>
                <w:highlight w:val="none"/>
              </w:rPr>
              <w:t>Y≥200000</w:t>
            </w:r>
          </w:p>
        </w:tc>
        <w:tc>
          <w:tcPr>
            <w:tcW w:w="1704" w:type="dxa"/>
            <w:vAlign w:val="top"/>
          </w:tcPr>
          <w:p w14:paraId="4B9B838C">
            <w:pPr>
              <w:pStyle w:val="229"/>
              <w:spacing w:before="216" w:line="220" w:lineRule="auto"/>
              <w:ind w:left="194"/>
              <w:rPr>
                <w:color w:val="auto"/>
                <w:sz w:val="18"/>
                <w:szCs w:val="18"/>
                <w:highlight w:val="none"/>
              </w:rPr>
            </w:pPr>
            <w:r>
              <w:rPr>
                <w:color w:val="auto"/>
                <w:spacing w:val="-2"/>
                <w:sz w:val="18"/>
                <w:szCs w:val="18"/>
                <w:highlight w:val="none"/>
              </w:rPr>
              <w:t>1000≤Y＜200000</w:t>
            </w:r>
          </w:p>
        </w:tc>
        <w:tc>
          <w:tcPr>
            <w:tcW w:w="1428" w:type="dxa"/>
            <w:vAlign w:val="top"/>
          </w:tcPr>
          <w:p w14:paraId="3367F6CA">
            <w:pPr>
              <w:pStyle w:val="229"/>
              <w:spacing w:before="216" w:line="220" w:lineRule="auto"/>
              <w:ind w:left="191"/>
              <w:rPr>
                <w:color w:val="auto"/>
                <w:sz w:val="18"/>
                <w:szCs w:val="18"/>
                <w:highlight w:val="none"/>
              </w:rPr>
            </w:pPr>
            <w:r>
              <w:rPr>
                <w:color w:val="auto"/>
                <w:spacing w:val="-2"/>
                <w:sz w:val="18"/>
                <w:szCs w:val="18"/>
                <w:highlight w:val="none"/>
              </w:rPr>
              <w:t>100≤Y＜1000</w:t>
            </w:r>
          </w:p>
        </w:tc>
        <w:tc>
          <w:tcPr>
            <w:tcW w:w="998" w:type="dxa"/>
            <w:vAlign w:val="top"/>
          </w:tcPr>
          <w:p w14:paraId="7BC395FD">
            <w:pPr>
              <w:pStyle w:val="229"/>
              <w:spacing w:before="216" w:line="220" w:lineRule="auto"/>
              <w:ind w:left="230"/>
              <w:rPr>
                <w:color w:val="auto"/>
                <w:sz w:val="18"/>
                <w:szCs w:val="18"/>
                <w:highlight w:val="none"/>
              </w:rPr>
            </w:pPr>
            <w:r>
              <w:rPr>
                <w:color w:val="auto"/>
                <w:spacing w:val="-1"/>
                <w:sz w:val="18"/>
                <w:szCs w:val="18"/>
                <w:highlight w:val="none"/>
              </w:rPr>
              <w:t>Y＜100</w:t>
            </w:r>
          </w:p>
        </w:tc>
      </w:tr>
      <w:tr w14:paraId="59BBD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22" w:type="dxa"/>
            <w:vMerge w:val="continue"/>
            <w:tcBorders>
              <w:top w:val="nil"/>
            </w:tcBorders>
            <w:vAlign w:val="top"/>
          </w:tcPr>
          <w:p w14:paraId="03E52EC4">
            <w:pPr>
              <w:rPr>
                <w:rFonts w:ascii="Arial"/>
                <w:color w:val="auto"/>
                <w:sz w:val="21"/>
                <w:highlight w:val="none"/>
              </w:rPr>
            </w:pPr>
          </w:p>
        </w:tc>
        <w:tc>
          <w:tcPr>
            <w:tcW w:w="1371" w:type="dxa"/>
            <w:vAlign w:val="top"/>
          </w:tcPr>
          <w:p w14:paraId="3942281C">
            <w:pPr>
              <w:pStyle w:val="229"/>
              <w:spacing w:before="216" w:line="186" w:lineRule="auto"/>
              <w:ind w:left="201"/>
              <w:rPr>
                <w:color w:val="auto"/>
                <w:sz w:val="18"/>
                <w:szCs w:val="18"/>
                <w:highlight w:val="none"/>
              </w:rPr>
            </w:pPr>
            <w:r>
              <w:rPr>
                <w:color w:val="auto"/>
                <w:spacing w:val="-2"/>
                <w:sz w:val="18"/>
                <w:szCs w:val="18"/>
                <w:highlight w:val="none"/>
              </w:rPr>
              <w:t>资产总额(Z)</w:t>
            </w:r>
          </w:p>
        </w:tc>
        <w:tc>
          <w:tcPr>
            <w:tcW w:w="710" w:type="dxa"/>
            <w:vAlign w:val="top"/>
          </w:tcPr>
          <w:p w14:paraId="0EB55BAD">
            <w:pPr>
              <w:pStyle w:val="229"/>
              <w:spacing w:before="216" w:line="186" w:lineRule="auto"/>
              <w:ind w:left="182"/>
              <w:rPr>
                <w:color w:val="auto"/>
                <w:sz w:val="18"/>
                <w:szCs w:val="18"/>
                <w:highlight w:val="none"/>
              </w:rPr>
            </w:pPr>
            <w:r>
              <w:rPr>
                <w:color w:val="auto"/>
                <w:spacing w:val="-6"/>
                <w:sz w:val="18"/>
                <w:szCs w:val="18"/>
                <w:highlight w:val="none"/>
              </w:rPr>
              <w:t>万元</w:t>
            </w:r>
          </w:p>
        </w:tc>
        <w:tc>
          <w:tcPr>
            <w:tcW w:w="1126" w:type="dxa"/>
            <w:vAlign w:val="top"/>
          </w:tcPr>
          <w:p w14:paraId="6CB2C53F">
            <w:pPr>
              <w:pStyle w:val="229"/>
              <w:spacing w:before="216" w:line="186" w:lineRule="auto"/>
              <w:ind w:left="207"/>
              <w:rPr>
                <w:color w:val="auto"/>
                <w:sz w:val="18"/>
                <w:szCs w:val="18"/>
                <w:highlight w:val="none"/>
              </w:rPr>
            </w:pPr>
            <w:r>
              <w:rPr>
                <w:color w:val="auto"/>
                <w:spacing w:val="-1"/>
                <w:sz w:val="18"/>
                <w:szCs w:val="18"/>
                <w:highlight w:val="none"/>
              </w:rPr>
              <w:t>Z≥10000</w:t>
            </w:r>
          </w:p>
        </w:tc>
        <w:tc>
          <w:tcPr>
            <w:tcW w:w="1704" w:type="dxa"/>
            <w:vAlign w:val="top"/>
          </w:tcPr>
          <w:p w14:paraId="732AF47A">
            <w:pPr>
              <w:pStyle w:val="229"/>
              <w:spacing w:before="216" w:line="186" w:lineRule="auto"/>
              <w:ind w:left="230"/>
              <w:rPr>
                <w:color w:val="auto"/>
                <w:sz w:val="18"/>
                <w:szCs w:val="18"/>
                <w:highlight w:val="none"/>
              </w:rPr>
            </w:pPr>
            <w:r>
              <w:rPr>
                <w:color w:val="auto"/>
                <w:spacing w:val="-1"/>
                <w:sz w:val="18"/>
                <w:szCs w:val="18"/>
                <w:highlight w:val="none"/>
              </w:rPr>
              <w:t>5000≤Z＜10000</w:t>
            </w:r>
          </w:p>
        </w:tc>
        <w:tc>
          <w:tcPr>
            <w:tcW w:w="1428" w:type="dxa"/>
            <w:vAlign w:val="top"/>
          </w:tcPr>
          <w:p w14:paraId="1072626A">
            <w:pPr>
              <w:pStyle w:val="229"/>
              <w:spacing w:before="216" w:line="186" w:lineRule="auto"/>
              <w:ind w:left="137"/>
              <w:rPr>
                <w:color w:val="auto"/>
                <w:sz w:val="18"/>
                <w:szCs w:val="18"/>
                <w:highlight w:val="none"/>
              </w:rPr>
            </w:pPr>
            <w:r>
              <w:rPr>
                <w:color w:val="auto"/>
                <w:spacing w:val="-1"/>
                <w:sz w:val="18"/>
                <w:szCs w:val="18"/>
                <w:highlight w:val="none"/>
              </w:rPr>
              <w:t>2000≤Z＜5000</w:t>
            </w:r>
          </w:p>
        </w:tc>
        <w:tc>
          <w:tcPr>
            <w:tcW w:w="998" w:type="dxa"/>
            <w:vAlign w:val="top"/>
          </w:tcPr>
          <w:p w14:paraId="370E6690">
            <w:pPr>
              <w:pStyle w:val="229"/>
              <w:spacing w:before="216" w:line="186" w:lineRule="auto"/>
              <w:ind w:left="187"/>
              <w:rPr>
                <w:color w:val="auto"/>
                <w:sz w:val="18"/>
                <w:szCs w:val="18"/>
                <w:highlight w:val="none"/>
              </w:rPr>
            </w:pPr>
            <w:r>
              <w:rPr>
                <w:color w:val="auto"/>
                <w:spacing w:val="-1"/>
                <w:sz w:val="18"/>
                <w:szCs w:val="18"/>
                <w:highlight w:val="none"/>
              </w:rPr>
              <w:t>Z＜2000</w:t>
            </w:r>
          </w:p>
        </w:tc>
      </w:tr>
      <w:tr w14:paraId="35990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122" w:type="dxa"/>
            <w:vMerge w:val="restart"/>
            <w:tcBorders>
              <w:bottom w:val="nil"/>
            </w:tcBorders>
            <w:vAlign w:val="top"/>
          </w:tcPr>
          <w:p w14:paraId="00ABAE33">
            <w:pPr>
              <w:spacing w:line="348" w:lineRule="auto"/>
              <w:rPr>
                <w:rFonts w:ascii="Arial"/>
                <w:color w:val="auto"/>
                <w:sz w:val="21"/>
                <w:highlight w:val="none"/>
              </w:rPr>
            </w:pPr>
          </w:p>
          <w:p w14:paraId="3C31C452">
            <w:pPr>
              <w:pStyle w:val="229"/>
              <w:spacing w:before="58" w:line="219" w:lineRule="auto"/>
              <w:ind w:left="114"/>
              <w:rPr>
                <w:color w:val="auto"/>
                <w:sz w:val="18"/>
                <w:szCs w:val="18"/>
                <w:highlight w:val="none"/>
              </w:rPr>
            </w:pPr>
            <w:r>
              <w:rPr>
                <w:color w:val="auto"/>
                <w:spacing w:val="-2"/>
                <w:sz w:val="18"/>
                <w:szCs w:val="18"/>
                <w:highlight w:val="none"/>
              </w:rPr>
              <w:t>物业管理</w:t>
            </w:r>
          </w:p>
        </w:tc>
        <w:tc>
          <w:tcPr>
            <w:tcW w:w="1371" w:type="dxa"/>
            <w:vAlign w:val="top"/>
          </w:tcPr>
          <w:p w14:paraId="58565A3E">
            <w:pPr>
              <w:pStyle w:val="229"/>
              <w:spacing w:before="216" w:line="212"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6FD5BFF7">
            <w:pPr>
              <w:pStyle w:val="229"/>
              <w:spacing w:before="216" w:line="212" w:lineRule="auto"/>
              <w:ind w:left="271"/>
              <w:rPr>
                <w:color w:val="auto"/>
                <w:sz w:val="18"/>
                <w:szCs w:val="18"/>
                <w:highlight w:val="none"/>
              </w:rPr>
            </w:pPr>
            <w:r>
              <w:rPr>
                <w:color w:val="auto"/>
                <w:sz w:val="18"/>
                <w:szCs w:val="18"/>
                <w:highlight w:val="none"/>
              </w:rPr>
              <w:t>人</w:t>
            </w:r>
          </w:p>
        </w:tc>
        <w:tc>
          <w:tcPr>
            <w:tcW w:w="1126" w:type="dxa"/>
            <w:vAlign w:val="top"/>
          </w:tcPr>
          <w:p w14:paraId="463E995E">
            <w:pPr>
              <w:pStyle w:val="229"/>
              <w:spacing w:before="216" w:line="212" w:lineRule="auto"/>
              <w:ind w:left="248"/>
              <w:rPr>
                <w:color w:val="auto"/>
                <w:sz w:val="18"/>
                <w:szCs w:val="18"/>
                <w:highlight w:val="none"/>
              </w:rPr>
            </w:pPr>
            <w:r>
              <w:rPr>
                <w:color w:val="auto"/>
                <w:spacing w:val="-1"/>
                <w:sz w:val="18"/>
                <w:szCs w:val="18"/>
                <w:highlight w:val="none"/>
              </w:rPr>
              <w:t>X≥1000</w:t>
            </w:r>
          </w:p>
        </w:tc>
        <w:tc>
          <w:tcPr>
            <w:tcW w:w="1704" w:type="dxa"/>
            <w:vAlign w:val="top"/>
          </w:tcPr>
          <w:p w14:paraId="6DFD95AF">
            <w:pPr>
              <w:pStyle w:val="229"/>
              <w:spacing w:before="216" w:line="212" w:lineRule="auto"/>
              <w:ind w:left="321"/>
              <w:rPr>
                <w:color w:val="auto"/>
                <w:sz w:val="18"/>
                <w:szCs w:val="18"/>
                <w:highlight w:val="none"/>
              </w:rPr>
            </w:pPr>
            <w:r>
              <w:rPr>
                <w:color w:val="auto"/>
                <w:spacing w:val="-1"/>
                <w:sz w:val="18"/>
                <w:szCs w:val="18"/>
                <w:highlight w:val="none"/>
              </w:rPr>
              <w:t>300≤X＜1000</w:t>
            </w:r>
          </w:p>
        </w:tc>
        <w:tc>
          <w:tcPr>
            <w:tcW w:w="1428" w:type="dxa"/>
            <w:vAlign w:val="top"/>
          </w:tcPr>
          <w:p w14:paraId="485E865E">
            <w:pPr>
              <w:pStyle w:val="229"/>
              <w:spacing w:before="216" w:line="212" w:lineRule="auto"/>
              <w:ind w:left="237"/>
              <w:rPr>
                <w:color w:val="auto"/>
                <w:sz w:val="18"/>
                <w:szCs w:val="18"/>
                <w:highlight w:val="none"/>
              </w:rPr>
            </w:pPr>
            <w:r>
              <w:rPr>
                <w:color w:val="auto"/>
                <w:spacing w:val="-3"/>
                <w:sz w:val="18"/>
                <w:szCs w:val="18"/>
                <w:highlight w:val="none"/>
              </w:rPr>
              <w:t>100≤X＜300</w:t>
            </w:r>
          </w:p>
        </w:tc>
        <w:tc>
          <w:tcPr>
            <w:tcW w:w="998" w:type="dxa"/>
            <w:vAlign w:val="top"/>
          </w:tcPr>
          <w:p w14:paraId="31B5A481">
            <w:pPr>
              <w:pStyle w:val="229"/>
              <w:spacing w:before="216" w:line="212" w:lineRule="auto"/>
              <w:ind w:left="231"/>
              <w:rPr>
                <w:color w:val="auto"/>
                <w:sz w:val="18"/>
                <w:szCs w:val="18"/>
                <w:highlight w:val="none"/>
              </w:rPr>
            </w:pPr>
            <w:r>
              <w:rPr>
                <w:color w:val="auto"/>
                <w:spacing w:val="-1"/>
                <w:sz w:val="18"/>
                <w:szCs w:val="18"/>
                <w:highlight w:val="none"/>
              </w:rPr>
              <w:t>X＜100</w:t>
            </w:r>
          </w:p>
        </w:tc>
      </w:tr>
      <w:tr w14:paraId="1CBF0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22" w:type="dxa"/>
            <w:vMerge w:val="continue"/>
            <w:tcBorders>
              <w:top w:val="nil"/>
            </w:tcBorders>
            <w:vAlign w:val="top"/>
          </w:tcPr>
          <w:p w14:paraId="6C3F2651">
            <w:pPr>
              <w:rPr>
                <w:rFonts w:ascii="Arial"/>
                <w:color w:val="auto"/>
                <w:sz w:val="21"/>
                <w:highlight w:val="none"/>
              </w:rPr>
            </w:pPr>
          </w:p>
        </w:tc>
        <w:tc>
          <w:tcPr>
            <w:tcW w:w="1371" w:type="dxa"/>
            <w:vAlign w:val="top"/>
          </w:tcPr>
          <w:p w14:paraId="2254A92C">
            <w:pPr>
              <w:pStyle w:val="229"/>
              <w:spacing w:before="217" w:line="185" w:lineRule="auto"/>
              <w:ind w:left="199"/>
              <w:rPr>
                <w:color w:val="auto"/>
                <w:sz w:val="18"/>
                <w:szCs w:val="18"/>
                <w:highlight w:val="none"/>
              </w:rPr>
            </w:pPr>
            <w:r>
              <w:rPr>
                <w:color w:val="auto"/>
                <w:spacing w:val="-2"/>
                <w:sz w:val="18"/>
                <w:szCs w:val="18"/>
                <w:highlight w:val="none"/>
              </w:rPr>
              <w:t>营业收入(Y)</w:t>
            </w:r>
          </w:p>
        </w:tc>
        <w:tc>
          <w:tcPr>
            <w:tcW w:w="710" w:type="dxa"/>
            <w:vAlign w:val="top"/>
          </w:tcPr>
          <w:p w14:paraId="761E063E">
            <w:pPr>
              <w:pStyle w:val="229"/>
              <w:spacing w:before="217" w:line="185" w:lineRule="auto"/>
              <w:ind w:left="182"/>
              <w:rPr>
                <w:color w:val="auto"/>
                <w:sz w:val="18"/>
                <w:szCs w:val="18"/>
                <w:highlight w:val="none"/>
              </w:rPr>
            </w:pPr>
            <w:r>
              <w:rPr>
                <w:color w:val="auto"/>
                <w:spacing w:val="-6"/>
                <w:sz w:val="18"/>
                <w:szCs w:val="18"/>
                <w:highlight w:val="none"/>
              </w:rPr>
              <w:t>万元</w:t>
            </w:r>
          </w:p>
        </w:tc>
        <w:tc>
          <w:tcPr>
            <w:tcW w:w="1126" w:type="dxa"/>
            <w:vAlign w:val="top"/>
          </w:tcPr>
          <w:p w14:paraId="1E458FF5">
            <w:pPr>
              <w:pStyle w:val="229"/>
              <w:spacing w:before="217" w:line="185" w:lineRule="auto"/>
              <w:ind w:left="248"/>
              <w:rPr>
                <w:color w:val="auto"/>
                <w:sz w:val="18"/>
                <w:szCs w:val="18"/>
                <w:highlight w:val="none"/>
              </w:rPr>
            </w:pPr>
            <w:r>
              <w:rPr>
                <w:color w:val="auto"/>
                <w:spacing w:val="-1"/>
                <w:sz w:val="18"/>
                <w:szCs w:val="18"/>
                <w:highlight w:val="none"/>
              </w:rPr>
              <w:t>Y≥5000</w:t>
            </w:r>
          </w:p>
        </w:tc>
        <w:tc>
          <w:tcPr>
            <w:tcW w:w="1704" w:type="dxa"/>
            <w:vAlign w:val="top"/>
          </w:tcPr>
          <w:p w14:paraId="0F4617FF">
            <w:pPr>
              <w:pStyle w:val="229"/>
              <w:spacing w:before="217" w:line="185" w:lineRule="auto"/>
              <w:ind w:left="232"/>
              <w:rPr>
                <w:color w:val="auto"/>
                <w:sz w:val="18"/>
                <w:szCs w:val="18"/>
                <w:highlight w:val="none"/>
              </w:rPr>
            </w:pPr>
            <w:r>
              <w:rPr>
                <w:color w:val="auto"/>
                <w:spacing w:val="-2"/>
                <w:sz w:val="18"/>
                <w:szCs w:val="18"/>
                <w:highlight w:val="none"/>
              </w:rPr>
              <w:t>1000≤Y＜5000</w:t>
            </w:r>
          </w:p>
        </w:tc>
        <w:tc>
          <w:tcPr>
            <w:tcW w:w="1428" w:type="dxa"/>
            <w:vAlign w:val="top"/>
          </w:tcPr>
          <w:p w14:paraId="014B3B4A">
            <w:pPr>
              <w:pStyle w:val="229"/>
              <w:spacing w:before="217" w:line="185" w:lineRule="auto"/>
              <w:ind w:left="182"/>
              <w:rPr>
                <w:color w:val="auto"/>
                <w:sz w:val="18"/>
                <w:szCs w:val="18"/>
                <w:highlight w:val="none"/>
              </w:rPr>
            </w:pPr>
            <w:r>
              <w:rPr>
                <w:color w:val="auto"/>
                <w:spacing w:val="-1"/>
                <w:sz w:val="18"/>
                <w:szCs w:val="18"/>
                <w:highlight w:val="none"/>
              </w:rPr>
              <w:t>500≤Y＜1000</w:t>
            </w:r>
          </w:p>
        </w:tc>
        <w:tc>
          <w:tcPr>
            <w:tcW w:w="998" w:type="dxa"/>
            <w:vAlign w:val="top"/>
          </w:tcPr>
          <w:p w14:paraId="7FEAD1F7">
            <w:pPr>
              <w:pStyle w:val="229"/>
              <w:spacing w:before="217" w:line="185" w:lineRule="auto"/>
              <w:ind w:left="230"/>
              <w:rPr>
                <w:color w:val="auto"/>
                <w:sz w:val="18"/>
                <w:szCs w:val="18"/>
                <w:highlight w:val="none"/>
              </w:rPr>
            </w:pPr>
            <w:r>
              <w:rPr>
                <w:color w:val="auto"/>
                <w:spacing w:val="-1"/>
                <w:sz w:val="18"/>
                <w:szCs w:val="18"/>
                <w:highlight w:val="none"/>
              </w:rPr>
              <w:t>Y＜500</w:t>
            </w:r>
          </w:p>
        </w:tc>
      </w:tr>
      <w:tr w14:paraId="0FB8E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2122" w:type="dxa"/>
            <w:vMerge w:val="restart"/>
            <w:tcBorders>
              <w:bottom w:val="nil"/>
            </w:tcBorders>
            <w:vAlign w:val="top"/>
          </w:tcPr>
          <w:p w14:paraId="02FC0AEE">
            <w:pPr>
              <w:spacing w:line="404" w:lineRule="auto"/>
              <w:rPr>
                <w:rFonts w:ascii="Arial"/>
                <w:color w:val="auto"/>
                <w:sz w:val="21"/>
                <w:highlight w:val="none"/>
              </w:rPr>
            </w:pPr>
          </w:p>
          <w:p w14:paraId="6CFE19C2">
            <w:pPr>
              <w:pStyle w:val="229"/>
              <w:spacing w:before="58" w:line="219" w:lineRule="auto"/>
              <w:ind w:left="116"/>
              <w:rPr>
                <w:color w:val="auto"/>
                <w:sz w:val="18"/>
                <w:szCs w:val="18"/>
                <w:highlight w:val="none"/>
              </w:rPr>
            </w:pPr>
            <w:r>
              <w:rPr>
                <w:color w:val="auto"/>
                <w:spacing w:val="-2"/>
                <w:sz w:val="18"/>
                <w:szCs w:val="18"/>
                <w:highlight w:val="none"/>
              </w:rPr>
              <w:t>租赁和商务服务业</w:t>
            </w:r>
          </w:p>
        </w:tc>
        <w:tc>
          <w:tcPr>
            <w:tcW w:w="1371" w:type="dxa"/>
            <w:vAlign w:val="top"/>
          </w:tcPr>
          <w:p w14:paraId="7F9CA57C">
            <w:pPr>
              <w:pStyle w:val="229"/>
              <w:spacing w:before="217" w:line="219"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63C4DA2E">
            <w:pPr>
              <w:pStyle w:val="229"/>
              <w:spacing w:before="217" w:line="219" w:lineRule="auto"/>
              <w:ind w:left="271"/>
              <w:rPr>
                <w:color w:val="auto"/>
                <w:sz w:val="18"/>
                <w:szCs w:val="18"/>
                <w:highlight w:val="none"/>
              </w:rPr>
            </w:pPr>
            <w:r>
              <w:rPr>
                <w:color w:val="auto"/>
                <w:sz w:val="18"/>
                <w:szCs w:val="18"/>
                <w:highlight w:val="none"/>
              </w:rPr>
              <w:t>人</w:t>
            </w:r>
          </w:p>
        </w:tc>
        <w:tc>
          <w:tcPr>
            <w:tcW w:w="1126" w:type="dxa"/>
            <w:vAlign w:val="top"/>
          </w:tcPr>
          <w:p w14:paraId="25F1785D">
            <w:pPr>
              <w:pStyle w:val="229"/>
              <w:spacing w:before="217" w:line="219" w:lineRule="auto"/>
              <w:ind w:left="294"/>
              <w:rPr>
                <w:color w:val="auto"/>
                <w:sz w:val="18"/>
                <w:szCs w:val="18"/>
                <w:highlight w:val="none"/>
              </w:rPr>
            </w:pPr>
            <w:r>
              <w:rPr>
                <w:color w:val="auto"/>
                <w:spacing w:val="-1"/>
                <w:sz w:val="18"/>
                <w:szCs w:val="18"/>
                <w:highlight w:val="none"/>
              </w:rPr>
              <w:t>X≥300</w:t>
            </w:r>
          </w:p>
        </w:tc>
        <w:tc>
          <w:tcPr>
            <w:tcW w:w="1704" w:type="dxa"/>
            <w:vAlign w:val="top"/>
          </w:tcPr>
          <w:p w14:paraId="67F1A412">
            <w:pPr>
              <w:pStyle w:val="229"/>
              <w:spacing w:before="217" w:line="219" w:lineRule="auto"/>
              <w:ind w:left="321"/>
              <w:rPr>
                <w:color w:val="auto"/>
                <w:sz w:val="18"/>
                <w:szCs w:val="18"/>
                <w:highlight w:val="none"/>
              </w:rPr>
            </w:pPr>
            <w:r>
              <w:rPr>
                <w:color w:val="auto"/>
                <w:spacing w:val="-3"/>
                <w:sz w:val="18"/>
                <w:szCs w:val="18"/>
                <w:highlight w:val="none"/>
              </w:rPr>
              <w:t>100≤X＜300</w:t>
            </w:r>
          </w:p>
        </w:tc>
        <w:tc>
          <w:tcPr>
            <w:tcW w:w="1428" w:type="dxa"/>
            <w:vAlign w:val="top"/>
          </w:tcPr>
          <w:p w14:paraId="02CC3A43">
            <w:pPr>
              <w:pStyle w:val="229"/>
              <w:spacing w:before="217" w:line="219" w:lineRule="auto"/>
              <w:ind w:left="283"/>
              <w:rPr>
                <w:color w:val="auto"/>
                <w:sz w:val="18"/>
                <w:szCs w:val="18"/>
                <w:highlight w:val="none"/>
              </w:rPr>
            </w:pPr>
            <w:r>
              <w:rPr>
                <w:color w:val="auto"/>
                <w:spacing w:val="-3"/>
                <w:sz w:val="18"/>
                <w:szCs w:val="18"/>
                <w:highlight w:val="none"/>
              </w:rPr>
              <w:t>10≤X＜100</w:t>
            </w:r>
          </w:p>
        </w:tc>
        <w:tc>
          <w:tcPr>
            <w:tcW w:w="998" w:type="dxa"/>
            <w:vAlign w:val="top"/>
          </w:tcPr>
          <w:p w14:paraId="2CDD317B">
            <w:pPr>
              <w:pStyle w:val="229"/>
              <w:spacing w:before="217" w:line="219" w:lineRule="auto"/>
              <w:ind w:left="277"/>
              <w:rPr>
                <w:color w:val="auto"/>
                <w:sz w:val="18"/>
                <w:szCs w:val="18"/>
                <w:highlight w:val="none"/>
              </w:rPr>
            </w:pPr>
            <w:r>
              <w:rPr>
                <w:color w:val="auto"/>
                <w:spacing w:val="-2"/>
                <w:sz w:val="18"/>
                <w:szCs w:val="18"/>
                <w:highlight w:val="none"/>
              </w:rPr>
              <w:t>X＜10</w:t>
            </w:r>
          </w:p>
        </w:tc>
      </w:tr>
      <w:tr w14:paraId="1D9EC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122" w:type="dxa"/>
            <w:vMerge w:val="continue"/>
            <w:tcBorders>
              <w:top w:val="nil"/>
            </w:tcBorders>
            <w:vAlign w:val="top"/>
          </w:tcPr>
          <w:p w14:paraId="3A5FEEE1">
            <w:pPr>
              <w:rPr>
                <w:rFonts w:ascii="Arial"/>
                <w:color w:val="auto"/>
                <w:sz w:val="21"/>
                <w:highlight w:val="none"/>
              </w:rPr>
            </w:pPr>
          </w:p>
        </w:tc>
        <w:tc>
          <w:tcPr>
            <w:tcW w:w="1371" w:type="dxa"/>
            <w:vAlign w:val="top"/>
          </w:tcPr>
          <w:p w14:paraId="6659CBC6">
            <w:pPr>
              <w:pStyle w:val="229"/>
              <w:spacing w:before="242" w:line="219" w:lineRule="auto"/>
              <w:ind w:left="201"/>
              <w:rPr>
                <w:color w:val="auto"/>
                <w:sz w:val="18"/>
                <w:szCs w:val="18"/>
                <w:highlight w:val="none"/>
              </w:rPr>
            </w:pPr>
            <w:r>
              <w:rPr>
                <w:color w:val="auto"/>
                <w:spacing w:val="-2"/>
                <w:sz w:val="18"/>
                <w:szCs w:val="18"/>
                <w:highlight w:val="none"/>
              </w:rPr>
              <w:t>资产总额(Z)</w:t>
            </w:r>
          </w:p>
        </w:tc>
        <w:tc>
          <w:tcPr>
            <w:tcW w:w="710" w:type="dxa"/>
            <w:vAlign w:val="top"/>
          </w:tcPr>
          <w:p w14:paraId="67E3E7C9">
            <w:pPr>
              <w:pStyle w:val="229"/>
              <w:spacing w:before="242" w:line="220" w:lineRule="auto"/>
              <w:ind w:left="182"/>
              <w:rPr>
                <w:color w:val="auto"/>
                <w:sz w:val="18"/>
                <w:szCs w:val="18"/>
                <w:highlight w:val="none"/>
              </w:rPr>
            </w:pPr>
            <w:r>
              <w:rPr>
                <w:color w:val="auto"/>
                <w:spacing w:val="-6"/>
                <w:sz w:val="18"/>
                <w:szCs w:val="18"/>
                <w:highlight w:val="none"/>
              </w:rPr>
              <w:t>万元</w:t>
            </w:r>
          </w:p>
        </w:tc>
        <w:tc>
          <w:tcPr>
            <w:tcW w:w="1126" w:type="dxa"/>
            <w:vAlign w:val="top"/>
          </w:tcPr>
          <w:p w14:paraId="354FD2F3">
            <w:pPr>
              <w:pStyle w:val="229"/>
              <w:spacing w:before="242" w:line="237" w:lineRule="auto"/>
              <w:ind w:left="161"/>
              <w:rPr>
                <w:color w:val="auto"/>
                <w:sz w:val="18"/>
                <w:szCs w:val="18"/>
                <w:highlight w:val="none"/>
              </w:rPr>
            </w:pPr>
            <w:r>
              <w:rPr>
                <w:color w:val="auto"/>
                <w:spacing w:val="-1"/>
                <w:sz w:val="18"/>
                <w:szCs w:val="18"/>
                <w:highlight w:val="none"/>
              </w:rPr>
              <w:t>Z≥120000</w:t>
            </w:r>
          </w:p>
        </w:tc>
        <w:tc>
          <w:tcPr>
            <w:tcW w:w="1704" w:type="dxa"/>
            <w:vAlign w:val="top"/>
          </w:tcPr>
          <w:p w14:paraId="007F1949">
            <w:pPr>
              <w:pStyle w:val="229"/>
              <w:spacing w:before="242" w:line="236" w:lineRule="auto"/>
              <w:ind w:left="181"/>
              <w:rPr>
                <w:color w:val="auto"/>
                <w:sz w:val="18"/>
                <w:szCs w:val="18"/>
                <w:highlight w:val="none"/>
              </w:rPr>
            </w:pPr>
            <w:r>
              <w:rPr>
                <w:color w:val="auto"/>
                <w:spacing w:val="-1"/>
                <w:sz w:val="18"/>
                <w:szCs w:val="18"/>
                <w:highlight w:val="none"/>
              </w:rPr>
              <w:t>8000≤Z＜120000</w:t>
            </w:r>
          </w:p>
        </w:tc>
        <w:tc>
          <w:tcPr>
            <w:tcW w:w="1428" w:type="dxa"/>
            <w:vAlign w:val="top"/>
          </w:tcPr>
          <w:p w14:paraId="30DDE024">
            <w:pPr>
              <w:pStyle w:val="229"/>
              <w:spacing w:before="242" w:line="236" w:lineRule="auto"/>
              <w:ind w:left="191"/>
              <w:rPr>
                <w:color w:val="auto"/>
                <w:sz w:val="18"/>
                <w:szCs w:val="18"/>
                <w:highlight w:val="none"/>
              </w:rPr>
            </w:pPr>
            <w:r>
              <w:rPr>
                <w:color w:val="auto"/>
                <w:spacing w:val="-2"/>
                <w:sz w:val="18"/>
                <w:szCs w:val="18"/>
                <w:highlight w:val="none"/>
              </w:rPr>
              <w:t>100≤Z＜8000</w:t>
            </w:r>
          </w:p>
        </w:tc>
        <w:tc>
          <w:tcPr>
            <w:tcW w:w="998" w:type="dxa"/>
            <w:vAlign w:val="top"/>
          </w:tcPr>
          <w:p w14:paraId="1C9BB594">
            <w:pPr>
              <w:pStyle w:val="229"/>
              <w:spacing w:before="241"/>
              <w:ind w:left="233"/>
              <w:rPr>
                <w:color w:val="auto"/>
                <w:sz w:val="18"/>
                <w:szCs w:val="18"/>
                <w:highlight w:val="none"/>
              </w:rPr>
            </w:pPr>
            <w:r>
              <w:rPr>
                <w:color w:val="auto"/>
                <w:spacing w:val="-2"/>
                <w:sz w:val="18"/>
                <w:szCs w:val="18"/>
                <w:highlight w:val="none"/>
              </w:rPr>
              <w:t>Z＜100</w:t>
            </w:r>
          </w:p>
        </w:tc>
      </w:tr>
      <w:tr w14:paraId="1A05B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122" w:type="dxa"/>
            <w:vAlign w:val="top"/>
          </w:tcPr>
          <w:p w14:paraId="712AA820">
            <w:pPr>
              <w:pStyle w:val="229"/>
              <w:spacing w:before="215" w:line="197" w:lineRule="auto"/>
              <w:ind w:left="115"/>
              <w:rPr>
                <w:color w:val="auto"/>
                <w:sz w:val="18"/>
                <w:szCs w:val="18"/>
                <w:highlight w:val="none"/>
              </w:rPr>
            </w:pPr>
            <w:bookmarkStart w:id="12" w:name="bookmark21"/>
            <w:bookmarkEnd w:id="12"/>
            <w:r>
              <w:rPr>
                <w:color w:val="auto"/>
                <w:spacing w:val="-1"/>
                <w:sz w:val="18"/>
                <w:szCs w:val="18"/>
                <w:highlight w:val="none"/>
              </w:rPr>
              <w:t>其他未列明行业 *</w:t>
            </w:r>
          </w:p>
        </w:tc>
        <w:tc>
          <w:tcPr>
            <w:tcW w:w="1371" w:type="dxa"/>
            <w:vAlign w:val="top"/>
          </w:tcPr>
          <w:p w14:paraId="2F240B70">
            <w:pPr>
              <w:pStyle w:val="229"/>
              <w:spacing w:before="215" w:line="197" w:lineRule="auto"/>
              <w:ind w:left="195"/>
              <w:rPr>
                <w:color w:val="auto"/>
                <w:sz w:val="18"/>
                <w:szCs w:val="18"/>
                <w:highlight w:val="none"/>
              </w:rPr>
            </w:pPr>
            <w:r>
              <w:rPr>
                <w:color w:val="auto"/>
                <w:spacing w:val="-2"/>
                <w:sz w:val="18"/>
                <w:szCs w:val="18"/>
                <w:highlight w:val="none"/>
              </w:rPr>
              <w:t>从业人员(X)</w:t>
            </w:r>
          </w:p>
        </w:tc>
        <w:tc>
          <w:tcPr>
            <w:tcW w:w="710" w:type="dxa"/>
            <w:vAlign w:val="top"/>
          </w:tcPr>
          <w:p w14:paraId="4F4F5FE3">
            <w:pPr>
              <w:pStyle w:val="229"/>
              <w:spacing w:before="215" w:line="197" w:lineRule="auto"/>
              <w:ind w:left="271"/>
              <w:rPr>
                <w:color w:val="auto"/>
                <w:sz w:val="18"/>
                <w:szCs w:val="18"/>
                <w:highlight w:val="none"/>
              </w:rPr>
            </w:pPr>
            <w:r>
              <w:rPr>
                <w:color w:val="auto"/>
                <w:sz w:val="18"/>
                <w:szCs w:val="18"/>
                <w:highlight w:val="none"/>
              </w:rPr>
              <w:t>人</w:t>
            </w:r>
          </w:p>
        </w:tc>
        <w:tc>
          <w:tcPr>
            <w:tcW w:w="1126" w:type="dxa"/>
            <w:vAlign w:val="top"/>
          </w:tcPr>
          <w:p w14:paraId="123DEC97">
            <w:pPr>
              <w:pStyle w:val="229"/>
              <w:spacing w:before="215" w:line="197" w:lineRule="auto"/>
              <w:ind w:left="294"/>
              <w:rPr>
                <w:color w:val="auto"/>
                <w:sz w:val="18"/>
                <w:szCs w:val="18"/>
                <w:highlight w:val="none"/>
              </w:rPr>
            </w:pPr>
            <w:r>
              <w:rPr>
                <w:color w:val="auto"/>
                <w:spacing w:val="-1"/>
                <w:sz w:val="18"/>
                <w:szCs w:val="18"/>
                <w:highlight w:val="none"/>
              </w:rPr>
              <w:t>X≥300</w:t>
            </w:r>
          </w:p>
        </w:tc>
        <w:tc>
          <w:tcPr>
            <w:tcW w:w="1704" w:type="dxa"/>
            <w:vAlign w:val="top"/>
          </w:tcPr>
          <w:p w14:paraId="6ADCF20F">
            <w:pPr>
              <w:pStyle w:val="229"/>
              <w:spacing w:before="215" w:line="197" w:lineRule="auto"/>
              <w:ind w:left="321"/>
              <w:rPr>
                <w:color w:val="auto"/>
                <w:sz w:val="18"/>
                <w:szCs w:val="18"/>
                <w:highlight w:val="none"/>
              </w:rPr>
            </w:pPr>
            <w:r>
              <w:rPr>
                <w:color w:val="auto"/>
                <w:spacing w:val="-3"/>
                <w:sz w:val="18"/>
                <w:szCs w:val="18"/>
                <w:highlight w:val="none"/>
              </w:rPr>
              <w:t>100≤X＜300</w:t>
            </w:r>
          </w:p>
        </w:tc>
        <w:tc>
          <w:tcPr>
            <w:tcW w:w="1428" w:type="dxa"/>
            <w:vAlign w:val="top"/>
          </w:tcPr>
          <w:p w14:paraId="75FA99E8">
            <w:pPr>
              <w:pStyle w:val="229"/>
              <w:spacing w:before="215" w:line="197" w:lineRule="auto"/>
              <w:ind w:left="283"/>
              <w:rPr>
                <w:color w:val="auto"/>
                <w:sz w:val="18"/>
                <w:szCs w:val="18"/>
                <w:highlight w:val="none"/>
              </w:rPr>
            </w:pPr>
            <w:r>
              <w:rPr>
                <w:color w:val="auto"/>
                <w:spacing w:val="-3"/>
                <w:sz w:val="18"/>
                <w:szCs w:val="18"/>
                <w:highlight w:val="none"/>
              </w:rPr>
              <w:t>10≤X＜100</w:t>
            </w:r>
          </w:p>
        </w:tc>
        <w:tc>
          <w:tcPr>
            <w:tcW w:w="998" w:type="dxa"/>
            <w:vAlign w:val="top"/>
          </w:tcPr>
          <w:p w14:paraId="309870E5">
            <w:pPr>
              <w:pStyle w:val="229"/>
              <w:spacing w:before="215" w:line="197" w:lineRule="auto"/>
              <w:ind w:left="277"/>
              <w:rPr>
                <w:color w:val="auto"/>
                <w:sz w:val="18"/>
                <w:szCs w:val="18"/>
                <w:highlight w:val="none"/>
              </w:rPr>
            </w:pPr>
            <w:r>
              <w:rPr>
                <w:color w:val="auto"/>
                <w:spacing w:val="-2"/>
                <w:sz w:val="18"/>
                <w:szCs w:val="18"/>
                <w:highlight w:val="none"/>
              </w:rPr>
              <w:t>X＜10</w:t>
            </w:r>
          </w:p>
        </w:tc>
      </w:tr>
    </w:tbl>
    <w:p w14:paraId="48470D11">
      <w:pPr>
        <w:pStyle w:val="2"/>
        <w:spacing w:line="290" w:lineRule="auto"/>
        <w:rPr>
          <w:color w:val="auto"/>
          <w:highlight w:val="none"/>
        </w:rPr>
      </w:pPr>
    </w:p>
    <w:p w14:paraId="44C6BEF4">
      <w:pPr>
        <w:spacing w:before="65" w:line="228" w:lineRule="auto"/>
        <w:ind w:left="409"/>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说明：</w:t>
      </w:r>
    </w:p>
    <w:p w14:paraId="47EA0B86">
      <w:pPr>
        <w:spacing w:before="215" w:line="325" w:lineRule="auto"/>
        <w:ind w:left="409" w:right="414" w:firstLine="463"/>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1.大型</w:t>
      </w:r>
      <w:r>
        <w:rPr>
          <w:rFonts w:ascii="宋体" w:hAnsi="宋体" w:eastAsia="宋体" w:cs="宋体"/>
          <w:color w:val="auto"/>
          <w:spacing w:val="-57"/>
          <w:sz w:val="20"/>
          <w:szCs w:val="20"/>
          <w:highlight w:val="none"/>
        </w:rPr>
        <w:t xml:space="preserve"> </w:t>
      </w:r>
      <w:r>
        <w:rPr>
          <w:rFonts w:ascii="宋体" w:hAnsi="宋体" w:eastAsia="宋体" w:cs="宋体"/>
          <w:color w:val="auto"/>
          <w:spacing w:val="20"/>
          <w:sz w:val="20"/>
          <w:szCs w:val="20"/>
          <w:highlight w:val="none"/>
        </w:rPr>
        <w:t>、</w:t>
      </w:r>
      <w:r>
        <w:rPr>
          <w:rFonts w:ascii="宋体" w:hAnsi="宋体" w:eastAsia="宋体" w:cs="宋体"/>
          <w:color w:val="auto"/>
          <w:spacing w:val="-47"/>
          <w:sz w:val="20"/>
          <w:szCs w:val="20"/>
          <w:highlight w:val="none"/>
        </w:rPr>
        <w:t xml:space="preserve"> </w:t>
      </w:r>
      <w:r>
        <w:rPr>
          <w:rFonts w:ascii="宋体" w:hAnsi="宋体" w:eastAsia="宋体" w:cs="宋体"/>
          <w:color w:val="auto"/>
          <w:spacing w:val="20"/>
          <w:sz w:val="20"/>
          <w:szCs w:val="20"/>
          <w:highlight w:val="none"/>
        </w:rPr>
        <w:t>中型和小型企业须同时满足所列指标的下限</w:t>
      </w:r>
      <w:r>
        <w:rPr>
          <w:rFonts w:ascii="宋体" w:hAnsi="宋体" w:eastAsia="宋体" w:cs="宋体"/>
          <w:color w:val="auto"/>
          <w:spacing w:val="-56"/>
          <w:sz w:val="20"/>
          <w:szCs w:val="20"/>
          <w:highlight w:val="none"/>
        </w:rPr>
        <w:t xml:space="preserve"> </w:t>
      </w:r>
      <w:r>
        <w:rPr>
          <w:rFonts w:ascii="宋体" w:hAnsi="宋体" w:eastAsia="宋体" w:cs="宋体"/>
          <w:color w:val="auto"/>
          <w:spacing w:val="20"/>
          <w:sz w:val="20"/>
          <w:szCs w:val="20"/>
          <w:highlight w:val="none"/>
        </w:rPr>
        <w:t>，</w:t>
      </w:r>
      <w:r>
        <w:rPr>
          <w:rFonts w:ascii="宋体" w:hAnsi="宋体" w:eastAsia="宋体" w:cs="宋体"/>
          <w:color w:val="auto"/>
          <w:spacing w:val="-59"/>
          <w:sz w:val="20"/>
          <w:szCs w:val="20"/>
          <w:highlight w:val="none"/>
        </w:rPr>
        <w:t xml:space="preserve"> </w:t>
      </w:r>
      <w:r>
        <w:rPr>
          <w:rFonts w:ascii="宋体" w:hAnsi="宋体" w:eastAsia="宋体" w:cs="宋体"/>
          <w:color w:val="auto"/>
          <w:spacing w:val="20"/>
          <w:sz w:val="20"/>
          <w:szCs w:val="20"/>
          <w:highlight w:val="none"/>
        </w:rPr>
        <w:t>否则下划一档；</w:t>
      </w:r>
      <w:r>
        <w:rPr>
          <w:rFonts w:ascii="宋体" w:hAnsi="宋体" w:eastAsia="宋体" w:cs="宋体"/>
          <w:color w:val="auto"/>
          <w:spacing w:val="-45"/>
          <w:sz w:val="20"/>
          <w:szCs w:val="20"/>
          <w:highlight w:val="none"/>
        </w:rPr>
        <w:t xml:space="preserve"> </w:t>
      </w:r>
      <w:r>
        <w:rPr>
          <w:rFonts w:ascii="宋体" w:hAnsi="宋体" w:eastAsia="宋体" w:cs="宋体"/>
          <w:color w:val="auto"/>
          <w:spacing w:val="20"/>
          <w:sz w:val="20"/>
          <w:szCs w:val="20"/>
          <w:highlight w:val="none"/>
        </w:rPr>
        <w:t>微型企业只</w:t>
      </w:r>
      <w:r>
        <w:rPr>
          <w:rFonts w:ascii="宋体" w:hAnsi="宋体" w:eastAsia="宋体" w:cs="宋体"/>
          <w:color w:val="auto"/>
          <w:spacing w:val="22"/>
          <w:sz w:val="20"/>
          <w:szCs w:val="20"/>
          <w:highlight w:val="none"/>
        </w:rPr>
        <w:t>须满足所列指标中的一项即可。</w:t>
      </w:r>
    </w:p>
    <w:p w14:paraId="7378039C">
      <w:pPr>
        <w:spacing w:before="214" w:line="400" w:lineRule="auto"/>
        <w:ind w:left="405" w:right="352" w:firstLine="454"/>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2.附表中各行业的范围以《国民经济行业分类》</w:t>
      </w:r>
      <w:r>
        <w:rPr>
          <w:rFonts w:ascii="宋体" w:hAnsi="宋体" w:eastAsia="宋体" w:cs="宋体"/>
          <w:color w:val="auto"/>
          <w:spacing w:val="-46"/>
          <w:sz w:val="20"/>
          <w:szCs w:val="20"/>
          <w:highlight w:val="none"/>
        </w:rPr>
        <w:t xml:space="preserve"> </w:t>
      </w:r>
      <w:r>
        <w:rPr>
          <w:rFonts w:ascii="宋体" w:hAnsi="宋体" w:eastAsia="宋体" w:cs="宋体"/>
          <w:color w:val="auto"/>
          <w:spacing w:val="20"/>
          <w:sz w:val="20"/>
          <w:szCs w:val="20"/>
          <w:highlight w:val="none"/>
        </w:rPr>
        <w:t>（</w:t>
      </w:r>
      <w:r>
        <w:rPr>
          <w:rFonts w:ascii="宋体" w:hAnsi="宋体" w:eastAsia="宋体" w:cs="宋体"/>
          <w:color w:val="auto"/>
          <w:sz w:val="20"/>
          <w:szCs w:val="20"/>
          <w:highlight w:val="none"/>
        </w:rPr>
        <w:t>GB</w:t>
      </w:r>
      <w:r>
        <w:rPr>
          <w:rFonts w:ascii="宋体" w:hAnsi="宋体" w:eastAsia="宋体" w:cs="宋体"/>
          <w:color w:val="auto"/>
          <w:spacing w:val="20"/>
          <w:sz w:val="20"/>
          <w:szCs w:val="20"/>
          <w:highlight w:val="none"/>
        </w:rPr>
        <w:t>/T4754-2017）</w:t>
      </w:r>
      <w:r>
        <w:rPr>
          <w:rFonts w:ascii="宋体" w:hAnsi="宋体" w:eastAsia="宋体" w:cs="宋体"/>
          <w:color w:val="auto"/>
          <w:spacing w:val="-46"/>
          <w:sz w:val="20"/>
          <w:szCs w:val="20"/>
          <w:highlight w:val="none"/>
        </w:rPr>
        <w:t xml:space="preserve"> </w:t>
      </w:r>
      <w:r>
        <w:rPr>
          <w:rFonts w:ascii="宋体" w:hAnsi="宋体" w:eastAsia="宋体" w:cs="宋体"/>
          <w:color w:val="auto"/>
          <w:spacing w:val="19"/>
          <w:sz w:val="20"/>
          <w:szCs w:val="20"/>
          <w:highlight w:val="none"/>
        </w:rPr>
        <w:t>为准</w:t>
      </w:r>
      <w:r>
        <w:rPr>
          <w:rFonts w:ascii="宋体" w:hAnsi="宋体" w:eastAsia="宋体" w:cs="宋体"/>
          <w:color w:val="auto"/>
          <w:spacing w:val="-52"/>
          <w:sz w:val="20"/>
          <w:szCs w:val="20"/>
          <w:highlight w:val="none"/>
        </w:rPr>
        <w:t xml:space="preserve"> </w:t>
      </w:r>
      <w:r>
        <w:rPr>
          <w:rFonts w:ascii="宋体" w:hAnsi="宋体" w:eastAsia="宋体" w:cs="宋体"/>
          <w:color w:val="auto"/>
          <w:spacing w:val="19"/>
          <w:sz w:val="20"/>
          <w:szCs w:val="20"/>
          <w:highlight w:val="none"/>
        </w:rPr>
        <w:t>。带*的项为行业组合类别</w:t>
      </w:r>
      <w:r>
        <w:rPr>
          <w:rFonts w:ascii="宋体" w:hAnsi="宋体" w:eastAsia="宋体" w:cs="宋体"/>
          <w:color w:val="auto"/>
          <w:spacing w:val="-56"/>
          <w:sz w:val="20"/>
          <w:szCs w:val="20"/>
          <w:highlight w:val="none"/>
        </w:rPr>
        <w:t xml:space="preserve"> </w:t>
      </w:r>
      <w:r>
        <w:rPr>
          <w:rFonts w:ascii="宋体" w:hAnsi="宋体" w:eastAsia="宋体" w:cs="宋体"/>
          <w:color w:val="auto"/>
          <w:spacing w:val="19"/>
          <w:sz w:val="20"/>
          <w:szCs w:val="20"/>
          <w:highlight w:val="none"/>
        </w:rPr>
        <w:t>，其中</w:t>
      </w:r>
      <w:r>
        <w:rPr>
          <w:rFonts w:ascii="宋体" w:hAnsi="宋体" w:eastAsia="宋体" w:cs="宋体"/>
          <w:color w:val="auto"/>
          <w:spacing w:val="-55"/>
          <w:sz w:val="20"/>
          <w:szCs w:val="20"/>
          <w:highlight w:val="none"/>
        </w:rPr>
        <w:t xml:space="preserve"> </w:t>
      </w:r>
      <w:r>
        <w:rPr>
          <w:rFonts w:ascii="宋体" w:hAnsi="宋体" w:eastAsia="宋体" w:cs="宋体"/>
          <w:color w:val="auto"/>
          <w:spacing w:val="19"/>
          <w:sz w:val="20"/>
          <w:szCs w:val="20"/>
          <w:highlight w:val="none"/>
        </w:rPr>
        <w:t>，工业包括采矿业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19"/>
          <w:sz w:val="20"/>
          <w:szCs w:val="20"/>
          <w:highlight w:val="none"/>
        </w:rPr>
        <w:t>，制造业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19"/>
          <w:sz w:val="20"/>
          <w:szCs w:val="20"/>
          <w:highlight w:val="none"/>
        </w:rPr>
        <w:t>，</w:t>
      </w:r>
      <w:r>
        <w:rPr>
          <w:rFonts w:ascii="宋体" w:hAnsi="宋体" w:eastAsia="宋体" w:cs="宋体"/>
          <w:color w:val="auto"/>
          <w:spacing w:val="-42"/>
          <w:sz w:val="20"/>
          <w:szCs w:val="20"/>
          <w:highlight w:val="none"/>
        </w:rPr>
        <w:t xml:space="preserve"> </w:t>
      </w:r>
      <w:r>
        <w:rPr>
          <w:rFonts w:ascii="宋体" w:hAnsi="宋体" w:eastAsia="宋体" w:cs="宋体"/>
          <w:color w:val="auto"/>
          <w:spacing w:val="19"/>
          <w:sz w:val="20"/>
          <w:szCs w:val="20"/>
          <w:highlight w:val="none"/>
        </w:rPr>
        <w:t>电力</w:t>
      </w:r>
      <w:r>
        <w:rPr>
          <w:rFonts w:ascii="宋体" w:hAnsi="宋体" w:eastAsia="宋体" w:cs="宋体"/>
          <w:color w:val="auto"/>
          <w:spacing w:val="-58"/>
          <w:sz w:val="20"/>
          <w:szCs w:val="20"/>
          <w:highlight w:val="none"/>
        </w:rPr>
        <w:t xml:space="preserve"> </w:t>
      </w:r>
      <w:r>
        <w:rPr>
          <w:rFonts w:ascii="宋体" w:hAnsi="宋体" w:eastAsia="宋体" w:cs="宋体"/>
          <w:color w:val="auto"/>
          <w:spacing w:val="19"/>
          <w:sz w:val="20"/>
          <w:szCs w:val="20"/>
          <w:highlight w:val="none"/>
        </w:rPr>
        <w:t>、热力</w:t>
      </w:r>
      <w:r>
        <w:rPr>
          <w:rFonts w:ascii="宋体" w:hAnsi="宋体" w:eastAsia="宋体" w:cs="宋体"/>
          <w:color w:val="auto"/>
          <w:spacing w:val="-56"/>
          <w:sz w:val="20"/>
          <w:szCs w:val="20"/>
          <w:highlight w:val="none"/>
        </w:rPr>
        <w:t xml:space="preserve"> </w:t>
      </w:r>
      <w:r>
        <w:rPr>
          <w:rFonts w:ascii="宋体" w:hAnsi="宋体" w:eastAsia="宋体" w:cs="宋体"/>
          <w:color w:val="auto"/>
          <w:spacing w:val="19"/>
          <w:sz w:val="20"/>
          <w:szCs w:val="20"/>
          <w:highlight w:val="none"/>
        </w:rPr>
        <w:t>、燃气及水生产和供应</w:t>
      </w:r>
      <w:r>
        <w:rPr>
          <w:rFonts w:ascii="宋体" w:hAnsi="宋体" w:eastAsia="宋体" w:cs="宋体"/>
          <w:color w:val="auto"/>
          <w:spacing w:val="20"/>
          <w:sz w:val="20"/>
          <w:szCs w:val="20"/>
          <w:highlight w:val="none"/>
        </w:rPr>
        <w:t>业</w:t>
      </w:r>
      <w:r>
        <w:rPr>
          <w:rFonts w:ascii="宋体" w:hAnsi="宋体" w:eastAsia="宋体" w:cs="宋体"/>
          <w:color w:val="auto"/>
          <w:spacing w:val="-37"/>
          <w:sz w:val="20"/>
          <w:szCs w:val="20"/>
          <w:highlight w:val="none"/>
        </w:rPr>
        <w:t xml:space="preserve"> </w:t>
      </w:r>
      <w:r>
        <w:rPr>
          <w:rFonts w:ascii="宋体" w:hAnsi="宋体" w:eastAsia="宋体" w:cs="宋体"/>
          <w:color w:val="auto"/>
          <w:spacing w:val="20"/>
          <w:sz w:val="20"/>
          <w:szCs w:val="20"/>
          <w:highlight w:val="none"/>
        </w:rPr>
        <w:t>；交通运输业包括道路运输业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20"/>
          <w:sz w:val="20"/>
          <w:szCs w:val="20"/>
          <w:highlight w:val="none"/>
        </w:rPr>
        <w:t>，水上运输业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20"/>
          <w:sz w:val="20"/>
          <w:szCs w:val="20"/>
          <w:highlight w:val="none"/>
        </w:rPr>
        <w:t>，航空运输业</w:t>
      </w:r>
      <w:r>
        <w:rPr>
          <w:rFonts w:ascii="宋体" w:hAnsi="宋体" w:eastAsia="宋体" w:cs="宋体"/>
          <w:color w:val="auto"/>
          <w:spacing w:val="-55"/>
          <w:sz w:val="20"/>
          <w:szCs w:val="20"/>
          <w:highlight w:val="none"/>
        </w:rPr>
        <w:t xml:space="preserve"> </w:t>
      </w:r>
      <w:r>
        <w:rPr>
          <w:rFonts w:ascii="宋体" w:hAnsi="宋体" w:eastAsia="宋体" w:cs="宋体"/>
          <w:color w:val="auto"/>
          <w:spacing w:val="20"/>
          <w:sz w:val="20"/>
          <w:szCs w:val="20"/>
          <w:highlight w:val="none"/>
        </w:rPr>
        <w:t>，管道运输业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20"/>
          <w:sz w:val="20"/>
          <w:szCs w:val="20"/>
          <w:highlight w:val="none"/>
        </w:rPr>
        <w:t>，</w:t>
      </w:r>
      <w:r>
        <w:rPr>
          <w:rFonts w:ascii="宋体" w:hAnsi="宋体" w:eastAsia="宋体" w:cs="宋体"/>
          <w:color w:val="auto"/>
          <w:spacing w:val="-57"/>
          <w:sz w:val="20"/>
          <w:szCs w:val="20"/>
          <w:highlight w:val="none"/>
        </w:rPr>
        <w:t xml:space="preserve"> </w:t>
      </w:r>
      <w:r>
        <w:rPr>
          <w:rFonts w:ascii="宋体" w:hAnsi="宋体" w:eastAsia="宋体" w:cs="宋体"/>
          <w:color w:val="auto"/>
          <w:spacing w:val="20"/>
          <w:sz w:val="20"/>
          <w:szCs w:val="20"/>
          <w:highlight w:val="none"/>
        </w:rPr>
        <w:t>多式联运和</w:t>
      </w:r>
      <w:r>
        <w:rPr>
          <w:rFonts w:ascii="宋体" w:hAnsi="宋体" w:eastAsia="宋体" w:cs="宋体"/>
          <w:color w:val="auto"/>
          <w:spacing w:val="21"/>
          <w:sz w:val="20"/>
          <w:szCs w:val="20"/>
          <w:highlight w:val="none"/>
        </w:rPr>
        <w:t>运输代理业</w:t>
      </w:r>
      <w:r>
        <w:rPr>
          <w:rFonts w:ascii="宋体" w:hAnsi="宋体" w:eastAsia="宋体" w:cs="宋体"/>
          <w:color w:val="auto"/>
          <w:spacing w:val="-42"/>
          <w:sz w:val="20"/>
          <w:szCs w:val="20"/>
          <w:highlight w:val="none"/>
        </w:rPr>
        <w:t xml:space="preserve"> </w:t>
      </w:r>
      <w:r>
        <w:rPr>
          <w:rFonts w:ascii="宋体" w:hAnsi="宋体" w:eastAsia="宋体" w:cs="宋体"/>
          <w:color w:val="auto"/>
          <w:spacing w:val="21"/>
          <w:sz w:val="20"/>
          <w:szCs w:val="20"/>
          <w:highlight w:val="none"/>
        </w:rPr>
        <w:t>、装卸搬运</w:t>
      </w:r>
      <w:r>
        <w:rPr>
          <w:rFonts w:ascii="宋体" w:hAnsi="宋体" w:eastAsia="宋体" w:cs="宋体"/>
          <w:color w:val="auto"/>
          <w:spacing w:val="-56"/>
          <w:sz w:val="20"/>
          <w:szCs w:val="20"/>
          <w:highlight w:val="none"/>
        </w:rPr>
        <w:t xml:space="preserve"> </w:t>
      </w:r>
      <w:r>
        <w:rPr>
          <w:rFonts w:ascii="宋体" w:hAnsi="宋体" w:eastAsia="宋体" w:cs="宋体"/>
          <w:color w:val="auto"/>
          <w:spacing w:val="21"/>
          <w:sz w:val="20"/>
          <w:szCs w:val="20"/>
          <w:highlight w:val="none"/>
        </w:rPr>
        <w:t>，不包括铁路运输业；</w:t>
      </w:r>
      <w:r>
        <w:rPr>
          <w:rFonts w:ascii="宋体" w:hAnsi="宋体" w:eastAsia="宋体" w:cs="宋体"/>
          <w:color w:val="auto"/>
          <w:spacing w:val="-45"/>
          <w:sz w:val="20"/>
          <w:szCs w:val="20"/>
          <w:highlight w:val="none"/>
        </w:rPr>
        <w:t xml:space="preserve"> </w:t>
      </w:r>
      <w:r>
        <w:rPr>
          <w:rFonts w:ascii="宋体" w:hAnsi="宋体" w:eastAsia="宋体" w:cs="宋体"/>
          <w:color w:val="auto"/>
          <w:spacing w:val="21"/>
          <w:sz w:val="20"/>
          <w:szCs w:val="20"/>
          <w:highlight w:val="none"/>
        </w:rPr>
        <w:t>仓储业包括通用仓储</w:t>
      </w:r>
      <w:r>
        <w:rPr>
          <w:rFonts w:ascii="宋体" w:hAnsi="宋体" w:eastAsia="宋体" w:cs="宋体"/>
          <w:color w:val="auto"/>
          <w:spacing w:val="-56"/>
          <w:sz w:val="20"/>
          <w:szCs w:val="20"/>
          <w:highlight w:val="none"/>
        </w:rPr>
        <w:t xml:space="preserve"> </w:t>
      </w:r>
      <w:r>
        <w:rPr>
          <w:rFonts w:ascii="宋体" w:hAnsi="宋体" w:eastAsia="宋体" w:cs="宋体"/>
          <w:color w:val="auto"/>
          <w:spacing w:val="21"/>
          <w:sz w:val="20"/>
          <w:szCs w:val="20"/>
          <w:highlight w:val="none"/>
        </w:rPr>
        <w:t>，低温仓储</w:t>
      </w:r>
      <w:r>
        <w:rPr>
          <w:rFonts w:ascii="宋体" w:hAnsi="宋体" w:eastAsia="宋体" w:cs="宋体"/>
          <w:color w:val="auto"/>
          <w:spacing w:val="-56"/>
          <w:sz w:val="20"/>
          <w:szCs w:val="20"/>
          <w:highlight w:val="none"/>
        </w:rPr>
        <w:t xml:space="preserve"> </w:t>
      </w:r>
      <w:r>
        <w:rPr>
          <w:rFonts w:ascii="宋体" w:hAnsi="宋体" w:eastAsia="宋体" w:cs="宋体"/>
          <w:color w:val="auto"/>
          <w:spacing w:val="21"/>
          <w:sz w:val="20"/>
          <w:szCs w:val="20"/>
          <w:highlight w:val="none"/>
        </w:rPr>
        <w:t>，危险品</w:t>
      </w:r>
      <w:r>
        <w:rPr>
          <w:rFonts w:ascii="宋体" w:hAnsi="宋体" w:eastAsia="宋体" w:cs="宋体"/>
          <w:color w:val="auto"/>
          <w:spacing w:val="18"/>
          <w:sz w:val="20"/>
          <w:szCs w:val="20"/>
          <w:highlight w:val="none"/>
        </w:rPr>
        <w:t>仓储</w:t>
      </w:r>
      <w:r>
        <w:rPr>
          <w:rFonts w:ascii="宋体" w:hAnsi="宋体" w:eastAsia="宋体" w:cs="宋体"/>
          <w:color w:val="auto"/>
          <w:spacing w:val="-44"/>
          <w:sz w:val="20"/>
          <w:szCs w:val="20"/>
          <w:highlight w:val="none"/>
        </w:rPr>
        <w:t xml:space="preserve"> </w:t>
      </w:r>
      <w:r>
        <w:rPr>
          <w:rFonts w:ascii="宋体" w:hAnsi="宋体" w:eastAsia="宋体" w:cs="宋体"/>
          <w:color w:val="auto"/>
          <w:spacing w:val="18"/>
          <w:sz w:val="20"/>
          <w:szCs w:val="20"/>
          <w:highlight w:val="none"/>
        </w:rPr>
        <w:t>，谷物、棉花等农产品仓储</w:t>
      </w:r>
      <w:r>
        <w:rPr>
          <w:rFonts w:ascii="宋体" w:hAnsi="宋体" w:eastAsia="宋体" w:cs="宋体"/>
          <w:color w:val="auto"/>
          <w:spacing w:val="-58"/>
          <w:sz w:val="20"/>
          <w:szCs w:val="20"/>
          <w:highlight w:val="none"/>
        </w:rPr>
        <w:t xml:space="preserve"> </w:t>
      </w:r>
      <w:r>
        <w:rPr>
          <w:rFonts w:ascii="宋体" w:hAnsi="宋体" w:eastAsia="宋体" w:cs="宋体"/>
          <w:color w:val="auto"/>
          <w:spacing w:val="18"/>
          <w:sz w:val="20"/>
          <w:szCs w:val="20"/>
          <w:highlight w:val="none"/>
        </w:rPr>
        <w:t>，</w:t>
      </w:r>
      <w:r>
        <w:rPr>
          <w:rFonts w:ascii="宋体" w:hAnsi="宋体" w:eastAsia="宋体" w:cs="宋体"/>
          <w:color w:val="auto"/>
          <w:spacing w:val="-57"/>
          <w:sz w:val="20"/>
          <w:szCs w:val="20"/>
          <w:highlight w:val="none"/>
        </w:rPr>
        <w:t xml:space="preserve"> </w:t>
      </w:r>
      <w:r>
        <w:rPr>
          <w:rFonts w:ascii="宋体" w:hAnsi="宋体" w:eastAsia="宋体" w:cs="宋体"/>
          <w:color w:val="auto"/>
          <w:spacing w:val="18"/>
          <w:sz w:val="20"/>
          <w:szCs w:val="20"/>
          <w:highlight w:val="none"/>
        </w:rPr>
        <w:t>中药材仓储和其他仓储业</w:t>
      </w:r>
      <w:r>
        <w:rPr>
          <w:rFonts w:ascii="宋体" w:hAnsi="宋体" w:eastAsia="宋体" w:cs="宋体"/>
          <w:color w:val="auto"/>
          <w:spacing w:val="-41"/>
          <w:sz w:val="20"/>
          <w:szCs w:val="20"/>
          <w:highlight w:val="none"/>
        </w:rPr>
        <w:t xml:space="preserve"> </w:t>
      </w:r>
      <w:r>
        <w:rPr>
          <w:rFonts w:ascii="宋体" w:hAnsi="宋体" w:eastAsia="宋体" w:cs="宋体"/>
          <w:color w:val="auto"/>
          <w:spacing w:val="18"/>
          <w:sz w:val="20"/>
          <w:szCs w:val="20"/>
          <w:highlight w:val="none"/>
        </w:rPr>
        <w:t>;信息传输业包括电信</w:t>
      </w:r>
      <w:r>
        <w:rPr>
          <w:rFonts w:ascii="宋体" w:hAnsi="宋体" w:eastAsia="宋体" w:cs="宋体"/>
          <w:color w:val="auto"/>
          <w:spacing w:val="-59"/>
          <w:sz w:val="20"/>
          <w:szCs w:val="20"/>
          <w:highlight w:val="none"/>
        </w:rPr>
        <w:t xml:space="preserve"> </w:t>
      </w:r>
      <w:r>
        <w:rPr>
          <w:rFonts w:ascii="宋体" w:hAnsi="宋体" w:eastAsia="宋体" w:cs="宋体"/>
          <w:color w:val="auto"/>
          <w:spacing w:val="18"/>
          <w:sz w:val="20"/>
          <w:szCs w:val="20"/>
          <w:highlight w:val="none"/>
        </w:rPr>
        <w:t>、广播</w:t>
      </w:r>
      <w:r>
        <w:rPr>
          <w:rFonts w:ascii="宋体" w:hAnsi="宋体" w:eastAsia="宋体" w:cs="宋体"/>
          <w:color w:val="auto"/>
          <w:spacing w:val="22"/>
          <w:sz w:val="20"/>
          <w:szCs w:val="20"/>
          <w:highlight w:val="none"/>
        </w:rPr>
        <w:t>电视和卫星传输服务</w:t>
      </w:r>
      <w:r>
        <w:rPr>
          <w:rFonts w:ascii="宋体" w:hAnsi="宋体" w:eastAsia="宋体" w:cs="宋体"/>
          <w:color w:val="auto"/>
          <w:spacing w:val="-53"/>
          <w:sz w:val="20"/>
          <w:szCs w:val="20"/>
          <w:highlight w:val="none"/>
        </w:rPr>
        <w:t xml:space="preserve"> </w:t>
      </w:r>
      <w:r>
        <w:rPr>
          <w:rFonts w:ascii="宋体" w:hAnsi="宋体" w:eastAsia="宋体" w:cs="宋体"/>
          <w:color w:val="auto"/>
          <w:spacing w:val="22"/>
          <w:sz w:val="20"/>
          <w:szCs w:val="20"/>
          <w:highlight w:val="none"/>
        </w:rPr>
        <w:t>，互联网和相关服务；其他未列明行业包括科学研究和技术服务业，</w:t>
      </w:r>
      <w:r>
        <w:rPr>
          <w:rFonts w:ascii="宋体" w:hAnsi="宋体" w:eastAsia="宋体" w:cs="宋体"/>
          <w:color w:val="auto"/>
          <w:spacing w:val="21"/>
          <w:sz w:val="20"/>
          <w:szCs w:val="20"/>
          <w:highlight w:val="none"/>
        </w:rPr>
        <w:t>水利</w:t>
      </w:r>
      <w:r>
        <w:rPr>
          <w:rFonts w:ascii="宋体" w:hAnsi="宋体" w:eastAsia="宋体" w:cs="宋体"/>
          <w:color w:val="auto"/>
          <w:spacing w:val="-58"/>
          <w:sz w:val="20"/>
          <w:szCs w:val="20"/>
          <w:highlight w:val="none"/>
        </w:rPr>
        <w:t xml:space="preserve"> </w:t>
      </w:r>
      <w:r>
        <w:rPr>
          <w:rFonts w:ascii="宋体" w:hAnsi="宋体" w:eastAsia="宋体" w:cs="宋体"/>
          <w:color w:val="auto"/>
          <w:spacing w:val="21"/>
          <w:sz w:val="20"/>
          <w:szCs w:val="20"/>
          <w:highlight w:val="none"/>
        </w:rPr>
        <w:t>、环境和公共设施管理业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21"/>
          <w:sz w:val="20"/>
          <w:szCs w:val="20"/>
          <w:highlight w:val="none"/>
        </w:rPr>
        <w:t>，居民服务</w:t>
      </w:r>
      <w:r>
        <w:rPr>
          <w:rFonts w:ascii="宋体" w:hAnsi="宋体" w:eastAsia="宋体" w:cs="宋体"/>
          <w:color w:val="auto"/>
          <w:spacing w:val="-58"/>
          <w:sz w:val="20"/>
          <w:szCs w:val="20"/>
          <w:highlight w:val="none"/>
        </w:rPr>
        <w:t xml:space="preserve"> </w:t>
      </w:r>
      <w:r>
        <w:rPr>
          <w:rFonts w:ascii="宋体" w:hAnsi="宋体" w:eastAsia="宋体" w:cs="宋体"/>
          <w:color w:val="auto"/>
          <w:spacing w:val="21"/>
          <w:sz w:val="20"/>
          <w:szCs w:val="20"/>
          <w:highlight w:val="none"/>
        </w:rPr>
        <w:t>、修理和其他服</w:t>
      </w:r>
      <w:r>
        <w:rPr>
          <w:rFonts w:ascii="宋体" w:hAnsi="宋体" w:eastAsia="宋体" w:cs="宋体"/>
          <w:color w:val="auto"/>
          <w:spacing w:val="20"/>
          <w:sz w:val="20"/>
          <w:szCs w:val="20"/>
          <w:highlight w:val="none"/>
        </w:rPr>
        <w:t>务业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20"/>
          <w:sz w:val="20"/>
          <w:szCs w:val="20"/>
          <w:highlight w:val="none"/>
        </w:rPr>
        <w:t>，社会工作</w:t>
      </w:r>
      <w:r>
        <w:rPr>
          <w:rFonts w:ascii="宋体" w:hAnsi="宋体" w:eastAsia="宋体" w:cs="宋体"/>
          <w:color w:val="auto"/>
          <w:spacing w:val="-55"/>
          <w:sz w:val="20"/>
          <w:szCs w:val="20"/>
          <w:highlight w:val="none"/>
        </w:rPr>
        <w:t xml:space="preserve"> </w:t>
      </w:r>
      <w:r>
        <w:rPr>
          <w:rFonts w:ascii="宋体" w:hAnsi="宋体" w:eastAsia="宋体" w:cs="宋体"/>
          <w:color w:val="auto"/>
          <w:spacing w:val="20"/>
          <w:sz w:val="20"/>
          <w:szCs w:val="20"/>
          <w:highlight w:val="none"/>
        </w:rPr>
        <w:t>，文化</w:t>
      </w:r>
      <w:r>
        <w:rPr>
          <w:rFonts w:ascii="宋体" w:hAnsi="宋体" w:eastAsia="宋体" w:cs="宋体"/>
          <w:color w:val="auto"/>
          <w:spacing w:val="-59"/>
          <w:sz w:val="20"/>
          <w:szCs w:val="20"/>
          <w:highlight w:val="none"/>
        </w:rPr>
        <w:t xml:space="preserve"> </w:t>
      </w:r>
      <w:r>
        <w:rPr>
          <w:rFonts w:ascii="宋体" w:hAnsi="宋体" w:eastAsia="宋体" w:cs="宋体"/>
          <w:color w:val="auto"/>
          <w:spacing w:val="20"/>
          <w:sz w:val="20"/>
          <w:szCs w:val="20"/>
          <w:highlight w:val="none"/>
        </w:rPr>
        <w:t>、体育</w:t>
      </w:r>
      <w:r>
        <w:rPr>
          <w:rFonts w:ascii="宋体" w:hAnsi="宋体" w:eastAsia="宋体" w:cs="宋体"/>
          <w:color w:val="auto"/>
          <w:spacing w:val="19"/>
          <w:sz w:val="20"/>
          <w:szCs w:val="20"/>
          <w:highlight w:val="none"/>
        </w:rPr>
        <w:t>和娱乐业</w:t>
      </w:r>
      <w:r>
        <w:rPr>
          <w:rFonts w:ascii="宋体" w:hAnsi="宋体" w:eastAsia="宋体" w:cs="宋体"/>
          <w:color w:val="auto"/>
          <w:spacing w:val="-40"/>
          <w:sz w:val="20"/>
          <w:szCs w:val="20"/>
          <w:highlight w:val="none"/>
        </w:rPr>
        <w:t xml:space="preserve"> </w:t>
      </w:r>
      <w:r>
        <w:rPr>
          <w:rFonts w:ascii="宋体" w:hAnsi="宋体" w:eastAsia="宋体" w:cs="宋体"/>
          <w:color w:val="auto"/>
          <w:spacing w:val="19"/>
          <w:sz w:val="20"/>
          <w:szCs w:val="20"/>
          <w:highlight w:val="none"/>
        </w:rPr>
        <w:t>，</w:t>
      </w:r>
      <w:r>
        <w:rPr>
          <w:rFonts w:ascii="宋体" w:hAnsi="宋体" w:eastAsia="宋体" w:cs="宋体"/>
          <w:color w:val="auto"/>
          <w:spacing w:val="-45"/>
          <w:sz w:val="20"/>
          <w:szCs w:val="20"/>
          <w:highlight w:val="none"/>
        </w:rPr>
        <w:t xml:space="preserve"> </w:t>
      </w:r>
      <w:r>
        <w:rPr>
          <w:rFonts w:ascii="宋体" w:hAnsi="宋体" w:eastAsia="宋体" w:cs="宋体"/>
          <w:color w:val="auto"/>
          <w:spacing w:val="19"/>
          <w:sz w:val="20"/>
          <w:szCs w:val="20"/>
          <w:highlight w:val="none"/>
        </w:rPr>
        <w:t>以及房地产中介服务</w:t>
      </w:r>
      <w:r>
        <w:rPr>
          <w:rFonts w:ascii="宋体" w:hAnsi="宋体" w:eastAsia="宋体" w:cs="宋体"/>
          <w:color w:val="auto"/>
          <w:spacing w:val="-58"/>
          <w:sz w:val="20"/>
          <w:szCs w:val="20"/>
          <w:highlight w:val="none"/>
        </w:rPr>
        <w:t xml:space="preserve"> </w:t>
      </w:r>
      <w:r>
        <w:rPr>
          <w:rFonts w:ascii="宋体" w:hAnsi="宋体" w:eastAsia="宋体" w:cs="宋体"/>
          <w:color w:val="auto"/>
          <w:spacing w:val="19"/>
          <w:sz w:val="20"/>
          <w:szCs w:val="20"/>
          <w:highlight w:val="none"/>
        </w:rPr>
        <w:t>，其他房地产业等</w:t>
      </w:r>
      <w:r>
        <w:rPr>
          <w:rFonts w:ascii="宋体" w:hAnsi="宋体" w:eastAsia="宋体" w:cs="宋体"/>
          <w:color w:val="auto"/>
          <w:spacing w:val="-56"/>
          <w:sz w:val="20"/>
          <w:szCs w:val="20"/>
          <w:highlight w:val="none"/>
        </w:rPr>
        <w:t xml:space="preserve"> </w:t>
      </w:r>
      <w:r>
        <w:rPr>
          <w:rFonts w:ascii="宋体" w:hAnsi="宋体" w:eastAsia="宋体" w:cs="宋体"/>
          <w:color w:val="auto"/>
          <w:spacing w:val="19"/>
          <w:sz w:val="20"/>
          <w:szCs w:val="20"/>
          <w:highlight w:val="none"/>
        </w:rPr>
        <w:t>，不包括自有房地产经营活动。</w:t>
      </w:r>
    </w:p>
    <w:p w14:paraId="57D85225">
      <w:pPr>
        <w:spacing w:before="213" w:line="385" w:lineRule="auto"/>
        <w:ind w:left="405" w:right="414" w:firstLine="456"/>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3.企业划分指标以现行统计制度为准</w:t>
      </w:r>
      <w:r>
        <w:rPr>
          <w:rFonts w:ascii="宋体" w:hAnsi="宋体" w:eastAsia="宋体" w:cs="宋体"/>
          <w:color w:val="auto"/>
          <w:spacing w:val="-52"/>
          <w:sz w:val="20"/>
          <w:szCs w:val="20"/>
          <w:highlight w:val="none"/>
        </w:rPr>
        <w:t xml:space="preserve"> </w:t>
      </w:r>
      <w:r>
        <w:rPr>
          <w:rFonts w:ascii="宋体" w:hAnsi="宋体" w:eastAsia="宋体" w:cs="宋体"/>
          <w:color w:val="auto"/>
          <w:spacing w:val="18"/>
          <w:sz w:val="20"/>
          <w:szCs w:val="20"/>
          <w:highlight w:val="none"/>
        </w:rPr>
        <w:t>。（</w:t>
      </w:r>
      <w:r>
        <w:rPr>
          <w:rFonts w:ascii="宋体" w:hAnsi="宋体" w:eastAsia="宋体" w:cs="宋体"/>
          <w:color w:val="auto"/>
          <w:spacing w:val="-27"/>
          <w:sz w:val="20"/>
          <w:szCs w:val="20"/>
          <w:highlight w:val="none"/>
        </w:rPr>
        <w:t xml:space="preserve"> </w:t>
      </w:r>
      <w:r>
        <w:rPr>
          <w:rFonts w:ascii="宋体" w:hAnsi="宋体" w:eastAsia="宋体" w:cs="宋体"/>
          <w:color w:val="auto"/>
          <w:spacing w:val="18"/>
          <w:sz w:val="20"/>
          <w:szCs w:val="20"/>
          <w:highlight w:val="none"/>
        </w:rPr>
        <w:t>1）从业人员</w:t>
      </w:r>
      <w:r>
        <w:rPr>
          <w:rFonts w:ascii="宋体" w:hAnsi="宋体" w:eastAsia="宋体" w:cs="宋体"/>
          <w:color w:val="auto"/>
          <w:spacing w:val="-56"/>
          <w:sz w:val="20"/>
          <w:szCs w:val="20"/>
          <w:highlight w:val="none"/>
        </w:rPr>
        <w:t xml:space="preserve"> </w:t>
      </w:r>
      <w:r>
        <w:rPr>
          <w:rFonts w:ascii="宋体" w:hAnsi="宋体" w:eastAsia="宋体" w:cs="宋体"/>
          <w:color w:val="auto"/>
          <w:spacing w:val="18"/>
          <w:sz w:val="20"/>
          <w:szCs w:val="20"/>
          <w:highlight w:val="none"/>
        </w:rPr>
        <w:t>，是指期末从业</w:t>
      </w:r>
      <w:r>
        <w:rPr>
          <w:rFonts w:ascii="宋体" w:hAnsi="宋体" w:eastAsia="宋体" w:cs="宋体"/>
          <w:color w:val="auto"/>
          <w:spacing w:val="17"/>
          <w:sz w:val="20"/>
          <w:szCs w:val="20"/>
          <w:highlight w:val="none"/>
        </w:rPr>
        <w:t>人员数</w:t>
      </w:r>
      <w:r>
        <w:rPr>
          <w:rFonts w:ascii="宋体" w:hAnsi="宋体" w:eastAsia="宋体" w:cs="宋体"/>
          <w:color w:val="auto"/>
          <w:spacing w:val="-58"/>
          <w:sz w:val="20"/>
          <w:szCs w:val="20"/>
          <w:highlight w:val="none"/>
        </w:rPr>
        <w:t xml:space="preserve"> </w:t>
      </w:r>
      <w:r>
        <w:rPr>
          <w:rFonts w:ascii="宋体" w:hAnsi="宋体" w:eastAsia="宋体" w:cs="宋体"/>
          <w:color w:val="auto"/>
          <w:spacing w:val="17"/>
          <w:sz w:val="20"/>
          <w:szCs w:val="20"/>
          <w:highlight w:val="none"/>
        </w:rPr>
        <w:t>，没有</w:t>
      </w:r>
      <w:r>
        <w:rPr>
          <w:rFonts w:ascii="宋体" w:hAnsi="宋体" w:eastAsia="宋体" w:cs="宋体"/>
          <w:color w:val="auto"/>
          <w:spacing w:val="18"/>
          <w:sz w:val="20"/>
          <w:szCs w:val="20"/>
          <w:highlight w:val="none"/>
        </w:rPr>
        <w:t>期末从业人员数的</w:t>
      </w:r>
      <w:r>
        <w:rPr>
          <w:rFonts w:ascii="宋体" w:hAnsi="宋体" w:eastAsia="宋体" w:cs="宋体"/>
          <w:color w:val="auto"/>
          <w:spacing w:val="-55"/>
          <w:sz w:val="20"/>
          <w:szCs w:val="20"/>
          <w:highlight w:val="none"/>
        </w:rPr>
        <w:t xml:space="preserve"> </w:t>
      </w:r>
      <w:r>
        <w:rPr>
          <w:rFonts w:ascii="宋体" w:hAnsi="宋体" w:eastAsia="宋体" w:cs="宋体"/>
          <w:color w:val="auto"/>
          <w:spacing w:val="18"/>
          <w:sz w:val="20"/>
          <w:szCs w:val="20"/>
          <w:highlight w:val="none"/>
        </w:rPr>
        <w:t>，采用全年平均人员数代替</w:t>
      </w:r>
      <w:r>
        <w:rPr>
          <w:rFonts w:ascii="宋体" w:hAnsi="宋体" w:eastAsia="宋体" w:cs="宋体"/>
          <w:color w:val="auto"/>
          <w:spacing w:val="-55"/>
          <w:sz w:val="20"/>
          <w:szCs w:val="20"/>
          <w:highlight w:val="none"/>
        </w:rPr>
        <w:t xml:space="preserve"> </w:t>
      </w:r>
      <w:r>
        <w:rPr>
          <w:rFonts w:ascii="宋体" w:hAnsi="宋体" w:eastAsia="宋体" w:cs="宋体"/>
          <w:color w:val="auto"/>
          <w:spacing w:val="18"/>
          <w:sz w:val="20"/>
          <w:szCs w:val="20"/>
          <w:highlight w:val="none"/>
        </w:rPr>
        <w:t>。</w:t>
      </w:r>
      <w:r>
        <w:rPr>
          <w:rFonts w:ascii="宋体" w:hAnsi="宋体" w:eastAsia="宋体" w:cs="宋体"/>
          <w:color w:val="auto"/>
          <w:spacing w:val="-80"/>
          <w:sz w:val="20"/>
          <w:szCs w:val="20"/>
          <w:highlight w:val="none"/>
        </w:rPr>
        <w:t xml:space="preserve"> </w:t>
      </w:r>
      <w:r>
        <w:rPr>
          <w:rFonts w:ascii="宋体" w:hAnsi="宋体" w:eastAsia="宋体" w:cs="宋体"/>
          <w:color w:val="auto"/>
          <w:spacing w:val="18"/>
          <w:sz w:val="20"/>
          <w:szCs w:val="20"/>
          <w:highlight w:val="none"/>
        </w:rPr>
        <w:t>（2）</w:t>
      </w:r>
      <w:r>
        <w:rPr>
          <w:rFonts w:ascii="宋体" w:hAnsi="宋体" w:eastAsia="宋体" w:cs="宋体"/>
          <w:color w:val="auto"/>
          <w:spacing w:val="-56"/>
          <w:sz w:val="20"/>
          <w:szCs w:val="20"/>
          <w:highlight w:val="none"/>
        </w:rPr>
        <w:t xml:space="preserve"> </w:t>
      </w:r>
      <w:r>
        <w:rPr>
          <w:rFonts w:ascii="宋体" w:hAnsi="宋体" w:eastAsia="宋体" w:cs="宋体"/>
          <w:color w:val="auto"/>
          <w:spacing w:val="18"/>
          <w:sz w:val="20"/>
          <w:szCs w:val="20"/>
          <w:highlight w:val="none"/>
        </w:rPr>
        <w:t>营业收入</w:t>
      </w:r>
      <w:r>
        <w:rPr>
          <w:rFonts w:ascii="宋体" w:hAnsi="宋体" w:eastAsia="宋体" w:cs="宋体"/>
          <w:color w:val="auto"/>
          <w:spacing w:val="-56"/>
          <w:sz w:val="20"/>
          <w:szCs w:val="20"/>
          <w:highlight w:val="none"/>
        </w:rPr>
        <w:t xml:space="preserve"> </w:t>
      </w:r>
      <w:r>
        <w:rPr>
          <w:rFonts w:ascii="宋体" w:hAnsi="宋体" w:eastAsia="宋体" w:cs="宋体"/>
          <w:color w:val="auto"/>
          <w:spacing w:val="18"/>
          <w:sz w:val="20"/>
          <w:szCs w:val="20"/>
          <w:highlight w:val="none"/>
        </w:rPr>
        <w:t>，工业、建筑业、</w:t>
      </w:r>
      <w:r>
        <w:rPr>
          <w:rFonts w:ascii="宋体" w:hAnsi="宋体" w:eastAsia="宋体" w:cs="宋体"/>
          <w:color w:val="auto"/>
          <w:spacing w:val="-59"/>
          <w:sz w:val="20"/>
          <w:szCs w:val="20"/>
          <w:highlight w:val="none"/>
        </w:rPr>
        <w:t xml:space="preserve"> </w:t>
      </w:r>
      <w:r>
        <w:rPr>
          <w:rFonts w:ascii="宋体" w:hAnsi="宋体" w:eastAsia="宋体" w:cs="宋体"/>
          <w:color w:val="auto"/>
          <w:spacing w:val="18"/>
          <w:sz w:val="20"/>
          <w:szCs w:val="20"/>
          <w:highlight w:val="none"/>
        </w:rPr>
        <w:t>限额以</w:t>
      </w:r>
      <w:r>
        <w:rPr>
          <w:rFonts w:ascii="宋体" w:hAnsi="宋体" w:eastAsia="宋体" w:cs="宋体"/>
          <w:color w:val="auto"/>
          <w:spacing w:val="24"/>
          <w:sz w:val="20"/>
          <w:szCs w:val="20"/>
          <w:highlight w:val="none"/>
        </w:rPr>
        <w:t>上批发和零售业</w:t>
      </w:r>
      <w:r>
        <w:rPr>
          <w:rFonts w:ascii="宋体" w:hAnsi="宋体" w:eastAsia="宋体" w:cs="宋体"/>
          <w:color w:val="auto"/>
          <w:spacing w:val="-59"/>
          <w:sz w:val="20"/>
          <w:szCs w:val="20"/>
          <w:highlight w:val="none"/>
        </w:rPr>
        <w:t xml:space="preserve"> </w:t>
      </w:r>
      <w:r>
        <w:rPr>
          <w:rFonts w:ascii="宋体" w:hAnsi="宋体" w:eastAsia="宋体" w:cs="宋体"/>
          <w:color w:val="auto"/>
          <w:spacing w:val="24"/>
          <w:sz w:val="20"/>
          <w:szCs w:val="20"/>
          <w:highlight w:val="none"/>
        </w:rPr>
        <w:t>、</w:t>
      </w:r>
      <w:r>
        <w:rPr>
          <w:rFonts w:ascii="宋体" w:hAnsi="宋体" w:eastAsia="宋体" w:cs="宋体"/>
          <w:color w:val="auto"/>
          <w:spacing w:val="-52"/>
          <w:sz w:val="20"/>
          <w:szCs w:val="20"/>
          <w:highlight w:val="none"/>
        </w:rPr>
        <w:t xml:space="preserve"> </w:t>
      </w:r>
      <w:r>
        <w:rPr>
          <w:rFonts w:ascii="宋体" w:hAnsi="宋体" w:eastAsia="宋体" w:cs="宋体"/>
          <w:color w:val="auto"/>
          <w:spacing w:val="24"/>
          <w:sz w:val="20"/>
          <w:szCs w:val="20"/>
          <w:highlight w:val="none"/>
        </w:rPr>
        <w:t>限额以上住宿和餐饮业以及其他设置主营业务收入指标的行业</w:t>
      </w:r>
      <w:r>
        <w:rPr>
          <w:rFonts w:ascii="宋体" w:hAnsi="宋体" w:eastAsia="宋体" w:cs="宋体"/>
          <w:color w:val="auto"/>
          <w:spacing w:val="-56"/>
          <w:sz w:val="20"/>
          <w:szCs w:val="20"/>
          <w:highlight w:val="none"/>
        </w:rPr>
        <w:t xml:space="preserve"> </w:t>
      </w:r>
      <w:r>
        <w:rPr>
          <w:rFonts w:ascii="宋体" w:hAnsi="宋体" w:eastAsia="宋体" w:cs="宋体"/>
          <w:color w:val="auto"/>
          <w:spacing w:val="24"/>
          <w:sz w:val="20"/>
          <w:szCs w:val="20"/>
          <w:highlight w:val="none"/>
        </w:rPr>
        <w:t>，</w:t>
      </w:r>
      <w:r>
        <w:rPr>
          <w:rFonts w:ascii="宋体" w:hAnsi="宋体" w:eastAsia="宋体" w:cs="宋体"/>
          <w:color w:val="auto"/>
          <w:spacing w:val="23"/>
          <w:sz w:val="20"/>
          <w:szCs w:val="20"/>
          <w:highlight w:val="none"/>
        </w:rPr>
        <w:t>采用</w:t>
      </w:r>
      <w:r>
        <w:rPr>
          <w:rFonts w:ascii="宋体" w:hAnsi="宋体" w:eastAsia="宋体" w:cs="宋体"/>
          <w:color w:val="auto"/>
          <w:spacing w:val="24"/>
          <w:sz w:val="20"/>
          <w:szCs w:val="20"/>
          <w:highlight w:val="none"/>
        </w:rPr>
        <w:t>主营业务收入；</w:t>
      </w:r>
      <w:r>
        <w:rPr>
          <w:rFonts w:ascii="宋体" w:hAnsi="宋体" w:eastAsia="宋体" w:cs="宋体"/>
          <w:color w:val="auto"/>
          <w:spacing w:val="-28"/>
          <w:sz w:val="20"/>
          <w:szCs w:val="20"/>
          <w:highlight w:val="none"/>
        </w:rPr>
        <w:t xml:space="preserve"> </w:t>
      </w:r>
      <w:r>
        <w:rPr>
          <w:rFonts w:ascii="宋体" w:hAnsi="宋体" w:eastAsia="宋体" w:cs="宋体"/>
          <w:color w:val="auto"/>
          <w:spacing w:val="24"/>
          <w:sz w:val="20"/>
          <w:szCs w:val="20"/>
          <w:highlight w:val="none"/>
        </w:rPr>
        <w:t>限额以下批发与零售业企业采用商品销售</w:t>
      </w:r>
      <w:r>
        <w:rPr>
          <w:rFonts w:ascii="宋体" w:hAnsi="宋体" w:eastAsia="宋体" w:cs="宋体"/>
          <w:color w:val="auto"/>
          <w:spacing w:val="23"/>
          <w:sz w:val="20"/>
          <w:szCs w:val="20"/>
          <w:highlight w:val="none"/>
        </w:rPr>
        <w:t>额代替；</w:t>
      </w:r>
      <w:r>
        <w:rPr>
          <w:rFonts w:ascii="宋体" w:hAnsi="宋体" w:eastAsia="宋体" w:cs="宋体"/>
          <w:color w:val="auto"/>
          <w:spacing w:val="-28"/>
          <w:sz w:val="20"/>
          <w:szCs w:val="20"/>
          <w:highlight w:val="none"/>
        </w:rPr>
        <w:t xml:space="preserve"> </w:t>
      </w:r>
      <w:r>
        <w:rPr>
          <w:rFonts w:ascii="宋体" w:hAnsi="宋体" w:eastAsia="宋体" w:cs="宋体"/>
          <w:color w:val="auto"/>
          <w:spacing w:val="23"/>
          <w:sz w:val="20"/>
          <w:szCs w:val="20"/>
          <w:highlight w:val="none"/>
        </w:rPr>
        <w:t>限额以下住宿与餐饮</w:t>
      </w:r>
      <w:r>
        <w:rPr>
          <w:rFonts w:ascii="宋体" w:hAnsi="宋体" w:eastAsia="宋体" w:cs="宋体"/>
          <w:color w:val="auto"/>
          <w:spacing w:val="21"/>
          <w:sz w:val="20"/>
          <w:szCs w:val="20"/>
          <w:highlight w:val="none"/>
        </w:rPr>
        <w:t>业企业采用营业额代替；</w:t>
      </w:r>
      <w:r>
        <w:rPr>
          <w:rFonts w:ascii="宋体" w:hAnsi="宋体" w:eastAsia="宋体" w:cs="宋体"/>
          <w:color w:val="auto"/>
          <w:spacing w:val="-36"/>
          <w:sz w:val="20"/>
          <w:szCs w:val="20"/>
          <w:highlight w:val="none"/>
        </w:rPr>
        <w:t xml:space="preserve"> </w:t>
      </w:r>
      <w:r>
        <w:rPr>
          <w:rFonts w:ascii="宋体" w:hAnsi="宋体" w:eastAsia="宋体" w:cs="宋体"/>
          <w:color w:val="auto"/>
          <w:spacing w:val="21"/>
          <w:sz w:val="20"/>
          <w:szCs w:val="20"/>
          <w:highlight w:val="none"/>
        </w:rPr>
        <w:t>农</w:t>
      </w:r>
      <w:r>
        <w:rPr>
          <w:rFonts w:ascii="宋体" w:hAnsi="宋体" w:eastAsia="宋体" w:cs="宋体"/>
          <w:color w:val="auto"/>
          <w:spacing w:val="-58"/>
          <w:sz w:val="20"/>
          <w:szCs w:val="20"/>
          <w:highlight w:val="none"/>
        </w:rPr>
        <w:t xml:space="preserve"> </w:t>
      </w:r>
      <w:r>
        <w:rPr>
          <w:rFonts w:ascii="宋体" w:hAnsi="宋体" w:eastAsia="宋体" w:cs="宋体"/>
          <w:color w:val="auto"/>
          <w:spacing w:val="21"/>
          <w:sz w:val="20"/>
          <w:szCs w:val="20"/>
          <w:highlight w:val="none"/>
        </w:rPr>
        <w:t>、林</w:t>
      </w:r>
      <w:r>
        <w:rPr>
          <w:rFonts w:ascii="宋体" w:hAnsi="宋体" w:eastAsia="宋体" w:cs="宋体"/>
          <w:color w:val="auto"/>
          <w:spacing w:val="-58"/>
          <w:sz w:val="20"/>
          <w:szCs w:val="20"/>
          <w:highlight w:val="none"/>
        </w:rPr>
        <w:t xml:space="preserve"> </w:t>
      </w:r>
      <w:r>
        <w:rPr>
          <w:rFonts w:ascii="宋体" w:hAnsi="宋体" w:eastAsia="宋体" w:cs="宋体"/>
          <w:color w:val="auto"/>
          <w:spacing w:val="21"/>
          <w:sz w:val="20"/>
          <w:szCs w:val="20"/>
          <w:highlight w:val="none"/>
        </w:rPr>
        <w:t>、牧</w:t>
      </w:r>
      <w:r>
        <w:rPr>
          <w:rFonts w:ascii="宋体" w:hAnsi="宋体" w:eastAsia="宋体" w:cs="宋体"/>
          <w:color w:val="auto"/>
          <w:spacing w:val="-59"/>
          <w:sz w:val="20"/>
          <w:szCs w:val="20"/>
          <w:highlight w:val="none"/>
        </w:rPr>
        <w:t xml:space="preserve"> </w:t>
      </w:r>
      <w:r>
        <w:rPr>
          <w:rFonts w:ascii="宋体" w:hAnsi="宋体" w:eastAsia="宋体" w:cs="宋体"/>
          <w:color w:val="auto"/>
          <w:spacing w:val="21"/>
          <w:sz w:val="20"/>
          <w:szCs w:val="20"/>
          <w:highlight w:val="none"/>
        </w:rPr>
        <w:t>、渔业企业采用营业总收入代替；</w:t>
      </w:r>
      <w:r>
        <w:rPr>
          <w:rFonts w:ascii="宋体" w:hAnsi="宋体" w:eastAsia="宋体" w:cs="宋体"/>
          <w:color w:val="auto"/>
          <w:spacing w:val="-44"/>
          <w:sz w:val="20"/>
          <w:szCs w:val="20"/>
          <w:highlight w:val="none"/>
        </w:rPr>
        <w:t xml:space="preserve"> </w:t>
      </w:r>
      <w:r>
        <w:rPr>
          <w:rFonts w:ascii="宋体" w:hAnsi="宋体" w:eastAsia="宋体" w:cs="宋体"/>
          <w:color w:val="auto"/>
          <w:spacing w:val="21"/>
          <w:sz w:val="20"/>
          <w:szCs w:val="20"/>
          <w:highlight w:val="none"/>
        </w:rPr>
        <w:t>其他未设置主营</w:t>
      </w:r>
    </w:p>
    <w:p w14:paraId="601A4B56">
      <w:pPr>
        <w:spacing w:before="214" w:line="227" w:lineRule="auto"/>
        <w:ind w:left="405"/>
        <w:outlineLvl w:val="0"/>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业务收入的行业</w:t>
      </w:r>
      <w:r>
        <w:rPr>
          <w:rFonts w:ascii="宋体" w:hAnsi="宋体" w:eastAsia="宋体" w:cs="宋体"/>
          <w:color w:val="auto"/>
          <w:spacing w:val="-59"/>
          <w:sz w:val="20"/>
          <w:szCs w:val="20"/>
          <w:highlight w:val="none"/>
        </w:rPr>
        <w:t xml:space="preserve"> </w:t>
      </w:r>
      <w:r>
        <w:rPr>
          <w:rFonts w:ascii="宋体" w:hAnsi="宋体" w:eastAsia="宋体" w:cs="宋体"/>
          <w:color w:val="auto"/>
          <w:spacing w:val="18"/>
          <w:sz w:val="20"/>
          <w:szCs w:val="20"/>
          <w:highlight w:val="none"/>
        </w:rPr>
        <w:t>，采用营业收入指标</w:t>
      </w:r>
      <w:r>
        <w:rPr>
          <w:rFonts w:ascii="宋体" w:hAnsi="宋体" w:eastAsia="宋体" w:cs="宋体"/>
          <w:color w:val="auto"/>
          <w:spacing w:val="-52"/>
          <w:sz w:val="20"/>
          <w:szCs w:val="20"/>
          <w:highlight w:val="none"/>
        </w:rPr>
        <w:t xml:space="preserve"> </w:t>
      </w:r>
      <w:r>
        <w:rPr>
          <w:rFonts w:ascii="宋体" w:hAnsi="宋体" w:eastAsia="宋体" w:cs="宋体"/>
          <w:color w:val="auto"/>
          <w:spacing w:val="18"/>
          <w:sz w:val="20"/>
          <w:szCs w:val="20"/>
          <w:highlight w:val="none"/>
        </w:rPr>
        <w:t>。</w:t>
      </w:r>
      <w:r>
        <w:rPr>
          <w:rFonts w:ascii="宋体" w:hAnsi="宋体" w:eastAsia="宋体" w:cs="宋体"/>
          <w:color w:val="auto"/>
          <w:spacing w:val="-72"/>
          <w:sz w:val="20"/>
          <w:szCs w:val="20"/>
          <w:highlight w:val="none"/>
        </w:rPr>
        <w:t xml:space="preserve"> </w:t>
      </w:r>
      <w:r>
        <w:rPr>
          <w:rFonts w:ascii="宋体" w:hAnsi="宋体" w:eastAsia="宋体" w:cs="宋体"/>
          <w:color w:val="auto"/>
          <w:spacing w:val="18"/>
          <w:sz w:val="20"/>
          <w:szCs w:val="20"/>
          <w:highlight w:val="none"/>
        </w:rPr>
        <w:t>（3）</w:t>
      </w:r>
      <w:r>
        <w:rPr>
          <w:rFonts w:ascii="宋体" w:hAnsi="宋体" w:eastAsia="宋体" w:cs="宋体"/>
          <w:color w:val="auto"/>
          <w:spacing w:val="-49"/>
          <w:sz w:val="20"/>
          <w:szCs w:val="20"/>
          <w:highlight w:val="none"/>
        </w:rPr>
        <w:t xml:space="preserve"> </w:t>
      </w:r>
      <w:r>
        <w:rPr>
          <w:rFonts w:ascii="宋体" w:hAnsi="宋体" w:eastAsia="宋体" w:cs="宋体"/>
          <w:color w:val="auto"/>
          <w:spacing w:val="18"/>
          <w:sz w:val="20"/>
          <w:szCs w:val="20"/>
          <w:highlight w:val="none"/>
        </w:rPr>
        <w:t>资产总额</w:t>
      </w:r>
      <w:r>
        <w:rPr>
          <w:rFonts w:ascii="宋体" w:hAnsi="宋体" w:eastAsia="宋体" w:cs="宋体"/>
          <w:color w:val="auto"/>
          <w:spacing w:val="-58"/>
          <w:sz w:val="20"/>
          <w:szCs w:val="20"/>
          <w:highlight w:val="none"/>
        </w:rPr>
        <w:t xml:space="preserve"> </w:t>
      </w:r>
      <w:r>
        <w:rPr>
          <w:rFonts w:ascii="宋体" w:hAnsi="宋体" w:eastAsia="宋体" w:cs="宋体"/>
          <w:color w:val="auto"/>
          <w:spacing w:val="18"/>
          <w:sz w:val="20"/>
          <w:szCs w:val="20"/>
          <w:highlight w:val="none"/>
        </w:rPr>
        <w:t>，采用资产总计</w:t>
      </w:r>
      <w:r>
        <w:rPr>
          <w:rFonts w:ascii="宋体" w:hAnsi="宋体" w:eastAsia="宋体" w:cs="宋体"/>
          <w:color w:val="auto"/>
          <w:spacing w:val="17"/>
          <w:sz w:val="20"/>
          <w:szCs w:val="20"/>
          <w:highlight w:val="none"/>
        </w:rPr>
        <w:t>代替。</w:t>
      </w:r>
    </w:p>
    <w:p w14:paraId="0AD734E4">
      <w:pPr>
        <w:spacing w:line="227" w:lineRule="auto"/>
        <w:rPr>
          <w:rFonts w:ascii="宋体" w:hAnsi="宋体" w:eastAsia="宋体" w:cs="宋体"/>
          <w:color w:val="auto"/>
          <w:sz w:val="20"/>
          <w:szCs w:val="20"/>
          <w:highlight w:val="none"/>
        </w:rPr>
        <w:sectPr>
          <w:footerReference r:id="rId3" w:type="default"/>
          <w:pgSz w:w="11905" w:h="16838"/>
          <w:pgMar w:top="1429" w:right="1043" w:bottom="1423" w:left="1400" w:header="0" w:footer="0" w:gutter="0"/>
          <w:pgNumType w:fmt="decimal" w:start="1"/>
          <w:cols w:space="0" w:num="1"/>
          <w:rtlGutter w:val="0"/>
          <w:docGrid w:linePitch="0" w:charSpace="0"/>
        </w:sectPr>
      </w:pPr>
    </w:p>
    <w:p w14:paraId="743DC3AE">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r>
        <w:rPr>
          <w:rFonts w:hint="eastAsia" w:hAnsi="宋体"/>
          <w:b/>
          <w:color w:val="auto"/>
          <w:sz w:val="32"/>
          <w:szCs w:val="32"/>
          <w:highlight w:val="none"/>
        </w:rPr>
        <w:t>第五章  政府采购合同（合同主要条款及格式）</w:t>
      </w:r>
    </w:p>
    <w:p w14:paraId="6E06D51D">
      <w:pPr>
        <w:keepNext w:val="0"/>
        <w:keepLines w:val="0"/>
        <w:pageBreakBefore w:val="0"/>
        <w:kinsoku/>
        <w:wordWrap/>
        <w:overflowPunct/>
        <w:topLinePunct w:val="0"/>
        <w:autoSpaceDE/>
        <w:autoSpaceDN/>
        <w:bidi w:val="0"/>
        <w:adjustRightInd/>
        <w:spacing w:line="348" w:lineRule="auto"/>
        <w:textAlignment w:val="auto"/>
        <w:rPr>
          <w:rFonts w:ascii="宋体" w:hAnsi="宋体"/>
          <w:color w:val="auto"/>
          <w:highlight w:val="none"/>
        </w:rPr>
      </w:pPr>
    </w:p>
    <w:p w14:paraId="7A3E6498">
      <w:pPr>
        <w:keepNext w:val="0"/>
        <w:keepLines w:val="0"/>
        <w:pageBreakBefore w:val="0"/>
        <w:kinsoku/>
        <w:wordWrap/>
        <w:overflowPunct/>
        <w:topLinePunct w:val="0"/>
        <w:autoSpaceDE/>
        <w:autoSpaceDN/>
        <w:bidi w:val="0"/>
        <w:adjustRightInd/>
        <w:spacing w:line="348" w:lineRule="auto"/>
        <w:textAlignment w:val="auto"/>
        <w:rPr>
          <w:rFonts w:ascii="宋体" w:hAnsi="宋体"/>
          <w:b/>
          <w:bCs/>
          <w:color w:val="auto"/>
          <w:highlight w:val="none"/>
          <w:u w:val="single"/>
        </w:rPr>
      </w:pPr>
      <w:r>
        <w:rPr>
          <w:rFonts w:hint="eastAsia" w:ascii="宋体" w:hAnsi="宋体"/>
          <w:b/>
          <w:bCs/>
          <w:color w:val="auto"/>
          <w:highlight w:val="none"/>
        </w:rPr>
        <w:t>甲方：</w:t>
      </w:r>
      <w:r>
        <w:rPr>
          <w:rFonts w:hint="eastAsia" w:ascii="宋体" w:hAnsi="宋体"/>
          <w:b/>
          <w:bCs/>
          <w:color w:val="auto"/>
          <w:highlight w:val="none"/>
          <w:u w:val="single"/>
          <w:lang w:val="en-US" w:eastAsia="zh-CN"/>
        </w:rPr>
        <w:t xml:space="preserve">                </w:t>
      </w:r>
      <w:r>
        <w:rPr>
          <w:rFonts w:hint="eastAsia" w:ascii="宋体" w:hAnsi="宋体"/>
          <w:b/>
          <w:bCs/>
          <w:color w:val="auto"/>
          <w:highlight w:val="none"/>
          <w:u w:val="single"/>
        </w:rPr>
        <w:t xml:space="preserve"> </w:t>
      </w:r>
      <w:r>
        <w:rPr>
          <w:rFonts w:hint="eastAsia" w:ascii="宋体" w:hAnsi="宋体"/>
          <w:b/>
          <w:bCs/>
          <w:color w:val="auto"/>
          <w:highlight w:val="none"/>
        </w:rPr>
        <w:t>（采购人）</w:t>
      </w:r>
    </w:p>
    <w:p w14:paraId="29D807B4">
      <w:pPr>
        <w:keepNext w:val="0"/>
        <w:keepLines w:val="0"/>
        <w:pageBreakBefore w:val="0"/>
        <w:kinsoku/>
        <w:wordWrap/>
        <w:overflowPunct/>
        <w:topLinePunct w:val="0"/>
        <w:autoSpaceDE/>
        <w:autoSpaceDN/>
        <w:bidi w:val="0"/>
        <w:adjustRightInd/>
        <w:spacing w:line="348" w:lineRule="auto"/>
        <w:textAlignment w:val="auto"/>
        <w:rPr>
          <w:rFonts w:ascii="宋体" w:hAnsi="宋体"/>
          <w:b/>
          <w:bCs/>
          <w:color w:val="auto"/>
          <w:highlight w:val="none"/>
        </w:rPr>
      </w:pPr>
      <w:r>
        <w:rPr>
          <w:rFonts w:hint="eastAsia" w:ascii="宋体" w:hAnsi="宋体"/>
          <w:b/>
          <w:bCs/>
          <w:color w:val="auto"/>
          <w:highlight w:val="none"/>
        </w:rPr>
        <w:t xml:space="preserve">乙方： </w:t>
      </w:r>
      <w:r>
        <w:rPr>
          <w:rFonts w:hint="eastAsia" w:ascii="宋体" w:hAnsi="宋体"/>
          <w:b/>
          <w:bCs/>
          <w:color w:val="auto"/>
          <w:highlight w:val="none"/>
          <w:u w:val="single"/>
        </w:rPr>
        <w:t xml:space="preserve">                    </w:t>
      </w:r>
      <w:r>
        <w:rPr>
          <w:rFonts w:hint="eastAsia" w:ascii="宋体" w:hAnsi="宋体"/>
          <w:b/>
          <w:bCs/>
          <w:color w:val="auto"/>
          <w:highlight w:val="none"/>
        </w:rPr>
        <w:t>（中标人）</w:t>
      </w:r>
    </w:p>
    <w:p w14:paraId="78746CC9">
      <w:pPr>
        <w:keepNext w:val="0"/>
        <w:keepLines w:val="0"/>
        <w:pageBreakBefore w:val="0"/>
        <w:kinsoku/>
        <w:wordWrap/>
        <w:overflowPunct/>
        <w:topLinePunct w:val="0"/>
        <w:autoSpaceDE/>
        <w:autoSpaceDN/>
        <w:bidi w:val="0"/>
        <w:adjustRightInd/>
        <w:spacing w:line="348" w:lineRule="auto"/>
        <w:textAlignment w:val="auto"/>
        <w:rPr>
          <w:rFonts w:ascii="宋体" w:hAnsi="宋体"/>
          <w:color w:val="auto"/>
          <w:highlight w:val="none"/>
        </w:rPr>
      </w:pPr>
    </w:p>
    <w:p w14:paraId="048CB3AF">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olor w:val="auto"/>
          <w:highlight w:val="none"/>
        </w:rPr>
        <w:t>《中华人民共和国政府采购法》、</w:t>
      </w:r>
      <w:r>
        <w:rPr>
          <w:rFonts w:hint="eastAsia" w:ascii="宋体" w:hAnsi="宋体" w:cs="宋体"/>
          <w:color w:val="auto"/>
          <w:szCs w:val="21"/>
          <w:highlight w:val="none"/>
        </w:rPr>
        <w:t>《中华人民共和国民法典》等法律、法规规定，按照本项目招标文件、投标文件的规定条款和乙方的承诺、甲乙双方签订本合同。</w:t>
      </w:r>
    </w:p>
    <w:p w14:paraId="26FA923B">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第一条　合同金额</w:t>
      </w:r>
    </w:p>
    <w:tbl>
      <w:tblPr>
        <w:tblStyle w:val="51"/>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79"/>
        <w:gridCol w:w="1280"/>
        <w:gridCol w:w="914"/>
        <w:gridCol w:w="980"/>
        <w:gridCol w:w="1057"/>
        <w:gridCol w:w="718"/>
        <w:gridCol w:w="1536"/>
        <w:gridCol w:w="1567"/>
      </w:tblGrid>
      <w:tr w14:paraId="2ACE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531" w:type="dxa"/>
            <w:tcBorders>
              <w:top w:val="single" w:color="auto" w:sz="4" w:space="0"/>
              <w:left w:val="single" w:color="auto" w:sz="4" w:space="0"/>
              <w:bottom w:val="single" w:color="auto" w:sz="4" w:space="0"/>
              <w:right w:val="single" w:color="auto" w:sz="4" w:space="0"/>
            </w:tcBorders>
            <w:vAlign w:val="center"/>
          </w:tcPr>
          <w:p w14:paraId="3B7746FB">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项号</w:t>
            </w:r>
          </w:p>
        </w:tc>
        <w:tc>
          <w:tcPr>
            <w:tcW w:w="1479" w:type="dxa"/>
            <w:tcBorders>
              <w:top w:val="single" w:color="auto" w:sz="4" w:space="0"/>
              <w:left w:val="single" w:color="auto" w:sz="4" w:space="0"/>
              <w:bottom w:val="single" w:color="auto" w:sz="4" w:space="0"/>
              <w:right w:val="single" w:color="auto" w:sz="4" w:space="0"/>
            </w:tcBorders>
            <w:vAlign w:val="center"/>
          </w:tcPr>
          <w:p w14:paraId="7C070AE1">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货物名称</w:t>
            </w:r>
          </w:p>
        </w:tc>
        <w:tc>
          <w:tcPr>
            <w:tcW w:w="1280" w:type="dxa"/>
            <w:tcBorders>
              <w:top w:val="single" w:color="auto" w:sz="4" w:space="0"/>
              <w:left w:val="single" w:color="auto" w:sz="4" w:space="0"/>
              <w:bottom w:val="single" w:color="auto" w:sz="4" w:space="0"/>
              <w:right w:val="single" w:color="auto" w:sz="4" w:space="0"/>
            </w:tcBorders>
            <w:vAlign w:val="center"/>
          </w:tcPr>
          <w:p w14:paraId="4D68FE19">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生产厂家</w:t>
            </w:r>
          </w:p>
        </w:tc>
        <w:tc>
          <w:tcPr>
            <w:tcW w:w="914" w:type="dxa"/>
            <w:tcBorders>
              <w:top w:val="single" w:color="auto" w:sz="4" w:space="0"/>
              <w:left w:val="single" w:color="auto" w:sz="4" w:space="0"/>
              <w:bottom w:val="single" w:color="auto" w:sz="4" w:space="0"/>
              <w:right w:val="single" w:color="auto" w:sz="4" w:space="0"/>
            </w:tcBorders>
            <w:vAlign w:val="center"/>
          </w:tcPr>
          <w:p w14:paraId="69987868">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bCs/>
                <w:color w:val="auto"/>
                <w:szCs w:val="21"/>
                <w:highlight w:val="none"/>
              </w:rPr>
            </w:pPr>
            <w:r>
              <w:rPr>
                <w:rFonts w:hint="eastAsia" w:ascii="宋体" w:hAnsi="宋体"/>
                <w:color w:val="auto"/>
                <w:szCs w:val="21"/>
                <w:highlight w:val="none"/>
              </w:rPr>
              <w:t>品牌</w:t>
            </w:r>
          </w:p>
        </w:tc>
        <w:tc>
          <w:tcPr>
            <w:tcW w:w="980" w:type="dxa"/>
            <w:tcBorders>
              <w:top w:val="single" w:color="auto" w:sz="4" w:space="0"/>
              <w:left w:val="single" w:color="auto" w:sz="4" w:space="0"/>
              <w:bottom w:val="single" w:color="auto" w:sz="4" w:space="0"/>
              <w:right w:val="single" w:color="auto" w:sz="4" w:space="0"/>
            </w:tcBorders>
            <w:vAlign w:val="center"/>
          </w:tcPr>
          <w:p w14:paraId="76936058">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规格型号</w:t>
            </w:r>
          </w:p>
        </w:tc>
        <w:tc>
          <w:tcPr>
            <w:tcW w:w="1057" w:type="dxa"/>
            <w:tcBorders>
              <w:top w:val="single" w:color="auto" w:sz="4" w:space="0"/>
              <w:left w:val="single" w:color="auto" w:sz="4" w:space="0"/>
              <w:bottom w:val="single" w:color="auto" w:sz="4" w:space="0"/>
              <w:right w:val="single" w:color="auto" w:sz="4" w:space="0"/>
            </w:tcBorders>
            <w:vAlign w:val="center"/>
          </w:tcPr>
          <w:p w14:paraId="7931B595">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数量</w:t>
            </w:r>
          </w:p>
          <w:p w14:paraId="4DF7696C">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①</w:t>
            </w:r>
          </w:p>
        </w:tc>
        <w:tc>
          <w:tcPr>
            <w:tcW w:w="718" w:type="dxa"/>
            <w:tcBorders>
              <w:top w:val="single" w:color="auto" w:sz="4" w:space="0"/>
              <w:left w:val="single" w:color="auto" w:sz="4" w:space="0"/>
              <w:bottom w:val="single" w:color="auto" w:sz="4" w:space="0"/>
              <w:right w:val="single" w:color="auto" w:sz="4" w:space="0"/>
            </w:tcBorders>
            <w:vAlign w:val="center"/>
          </w:tcPr>
          <w:p w14:paraId="66B32CB5">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单位</w:t>
            </w:r>
          </w:p>
        </w:tc>
        <w:tc>
          <w:tcPr>
            <w:tcW w:w="1536" w:type="dxa"/>
            <w:tcBorders>
              <w:top w:val="single" w:color="auto" w:sz="4" w:space="0"/>
              <w:left w:val="single" w:color="auto" w:sz="4" w:space="0"/>
              <w:bottom w:val="single" w:color="auto" w:sz="4" w:space="0"/>
              <w:right w:val="single" w:color="auto" w:sz="4" w:space="0"/>
            </w:tcBorders>
            <w:vAlign w:val="center"/>
          </w:tcPr>
          <w:p w14:paraId="2C761AC6">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单价（元）</w:t>
            </w:r>
          </w:p>
          <w:p w14:paraId="49606AF4">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②</w:t>
            </w:r>
          </w:p>
        </w:tc>
        <w:tc>
          <w:tcPr>
            <w:tcW w:w="1567" w:type="dxa"/>
            <w:tcBorders>
              <w:top w:val="single" w:color="auto" w:sz="4" w:space="0"/>
              <w:left w:val="single" w:color="auto" w:sz="4" w:space="0"/>
              <w:bottom w:val="single" w:color="auto" w:sz="4" w:space="0"/>
              <w:right w:val="single" w:color="auto" w:sz="4" w:space="0"/>
            </w:tcBorders>
            <w:vAlign w:val="center"/>
          </w:tcPr>
          <w:p w14:paraId="7466C4C4">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bCs/>
                <w:color w:val="auto"/>
                <w:szCs w:val="21"/>
                <w:highlight w:val="none"/>
              </w:rPr>
            </w:pPr>
            <w:r>
              <w:rPr>
                <w:rFonts w:hint="eastAsia" w:ascii="宋体" w:hAnsi="宋体"/>
                <w:bCs/>
                <w:color w:val="auto"/>
                <w:szCs w:val="21"/>
                <w:highlight w:val="none"/>
              </w:rPr>
              <w:t>单项合计金额（元）</w:t>
            </w:r>
          </w:p>
          <w:p w14:paraId="77888882">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bCs/>
                <w:color w:val="auto"/>
                <w:szCs w:val="21"/>
                <w:highlight w:val="none"/>
              </w:rPr>
              <w:t>③=①×</w:t>
            </w:r>
            <w:r>
              <w:rPr>
                <w:rFonts w:hint="eastAsia" w:ascii="宋体" w:hAnsi="宋体"/>
                <w:color w:val="auto"/>
                <w:szCs w:val="21"/>
                <w:highlight w:val="none"/>
              </w:rPr>
              <w:t>②</w:t>
            </w:r>
          </w:p>
        </w:tc>
      </w:tr>
      <w:tr w14:paraId="5614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vAlign w:val="center"/>
          </w:tcPr>
          <w:p w14:paraId="1C922C72">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1479" w:type="dxa"/>
            <w:tcBorders>
              <w:top w:val="single" w:color="auto" w:sz="4" w:space="0"/>
              <w:left w:val="single" w:color="auto" w:sz="4" w:space="0"/>
              <w:bottom w:val="single" w:color="auto" w:sz="4" w:space="0"/>
              <w:right w:val="single" w:color="auto" w:sz="4" w:space="0"/>
            </w:tcBorders>
            <w:vAlign w:val="center"/>
          </w:tcPr>
          <w:p w14:paraId="4C3FB0F9">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vAlign w:val="center"/>
          </w:tcPr>
          <w:p w14:paraId="38FF083E">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vAlign w:val="center"/>
          </w:tcPr>
          <w:p w14:paraId="1CCE5276">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vAlign w:val="center"/>
          </w:tcPr>
          <w:p w14:paraId="299655CA">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vAlign w:val="center"/>
          </w:tcPr>
          <w:p w14:paraId="3D95A171">
            <w:pPr>
              <w:keepNext w:val="0"/>
              <w:keepLines w:val="0"/>
              <w:pageBreakBefore w:val="0"/>
              <w:widowControl/>
              <w:kinsoku/>
              <w:wordWrap/>
              <w:overflowPunct/>
              <w:topLinePunct w:val="0"/>
              <w:autoSpaceDE/>
              <w:autoSpaceDN/>
              <w:bidi w:val="0"/>
              <w:adjustRightInd/>
              <w:spacing w:line="348" w:lineRule="auto"/>
              <w:jc w:val="center"/>
              <w:textAlignment w:val="auto"/>
              <w:outlineLvl w:val="0"/>
              <w:rPr>
                <w:rFonts w:ascii="宋体" w:hAnsi="宋体"/>
                <w:color w:val="auto"/>
                <w:szCs w:val="21"/>
                <w:highlight w:val="none"/>
              </w:rPr>
            </w:pPr>
          </w:p>
        </w:tc>
        <w:tc>
          <w:tcPr>
            <w:tcW w:w="718" w:type="dxa"/>
            <w:tcBorders>
              <w:top w:val="single" w:color="auto" w:sz="4" w:space="0"/>
              <w:left w:val="single" w:color="auto" w:sz="4" w:space="0"/>
              <w:bottom w:val="single" w:color="auto" w:sz="4" w:space="0"/>
              <w:right w:val="single" w:color="auto" w:sz="4" w:space="0"/>
            </w:tcBorders>
            <w:vAlign w:val="center"/>
          </w:tcPr>
          <w:p w14:paraId="2430D7A5">
            <w:pPr>
              <w:keepNext w:val="0"/>
              <w:keepLines w:val="0"/>
              <w:pageBreakBefore w:val="0"/>
              <w:widowControl/>
              <w:kinsoku/>
              <w:wordWrap/>
              <w:overflowPunct/>
              <w:topLinePunct w:val="0"/>
              <w:autoSpaceDE/>
              <w:autoSpaceDN/>
              <w:bidi w:val="0"/>
              <w:adjustRightInd/>
              <w:spacing w:line="348" w:lineRule="auto"/>
              <w:jc w:val="center"/>
              <w:textAlignment w:val="auto"/>
              <w:outlineLvl w:val="0"/>
              <w:rPr>
                <w:rFonts w:ascii="宋体" w:hAnsi="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585F74CB">
            <w:pPr>
              <w:keepNext w:val="0"/>
              <w:keepLines w:val="0"/>
              <w:pageBreakBefore w:val="0"/>
              <w:kinsoku/>
              <w:wordWrap/>
              <w:overflowPunct/>
              <w:topLinePunct w:val="0"/>
              <w:autoSpaceDE/>
              <w:autoSpaceDN/>
              <w:bidi w:val="0"/>
              <w:adjustRightInd/>
              <w:snapToGrid w:val="0"/>
              <w:spacing w:line="348" w:lineRule="auto"/>
              <w:textAlignment w:val="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64BED13D">
            <w:pPr>
              <w:keepNext w:val="0"/>
              <w:keepLines w:val="0"/>
              <w:pageBreakBefore w:val="0"/>
              <w:kinsoku/>
              <w:wordWrap/>
              <w:overflowPunct/>
              <w:topLinePunct w:val="0"/>
              <w:autoSpaceDE/>
              <w:autoSpaceDN/>
              <w:bidi w:val="0"/>
              <w:adjustRightInd/>
              <w:snapToGrid w:val="0"/>
              <w:spacing w:line="348" w:lineRule="auto"/>
              <w:textAlignment w:val="auto"/>
              <w:rPr>
                <w:rFonts w:ascii="宋体" w:hAnsi="宋体"/>
                <w:color w:val="auto"/>
                <w:szCs w:val="21"/>
                <w:highlight w:val="none"/>
              </w:rPr>
            </w:pPr>
          </w:p>
        </w:tc>
      </w:tr>
      <w:tr w14:paraId="2D56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vAlign w:val="center"/>
          </w:tcPr>
          <w:p w14:paraId="31673169">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2</w:t>
            </w:r>
          </w:p>
        </w:tc>
        <w:tc>
          <w:tcPr>
            <w:tcW w:w="1479" w:type="dxa"/>
            <w:tcBorders>
              <w:top w:val="single" w:color="auto" w:sz="4" w:space="0"/>
              <w:left w:val="single" w:color="auto" w:sz="4" w:space="0"/>
              <w:bottom w:val="single" w:color="auto" w:sz="4" w:space="0"/>
              <w:right w:val="single" w:color="auto" w:sz="4" w:space="0"/>
            </w:tcBorders>
            <w:vAlign w:val="center"/>
          </w:tcPr>
          <w:p w14:paraId="25055588">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vAlign w:val="center"/>
          </w:tcPr>
          <w:p w14:paraId="54F3FA74">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vAlign w:val="center"/>
          </w:tcPr>
          <w:p w14:paraId="0F0A6EA2">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vAlign w:val="center"/>
          </w:tcPr>
          <w:p w14:paraId="7555E43C">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vAlign w:val="center"/>
          </w:tcPr>
          <w:p w14:paraId="0291711F">
            <w:pPr>
              <w:keepNext w:val="0"/>
              <w:keepLines w:val="0"/>
              <w:pageBreakBefore w:val="0"/>
              <w:widowControl/>
              <w:kinsoku/>
              <w:wordWrap/>
              <w:overflowPunct/>
              <w:topLinePunct w:val="0"/>
              <w:autoSpaceDE/>
              <w:autoSpaceDN/>
              <w:bidi w:val="0"/>
              <w:adjustRightInd/>
              <w:spacing w:line="348" w:lineRule="auto"/>
              <w:jc w:val="center"/>
              <w:textAlignment w:val="auto"/>
              <w:outlineLvl w:val="0"/>
              <w:rPr>
                <w:rFonts w:ascii="宋体" w:hAnsi="宋体"/>
                <w:color w:val="auto"/>
                <w:szCs w:val="21"/>
                <w:highlight w:val="none"/>
              </w:rPr>
            </w:pPr>
          </w:p>
        </w:tc>
        <w:tc>
          <w:tcPr>
            <w:tcW w:w="718" w:type="dxa"/>
            <w:tcBorders>
              <w:top w:val="single" w:color="auto" w:sz="4" w:space="0"/>
              <w:left w:val="single" w:color="auto" w:sz="4" w:space="0"/>
              <w:bottom w:val="single" w:color="auto" w:sz="4" w:space="0"/>
              <w:right w:val="single" w:color="auto" w:sz="4" w:space="0"/>
            </w:tcBorders>
            <w:vAlign w:val="center"/>
          </w:tcPr>
          <w:p w14:paraId="40F32790">
            <w:pPr>
              <w:keepNext w:val="0"/>
              <w:keepLines w:val="0"/>
              <w:pageBreakBefore w:val="0"/>
              <w:widowControl/>
              <w:kinsoku/>
              <w:wordWrap/>
              <w:overflowPunct/>
              <w:topLinePunct w:val="0"/>
              <w:autoSpaceDE/>
              <w:autoSpaceDN/>
              <w:bidi w:val="0"/>
              <w:adjustRightInd/>
              <w:spacing w:line="348" w:lineRule="auto"/>
              <w:jc w:val="center"/>
              <w:textAlignment w:val="auto"/>
              <w:outlineLvl w:val="0"/>
              <w:rPr>
                <w:rFonts w:ascii="宋体" w:hAnsi="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0C112281">
            <w:pPr>
              <w:keepNext w:val="0"/>
              <w:keepLines w:val="0"/>
              <w:pageBreakBefore w:val="0"/>
              <w:kinsoku/>
              <w:wordWrap/>
              <w:overflowPunct/>
              <w:topLinePunct w:val="0"/>
              <w:autoSpaceDE/>
              <w:autoSpaceDN/>
              <w:bidi w:val="0"/>
              <w:adjustRightInd/>
              <w:snapToGrid w:val="0"/>
              <w:spacing w:line="348" w:lineRule="auto"/>
              <w:textAlignment w:val="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35CCD789">
            <w:pPr>
              <w:keepNext w:val="0"/>
              <w:keepLines w:val="0"/>
              <w:pageBreakBefore w:val="0"/>
              <w:kinsoku/>
              <w:wordWrap/>
              <w:overflowPunct/>
              <w:topLinePunct w:val="0"/>
              <w:autoSpaceDE/>
              <w:autoSpaceDN/>
              <w:bidi w:val="0"/>
              <w:adjustRightInd/>
              <w:snapToGrid w:val="0"/>
              <w:spacing w:line="348" w:lineRule="auto"/>
              <w:textAlignment w:val="auto"/>
              <w:rPr>
                <w:rFonts w:ascii="宋体" w:hAnsi="宋体"/>
                <w:color w:val="auto"/>
                <w:szCs w:val="21"/>
                <w:highlight w:val="none"/>
              </w:rPr>
            </w:pPr>
          </w:p>
        </w:tc>
      </w:tr>
      <w:tr w14:paraId="6A3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495" w:type="dxa"/>
            <w:gridSpan w:val="8"/>
            <w:tcBorders>
              <w:top w:val="single" w:color="auto" w:sz="4" w:space="0"/>
              <w:left w:val="single" w:color="auto" w:sz="4" w:space="0"/>
              <w:bottom w:val="single" w:color="auto" w:sz="4" w:space="0"/>
              <w:right w:val="single" w:color="auto" w:sz="4" w:space="0"/>
            </w:tcBorders>
            <w:vAlign w:val="center"/>
          </w:tcPr>
          <w:p w14:paraId="440FB9B8">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r>
              <w:rPr>
                <w:rFonts w:hint="eastAsia" w:ascii="宋体" w:hAnsi="宋体"/>
                <w:color w:val="auto"/>
                <w:szCs w:val="21"/>
                <w:highlight w:val="none"/>
              </w:rPr>
              <w:t xml:space="preserve">                                                       合计金额</w:t>
            </w:r>
          </w:p>
        </w:tc>
        <w:tc>
          <w:tcPr>
            <w:tcW w:w="1567" w:type="dxa"/>
            <w:tcBorders>
              <w:top w:val="single" w:color="auto" w:sz="4" w:space="0"/>
              <w:left w:val="single" w:color="auto" w:sz="4" w:space="0"/>
              <w:bottom w:val="single" w:color="auto" w:sz="4" w:space="0"/>
              <w:right w:val="single" w:color="auto" w:sz="4" w:space="0"/>
            </w:tcBorders>
            <w:vAlign w:val="center"/>
          </w:tcPr>
          <w:p w14:paraId="2BF755D5">
            <w:pPr>
              <w:keepNext w:val="0"/>
              <w:keepLines w:val="0"/>
              <w:pageBreakBefore w:val="0"/>
              <w:kinsoku/>
              <w:wordWrap/>
              <w:overflowPunct/>
              <w:topLinePunct w:val="0"/>
              <w:autoSpaceDE/>
              <w:autoSpaceDN/>
              <w:bidi w:val="0"/>
              <w:adjustRightInd/>
              <w:snapToGrid w:val="0"/>
              <w:spacing w:line="348" w:lineRule="auto"/>
              <w:jc w:val="center"/>
              <w:textAlignment w:val="auto"/>
              <w:rPr>
                <w:rFonts w:ascii="宋体" w:hAnsi="宋体"/>
                <w:color w:val="auto"/>
                <w:szCs w:val="21"/>
                <w:highlight w:val="none"/>
              </w:rPr>
            </w:pPr>
          </w:p>
        </w:tc>
      </w:tr>
    </w:tbl>
    <w:p w14:paraId="4A4FD5ED">
      <w:pPr>
        <w:keepNext w:val="0"/>
        <w:keepLines w:val="0"/>
        <w:pageBreakBefore w:val="0"/>
        <w:kinsoku/>
        <w:wordWrap/>
        <w:overflowPunct/>
        <w:topLinePunct w:val="0"/>
        <w:autoSpaceDE/>
        <w:autoSpaceDN/>
        <w:bidi w:val="0"/>
        <w:adjustRightInd/>
        <w:spacing w:line="348" w:lineRule="auto"/>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中标内容合同的总金额为：（大写）人民币</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FB79B44">
      <w:pPr>
        <w:keepNext w:val="0"/>
        <w:keepLines w:val="0"/>
        <w:pageBreakBefore w:val="0"/>
        <w:kinsoku/>
        <w:wordWrap/>
        <w:overflowPunct/>
        <w:topLinePunct w:val="0"/>
        <w:autoSpaceDE/>
        <w:autoSpaceDN/>
        <w:bidi w:val="0"/>
        <w:adjustRightInd/>
        <w:spacing w:line="348" w:lineRule="auto"/>
        <w:ind w:firstLine="411" w:firstLineChars="196"/>
        <w:textAlignment w:val="auto"/>
        <w:rPr>
          <w:rFonts w:ascii="宋体" w:hAnsi="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olor w:val="auto"/>
          <w:szCs w:val="21"/>
          <w:highlight w:val="none"/>
        </w:rPr>
        <w:t>合同合计金额应包括招标范围内货物货款、货物标准附件、备品备件、专用工具、包装、运输、装卸、保险、税金、货到就位以及安装、调试、培训、保修等一切费用。</w:t>
      </w:r>
    </w:p>
    <w:p w14:paraId="05D2E242">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第二条  质量保证</w:t>
      </w:r>
    </w:p>
    <w:p w14:paraId="25714FC7">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乙方应按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32FF0821">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第三条  权利保证</w:t>
      </w:r>
    </w:p>
    <w:p w14:paraId="161BD8B7">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1.乙方应保证所提供货物在使用时不会侵犯任何第三方的专利权、商标权、工业设计权或其他权利。如果甲方因此遭受任何第三方的索赔、诉讼或任何权利请求，乙方</w:t>
      </w:r>
      <w:r>
        <w:rPr>
          <w:rFonts w:hint="eastAsia" w:ascii="宋体" w:hAnsi="宋体" w:cs="宋体"/>
          <w:color w:val="auto"/>
          <w:szCs w:val="21"/>
          <w:highlight w:val="none"/>
          <w:lang w:val="en-US" w:eastAsia="zh-CN"/>
        </w:rPr>
        <w:t>应负责</w:t>
      </w:r>
      <w:r>
        <w:rPr>
          <w:rFonts w:hint="eastAsia" w:ascii="宋体" w:hAnsi="宋体" w:cs="宋体"/>
          <w:color w:val="auto"/>
          <w:szCs w:val="21"/>
          <w:highlight w:val="none"/>
        </w:rPr>
        <w:t>自费处理纠纷，并承担</w:t>
      </w:r>
      <w:r>
        <w:rPr>
          <w:rFonts w:hint="eastAsia" w:ascii="宋体" w:hAnsi="宋体" w:cs="宋体"/>
          <w:color w:val="auto"/>
          <w:szCs w:val="21"/>
          <w:highlight w:val="none"/>
          <w:lang w:val="en-US" w:eastAsia="zh-CN"/>
        </w:rPr>
        <w:t>由此产生的</w:t>
      </w:r>
      <w:r>
        <w:rPr>
          <w:rFonts w:hint="eastAsia" w:ascii="宋体" w:hAnsi="宋体" w:cs="宋体"/>
          <w:color w:val="auto"/>
          <w:szCs w:val="21"/>
          <w:highlight w:val="none"/>
        </w:rPr>
        <w:t>所有法律和经济责任。</w:t>
      </w:r>
    </w:p>
    <w:p w14:paraId="156F04D2">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2.乙方应按招标文件规定的时间向甲方提供使用货物的有关技术资料。</w:t>
      </w:r>
    </w:p>
    <w:p w14:paraId="6B1ECF89">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3.乙方保证所交付的货物的所有权完全属于乙方且无任何抵押、质押、查封等产权瑕疵。</w:t>
      </w:r>
    </w:p>
    <w:p w14:paraId="53582C64">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BB8693B">
      <w:pPr>
        <w:keepNext w:val="0"/>
        <w:keepLines w:val="0"/>
        <w:pageBreakBefore w:val="0"/>
        <w:kinsoku/>
        <w:wordWrap/>
        <w:overflowPunct/>
        <w:topLinePunct w:val="0"/>
        <w:autoSpaceDE/>
        <w:autoSpaceDN/>
        <w:bidi w:val="0"/>
        <w:adjustRightInd/>
        <w:spacing w:line="348" w:lineRule="auto"/>
        <w:ind w:firstLine="422" w:firstLineChars="200"/>
        <w:textAlignment w:val="auto"/>
        <w:rPr>
          <w:rFonts w:ascii="宋体" w:hAnsi="宋体" w:cs="宋体"/>
          <w:b/>
          <w:color w:val="auto"/>
          <w:szCs w:val="21"/>
          <w:highlight w:val="none"/>
        </w:rPr>
      </w:pPr>
      <w:r>
        <w:rPr>
          <w:rFonts w:hint="eastAsia" w:ascii="宋体" w:hAnsi="宋体" w:cs="宋体"/>
          <w:b/>
          <w:color w:val="auto"/>
          <w:szCs w:val="21"/>
          <w:highlight w:val="none"/>
        </w:rPr>
        <w:t>第四条  货物包装、运输</w:t>
      </w:r>
    </w:p>
    <w:p w14:paraId="10F915D6">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3D168A20">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32AD7AF3">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r>
        <w:rPr>
          <w:rFonts w:hint="eastAsia" w:ascii="宋体" w:hAnsi="宋体" w:cs="宋体"/>
          <w:color w:val="auto"/>
          <w:szCs w:val="21"/>
          <w:highlight w:val="none"/>
          <w:lang w:val="en-US" w:eastAsia="zh-CN"/>
        </w:rPr>
        <w:t>若因甲方原因未在约定期限内及时完成验收的，自约定的验收期限届满之日起，货物的风险转由甲方承担。</w:t>
      </w:r>
    </w:p>
    <w:p w14:paraId="31D8E7D6">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4.货物在甲方最终验收完毕出具验收文书前发生的一切风险均由乙方承担。</w:t>
      </w:r>
    </w:p>
    <w:p w14:paraId="375A6587">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第五条  交付时间和地点</w:t>
      </w:r>
    </w:p>
    <w:p w14:paraId="52CBAD08">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1.交付时间：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927751B">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2.交付地点：</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指定地点。</w:t>
      </w:r>
      <w:r>
        <w:rPr>
          <w:rFonts w:hint="eastAsia" w:ascii="宋体" w:hAnsi="宋体" w:cs="宋体"/>
          <w:color w:val="auto"/>
          <w:szCs w:val="21"/>
          <w:highlight w:val="none"/>
          <w:u w:val="none"/>
          <w:lang w:val="en-US" w:eastAsia="zh-CN"/>
        </w:rPr>
        <w:t>若甲方变更交付地点，需提前5个工作日书面通知乙方，由此增加的运输费用由甲方承担，交付时间相应顺延。</w:t>
      </w:r>
    </w:p>
    <w:p w14:paraId="31071A4E">
      <w:pPr>
        <w:keepNext w:val="0"/>
        <w:keepLines w:val="0"/>
        <w:pageBreakBefore w:val="0"/>
        <w:kinsoku/>
        <w:wordWrap/>
        <w:overflowPunct/>
        <w:topLinePunct w:val="0"/>
        <w:autoSpaceDE/>
        <w:autoSpaceDN/>
        <w:bidi w:val="0"/>
        <w:adjustRightInd/>
        <w:spacing w:line="348" w:lineRule="auto"/>
        <w:ind w:left="413"/>
        <w:textAlignment w:val="auto"/>
        <w:rPr>
          <w:rFonts w:ascii="宋体" w:hAnsi="宋体" w:cs="宋体"/>
          <w:b/>
          <w:color w:val="auto"/>
          <w:szCs w:val="21"/>
          <w:highlight w:val="none"/>
        </w:rPr>
      </w:pPr>
      <w:r>
        <w:rPr>
          <w:rFonts w:hint="eastAsia" w:ascii="宋体" w:hAnsi="宋体" w:cs="宋体"/>
          <w:b/>
          <w:color w:val="auto"/>
          <w:szCs w:val="21"/>
          <w:highlight w:val="none"/>
        </w:rPr>
        <w:t>第六条  验收</w:t>
      </w:r>
    </w:p>
    <w:p w14:paraId="73BC3784">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1.乙方提供的产品必须符合国家、行业强制执行的相关质量标准要求以及产品制造厂家合格产品的出厂质量标准。</w:t>
      </w:r>
    </w:p>
    <w:p w14:paraId="2FD40577">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设备须全新、完好、无破损，产品到货后，甲方现场根据招标文件要求、投标文件承诺以及国家相关标准、地方标准进行验收，必要时，甲方有权邀请国家质量监督检验部门或国家认可的检测机构参与共同验收。如产品不满足投标文件要求、乙方投标文件承诺或国家、行业强制执行的相关质量标准要求以及产品制造厂家合格产品的出厂质量标准，甲方有权不予验收，由此造成甲方的经济损失由由此</w:t>
      </w:r>
      <w:r>
        <w:rPr>
          <w:rFonts w:hint="eastAsia" w:ascii="宋体" w:hAnsi="宋体" w:cs="宋体"/>
          <w:color w:val="auto"/>
          <w:szCs w:val="21"/>
          <w:highlight w:val="none"/>
          <w:lang w:val="en-US" w:eastAsia="zh-CN"/>
        </w:rPr>
        <w:t>由乙方进行整改</w:t>
      </w:r>
      <w:r>
        <w:rPr>
          <w:rFonts w:hint="eastAsia" w:ascii="宋体" w:hAnsi="宋体" w:cs="宋体"/>
          <w:color w:val="auto"/>
          <w:szCs w:val="21"/>
          <w:highlight w:val="none"/>
        </w:rPr>
        <w:t>。</w:t>
      </w:r>
    </w:p>
    <w:p w14:paraId="7A8AD655">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乙方必须于供货时向甲方提供所投产品由行政主管部门核准资格文件、产品注册时的检测检验报告书，产品彩页或参数说明书等资料材料，以便核实相关技术参数，否则不予验收，乙方应承担逾期交货违约责任。</w:t>
      </w:r>
    </w:p>
    <w:p w14:paraId="5FF4F237">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4.乙方交货前应对产品做出全面的检查和对验收文件进行整理，并列出清单，作为甲方验收和使用的技术条件依据，验收的结果应随货物交甲方。</w:t>
      </w:r>
    </w:p>
    <w:p w14:paraId="1B791FF7">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甲方依据招标文件的技术规格要求和国家有关质量标准对货物进行现场初步验收，外观、说明书符合招标文件技术要求的，给予签收，初步验收不合格的不予签收。货到后，甲方应当在到货（安装、调试完）后七个工作日内进行验收。</w:t>
      </w:r>
      <w:r>
        <w:rPr>
          <w:rFonts w:hint="eastAsia" w:ascii="宋体" w:hAnsi="宋体" w:cs="宋体"/>
          <w:color w:val="auto"/>
          <w:szCs w:val="21"/>
          <w:highlight w:val="none"/>
          <w:lang w:val="en-US" w:eastAsia="zh-CN"/>
        </w:rPr>
        <w:t>若甲方逾期验收的，视为货物验收合格。</w:t>
      </w:r>
      <w:r>
        <w:rPr>
          <w:rFonts w:hint="eastAsia" w:ascii="宋体" w:hAnsi="宋体" w:cs="宋体"/>
          <w:color w:val="auto"/>
          <w:szCs w:val="21"/>
          <w:highlight w:val="none"/>
        </w:rPr>
        <w:t xml:space="preserve">验收合格后由双方签署货物验收单并加盖公章，双方各执一份。 </w:t>
      </w:r>
    </w:p>
    <w:p w14:paraId="4511EE4F">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6.甲方对乙方提供的货物在使用前进行调试时，投标人须负责安装并培训甲方的使用人员，并协助甲方一起调试，直到符合技术要求，甲方予以最终验收。</w:t>
      </w:r>
    </w:p>
    <w:p w14:paraId="36FC5815">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7.对技术复杂的货物，</w:t>
      </w:r>
      <w:r>
        <w:rPr>
          <w:rFonts w:hint="eastAsia" w:ascii="宋体" w:hAnsi="宋体" w:cs="宋体"/>
          <w:color w:val="auto"/>
          <w:szCs w:val="21"/>
          <w:highlight w:val="none"/>
          <w:lang w:val="en-US" w:eastAsia="zh-CN"/>
        </w:rPr>
        <w:t>由甲乙双方共同选定</w:t>
      </w:r>
      <w:r>
        <w:rPr>
          <w:rFonts w:hint="eastAsia" w:ascii="宋体" w:hAnsi="宋体" w:cs="宋体"/>
          <w:color w:val="auto"/>
          <w:szCs w:val="21"/>
          <w:highlight w:val="none"/>
        </w:rPr>
        <w:t>应请国家认可的专业检测机构参与初步验收及最终验收，并由其出具质量检测报告。</w:t>
      </w:r>
    </w:p>
    <w:p w14:paraId="23E5E9D0">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8.验收时乙方必须在现场，验收完毕后做出验收结果报告，验收费用由</w:t>
      </w:r>
      <w:r>
        <w:rPr>
          <w:rFonts w:hint="eastAsia" w:ascii="宋体" w:hAnsi="宋体" w:cs="宋体"/>
          <w:color w:val="auto"/>
          <w:szCs w:val="21"/>
          <w:highlight w:val="none"/>
          <w:lang w:val="en-US" w:eastAsia="zh-CN"/>
        </w:rPr>
        <w:t>甲</w:t>
      </w:r>
      <w:r>
        <w:rPr>
          <w:rFonts w:hint="eastAsia" w:ascii="宋体" w:hAnsi="宋体" w:cs="宋体"/>
          <w:color w:val="auto"/>
          <w:szCs w:val="21"/>
          <w:highlight w:val="none"/>
        </w:rPr>
        <w:t>方负责。</w:t>
      </w:r>
    </w:p>
    <w:p w14:paraId="6A55AF2B">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9.甲方对验收有异议的，在验收后7个工作日内以书面形式向乙方提出，乙方应自收到甲方书面异议后7日内及时予以解决。</w:t>
      </w:r>
    </w:p>
    <w:p w14:paraId="3764C2D8">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10.经甲方提出书面整改之日起，乙方七日内仍无法解决的，或经整改达不到甲方验收要求的，甲方有权终止合同，由此造成甲方的经济损失由乙方承担全部赔偿责任包括不限于甲方的经济损失及律师费、诉讼费、鉴定费等</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但赔偿总额以本合同总金额为上限</w:t>
      </w:r>
      <w:r>
        <w:rPr>
          <w:rFonts w:hint="eastAsia" w:ascii="宋体" w:hAnsi="宋体" w:cs="宋体"/>
          <w:color w:val="auto"/>
          <w:szCs w:val="21"/>
          <w:highlight w:val="none"/>
        </w:rPr>
        <w:t>。</w:t>
      </w:r>
    </w:p>
    <w:p w14:paraId="0B730694">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第七条  安装和培训</w:t>
      </w:r>
    </w:p>
    <w:p w14:paraId="7591EAD9">
      <w:pPr>
        <w:keepNext w:val="0"/>
        <w:keepLines w:val="0"/>
        <w:pageBreakBefore w:val="0"/>
        <w:kinsoku/>
        <w:wordWrap/>
        <w:overflowPunct/>
        <w:topLinePunct w:val="0"/>
        <w:autoSpaceDE/>
        <w:autoSpaceDN/>
        <w:bidi w:val="0"/>
        <w:adjustRightInd/>
        <w:snapToGrid w:val="0"/>
        <w:spacing w:line="348" w:lineRule="auto"/>
        <w:ind w:firstLine="420" w:firstLineChars="200"/>
        <w:textAlignment w:val="auto"/>
        <w:rPr>
          <w:rFonts w:ascii="仿宋" w:hAnsi="仿宋" w:eastAsia="仿宋"/>
          <w:color w:val="auto"/>
          <w:sz w:val="24"/>
          <w:highlight w:val="none"/>
        </w:rPr>
      </w:pPr>
      <w:r>
        <w:rPr>
          <w:rFonts w:hint="eastAsia" w:ascii="宋体" w:hAnsi="宋体" w:cs="宋体"/>
          <w:color w:val="auto"/>
          <w:szCs w:val="21"/>
          <w:highlight w:val="none"/>
        </w:rPr>
        <w:t xml:space="preserve"> 1.甲方应提供必要安装条件（如场地、电源、水源等），乙方负责具体满足设备安装条件的施工，直到设备正常使用。</w:t>
      </w:r>
    </w:p>
    <w:p w14:paraId="54D29455">
      <w:pPr>
        <w:keepNext w:val="0"/>
        <w:keepLines w:val="0"/>
        <w:pageBreakBefore w:val="0"/>
        <w:kinsoku/>
        <w:wordWrap/>
        <w:overflowPunct/>
        <w:topLinePunct w:val="0"/>
        <w:autoSpaceDE/>
        <w:autoSpaceDN/>
        <w:bidi w:val="0"/>
        <w:adjustRightInd/>
        <w:spacing w:line="348" w:lineRule="auto"/>
        <w:ind w:firstLine="315" w:firstLineChars="150"/>
        <w:textAlignment w:val="auto"/>
        <w:rPr>
          <w:rFonts w:ascii="宋体" w:hAnsi="宋体" w:cs="宋体"/>
          <w:color w:val="auto"/>
          <w:szCs w:val="21"/>
          <w:highlight w:val="none"/>
        </w:rPr>
      </w:pPr>
      <w:r>
        <w:rPr>
          <w:rFonts w:hint="eastAsia" w:ascii="宋体" w:hAnsi="宋体" w:cs="宋体"/>
          <w:color w:val="auto"/>
          <w:szCs w:val="21"/>
          <w:highlight w:val="none"/>
        </w:rPr>
        <w:t>2.乙方负责甲方有关人员的培训。培训时间、地点：</w:t>
      </w:r>
      <w:r>
        <w:rPr>
          <w:rFonts w:hint="eastAsia" w:ascii="宋体" w:hAnsi="宋体" w:cs="宋体"/>
          <w:color w:val="auto"/>
          <w:szCs w:val="21"/>
          <w:highlight w:val="none"/>
          <w:u w:val="single"/>
          <w:lang w:val="en-US" w:eastAsia="zh-CN"/>
        </w:rPr>
        <w:t>采购人</w:t>
      </w:r>
      <w:r>
        <w:rPr>
          <w:rFonts w:hint="eastAsia" w:ascii="宋体" w:hAnsi="宋体" w:cs="宋体"/>
          <w:color w:val="auto"/>
          <w:szCs w:val="21"/>
          <w:highlight w:val="none"/>
          <w:u w:val="single"/>
        </w:rPr>
        <w:t>指定地点</w:t>
      </w:r>
      <w:r>
        <w:rPr>
          <w:rFonts w:hint="eastAsia" w:ascii="宋体" w:hAnsi="宋体" w:cs="宋体"/>
          <w:color w:val="auto"/>
          <w:szCs w:val="21"/>
          <w:highlight w:val="none"/>
        </w:rPr>
        <w:t>。</w:t>
      </w:r>
    </w:p>
    <w:p w14:paraId="4AA52254">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第八条  售后服务</w:t>
      </w:r>
    </w:p>
    <w:p w14:paraId="5E428743">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u w:val="single"/>
        </w:rPr>
      </w:pPr>
      <w:r>
        <w:rPr>
          <w:rFonts w:hint="eastAsia" w:ascii="宋体" w:hAnsi="宋体" w:cs="宋体"/>
          <w:b/>
          <w:color w:val="auto"/>
          <w:szCs w:val="21"/>
          <w:highlight w:val="none"/>
          <w:u w:val="single"/>
        </w:rPr>
        <w:t xml:space="preserve">                                          </w:t>
      </w:r>
    </w:p>
    <w:p w14:paraId="691C14DC">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第九条  税费</w:t>
      </w:r>
    </w:p>
    <w:p w14:paraId="70C21C22">
      <w:pPr>
        <w:keepNext w:val="0"/>
        <w:keepLines w:val="0"/>
        <w:pageBreakBefore w:val="0"/>
        <w:kinsoku/>
        <w:wordWrap/>
        <w:overflowPunct/>
        <w:topLinePunct w:val="0"/>
        <w:autoSpaceDE/>
        <w:autoSpaceDN/>
        <w:bidi w:val="0"/>
        <w:adjustRightInd/>
        <w:spacing w:line="348" w:lineRule="auto"/>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65B39434">
      <w:pPr>
        <w:keepNext w:val="0"/>
        <w:keepLines w:val="0"/>
        <w:pageBreakBefore w:val="0"/>
        <w:numPr>
          <w:ilvl w:val="0"/>
          <w:numId w:val="7"/>
        </w:numPr>
        <w:kinsoku/>
        <w:wordWrap/>
        <w:overflowPunct/>
        <w:topLinePunct w:val="0"/>
        <w:autoSpaceDE/>
        <w:autoSpaceDN/>
        <w:bidi w:val="0"/>
        <w:adjustRightInd/>
        <w:spacing w:line="348" w:lineRule="auto"/>
        <w:ind w:firstLine="422" w:firstLineChars="200"/>
        <w:textAlignment w:val="auto"/>
        <w:rPr>
          <w:rFonts w:ascii="宋体" w:hAnsi="宋体" w:cs="宋体"/>
          <w:b/>
          <w:color w:val="auto"/>
          <w:szCs w:val="21"/>
          <w:highlight w:val="none"/>
        </w:rPr>
      </w:pPr>
      <w:r>
        <w:rPr>
          <w:rFonts w:hint="eastAsia" w:ascii="宋体" w:hAnsi="宋体" w:cs="宋体"/>
          <w:b/>
          <w:color w:val="auto"/>
          <w:szCs w:val="21"/>
          <w:highlight w:val="none"/>
        </w:rPr>
        <w:t>付款方式</w:t>
      </w:r>
    </w:p>
    <w:p w14:paraId="5B5FD1AC">
      <w:pPr>
        <w:keepNext w:val="0"/>
        <w:keepLines w:val="0"/>
        <w:pageBreakBefore w:val="0"/>
        <w:kinsoku/>
        <w:wordWrap/>
        <w:overflowPunct/>
        <w:topLinePunct w:val="0"/>
        <w:autoSpaceDE/>
        <w:autoSpaceDN/>
        <w:bidi w:val="0"/>
        <w:adjustRightInd/>
        <w:spacing w:line="348"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签订合同后7个工作日内支付30%，全部货物到场支付至80%，货物安装验收合格后7个工作日付清（无息）。</w:t>
      </w:r>
    </w:p>
    <w:p w14:paraId="22EE6E8F">
      <w:pPr>
        <w:keepNext w:val="0"/>
        <w:keepLines w:val="0"/>
        <w:pageBreakBefore w:val="0"/>
        <w:kinsoku/>
        <w:wordWrap/>
        <w:overflowPunct/>
        <w:topLinePunct w:val="0"/>
        <w:autoSpaceDE/>
        <w:autoSpaceDN/>
        <w:bidi w:val="0"/>
        <w:adjustRightInd/>
        <w:spacing w:line="348" w:lineRule="auto"/>
        <w:ind w:firstLine="422" w:firstLineChars="200"/>
        <w:textAlignment w:val="auto"/>
        <w:rPr>
          <w:rFonts w:ascii="宋体" w:hAnsi="宋体" w:cs="宋体"/>
          <w:color w:val="auto"/>
          <w:szCs w:val="21"/>
          <w:highlight w:val="none"/>
        </w:rPr>
      </w:pPr>
      <w:r>
        <w:rPr>
          <w:rFonts w:hint="eastAsia" w:ascii="宋体" w:hAnsi="宋体" w:cs="宋体"/>
          <w:b/>
          <w:color w:val="auto"/>
          <w:szCs w:val="21"/>
          <w:highlight w:val="none"/>
        </w:rPr>
        <w:t>第十一条  违约责任</w:t>
      </w:r>
    </w:p>
    <w:p w14:paraId="6C4C15A6">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rPr>
        <w:t>5%违约金并赔偿甲方经济损失，包括但不限于维权费用。</w:t>
      </w:r>
    </w:p>
    <w:p w14:paraId="3711EB67">
      <w:pPr>
        <w:keepNext w:val="0"/>
        <w:keepLines w:val="0"/>
        <w:pageBreakBefore w:val="0"/>
        <w:kinsoku/>
        <w:wordWrap/>
        <w:overflowPunct/>
        <w:topLinePunct w:val="0"/>
        <w:autoSpaceDE/>
        <w:autoSpaceDN/>
        <w:bidi w:val="0"/>
        <w:adjustRightInd/>
        <w:spacing w:line="348" w:lineRule="auto"/>
        <w:ind w:firstLine="359" w:firstLineChars="171"/>
        <w:textAlignment w:val="auto"/>
        <w:rPr>
          <w:rFonts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在履行本合同过程中非因甲方的原因引发的诉讼，由乙方承担全部责任【包括不限于赔偿费。甲方的经济损失费、律师费（按广西律师服务收费管理办法规定的标准）、仲裁费、诉讼费等费用，乙方承担后，有权向第三方追偿】。</w:t>
      </w:r>
    </w:p>
    <w:p w14:paraId="2A401587">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69F85B52">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4.甲方无故延期接收货物的，每天向对方支付合同金额</w:t>
      </w:r>
      <w:r>
        <w:rPr>
          <w:rFonts w:hint="eastAsia" w:ascii="宋体" w:hAnsi="宋体" w:cs="宋体"/>
          <w:color w:val="auto"/>
          <w:szCs w:val="21"/>
          <w:highlight w:val="none"/>
          <w:u w:val="single"/>
        </w:rPr>
        <w:t>0.1</w:t>
      </w:r>
      <w:r>
        <w:rPr>
          <w:rFonts w:hint="eastAsia" w:ascii="宋体" w:hAnsi="宋体" w:cs="宋体"/>
          <w:color w:val="auto"/>
          <w:szCs w:val="21"/>
          <w:highlight w:val="none"/>
        </w:rPr>
        <w:t>‰违约金，但违约金额累计不得超过合同金额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%。甲方延期付货款的，每天向乙方偿付逾期金额0.</w:t>
      </w:r>
      <w:r>
        <w:rPr>
          <w:rFonts w:hint="eastAsia" w:ascii="宋体" w:hAnsi="宋体" w:cs="宋体"/>
          <w:color w:val="auto"/>
          <w:szCs w:val="21"/>
          <w:highlight w:val="none"/>
          <w:u w:val="single"/>
        </w:rPr>
        <w:t>1</w:t>
      </w:r>
      <w:r>
        <w:rPr>
          <w:rFonts w:hint="eastAsia" w:ascii="宋体" w:hAnsi="宋体" w:cs="宋体"/>
          <w:color w:val="auto"/>
          <w:szCs w:val="21"/>
          <w:highlight w:val="none"/>
        </w:rPr>
        <w:t>‰违约金，但违约金累计不得超过合同金额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%。乙方逾期交货的，每天向对方支付合同金额0.</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‰违约金，但违约金额不得超过合同金额的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%，逾期超过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天的，对方有权终止合同，乙方承担因此给对方造成的经济损失（赔偿内容见本合同</w:t>
      </w:r>
      <w:bookmarkStart w:id="13" w:name="OLE_LINK6"/>
      <w:bookmarkStart w:id="14" w:name="OLE_LINK5"/>
      <w:r>
        <w:rPr>
          <w:rFonts w:hint="eastAsia" w:ascii="宋体" w:hAnsi="宋体" w:cs="宋体"/>
          <w:color w:val="auto"/>
          <w:szCs w:val="21"/>
          <w:highlight w:val="none"/>
        </w:rPr>
        <w:t>第十一条第2项</w:t>
      </w:r>
      <w:bookmarkEnd w:id="13"/>
      <w:bookmarkEnd w:id="14"/>
      <w:r>
        <w:rPr>
          <w:rFonts w:hint="eastAsia" w:ascii="宋体" w:hAnsi="宋体" w:cs="宋体"/>
          <w:color w:val="auto"/>
          <w:szCs w:val="21"/>
          <w:highlight w:val="none"/>
        </w:rPr>
        <w:t>列明的范围）。</w:t>
      </w:r>
    </w:p>
    <w:p w14:paraId="4BFFD1D0">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5.乙方未按本合同和投标文件中规定的服务承诺提供售后服务的，乙方除按其他条款约定支付违约金外，还须每次按本合同合计金额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%向甲方支付违约金并赔偿甲方损失。</w:t>
      </w:r>
    </w:p>
    <w:p w14:paraId="70A4D6C7">
      <w:pPr>
        <w:keepNext w:val="0"/>
        <w:keepLines w:val="0"/>
        <w:pageBreakBefore w:val="0"/>
        <w:kinsoku/>
        <w:wordWrap/>
        <w:overflowPunct/>
        <w:topLinePunct w:val="0"/>
        <w:autoSpaceDE/>
        <w:autoSpaceDN/>
        <w:bidi w:val="0"/>
        <w:adjustRightInd/>
        <w:spacing w:line="348" w:lineRule="auto"/>
        <w:ind w:firstLine="420" w:firstLineChars="200"/>
        <w:textAlignment w:val="auto"/>
        <w:rPr>
          <w:rFonts w:hint="eastAsia"/>
          <w:color w:val="auto"/>
          <w:highlight w:val="none"/>
          <w:lang w:val="en-US" w:eastAsia="zh-CN"/>
        </w:rPr>
      </w:pPr>
      <w:r>
        <w:rPr>
          <w:rFonts w:hint="eastAsia" w:ascii="宋体" w:hAnsi="宋体" w:cs="宋体"/>
          <w:color w:val="auto"/>
          <w:szCs w:val="21"/>
          <w:highlight w:val="none"/>
        </w:rPr>
        <w:t>6.乙方提供的货物在保修期内，因设计、工艺或材料的缺陷和其他质量原因造成的问题，由乙方负责，费用从合同尾款中扣除，不足部分乙方全部承担。</w:t>
      </w:r>
      <w:r>
        <w:rPr>
          <w:rFonts w:hint="eastAsia"/>
          <w:color w:val="auto"/>
          <w:highlight w:val="none"/>
        </w:rPr>
        <w:t>如存在验收后1年内非因甲方原因进行</w:t>
      </w:r>
      <w:r>
        <w:rPr>
          <w:rFonts w:hint="eastAsia"/>
          <w:color w:val="auto"/>
          <w:highlight w:val="none"/>
          <w:lang w:val="en-US" w:eastAsia="zh-CN"/>
        </w:rPr>
        <w:t>重大</w:t>
      </w:r>
      <w:r>
        <w:rPr>
          <w:rFonts w:hint="eastAsia"/>
          <w:color w:val="auto"/>
          <w:highlight w:val="none"/>
        </w:rPr>
        <w:t>维保累计达3次的，甲方有权解除合同，乙方应</w:t>
      </w:r>
      <w:r>
        <w:rPr>
          <w:rFonts w:hint="eastAsia"/>
          <w:color w:val="auto"/>
          <w:highlight w:val="none"/>
          <w:lang w:val="en-US" w:eastAsia="zh-CN"/>
        </w:rPr>
        <w:t>退还对应存在质量问题货物的合同款项。</w:t>
      </w:r>
    </w:p>
    <w:p w14:paraId="55A0E1FE">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7.乙方其他违约行为按合同总金额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28A3ECD7">
      <w:pPr>
        <w:keepNext w:val="0"/>
        <w:keepLines w:val="0"/>
        <w:pageBreakBefore w:val="0"/>
        <w:kinsoku/>
        <w:wordWrap/>
        <w:overflowPunct/>
        <w:topLinePunct w:val="0"/>
        <w:autoSpaceDE/>
        <w:autoSpaceDN/>
        <w:bidi w:val="0"/>
        <w:adjustRightInd/>
        <w:spacing w:line="348" w:lineRule="auto"/>
        <w:ind w:firstLine="420" w:firstLineChars="200"/>
        <w:textAlignment w:val="auto"/>
        <w:rPr>
          <w:color w:val="auto"/>
          <w:highlight w:val="none"/>
        </w:rPr>
      </w:pPr>
      <w:r>
        <w:rPr>
          <w:rFonts w:hint="eastAsia" w:ascii="宋体" w:hAnsi="宋体" w:cs="宋体"/>
          <w:color w:val="auto"/>
          <w:szCs w:val="21"/>
          <w:highlight w:val="none"/>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有负面影响的其他事件，须在事件发生之日起3日内向甲方书面通知，征得甲方书面同意，并妥善落实本合同项下的全部义务，必要时，甲方有权要求乙方提供担保。因乙方未能消除上述影响或提供担保的，甲方享有单方解除合同的权利。</w:t>
      </w:r>
    </w:p>
    <w:p w14:paraId="36F2988F">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第十二条  不可抗力事件处理</w:t>
      </w:r>
    </w:p>
    <w:p w14:paraId="2A43F4A2">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0F649563">
      <w:pPr>
        <w:keepNext w:val="0"/>
        <w:keepLines w:val="0"/>
        <w:pageBreakBefore w:val="0"/>
        <w:tabs>
          <w:tab w:val="left" w:pos="780"/>
        </w:tabs>
        <w:kinsoku/>
        <w:wordWrap/>
        <w:overflowPunct/>
        <w:topLinePunct w:val="0"/>
        <w:autoSpaceDE/>
        <w:autoSpaceDN/>
        <w:bidi w:val="0"/>
        <w:adjustRightInd/>
        <w:spacing w:line="348" w:lineRule="auto"/>
        <w:ind w:firstLine="315" w:firstLineChars="150"/>
        <w:textAlignment w:val="auto"/>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21231B98">
      <w:pPr>
        <w:keepNext w:val="0"/>
        <w:keepLines w:val="0"/>
        <w:pageBreakBefore w:val="0"/>
        <w:tabs>
          <w:tab w:val="left" w:pos="780"/>
        </w:tabs>
        <w:kinsoku/>
        <w:wordWrap/>
        <w:overflowPunct/>
        <w:topLinePunct w:val="0"/>
        <w:autoSpaceDE/>
        <w:autoSpaceDN/>
        <w:bidi w:val="0"/>
        <w:adjustRightInd/>
        <w:spacing w:line="348" w:lineRule="auto"/>
        <w:ind w:firstLine="315" w:firstLineChars="150"/>
        <w:textAlignment w:val="auto"/>
        <w:rPr>
          <w:rFonts w:ascii="宋体" w:hAnsi="宋体" w:cs="宋体"/>
          <w:color w:val="auto"/>
          <w:szCs w:val="21"/>
          <w:highlight w:val="none"/>
        </w:rPr>
      </w:pPr>
      <w:r>
        <w:rPr>
          <w:rFonts w:hint="eastAsia" w:ascii="宋体" w:hAnsi="宋体" w:cs="宋体"/>
          <w:color w:val="auto"/>
          <w:szCs w:val="21"/>
          <w:highlight w:val="none"/>
        </w:rPr>
        <w:t>3.不可抗力事件延续六十天以上，双方应通过友好协商，确定是否继续履行合同。</w:t>
      </w:r>
    </w:p>
    <w:p w14:paraId="540607AF">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第十三条  合同争议解决</w:t>
      </w:r>
    </w:p>
    <w:p w14:paraId="790B88DD">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5E97B637">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6DE437DC">
      <w:pPr>
        <w:keepNext w:val="0"/>
        <w:keepLines w:val="0"/>
        <w:pageBreakBefore w:val="0"/>
        <w:kinsoku/>
        <w:wordWrap/>
        <w:overflowPunct/>
        <w:topLinePunct w:val="0"/>
        <w:autoSpaceDE/>
        <w:autoSpaceDN/>
        <w:bidi w:val="0"/>
        <w:adjustRightInd/>
        <w:spacing w:line="348" w:lineRule="auto"/>
        <w:ind w:firstLine="434" w:firstLineChars="207"/>
        <w:textAlignment w:val="auto"/>
        <w:rPr>
          <w:rFonts w:ascii="宋体" w:hAnsi="宋体" w:cs="宋体"/>
          <w:color w:val="auto"/>
          <w:szCs w:val="21"/>
          <w:highlight w:val="none"/>
        </w:rPr>
      </w:pPr>
      <w:r>
        <w:rPr>
          <w:rFonts w:hint="eastAsia" w:ascii="宋体" w:hAnsi="宋体" w:cs="宋体"/>
          <w:color w:val="auto"/>
          <w:szCs w:val="21"/>
          <w:highlight w:val="none"/>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49158F2B">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第十四条  合同生效及其他</w:t>
      </w:r>
    </w:p>
    <w:p w14:paraId="0FCFAD87">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1.合同经甲乙双方法定代表人或授权代表签字并加盖单位公章、骑缝章后生效。</w:t>
      </w:r>
    </w:p>
    <w:p w14:paraId="3F51F613">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2.合同执行中涉及采购资金和采购内容修改或补充的，须经甲方同意，并签订书面补充协议，方可作为主合同不可分割的一部分。</w:t>
      </w:r>
    </w:p>
    <w:p w14:paraId="52A5EC76">
      <w:pPr>
        <w:keepNext w:val="0"/>
        <w:keepLines w:val="0"/>
        <w:pageBreakBefore w:val="0"/>
        <w:kinsoku/>
        <w:wordWrap/>
        <w:overflowPunct/>
        <w:topLinePunct w:val="0"/>
        <w:autoSpaceDE/>
        <w:autoSpaceDN/>
        <w:bidi w:val="0"/>
        <w:adjustRightInd/>
        <w:spacing w:line="348" w:lineRule="auto"/>
        <w:ind w:left="435"/>
        <w:textAlignment w:val="auto"/>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37DFE4D0">
      <w:pPr>
        <w:keepNext w:val="0"/>
        <w:keepLines w:val="0"/>
        <w:pageBreakBefore w:val="0"/>
        <w:kinsoku/>
        <w:wordWrap/>
        <w:overflowPunct/>
        <w:topLinePunct w:val="0"/>
        <w:autoSpaceDE/>
        <w:autoSpaceDN/>
        <w:bidi w:val="0"/>
        <w:adjustRightInd/>
        <w:spacing w:line="348" w:lineRule="auto"/>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14:paraId="1969BB68">
      <w:pPr>
        <w:keepNext w:val="0"/>
        <w:keepLines w:val="0"/>
        <w:pageBreakBefore w:val="0"/>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49870CCE">
      <w:pPr>
        <w:keepNext w:val="0"/>
        <w:keepLines w:val="0"/>
        <w:pageBreakBefore w:val="0"/>
        <w:tabs>
          <w:tab w:val="left" w:pos="78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14:paraId="79AD56C9">
      <w:pPr>
        <w:keepNext w:val="0"/>
        <w:keepLines w:val="0"/>
        <w:pageBreakBefore w:val="0"/>
        <w:tabs>
          <w:tab w:val="left" w:pos="4320"/>
          <w:tab w:val="left" w:pos="4500"/>
        </w:tabs>
        <w:kinsoku/>
        <w:wordWrap/>
        <w:overflowPunct/>
        <w:topLinePunct w:val="0"/>
        <w:autoSpaceDE/>
        <w:autoSpaceDN/>
        <w:bidi w:val="0"/>
        <w:adjustRightInd/>
        <w:spacing w:line="348" w:lineRule="auto"/>
        <w:ind w:firstLine="420" w:firstLineChars="200"/>
        <w:textAlignment w:val="auto"/>
        <w:rPr>
          <w:rFonts w:ascii="宋体" w:hAnsi="宋体" w:cs="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p w14:paraId="68FCA3F7">
      <w:pPr>
        <w:keepNext w:val="0"/>
        <w:keepLines w:val="0"/>
        <w:pageBreakBefore w:val="0"/>
        <w:tabs>
          <w:tab w:val="left" w:pos="4320"/>
          <w:tab w:val="left" w:pos="4500"/>
        </w:tabs>
        <w:kinsoku/>
        <w:wordWrap/>
        <w:overflowPunct/>
        <w:topLinePunct w:val="0"/>
        <w:autoSpaceDE/>
        <w:autoSpaceDN/>
        <w:bidi w:val="0"/>
        <w:adjustRightInd/>
        <w:spacing w:line="348" w:lineRule="auto"/>
        <w:textAlignment w:val="auto"/>
        <w:rPr>
          <w:rFonts w:ascii="宋体" w:hAnsi="宋体" w:cs="宋体"/>
          <w:color w:val="auto"/>
          <w:szCs w:val="21"/>
          <w:highlight w:val="none"/>
          <w:u w:val="single"/>
        </w:rPr>
      </w:pPr>
      <w:r>
        <w:rPr>
          <w:rFonts w:hint="eastAsia" w:ascii="宋体" w:hAnsi="宋体" w:cs="宋体"/>
          <w:color w:val="auto"/>
          <w:szCs w:val="21"/>
          <w:highlight w:val="none"/>
        </w:rPr>
        <w:t>甲方名称（公章）：                             乙方名称（公章）：</w:t>
      </w:r>
    </w:p>
    <w:p w14:paraId="3F5268D4">
      <w:pPr>
        <w:keepNext w:val="0"/>
        <w:keepLines w:val="0"/>
        <w:pageBreakBefore w:val="0"/>
        <w:kinsoku/>
        <w:wordWrap/>
        <w:overflowPunct/>
        <w:topLinePunct w:val="0"/>
        <w:autoSpaceDE/>
        <w:autoSpaceDN/>
        <w:bidi w:val="0"/>
        <w:adjustRightInd/>
        <w:spacing w:line="348" w:lineRule="auto"/>
        <w:ind w:left="4620" w:hanging="4620" w:hangingChars="2200"/>
        <w:textAlignment w:val="auto"/>
        <w:rPr>
          <w:rFonts w:ascii="宋体" w:hAnsi="宋体" w:cs="宋体"/>
          <w:color w:val="auto"/>
          <w:szCs w:val="21"/>
          <w:highlight w:val="none"/>
          <w:u w:val="single"/>
        </w:rPr>
      </w:pPr>
      <w:r>
        <w:rPr>
          <w:rFonts w:hint="eastAsia" w:ascii="宋体" w:hAnsi="宋体" w:cs="宋体"/>
          <w:color w:val="auto"/>
          <w:szCs w:val="21"/>
          <w:highlight w:val="none"/>
        </w:rPr>
        <w:t>法定代表人：                                    法定代表人：</w:t>
      </w:r>
    </w:p>
    <w:p w14:paraId="54DB43F3">
      <w:pPr>
        <w:keepNext w:val="0"/>
        <w:keepLines w:val="0"/>
        <w:pageBreakBefore w:val="0"/>
        <w:tabs>
          <w:tab w:val="left" w:pos="4680"/>
        </w:tabs>
        <w:kinsoku/>
        <w:wordWrap/>
        <w:overflowPunct/>
        <w:topLinePunct w:val="0"/>
        <w:autoSpaceDE/>
        <w:autoSpaceDN/>
        <w:bidi w:val="0"/>
        <w:adjustRightInd/>
        <w:spacing w:line="348" w:lineRule="auto"/>
        <w:textAlignment w:val="auto"/>
        <w:rPr>
          <w:rFonts w:ascii="宋体" w:hAnsi="宋体" w:cs="宋体"/>
          <w:color w:val="auto"/>
          <w:szCs w:val="21"/>
          <w:highlight w:val="none"/>
        </w:rPr>
      </w:pPr>
      <w:r>
        <w:rPr>
          <w:rFonts w:hint="eastAsia" w:ascii="宋体" w:hAnsi="宋体" w:cs="宋体"/>
          <w:color w:val="auto"/>
          <w:szCs w:val="21"/>
          <w:highlight w:val="none"/>
        </w:rPr>
        <w:t>委托代理人：                                    委托代理人：</w:t>
      </w:r>
    </w:p>
    <w:p w14:paraId="744689EC">
      <w:pPr>
        <w:keepNext w:val="0"/>
        <w:keepLines w:val="0"/>
        <w:pageBreakBefore w:val="0"/>
        <w:tabs>
          <w:tab w:val="left" w:pos="4680"/>
        </w:tabs>
        <w:kinsoku/>
        <w:wordWrap/>
        <w:overflowPunct/>
        <w:topLinePunct w:val="0"/>
        <w:autoSpaceDE/>
        <w:autoSpaceDN/>
        <w:bidi w:val="0"/>
        <w:adjustRightInd/>
        <w:spacing w:line="348" w:lineRule="auto"/>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经办人：                                        经办人：                             </w:t>
      </w:r>
    </w:p>
    <w:p w14:paraId="25B68DFE">
      <w:pPr>
        <w:keepNext w:val="0"/>
        <w:keepLines w:val="0"/>
        <w:pageBreakBefore w:val="0"/>
        <w:tabs>
          <w:tab w:val="left" w:pos="5040"/>
        </w:tabs>
        <w:kinsoku/>
        <w:wordWrap/>
        <w:overflowPunct/>
        <w:topLinePunct w:val="0"/>
        <w:autoSpaceDE/>
        <w:autoSpaceDN/>
        <w:bidi w:val="0"/>
        <w:adjustRightInd/>
        <w:spacing w:line="348" w:lineRule="auto"/>
        <w:textAlignment w:val="auto"/>
        <w:rPr>
          <w:rFonts w:ascii="宋体" w:hAnsi="宋体" w:cs="宋体"/>
          <w:color w:val="auto"/>
          <w:szCs w:val="21"/>
          <w:highlight w:val="none"/>
          <w:u w:val="single"/>
        </w:rPr>
      </w:pPr>
      <w:r>
        <w:rPr>
          <w:rFonts w:hint="eastAsia" w:ascii="宋体" w:hAnsi="宋体" w:cs="宋体"/>
          <w:color w:val="auto"/>
          <w:szCs w:val="21"/>
          <w:highlight w:val="none"/>
        </w:rPr>
        <w:t>电话：                                          电话：</w:t>
      </w:r>
    </w:p>
    <w:p w14:paraId="6A70CF22">
      <w:pPr>
        <w:keepNext w:val="0"/>
        <w:keepLines w:val="0"/>
        <w:pageBreakBefore w:val="0"/>
        <w:tabs>
          <w:tab w:val="left" w:pos="5040"/>
        </w:tabs>
        <w:kinsoku/>
        <w:wordWrap/>
        <w:overflowPunct/>
        <w:topLinePunct w:val="0"/>
        <w:autoSpaceDE/>
        <w:autoSpaceDN/>
        <w:bidi w:val="0"/>
        <w:adjustRightInd/>
        <w:spacing w:line="348" w:lineRule="auto"/>
        <w:textAlignment w:val="auto"/>
        <w:rPr>
          <w:rFonts w:ascii="宋体" w:hAnsi="宋体" w:cs="宋体"/>
          <w:color w:val="auto"/>
          <w:szCs w:val="21"/>
          <w:highlight w:val="none"/>
        </w:rPr>
      </w:pPr>
      <w:r>
        <w:rPr>
          <w:rFonts w:hint="eastAsia" w:ascii="宋体" w:hAnsi="宋体" w:cs="宋体"/>
          <w:color w:val="auto"/>
          <w:szCs w:val="21"/>
          <w:highlight w:val="none"/>
        </w:rPr>
        <w:t>开户名称：                                        开户名称：</w:t>
      </w:r>
    </w:p>
    <w:p w14:paraId="055A966A">
      <w:pPr>
        <w:keepNext w:val="0"/>
        <w:keepLines w:val="0"/>
        <w:pageBreakBefore w:val="0"/>
        <w:tabs>
          <w:tab w:val="left" w:pos="5040"/>
        </w:tabs>
        <w:kinsoku/>
        <w:wordWrap/>
        <w:overflowPunct/>
        <w:topLinePunct w:val="0"/>
        <w:autoSpaceDE/>
        <w:autoSpaceDN/>
        <w:bidi w:val="0"/>
        <w:adjustRightInd/>
        <w:spacing w:line="348" w:lineRule="auto"/>
        <w:textAlignment w:val="auto"/>
        <w:rPr>
          <w:rFonts w:ascii="宋体" w:hAnsi="宋体" w:cs="宋体"/>
          <w:color w:val="auto"/>
          <w:szCs w:val="21"/>
          <w:highlight w:val="none"/>
        </w:rPr>
      </w:pPr>
      <w:r>
        <w:rPr>
          <w:rFonts w:hint="eastAsia" w:ascii="宋体" w:hAnsi="宋体" w:cs="宋体"/>
          <w:color w:val="auto"/>
          <w:szCs w:val="21"/>
          <w:highlight w:val="none"/>
        </w:rPr>
        <w:t>开户银行：                                        开户银行：</w:t>
      </w:r>
    </w:p>
    <w:p w14:paraId="196D2C38">
      <w:pPr>
        <w:keepNext w:val="0"/>
        <w:keepLines w:val="0"/>
        <w:pageBreakBefore w:val="0"/>
        <w:tabs>
          <w:tab w:val="left" w:pos="5040"/>
        </w:tabs>
        <w:kinsoku/>
        <w:wordWrap/>
        <w:overflowPunct/>
        <w:topLinePunct w:val="0"/>
        <w:autoSpaceDE/>
        <w:autoSpaceDN/>
        <w:bidi w:val="0"/>
        <w:adjustRightInd/>
        <w:spacing w:line="348" w:lineRule="auto"/>
        <w:textAlignment w:val="auto"/>
        <w:rPr>
          <w:rFonts w:ascii="宋体" w:hAnsi="宋体" w:cs="宋体"/>
          <w:color w:val="auto"/>
          <w:szCs w:val="21"/>
          <w:highlight w:val="none"/>
        </w:rPr>
      </w:pPr>
      <w:r>
        <w:rPr>
          <w:rFonts w:hint="eastAsia" w:ascii="宋体" w:hAnsi="宋体" w:cs="宋体"/>
          <w:color w:val="auto"/>
          <w:szCs w:val="21"/>
          <w:highlight w:val="none"/>
        </w:rPr>
        <w:t>银行账号：                                        银行账号：</w:t>
      </w:r>
    </w:p>
    <w:p w14:paraId="59C7C66F">
      <w:pPr>
        <w:keepNext w:val="0"/>
        <w:keepLines w:val="0"/>
        <w:pageBreakBefore w:val="0"/>
        <w:kinsoku/>
        <w:wordWrap/>
        <w:overflowPunct/>
        <w:topLinePunct w:val="0"/>
        <w:autoSpaceDE/>
        <w:autoSpaceDN/>
        <w:bidi w:val="0"/>
        <w:adjustRightInd/>
        <w:spacing w:line="348" w:lineRule="auto"/>
        <w:textAlignment w:val="auto"/>
        <w:rPr>
          <w:rFonts w:ascii="宋体" w:hAnsi="宋体" w:cs="宋体"/>
          <w:color w:val="auto"/>
          <w:szCs w:val="21"/>
          <w:highlight w:val="none"/>
        </w:rPr>
      </w:pPr>
      <w:r>
        <w:rPr>
          <w:rFonts w:hint="eastAsia" w:ascii="宋体" w:hAnsi="宋体" w:cs="宋体"/>
          <w:color w:val="auto"/>
          <w:szCs w:val="21"/>
          <w:highlight w:val="none"/>
        </w:rPr>
        <w:t xml:space="preserve">日期：   </w:t>
      </w:r>
      <w:r>
        <w:rPr>
          <w:rFonts w:hint="eastAsia" w:ascii="宋体" w:hAnsi="宋体" w:cs="宋体"/>
          <w:color w:val="auto"/>
          <w:szCs w:val="21"/>
          <w:highlight w:val="none"/>
          <w:u w:val="single"/>
        </w:rPr>
        <w:t>年   月   日</w:t>
      </w:r>
      <w:r>
        <w:rPr>
          <w:rFonts w:hint="eastAsia" w:ascii="宋体" w:hAnsi="宋体" w:cs="宋体"/>
          <w:color w:val="auto"/>
          <w:szCs w:val="21"/>
          <w:highlight w:val="none"/>
        </w:rPr>
        <w:t xml:space="preserve">                                 日期：  </w:t>
      </w:r>
      <w:r>
        <w:rPr>
          <w:rFonts w:hint="eastAsia" w:ascii="宋体" w:hAnsi="宋体" w:cs="宋体"/>
          <w:color w:val="auto"/>
          <w:szCs w:val="21"/>
          <w:highlight w:val="none"/>
          <w:u w:val="single"/>
        </w:rPr>
        <w:t>年   月   日</w:t>
      </w:r>
    </w:p>
    <w:p w14:paraId="004EF7F6">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07875079">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第六章 投标文件（格式）</w:t>
      </w:r>
    </w:p>
    <w:p w14:paraId="1437B431">
      <w:pPr>
        <w:wordWrap w:val="0"/>
        <w:rPr>
          <w:b/>
          <w:bCs/>
          <w:color w:val="auto"/>
          <w:sz w:val="30"/>
          <w:szCs w:val="30"/>
          <w:highlight w:val="none"/>
        </w:rPr>
      </w:pPr>
      <w:bookmarkStart w:id="15" w:name="_Toc486867150"/>
      <w:bookmarkStart w:id="16" w:name="_Toc486695806"/>
      <w:bookmarkStart w:id="17" w:name="_Toc498698226"/>
      <w:bookmarkStart w:id="18" w:name="_Toc498627082"/>
      <w:bookmarkStart w:id="19" w:name="_Toc478137727"/>
      <w:bookmarkStart w:id="20" w:name="_Toc1762"/>
      <w:bookmarkStart w:id="21" w:name="_Toc31410"/>
      <w:r>
        <w:rPr>
          <w:rFonts w:hint="eastAsia"/>
          <w:b/>
          <w:bCs/>
          <w:color w:val="auto"/>
          <w:sz w:val="30"/>
          <w:szCs w:val="30"/>
          <w:highlight w:val="none"/>
        </w:rPr>
        <w:t>投标文件封面格式</w:t>
      </w:r>
      <w:bookmarkEnd w:id="15"/>
      <w:bookmarkEnd w:id="16"/>
      <w:bookmarkEnd w:id="17"/>
      <w:bookmarkEnd w:id="18"/>
      <w:bookmarkEnd w:id="19"/>
      <w:r>
        <w:rPr>
          <w:rFonts w:hint="eastAsia"/>
          <w:b/>
          <w:bCs/>
          <w:color w:val="auto"/>
          <w:sz w:val="30"/>
          <w:szCs w:val="30"/>
          <w:highlight w:val="none"/>
        </w:rPr>
        <w:t>：</w:t>
      </w:r>
      <w:bookmarkEnd w:id="20"/>
      <w:bookmarkEnd w:id="21"/>
    </w:p>
    <w:p w14:paraId="38088515">
      <w:pPr>
        <w:wordWrap w:val="0"/>
        <w:adjustRightInd w:val="0"/>
        <w:snapToGrid w:val="0"/>
        <w:jc w:val="right"/>
        <w:rPr>
          <w:rFonts w:hint="eastAsia" w:ascii="宋体" w:hAnsi="宋体" w:cs="宋体"/>
          <w:b/>
          <w:color w:val="auto"/>
          <w:sz w:val="32"/>
          <w:szCs w:val="32"/>
          <w:highlight w:val="none"/>
        </w:rPr>
      </w:pPr>
    </w:p>
    <w:p w14:paraId="39E642D5">
      <w:pPr>
        <w:wordWrap w:val="0"/>
        <w:adjustRightInd w:val="0"/>
        <w:snapToGrid w:val="0"/>
        <w:rPr>
          <w:rFonts w:hint="eastAsia" w:ascii="宋体" w:hAnsi="宋体" w:cs="宋体"/>
          <w:b/>
          <w:color w:val="auto"/>
          <w:sz w:val="44"/>
          <w:szCs w:val="44"/>
          <w:highlight w:val="none"/>
        </w:rPr>
      </w:pPr>
    </w:p>
    <w:p w14:paraId="519EB4CD">
      <w:pPr>
        <w:wordWrap w:val="0"/>
        <w:adjustRightInd w:val="0"/>
        <w:snapToGrid w:val="0"/>
        <w:jc w:val="center"/>
        <w:rPr>
          <w:rFonts w:hint="eastAsia" w:ascii="宋体" w:hAnsi="宋体" w:cs="宋体"/>
          <w:b/>
          <w:color w:val="auto"/>
          <w:sz w:val="44"/>
          <w:szCs w:val="44"/>
          <w:highlight w:val="none"/>
        </w:rPr>
      </w:pPr>
      <w:bookmarkStart w:id="22" w:name="_Toc13659_WPSOffice_Level1"/>
      <w:bookmarkStart w:id="23" w:name="_Toc3441_WPSOffice_Level1"/>
      <w:r>
        <w:rPr>
          <w:rFonts w:hint="eastAsia" w:ascii="宋体" w:hAnsi="宋体" w:cs="宋体"/>
          <w:bCs/>
          <w:color w:val="auto"/>
          <w:sz w:val="72"/>
          <w:szCs w:val="72"/>
          <w:highlight w:val="none"/>
        </w:rPr>
        <w:t>投标文件</w:t>
      </w:r>
      <w:bookmarkEnd w:id="22"/>
      <w:bookmarkEnd w:id="23"/>
    </w:p>
    <w:p w14:paraId="508B0AFE">
      <w:pPr>
        <w:wordWrap w:val="0"/>
        <w:adjustRightInd w:val="0"/>
        <w:snapToGrid w:val="0"/>
        <w:rPr>
          <w:rFonts w:hint="eastAsia" w:ascii="宋体" w:hAnsi="宋体" w:cs="宋体"/>
          <w:b/>
          <w:color w:val="auto"/>
          <w:sz w:val="44"/>
          <w:szCs w:val="44"/>
          <w:highlight w:val="none"/>
        </w:rPr>
      </w:pPr>
    </w:p>
    <w:p w14:paraId="0131890B">
      <w:pPr>
        <w:wordWrap w:val="0"/>
        <w:adjustRightInd w:val="0"/>
        <w:snapToGrid w:val="0"/>
        <w:rPr>
          <w:rFonts w:hint="eastAsia" w:ascii="宋体" w:hAnsi="宋体" w:cs="宋体"/>
          <w:b/>
          <w:color w:val="auto"/>
          <w:sz w:val="44"/>
          <w:szCs w:val="44"/>
          <w:highlight w:val="none"/>
        </w:rPr>
      </w:pPr>
    </w:p>
    <w:p w14:paraId="64632B82">
      <w:pPr>
        <w:pStyle w:val="218"/>
        <w:wordWrap w:val="0"/>
        <w:ind w:firstLine="883"/>
        <w:rPr>
          <w:rFonts w:hint="eastAsia" w:ascii="宋体" w:hAnsi="宋体" w:cs="宋体"/>
          <w:b/>
          <w:color w:val="auto"/>
          <w:sz w:val="44"/>
          <w:szCs w:val="44"/>
          <w:highlight w:val="none"/>
        </w:rPr>
      </w:pPr>
    </w:p>
    <w:p w14:paraId="4B890321">
      <w:pPr>
        <w:wordWrap w:val="0"/>
        <w:ind w:firstLine="900" w:firstLineChars="300"/>
        <w:rPr>
          <w:rFonts w:hint="default" w:ascii="宋体" w:hAnsi="宋体" w:eastAsia="宋体" w:cs="宋体"/>
          <w:color w:val="auto"/>
          <w:sz w:val="30"/>
          <w:szCs w:val="30"/>
          <w:highlight w:val="none"/>
          <w:lang w:val="en-US" w:eastAsia="zh-CN"/>
        </w:rPr>
      </w:pPr>
      <w:r>
        <w:rPr>
          <w:rFonts w:hint="eastAsia" w:ascii="宋体" w:hAnsi="宋体" w:cs="宋体"/>
          <w:bCs/>
          <w:color w:val="auto"/>
          <w:sz w:val="30"/>
          <w:szCs w:val="30"/>
          <w:highlight w:val="none"/>
        </w:rPr>
        <w:t>项目名称：</w:t>
      </w:r>
      <w:r>
        <w:rPr>
          <w:rFonts w:hint="eastAsia" w:ascii="宋体" w:hAnsi="宋体" w:cs="宋体"/>
          <w:bCs/>
          <w:color w:val="auto"/>
          <w:sz w:val="30"/>
          <w:szCs w:val="30"/>
          <w:highlight w:val="none"/>
          <w:u w:val="single"/>
          <w:lang w:val="en-US" w:eastAsia="zh-CN"/>
        </w:rPr>
        <w:t xml:space="preserve">                          </w:t>
      </w:r>
    </w:p>
    <w:p w14:paraId="6249D351">
      <w:pPr>
        <w:wordWrap w:val="0"/>
        <w:ind w:firstLine="900" w:firstLineChars="300"/>
        <w:rPr>
          <w:rFonts w:hint="eastAsia" w:ascii="宋体" w:hAnsi="宋体" w:cs="宋体"/>
          <w:bCs/>
          <w:color w:val="auto"/>
          <w:sz w:val="30"/>
          <w:szCs w:val="30"/>
          <w:highlight w:val="none"/>
        </w:rPr>
      </w:pPr>
    </w:p>
    <w:p w14:paraId="453CAB75">
      <w:pPr>
        <w:wordWrap w:val="0"/>
        <w:ind w:firstLine="900" w:firstLineChars="300"/>
        <w:rPr>
          <w:rFonts w:hint="default" w:ascii="宋体" w:hAnsi="宋体" w:eastAsia="宋体" w:cs="宋体"/>
          <w:bCs/>
          <w:color w:val="auto"/>
          <w:sz w:val="30"/>
          <w:szCs w:val="30"/>
          <w:highlight w:val="none"/>
          <w:u w:val="single"/>
          <w:lang w:val="en-US" w:eastAsia="zh-CN"/>
        </w:rPr>
      </w:pPr>
      <w:r>
        <w:rPr>
          <w:rFonts w:hint="eastAsia" w:ascii="宋体" w:hAnsi="宋体" w:cs="宋体"/>
          <w:bCs/>
          <w:color w:val="auto"/>
          <w:sz w:val="30"/>
          <w:szCs w:val="30"/>
          <w:highlight w:val="none"/>
        </w:rPr>
        <w:t>项目编号：</w:t>
      </w:r>
      <w:r>
        <w:rPr>
          <w:rFonts w:hint="eastAsia" w:ascii="宋体" w:hAnsi="宋体" w:cs="宋体"/>
          <w:bCs/>
          <w:color w:val="auto"/>
          <w:sz w:val="30"/>
          <w:szCs w:val="30"/>
          <w:highlight w:val="none"/>
          <w:u w:val="single"/>
          <w:lang w:val="en-US" w:eastAsia="zh-CN"/>
        </w:rPr>
        <w:t xml:space="preserve">                         </w:t>
      </w:r>
    </w:p>
    <w:p w14:paraId="438A89F6">
      <w:pPr>
        <w:wordWrap w:val="0"/>
        <w:rPr>
          <w:rFonts w:hint="eastAsia" w:ascii="宋体" w:hAnsi="宋体" w:cs="宋体"/>
          <w:color w:val="auto"/>
          <w:highlight w:val="none"/>
        </w:rPr>
      </w:pPr>
    </w:p>
    <w:p w14:paraId="34DB6FC5">
      <w:pPr>
        <w:wordWrap w:val="0"/>
        <w:snapToGrid w:val="0"/>
        <w:spacing w:before="156" w:beforeLines="50" w:after="50"/>
        <w:ind w:firstLine="1260" w:firstLineChars="450"/>
        <w:rPr>
          <w:rFonts w:hint="eastAsia" w:ascii="宋体" w:hAnsi="宋体" w:cs="宋体"/>
          <w:bCs/>
          <w:color w:val="auto"/>
          <w:sz w:val="28"/>
          <w:szCs w:val="28"/>
          <w:highlight w:val="none"/>
        </w:rPr>
      </w:pPr>
    </w:p>
    <w:p w14:paraId="615BA464">
      <w:pPr>
        <w:pStyle w:val="218"/>
        <w:wordWrap w:val="0"/>
        <w:ind w:firstLine="420"/>
        <w:rPr>
          <w:color w:val="auto"/>
          <w:highlight w:val="none"/>
        </w:rPr>
      </w:pPr>
    </w:p>
    <w:p w14:paraId="13BE89A4">
      <w:pPr>
        <w:pStyle w:val="188"/>
        <w:wordWrap w:val="0"/>
        <w:rPr>
          <w:color w:val="auto"/>
          <w:highlight w:val="none"/>
        </w:rPr>
      </w:pPr>
    </w:p>
    <w:p w14:paraId="0FB30EFB">
      <w:pPr>
        <w:wordWrap w:val="0"/>
        <w:snapToGrid w:val="0"/>
        <w:spacing w:before="156" w:beforeLines="50" w:after="50"/>
        <w:ind w:firstLine="1260" w:firstLineChars="450"/>
        <w:rPr>
          <w:rFonts w:hint="eastAsia" w:ascii="宋体" w:hAnsi="宋体" w:cs="宋体"/>
          <w:bCs/>
          <w:color w:val="auto"/>
          <w:sz w:val="28"/>
          <w:szCs w:val="28"/>
          <w:highlight w:val="none"/>
        </w:rPr>
      </w:pPr>
    </w:p>
    <w:p w14:paraId="635261B6">
      <w:pPr>
        <w:wordWrap w:val="0"/>
        <w:snapToGrid w:val="0"/>
        <w:spacing w:before="156" w:beforeLines="50" w:after="50"/>
        <w:ind w:firstLine="1260" w:firstLineChars="450"/>
        <w:rPr>
          <w:rFonts w:hint="eastAsia" w:ascii="宋体" w:hAnsi="宋体" w:cs="宋体"/>
          <w:bCs/>
          <w:color w:val="auto"/>
          <w:sz w:val="28"/>
          <w:szCs w:val="28"/>
          <w:highlight w:val="none"/>
        </w:rPr>
      </w:pPr>
    </w:p>
    <w:p w14:paraId="6A7B7B9A">
      <w:pPr>
        <w:wordWrap w:val="0"/>
        <w:ind w:firstLine="964" w:firstLineChars="300"/>
        <w:jc w:val="left"/>
        <w:rPr>
          <w:rFonts w:hint="eastAsia" w:ascii="宋体" w:hAnsi="宋体" w:cs="宋体"/>
          <w:b/>
          <w:color w:val="auto"/>
          <w:sz w:val="32"/>
          <w:szCs w:val="32"/>
          <w:highlight w:val="none"/>
        </w:rPr>
      </w:pPr>
    </w:p>
    <w:p w14:paraId="1E419FC9">
      <w:pPr>
        <w:pStyle w:val="20"/>
        <w:keepNext w:val="0"/>
        <w:keepLines w:val="0"/>
        <w:pageBreakBefore w:val="0"/>
        <w:widowControl w:val="0"/>
        <w:kinsoku/>
        <w:wordWrap w:val="0"/>
        <w:overflowPunct/>
        <w:topLinePunct w:val="0"/>
        <w:autoSpaceDE/>
        <w:autoSpaceDN/>
        <w:bidi w:val="0"/>
        <w:adjustRightInd/>
        <w:snapToGrid/>
        <w:spacing w:line="360" w:lineRule="auto"/>
        <w:ind w:left="0" w:leftChars="0"/>
        <w:textAlignment w:val="auto"/>
        <w:rPr>
          <w:rFonts w:hint="default" w:ascii="宋体" w:hAnsi="宋体" w:eastAsia="仿宋_GB2312" w:cs="宋体"/>
          <w:bCs/>
          <w:color w:val="auto"/>
          <w:sz w:val="28"/>
          <w:szCs w:val="28"/>
          <w:highlight w:val="none"/>
          <w:u w:val="single"/>
          <w:lang w:val="en-US" w:eastAsia="zh-CN"/>
        </w:rPr>
      </w:pPr>
      <w:r>
        <w:rPr>
          <w:rFonts w:hint="eastAsia" w:ascii="宋体" w:hAnsi="宋体" w:cs="宋体"/>
          <w:bCs/>
          <w:color w:val="auto"/>
          <w:sz w:val="28"/>
          <w:szCs w:val="28"/>
          <w:highlight w:val="none"/>
        </w:rPr>
        <w:t>采购代理机构：</w:t>
      </w:r>
      <w:r>
        <w:rPr>
          <w:rFonts w:hint="eastAsia" w:ascii="宋体" w:hAnsi="宋体" w:cs="宋体"/>
          <w:bCs/>
          <w:color w:val="auto"/>
          <w:sz w:val="28"/>
          <w:szCs w:val="28"/>
          <w:highlight w:val="none"/>
          <w:u w:val="single"/>
          <w:lang w:val="en-US" w:eastAsia="zh-CN"/>
        </w:rPr>
        <w:t xml:space="preserve">                          </w:t>
      </w:r>
    </w:p>
    <w:p w14:paraId="3907F275">
      <w:pPr>
        <w:pStyle w:val="20"/>
        <w:keepNext w:val="0"/>
        <w:keepLines w:val="0"/>
        <w:pageBreakBefore w:val="0"/>
        <w:widowControl w:val="0"/>
        <w:kinsoku/>
        <w:wordWrap w:val="0"/>
        <w:overflowPunct/>
        <w:topLinePunct w:val="0"/>
        <w:autoSpaceDE/>
        <w:autoSpaceDN/>
        <w:bidi w:val="0"/>
        <w:adjustRightInd/>
        <w:snapToGrid/>
        <w:spacing w:line="360" w:lineRule="auto"/>
        <w:ind w:left="0" w:leftChars="0"/>
        <w:textAlignment w:val="auto"/>
        <w:rPr>
          <w:rFonts w:hint="eastAsia" w:ascii="宋体" w:hAnsi="宋体" w:cs="宋体"/>
          <w:bCs/>
          <w:color w:val="auto"/>
          <w:sz w:val="28"/>
          <w:szCs w:val="28"/>
          <w:highlight w:val="none"/>
          <w:u w:val="single"/>
        </w:rPr>
      </w:pPr>
      <w:bookmarkStart w:id="24" w:name="_Toc4932_WPSOffice_Level2"/>
      <w:bookmarkStart w:id="25" w:name="_Toc20319_WPSOffice_Level2"/>
      <w:r>
        <w:rPr>
          <w:rFonts w:hint="eastAsia" w:ascii="宋体" w:hAnsi="宋体" w:cs="宋体"/>
          <w:bCs/>
          <w:color w:val="auto"/>
          <w:sz w:val="28"/>
          <w:szCs w:val="28"/>
          <w:highlight w:val="none"/>
        </w:rPr>
        <w:t>投标人（公章(CA签章)、自然人除外）：</w:t>
      </w:r>
      <w:r>
        <w:rPr>
          <w:rFonts w:hint="eastAsia" w:ascii="宋体" w:hAnsi="宋体" w:cs="宋体"/>
          <w:bCs/>
          <w:color w:val="auto"/>
          <w:sz w:val="28"/>
          <w:szCs w:val="28"/>
          <w:highlight w:val="none"/>
          <w:u w:val="single"/>
        </w:rPr>
        <w:t xml:space="preserve">                       </w:t>
      </w:r>
      <w:bookmarkEnd w:id="24"/>
      <w:bookmarkEnd w:id="25"/>
      <w:r>
        <w:rPr>
          <w:rFonts w:hint="eastAsia" w:ascii="宋体" w:hAnsi="宋体" w:cs="宋体"/>
          <w:bCs/>
          <w:color w:val="auto"/>
          <w:sz w:val="28"/>
          <w:szCs w:val="28"/>
          <w:highlight w:val="none"/>
          <w:u w:val="single"/>
        </w:rPr>
        <w:t xml:space="preserve">  </w:t>
      </w:r>
      <w:bookmarkStart w:id="26" w:name="_Toc4767_WPSOffice_Level2"/>
      <w:bookmarkStart w:id="27" w:name="_Toc11679_WPSOffice_Level2"/>
    </w:p>
    <w:p w14:paraId="23AAEE8A">
      <w:pPr>
        <w:pStyle w:val="20"/>
        <w:keepNext w:val="0"/>
        <w:keepLines w:val="0"/>
        <w:pageBreakBefore w:val="0"/>
        <w:widowControl w:val="0"/>
        <w:kinsoku/>
        <w:wordWrap w:val="0"/>
        <w:overflowPunct/>
        <w:topLinePunct w:val="0"/>
        <w:autoSpaceDE/>
        <w:autoSpaceDN/>
        <w:bidi w:val="0"/>
        <w:adjustRightInd/>
        <w:snapToGrid/>
        <w:spacing w:line="360" w:lineRule="auto"/>
        <w:ind w:left="0" w:leftChars="0"/>
        <w:textAlignment w:val="auto"/>
        <w:rPr>
          <w:rFonts w:hint="eastAsia" w:ascii="宋体" w:hAnsi="宋体" w:cs="宋体"/>
          <w:color w:val="auto"/>
          <w:sz w:val="28"/>
          <w:szCs w:val="28"/>
          <w:highlight w:val="none"/>
          <w:u w:val="single"/>
          <w:lang w:val="en-US" w:eastAsia="zh-CN"/>
        </w:rPr>
      </w:pPr>
      <w:r>
        <w:rPr>
          <w:rFonts w:hint="eastAsia" w:hAnsi="宋体" w:cs="宋体"/>
          <w:color w:val="auto"/>
          <w:sz w:val="28"/>
          <w:szCs w:val="28"/>
          <w:highlight w:val="none"/>
        </w:rPr>
        <w:t>法定代表人、负责人、自然人或相应的委托代理人签字[或盖章(CA签章)]</w:t>
      </w:r>
      <w:r>
        <w:rPr>
          <w:rFonts w:hint="eastAsia" w:ascii="宋体" w:hAnsi="宋体" w:cs="宋体"/>
          <w:color w:val="auto"/>
          <w:sz w:val="28"/>
          <w:szCs w:val="28"/>
          <w:highlight w:val="none"/>
        </w:rPr>
        <w:t>（属自然人的应在签名处加盖大拇指指印或个人CA签章）：</w:t>
      </w:r>
      <w:r>
        <w:rPr>
          <w:rFonts w:hint="eastAsia" w:ascii="宋体" w:hAnsi="宋体" w:cs="宋体"/>
          <w:color w:val="auto"/>
          <w:sz w:val="28"/>
          <w:szCs w:val="28"/>
          <w:highlight w:val="none"/>
          <w:u w:val="single"/>
        </w:rPr>
        <w:t xml:space="preserve">            </w:t>
      </w:r>
      <w:bookmarkEnd w:id="26"/>
      <w:bookmarkEnd w:id="27"/>
      <w:bookmarkStart w:id="28" w:name="_Toc9622_WPSOffice_Level2"/>
      <w:bookmarkStart w:id="29" w:name="_Toc32056_WPSOffice_Level2"/>
    </w:p>
    <w:p w14:paraId="5989DBA3">
      <w:pPr>
        <w:pStyle w:val="20"/>
        <w:keepNext w:val="0"/>
        <w:keepLines w:val="0"/>
        <w:pageBreakBefore w:val="0"/>
        <w:widowControl w:val="0"/>
        <w:kinsoku/>
        <w:wordWrap w:val="0"/>
        <w:overflowPunct/>
        <w:topLinePunct w:val="0"/>
        <w:autoSpaceDE/>
        <w:autoSpaceDN/>
        <w:bidi w:val="0"/>
        <w:adjustRightInd/>
        <w:snapToGrid/>
        <w:spacing w:line="360" w:lineRule="auto"/>
        <w:ind w:left="0" w:leftChars="0"/>
        <w:textAlignment w:val="auto"/>
        <w:rPr>
          <w:rFonts w:hint="eastAsia" w:ascii="宋体" w:hAnsi="宋体" w:cs="宋体"/>
          <w:bCs/>
          <w:color w:val="auto"/>
          <w:sz w:val="28"/>
          <w:szCs w:val="28"/>
          <w:highlight w:val="none"/>
          <w:u w:val="single"/>
        </w:rPr>
      </w:pPr>
      <w:r>
        <w:rPr>
          <w:rFonts w:hint="eastAsia" w:ascii="宋体" w:hAnsi="宋体" w:cs="宋体"/>
          <w:bCs/>
          <w:color w:val="auto"/>
          <w:sz w:val="28"/>
          <w:szCs w:val="28"/>
          <w:highlight w:val="none"/>
        </w:rPr>
        <w:t>联系电话：</w:t>
      </w:r>
      <w:bookmarkEnd w:id="28"/>
      <w:bookmarkEnd w:id="29"/>
      <w:r>
        <w:rPr>
          <w:rFonts w:hint="eastAsia" w:ascii="宋体" w:hAnsi="宋体" w:cs="宋体"/>
          <w:bCs/>
          <w:color w:val="auto"/>
          <w:sz w:val="28"/>
          <w:szCs w:val="28"/>
          <w:highlight w:val="none"/>
          <w:u w:val="single"/>
        </w:rPr>
        <w:t xml:space="preserve">                                                </w:t>
      </w:r>
    </w:p>
    <w:p w14:paraId="18BBD48F">
      <w:pPr>
        <w:pStyle w:val="20"/>
        <w:keepNext w:val="0"/>
        <w:keepLines w:val="0"/>
        <w:pageBreakBefore w:val="0"/>
        <w:widowControl w:val="0"/>
        <w:kinsoku/>
        <w:wordWrap w:val="0"/>
        <w:overflowPunct/>
        <w:topLinePunct w:val="0"/>
        <w:autoSpaceDE/>
        <w:autoSpaceDN/>
        <w:bidi w:val="0"/>
        <w:adjustRightInd/>
        <w:snapToGrid/>
        <w:spacing w:line="360" w:lineRule="auto"/>
        <w:ind w:left="559" w:leftChars="266" w:firstLine="280" w:firstLineChars="100"/>
        <w:textAlignment w:val="auto"/>
        <w:rPr>
          <w:rFonts w:hint="eastAsia" w:ascii="宋体" w:hAnsi="宋体" w:cs="宋体"/>
          <w:b/>
          <w:color w:val="auto"/>
          <w:sz w:val="32"/>
          <w:szCs w:val="32"/>
          <w:highlight w:val="none"/>
        </w:rPr>
      </w:pPr>
      <w:bookmarkStart w:id="30" w:name="_Toc15933_WPSOffice_Level2"/>
      <w:bookmarkStart w:id="31" w:name="_Toc26465_WPSOffice_Level2"/>
      <w:r>
        <w:rPr>
          <w:rFonts w:hint="eastAsia" w:ascii="宋体" w:hAnsi="宋体" w:cs="宋体"/>
          <w:bCs/>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日</w:t>
      </w:r>
      <w:bookmarkEnd w:id="30"/>
      <w:bookmarkEnd w:id="31"/>
    </w:p>
    <w:p w14:paraId="4F03C298">
      <w:pPr>
        <w:keepNext w:val="0"/>
        <w:keepLines w:val="0"/>
        <w:pageBreakBefore w:val="0"/>
        <w:kinsoku/>
        <w:overflowPunct/>
        <w:topLinePunct w:val="0"/>
        <w:bidi w:val="0"/>
        <w:spacing w:line="360" w:lineRule="auto"/>
        <w:rPr>
          <w:rFonts w:ascii="宋体" w:hAnsi="宋体"/>
          <w:b/>
          <w:color w:val="auto"/>
          <w:sz w:val="32"/>
          <w:szCs w:val="32"/>
          <w:highlight w:val="none"/>
        </w:rPr>
      </w:pPr>
    </w:p>
    <w:p w14:paraId="3207FF7E">
      <w:pPr>
        <w:keepNext w:val="0"/>
        <w:keepLines w:val="0"/>
        <w:pageBreakBefore w:val="0"/>
        <w:kinsoku/>
        <w:overflowPunct/>
        <w:topLinePunct w:val="0"/>
        <w:bidi w:val="0"/>
        <w:spacing w:line="360" w:lineRule="auto"/>
        <w:rPr>
          <w:rFonts w:ascii="宋体" w:hAnsi="宋体"/>
          <w:b/>
          <w:color w:val="auto"/>
          <w:sz w:val="32"/>
          <w:szCs w:val="32"/>
          <w:highlight w:val="none"/>
        </w:rPr>
      </w:pPr>
    </w:p>
    <w:p w14:paraId="30D6316F">
      <w:pPr>
        <w:keepNext w:val="0"/>
        <w:keepLines w:val="0"/>
        <w:pageBreakBefore w:val="0"/>
        <w:kinsoku/>
        <w:overflowPunct/>
        <w:topLinePunct w:val="0"/>
        <w:bidi w:val="0"/>
        <w:spacing w:line="360" w:lineRule="auto"/>
        <w:rPr>
          <w:rFonts w:ascii="宋体" w:hAnsi="宋体"/>
          <w:b/>
          <w:color w:val="auto"/>
          <w:sz w:val="32"/>
          <w:szCs w:val="32"/>
          <w:highlight w:val="none"/>
        </w:rPr>
      </w:pPr>
    </w:p>
    <w:p w14:paraId="10EDCE55">
      <w:pPr>
        <w:keepNext w:val="0"/>
        <w:keepLines w:val="0"/>
        <w:pageBreakBefore w:val="0"/>
        <w:kinsoku/>
        <w:overflowPunct/>
        <w:topLinePunct w:val="0"/>
        <w:bidi w:val="0"/>
        <w:spacing w:line="360" w:lineRule="auto"/>
        <w:jc w:val="center"/>
        <w:rPr>
          <w:b/>
          <w:color w:val="auto"/>
          <w:sz w:val="32"/>
          <w:szCs w:val="32"/>
          <w:highlight w:val="none"/>
        </w:rPr>
      </w:pPr>
      <w:r>
        <w:rPr>
          <w:rFonts w:hint="eastAsia"/>
          <w:b/>
          <w:color w:val="auto"/>
          <w:sz w:val="32"/>
          <w:szCs w:val="32"/>
          <w:highlight w:val="none"/>
        </w:rPr>
        <w:t>投标文件目录</w:t>
      </w:r>
    </w:p>
    <w:p w14:paraId="2FA815B5">
      <w:pPr>
        <w:keepNext w:val="0"/>
        <w:keepLines w:val="0"/>
        <w:pageBreakBefore w:val="0"/>
        <w:tabs>
          <w:tab w:val="left" w:pos="1305"/>
        </w:tabs>
        <w:kinsoku/>
        <w:overflowPunct/>
        <w:topLinePunct w:val="0"/>
        <w:bidi w:val="0"/>
        <w:spacing w:line="360" w:lineRule="auto"/>
        <w:rPr>
          <w:rFonts w:ascii="宋体" w:hAnsi="宋体"/>
          <w:color w:val="auto"/>
          <w:sz w:val="21"/>
          <w:szCs w:val="21"/>
          <w:highlight w:val="none"/>
        </w:rPr>
      </w:pPr>
      <w:r>
        <w:rPr>
          <w:rFonts w:hint="eastAsia"/>
          <w:b/>
          <w:color w:val="auto"/>
          <w:sz w:val="21"/>
          <w:szCs w:val="21"/>
          <w:highlight w:val="none"/>
          <w:lang w:val="en-US" w:eastAsia="zh-CN"/>
        </w:rPr>
        <w:t>一、</w:t>
      </w:r>
      <w:r>
        <w:rPr>
          <w:rFonts w:hint="eastAsia"/>
          <w:b/>
          <w:color w:val="auto"/>
          <w:sz w:val="21"/>
          <w:szCs w:val="21"/>
          <w:highlight w:val="none"/>
        </w:rPr>
        <w:t>资格性响应证明材料</w:t>
      </w:r>
    </w:p>
    <w:p w14:paraId="3933C886">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（1）</w:t>
      </w:r>
      <w:r>
        <w:rPr>
          <w:rFonts w:hint="eastAsia" w:hAnsi="宋体"/>
          <w:b w:val="0"/>
          <w:bCs/>
          <w:color w:val="auto"/>
          <w:highlight w:val="none"/>
          <w:lang w:val="en-US" w:eastAsia="zh-CN"/>
        </w:rPr>
        <w:t>投标人</w:t>
      </w:r>
      <w:r>
        <w:rPr>
          <w:rFonts w:hint="eastAsia" w:hAnsi="宋体"/>
          <w:b w:val="0"/>
          <w:bCs/>
          <w:color w:val="auto"/>
          <w:highlight w:val="none"/>
        </w:rPr>
        <w:t>相应的法定代表人、负责人、自然人身份证正反两面复印件或扫描件（必须提供）；</w:t>
      </w:r>
    </w:p>
    <w:p w14:paraId="015825C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（2）</w:t>
      </w:r>
      <w:r>
        <w:rPr>
          <w:rFonts w:hint="eastAsia" w:hAnsi="宋体"/>
          <w:b w:val="0"/>
          <w:bCs/>
          <w:color w:val="auto"/>
          <w:highlight w:val="none"/>
          <w:lang w:val="en-US" w:eastAsia="zh-CN"/>
        </w:rPr>
        <w:t>投标人</w:t>
      </w:r>
      <w:r>
        <w:rPr>
          <w:rFonts w:hint="eastAsia" w:hAnsi="宋体"/>
          <w:b w:val="0"/>
          <w:bCs/>
          <w:color w:val="auto"/>
          <w:highlight w:val="none"/>
        </w:rPr>
        <w:t>的授权委托书原件、委托代理人身份证正反面复印件或扫描件以及由县级以上（含县级）社会养老保险经办机构出具的供应商为委托代理人交纳的响应文件递交截止时间前半年内任意1个月养老保险证明复印件或扫描件，除供应商为以下三种情形的：</w:t>
      </w:r>
    </w:p>
    <w:p w14:paraId="459661C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①如</w:t>
      </w:r>
      <w:r>
        <w:rPr>
          <w:rFonts w:hint="eastAsia" w:hAnsi="宋体"/>
          <w:b w:val="0"/>
          <w:bCs/>
          <w:color w:val="auto"/>
          <w:highlight w:val="none"/>
          <w:lang w:val="en-US" w:eastAsia="zh-CN"/>
        </w:rPr>
        <w:t>投标人</w:t>
      </w:r>
      <w:r>
        <w:rPr>
          <w:rFonts w:hint="eastAsia" w:hAnsi="宋体"/>
          <w:b w:val="0"/>
          <w:bCs/>
          <w:color w:val="auto"/>
          <w:highlight w:val="none"/>
        </w:rPr>
        <w:t>为截标时间前60日以内成立的公司，可以提供供应商与委托代理人签订的劳动合同复印件或扫描件代替养老保险证明复印件或扫描件；</w:t>
      </w:r>
    </w:p>
    <w:p w14:paraId="62C57C7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②如</w:t>
      </w:r>
      <w:r>
        <w:rPr>
          <w:rFonts w:hint="eastAsia" w:hAnsi="宋体"/>
          <w:b w:val="0"/>
          <w:bCs/>
          <w:color w:val="auto"/>
          <w:highlight w:val="none"/>
          <w:lang w:val="en-US" w:eastAsia="zh-CN"/>
        </w:rPr>
        <w:t>投标人</w:t>
      </w:r>
      <w:r>
        <w:rPr>
          <w:rFonts w:hint="eastAsia" w:hAnsi="宋体"/>
          <w:b w:val="0"/>
          <w:bCs/>
          <w:color w:val="auto"/>
          <w:highlight w:val="none"/>
        </w:rPr>
        <w:t>为事业单位，可以提供事业单位机构编制管理证复印件或扫描件或事业单位机构为其发放工资的工资条复印件或扫描件代替养老保险证明复印件或扫描件；</w:t>
      </w:r>
    </w:p>
    <w:p w14:paraId="60468408">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③如委托代理人为免缴纳养老保险人员，提供免缴纳养老保险的证明材料复印件或扫描件及供应商与委托代理人签订的劳动合同复印件或扫描件代替养老保险证明复印件或扫描件。</w:t>
      </w:r>
    </w:p>
    <w:p w14:paraId="09632D83">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【属自然人的应提供由县级以上（含县级）社会养老保险经办机构出具的自然人本人及委托代理人所交纳的响应文件递交截止时间前半年内任意1个月养老保险证明复印件或扫描件】（委托代理时必须提供）；</w:t>
      </w:r>
    </w:p>
    <w:p w14:paraId="05925F45">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（3）</w:t>
      </w:r>
      <w:r>
        <w:rPr>
          <w:rFonts w:hint="eastAsia" w:hAnsi="宋体"/>
          <w:b w:val="0"/>
          <w:bCs/>
          <w:color w:val="auto"/>
          <w:highlight w:val="none"/>
          <w:lang w:val="en-US" w:eastAsia="zh-CN"/>
        </w:rPr>
        <w:t>投标人</w:t>
      </w:r>
      <w:r>
        <w:rPr>
          <w:rFonts w:hint="eastAsia" w:hAnsi="宋体"/>
          <w:b w:val="0"/>
          <w:bCs/>
          <w:color w:val="auto"/>
          <w:highlight w:val="none"/>
        </w:rPr>
        <w:t>参加政府采购活动前3年内在经营活动中没有重大违法记录及有关信用信息的书面声明（必须提供）；</w:t>
      </w:r>
    </w:p>
    <w:p w14:paraId="70351EAF">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（4）</w:t>
      </w:r>
      <w:r>
        <w:rPr>
          <w:rFonts w:hint="eastAsia" w:hAnsi="宋体"/>
          <w:b w:val="0"/>
          <w:bCs/>
          <w:color w:val="auto"/>
          <w:highlight w:val="none"/>
          <w:lang w:val="en-US" w:eastAsia="zh-CN"/>
        </w:rPr>
        <w:t>投标人</w:t>
      </w:r>
      <w:r>
        <w:rPr>
          <w:rFonts w:hint="eastAsia" w:hAnsi="宋体"/>
          <w:b w:val="0"/>
          <w:bCs/>
          <w:color w:val="auto"/>
          <w:highlight w:val="none"/>
        </w:rPr>
        <w:t>的法人或者其他组织营业执照等证明文件复印件或扫描件（必须提供，自然人除外）；</w:t>
      </w:r>
    </w:p>
    <w:p w14:paraId="3978D2E8">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hAnsi="宋体"/>
          <w:b w:val="0"/>
          <w:bCs/>
          <w:color w:val="auto"/>
          <w:highlight w:val="none"/>
          <w:lang w:val="en-US" w:eastAsia="zh-CN"/>
        </w:rPr>
        <w:t>投标人</w:t>
      </w:r>
      <w:r>
        <w:rPr>
          <w:rFonts w:hint="eastAsia" w:hAnsi="宋体"/>
          <w:b w:val="0"/>
          <w:bCs/>
          <w:color w:val="auto"/>
          <w:highlight w:val="none"/>
        </w:rPr>
        <w:t>为事业单位，应提供有效的“事业单位法人证书”；</w:t>
      </w:r>
      <w:r>
        <w:rPr>
          <w:rFonts w:hint="eastAsia" w:hAnsi="宋体"/>
          <w:b w:val="0"/>
          <w:bCs/>
          <w:color w:val="auto"/>
          <w:highlight w:val="none"/>
          <w:lang w:val="en-US" w:eastAsia="zh-CN"/>
        </w:rPr>
        <w:t>投标人</w:t>
      </w:r>
      <w:r>
        <w:rPr>
          <w:rFonts w:hint="eastAsia" w:hAnsi="宋体"/>
          <w:b w:val="0"/>
          <w:bCs/>
          <w:color w:val="auto"/>
          <w:highlight w:val="none"/>
        </w:rPr>
        <w:t>为非企业专业服务机构的，应提供执业许可证等证明文件；</w:t>
      </w:r>
      <w:r>
        <w:rPr>
          <w:rFonts w:hint="eastAsia" w:hAnsi="宋体"/>
          <w:b w:val="0"/>
          <w:bCs/>
          <w:color w:val="auto"/>
          <w:highlight w:val="none"/>
          <w:lang w:val="en-US" w:eastAsia="zh-CN"/>
        </w:rPr>
        <w:t>投标人</w:t>
      </w:r>
      <w:r>
        <w:rPr>
          <w:rFonts w:hint="eastAsia" w:hAnsi="宋体"/>
          <w:b w:val="0"/>
          <w:bCs/>
          <w:color w:val="auto"/>
          <w:highlight w:val="none"/>
        </w:rPr>
        <w:t>为个体工商户，应提供有效的“个体工商户营业执照”。</w:t>
      </w:r>
    </w:p>
    <w:p w14:paraId="6AF881E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（5）</w:t>
      </w:r>
      <w:r>
        <w:rPr>
          <w:rFonts w:hint="eastAsia" w:hAnsi="宋体"/>
          <w:b w:val="0"/>
          <w:bCs/>
          <w:color w:val="auto"/>
          <w:highlight w:val="none"/>
          <w:lang w:val="en-US" w:eastAsia="zh-CN"/>
        </w:rPr>
        <w:t>投标人</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5</w:t>
      </w:r>
      <w:r>
        <w:rPr>
          <w:rFonts w:hint="eastAsia" w:hAnsi="宋体"/>
          <w:b w:val="0"/>
          <w:bCs/>
          <w:color w:val="auto"/>
          <w:highlight w:val="none"/>
        </w:rPr>
        <w:t>月至</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10</w:t>
      </w:r>
      <w:r>
        <w:rPr>
          <w:rFonts w:hint="eastAsia" w:hAnsi="宋体"/>
          <w:b w:val="0"/>
          <w:bCs/>
          <w:color w:val="auto"/>
          <w:highlight w:val="none"/>
        </w:rPr>
        <w:t>月任意一个月或任一季度依法缴纳税收的证明材料【增值税发票(税收完税证明)或企业所得税完税证明或税务部门出具的无欠税证明或免税证明】复印件或扫描件（必须提供）；</w:t>
      </w:r>
    </w:p>
    <w:p w14:paraId="79F7DC08">
      <w:pPr>
        <w:keepNext w:val="0"/>
        <w:keepLines w:val="0"/>
        <w:pageBreakBefore w:val="0"/>
        <w:kinsoku/>
        <w:overflowPunct/>
        <w:topLinePunct w:val="0"/>
        <w:autoSpaceDE w:val="0"/>
        <w:autoSpaceDN w:val="0"/>
        <w:bidi w:val="0"/>
        <w:snapToGrid w:val="0"/>
        <w:spacing w:line="360" w:lineRule="auto"/>
        <w:ind w:firstLine="411" w:firstLineChars="196"/>
        <w:jc w:val="left"/>
        <w:rPr>
          <w:rFonts w:hint="default" w:hAnsi="宋体"/>
          <w:b w:val="0"/>
          <w:bCs/>
          <w:color w:val="auto"/>
          <w:highlight w:val="none"/>
          <w:lang w:val="en-US"/>
        </w:rPr>
      </w:pPr>
      <w:r>
        <w:rPr>
          <w:rFonts w:hint="eastAsia" w:hAnsi="宋体"/>
          <w:b w:val="0"/>
          <w:bCs/>
          <w:color w:val="auto"/>
          <w:highlight w:val="none"/>
        </w:rPr>
        <w:t>（6）</w:t>
      </w:r>
      <w:r>
        <w:rPr>
          <w:rFonts w:hint="eastAsia" w:hAnsi="宋体"/>
          <w:b w:val="0"/>
          <w:bCs/>
          <w:color w:val="auto"/>
          <w:highlight w:val="none"/>
          <w:lang w:val="en-US" w:eastAsia="zh-CN"/>
        </w:rPr>
        <w:t>投标人</w:t>
      </w:r>
      <w:r>
        <w:rPr>
          <w:rFonts w:hint="eastAsia" w:hAnsi="宋体"/>
          <w:b w:val="0"/>
          <w:bCs/>
          <w:color w:val="auto"/>
          <w:highlight w:val="none"/>
          <w:lang w:eastAsia="zh-CN"/>
        </w:rPr>
        <w:t>2024年度的财务状况报告（可以是</w:t>
      </w:r>
      <w:r>
        <w:rPr>
          <w:rFonts w:hint="eastAsia" w:hAnsi="宋体"/>
          <w:b w:val="0"/>
          <w:bCs/>
          <w:color w:val="auto"/>
          <w:highlight w:val="none"/>
          <w:lang w:val="en-US" w:eastAsia="zh-CN"/>
        </w:rPr>
        <w:t>投标人</w:t>
      </w:r>
      <w:r>
        <w:rPr>
          <w:rFonts w:hint="eastAsia" w:hAnsi="宋体"/>
          <w:b w:val="0"/>
          <w:bCs/>
          <w:color w:val="auto"/>
          <w:highlight w:val="none"/>
          <w:lang w:eastAsia="zh-CN"/>
        </w:rPr>
        <w:t>自行编制也可是通过第三方审计公司编制，如为自行编制至少须提供现金流量表、负债表及利润表）或 2025 年以来银行出具的资信证明或 2025 年以来中国人民银行征信中心出具的征信报告（必须提供）</w:t>
      </w:r>
      <w:r>
        <w:rPr>
          <w:rFonts w:hint="eastAsia" w:hAnsi="宋体"/>
          <w:b w:val="0"/>
          <w:bCs/>
          <w:color w:val="auto"/>
          <w:highlight w:val="none"/>
          <w:lang w:val="en-US" w:eastAsia="zh-CN"/>
        </w:rPr>
        <w:t>；</w:t>
      </w:r>
    </w:p>
    <w:p w14:paraId="1AFC154D">
      <w:pPr>
        <w:keepNext w:val="0"/>
        <w:keepLines w:val="0"/>
        <w:pageBreakBefore w:val="0"/>
        <w:numPr>
          <w:ilvl w:val="0"/>
          <w:numId w:val="0"/>
        </w:numPr>
        <w:tabs>
          <w:tab w:val="left" w:pos="1305"/>
        </w:tabs>
        <w:kinsoku/>
        <w:overflowPunct/>
        <w:topLinePunct w:val="0"/>
        <w:bidi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7）</w:t>
      </w:r>
      <w:r>
        <w:rPr>
          <w:rFonts w:hint="eastAsia" w:ascii="宋体" w:hAnsi="宋体"/>
          <w:b w:val="0"/>
          <w:bCs/>
          <w:color w:val="auto"/>
          <w:szCs w:val="21"/>
          <w:highlight w:val="none"/>
        </w:rPr>
        <w:t>投标人参加本项目无围标串标行为的承诺函（必须提供）。</w:t>
      </w:r>
    </w:p>
    <w:p w14:paraId="66886E2B">
      <w:pPr>
        <w:keepNext w:val="0"/>
        <w:keepLines w:val="0"/>
        <w:pageBreakBefore w:val="0"/>
        <w:tabs>
          <w:tab w:val="left" w:pos="1305"/>
        </w:tabs>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lang w:val="en-US" w:eastAsia="zh-CN"/>
        </w:rPr>
        <w:t>二、</w:t>
      </w:r>
      <w:r>
        <w:rPr>
          <w:rFonts w:hint="eastAsia" w:ascii="宋体" w:hAnsi="宋体"/>
          <w:b/>
          <w:color w:val="auto"/>
          <w:szCs w:val="21"/>
          <w:highlight w:val="none"/>
        </w:rPr>
        <w:t>商务、技术性响应证明材料：</w:t>
      </w:r>
    </w:p>
    <w:p w14:paraId="51A454FD">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color w:val="auto"/>
          <w:szCs w:val="21"/>
          <w:highlight w:val="none"/>
        </w:rPr>
        <w:t>（</w:t>
      </w:r>
      <w:r>
        <w:rPr>
          <w:rFonts w:hint="eastAsia" w:ascii="宋体" w:hAnsi="宋体"/>
          <w:b w:val="0"/>
          <w:bCs/>
          <w:color w:val="auto"/>
          <w:szCs w:val="21"/>
          <w:highlight w:val="none"/>
        </w:rPr>
        <w:t>1）投标函（必须提供）；</w:t>
      </w:r>
    </w:p>
    <w:p w14:paraId="3CF1A95A">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val="0"/>
          <w:bCs/>
          <w:color w:val="auto"/>
          <w:szCs w:val="21"/>
          <w:highlight w:val="none"/>
        </w:rPr>
        <w:t>（2）投标报价表（必须提供）；</w:t>
      </w:r>
    </w:p>
    <w:p w14:paraId="02C64E29">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（3）技术偏离表（必须提供）；</w:t>
      </w:r>
    </w:p>
    <w:p w14:paraId="232873F9">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（4）商务响应表（必须提供）；</w:t>
      </w:r>
    </w:p>
    <w:p w14:paraId="2D0D9571">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ascii="宋体" w:hAnsi="宋体"/>
          <w:b w:val="0"/>
          <w:bCs/>
          <w:color w:val="auto"/>
          <w:szCs w:val="21"/>
          <w:highlight w:val="none"/>
        </w:rPr>
        <w:t>（5）“采购需求”中要求必须提供的有效证明文件（“采购需求”中要求必须提供的，必须提供）。</w:t>
      </w:r>
    </w:p>
    <w:p w14:paraId="3F5E0F59">
      <w:pPr>
        <w:keepNext w:val="0"/>
        <w:keepLines w:val="0"/>
        <w:pageBreakBefore w:val="0"/>
        <w:tabs>
          <w:tab w:val="left" w:pos="1305"/>
        </w:tabs>
        <w:kinsoku/>
        <w:overflowPunct/>
        <w:topLinePunct w:val="0"/>
        <w:bidi w:val="0"/>
        <w:spacing w:line="360" w:lineRule="auto"/>
        <w:ind w:firstLine="420" w:firstLineChars="200"/>
        <w:rPr>
          <w:rFonts w:hint="eastAsia" w:ascii="宋体" w:hAnsi="宋体"/>
          <w:b w:val="0"/>
          <w:bCs/>
          <w:color w:val="auto"/>
          <w:highlight w:val="none"/>
        </w:rPr>
      </w:pPr>
      <w:r>
        <w:rPr>
          <w:rFonts w:hint="eastAsia" w:ascii="宋体" w:hAnsi="宋体"/>
          <w:b w:val="0"/>
          <w:bCs/>
          <w:color w:val="auto"/>
          <w:highlight w:val="none"/>
        </w:rPr>
        <w:t>（6）</w:t>
      </w:r>
      <w:r>
        <w:rPr>
          <w:rFonts w:hint="eastAsia" w:ascii="宋体" w:hAnsi="宋体" w:eastAsia="宋体" w:cs="宋体"/>
          <w:b w:val="0"/>
          <w:bCs/>
          <w:color w:val="auto"/>
          <w:sz w:val="21"/>
          <w:szCs w:val="21"/>
          <w:highlight w:val="none"/>
          <w:lang w:val="en-US" w:eastAsia="zh-CN"/>
        </w:rPr>
        <w:t>项目</w:t>
      </w:r>
      <w:r>
        <w:rPr>
          <w:rFonts w:hint="eastAsia" w:ascii="宋体" w:hAnsi="宋体" w:eastAsia="宋体" w:cs="宋体"/>
          <w:b w:val="0"/>
          <w:bCs/>
          <w:color w:val="auto"/>
          <w:sz w:val="21"/>
          <w:szCs w:val="21"/>
          <w:highlight w:val="none"/>
        </w:rPr>
        <w:t>实施方案</w:t>
      </w:r>
      <w:r>
        <w:rPr>
          <w:rFonts w:hint="eastAsia" w:hAnsi="宋体"/>
          <w:b w:val="0"/>
          <w:bCs/>
          <w:color w:val="auto"/>
          <w:szCs w:val="21"/>
          <w:highlight w:val="none"/>
        </w:rPr>
        <w:t>（如有，请提供）；</w:t>
      </w:r>
    </w:p>
    <w:p w14:paraId="415DE70F">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hAnsi="宋体"/>
          <w:b w:val="0"/>
          <w:bCs/>
          <w:color w:val="auto"/>
          <w:szCs w:val="21"/>
          <w:highlight w:val="none"/>
          <w:lang w:eastAsia="zh-CN"/>
        </w:rPr>
        <w:t>（</w:t>
      </w:r>
      <w:r>
        <w:rPr>
          <w:rFonts w:hint="eastAsia" w:hAnsi="宋体"/>
          <w:b w:val="0"/>
          <w:bCs/>
          <w:color w:val="auto"/>
          <w:szCs w:val="21"/>
          <w:highlight w:val="none"/>
          <w:lang w:val="en-US" w:eastAsia="zh-CN"/>
        </w:rPr>
        <w:t>7）</w:t>
      </w:r>
      <w:r>
        <w:rPr>
          <w:rFonts w:hint="eastAsia" w:hAnsi="宋体"/>
          <w:b w:val="0"/>
          <w:bCs/>
          <w:color w:val="auto"/>
          <w:szCs w:val="21"/>
          <w:highlight w:val="none"/>
        </w:rPr>
        <w:t>配送及安装实施方案（如有，请提供）；</w:t>
      </w:r>
    </w:p>
    <w:p w14:paraId="2C14C4DD">
      <w:pPr>
        <w:keepNext w:val="0"/>
        <w:keepLines w:val="0"/>
        <w:pageBreakBefore w:val="0"/>
        <w:tabs>
          <w:tab w:val="left" w:pos="1305"/>
        </w:tabs>
        <w:kinsoku/>
        <w:overflowPunct/>
        <w:topLinePunct w:val="0"/>
        <w:bidi w:val="0"/>
        <w:spacing w:line="360" w:lineRule="auto"/>
        <w:ind w:firstLine="420" w:firstLineChars="200"/>
        <w:rPr>
          <w:rFonts w:hAnsi="宋体"/>
          <w:b w:val="0"/>
          <w:bCs/>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hAnsi="宋体"/>
          <w:color w:val="auto"/>
          <w:szCs w:val="21"/>
          <w:highlight w:val="none"/>
        </w:rPr>
        <w:t>售后服务方案</w:t>
      </w:r>
      <w:r>
        <w:rPr>
          <w:rFonts w:hint="eastAsia" w:hAnsi="宋体"/>
          <w:b w:val="0"/>
          <w:bCs/>
          <w:color w:val="auto"/>
          <w:szCs w:val="21"/>
          <w:highlight w:val="none"/>
        </w:rPr>
        <w:t>（如有，请提供）；</w:t>
      </w:r>
    </w:p>
    <w:p w14:paraId="08E92229">
      <w:pPr>
        <w:keepNext w:val="0"/>
        <w:keepLines w:val="0"/>
        <w:pageBreakBefore w:val="0"/>
        <w:kinsoku/>
        <w:overflowPunct/>
        <w:topLinePunct w:val="0"/>
        <w:bidi w:val="0"/>
        <w:snapToGrid w:val="0"/>
        <w:spacing w:line="360" w:lineRule="auto"/>
        <w:ind w:firstLine="420" w:firstLineChars="200"/>
        <w:outlineLvl w:val="4"/>
        <w:rPr>
          <w:rFonts w:ascii="宋体" w:hAnsi="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9</w:t>
      </w:r>
      <w:r>
        <w:rPr>
          <w:rFonts w:hint="eastAsia" w:ascii="宋体" w:hAnsi="宋体"/>
          <w:b w:val="0"/>
          <w:bCs/>
          <w:color w:val="auto"/>
          <w:szCs w:val="20"/>
          <w:highlight w:val="none"/>
        </w:rPr>
        <w:t>）“采购需求中”有关</w:t>
      </w:r>
      <w:r>
        <w:rPr>
          <w:rFonts w:hint="eastAsia" w:ascii="宋体" w:hAnsi="宋体"/>
          <w:b w:val="0"/>
          <w:bCs/>
          <w:color w:val="auto"/>
          <w:szCs w:val="21"/>
          <w:highlight w:val="none"/>
        </w:rPr>
        <w:t>履约能力的相关证明材料复印件（如有，请提供）；</w:t>
      </w:r>
    </w:p>
    <w:p w14:paraId="161F1231">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10</w:t>
      </w:r>
      <w:r>
        <w:rPr>
          <w:rFonts w:hint="eastAsia" w:ascii="宋体" w:hAnsi="宋体"/>
          <w:b w:val="0"/>
          <w:bCs/>
          <w:color w:val="auto"/>
          <w:szCs w:val="20"/>
          <w:highlight w:val="none"/>
        </w:rPr>
        <w:t>）</w:t>
      </w:r>
      <w:r>
        <w:rPr>
          <w:rFonts w:hint="eastAsia" w:ascii="宋体" w:hAnsi="宋体" w:eastAsia="宋体" w:cs="宋体"/>
          <w:b w:val="0"/>
          <w:bCs/>
          <w:color w:val="auto"/>
          <w:szCs w:val="21"/>
          <w:highlight w:val="none"/>
        </w:rPr>
        <w:t>节能方面证书的相关证明材料（如有，请提供）；</w:t>
      </w:r>
    </w:p>
    <w:p w14:paraId="46DDE9D8">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）环保方面证书的相关证明材料（如有，请提供）；</w:t>
      </w:r>
    </w:p>
    <w:p w14:paraId="6C52F3E8">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）中小企业的相关有效证明材料（</w:t>
      </w:r>
      <w:r>
        <w:rPr>
          <w:rFonts w:hint="eastAsia" w:ascii="宋体" w:hAnsi="宋体" w:eastAsia="宋体" w:cs="宋体"/>
          <w:color w:val="auto"/>
          <w:szCs w:val="21"/>
          <w:highlight w:val="none"/>
        </w:rPr>
        <w:t>如有，请提供</w:t>
      </w:r>
      <w:r>
        <w:rPr>
          <w:rFonts w:hint="eastAsia" w:ascii="宋体" w:hAnsi="宋体"/>
          <w:color w:val="auto"/>
          <w:highlight w:val="none"/>
        </w:rPr>
        <w:t>）；</w:t>
      </w:r>
    </w:p>
    <w:p w14:paraId="7C59246F">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注：①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364C621C">
      <w:pPr>
        <w:keepNext w:val="0"/>
        <w:keepLines w:val="0"/>
        <w:pageBreakBefore w:val="0"/>
        <w:tabs>
          <w:tab w:val="left" w:pos="1305"/>
        </w:tabs>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②符合条件的残疾人福利性单位在参加政府采购活动时，提供《残疾人福利性单位声明函》，并对声明的真实性负责（如有，请提供）</w:t>
      </w:r>
      <w:r>
        <w:rPr>
          <w:rFonts w:hint="eastAsia" w:ascii="宋体" w:hAnsi="宋体"/>
          <w:b/>
          <w:color w:val="auto"/>
          <w:highlight w:val="none"/>
        </w:rPr>
        <w:t>；</w:t>
      </w:r>
    </w:p>
    <w:p w14:paraId="431735C6">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13）</w:t>
      </w:r>
      <w:r>
        <w:rPr>
          <w:rFonts w:hint="eastAsia" w:ascii="宋体" w:hAnsi="宋体"/>
          <w:color w:val="auto"/>
          <w:szCs w:val="21"/>
          <w:highlight w:val="none"/>
        </w:rPr>
        <w:t>投标人可结合本项目的评标办法视自身情况自行提交相关证明材料</w:t>
      </w:r>
      <w:r>
        <w:rPr>
          <w:rFonts w:hint="eastAsia" w:ascii="宋体" w:hAnsi="宋体"/>
          <w:b w:val="0"/>
          <w:bCs/>
          <w:color w:val="auto"/>
          <w:highlight w:val="none"/>
        </w:rPr>
        <w:t>（如有，请提供）</w:t>
      </w:r>
      <w:r>
        <w:rPr>
          <w:rFonts w:hint="eastAsia" w:ascii="宋体" w:hAnsi="宋体"/>
          <w:color w:val="auto"/>
          <w:szCs w:val="21"/>
          <w:highlight w:val="none"/>
        </w:rPr>
        <w:t>。</w:t>
      </w:r>
    </w:p>
    <w:p w14:paraId="4117676E">
      <w:pPr>
        <w:keepNext w:val="0"/>
        <w:keepLines w:val="0"/>
        <w:pageBreakBefore w:val="0"/>
        <w:tabs>
          <w:tab w:val="left" w:pos="1305"/>
        </w:tabs>
        <w:kinsoku/>
        <w:overflowPunct/>
        <w:topLinePunct w:val="0"/>
        <w:bidi w:val="0"/>
        <w:spacing w:line="360" w:lineRule="auto"/>
        <w:rPr>
          <w:rFonts w:ascii="宋体" w:hAnsi="宋体"/>
          <w:color w:val="auto"/>
          <w:sz w:val="24"/>
          <w:highlight w:val="none"/>
        </w:rPr>
      </w:pPr>
      <w:r>
        <w:rPr>
          <w:b/>
          <w:color w:val="auto"/>
          <w:sz w:val="32"/>
          <w:szCs w:val="32"/>
          <w:highlight w:val="none"/>
        </w:rPr>
        <w:br w:type="page"/>
      </w:r>
      <w:r>
        <w:rPr>
          <w:rFonts w:hint="eastAsia"/>
          <w:b/>
          <w:color w:val="auto"/>
          <w:sz w:val="32"/>
          <w:szCs w:val="32"/>
          <w:highlight w:val="none"/>
        </w:rPr>
        <w:t>一、资格性响应证明材料</w:t>
      </w:r>
    </w:p>
    <w:p w14:paraId="571C3F29">
      <w:pPr>
        <w:keepNext w:val="0"/>
        <w:keepLines w:val="0"/>
        <w:pageBreakBefore w:val="0"/>
        <w:tabs>
          <w:tab w:val="left" w:pos="1305"/>
        </w:tabs>
        <w:kinsoku/>
        <w:overflowPunct/>
        <w:topLinePunct w:val="0"/>
        <w:bidi w:val="0"/>
        <w:spacing w:line="360" w:lineRule="auto"/>
        <w:rPr>
          <w:rFonts w:ascii="宋体" w:hAnsi="宋体"/>
          <w:b/>
          <w:color w:val="auto"/>
          <w:sz w:val="32"/>
          <w:szCs w:val="32"/>
          <w:highlight w:val="none"/>
        </w:rPr>
      </w:pPr>
    </w:p>
    <w:p w14:paraId="0D3C1CEF">
      <w:pPr>
        <w:keepNext w:val="0"/>
        <w:keepLines w:val="0"/>
        <w:pageBreakBefore w:val="0"/>
        <w:tabs>
          <w:tab w:val="left" w:pos="1305"/>
        </w:tabs>
        <w:kinsoku/>
        <w:overflowPunct/>
        <w:topLinePunct w:val="0"/>
        <w:bidi w:val="0"/>
        <w:spacing w:line="360" w:lineRule="auto"/>
        <w:rPr>
          <w:rFonts w:ascii="宋体" w:hAnsi="宋体"/>
          <w:color w:val="auto"/>
          <w:szCs w:val="21"/>
          <w:highlight w:val="none"/>
        </w:rPr>
      </w:pPr>
      <w:r>
        <w:rPr>
          <w:rFonts w:hint="eastAsia" w:ascii="宋体" w:hAnsi="宋体"/>
          <w:b/>
          <w:color w:val="auto"/>
          <w:sz w:val="32"/>
          <w:szCs w:val="32"/>
          <w:highlight w:val="none"/>
        </w:rPr>
        <w:t>1.</w:t>
      </w:r>
      <w:r>
        <w:rPr>
          <w:rFonts w:hint="eastAsia" w:ascii="宋体" w:hAnsi="宋体"/>
          <w:b/>
          <w:color w:val="auto"/>
          <w:sz w:val="32"/>
          <w:szCs w:val="32"/>
          <w:highlight w:val="none"/>
          <w:lang w:val="en-US" w:eastAsia="zh-CN"/>
        </w:rPr>
        <w:t>投标人</w:t>
      </w:r>
      <w:r>
        <w:rPr>
          <w:rFonts w:hint="eastAsia" w:ascii="宋体" w:hAnsi="宋体"/>
          <w:b/>
          <w:color w:val="auto"/>
          <w:sz w:val="32"/>
          <w:szCs w:val="32"/>
          <w:highlight w:val="none"/>
        </w:rPr>
        <w:t>相应的法定代表人、负责人、自然人身份证正反两面复印件或扫描件（必须提供）</w:t>
      </w:r>
    </w:p>
    <w:p w14:paraId="51D3D46B">
      <w:pPr>
        <w:keepNext w:val="0"/>
        <w:keepLines w:val="0"/>
        <w:pageBreakBefore w:val="0"/>
        <w:tabs>
          <w:tab w:val="left" w:pos="1305"/>
        </w:tabs>
        <w:kinsoku/>
        <w:overflowPunct/>
        <w:topLinePunct w:val="0"/>
        <w:bidi w:val="0"/>
        <w:spacing w:line="360" w:lineRule="auto"/>
        <w:ind w:firstLine="643" w:firstLineChars="200"/>
        <w:rPr>
          <w:rFonts w:ascii="宋体" w:hAnsi="宋体"/>
          <w:b/>
          <w:color w:val="auto"/>
          <w:sz w:val="32"/>
          <w:szCs w:val="32"/>
          <w:highlight w:val="none"/>
        </w:rPr>
      </w:pPr>
    </w:p>
    <w:p w14:paraId="36914E29">
      <w:pPr>
        <w:keepNext w:val="0"/>
        <w:keepLines w:val="0"/>
        <w:pageBreakBefore w:val="0"/>
        <w:tabs>
          <w:tab w:val="left" w:pos="1305"/>
        </w:tabs>
        <w:kinsoku/>
        <w:overflowPunct/>
        <w:topLinePunct w:val="0"/>
        <w:bidi w:val="0"/>
        <w:spacing w:line="360" w:lineRule="auto"/>
        <w:ind w:firstLine="643" w:firstLineChars="200"/>
        <w:rPr>
          <w:rFonts w:ascii="宋体" w:hAnsi="宋体"/>
          <w:b/>
          <w:color w:val="auto"/>
          <w:sz w:val="32"/>
          <w:szCs w:val="32"/>
          <w:highlight w:val="none"/>
        </w:rPr>
      </w:pPr>
    </w:p>
    <w:p w14:paraId="5DDBB68C">
      <w:pPr>
        <w:keepNext w:val="0"/>
        <w:keepLines w:val="0"/>
        <w:pageBreakBefore w:val="0"/>
        <w:tabs>
          <w:tab w:val="left" w:pos="1305"/>
        </w:tabs>
        <w:kinsoku/>
        <w:overflowPunct/>
        <w:topLinePunct w:val="0"/>
        <w:bidi w:val="0"/>
        <w:spacing w:line="360" w:lineRule="auto"/>
        <w:rPr>
          <w:rFonts w:hint="eastAsia" w:ascii="宋体" w:hAnsi="宋体"/>
          <w:b/>
          <w:color w:val="auto"/>
          <w:sz w:val="32"/>
          <w:szCs w:val="32"/>
          <w:highlight w:val="none"/>
        </w:rPr>
      </w:pPr>
      <w:r>
        <w:rPr>
          <w:rFonts w:hint="eastAsia" w:ascii="宋体" w:hAnsi="宋体"/>
          <w:b/>
          <w:color w:val="auto"/>
          <w:sz w:val="32"/>
          <w:szCs w:val="32"/>
          <w:highlight w:val="none"/>
        </w:rPr>
        <w:t>2.</w:t>
      </w:r>
      <w:r>
        <w:rPr>
          <w:rFonts w:hint="eastAsia" w:ascii="宋体" w:hAnsi="宋体"/>
          <w:b/>
          <w:color w:val="auto"/>
          <w:sz w:val="32"/>
          <w:szCs w:val="32"/>
          <w:highlight w:val="none"/>
          <w:lang w:val="en-US" w:eastAsia="zh-CN"/>
        </w:rPr>
        <w:t>投标人</w:t>
      </w:r>
      <w:r>
        <w:rPr>
          <w:rFonts w:hint="eastAsia" w:ascii="宋体" w:hAnsi="宋体"/>
          <w:b/>
          <w:color w:val="auto"/>
          <w:sz w:val="32"/>
          <w:szCs w:val="32"/>
          <w:highlight w:val="none"/>
        </w:rPr>
        <w:t>的授权委托书原件、委托代理人身份证正反面复印件或扫描件以及由县级以上（含县级）社会养老保险经办机构出具的供应商为委托代理人交纳的响应文件递交截止时间前半年内任意1个月养老保险证明复印件或扫描件，除供应商为以下三种情形的：</w:t>
      </w:r>
    </w:p>
    <w:p w14:paraId="0027704B">
      <w:pPr>
        <w:keepNext w:val="0"/>
        <w:keepLines w:val="0"/>
        <w:pageBreakBefore w:val="0"/>
        <w:tabs>
          <w:tab w:val="left" w:pos="1305"/>
        </w:tabs>
        <w:kinsoku/>
        <w:overflowPunct/>
        <w:topLinePunct w:val="0"/>
        <w:bidi w:val="0"/>
        <w:spacing w:line="360" w:lineRule="auto"/>
        <w:rPr>
          <w:rFonts w:hint="eastAsia" w:ascii="宋体" w:hAnsi="宋体"/>
          <w:b/>
          <w:color w:val="auto"/>
          <w:sz w:val="24"/>
          <w:szCs w:val="24"/>
          <w:highlight w:val="none"/>
        </w:rPr>
      </w:pPr>
      <w:r>
        <w:rPr>
          <w:rFonts w:hint="eastAsia" w:ascii="宋体" w:hAnsi="宋体"/>
          <w:b/>
          <w:color w:val="auto"/>
          <w:sz w:val="24"/>
          <w:szCs w:val="24"/>
          <w:highlight w:val="none"/>
        </w:rPr>
        <w:t>①如</w:t>
      </w:r>
      <w:r>
        <w:rPr>
          <w:rFonts w:hint="eastAsia" w:ascii="宋体" w:hAnsi="宋体"/>
          <w:b/>
          <w:color w:val="auto"/>
          <w:sz w:val="24"/>
          <w:szCs w:val="24"/>
          <w:highlight w:val="none"/>
          <w:lang w:val="en-US" w:eastAsia="zh-CN"/>
        </w:rPr>
        <w:t>投标人</w:t>
      </w:r>
      <w:r>
        <w:rPr>
          <w:rFonts w:hint="eastAsia" w:ascii="宋体" w:hAnsi="宋体"/>
          <w:b/>
          <w:color w:val="auto"/>
          <w:sz w:val="24"/>
          <w:szCs w:val="24"/>
          <w:highlight w:val="none"/>
        </w:rPr>
        <w:t>为截标时间前60日以内成立的公司，可以提供供应商与委托代理人签订的劳动合同复印件或扫描件代替养老保险证明复印件或扫描件；</w:t>
      </w:r>
    </w:p>
    <w:p w14:paraId="31BDF361">
      <w:pPr>
        <w:keepNext w:val="0"/>
        <w:keepLines w:val="0"/>
        <w:pageBreakBefore w:val="0"/>
        <w:tabs>
          <w:tab w:val="left" w:pos="1305"/>
        </w:tabs>
        <w:kinsoku/>
        <w:overflowPunct/>
        <w:topLinePunct w:val="0"/>
        <w:bidi w:val="0"/>
        <w:spacing w:line="360" w:lineRule="auto"/>
        <w:rPr>
          <w:rFonts w:hint="eastAsia" w:ascii="宋体" w:hAnsi="宋体"/>
          <w:b/>
          <w:color w:val="auto"/>
          <w:sz w:val="24"/>
          <w:szCs w:val="24"/>
          <w:highlight w:val="none"/>
        </w:rPr>
      </w:pPr>
      <w:r>
        <w:rPr>
          <w:rFonts w:hint="eastAsia" w:ascii="宋体" w:hAnsi="宋体"/>
          <w:b/>
          <w:color w:val="auto"/>
          <w:sz w:val="24"/>
          <w:szCs w:val="24"/>
          <w:highlight w:val="none"/>
        </w:rPr>
        <w:t>②如</w:t>
      </w:r>
      <w:r>
        <w:rPr>
          <w:rFonts w:hint="eastAsia" w:ascii="宋体" w:hAnsi="宋体"/>
          <w:b/>
          <w:color w:val="auto"/>
          <w:sz w:val="24"/>
          <w:szCs w:val="24"/>
          <w:highlight w:val="none"/>
          <w:lang w:val="en-US" w:eastAsia="zh-CN"/>
        </w:rPr>
        <w:t>投标人</w:t>
      </w:r>
      <w:r>
        <w:rPr>
          <w:rFonts w:hint="eastAsia" w:ascii="宋体" w:hAnsi="宋体"/>
          <w:b/>
          <w:color w:val="auto"/>
          <w:sz w:val="24"/>
          <w:szCs w:val="24"/>
          <w:highlight w:val="none"/>
        </w:rPr>
        <w:t>为事业单位，可以提供事业单位机构编制管理证复印件或扫描件或事业单位机构为其发放工资的工资条复印件或扫描件代替养老保险证明复印件或扫描件；</w:t>
      </w:r>
    </w:p>
    <w:p w14:paraId="22CAE751">
      <w:pPr>
        <w:keepNext w:val="0"/>
        <w:keepLines w:val="0"/>
        <w:pageBreakBefore w:val="0"/>
        <w:tabs>
          <w:tab w:val="left" w:pos="1305"/>
        </w:tabs>
        <w:kinsoku/>
        <w:overflowPunct/>
        <w:topLinePunct w:val="0"/>
        <w:bidi w:val="0"/>
        <w:spacing w:line="360" w:lineRule="auto"/>
        <w:rPr>
          <w:rFonts w:hint="eastAsia" w:ascii="宋体" w:hAnsi="宋体"/>
          <w:b/>
          <w:color w:val="auto"/>
          <w:sz w:val="24"/>
          <w:szCs w:val="24"/>
          <w:highlight w:val="none"/>
        </w:rPr>
      </w:pPr>
      <w:r>
        <w:rPr>
          <w:rFonts w:hint="eastAsia" w:ascii="宋体" w:hAnsi="宋体"/>
          <w:b/>
          <w:color w:val="auto"/>
          <w:sz w:val="24"/>
          <w:szCs w:val="24"/>
          <w:highlight w:val="none"/>
        </w:rPr>
        <w:t>③如委托代理人为免缴纳养老保险人员，提供免缴纳养老保险的证明材料复印件或扫描件及供应商与委托代理人签订的劳动合同复印件或扫描件代替养老保险证明复印件或扫描件。</w:t>
      </w:r>
    </w:p>
    <w:p w14:paraId="7DABE3B2">
      <w:pPr>
        <w:keepNext w:val="0"/>
        <w:keepLines w:val="0"/>
        <w:pageBreakBefore w:val="0"/>
        <w:tabs>
          <w:tab w:val="left" w:pos="1305"/>
        </w:tabs>
        <w:kinsoku/>
        <w:overflowPunct/>
        <w:topLinePunct w:val="0"/>
        <w:bidi w:val="0"/>
        <w:spacing w:line="360" w:lineRule="auto"/>
        <w:rPr>
          <w:rFonts w:ascii="宋体" w:hAnsi="宋体"/>
          <w:b/>
          <w:color w:val="auto"/>
          <w:sz w:val="32"/>
          <w:szCs w:val="32"/>
          <w:highlight w:val="none"/>
        </w:rPr>
      </w:pPr>
      <w:r>
        <w:rPr>
          <w:rFonts w:hint="eastAsia" w:ascii="宋体" w:hAnsi="宋体"/>
          <w:b/>
          <w:color w:val="auto"/>
          <w:sz w:val="24"/>
          <w:szCs w:val="24"/>
          <w:highlight w:val="none"/>
        </w:rPr>
        <w:t>【属自然人的应提供由县级以上（含县级）社会养老保险经办机构出具的自然人本人及委托代理人所交纳的响应文件递交截止时间前半年内任意1个月养老保险证明复印件或扫描件】</w:t>
      </w:r>
      <w:r>
        <w:rPr>
          <w:rFonts w:hint="eastAsia" w:ascii="宋体" w:hAnsi="宋体"/>
          <w:b/>
          <w:color w:val="auto"/>
          <w:sz w:val="32"/>
          <w:szCs w:val="32"/>
          <w:highlight w:val="none"/>
        </w:rPr>
        <w:t>（委托代理时必须提供）</w:t>
      </w:r>
    </w:p>
    <w:p w14:paraId="178D2EA5">
      <w:pPr>
        <w:keepNext w:val="0"/>
        <w:keepLines w:val="0"/>
        <w:pageBreakBefore w:val="0"/>
        <w:tabs>
          <w:tab w:val="left" w:pos="1305"/>
        </w:tabs>
        <w:kinsoku/>
        <w:overflowPunct/>
        <w:topLinePunct w:val="0"/>
        <w:bidi w:val="0"/>
        <w:spacing w:line="360" w:lineRule="auto"/>
        <w:rPr>
          <w:b/>
          <w:color w:val="auto"/>
          <w:sz w:val="30"/>
          <w:szCs w:val="30"/>
          <w:highlight w:val="none"/>
        </w:rPr>
      </w:pPr>
    </w:p>
    <w:p w14:paraId="1B828647">
      <w:pPr>
        <w:keepNext w:val="0"/>
        <w:keepLines w:val="0"/>
        <w:pageBreakBefore w:val="0"/>
        <w:tabs>
          <w:tab w:val="left" w:pos="1305"/>
        </w:tabs>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4D1B4A32">
      <w:pPr>
        <w:pStyle w:val="26"/>
        <w:keepNext w:val="0"/>
        <w:keepLines w:val="0"/>
        <w:pageBreakBefore w:val="0"/>
        <w:kinsoku/>
        <w:overflowPunct/>
        <w:topLinePunct w:val="0"/>
        <w:bidi w:val="0"/>
        <w:spacing w:line="360" w:lineRule="auto"/>
        <w:jc w:val="center"/>
        <w:rPr>
          <w:rFonts w:hAnsi="宋体"/>
          <w:b/>
          <w:color w:val="auto"/>
          <w:sz w:val="32"/>
          <w:highlight w:val="none"/>
        </w:rPr>
      </w:pPr>
      <w:r>
        <w:rPr>
          <w:rFonts w:hint="eastAsia" w:hAnsi="宋体"/>
          <w:b/>
          <w:color w:val="auto"/>
          <w:sz w:val="32"/>
          <w:highlight w:val="none"/>
        </w:rPr>
        <w:t xml:space="preserve">  授权委托书（格式一）</w:t>
      </w:r>
    </w:p>
    <w:p w14:paraId="03FEB277">
      <w:pPr>
        <w:keepNext w:val="0"/>
        <w:keepLines w:val="0"/>
        <w:pageBreakBefore w:val="0"/>
        <w:kinsoku/>
        <w:overflowPunct/>
        <w:topLinePunct w:val="0"/>
        <w:bidi w:val="0"/>
        <w:snapToGrid w:val="0"/>
        <w:spacing w:line="360" w:lineRule="auto"/>
        <w:outlineLvl w:val="4"/>
        <w:rPr>
          <w:rFonts w:hint="eastAsia" w:ascii="宋体" w:hAnsi="宋体" w:eastAsia="宋体"/>
          <w:color w:val="auto"/>
          <w:highlight w:val="none"/>
          <w:lang w:eastAsia="zh-CN"/>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lang w:eastAsia="zh-CN"/>
        </w:rPr>
        <w:t>广西昶吉工程项目管理有限公司</w:t>
      </w:r>
    </w:p>
    <w:p w14:paraId="47B5C5D1">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06C0C87B">
      <w:pPr>
        <w:pStyle w:val="26"/>
        <w:keepNext w:val="0"/>
        <w:keepLines w:val="0"/>
        <w:pageBreakBefore w:val="0"/>
        <w:kinsoku/>
        <w:overflowPunct/>
        <w:topLinePunct w:val="0"/>
        <w:bidi w:val="0"/>
        <w:spacing w:line="360" w:lineRule="auto"/>
        <w:ind w:firstLine="525" w:firstLineChars="25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w:t>
      </w:r>
      <w:r>
        <w:rPr>
          <w:rFonts w:hint="eastAsia" w:hAnsi="宋体"/>
          <w:color w:val="auto"/>
          <w:kern w:val="0"/>
          <w:highlight w:val="none"/>
          <w:u w:val="single"/>
        </w:rPr>
        <w:t xml:space="preserve">                              </w:t>
      </w:r>
      <w:r>
        <w:rPr>
          <w:rFonts w:hint="eastAsia" w:hAnsi="宋体"/>
          <w:color w:val="auto"/>
          <w:kern w:val="0"/>
          <w:highlight w:val="none"/>
        </w:rPr>
        <w:t>（投标人名称）的法定代表人，现授权委托本单位在职职工</w:t>
      </w:r>
      <w:r>
        <w:rPr>
          <w:rFonts w:hint="eastAsia" w:hAnsi="宋体"/>
          <w:color w:val="auto"/>
          <w:kern w:val="0"/>
          <w:highlight w:val="none"/>
          <w:u w:val="single"/>
        </w:rPr>
        <w:t xml:space="preserve">            </w:t>
      </w:r>
      <w:r>
        <w:rPr>
          <w:rFonts w:hint="eastAsia" w:hAnsi="宋体"/>
          <w:color w:val="auto"/>
          <w:kern w:val="0"/>
          <w:highlight w:val="none"/>
        </w:rPr>
        <w:t>（姓名）以我公司名义参加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739114FC">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我方对被授权人的签字事项负全部责任。</w:t>
      </w:r>
    </w:p>
    <w:p w14:paraId="633EF140">
      <w:pPr>
        <w:pStyle w:val="26"/>
        <w:keepNext w:val="0"/>
        <w:keepLines w:val="0"/>
        <w:pageBreakBefore w:val="0"/>
        <w:kinsoku/>
        <w:overflowPunct/>
        <w:topLinePunct w:val="0"/>
        <w:bidi w:val="0"/>
        <w:spacing w:line="360" w:lineRule="auto"/>
        <w:ind w:firstLine="420" w:firstLineChars="200"/>
        <w:rPr>
          <w:rFonts w:hAnsi="宋体"/>
          <w:color w:val="auto"/>
          <w:highlight w:val="none"/>
          <w:u w:val="single"/>
        </w:rPr>
      </w:pPr>
      <w:r>
        <w:rPr>
          <w:rFonts w:hint="eastAsia" w:hAnsi="宋体"/>
          <w:color w:val="auto"/>
          <w:highlight w:val="none"/>
        </w:rPr>
        <w:t xml:space="preserve">授权委托代理期限：自即日起至该项目政府采购活动结束止。                                                                                         </w:t>
      </w:r>
    </w:p>
    <w:p w14:paraId="36D337C0">
      <w:pPr>
        <w:keepNext w:val="0"/>
        <w:keepLines w:val="0"/>
        <w:pageBreakBefore w:val="0"/>
        <w:kinsoku/>
        <w:overflowPunct/>
        <w:topLinePunct w:val="0"/>
        <w:bidi w:val="0"/>
        <w:spacing w:line="360" w:lineRule="auto"/>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2446F474">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3EDB750B">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ABF66DA">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306973BB">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4A864E5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1C259C46">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449B4C5">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035D280F">
      <w:pPr>
        <w:keepNext w:val="0"/>
        <w:keepLines w:val="0"/>
        <w:pageBreakBefore w:val="0"/>
        <w:tabs>
          <w:tab w:val="left" w:pos="1305"/>
        </w:tabs>
        <w:kinsoku/>
        <w:overflowPunct/>
        <w:topLinePunct w:val="0"/>
        <w:bidi w:val="0"/>
        <w:spacing w:line="360" w:lineRule="auto"/>
        <w:rPr>
          <w:rFonts w:hAnsi="宋体"/>
          <w:b/>
          <w:color w:val="auto"/>
          <w:sz w:val="24"/>
          <w:highlight w:val="none"/>
        </w:rPr>
      </w:pPr>
      <w:r>
        <w:rPr>
          <w:rFonts w:hint="eastAsia" w:hAnsi="宋体"/>
          <w:b/>
          <w:color w:val="auto"/>
          <w:sz w:val="24"/>
          <w:highlight w:val="none"/>
        </w:rPr>
        <w:t>附：委托代理人身份证正反面复印件（委托代理时必须提供）。</w:t>
      </w:r>
    </w:p>
    <w:p w14:paraId="5CF223DD">
      <w:pPr>
        <w:pStyle w:val="26"/>
        <w:keepNext w:val="0"/>
        <w:keepLines w:val="0"/>
        <w:pageBreakBefore w:val="0"/>
        <w:kinsoku/>
        <w:overflowPunct/>
        <w:topLinePunct w:val="0"/>
        <w:bidi w:val="0"/>
        <w:spacing w:line="360" w:lineRule="auto"/>
        <w:jc w:val="center"/>
        <w:rPr>
          <w:rFonts w:hAnsi="宋体"/>
          <w:b/>
          <w:color w:val="auto"/>
          <w:sz w:val="32"/>
          <w:highlight w:val="none"/>
        </w:rPr>
      </w:pPr>
      <w:r>
        <w:rPr>
          <w:rFonts w:hint="eastAsia" w:hAnsi="宋体"/>
          <w:b/>
          <w:color w:val="auto"/>
          <w:sz w:val="32"/>
          <w:highlight w:val="none"/>
        </w:rPr>
        <w:t>授权委托书（格式二）</w:t>
      </w:r>
    </w:p>
    <w:p w14:paraId="31ED24EE">
      <w:pPr>
        <w:keepNext w:val="0"/>
        <w:keepLines w:val="0"/>
        <w:pageBreakBefore w:val="0"/>
        <w:kinsoku/>
        <w:overflowPunct/>
        <w:topLinePunct w:val="0"/>
        <w:bidi w:val="0"/>
        <w:snapToGrid w:val="0"/>
        <w:spacing w:line="360" w:lineRule="auto"/>
        <w:outlineLvl w:val="4"/>
        <w:rPr>
          <w:rFonts w:hint="eastAsia" w:ascii="宋体" w:hAnsi="宋体" w:eastAsia="宋体"/>
          <w:color w:val="auto"/>
          <w:highlight w:val="none"/>
          <w:lang w:eastAsia="zh-CN"/>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lang w:eastAsia="zh-CN"/>
        </w:rPr>
        <w:t>广西昶吉工程项目管理有限公司</w:t>
      </w:r>
    </w:p>
    <w:p w14:paraId="5B762D33">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0C59DDFD">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（姓名）系自然人，现授权委托</w:t>
      </w:r>
      <w:r>
        <w:rPr>
          <w:rFonts w:hint="eastAsia" w:hAnsi="宋体"/>
          <w:color w:val="auto"/>
          <w:kern w:val="0"/>
          <w:highlight w:val="none"/>
          <w:u w:val="single"/>
        </w:rPr>
        <w:t xml:space="preserve">            </w:t>
      </w:r>
      <w:r>
        <w:rPr>
          <w:rFonts w:hint="eastAsia" w:hAnsi="宋体"/>
          <w:color w:val="auto"/>
          <w:kern w:val="0"/>
          <w:highlight w:val="none"/>
        </w:rPr>
        <w:t>（姓 名）以本人名义参加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4AA4B6D5">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本人对被授权人的签字事项负全部责任。</w:t>
      </w:r>
    </w:p>
    <w:p w14:paraId="081EE4A6">
      <w:pPr>
        <w:pStyle w:val="26"/>
        <w:keepNext w:val="0"/>
        <w:keepLines w:val="0"/>
        <w:pageBreakBefore w:val="0"/>
        <w:kinsoku/>
        <w:overflowPunct/>
        <w:topLinePunct w:val="0"/>
        <w:bidi w:val="0"/>
        <w:spacing w:line="360" w:lineRule="auto"/>
        <w:ind w:firstLine="420" w:firstLineChars="200"/>
        <w:rPr>
          <w:rFonts w:hAnsi="宋体"/>
          <w:color w:val="auto"/>
          <w:highlight w:val="none"/>
          <w:u w:val="single"/>
        </w:rPr>
      </w:pPr>
      <w:r>
        <w:rPr>
          <w:rFonts w:hint="eastAsia" w:hAnsi="宋体"/>
          <w:color w:val="auto"/>
          <w:highlight w:val="none"/>
        </w:rPr>
        <w:t>授权委托代理期限：自即日起至该项目政府采购活动结束止。</w:t>
      </w:r>
    </w:p>
    <w:p w14:paraId="2DD188EF">
      <w:pPr>
        <w:pStyle w:val="26"/>
        <w:keepNext w:val="0"/>
        <w:keepLines w:val="0"/>
        <w:pageBreakBefore w:val="0"/>
        <w:kinsoku/>
        <w:overflowPunct/>
        <w:topLinePunct w:val="0"/>
        <w:bidi w:val="0"/>
        <w:spacing w:line="360" w:lineRule="auto"/>
        <w:ind w:firstLine="420" w:firstLineChars="200"/>
        <w:rPr>
          <w:rFonts w:hAnsi="宋体"/>
          <w:color w:val="auto"/>
          <w:highlight w:val="none"/>
          <w:u w:val="single"/>
        </w:rPr>
      </w:pPr>
    </w:p>
    <w:p w14:paraId="3697162D">
      <w:pPr>
        <w:pStyle w:val="26"/>
        <w:keepNext w:val="0"/>
        <w:keepLines w:val="0"/>
        <w:pageBreakBefore w:val="0"/>
        <w:kinsoku/>
        <w:overflowPunct/>
        <w:topLinePunct w:val="0"/>
        <w:bidi w:val="0"/>
        <w:spacing w:line="360" w:lineRule="auto"/>
        <w:rPr>
          <w:rFonts w:hAnsi="宋体"/>
          <w:color w:val="auto"/>
          <w:highlight w:val="none"/>
          <w:u w:val="single"/>
        </w:rPr>
      </w:pPr>
      <w:r>
        <w:rPr>
          <w:rFonts w:hint="eastAsia" w:hAnsi="宋体"/>
          <w:color w:val="auto"/>
          <w:highlight w:val="none"/>
        </w:rPr>
        <w:t xml:space="preserve">                                                                                             </w:t>
      </w:r>
    </w:p>
    <w:p w14:paraId="21C49BF2">
      <w:pPr>
        <w:keepNext w:val="0"/>
        <w:keepLines w:val="0"/>
        <w:pageBreakBefore w:val="0"/>
        <w:kinsoku/>
        <w:overflowPunct/>
        <w:topLinePunct w:val="0"/>
        <w:bidi w:val="0"/>
        <w:spacing w:line="360" w:lineRule="auto"/>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752D819">
      <w:pPr>
        <w:keepNext w:val="0"/>
        <w:keepLines w:val="0"/>
        <w:pageBreakBefore w:val="0"/>
        <w:kinsoku/>
        <w:overflowPunct/>
        <w:topLinePunct w:val="0"/>
        <w:bidi w:val="0"/>
        <w:snapToGrid w:val="0"/>
        <w:spacing w:line="360" w:lineRule="auto"/>
        <w:ind w:firstLine="525"/>
        <w:outlineLvl w:val="4"/>
        <w:rPr>
          <w:rFonts w:ascii="宋体" w:hAnsi="宋体"/>
          <w:color w:val="auto"/>
          <w:szCs w:val="21"/>
          <w:highlight w:val="none"/>
        </w:rPr>
      </w:pPr>
    </w:p>
    <w:p w14:paraId="4B5B3717">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2295DF3B">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74682313">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自然人签字（或者电子签名）：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09C44E1">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69101251">
      <w:pPr>
        <w:pStyle w:val="26"/>
        <w:keepNext w:val="0"/>
        <w:keepLines w:val="0"/>
        <w:pageBreakBefore w:val="0"/>
        <w:kinsoku/>
        <w:overflowPunct/>
        <w:topLinePunct w:val="0"/>
        <w:bidi w:val="0"/>
        <w:spacing w:line="360" w:lineRule="auto"/>
        <w:ind w:firstLine="602" w:firstLineChars="250"/>
        <w:rPr>
          <w:rFonts w:hAnsi="宋体"/>
          <w:b/>
          <w:color w:val="auto"/>
          <w:sz w:val="24"/>
          <w:szCs w:val="24"/>
          <w:highlight w:val="none"/>
        </w:rPr>
      </w:pPr>
      <w:r>
        <w:rPr>
          <w:rFonts w:hint="eastAsia" w:hAnsi="宋体"/>
          <w:b/>
          <w:color w:val="auto"/>
          <w:sz w:val="24"/>
          <w:szCs w:val="24"/>
          <w:highlight w:val="none"/>
        </w:rPr>
        <w:t>附：委托代理人身份证正反面复印件（委托代理时必须提供）。</w:t>
      </w:r>
    </w:p>
    <w:p w14:paraId="732DF587">
      <w:pPr>
        <w:pStyle w:val="26"/>
        <w:keepNext w:val="0"/>
        <w:keepLines w:val="0"/>
        <w:pageBreakBefore w:val="0"/>
        <w:kinsoku/>
        <w:overflowPunct/>
        <w:topLinePunct w:val="0"/>
        <w:bidi w:val="0"/>
        <w:spacing w:line="360" w:lineRule="auto"/>
        <w:ind w:left="420" w:leftChars="200" w:firstLine="157" w:firstLineChars="49"/>
        <w:rPr>
          <w:rFonts w:hAnsi="宋体"/>
          <w:b/>
          <w:color w:val="auto"/>
          <w:sz w:val="32"/>
          <w:szCs w:val="32"/>
          <w:highlight w:val="none"/>
        </w:rPr>
      </w:pPr>
    </w:p>
    <w:p w14:paraId="3622F6B0">
      <w:pPr>
        <w:pStyle w:val="26"/>
        <w:keepNext w:val="0"/>
        <w:keepLines w:val="0"/>
        <w:pageBreakBefore w:val="0"/>
        <w:kinsoku/>
        <w:overflowPunct/>
        <w:topLinePunct w:val="0"/>
        <w:bidi w:val="0"/>
        <w:spacing w:line="360" w:lineRule="auto"/>
        <w:ind w:left="420" w:leftChars="200" w:firstLine="157" w:firstLineChars="49"/>
        <w:rPr>
          <w:rFonts w:hAnsi="宋体"/>
          <w:b/>
          <w:color w:val="auto"/>
          <w:sz w:val="32"/>
          <w:szCs w:val="32"/>
          <w:highlight w:val="none"/>
        </w:rPr>
      </w:pPr>
    </w:p>
    <w:p w14:paraId="1F357B82">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3.</w:t>
      </w:r>
      <w:r>
        <w:rPr>
          <w:rFonts w:hint="eastAsia" w:hAnsi="宋体"/>
          <w:b/>
          <w:color w:val="auto"/>
          <w:sz w:val="32"/>
          <w:szCs w:val="32"/>
          <w:highlight w:val="none"/>
          <w:lang w:val="en-US" w:eastAsia="zh-CN"/>
        </w:rPr>
        <w:t>投标人</w:t>
      </w:r>
      <w:r>
        <w:rPr>
          <w:rFonts w:hint="eastAsia" w:hAnsi="宋体"/>
          <w:b/>
          <w:color w:val="auto"/>
          <w:sz w:val="32"/>
          <w:szCs w:val="32"/>
          <w:highlight w:val="none"/>
        </w:rPr>
        <w:t>参加政府采购活动前3年内在经营活动中没有重大违法记录及有关信用信息的书面声明（必须提供）</w:t>
      </w:r>
    </w:p>
    <w:p w14:paraId="003DC164">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72DA0DD5">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r>
        <w:rPr>
          <w:rFonts w:hint="eastAsia" w:hAnsi="宋体"/>
          <w:b/>
          <w:color w:val="auto"/>
          <w:sz w:val="32"/>
          <w:szCs w:val="32"/>
          <w:highlight w:val="none"/>
        </w:rPr>
        <w:t>声   明（格式）</w:t>
      </w:r>
    </w:p>
    <w:p w14:paraId="54D03137">
      <w:pPr>
        <w:keepNext w:val="0"/>
        <w:keepLines w:val="0"/>
        <w:pageBreakBefore w:val="0"/>
        <w:kinsoku/>
        <w:overflowPunct/>
        <w:topLinePunct w:val="0"/>
        <w:bidi w:val="0"/>
        <w:snapToGrid w:val="0"/>
        <w:spacing w:line="360" w:lineRule="auto"/>
        <w:outlineLvl w:val="4"/>
        <w:rPr>
          <w:rFonts w:hint="eastAsia" w:ascii="宋体" w:hAnsi="宋体" w:eastAsia="宋体"/>
          <w:color w:val="auto"/>
          <w:highlight w:val="none"/>
          <w:lang w:eastAsia="zh-CN"/>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lang w:eastAsia="zh-CN"/>
        </w:rPr>
        <w:t>广西昶吉工程项目管理有限公司</w:t>
      </w:r>
    </w:p>
    <w:p w14:paraId="15B4B1FA">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07A8A734">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highlight w:val="none"/>
        </w:rPr>
        <w:t>重大税收违法失信主体</w:t>
      </w:r>
      <w:r>
        <w:rPr>
          <w:rFonts w:hint="eastAsia" w:hAnsi="宋体"/>
          <w:color w:val="auto"/>
          <w:highlight w:val="none"/>
        </w:rPr>
        <w:t>、政府采购严重违法失信行为记录名单，完全符合《中华人民共和国政府采购法》第二十二条规定的供应商资格条件，我方对此声明负全部法律责任。</w:t>
      </w:r>
    </w:p>
    <w:p w14:paraId="70C7A24E">
      <w:pPr>
        <w:keepNext w:val="0"/>
        <w:keepLines w:val="0"/>
        <w:pageBreakBefore w:val="0"/>
        <w:kinsoku/>
        <w:overflowPunct/>
        <w:topLinePunct w:val="0"/>
        <w:bidi w:val="0"/>
        <w:snapToGrid w:val="0"/>
        <w:spacing w:line="360" w:lineRule="auto"/>
        <w:ind w:firstLine="4515" w:firstLineChars="2150"/>
        <w:outlineLvl w:val="4"/>
        <w:rPr>
          <w:rFonts w:ascii="宋体" w:hAnsi="宋体"/>
          <w:color w:val="auto"/>
          <w:szCs w:val="21"/>
          <w:highlight w:val="none"/>
        </w:rPr>
      </w:pPr>
    </w:p>
    <w:p w14:paraId="3611A228">
      <w:pPr>
        <w:keepNext w:val="0"/>
        <w:keepLines w:val="0"/>
        <w:pageBreakBefore w:val="0"/>
        <w:kinsoku/>
        <w:overflowPunct/>
        <w:topLinePunct w:val="0"/>
        <w:bidi w:val="0"/>
        <w:snapToGrid w:val="0"/>
        <w:spacing w:line="360" w:lineRule="auto"/>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200631C">
      <w:pPr>
        <w:pStyle w:val="26"/>
        <w:keepNext w:val="0"/>
        <w:keepLines w:val="0"/>
        <w:pageBreakBefore w:val="0"/>
        <w:kinsoku/>
        <w:overflowPunct/>
        <w:topLinePunct w:val="0"/>
        <w:bidi w:val="0"/>
        <w:spacing w:line="360" w:lineRule="auto"/>
        <w:ind w:firstLine="1890" w:firstLineChars="900"/>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r>
        <w:rPr>
          <w:rFonts w:hint="eastAsia" w:hAnsi="宋体"/>
          <w:color w:val="auto"/>
          <w:szCs w:val="21"/>
          <w:highlight w:val="none"/>
          <w:u w:val="single"/>
        </w:rPr>
        <w:t xml:space="preserve">                              </w:t>
      </w:r>
    </w:p>
    <w:p w14:paraId="478E6573">
      <w:pPr>
        <w:keepNext w:val="0"/>
        <w:keepLines w:val="0"/>
        <w:pageBreakBefore w:val="0"/>
        <w:kinsoku/>
        <w:overflowPunct/>
        <w:topLinePunct w:val="0"/>
        <w:bidi w:val="0"/>
        <w:spacing w:line="360" w:lineRule="auto"/>
        <w:ind w:firstLine="1890" w:firstLineChars="9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0C0B983">
      <w:pPr>
        <w:pStyle w:val="26"/>
        <w:keepNext w:val="0"/>
        <w:keepLines w:val="0"/>
        <w:pageBreakBefore w:val="0"/>
        <w:kinsoku/>
        <w:overflowPunct/>
        <w:topLinePunct w:val="0"/>
        <w:bidi w:val="0"/>
        <w:spacing w:line="360" w:lineRule="auto"/>
        <w:rPr>
          <w:rFonts w:hint="eastAsia" w:hAnsi="宋体"/>
          <w:b/>
          <w:color w:val="auto"/>
          <w:sz w:val="32"/>
          <w:szCs w:val="32"/>
          <w:highlight w:val="none"/>
          <w:lang w:val="en-US" w:eastAsia="zh-CN"/>
        </w:rPr>
      </w:pPr>
    </w:p>
    <w:p w14:paraId="65558F06">
      <w:pPr>
        <w:pStyle w:val="26"/>
        <w:keepNext w:val="0"/>
        <w:keepLines w:val="0"/>
        <w:pageBreakBefore w:val="0"/>
        <w:kinsoku/>
        <w:overflowPunct/>
        <w:topLinePunct w:val="0"/>
        <w:bidi w:val="0"/>
        <w:spacing w:line="360" w:lineRule="auto"/>
        <w:rPr>
          <w:rFonts w:hint="eastAsia" w:hAnsi="宋体"/>
          <w:b/>
          <w:color w:val="auto"/>
          <w:sz w:val="32"/>
          <w:szCs w:val="32"/>
          <w:highlight w:val="none"/>
          <w:lang w:val="en-US" w:eastAsia="zh-CN"/>
        </w:rPr>
      </w:pPr>
    </w:p>
    <w:p w14:paraId="57B6CEB0">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4.投标人的法人或者其他组织营业执照等证明文件复印件或扫描件</w:t>
      </w:r>
      <w:r>
        <w:rPr>
          <w:rFonts w:hint="eastAsia" w:hAnsi="宋体"/>
          <w:b/>
          <w:color w:val="auto"/>
          <w:sz w:val="32"/>
          <w:szCs w:val="32"/>
          <w:highlight w:val="none"/>
        </w:rPr>
        <w:t>（必须提供，自然人除外）</w:t>
      </w:r>
    </w:p>
    <w:p w14:paraId="05F28582">
      <w:pPr>
        <w:keepNext w:val="0"/>
        <w:keepLines w:val="0"/>
        <w:pageBreakBefore w:val="0"/>
        <w:tabs>
          <w:tab w:val="left" w:pos="1305"/>
        </w:tabs>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b/>
          <w:color w:val="auto"/>
          <w:szCs w:val="21"/>
          <w:highlight w:val="none"/>
          <w:lang w:val="en-US" w:eastAsia="zh-CN"/>
        </w:rPr>
        <w:t>投标人</w:t>
      </w:r>
      <w:r>
        <w:rPr>
          <w:rFonts w:hint="eastAsia" w:ascii="宋体" w:hAnsi="宋体"/>
          <w:b/>
          <w:color w:val="auto"/>
          <w:szCs w:val="21"/>
          <w:highlight w:val="none"/>
        </w:rPr>
        <w:t>为事业单位，应提供有效的“事业单位法人证书”；</w:t>
      </w:r>
      <w:r>
        <w:rPr>
          <w:rFonts w:hint="eastAsia" w:ascii="宋体" w:hAnsi="宋体"/>
          <w:b/>
          <w:color w:val="auto"/>
          <w:szCs w:val="21"/>
          <w:highlight w:val="none"/>
          <w:lang w:val="en-US" w:eastAsia="zh-CN"/>
        </w:rPr>
        <w:t>投标人</w:t>
      </w:r>
      <w:r>
        <w:rPr>
          <w:rFonts w:hint="eastAsia" w:ascii="宋体" w:hAnsi="宋体"/>
          <w:b/>
          <w:color w:val="auto"/>
          <w:szCs w:val="21"/>
          <w:highlight w:val="none"/>
        </w:rPr>
        <w:t>为非企业专业服务机构的，应提供执业许可证等证明文件；</w:t>
      </w:r>
      <w:r>
        <w:rPr>
          <w:rFonts w:hint="eastAsia" w:ascii="宋体" w:hAnsi="宋体"/>
          <w:b/>
          <w:color w:val="auto"/>
          <w:szCs w:val="21"/>
          <w:highlight w:val="none"/>
          <w:lang w:val="en-US" w:eastAsia="zh-CN"/>
        </w:rPr>
        <w:t>投标人</w:t>
      </w:r>
      <w:r>
        <w:rPr>
          <w:rFonts w:hint="eastAsia" w:ascii="宋体" w:hAnsi="宋体"/>
          <w:b/>
          <w:color w:val="auto"/>
          <w:szCs w:val="21"/>
          <w:highlight w:val="none"/>
        </w:rPr>
        <w:t xml:space="preserve">为个体工商户，应提供有效的“个体工商户营业执照”。 </w:t>
      </w:r>
    </w:p>
    <w:p w14:paraId="6EAEA881">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19BDB121">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0C37D352">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6F0A4A40">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4FF46BD4">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5</w:t>
      </w:r>
      <w:r>
        <w:rPr>
          <w:rFonts w:hint="eastAsia" w:hAnsi="宋体"/>
          <w:b/>
          <w:color w:val="auto"/>
          <w:sz w:val="32"/>
          <w:szCs w:val="32"/>
          <w:highlight w:val="none"/>
        </w:rPr>
        <w:t>.</w:t>
      </w:r>
      <w:r>
        <w:rPr>
          <w:rFonts w:hint="eastAsia" w:hAnsi="宋体"/>
          <w:b/>
          <w:color w:val="auto"/>
          <w:sz w:val="32"/>
          <w:szCs w:val="32"/>
          <w:highlight w:val="none"/>
          <w:lang w:eastAsia="zh-CN"/>
        </w:rPr>
        <w:t>投标人2025</w:t>
      </w:r>
      <w:r>
        <w:rPr>
          <w:rFonts w:hint="eastAsia" w:hAnsi="宋体"/>
          <w:b/>
          <w:color w:val="auto"/>
          <w:sz w:val="32"/>
          <w:szCs w:val="32"/>
          <w:highlight w:val="none"/>
        </w:rPr>
        <w:t>年</w:t>
      </w:r>
      <w:r>
        <w:rPr>
          <w:rFonts w:hint="eastAsia" w:hAnsi="宋体"/>
          <w:b/>
          <w:color w:val="auto"/>
          <w:sz w:val="32"/>
          <w:szCs w:val="32"/>
          <w:highlight w:val="none"/>
          <w:lang w:val="en-US" w:eastAsia="zh-CN"/>
        </w:rPr>
        <w:t>5</w:t>
      </w:r>
      <w:r>
        <w:rPr>
          <w:rFonts w:hint="eastAsia" w:hAnsi="宋体"/>
          <w:b/>
          <w:color w:val="auto"/>
          <w:sz w:val="32"/>
          <w:szCs w:val="32"/>
          <w:highlight w:val="none"/>
        </w:rPr>
        <w:t>月至</w:t>
      </w:r>
      <w:r>
        <w:rPr>
          <w:rFonts w:hint="eastAsia" w:hAnsi="宋体"/>
          <w:b/>
          <w:color w:val="auto"/>
          <w:sz w:val="32"/>
          <w:szCs w:val="32"/>
          <w:highlight w:val="none"/>
          <w:lang w:eastAsia="zh-CN"/>
        </w:rPr>
        <w:t>2025</w:t>
      </w:r>
      <w:r>
        <w:rPr>
          <w:rFonts w:hint="eastAsia" w:hAnsi="宋体"/>
          <w:b/>
          <w:color w:val="auto"/>
          <w:sz w:val="32"/>
          <w:szCs w:val="32"/>
          <w:highlight w:val="none"/>
        </w:rPr>
        <w:t>年</w:t>
      </w:r>
      <w:r>
        <w:rPr>
          <w:rFonts w:hint="eastAsia" w:hAnsi="宋体"/>
          <w:b/>
          <w:color w:val="auto"/>
          <w:sz w:val="32"/>
          <w:szCs w:val="32"/>
          <w:highlight w:val="none"/>
          <w:lang w:val="en-US" w:eastAsia="zh-CN"/>
        </w:rPr>
        <w:t>10</w:t>
      </w:r>
      <w:r>
        <w:rPr>
          <w:rFonts w:hint="eastAsia" w:hAnsi="宋体"/>
          <w:b/>
          <w:color w:val="auto"/>
          <w:sz w:val="32"/>
          <w:szCs w:val="32"/>
          <w:highlight w:val="none"/>
        </w:rPr>
        <w:t>月任意一个月或任一季度依法缴纳税收的证明材料【增值税发票(税收完税证明)或企业所得税完税证明或税务部门出具的无欠税证明或免税证明】复印件或扫描件（必须提供）；</w:t>
      </w:r>
    </w:p>
    <w:p w14:paraId="7E8857DA">
      <w:pPr>
        <w:keepNext w:val="0"/>
        <w:keepLines w:val="0"/>
        <w:pageBreakBefore w:val="0"/>
        <w:kinsoku/>
        <w:overflowPunct/>
        <w:topLinePunct w:val="0"/>
        <w:bidi w:val="0"/>
        <w:spacing w:line="360" w:lineRule="auto"/>
        <w:rPr>
          <w:color w:val="auto"/>
          <w:highlight w:val="none"/>
        </w:rPr>
      </w:pPr>
    </w:p>
    <w:p w14:paraId="3031FB42">
      <w:pPr>
        <w:keepNext w:val="0"/>
        <w:keepLines w:val="0"/>
        <w:pageBreakBefore w:val="0"/>
        <w:kinsoku/>
        <w:overflowPunct/>
        <w:topLinePunct w:val="0"/>
        <w:bidi w:val="0"/>
        <w:spacing w:line="360" w:lineRule="auto"/>
        <w:rPr>
          <w:color w:val="auto"/>
          <w:highlight w:val="none"/>
        </w:rPr>
      </w:pPr>
    </w:p>
    <w:p w14:paraId="5D3ED8B3">
      <w:pPr>
        <w:keepNext w:val="0"/>
        <w:keepLines w:val="0"/>
        <w:pageBreakBefore w:val="0"/>
        <w:kinsoku/>
        <w:overflowPunct/>
        <w:topLinePunct w:val="0"/>
        <w:bidi w:val="0"/>
        <w:spacing w:line="360" w:lineRule="auto"/>
        <w:rPr>
          <w:color w:val="auto"/>
          <w:highlight w:val="none"/>
        </w:rPr>
      </w:pPr>
    </w:p>
    <w:p w14:paraId="76D5922C">
      <w:pPr>
        <w:pStyle w:val="14"/>
        <w:keepNext w:val="0"/>
        <w:keepLines w:val="0"/>
        <w:pageBreakBefore w:val="0"/>
        <w:kinsoku/>
        <w:overflowPunct/>
        <w:topLinePunct w:val="0"/>
        <w:bidi w:val="0"/>
        <w:spacing w:line="360" w:lineRule="auto"/>
        <w:ind w:left="0" w:leftChars="0" w:firstLine="0" w:firstLineChars="0"/>
        <w:rPr>
          <w:rFonts w:hint="eastAsia" w:hAnsi="宋体"/>
          <w:b/>
          <w:color w:val="auto"/>
          <w:sz w:val="32"/>
          <w:szCs w:val="32"/>
          <w:highlight w:val="none"/>
          <w:lang w:val="en-US" w:eastAsia="zh-CN"/>
        </w:rPr>
      </w:pPr>
      <w:r>
        <w:rPr>
          <w:rFonts w:hint="eastAsia" w:hAnsi="宋体"/>
          <w:b/>
          <w:color w:val="auto"/>
          <w:sz w:val="32"/>
          <w:szCs w:val="32"/>
          <w:highlight w:val="none"/>
          <w:lang w:val="en-US" w:eastAsia="zh-CN"/>
        </w:rPr>
        <w:t>6.投标人2024年度的财务状况报告（可以是投标人自行编制也可是通过第三方审计公司编制，如为自行编制至少须提供现金流量表、负债表及利润表）或 2025 年以来银行出具的资信证明或 2025 年以来中国人民银行征信中心出具的征信报告（必须提供）；</w:t>
      </w:r>
    </w:p>
    <w:p w14:paraId="3853B953">
      <w:pPr>
        <w:keepNext w:val="0"/>
        <w:keepLines w:val="0"/>
        <w:pageBreakBefore w:val="0"/>
        <w:kinsoku/>
        <w:overflowPunct/>
        <w:topLinePunct w:val="0"/>
        <w:bidi w:val="0"/>
        <w:spacing w:line="360" w:lineRule="auto"/>
        <w:rPr>
          <w:rFonts w:hint="eastAsia" w:hAnsi="宋体"/>
          <w:b/>
          <w:color w:val="auto"/>
          <w:sz w:val="32"/>
          <w:szCs w:val="32"/>
          <w:highlight w:val="none"/>
          <w:lang w:val="en-US" w:eastAsia="zh-CN"/>
        </w:rPr>
      </w:pPr>
    </w:p>
    <w:p w14:paraId="2BF86667">
      <w:pPr>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7.</w:t>
      </w:r>
      <w:r>
        <w:rPr>
          <w:rFonts w:hint="eastAsia" w:hAnsi="宋体"/>
          <w:b/>
          <w:color w:val="auto"/>
          <w:sz w:val="32"/>
          <w:szCs w:val="32"/>
          <w:highlight w:val="none"/>
        </w:rPr>
        <w:t>投标人参加本项目无围标串标行为的承诺函（必须提供）</w:t>
      </w:r>
    </w:p>
    <w:p w14:paraId="779FB922">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401C51C0">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4C47B136">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r>
        <w:rPr>
          <w:rFonts w:hint="eastAsia" w:hAnsi="宋体"/>
          <w:b/>
          <w:color w:val="auto"/>
          <w:sz w:val="32"/>
          <w:szCs w:val="32"/>
          <w:highlight w:val="none"/>
        </w:rPr>
        <w:t>投标人参加本项目无围标串标行为的承诺函（格式）</w:t>
      </w:r>
    </w:p>
    <w:p w14:paraId="7CE3DFA5">
      <w:pPr>
        <w:keepNext w:val="0"/>
        <w:keepLines w:val="0"/>
        <w:pageBreakBefore w:val="0"/>
        <w:kinsoku/>
        <w:overflowPunct/>
        <w:topLinePunct w:val="0"/>
        <w:bidi w:val="0"/>
        <w:snapToGrid w:val="0"/>
        <w:spacing w:before="156" w:beforeLines="50" w:after="50" w:line="360" w:lineRule="auto"/>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69748B1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1.不同投标人的投标文件由同一单位或者个人编制；</w:t>
      </w:r>
    </w:p>
    <w:p w14:paraId="3A21691D">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2.不同投标人委托同一单位或者个人办理投标事宜；</w:t>
      </w:r>
    </w:p>
    <w:p w14:paraId="0AA6B7D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3.不同的投标人的投标文件载明的项目管理员为同一个人；</w:t>
      </w:r>
    </w:p>
    <w:p w14:paraId="2CC98C82">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 xml:space="preserve">4.不同投标人的投标文件异常一致或投标报价呈规律性差异； </w:t>
      </w:r>
    </w:p>
    <w:p w14:paraId="3F996226">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5.不同投标人的投标文件相互混装。</w:t>
      </w:r>
    </w:p>
    <w:p w14:paraId="5149B982">
      <w:pPr>
        <w:keepNext w:val="0"/>
        <w:keepLines w:val="0"/>
        <w:pageBreakBefore w:val="0"/>
        <w:kinsoku/>
        <w:overflowPunct/>
        <w:topLinePunct w:val="0"/>
        <w:bidi w:val="0"/>
        <w:snapToGrid w:val="0"/>
        <w:spacing w:before="156" w:beforeLines="50" w:after="50" w:line="360" w:lineRule="auto"/>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17E279F7">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586E2191">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496FF880">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61F1C272">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5F3A222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129ED11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45143E0E">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0A3B3BDC">
      <w:pPr>
        <w:keepNext w:val="0"/>
        <w:keepLines w:val="0"/>
        <w:pageBreakBefore w:val="0"/>
        <w:kinsoku/>
        <w:overflowPunct/>
        <w:topLinePunct w:val="0"/>
        <w:bidi w:val="0"/>
        <w:snapToGrid w:val="0"/>
        <w:spacing w:before="156" w:beforeLines="50" w:after="50" w:line="360" w:lineRule="auto"/>
        <w:ind w:firstLine="472" w:firstLineChars="196"/>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71E72175">
      <w:pPr>
        <w:keepNext w:val="0"/>
        <w:keepLines w:val="0"/>
        <w:pageBreakBefore w:val="0"/>
        <w:kinsoku/>
        <w:overflowPunct/>
        <w:topLinePunct w:val="0"/>
        <w:bidi w:val="0"/>
        <w:snapToGrid w:val="0"/>
        <w:spacing w:line="360" w:lineRule="auto"/>
        <w:ind w:firstLine="1890" w:firstLineChars="900"/>
        <w:outlineLvl w:val="4"/>
        <w:rPr>
          <w:rFonts w:ascii="宋体" w:hAnsi="宋体"/>
          <w:color w:val="auto"/>
          <w:szCs w:val="21"/>
          <w:highlight w:val="none"/>
        </w:rPr>
      </w:pPr>
    </w:p>
    <w:p w14:paraId="77F699DC">
      <w:pPr>
        <w:keepNext w:val="0"/>
        <w:keepLines w:val="0"/>
        <w:pageBreakBefore w:val="0"/>
        <w:kinsoku/>
        <w:overflowPunct/>
        <w:topLinePunct w:val="0"/>
        <w:bidi w:val="0"/>
        <w:snapToGrid w:val="0"/>
        <w:spacing w:line="360" w:lineRule="auto"/>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9FE3710">
      <w:pPr>
        <w:pStyle w:val="26"/>
        <w:keepNext w:val="0"/>
        <w:keepLines w:val="0"/>
        <w:pageBreakBefore w:val="0"/>
        <w:kinsoku/>
        <w:overflowPunct/>
        <w:topLinePunct w:val="0"/>
        <w:bidi w:val="0"/>
        <w:spacing w:line="360" w:lineRule="auto"/>
        <w:ind w:firstLine="420"/>
        <w:jc w:val="center"/>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5A640ABF">
      <w:pPr>
        <w:keepNext w:val="0"/>
        <w:keepLines w:val="0"/>
        <w:pageBreakBefore w:val="0"/>
        <w:kinsoku/>
        <w:overflowPunct/>
        <w:topLinePunct w:val="0"/>
        <w:bidi w:val="0"/>
        <w:spacing w:line="360" w:lineRule="auto"/>
        <w:ind w:firstLine="2520" w:firstLineChars="12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45388D9D">
      <w:pPr>
        <w:keepNext w:val="0"/>
        <w:keepLines w:val="0"/>
        <w:pageBreakBefore w:val="0"/>
        <w:kinsoku/>
        <w:overflowPunct/>
        <w:topLinePunct w:val="0"/>
        <w:bidi w:val="0"/>
        <w:spacing w:line="360" w:lineRule="auto"/>
        <w:rPr>
          <w:rFonts w:hint="eastAsia"/>
          <w:b/>
          <w:color w:val="auto"/>
          <w:sz w:val="32"/>
          <w:szCs w:val="32"/>
          <w:highlight w:val="none"/>
        </w:rPr>
      </w:pPr>
    </w:p>
    <w:p w14:paraId="13B3823F">
      <w:pPr>
        <w:keepNext w:val="0"/>
        <w:keepLines w:val="0"/>
        <w:pageBreakBefore w:val="0"/>
        <w:kinsoku/>
        <w:overflowPunct/>
        <w:topLinePunct w:val="0"/>
        <w:bidi w:val="0"/>
        <w:spacing w:line="360" w:lineRule="auto"/>
        <w:rPr>
          <w:rFonts w:hint="eastAsia"/>
          <w:b/>
          <w:color w:val="auto"/>
          <w:sz w:val="32"/>
          <w:szCs w:val="32"/>
          <w:highlight w:val="none"/>
        </w:rPr>
      </w:pPr>
    </w:p>
    <w:p w14:paraId="72BBBBC9">
      <w:pPr>
        <w:keepNext w:val="0"/>
        <w:keepLines w:val="0"/>
        <w:pageBreakBefore w:val="0"/>
        <w:kinsoku/>
        <w:overflowPunct/>
        <w:topLinePunct w:val="0"/>
        <w:bidi w:val="0"/>
        <w:spacing w:line="360" w:lineRule="auto"/>
        <w:rPr>
          <w:b/>
          <w:color w:val="auto"/>
          <w:sz w:val="32"/>
          <w:szCs w:val="32"/>
          <w:highlight w:val="none"/>
        </w:rPr>
      </w:pPr>
      <w:r>
        <w:rPr>
          <w:rFonts w:hint="eastAsia"/>
          <w:b/>
          <w:color w:val="auto"/>
          <w:sz w:val="32"/>
          <w:szCs w:val="32"/>
          <w:highlight w:val="none"/>
        </w:rPr>
        <w:t>二、商务、技术性响应证明材料</w:t>
      </w:r>
    </w:p>
    <w:p w14:paraId="0EC9029E">
      <w:pPr>
        <w:keepNext w:val="0"/>
        <w:keepLines w:val="0"/>
        <w:pageBreakBefore w:val="0"/>
        <w:kinsoku/>
        <w:overflowPunct/>
        <w:topLinePunct w:val="0"/>
        <w:bidi w:val="0"/>
        <w:spacing w:line="360" w:lineRule="auto"/>
        <w:rPr>
          <w:b/>
          <w:color w:val="auto"/>
          <w:sz w:val="32"/>
          <w:szCs w:val="32"/>
          <w:highlight w:val="none"/>
        </w:rPr>
      </w:pPr>
      <w:r>
        <w:rPr>
          <w:rFonts w:hint="eastAsia"/>
          <w:b/>
          <w:color w:val="auto"/>
          <w:sz w:val="32"/>
          <w:szCs w:val="32"/>
          <w:highlight w:val="none"/>
        </w:rPr>
        <w:t>1.投标函（必须提供）</w:t>
      </w:r>
    </w:p>
    <w:p w14:paraId="0AE3FA2C">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b/>
          <w:color w:val="auto"/>
          <w:sz w:val="32"/>
          <w:szCs w:val="32"/>
          <w:highlight w:val="none"/>
        </w:rPr>
        <w:t>投标函（格式）</w:t>
      </w:r>
    </w:p>
    <w:p w14:paraId="52DFC6DF">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lang w:eastAsia="zh-CN"/>
        </w:rPr>
        <w:t>广西昶吉工程项目管理有限公司</w:t>
      </w:r>
      <w:r>
        <w:rPr>
          <w:rFonts w:hint="eastAsia" w:ascii="宋体" w:hAnsi="宋体"/>
          <w:color w:val="auto"/>
          <w:szCs w:val="21"/>
          <w:highlight w:val="none"/>
        </w:rPr>
        <w:t>：</w:t>
      </w:r>
    </w:p>
    <w:p w14:paraId="196DA31D">
      <w:pPr>
        <w:keepNext w:val="0"/>
        <w:keepLines w:val="0"/>
        <w:pageBreakBefore w:val="0"/>
        <w:kinsoku/>
        <w:overflowPunct/>
        <w:topLinePunct w:val="0"/>
        <w:bidi w:val="0"/>
        <w:spacing w:line="360" w:lineRule="auto"/>
        <w:ind w:firstLine="480"/>
        <w:rPr>
          <w:rFonts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）的招标文件，签字代表______</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14:paraId="038C3899">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据此函，我方宣布同意如下：</w:t>
      </w:r>
    </w:p>
    <w:p w14:paraId="694FA79F">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6031E1B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14:paraId="374BED0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3.本投标有效期自投标截止之日起</w:t>
      </w:r>
      <w:r>
        <w:rPr>
          <w:rFonts w:hint="eastAsia" w:ascii="宋体" w:hAnsi="宋体"/>
          <w:color w:val="auto"/>
          <w:szCs w:val="21"/>
          <w:highlight w:val="none"/>
          <w:u w:val="single"/>
        </w:rPr>
        <w:t xml:space="preserve"> 90</w:t>
      </w:r>
      <w:r>
        <w:rPr>
          <w:rFonts w:hint="eastAsia" w:ascii="宋体" w:hAnsi="宋体"/>
          <w:color w:val="auto"/>
          <w:szCs w:val="21"/>
          <w:highlight w:val="none"/>
        </w:rPr>
        <w:t>日。</w:t>
      </w:r>
    </w:p>
    <w:p w14:paraId="75E23ABE">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4.如我方中标，本投标文件至本项目合同履行完毕止均保持有效，我方将按“招标文件”及政府采购法律、法规的规定履行合同责任和义务。</w:t>
      </w:r>
    </w:p>
    <w:p w14:paraId="74C399A3">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5.我方同意按照贵方要求提供与投标有关的一切数据或者资料。</w:t>
      </w:r>
    </w:p>
    <w:p w14:paraId="608A1EEB">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6.我方向贵方提交的所有投标文件、资料都是准确的和真实的。</w:t>
      </w:r>
    </w:p>
    <w:p w14:paraId="64CAFA63">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7.以上事项如有虚假或者隐瞒，我方愿意承担一切后果，并不再寻求任何旨在减轻或者免除法律责任的辩解。</w:t>
      </w:r>
    </w:p>
    <w:p w14:paraId="7295B319">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C18ED8">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olor w:val="auto"/>
          <w:szCs w:val="21"/>
          <w:highlight w:val="none"/>
        </w:rPr>
        <w:t>未</w:t>
      </w:r>
      <w:r>
        <w:rPr>
          <w:rFonts w:hint="eastAsia" w:ascii="宋体" w:hAnsi="宋体" w:cs="宋体"/>
          <w:color w:val="auto"/>
          <w:kern w:val="0"/>
          <w:szCs w:val="21"/>
          <w:highlight w:val="none"/>
        </w:rPr>
        <w:t>涉及商业秘密；</w:t>
      </w:r>
    </w:p>
    <w:p w14:paraId="6AA1EC7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56EDD42">
      <w:pPr>
        <w:keepNext w:val="0"/>
        <w:keepLines w:val="0"/>
        <w:pageBreakBefore w:val="0"/>
        <w:kinsoku/>
        <w:overflowPunct/>
        <w:topLinePunct w:val="0"/>
        <w:bidi w:val="0"/>
        <w:spacing w:line="360" w:lineRule="auto"/>
        <w:ind w:firstLine="420"/>
        <w:rPr>
          <w:rFonts w:ascii="宋体" w:hAnsi="宋体" w:cs="宋体"/>
          <w:color w:val="auto"/>
          <w:kern w:val="0"/>
          <w:szCs w:val="20"/>
          <w:highlight w:val="none"/>
        </w:rPr>
      </w:pPr>
      <w:r>
        <w:rPr>
          <w:rFonts w:hint="eastAsia" w:ascii="宋体" w:hAnsi="宋体"/>
          <w:color w:val="auto"/>
          <w:szCs w:val="21"/>
          <w:highlight w:val="none"/>
        </w:rPr>
        <w:t>9.</w:t>
      </w:r>
      <w:r>
        <w:rPr>
          <w:rFonts w:hint="eastAsia" w:ascii="宋体" w:hAnsi="宋体" w:cs="宋体"/>
          <w:color w:val="auto"/>
          <w:kern w:val="0"/>
          <w:szCs w:val="20"/>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p>
    <w:p w14:paraId="583003FA">
      <w:pPr>
        <w:keepNext w:val="0"/>
        <w:keepLines w:val="0"/>
        <w:pageBreakBefore w:val="0"/>
        <w:kinsoku/>
        <w:overflowPunct/>
        <w:topLinePunct w:val="0"/>
        <w:bidi w:val="0"/>
        <w:spacing w:line="360" w:lineRule="auto"/>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r>
        <w:rPr>
          <w:rFonts w:hint="eastAsia" w:ascii="宋体" w:hAnsi="宋体" w:cs="宋体"/>
          <w:color w:val="auto"/>
          <w:kern w:val="0"/>
          <w:szCs w:val="20"/>
          <w:highlight w:val="none"/>
          <w:u w:val="single"/>
        </w:rPr>
        <w:t xml:space="preserve">               </w:t>
      </w:r>
      <w:r>
        <w:rPr>
          <w:rFonts w:hint="eastAsia" w:ascii="宋体" w:hAnsi="宋体" w:cs="宋体"/>
          <w:color w:val="auto"/>
          <w:kern w:val="0"/>
          <w:szCs w:val="20"/>
          <w:highlight w:val="none"/>
        </w:rPr>
        <w:t xml:space="preserve"> </w:t>
      </w:r>
    </w:p>
    <w:p w14:paraId="0FAFAD69">
      <w:pPr>
        <w:keepNext w:val="0"/>
        <w:keepLines w:val="0"/>
        <w:pageBreakBefore w:val="0"/>
        <w:kinsoku/>
        <w:overflowPunct/>
        <w:topLinePunct w:val="0"/>
        <w:bidi w:val="0"/>
        <w:snapToGrid w:val="0"/>
        <w:spacing w:line="360" w:lineRule="auto"/>
        <w:ind w:firstLine="420" w:firstLineChars="200"/>
        <w:jc w:val="left"/>
        <w:outlineLvl w:val="4"/>
        <w:rPr>
          <w:rFonts w:ascii="宋体" w:hAnsi="宋体"/>
          <w:color w:val="auto"/>
          <w:szCs w:val="21"/>
          <w:highlight w:val="none"/>
        </w:rPr>
      </w:pPr>
      <w:r>
        <w:rPr>
          <w:rFonts w:hint="eastAsia" w:ascii="宋体" w:hAnsi="宋体" w:cs="宋体"/>
          <w:color w:val="auto"/>
          <w:kern w:val="0"/>
          <w:szCs w:val="20"/>
          <w:highlight w:val="none"/>
        </w:rPr>
        <w:t>②纳税人识别号：</w:t>
      </w:r>
      <w:r>
        <w:rPr>
          <w:rFonts w:hint="eastAsia" w:ascii="宋体" w:hAnsi="宋体" w:cs="宋体"/>
          <w:color w:val="auto"/>
          <w:kern w:val="0"/>
          <w:szCs w:val="20"/>
          <w:highlight w:val="none"/>
          <w:u w:val="single"/>
        </w:rPr>
        <w:t xml:space="preserve">               </w:t>
      </w:r>
    </w:p>
    <w:p w14:paraId="778A85A7">
      <w:pPr>
        <w:keepNext w:val="0"/>
        <w:keepLines w:val="0"/>
        <w:pageBreakBefore w:val="0"/>
        <w:kinsoku/>
        <w:overflowPunct/>
        <w:topLinePunct w:val="0"/>
        <w:bidi w:val="0"/>
        <w:snapToGrid w:val="0"/>
        <w:spacing w:line="360" w:lineRule="auto"/>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2C71E5E">
      <w:pPr>
        <w:pStyle w:val="26"/>
        <w:keepNext w:val="0"/>
        <w:keepLines w:val="0"/>
        <w:pageBreakBefore w:val="0"/>
        <w:kinsoku/>
        <w:overflowPunct/>
        <w:topLinePunct w:val="0"/>
        <w:bidi w:val="0"/>
        <w:spacing w:line="360" w:lineRule="auto"/>
        <w:ind w:firstLine="315" w:firstLineChars="150"/>
        <w:jc w:val="left"/>
        <w:rPr>
          <w:rFonts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r>
        <w:rPr>
          <w:rFonts w:hint="eastAsia" w:hAnsi="宋体"/>
          <w:color w:val="auto"/>
          <w:szCs w:val="21"/>
          <w:highlight w:val="none"/>
          <w:u w:val="single"/>
        </w:rPr>
        <w:t xml:space="preserve">                              </w:t>
      </w:r>
    </w:p>
    <w:p w14:paraId="381B38AA">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Ansi="宋体"/>
          <w:color w:val="auto"/>
          <w:highlight w:val="none"/>
        </w:rPr>
        <w:t xml:space="preserve">   </w:t>
      </w:r>
      <w:r>
        <w:rPr>
          <w:rFonts w:hint="eastAsia" w:hAnsi="宋体"/>
          <w:color w:val="auto"/>
          <w:highlight w:val="none"/>
        </w:rPr>
        <w:t>日</w:t>
      </w:r>
      <w:r>
        <w:rPr>
          <w:rFonts w:hAnsi="宋体"/>
          <w:color w:val="auto"/>
          <w:highlight w:val="none"/>
        </w:rPr>
        <w:t xml:space="preserve">     </w:t>
      </w:r>
      <w:r>
        <w:rPr>
          <w:rFonts w:hint="eastAsia" w:hAnsi="宋体"/>
          <w:color w:val="auto"/>
          <w:highlight w:val="none"/>
        </w:rPr>
        <w:t>期：</w:t>
      </w:r>
      <w:r>
        <w:rPr>
          <w:rFonts w:hAnsi="宋体"/>
          <w:color w:val="auto"/>
          <w:highlight w:val="none"/>
          <w:u w:val="single"/>
        </w:rPr>
        <w:t xml:space="preserve">                                                   </w:t>
      </w:r>
    </w:p>
    <w:p w14:paraId="11F20156">
      <w:pPr>
        <w:keepNext w:val="0"/>
        <w:keepLines w:val="0"/>
        <w:pageBreakBefore w:val="0"/>
        <w:kinsoku/>
        <w:overflowPunct/>
        <w:topLinePunct w:val="0"/>
        <w:bidi w:val="0"/>
        <w:spacing w:line="360" w:lineRule="auto"/>
        <w:rPr>
          <w:rFonts w:hint="eastAsia"/>
          <w:b/>
          <w:color w:val="auto"/>
          <w:sz w:val="32"/>
          <w:szCs w:val="32"/>
          <w:highlight w:val="none"/>
        </w:rPr>
      </w:pPr>
    </w:p>
    <w:p w14:paraId="56A9B3C1">
      <w:pPr>
        <w:keepNext w:val="0"/>
        <w:keepLines w:val="0"/>
        <w:pageBreakBefore w:val="0"/>
        <w:kinsoku/>
        <w:overflowPunct/>
        <w:topLinePunct w:val="0"/>
        <w:bidi w:val="0"/>
        <w:spacing w:line="360" w:lineRule="auto"/>
        <w:rPr>
          <w:rFonts w:hint="eastAsia"/>
          <w:b/>
          <w:color w:val="auto"/>
          <w:sz w:val="32"/>
          <w:szCs w:val="32"/>
          <w:highlight w:val="none"/>
        </w:rPr>
      </w:pPr>
    </w:p>
    <w:p w14:paraId="7C84F933">
      <w:pPr>
        <w:keepNext w:val="0"/>
        <w:keepLines w:val="0"/>
        <w:pageBreakBefore w:val="0"/>
        <w:kinsoku/>
        <w:overflowPunct/>
        <w:topLinePunct w:val="0"/>
        <w:bidi w:val="0"/>
        <w:spacing w:line="360" w:lineRule="auto"/>
        <w:rPr>
          <w:b/>
          <w:color w:val="auto"/>
          <w:sz w:val="32"/>
          <w:szCs w:val="32"/>
          <w:highlight w:val="none"/>
        </w:rPr>
      </w:pPr>
      <w:r>
        <w:rPr>
          <w:rFonts w:hint="eastAsia"/>
          <w:b/>
          <w:color w:val="auto"/>
          <w:sz w:val="32"/>
          <w:szCs w:val="32"/>
          <w:highlight w:val="none"/>
        </w:rPr>
        <w:t>2.投标报价表（必须提供）</w:t>
      </w:r>
    </w:p>
    <w:p w14:paraId="4AB6F647">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18C10A1E">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b/>
          <w:color w:val="auto"/>
          <w:sz w:val="32"/>
          <w:szCs w:val="32"/>
          <w:highlight w:val="none"/>
        </w:rPr>
        <w:t>投标报价表（格式）</w:t>
      </w:r>
    </w:p>
    <w:p w14:paraId="21367667">
      <w:pPr>
        <w:keepNext w:val="0"/>
        <w:keepLines w:val="0"/>
        <w:pageBreakBefore w:val="0"/>
        <w:kinsoku/>
        <w:overflowPunct/>
        <w:topLinePunct w:val="0"/>
        <w:bidi w:val="0"/>
        <w:spacing w:line="360" w:lineRule="auto"/>
        <w:rPr>
          <w:rFonts w:hint="eastAsia" w:ascii="宋体" w:hAnsi="宋体" w:eastAsia="宋体"/>
          <w:color w:val="auto"/>
          <w:highlight w:val="none"/>
          <w:lang w:eastAsia="zh-CN"/>
        </w:rPr>
      </w:pPr>
      <w:r>
        <w:rPr>
          <w:rFonts w:hint="eastAsia" w:ascii="宋体" w:hAnsi="宋体"/>
          <w:color w:val="auto"/>
          <w:szCs w:val="21"/>
          <w:highlight w:val="none"/>
        </w:rPr>
        <w:t>致：</w:t>
      </w:r>
      <w:r>
        <w:rPr>
          <w:rFonts w:hint="eastAsia" w:ascii="宋体" w:hAnsi="宋体"/>
          <w:color w:val="auto"/>
          <w:highlight w:val="none"/>
          <w:u w:val="single"/>
          <w:lang w:eastAsia="zh-CN"/>
        </w:rPr>
        <w:t>广西昶吉工程项目管理有限公司</w:t>
      </w:r>
    </w:p>
    <w:p w14:paraId="7C0A12E7">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根据贵方</w:t>
      </w:r>
      <w:r>
        <w:rPr>
          <w:rFonts w:hint="eastAsia" w:hAnsi="宋体"/>
          <w:color w:val="auto"/>
          <w:highlight w:val="none"/>
          <w:u w:val="single"/>
        </w:rPr>
        <w:t xml:space="preserve">           </w:t>
      </w:r>
      <w:r>
        <w:rPr>
          <w:rFonts w:hint="eastAsia" w:hAnsi="宋体"/>
          <w:color w:val="auto"/>
          <w:highlight w:val="none"/>
        </w:rPr>
        <w:t>项目招标文件，项目编号</w:t>
      </w:r>
      <w:r>
        <w:rPr>
          <w:rFonts w:hint="eastAsia" w:hAnsi="宋体"/>
          <w:color w:val="auto"/>
          <w:szCs w:val="21"/>
          <w:highlight w:val="none"/>
          <w:u w:val="single"/>
        </w:rPr>
        <w:t xml:space="preserve">            </w:t>
      </w:r>
      <w:r>
        <w:rPr>
          <w:rFonts w:hint="eastAsia" w:hAnsi="宋体"/>
          <w:color w:val="auto"/>
          <w:szCs w:val="21"/>
          <w:highlight w:val="none"/>
        </w:rPr>
        <w:t>，签字代表</w:t>
      </w:r>
      <w:r>
        <w:rPr>
          <w:rFonts w:hint="eastAsia" w:hAnsi="宋体"/>
          <w:color w:val="auto"/>
          <w:highlight w:val="none"/>
          <w:u w:val="single"/>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tbl>
      <w:tblPr>
        <w:tblStyle w:val="51"/>
        <w:tblW w:w="522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11"/>
        <w:gridCol w:w="1018"/>
        <w:gridCol w:w="1287"/>
        <w:gridCol w:w="840"/>
        <w:gridCol w:w="1350"/>
        <w:gridCol w:w="730"/>
        <w:gridCol w:w="484"/>
        <w:gridCol w:w="846"/>
        <w:gridCol w:w="1240"/>
        <w:gridCol w:w="1711"/>
      </w:tblGrid>
      <w:tr w14:paraId="48F08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303" w:type="pct"/>
            <w:tcBorders>
              <w:top w:val="single" w:color="auto" w:sz="4" w:space="0"/>
              <w:left w:val="single" w:color="auto" w:sz="4" w:space="0"/>
              <w:bottom w:val="single" w:color="auto" w:sz="4" w:space="0"/>
              <w:right w:val="single" w:color="auto" w:sz="4" w:space="0"/>
            </w:tcBorders>
            <w:vAlign w:val="center"/>
          </w:tcPr>
          <w:p w14:paraId="58CA89FF">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项号</w:t>
            </w:r>
          </w:p>
        </w:tc>
        <w:tc>
          <w:tcPr>
            <w:tcW w:w="504" w:type="pct"/>
            <w:tcBorders>
              <w:top w:val="single" w:color="auto" w:sz="4" w:space="0"/>
              <w:left w:val="single" w:color="auto" w:sz="4" w:space="0"/>
              <w:bottom w:val="single" w:color="auto" w:sz="4" w:space="0"/>
              <w:right w:val="single" w:color="auto" w:sz="4" w:space="0"/>
            </w:tcBorders>
            <w:vAlign w:val="center"/>
          </w:tcPr>
          <w:p w14:paraId="1A751C3C">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标的名称</w:t>
            </w:r>
          </w:p>
        </w:tc>
        <w:tc>
          <w:tcPr>
            <w:tcW w:w="637" w:type="pct"/>
            <w:tcBorders>
              <w:top w:val="single" w:color="auto" w:sz="4" w:space="0"/>
              <w:left w:val="single" w:color="auto" w:sz="4" w:space="0"/>
              <w:bottom w:val="single" w:color="auto" w:sz="4" w:space="0"/>
              <w:right w:val="single" w:color="auto" w:sz="4" w:space="0"/>
            </w:tcBorders>
            <w:vAlign w:val="center"/>
          </w:tcPr>
          <w:p w14:paraId="25B982D0">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生产厂家</w:t>
            </w:r>
          </w:p>
        </w:tc>
        <w:tc>
          <w:tcPr>
            <w:tcW w:w="416" w:type="pct"/>
            <w:tcBorders>
              <w:top w:val="single" w:color="auto" w:sz="4" w:space="0"/>
              <w:left w:val="single" w:color="auto" w:sz="4" w:space="0"/>
              <w:bottom w:val="single" w:color="auto" w:sz="4" w:space="0"/>
              <w:right w:val="single" w:color="auto" w:sz="4" w:space="0"/>
            </w:tcBorders>
            <w:vAlign w:val="center"/>
          </w:tcPr>
          <w:p w14:paraId="687FF44B">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品牌</w:t>
            </w:r>
          </w:p>
        </w:tc>
        <w:tc>
          <w:tcPr>
            <w:tcW w:w="668" w:type="pct"/>
            <w:tcBorders>
              <w:top w:val="single" w:color="auto" w:sz="4" w:space="0"/>
              <w:left w:val="single" w:color="auto" w:sz="4" w:space="0"/>
              <w:bottom w:val="single" w:color="auto" w:sz="4" w:space="0"/>
              <w:right w:val="single" w:color="auto" w:sz="4" w:space="0"/>
            </w:tcBorders>
            <w:vAlign w:val="center"/>
          </w:tcPr>
          <w:p w14:paraId="3A3BC677">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规格型号</w:t>
            </w:r>
          </w:p>
        </w:tc>
        <w:tc>
          <w:tcPr>
            <w:tcW w:w="362" w:type="pct"/>
            <w:tcBorders>
              <w:top w:val="single" w:color="auto" w:sz="4" w:space="0"/>
              <w:left w:val="single" w:color="auto" w:sz="4" w:space="0"/>
              <w:bottom w:val="single" w:color="auto" w:sz="4" w:space="0"/>
              <w:right w:val="single" w:color="auto" w:sz="4" w:space="0"/>
            </w:tcBorders>
            <w:vAlign w:val="center"/>
          </w:tcPr>
          <w:p w14:paraId="42789563">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数量</w:t>
            </w:r>
          </w:p>
          <w:p w14:paraId="7A64F53F">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szCs w:val="21"/>
                <w:highlight w:val="none"/>
              </w:rPr>
              <w:t>①</w:t>
            </w:r>
          </w:p>
        </w:tc>
        <w:tc>
          <w:tcPr>
            <w:tcW w:w="240" w:type="pct"/>
            <w:tcBorders>
              <w:top w:val="single" w:color="auto" w:sz="4" w:space="0"/>
              <w:left w:val="single" w:color="auto" w:sz="4" w:space="0"/>
              <w:bottom w:val="single" w:color="auto" w:sz="4" w:space="0"/>
              <w:right w:val="single" w:color="auto" w:sz="4" w:space="0"/>
            </w:tcBorders>
            <w:vAlign w:val="center"/>
          </w:tcPr>
          <w:p w14:paraId="1CC9B909">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单位</w:t>
            </w:r>
          </w:p>
        </w:tc>
        <w:tc>
          <w:tcPr>
            <w:tcW w:w="410" w:type="pct"/>
            <w:tcBorders>
              <w:top w:val="single" w:color="auto" w:sz="4" w:space="0"/>
              <w:left w:val="single" w:color="auto" w:sz="4" w:space="0"/>
              <w:bottom w:val="single" w:color="auto" w:sz="4" w:space="0"/>
              <w:right w:val="single" w:color="auto" w:sz="4" w:space="0"/>
            </w:tcBorders>
            <w:vAlign w:val="center"/>
          </w:tcPr>
          <w:p w14:paraId="5ED61FF3">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单价（元）</w:t>
            </w:r>
          </w:p>
          <w:p w14:paraId="0C6DD905">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szCs w:val="21"/>
                <w:highlight w:val="none"/>
              </w:rPr>
              <w:t>②</w:t>
            </w:r>
          </w:p>
        </w:tc>
        <w:tc>
          <w:tcPr>
            <w:tcW w:w="614" w:type="pct"/>
            <w:tcBorders>
              <w:top w:val="single" w:color="auto" w:sz="4" w:space="0"/>
              <w:left w:val="single" w:color="auto" w:sz="4" w:space="0"/>
              <w:bottom w:val="single" w:color="auto" w:sz="4" w:space="0"/>
            </w:tcBorders>
            <w:vAlign w:val="center"/>
          </w:tcPr>
          <w:p w14:paraId="322708F2">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单项合计=数量×单价</w:t>
            </w:r>
          </w:p>
          <w:p w14:paraId="2310B811">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szCs w:val="21"/>
                <w:highlight w:val="none"/>
              </w:rPr>
              <w:t>③=①×②</w:t>
            </w:r>
          </w:p>
        </w:tc>
        <w:tc>
          <w:tcPr>
            <w:tcW w:w="841" w:type="pct"/>
            <w:tcBorders>
              <w:top w:val="single" w:color="auto" w:sz="4" w:space="0"/>
              <w:left w:val="single" w:color="auto" w:sz="4" w:space="0"/>
              <w:bottom w:val="single" w:color="auto" w:sz="4" w:space="0"/>
            </w:tcBorders>
            <w:vAlign w:val="center"/>
          </w:tcPr>
          <w:p w14:paraId="1C20AD6B">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备注</w:t>
            </w:r>
          </w:p>
        </w:tc>
      </w:tr>
      <w:tr w14:paraId="52231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303" w:type="pct"/>
            <w:tcBorders>
              <w:top w:val="single" w:color="auto" w:sz="4" w:space="0"/>
              <w:left w:val="single" w:color="auto" w:sz="4" w:space="0"/>
              <w:right w:val="single" w:color="auto" w:sz="4" w:space="0"/>
            </w:tcBorders>
            <w:vAlign w:val="center"/>
          </w:tcPr>
          <w:p w14:paraId="6C016579">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1</w:t>
            </w:r>
          </w:p>
        </w:tc>
        <w:tc>
          <w:tcPr>
            <w:tcW w:w="504" w:type="pct"/>
            <w:tcBorders>
              <w:top w:val="single" w:color="auto" w:sz="4" w:space="0"/>
              <w:left w:val="single" w:color="auto" w:sz="4" w:space="0"/>
              <w:bottom w:val="single" w:color="auto" w:sz="4" w:space="0"/>
              <w:right w:val="single" w:color="auto" w:sz="4" w:space="0"/>
            </w:tcBorders>
            <w:vAlign w:val="center"/>
          </w:tcPr>
          <w:p w14:paraId="3405DE55">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637" w:type="pct"/>
            <w:tcBorders>
              <w:top w:val="single" w:color="auto" w:sz="4" w:space="0"/>
              <w:left w:val="single" w:color="auto" w:sz="4" w:space="0"/>
              <w:bottom w:val="single" w:color="auto" w:sz="4" w:space="0"/>
              <w:right w:val="single" w:color="auto" w:sz="4" w:space="0"/>
            </w:tcBorders>
            <w:vAlign w:val="center"/>
          </w:tcPr>
          <w:p w14:paraId="5C94FCEC">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416" w:type="pct"/>
            <w:tcBorders>
              <w:top w:val="single" w:color="auto" w:sz="4" w:space="0"/>
              <w:left w:val="single" w:color="auto" w:sz="4" w:space="0"/>
              <w:bottom w:val="single" w:color="auto" w:sz="4" w:space="0"/>
              <w:right w:val="single" w:color="auto" w:sz="4" w:space="0"/>
            </w:tcBorders>
            <w:vAlign w:val="center"/>
          </w:tcPr>
          <w:p w14:paraId="6073EC1F">
            <w:pPr>
              <w:keepNext w:val="0"/>
              <w:keepLines w:val="0"/>
              <w:pageBreakBefore w:val="0"/>
              <w:kinsoku/>
              <w:overflowPunct/>
              <w:topLinePunct w:val="0"/>
              <w:bidi w:val="0"/>
              <w:spacing w:line="360" w:lineRule="auto"/>
              <w:jc w:val="center"/>
              <w:rPr>
                <w:rFonts w:ascii="宋体" w:hAnsi="宋体"/>
                <w:color w:val="auto"/>
                <w:highlight w:val="none"/>
              </w:rPr>
            </w:pPr>
          </w:p>
        </w:tc>
        <w:tc>
          <w:tcPr>
            <w:tcW w:w="668" w:type="pct"/>
            <w:tcBorders>
              <w:top w:val="single" w:color="auto" w:sz="4" w:space="0"/>
              <w:left w:val="single" w:color="auto" w:sz="4" w:space="0"/>
              <w:bottom w:val="single" w:color="auto" w:sz="4" w:space="0"/>
              <w:right w:val="single" w:color="auto" w:sz="4" w:space="0"/>
            </w:tcBorders>
            <w:vAlign w:val="center"/>
          </w:tcPr>
          <w:p w14:paraId="1A1E0BA5">
            <w:pPr>
              <w:keepNext w:val="0"/>
              <w:keepLines w:val="0"/>
              <w:pageBreakBefore w:val="0"/>
              <w:kinsoku/>
              <w:overflowPunct/>
              <w:topLinePunct w:val="0"/>
              <w:bidi w:val="0"/>
              <w:spacing w:line="360" w:lineRule="auto"/>
              <w:jc w:val="center"/>
              <w:rPr>
                <w:rFonts w:ascii="宋体" w:hAnsi="宋体"/>
                <w:color w:val="auto"/>
                <w:highlight w:val="none"/>
              </w:rPr>
            </w:pPr>
          </w:p>
        </w:tc>
        <w:tc>
          <w:tcPr>
            <w:tcW w:w="362" w:type="pct"/>
            <w:tcBorders>
              <w:top w:val="single" w:color="auto" w:sz="4" w:space="0"/>
              <w:left w:val="single" w:color="auto" w:sz="4" w:space="0"/>
              <w:bottom w:val="single" w:color="auto" w:sz="4" w:space="0"/>
              <w:right w:val="single" w:color="auto" w:sz="4" w:space="0"/>
            </w:tcBorders>
            <w:vAlign w:val="center"/>
          </w:tcPr>
          <w:p w14:paraId="6F3CB811">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vAlign w:val="center"/>
          </w:tcPr>
          <w:p w14:paraId="32E22240">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1E5E8764">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614" w:type="pct"/>
            <w:tcBorders>
              <w:top w:val="single" w:color="auto" w:sz="4" w:space="0"/>
              <w:left w:val="single" w:color="auto" w:sz="4" w:space="0"/>
              <w:bottom w:val="single" w:color="auto" w:sz="4" w:space="0"/>
            </w:tcBorders>
            <w:vAlign w:val="center"/>
          </w:tcPr>
          <w:p w14:paraId="2555081E">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841" w:type="pct"/>
            <w:vMerge w:val="restart"/>
            <w:tcBorders>
              <w:top w:val="single" w:color="auto" w:sz="4" w:space="0"/>
              <w:left w:val="single" w:color="auto" w:sz="4" w:space="0"/>
            </w:tcBorders>
            <w:vAlign w:val="center"/>
          </w:tcPr>
          <w:p w14:paraId="2A64F91C">
            <w:pPr>
              <w:keepNext w:val="0"/>
              <w:keepLines w:val="0"/>
              <w:pageBreakBefore w:val="0"/>
              <w:kinsoku/>
              <w:overflowPunct/>
              <w:topLinePunct w:val="0"/>
              <w:bidi w:val="0"/>
              <w:spacing w:line="360" w:lineRule="auto"/>
              <w:jc w:val="center"/>
              <w:rPr>
                <w:rFonts w:ascii="宋体" w:hAnsi="宋体"/>
                <w:bCs/>
                <w:color w:val="auto"/>
                <w:highlight w:val="none"/>
              </w:rPr>
            </w:pPr>
            <w:r>
              <w:rPr>
                <w:rFonts w:hint="eastAsia" w:ascii="宋体" w:hAnsi="宋体"/>
                <w:bCs/>
                <w:color w:val="auto"/>
                <w:highlight w:val="none"/>
              </w:rPr>
              <w:t>所投标的技术参数、配置等，详见“技术偏离表”</w:t>
            </w:r>
          </w:p>
        </w:tc>
      </w:tr>
      <w:tr w14:paraId="6BF0DE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9" w:hRule="atLeast"/>
        </w:trPr>
        <w:tc>
          <w:tcPr>
            <w:tcW w:w="303" w:type="pct"/>
            <w:tcBorders>
              <w:top w:val="single" w:color="auto" w:sz="4" w:space="0"/>
              <w:left w:val="single" w:color="auto" w:sz="4" w:space="0"/>
              <w:right w:val="single" w:color="auto" w:sz="4" w:space="0"/>
            </w:tcBorders>
            <w:vAlign w:val="center"/>
          </w:tcPr>
          <w:p w14:paraId="3666DCA0">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2</w:t>
            </w:r>
          </w:p>
        </w:tc>
        <w:tc>
          <w:tcPr>
            <w:tcW w:w="504" w:type="pct"/>
            <w:tcBorders>
              <w:top w:val="single" w:color="auto" w:sz="4" w:space="0"/>
              <w:left w:val="single" w:color="auto" w:sz="4" w:space="0"/>
              <w:bottom w:val="single" w:color="auto" w:sz="4" w:space="0"/>
              <w:right w:val="single" w:color="auto" w:sz="4" w:space="0"/>
            </w:tcBorders>
            <w:vAlign w:val="center"/>
          </w:tcPr>
          <w:p w14:paraId="2DEDC548">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637" w:type="pct"/>
            <w:tcBorders>
              <w:top w:val="single" w:color="auto" w:sz="4" w:space="0"/>
              <w:left w:val="single" w:color="auto" w:sz="4" w:space="0"/>
              <w:bottom w:val="single" w:color="auto" w:sz="4" w:space="0"/>
              <w:right w:val="single" w:color="auto" w:sz="4" w:space="0"/>
            </w:tcBorders>
            <w:vAlign w:val="center"/>
          </w:tcPr>
          <w:p w14:paraId="5602CDD2">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416" w:type="pct"/>
            <w:tcBorders>
              <w:top w:val="single" w:color="auto" w:sz="4" w:space="0"/>
              <w:left w:val="single" w:color="auto" w:sz="4" w:space="0"/>
              <w:bottom w:val="single" w:color="auto" w:sz="4" w:space="0"/>
              <w:right w:val="single" w:color="auto" w:sz="4" w:space="0"/>
            </w:tcBorders>
            <w:vAlign w:val="center"/>
          </w:tcPr>
          <w:p w14:paraId="17853B53">
            <w:pPr>
              <w:keepNext w:val="0"/>
              <w:keepLines w:val="0"/>
              <w:pageBreakBefore w:val="0"/>
              <w:kinsoku/>
              <w:overflowPunct/>
              <w:topLinePunct w:val="0"/>
              <w:bidi w:val="0"/>
              <w:spacing w:line="360" w:lineRule="auto"/>
              <w:jc w:val="center"/>
              <w:rPr>
                <w:rFonts w:ascii="宋体" w:hAnsi="宋体"/>
                <w:color w:val="auto"/>
                <w:highlight w:val="none"/>
              </w:rPr>
            </w:pPr>
          </w:p>
        </w:tc>
        <w:tc>
          <w:tcPr>
            <w:tcW w:w="668" w:type="pct"/>
            <w:tcBorders>
              <w:top w:val="single" w:color="auto" w:sz="4" w:space="0"/>
              <w:left w:val="single" w:color="auto" w:sz="4" w:space="0"/>
              <w:bottom w:val="single" w:color="auto" w:sz="4" w:space="0"/>
              <w:right w:val="single" w:color="auto" w:sz="4" w:space="0"/>
            </w:tcBorders>
            <w:vAlign w:val="center"/>
          </w:tcPr>
          <w:p w14:paraId="173CDD31">
            <w:pPr>
              <w:keepNext w:val="0"/>
              <w:keepLines w:val="0"/>
              <w:pageBreakBefore w:val="0"/>
              <w:kinsoku/>
              <w:overflowPunct/>
              <w:topLinePunct w:val="0"/>
              <w:bidi w:val="0"/>
              <w:spacing w:line="360" w:lineRule="auto"/>
              <w:jc w:val="center"/>
              <w:rPr>
                <w:rFonts w:ascii="宋体" w:hAnsi="宋体"/>
                <w:color w:val="auto"/>
                <w:highlight w:val="none"/>
              </w:rPr>
            </w:pPr>
          </w:p>
        </w:tc>
        <w:tc>
          <w:tcPr>
            <w:tcW w:w="362" w:type="pct"/>
            <w:tcBorders>
              <w:top w:val="single" w:color="auto" w:sz="4" w:space="0"/>
              <w:left w:val="single" w:color="auto" w:sz="4" w:space="0"/>
              <w:bottom w:val="single" w:color="auto" w:sz="4" w:space="0"/>
              <w:right w:val="single" w:color="auto" w:sz="4" w:space="0"/>
            </w:tcBorders>
            <w:vAlign w:val="center"/>
          </w:tcPr>
          <w:p w14:paraId="020E62AF">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vAlign w:val="center"/>
          </w:tcPr>
          <w:p w14:paraId="7CACF34F">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52ED5B5C">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614" w:type="pct"/>
            <w:tcBorders>
              <w:top w:val="single" w:color="auto" w:sz="4" w:space="0"/>
              <w:left w:val="single" w:color="auto" w:sz="4" w:space="0"/>
              <w:bottom w:val="single" w:color="auto" w:sz="4" w:space="0"/>
            </w:tcBorders>
            <w:vAlign w:val="center"/>
          </w:tcPr>
          <w:p w14:paraId="4191C084">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841" w:type="pct"/>
            <w:vMerge w:val="continue"/>
            <w:tcBorders>
              <w:left w:val="single" w:color="auto" w:sz="4" w:space="0"/>
            </w:tcBorders>
            <w:vAlign w:val="center"/>
          </w:tcPr>
          <w:p w14:paraId="00D7FB4B">
            <w:pPr>
              <w:keepNext w:val="0"/>
              <w:keepLines w:val="0"/>
              <w:pageBreakBefore w:val="0"/>
              <w:kinsoku/>
              <w:overflowPunct/>
              <w:topLinePunct w:val="0"/>
              <w:bidi w:val="0"/>
              <w:spacing w:line="360" w:lineRule="auto"/>
              <w:jc w:val="center"/>
              <w:rPr>
                <w:rFonts w:ascii="宋体" w:hAnsi="宋体"/>
                <w:bCs/>
                <w:color w:val="auto"/>
                <w:highlight w:val="none"/>
              </w:rPr>
            </w:pPr>
          </w:p>
        </w:tc>
      </w:tr>
      <w:tr w14:paraId="1071E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1555CFD7">
            <w:pPr>
              <w:keepNext w:val="0"/>
              <w:keepLines w:val="0"/>
              <w:pageBreakBefore w:val="0"/>
              <w:kinsoku/>
              <w:overflowPunct/>
              <w:topLinePunct w:val="0"/>
              <w:bidi w:val="0"/>
              <w:spacing w:line="360" w:lineRule="auto"/>
              <w:rPr>
                <w:rFonts w:ascii="宋体" w:hAnsi="宋体"/>
                <w:color w:val="auto"/>
                <w:spacing w:val="-6"/>
                <w:highlight w:val="none"/>
              </w:rPr>
            </w:pPr>
            <w:r>
              <w:rPr>
                <w:rFonts w:hint="eastAsia" w:ascii="宋体" w:hAnsi="宋体"/>
                <w:color w:val="auto"/>
                <w:spacing w:val="-6"/>
                <w:highlight w:val="none"/>
              </w:rPr>
              <w:t>投标</w:t>
            </w:r>
            <w:r>
              <w:rPr>
                <w:rFonts w:ascii="宋体" w:hAnsi="宋体"/>
                <w:color w:val="auto"/>
                <w:spacing w:val="-6"/>
                <w:highlight w:val="none"/>
              </w:rPr>
              <w:t xml:space="preserve">报价（大写）： </w:t>
            </w:r>
            <w:r>
              <w:rPr>
                <w:rFonts w:ascii="宋体" w:hAnsi="宋体"/>
                <w:color w:val="auto"/>
                <w:spacing w:val="-6"/>
                <w:highlight w:val="none"/>
                <w:u w:val="single"/>
              </w:rPr>
              <w:t xml:space="preserve">               </w:t>
            </w:r>
            <w:r>
              <w:rPr>
                <w:rFonts w:hint="eastAsia" w:ascii="宋体" w:hAnsi="宋体"/>
                <w:color w:val="auto"/>
                <w:spacing w:val="-6"/>
                <w:highlight w:val="none"/>
                <w:u w:val="single"/>
              </w:rPr>
              <w:t xml:space="preserve">                          </w:t>
            </w:r>
            <w:r>
              <w:rPr>
                <w:rFonts w:ascii="宋体" w:hAnsi="宋体"/>
                <w:color w:val="auto"/>
                <w:spacing w:val="-6"/>
                <w:highlight w:val="none"/>
                <w:u w:val="single"/>
              </w:rPr>
              <w:t xml:space="preserve">  </w:t>
            </w:r>
            <w:r>
              <w:rPr>
                <w:rFonts w:hint="eastAsia" w:ascii="宋体" w:hAnsi="宋体"/>
                <w:color w:val="auto"/>
                <w:spacing w:val="-6"/>
                <w:highlight w:val="none"/>
              </w:rPr>
              <w:t xml:space="preserve"> </w:t>
            </w:r>
            <w:r>
              <w:rPr>
                <w:rFonts w:ascii="宋体" w:hAnsi="宋体"/>
                <w:color w:val="auto"/>
                <w:spacing w:val="-6"/>
                <w:highlight w:val="none"/>
              </w:rPr>
              <w:t>（¥</w:t>
            </w:r>
            <w:r>
              <w:rPr>
                <w:rFonts w:ascii="宋体" w:hAnsi="宋体"/>
                <w:color w:val="auto"/>
                <w:spacing w:val="-6"/>
                <w:highlight w:val="none"/>
                <w:u w:val="single"/>
              </w:rPr>
              <w:t xml:space="preserve">                     </w:t>
            </w:r>
            <w:r>
              <w:rPr>
                <w:rFonts w:ascii="宋体" w:hAnsi="宋体"/>
                <w:color w:val="auto"/>
                <w:spacing w:val="-6"/>
                <w:highlight w:val="none"/>
              </w:rPr>
              <w:t xml:space="preserve"> ）人民币</w:t>
            </w:r>
          </w:p>
        </w:tc>
      </w:tr>
      <w:tr w14:paraId="6A4D0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38205D19">
            <w:pPr>
              <w:keepNext w:val="0"/>
              <w:keepLines w:val="0"/>
              <w:pageBreakBefore w:val="0"/>
              <w:kinsoku/>
              <w:overflowPunct/>
              <w:topLinePunct w:val="0"/>
              <w:bidi w:val="0"/>
              <w:spacing w:line="360" w:lineRule="auto"/>
              <w:rPr>
                <w:rFonts w:ascii="宋体" w:hAnsi="宋体"/>
                <w:color w:val="auto"/>
                <w:spacing w:val="-6"/>
                <w:highlight w:val="none"/>
              </w:rPr>
            </w:pPr>
            <w:r>
              <w:rPr>
                <w:rFonts w:hint="eastAsia" w:ascii="宋体" w:hAnsi="宋体"/>
                <w:color w:val="auto"/>
                <w:spacing w:val="-6"/>
                <w:highlight w:val="none"/>
              </w:rPr>
              <w:t>本项目投标有效期为投标截止时间之日起90天。</w:t>
            </w:r>
          </w:p>
        </w:tc>
      </w:tr>
      <w:tr w14:paraId="4CC11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19563152">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color w:val="auto"/>
                <w:spacing w:val="-6"/>
                <w:szCs w:val="21"/>
                <w:highlight w:val="none"/>
              </w:rPr>
              <w:t>其中：</w:t>
            </w:r>
          </w:p>
          <w:p w14:paraId="529C7929">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《节能产品政府采购品目清单》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 xml:space="preserve">（大写）：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24848750">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《环境标志产品政府采购品目清单》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435D0005">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b/>
                <w:color w:val="auto"/>
                <w:spacing w:val="-6"/>
                <w:szCs w:val="21"/>
                <w:highlight w:val="none"/>
              </w:rPr>
              <w:t>备注：若不属于财政部《节能产品政府采购品目清单》及《环境标志产品政府采购品目清单》内产品的，则该处填写“无”字样。</w:t>
            </w:r>
          </w:p>
        </w:tc>
      </w:tr>
      <w:tr w14:paraId="67389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75B4D017">
            <w:pPr>
              <w:keepNext w:val="0"/>
              <w:keepLines w:val="0"/>
              <w:pageBreakBefore w:val="0"/>
              <w:kinsoku/>
              <w:overflowPunct/>
              <w:topLinePunct w:val="0"/>
              <w:bidi w:val="0"/>
              <w:spacing w:line="360" w:lineRule="auto"/>
              <w:rPr>
                <w:b/>
                <w:color w:val="auto"/>
                <w:highlight w:val="none"/>
              </w:rPr>
            </w:pPr>
            <w:r>
              <w:rPr>
                <w:rFonts w:hint="eastAsia"/>
                <w:b/>
                <w:color w:val="auto"/>
                <w:highlight w:val="none"/>
              </w:rPr>
              <w:t>说明：</w:t>
            </w:r>
          </w:p>
          <w:p w14:paraId="67F90C91">
            <w:pPr>
              <w:keepNext w:val="0"/>
              <w:keepLines w:val="0"/>
              <w:pageBreakBefore w:val="0"/>
              <w:kinsoku/>
              <w:overflowPunct/>
              <w:topLinePunct w:val="0"/>
              <w:bidi w:val="0"/>
              <w:spacing w:line="360" w:lineRule="auto"/>
              <w:rPr>
                <w:b/>
                <w:color w:val="auto"/>
                <w:highlight w:val="none"/>
              </w:rPr>
            </w:pPr>
            <w:r>
              <w:rPr>
                <w:rFonts w:hint="eastAsia" w:ascii="宋体" w:hAnsi="宋体"/>
                <w:color w:val="auto"/>
                <w:szCs w:val="21"/>
                <w:highlight w:val="none"/>
              </w:rPr>
              <w:t>投标报价：投标报价包括招标范围内货物货款、货物标准附件、备品备件、专用工具、包装、运输、装卸、保险、税金、货到就位以及安装、调试、培训、保修等一切费用。</w:t>
            </w:r>
          </w:p>
        </w:tc>
      </w:tr>
    </w:tbl>
    <w:p w14:paraId="09C221D6">
      <w:pPr>
        <w:pStyle w:val="26"/>
        <w:keepNext w:val="0"/>
        <w:keepLines w:val="0"/>
        <w:pageBreakBefore w:val="0"/>
        <w:kinsoku/>
        <w:overflowPunct/>
        <w:topLinePunct w:val="0"/>
        <w:bidi w:val="0"/>
        <w:spacing w:line="360" w:lineRule="auto"/>
        <w:ind w:firstLine="420"/>
        <w:rPr>
          <w:rFonts w:hAnsi="宋体"/>
          <w:color w:val="auto"/>
          <w:highlight w:val="none"/>
        </w:rPr>
      </w:pPr>
    </w:p>
    <w:p w14:paraId="32E574D8">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与本投标有关的正式通讯地址为：</w:t>
      </w:r>
    </w:p>
    <w:p w14:paraId="24055F84">
      <w:pPr>
        <w:pStyle w:val="26"/>
        <w:keepNext w:val="0"/>
        <w:keepLines w:val="0"/>
        <w:pageBreakBefore w:val="0"/>
        <w:kinsoku/>
        <w:overflowPunct/>
        <w:topLinePunct w:val="0"/>
        <w:bidi w:val="0"/>
        <w:spacing w:line="360" w:lineRule="auto"/>
        <w:ind w:firstLine="420"/>
        <w:rPr>
          <w:color w:val="auto"/>
          <w:highlight w:val="none"/>
        </w:rPr>
      </w:pPr>
      <w:r>
        <w:rPr>
          <w:rFonts w:hint="eastAsia" w:hAnsi="宋体"/>
          <w:color w:val="auto"/>
          <w:highlight w:val="none"/>
        </w:rPr>
        <w:t>地址：</w:t>
      </w:r>
      <w:r>
        <w:rPr>
          <w:rFonts w:hint="eastAsia" w:hAnsi="宋体"/>
          <w:color w:val="auto"/>
          <w:highlight w:val="none"/>
          <w:u w:val="single"/>
        </w:rPr>
        <w:t xml:space="preserve">                                   </w:t>
      </w:r>
      <w:r>
        <w:rPr>
          <w:rFonts w:hint="eastAsia" w:hAnsi="宋体"/>
          <w:color w:val="auto"/>
          <w:highlight w:val="none"/>
        </w:rPr>
        <w:t xml:space="preserve"> 邮编：</w:t>
      </w:r>
      <w:r>
        <w:rPr>
          <w:rFonts w:hint="eastAsia" w:hAnsi="宋体"/>
          <w:color w:val="auto"/>
          <w:highlight w:val="none"/>
          <w:u w:val="single"/>
        </w:rPr>
        <w:t xml:space="preserve">          </w:t>
      </w:r>
      <w:r>
        <w:rPr>
          <w:rFonts w:hint="eastAsia" w:hAnsi="宋体"/>
          <w:color w:val="auto"/>
          <w:highlight w:val="none"/>
        </w:rPr>
        <w:t xml:space="preserve">  </w:t>
      </w:r>
      <w:r>
        <w:rPr>
          <w:rFonts w:hint="eastAsia"/>
          <w:color w:val="auto"/>
          <w:highlight w:val="none"/>
        </w:rPr>
        <w:t>邮箱：</w:t>
      </w:r>
      <w:r>
        <w:rPr>
          <w:rFonts w:hint="eastAsia"/>
          <w:color w:val="auto"/>
          <w:highlight w:val="none"/>
          <w:u w:val="single"/>
        </w:rPr>
        <w:t xml:space="preserve">             </w:t>
      </w:r>
      <w:r>
        <w:rPr>
          <w:rFonts w:hint="eastAsia"/>
          <w:color w:val="auto"/>
          <w:highlight w:val="none"/>
        </w:rPr>
        <w:t xml:space="preserve"> </w:t>
      </w:r>
    </w:p>
    <w:p w14:paraId="61A2B3C6">
      <w:pPr>
        <w:pStyle w:val="26"/>
        <w:keepNext w:val="0"/>
        <w:keepLines w:val="0"/>
        <w:pageBreakBefore w:val="0"/>
        <w:kinsoku/>
        <w:overflowPunct/>
        <w:topLinePunct w:val="0"/>
        <w:bidi w:val="0"/>
        <w:spacing w:line="360" w:lineRule="auto"/>
        <w:ind w:firstLine="420"/>
        <w:rPr>
          <w:color w:val="auto"/>
          <w:highlight w:val="none"/>
          <w:u w:val="single"/>
        </w:rPr>
      </w:pPr>
      <w:r>
        <w:rPr>
          <w:rFonts w:hint="eastAsia"/>
          <w:color w:val="auto"/>
          <w:highlight w:val="none"/>
        </w:rPr>
        <w:t>办公电话：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4B260888">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color w:val="auto"/>
          <w:highlight w:val="none"/>
        </w:rPr>
        <w:t>委托代理人联系电话：</w:t>
      </w:r>
      <w:r>
        <w:rPr>
          <w:rFonts w:hint="eastAsia"/>
          <w:color w:val="auto"/>
          <w:highlight w:val="none"/>
          <w:u w:val="single"/>
        </w:rPr>
        <w:t xml:space="preserve">                </w:t>
      </w:r>
      <w:r>
        <w:rPr>
          <w:rFonts w:hint="eastAsia" w:hAnsi="宋体"/>
          <w:color w:val="auto"/>
          <w:highlight w:val="none"/>
        </w:rPr>
        <w:t>开户名称：</w:t>
      </w:r>
      <w:r>
        <w:rPr>
          <w:rFonts w:hint="eastAsia" w:hAnsi="宋体"/>
          <w:color w:val="auto"/>
          <w:highlight w:val="none"/>
          <w:u w:val="single"/>
        </w:rPr>
        <w:t xml:space="preserve">                                        </w:t>
      </w:r>
    </w:p>
    <w:p w14:paraId="2AFFEE3D">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r>
        <w:rPr>
          <w:rFonts w:hint="eastAsia" w:hAnsi="宋体"/>
          <w:color w:val="auto"/>
          <w:highlight w:val="none"/>
        </w:rPr>
        <w:t>账号：</w:t>
      </w:r>
      <w:r>
        <w:rPr>
          <w:rFonts w:hint="eastAsia" w:hAnsi="宋体"/>
          <w:color w:val="auto"/>
          <w:highlight w:val="none"/>
          <w:u w:val="single"/>
        </w:rPr>
        <w:t xml:space="preserve">                                   　　　   </w:t>
      </w:r>
    </w:p>
    <w:p w14:paraId="26ACA6DB">
      <w:pPr>
        <w:keepNext w:val="0"/>
        <w:keepLines w:val="0"/>
        <w:pageBreakBefore w:val="0"/>
        <w:kinsoku/>
        <w:overflowPunct/>
        <w:topLinePunct w:val="0"/>
        <w:bidi w:val="0"/>
        <w:snapToGrid w:val="0"/>
        <w:spacing w:line="360" w:lineRule="auto"/>
        <w:ind w:firstLine="42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1313736">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01BCF69D">
      <w:pPr>
        <w:keepNext w:val="0"/>
        <w:keepLines w:val="0"/>
        <w:pageBreakBefore w:val="0"/>
        <w:kinsoku/>
        <w:overflowPunct/>
        <w:topLinePunct w:val="0"/>
        <w:bidi w:val="0"/>
        <w:spacing w:line="360" w:lineRule="auto"/>
        <w:ind w:firstLine="435"/>
        <w:jc w:val="left"/>
        <w:rPr>
          <w:rFonts w:ascii="宋体" w:hAnsi="宋体"/>
          <w:color w:val="auto"/>
          <w:szCs w:val="21"/>
          <w:highlight w:val="none"/>
          <w:u w:val="single"/>
        </w:rPr>
      </w:pPr>
      <w:r>
        <w:rPr>
          <w:rFonts w:hint="eastAsia" w:hAnsi="宋体"/>
          <w:color w:val="auto"/>
          <w:highlight w:val="none"/>
        </w:rPr>
        <w:t>日     期：</w:t>
      </w:r>
      <w:r>
        <w:rPr>
          <w:rFonts w:hint="eastAsia" w:hAnsi="宋体"/>
          <w:color w:val="auto"/>
          <w:highlight w:val="none"/>
          <w:u w:val="single"/>
        </w:rPr>
        <w:t xml:space="preserve">                                                   </w:t>
      </w:r>
    </w:p>
    <w:p w14:paraId="03EFA634">
      <w:pPr>
        <w:pStyle w:val="26"/>
        <w:keepNext w:val="0"/>
        <w:keepLines w:val="0"/>
        <w:pageBreakBefore w:val="0"/>
        <w:kinsoku/>
        <w:overflowPunct/>
        <w:topLinePunct w:val="0"/>
        <w:bidi w:val="0"/>
        <w:spacing w:line="360" w:lineRule="auto"/>
        <w:rPr>
          <w:rFonts w:hAnsi="宋体"/>
          <w:b/>
          <w:bCs/>
          <w:color w:val="auto"/>
          <w:szCs w:val="21"/>
          <w:highlight w:val="none"/>
        </w:rPr>
      </w:pPr>
      <w:r>
        <w:rPr>
          <w:rFonts w:hint="eastAsia" w:hAnsi="宋体"/>
          <w:b/>
          <w:bCs/>
          <w:color w:val="auto"/>
          <w:szCs w:val="21"/>
          <w:highlight w:val="none"/>
        </w:rPr>
        <w:t>注：</w:t>
      </w:r>
    </w:p>
    <w:p w14:paraId="0E0B3A20">
      <w:pPr>
        <w:pStyle w:val="26"/>
        <w:keepNext w:val="0"/>
        <w:keepLines w:val="0"/>
        <w:pageBreakBefore w:val="0"/>
        <w:kinsoku/>
        <w:overflowPunct/>
        <w:topLinePunct w:val="0"/>
        <w:bidi w:val="0"/>
        <w:spacing w:line="360" w:lineRule="auto"/>
        <w:ind w:firstLine="316" w:firstLineChars="150"/>
        <w:rPr>
          <w:b/>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4932C46F">
      <w:pPr>
        <w:pStyle w:val="26"/>
        <w:keepNext w:val="0"/>
        <w:keepLines w:val="0"/>
        <w:pageBreakBefore w:val="0"/>
        <w:kinsoku/>
        <w:overflowPunct/>
        <w:topLinePunct w:val="0"/>
        <w:bidi w:val="0"/>
        <w:spacing w:line="360" w:lineRule="auto"/>
        <w:ind w:firstLine="315" w:firstLineChars="150"/>
        <w:rPr>
          <w:rFonts w:hAnsi="宋体"/>
          <w:b/>
          <w:color w:val="auto"/>
          <w:sz w:val="32"/>
          <w:szCs w:val="32"/>
          <w:highlight w:val="none"/>
        </w:rPr>
      </w:pPr>
      <w:r>
        <w:rPr>
          <w:rFonts w:hint="eastAsia" w:hAnsi="宋体"/>
          <w:bCs/>
          <w:color w:val="auto"/>
          <w:szCs w:val="21"/>
          <w:highlight w:val="none"/>
        </w:rPr>
        <w:t>2.如全部或部分产品属于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szCs w:val="21"/>
          <w:highlight w:val="none"/>
        </w:rPr>
        <w:t>，</w:t>
      </w:r>
      <w:r>
        <w:rPr>
          <w:rFonts w:hint="eastAsia" w:hAnsi="宋体"/>
          <w:color w:val="auto"/>
          <w:highlight w:val="none"/>
        </w:rPr>
        <w:t>投标文件中提供有效的认证证书复印件，并加盖投标人电子签章</w:t>
      </w:r>
      <w:r>
        <w:rPr>
          <w:rFonts w:hint="eastAsia" w:hAnsi="宋体"/>
          <w:bCs/>
          <w:color w:val="auto"/>
          <w:szCs w:val="21"/>
          <w:highlight w:val="none"/>
        </w:rPr>
        <w:t>，以便评标委员会作为评审或优先采购的依据。</w:t>
      </w:r>
    </w:p>
    <w:p w14:paraId="38E9BAA3">
      <w:pPr>
        <w:keepNext w:val="0"/>
        <w:keepLines w:val="0"/>
        <w:pageBreakBefore w:val="0"/>
        <w:tabs>
          <w:tab w:val="left" w:pos="1305"/>
        </w:tabs>
        <w:kinsoku/>
        <w:overflowPunct/>
        <w:topLinePunct w:val="0"/>
        <w:bidi w:val="0"/>
        <w:spacing w:line="360" w:lineRule="auto"/>
        <w:jc w:val="left"/>
        <w:rPr>
          <w:rFonts w:hint="eastAsia" w:hAnsi="宋体"/>
          <w:b/>
          <w:color w:val="auto"/>
          <w:sz w:val="32"/>
          <w:szCs w:val="32"/>
          <w:highlight w:val="none"/>
        </w:rPr>
      </w:pPr>
    </w:p>
    <w:p w14:paraId="00D67CB2">
      <w:pPr>
        <w:keepNext w:val="0"/>
        <w:keepLines w:val="0"/>
        <w:pageBreakBefore w:val="0"/>
        <w:tabs>
          <w:tab w:val="left" w:pos="1305"/>
        </w:tabs>
        <w:kinsoku/>
        <w:overflowPunct/>
        <w:topLinePunct w:val="0"/>
        <w:bidi w:val="0"/>
        <w:spacing w:line="360" w:lineRule="auto"/>
        <w:jc w:val="left"/>
        <w:rPr>
          <w:rFonts w:hint="eastAsia" w:hAnsi="宋体"/>
          <w:b/>
          <w:color w:val="auto"/>
          <w:sz w:val="32"/>
          <w:szCs w:val="32"/>
          <w:highlight w:val="none"/>
        </w:rPr>
      </w:pPr>
    </w:p>
    <w:p w14:paraId="3A7C68F1">
      <w:pPr>
        <w:keepNext w:val="0"/>
        <w:keepLines w:val="0"/>
        <w:pageBreakBefore w:val="0"/>
        <w:tabs>
          <w:tab w:val="left" w:pos="1305"/>
        </w:tabs>
        <w:kinsoku/>
        <w:overflowPunct/>
        <w:topLinePunct w:val="0"/>
        <w:bidi w:val="0"/>
        <w:spacing w:line="360" w:lineRule="auto"/>
        <w:jc w:val="left"/>
        <w:rPr>
          <w:rFonts w:hAnsi="宋体"/>
          <w:b/>
          <w:color w:val="auto"/>
          <w:sz w:val="32"/>
          <w:szCs w:val="32"/>
          <w:highlight w:val="none"/>
        </w:rPr>
      </w:pPr>
      <w:r>
        <w:rPr>
          <w:rFonts w:hint="eastAsia" w:hAnsi="宋体"/>
          <w:b/>
          <w:color w:val="auto"/>
          <w:sz w:val="32"/>
          <w:szCs w:val="32"/>
          <w:highlight w:val="none"/>
        </w:rPr>
        <w:t>3.技术偏离表（必须提供）</w:t>
      </w:r>
    </w:p>
    <w:p w14:paraId="6104BC1D">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7191D8C5">
      <w:pPr>
        <w:pStyle w:val="26"/>
        <w:keepNext w:val="0"/>
        <w:keepLines w:val="0"/>
        <w:pageBreakBefore w:val="0"/>
        <w:kinsoku/>
        <w:overflowPunct/>
        <w:topLinePunct w:val="0"/>
        <w:bidi w:val="0"/>
        <w:spacing w:line="360" w:lineRule="auto"/>
        <w:jc w:val="center"/>
        <w:rPr>
          <w:rFonts w:hAnsi="宋体"/>
          <w:b/>
          <w:bCs/>
          <w:color w:val="auto"/>
          <w:sz w:val="32"/>
          <w:highlight w:val="none"/>
        </w:rPr>
      </w:pPr>
      <w:r>
        <w:rPr>
          <w:rFonts w:hint="eastAsia" w:hAnsi="宋体"/>
          <w:b/>
          <w:color w:val="auto"/>
          <w:sz w:val="32"/>
          <w:szCs w:val="32"/>
          <w:highlight w:val="none"/>
        </w:rPr>
        <w:t>技术偏离表</w:t>
      </w:r>
      <w:r>
        <w:rPr>
          <w:rFonts w:hint="eastAsia" w:hAnsi="宋体"/>
          <w:b/>
          <w:bCs/>
          <w:color w:val="auto"/>
          <w:sz w:val="32"/>
          <w:highlight w:val="none"/>
        </w:rPr>
        <w:t>（格式）</w:t>
      </w: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68"/>
        <w:gridCol w:w="3241"/>
        <w:gridCol w:w="3101"/>
        <w:gridCol w:w="1186"/>
      </w:tblGrid>
      <w:tr w14:paraId="56B4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742" w:type="dxa"/>
            <w:vAlign w:val="center"/>
          </w:tcPr>
          <w:p w14:paraId="65DF9F1C">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项号</w:t>
            </w:r>
          </w:p>
        </w:tc>
        <w:tc>
          <w:tcPr>
            <w:tcW w:w="1268" w:type="dxa"/>
            <w:vAlign w:val="center"/>
          </w:tcPr>
          <w:p w14:paraId="3C87D698">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标的名称</w:t>
            </w:r>
          </w:p>
        </w:tc>
        <w:tc>
          <w:tcPr>
            <w:tcW w:w="3241" w:type="dxa"/>
            <w:vAlign w:val="center"/>
          </w:tcPr>
          <w:p w14:paraId="31979416">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招标文件的“技术要求”</w:t>
            </w:r>
          </w:p>
        </w:tc>
        <w:tc>
          <w:tcPr>
            <w:tcW w:w="3101" w:type="dxa"/>
            <w:vAlign w:val="center"/>
          </w:tcPr>
          <w:p w14:paraId="39E00DAE">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对应招标文件的“技术要求”，投标文件的详细响应情况</w:t>
            </w:r>
          </w:p>
        </w:tc>
        <w:tc>
          <w:tcPr>
            <w:tcW w:w="1186" w:type="dxa"/>
            <w:vAlign w:val="center"/>
          </w:tcPr>
          <w:p w14:paraId="17D8B95B">
            <w:pPr>
              <w:pStyle w:val="26"/>
              <w:keepNext w:val="0"/>
              <w:keepLines w:val="0"/>
              <w:pageBreakBefore w:val="0"/>
              <w:kinsoku/>
              <w:overflowPunct/>
              <w:topLinePunct w:val="0"/>
              <w:bidi w:val="0"/>
              <w:spacing w:line="360" w:lineRule="auto"/>
              <w:jc w:val="center"/>
              <w:rPr>
                <w:rFonts w:hAnsi="宋体"/>
                <w:color w:val="auto"/>
                <w:highlight w:val="none"/>
              </w:rPr>
            </w:pPr>
            <w:bookmarkStart w:id="32" w:name="_Toc254970701"/>
            <w:bookmarkStart w:id="33" w:name="_Toc254970560"/>
            <w:r>
              <w:rPr>
                <w:rFonts w:hint="eastAsia" w:hAnsi="宋体"/>
                <w:color w:val="auto"/>
                <w:highlight w:val="none"/>
              </w:rPr>
              <w:t>偏离情况</w:t>
            </w:r>
            <w:bookmarkEnd w:id="32"/>
            <w:bookmarkEnd w:id="33"/>
            <w:r>
              <w:rPr>
                <w:rFonts w:hint="eastAsia" w:hAnsi="宋体"/>
                <w:color w:val="auto"/>
                <w:highlight w:val="none"/>
              </w:rPr>
              <w:t>说明</w:t>
            </w:r>
          </w:p>
        </w:tc>
      </w:tr>
      <w:tr w14:paraId="70D1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42" w:type="dxa"/>
            <w:vAlign w:val="center"/>
          </w:tcPr>
          <w:p w14:paraId="6BF5A9CD">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1</w:t>
            </w:r>
          </w:p>
        </w:tc>
        <w:tc>
          <w:tcPr>
            <w:tcW w:w="1268" w:type="dxa"/>
            <w:vAlign w:val="center"/>
          </w:tcPr>
          <w:p w14:paraId="245EA2CD">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3241" w:type="dxa"/>
          </w:tcPr>
          <w:p w14:paraId="060B8EFD">
            <w:pPr>
              <w:pStyle w:val="26"/>
              <w:keepNext w:val="0"/>
              <w:keepLines w:val="0"/>
              <w:pageBreakBefore w:val="0"/>
              <w:kinsoku/>
              <w:overflowPunct/>
              <w:topLinePunct w:val="0"/>
              <w:bidi w:val="0"/>
              <w:spacing w:line="360" w:lineRule="auto"/>
              <w:rPr>
                <w:rFonts w:hAnsi="宋体"/>
                <w:color w:val="auto"/>
                <w:highlight w:val="none"/>
              </w:rPr>
            </w:pPr>
          </w:p>
        </w:tc>
        <w:tc>
          <w:tcPr>
            <w:tcW w:w="3101" w:type="dxa"/>
          </w:tcPr>
          <w:p w14:paraId="148AAB2C">
            <w:pPr>
              <w:pStyle w:val="26"/>
              <w:keepNext w:val="0"/>
              <w:keepLines w:val="0"/>
              <w:pageBreakBefore w:val="0"/>
              <w:kinsoku/>
              <w:overflowPunct/>
              <w:topLinePunct w:val="0"/>
              <w:bidi w:val="0"/>
              <w:spacing w:line="360" w:lineRule="auto"/>
              <w:rPr>
                <w:rFonts w:hAnsi="宋体"/>
                <w:color w:val="auto"/>
                <w:highlight w:val="none"/>
              </w:rPr>
            </w:pPr>
          </w:p>
        </w:tc>
        <w:tc>
          <w:tcPr>
            <w:tcW w:w="1186" w:type="dxa"/>
          </w:tcPr>
          <w:p w14:paraId="40AECBD6">
            <w:pPr>
              <w:pStyle w:val="26"/>
              <w:keepNext w:val="0"/>
              <w:keepLines w:val="0"/>
              <w:pageBreakBefore w:val="0"/>
              <w:kinsoku/>
              <w:overflowPunct/>
              <w:topLinePunct w:val="0"/>
              <w:bidi w:val="0"/>
              <w:spacing w:line="360" w:lineRule="auto"/>
              <w:rPr>
                <w:rFonts w:hAnsi="宋体"/>
                <w:color w:val="auto"/>
                <w:highlight w:val="none"/>
              </w:rPr>
            </w:pPr>
          </w:p>
        </w:tc>
      </w:tr>
      <w:tr w14:paraId="3342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42" w:type="dxa"/>
            <w:vAlign w:val="center"/>
          </w:tcPr>
          <w:p w14:paraId="26D1A2F1">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2</w:t>
            </w:r>
          </w:p>
        </w:tc>
        <w:tc>
          <w:tcPr>
            <w:tcW w:w="1268" w:type="dxa"/>
            <w:vAlign w:val="center"/>
          </w:tcPr>
          <w:p w14:paraId="2AB5095C">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3241" w:type="dxa"/>
          </w:tcPr>
          <w:p w14:paraId="4755ADE1">
            <w:pPr>
              <w:pStyle w:val="26"/>
              <w:keepNext w:val="0"/>
              <w:keepLines w:val="0"/>
              <w:pageBreakBefore w:val="0"/>
              <w:kinsoku/>
              <w:overflowPunct/>
              <w:topLinePunct w:val="0"/>
              <w:bidi w:val="0"/>
              <w:spacing w:line="360" w:lineRule="auto"/>
              <w:rPr>
                <w:rFonts w:hAnsi="宋体"/>
                <w:color w:val="auto"/>
                <w:highlight w:val="none"/>
              </w:rPr>
            </w:pPr>
          </w:p>
        </w:tc>
        <w:tc>
          <w:tcPr>
            <w:tcW w:w="3101" w:type="dxa"/>
          </w:tcPr>
          <w:p w14:paraId="58933282">
            <w:pPr>
              <w:pStyle w:val="26"/>
              <w:keepNext w:val="0"/>
              <w:keepLines w:val="0"/>
              <w:pageBreakBefore w:val="0"/>
              <w:kinsoku/>
              <w:overflowPunct/>
              <w:topLinePunct w:val="0"/>
              <w:bidi w:val="0"/>
              <w:spacing w:line="360" w:lineRule="auto"/>
              <w:rPr>
                <w:rFonts w:hAnsi="宋体"/>
                <w:color w:val="auto"/>
                <w:highlight w:val="none"/>
              </w:rPr>
            </w:pPr>
          </w:p>
        </w:tc>
        <w:tc>
          <w:tcPr>
            <w:tcW w:w="1186" w:type="dxa"/>
          </w:tcPr>
          <w:p w14:paraId="02705E9F">
            <w:pPr>
              <w:pStyle w:val="26"/>
              <w:keepNext w:val="0"/>
              <w:keepLines w:val="0"/>
              <w:pageBreakBefore w:val="0"/>
              <w:kinsoku/>
              <w:overflowPunct/>
              <w:topLinePunct w:val="0"/>
              <w:bidi w:val="0"/>
              <w:spacing w:line="360" w:lineRule="auto"/>
              <w:rPr>
                <w:rFonts w:hAnsi="宋体"/>
                <w:color w:val="auto"/>
                <w:highlight w:val="none"/>
              </w:rPr>
            </w:pPr>
          </w:p>
        </w:tc>
      </w:tr>
    </w:tbl>
    <w:p w14:paraId="498EEFE5">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3AD028A0">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70566C90">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04A598E6">
      <w:pPr>
        <w:pStyle w:val="26"/>
        <w:keepNext w:val="0"/>
        <w:keepLines w:val="0"/>
        <w:pageBreakBefore w:val="0"/>
        <w:kinsoku/>
        <w:overflowPunct/>
        <w:topLinePunct w:val="0"/>
        <w:bidi w:val="0"/>
        <w:spacing w:line="360" w:lineRule="auto"/>
        <w:rPr>
          <w:rFonts w:hAnsi="宋体"/>
          <w:b/>
          <w:color w:val="auto"/>
          <w:highlight w:val="none"/>
        </w:rPr>
      </w:pPr>
      <w:r>
        <w:rPr>
          <w:rFonts w:hint="eastAsia" w:hAnsi="宋体"/>
          <w:b/>
          <w:color w:val="auto"/>
          <w:highlight w:val="none"/>
        </w:rPr>
        <w:t xml:space="preserve">   </w:t>
      </w:r>
    </w:p>
    <w:p w14:paraId="72325F98">
      <w:pPr>
        <w:pStyle w:val="26"/>
        <w:keepNext w:val="0"/>
        <w:keepLines w:val="0"/>
        <w:pageBreakBefore w:val="0"/>
        <w:kinsoku/>
        <w:overflowPunct/>
        <w:topLinePunct w:val="0"/>
        <w:bidi w:val="0"/>
        <w:spacing w:line="360" w:lineRule="auto"/>
        <w:rPr>
          <w:rFonts w:hAnsi="宋体"/>
          <w:b/>
          <w:color w:val="auto"/>
          <w:highlight w:val="none"/>
        </w:rPr>
      </w:pPr>
      <w:r>
        <w:rPr>
          <w:rFonts w:hint="eastAsia" w:hAnsi="宋体"/>
          <w:b/>
          <w:color w:val="auto"/>
          <w:highlight w:val="none"/>
        </w:rPr>
        <w:t>注：1. 说明：投标人应对照招标文件第三章“采购需求”中的“技术要求”逐条作出明确响应，并作出偏离说明。</w:t>
      </w:r>
    </w:p>
    <w:p w14:paraId="0E2E50CC">
      <w:pPr>
        <w:pStyle w:val="26"/>
        <w:keepNext w:val="0"/>
        <w:keepLines w:val="0"/>
        <w:pageBreakBefore w:val="0"/>
        <w:kinsoku/>
        <w:overflowPunct/>
        <w:topLinePunct w:val="0"/>
        <w:bidi w:val="0"/>
        <w:spacing w:line="360" w:lineRule="auto"/>
        <w:rPr>
          <w:rFonts w:hAnsi="宋体"/>
          <w:b/>
          <w:color w:val="auto"/>
          <w:highlight w:val="none"/>
        </w:rPr>
      </w:pPr>
      <w:r>
        <w:rPr>
          <w:rFonts w:hint="eastAsia" w:hAnsi="宋体"/>
          <w:b/>
          <w:color w:val="auto"/>
          <w:highlight w:val="none"/>
        </w:rPr>
        <w:t>2. 投标人应根据投标设备的性能指标，对照招标文件要求，在“偏离说明”中注明“正偏离”、“负偏离”或者“无偏离”。既不属于“正偏离”也不属于“负偏离”即为“无偏离”。</w:t>
      </w:r>
    </w:p>
    <w:p w14:paraId="0F369493">
      <w:pPr>
        <w:pStyle w:val="26"/>
        <w:keepNext w:val="0"/>
        <w:keepLines w:val="0"/>
        <w:pageBreakBefore w:val="0"/>
        <w:kinsoku/>
        <w:overflowPunct/>
        <w:topLinePunct w:val="0"/>
        <w:bidi w:val="0"/>
        <w:spacing w:line="360" w:lineRule="auto"/>
        <w:rPr>
          <w:rFonts w:hAnsi="宋体"/>
          <w:b/>
          <w:color w:val="auto"/>
          <w:highlight w:val="none"/>
        </w:rPr>
      </w:pPr>
    </w:p>
    <w:p w14:paraId="3892B50B">
      <w:pPr>
        <w:pStyle w:val="26"/>
        <w:keepNext w:val="0"/>
        <w:keepLines w:val="0"/>
        <w:pageBreakBefore w:val="0"/>
        <w:kinsoku/>
        <w:overflowPunct/>
        <w:topLinePunct w:val="0"/>
        <w:bidi w:val="0"/>
        <w:spacing w:line="360" w:lineRule="auto"/>
        <w:rPr>
          <w:rFonts w:hint="eastAsia" w:hAnsi="宋体"/>
          <w:b/>
          <w:color w:val="auto"/>
          <w:sz w:val="32"/>
          <w:szCs w:val="32"/>
          <w:highlight w:val="none"/>
        </w:rPr>
      </w:pPr>
    </w:p>
    <w:p w14:paraId="5EDCC934">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4.商务响应表（必须提供）</w:t>
      </w:r>
    </w:p>
    <w:p w14:paraId="22AD56FA">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附件：</w:t>
      </w:r>
    </w:p>
    <w:p w14:paraId="67336374">
      <w:pPr>
        <w:pStyle w:val="26"/>
        <w:keepNext w:val="0"/>
        <w:keepLines w:val="0"/>
        <w:pageBreakBefore w:val="0"/>
        <w:kinsoku/>
        <w:overflowPunct/>
        <w:topLinePunct w:val="0"/>
        <w:bidi w:val="0"/>
        <w:spacing w:line="360" w:lineRule="auto"/>
        <w:jc w:val="center"/>
        <w:rPr>
          <w:rFonts w:hAnsi="宋体"/>
          <w:b/>
          <w:bCs/>
          <w:color w:val="auto"/>
          <w:sz w:val="32"/>
          <w:highlight w:val="none"/>
        </w:rPr>
      </w:pPr>
      <w:r>
        <w:rPr>
          <w:rFonts w:hint="eastAsia" w:hAnsi="宋体"/>
          <w:b/>
          <w:bCs/>
          <w:color w:val="auto"/>
          <w:sz w:val="32"/>
          <w:highlight w:val="none"/>
        </w:rPr>
        <w:t>商务响应表（格式）</w:t>
      </w: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33D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574DCE3D">
            <w:pPr>
              <w:keepNext w:val="0"/>
              <w:keepLines w:val="0"/>
              <w:pageBreakBefore w:val="0"/>
              <w:kinsoku/>
              <w:overflowPunct/>
              <w:topLinePunct w:val="0"/>
              <w:bidi w:val="0"/>
              <w:snapToGrid w:val="0"/>
              <w:spacing w:before="156" w:beforeLines="50" w:line="360" w:lineRule="auto"/>
              <w:jc w:val="center"/>
              <w:rPr>
                <w:rFonts w:ascii="宋体" w:hAnsi="宋体"/>
                <w:color w:val="auto"/>
                <w:szCs w:val="21"/>
                <w:highlight w:val="none"/>
              </w:rPr>
            </w:pPr>
            <w:r>
              <w:rPr>
                <w:rFonts w:hint="eastAsia" w:ascii="宋体" w:hAnsi="宋体"/>
                <w:color w:val="auto"/>
                <w:szCs w:val="21"/>
                <w:highlight w:val="none"/>
              </w:rPr>
              <w:t>条款</w:t>
            </w:r>
          </w:p>
        </w:tc>
        <w:tc>
          <w:tcPr>
            <w:tcW w:w="3876" w:type="dxa"/>
            <w:vAlign w:val="center"/>
          </w:tcPr>
          <w:p w14:paraId="3229E221">
            <w:pPr>
              <w:keepNext w:val="0"/>
              <w:keepLines w:val="0"/>
              <w:pageBreakBefore w:val="0"/>
              <w:kinsoku/>
              <w:overflowPunct/>
              <w:topLinePunct w:val="0"/>
              <w:bidi w:val="0"/>
              <w:snapToGrid w:val="0"/>
              <w:spacing w:before="156" w:beforeLines="50" w:line="360" w:lineRule="auto"/>
              <w:jc w:val="center"/>
              <w:rPr>
                <w:rFonts w:ascii="宋体" w:hAnsi="宋体"/>
                <w:color w:val="auto"/>
                <w:szCs w:val="21"/>
                <w:highlight w:val="none"/>
              </w:rPr>
            </w:pPr>
            <w:r>
              <w:rPr>
                <w:rFonts w:hint="eastAsia" w:ascii="宋体" w:hAnsi="宋体"/>
                <w:color w:val="auto"/>
                <w:szCs w:val="21"/>
                <w:highlight w:val="none"/>
              </w:rPr>
              <w:t>招标文件的“商务要求”</w:t>
            </w:r>
          </w:p>
        </w:tc>
        <w:tc>
          <w:tcPr>
            <w:tcW w:w="3550" w:type="dxa"/>
            <w:vAlign w:val="center"/>
          </w:tcPr>
          <w:p w14:paraId="1A6B5CFA">
            <w:pPr>
              <w:keepNext w:val="0"/>
              <w:keepLines w:val="0"/>
              <w:pageBreakBefore w:val="0"/>
              <w:kinsoku/>
              <w:overflowPunct/>
              <w:topLinePunct w:val="0"/>
              <w:bidi w:val="0"/>
              <w:snapToGrid w:val="0"/>
              <w:spacing w:before="156" w:beforeLines="50" w:line="360" w:lineRule="auto"/>
              <w:jc w:val="center"/>
              <w:rPr>
                <w:rFonts w:ascii="宋体" w:hAnsi="宋体"/>
                <w:color w:val="auto"/>
                <w:szCs w:val="21"/>
                <w:highlight w:val="none"/>
              </w:rPr>
            </w:pPr>
            <w:r>
              <w:rPr>
                <w:rFonts w:hint="eastAsia" w:hAnsi="宋体"/>
                <w:color w:val="auto"/>
                <w:szCs w:val="20"/>
                <w:highlight w:val="none"/>
              </w:rPr>
              <w:t>对应招标文件的“商务要求”，投标文件的详细响应情况</w:t>
            </w:r>
          </w:p>
        </w:tc>
      </w:tr>
      <w:tr w14:paraId="5B3C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EB6F08">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售后服务要求及质量保证期</w:t>
            </w:r>
          </w:p>
        </w:tc>
        <w:tc>
          <w:tcPr>
            <w:tcW w:w="3876" w:type="dxa"/>
            <w:vAlign w:val="center"/>
          </w:tcPr>
          <w:p w14:paraId="6A0D184B">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vAlign w:val="center"/>
          </w:tcPr>
          <w:p w14:paraId="2700F137">
            <w:pPr>
              <w:pStyle w:val="26"/>
              <w:keepNext w:val="0"/>
              <w:keepLines w:val="0"/>
              <w:pageBreakBefore w:val="0"/>
              <w:kinsoku/>
              <w:overflowPunct/>
              <w:topLinePunct w:val="0"/>
              <w:bidi w:val="0"/>
              <w:spacing w:line="360" w:lineRule="auto"/>
              <w:jc w:val="center"/>
              <w:rPr>
                <w:rFonts w:hAnsi="宋体"/>
                <w:color w:val="auto"/>
                <w:highlight w:val="none"/>
              </w:rPr>
            </w:pPr>
          </w:p>
        </w:tc>
      </w:tr>
      <w:tr w14:paraId="4579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0721B59">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交付使用时间及地点</w:t>
            </w:r>
          </w:p>
        </w:tc>
        <w:tc>
          <w:tcPr>
            <w:tcW w:w="3876" w:type="dxa"/>
            <w:vAlign w:val="center"/>
          </w:tcPr>
          <w:p w14:paraId="248E144D">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2ED562EA">
            <w:pPr>
              <w:pStyle w:val="26"/>
              <w:keepNext w:val="0"/>
              <w:keepLines w:val="0"/>
              <w:pageBreakBefore w:val="0"/>
              <w:kinsoku/>
              <w:overflowPunct/>
              <w:topLinePunct w:val="0"/>
              <w:bidi w:val="0"/>
              <w:spacing w:line="360" w:lineRule="auto"/>
              <w:rPr>
                <w:rFonts w:hAnsi="宋体"/>
                <w:color w:val="auto"/>
                <w:highlight w:val="none"/>
              </w:rPr>
            </w:pPr>
          </w:p>
        </w:tc>
      </w:tr>
      <w:tr w14:paraId="2FFA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AC9BEC5">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付款方式及履约保证金</w:t>
            </w:r>
          </w:p>
        </w:tc>
        <w:tc>
          <w:tcPr>
            <w:tcW w:w="3876" w:type="dxa"/>
            <w:vAlign w:val="center"/>
          </w:tcPr>
          <w:p w14:paraId="281F7208">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00D14152">
            <w:pPr>
              <w:pStyle w:val="26"/>
              <w:keepNext w:val="0"/>
              <w:keepLines w:val="0"/>
              <w:pageBreakBefore w:val="0"/>
              <w:kinsoku/>
              <w:overflowPunct/>
              <w:topLinePunct w:val="0"/>
              <w:bidi w:val="0"/>
              <w:spacing w:line="360" w:lineRule="auto"/>
              <w:rPr>
                <w:rFonts w:hAnsi="宋体"/>
                <w:color w:val="auto"/>
                <w:highlight w:val="none"/>
              </w:rPr>
            </w:pPr>
          </w:p>
        </w:tc>
      </w:tr>
      <w:tr w14:paraId="2899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79F11F9A">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验收标准</w:t>
            </w:r>
          </w:p>
        </w:tc>
        <w:tc>
          <w:tcPr>
            <w:tcW w:w="3876" w:type="dxa"/>
            <w:vAlign w:val="center"/>
          </w:tcPr>
          <w:p w14:paraId="383B60F5">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1F383AD8">
            <w:pPr>
              <w:pStyle w:val="26"/>
              <w:keepNext w:val="0"/>
              <w:keepLines w:val="0"/>
              <w:pageBreakBefore w:val="0"/>
              <w:kinsoku/>
              <w:overflowPunct/>
              <w:topLinePunct w:val="0"/>
              <w:bidi w:val="0"/>
              <w:spacing w:line="360" w:lineRule="auto"/>
              <w:rPr>
                <w:rFonts w:hAnsi="宋体"/>
                <w:color w:val="auto"/>
                <w:highlight w:val="none"/>
              </w:rPr>
            </w:pPr>
          </w:p>
        </w:tc>
      </w:tr>
      <w:tr w14:paraId="1951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958932">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其他要求</w:t>
            </w:r>
          </w:p>
        </w:tc>
        <w:tc>
          <w:tcPr>
            <w:tcW w:w="3876" w:type="dxa"/>
            <w:vAlign w:val="center"/>
          </w:tcPr>
          <w:p w14:paraId="299A94E7">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4B6A694B">
            <w:pPr>
              <w:pStyle w:val="26"/>
              <w:keepNext w:val="0"/>
              <w:keepLines w:val="0"/>
              <w:pageBreakBefore w:val="0"/>
              <w:kinsoku/>
              <w:overflowPunct/>
              <w:topLinePunct w:val="0"/>
              <w:bidi w:val="0"/>
              <w:spacing w:line="360" w:lineRule="auto"/>
              <w:rPr>
                <w:rFonts w:hAnsi="宋体"/>
                <w:color w:val="auto"/>
                <w:highlight w:val="none"/>
              </w:rPr>
            </w:pPr>
          </w:p>
        </w:tc>
      </w:tr>
    </w:tbl>
    <w:p w14:paraId="7A0C253B">
      <w:pPr>
        <w:keepNext w:val="0"/>
        <w:keepLines w:val="0"/>
        <w:pageBreakBefore w:val="0"/>
        <w:kinsoku/>
        <w:overflowPunct/>
        <w:topLinePunct w:val="0"/>
        <w:bidi w:val="0"/>
        <w:snapToGrid w:val="0"/>
        <w:spacing w:line="360" w:lineRule="auto"/>
        <w:jc w:val="left"/>
        <w:outlineLvl w:val="4"/>
        <w:rPr>
          <w:rFonts w:ascii="宋体" w:hAnsi="宋体"/>
          <w:color w:val="auto"/>
          <w:szCs w:val="21"/>
          <w:highlight w:val="none"/>
        </w:rPr>
      </w:pPr>
      <w:r>
        <w:rPr>
          <w:rFonts w:hint="eastAsia" w:ascii="宋体" w:hAnsi="宋体"/>
          <w:color w:val="auto"/>
          <w:szCs w:val="21"/>
          <w:highlight w:val="none"/>
        </w:rPr>
        <w:t xml:space="preserve">            </w:t>
      </w:r>
    </w:p>
    <w:p w14:paraId="7AE1E254">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5304542B">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284CA49E">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B07B45C">
      <w:pPr>
        <w:keepNext w:val="0"/>
        <w:keepLines w:val="0"/>
        <w:pageBreakBefore w:val="0"/>
        <w:kinsoku/>
        <w:overflowPunct/>
        <w:topLinePunct w:val="0"/>
        <w:bidi w:val="0"/>
        <w:snapToGrid w:val="0"/>
        <w:spacing w:line="360" w:lineRule="auto"/>
        <w:jc w:val="left"/>
        <w:outlineLvl w:val="4"/>
        <w:rPr>
          <w:rFonts w:hAnsi="宋体"/>
          <w:b/>
          <w:color w:val="auto"/>
          <w:highlight w:val="none"/>
        </w:rPr>
      </w:pPr>
    </w:p>
    <w:p w14:paraId="649BFD73">
      <w:pPr>
        <w:pStyle w:val="26"/>
        <w:keepNext w:val="0"/>
        <w:keepLines w:val="0"/>
        <w:pageBreakBefore w:val="0"/>
        <w:kinsoku/>
        <w:overflowPunct/>
        <w:topLinePunct w:val="0"/>
        <w:bidi w:val="0"/>
        <w:spacing w:line="360" w:lineRule="auto"/>
        <w:rPr>
          <w:rFonts w:hint="eastAsia" w:hAnsi="宋体"/>
          <w:b/>
          <w:color w:val="auto"/>
          <w:sz w:val="32"/>
          <w:szCs w:val="32"/>
          <w:highlight w:val="none"/>
        </w:rPr>
      </w:pPr>
    </w:p>
    <w:p w14:paraId="01A365D2">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5.“采购需求”中要求必须提供的有效证明文件（“采购需求”中要求必须提供的，必须提供）</w:t>
      </w:r>
    </w:p>
    <w:p w14:paraId="34A06E6F">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41E13299">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73F62F98">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rPr>
      </w:pPr>
      <w:r>
        <w:rPr>
          <w:rFonts w:hint="eastAsia" w:ascii="宋体" w:hAnsi="宋体"/>
          <w:b/>
          <w:color w:val="auto"/>
          <w:sz w:val="32"/>
          <w:szCs w:val="32"/>
          <w:highlight w:val="none"/>
          <w:lang w:val="en-US" w:eastAsia="zh-CN"/>
        </w:rPr>
        <w:t>6.项目</w:t>
      </w:r>
      <w:r>
        <w:rPr>
          <w:rFonts w:hint="eastAsia" w:ascii="宋体" w:hAnsi="宋体"/>
          <w:b/>
          <w:color w:val="auto"/>
          <w:sz w:val="32"/>
          <w:szCs w:val="32"/>
          <w:highlight w:val="none"/>
        </w:rPr>
        <w:t>实施方案（如有，请提供）；</w:t>
      </w:r>
    </w:p>
    <w:p w14:paraId="0F2BB96D">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7621FB55">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432BCCF5">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74C2CE0A">
      <w:pPr>
        <w:keepNext w:val="0"/>
        <w:keepLines w:val="0"/>
        <w:pageBreakBefore w:val="0"/>
        <w:numPr>
          <w:ilvl w:val="0"/>
          <w:numId w:val="0"/>
        </w:numPr>
        <w:kinsoku/>
        <w:overflowPunct/>
        <w:topLinePunct w:val="0"/>
        <w:bidi w:val="0"/>
        <w:spacing w:line="360" w:lineRule="auto"/>
        <w:rPr>
          <w:rFonts w:ascii="宋体" w:hAnsi="宋体"/>
          <w:b/>
          <w:color w:val="auto"/>
          <w:sz w:val="32"/>
          <w:szCs w:val="32"/>
          <w:highlight w:val="none"/>
        </w:rPr>
      </w:pPr>
      <w:r>
        <w:rPr>
          <w:rFonts w:hint="eastAsia" w:ascii="宋体" w:hAnsi="宋体"/>
          <w:b/>
          <w:color w:val="auto"/>
          <w:sz w:val="32"/>
          <w:szCs w:val="32"/>
          <w:highlight w:val="none"/>
          <w:lang w:val="en-US" w:eastAsia="zh-CN"/>
        </w:rPr>
        <w:t>7.</w:t>
      </w:r>
      <w:r>
        <w:rPr>
          <w:rFonts w:hint="eastAsia" w:ascii="宋体" w:hAnsi="宋体"/>
          <w:b/>
          <w:color w:val="auto"/>
          <w:sz w:val="32"/>
          <w:szCs w:val="32"/>
          <w:highlight w:val="none"/>
        </w:rPr>
        <w:t>配送及安装实施方案（如有，请提供）</w:t>
      </w:r>
    </w:p>
    <w:p w14:paraId="771BAB98">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36923019">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p>
    <w:p w14:paraId="00F33CE0">
      <w:pPr>
        <w:pStyle w:val="26"/>
        <w:keepNext w:val="0"/>
        <w:keepLines w:val="0"/>
        <w:pageBreakBefore w:val="0"/>
        <w:kinsoku/>
        <w:overflowPunct/>
        <w:topLinePunct w:val="0"/>
        <w:bidi w:val="0"/>
        <w:spacing w:line="360" w:lineRule="auto"/>
        <w:ind w:firstLine="472" w:firstLineChars="147"/>
        <w:jc w:val="center"/>
        <w:rPr>
          <w:rFonts w:hAnsi="宋体"/>
          <w:b/>
          <w:bCs/>
          <w:color w:val="auto"/>
          <w:sz w:val="32"/>
          <w:highlight w:val="none"/>
        </w:rPr>
      </w:pPr>
      <w:r>
        <w:rPr>
          <w:rFonts w:hint="eastAsia" w:hAnsi="宋体"/>
          <w:b/>
          <w:color w:val="auto"/>
          <w:sz w:val="32"/>
          <w:szCs w:val="32"/>
          <w:highlight w:val="none"/>
        </w:rPr>
        <w:t>配送及安装实施方案</w:t>
      </w:r>
      <w:r>
        <w:rPr>
          <w:rFonts w:hint="eastAsia" w:hAnsi="宋体"/>
          <w:b/>
          <w:bCs/>
          <w:color w:val="auto"/>
          <w:sz w:val="32"/>
          <w:highlight w:val="none"/>
        </w:rPr>
        <w:t>（格式）</w:t>
      </w:r>
    </w:p>
    <w:p w14:paraId="20FDBF14">
      <w:pPr>
        <w:keepNext w:val="0"/>
        <w:keepLines w:val="0"/>
        <w:pageBreakBefore w:val="0"/>
        <w:kinsoku/>
        <w:overflowPunct/>
        <w:topLinePunct w:val="0"/>
        <w:bidi w:val="0"/>
        <w:spacing w:line="360" w:lineRule="auto"/>
        <w:ind w:left="840" w:leftChars="400"/>
        <w:rPr>
          <w:color w:val="auto"/>
          <w:highlight w:val="none"/>
        </w:rPr>
      </w:pPr>
      <w:r>
        <w:rPr>
          <w:rFonts w:hAnsi="宋体"/>
          <w:color w:val="auto"/>
          <w:szCs w:val="21"/>
          <w:highlight w:val="none"/>
        </w:rPr>
        <w:t>……</w:t>
      </w:r>
    </w:p>
    <w:p w14:paraId="1A635844">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46DC2E5E">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1C6E5608">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78EA4F2A">
      <w:pPr>
        <w:keepNext w:val="0"/>
        <w:keepLines w:val="0"/>
        <w:pageBreakBefore w:val="0"/>
        <w:kinsoku/>
        <w:overflowPunct/>
        <w:topLinePunct w:val="0"/>
        <w:bidi w:val="0"/>
        <w:spacing w:line="360" w:lineRule="auto"/>
        <w:rPr>
          <w:rFonts w:ascii="宋体" w:hAnsi="宋体"/>
          <w:color w:val="auto"/>
          <w:spacing w:val="-4"/>
          <w:highlight w:val="none"/>
        </w:rPr>
      </w:pPr>
    </w:p>
    <w:p w14:paraId="124D31D9">
      <w:pPr>
        <w:keepNext w:val="0"/>
        <w:keepLines w:val="0"/>
        <w:pageBreakBefore w:val="0"/>
        <w:kinsoku/>
        <w:overflowPunct/>
        <w:topLinePunct w:val="0"/>
        <w:bidi w:val="0"/>
        <w:spacing w:line="360" w:lineRule="auto"/>
        <w:rPr>
          <w:rFonts w:ascii="宋体" w:hAnsi="宋体"/>
          <w:color w:val="auto"/>
          <w:spacing w:val="-4"/>
          <w:highlight w:val="none"/>
        </w:rPr>
      </w:pPr>
    </w:p>
    <w:p w14:paraId="6B5BA2B8">
      <w:pPr>
        <w:keepNext w:val="0"/>
        <w:keepLines w:val="0"/>
        <w:pageBreakBefore w:val="0"/>
        <w:kinsoku/>
        <w:overflowPunct/>
        <w:topLinePunct w:val="0"/>
        <w:bidi w:val="0"/>
        <w:spacing w:line="360" w:lineRule="auto"/>
        <w:rPr>
          <w:rFonts w:ascii="宋体" w:hAnsi="宋体"/>
          <w:b/>
          <w:color w:val="auto"/>
          <w:sz w:val="32"/>
          <w:szCs w:val="32"/>
          <w:highlight w:val="none"/>
        </w:rPr>
      </w:pPr>
    </w:p>
    <w:p w14:paraId="6A5B5437">
      <w:pPr>
        <w:keepNext w:val="0"/>
        <w:keepLines w:val="0"/>
        <w:pageBreakBefore w:val="0"/>
        <w:kinsoku/>
        <w:overflowPunct/>
        <w:topLinePunct w:val="0"/>
        <w:bidi w:val="0"/>
        <w:spacing w:line="360" w:lineRule="auto"/>
        <w:rPr>
          <w:rFonts w:ascii="宋体" w:hAnsi="宋体"/>
          <w:b/>
          <w:color w:val="auto"/>
          <w:sz w:val="32"/>
          <w:szCs w:val="32"/>
          <w:highlight w:val="none"/>
        </w:rPr>
      </w:pPr>
      <w:r>
        <w:rPr>
          <w:rFonts w:hint="eastAsia" w:ascii="宋体" w:hAnsi="宋体"/>
          <w:b/>
          <w:color w:val="auto"/>
          <w:sz w:val="32"/>
          <w:szCs w:val="32"/>
          <w:highlight w:val="none"/>
          <w:lang w:val="en-US" w:eastAsia="zh-CN"/>
        </w:rPr>
        <w:t>8</w:t>
      </w:r>
      <w:r>
        <w:rPr>
          <w:rFonts w:hint="eastAsia" w:ascii="宋体" w:hAnsi="宋体"/>
          <w:b/>
          <w:color w:val="auto"/>
          <w:sz w:val="32"/>
          <w:szCs w:val="32"/>
          <w:highlight w:val="none"/>
        </w:rPr>
        <w:t>.售后服务方案（如有，请提供）</w:t>
      </w:r>
    </w:p>
    <w:p w14:paraId="4740EE77">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385539DE">
      <w:pPr>
        <w:pStyle w:val="26"/>
        <w:keepNext w:val="0"/>
        <w:keepLines w:val="0"/>
        <w:pageBreakBefore w:val="0"/>
        <w:kinsoku/>
        <w:overflowPunct/>
        <w:topLinePunct w:val="0"/>
        <w:bidi w:val="0"/>
        <w:spacing w:line="360" w:lineRule="auto"/>
        <w:ind w:firstLine="472" w:firstLineChars="147"/>
        <w:jc w:val="center"/>
        <w:rPr>
          <w:rFonts w:hAnsi="宋体"/>
          <w:b/>
          <w:bCs/>
          <w:color w:val="auto"/>
          <w:sz w:val="32"/>
          <w:highlight w:val="none"/>
        </w:rPr>
      </w:pPr>
      <w:r>
        <w:rPr>
          <w:rFonts w:hint="eastAsia" w:hAnsi="宋体"/>
          <w:b/>
          <w:bCs/>
          <w:color w:val="auto"/>
          <w:sz w:val="32"/>
          <w:highlight w:val="none"/>
        </w:rPr>
        <w:t>售后服务方案（格式）</w:t>
      </w:r>
    </w:p>
    <w:p w14:paraId="1CAD5335">
      <w:pPr>
        <w:keepNext w:val="0"/>
        <w:keepLines w:val="0"/>
        <w:pageBreakBefore w:val="0"/>
        <w:kinsoku/>
        <w:overflowPunct/>
        <w:topLinePunct w:val="0"/>
        <w:bidi w:val="0"/>
        <w:spacing w:line="360" w:lineRule="auto"/>
        <w:ind w:left="840" w:leftChars="400"/>
        <w:rPr>
          <w:color w:val="auto"/>
          <w:highlight w:val="none"/>
        </w:rPr>
      </w:pPr>
      <w:r>
        <w:rPr>
          <w:rFonts w:hAnsi="宋体"/>
          <w:color w:val="auto"/>
          <w:szCs w:val="21"/>
          <w:highlight w:val="none"/>
        </w:rPr>
        <w:t>……</w:t>
      </w:r>
    </w:p>
    <w:p w14:paraId="7894991E">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1131386F">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0317DAB7">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F21B032">
      <w:pPr>
        <w:keepNext w:val="0"/>
        <w:keepLines w:val="0"/>
        <w:pageBreakBefore w:val="0"/>
        <w:kinsoku/>
        <w:overflowPunct/>
        <w:topLinePunct w:val="0"/>
        <w:bidi w:val="0"/>
        <w:spacing w:line="360" w:lineRule="auto"/>
        <w:rPr>
          <w:rFonts w:ascii="宋体" w:hAnsi="宋体"/>
          <w:b/>
          <w:color w:val="auto"/>
          <w:sz w:val="32"/>
          <w:szCs w:val="32"/>
          <w:highlight w:val="none"/>
        </w:rPr>
      </w:pPr>
    </w:p>
    <w:p w14:paraId="4730DAF9">
      <w:pPr>
        <w:pStyle w:val="26"/>
        <w:keepNext w:val="0"/>
        <w:keepLines w:val="0"/>
        <w:pageBreakBefore w:val="0"/>
        <w:kinsoku/>
        <w:overflowPunct/>
        <w:topLinePunct w:val="0"/>
        <w:bidi w:val="0"/>
        <w:spacing w:line="360" w:lineRule="auto"/>
        <w:rPr>
          <w:rFonts w:hAnsi="宋体"/>
          <w:b/>
          <w:color w:val="auto"/>
          <w:sz w:val="32"/>
          <w:szCs w:val="32"/>
          <w:highlight w:val="none"/>
        </w:rPr>
      </w:pPr>
    </w:p>
    <w:p w14:paraId="20E803F2">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9</w:t>
      </w:r>
      <w:r>
        <w:rPr>
          <w:rFonts w:hint="eastAsia" w:hAnsi="宋体"/>
          <w:b/>
          <w:color w:val="auto"/>
          <w:sz w:val="32"/>
          <w:szCs w:val="32"/>
          <w:highlight w:val="none"/>
        </w:rPr>
        <w:t>.“采购需求”中有关履约能力的相关证明材料复印件（如有，请提供）</w:t>
      </w:r>
    </w:p>
    <w:p w14:paraId="15AE1ACE">
      <w:pPr>
        <w:pStyle w:val="26"/>
        <w:keepNext w:val="0"/>
        <w:keepLines w:val="0"/>
        <w:pageBreakBefore w:val="0"/>
        <w:kinsoku/>
        <w:overflowPunct/>
        <w:topLinePunct w:val="0"/>
        <w:bidi w:val="0"/>
        <w:spacing w:line="360" w:lineRule="auto"/>
        <w:rPr>
          <w:rFonts w:hAnsi="宋体"/>
          <w:color w:val="auto"/>
          <w:sz w:val="28"/>
          <w:szCs w:val="28"/>
          <w:highlight w:val="none"/>
        </w:rPr>
      </w:pPr>
    </w:p>
    <w:p w14:paraId="4BC2A009">
      <w:pPr>
        <w:pStyle w:val="14"/>
        <w:keepNext w:val="0"/>
        <w:keepLines w:val="0"/>
        <w:pageBreakBefore w:val="0"/>
        <w:kinsoku/>
        <w:overflowPunct/>
        <w:topLinePunct w:val="0"/>
        <w:bidi w:val="0"/>
        <w:spacing w:line="360" w:lineRule="auto"/>
        <w:ind w:firstLine="420"/>
        <w:rPr>
          <w:color w:val="auto"/>
          <w:highlight w:val="none"/>
        </w:rPr>
      </w:pPr>
    </w:p>
    <w:p w14:paraId="697DE5FE">
      <w:pPr>
        <w:keepNext w:val="0"/>
        <w:keepLines w:val="0"/>
        <w:pageBreakBefore w:val="0"/>
        <w:kinsoku/>
        <w:overflowPunct/>
        <w:topLinePunct w:val="0"/>
        <w:bidi w:val="0"/>
        <w:spacing w:line="360" w:lineRule="auto"/>
        <w:rPr>
          <w:rFonts w:hint="eastAsia" w:hAnsi="宋体"/>
          <w:b/>
          <w:color w:val="auto"/>
          <w:sz w:val="32"/>
          <w:szCs w:val="32"/>
          <w:highlight w:val="none"/>
        </w:rPr>
      </w:pPr>
      <w:r>
        <w:rPr>
          <w:rFonts w:hint="eastAsia" w:hAnsi="宋体"/>
          <w:b/>
          <w:color w:val="auto"/>
          <w:sz w:val="32"/>
          <w:szCs w:val="32"/>
          <w:highlight w:val="none"/>
          <w:lang w:val="en-US" w:eastAsia="zh-CN"/>
        </w:rPr>
        <w:t>10.</w:t>
      </w:r>
      <w:r>
        <w:rPr>
          <w:rFonts w:hint="eastAsia" w:hAnsi="宋体"/>
          <w:b/>
          <w:color w:val="auto"/>
          <w:sz w:val="32"/>
          <w:szCs w:val="32"/>
          <w:highlight w:val="none"/>
        </w:rPr>
        <w:t>节能方面证书的相关证明材料（如有，请提供）；</w:t>
      </w:r>
    </w:p>
    <w:p w14:paraId="4413F1D0">
      <w:pPr>
        <w:keepNext w:val="0"/>
        <w:keepLines w:val="0"/>
        <w:pageBreakBefore w:val="0"/>
        <w:kinsoku/>
        <w:overflowPunct/>
        <w:topLinePunct w:val="0"/>
        <w:bidi w:val="0"/>
        <w:spacing w:line="360" w:lineRule="auto"/>
        <w:rPr>
          <w:rFonts w:ascii="宋体" w:hAnsi="宋体"/>
          <w:b/>
          <w:bCs/>
          <w:color w:val="auto"/>
          <w:sz w:val="32"/>
          <w:szCs w:val="32"/>
          <w:highlight w:val="none"/>
        </w:rPr>
      </w:pPr>
    </w:p>
    <w:p w14:paraId="79DA5341">
      <w:pPr>
        <w:keepNext w:val="0"/>
        <w:keepLines w:val="0"/>
        <w:pageBreakBefore w:val="0"/>
        <w:numPr>
          <w:ilvl w:val="0"/>
          <w:numId w:val="0"/>
        </w:numPr>
        <w:kinsoku/>
        <w:overflowPunct/>
        <w:topLinePunct w:val="0"/>
        <w:bidi w:val="0"/>
        <w:spacing w:line="360" w:lineRule="auto"/>
        <w:rPr>
          <w:rFonts w:hint="eastAsia" w:ascii="宋体" w:hAnsi="宋体"/>
          <w:b/>
          <w:bCs/>
          <w:color w:val="auto"/>
          <w:sz w:val="32"/>
          <w:szCs w:val="32"/>
          <w:highlight w:val="none"/>
        </w:rPr>
      </w:pPr>
      <w:r>
        <w:rPr>
          <w:rFonts w:hint="eastAsia" w:ascii="宋体" w:hAnsi="宋体"/>
          <w:b/>
          <w:bCs/>
          <w:color w:val="auto"/>
          <w:sz w:val="32"/>
          <w:szCs w:val="32"/>
          <w:highlight w:val="none"/>
          <w:lang w:val="en-US" w:eastAsia="zh-CN"/>
        </w:rPr>
        <w:t>11.</w:t>
      </w:r>
      <w:r>
        <w:rPr>
          <w:rFonts w:hint="eastAsia" w:ascii="宋体" w:hAnsi="宋体"/>
          <w:b/>
          <w:bCs/>
          <w:color w:val="auto"/>
          <w:sz w:val="32"/>
          <w:szCs w:val="32"/>
          <w:highlight w:val="none"/>
        </w:rPr>
        <w:t>环保方面证书的相关证明材料（</w:t>
      </w:r>
      <w:r>
        <w:rPr>
          <w:rFonts w:hint="eastAsia" w:hAnsi="宋体"/>
          <w:b/>
          <w:color w:val="auto"/>
          <w:sz w:val="32"/>
          <w:szCs w:val="32"/>
          <w:highlight w:val="none"/>
        </w:rPr>
        <w:t>如有，请提供</w:t>
      </w:r>
      <w:r>
        <w:rPr>
          <w:rFonts w:hint="eastAsia" w:ascii="宋体" w:hAnsi="宋体"/>
          <w:b/>
          <w:bCs/>
          <w:color w:val="auto"/>
          <w:sz w:val="32"/>
          <w:szCs w:val="32"/>
          <w:highlight w:val="none"/>
        </w:rPr>
        <w:t>）；</w:t>
      </w:r>
    </w:p>
    <w:p w14:paraId="56B68E1A">
      <w:pPr>
        <w:keepNext w:val="0"/>
        <w:keepLines w:val="0"/>
        <w:pageBreakBefore w:val="0"/>
        <w:numPr>
          <w:ilvl w:val="0"/>
          <w:numId w:val="0"/>
        </w:numPr>
        <w:kinsoku/>
        <w:overflowPunct/>
        <w:topLinePunct w:val="0"/>
        <w:bidi w:val="0"/>
        <w:spacing w:line="360" w:lineRule="auto"/>
        <w:rPr>
          <w:rFonts w:hint="eastAsia" w:ascii="宋体" w:hAnsi="宋体"/>
          <w:b/>
          <w:bCs/>
          <w:color w:val="auto"/>
          <w:sz w:val="32"/>
          <w:szCs w:val="32"/>
          <w:highlight w:val="none"/>
        </w:rPr>
      </w:pPr>
    </w:p>
    <w:p w14:paraId="06564650">
      <w:pPr>
        <w:keepNext w:val="0"/>
        <w:keepLines w:val="0"/>
        <w:pageBreakBefore w:val="0"/>
        <w:kinsoku/>
        <w:overflowPunct/>
        <w:topLinePunct w:val="0"/>
        <w:bidi w:val="0"/>
        <w:spacing w:line="360" w:lineRule="auto"/>
        <w:rPr>
          <w:rFonts w:hint="eastAsia" w:ascii="宋体" w:hAnsi="宋体"/>
          <w:b/>
          <w:bCs/>
          <w:color w:val="auto"/>
          <w:sz w:val="32"/>
          <w:szCs w:val="32"/>
          <w:highlight w:val="none"/>
        </w:rPr>
      </w:pPr>
    </w:p>
    <w:p w14:paraId="1A4080B8">
      <w:pPr>
        <w:keepNext w:val="0"/>
        <w:keepLines w:val="0"/>
        <w:pageBreakBefore w:val="0"/>
        <w:kinsoku/>
        <w:overflowPunct/>
        <w:topLinePunct w:val="0"/>
        <w:bidi w:val="0"/>
        <w:spacing w:line="360" w:lineRule="auto"/>
        <w:rPr>
          <w:rFonts w:hint="eastAsia" w:ascii="Times New Roman" w:hAnsi="宋体" w:eastAsia="宋体" w:cs="Times New Roman"/>
          <w:b/>
          <w:color w:val="auto"/>
          <w:kern w:val="2"/>
          <w:sz w:val="32"/>
          <w:szCs w:val="32"/>
          <w:highlight w:val="none"/>
          <w:lang w:val="en-US" w:eastAsia="zh-CN" w:bidi="ar-SA"/>
        </w:rPr>
      </w:pPr>
      <w:r>
        <w:rPr>
          <w:rFonts w:hint="eastAsia" w:ascii="宋体" w:hAnsi="宋体"/>
          <w:b/>
          <w:bCs/>
          <w:color w:val="auto"/>
          <w:sz w:val="32"/>
          <w:szCs w:val="32"/>
          <w:highlight w:val="none"/>
        </w:rPr>
        <w:t>1</w:t>
      </w:r>
      <w:r>
        <w:rPr>
          <w:rFonts w:hint="eastAsia" w:ascii="宋体" w:hAnsi="宋体"/>
          <w:b/>
          <w:bCs/>
          <w:color w:val="auto"/>
          <w:sz w:val="32"/>
          <w:szCs w:val="32"/>
          <w:highlight w:val="none"/>
          <w:lang w:val="en-US" w:eastAsia="zh-CN"/>
        </w:rPr>
        <w:t>2</w:t>
      </w:r>
      <w:r>
        <w:rPr>
          <w:rFonts w:hint="eastAsia" w:ascii="宋体" w:hAnsi="宋体"/>
          <w:b/>
          <w:bCs/>
          <w:color w:val="auto"/>
          <w:sz w:val="32"/>
          <w:szCs w:val="32"/>
          <w:highlight w:val="none"/>
        </w:rPr>
        <w:t>.</w:t>
      </w:r>
      <w:r>
        <w:rPr>
          <w:rFonts w:hint="eastAsia" w:ascii="Times New Roman" w:hAnsi="宋体" w:eastAsia="宋体" w:cs="Times New Roman"/>
          <w:b/>
          <w:color w:val="auto"/>
          <w:kern w:val="2"/>
          <w:sz w:val="32"/>
          <w:szCs w:val="32"/>
          <w:highlight w:val="none"/>
          <w:lang w:val="en-US" w:eastAsia="zh-CN" w:bidi="ar-SA"/>
        </w:rPr>
        <w:t>中小企业的相关有效证明材料（</w:t>
      </w:r>
      <w:r>
        <w:rPr>
          <w:rFonts w:hint="eastAsia" w:hAnsi="宋体"/>
          <w:b/>
          <w:color w:val="auto"/>
          <w:sz w:val="32"/>
          <w:szCs w:val="32"/>
          <w:highlight w:val="none"/>
        </w:rPr>
        <w:t>如有，请提供</w:t>
      </w:r>
      <w:r>
        <w:rPr>
          <w:rFonts w:hint="eastAsia" w:ascii="Times New Roman" w:hAnsi="宋体" w:eastAsia="宋体" w:cs="Times New Roman"/>
          <w:b/>
          <w:color w:val="auto"/>
          <w:kern w:val="2"/>
          <w:sz w:val="32"/>
          <w:szCs w:val="32"/>
          <w:highlight w:val="none"/>
          <w:lang w:val="en-US" w:eastAsia="zh-CN" w:bidi="ar-SA"/>
        </w:rPr>
        <w:t>）；</w:t>
      </w:r>
    </w:p>
    <w:p w14:paraId="1301BF5B">
      <w:pPr>
        <w:keepNext w:val="0"/>
        <w:keepLines w:val="0"/>
        <w:pageBreakBefore w:val="0"/>
        <w:kinsoku/>
        <w:overflowPunct/>
        <w:topLinePunct w:val="0"/>
        <w:bidi w:val="0"/>
        <w:spacing w:line="360" w:lineRule="auto"/>
        <w:rPr>
          <w:rFonts w:hint="eastAsia" w:ascii="Times New Roman" w:hAnsi="宋体" w:eastAsia="宋体" w:cs="Times New Roman"/>
          <w:b/>
          <w:color w:val="auto"/>
          <w:kern w:val="2"/>
          <w:sz w:val="32"/>
          <w:szCs w:val="32"/>
          <w:highlight w:val="none"/>
          <w:lang w:val="en-US" w:eastAsia="zh-CN" w:bidi="ar-SA"/>
        </w:rPr>
      </w:pPr>
      <w:r>
        <w:rPr>
          <w:rFonts w:hint="eastAsia" w:ascii="Times New Roman" w:hAnsi="宋体" w:eastAsia="宋体" w:cs="Times New Roman"/>
          <w:b/>
          <w:color w:val="auto"/>
          <w:kern w:val="2"/>
          <w:sz w:val="32"/>
          <w:szCs w:val="32"/>
          <w:highlight w:val="none"/>
          <w:lang w:val="en-US" w:eastAsia="zh-CN" w:bidi="ar-SA"/>
        </w:rPr>
        <w:t>注：①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0DD220A5">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附件：</w:t>
      </w:r>
    </w:p>
    <w:p w14:paraId="713C725E">
      <w:pPr>
        <w:keepNext w:val="0"/>
        <w:keepLines w:val="0"/>
        <w:pageBreakBefore w:val="0"/>
        <w:kinsoku/>
        <w:overflowPunct/>
        <w:topLinePunct w:val="0"/>
        <w:bidi w:val="0"/>
        <w:snapToGrid w:val="0"/>
        <w:spacing w:before="156" w:beforeLines="50" w:after="50" w:line="360" w:lineRule="auto"/>
        <w:jc w:val="center"/>
        <w:rPr>
          <w:rFonts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3E713FF3">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 号）的规定，本公司（联合体）参加</w:t>
      </w:r>
      <w:r>
        <w:rPr>
          <w:rFonts w:hint="eastAsia" w:ascii="宋体" w:hAnsi="宋体"/>
          <w:color w:val="auto"/>
          <w:sz w:val="24"/>
          <w:highlight w:val="none"/>
          <w:u w:val="single"/>
        </w:rPr>
        <w:t>（单位名称）</w:t>
      </w:r>
      <w:r>
        <w:rPr>
          <w:rFonts w:hint="eastAsia" w:ascii="宋体" w:hAnsi="宋体"/>
          <w:color w:val="auto"/>
          <w:sz w:val="24"/>
          <w:highlight w:val="none"/>
        </w:rPr>
        <w:t>的</w:t>
      </w:r>
      <w:r>
        <w:rPr>
          <w:rFonts w:hint="eastAsia" w:ascii="宋体" w:hAnsi="宋体"/>
          <w:color w:val="auto"/>
          <w:sz w:val="24"/>
          <w:highlight w:val="none"/>
          <w:u w:val="single"/>
        </w:rPr>
        <w:t>（项目名称）</w:t>
      </w:r>
      <w:r>
        <w:rPr>
          <w:rFonts w:hint="eastAsia" w:ascii="宋体" w:hAnsi="宋体"/>
          <w:color w:val="auto"/>
          <w:sz w:val="24"/>
          <w:highlight w:val="none"/>
        </w:rPr>
        <w:t>采购活动，提供的货物全部由符合政策要求的中小企业制造。相关企业（含联合体中的中小企业、签订分包意向协议的中小企业）的具体情况如下：</w:t>
      </w:r>
    </w:p>
    <w:p w14:paraId="148B4D59">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70609F45">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2.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4D348D02">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p>
    <w:p w14:paraId="712C4D9E">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224549A7">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673D4CA8">
      <w:pPr>
        <w:keepNext w:val="0"/>
        <w:keepLines w:val="0"/>
        <w:pageBreakBefore w:val="0"/>
        <w:kinsoku/>
        <w:overflowPunct/>
        <w:topLinePunct w:val="0"/>
        <w:bidi w:val="0"/>
        <w:spacing w:line="360" w:lineRule="auto"/>
        <w:ind w:firstLine="480" w:firstLineChars="200"/>
        <w:jc w:val="right"/>
        <w:rPr>
          <w:rFonts w:ascii="宋体" w:hAnsi="宋体"/>
          <w:color w:val="auto"/>
          <w:sz w:val="24"/>
          <w:highlight w:val="none"/>
        </w:rPr>
      </w:pPr>
    </w:p>
    <w:p w14:paraId="2E0C1249">
      <w:pPr>
        <w:keepNext w:val="0"/>
        <w:keepLines w:val="0"/>
        <w:pageBreakBefore w:val="0"/>
        <w:kinsoku/>
        <w:overflowPunct/>
        <w:topLinePunct w:val="0"/>
        <w:bidi w:val="0"/>
        <w:spacing w:line="360" w:lineRule="auto"/>
        <w:ind w:firstLine="480" w:firstLineChars="200"/>
        <w:jc w:val="center"/>
        <w:rPr>
          <w:rFonts w:ascii="宋体" w:hAnsi="宋体"/>
          <w:color w:val="auto"/>
          <w:sz w:val="24"/>
          <w:highlight w:val="none"/>
        </w:rPr>
      </w:pPr>
      <w:r>
        <w:rPr>
          <w:rFonts w:hint="eastAsia" w:ascii="宋体" w:hAnsi="宋体"/>
          <w:color w:val="auto"/>
          <w:sz w:val="24"/>
          <w:highlight w:val="none"/>
        </w:rPr>
        <w:t xml:space="preserve">单位名称（电子签章）：          </w:t>
      </w:r>
    </w:p>
    <w:p w14:paraId="5E35A08E">
      <w:pPr>
        <w:keepNext w:val="0"/>
        <w:keepLines w:val="0"/>
        <w:pageBreakBefore w:val="0"/>
        <w:kinsoku/>
        <w:overflowPunct/>
        <w:topLinePunct w:val="0"/>
        <w:bidi w:val="0"/>
        <w:spacing w:line="360" w:lineRule="auto"/>
        <w:ind w:firstLine="480" w:firstLineChars="200"/>
        <w:jc w:val="center"/>
        <w:rPr>
          <w:rFonts w:ascii="仿宋_GB2312" w:eastAsia="仿宋_GB2312"/>
          <w:color w:val="auto"/>
          <w:sz w:val="24"/>
          <w:highlight w:val="none"/>
        </w:rPr>
      </w:pPr>
      <w:r>
        <w:rPr>
          <w:rFonts w:hint="eastAsia" w:ascii="宋体" w:hAnsi="宋体"/>
          <w:color w:val="auto"/>
          <w:sz w:val="24"/>
          <w:highlight w:val="none"/>
        </w:rPr>
        <w:t xml:space="preserve">日期：  </w:t>
      </w:r>
      <w:r>
        <w:rPr>
          <w:rFonts w:hint="eastAsia" w:ascii="仿宋_GB2312" w:eastAsia="仿宋_GB2312"/>
          <w:color w:val="auto"/>
          <w:sz w:val="24"/>
          <w:highlight w:val="none"/>
        </w:rPr>
        <w:t xml:space="preserve">        </w:t>
      </w:r>
    </w:p>
    <w:p w14:paraId="6E8B657A">
      <w:pPr>
        <w:keepNext w:val="0"/>
        <w:keepLines w:val="0"/>
        <w:pageBreakBefore w:val="0"/>
        <w:kinsoku/>
        <w:overflowPunct/>
        <w:topLinePunct w:val="0"/>
        <w:bidi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注：</w:t>
      </w:r>
    </w:p>
    <w:p w14:paraId="01EC0D6F">
      <w:pPr>
        <w:keepNext w:val="0"/>
        <w:keepLines w:val="0"/>
        <w:pageBreakBefore w:val="0"/>
        <w:kinsoku/>
        <w:overflowPunct/>
        <w:topLinePunct w:val="0"/>
        <w:bidi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1.从业人员、营业收入、资产总额填报上一年度数据，无上一年度数据的新成立企业可不填报。</w:t>
      </w:r>
    </w:p>
    <w:p w14:paraId="58F9A28A">
      <w:pPr>
        <w:keepNext w:val="0"/>
        <w:keepLines w:val="0"/>
        <w:pageBreakBefore w:val="0"/>
        <w:kinsoku/>
        <w:overflowPunct/>
        <w:topLinePunct w:val="0"/>
        <w:bidi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2.中小企业在政府采购活动过程中，请根据自己的真实情况出具本声明函。依法享受中小企业优惠政策的，采购人或采购代理机构在公告中标结果时，同时公告其《中小企业声明函》，接受社会监督。</w:t>
      </w:r>
    </w:p>
    <w:p w14:paraId="49D6AA74">
      <w:pPr>
        <w:keepNext w:val="0"/>
        <w:keepLines w:val="0"/>
        <w:pageBreakBefore w:val="0"/>
        <w:tabs>
          <w:tab w:val="left" w:pos="1305"/>
        </w:tabs>
        <w:kinsoku/>
        <w:overflowPunct/>
        <w:topLinePunct w:val="0"/>
        <w:bidi w:val="0"/>
        <w:spacing w:line="360" w:lineRule="auto"/>
        <w:rPr>
          <w:rFonts w:hint="eastAsia" w:ascii="宋体" w:hAnsi="宋体"/>
          <w:b/>
          <w:bCs/>
          <w:color w:val="auto"/>
          <w:sz w:val="32"/>
          <w:szCs w:val="32"/>
          <w:highlight w:val="none"/>
          <w:lang w:val="en-US" w:eastAsia="zh-CN"/>
        </w:rPr>
      </w:pPr>
    </w:p>
    <w:p w14:paraId="66AE117F">
      <w:pPr>
        <w:keepNext w:val="0"/>
        <w:keepLines w:val="0"/>
        <w:pageBreakBefore w:val="0"/>
        <w:kinsoku/>
        <w:overflowPunct/>
        <w:topLinePunct w:val="0"/>
        <w:bidi w:val="0"/>
        <w:spacing w:line="360" w:lineRule="auto"/>
        <w:rPr>
          <w:rFonts w:hint="eastAsia" w:ascii="Times New Roman" w:hAnsi="宋体" w:eastAsia="宋体" w:cs="Times New Roman"/>
          <w:b/>
          <w:color w:val="auto"/>
          <w:kern w:val="2"/>
          <w:sz w:val="32"/>
          <w:szCs w:val="32"/>
          <w:highlight w:val="none"/>
          <w:lang w:val="en-US" w:eastAsia="zh-CN" w:bidi="ar-SA"/>
        </w:rPr>
      </w:pPr>
      <w:r>
        <w:rPr>
          <w:rFonts w:hint="eastAsia" w:ascii="Times New Roman" w:hAnsi="宋体" w:eastAsia="宋体" w:cs="Times New Roman"/>
          <w:b/>
          <w:color w:val="auto"/>
          <w:kern w:val="2"/>
          <w:sz w:val="32"/>
          <w:szCs w:val="32"/>
          <w:highlight w:val="none"/>
          <w:lang w:val="en-US" w:eastAsia="zh-CN" w:bidi="ar-SA"/>
        </w:rPr>
        <w:t>②符合条件的残疾人福利性单位在参加政府采购活动时，提供《残疾人福利性单位声明函》，并对声明的真实性负责（如有，请提供）</w:t>
      </w:r>
    </w:p>
    <w:p w14:paraId="06CB2297">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附件：</w:t>
      </w:r>
    </w:p>
    <w:p w14:paraId="33644006">
      <w:pPr>
        <w:pStyle w:val="26"/>
        <w:keepNext w:val="0"/>
        <w:keepLines w:val="0"/>
        <w:pageBreakBefore w:val="0"/>
        <w:kinsoku/>
        <w:overflowPunct/>
        <w:topLinePunct w:val="0"/>
        <w:bidi w:val="0"/>
        <w:spacing w:line="360" w:lineRule="auto"/>
        <w:jc w:val="center"/>
        <w:rPr>
          <w:rFonts w:hAnsi="宋体"/>
          <w:b/>
          <w:bCs/>
          <w:color w:val="auto"/>
          <w:sz w:val="32"/>
          <w:szCs w:val="32"/>
          <w:highlight w:val="none"/>
        </w:rPr>
      </w:pPr>
      <w:r>
        <w:rPr>
          <w:rFonts w:hint="eastAsia" w:hAnsi="宋体"/>
          <w:b/>
          <w:bCs/>
          <w:color w:val="auto"/>
          <w:sz w:val="32"/>
          <w:szCs w:val="32"/>
          <w:highlight w:val="none"/>
        </w:rPr>
        <w:t>残疾人福利性单位声明函（格式）</w:t>
      </w:r>
    </w:p>
    <w:p w14:paraId="6AC76BBB">
      <w:pPr>
        <w:keepNext w:val="0"/>
        <w:keepLines w:val="0"/>
        <w:pageBreakBefore w:val="0"/>
        <w:kinsoku/>
        <w:overflowPunct/>
        <w:topLinePunct w:val="0"/>
        <w:bidi w:val="0"/>
        <w:spacing w:line="360" w:lineRule="auto"/>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本单位郑重声明，根据《财政部 民政部 中国残疾人联合会关于促进残疾人就业政府采购政策的通知》（财库</w:t>
      </w:r>
      <w:r>
        <w:rPr>
          <w:rFonts w:hint="eastAsia" w:ascii="仿宋_GB2312" w:eastAsia="仿宋_GB2312"/>
          <w:color w:val="auto"/>
          <w:sz w:val="32"/>
          <w:szCs w:val="32"/>
          <w:highlight w:val="none"/>
        </w:rPr>
        <w:t>〔2017〕 141</w:t>
      </w:r>
      <w:r>
        <w:rPr>
          <w:rFonts w:hint="eastAsia" w:ascii="仿宋_GB2312" w:eastAsia="仿宋_GB2312"/>
          <w:color w:val="auto"/>
          <w:spacing w:val="6"/>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7614EF">
      <w:pPr>
        <w:keepNext w:val="0"/>
        <w:keepLines w:val="0"/>
        <w:pageBreakBefore w:val="0"/>
        <w:kinsoku/>
        <w:overflowPunct/>
        <w:topLinePunct w:val="0"/>
        <w:bidi w:val="0"/>
        <w:spacing w:line="360" w:lineRule="auto"/>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4C4D027D">
      <w:pPr>
        <w:keepNext w:val="0"/>
        <w:keepLines w:val="0"/>
        <w:pageBreakBefore w:val="0"/>
        <w:tabs>
          <w:tab w:val="left" w:pos="4860"/>
        </w:tabs>
        <w:kinsoku/>
        <w:overflowPunct/>
        <w:topLinePunct w:val="0"/>
        <w:bidi w:val="0"/>
        <w:spacing w:line="360" w:lineRule="auto"/>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7F567B78">
      <w:pPr>
        <w:keepNext w:val="0"/>
        <w:keepLines w:val="0"/>
        <w:pageBreakBefore w:val="0"/>
        <w:tabs>
          <w:tab w:val="left" w:pos="4860"/>
        </w:tabs>
        <w:kinsoku/>
        <w:overflowPunct/>
        <w:topLinePunct w:val="0"/>
        <w:bidi w:val="0"/>
        <w:spacing w:line="360" w:lineRule="auto"/>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6867E9D6">
      <w:pPr>
        <w:keepNext w:val="0"/>
        <w:keepLines w:val="0"/>
        <w:pageBreakBefore w:val="0"/>
        <w:kinsoku/>
        <w:overflowPunct/>
        <w:topLinePunct w:val="0"/>
        <w:bidi w:val="0"/>
        <w:spacing w:line="360" w:lineRule="auto"/>
        <w:rPr>
          <w:rFonts w:hint="eastAsia" w:ascii="宋体" w:hAnsi="宋体"/>
          <w:b/>
          <w:bCs/>
          <w:color w:val="auto"/>
          <w:sz w:val="32"/>
          <w:szCs w:val="32"/>
          <w:highlight w:val="none"/>
          <w:lang w:val="en-US" w:eastAsia="zh-CN"/>
        </w:rPr>
      </w:pPr>
    </w:p>
    <w:p w14:paraId="370F3FF1">
      <w:pPr>
        <w:keepNext w:val="0"/>
        <w:keepLines w:val="0"/>
        <w:pageBreakBefore w:val="0"/>
        <w:kinsoku/>
        <w:overflowPunct/>
        <w:topLinePunct w:val="0"/>
        <w:bidi w:val="0"/>
        <w:spacing w:line="360" w:lineRule="auto"/>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lang w:val="en-US" w:eastAsia="zh-CN"/>
        </w:rPr>
        <w:t>13.</w:t>
      </w:r>
      <w:r>
        <w:rPr>
          <w:rFonts w:hint="eastAsia" w:ascii="宋体" w:hAnsi="宋体"/>
          <w:b/>
          <w:bCs/>
          <w:color w:val="auto"/>
          <w:sz w:val="32"/>
          <w:szCs w:val="32"/>
          <w:highlight w:val="none"/>
        </w:rPr>
        <w:t>投标人可结合本项目的评标办法视自身情况自行提交相关证明材料（如有，请提供）</w:t>
      </w:r>
      <w:r>
        <w:rPr>
          <w:rFonts w:hint="eastAsia" w:ascii="宋体" w:hAnsi="宋体"/>
          <w:b/>
          <w:bCs/>
          <w:color w:val="auto"/>
          <w:sz w:val="32"/>
          <w:szCs w:val="32"/>
          <w:highlight w:val="none"/>
          <w:lang w:eastAsia="zh-CN"/>
        </w:rPr>
        <w:t>。</w:t>
      </w:r>
    </w:p>
    <w:sectPr>
      <w:headerReference r:id="rId6" w:type="first"/>
      <w:headerReference r:id="rId4" w:type="default"/>
      <w:footerReference r:id="rId7" w:type="default"/>
      <w:headerReference r:id="rId5" w:type="even"/>
      <w:pgSz w:w="11905" w:h="16838"/>
      <w:pgMar w:top="1429" w:right="1043" w:bottom="1423" w:left="1400" w:header="0" w:footer="0"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28DB234-BD3B-4E08-A306-A01063F195C6}"/>
  </w:font>
  <w:font w:name="黑体">
    <w:panose1 w:val="02010609060101010101"/>
    <w:charset w:val="86"/>
    <w:family w:val="auto"/>
    <w:pitch w:val="default"/>
    <w:sig w:usb0="800002BF" w:usb1="38CF7CFA" w:usb2="00000016" w:usb3="00000000" w:csb0="00040001" w:csb1="00000000"/>
    <w:embedRegular r:id="rId2" w:fontKey="{834D0D32-822E-41C8-9A14-352272F21E6C}"/>
  </w:font>
  <w:font w:name="Courier New">
    <w:panose1 w:val="02070309020205020404"/>
    <w:charset w:val="01"/>
    <w:family w:val="modern"/>
    <w:pitch w:val="default"/>
    <w:sig w:usb0="E0002EFF" w:usb1="C0007843" w:usb2="00000009" w:usb3="00000000" w:csb0="400001FF" w:csb1="FFFF0000"/>
    <w:embedRegular r:id="rId3" w:fontKey="{F2E92B8F-87C8-48EC-858B-1B3AD5E0E9A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E310A84-156D-4C20-9ABA-A283EF7D731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73C0AC88-785B-433F-907D-B084C37E9812}"/>
  </w:font>
  <w:font w:name="Verdana">
    <w:panose1 w:val="020B0604030504040204"/>
    <w:charset w:val="00"/>
    <w:family w:val="swiss"/>
    <w:pitch w:val="default"/>
    <w:sig w:usb0="A0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6E7404A5-6F2E-4DB9-ADCC-2EE54A5C4D83}"/>
  </w:font>
  <w:font w:name="Arial Unicode MS">
    <w:panose1 w:val="020B0604020202020204"/>
    <w:charset w:val="86"/>
    <w:family w:val="swiss"/>
    <w:pitch w:val="default"/>
    <w:sig w:usb0="FFFFFFFF" w:usb1="E9FFFFFF" w:usb2="0000003F" w:usb3="00000000" w:csb0="603F01FF" w:csb1="FFFF0000"/>
    <w:embedRegular r:id="rId7" w:fontKey="{18268945-1C74-43DF-A4DD-AF0F65427FBA}"/>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DB3A0747-6F74-4B1E-8F01-015E1DA1151A}"/>
  </w:font>
  <w:font w:name="隶书">
    <w:panose1 w:val="02010509060101010101"/>
    <w:charset w:val="86"/>
    <w:family w:val="modern"/>
    <w:pitch w:val="default"/>
    <w:sig w:usb0="00000001" w:usb1="080E0000" w:usb2="00000000" w:usb3="00000000" w:csb0="00040000" w:csb1="00000000"/>
    <w:embedRegular r:id="rId9" w:fontKey="{D850AFAE-6B0C-457A-8A2E-080E38EB93BA}"/>
  </w:font>
  <w:font w:name="仿宋">
    <w:panose1 w:val="02010609060101010101"/>
    <w:charset w:val="86"/>
    <w:family w:val="modern"/>
    <w:pitch w:val="default"/>
    <w:sig w:usb0="800002BF" w:usb1="38CF7CFA" w:usb2="00000016" w:usb3="00000000" w:csb0="00040001" w:csb1="00000000"/>
    <w:embedRegular r:id="rId10" w:fontKey="{8FAF8779-C479-42A1-853E-C655D61BB68A}"/>
  </w:font>
  <w:font w:name="WPSEMBED4">
    <w:panose1 w:val="02010800040101010101"/>
    <w:charset w:val="86"/>
    <w:family w:val="auto"/>
    <w:pitch w:val="default"/>
    <w:sig w:usb0="00000001" w:usb1="080F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5">
    <w:panose1 w:val="0201050906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20B0604020202020204"/>
    <w:charset w:val="86"/>
    <w:family w:val="auto"/>
    <w:pitch w:val="default"/>
    <w:sig w:usb0="FFFFFFFF" w:usb1="E9FFFFFF" w:usb2="0000003F" w:usb3="00000000" w:csb0="603F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6A749">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D0E89">
                          <w:pPr>
                            <w:pStyle w:val="3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B9D0E89">
                    <w:pPr>
                      <w:pStyle w:val="3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9BF0">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0DF56">
                          <w:pPr>
                            <w:pStyle w:val="3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1F0DF56">
                    <w:pPr>
                      <w:pStyle w:val="31"/>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8A49">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2E229">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E243">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3EF077F0"/>
    <w:multiLevelType w:val="singleLevel"/>
    <w:tmpl w:val="3EF077F0"/>
    <w:lvl w:ilvl="0" w:tentative="0">
      <w:start w:val="1"/>
      <w:numFmt w:val="decimal"/>
      <w:suff w:val="nothing"/>
      <w:lvlText w:val="%1"/>
      <w:lvlJc w:val="left"/>
      <w:pPr>
        <w:ind w:left="425" w:leftChars="0" w:hanging="425" w:firstLineChars="0"/>
      </w:pPr>
      <w:rPr>
        <w:rFonts w:hint="default"/>
      </w:rPr>
    </w:lvl>
  </w:abstractNum>
  <w:abstractNum w:abstractNumId="5">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6">
    <w:nsid w:val="64D3DF08"/>
    <w:multiLevelType w:val="singleLevel"/>
    <w:tmpl w:val="64D3DF08"/>
    <w:lvl w:ilvl="0" w:tentative="0">
      <w:start w:val="4"/>
      <w:numFmt w:val="decimal"/>
      <w:suff w:val="space"/>
      <w:lvlText w:val="%1."/>
      <w:lvlJc w:val="left"/>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1E16F4E"/>
    <w:rsid w:val="020462ED"/>
    <w:rsid w:val="021E11D3"/>
    <w:rsid w:val="02873BB9"/>
    <w:rsid w:val="02AC72AB"/>
    <w:rsid w:val="02D75414"/>
    <w:rsid w:val="02FF2C6A"/>
    <w:rsid w:val="031E3C02"/>
    <w:rsid w:val="03350A3A"/>
    <w:rsid w:val="03656A2C"/>
    <w:rsid w:val="03743A17"/>
    <w:rsid w:val="037A0CC5"/>
    <w:rsid w:val="03854E2F"/>
    <w:rsid w:val="03E01199"/>
    <w:rsid w:val="044A05EF"/>
    <w:rsid w:val="047D4239"/>
    <w:rsid w:val="049727BB"/>
    <w:rsid w:val="04F63F85"/>
    <w:rsid w:val="050407E1"/>
    <w:rsid w:val="050A3AC4"/>
    <w:rsid w:val="050F05C1"/>
    <w:rsid w:val="05174F49"/>
    <w:rsid w:val="05303C1B"/>
    <w:rsid w:val="05574F02"/>
    <w:rsid w:val="05590880"/>
    <w:rsid w:val="056A64D2"/>
    <w:rsid w:val="05946180"/>
    <w:rsid w:val="05D47115"/>
    <w:rsid w:val="05ED04BF"/>
    <w:rsid w:val="06777989"/>
    <w:rsid w:val="06C32EA7"/>
    <w:rsid w:val="06E74C61"/>
    <w:rsid w:val="0709141D"/>
    <w:rsid w:val="07733BF3"/>
    <w:rsid w:val="077A6C32"/>
    <w:rsid w:val="07FA0B61"/>
    <w:rsid w:val="081A1FD7"/>
    <w:rsid w:val="08277056"/>
    <w:rsid w:val="08372DF7"/>
    <w:rsid w:val="08607DD9"/>
    <w:rsid w:val="086546C9"/>
    <w:rsid w:val="08742BCF"/>
    <w:rsid w:val="0885311C"/>
    <w:rsid w:val="08EF5C01"/>
    <w:rsid w:val="08FA69DB"/>
    <w:rsid w:val="09781E69"/>
    <w:rsid w:val="09BA053E"/>
    <w:rsid w:val="09DB056C"/>
    <w:rsid w:val="09ED307B"/>
    <w:rsid w:val="0A597C43"/>
    <w:rsid w:val="0A5A5398"/>
    <w:rsid w:val="0A5B04A3"/>
    <w:rsid w:val="0A5D287E"/>
    <w:rsid w:val="0A913C3F"/>
    <w:rsid w:val="0A9F6BE3"/>
    <w:rsid w:val="0AA14702"/>
    <w:rsid w:val="0AC10340"/>
    <w:rsid w:val="0AD86032"/>
    <w:rsid w:val="0AFD2B73"/>
    <w:rsid w:val="0B2E72C7"/>
    <w:rsid w:val="0B8D0A75"/>
    <w:rsid w:val="0BC5166E"/>
    <w:rsid w:val="0BEF6D35"/>
    <w:rsid w:val="0C104C1F"/>
    <w:rsid w:val="0C597B42"/>
    <w:rsid w:val="0C6A4FEB"/>
    <w:rsid w:val="0C6F7804"/>
    <w:rsid w:val="0C7B7BBA"/>
    <w:rsid w:val="0C972783"/>
    <w:rsid w:val="0CF72B8E"/>
    <w:rsid w:val="0D4109FB"/>
    <w:rsid w:val="0D43783F"/>
    <w:rsid w:val="0D614171"/>
    <w:rsid w:val="0DA85345"/>
    <w:rsid w:val="0E344BF5"/>
    <w:rsid w:val="0E5C6154"/>
    <w:rsid w:val="0E7B09CE"/>
    <w:rsid w:val="0ED10FDA"/>
    <w:rsid w:val="0F4A710C"/>
    <w:rsid w:val="0F615C11"/>
    <w:rsid w:val="0F6B4A79"/>
    <w:rsid w:val="0FCA7068"/>
    <w:rsid w:val="0FDE628B"/>
    <w:rsid w:val="0FF06A72"/>
    <w:rsid w:val="10454D05"/>
    <w:rsid w:val="108E5D60"/>
    <w:rsid w:val="109758B5"/>
    <w:rsid w:val="118B2A1C"/>
    <w:rsid w:val="11DB07E0"/>
    <w:rsid w:val="12047CB0"/>
    <w:rsid w:val="121E6DC4"/>
    <w:rsid w:val="12366443"/>
    <w:rsid w:val="125D4779"/>
    <w:rsid w:val="12756B67"/>
    <w:rsid w:val="12854F44"/>
    <w:rsid w:val="128B1A18"/>
    <w:rsid w:val="12935F60"/>
    <w:rsid w:val="12D25402"/>
    <w:rsid w:val="12D63D30"/>
    <w:rsid w:val="13311FAF"/>
    <w:rsid w:val="13394A5B"/>
    <w:rsid w:val="1348219C"/>
    <w:rsid w:val="13502C05"/>
    <w:rsid w:val="13694F8A"/>
    <w:rsid w:val="14151C2B"/>
    <w:rsid w:val="14361B45"/>
    <w:rsid w:val="14AF537E"/>
    <w:rsid w:val="14B60A59"/>
    <w:rsid w:val="14E704E1"/>
    <w:rsid w:val="15AC1679"/>
    <w:rsid w:val="15F75DA4"/>
    <w:rsid w:val="16127AFE"/>
    <w:rsid w:val="163D1F5C"/>
    <w:rsid w:val="165E2796"/>
    <w:rsid w:val="16930926"/>
    <w:rsid w:val="16970684"/>
    <w:rsid w:val="16996FF2"/>
    <w:rsid w:val="169E4366"/>
    <w:rsid w:val="16B57597"/>
    <w:rsid w:val="16BA6D54"/>
    <w:rsid w:val="16EB0BF1"/>
    <w:rsid w:val="17681DB3"/>
    <w:rsid w:val="176B1BE8"/>
    <w:rsid w:val="17A95E0C"/>
    <w:rsid w:val="17AA5F28"/>
    <w:rsid w:val="17B423F4"/>
    <w:rsid w:val="17D0746E"/>
    <w:rsid w:val="17E26C8C"/>
    <w:rsid w:val="186276D4"/>
    <w:rsid w:val="18906A92"/>
    <w:rsid w:val="189D066B"/>
    <w:rsid w:val="18A67F53"/>
    <w:rsid w:val="18B96DA5"/>
    <w:rsid w:val="18BE50BA"/>
    <w:rsid w:val="18BE7198"/>
    <w:rsid w:val="18D536B7"/>
    <w:rsid w:val="190B2328"/>
    <w:rsid w:val="19212258"/>
    <w:rsid w:val="19722563"/>
    <w:rsid w:val="19743984"/>
    <w:rsid w:val="1A676352"/>
    <w:rsid w:val="1A757FC2"/>
    <w:rsid w:val="1AA46A08"/>
    <w:rsid w:val="1AB328E2"/>
    <w:rsid w:val="1AC76789"/>
    <w:rsid w:val="1ACB0549"/>
    <w:rsid w:val="1ADA1B37"/>
    <w:rsid w:val="1AE165BB"/>
    <w:rsid w:val="1AFE249D"/>
    <w:rsid w:val="1B0B6E51"/>
    <w:rsid w:val="1B275AED"/>
    <w:rsid w:val="1B6450EA"/>
    <w:rsid w:val="1B84497F"/>
    <w:rsid w:val="1B88705D"/>
    <w:rsid w:val="1BAA36DF"/>
    <w:rsid w:val="1BE95B78"/>
    <w:rsid w:val="1C1D0557"/>
    <w:rsid w:val="1C4B6210"/>
    <w:rsid w:val="1C6070C2"/>
    <w:rsid w:val="1C6F027F"/>
    <w:rsid w:val="1CC63AF9"/>
    <w:rsid w:val="1CD0766E"/>
    <w:rsid w:val="1D8965DF"/>
    <w:rsid w:val="1DA6438C"/>
    <w:rsid w:val="1DB179E9"/>
    <w:rsid w:val="1DB5464C"/>
    <w:rsid w:val="1DC67833"/>
    <w:rsid w:val="1DD51E94"/>
    <w:rsid w:val="1E991A34"/>
    <w:rsid w:val="1EEF4E63"/>
    <w:rsid w:val="1F5570C1"/>
    <w:rsid w:val="1F656F4D"/>
    <w:rsid w:val="1FB24C1E"/>
    <w:rsid w:val="1FC93481"/>
    <w:rsid w:val="1FE16BA6"/>
    <w:rsid w:val="1FE17A01"/>
    <w:rsid w:val="202E7D97"/>
    <w:rsid w:val="204313B4"/>
    <w:rsid w:val="208366D5"/>
    <w:rsid w:val="20C30CA9"/>
    <w:rsid w:val="20D818F7"/>
    <w:rsid w:val="211A3E43"/>
    <w:rsid w:val="2187631F"/>
    <w:rsid w:val="21A4380A"/>
    <w:rsid w:val="220C20F0"/>
    <w:rsid w:val="22574F86"/>
    <w:rsid w:val="22794E74"/>
    <w:rsid w:val="227E5704"/>
    <w:rsid w:val="231511CE"/>
    <w:rsid w:val="23A470D8"/>
    <w:rsid w:val="23B9332C"/>
    <w:rsid w:val="23F75E7E"/>
    <w:rsid w:val="2426246A"/>
    <w:rsid w:val="245826E9"/>
    <w:rsid w:val="245D400B"/>
    <w:rsid w:val="246A4A80"/>
    <w:rsid w:val="24767F32"/>
    <w:rsid w:val="24C41D56"/>
    <w:rsid w:val="24DC5EBB"/>
    <w:rsid w:val="25144DAF"/>
    <w:rsid w:val="25276F08"/>
    <w:rsid w:val="25517CE4"/>
    <w:rsid w:val="25703EC3"/>
    <w:rsid w:val="25874F28"/>
    <w:rsid w:val="259124D5"/>
    <w:rsid w:val="25A02BF9"/>
    <w:rsid w:val="25A721CD"/>
    <w:rsid w:val="25F95F1C"/>
    <w:rsid w:val="260D4251"/>
    <w:rsid w:val="265F1920"/>
    <w:rsid w:val="266C3528"/>
    <w:rsid w:val="269D20C2"/>
    <w:rsid w:val="26A219CE"/>
    <w:rsid w:val="274F6DD1"/>
    <w:rsid w:val="27B366BF"/>
    <w:rsid w:val="27B626C7"/>
    <w:rsid w:val="27B97EBF"/>
    <w:rsid w:val="280412BD"/>
    <w:rsid w:val="288735DA"/>
    <w:rsid w:val="288D49A0"/>
    <w:rsid w:val="288E278C"/>
    <w:rsid w:val="28916651"/>
    <w:rsid w:val="28A43A43"/>
    <w:rsid w:val="293B613B"/>
    <w:rsid w:val="295B0A83"/>
    <w:rsid w:val="296E070E"/>
    <w:rsid w:val="29737B86"/>
    <w:rsid w:val="299049E8"/>
    <w:rsid w:val="29C923E4"/>
    <w:rsid w:val="29E84155"/>
    <w:rsid w:val="2A08519E"/>
    <w:rsid w:val="2A134FA1"/>
    <w:rsid w:val="2A1466DF"/>
    <w:rsid w:val="2A211664"/>
    <w:rsid w:val="2A3224D8"/>
    <w:rsid w:val="2AA17AB1"/>
    <w:rsid w:val="2AAC35BE"/>
    <w:rsid w:val="2AAC5DF6"/>
    <w:rsid w:val="2ABF4C21"/>
    <w:rsid w:val="2AD60653"/>
    <w:rsid w:val="2B5E00EB"/>
    <w:rsid w:val="2B822211"/>
    <w:rsid w:val="2B941E8F"/>
    <w:rsid w:val="2BB802F1"/>
    <w:rsid w:val="2BB86778"/>
    <w:rsid w:val="2BCA41E5"/>
    <w:rsid w:val="2C304522"/>
    <w:rsid w:val="2C453CB2"/>
    <w:rsid w:val="2C8C56B5"/>
    <w:rsid w:val="2D012BC6"/>
    <w:rsid w:val="2D66371B"/>
    <w:rsid w:val="2D6B0AEA"/>
    <w:rsid w:val="2E381134"/>
    <w:rsid w:val="2EC44A97"/>
    <w:rsid w:val="2EF80714"/>
    <w:rsid w:val="2F16569A"/>
    <w:rsid w:val="2F661460"/>
    <w:rsid w:val="2F7336C7"/>
    <w:rsid w:val="2F7409FD"/>
    <w:rsid w:val="2FAC02A1"/>
    <w:rsid w:val="2FAD1F3D"/>
    <w:rsid w:val="2FBB71FA"/>
    <w:rsid w:val="2FF53F4B"/>
    <w:rsid w:val="2FF61339"/>
    <w:rsid w:val="30183F1E"/>
    <w:rsid w:val="30455DB9"/>
    <w:rsid w:val="3059610A"/>
    <w:rsid w:val="305C10FB"/>
    <w:rsid w:val="30CF0F8B"/>
    <w:rsid w:val="310421D2"/>
    <w:rsid w:val="311A52A5"/>
    <w:rsid w:val="317E3D59"/>
    <w:rsid w:val="318D6E43"/>
    <w:rsid w:val="31D57D89"/>
    <w:rsid w:val="3207341B"/>
    <w:rsid w:val="32466C35"/>
    <w:rsid w:val="32BC6F27"/>
    <w:rsid w:val="32C16E4F"/>
    <w:rsid w:val="32C83822"/>
    <w:rsid w:val="32EF4667"/>
    <w:rsid w:val="32FC18EF"/>
    <w:rsid w:val="339148A8"/>
    <w:rsid w:val="34433534"/>
    <w:rsid w:val="34DF36B3"/>
    <w:rsid w:val="350008B7"/>
    <w:rsid w:val="35287855"/>
    <w:rsid w:val="356279EA"/>
    <w:rsid w:val="357019E1"/>
    <w:rsid w:val="35817C78"/>
    <w:rsid w:val="35EA49B6"/>
    <w:rsid w:val="35ED1FD2"/>
    <w:rsid w:val="361673E1"/>
    <w:rsid w:val="362447C7"/>
    <w:rsid w:val="36847815"/>
    <w:rsid w:val="36A0704D"/>
    <w:rsid w:val="370C36FB"/>
    <w:rsid w:val="370C4951"/>
    <w:rsid w:val="37452302"/>
    <w:rsid w:val="37563860"/>
    <w:rsid w:val="37630940"/>
    <w:rsid w:val="376F77BB"/>
    <w:rsid w:val="37713F68"/>
    <w:rsid w:val="37A5715B"/>
    <w:rsid w:val="37AB2A7D"/>
    <w:rsid w:val="37D772E4"/>
    <w:rsid w:val="37EF67CD"/>
    <w:rsid w:val="37F26356"/>
    <w:rsid w:val="38382E81"/>
    <w:rsid w:val="386A53E3"/>
    <w:rsid w:val="38750A94"/>
    <w:rsid w:val="387576E1"/>
    <w:rsid w:val="38E80D57"/>
    <w:rsid w:val="390A2F6D"/>
    <w:rsid w:val="39115542"/>
    <w:rsid w:val="392C5CA2"/>
    <w:rsid w:val="3937066D"/>
    <w:rsid w:val="39AD452D"/>
    <w:rsid w:val="39D5598E"/>
    <w:rsid w:val="3A2C5621"/>
    <w:rsid w:val="3A5D5AD1"/>
    <w:rsid w:val="3A6A0B07"/>
    <w:rsid w:val="3A804602"/>
    <w:rsid w:val="3ACA6209"/>
    <w:rsid w:val="3AD35612"/>
    <w:rsid w:val="3B075849"/>
    <w:rsid w:val="3B3E4288"/>
    <w:rsid w:val="3B4F3512"/>
    <w:rsid w:val="3B5F7789"/>
    <w:rsid w:val="3B6A7FB4"/>
    <w:rsid w:val="3BC15513"/>
    <w:rsid w:val="3C455F53"/>
    <w:rsid w:val="3CE448AB"/>
    <w:rsid w:val="3D4A2EE7"/>
    <w:rsid w:val="3D582F24"/>
    <w:rsid w:val="3D620ACA"/>
    <w:rsid w:val="3D693F66"/>
    <w:rsid w:val="3D7E4DC3"/>
    <w:rsid w:val="3D8A7ABC"/>
    <w:rsid w:val="3D8E5820"/>
    <w:rsid w:val="3DC172A7"/>
    <w:rsid w:val="3DCC1077"/>
    <w:rsid w:val="3E23065E"/>
    <w:rsid w:val="3E3C5DE7"/>
    <w:rsid w:val="3E713E39"/>
    <w:rsid w:val="3E8175BE"/>
    <w:rsid w:val="3EE55913"/>
    <w:rsid w:val="3EEF23D8"/>
    <w:rsid w:val="3F007DF3"/>
    <w:rsid w:val="3F125391"/>
    <w:rsid w:val="3F325A3F"/>
    <w:rsid w:val="3F8C2250"/>
    <w:rsid w:val="406A3401"/>
    <w:rsid w:val="40837404"/>
    <w:rsid w:val="40875D69"/>
    <w:rsid w:val="409B412C"/>
    <w:rsid w:val="40D65E30"/>
    <w:rsid w:val="40F61EB7"/>
    <w:rsid w:val="410B1171"/>
    <w:rsid w:val="412F3A2A"/>
    <w:rsid w:val="41D24DDF"/>
    <w:rsid w:val="41D73D23"/>
    <w:rsid w:val="41F00286"/>
    <w:rsid w:val="427F648A"/>
    <w:rsid w:val="432036E1"/>
    <w:rsid w:val="4335569C"/>
    <w:rsid w:val="434012B5"/>
    <w:rsid w:val="43414302"/>
    <w:rsid w:val="434D215B"/>
    <w:rsid w:val="43613D29"/>
    <w:rsid w:val="43A546AB"/>
    <w:rsid w:val="43C31F9B"/>
    <w:rsid w:val="44104B0F"/>
    <w:rsid w:val="447811D7"/>
    <w:rsid w:val="44A30FDA"/>
    <w:rsid w:val="457124C5"/>
    <w:rsid w:val="45900050"/>
    <w:rsid w:val="45B500A7"/>
    <w:rsid w:val="46281D08"/>
    <w:rsid w:val="463B109C"/>
    <w:rsid w:val="46EB3BA2"/>
    <w:rsid w:val="46F61076"/>
    <w:rsid w:val="47343821"/>
    <w:rsid w:val="47956ADA"/>
    <w:rsid w:val="48174664"/>
    <w:rsid w:val="48256D81"/>
    <w:rsid w:val="48E0721C"/>
    <w:rsid w:val="494D479C"/>
    <w:rsid w:val="49620953"/>
    <w:rsid w:val="498C2AD2"/>
    <w:rsid w:val="49EC288C"/>
    <w:rsid w:val="4A143551"/>
    <w:rsid w:val="4A2F4D54"/>
    <w:rsid w:val="4A4F346A"/>
    <w:rsid w:val="4A804C80"/>
    <w:rsid w:val="4AD403C0"/>
    <w:rsid w:val="4AEB07FB"/>
    <w:rsid w:val="4B013AD5"/>
    <w:rsid w:val="4BA8621E"/>
    <w:rsid w:val="4C1E250F"/>
    <w:rsid w:val="4C2B5752"/>
    <w:rsid w:val="4C3517CA"/>
    <w:rsid w:val="4C3A0E8D"/>
    <w:rsid w:val="4CAE634F"/>
    <w:rsid w:val="4CCB2111"/>
    <w:rsid w:val="4D4C66A4"/>
    <w:rsid w:val="4D9F367B"/>
    <w:rsid w:val="4DA41677"/>
    <w:rsid w:val="4DA66523"/>
    <w:rsid w:val="4DED0FBF"/>
    <w:rsid w:val="4E40044D"/>
    <w:rsid w:val="4EFB2A0C"/>
    <w:rsid w:val="4F706CEE"/>
    <w:rsid w:val="500A5A8C"/>
    <w:rsid w:val="5020335E"/>
    <w:rsid w:val="5069299A"/>
    <w:rsid w:val="509F5A68"/>
    <w:rsid w:val="50BC1B24"/>
    <w:rsid w:val="50E04A65"/>
    <w:rsid w:val="515D39C6"/>
    <w:rsid w:val="51901B14"/>
    <w:rsid w:val="51A116B0"/>
    <w:rsid w:val="51AB1BA3"/>
    <w:rsid w:val="523C0A30"/>
    <w:rsid w:val="5296297B"/>
    <w:rsid w:val="52AA0C60"/>
    <w:rsid w:val="52D902F9"/>
    <w:rsid w:val="52E81FE1"/>
    <w:rsid w:val="52E90890"/>
    <w:rsid w:val="52EB0768"/>
    <w:rsid w:val="53236981"/>
    <w:rsid w:val="532965BF"/>
    <w:rsid w:val="534433BC"/>
    <w:rsid w:val="536054BA"/>
    <w:rsid w:val="5407520C"/>
    <w:rsid w:val="54437FB7"/>
    <w:rsid w:val="549B140C"/>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89A0A5E"/>
    <w:rsid w:val="591B35A8"/>
    <w:rsid w:val="59711529"/>
    <w:rsid w:val="59890124"/>
    <w:rsid w:val="59BC54F3"/>
    <w:rsid w:val="59BE47E8"/>
    <w:rsid w:val="59DF76D7"/>
    <w:rsid w:val="5A076DF6"/>
    <w:rsid w:val="5A4E6848"/>
    <w:rsid w:val="5A5020B9"/>
    <w:rsid w:val="5A504131"/>
    <w:rsid w:val="5A737E20"/>
    <w:rsid w:val="5A7E5715"/>
    <w:rsid w:val="5AA61FA3"/>
    <w:rsid w:val="5AC800CF"/>
    <w:rsid w:val="5B0C0DCC"/>
    <w:rsid w:val="5B102E0E"/>
    <w:rsid w:val="5B144CC7"/>
    <w:rsid w:val="5B57699C"/>
    <w:rsid w:val="5B5E2576"/>
    <w:rsid w:val="5B6F6AAE"/>
    <w:rsid w:val="5B751E7C"/>
    <w:rsid w:val="5B7F270C"/>
    <w:rsid w:val="5BA04490"/>
    <w:rsid w:val="5BDB5A74"/>
    <w:rsid w:val="5C3D18AB"/>
    <w:rsid w:val="5C823640"/>
    <w:rsid w:val="5C857F6D"/>
    <w:rsid w:val="5D044FCA"/>
    <w:rsid w:val="5D52007F"/>
    <w:rsid w:val="5D6E2C84"/>
    <w:rsid w:val="5D8F228A"/>
    <w:rsid w:val="5DA378C7"/>
    <w:rsid w:val="5E453881"/>
    <w:rsid w:val="5E500B92"/>
    <w:rsid w:val="5E8D4D51"/>
    <w:rsid w:val="5EBC3592"/>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217CBD"/>
    <w:rsid w:val="617321F1"/>
    <w:rsid w:val="61997363"/>
    <w:rsid w:val="61B759FD"/>
    <w:rsid w:val="61E36D53"/>
    <w:rsid w:val="62604393"/>
    <w:rsid w:val="62746BA1"/>
    <w:rsid w:val="62A96C5C"/>
    <w:rsid w:val="63337152"/>
    <w:rsid w:val="634451B5"/>
    <w:rsid w:val="6399611D"/>
    <w:rsid w:val="63A05FEC"/>
    <w:rsid w:val="63C55319"/>
    <w:rsid w:val="640B5F7D"/>
    <w:rsid w:val="641F313D"/>
    <w:rsid w:val="64695DBA"/>
    <w:rsid w:val="64DC5B21"/>
    <w:rsid w:val="64F00643"/>
    <w:rsid w:val="6518779A"/>
    <w:rsid w:val="65956E9C"/>
    <w:rsid w:val="659673E5"/>
    <w:rsid w:val="66315F88"/>
    <w:rsid w:val="666134B9"/>
    <w:rsid w:val="666C38F9"/>
    <w:rsid w:val="66EF194B"/>
    <w:rsid w:val="66EF692B"/>
    <w:rsid w:val="66F93080"/>
    <w:rsid w:val="671B715E"/>
    <w:rsid w:val="67337D6A"/>
    <w:rsid w:val="67833C30"/>
    <w:rsid w:val="67B67084"/>
    <w:rsid w:val="67CE442D"/>
    <w:rsid w:val="67F21127"/>
    <w:rsid w:val="6853303E"/>
    <w:rsid w:val="689E69F0"/>
    <w:rsid w:val="68A10776"/>
    <w:rsid w:val="68A33ACA"/>
    <w:rsid w:val="691554F3"/>
    <w:rsid w:val="694A5CDD"/>
    <w:rsid w:val="694B0634"/>
    <w:rsid w:val="69A93FDB"/>
    <w:rsid w:val="69D615DA"/>
    <w:rsid w:val="69DE5965"/>
    <w:rsid w:val="69EB6E59"/>
    <w:rsid w:val="69FA7C16"/>
    <w:rsid w:val="69FC14BC"/>
    <w:rsid w:val="6A4C0060"/>
    <w:rsid w:val="6A537326"/>
    <w:rsid w:val="6A623437"/>
    <w:rsid w:val="6A8D686E"/>
    <w:rsid w:val="6AF55DB4"/>
    <w:rsid w:val="6B3358A5"/>
    <w:rsid w:val="6B475BC1"/>
    <w:rsid w:val="6B7042B9"/>
    <w:rsid w:val="6B99077F"/>
    <w:rsid w:val="6B9D0DD4"/>
    <w:rsid w:val="6BA83E8B"/>
    <w:rsid w:val="6BB06677"/>
    <w:rsid w:val="6C0375B0"/>
    <w:rsid w:val="6C1954FD"/>
    <w:rsid w:val="6C9F4566"/>
    <w:rsid w:val="6CA237C2"/>
    <w:rsid w:val="6CCB3FBE"/>
    <w:rsid w:val="6CDD5F0C"/>
    <w:rsid w:val="6D182FB2"/>
    <w:rsid w:val="6D612C86"/>
    <w:rsid w:val="6D7D288C"/>
    <w:rsid w:val="6DAD24E8"/>
    <w:rsid w:val="6DED150A"/>
    <w:rsid w:val="6E150CAB"/>
    <w:rsid w:val="6E2A130B"/>
    <w:rsid w:val="6E712052"/>
    <w:rsid w:val="6E8D613D"/>
    <w:rsid w:val="6E8E5F23"/>
    <w:rsid w:val="6ECD63BB"/>
    <w:rsid w:val="6F0A2F03"/>
    <w:rsid w:val="6F6949BA"/>
    <w:rsid w:val="704178E7"/>
    <w:rsid w:val="70A627A4"/>
    <w:rsid w:val="70B10879"/>
    <w:rsid w:val="70F74353"/>
    <w:rsid w:val="71550659"/>
    <w:rsid w:val="716C0B5E"/>
    <w:rsid w:val="71D02A85"/>
    <w:rsid w:val="71F1664B"/>
    <w:rsid w:val="72185CC2"/>
    <w:rsid w:val="72482005"/>
    <w:rsid w:val="72660D1B"/>
    <w:rsid w:val="72F31D8E"/>
    <w:rsid w:val="730A09E9"/>
    <w:rsid w:val="730F205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3359FC"/>
    <w:rsid w:val="764D09CB"/>
    <w:rsid w:val="765425D6"/>
    <w:rsid w:val="765C3110"/>
    <w:rsid w:val="76834273"/>
    <w:rsid w:val="768947FB"/>
    <w:rsid w:val="76F64459"/>
    <w:rsid w:val="772F721B"/>
    <w:rsid w:val="773611C3"/>
    <w:rsid w:val="779C013C"/>
    <w:rsid w:val="77AE1EC0"/>
    <w:rsid w:val="77CB525B"/>
    <w:rsid w:val="78061A5D"/>
    <w:rsid w:val="783973D7"/>
    <w:rsid w:val="78567DB2"/>
    <w:rsid w:val="789902DA"/>
    <w:rsid w:val="789D015F"/>
    <w:rsid w:val="78AD0322"/>
    <w:rsid w:val="78AD53D4"/>
    <w:rsid w:val="79441B50"/>
    <w:rsid w:val="79604594"/>
    <w:rsid w:val="79922259"/>
    <w:rsid w:val="79C92416"/>
    <w:rsid w:val="7A553AAB"/>
    <w:rsid w:val="7A7011CE"/>
    <w:rsid w:val="7AEB71DD"/>
    <w:rsid w:val="7AF67D38"/>
    <w:rsid w:val="7AF74E21"/>
    <w:rsid w:val="7B555FDE"/>
    <w:rsid w:val="7B7F6FE9"/>
    <w:rsid w:val="7BA6061C"/>
    <w:rsid w:val="7BAB400B"/>
    <w:rsid w:val="7BD007D6"/>
    <w:rsid w:val="7C9C7B1E"/>
    <w:rsid w:val="7CAA0D67"/>
    <w:rsid w:val="7D6E294E"/>
    <w:rsid w:val="7D9636AF"/>
    <w:rsid w:val="7DBE59C9"/>
    <w:rsid w:val="7DC30F2F"/>
    <w:rsid w:val="7DD71893"/>
    <w:rsid w:val="7EA064DF"/>
    <w:rsid w:val="7EB31E1B"/>
    <w:rsid w:val="7F3B3921"/>
    <w:rsid w:val="7F671064"/>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63"/>
    <w:qFormat/>
    <w:uiPriority w:val="0"/>
    <w:pPr>
      <w:keepNext/>
      <w:keepLines/>
      <w:spacing w:before="260" w:after="260" w:line="416" w:lineRule="auto"/>
      <w:outlineLvl w:val="2"/>
    </w:pPr>
    <w:rPr>
      <w:b/>
      <w:bCs/>
      <w:sz w:val="32"/>
      <w:szCs w:val="32"/>
    </w:rPr>
  </w:style>
  <w:style w:type="paragraph" w:styleId="6">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7">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8">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10">
    <w:name w:val="heading 8"/>
    <w:basedOn w:val="1"/>
    <w:next w:val="11"/>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2">
    <w:name w:val="heading 9"/>
    <w:basedOn w:val="1"/>
    <w:next w:val="11"/>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4"/>
    <w:qFormat/>
    <w:uiPriority w:val="99"/>
    <w:pPr>
      <w:spacing w:line="380" w:lineRule="exact"/>
      <w:ind w:firstLine="1044" w:firstLineChars="200"/>
      <w:jc w:val="left"/>
    </w:pPr>
    <w:rPr>
      <w:sz w:val="24"/>
    </w:rPr>
  </w:style>
  <w:style w:type="paragraph" w:styleId="11">
    <w:name w:val="Normal Indent"/>
    <w:basedOn w:val="1"/>
    <w:link w:val="69"/>
    <w:qFormat/>
    <w:uiPriority w:val="0"/>
    <w:pPr>
      <w:ind w:firstLine="420"/>
    </w:pPr>
    <w:rPr>
      <w:szCs w:val="20"/>
    </w:rPr>
  </w:style>
  <w:style w:type="paragraph" w:styleId="13">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4">
    <w:name w:val="index 8"/>
    <w:basedOn w:val="1"/>
    <w:next w:val="1"/>
    <w:qFormat/>
    <w:uiPriority w:val="0"/>
    <w:pPr>
      <w:spacing w:line="400" w:lineRule="exact"/>
      <w:ind w:left="2940" w:firstLine="1044" w:firstLineChars="200"/>
      <w:jc w:val="left"/>
    </w:pPr>
  </w:style>
  <w:style w:type="paragraph" w:styleId="15">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6">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7">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8">
    <w:name w:val="annotation text"/>
    <w:basedOn w:val="1"/>
    <w:link w:val="72"/>
    <w:qFormat/>
    <w:uiPriority w:val="99"/>
    <w:pPr>
      <w:jc w:val="left"/>
    </w:pPr>
  </w:style>
  <w:style w:type="paragraph" w:styleId="19">
    <w:name w:val="Body Text 3"/>
    <w:basedOn w:val="1"/>
    <w:link w:val="73"/>
    <w:qFormat/>
    <w:uiPriority w:val="0"/>
    <w:pPr>
      <w:spacing w:line="240" w:lineRule="exact"/>
    </w:pPr>
    <w:rPr>
      <w:rFonts w:ascii="宋体" w:hAnsi="宋体"/>
      <w:color w:val="000000"/>
      <w:szCs w:val="21"/>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14"/>
    <w:link w:val="76"/>
    <w:qFormat/>
    <w:uiPriority w:val="99"/>
    <w:rPr>
      <w:rFonts w:ascii="宋体" w:hAnsi="Courier New"/>
      <w:szCs w:val="20"/>
    </w:rPr>
  </w:style>
  <w:style w:type="paragraph" w:styleId="27">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8">
    <w:name w:val="Date"/>
    <w:basedOn w:val="1"/>
    <w:next w:val="1"/>
    <w:link w:val="77"/>
    <w:qFormat/>
    <w:uiPriority w:val="0"/>
    <w:pPr>
      <w:ind w:left="100" w:leftChars="2500"/>
    </w:p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8"/>
    <w:next w:val="18"/>
    <w:link w:val="86"/>
    <w:qFormat/>
    <w:uiPriority w:val="0"/>
    <w:rPr>
      <w:b/>
      <w:bCs/>
      <w:kern w:val="0"/>
      <w:sz w:val="20"/>
      <w:szCs w:val="20"/>
    </w:rPr>
  </w:style>
  <w:style w:type="paragraph" w:styleId="49">
    <w:name w:val="Body Text First Indent"/>
    <w:basedOn w:val="2"/>
    <w:link w:val="87"/>
    <w:qFormat/>
    <w:uiPriority w:val="99"/>
    <w:pPr>
      <w:spacing w:beforeLines="50" w:afterLines="50" w:line="360" w:lineRule="auto"/>
      <w:ind w:firstLine="420" w:firstLineChars="100"/>
    </w:pPr>
  </w:style>
  <w:style w:type="paragraph" w:styleId="50">
    <w:name w:val="Body Text First Indent 2"/>
    <w:basedOn w:val="20"/>
    <w:next w:val="49"/>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3"/>
    <w:qFormat/>
    <w:uiPriority w:val="0"/>
    <w:rPr>
      <w:b/>
      <w:bCs/>
      <w:kern w:val="44"/>
      <w:sz w:val="44"/>
      <w:szCs w:val="44"/>
    </w:rPr>
  </w:style>
  <w:style w:type="character" w:customStyle="1" w:styleId="62">
    <w:name w:val="标题 2 字符"/>
    <w:link w:val="4"/>
    <w:qFormat/>
    <w:uiPriority w:val="0"/>
    <w:rPr>
      <w:rFonts w:ascii="Cambria" w:hAnsi="Cambria" w:eastAsia="宋体" w:cs="Times New Roman"/>
      <w:b/>
      <w:bCs/>
      <w:kern w:val="2"/>
      <w:sz w:val="32"/>
      <w:szCs w:val="32"/>
    </w:rPr>
  </w:style>
  <w:style w:type="character" w:customStyle="1" w:styleId="63">
    <w:name w:val="标题 3 字符"/>
    <w:link w:val="5"/>
    <w:qFormat/>
    <w:uiPriority w:val="0"/>
    <w:rPr>
      <w:b/>
      <w:bCs/>
      <w:kern w:val="2"/>
      <w:sz w:val="32"/>
      <w:szCs w:val="32"/>
    </w:rPr>
  </w:style>
  <w:style w:type="character" w:customStyle="1" w:styleId="64">
    <w:name w:val="标题 4 字符"/>
    <w:link w:val="6"/>
    <w:qFormat/>
    <w:uiPriority w:val="0"/>
    <w:rPr>
      <w:rFonts w:ascii="Arial" w:hAnsi="Arial" w:eastAsia="黑体"/>
      <w:sz w:val="28"/>
    </w:rPr>
  </w:style>
  <w:style w:type="character" w:customStyle="1" w:styleId="65">
    <w:name w:val="标题 5 字符"/>
    <w:link w:val="7"/>
    <w:qFormat/>
    <w:uiPriority w:val="0"/>
    <w:rPr>
      <w:b/>
      <w:kern w:val="2"/>
      <w:sz w:val="28"/>
      <w:szCs w:val="24"/>
    </w:rPr>
  </w:style>
  <w:style w:type="character" w:customStyle="1" w:styleId="66">
    <w:name w:val="标题 6 字符"/>
    <w:link w:val="8"/>
    <w:qFormat/>
    <w:uiPriority w:val="0"/>
    <w:rPr>
      <w:rFonts w:ascii="Arial" w:hAnsi="Arial" w:eastAsia="黑体"/>
      <w:b/>
      <w:bCs/>
      <w:kern w:val="2"/>
      <w:sz w:val="24"/>
      <w:szCs w:val="24"/>
      <w:lang w:val="en-US" w:eastAsia="zh-CN" w:bidi="ar-SA"/>
    </w:rPr>
  </w:style>
  <w:style w:type="character" w:customStyle="1" w:styleId="67">
    <w:name w:val="标题 7 字符"/>
    <w:link w:val="9"/>
    <w:qFormat/>
    <w:uiPriority w:val="0"/>
    <w:rPr>
      <w:b/>
      <w:kern w:val="2"/>
      <w:sz w:val="24"/>
      <w:szCs w:val="24"/>
    </w:rPr>
  </w:style>
  <w:style w:type="character" w:customStyle="1" w:styleId="68">
    <w:name w:val="标题 8 字符"/>
    <w:link w:val="10"/>
    <w:qFormat/>
    <w:uiPriority w:val="0"/>
    <w:rPr>
      <w:rFonts w:ascii="Arial" w:hAnsi="Arial" w:eastAsia="黑体"/>
      <w:kern w:val="2"/>
      <w:sz w:val="24"/>
      <w:szCs w:val="24"/>
    </w:rPr>
  </w:style>
  <w:style w:type="character" w:customStyle="1" w:styleId="69">
    <w:name w:val="正文缩进 字符"/>
    <w:link w:val="11"/>
    <w:qFormat/>
    <w:locked/>
    <w:uiPriority w:val="0"/>
    <w:rPr>
      <w:rFonts w:eastAsia="宋体"/>
      <w:kern w:val="2"/>
      <w:sz w:val="21"/>
      <w:lang w:val="en-US" w:eastAsia="zh-CN" w:bidi="ar-SA"/>
    </w:rPr>
  </w:style>
  <w:style w:type="character" w:customStyle="1" w:styleId="70">
    <w:name w:val="标题 9 字符"/>
    <w:link w:val="12"/>
    <w:qFormat/>
    <w:uiPriority w:val="0"/>
    <w:rPr>
      <w:rFonts w:ascii="Arial" w:hAnsi="Arial" w:eastAsia="黑体"/>
      <w:kern w:val="2"/>
      <w:sz w:val="21"/>
      <w:szCs w:val="24"/>
    </w:rPr>
  </w:style>
  <w:style w:type="character" w:customStyle="1" w:styleId="71">
    <w:name w:val="文档结构图 字符"/>
    <w:link w:val="17"/>
    <w:qFormat/>
    <w:uiPriority w:val="0"/>
    <w:rPr>
      <w:sz w:val="21"/>
      <w:shd w:val="clear" w:color="auto" w:fill="000080"/>
    </w:rPr>
  </w:style>
  <w:style w:type="character" w:customStyle="1" w:styleId="72">
    <w:name w:val="批注文字 字符1"/>
    <w:link w:val="18"/>
    <w:qFormat/>
    <w:uiPriority w:val="99"/>
    <w:rPr>
      <w:rFonts w:eastAsia="宋体"/>
      <w:kern w:val="2"/>
      <w:sz w:val="21"/>
      <w:szCs w:val="24"/>
      <w:lang w:val="en-US" w:eastAsia="zh-CN" w:bidi="ar-SA"/>
    </w:rPr>
  </w:style>
  <w:style w:type="character" w:customStyle="1" w:styleId="73">
    <w:name w:val="正文文本 3 字符"/>
    <w:link w:val="19"/>
    <w:qFormat/>
    <w:uiPriority w:val="0"/>
    <w:rPr>
      <w:rFonts w:ascii="宋体" w:hAnsi="宋体"/>
      <w:color w:val="000000"/>
      <w:kern w:val="2"/>
      <w:sz w:val="21"/>
      <w:szCs w:val="21"/>
    </w:rPr>
  </w:style>
  <w:style w:type="character" w:customStyle="1" w:styleId="74">
    <w:name w:val="正文文本 字符"/>
    <w:link w:val="2"/>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8"/>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basedOn w:val="53"/>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4"/>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basedOn w:val="53"/>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basedOn w:val="53"/>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3"/>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7"/>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7"/>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1"/>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5"/>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4"/>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4"/>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4"/>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 w:type="paragraph" w:customStyle="1" w:styleId="229">
    <w:name w:val="Table Text"/>
    <w:basedOn w:val="1"/>
    <w:semiHidden/>
    <w:qFormat/>
    <w:uiPriority w:val="0"/>
    <w:rPr>
      <w:rFonts w:ascii="宋体" w:hAnsi="宋体" w:eastAsia="宋体" w:cs="宋体"/>
      <w:sz w:val="20"/>
      <w:szCs w:val="20"/>
      <w:lang w:val="en-US" w:eastAsia="en-US" w:bidi="ar-SA"/>
    </w:rPr>
  </w:style>
  <w:style w:type="table" w:customStyle="1" w:styleId="23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15652</Words>
  <Characters>16915</Characters>
  <Lines>392</Lines>
  <Paragraphs>110</Paragraphs>
  <TotalTime>5</TotalTime>
  <ScaleCrop>false</ScaleCrop>
  <LinksUpToDate>false</LinksUpToDate>
  <CharactersWithSpaces>17017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WPS_1733708243</cp:lastModifiedBy>
  <cp:lastPrinted>2025-12-03T01:49:00Z</cp:lastPrinted>
  <dcterms:modified xsi:type="dcterms:W3CDTF">2025-12-03T07:27:34Z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FBB595884B274B3E80CAA961EA3DC167_13</vt:lpwstr>
  </property>
  <property fmtid="{D5CDD505-2E9C-101B-9397-08002B2CF9AE}" pid="4" name="KSOTemplateDocerSaveRecord">
    <vt:lpwstr>eyJoZGlkIjoiODk1NTQwMmYzZmU0ODkwMjdjOTFjNmEyMjc0NTljM2YiLCJ1c2VySWQiOiIxNjY0MjE2ODI0In0=</vt:lpwstr>
  </property>
</Properties>
</file>