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4B6BCE">
      <w:pPr>
        <w:pStyle w:val="15"/>
        <w:jc w:val="center"/>
        <w:rPr>
          <w:rFonts w:hint="eastAsia" w:ascii="宋体" w:hAnsi="宋体" w:eastAsia="宋体" w:cs="宋体"/>
          <w:b/>
          <w:bCs/>
          <w:color w:val="auto"/>
          <w:sz w:val="52"/>
          <w:highlight w:val="none"/>
          <w:lang w:eastAsia="zh-CN"/>
        </w:rPr>
      </w:pPr>
    </w:p>
    <w:p w14:paraId="144A943B">
      <w:pPr>
        <w:pStyle w:val="15"/>
        <w:jc w:val="center"/>
        <w:rPr>
          <w:rFonts w:hint="eastAsia" w:ascii="宋体" w:hAnsi="宋体" w:eastAsia="宋体" w:cs="宋体"/>
          <w:b/>
          <w:bCs/>
          <w:color w:val="auto"/>
          <w:spacing w:val="80"/>
          <w:sz w:val="72"/>
          <w:highlight w:val="none"/>
          <w:lang w:eastAsia="zh-CN"/>
        </w:rPr>
      </w:pPr>
      <w:r>
        <w:rPr>
          <w:rFonts w:hint="eastAsia" w:hAnsi="宋体" w:cs="宋体"/>
          <w:b/>
          <w:bCs/>
          <w:color w:val="auto"/>
          <w:sz w:val="52"/>
          <w:highlight w:val="none"/>
          <w:lang w:eastAsia="zh-CN"/>
        </w:rPr>
        <w:t>华诚博远工程咨询有限公司</w:t>
      </w:r>
    </w:p>
    <w:p w14:paraId="28152803">
      <w:pPr>
        <w:pStyle w:val="5"/>
        <w:rPr>
          <w:rFonts w:hint="eastAsia" w:ascii="宋体" w:hAnsi="宋体" w:eastAsia="宋体" w:cs="宋体"/>
          <w:color w:val="auto"/>
          <w:spacing w:val="80"/>
          <w:sz w:val="72"/>
          <w:highlight w:val="none"/>
        </w:rPr>
      </w:pPr>
    </w:p>
    <w:p w14:paraId="55A4BFC6">
      <w:pPr>
        <w:rPr>
          <w:rFonts w:hint="eastAsia" w:ascii="宋体" w:hAnsi="宋体" w:eastAsia="宋体" w:cs="宋体"/>
          <w:color w:val="auto"/>
          <w:highlight w:val="none"/>
        </w:rPr>
      </w:pPr>
    </w:p>
    <w:p w14:paraId="0EB74D85">
      <w:pPr>
        <w:pStyle w:val="15"/>
        <w:rPr>
          <w:rFonts w:hint="eastAsia" w:ascii="宋体" w:hAnsi="宋体" w:eastAsia="宋体" w:cs="宋体"/>
          <w:color w:val="auto"/>
          <w:highlight w:val="none"/>
        </w:rPr>
      </w:pPr>
    </w:p>
    <w:p w14:paraId="7C8D80A6">
      <w:pPr>
        <w:jc w:val="center"/>
        <w:rPr>
          <w:rFonts w:hint="eastAsia" w:ascii="宋体" w:hAnsi="宋体" w:eastAsia="宋体" w:cs="宋体"/>
          <w:b/>
          <w:color w:val="auto"/>
          <w:sz w:val="72"/>
          <w:szCs w:val="72"/>
          <w:highlight w:val="none"/>
        </w:rPr>
      </w:pPr>
      <w:r>
        <w:rPr>
          <w:rFonts w:hint="eastAsia" w:ascii="宋体" w:hAnsi="宋体" w:eastAsia="宋体" w:cs="宋体"/>
          <w:b/>
          <w:color w:val="auto"/>
          <w:sz w:val="72"/>
          <w:szCs w:val="72"/>
          <w:highlight w:val="none"/>
        </w:rPr>
        <w:t>竞争性磋商文件</w:t>
      </w:r>
    </w:p>
    <w:p w14:paraId="4D89A78F">
      <w:pPr>
        <w:pStyle w:val="15"/>
        <w:rPr>
          <w:rFonts w:hint="eastAsia" w:ascii="宋体" w:hAnsi="宋体" w:eastAsia="宋体" w:cs="宋体"/>
          <w:color w:val="auto"/>
          <w:highlight w:val="none"/>
        </w:rPr>
      </w:pPr>
    </w:p>
    <w:p w14:paraId="445F1DC1">
      <w:pPr>
        <w:pStyle w:val="15"/>
        <w:rPr>
          <w:rFonts w:hint="eastAsia" w:ascii="宋体" w:hAnsi="宋体" w:eastAsia="宋体" w:cs="宋体"/>
          <w:color w:val="auto"/>
          <w:highlight w:val="none"/>
        </w:rPr>
      </w:pPr>
    </w:p>
    <w:p w14:paraId="3472C2AB">
      <w:pPr>
        <w:pStyle w:val="15"/>
        <w:rPr>
          <w:rFonts w:hint="eastAsia" w:ascii="宋体" w:hAnsi="宋体" w:eastAsia="宋体" w:cs="宋体"/>
          <w:color w:val="auto"/>
          <w:highlight w:val="none"/>
        </w:rPr>
      </w:pPr>
    </w:p>
    <w:p w14:paraId="4F74746B">
      <w:pPr>
        <w:pStyle w:val="15"/>
        <w:rPr>
          <w:rFonts w:hint="eastAsia" w:ascii="宋体" w:hAnsi="宋体" w:eastAsia="宋体" w:cs="宋体"/>
          <w:color w:val="auto"/>
          <w:highlight w:val="none"/>
        </w:rPr>
      </w:pPr>
    </w:p>
    <w:p w14:paraId="7D4C155F">
      <w:pPr>
        <w:pStyle w:val="15"/>
        <w:rPr>
          <w:rFonts w:hint="eastAsia" w:ascii="宋体" w:hAnsi="宋体" w:eastAsia="宋体" w:cs="宋体"/>
          <w:color w:val="auto"/>
          <w:highlight w:val="none"/>
        </w:rPr>
      </w:pPr>
    </w:p>
    <w:p w14:paraId="7170BB77">
      <w:pPr>
        <w:pStyle w:val="15"/>
        <w:rPr>
          <w:rFonts w:hint="eastAsia" w:ascii="宋体" w:hAnsi="宋体" w:eastAsia="宋体" w:cs="宋体"/>
          <w:color w:val="auto"/>
          <w:highlight w:val="none"/>
        </w:rPr>
      </w:pPr>
    </w:p>
    <w:p w14:paraId="7513CE1A">
      <w:pPr>
        <w:pStyle w:val="15"/>
        <w:rPr>
          <w:rFonts w:hint="eastAsia" w:ascii="宋体" w:hAnsi="宋体" w:eastAsia="宋体" w:cs="宋体"/>
          <w:color w:val="auto"/>
          <w:highlight w:val="none"/>
        </w:rPr>
      </w:pPr>
    </w:p>
    <w:p w14:paraId="7B167E22">
      <w:pPr>
        <w:spacing w:line="700" w:lineRule="exact"/>
        <w:ind w:firstLine="320" w:firstLineChars="100"/>
        <w:rPr>
          <w:rStyle w:val="37"/>
          <w:rFonts w:hint="eastAsia" w:ascii="宋体" w:hAnsi="宋体" w:cs="宋体"/>
          <w:color w:val="auto"/>
          <w:sz w:val="32"/>
          <w:szCs w:val="32"/>
          <w:highlight w:val="none"/>
          <w:u w:val="single"/>
          <w:lang w:eastAsia="zh-CN"/>
        </w:rPr>
      </w:pPr>
      <w:r>
        <w:rPr>
          <w:rFonts w:hint="eastAsia" w:ascii="宋体" w:hAnsi="宋体" w:eastAsia="宋体" w:cs="宋体"/>
          <w:b/>
          <w:bCs/>
          <w:color w:val="auto"/>
          <w:sz w:val="32"/>
          <w:szCs w:val="32"/>
          <w:highlight w:val="none"/>
        </w:rPr>
        <w:t>项目名称：</w:t>
      </w:r>
      <w:r>
        <w:rPr>
          <w:rFonts w:hint="eastAsia" w:ascii="宋体" w:hAnsi="宋体" w:cs="宋体"/>
          <w:b/>
          <w:bCs/>
          <w:color w:val="auto"/>
          <w:sz w:val="32"/>
          <w:szCs w:val="32"/>
          <w:highlight w:val="none"/>
          <w:lang w:eastAsia="zh-CN"/>
        </w:rPr>
        <w:t>桂林市矿产资源总体规划（2026-2030年）编制工作</w:t>
      </w:r>
    </w:p>
    <w:p w14:paraId="7FCE37EE">
      <w:pPr>
        <w:spacing w:line="70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项目编号：GLZC2026-C3-990033-HCBY</w:t>
      </w:r>
    </w:p>
    <w:p w14:paraId="1A076333">
      <w:pPr>
        <w:spacing w:line="700" w:lineRule="exact"/>
        <w:ind w:firstLine="1600" w:firstLineChars="500"/>
        <w:rPr>
          <w:rFonts w:hint="eastAsia" w:ascii="宋体" w:hAnsi="宋体" w:eastAsia="宋体" w:cs="宋体"/>
          <w:color w:val="auto"/>
          <w:sz w:val="32"/>
          <w:szCs w:val="32"/>
          <w:highlight w:val="none"/>
          <w:lang w:eastAsia="zh-CN"/>
        </w:rPr>
      </w:pPr>
      <w:r>
        <w:rPr>
          <w:rFonts w:hint="eastAsia" w:ascii="宋体" w:hAnsi="宋体" w:cs="宋体"/>
          <w:b/>
          <w:bCs/>
          <w:color w:val="auto"/>
          <w:sz w:val="32"/>
          <w:szCs w:val="32"/>
          <w:highlight w:val="none"/>
          <w:lang w:eastAsia="zh-CN"/>
        </w:rPr>
        <w:t xml:space="preserve"> </w:t>
      </w:r>
    </w:p>
    <w:p w14:paraId="22A8A411">
      <w:pPr>
        <w:pStyle w:val="17"/>
        <w:rPr>
          <w:rFonts w:hint="eastAsia" w:ascii="宋体" w:hAnsi="宋体" w:eastAsia="宋体" w:cs="宋体"/>
          <w:color w:val="auto"/>
          <w:highlight w:val="none"/>
        </w:rPr>
      </w:pPr>
    </w:p>
    <w:p w14:paraId="1708BB1F">
      <w:pPr>
        <w:pStyle w:val="17"/>
        <w:rPr>
          <w:rFonts w:hint="eastAsia" w:ascii="宋体" w:hAnsi="宋体" w:eastAsia="宋体" w:cs="宋体"/>
          <w:color w:val="auto"/>
          <w:highlight w:val="none"/>
        </w:rPr>
      </w:pPr>
    </w:p>
    <w:p w14:paraId="4D3B80EC">
      <w:pPr>
        <w:pStyle w:val="17"/>
        <w:rPr>
          <w:rFonts w:hint="eastAsia" w:ascii="宋体" w:hAnsi="宋体" w:eastAsia="宋体" w:cs="宋体"/>
          <w:color w:val="auto"/>
          <w:highlight w:val="none"/>
        </w:rPr>
      </w:pPr>
    </w:p>
    <w:p w14:paraId="3607BE2E">
      <w:pPr>
        <w:pStyle w:val="17"/>
        <w:rPr>
          <w:rFonts w:hint="eastAsia" w:ascii="宋体" w:hAnsi="宋体" w:eastAsia="宋体" w:cs="宋体"/>
          <w:color w:val="auto"/>
          <w:highlight w:val="none"/>
        </w:rPr>
      </w:pPr>
    </w:p>
    <w:p w14:paraId="5ABFFB50">
      <w:pPr>
        <w:pStyle w:val="17"/>
        <w:rPr>
          <w:rFonts w:hint="eastAsia" w:ascii="宋体" w:hAnsi="宋体" w:eastAsia="宋体" w:cs="宋体"/>
          <w:color w:val="auto"/>
          <w:highlight w:val="none"/>
        </w:rPr>
      </w:pPr>
    </w:p>
    <w:p w14:paraId="494EECAD">
      <w:pPr>
        <w:pStyle w:val="17"/>
        <w:rPr>
          <w:rFonts w:hint="eastAsia" w:ascii="宋体" w:hAnsi="宋体" w:eastAsia="宋体" w:cs="宋体"/>
          <w:color w:val="auto"/>
          <w:highlight w:val="none"/>
        </w:rPr>
      </w:pPr>
    </w:p>
    <w:p w14:paraId="2C58F1EC">
      <w:pPr>
        <w:pStyle w:val="17"/>
        <w:rPr>
          <w:rFonts w:hint="eastAsia" w:ascii="宋体" w:hAnsi="宋体" w:eastAsia="宋体" w:cs="宋体"/>
          <w:color w:val="auto"/>
          <w:highlight w:val="none"/>
        </w:rPr>
      </w:pPr>
    </w:p>
    <w:p w14:paraId="4A8DC75C">
      <w:pPr>
        <w:pStyle w:val="17"/>
        <w:rPr>
          <w:rFonts w:hint="eastAsia" w:ascii="宋体" w:hAnsi="宋体" w:eastAsia="宋体" w:cs="宋体"/>
          <w:color w:val="auto"/>
          <w:highlight w:val="none"/>
        </w:rPr>
      </w:pPr>
    </w:p>
    <w:p w14:paraId="6B188B89">
      <w:pPr>
        <w:pStyle w:val="17"/>
        <w:rPr>
          <w:rFonts w:hint="eastAsia" w:ascii="宋体" w:hAnsi="宋体" w:eastAsia="宋体" w:cs="宋体"/>
          <w:color w:val="auto"/>
          <w:highlight w:val="none"/>
        </w:rPr>
      </w:pPr>
    </w:p>
    <w:p w14:paraId="2D78FE45">
      <w:pPr>
        <w:pStyle w:val="17"/>
        <w:ind w:firstLine="1600" w:firstLineChars="500"/>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lang w:eastAsia="zh-CN"/>
        </w:rPr>
        <w:t>采</w:t>
      </w:r>
      <w:r>
        <w:rPr>
          <w:rFonts w:hint="eastAsia" w:ascii="宋体" w:hAnsi="宋体" w:cs="宋体"/>
          <w:b/>
          <w:bCs/>
          <w:color w:val="auto"/>
          <w:sz w:val="32"/>
          <w:szCs w:val="32"/>
          <w:highlight w:val="none"/>
          <w:lang w:val="en-US" w:eastAsia="zh-CN"/>
        </w:rPr>
        <w:t xml:space="preserve">   </w:t>
      </w:r>
      <w:r>
        <w:rPr>
          <w:rFonts w:hint="eastAsia" w:ascii="宋体" w:hAnsi="宋体" w:cs="宋体"/>
          <w:b/>
          <w:bCs/>
          <w:color w:val="auto"/>
          <w:sz w:val="32"/>
          <w:szCs w:val="32"/>
          <w:highlight w:val="none"/>
          <w:lang w:eastAsia="zh-CN"/>
        </w:rPr>
        <w:t>购</w:t>
      </w:r>
      <w:r>
        <w:rPr>
          <w:rFonts w:hint="eastAsia" w:ascii="宋体" w:hAnsi="宋体" w:cs="宋体"/>
          <w:b/>
          <w:bCs/>
          <w:color w:val="auto"/>
          <w:sz w:val="32"/>
          <w:szCs w:val="32"/>
          <w:highlight w:val="none"/>
          <w:lang w:val="en-US" w:eastAsia="zh-CN"/>
        </w:rPr>
        <w:t xml:space="preserve">  </w:t>
      </w:r>
      <w:r>
        <w:rPr>
          <w:rFonts w:hint="eastAsia" w:ascii="宋体" w:hAnsi="宋体" w:cs="宋体"/>
          <w:b/>
          <w:bCs/>
          <w:color w:val="auto"/>
          <w:sz w:val="32"/>
          <w:szCs w:val="32"/>
          <w:highlight w:val="none"/>
          <w:lang w:eastAsia="zh-CN"/>
        </w:rPr>
        <w:t>人：桂林市自然资源局</w:t>
      </w:r>
    </w:p>
    <w:p w14:paraId="1AB4EF6E">
      <w:pPr>
        <w:pStyle w:val="17"/>
        <w:rPr>
          <w:rFonts w:hint="eastAsia" w:ascii="宋体" w:hAnsi="宋体" w:eastAsia="宋体" w:cs="宋体"/>
          <w:color w:val="auto"/>
          <w:highlight w:val="none"/>
        </w:rPr>
      </w:pPr>
    </w:p>
    <w:p w14:paraId="3389CE74">
      <w:pPr>
        <w:spacing w:line="700" w:lineRule="exact"/>
        <w:ind w:left="4156" w:leftChars="760" w:hanging="2560" w:hangingChars="800"/>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rPr>
        <w:t>采购代理机构：</w:t>
      </w:r>
      <w:r>
        <w:rPr>
          <w:rFonts w:hint="eastAsia" w:ascii="宋体" w:hAnsi="宋体" w:cs="宋体"/>
          <w:b/>
          <w:color w:val="auto"/>
          <w:sz w:val="32"/>
          <w:szCs w:val="32"/>
          <w:highlight w:val="none"/>
          <w:lang w:eastAsia="zh-CN"/>
        </w:rPr>
        <w:t>华诚博远工程咨询有限公司</w:t>
      </w:r>
    </w:p>
    <w:p w14:paraId="1C6F68C7">
      <w:pPr>
        <w:spacing w:line="700" w:lineRule="exact"/>
        <w:ind w:firstLine="3520" w:firstLineChars="1100"/>
        <w:rPr>
          <w:rFonts w:hint="eastAsia" w:ascii="宋体" w:hAnsi="宋体" w:eastAsia="宋体" w:cs="宋体"/>
          <w:color w:val="auto"/>
          <w:sz w:val="48"/>
          <w:szCs w:val="48"/>
          <w:highlight w:val="none"/>
        </w:rPr>
      </w:pPr>
      <w:r>
        <w:rPr>
          <w:rFonts w:hint="eastAsia" w:ascii="宋体" w:hAnsi="宋体" w:eastAsia="宋体" w:cs="宋体"/>
          <w:b/>
          <w:color w:val="auto"/>
          <w:sz w:val="32"/>
          <w:szCs w:val="32"/>
          <w:highlight w:val="none"/>
        </w:rPr>
        <w:t xml:space="preserve"> </w:t>
      </w:r>
      <w:r>
        <w:rPr>
          <w:rFonts w:hint="eastAsia" w:ascii="宋体" w:hAnsi="宋体" w:cs="宋体"/>
          <w:b/>
          <w:color w:val="auto"/>
          <w:sz w:val="32"/>
          <w:szCs w:val="32"/>
          <w:highlight w:val="none"/>
          <w:lang w:val="en-US" w:eastAsia="zh-CN"/>
        </w:rPr>
        <w:t>2026</w:t>
      </w:r>
      <w:r>
        <w:rPr>
          <w:rFonts w:hint="eastAsia" w:ascii="宋体" w:hAnsi="宋体" w:eastAsia="宋体" w:cs="宋体"/>
          <w:b/>
          <w:color w:val="auto"/>
          <w:sz w:val="32"/>
          <w:szCs w:val="32"/>
          <w:highlight w:val="none"/>
        </w:rPr>
        <w:t>年</w:t>
      </w:r>
      <w:r>
        <w:rPr>
          <w:rFonts w:hint="eastAsia" w:ascii="宋体" w:hAnsi="宋体" w:cs="宋体"/>
          <w:b/>
          <w:color w:val="auto"/>
          <w:sz w:val="32"/>
          <w:szCs w:val="32"/>
          <w:highlight w:val="none"/>
          <w:lang w:val="en-US" w:eastAsia="zh-CN"/>
        </w:rPr>
        <w:t>1</w:t>
      </w:r>
      <w:r>
        <w:rPr>
          <w:rFonts w:hint="eastAsia" w:ascii="宋体" w:hAnsi="宋体" w:eastAsia="宋体" w:cs="宋体"/>
          <w:b/>
          <w:color w:val="auto"/>
          <w:sz w:val="32"/>
          <w:szCs w:val="32"/>
          <w:highlight w:val="none"/>
        </w:rPr>
        <w:t>月</w:t>
      </w:r>
    </w:p>
    <w:p w14:paraId="40A735F3">
      <w:pPr>
        <w:pStyle w:val="17"/>
        <w:rPr>
          <w:rFonts w:hint="eastAsia" w:ascii="宋体" w:hAnsi="宋体" w:eastAsia="宋体" w:cs="宋体"/>
          <w:color w:val="auto"/>
          <w:highlight w:val="none"/>
        </w:rPr>
      </w:pPr>
    </w:p>
    <w:p w14:paraId="6EAC50EB">
      <w:pPr>
        <w:pStyle w:val="15"/>
        <w:spacing w:line="420" w:lineRule="exact"/>
        <w:jc w:val="center"/>
        <w:rPr>
          <w:rFonts w:hint="eastAsia" w:ascii="宋体" w:hAnsi="宋体" w:eastAsia="宋体" w:cs="宋体"/>
          <w:b/>
          <w:bCs/>
          <w:color w:val="auto"/>
          <w:sz w:val="44"/>
          <w:highlight w:val="none"/>
        </w:rPr>
      </w:pPr>
    </w:p>
    <w:p w14:paraId="31277067">
      <w:pPr>
        <w:pStyle w:val="16"/>
        <w:rPr>
          <w:rFonts w:hint="eastAsia" w:ascii="宋体" w:hAnsi="宋体" w:eastAsia="宋体" w:cs="宋体"/>
          <w:b/>
          <w:bCs/>
          <w:color w:val="auto"/>
          <w:sz w:val="44"/>
          <w:highlight w:val="none"/>
        </w:rPr>
      </w:pPr>
    </w:p>
    <w:p w14:paraId="79BE3711">
      <w:pPr>
        <w:rPr>
          <w:rFonts w:hint="eastAsia"/>
          <w:color w:val="auto"/>
          <w:highlight w:val="none"/>
        </w:rPr>
      </w:pPr>
    </w:p>
    <w:p w14:paraId="721D0E12">
      <w:pPr>
        <w:pStyle w:val="10"/>
        <w:rPr>
          <w:rFonts w:hint="eastAsia"/>
          <w:color w:val="auto"/>
          <w:highlight w:val="none"/>
        </w:rPr>
      </w:pPr>
    </w:p>
    <w:p w14:paraId="1485FED5">
      <w:pPr>
        <w:rPr>
          <w:rFonts w:hint="eastAsia"/>
          <w:color w:val="auto"/>
          <w:highlight w:val="none"/>
        </w:rPr>
      </w:pPr>
    </w:p>
    <w:p w14:paraId="65E55752">
      <w:pPr>
        <w:pStyle w:val="10"/>
        <w:rPr>
          <w:rFonts w:hint="eastAsia"/>
          <w:color w:val="auto"/>
          <w:highlight w:val="none"/>
        </w:rPr>
      </w:pPr>
    </w:p>
    <w:p w14:paraId="6F8616C8">
      <w:pPr>
        <w:rPr>
          <w:rFonts w:hint="eastAsia"/>
          <w:color w:val="auto"/>
          <w:highlight w:val="none"/>
        </w:rPr>
      </w:pPr>
    </w:p>
    <w:p w14:paraId="5D39AFC9">
      <w:pPr>
        <w:pStyle w:val="10"/>
        <w:rPr>
          <w:rFonts w:hint="eastAsia"/>
          <w:color w:val="auto"/>
          <w:highlight w:val="none"/>
        </w:rPr>
      </w:pPr>
    </w:p>
    <w:p w14:paraId="6CD4D18B">
      <w:pPr>
        <w:rPr>
          <w:rFonts w:hint="eastAsia"/>
          <w:color w:val="auto"/>
          <w:highlight w:val="none"/>
        </w:rPr>
      </w:pPr>
    </w:p>
    <w:p w14:paraId="77352E38">
      <w:pPr>
        <w:pStyle w:val="10"/>
        <w:rPr>
          <w:rFonts w:hint="eastAsia"/>
          <w:color w:val="auto"/>
          <w:highlight w:val="none"/>
        </w:rPr>
      </w:pPr>
    </w:p>
    <w:p w14:paraId="1582B151">
      <w:pPr>
        <w:rPr>
          <w:rFonts w:hint="eastAsia"/>
          <w:color w:val="auto"/>
          <w:highlight w:val="none"/>
        </w:rPr>
      </w:pPr>
    </w:p>
    <w:p w14:paraId="5FE08F41">
      <w:pPr>
        <w:pStyle w:val="10"/>
        <w:rPr>
          <w:rFonts w:hint="eastAsia"/>
          <w:color w:val="auto"/>
          <w:highlight w:val="none"/>
        </w:rPr>
      </w:pPr>
    </w:p>
    <w:p w14:paraId="4C2DE399">
      <w:pPr>
        <w:rPr>
          <w:rFonts w:hint="eastAsia"/>
          <w:color w:val="auto"/>
          <w:highlight w:val="none"/>
        </w:rPr>
      </w:pPr>
    </w:p>
    <w:p w14:paraId="12567588">
      <w:pPr>
        <w:pStyle w:val="10"/>
        <w:rPr>
          <w:rFonts w:hint="eastAsia"/>
          <w:color w:val="auto"/>
          <w:highlight w:val="none"/>
        </w:rPr>
      </w:pPr>
    </w:p>
    <w:p w14:paraId="15C2735F">
      <w:pPr>
        <w:rPr>
          <w:rFonts w:hint="eastAsia"/>
          <w:color w:val="auto"/>
          <w:highlight w:val="none"/>
        </w:rPr>
      </w:pPr>
    </w:p>
    <w:p w14:paraId="4039EB0D">
      <w:pPr>
        <w:pStyle w:val="10"/>
        <w:rPr>
          <w:rFonts w:hint="eastAsia"/>
          <w:color w:val="auto"/>
          <w:highlight w:val="none"/>
        </w:rPr>
      </w:pPr>
    </w:p>
    <w:p w14:paraId="5AC5EC52">
      <w:pPr>
        <w:rPr>
          <w:rFonts w:hint="eastAsia"/>
          <w:color w:val="auto"/>
          <w:highlight w:val="none"/>
        </w:rPr>
      </w:pPr>
    </w:p>
    <w:p w14:paraId="108CC057">
      <w:pPr>
        <w:pStyle w:val="10"/>
        <w:rPr>
          <w:rFonts w:hint="eastAsia"/>
          <w:color w:val="auto"/>
          <w:highlight w:val="none"/>
        </w:rPr>
      </w:pPr>
    </w:p>
    <w:p w14:paraId="1D49387E">
      <w:pPr>
        <w:rPr>
          <w:rFonts w:hint="eastAsia"/>
          <w:color w:val="auto"/>
          <w:highlight w:val="none"/>
        </w:rPr>
      </w:pPr>
    </w:p>
    <w:p w14:paraId="5C4DCB24">
      <w:pPr>
        <w:pStyle w:val="10"/>
        <w:rPr>
          <w:rFonts w:hint="eastAsia"/>
          <w:color w:val="auto"/>
          <w:highlight w:val="none"/>
        </w:rPr>
      </w:pPr>
    </w:p>
    <w:p w14:paraId="64BABF60">
      <w:pPr>
        <w:rPr>
          <w:rFonts w:hint="eastAsia"/>
          <w:color w:val="auto"/>
          <w:highlight w:val="none"/>
        </w:rPr>
      </w:pPr>
    </w:p>
    <w:p w14:paraId="3996D072">
      <w:pPr>
        <w:pStyle w:val="10"/>
        <w:rPr>
          <w:rFonts w:hint="eastAsia"/>
          <w:color w:val="auto"/>
          <w:highlight w:val="none"/>
        </w:rPr>
      </w:pPr>
    </w:p>
    <w:p w14:paraId="20ECA958">
      <w:pPr>
        <w:rPr>
          <w:rFonts w:hint="eastAsia"/>
          <w:color w:val="auto"/>
          <w:highlight w:val="none"/>
        </w:rPr>
      </w:pPr>
    </w:p>
    <w:p w14:paraId="1BCDC7B8">
      <w:pPr>
        <w:pStyle w:val="10"/>
        <w:rPr>
          <w:rFonts w:hint="eastAsia"/>
          <w:color w:val="auto"/>
          <w:highlight w:val="none"/>
        </w:rPr>
      </w:pPr>
    </w:p>
    <w:p w14:paraId="1A0231B3">
      <w:pPr>
        <w:rPr>
          <w:rFonts w:hint="eastAsia"/>
          <w:color w:val="auto"/>
          <w:highlight w:val="none"/>
        </w:rPr>
      </w:pPr>
    </w:p>
    <w:p w14:paraId="209E8E4E">
      <w:pPr>
        <w:pStyle w:val="10"/>
        <w:rPr>
          <w:rFonts w:hint="eastAsia"/>
          <w:color w:val="auto"/>
          <w:highlight w:val="none"/>
        </w:rPr>
      </w:pPr>
    </w:p>
    <w:p w14:paraId="75BD4DF8">
      <w:pPr>
        <w:rPr>
          <w:rFonts w:hint="eastAsia"/>
          <w:color w:val="auto"/>
          <w:highlight w:val="none"/>
        </w:rPr>
      </w:pPr>
    </w:p>
    <w:p w14:paraId="61FDCF0B">
      <w:pPr>
        <w:pStyle w:val="10"/>
        <w:rPr>
          <w:rFonts w:hint="eastAsia"/>
          <w:color w:val="auto"/>
          <w:highlight w:val="none"/>
        </w:rPr>
      </w:pPr>
    </w:p>
    <w:p w14:paraId="0A97C12B">
      <w:pPr>
        <w:rPr>
          <w:rFonts w:hint="eastAsia"/>
          <w:color w:val="auto"/>
          <w:highlight w:val="none"/>
        </w:rPr>
      </w:pPr>
    </w:p>
    <w:p w14:paraId="378CC506">
      <w:pPr>
        <w:pStyle w:val="10"/>
        <w:rPr>
          <w:rFonts w:hint="eastAsia"/>
          <w:color w:val="auto"/>
          <w:highlight w:val="none"/>
        </w:rPr>
      </w:pPr>
    </w:p>
    <w:p w14:paraId="6A57E13D">
      <w:pPr>
        <w:rPr>
          <w:rFonts w:hint="eastAsia"/>
          <w:color w:val="auto"/>
          <w:highlight w:val="none"/>
        </w:rPr>
      </w:pPr>
    </w:p>
    <w:p w14:paraId="60FDDB2A">
      <w:pPr>
        <w:pStyle w:val="10"/>
        <w:rPr>
          <w:rFonts w:hint="eastAsia"/>
          <w:color w:val="auto"/>
          <w:highlight w:val="none"/>
        </w:rPr>
      </w:pPr>
    </w:p>
    <w:p w14:paraId="6F058B5E">
      <w:pPr>
        <w:rPr>
          <w:rFonts w:hint="eastAsia"/>
          <w:color w:val="auto"/>
          <w:highlight w:val="none"/>
        </w:rPr>
      </w:pPr>
    </w:p>
    <w:p w14:paraId="65D512CA">
      <w:pPr>
        <w:pStyle w:val="10"/>
        <w:rPr>
          <w:rFonts w:hint="eastAsia"/>
          <w:color w:val="auto"/>
          <w:highlight w:val="none"/>
        </w:rPr>
      </w:pPr>
    </w:p>
    <w:p w14:paraId="50468FBB">
      <w:pPr>
        <w:rPr>
          <w:rFonts w:hint="eastAsia"/>
          <w:color w:val="auto"/>
          <w:highlight w:val="none"/>
        </w:rPr>
      </w:pPr>
    </w:p>
    <w:p w14:paraId="2ACC9B92">
      <w:pPr>
        <w:pStyle w:val="10"/>
        <w:rPr>
          <w:rFonts w:hint="eastAsia"/>
          <w:color w:val="auto"/>
          <w:highlight w:val="none"/>
        </w:rPr>
      </w:pPr>
    </w:p>
    <w:p w14:paraId="4F43B08B">
      <w:pPr>
        <w:rPr>
          <w:rFonts w:hint="eastAsia"/>
          <w:color w:val="auto"/>
          <w:highlight w:val="none"/>
        </w:rPr>
      </w:pPr>
    </w:p>
    <w:p w14:paraId="349A3799">
      <w:pPr>
        <w:pStyle w:val="10"/>
        <w:rPr>
          <w:rFonts w:hint="eastAsia"/>
          <w:color w:val="auto"/>
          <w:highlight w:val="none"/>
        </w:rPr>
      </w:pPr>
    </w:p>
    <w:p w14:paraId="463E72C5">
      <w:pPr>
        <w:rPr>
          <w:rFonts w:hint="eastAsia"/>
          <w:color w:val="auto"/>
          <w:highlight w:val="none"/>
        </w:rPr>
      </w:pPr>
    </w:p>
    <w:p w14:paraId="2BF631FE">
      <w:pPr>
        <w:pStyle w:val="10"/>
        <w:rPr>
          <w:rFonts w:hint="eastAsia"/>
          <w:color w:val="auto"/>
          <w:highlight w:val="none"/>
        </w:rPr>
      </w:pPr>
    </w:p>
    <w:p w14:paraId="2220D493">
      <w:pPr>
        <w:rPr>
          <w:rFonts w:hint="eastAsia"/>
          <w:color w:val="auto"/>
          <w:highlight w:val="none"/>
        </w:rPr>
      </w:pPr>
    </w:p>
    <w:p w14:paraId="57DC97D6">
      <w:pPr>
        <w:pStyle w:val="10"/>
        <w:rPr>
          <w:rFonts w:hint="eastAsia"/>
          <w:color w:val="auto"/>
          <w:highlight w:val="none"/>
        </w:rPr>
      </w:pPr>
    </w:p>
    <w:p w14:paraId="602D06A6">
      <w:pPr>
        <w:pStyle w:val="10"/>
        <w:ind w:left="0" w:leftChars="0" w:firstLine="0" w:firstLineChars="0"/>
        <w:rPr>
          <w:rFonts w:hint="eastAsia"/>
          <w:color w:val="auto"/>
          <w:highlight w:val="none"/>
        </w:rPr>
      </w:pPr>
    </w:p>
    <w:p w14:paraId="4BB9F2B0">
      <w:pPr>
        <w:pStyle w:val="15"/>
        <w:spacing w:line="420" w:lineRule="exact"/>
        <w:jc w:val="center"/>
        <w:rPr>
          <w:rFonts w:hint="eastAsia" w:ascii="宋体" w:hAnsi="宋体" w:eastAsia="宋体" w:cs="宋体"/>
          <w:b/>
          <w:bCs/>
          <w:color w:val="auto"/>
          <w:sz w:val="44"/>
          <w:highlight w:val="none"/>
        </w:rPr>
      </w:pPr>
    </w:p>
    <w:p w14:paraId="5928DD9E">
      <w:pPr>
        <w:pStyle w:val="15"/>
        <w:spacing w:line="4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44"/>
          <w:highlight w:val="none"/>
        </w:rPr>
        <w:t>目     录</w:t>
      </w:r>
    </w:p>
    <w:p w14:paraId="2269148B">
      <w:pPr>
        <w:pStyle w:val="14"/>
        <w:tabs>
          <w:tab w:val="right" w:leader="dot" w:pos="9486"/>
        </w:tabs>
        <w:rPr>
          <w:rFonts w:hint="eastAsia" w:ascii="宋体" w:hAnsi="宋体" w:eastAsia="宋体" w:cs="宋体"/>
          <w:color w:val="auto"/>
          <w:sz w:val="28"/>
          <w:szCs w:val="28"/>
          <w:highlight w:val="none"/>
        </w:rPr>
      </w:pPr>
    </w:p>
    <w:p w14:paraId="44578AD0">
      <w:pPr>
        <w:pStyle w:val="14"/>
        <w:tabs>
          <w:tab w:val="right" w:leader="dot" w:pos="9430"/>
        </w:tabs>
        <w:spacing w:line="480" w:lineRule="auto"/>
        <w:ind w:left="0" w:leftChars="0"/>
        <w:rPr>
          <w:rFonts w:hint="eastAsia" w:ascii="宋体" w:hAnsi="宋体" w:eastAsia="宋体" w:cs="宋体"/>
          <w:color w:val="auto"/>
          <w:sz w:val="32"/>
          <w:szCs w:val="32"/>
          <w:highlight w:val="none"/>
        </w:rPr>
      </w:pP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TOC \o "1-3" \h \u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"_Toc34217861" </w:instrText>
      </w:r>
      <w:r>
        <w:rPr>
          <w:rFonts w:hint="eastAsia" w:ascii="宋体" w:hAnsi="宋体" w:eastAsia="宋体" w:cs="宋体"/>
          <w:color w:val="auto"/>
          <w:highlight w:val="none"/>
        </w:rPr>
        <w:fldChar w:fldCharType="separate"/>
      </w:r>
      <w:r>
        <w:rPr>
          <w:rStyle w:val="29"/>
          <w:rFonts w:hint="eastAsia" w:ascii="宋体" w:hAnsi="宋体" w:eastAsia="宋体" w:cs="宋体"/>
          <w:color w:val="auto"/>
          <w:sz w:val="32"/>
          <w:szCs w:val="32"/>
          <w:highlight w:val="none"/>
        </w:rPr>
        <w:t>第一章 竞争性磋商公告</w:t>
      </w:r>
      <w:r>
        <w:rPr>
          <w:rFonts w:hint="eastAsia" w:ascii="宋体" w:hAnsi="宋体" w:eastAsia="宋体" w:cs="宋体"/>
          <w:color w:val="auto"/>
          <w:sz w:val="32"/>
          <w:szCs w:val="32"/>
          <w:highlight w:val="none"/>
        </w:rPr>
        <w:t>....................................1</w:t>
      </w:r>
      <w:r>
        <w:rPr>
          <w:rFonts w:hint="eastAsia" w:ascii="宋体" w:hAnsi="宋体" w:eastAsia="宋体" w:cs="宋体"/>
          <w:color w:val="auto"/>
          <w:sz w:val="32"/>
          <w:szCs w:val="32"/>
          <w:highlight w:val="none"/>
        </w:rPr>
        <w:fldChar w:fldCharType="end"/>
      </w:r>
    </w:p>
    <w:p w14:paraId="712AB92A">
      <w:pPr>
        <w:pStyle w:val="19"/>
        <w:tabs>
          <w:tab w:val="right" w:leader="dot" w:pos="9430"/>
        </w:tabs>
        <w:spacing w:line="480" w:lineRule="auto"/>
        <w:rPr>
          <w:rFonts w:hint="eastAsia" w:ascii="宋体" w:hAnsi="宋体" w:eastAsia="宋体" w:cs="宋体"/>
          <w:color w:val="auto"/>
          <w:sz w:val="32"/>
          <w:szCs w:val="3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"_Toc34217862" </w:instrText>
      </w:r>
      <w:r>
        <w:rPr>
          <w:rFonts w:hint="eastAsia" w:ascii="宋体" w:hAnsi="宋体" w:eastAsia="宋体" w:cs="宋体"/>
          <w:color w:val="auto"/>
          <w:highlight w:val="none"/>
        </w:rPr>
        <w:fldChar w:fldCharType="separate"/>
      </w:r>
      <w:r>
        <w:rPr>
          <w:rStyle w:val="29"/>
          <w:rFonts w:hint="eastAsia" w:ascii="宋体" w:hAnsi="宋体" w:eastAsia="宋体" w:cs="宋体"/>
          <w:color w:val="auto"/>
          <w:sz w:val="32"/>
          <w:szCs w:val="32"/>
          <w:highlight w:val="none"/>
        </w:rPr>
        <w:t>第二章 供应商须知</w:t>
      </w:r>
      <w:r>
        <w:rPr>
          <w:rFonts w:hint="eastAsia" w:ascii="宋体" w:hAnsi="宋体" w:eastAsia="宋体" w:cs="宋体"/>
          <w:color w:val="auto"/>
          <w:sz w:val="32"/>
          <w:szCs w:val="32"/>
          <w:highlight w:val="none"/>
        </w:rPr>
        <w:t>........................................5</w:t>
      </w:r>
      <w:r>
        <w:rPr>
          <w:rFonts w:hint="eastAsia" w:ascii="宋体" w:hAnsi="宋体" w:eastAsia="宋体" w:cs="宋体"/>
          <w:color w:val="auto"/>
          <w:sz w:val="32"/>
          <w:szCs w:val="32"/>
          <w:highlight w:val="none"/>
        </w:rPr>
        <w:fldChar w:fldCharType="end"/>
      </w:r>
    </w:p>
    <w:p w14:paraId="1CC2F5FE">
      <w:pPr>
        <w:pStyle w:val="14"/>
        <w:tabs>
          <w:tab w:val="right" w:leader="dot" w:pos="9430"/>
        </w:tabs>
        <w:spacing w:line="480" w:lineRule="auto"/>
        <w:ind w:left="0" w:leftChars="0"/>
        <w:rPr>
          <w:rFonts w:hint="eastAsia" w:ascii="宋体" w:hAnsi="宋体" w:eastAsia="宋体" w:cs="宋体"/>
          <w:color w:val="auto"/>
          <w:sz w:val="32"/>
          <w:szCs w:val="32"/>
          <w:highlight w:val="none"/>
          <w:lang w:val="en-US"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"_Toc34217863" </w:instrText>
      </w:r>
      <w:r>
        <w:rPr>
          <w:rFonts w:hint="eastAsia" w:ascii="宋体" w:hAnsi="宋体" w:eastAsia="宋体" w:cs="宋体"/>
          <w:color w:val="auto"/>
          <w:highlight w:val="none"/>
        </w:rPr>
        <w:fldChar w:fldCharType="separate"/>
      </w:r>
      <w:r>
        <w:rPr>
          <w:rStyle w:val="29"/>
          <w:rFonts w:hint="eastAsia" w:ascii="宋体" w:hAnsi="宋体" w:eastAsia="宋体" w:cs="宋体"/>
          <w:color w:val="auto"/>
          <w:sz w:val="32"/>
          <w:szCs w:val="32"/>
          <w:highlight w:val="none"/>
        </w:rPr>
        <w:t>第三章 采购需求</w:t>
      </w:r>
      <w:r>
        <w:rPr>
          <w:rFonts w:hint="eastAsia" w:ascii="宋体" w:hAnsi="宋体" w:eastAsia="宋体" w:cs="宋体"/>
          <w:color w:val="auto"/>
          <w:sz w:val="32"/>
          <w:szCs w:val="32"/>
          <w:highlight w:val="none"/>
        </w:rPr>
        <w:t>.........................................</w:t>
      </w:r>
      <w:r>
        <w:rPr>
          <w:rFonts w:hint="eastAsia" w:ascii="宋体" w:hAnsi="宋体" w:cs="宋体"/>
          <w:color w:val="auto"/>
          <w:sz w:val="32"/>
          <w:szCs w:val="32"/>
          <w:highlight w:val="none"/>
          <w:lang w:val="en-US" w:eastAsia="zh-CN"/>
        </w:rPr>
        <w:t>2</w:t>
      </w:r>
      <w:r>
        <w:rPr>
          <w:rFonts w:hint="eastAsia" w:ascii="宋体" w:hAnsi="宋体" w:eastAsia="宋体" w:cs="宋体"/>
          <w:color w:val="auto"/>
          <w:sz w:val="32"/>
          <w:szCs w:val="32"/>
          <w:highlight w:val="none"/>
        </w:rPr>
        <w:fldChar w:fldCharType="end"/>
      </w:r>
      <w:r>
        <w:rPr>
          <w:rFonts w:hint="eastAsia" w:ascii="宋体" w:hAnsi="宋体" w:cs="宋体"/>
          <w:color w:val="auto"/>
          <w:sz w:val="32"/>
          <w:szCs w:val="32"/>
          <w:highlight w:val="none"/>
          <w:lang w:val="en-US" w:eastAsia="zh-CN"/>
        </w:rPr>
        <w:t>7</w:t>
      </w:r>
    </w:p>
    <w:p w14:paraId="27FEB04B">
      <w:pPr>
        <w:pStyle w:val="14"/>
        <w:tabs>
          <w:tab w:val="right" w:leader="dot" w:pos="9430"/>
        </w:tabs>
        <w:spacing w:line="480" w:lineRule="auto"/>
        <w:ind w:left="0" w:leftChars="0"/>
        <w:rPr>
          <w:rFonts w:hint="eastAsia" w:ascii="宋体" w:hAnsi="宋体" w:eastAsia="宋体" w:cs="宋体"/>
          <w:color w:val="auto"/>
          <w:sz w:val="32"/>
          <w:szCs w:val="32"/>
          <w:highlight w:val="none"/>
          <w:lang w:val="en-US"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"_Toc34217864" </w:instrText>
      </w:r>
      <w:r>
        <w:rPr>
          <w:rFonts w:hint="eastAsia" w:ascii="宋体" w:hAnsi="宋体" w:eastAsia="宋体" w:cs="宋体"/>
          <w:color w:val="auto"/>
          <w:highlight w:val="none"/>
        </w:rPr>
        <w:fldChar w:fldCharType="separate"/>
      </w:r>
      <w:r>
        <w:rPr>
          <w:rStyle w:val="29"/>
          <w:rFonts w:hint="eastAsia" w:ascii="宋体" w:hAnsi="宋体" w:eastAsia="宋体" w:cs="宋体"/>
          <w:color w:val="auto"/>
          <w:sz w:val="32"/>
          <w:szCs w:val="32"/>
          <w:highlight w:val="none"/>
        </w:rPr>
        <w:t>第四章 评审办法.........................................</w:t>
      </w:r>
      <w:r>
        <w:rPr>
          <w:rFonts w:hint="eastAsia" w:ascii="宋体" w:hAnsi="宋体" w:cs="宋体"/>
          <w:color w:val="auto"/>
          <w:sz w:val="32"/>
          <w:szCs w:val="32"/>
          <w:highlight w:val="none"/>
          <w:lang w:val="en-US" w:eastAsia="zh-CN"/>
        </w:rPr>
        <w:t>3</w:t>
      </w:r>
      <w:r>
        <w:rPr>
          <w:rFonts w:hint="eastAsia" w:ascii="宋体" w:hAnsi="宋体" w:eastAsia="宋体" w:cs="宋体"/>
          <w:color w:val="auto"/>
          <w:sz w:val="32"/>
          <w:szCs w:val="32"/>
          <w:highlight w:val="none"/>
        </w:rPr>
        <w:fldChar w:fldCharType="end"/>
      </w:r>
      <w:r>
        <w:rPr>
          <w:rFonts w:hint="eastAsia" w:ascii="宋体" w:hAnsi="宋体" w:cs="宋体"/>
          <w:color w:val="auto"/>
          <w:sz w:val="32"/>
          <w:szCs w:val="32"/>
          <w:highlight w:val="none"/>
          <w:lang w:val="en-US" w:eastAsia="zh-CN"/>
        </w:rPr>
        <w:t>0</w:t>
      </w:r>
    </w:p>
    <w:p w14:paraId="6B4328D9">
      <w:pPr>
        <w:pStyle w:val="19"/>
        <w:tabs>
          <w:tab w:val="right" w:leader="dot" w:pos="9430"/>
        </w:tabs>
        <w:spacing w:line="480" w:lineRule="auto"/>
        <w:rPr>
          <w:rFonts w:hint="eastAsia" w:ascii="宋体" w:hAnsi="宋体" w:eastAsia="宋体" w:cs="宋体"/>
          <w:color w:val="auto"/>
          <w:sz w:val="32"/>
          <w:szCs w:val="32"/>
          <w:highlight w:val="none"/>
          <w:lang w:val="en-US"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"_Toc34217866" </w:instrText>
      </w:r>
      <w:r>
        <w:rPr>
          <w:rFonts w:hint="eastAsia" w:ascii="宋体" w:hAnsi="宋体" w:eastAsia="宋体" w:cs="宋体"/>
          <w:color w:val="auto"/>
          <w:highlight w:val="none"/>
        </w:rPr>
        <w:fldChar w:fldCharType="separate"/>
      </w:r>
      <w:r>
        <w:rPr>
          <w:rStyle w:val="29"/>
          <w:rFonts w:hint="eastAsia" w:ascii="宋体" w:hAnsi="宋体" w:eastAsia="宋体" w:cs="宋体"/>
          <w:color w:val="auto"/>
          <w:sz w:val="32"/>
          <w:szCs w:val="32"/>
          <w:highlight w:val="none"/>
        </w:rPr>
        <w:t>第五章 采购合同.........................................</w:t>
      </w:r>
      <w:r>
        <w:rPr>
          <w:rFonts w:hint="eastAsia" w:ascii="宋体" w:hAnsi="宋体" w:cs="宋体"/>
          <w:color w:val="auto"/>
          <w:sz w:val="32"/>
          <w:szCs w:val="32"/>
          <w:highlight w:val="none"/>
          <w:lang w:val="en-US" w:eastAsia="zh-CN"/>
        </w:rPr>
        <w:t>3</w:t>
      </w:r>
      <w:r>
        <w:rPr>
          <w:rFonts w:hint="eastAsia" w:ascii="宋体" w:hAnsi="宋体" w:eastAsia="宋体" w:cs="宋体"/>
          <w:color w:val="auto"/>
          <w:sz w:val="32"/>
          <w:szCs w:val="32"/>
          <w:highlight w:val="none"/>
        </w:rPr>
        <w:fldChar w:fldCharType="end"/>
      </w:r>
      <w:r>
        <w:rPr>
          <w:rFonts w:hint="eastAsia" w:ascii="宋体" w:hAnsi="宋体" w:cs="宋体"/>
          <w:color w:val="auto"/>
          <w:sz w:val="32"/>
          <w:szCs w:val="32"/>
          <w:highlight w:val="none"/>
          <w:lang w:val="en-US" w:eastAsia="zh-CN"/>
        </w:rPr>
        <w:t>5</w:t>
      </w:r>
    </w:p>
    <w:p w14:paraId="3533B4BB">
      <w:pPr>
        <w:spacing w:line="480" w:lineRule="auto"/>
        <w:rPr>
          <w:rFonts w:hint="default" w:ascii="宋体" w:hAnsi="宋体" w:eastAsia="宋体" w:cs="宋体"/>
          <w:color w:val="auto"/>
          <w:highlight w:val="none"/>
          <w:lang w:val="en-US" w:eastAsia="zh-CN"/>
        </w:rPr>
      </w:pPr>
      <w:r>
        <w:rPr>
          <w:rFonts w:hint="eastAsia" w:ascii="宋体" w:hAnsi="宋体" w:eastAsia="宋体" w:cs="宋体"/>
          <w:color w:val="auto"/>
          <w:sz w:val="32"/>
          <w:szCs w:val="32"/>
          <w:highlight w:val="none"/>
        </w:rPr>
        <w:t>第六章 响应文件格式.....................................</w:t>
      </w:r>
      <w:r>
        <w:rPr>
          <w:rFonts w:hint="eastAsia" w:ascii="宋体" w:hAnsi="宋体" w:cs="宋体"/>
          <w:color w:val="auto"/>
          <w:sz w:val="32"/>
          <w:szCs w:val="32"/>
          <w:highlight w:val="none"/>
          <w:lang w:val="en-US" w:eastAsia="zh-CN"/>
        </w:rPr>
        <w:t>40</w:t>
      </w:r>
    </w:p>
    <w:p w14:paraId="37A0E6DC">
      <w:pPr>
        <w:pStyle w:val="15"/>
        <w:tabs>
          <w:tab w:val="left" w:pos="3542"/>
          <w:tab w:val="left" w:pos="9140"/>
        </w:tabs>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8"/>
          <w:szCs w:val="28"/>
          <w:highlight w:val="none"/>
        </w:rPr>
        <w:tab/>
      </w:r>
    </w:p>
    <w:p w14:paraId="17B5AEAD">
      <w:pPr>
        <w:pStyle w:val="15"/>
        <w:tabs>
          <w:tab w:val="left" w:pos="3542"/>
          <w:tab w:val="left" w:pos="9140"/>
        </w:tabs>
        <w:spacing w:line="360" w:lineRule="auto"/>
        <w:ind w:firstLine="735"/>
        <w:rPr>
          <w:rFonts w:hint="eastAsia" w:ascii="宋体" w:hAnsi="宋体" w:eastAsia="宋体" w:cs="宋体"/>
          <w:color w:val="auto"/>
          <w:sz w:val="28"/>
          <w:szCs w:val="28"/>
          <w:highlight w:val="none"/>
        </w:rPr>
      </w:pPr>
    </w:p>
    <w:p w14:paraId="2346C29F">
      <w:pPr>
        <w:pStyle w:val="15"/>
        <w:tabs>
          <w:tab w:val="left" w:pos="3542"/>
          <w:tab w:val="left" w:pos="9140"/>
        </w:tabs>
        <w:spacing w:line="360" w:lineRule="auto"/>
        <w:ind w:firstLine="735"/>
        <w:rPr>
          <w:rFonts w:hint="eastAsia" w:ascii="宋体" w:hAnsi="宋体" w:eastAsia="宋体" w:cs="宋体"/>
          <w:color w:val="auto"/>
          <w:sz w:val="28"/>
          <w:szCs w:val="28"/>
          <w:highlight w:val="none"/>
        </w:rPr>
      </w:pPr>
    </w:p>
    <w:p w14:paraId="3AA69534">
      <w:pPr>
        <w:pStyle w:val="15"/>
        <w:tabs>
          <w:tab w:val="left" w:pos="3542"/>
          <w:tab w:val="left" w:pos="9140"/>
        </w:tabs>
        <w:spacing w:line="360" w:lineRule="auto"/>
        <w:ind w:firstLine="735"/>
        <w:rPr>
          <w:rFonts w:hint="eastAsia" w:ascii="宋体" w:hAnsi="宋体" w:eastAsia="宋体" w:cs="宋体"/>
          <w:color w:val="auto"/>
          <w:sz w:val="28"/>
          <w:szCs w:val="28"/>
          <w:highlight w:val="none"/>
        </w:rPr>
      </w:pPr>
    </w:p>
    <w:p w14:paraId="59C3144C">
      <w:pPr>
        <w:pStyle w:val="15"/>
        <w:tabs>
          <w:tab w:val="left" w:pos="3542"/>
          <w:tab w:val="left" w:pos="9140"/>
        </w:tabs>
        <w:spacing w:line="360" w:lineRule="auto"/>
        <w:ind w:firstLine="735"/>
        <w:rPr>
          <w:rFonts w:hint="eastAsia" w:ascii="宋体" w:hAnsi="宋体" w:eastAsia="宋体" w:cs="宋体"/>
          <w:color w:val="auto"/>
          <w:sz w:val="28"/>
          <w:szCs w:val="28"/>
          <w:highlight w:val="none"/>
        </w:rPr>
      </w:pPr>
    </w:p>
    <w:p w14:paraId="484A382B">
      <w:pPr>
        <w:pStyle w:val="15"/>
        <w:tabs>
          <w:tab w:val="left" w:pos="3542"/>
          <w:tab w:val="left" w:pos="9140"/>
        </w:tabs>
        <w:spacing w:line="360" w:lineRule="auto"/>
        <w:ind w:firstLine="735"/>
        <w:rPr>
          <w:rFonts w:hint="eastAsia" w:ascii="宋体" w:hAnsi="宋体" w:eastAsia="宋体" w:cs="宋体"/>
          <w:color w:val="auto"/>
          <w:sz w:val="28"/>
          <w:szCs w:val="28"/>
          <w:highlight w:val="none"/>
        </w:rPr>
      </w:pPr>
    </w:p>
    <w:p w14:paraId="10F32D90">
      <w:pPr>
        <w:pStyle w:val="15"/>
        <w:tabs>
          <w:tab w:val="left" w:pos="3542"/>
          <w:tab w:val="left" w:pos="9140"/>
        </w:tabs>
        <w:spacing w:line="360" w:lineRule="auto"/>
        <w:ind w:firstLine="735"/>
        <w:rPr>
          <w:rFonts w:hint="eastAsia" w:ascii="宋体" w:hAnsi="宋体" w:eastAsia="宋体" w:cs="宋体"/>
          <w:color w:val="auto"/>
          <w:sz w:val="28"/>
          <w:szCs w:val="28"/>
          <w:highlight w:val="none"/>
        </w:rPr>
      </w:pPr>
    </w:p>
    <w:p w14:paraId="3478228E">
      <w:pPr>
        <w:pStyle w:val="15"/>
        <w:tabs>
          <w:tab w:val="left" w:pos="3542"/>
          <w:tab w:val="left" w:pos="9140"/>
        </w:tabs>
        <w:spacing w:line="360" w:lineRule="auto"/>
        <w:ind w:firstLine="735"/>
        <w:rPr>
          <w:rFonts w:hint="eastAsia" w:ascii="宋体" w:hAnsi="宋体" w:eastAsia="宋体" w:cs="宋体"/>
          <w:color w:val="auto"/>
          <w:sz w:val="28"/>
          <w:szCs w:val="28"/>
          <w:highlight w:val="none"/>
        </w:rPr>
      </w:pPr>
    </w:p>
    <w:p w14:paraId="6DCFB7B4">
      <w:pPr>
        <w:pStyle w:val="15"/>
        <w:tabs>
          <w:tab w:val="left" w:pos="3542"/>
          <w:tab w:val="left" w:pos="9140"/>
        </w:tabs>
        <w:spacing w:line="360" w:lineRule="auto"/>
        <w:ind w:firstLine="735"/>
        <w:rPr>
          <w:rFonts w:hint="eastAsia" w:ascii="宋体" w:hAnsi="宋体" w:eastAsia="宋体" w:cs="宋体"/>
          <w:color w:val="auto"/>
          <w:sz w:val="28"/>
          <w:szCs w:val="28"/>
          <w:highlight w:val="none"/>
        </w:rPr>
      </w:pPr>
    </w:p>
    <w:p w14:paraId="2039B142">
      <w:pPr>
        <w:pStyle w:val="15"/>
        <w:tabs>
          <w:tab w:val="left" w:pos="3542"/>
          <w:tab w:val="left" w:pos="9140"/>
        </w:tabs>
        <w:spacing w:line="360" w:lineRule="auto"/>
        <w:ind w:firstLine="735"/>
        <w:rPr>
          <w:rFonts w:hint="eastAsia" w:ascii="宋体" w:hAnsi="宋体" w:eastAsia="宋体" w:cs="宋体"/>
          <w:color w:val="auto"/>
          <w:sz w:val="28"/>
          <w:szCs w:val="28"/>
          <w:highlight w:val="none"/>
        </w:rPr>
      </w:pPr>
    </w:p>
    <w:p w14:paraId="1A31F253">
      <w:pPr>
        <w:rPr>
          <w:rFonts w:hint="eastAsia" w:ascii="宋体" w:hAnsi="宋体" w:eastAsia="宋体" w:cs="宋体"/>
          <w:bCs/>
          <w:color w:val="auto"/>
          <w:highlight w:val="none"/>
        </w:rPr>
      </w:pPr>
    </w:p>
    <w:p w14:paraId="0E441E0A">
      <w:pPr>
        <w:pStyle w:val="4"/>
        <w:numPr>
          <w:ilvl w:val="0"/>
          <w:numId w:val="2"/>
        </w:numPr>
        <w:snapToGrid w:val="0"/>
        <w:spacing w:before="0" w:after="0" w:line="300" w:lineRule="auto"/>
        <w:ind w:firstLine="160" w:firstLineChars="50"/>
        <w:jc w:val="center"/>
        <w:rPr>
          <w:rFonts w:hint="eastAsia" w:ascii="宋体" w:hAnsi="宋体" w:eastAsia="宋体" w:cs="宋体"/>
          <w:color w:val="auto"/>
          <w:highlight w:val="none"/>
        </w:rPr>
        <w:sectPr>
          <w:headerReference r:id="rId3" w:type="default"/>
          <w:pgSz w:w="11906" w:h="16838"/>
          <w:pgMar w:top="1134" w:right="1134" w:bottom="1134" w:left="1134" w:header="720" w:footer="720" w:gutter="0"/>
          <w:cols w:space="720" w:num="1"/>
          <w:titlePg/>
          <w:docGrid w:type="linesAndChars" w:linePitch="332" w:charSpace="0"/>
        </w:sectPr>
      </w:pPr>
      <w:bookmarkStart w:id="0" w:name="_Toc34217861"/>
    </w:p>
    <w:p w14:paraId="7FB132E1">
      <w:pPr>
        <w:pStyle w:val="4"/>
        <w:numPr>
          <w:ilvl w:val="0"/>
          <w:numId w:val="2"/>
        </w:numPr>
        <w:snapToGrid w:val="0"/>
        <w:spacing w:before="0" w:after="0" w:line="300" w:lineRule="auto"/>
        <w:ind w:firstLine="161" w:firstLineChars="50"/>
        <w:jc w:val="center"/>
        <w:rPr>
          <w:rFonts w:hint="eastAsia" w:ascii="宋体" w:hAnsi="宋体" w:eastAsia="宋体" w:cs="宋体"/>
          <w:color w:val="auto"/>
          <w:highlight w:val="none"/>
        </w:rPr>
      </w:pPr>
      <w:r>
        <w:rPr>
          <w:rFonts w:hint="eastAsia" w:ascii="宋体" w:hAnsi="宋体" w:eastAsia="宋体" w:cs="宋体"/>
          <w:bCs w:val="0"/>
          <w:color w:val="auto"/>
          <w:highlight w:val="none"/>
        </w:rPr>
        <w:t xml:space="preserve"> </w:t>
      </w:r>
      <w:r>
        <w:rPr>
          <w:rFonts w:hint="eastAsia" w:ascii="宋体" w:hAnsi="宋体" w:eastAsia="宋体" w:cs="宋体"/>
          <w:color w:val="auto"/>
          <w:highlight w:val="none"/>
        </w:rPr>
        <w:t>竞争性磋商公告</w:t>
      </w:r>
      <w:bookmarkEnd w:id="0"/>
    </w:p>
    <w:p w14:paraId="697F5BAE">
      <w:pPr>
        <w:keepNext w:val="0"/>
        <w:keepLines w:val="0"/>
        <w:pageBreakBefore w:val="0"/>
        <w:pBdr>
          <w:top w:val="single" w:color="000000" w:sz="4" w:space="1"/>
          <w:left w:val="single" w:color="000000" w:sz="4" w:space="4"/>
          <w:bottom w:val="single" w:color="000000" w:sz="4" w:space="1"/>
          <w:right w:val="single" w:color="000000" w:sz="4" w:space="4"/>
        </w:pBdr>
        <w:kinsoku/>
        <w:overflowPunct/>
        <w:topLinePunct w:val="0"/>
        <w:bidi w:val="0"/>
        <w:adjustRightInd/>
        <w:snapToGrid/>
        <w:spacing w:line="440" w:lineRule="exact"/>
        <w:ind w:left="0" w:leftChars="0" w:right="0" w:rightChars="0" w:firstLine="420" w:firstLineChars="200"/>
        <w:textAlignment w:val="auto"/>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项目概况：</w:t>
      </w:r>
    </w:p>
    <w:p w14:paraId="25F1B9E0">
      <w:pPr>
        <w:keepNext w:val="0"/>
        <w:keepLines w:val="0"/>
        <w:pageBreakBefore w:val="0"/>
        <w:pBdr>
          <w:top w:val="single" w:color="000000" w:sz="4" w:space="1"/>
          <w:left w:val="single" w:color="000000" w:sz="4" w:space="4"/>
          <w:bottom w:val="single" w:color="000000" w:sz="4" w:space="1"/>
          <w:right w:val="single" w:color="000000" w:sz="4" w:space="4"/>
        </w:pBdr>
        <w:kinsoku/>
        <w:overflowPunct/>
        <w:topLinePunct w:val="0"/>
        <w:bidi w:val="0"/>
        <w:adjustRightInd/>
        <w:snapToGrid/>
        <w:spacing w:line="440" w:lineRule="exact"/>
        <w:ind w:left="0" w:leftChars="0" w:right="0" w:rightChars="0" w:firstLine="420" w:firstLineChars="200"/>
        <w:textAlignment w:val="auto"/>
        <w:rPr>
          <w:rStyle w:val="37"/>
          <w:rFonts w:hint="eastAsia" w:ascii="宋体" w:hAnsi="宋体" w:eastAsia="宋体" w:cs="宋体"/>
          <w:color w:val="auto"/>
          <w:szCs w:val="21"/>
          <w:highlight w:val="none"/>
        </w:rPr>
      </w:pPr>
      <w:r>
        <w:rPr>
          <w:rStyle w:val="37"/>
          <w:rFonts w:hint="eastAsia" w:ascii="宋体" w:hAnsi="宋体" w:cs="宋体"/>
          <w:color w:val="auto"/>
          <w:szCs w:val="21"/>
          <w:highlight w:val="none"/>
          <w:u w:val="single"/>
          <w:lang w:eastAsia="zh-CN"/>
        </w:rPr>
        <w:t>桂林市矿产资源总体规划（2026-2030年）编制工作</w:t>
      </w:r>
      <w:r>
        <w:rPr>
          <w:rStyle w:val="37"/>
          <w:rFonts w:hint="eastAsia" w:ascii="宋体" w:hAnsi="宋体" w:eastAsia="宋体" w:cs="宋体"/>
          <w:color w:val="auto"/>
          <w:szCs w:val="21"/>
          <w:highlight w:val="none"/>
          <w:u w:val="none"/>
          <w:lang w:val="en-US" w:eastAsia="zh-CN"/>
        </w:rPr>
        <w:t>项目</w:t>
      </w:r>
      <w:r>
        <w:rPr>
          <w:rStyle w:val="37"/>
          <w:rFonts w:hint="eastAsia" w:ascii="宋体" w:hAnsi="宋体" w:eastAsia="宋体" w:cs="宋体"/>
          <w:color w:val="auto"/>
          <w:szCs w:val="21"/>
          <w:highlight w:val="none"/>
        </w:rPr>
        <w:t>的潜在供应商应在</w:t>
      </w:r>
      <w:r>
        <w:rPr>
          <w:rFonts w:hint="eastAsia" w:ascii="宋体" w:hAnsi="宋体" w:eastAsia="宋体" w:cs="宋体"/>
          <w:color w:val="auto"/>
          <w:kern w:val="0"/>
          <w:szCs w:val="21"/>
          <w:highlight w:val="none"/>
          <w:u w:val="single"/>
        </w:rPr>
        <w:t>广西政府采购云平台</w:t>
      </w:r>
      <w:r>
        <w:rPr>
          <w:rFonts w:hint="eastAsia" w:ascii="宋体" w:hAnsi="宋体" w:eastAsia="宋体" w:cs="宋体"/>
          <w:color w:val="auto"/>
          <w:kern w:val="0"/>
          <w:szCs w:val="21"/>
          <w:highlight w:val="none"/>
          <w:u w:val="single"/>
          <w:lang w:val="en-US" w:eastAsia="zh-CN"/>
        </w:rPr>
        <w:t>线上</w:t>
      </w:r>
      <w:r>
        <w:rPr>
          <w:rFonts w:hint="eastAsia" w:ascii="宋体" w:hAnsi="宋体" w:eastAsia="宋体" w:cs="宋体"/>
          <w:color w:val="auto"/>
          <w:kern w:val="0"/>
          <w:szCs w:val="21"/>
          <w:highlight w:val="none"/>
          <w:u w:val="none"/>
          <w:lang w:val="en-US" w:eastAsia="zh-CN"/>
        </w:rPr>
        <w:t>免费</w:t>
      </w:r>
      <w:r>
        <w:rPr>
          <w:rStyle w:val="37"/>
          <w:rFonts w:hint="eastAsia" w:ascii="宋体" w:hAnsi="宋体" w:eastAsia="宋体" w:cs="宋体"/>
          <w:color w:val="auto"/>
          <w:szCs w:val="21"/>
          <w:highlight w:val="none"/>
        </w:rPr>
        <w:t>获取</w:t>
      </w:r>
      <w:r>
        <w:rPr>
          <w:rStyle w:val="37"/>
          <w:rFonts w:hint="eastAsia" w:ascii="宋体" w:hAnsi="宋体" w:eastAsia="宋体" w:cs="宋体"/>
          <w:color w:val="auto"/>
          <w:szCs w:val="21"/>
          <w:highlight w:val="none"/>
          <w:lang w:eastAsia="zh-CN"/>
        </w:rPr>
        <w:t>竞争性磋商文件</w:t>
      </w:r>
      <w:r>
        <w:rPr>
          <w:rStyle w:val="37"/>
          <w:rFonts w:hint="eastAsia" w:ascii="宋体" w:hAnsi="宋体" w:eastAsia="宋体" w:cs="宋体"/>
          <w:color w:val="auto"/>
          <w:szCs w:val="21"/>
          <w:highlight w:val="none"/>
        </w:rPr>
        <w:t>，并于</w:t>
      </w:r>
      <w:r>
        <w:rPr>
          <w:rStyle w:val="37"/>
          <w:rFonts w:hint="eastAsia" w:ascii="宋体" w:hAnsi="宋体" w:eastAsia="宋体" w:cs="宋体"/>
          <w:color w:val="auto"/>
          <w:szCs w:val="21"/>
          <w:highlight w:val="none"/>
          <w:lang w:val="en-US"/>
        </w:rPr>
        <w:t>202</w:t>
      </w:r>
      <w:r>
        <w:rPr>
          <w:rStyle w:val="37"/>
          <w:rFonts w:hint="eastAsia" w:ascii="宋体" w:hAnsi="宋体" w:cs="宋体"/>
          <w:color w:val="auto"/>
          <w:szCs w:val="21"/>
          <w:highlight w:val="none"/>
          <w:lang w:val="en-US"/>
        </w:rPr>
        <w:t>6</w:t>
      </w:r>
      <w:r>
        <w:rPr>
          <w:rStyle w:val="37"/>
          <w:rFonts w:hint="eastAsia" w:ascii="宋体" w:hAnsi="宋体" w:eastAsia="宋体" w:cs="宋体"/>
          <w:color w:val="auto"/>
          <w:szCs w:val="21"/>
          <w:highlight w:val="none"/>
        </w:rPr>
        <w:t>年</w:t>
      </w:r>
      <w:r>
        <w:rPr>
          <w:rStyle w:val="37"/>
          <w:rFonts w:hint="eastAsia" w:ascii="宋体" w:hAnsi="宋体" w:cs="宋体"/>
          <w:color w:val="auto"/>
          <w:szCs w:val="21"/>
          <w:highlight w:val="none"/>
          <w:lang w:val="en-US"/>
        </w:rPr>
        <w:t>2</w:t>
      </w:r>
      <w:r>
        <w:rPr>
          <w:rStyle w:val="37"/>
          <w:rFonts w:hint="eastAsia" w:ascii="宋体" w:hAnsi="宋体" w:eastAsia="宋体" w:cs="宋体"/>
          <w:color w:val="auto"/>
          <w:szCs w:val="21"/>
          <w:highlight w:val="none"/>
        </w:rPr>
        <w:t>月</w:t>
      </w:r>
      <w:r>
        <w:rPr>
          <w:rStyle w:val="37"/>
          <w:rFonts w:hint="eastAsia" w:ascii="宋体" w:hAnsi="宋体" w:cs="宋体"/>
          <w:color w:val="auto"/>
          <w:szCs w:val="21"/>
          <w:highlight w:val="none"/>
          <w:lang w:val="en-US"/>
        </w:rPr>
        <w:t>10</w:t>
      </w:r>
      <w:r>
        <w:rPr>
          <w:rStyle w:val="37"/>
          <w:rFonts w:hint="eastAsia" w:ascii="宋体" w:hAnsi="宋体" w:eastAsia="宋体" w:cs="宋体"/>
          <w:color w:val="auto"/>
          <w:szCs w:val="21"/>
          <w:highlight w:val="none"/>
        </w:rPr>
        <w:t>日</w:t>
      </w:r>
      <w:r>
        <w:rPr>
          <w:rStyle w:val="37"/>
          <w:rFonts w:hint="eastAsia" w:ascii="宋体" w:hAnsi="宋体" w:cs="宋体"/>
          <w:color w:val="auto"/>
          <w:szCs w:val="21"/>
          <w:highlight w:val="none"/>
          <w:lang w:val="en-US"/>
        </w:rPr>
        <w:t>09</w:t>
      </w:r>
      <w:r>
        <w:rPr>
          <w:rStyle w:val="37"/>
          <w:rFonts w:hint="eastAsia" w:ascii="宋体" w:hAnsi="宋体" w:eastAsia="宋体" w:cs="宋体"/>
          <w:color w:val="auto"/>
          <w:szCs w:val="21"/>
          <w:highlight w:val="none"/>
          <w:lang w:val="en-US" w:eastAsia="zh-CN"/>
        </w:rPr>
        <w:t>时</w:t>
      </w:r>
      <w:r>
        <w:rPr>
          <w:rStyle w:val="37"/>
          <w:rFonts w:hint="eastAsia" w:ascii="宋体" w:hAnsi="宋体" w:cs="宋体"/>
          <w:color w:val="auto"/>
          <w:szCs w:val="21"/>
          <w:highlight w:val="none"/>
          <w:lang w:val="en-US" w:eastAsia="zh-CN"/>
        </w:rPr>
        <w:t>3</w:t>
      </w:r>
      <w:r>
        <w:rPr>
          <w:rStyle w:val="37"/>
          <w:rFonts w:hint="eastAsia" w:ascii="宋体" w:hAnsi="宋体" w:eastAsia="宋体" w:cs="宋体"/>
          <w:color w:val="auto"/>
          <w:szCs w:val="21"/>
          <w:highlight w:val="none"/>
          <w:lang w:val="en-US" w:eastAsia="zh-CN"/>
        </w:rPr>
        <w:t>0分</w:t>
      </w:r>
      <w:r>
        <w:rPr>
          <w:rStyle w:val="37"/>
          <w:rFonts w:hint="eastAsia" w:ascii="宋体" w:hAnsi="宋体" w:eastAsia="宋体" w:cs="宋体"/>
          <w:color w:val="auto"/>
          <w:szCs w:val="21"/>
          <w:highlight w:val="none"/>
        </w:rPr>
        <w:t>（北京时间）前提交响应文件。</w:t>
      </w:r>
    </w:p>
    <w:p w14:paraId="7AE82B16">
      <w:pPr>
        <w:keepNext w:val="0"/>
        <w:keepLines w:val="0"/>
        <w:pageBreakBefore w:val="0"/>
        <w:widowControl/>
        <w:kinsoku/>
        <w:overflowPunct/>
        <w:topLinePunct w:val="0"/>
        <w:bidi w:val="0"/>
        <w:adjustRightInd/>
        <w:snapToGrid/>
        <w:spacing w:line="440" w:lineRule="exact"/>
        <w:ind w:left="0" w:leftChars="0" w:right="0" w:rightChars="0"/>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一、项目基本情况</w:t>
      </w:r>
    </w:p>
    <w:p w14:paraId="274ACFB3">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项目编号：GLZC2026-C3-990033-HCBY  </w:t>
      </w:r>
    </w:p>
    <w:p w14:paraId="2A6DD112">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项目名称：</w:t>
      </w:r>
      <w:r>
        <w:rPr>
          <w:rStyle w:val="37"/>
          <w:rFonts w:hint="eastAsia" w:ascii="宋体" w:hAnsi="宋体" w:cs="宋体"/>
          <w:color w:val="auto"/>
          <w:szCs w:val="21"/>
          <w:highlight w:val="none"/>
          <w:u w:val="single"/>
          <w:lang w:eastAsia="zh-CN"/>
        </w:rPr>
        <w:t>桂林市矿产资源总体规划（2026-2030年）编制工作</w:t>
      </w:r>
      <w:r>
        <w:rPr>
          <w:rFonts w:hint="eastAsia" w:ascii="宋体" w:hAnsi="宋体" w:eastAsia="宋体" w:cs="宋体"/>
          <w:color w:val="auto"/>
          <w:highlight w:val="none"/>
          <w:lang w:val="en-US" w:eastAsia="zh-CN"/>
        </w:rPr>
        <w:t> </w:t>
      </w:r>
    </w:p>
    <w:p w14:paraId="37091310">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采购方式：竞争性磋商 </w:t>
      </w:r>
    </w:p>
    <w:p w14:paraId="317D38D7">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预算总金额（元）：</w:t>
      </w:r>
      <w:r>
        <w:rPr>
          <w:rFonts w:hint="eastAsia" w:ascii="宋体" w:hAnsi="宋体" w:cs="宋体"/>
          <w:color w:val="auto"/>
          <w:highlight w:val="none"/>
          <w:lang w:val="en-US" w:eastAsia="zh-CN"/>
        </w:rPr>
        <w:t>1770000.00</w:t>
      </w:r>
    </w:p>
    <w:p w14:paraId="08B5540D">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采购需求： </w:t>
      </w:r>
    </w:p>
    <w:p w14:paraId="0098C2C4">
      <w:pPr>
        <w:pStyle w:val="10"/>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标项一</w:t>
      </w:r>
    </w:p>
    <w:p w14:paraId="609FF11B">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标项名称：</w:t>
      </w:r>
      <w:r>
        <w:rPr>
          <w:rStyle w:val="37"/>
          <w:rFonts w:hint="eastAsia" w:ascii="宋体" w:hAnsi="宋体" w:cs="宋体"/>
          <w:color w:val="auto"/>
          <w:szCs w:val="21"/>
          <w:highlight w:val="none"/>
          <w:u w:val="single"/>
          <w:lang w:eastAsia="zh-CN"/>
        </w:rPr>
        <w:t>桂林市矿产资源总体规划（2026-2030年）编制工作</w:t>
      </w:r>
    </w:p>
    <w:p w14:paraId="1459398C">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数量:1项</w:t>
      </w:r>
    </w:p>
    <w:p w14:paraId="3292D2EF">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预算金额（元）</w:t>
      </w:r>
      <w:r>
        <w:rPr>
          <w:rFonts w:hint="eastAsia" w:ascii="宋体" w:hAnsi="宋体" w:cs="宋体"/>
          <w:color w:val="auto"/>
          <w:highlight w:val="none"/>
          <w:lang w:val="en-US" w:eastAsia="zh-CN"/>
        </w:rPr>
        <w:t>：1770000.00</w:t>
      </w:r>
    </w:p>
    <w:p w14:paraId="0E4F0EBB">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依据自治区矿产资源规划的目标任务，开展桂林市矿产资源总体规划(2026-2030年)编制工作</w:t>
      </w: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 xml:space="preserve">详见竞争性磋商文件。 </w:t>
      </w:r>
    </w:p>
    <w:p w14:paraId="26ECBA86">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最高限价（如有）：</w:t>
      </w:r>
      <w:r>
        <w:rPr>
          <w:rFonts w:hint="eastAsia" w:ascii="宋体" w:hAnsi="宋体" w:cs="宋体"/>
          <w:color w:val="auto"/>
          <w:highlight w:val="none"/>
          <w:lang w:val="en-US" w:eastAsia="zh-CN"/>
        </w:rPr>
        <w:t>1770000.00</w:t>
      </w:r>
    </w:p>
    <w:p w14:paraId="4540FA33">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bCs/>
          <w:color w:val="auto"/>
          <w:kern w:val="0"/>
          <w:szCs w:val="21"/>
          <w:highlight w:val="none"/>
          <w:lang w:val="en-US" w:eastAsia="zh-CN"/>
        </w:rPr>
      </w:pPr>
      <w:r>
        <w:rPr>
          <w:rFonts w:hint="eastAsia" w:ascii="宋体" w:hAnsi="宋体" w:eastAsia="宋体" w:cs="宋体"/>
          <w:color w:val="auto"/>
          <w:highlight w:val="none"/>
          <w:lang w:val="en-US" w:eastAsia="zh-CN"/>
        </w:rPr>
        <w:t>合同履约期限：</w:t>
      </w:r>
      <w:r>
        <w:rPr>
          <w:rFonts w:hint="eastAsia" w:ascii="宋体" w:hAnsi="宋体" w:cs="宋体"/>
          <w:color w:val="auto"/>
          <w:highlight w:val="none"/>
          <w:lang w:val="en-US" w:eastAsia="zh-CN"/>
        </w:rPr>
        <w:t>签订合同后,2026年4月底前,完成规划预审稿报自治区自然资源厅审批。2026年8月底前,规划送审稿（含规划数据库）经市人民政府审核同意后，报自治区自然资源厅审批。编制的《桂林市矿产资源总体规划（2026-2030年）》须经自治区自然资源厅批复同意实施。</w:t>
      </w:r>
    </w:p>
    <w:p w14:paraId="3A41D2E8">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本标项不接受联合体投标</w:t>
      </w:r>
    </w:p>
    <w:p w14:paraId="5F5FEDA3">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备注：/</w:t>
      </w:r>
    </w:p>
    <w:p w14:paraId="7D2043AD">
      <w:pPr>
        <w:keepNext w:val="0"/>
        <w:keepLines w:val="0"/>
        <w:pageBreakBefore w:val="0"/>
        <w:widowControl/>
        <w:kinsoku/>
        <w:overflowPunct/>
        <w:topLinePunct w:val="0"/>
        <w:bidi w:val="0"/>
        <w:adjustRightInd/>
        <w:snapToGrid/>
        <w:spacing w:line="440" w:lineRule="exact"/>
        <w:ind w:left="0" w:leftChars="0" w:right="0" w:rightChars="0"/>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二、申请人的资格要求：</w:t>
      </w:r>
    </w:p>
    <w:p w14:paraId="0E5D7840">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1、符合《中华人民共和国政府采购法》第二十二条规定。</w:t>
      </w:r>
    </w:p>
    <w:p w14:paraId="6B7ED6DD">
      <w:pPr>
        <w:keepNext w:val="0"/>
        <w:keepLines w:val="0"/>
        <w:pageBreakBefore w:val="0"/>
        <w:widowControl w:val="0"/>
        <w:tabs>
          <w:tab w:val="left" w:pos="6090"/>
        </w:tabs>
        <w:kinsoku/>
        <w:wordWrap/>
        <w:overflowPunct/>
        <w:topLinePunct w:val="0"/>
        <w:autoSpaceDE/>
        <w:autoSpaceDN/>
        <w:bidi w:val="0"/>
        <w:adjustRightInd/>
        <w:snapToGrid/>
        <w:spacing w:line="41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2、落实政府采购政策需满足的资格要求：</w:t>
      </w:r>
      <w:r>
        <w:rPr>
          <w:rFonts w:hint="eastAsia" w:ascii="宋体" w:hAnsi="宋体" w:cs="宋体"/>
          <w:color w:val="auto"/>
          <w:szCs w:val="21"/>
          <w:highlight w:val="none"/>
          <w:lang w:eastAsia="zh-CN"/>
        </w:rPr>
        <w:t>无</w:t>
      </w:r>
    </w:p>
    <w:p w14:paraId="21A28DAE">
      <w:pPr>
        <w:pageBreakBefore w:val="0"/>
        <w:kinsoku/>
        <w:overflowPunct/>
        <w:topLinePunct w:val="0"/>
        <w:bidi w:val="0"/>
        <w:adjustRightInd/>
        <w:snapToGrid/>
        <w:spacing w:line="480" w:lineRule="exact"/>
        <w:ind w:left="0" w:leftChars="0" w:right="0" w:righ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本项目的特定资格要求：</w:t>
      </w:r>
      <w:r>
        <w:rPr>
          <w:rFonts w:hint="eastAsia" w:ascii="宋体" w:hAnsi="宋体" w:cs="宋体"/>
          <w:color w:val="auto"/>
          <w:szCs w:val="21"/>
          <w:highlight w:val="none"/>
          <w:lang w:eastAsia="zh-CN"/>
        </w:rPr>
        <w:t>无</w:t>
      </w:r>
    </w:p>
    <w:p w14:paraId="5E969A3E">
      <w:pPr>
        <w:keepNext w:val="0"/>
        <w:keepLines w:val="0"/>
        <w:pageBreakBefore w:val="0"/>
        <w:widowControl w:val="0"/>
        <w:kinsoku/>
        <w:wordWrap/>
        <w:overflowPunct/>
        <w:topLinePunct w:val="0"/>
        <w:autoSpaceDE/>
        <w:autoSpaceDN/>
        <w:bidi w:val="0"/>
        <w:adjustRightInd/>
        <w:snapToGrid/>
        <w:spacing w:line="440" w:lineRule="exact"/>
        <w:ind w:right="0" w:rightChars="0"/>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三、获取采购文件</w:t>
      </w:r>
    </w:p>
    <w:p w14:paraId="165EF892">
      <w:pPr>
        <w:keepNext w:val="0"/>
        <w:keepLines w:val="0"/>
        <w:pageBreakBefore w:val="0"/>
        <w:widowControl/>
        <w:kinsoku/>
        <w:overflowPunct/>
        <w:topLinePunct w:val="0"/>
        <w:bidi w:val="0"/>
        <w:adjustRightInd/>
        <w:snapToGrid/>
        <w:spacing w:line="440" w:lineRule="exact"/>
        <w:ind w:left="0" w:leftChars="0" w:right="0" w:rightChars="0" w:firstLine="420" w:firstLineChars="200"/>
        <w:jc w:val="left"/>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时间：磋商公告发布之日起至响应文件递交截止时间止</w:t>
      </w:r>
      <w:r>
        <w:rPr>
          <w:rFonts w:hint="eastAsia" w:ascii="宋体" w:hAnsi="宋体" w:eastAsia="宋体" w:cs="宋体"/>
          <w:color w:val="auto"/>
          <w:kern w:val="0"/>
          <w:szCs w:val="21"/>
          <w:highlight w:val="none"/>
          <w:lang w:eastAsia="zh-CN"/>
        </w:rPr>
        <w:t>。</w:t>
      </w:r>
    </w:p>
    <w:p w14:paraId="6A90ECC7">
      <w:pPr>
        <w:keepNext w:val="0"/>
        <w:keepLines w:val="0"/>
        <w:pageBreakBefore w:val="0"/>
        <w:widowControl/>
        <w:kinsoku/>
        <w:wordWrap/>
        <w:overflowPunct/>
        <w:topLinePunct w:val="0"/>
        <w:bidi w:val="0"/>
        <w:adjustRightInd/>
        <w:snapToGrid/>
        <w:spacing w:line="440" w:lineRule="exact"/>
        <w:ind w:left="0" w:leftChars="0" w:right="0" w:rightChars="0" w:firstLine="420" w:firstLineChars="200"/>
        <w:jc w:val="left"/>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地点（网址）：</w:t>
      </w:r>
      <w:r>
        <w:rPr>
          <w:rFonts w:hint="eastAsia" w:ascii="宋体" w:hAnsi="宋体" w:eastAsia="宋体" w:cs="宋体"/>
          <w:color w:val="auto"/>
          <w:kern w:val="0"/>
          <w:szCs w:val="21"/>
          <w:highlight w:val="none"/>
          <w:u w:val="none"/>
        </w:rPr>
        <w:t>广西政府采购云平台</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https://www.gcy.zfcg.gxzf.gov.cn/</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u w:val="none"/>
          <w:lang w:val="en-US" w:eastAsia="zh-CN"/>
        </w:rPr>
        <w:t>线上获取。</w:t>
      </w:r>
    </w:p>
    <w:p w14:paraId="00826662">
      <w:pPr>
        <w:keepNext w:val="0"/>
        <w:keepLines w:val="0"/>
        <w:pageBreakBefore w:val="0"/>
        <w:widowControl/>
        <w:kinsoku/>
        <w:wordWrap/>
        <w:overflowPunct/>
        <w:topLinePunct w:val="0"/>
        <w:bidi w:val="0"/>
        <w:adjustRightInd/>
        <w:snapToGrid/>
        <w:spacing w:line="440" w:lineRule="exact"/>
        <w:ind w:left="0" w:leftChars="0" w:right="0" w:rightChars="0" w:firstLine="420" w:firstLineChars="200"/>
        <w:jc w:val="left"/>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方式：供应商登录广西政府采购云平台https://www.gcy.zfcg.gxzf.gov.cn/在线申请获取采购文件（进入“项目采购”应用，在获取采购文件菜单中选择项目，申请获取采购文件）</w:t>
      </w:r>
      <w:r>
        <w:rPr>
          <w:rFonts w:hint="eastAsia" w:ascii="宋体" w:hAnsi="宋体" w:eastAsia="宋体" w:cs="宋体"/>
          <w:color w:val="auto"/>
          <w:kern w:val="0"/>
          <w:szCs w:val="21"/>
          <w:highlight w:val="none"/>
          <w:lang w:eastAsia="zh-CN"/>
        </w:rPr>
        <w:t>。</w:t>
      </w:r>
    </w:p>
    <w:p w14:paraId="2660D995">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1.已获取竞争性磋商文件的供应商不等于符合本项目的供应商资格条件。</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2.为配合采购人进行政府采购项目执行和备案，未在广西政府采购云平台注册的供应商可在获取采购文件后登录广西政府采购云平台进行注册，如在操作过程中遇到问题或者需要技术支持，请致电广西政府采购云平台客服热线：95763。 </w:t>
      </w:r>
    </w:p>
    <w:p w14:paraId="0299FFA9">
      <w:pPr>
        <w:keepNext w:val="0"/>
        <w:keepLines w:val="0"/>
        <w:pageBreakBefore w:val="0"/>
        <w:widowControl/>
        <w:kinsoku/>
        <w:wordWrap/>
        <w:overflowPunct/>
        <w:topLinePunct w:val="0"/>
        <w:autoSpaceDE/>
        <w:autoSpaceDN/>
        <w:bidi w:val="0"/>
        <w:adjustRightInd/>
        <w:snapToGrid/>
        <w:spacing w:line="440" w:lineRule="exact"/>
        <w:ind w:left="0" w:leftChars="0" w:right="0" w:rightChars="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售价（元）：0 </w:t>
      </w:r>
    </w:p>
    <w:p w14:paraId="0A570E59">
      <w:pPr>
        <w:keepNext w:val="0"/>
        <w:keepLines w:val="0"/>
        <w:pageBreakBefore w:val="0"/>
        <w:widowControl/>
        <w:kinsoku/>
        <w:wordWrap/>
        <w:overflowPunct/>
        <w:topLinePunct w:val="0"/>
        <w:autoSpaceDE/>
        <w:autoSpaceDN/>
        <w:bidi w:val="0"/>
        <w:adjustRightInd/>
        <w:snapToGrid/>
        <w:spacing w:line="440" w:lineRule="exact"/>
        <w:ind w:left="0" w:leftChars="0" w:right="0" w:rightChars="0"/>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四、响应文件提交</w:t>
      </w:r>
      <w:r>
        <w:rPr>
          <w:rFonts w:hint="eastAsia" w:ascii="宋体" w:hAnsi="宋体" w:eastAsia="宋体" w:cs="宋体"/>
          <w:color w:val="auto"/>
          <w:kern w:val="0"/>
          <w:szCs w:val="21"/>
          <w:highlight w:val="none"/>
        </w:rPr>
        <w:t> </w:t>
      </w:r>
    </w:p>
    <w:p w14:paraId="56F53BDB">
      <w:pPr>
        <w:keepNext w:val="0"/>
        <w:keepLines w:val="0"/>
        <w:pageBreakBefore w:val="0"/>
        <w:kinsoku/>
        <w:wordWrap/>
        <w:overflowPunct/>
        <w:topLinePunct w:val="0"/>
        <w:autoSpaceDE/>
        <w:autoSpaceDN/>
        <w:bidi w:val="0"/>
        <w:adjustRightInd/>
        <w:snapToGrid/>
        <w:spacing w:line="440" w:lineRule="exact"/>
        <w:ind w:left="0" w:leftChars="0" w:right="0" w:rightChars="0"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截止时间：</w:t>
      </w:r>
      <w:r>
        <w:rPr>
          <w:rFonts w:hint="eastAsia" w:ascii="宋体" w:hAnsi="宋体" w:eastAsia="宋体" w:cs="宋体"/>
          <w:color w:val="auto"/>
          <w:sz w:val="21"/>
          <w:szCs w:val="21"/>
          <w:highlight w:val="none"/>
          <w:shd w:val="clear" w:color="auto" w:fill="FFFFFF"/>
          <w:lang w:val="en-US" w:eastAsia="zh-CN"/>
        </w:rPr>
        <w:t>202</w:t>
      </w:r>
      <w:r>
        <w:rPr>
          <w:rFonts w:hint="eastAsia" w:ascii="宋体" w:hAnsi="宋体" w:cs="宋体"/>
          <w:color w:val="auto"/>
          <w:sz w:val="21"/>
          <w:szCs w:val="21"/>
          <w:highlight w:val="none"/>
          <w:shd w:val="clear" w:color="auto" w:fill="FFFFFF"/>
          <w:lang w:val="en-US" w:eastAsia="zh-CN"/>
        </w:rPr>
        <w:t>6</w:t>
      </w:r>
      <w:r>
        <w:rPr>
          <w:rStyle w:val="37"/>
          <w:rFonts w:hint="eastAsia" w:ascii="宋体" w:hAnsi="宋体" w:eastAsia="宋体" w:cs="宋体"/>
          <w:color w:val="auto"/>
          <w:szCs w:val="21"/>
          <w:highlight w:val="none"/>
        </w:rPr>
        <w:t>年</w:t>
      </w:r>
      <w:r>
        <w:rPr>
          <w:rStyle w:val="37"/>
          <w:rFonts w:hint="eastAsia" w:ascii="宋体" w:hAnsi="宋体" w:cs="宋体"/>
          <w:color w:val="auto"/>
          <w:szCs w:val="21"/>
          <w:highlight w:val="none"/>
          <w:lang w:val="en-US"/>
        </w:rPr>
        <w:t>2</w:t>
      </w:r>
      <w:r>
        <w:rPr>
          <w:rStyle w:val="37"/>
          <w:rFonts w:hint="eastAsia" w:ascii="宋体" w:hAnsi="宋体" w:eastAsia="宋体" w:cs="宋体"/>
          <w:color w:val="auto"/>
          <w:szCs w:val="21"/>
          <w:highlight w:val="none"/>
        </w:rPr>
        <w:t>月</w:t>
      </w:r>
      <w:r>
        <w:rPr>
          <w:rStyle w:val="37"/>
          <w:rFonts w:hint="eastAsia" w:ascii="宋体" w:hAnsi="宋体" w:cs="宋体"/>
          <w:color w:val="auto"/>
          <w:szCs w:val="21"/>
          <w:highlight w:val="none"/>
          <w:lang w:val="en-US"/>
        </w:rPr>
        <w:t>10</w:t>
      </w:r>
      <w:r>
        <w:rPr>
          <w:rStyle w:val="37"/>
          <w:rFonts w:hint="eastAsia" w:ascii="宋体" w:hAnsi="宋体" w:eastAsia="宋体" w:cs="宋体"/>
          <w:color w:val="auto"/>
          <w:szCs w:val="21"/>
          <w:highlight w:val="none"/>
        </w:rPr>
        <w:t>日</w:t>
      </w:r>
      <w:r>
        <w:rPr>
          <w:rStyle w:val="37"/>
          <w:rFonts w:hint="eastAsia" w:ascii="宋体" w:hAnsi="宋体" w:cs="宋体"/>
          <w:color w:val="auto"/>
          <w:szCs w:val="21"/>
          <w:highlight w:val="none"/>
          <w:lang w:val="en-US"/>
        </w:rPr>
        <w:t>09</w:t>
      </w:r>
      <w:r>
        <w:rPr>
          <w:rFonts w:hint="eastAsia" w:ascii="宋体" w:hAnsi="宋体" w:eastAsia="宋体" w:cs="宋体"/>
          <w:color w:val="auto"/>
          <w:sz w:val="21"/>
          <w:szCs w:val="21"/>
          <w:highlight w:val="none"/>
          <w:shd w:val="clear" w:color="auto" w:fill="FFFFFF"/>
        </w:rPr>
        <w:t>时</w:t>
      </w:r>
      <w:r>
        <w:rPr>
          <w:rFonts w:hint="eastAsia" w:ascii="宋体" w:hAnsi="宋体" w:cs="宋体"/>
          <w:color w:val="auto"/>
          <w:sz w:val="21"/>
          <w:szCs w:val="21"/>
          <w:highlight w:val="none"/>
          <w:shd w:val="clear" w:color="auto" w:fill="FFFFFF"/>
          <w:lang w:val="en-US" w:eastAsia="zh-CN"/>
        </w:rPr>
        <w:t>30</w:t>
      </w:r>
      <w:r>
        <w:rPr>
          <w:rFonts w:hint="eastAsia" w:ascii="宋体" w:hAnsi="宋体" w:eastAsia="宋体" w:cs="宋体"/>
          <w:color w:val="auto"/>
          <w:sz w:val="21"/>
          <w:szCs w:val="21"/>
          <w:highlight w:val="none"/>
          <w:shd w:val="clear" w:color="auto" w:fill="FFFFFF"/>
        </w:rPr>
        <w:t>分</w:t>
      </w:r>
      <w:r>
        <w:rPr>
          <w:rFonts w:hint="eastAsia" w:ascii="宋体" w:hAnsi="宋体" w:eastAsia="宋体" w:cs="宋体"/>
          <w:bCs/>
          <w:color w:val="auto"/>
          <w:szCs w:val="21"/>
          <w:highlight w:val="none"/>
        </w:rPr>
        <w:t>（北京时间）。</w:t>
      </w:r>
    </w:p>
    <w:p w14:paraId="2A6F5046">
      <w:pPr>
        <w:keepNext w:val="0"/>
        <w:keepLines w:val="0"/>
        <w:pageBreakBefore w:val="0"/>
        <w:kinsoku/>
        <w:wordWrap/>
        <w:overflowPunct/>
        <w:topLinePunct w:val="0"/>
        <w:autoSpaceDE/>
        <w:autoSpaceDN/>
        <w:bidi w:val="0"/>
        <w:adjustRightInd/>
        <w:snapToGrid/>
        <w:spacing w:line="440" w:lineRule="exact"/>
        <w:ind w:left="0" w:leftChars="0" w:right="0" w:righ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地    点：通过</w:t>
      </w:r>
      <w:r>
        <w:rPr>
          <w:rFonts w:hint="eastAsia" w:ascii="宋体" w:hAnsi="宋体" w:eastAsia="宋体" w:cs="宋体"/>
          <w:color w:val="auto"/>
          <w:highlight w:val="none"/>
          <w:lang w:eastAsia="zh-CN"/>
        </w:rPr>
        <w:t>广西政府采购云平台</w:t>
      </w:r>
      <w:r>
        <w:rPr>
          <w:rFonts w:hint="eastAsia" w:ascii="宋体" w:hAnsi="宋体" w:eastAsia="宋体" w:cs="宋体"/>
          <w:color w:val="auto"/>
          <w:szCs w:val="21"/>
          <w:highlight w:val="none"/>
        </w:rPr>
        <w:t>实行在线响应。</w:t>
      </w:r>
    </w:p>
    <w:p w14:paraId="2CD885F2">
      <w:pPr>
        <w:keepNext w:val="0"/>
        <w:keepLines w:val="0"/>
        <w:pageBreakBefore w:val="0"/>
        <w:widowControl/>
        <w:kinsoku/>
        <w:wordWrap/>
        <w:overflowPunct/>
        <w:topLinePunct w:val="0"/>
        <w:autoSpaceDE/>
        <w:autoSpaceDN/>
        <w:bidi w:val="0"/>
        <w:adjustRightInd/>
        <w:snapToGrid/>
        <w:spacing w:line="440" w:lineRule="exact"/>
        <w:ind w:left="0" w:leftChars="0" w:right="0" w:rightChars="0"/>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五、响应文件开启</w:t>
      </w:r>
      <w:r>
        <w:rPr>
          <w:rFonts w:hint="eastAsia" w:ascii="宋体" w:hAnsi="宋体" w:eastAsia="宋体" w:cs="宋体"/>
          <w:color w:val="auto"/>
          <w:kern w:val="0"/>
          <w:szCs w:val="21"/>
          <w:highlight w:val="none"/>
        </w:rPr>
        <w:t> </w:t>
      </w:r>
    </w:p>
    <w:p w14:paraId="3835AC61">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开启时间：</w:t>
      </w:r>
      <w:r>
        <w:rPr>
          <w:rFonts w:hint="eastAsia" w:ascii="宋体" w:hAnsi="宋体" w:eastAsia="宋体" w:cs="宋体"/>
          <w:color w:val="auto"/>
          <w:sz w:val="21"/>
          <w:szCs w:val="21"/>
          <w:highlight w:val="none"/>
          <w:shd w:val="clear" w:color="auto" w:fill="FFFFFF"/>
          <w:lang w:val="en-US" w:eastAsia="zh-CN"/>
        </w:rPr>
        <w:t>202</w:t>
      </w:r>
      <w:r>
        <w:rPr>
          <w:rFonts w:hint="eastAsia" w:ascii="宋体" w:hAnsi="宋体" w:cs="宋体"/>
          <w:color w:val="auto"/>
          <w:sz w:val="21"/>
          <w:szCs w:val="21"/>
          <w:highlight w:val="none"/>
          <w:shd w:val="clear" w:color="auto" w:fill="FFFFFF"/>
          <w:lang w:val="en-US" w:eastAsia="zh-CN"/>
        </w:rPr>
        <w:t>6</w:t>
      </w:r>
      <w:r>
        <w:rPr>
          <w:rStyle w:val="37"/>
          <w:rFonts w:hint="eastAsia" w:ascii="宋体" w:hAnsi="宋体" w:eastAsia="宋体" w:cs="宋体"/>
          <w:color w:val="auto"/>
          <w:szCs w:val="21"/>
          <w:highlight w:val="none"/>
        </w:rPr>
        <w:t>年</w:t>
      </w:r>
      <w:r>
        <w:rPr>
          <w:rStyle w:val="37"/>
          <w:rFonts w:hint="eastAsia" w:ascii="宋体" w:hAnsi="宋体" w:cs="宋体"/>
          <w:color w:val="auto"/>
          <w:szCs w:val="21"/>
          <w:highlight w:val="none"/>
          <w:lang w:val="en-US"/>
        </w:rPr>
        <w:t>2</w:t>
      </w:r>
      <w:r>
        <w:rPr>
          <w:rStyle w:val="37"/>
          <w:rFonts w:hint="eastAsia" w:ascii="宋体" w:hAnsi="宋体" w:eastAsia="宋体" w:cs="宋体"/>
          <w:color w:val="auto"/>
          <w:szCs w:val="21"/>
          <w:highlight w:val="none"/>
        </w:rPr>
        <w:t>月</w:t>
      </w:r>
      <w:r>
        <w:rPr>
          <w:rStyle w:val="37"/>
          <w:rFonts w:hint="eastAsia" w:ascii="宋体" w:hAnsi="宋体" w:cs="宋体"/>
          <w:color w:val="auto"/>
          <w:szCs w:val="21"/>
          <w:highlight w:val="none"/>
          <w:lang w:val="en-US"/>
        </w:rPr>
        <w:t>10</w:t>
      </w:r>
      <w:r>
        <w:rPr>
          <w:rStyle w:val="37"/>
          <w:rFonts w:hint="eastAsia" w:ascii="宋体" w:hAnsi="宋体" w:eastAsia="宋体" w:cs="宋体"/>
          <w:color w:val="auto"/>
          <w:szCs w:val="21"/>
          <w:highlight w:val="none"/>
        </w:rPr>
        <w:t>日</w:t>
      </w:r>
      <w:r>
        <w:rPr>
          <w:rStyle w:val="37"/>
          <w:rFonts w:hint="eastAsia" w:ascii="宋体" w:hAnsi="宋体" w:cs="宋体"/>
          <w:color w:val="auto"/>
          <w:szCs w:val="21"/>
          <w:highlight w:val="none"/>
          <w:lang w:val="en-US"/>
        </w:rPr>
        <w:t>09</w:t>
      </w:r>
      <w:r>
        <w:rPr>
          <w:rFonts w:hint="eastAsia" w:ascii="宋体" w:hAnsi="宋体" w:eastAsia="宋体" w:cs="宋体"/>
          <w:color w:val="auto"/>
          <w:sz w:val="21"/>
          <w:szCs w:val="21"/>
          <w:highlight w:val="none"/>
          <w:shd w:val="clear" w:color="auto" w:fill="FFFFFF"/>
        </w:rPr>
        <w:t>时</w:t>
      </w:r>
      <w:r>
        <w:rPr>
          <w:rFonts w:hint="eastAsia" w:ascii="宋体" w:hAnsi="宋体" w:cs="宋体"/>
          <w:color w:val="auto"/>
          <w:sz w:val="21"/>
          <w:szCs w:val="21"/>
          <w:highlight w:val="none"/>
          <w:shd w:val="clear" w:color="auto" w:fill="FFFFFF"/>
          <w:lang w:val="en-US" w:eastAsia="zh-CN"/>
        </w:rPr>
        <w:t>30</w:t>
      </w:r>
      <w:r>
        <w:rPr>
          <w:rFonts w:hint="eastAsia" w:ascii="宋体" w:hAnsi="宋体" w:eastAsia="宋体" w:cs="宋体"/>
          <w:color w:val="auto"/>
          <w:sz w:val="21"/>
          <w:szCs w:val="21"/>
          <w:highlight w:val="none"/>
          <w:shd w:val="clear" w:color="auto" w:fill="FFFFFF"/>
        </w:rPr>
        <w:t>分</w:t>
      </w:r>
      <w:r>
        <w:rPr>
          <w:rFonts w:hint="eastAsia" w:ascii="宋体" w:hAnsi="宋体" w:eastAsia="宋体" w:cs="宋体"/>
          <w:color w:val="auto"/>
          <w:kern w:val="0"/>
          <w:szCs w:val="21"/>
          <w:highlight w:val="none"/>
        </w:rPr>
        <w:t>（北京时间）后</w:t>
      </w:r>
    </w:p>
    <w:p w14:paraId="391694DB">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地点：</w:t>
      </w:r>
      <w:r>
        <w:rPr>
          <w:rFonts w:hint="eastAsia" w:ascii="宋体" w:hAnsi="宋体" w:eastAsia="宋体" w:cs="宋体"/>
          <w:color w:val="auto"/>
          <w:szCs w:val="21"/>
          <w:highlight w:val="none"/>
        </w:rPr>
        <w:t>通过</w:t>
      </w:r>
      <w:r>
        <w:rPr>
          <w:rFonts w:hint="eastAsia" w:ascii="宋体" w:hAnsi="宋体" w:eastAsia="宋体" w:cs="宋体"/>
          <w:color w:val="auto"/>
          <w:highlight w:val="none"/>
          <w:lang w:eastAsia="zh-CN"/>
        </w:rPr>
        <w:t>广西政府采购云</w:t>
      </w:r>
      <w:r>
        <w:rPr>
          <w:rFonts w:hint="eastAsia" w:ascii="宋体" w:hAnsi="宋体" w:eastAsia="宋体" w:cs="宋体"/>
          <w:color w:val="auto"/>
          <w:szCs w:val="21"/>
          <w:highlight w:val="none"/>
        </w:rPr>
        <w:t>平台实行在线解密开启</w:t>
      </w:r>
      <w:r>
        <w:rPr>
          <w:rFonts w:hint="eastAsia" w:ascii="宋体" w:hAnsi="宋体" w:eastAsia="宋体" w:cs="宋体"/>
          <w:color w:val="auto"/>
          <w:szCs w:val="21"/>
          <w:highlight w:val="none"/>
          <w:lang w:eastAsia="zh-CN"/>
        </w:rPr>
        <w:t>。</w:t>
      </w:r>
      <w:r>
        <w:rPr>
          <w:rFonts w:hint="eastAsia" w:ascii="宋体" w:hAnsi="宋体" w:eastAsia="宋体" w:cs="宋体"/>
          <w:color w:val="auto"/>
          <w:kern w:val="0"/>
          <w:szCs w:val="21"/>
          <w:highlight w:val="none"/>
        </w:rPr>
        <w:t> </w:t>
      </w:r>
    </w:p>
    <w:p w14:paraId="434ACA00">
      <w:pPr>
        <w:keepNext w:val="0"/>
        <w:keepLines w:val="0"/>
        <w:pageBreakBefore w:val="0"/>
        <w:widowControl/>
        <w:kinsoku/>
        <w:wordWrap/>
        <w:overflowPunct/>
        <w:topLinePunct w:val="0"/>
        <w:autoSpaceDE/>
        <w:autoSpaceDN/>
        <w:bidi w:val="0"/>
        <w:adjustRightInd/>
        <w:snapToGrid/>
        <w:spacing w:line="440" w:lineRule="exact"/>
        <w:ind w:left="0" w:leftChars="0" w:right="0" w:rightChars="0"/>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六、公告期限</w:t>
      </w:r>
    </w:p>
    <w:p w14:paraId="3ABDB98D">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个工作日。</w:t>
      </w:r>
    </w:p>
    <w:p w14:paraId="0B591FB8">
      <w:pPr>
        <w:keepNext w:val="0"/>
        <w:keepLines w:val="0"/>
        <w:pageBreakBefore w:val="0"/>
        <w:widowControl/>
        <w:kinsoku/>
        <w:wordWrap/>
        <w:overflowPunct/>
        <w:topLinePunct w:val="0"/>
        <w:autoSpaceDE/>
        <w:autoSpaceDN/>
        <w:bidi w:val="0"/>
        <w:adjustRightInd/>
        <w:snapToGrid/>
        <w:spacing w:line="440" w:lineRule="exact"/>
        <w:ind w:left="0" w:leftChars="0" w:right="0" w:rightChars="0"/>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七、其他补充事宜</w:t>
      </w:r>
      <w:r>
        <w:rPr>
          <w:rFonts w:hint="eastAsia" w:ascii="宋体" w:hAnsi="宋体" w:eastAsia="宋体" w:cs="宋体"/>
          <w:color w:val="auto"/>
          <w:kern w:val="0"/>
          <w:szCs w:val="21"/>
          <w:highlight w:val="none"/>
        </w:rPr>
        <w:t> </w:t>
      </w:r>
    </w:p>
    <w:p w14:paraId="5D82DA1F">
      <w:pPr>
        <w:keepNext w:val="0"/>
        <w:keepLines w:val="0"/>
        <w:pageBreakBefore w:val="0"/>
        <w:kinsoku/>
        <w:wordWrap/>
        <w:overflowPunct/>
        <w:topLinePunct w:val="0"/>
        <w:autoSpaceDE/>
        <w:autoSpaceDN/>
        <w:bidi w:val="0"/>
        <w:adjustRightInd/>
        <w:snapToGrid/>
        <w:spacing w:line="440" w:lineRule="exact"/>
        <w:ind w:left="0" w:leftChars="0" w:right="0" w:rightChars="0"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1、本项目无需缴纳磋商保证金。</w:t>
      </w:r>
    </w:p>
    <w:p w14:paraId="376A1ABF">
      <w:pPr>
        <w:keepNext w:val="0"/>
        <w:keepLines w:val="0"/>
        <w:pageBreakBefore w:val="0"/>
        <w:kinsoku/>
        <w:overflowPunct/>
        <w:topLinePunct w:val="0"/>
        <w:bidi w:val="0"/>
        <w:adjustRightInd/>
        <w:snapToGrid/>
        <w:spacing w:line="440" w:lineRule="exact"/>
        <w:ind w:left="0" w:leftChars="0" w:right="0" w:righ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szCs w:val="21"/>
          <w:highlight w:val="none"/>
        </w:rPr>
        <w:t>单位负责人为同一人或者存在直接控股、管理关系的不同供应商，不得参加同一合同项下的政府采购活动。</w:t>
      </w:r>
      <w:r>
        <w:rPr>
          <w:rFonts w:hint="eastAsia" w:ascii="宋体" w:hAnsi="宋体" w:eastAsia="宋体" w:cs="宋体"/>
          <w:color w:val="auto"/>
          <w:highlight w:val="none"/>
        </w:rPr>
        <w:t>除单一来源采购项目外，</w:t>
      </w:r>
      <w:r>
        <w:rPr>
          <w:rFonts w:hint="eastAsia" w:ascii="宋体" w:hAnsi="宋体" w:eastAsia="宋体" w:cs="宋体"/>
          <w:color w:val="auto"/>
          <w:szCs w:val="21"/>
          <w:highlight w:val="none"/>
        </w:rPr>
        <w:t>为本项目提供过整体设计、规范编制或者项目管理、监理、检测等服务的供应商，不得再参加本项目上述服务以外的其他采购活动。</w:t>
      </w:r>
    </w:p>
    <w:p w14:paraId="55D37BDC">
      <w:pPr>
        <w:keepNext w:val="0"/>
        <w:keepLines w:val="0"/>
        <w:pageBreakBefore w:val="0"/>
        <w:kinsoku/>
        <w:overflowPunct/>
        <w:topLinePunct w:val="0"/>
        <w:bidi w:val="0"/>
        <w:adjustRightInd/>
        <w:snapToGrid/>
        <w:spacing w:line="440" w:lineRule="exact"/>
        <w:ind w:left="0" w:leftChars="0" w:right="0" w:righ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w:t>
      </w:r>
    </w:p>
    <w:p w14:paraId="6749A203">
      <w:pPr>
        <w:keepNext w:val="0"/>
        <w:keepLines w:val="0"/>
        <w:pageBreakBefore w:val="0"/>
        <w:kinsoku/>
        <w:overflowPunct/>
        <w:topLinePunct w:val="0"/>
        <w:bidi w:val="0"/>
        <w:adjustRightInd/>
        <w:snapToGrid/>
        <w:spacing w:line="440" w:lineRule="exact"/>
        <w:ind w:left="0" w:leftChars="0" w:right="0" w:righ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本项目信息发布媒体：http://www.ccgp.gov.cn中国政府采购网、http://zfcg.gxzf.gov.cn/广西壮族自治区政府采购网、</w:t>
      </w:r>
      <w:r>
        <w:rPr>
          <w:rFonts w:hint="eastAsia" w:ascii="宋体" w:hAnsi="宋体" w:eastAsia="宋体" w:cs="宋体"/>
          <w:color w:val="auto"/>
          <w:kern w:val="0"/>
          <w:szCs w:val="21"/>
          <w:highlight w:val="none"/>
          <w:lang w:eastAsia="zh-CN"/>
        </w:rPr>
        <w:t>http://gl.zfcg.zcygov.cn/</w:t>
      </w:r>
      <w:r>
        <w:rPr>
          <w:rFonts w:hint="eastAsia" w:ascii="宋体" w:hAnsi="宋体" w:eastAsia="宋体" w:cs="宋体"/>
          <w:color w:val="auto"/>
          <w:szCs w:val="21"/>
          <w:highlight w:val="none"/>
        </w:rPr>
        <w:t>桂林市政府采购网</w:t>
      </w:r>
      <w:r>
        <w:rPr>
          <w:rFonts w:hint="eastAsia" w:ascii="宋体" w:hAnsi="宋体" w:eastAsia="宋体" w:cs="宋体"/>
          <w:color w:val="auto"/>
          <w:sz w:val="21"/>
          <w:szCs w:val="21"/>
          <w:highlight w:val="none"/>
          <w:lang w:val="en-US" w:eastAsia="zh-CN"/>
        </w:rPr>
        <w:t>发布</w:t>
      </w:r>
      <w:r>
        <w:rPr>
          <w:rFonts w:hint="eastAsia" w:ascii="宋体" w:hAnsi="宋体" w:eastAsia="宋体" w:cs="宋体"/>
          <w:color w:val="auto"/>
          <w:szCs w:val="21"/>
          <w:highlight w:val="none"/>
        </w:rPr>
        <w:t>。</w:t>
      </w:r>
    </w:p>
    <w:p w14:paraId="28003864">
      <w:pPr>
        <w:pStyle w:val="31"/>
        <w:keepNext w:val="0"/>
        <w:keepLines w:val="0"/>
        <w:pageBreakBefore w:val="0"/>
        <w:widowControl w:val="0"/>
        <w:kinsoku/>
        <w:overflowPunct/>
        <w:topLinePunct w:val="0"/>
        <w:bidi w:val="0"/>
        <w:adjustRightInd/>
        <w:snapToGrid/>
        <w:spacing w:before="0" w:after="0" w:line="440" w:lineRule="exact"/>
        <w:ind w:left="0" w:leftChars="0" w:right="0" w:rightChars="0"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5、磋商响应文件解密时间：</w:t>
      </w:r>
    </w:p>
    <w:p w14:paraId="1595CF97">
      <w:pPr>
        <w:pStyle w:val="31"/>
        <w:keepNext w:val="0"/>
        <w:keepLines w:val="0"/>
        <w:pageBreakBefore w:val="0"/>
        <w:widowControl w:val="0"/>
        <w:kinsoku/>
        <w:overflowPunct/>
        <w:topLinePunct w:val="0"/>
        <w:bidi w:val="0"/>
        <w:adjustRightInd/>
        <w:snapToGrid/>
        <w:spacing w:before="0" w:after="0" w:line="440" w:lineRule="exact"/>
        <w:ind w:left="0" w:leftChars="0" w:right="0" w:rightChars="0"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截标时间后</w:t>
      </w:r>
      <w:r>
        <w:rPr>
          <w:rFonts w:hint="eastAsia" w:ascii="宋体" w:hAnsi="宋体" w:eastAsia="宋体" w:cs="宋体"/>
          <w:b w:val="0"/>
          <w:bCs w:val="0"/>
          <w:color w:val="auto"/>
          <w:sz w:val="21"/>
          <w:szCs w:val="21"/>
          <w:highlight w:val="none"/>
          <w:u w:val="single"/>
        </w:rPr>
        <w:t>30</w:t>
      </w:r>
      <w:r>
        <w:rPr>
          <w:rFonts w:hint="eastAsia" w:ascii="宋体" w:hAnsi="宋体" w:eastAsia="宋体" w:cs="宋体"/>
          <w:b w:val="0"/>
          <w:bCs w:val="0"/>
          <w:color w:val="auto"/>
          <w:sz w:val="21"/>
          <w:szCs w:val="21"/>
          <w:highlight w:val="none"/>
        </w:rPr>
        <w:t>分钟内（</w:t>
      </w:r>
      <w:r>
        <w:rPr>
          <w:rFonts w:hint="eastAsia" w:ascii="宋体" w:hAnsi="宋体" w:eastAsia="宋体" w:cs="宋体"/>
          <w:b w:val="0"/>
          <w:bCs w:val="0"/>
          <w:color w:val="auto"/>
          <w:sz w:val="21"/>
          <w:szCs w:val="21"/>
          <w:highlight w:val="none"/>
          <w:u w:val="none"/>
          <w:lang w:val="en-US" w:eastAsia="zh-CN"/>
        </w:rPr>
        <w:t>2026</w:t>
      </w:r>
      <w:r>
        <w:rPr>
          <w:rFonts w:hint="eastAsia" w:ascii="宋体" w:hAnsi="宋体" w:eastAsia="宋体" w:cs="宋体"/>
          <w:b w:val="0"/>
          <w:bCs w:val="0"/>
          <w:color w:val="auto"/>
          <w:sz w:val="21"/>
          <w:szCs w:val="21"/>
          <w:highlight w:val="none"/>
          <w:u w:val="none"/>
        </w:rPr>
        <w:t>年</w:t>
      </w:r>
      <w:r>
        <w:rPr>
          <w:rFonts w:hint="eastAsia" w:ascii="宋体" w:hAnsi="宋体" w:eastAsia="宋体" w:cs="宋体"/>
          <w:b w:val="0"/>
          <w:bCs w:val="0"/>
          <w:color w:val="auto"/>
          <w:sz w:val="21"/>
          <w:szCs w:val="21"/>
          <w:highlight w:val="none"/>
          <w:u w:val="none"/>
          <w:lang w:val="en-US"/>
        </w:rPr>
        <w:t>2</w:t>
      </w:r>
      <w:r>
        <w:rPr>
          <w:rFonts w:hint="eastAsia" w:ascii="宋体" w:hAnsi="宋体" w:eastAsia="宋体" w:cs="宋体"/>
          <w:b w:val="0"/>
          <w:bCs w:val="0"/>
          <w:color w:val="auto"/>
          <w:sz w:val="21"/>
          <w:szCs w:val="21"/>
          <w:highlight w:val="none"/>
          <w:u w:val="none"/>
        </w:rPr>
        <w:t>月</w:t>
      </w:r>
      <w:r>
        <w:rPr>
          <w:rFonts w:hint="eastAsia" w:ascii="宋体" w:hAnsi="宋体" w:eastAsia="宋体" w:cs="宋体"/>
          <w:b w:val="0"/>
          <w:bCs w:val="0"/>
          <w:color w:val="auto"/>
          <w:sz w:val="21"/>
          <w:szCs w:val="21"/>
          <w:highlight w:val="none"/>
          <w:u w:val="none"/>
          <w:lang w:val="en-US"/>
        </w:rPr>
        <w:t>10</w:t>
      </w:r>
      <w:r>
        <w:rPr>
          <w:rFonts w:hint="eastAsia" w:ascii="宋体" w:hAnsi="宋体" w:eastAsia="宋体" w:cs="宋体"/>
          <w:b w:val="0"/>
          <w:bCs w:val="0"/>
          <w:color w:val="auto"/>
          <w:sz w:val="21"/>
          <w:szCs w:val="21"/>
          <w:highlight w:val="none"/>
          <w:u w:val="none"/>
        </w:rPr>
        <w:t>日</w:t>
      </w:r>
      <w:r>
        <w:rPr>
          <w:rFonts w:hint="eastAsia" w:ascii="宋体" w:hAnsi="宋体" w:eastAsia="宋体" w:cs="宋体"/>
          <w:b w:val="0"/>
          <w:bCs w:val="0"/>
          <w:color w:val="auto"/>
          <w:sz w:val="21"/>
          <w:szCs w:val="21"/>
          <w:highlight w:val="none"/>
          <w:u w:val="none"/>
          <w:lang w:val="en-US" w:eastAsia="zh-CN"/>
        </w:rPr>
        <w:t>09</w:t>
      </w:r>
      <w:r>
        <w:rPr>
          <w:rFonts w:hint="eastAsia" w:ascii="宋体" w:hAnsi="宋体" w:eastAsia="宋体" w:cs="宋体"/>
          <w:b w:val="0"/>
          <w:bCs w:val="0"/>
          <w:color w:val="auto"/>
          <w:sz w:val="21"/>
          <w:szCs w:val="21"/>
          <w:highlight w:val="none"/>
          <w:u w:val="none"/>
        </w:rPr>
        <w:t>时</w:t>
      </w:r>
      <w:r>
        <w:rPr>
          <w:rFonts w:hint="eastAsia" w:ascii="宋体" w:hAnsi="宋体" w:eastAsia="宋体" w:cs="宋体"/>
          <w:b w:val="0"/>
          <w:bCs w:val="0"/>
          <w:color w:val="auto"/>
          <w:sz w:val="21"/>
          <w:szCs w:val="21"/>
          <w:highlight w:val="none"/>
          <w:u w:val="none"/>
          <w:lang w:val="en-US" w:eastAsia="zh-CN"/>
        </w:rPr>
        <w:t>30分</w:t>
      </w:r>
      <w:r>
        <w:rPr>
          <w:rFonts w:hint="eastAsia" w:ascii="宋体" w:hAnsi="宋体" w:eastAsia="宋体" w:cs="宋体"/>
          <w:b w:val="0"/>
          <w:bCs w:val="0"/>
          <w:color w:val="auto"/>
          <w:sz w:val="21"/>
          <w:szCs w:val="21"/>
          <w:highlight w:val="none"/>
          <w:u w:val="none"/>
        </w:rPr>
        <w:t>至</w:t>
      </w:r>
      <w:r>
        <w:rPr>
          <w:rFonts w:hint="eastAsia" w:ascii="宋体" w:hAnsi="宋体" w:eastAsia="宋体" w:cs="宋体"/>
          <w:b w:val="0"/>
          <w:bCs w:val="0"/>
          <w:color w:val="auto"/>
          <w:sz w:val="21"/>
          <w:szCs w:val="21"/>
          <w:highlight w:val="none"/>
          <w:u w:val="none"/>
          <w:lang w:val="en-US" w:eastAsia="zh-CN"/>
        </w:rPr>
        <w:t>10</w:t>
      </w:r>
      <w:r>
        <w:rPr>
          <w:rFonts w:hint="eastAsia" w:ascii="宋体" w:hAnsi="宋体" w:eastAsia="宋体" w:cs="宋体"/>
          <w:b w:val="0"/>
          <w:bCs w:val="0"/>
          <w:color w:val="auto"/>
          <w:sz w:val="21"/>
          <w:szCs w:val="21"/>
          <w:highlight w:val="none"/>
          <w:u w:val="none"/>
        </w:rPr>
        <w:t>时</w:t>
      </w:r>
      <w:r>
        <w:rPr>
          <w:rFonts w:hint="eastAsia" w:ascii="宋体" w:hAnsi="宋体" w:eastAsia="宋体" w:cs="宋体"/>
          <w:b w:val="0"/>
          <w:bCs w:val="0"/>
          <w:color w:val="auto"/>
          <w:sz w:val="21"/>
          <w:szCs w:val="21"/>
          <w:highlight w:val="none"/>
          <w:u w:val="none"/>
          <w:lang w:val="en-US" w:eastAsia="zh-CN"/>
        </w:rPr>
        <w:t>00</w:t>
      </w:r>
      <w:r>
        <w:rPr>
          <w:rFonts w:hint="eastAsia" w:ascii="宋体" w:hAnsi="宋体" w:eastAsia="宋体" w:cs="宋体"/>
          <w:b w:val="0"/>
          <w:bCs w:val="0"/>
          <w:color w:val="auto"/>
          <w:sz w:val="21"/>
          <w:szCs w:val="21"/>
          <w:highlight w:val="none"/>
          <w:u w:val="none"/>
        </w:rPr>
        <w:t>分</w:t>
      </w:r>
      <w:r>
        <w:rPr>
          <w:rFonts w:hint="eastAsia" w:ascii="宋体" w:hAnsi="宋体" w:eastAsia="宋体" w:cs="宋体"/>
          <w:b w:val="0"/>
          <w:bCs w:val="0"/>
          <w:color w:val="auto"/>
          <w:sz w:val="21"/>
          <w:szCs w:val="21"/>
          <w:highlight w:val="none"/>
        </w:rPr>
        <w:t>)磋商供应商可以登录</w:t>
      </w:r>
      <w:r>
        <w:rPr>
          <w:rFonts w:hint="eastAsia" w:ascii="宋体" w:hAnsi="宋体" w:eastAsia="宋体" w:cs="宋体"/>
          <w:b w:val="0"/>
          <w:bCs w:val="0"/>
          <w:color w:val="auto"/>
          <w:sz w:val="21"/>
          <w:szCs w:val="21"/>
          <w:highlight w:val="none"/>
          <w:lang w:eastAsia="zh-CN"/>
        </w:rPr>
        <w:t>广西政府采购云平台</w:t>
      </w:r>
      <w:r>
        <w:rPr>
          <w:rFonts w:hint="eastAsia" w:ascii="宋体" w:hAnsi="宋体" w:eastAsia="宋体" w:cs="宋体"/>
          <w:b w:val="0"/>
          <w:bCs w:val="0"/>
          <w:color w:val="auto"/>
          <w:sz w:val="21"/>
          <w:szCs w:val="21"/>
          <w:highlight w:val="none"/>
        </w:rPr>
        <w:t>，用“项目采购-开标评标”功能进行解密电子磋商响应文件。若磋商供应商在规定时间内无法解密或解密失败，可以以电子备份磋商响应文件作为依据【在接到无法解密或解密失败的通知后，供应商可根据自身实际情况按通知时要求的时间到</w:t>
      </w:r>
      <w:r>
        <w:rPr>
          <w:rFonts w:hint="eastAsia" w:ascii="宋体" w:hAnsi="宋体" w:eastAsia="宋体" w:cs="宋体"/>
          <w:b/>
          <w:bCs/>
          <w:color w:val="auto"/>
          <w:sz w:val="21"/>
          <w:szCs w:val="21"/>
          <w:highlight w:val="none"/>
          <w:lang w:val="en-US" w:eastAsia="zh-CN"/>
        </w:rPr>
        <w:t>桂林市</w:t>
      </w:r>
      <w:r>
        <w:rPr>
          <w:rFonts w:hint="eastAsia" w:ascii="宋体" w:hAnsi="宋体" w:eastAsia="宋体" w:cs="宋体"/>
          <w:b/>
          <w:bCs/>
          <w:color w:val="auto"/>
          <w:sz w:val="21"/>
          <w:szCs w:val="21"/>
          <w:highlight w:val="none"/>
          <w:lang w:eastAsia="zh-CN"/>
        </w:rPr>
        <w:t>公共资源交易中心</w:t>
      </w:r>
      <w:r>
        <w:rPr>
          <w:rFonts w:hint="eastAsia" w:ascii="宋体" w:hAnsi="宋体" w:eastAsia="宋体" w:cs="宋体"/>
          <w:b/>
          <w:bCs w:val="0"/>
          <w:color w:val="auto"/>
          <w:sz w:val="21"/>
          <w:szCs w:val="21"/>
          <w:highlight w:val="none"/>
          <w:lang w:eastAsia="zh-CN"/>
        </w:rPr>
        <w:t>（具体开标室根据电子屏幕显示的安排）</w:t>
      </w:r>
      <w:r>
        <w:rPr>
          <w:rFonts w:hint="eastAsia" w:ascii="宋体" w:hAnsi="宋体" w:eastAsia="宋体" w:cs="宋体"/>
          <w:b w:val="0"/>
          <w:bCs w:val="0"/>
          <w:color w:val="auto"/>
          <w:sz w:val="21"/>
          <w:szCs w:val="21"/>
          <w:highlight w:val="none"/>
        </w:rPr>
        <w:t>提交或以电子邮件的形式（以通知时所告知的电子邮箱地址为准）提交电子备份磋商响应文件】，若磋商供应商在规定时间内无法解密或解密失败且未提供电子备份磋商响应文件的(包含提供的电子备份文件无效或无法解密的情况)，视为无效响应。</w:t>
      </w:r>
    </w:p>
    <w:p w14:paraId="0BADA819">
      <w:pPr>
        <w:pStyle w:val="31"/>
        <w:keepNext w:val="0"/>
        <w:keepLines w:val="0"/>
        <w:pageBreakBefore w:val="0"/>
        <w:widowControl w:val="0"/>
        <w:kinsoku/>
        <w:overflowPunct/>
        <w:topLinePunct w:val="0"/>
        <w:bidi w:val="0"/>
        <w:adjustRightInd/>
        <w:snapToGrid/>
        <w:spacing w:before="0" w:after="0" w:line="440" w:lineRule="exact"/>
        <w:ind w:left="0" w:leftChars="0" w:right="0" w:rightChars="0"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6、本项目需要落实的政府采购政策：</w:t>
      </w:r>
    </w:p>
    <w:p w14:paraId="65FE5277">
      <w:pPr>
        <w:pStyle w:val="31"/>
        <w:keepNext w:val="0"/>
        <w:keepLines w:val="0"/>
        <w:pageBreakBefore w:val="0"/>
        <w:widowControl w:val="0"/>
        <w:kinsoku/>
        <w:overflowPunct/>
        <w:topLinePunct w:val="0"/>
        <w:bidi w:val="0"/>
        <w:adjustRightInd/>
        <w:snapToGrid/>
        <w:spacing w:before="0" w:after="0" w:line="440" w:lineRule="exact"/>
        <w:ind w:left="0" w:leftChars="0" w:right="0" w:rightChars="0"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（1）《政府采购促进中小企业发展管理办法》。</w:t>
      </w:r>
    </w:p>
    <w:p w14:paraId="36CEA573">
      <w:pPr>
        <w:pStyle w:val="31"/>
        <w:keepNext w:val="0"/>
        <w:keepLines w:val="0"/>
        <w:pageBreakBefore w:val="0"/>
        <w:widowControl w:val="0"/>
        <w:kinsoku/>
        <w:overflowPunct/>
        <w:topLinePunct w:val="0"/>
        <w:bidi w:val="0"/>
        <w:adjustRightInd/>
        <w:snapToGrid/>
        <w:spacing w:before="0" w:after="0" w:line="440" w:lineRule="exact"/>
        <w:ind w:left="0" w:leftChars="0" w:right="0" w:rightChars="0"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（2）《关于促进残疾人就业政府采购政策的通知》。</w:t>
      </w:r>
    </w:p>
    <w:p w14:paraId="5C569239">
      <w:pPr>
        <w:pStyle w:val="31"/>
        <w:keepNext w:val="0"/>
        <w:keepLines w:val="0"/>
        <w:pageBreakBefore w:val="0"/>
        <w:widowControl w:val="0"/>
        <w:kinsoku/>
        <w:overflowPunct/>
        <w:topLinePunct w:val="0"/>
        <w:bidi w:val="0"/>
        <w:adjustRightInd/>
        <w:snapToGrid/>
        <w:spacing w:before="0" w:after="0" w:line="440" w:lineRule="exact"/>
        <w:ind w:left="0" w:leftChars="0" w:right="0" w:rightChars="0"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（3）《关于政府采购支持监狱企业发展有关问题的通知》。</w:t>
      </w:r>
    </w:p>
    <w:p w14:paraId="33230177">
      <w:pPr>
        <w:keepNext w:val="0"/>
        <w:keepLines w:val="0"/>
        <w:pageBreakBefore w:val="0"/>
        <w:widowControl w:val="0"/>
        <w:tabs>
          <w:tab w:val="left" w:pos="6090"/>
        </w:tabs>
        <w:kinsoku/>
        <w:wordWrap/>
        <w:overflowPunct/>
        <w:topLinePunct w:val="0"/>
        <w:autoSpaceDE/>
        <w:autoSpaceDN/>
        <w:bidi w:val="0"/>
        <w:adjustRightInd/>
        <w:snapToGrid/>
        <w:spacing w:line="440" w:lineRule="exact"/>
        <w:ind w:left="0" w:leftChars="0" w:firstLine="422" w:firstLineChars="200"/>
        <w:textAlignment w:val="auto"/>
        <w:rPr>
          <w:rFonts w:hint="eastAsia" w:ascii="宋体" w:hAnsi="宋体" w:eastAsia="宋体" w:cs="宋体"/>
          <w:b/>
          <w:bCs/>
          <w:color w:val="auto"/>
          <w:sz w:val="21"/>
          <w:szCs w:val="21"/>
          <w:highlight w:val="none"/>
          <w:lang w:val="en-US" w:eastAsia="zh-CN"/>
        </w:rPr>
      </w:pPr>
      <w:bookmarkStart w:id="1" w:name="_Toc10383"/>
      <w:r>
        <w:rPr>
          <w:rFonts w:hint="eastAsia" w:ascii="宋体" w:hAnsi="宋体" w:eastAsia="宋体" w:cs="宋体"/>
          <w:b/>
          <w:bCs/>
          <w:color w:val="auto"/>
          <w:sz w:val="21"/>
          <w:szCs w:val="21"/>
          <w:highlight w:val="none"/>
          <w:lang w:val="en-US" w:eastAsia="zh-CN"/>
        </w:rPr>
        <w:t>7、本项目不属于专门面向中小企业采购的项目。按照《政府采购促进中小企业发展管理办法》规定预留采购份额无法确保充分供应、充分竞争，或者存在可能影响政府采购目标实现的情形。本项目对应的中小企业划分标准所属行业为：其他未列明行业。</w:t>
      </w:r>
    </w:p>
    <w:p w14:paraId="4BCFE8EE">
      <w:pPr>
        <w:keepNext w:val="0"/>
        <w:keepLines w:val="0"/>
        <w:pageBreakBefore w:val="0"/>
        <w:widowControl w:val="0"/>
        <w:kinsoku/>
        <w:overflowPunct/>
        <w:topLinePunct w:val="0"/>
        <w:bidi w:val="0"/>
        <w:adjustRightInd/>
        <w:snapToGrid/>
        <w:spacing w:line="440" w:lineRule="exact"/>
        <w:ind w:left="0" w:leftChars="0" w:right="0" w:rightChars="0" w:firstLine="422" w:firstLineChars="200"/>
        <w:jc w:val="left"/>
        <w:textAlignment w:val="auto"/>
        <w:outlineLvl w:val="1"/>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8、</w:t>
      </w:r>
      <w:r>
        <w:rPr>
          <w:rFonts w:hint="eastAsia" w:ascii="宋体" w:hAnsi="宋体" w:eastAsia="宋体" w:cs="宋体"/>
          <w:b/>
          <w:bCs/>
          <w:color w:val="auto"/>
          <w:szCs w:val="21"/>
          <w:highlight w:val="none"/>
        </w:rPr>
        <w:t>在线响应（电子响应）说明</w:t>
      </w:r>
      <w:bookmarkEnd w:id="1"/>
    </w:p>
    <w:p w14:paraId="29A6DCDE">
      <w:pPr>
        <w:keepNext w:val="0"/>
        <w:keepLines w:val="0"/>
        <w:pageBreakBefore w:val="0"/>
        <w:widowControl w:val="0"/>
        <w:kinsoku/>
        <w:overflowPunct/>
        <w:topLinePunct w:val="0"/>
        <w:bidi w:val="0"/>
        <w:adjustRightInd/>
        <w:snapToGrid/>
        <w:spacing w:line="440" w:lineRule="exact"/>
        <w:ind w:left="0" w:leftChars="0" w:right="0" w:righ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（1）本项目通过</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实行在线响应（电子响应），供应商需要先安装“</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电子交易客户端”，并按照本磋商文件和</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的要求，通过“</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电子交易客户端”编制并加密响应文件。供应商未按规定编制并加密的响应文件，</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将予以拒收。</w:t>
      </w:r>
    </w:p>
    <w:p w14:paraId="3E4DCE43">
      <w:pPr>
        <w:pStyle w:val="31"/>
        <w:keepNext w:val="0"/>
        <w:keepLines w:val="0"/>
        <w:pageBreakBefore w:val="0"/>
        <w:widowControl w:val="0"/>
        <w:kinsoku/>
        <w:wordWrap w:val="0"/>
        <w:overflowPunct/>
        <w:topLinePunct w:val="0"/>
        <w:bidi w:val="0"/>
        <w:adjustRightInd/>
        <w:snapToGrid/>
        <w:spacing w:before="0" w:after="0" w:line="440" w:lineRule="exact"/>
        <w:ind w:left="0" w:leftChars="0" w:right="0" w:rightChars="0" w:firstLine="422"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电子交易客户端”请自行前往广西政府采购网下载并安装（http://zfcg.gxzf.gov.cn/OfficeService/DownloadArea/2455918.html?utm=sites_group_front.b8b6c91.0.0.c51f9820a48111eabb9bcbdf01af125e）；电子响应具体操作流程参考《政府采购项目电子交易管理操作指南-供应商》；在使用</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投标客户端时，建议使用WIN7及以上操作系统，通过</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参与在线响应时如遇平台技术问题详询</w:t>
      </w:r>
      <w:r>
        <w:rPr>
          <w:rFonts w:hint="eastAsia" w:ascii="宋体" w:hAnsi="宋体" w:eastAsia="宋体" w:cs="宋体"/>
          <w:color w:val="auto"/>
          <w:sz w:val="21"/>
          <w:szCs w:val="21"/>
          <w:highlight w:val="none"/>
          <w:lang w:eastAsia="zh-CN"/>
        </w:rPr>
        <w:t>95763</w:t>
      </w:r>
      <w:r>
        <w:rPr>
          <w:rFonts w:hint="eastAsia" w:ascii="宋体" w:hAnsi="宋体" w:eastAsia="宋体" w:cs="宋体"/>
          <w:color w:val="auto"/>
          <w:sz w:val="21"/>
          <w:szCs w:val="21"/>
          <w:highlight w:val="none"/>
        </w:rPr>
        <w:t>。</w:t>
      </w:r>
    </w:p>
    <w:p w14:paraId="33EC3969">
      <w:pPr>
        <w:keepNext w:val="0"/>
        <w:keepLines w:val="0"/>
        <w:pageBreakBefore w:val="0"/>
        <w:kinsoku/>
        <w:overflowPunct/>
        <w:topLinePunct w:val="0"/>
        <w:bidi w:val="0"/>
        <w:adjustRightInd/>
        <w:snapToGrid/>
        <w:spacing w:line="440" w:lineRule="exact"/>
        <w:ind w:left="0" w:leftChars="0" w:right="0" w:righ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（2）①在“</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Cs w:val="21"/>
          <w:highlight w:val="none"/>
        </w:rPr>
        <w:t>”注册成为正式供应商（操作方法详见广西壮族自治区政府采购网—办事服务—办事指南）；②完成CA证书申领和绑定（费用由供应商自行承担，办理流程详见广西壮族自治区政府采购网—办事服务—下载专区，完成CA证书办理预计一周左右，建议供应商尽快办理）；③下载“广西壮族自治区全流程电子招投标项目管理系统--供应商客户端”（操作方法详见广西壮族自治区政府采购网—办事服务—下载专区，以下称“</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电子投标客户端”）并安装成功，供应商应当在提交响应文件截止时间前在“</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Cs w:val="21"/>
          <w:highlight w:val="none"/>
        </w:rPr>
        <w:t>”完成的身份认证，确保能够对相关数据电文进行加密和使用电子签章</w:t>
      </w:r>
      <w:r>
        <w:rPr>
          <w:rFonts w:hint="eastAsia" w:ascii="宋体" w:hAnsi="宋体" w:eastAsia="宋体" w:cs="宋体"/>
          <w:color w:val="auto"/>
          <w:szCs w:val="21"/>
          <w:highlight w:val="none"/>
          <w:lang w:eastAsia="zh-CN"/>
        </w:rPr>
        <w:t>。</w:t>
      </w:r>
    </w:p>
    <w:p w14:paraId="249CB859">
      <w:pPr>
        <w:keepNext w:val="0"/>
        <w:keepLines w:val="0"/>
        <w:pageBreakBefore w:val="0"/>
        <w:kinsoku/>
        <w:overflowPunct/>
        <w:topLinePunct w:val="0"/>
        <w:bidi w:val="0"/>
        <w:adjustRightInd/>
        <w:snapToGrid/>
        <w:spacing w:line="440" w:lineRule="exact"/>
        <w:ind w:left="0" w:leftChars="0" w:right="0" w:righ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（3）磋商供应商应当在磋商截止时间前，将生成的“电子磋商响应文件”上传递交至</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响应文件递交截止时间前可以撤回电子磋商响应文件。补充或者修改电子磋商响应文件的，应当先行撤回原文件，补充、修改后重新传输递交，磋商响应文件递交截止时间前未完成传输的，视为撤回磋商响应文件。</w:t>
      </w:r>
    </w:p>
    <w:p w14:paraId="60BBB793">
      <w:pPr>
        <w:pStyle w:val="31"/>
        <w:keepNext w:val="0"/>
        <w:keepLines w:val="0"/>
        <w:pageBreakBefore w:val="0"/>
        <w:kinsoku/>
        <w:wordWrap/>
        <w:overflowPunct/>
        <w:topLinePunct w:val="0"/>
        <w:bidi w:val="0"/>
        <w:adjustRightInd/>
        <w:snapToGrid/>
        <w:spacing w:before="0" w:after="0" w:line="440" w:lineRule="exact"/>
        <w:ind w:left="0" w:leftChars="0" w:right="0" w:rightChars="0" w:firstLine="422" w:firstLineChars="200"/>
        <w:jc w:val="left"/>
        <w:textAlignment w:val="auto"/>
        <w:rPr>
          <w:rFonts w:hint="eastAsia" w:ascii="宋体" w:hAnsi="宋体" w:eastAsia="宋体" w:cs="宋体"/>
          <w:b/>
          <w:bCs/>
          <w:color w:val="auto"/>
          <w:sz w:val="21"/>
          <w:szCs w:val="21"/>
          <w:highlight w:val="none"/>
          <w:u w:val="single"/>
        </w:rPr>
      </w:pPr>
      <w:r>
        <w:rPr>
          <w:rFonts w:hint="eastAsia" w:ascii="宋体" w:hAnsi="宋体" w:eastAsia="宋体" w:cs="宋体"/>
          <w:b/>
          <w:bCs/>
          <w:color w:val="auto"/>
          <w:sz w:val="21"/>
          <w:szCs w:val="21"/>
          <w:highlight w:val="none"/>
          <w:u w:val="single"/>
        </w:rPr>
        <w:t>（4）本项目需要磋商供应商代表在截标当天截标后，按磋商小组要求及时登</w:t>
      </w:r>
      <w:r>
        <w:rPr>
          <w:rFonts w:hint="eastAsia" w:ascii="宋体" w:hAnsi="宋体" w:eastAsia="宋体" w:cs="宋体"/>
          <w:b/>
          <w:bCs/>
          <w:color w:val="auto"/>
          <w:sz w:val="21"/>
          <w:szCs w:val="21"/>
          <w:highlight w:val="none"/>
          <w:u w:val="single"/>
          <w:lang w:val="en-US" w:eastAsia="zh-CN"/>
        </w:rPr>
        <w:t>录</w:t>
      </w:r>
      <w:r>
        <w:rPr>
          <w:rFonts w:hint="eastAsia" w:ascii="宋体" w:hAnsi="宋体" w:eastAsia="宋体" w:cs="宋体"/>
          <w:b/>
          <w:bCs/>
          <w:color w:val="auto"/>
          <w:sz w:val="21"/>
          <w:szCs w:val="21"/>
          <w:highlight w:val="none"/>
          <w:u w:val="single"/>
          <w:lang w:eastAsia="zh-CN"/>
        </w:rPr>
        <w:t>广西政府采购云平台</w:t>
      </w:r>
      <w:r>
        <w:rPr>
          <w:rFonts w:hint="eastAsia" w:ascii="宋体" w:hAnsi="宋体" w:eastAsia="宋体" w:cs="宋体"/>
          <w:b/>
          <w:bCs/>
          <w:color w:val="auto"/>
          <w:sz w:val="21"/>
          <w:szCs w:val="21"/>
          <w:highlight w:val="none"/>
          <w:u w:val="single"/>
        </w:rPr>
        <w:t>等候在线磋商及提交最后报价。</w:t>
      </w:r>
    </w:p>
    <w:p w14:paraId="5EC2B6E6">
      <w:pPr>
        <w:pStyle w:val="31"/>
        <w:keepNext w:val="0"/>
        <w:keepLines w:val="0"/>
        <w:pageBreakBefore w:val="0"/>
        <w:kinsoku/>
        <w:wordWrap/>
        <w:overflowPunct/>
        <w:topLinePunct w:val="0"/>
        <w:bidi w:val="0"/>
        <w:adjustRightInd/>
        <w:snapToGrid/>
        <w:spacing w:before="0" w:after="0" w:line="440" w:lineRule="exact"/>
        <w:ind w:left="0" w:leftChars="0" w:right="0" w:rightChars="0" w:firstLine="422" w:firstLineChars="200"/>
        <w:jc w:val="left"/>
        <w:textAlignment w:val="auto"/>
        <w:rPr>
          <w:rFonts w:hint="eastAsia" w:ascii="宋体" w:hAnsi="宋体" w:eastAsia="宋体" w:cs="宋体"/>
          <w:b/>
          <w:bCs/>
          <w:color w:val="auto"/>
          <w:sz w:val="21"/>
          <w:szCs w:val="21"/>
          <w:highlight w:val="none"/>
          <w:u w:val="single"/>
        </w:rPr>
      </w:pPr>
      <w:r>
        <w:rPr>
          <w:rFonts w:hint="eastAsia" w:ascii="宋体" w:hAnsi="宋体" w:eastAsia="宋体" w:cs="宋体"/>
          <w:b/>
          <w:bCs/>
          <w:color w:val="auto"/>
          <w:sz w:val="21"/>
          <w:szCs w:val="21"/>
          <w:highlight w:val="none"/>
          <w:u w:val="single"/>
        </w:rPr>
        <w:t>本采购项目为广西政府采购云平台全流程电子化操作，参与磋商的供应商需自备计算机和网络设备（设备需可视频通话和读取广西政府采购云平台CA数字证书），确保磋商过程顺利进行；因供应商自身设备或网络原因造成的一切后果，由供应商自行承担。</w:t>
      </w:r>
    </w:p>
    <w:p w14:paraId="77DA6706">
      <w:pPr>
        <w:keepNext w:val="0"/>
        <w:keepLines w:val="0"/>
        <w:pageBreakBefore w:val="0"/>
        <w:widowControl/>
        <w:kinsoku/>
        <w:wordWrap/>
        <w:overflowPunct/>
        <w:topLinePunct w:val="0"/>
        <w:bidi w:val="0"/>
        <w:adjustRightInd/>
        <w:snapToGrid/>
        <w:spacing w:line="440" w:lineRule="exact"/>
        <w:ind w:left="0" w:leftChars="0" w:right="0" w:rightChars="0"/>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八、凡对本次招标提出询问，请按以下方式联系</w:t>
      </w:r>
    </w:p>
    <w:p w14:paraId="2CA9805B">
      <w:pPr>
        <w:keepNext w:val="0"/>
        <w:keepLines w:val="0"/>
        <w:pageBreakBefore w:val="0"/>
        <w:kinsoku/>
        <w:overflowPunct/>
        <w:topLinePunct w:val="0"/>
        <w:bidi w:val="0"/>
        <w:adjustRightInd/>
        <w:snapToGrid/>
        <w:spacing w:line="440" w:lineRule="exact"/>
        <w:ind w:left="0" w:leftChars="0" w:right="0" w:rightChars="0" w:firstLine="422" w:firstLineChars="200"/>
        <w:textAlignment w:val="auto"/>
        <w:rPr>
          <w:rFonts w:hint="eastAsia" w:ascii="宋体" w:hAnsi="宋体" w:eastAsia="宋体" w:cs="宋体"/>
          <w:b/>
          <w:bCs/>
          <w:color w:val="auto"/>
          <w:highlight w:val="none"/>
          <w:shd w:val="clear" w:color="auto" w:fill="FFFFFF"/>
        </w:rPr>
      </w:pPr>
      <w:r>
        <w:rPr>
          <w:rFonts w:hint="eastAsia" w:ascii="宋体" w:hAnsi="宋体" w:eastAsia="宋体" w:cs="宋体"/>
          <w:b/>
          <w:bCs/>
          <w:color w:val="auto"/>
          <w:highlight w:val="none"/>
          <w:shd w:val="clear" w:color="auto" w:fill="FFFFFF"/>
        </w:rPr>
        <w:t>1.采购人信息</w:t>
      </w:r>
    </w:p>
    <w:p w14:paraId="22437683">
      <w:pPr>
        <w:keepNext w:val="0"/>
        <w:keepLines w:val="0"/>
        <w:pageBreakBefore w:val="0"/>
        <w:kinsoku/>
        <w:overflowPunct/>
        <w:topLinePunct w:val="0"/>
        <w:bidi w:val="0"/>
        <w:adjustRightInd/>
        <w:snapToGrid/>
        <w:spacing w:line="440" w:lineRule="exact"/>
        <w:ind w:left="0" w:leftChars="0" w:right="0" w:rightChars="0" w:firstLine="420" w:firstLineChars="200"/>
        <w:jc w:val="left"/>
        <w:textAlignment w:val="auto"/>
        <w:rPr>
          <w:rFonts w:hint="eastAsia" w:ascii="宋体" w:hAnsi="宋体" w:eastAsia="宋体" w:cs="宋体"/>
          <w:color w:val="auto"/>
          <w:highlight w:val="none"/>
          <w:shd w:val="clear" w:color="auto" w:fill="FFFFFF"/>
          <w:lang w:eastAsia="zh-CN"/>
        </w:rPr>
      </w:pPr>
      <w:r>
        <w:rPr>
          <w:rFonts w:hint="eastAsia" w:ascii="宋体" w:hAnsi="宋体" w:eastAsia="宋体" w:cs="宋体"/>
          <w:color w:val="auto"/>
          <w:highlight w:val="none"/>
          <w:shd w:val="clear" w:color="auto" w:fill="FFFFFF"/>
          <w:lang w:eastAsia="zh-CN"/>
        </w:rPr>
        <w:t>名  称：</w:t>
      </w:r>
      <w:r>
        <w:rPr>
          <w:rFonts w:hint="eastAsia" w:ascii="宋体" w:hAnsi="宋体" w:cs="宋体"/>
          <w:color w:val="auto"/>
          <w:highlight w:val="none"/>
          <w:shd w:val="clear" w:color="auto" w:fill="FFFFFF"/>
          <w:lang w:eastAsia="zh-CN"/>
        </w:rPr>
        <w:t>桂林市自然资源局</w:t>
      </w:r>
    </w:p>
    <w:p w14:paraId="2A9330D8">
      <w:pPr>
        <w:keepNext w:val="0"/>
        <w:keepLines w:val="0"/>
        <w:pageBreakBefore w:val="0"/>
        <w:kinsoku/>
        <w:overflowPunct/>
        <w:topLinePunct w:val="0"/>
        <w:bidi w:val="0"/>
        <w:adjustRightInd/>
        <w:snapToGrid/>
        <w:spacing w:line="440" w:lineRule="exact"/>
        <w:ind w:left="0" w:leftChars="0" w:right="0" w:rightChars="0" w:firstLine="420" w:firstLineChars="200"/>
        <w:jc w:val="left"/>
        <w:textAlignment w:val="auto"/>
        <w:rPr>
          <w:rFonts w:hint="eastAsia" w:ascii="宋体" w:hAnsi="宋体" w:eastAsia="宋体" w:cs="宋体"/>
          <w:color w:val="auto"/>
          <w:highlight w:val="none"/>
          <w:shd w:val="clear" w:color="auto" w:fill="FFFFFF"/>
          <w:lang w:eastAsia="zh-CN"/>
        </w:rPr>
      </w:pPr>
      <w:r>
        <w:rPr>
          <w:rFonts w:hint="eastAsia" w:ascii="宋体" w:hAnsi="宋体" w:eastAsia="宋体" w:cs="宋体"/>
          <w:color w:val="auto"/>
          <w:highlight w:val="none"/>
          <w:shd w:val="clear" w:color="auto" w:fill="FFFFFF"/>
          <w:lang w:eastAsia="zh-CN"/>
        </w:rPr>
        <w:t>地  址：桂林市临桂区青莲路桂林投资发展商务大厦南楼</w:t>
      </w:r>
    </w:p>
    <w:p w14:paraId="07407341">
      <w:pPr>
        <w:keepNext w:val="0"/>
        <w:keepLines w:val="0"/>
        <w:pageBreakBefore w:val="0"/>
        <w:kinsoku/>
        <w:overflowPunct/>
        <w:topLinePunct w:val="0"/>
        <w:bidi w:val="0"/>
        <w:adjustRightInd/>
        <w:snapToGrid/>
        <w:spacing w:line="440" w:lineRule="exact"/>
        <w:ind w:left="0" w:leftChars="0" w:right="0" w:rightChars="0" w:firstLine="420" w:firstLineChars="200"/>
        <w:jc w:val="left"/>
        <w:textAlignment w:val="auto"/>
        <w:rPr>
          <w:rFonts w:hint="eastAsia" w:ascii="宋体" w:hAnsi="宋体" w:eastAsia="宋体" w:cs="宋体"/>
          <w:color w:val="auto"/>
          <w:highlight w:val="none"/>
          <w:shd w:val="clear" w:color="auto" w:fill="FFFFFF"/>
          <w:lang w:val="en-US" w:eastAsia="zh-CN"/>
        </w:rPr>
      </w:pPr>
      <w:r>
        <w:rPr>
          <w:rFonts w:hint="eastAsia" w:ascii="宋体" w:hAnsi="宋体" w:eastAsia="宋体" w:cs="宋体"/>
          <w:b w:val="0"/>
          <w:bCs w:val="0"/>
          <w:color w:val="auto"/>
          <w:highlight w:val="none"/>
          <w:shd w:val="clear" w:color="auto" w:fill="FFFFFF"/>
        </w:rPr>
        <w:t>联系人：</w:t>
      </w:r>
      <w:r>
        <w:rPr>
          <w:rFonts w:hint="eastAsia" w:ascii="宋体" w:hAnsi="宋体" w:cs="宋体"/>
          <w:b w:val="0"/>
          <w:bCs w:val="0"/>
          <w:color w:val="auto"/>
          <w:highlight w:val="none"/>
          <w:shd w:val="clear" w:color="auto" w:fill="FFFFFF"/>
          <w:lang w:val="en-US" w:eastAsia="zh-CN"/>
        </w:rPr>
        <w:t>高</w:t>
      </w:r>
      <w:r>
        <w:rPr>
          <w:rFonts w:hint="eastAsia" w:ascii="宋体" w:hAnsi="宋体" w:cs="宋体"/>
          <w:b w:val="0"/>
          <w:bCs w:val="0"/>
          <w:color w:val="auto"/>
          <w:highlight w:val="none"/>
          <w:shd w:val="clear" w:color="auto" w:fill="FFFFFF"/>
          <w:lang w:eastAsia="zh-CN"/>
        </w:rPr>
        <w:t>工</w:t>
      </w:r>
      <w:r>
        <w:rPr>
          <w:rFonts w:hint="eastAsia" w:ascii="宋体" w:hAnsi="宋体" w:cs="宋体"/>
          <w:b w:val="0"/>
          <w:bCs w:val="0"/>
          <w:color w:val="auto"/>
          <w:highlight w:val="none"/>
          <w:shd w:val="clear" w:color="auto" w:fill="FFFFFF"/>
          <w:lang w:val="en-US" w:eastAsia="zh-CN"/>
        </w:rPr>
        <w:t xml:space="preserve"> </w:t>
      </w:r>
      <w:r>
        <w:rPr>
          <w:rFonts w:hint="eastAsia" w:ascii="宋体" w:hAnsi="宋体" w:eastAsia="宋体" w:cs="宋体"/>
          <w:color w:val="auto"/>
          <w:highlight w:val="none"/>
          <w:shd w:val="clear" w:color="auto" w:fill="FFFFFF"/>
          <w:lang w:val="en-US" w:eastAsia="zh-CN"/>
        </w:rPr>
        <w:t xml:space="preserve">  </w:t>
      </w:r>
      <w:r>
        <w:rPr>
          <w:rFonts w:hint="eastAsia" w:ascii="宋体" w:hAnsi="宋体" w:eastAsia="宋体" w:cs="宋体"/>
          <w:color w:val="auto"/>
          <w:highlight w:val="none"/>
          <w:shd w:val="clear" w:color="auto" w:fill="FFFFFF"/>
        </w:rPr>
        <w:t xml:space="preserve">     </w:t>
      </w:r>
      <w:r>
        <w:rPr>
          <w:rFonts w:hint="eastAsia" w:ascii="宋体" w:hAnsi="宋体" w:cs="宋体"/>
          <w:color w:val="auto"/>
          <w:highlight w:val="none"/>
          <w:shd w:val="clear" w:color="auto" w:fill="FFFFFF"/>
          <w:lang w:val="en-US" w:eastAsia="zh-CN"/>
        </w:rPr>
        <w:t xml:space="preserve"> </w:t>
      </w:r>
      <w:r>
        <w:rPr>
          <w:rFonts w:hint="eastAsia" w:ascii="宋体" w:hAnsi="宋体" w:eastAsia="宋体" w:cs="宋体"/>
          <w:color w:val="auto"/>
          <w:highlight w:val="none"/>
          <w:shd w:val="clear" w:color="auto" w:fill="FFFFFF"/>
        </w:rPr>
        <w:t xml:space="preserve">  </w:t>
      </w:r>
      <w:r>
        <w:rPr>
          <w:rFonts w:hint="eastAsia" w:ascii="宋体" w:hAnsi="宋体" w:eastAsia="宋体" w:cs="宋体"/>
          <w:color w:val="auto"/>
          <w:highlight w:val="none"/>
          <w:shd w:val="clear" w:color="auto" w:fill="FFFFFF"/>
          <w:lang w:val="en-US" w:eastAsia="zh-CN"/>
        </w:rPr>
        <w:t>联系</w:t>
      </w:r>
      <w:r>
        <w:rPr>
          <w:rFonts w:hint="eastAsia" w:ascii="宋体" w:hAnsi="宋体" w:eastAsia="宋体" w:cs="宋体"/>
          <w:color w:val="auto"/>
          <w:highlight w:val="none"/>
          <w:shd w:val="clear" w:color="auto" w:fill="FFFFFF"/>
        </w:rPr>
        <w:t>电话：</w:t>
      </w:r>
      <w:r>
        <w:rPr>
          <w:rFonts w:hint="eastAsia" w:ascii="宋体" w:hAnsi="宋体" w:cs="宋体"/>
          <w:color w:val="auto"/>
          <w:highlight w:val="none"/>
          <w:shd w:val="clear" w:color="auto" w:fill="FFFFFF"/>
          <w:lang w:val="en-US" w:eastAsia="zh-CN"/>
        </w:rPr>
        <w:t>0773-2827504</w:t>
      </w:r>
    </w:p>
    <w:p w14:paraId="3B5CFE27">
      <w:pPr>
        <w:keepNext w:val="0"/>
        <w:keepLines w:val="0"/>
        <w:pageBreakBefore w:val="0"/>
        <w:kinsoku/>
        <w:overflowPunct/>
        <w:topLinePunct w:val="0"/>
        <w:bidi w:val="0"/>
        <w:adjustRightInd/>
        <w:snapToGrid/>
        <w:spacing w:line="440" w:lineRule="exact"/>
        <w:ind w:left="0" w:leftChars="0" w:right="0" w:rightChars="0" w:firstLine="422" w:firstLineChars="200"/>
        <w:jc w:val="left"/>
        <w:textAlignment w:val="auto"/>
        <w:rPr>
          <w:rFonts w:hint="eastAsia" w:ascii="宋体" w:hAnsi="宋体" w:eastAsia="宋体" w:cs="宋体"/>
          <w:b/>
          <w:bCs/>
          <w:color w:val="auto"/>
          <w:highlight w:val="none"/>
          <w:shd w:val="clear" w:color="auto" w:fill="FFFFFF"/>
        </w:rPr>
      </w:pPr>
      <w:r>
        <w:rPr>
          <w:rFonts w:hint="eastAsia" w:ascii="宋体" w:hAnsi="宋体" w:eastAsia="宋体" w:cs="宋体"/>
          <w:b/>
          <w:bCs/>
          <w:color w:val="auto"/>
          <w:highlight w:val="none"/>
          <w:shd w:val="clear" w:color="auto" w:fill="FFFFFF"/>
        </w:rPr>
        <w:t>2.采购代理机构信息</w:t>
      </w:r>
    </w:p>
    <w:p w14:paraId="4502ED37">
      <w:pPr>
        <w:keepNext w:val="0"/>
        <w:keepLines w:val="0"/>
        <w:pageBreakBefore w:val="0"/>
        <w:kinsoku/>
        <w:overflowPunct/>
        <w:topLinePunct w:val="0"/>
        <w:bidi w:val="0"/>
        <w:adjustRightInd/>
        <w:snapToGrid/>
        <w:spacing w:line="440" w:lineRule="exact"/>
        <w:ind w:left="0" w:leftChars="0" w:right="0" w:rightChars="0" w:firstLine="420" w:firstLineChars="200"/>
        <w:jc w:val="left"/>
        <w:textAlignment w:val="auto"/>
        <w:rPr>
          <w:rFonts w:hint="default" w:ascii="宋体" w:hAnsi="宋体" w:eastAsia="宋体" w:cs="宋体"/>
          <w:color w:val="auto"/>
          <w:highlight w:val="none"/>
          <w:shd w:val="clear" w:color="auto" w:fill="FFFFFF"/>
          <w:lang w:val="en-US" w:eastAsia="zh-CN"/>
        </w:rPr>
      </w:pPr>
      <w:r>
        <w:rPr>
          <w:rFonts w:hint="eastAsia" w:ascii="宋体" w:hAnsi="宋体" w:eastAsia="宋体" w:cs="宋体"/>
          <w:color w:val="auto"/>
          <w:highlight w:val="none"/>
          <w:shd w:val="clear" w:color="auto" w:fill="FFFFFF"/>
        </w:rPr>
        <w:t>名  称：</w:t>
      </w:r>
      <w:r>
        <w:rPr>
          <w:rFonts w:hint="eastAsia" w:ascii="宋体" w:hAnsi="宋体" w:cs="宋体"/>
          <w:color w:val="auto"/>
          <w:highlight w:val="none"/>
          <w:shd w:val="clear" w:color="auto" w:fill="FFFFFF"/>
          <w:lang w:val="en-US" w:eastAsia="zh-CN"/>
        </w:rPr>
        <w:t>华诚博远工程咨询有限公司</w:t>
      </w:r>
    </w:p>
    <w:p w14:paraId="1877E900">
      <w:pPr>
        <w:pStyle w:val="10"/>
        <w:keepNext w:val="0"/>
        <w:keepLines w:val="0"/>
        <w:pageBreakBefore w:val="0"/>
        <w:widowControl w:val="0"/>
        <w:kinsoku/>
        <w:wordWrap/>
        <w:overflowPunct/>
        <w:topLinePunct w:val="0"/>
        <w:autoSpaceDE/>
        <w:autoSpaceDN/>
        <w:bidi w:val="0"/>
        <w:adjustRightInd/>
        <w:snapToGrid/>
        <w:spacing w:after="0" w:line="480" w:lineRule="exact"/>
        <w:ind w:left="1050" w:leftChars="200" w:right="0" w:rightChars="0" w:hanging="630" w:hangingChars="300"/>
        <w:jc w:val="both"/>
        <w:textAlignment w:val="auto"/>
        <w:rPr>
          <w:rFonts w:hint="eastAsia" w:ascii="宋体" w:hAnsi="宋体" w:eastAsia="宋体" w:cs="宋体"/>
          <w:color w:val="auto"/>
          <w:sz w:val="21"/>
          <w:szCs w:val="21"/>
          <w:highlight w:val="none"/>
          <w:shd w:val="clear" w:color="auto" w:fill="FFFFFF"/>
          <w:lang w:eastAsia="zh-CN"/>
        </w:rPr>
      </w:pPr>
      <w:r>
        <w:rPr>
          <w:rFonts w:hint="eastAsia" w:ascii="宋体" w:hAnsi="宋体" w:eastAsia="宋体" w:cs="宋体"/>
          <w:color w:val="auto"/>
          <w:sz w:val="21"/>
          <w:szCs w:val="21"/>
          <w:highlight w:val="none"/>
          <w:shd w:val="clear" w:color="auto" w:fill="FFFFFF"/>
        </w:rPr>
        <w:t>地址：</w:t>
      </w:r>
      <w:r>
        <w:rPr>
          <w:rFonts w:hint="eastAsia" w:ascii="宋体" w:hAnsi="宋体" w:cs="宋体"/>
          <w:color w:val="auto"/>
          <w:sz w:val="21"/>
          <w:szCs w:val="21"/>
          <w:highlight w:val="none"/>
          <w:shd w:val="clear" w:color="auto" w:fill="FFFFFF"/>
          <w:lang w:eastAsia="zh-CN"/>
        </w:rPr>
        <w:t>桂林市七星区空明西路鸾东小区52栋</w:t>
      </w:r>
    </w:p>
    <w:p w14:paraId="26F66C95">
      <w:pPr>
        <w:pStyle w:val="10"/>
        <w:keepNext w:val="0"/>
        <w:keepLines w:val="0"/>
        <w:pageBreakBefore w:val="0"/>
        <w:widowControl w:val="0"/>
        <w:kinsoku/>
        <w:wordWrap/>
        <w:overflowPunct/>
        <w:topLinePunct w:val="0"/>
        <w:autoSpaceDE/>
        <w:autoSpaceDN/>
        <w:bidi w:val="0"/>
        <w:adjustRightInd/>
        <w:snapToGrid/>
        <w:spacing w:after="0" w:line="480" w:lineRule="exact"/>
        <w:ind w:left="0" w:leftChars="0" w:right="0" w:rightChars="0" w:firstLine="420" w:firstLineChars="0"/>
        <w:jc w:val="both"/>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联系人：</w:t>
      </w:r>
      <w:r>
        <w:rPr>
          <w:rFonts w:hint="eastAsia" w:ascii="宋体" w:hAnsi="宋体" w:cs="宋体"/>
          <w:color w:val="auto"/>
          <w:sz w:val="21"/>
          <w:szCs w:val="21"/>
          <w:highlight w:val="none"/>
          <w:shd w:val="clear" w:color="auto" w:fill="FFFFFF"/>
          <w:lang w:val="en-US" w:eastAsia="zh-CN"/>
        </w:rPr>
        <w:t>蒋金丰</w:t>
      </w:r>
      <w:r>
        <w:rPr>
          <w:rFonts w:hint="eastAsia" w:ascii="宋体" w:hAnsi="宋体" w:eastAsia="宋体" w:cs="宋体"/>
          <w:color w:val="auto"/>
          <w:sz w:val="21"/>
          <w:szCs w:val="21"/>
          <w:highlight w:val="none"/>
          <w:shd w:val="clear" w:color="auto" w:fill="FFFFFF"/>
        </w:rPr>
        <w:t>   </w:t>
      </w:r>
    </w:p>
    <w:p w14:paraId="1FFC7812">
      <w:pPr>
        <w:keepNext w:val="0"/>
        <w:keepLines w:val="0"/>
        <w:pageBreakBefore w:val="0"/>
        <w:kinsoku/>
        <w:overflowPunct/>
        <w:topLinePunct w:val="0"/>
        <w:bidi w:val="0"/>
        <w:adjustRightInd/>
        <w:snapToGrid/>
        <w:spacing w:line="440" w:lineRule="exact"/>
        <w:ind w:left="0" w:leftChars="0" w:right="0" w:rightChars="0" w:firstLine="420" w:firstLineChars="200"/>
        <w:jc w:val="left"/>
        <w:textAlignment w:val="auto"/>
        <w:rPr>
          <w:rFonts w:hint="default"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rPr>
        <w:t>联系电话：</w:t>
      </w:r>
      <w:r>
        <w:rPr>
          <w:rFonts w:hint="eastAsia" w:ascii="宋体" w:hAnsi="宋体" w:cs="宋体"/>
          <w:color w:val="auto"/>
          <w:sz w:val="21"/>
          <w:szCs w:val="21"/>
          <w:highlight w:val="none"/>
          <w:shd w:val="clear" w:color="auto" w:fill="FFFFFF"/>
          <w:lang w:val="en-US" w:eastAsia="zh-CN"/>
        </w:rPr>
        <w:t>18076793821</w:t>
      </w:r>
    </w:p>
    <w:p w14:paraId="2630321D">
      <w:pPr>
        <w:pStyle w:val="10"/>
        <w:keepNext w:val="0"/>
        <w:keepLines w:val="0"/>
        <w:pageBreakBefore w:val="0"/>
        <w:widowControl w:val="0"/>
        <w:kinsoku/>
        <w:wordWrap/>
        <w:overflowPunct/>
        <w:topLinePunct w:val="0"/>
        <w:autoSpaceDE/>
        <w:autoSpaceDN/>
        <w:bidi w:val="0"/>
        <w:adjustRightInd/>
        <w:snapToGrid/>
        <w:spacing w:after="0" w:line="480" w:lineRule="exact"/>
        <w:ind w:left="0" w:leftChars="0" w:right="0" w:rightChars="0" w:firstLine="422" w:firstLineChars="200"/>
        <w:jc w:val="left"/>
        <w:textAlignment w:val="auto"/>
        <w:rPr>
          <w:rFonts w:hint="eastAsia" w:ascii="宋体" w:hAnsi="宋体" w:eastAsia="宋体" w:cs="宋体"/>
          <w:b/>
          <w:bCs/>
          <w:color w:val="auto"/>
          <w:sz w:val="21"/>
          <w:szCs w:val="21"/>
          <w:highlight w:val="none"/>
          <w:shd w:val="clear" w:color="auto" w:fill="FFFFFF"/>
        </w:rPr>
      </w:pPr>
      <w:r>
        <w:rPr>
          <w:rFonts w:hint="eastAsia" w:ascii="宋体" w:hAnsi="宋体" w:eastAsia="宋体" w:cs="宋体"/>
          <w:b/>
          <w:bCs/>
          <w:color w:val="auto"/>
          <w:sz w:val="21"/>
          <w:szCs w:val="21"/>
          <w:highlight w:val="none"/>
          <w:shd w:val="clear" w:color="auto" w:fill="FFFFFF"/>
        </w:rPr>
        <w:t>3、政府采购监督管理部门：</w:t>
      </w:r>
    </w:p>
    <w:p w14:paraId="56EAB401">
      <w:pPr>
        <w:pStyle w:val="10"/>
        <w:keepNext w:val="0"/>
        <w:keepLines w:val="0"/>
        <w:pageBreakBefore w:val="0"/>
        <w:widowControl w:val="0"/>
        <w:kinsoku/>
        <w:wordWrap/>
        <w:overflowPunct/>
        <w:topLinePunct w:val="0"/>
        <w:autoSpaceDE/>
        <w:autoSpaceDN/>
        <w:bidi w:val="0"/>
        <w:adjustRightInd/>
        <w:snapToGrid/>
        <w:spacing w:after="0" w:line="480" w:lineRule="exact"/>
        <w:ind w:left="0" w:leftChars="0" w:right="0" w:rightChars="0" w:firstLine="420" w:firstLineChars="200"/>
        <w:jc w:val="left"/>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cs="宋体"/>
          <w:color w:val="auto"/>
          <w:sz w:val="21"/>
          <w:szCs w:val="21"/>
          <w:highlight w:val="none"/>
          <w:lang w:val="en-US" w:eastAsia="zh-CN"/>
        </w:rPr>
        <w:t>桂林市</w:t>
      </w:r>
      <w:r>
        <w:rPr>
          <w:rFonts w:hint="eastAsia" w:ascii="宋体" w:hAnsi="宋体" w:eastAsia="宋体" w:cs="宋体"/>
          <w:color w:val="auto"/>
          <w:sz w:val="21"/>
          <w:szCs w:val="21"/>
          <w:highlight w:val="none"/>
          <w:lang w:val="en-US" w:eastAsia="zh-CN"/>
        </w:rPr>
        <w:t>政府采购管理办公室</w:t>
      </w:r>
      <w:r>
        <w:rPr>
          <w:rFonts w:hint="eastAsia" w:ascii="宋体" w:hAnsi="宋体" w:eastAsia="宋体" w:cs="宋体"/>
          <w:color w:val="auto"/>
          <w:kern w:val="2"/>
          <w:sz w:val="21"/>
          <w:szCs w:val="21"/>
          <w:highlight w:val="none"/>
          <w:shd w:val="clear" w:color="auto" w:fill="FFFFFF"/>
          <w:lang w:val="en-US" w:eastAsia="zh-CN" w:bidi="ar-SA"/>
        </w:rPr>
        <w:t>；联系电话：0773-2862142</w:t>
      </w:r>
    </w:p>
    <w:p w14:paraId="44237685">
      <w:pPr>
        <w:pStyle w:val="10"/>
        <w:keepNext w:val="0"/>
        <w:keepLines w:val="0"/>
        <w:pageBreakBefore w:val="0"/>
        <w:widowControl w:val="0"/>
        <w:kinsoku/>
        <w:wordWrap/>
        <w:overflowPunct/>
        <w:topLinePunct w:val="0"/>
        <w:autoSpaceDE/>
        <w:autoSpaceDN/>
        <w:bidi w:val="0"/>
        <w:adjustRightInd/>
        <w:snapToGrid/>
        <w:spacing w:after="0" w:line="480" w:lineRule="exact"/>
        <w:ind w:left="0" w:leftChars="0" w:right="0" w:rightChars="0" w:firstLine="422" w:firstLineChars="200"/>
        <w:jc w:val="left"/>
        <w:textAlignment w:val="auto"/>
        <w:rPr>
          <w:rFonts w:hint="eastAsia" w:ascii="宋体" w:hAnsi="宋体" w:eastAsia="宋体" w:cs="宋体"/>
          <w:b/>
          <w:bCs/>
          <w:color w:val="auto"/>
          <w:sz w:val="21"/>
          <w:szCs w:val="21"/>
          <w:highlight w:val="none"/>
          <w:shd w:val="clear" w:color="auto" w:fill="FFFFFF"/>
        </w:rPr>
      </w:pPr>
      <w:r>
        <w:rPr>
          <w:rFonts w:hint="eastAsia" w:ascii="宋体" w:hAnsi="宋体" w:eastAsia="宋体" w:cs="宋体"/>
          <w:b/>
          <w:bCs/>
          <w:color w:val="auto"/>
          <w:sz w:val="21"/>
          <w:szCs w:val="21"/>
          <w:highlight w:val="none"/>
          <w:shd w:val="clear" w:color="auto" w:fill="FFFFFF"/>
        </w:rPr>
        <w:t>4</w:t>
      </w:r>
      <w:r>
        <w:rPr>
          <w:rFonts w:hint="eastAsia" w:ascii="宋体" w:hAnsi="宋体" w:eastAsia="宋体" w:cs="宋体"/>
          <w:b/>
          <w:bCs/>
          <w:color w:val="auto"/>
          <w:sz w:val="21"/>
          <w:szCs w:val="21"/>
          <w:highlight w:val="none"/>
          <w:shd w:val="clear" w:color="auto" w:fill="FFFFFF"/>
          <w:lang w:eastAsia="zh-CN"/>
        </w:rPr>
        <w:t>、</w:t>
      </w:r>
      <w:r>
        <w:rPr>
          <w:rFonts w:hint="eastAsia" w:ascii="宋体" w:hAnsi="宋体" w:eastAsia="宋体" w:cs="宋体"/>
          <w:b/>
          <w:bCs/>
          <w:color w:val="auto"/>
          <w:sz w:val="21"/>
          <w:szCs w:val="21"/>
          <w:highlight w:val="none"/>
          <w:shd w:val="clear" w:color="auto" w:fill="FFFFFF"/>
        </w:rPr>
        <w:t>项目联系方式</w:t>
      </w:r>
    </w:p>
    <w:p w14:paraId="6919709E">
      <w:pPr>
        <w:pStyle w:val="10"/>
        <w:keepNext w:val="0"/>
        <w:keepLines w:val="0"/>
        <w:pageBreakBefore w:val="0"/>
        <w:widowControl w:val="0"/>
        <w:kinsoku/>
        <w:wordWrap/>
        <w:overflowPunct/>
        <w:topLinePunct w:val="0"/>
        <w:autoSpaceDE/>
        <w:autoSpaceDN/>
        <w:bidi w:val="0"/>
        <w:adjustRightInd/>
        <w:snapToGrid/>
        <w:spacing w:after="0" w:line="480" w:lineRule="exact"/>
        <w:ind w:left="0" w:leftChars="0" w:right="0" w:rightChars="0" w:firstLine="420" w:firstLineChars="200"/>
        <w:jc w:val="left"/>
        <w:textAlignment w:val="auto"/>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rPr>
        <w:t>项目联系人：</w:t>
      </w:r>
      <w:r>
        <w:rPr>
          <w:rFonts w:hint="eastAsia" w:ascii="宋体" w:hAnsi="宋体" w:cs="宋体"/>
          <w:color w:val="auto"/>
          <w:sz w:val="21"/>
          <w:szCs w:val="21"/>
          <w:highlight w:val="none"/>
          <w:shd w:val="clear" w:color="auto" w:fill="FFFFFF"/>
          <w:lang w:val="en-US" w:eastAsia="zh-CN"/>
        </w:rPr>
        <w:t>蒋金丰</w:t>
      </w:r>
    </w:p>
    <w:p w14:paraId="252A5E68">
      <w:pPr>
        <w:pStyle w:val="10"/>
        <w:keepNext w:val="0"/>
        <w:keepLines w:val="0"/>
        <w:pageBreakBefore w:val="0"/>
        <w:widowControl w:val="0"/>
        <w:kinsoku/>
        <w:wordWrap/>
        <w:overflowPunct/>
        <w:topLinePunct w:val="0"/>
        <w:autoSpaceDE/>
        <w:autoSpaceDN/>
        <w:bidi w:val="0"/>
        <w:adjustRightInd/>
        <w:snapToGrid/>
        <w:spacing w:after="0" w:line="480" w:lineRule="exact"/>
        <w:ind w:left="0" w:leftChars="0" w:right="0" w:rightChars="0" w:firstLine="420" w:firstLineChars="200"/>
        <w:jc w:val="left"/>
        <w:textAlignment w:val="auto"/>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联系</w:t>
      </w:r>
      <w:r>
        <w:rPr>
          <w:rFonts w:hint="eastAsia" w:ascii="宋体" w:hAnsi="宋体" w:eastAsia="宋体" w:cs="宋体"/>
          <w:color w:val="auto"/>
          <w:sz w:val="21"/>
          <w:szCs w:val="21"/>
          <w:highlight w:val="none"/>
          <w:shd w:val="clear" w:color="auto" w:fill="FFFFFF"/>
        </w:rPr>
        <w:t>电话：</w:t>
      </w:r>
      <w:r>
        <w:rPr>
          <w:rFonts w:hint="eastAsia" w:ascii="宋体" w:hAnsi="宋体" w:cs="宋体"/>
          <w:color w:val="auto"/>
          <w:sz w:val="21"/>
          <w:szCs w:val="21"/>
          <w:highlight w:val="none"/>
          <w:shd w:val="clear" w:color="auto" w:fill="FFFFFF"/>
          <w:lang w:val="en-US" w:eastAsia="zh-CN"/>
        </w:rPr>
        <w:t>18076793821</w:t>
      </w:r>
      <w:r>
        <w:rPr>
          <w:rFonts w:hint="eastAsia" w:ascii="宋体" w:hAnsi="宋体" w:eastAsia="宋体" w:cs="宋体"/>
          <w:color w:val="auto"/>
          <w:sz w:val="21"/>
          <w:szCs w:val="21"/>
          <w:highlight w:val="none"/>
          <w:shd w:val="clear" w:color="auto" w:fill="FFFFFF"/>
        </w:rPr>
        <w:t>  </w:t>
      </w:r>
    </w:p>
    <w:p w14:paraId="0A35F2D1">
      <w:pPr>
        <w:pStyle w:val="21"/>
        <w:keepNext w:val="0"/>
        <w:keepLines w:val="0"/>
        <w:pageBreakBefore w:val="0"/>
        <w:kinsoku/>
        <w:overflowPunct/>
        <w:topLinePunct w:val="0"/>
        <w:bidi w:val="0"/>
        <w:adjustRightInd/>
        <w:snapToGrid/>
        <w:spacing w:line="440" w:lineRule="exact"/>
        <w:ind w:left="1050" w:leftChars="0" w:right="0" w:rightChars="0"/>
        <w:textAlignment w:val="auto"/>
        <w:rPr>
          <w:rFonts w:hint="eastAsia" w:ascii="宋体" w:hAnsi="宋体" w:eastAsia="宋体" w:cs="宋体"/>
          <w:color w:val="auto"/>
          <w:highlight w:val="none"/>
          <w:shd w:val="clear" w:color="auto" w:fill="FFFFFF"/>
          <w:lang w:val="en-US" w:eastAsia="zh-CN"/>
        </w:rPr>
      </w:pPr>
    </w:p>
    <w:p w14:paraId="43569A6F">
      <w:pPr>
        <w:pStyle w:val="21"/>
        <w:keepNext w:val="0"/>
        <w:keepLines w:val="0"/>
        <w:pageBreakBefore w:val="0"/>
        <w:kinsoku/>
        <w:overflowPunct/>
        <w:topLinePunct w:val="0"/>
        <w:bidi w:val="0"/>
        <w:adjustRightInd/>
        <w:snapToGrid/>
        <w:spacing w:line="440" w:lineRule="exact"/>
        <w:ind w:left="1050" w:leftChars="0" w:right="0" w:rightChars="0"/>
        <w:textAlignment w:val="auto"/>
        <w:rPr>
          <w:rFonts w:hint="eastAsia" w:ascii="宋体" w:hAnsi="宋体" w:eastAsia="宋体" w:cs="宋体"/>
          <w:color w:val="auto"/>
          <w:highlight w:val="none"/>
          <w:shd w:val="clear" w:color="auto" w:fill="FFFFFF"/>
          <w:lang w:val="en-US" w:eastAsia="zh-CN"/>
        </w:rPr>
      </w:pPr>
    </w:p>
    <w:p w14:paraId="6808FB8F">
      <w:pPr>
        <w:pStyle w:val="21"/>
        <w:keepNext w:val="0"/>
        <w:keepLines w:val="0"/>
        <w:pageBreakBefore w:val="0"/>
        <w:kinsoku/>
        <w:overflowPunct/>
        <w:topLinePunct w:val="0"/>
        <w:bidi w:val="0"/>
        <w:adjustRightInd/>
        <w:snapToGrid/>
        <w:spacing w:line="440" w:lineRule="exact"/>
        <w:ind w:left="2100" w:leftChars="1000" w:right="0" w:rightChars="0" w:firstLine="2730" w:firstLineChars="1300"/>
        <w:textAlignment w:val="auto"/>
        <w:rPr>
          <w:rFonts w:hint="eastAsia" w:ascii="宋体" w:hAnsi="宋体" w:eastAsia="宋体" w:cs="宋体"/>
          <w:color w:val="auto"/>
          <w:highlight w:val="none"/>
          <w:shd w:val="clear" w:color="auto" w:fill="FFFFFF"/>
          <w:lang w:val="en-US" w:eastAsia="zh-CN"/>
        </w:rPr>
      </w:pPr>
      <w:r>
        <w:rPr>
          <w:rFonts w:hint="eastAsia" w:ascii="宋体" w:hAnsi="宋体" w:cs="宋体"/>
          <w:color w:val="auto"/>
          <w:highlight w:val="none"/>
          <w:shd w:val="clear" w:color="auto" w:fill="FFFFFF"/>
          <w:lang w:val="en-US" w:eastAsia="zh-CN"/>
        </w:rPr>
        <w:t>采购人：桂林市自然资源局</w:t>
      </w:r>
    </w:p>
    <w:p w14:paraId="653BD67A">
      <w:pPr>
        <w:keepNext w:val="0"/>
        <w:keepLines w:val="0"/>
        <w:pageBreakBefore w:val="0"/>
        <w:kinsoku/>
        <w:overflowPunct/>
        <w:topLinePunct w:val="0"/>
        <w:bidi w:val="0"/>
        <w:adjustRightInd/>
        <w:snapToGrid/>
        <w:spacing w:line="440" w:lineRule="exact"/>
        <w:ind w:left="199" w:leftChars="0" w:right="0" w:rightChars="0" w:hanging="199" w:hangingChars="95"/>
        <w:jc w:val="center"/>
        <w:textAlignment w:val="auto"/>
        <w:rPr>
          <w:rFonts w:hint="eastAsia" w:ascii="宋体" w:hAnsi="宋体" w:eastAsia="宋体" w:cs="宋体"/>
          <w:color w:val="auto"/>
          <w:highlight w:val="none"/>
          <w:shd w:val="clear" w:color="auto" w:fill="FFFFFF"/>
          <w:lang w:val="en-US" w:eastAsia="zh-CN"/>
        </w:rPr>
      </w:pPr>
      <w:r>
        <w:rPr>
          <w:rFonts w:hint="eastAsia" w:ascii="宋体" w:hAnsi="宋体" w:eastAsia="宋体" w:cs="宋体"/>
          <w:color w:val="auto"/>
          <w:highlight w:val="none"/>
          <w:shd w:val="clear" w:color="auto" w:fill="FFFFFF"/>
          <w:lang w:val="en-US" w:eastAsia="zh-CN"/>
        </w:rPr>
        <w:t xml:space="preserve">                                      </w:t>
      </w:r>
      <w:r>
        <w:rPr>
          <w:rFonts w:hint="eastAsia" w:ascii="宋体" w:hAnsi="宋体" w:cs="宋体"/>
          <w:color w:val="auto"/>
          <w:highlight w:val="none"/>
          <w:shd w:val="clear" w:color="auto" w:fill="FFFFFF"/>
          <w:lang w:val="en-US" w:eastAsia="zh-CN"/>
        </w:rPr>
        <w:t xml:space="preserve"> </w:t>
      </w:r>
      <w:r>
        <w:rPr>
          <w:rFonts w:hint="eastAsia" w:ascii="宋体" w:hAnsi="宋体" w:eastAsia="宋体" w:cs="宋体"/>
          <w:color w:val="auto"/>
          <w:highlight w:val="none"/>
          <w:shd w:val="clear" w:color="auto" w:fill="FFFFFF"/>
          <w:lang w:val="en-US" w:eastAsia="zh-CN"/>
        </w:rPr>
        <w:t xml:space="preserve"> </w:t>
      </w:r>
      <w:r>
        <w:rPr>
          <w:rFonts w:hint="eastAsia" w:ascii="宋体" w:hAnsi="宋体" w:cs="宋体"/>
          <w:color w:val="auto"/>
          <w:highlight w:val="none"/>
          <w:shd w:val="clear" w:color="auto" w:fill="FFFFFF"/>
          <w:lang w:val="en-US" w:eastAsia="zh-CN"/>
        </w:rPr>
        <w:t>采购代理机构：华诚博远工程咨询有限公司</w:t>
      </w:r>
      <w:r>
        <w:rPr>
          <w:rFonts w:hint="eastAsia" w:ascii="宋体" w:hAnsi="宋体" w:eastAsia="宋体" w:cs="宋体"/>
          <w:color w:val="auto"/>
          <w:highlight w:val="none"/>
          <w:shd w:val="clear" w:color="auto" w:fill="FFFFFF"/>
        </w:rPr>
        <w:t xml:space="preserve">                                 </w:t>
      </w:r>
      <w:r>
        <w:rPr>
          <w:rFonts w:hint="eastAsia" w:ascii="宋体" w:hAnsi="宋体" w:eastAsia="宋体" w:cs="宋体"/>
          <w:color w:val="auto"/>
          <w:highlight w:val="none"/>
          <w:shd w:val="clear" w:color="auto" w:fill="FFFFFF"/>
          <w:lang w:val="en-US" w:eastAsia="zh-CN"/>
        </w:rPr>
        <w:t xml:space="preserve">        </w:t>
      </w:r>
    </w:p>
    <w:p w14:paraId="0E7EA321">
      <w:pPr>
        <w:keepNext w:val="0"/>
        <w:keepLines w:val="0"/>
        <w:pageBreakBefore w:val="0"/>
        <w:kinsoku/>
        <w:overflowPunct/>
        <w:topLinePunct w:val="0"/>
        <w:bidi w:val="0"/>
        <w:adjustRightInd/>
        <w:snapToGrid/>
        <w:spacing w:line="440" w:lineRule="exact"/>
        <w:ind w:left="199" w:leftChars="0" w:right="0" w:rightChars="0" w:hanging="199" w:hangingChars="95"/>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highlight w:val="none"/>
          <w:shd w:val="clear" w:color="auto" w:fill="FFFFFF"/>
          <w:lang w:val="en-US" w:eastAsia="zh-CN"/>
        </w:rPr>
        <w:t xml:space="preserve">                                            </w:t>
      </w:r>
      <w:r>
        <w:rPr>
          <w:rFonts w:hint="eastAsia" w:ascii="宋体" w:hAnsi="宋体" w:cs="宋体"/>
          <w:color w:val="auto"/>
          <w:highlight w:val="none"/>
          <w:shd w:val="clear" w:color="auto" w:fill="FFFFFF"/>
          <w:lang w:val="en-US" w:eastAsia="zh-CN"/>
        </w:rPr>
        <w:t>2026</w:t>
      </w:r>
      <w:r>
        <w:rPr>
          <w:rStyle w:val="37"/>
          <w:rFonts w:hint="eastAsia" w:ascii="宋体" w:hAnsi="宋体" w:eastAsia="宋体" w:cs="宋体"/>
          <w:color w:val="auto"/>
          <w:szCs w:val="21"/>
          <w:highlight w:val="none"/>
        </w:rPr>
        <w:t>年</w:t>
      </w:r>
      <w:r>
        <w:rPr>
          <w:rStyle w:val="37"/>
          <w:rFonts w:hint="eastAsia" w:ascii="宋体" w:hAnsi="宋体" w:cs="宋体"/>
          <w:color w:val="auto"/>
          <w:szCs w:val="21"/>
          <w:highlight w:val="none"/>
          <w:lang w:val="en-US"/>
        </w:rPr>
        <w:t>1</w:t>
      </w:r>
      <w:r>
        <w:rPr>
          <w:rStyle w:val="37"/>
          <w:rFonts w:hint="eastAsia" w:ascii="宋体" w:hAnsi="宋体" w:eastAsia="宋体" w:cs="宋体"/>
          <w:color w:val="auto"/>
          <w:szCs w:val="21"/>
          <w:highlight w:val="none"/>
        </w:rPr>
        <w:t>月</w:t>
      </w:r>
      <w:r>
        <w:rPr>
          <w:rStyle w:val="37"/>
          <w:rFonts w:hint="eastAsia" w:ascii="宋体" w:hAnsi="宋体" w:cs="宋体"/>
          <w:color w:val="auto"/>
          <w:szCs w:val="21"/>
          <w:highlight w:val="none"/>
          <w:lang w:val="en-US"/>
        </w:rPr>
        <w:t>27</w:t>
      </w:r>
      <w:r>
        <w:rPr>
          <w:rStyle w:val="37"/>
          <w:rFonts w:hint="eastAsia" w:ascii="宋体" w:hAnsi="宋体" w:eastAsia="宋体" w:cs="宋体"/>
          <w:color w:val="auto"/>
          <w:szCs w:val="21"/>
          <w:highlight w:val="none"/>
        </w:rPr>
        <w:t>日</w:t>
      </w:r>
      <w:r>
        <w:rPr>
          <w:rFonts w:hint="eastAsia" w:ascii="宋体" w:hAnsi="宋体" w:eastAsia="宋体" w:cs="宋体"/>
          <w:color w:val="auto"/>
          <w:kern w:val="0"/>
          <w:szCs w:val="21"/>
          <w:highlight w:val="none"/>
        </w:rPr>
        <w:br w:type="page"/>
      </w:r>
    </w:p>
    <w:p w14:paraId="1D387AE4">
      <w:pPr>
        <w:pStyle w:val="17"/>
        <w:spacing w:line="400" w:lineRule="exact"/>
        <w:jc w:val="center"/>
        <w:rPr>
          <w:rStyle w:val="37"/>
          <w:rFonts w:hint="eastAsia" w:ascii="宋体" w:hAnsi="宋体" w:eastAsia="宋体" w:cs="宋体"/>
          <w:b/>
          <w:color w:val="auto"/>
          <w:sz w:val="32"/>
          <w:szCs w:val="32"/>
          <w:highlight w:val="none"/>
        </w:rPr>
      </w:pPr>
      <w:r>
        <w:rPr>
          <w:rStyle w:val="37"/>
          <w:rFonts w:hint="eastAsia" w:ascii="宋体" w:hAnsi="宋体" w:eastAsia="宋体" w:cs="宋体"/>
          <w:b/>
          <w:color w:val="auto"/>
          <w:sz w:val="32"/>
          <w:szCs w:val="32"/>
          <w:highlight w:val="none"/>
        </w:rPr>
        <w:t>第二章  供应商须知</w:t>
      </w:r>
    </w:p>
    <w:p w14:paraId="016B300A">
      <w:pPr>
        <w:keepNext w:val="0"/>
        <w:keepLines w:val="0"/>
        <w:pageBreakBefore w:val="0"/>
        <w:widowControl w:val="0"/>
        <w:tabs>
          <w:tab w:val="left" w:pos="1065"/>
          <w:tab w:val="center" w:pos="4411"/>
        </w:tabs>
        <w:kinsoku/>
        <w:wordWrap/>
        <w:overflowPunct/>
        <w:topLinePunct w:val="0"/>
        <w:autoSpaceDE/>
        <w:autoSpaceDN/>
        <w:bidi w:val="0"/>
        <w:adjustRightInd/>
        <w:snapToGrid/>
        <w:spacing w:line="440" w:lineRule="exact"/>
        <w:jc w:val="center"/>
        <w:textAlignment w:val="auto"/>
        <w:rPr>
          <w:rStyle w:val="37"/>
          <w:rFonts w:hint="eastAsia" w:ascii="宋体" w:hAnsi="宋体" w:eastAsia="宋体" w:cs="宋体"/>
          <w:b/>
          <w:color w:val="auto"/>
          <w:sz w:val="24"/>
          <w:highlight w:val="none"/>
        </w:rPr>
      </w:pPr>
      <w:r>
        <w:rPr>
          <w:rStyle w:val="37"/>
          <w:rFonts w:hint="eastAsia" w:ascii="宋体" w:hAnsi="宋体" w:eastAsia="宋体" w:cs="宋体"/>
          <w:b/>
          <w:color w:val="auto"/>
          <w:sz w:val="24"/>
          <w:highlight w:val="none"/>
        </w:rPr>
        <w:t>供应商须知前附表</w:t>
      </w:r>
    </w:p>
    <w:tbl>
      <w:tblPr>
        <w:tblStyle w:val="25"/>
        <w:tblW w:w="10277" w:type="dxa"/>
        <w:tblInd w:w="-25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4"/>
        <w:gridCol w:w="840"/>
        <w:gridCol w:w="2190"/>
        <w:gridCol w:w="6593"/>
      </w:tblGrid>
      <w:tr w14:paraId="6B1F67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 w:hRule="atLeast"/>
        </w:trPr>
        <w:tc>
          <w:tcPr>
            <w:tcW w:w="654" w:type="dxa"/>
            <w:tcBorders>
              <w:top w:val="single" w:color="000000" w:sz="4" w:space="0"/>
              <w:left w:val="single" w:color="000000" w:sz="4" w:space="0"/>
              <w:bottom w:val="single" w:color="000000" w:sz="4" w:space="0"/>
              <w:right w:val="single" w:color="000000" w:sz="4" w:space="0"/>
            </w:tcBorders>
            <w:vAlign w:val="center"/>
          </w:tcPr>
          <w:p w14:paraId="6947A0B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37"/>
                <w:rFonts w:hint="eastAsia" w:ascii="宋体" w:hAnsi="宋体" w:eastAsia="宋体" w:cs="宋体"/>
                <w:color w:val="auto"/>
                <w:sz w:val="21"/>
                <w:szCs w:val="21"/>
                <w:highlight w:val="none"/>
              </w:rPr>
            </w:pPr>
            <w:r>
              <w:rPr>
                <w:rStyle w:val="37"/>
                <w:rFonts w:hint="eastAsia" w:ascii="宋体" w:hAnsi="宋体" w:eastAsia="宋体" w:cs="宋体"/>
                <w:color w:val="auto"/>
                <w:sz w:val="21"/>
                <w:szCs w:val="21"/>
                <w:highlight w:val="none"/>
              </w:rPr>
              <w:t>序号</w:t>
            </w:r>
          </w:p>
        </w:tc>
        <w:tc>
          <w:tcPr>
            <w:tcW w:w="840" w:type="dxa"/>
            <w:tcBorders>
              <w:top w:val="single" w:color="000000" w:sz="4" w:space="0"/>
              <w:left w:val="single" w:color="000000" w:sz="4" w:space="0"/>
              <w:bottom w:val="single" w:color="000000" w:sz="4" w:space="0"/>
              <w:right w:val="single" w:color="000000" w:sz="4" w:space="0"/>
            </w:tcBorders>
            <w:vAlign w:val="center"/>
          </w:tcPr>
          <w:p w14:paraId="08AE14F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37"/>
                <w:rFonts w:hint="eastAsia" w:ascii="宋体" w:hAnsi="宋体" w:eastAsia="宋体" w:cs="宋体"/>
                <w:color w:val="auto"/>
                <w:sz w:val="21"/>
                <w:szCs w:val="21"/>
                <w:highlight w:val="none"/>
              </w:rPr>
            </w:pPr>
            <w:r>
              <w:rPr>
                <w:rStyle w:val="37"/>
                <w:rFonts w:hint="eastAsia" w:ascii="宋体" w:hAnsi="宋体" w:eastAsia="宋体" w:cs="宋体"/>
                <w:color w:val="auto"/>
                <w:sz w:val="21"/>
                <w:szCs w:val="21"/>
                <w:highlight w:val="none"/>
              </w:rPr>
              <w:t>条款号</w:t>
            </w:r>
          </w:p>
        </w:tc>
        <w:tc>
          <w:tcPr>
            <w:tcW w:w="2190" w:type="dxa"/>
            <w:tcBorders>
              <w:top w:val="single" w:color="000000" w:sz="4" w:space="0"/>
              <w:left w:val="single" w:color="000000" w:sz="4" w:space="0"/>
              <w:bottom w:val="single" w:color="000000" w:sz="4" w:space="0"/>
              <w:right w:val="single" w:color="000000" w:sz="4" w:space="0"/>
            </w:tcBorders>
            <w:vAlign w:val="center"/>
          </w:tcPr>
          <w:p w14:paraId="185118A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37"/>
                <w:rFonts w:hint="eastAsia" w:ascii="宋体" w:hAnsi="宋体" w:eastAsia="宋体" w:cs="宋体"/>
                <w:color w:val="auto"/>
                <w:sz w:val="21"/>
                <w:szCs w:val="21"/>
                <w:highlight w:val="none"/>
              </w:rPr>
            </w:pPr>
            <w:r>
              <w:rPr>
                <w:rStyle w:val="37"/>
                <w:rFonts w:hint="eastAsia" w:ascii="宋体" w:hAnsi="宋体" w:eastAsia="宋体" w:cs="宋体"/>
                <w:color w:val="auto"/>
                <w:sz w:val="21"/>
                <w:szCs w:val="21"/>
                <w:highlight w:val="none"/>
              </w:rPr>
              <w:t>条款名称</w:t>
            </w:r>
          </w:p>
        </w:tc>
        <w:tc>
          <w:tcPr>
            <w:tcW w:w="6593" w:type="dxa"/>
            <w:tcBorders>
              <w:top w:val="single" w:color="000000" w:sz="4" w:space="0"/>
              <w:left w:val="single" w:color="000000" w:sz="4" w:space="0"/>
              <w:bottom w:val="single" w:color="000000" w:sz="4" w:space="0"/>
              <w:right w:val="single" w:color="000000" w:sz="4" w:space="0"/>
            </w:tcBorders>
            <w:vAlign w:val="center"/>
          </w:tcPr>
          <w:p w14:paraId="0033567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37"/>
                <w:rFonts w:hint="eastAsia" w:ascii="宋体" w:hAnsi="宋体" w:eastAsia="宋体" w:cs="宋体"/>
                <w:color w:val="auto"/>
                <w:sz w:val="21"/>
                <w:szCs w:val="21"/>
                <w:highlight w:val="none"/>
              </w:rPr>
            </w:pPr>
            <w:r>
              <w:rPr>
                <w:rStyle w:val="37"/>
                <w:rFonts w:hint="eastAsia" w:ascii="宋体" w:hAnsi="宋体" w:eastAsia="宋体" w:cs="宋体"/>
                <w:color w:val="auto"/>
                <w:sz w:val="21"/>
                <w:szCs w:val="21"/>
                <w:highlight w:val="none"/>
              </w:rPr>
              <w:t>内容、要求</w:t>
            </w:r>
          </w:p>
        </w:tc>
      </w:tr>
      <w:tr w14:paraId="35161C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2" w:hRule="atLeast"/>
        </w:trPr>
        <w:tc>
          <w:tcPr>
            <w:tcW w:w="654" w:type="dxa"/>
            <w:tcBorders>
              <w:top w:val="single" w:color="000000" w:sz="4" w:space="0"/>
              <w:left w:val="single" w:color="000000" w:sz="4" w:space="0"/>
              <w:bottom w:val="single" w:color="000000" w:sz="4" w:space="0"/>
              <w:right w:val="single" w:color="000000" w:sz="4" w:space="0"/>
            </w:tcBorders>
            <w:vAlign w:val="center"/>
          </w:tcPr>
          <w:p w14:paraId="0A63C33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37"/>
                <w:rFonts w:hint="eastAsia" w:ascii="宋体" w:hAnsi="宋体" w:eastAsia="宋体" w:cs="宋体"/>
                <w:color w:val="auto"/>
                <w:sz w:val="21"/>
                <w:szCs w:val="21"/>
                <w:highlight w:val="none"/>
              </w:rPr>
            </w:pPr>
            <w:r>
              <w:rPr>
                <w:rStyle w:val="37"/>
                <w:rFonts w:hint="eastAsia" w:ascii="宋体" w:hAnsi="宋体" w:eastAsia="宋体" w:cs="宋体"/>
                <w:color w:val="auto"/>
                <w:sz w:val="21"/>
                <w:szCs w:val="21"/>
                <w:highlight w:val="none"/>
              </w:rPr>
              <w:t>1</w:t>
            </w:r>
          </w:p>
        </w:tc>
        <w:tc>
          <w:tcPr>
            <w:tcW w:w="840" w:type="dxa"/>
            <w:tcBorders>
              <w:top w:val="single" w:color="000000" w:sz="4" w:space="0"/>
              <w:left w:val="single" w:color="000000" w:sz="4" w:space="0"/>
              <w:bottom w:val="single" w:color="000000" w:sz="4" w:space="0"/>
              <w:right w:val="single" w:color="000000" w:sz="4" w:space="0"/>
            </w:tcBorders>
            <w:vAlign w:val="center"/>
          </w:tcPr>
          <w:p w14:paraId="4C7DA52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37"/>
                <w:rFonts w:hint="eastAsia" w:ascii="宋体" w:hAnsi="宋体" w:eastAsia="宋体" w:cs="宋体"/>
                <w:color w:val="auto"/>
                <w:sz w:val="21"/>
                <w:szCs w:val="21"/>
                <w:highlight w:val="none"/>
              </w:rPr>
            </w:pPr>
            <w:r>
              <w:rPr>
                <w:rStyle w:val="37"/>
                <w:rFonts w:hint="eastAsia" w:ascii="宋体" w:hAnsi="宋体" w:eastAsia="宋体" w:cs="宋体"/>
                <w:color w:val="auto"/>
                <w:sz w:val="21"/>
                <w:szCs w:val="21"/>
                <w:highlight w:val="none"/>
              </w:rPr>
              <w:t>1.1</w:t>
            </w:r>
          </w:p>
        </w:tc>
        <w:tc>
          <w:tcPr>
            <w:tcW w:w="2190" w:type="dxa"/>
            <w:tcBorders>
              <w:top w:val="single" w:color="000000" w:sz="4" w:space="0"/>
              <w:left w:val="single" w:color="000000" w:sz="4" w:space="0"/>
              <w:bottom w:val="single" w:color="000000" w:sz="4" w:space="0"/>
              <w:right w:val="single" w:color="000000" w:sz="4" w:space="0"/>
            </w:tcBorders>
            <w:vAlign w:val="center"/>
          </w:tcPr>
          <w:p w14:paraId="6FB6CE4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37"/>
                <w:rFonts w:hint="eastAsia" w:ascii="宋体" w:hAnsi="宋体" w:eastAsia="宋体" w:cs="宋体"/>
                <w:color w:val="auto"/>
                <w:sz w:val="21"/>
                <w:szCs w:val="21"/>
                <w:highlight w:val="none"/>
              </w:rPr>
            </w:pPr>
            <w:r>
              <w:rPr>
                <w:rStyle w:val="37"/>
                <w:rFonts w:hint="eastAsia" w:ascii="宋体" w:hAnsi="宋体" w:eastAsia="宋体" w:cs="宋体"/>
                <w:color w:val="auto"/>
                <w:sz w:val="21"/>
                <w:szCs w:val="21"/>
                <w:highlight w:val="none"/>
              </w:rPr>
              <w:t>项目名称及项目编号</w:t>
            </w:r>
          </w:p>
        </w:tc>
        <w:tc>
          <w:tcPr>
            <w:tcW w:w="6593" w:type="dxa"/>
            <w:tcBorders>
              <w:top w:val="single" w:color="000000" w:sz="4" w:space="0"/>
              <w:left w:val="single" w:color="000000" w:sz="4" w:space="0"/>
              <w:bottom w:val="single" w:color="000000" w:sz="4" w:space="0"/>
              <w:right w:val="single" w:color="000000" w:sz="4" w:space="0"/>
            </w:tcBorders>
            <w:vAlign w:val="center"/>
          </w:tcPr>
          <w:p w14:paraId="0D3473C4">
            <w:pPr>
              <w:keepNext w:val="0"/>
              <w:keepLines w:val="0"/>
              <w:pageBreakBefore w:val="0"/>
              <w:widowControl w:val="0"/>
              <w:kinsoku/>
              <w:wordWrap/>
              <w:overflowPunct/>
              <w:topLinePunct w:val="0"/>
              <w:autoSpaceDE/>
              <w:autoSpaceDN/>
              <w:bidi w:val="0"/>
              <w:adjustRightInd/>
              <w:snapToGrid/>
              <w:spacing w:line="400" w:lineRule="exact"/>
              <w:textAlignment w:val="auto"/>
              <w:rPr>
                <w:rStyle w:val="37"/>
                <w:rFonts w:hint="eastAsia" w:ascii="宋体" w:hAnsi="宋体" w:eastAsia="宋体" w:cs="宋体"/>
                <w:color w:val="auto"/>
                <w:sz w:val="21"/>
                <w:szCs w:val="21"/>
                <w:highlight w:val="none"/>
                <w:lang w:eastAsia="zh-CN"/>
              </w:rPr>
            </w:pPr>
            <w:r>
              <w:rPr>
                <w:rStyle w:val="37"/>
                <w:rFonts w:hint="eastAsia" w:ascii="宋体" w:hAnsi="宋体" w:eastAsia="宋体" w:cs="宋体"/>
                <w:color w:val="auto"/>
                <w:sz w:val="21"/>
                <w:szCs w:val="21"/>
                <w:highlight w:val="none"/>
              </w:rPr>
              <w:t>项目名称：</w:t>
            </w:r>
            <w:r>
              <w:rPr>
                <w:rStyle w:val="37"/>
                <w:rFonts w:hint="eastAsia" w:ascii="宋体" w:hAnsi="宋体" w:cs="宋体"/>
                <w:color w:val="auto"/>
                <w:sz w:val="21"/>
                <w:szCs w:val="21"/>
                <w:highlight w:val="none"/>
                <w:lang w:eastAsia="zh-CN"/>
              </w:rPr>
              <w:t>桂林市矿产资源总体规划（2026-2030年）编制工作</w:t>
            </w:r>
          </w:p>
          <w:p w14:paraId="6CDB5D2C">
            <w:pPr>
              <w:keepNext w:val="0"/>
              <w:keepLines w:val="0"/>
              <w:pageBreakBefore w:val="0"/>
              <w:widowControl w:val="0"/>
              <w:kinsoku/>
              <w:wordWrap/>
              <w:overflowPunct/>
              <w:topLinePunct w:val="0"/>
              <w:autoSpaceDE/>
              <w:autoSpaceDN/>
              <w:bidi w:val="0"/>
              <w:adjustRightInd/>
              <w:snapToGrid/>
              <w:spacing w:line="400" w:lineRule="exact"/>
              <w:textAlignment w:val="auto"/>
              <w:rPr>
                <w:rStyle w:val="37"/>
                <w:rFonts w:hint="eastAsia" w:ascii="宋体" w:hAnsi="宋体" w:eastAsia="宋体" w:cs="宋体"/>
                <w:color w:val="auto"/>
                <w:sz w:val="21"/>
                <w:szCs w:val="21"/>
                <w:highlight w:val="none"/>
              </w:rPr>
            </w:pPr>
            <w:r>
              <w:rPr>
                <w:rStyle w:val="37"/>
                <w:rFonts w:hint="eastAsia" w:ascii="宋体" w:hAnsi="宋体" w:eastAsia="宋体" w:cs="宋体"/>
                <w:color w:val="auto"/>
                <w:sz w:val="21"/>
                <w:szCs w:val="21"/>
                <w:highlight w:val="none"/>
              </w:rPr>
              <w:t>项目编号：</w:t>
            </w:r>
            <w:r>
              <w:rPr>
                <w:rStyle w:val="37"/>
                <w:rFonts w:hint="eastAsia" w:ascii="宋体" w:hAnsi="宋体" w:cs="宋体"/>
                <w:color w:val="auto"/>
                <w:sz w:val="21"/>
                <w:szCs w:val="21"/>
                <w:highlight w:val="none"/>
              </w:rPr>
              <w:t xml:space="preserve"> GLZC2026-C3-990033-HCBY </w:t>
            </w:r>
          </w:p>
        </w:tc>
      </w:tr>
      <w:tr w14:paraId="2C484E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0" w:hRule="atLeast"/>
        </w:trPr>
        <w:tc>
          <w:tcPr>
            <w:tcW w:w="654" w:type="dxa"/>
            <w:tcBorders>
              <w:top w:val="single" w:color="000000" w:sz="4" w:space="0"/>
              <w:left w:val="single" w:color="000000" w:sz="4" w:space="0"/>
              <w:bottom w:val="single" w:color="000000" w:sz="4" w:space="0"/>
              <w:right w:val="single" w:color="000000" w:sz="4" w:space="0"/>
            </w:tcBorders>
            <w:vAlign w:val="center"/>
          </w:tcPr>
          <w:p w14:paraId="19DAE49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37"/>
                <w:rFonts w:hint="eastAsia" w:ascii="宋体" w:hAnsi="宋体" w:eastAsia="宋体" w:cs="宋体"/>
                <w:color w:val="auto"/>
                <w:sz w:val="21"/>
                <w:szCs w:val="21"/>
                <w:highlight w:val="none"/>
              </w:rPr>
            </w:pPr>
            <w:r>
              <w:rPr>
                <w:rStyle w:val="37"/>
                <w:rFonts w:hint="eastAsia" w:ascii="宋体" w:hAnsi="宋体" w:eastAsia="宋体" w:cs="宋体"/>
                <w:color w:val="auto"/>
                <w:sz w:val="21"/>
                <w:szCs w:val="21"/>
                <w:highlight w:val="none"/>
              </w:rPr>
              <w:t>2</w:t>
            </w:r>
          </w:p>
        </w:tc>
        <w:tc>
          <w:tcPr>
            <w:tcW w:w="840" w:type="dxa"/>
            <w:tcBorders>
              <w:top w:val="single" w:color="000000" w:sz="4" w:space="0"/>
              <w:left w:val="single" w:color="000000" w:sz="4" w:space="0"/>
              <w:bottom w:val="single" w:color="000000" w:sz="4" w:space="0"/>
              <w:right w:val="single" w:color="000000" w:sz="4" w:space="0"/>
            </w:tcBorders>
            <w:vAlign w:val="center"/>
          </w:tcPr>
          <w:p w14:paraId="41833EA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37"/>
                <w:rFonts w:hint="eastAsia" w:ascii="宋体" w:hAnsi="宋体" w:eastAsia="宋体" w:cs="宋体"/>
                <w:color w:val="auto"/>
                <w:sz w:val="21"/>
                <w:szCs w:val="21"/>
                <w:highlight w:val="none"/>
              </w:rPr>
            </w:pPr>
            <w:r>
              <w:rPr>
                <w:rStyle w:val="37"/>
                <w:rFonts w:hint="eastAsia" w:ascii="宋体" w:hAnsi="宋体" w:eastAsia="宋体" w:cs="宋体"/>
                <w:color w:val="auto"/>
                <w:sz w:val="21"/>
                <w:szCs w:val="21"/>
                <w:highlight w:val="none"/>
              </w:rPr>
              <w:t>3</w:t>
            </w:r>
          </w:p>
        </w:tc>
        <w:tc>
          <w:tcPr>
            <w:tcW w:w="2190" w:type="dxa"/>
            <w:tcBorders>
              <w:top w:val="single" w:color="000000" w:sz="4" w:space="0"/>
              <w:left w:val="single" w:color="000000" w:sz="4" w:space="0"/>
              <w:bottom w:val="single" w:color="000000" w:sz="4" w:space="0"/>
              <w:right w:val="single" w:color="000000" w:sz="4" w:space="0"/>
            </w:tcBorders>
            <w:vAlign w:val="center"/>
          </w:tcPr>
          <w:p w14:paraId="6AAC449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37"/>
                <w:rFonts w:hint="eastAsia" w:ascii="宋体" w:hAnsi="宋体" w:eastAsia="宋体" w:cs="宋体"/>
                <w:color w:val="auto"/>
                <w:sz w:val="21"/>
                <w:szCs w:val="21"/>
                <w:highlight w:val="none"/>
              </w:rPr>
            </w:pPr>
            <w:r>
              <w:rPr>
                <w:rStyle w:val="37"/>
                <w:rFonts w:hint="eastAsia" w:ascii="宋体" w:hAnsi="宋体" w:eastAsia="宋体" w:cs="宋体"/>
                <w:color w:val="auto"/>
                <w:sz w:val="21"/>
                <w:szCs w:val="21"/>
                <w:highlight w:val="none"/>
                <w:lang w:val="en-US" w:eastAsia="zh-CN"/>
              </w:rPr>
              <w:t>磋商</w:t>
            </w:r>
            <w:r>
              <w:rPr>
                <w:rStyle w:val="37"/>
                <w:rFonts w:hint="eastAsia" w:ascii="宋体" w:hAnsi="宋体" w:eastAsia="宋体" w:cs="宋体"/>
                <w:color w:val="auto"/>
                <w:sz w:val="21"/>
                <w:szCs w:val="21"/>
                <w:highlight w:val="none"/>
              </w:rPr>
              <w:t>供应商资格</w:t>
            </w:r>
          </w:p>
        </w:tc>
        <w:tc>
          <w:tcPr>
            <w:tcW w:w="6593" w:type="dxa"/>
            <w:tcBorders>
              <w:top w:val="single" w:color="000000" w:sz="4" w:space="0"/>
              <w:left w:val="single" w:color="000000" w:sz="4" w:space="0"/>
              <w:bottom w:val="single" w:color="000000" w:sz="4" w:space="0"/>
              <w:right w:val="single" w:color="000000" w:sz="4" w:space="0"/>
            </w:tcBorders>
            <w:vAlign w:val="center"/>
          </w:tcPr>
          <w:p w14:paraId="0B4B886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3.1符合《中华人民共和国政府采购法》第二十二条规定。</w:t>
            </w:r>
          </w:p>
          <w:p w14:paraId="00FEFD8C">
            <w:pPr>
              <w:keepNext w:val="0"/>
              <w:keepLines w:val="0"/>
              <w:pageBreakBefore w:val="0"/>
              <w:widowControl w:val="0"/>
              <w:tabs>
                <w:tab w:val="left" w:pos="6090"/>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3.2落实政府采购政策需满足的资格要求</w:t>
            </w:r>
            <w:r>
              <w:rPr>
                <w:rFonts w:hint="eastAsia" w:ascii="宋体" w:hAnsi="宋体" w:eastAsia="宋体" w:cs="宋体"/>
                <w:color w:val="auto"/>
                <w:sz w:val="21"/>
                <w:szCs w:val="21"/>
                <w:highlight w:val="none"/>
                <w:u w:val="none"/>
              </w:rPr>
              <w:t>：</w:t>
            </w:r>
            <w:r>
              <w:rPr>
                <w:rFonts w:hint="eastAsia" w:ascii="宋体" w:hAnsi="宋体" w:cs="宋体"/>
                <w:color w:val="auto"/>
                <w:sz w:val="21"/>
                <w:szCs w:val="21"/>
                <w:highlight w:val="none"/>
                <w:lang w:eastAsia="zh-CN"/>
              </w:rPr>
              <w:t>无</w:t>
            </w:r>
          </w:p>
          <w:p w14:paraId="6176875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3.3</w:t>
            </w:r>
            <w:r>
              <w:rPr>
                <w:rFonts w:hint="eastAsia" w:ascii="宋体" w:hAnsi="宋体" w:eastAsia="宋体" w:cs="宋体"/>
                <w:color w:val="auto"/>
                <w:sz w:val="21"/>
                <w:szCs w:val="21"/>
                <w:highlight w:val="none"/>
              </w:rPr>
              <w:t>本项目的特定资格要求：</w:t>
            </w:r>
            <w:r>
              <w:rPr>
                <w:rFonts w:hint="eastAsia" w:ascii="宋体" w:hAnsi="宋体" w:cs="宋体"/>
                <w:color w:val="auto"/>
                <w:sz w:val="21"/>
                <w:szCs w:val="21"/>
                <w:highlight w:val="none"/>
                <w:lang w:eastAsia="zh-CN"/>
              </w:rPr>
              <w:t>无</w:t>
            </w:r>
          </w:p>
        </w:tc>
      </w:tr>
      <w:tr w14:paraId="59663F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654" w:type="dxa"/>
            <w:tcBorders>
              <w:top w:val="single" w:color="000000" w:sz="4" w:space="0"/>
              <w:left w:val="single" w:color="000000" w:sz="4" w:space="0"/>
              <w:bottom w:val="single" w:color="000000" w:sz="4" w:space="0"/>
              <w:right w:val="single" w:color="000000" w:sz="4" w:space="0"/>
            </w:tcBorders>
            <w:vAlign w:val="center"/>
          </w:tcPr>
          <w:p w14:paraId="411A77E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37"/>
                <w:rFonts w:hint="eastAsia" w:ascii="宋体" w:hAnsi="宋体" w:eastAsia="宋体" w:cs="宋体"/>
                <w:color w:val="auto"/>
                <w:sz w:val="21"/>
                <w:szCs w:val="21"/>
                <w:highlight w:val="none"/>
              </w:rPr>
            </w:pPr>
            <w:r>
              <w:rPr>
                <w:rStyle w:val="37"/>
                <w:rFonts w:hint="eastAsia" w:ascii="宋体" w:hAnsi="宋体" w:eastAsia="宋体" w:cs="宋体"/>
                <w:color w:val="auto"/>
                <w:sz w:val="21"/>
                <w:szCs w:val="21"/>
                <w:highlight w:val="none"/>
              </w:rPr>
              <w:t>3</w:t>
            </w:r>
          </w:p>
        </w:tc>
        <w:tc>
          <w:tcPr>
            <w:tcW w:w="840" w:type="dxa"/>
            <w:tcBorders>
              <w:top w:val="single" w:color="000000" w:sz="4" w:space="0"/>
              <w:left w:val="single" w:color="000000" w:sz="4" w:space="0"/>
              <w:bottom w:val="single" w:color="000000" w:sz="4" w:space="0"/>
              <w:right w:val="single" w:color="000000" w:sz="4" w:space="0"/>
            </w:tcBorders>
            <w:vAlign w:val="center"/>
          </w:tcPr>
          <w:p w14:paraId="5C91E18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37"/>
                <w:rFonts w:hint="eastAsia" w:ascii="宋体" w:hAnsi="宋体" w:eastAsia="宋体" w:cs="宋体"/>
                <w:color w:val="auto"/>
                <w:sz w:val="21"/>
                <w:szCs w:val="21"/>
                <w:highlight w:val="none"/>
              </w:rPr>
            </w:pPr>
            <w:r>
              <w:rPr>
                <w:rStyle w:val="37"/>
                <w:rFonts w:hint="eastAsia" w:ascii="宋体" w:hAnsi="宋体" w:eastAsia="宋体" w:cs="宋体"/>
                <w:color w:val="auto"/>
                <w:sz w:val="21"/>
                <w:szCs w:val="21"/>
                <w:highlight w:val="none"/>
              </w:rPr>
              <w:t>4</w:t>
            </w:r>
          </w:p>
        </w:tc>
        <w:tc>
          <w:tcPr>
            <w:tcW w:w="2190" w:type="dxa"/>
            <w:tcBorders>
              <w:top w:val="single" w:color="000000" w:sz="4" w:space="0"/>
              <w:left w:val="single" w:color="000000" w:sz="4" w:space="0"/>
              <w:bottom w:val="single" w:color="000000" w:sz="4" w:space="0"/>
              <w:right w:val="single" w:color="000000" w:sz="4" w:space="0"/>
            </w:tcBorders>
            <w:vAlign w:val="center"/>
          </w:tcPr>
          <w:p w14:paraId="1E22045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37"/>
                <w:rFonts w:hint="eastAsia" w:ascii="宋体" w:hAnsi="宋体" w:eastAsia="宋体" w:cs="宋体"/>
                <w:color w:val="auto"/>
                <w:position w:val="-2"/>
                <w:sz w:val="21"/>
                <w:szCs w:val="21"/>
                <w:highlight w:val="none"/>
              </w:rPr>
            </w:pPr>
            <w:r>
              <w:rPr>
                <w:rStyle w:val="37"/>
                <w:rFonts w:hint="eastAsia" w:ascii="宋体" w:hAnsi="宋体" w:eastAsia="宋体" w:cs="宋体"/>
                <w:color w:val="auto"/>
                <w:sz w:val="21"/>
                <w:szCs w:val="21"/>
                <w:highlight w:val="none"/>
              </w:rPr>
              <w:t>磋商费用</w:t>
            </w:r>
          </w:p>
        </w:tc>
        <w:tc>
          <w:tcPr>
            <w:tcW w:w="6593" w:type="dxa"/>
            <w:tcBorders>
              <w:top w:val="single" w:color="000000" w:sz="4" w:space="0"/>
              <w:left w:val="single" w:color="000000" w:sz="4" w:space="0"/>
              <w:bottom w:val="single" w:color="000000" w:sz="4" w:space="0"/>
              <w:right w:val="single" w:color="000000" w:sz="4" w:space="0"/>
            </w:tcBorders>
            <w:vAlign w:val="center"/>
          </w:tcPr>
          <w:p w14:paraId="30AE2310">
            <w:pPr>
              <w:keepNext w:val="0"/>
              <w:keepLines w:val="0"/>
              <w:pageBreakBefore w:val="0"/>
              <w:widowControl w:val="0"/>
              <w:kinsoku/>
              <w:wordWrap/>
              <w:overflowPunct/>
              <w:topLinePunct w:val="0"/>
              <w:autoSpaceDE/>
              <w:autoSpaceDN/>
              <w:bidi w:val="0"/>
              <w:adjustRightInd/>
              <w:snapToGrid/>
              <w:spacing w:line="400" w:lineRule="exact"/>
              <w:textAlignment w:val="auto"/>
              <w:rPr>
                <w:rStyle w:val="37"/>
                <w:rFonts w:hint="eastAsia" w:ascii="宋体" w:hAnsi="宋体" w:eastAsia="宋体" w:cs="宋体"/>
                <w:color w:val="auto"/>
                <w:spacing w:val="-6"/>
                <w:sz w:val="21"/>
                <w:szCs w:val="21"/>
                <w:highlight w:val="none"/>
              </w:rPr>
            </w:pPr>
            <w:r>
              <w:rPr>
                <w:rStyle w:val="37"/>
                <w:rFonts w:hint="eastAsia" w:ascii="宋体" w:hAnsi="宋体" w:eastAsia="宋体" w:cs="宋体"/>
                <w:color w:val="auto"/>
                <w:spacing w:val="-6"/>
                <w:sz w:val="21"/>
                <w:szCs w:val="21"/>
                <w:highlight w:val="none"/>
              </w:rPr>
              <w:t>不论磋商结果如何，供应商均应自行承担所有与磋商有关的全部费用。</w:t>
            </w:r>
          </w:p>
        </w:tc>
      </w:tr>
      <w:tr w14:paraId="34AA05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trPr>
        <w:tc>
          <w:tcPr>
            <w:tcW w:w="654" w:type="dxa"/>
            <w:tcBorders>
              <w:top w:val="single" w:color="000000" w:sz="4" w:space="0"/>
              <w:left w:val="single" w:color="000000" w:sz="4" w:space="0"/>
              <w:bottom w:val="single" w:color="000000" w:sz="4" w:space="0"/>
              <w:right w:val="single" w:color="000000" w:sz="4" w:space="0"/>
            </w:tcBorders>
            <w:vAlign w:val="center"/>
          </w:tcPr>
          <w:p w14:paraId="67EAA8B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37"/>
                <w:rFonts w:hint="eastAsia" w:ascii="宋体" w:hAnsi="宋体" w:eastAsia="宋体" w:cs="宋体"/>
                <w:color w:val="auto"/>
                <w:sz w:val="21"/>
                <w:szCs w:val="21"/>
                <w:highlight w:val="none"/>
              </w:rPr>
            </w:pPr>
            <w:r>
              <w:rPr>
                <w:rStyle w:val="37"/>
                <w:rFonts w:hint="eastAsia" w:ascii="宋体" w:hAnsi="宋体" w:eastAsia="宋体" w:cs="宋体"/>
                <w:color w:val="auto"/>
                <w:sz w:val="21"/>
                <w:szCs w:val="21"/>
                <w:highlight w:val="none"/>
              </w:rPr>
              <w:t>4</w:t>
            </w:r>
          </w:p>
        </w:tc>
        <w:tc>
          <w:tcPr>
            <w:tcW w:w="840" w:type="dxa"/>
            <w:tcBorders>
              <w:top w:val="single" w:color="000000" w:sz="4" w:space="0"/>
              <w:left w:val="single" w:color="000000" w:sz="4" w:space="0"/>
              <w:bottom w:val="single" w:color="000000" w:sz="4" w:space="0"/>
              <w:right w:val="single" w:color="000000" w:sz="4" w:space="0"/>
            </w:tcBorders>
            <w:vAlign w:val="center"/>
          </w:tcPr>
          <w:p w14:paraId="64936EF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37"/>
                <w:rFonts w:hint="eastAsia" w:ascii="宋体" w:hAnsi="宋体" w:eastAsia="宋体" w:cs="宋体"/>
                <w:color w:val="auto"/>
                <w:position w:val="-2"/>
                <w:sz w:val="21"/>
                <w:szCs w:val="21"/>
                <w:highlight w:val="none"/>
              </w:rPr>
            </w:pPr>
            <w:r>
              <w:rPr>
                <w:rStyle w:val="37"/>
                <w:rFonts w:hint="eastAsia" w:ascii="宋体" w:hAnsi="宋体" w:eastAsia="宋体" w:cs="宋体"/>
                <w:color w:val="auto"/>
                <w:position w:val="-2"/>
                <w:sz w:val="21"/>
                <w:szCs w:val="21"/>
                <w:highlight w:val="none"/>
              </w:rPr>
              <w:t>13</w:t>
            </w:r>
          </w:p>
        </w:tc>
        <w:tc>
          <w:tcPr>
            <w:tcW w:w="2190" w:type="dxa"/>
            <w:tcBorders>
              <w:top w:val="single" w:color="000000" w:sz="4" w:space="0"/>
              <w:left w:val="single" w:color="000000" w:sz="4" w:space="0"/>
              <w:bottom w:val="single" w:color="000000" w:sz="4" w:space="0"/>
              <w:right w:val="single" w:color="000000" w:sz="4" w:space="0"/>
            </w:tcBorders>
            <w:vAlign w:val="center"/>
          </w:tcPr>
          <w:p w14:paraId="3A37780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37"/>
                <w:rFonts w:hint="eastAsia" w:ascii="宋体" w:hAnsi="宋体" w:eastAsia="宋体" w:cs="宋体"/>
                <w:color w:val="auto"/>
                <w:sz w:val="21"/>
                <w:szCs w:val="21"/>
                <w:highlight w:val="none"/>
              </w:rPr>
            </w:pPr>
            <w:r>
              <w:rPr>
                <w:rStyle w:val="37"/>
                <w:rFonts w:hint="eastAsia" w:ascii="宋体" w:hAnsi="宋体" w:eastAsia="宋体" w:cs="宋体"/>
                <w:color w:val="auto"/>
                <w:sz w:val="21"/>
                <w:szCs w:val="21"/>
                <w:highlight w:val="none"/>
              </w:rPr>
              <w:t>磋商报价及采购预算金额</w:t>
            </w:r>
          </w:p>
        </w:tc>
        <w:tc>
          <w:tcPr>
            <w:tcW w:w="6593" w:type="dxa"/>
            <w:tcBorders>
              <w:top w:val="single" w:color="000000" w:sz="4" w:space="0"/>
              <w:left w:val="single" w:color="000000" w:sz="4" w:space="0"/>
              <w:bottom w:val="single" w:color="000000" w:sz="4" w:space="0"/>
              <w:right w:val="single" w:color="000000" w:sz="4" w:space="0"/>
            </w:tcBorders>
            <w:vAlign w:val="center"/>
          </w:tcPr>
          <w:p w14:paraId="1775DFC6">
            <w:pPr>
              <w:keepNext w:val="0"/>
              <w:keepLines w:val="0"/>
              <w:pageBreakBefore w:val="0"/>
              <w:widowControl w:val="0"/>
              <w:kinsoku/>
              <w:wordWrap/>
              <w:overflowPunct/>
              <w:topLinePunct w:val="0"/>
              <w:autoSpaceDE/>
              <w:autoSpaceDN/>
              <w:bidi w:val="0"/>
              <w:adjustRightInd/>
              <w:snapToGrid/>
              <w:spacing w:line="400" w:lineRule="exact"/>
              <w:textAlignment w:val="auto"/>
              <w:rPr>
                <w:rStyle w:val="37"/>
                <w:rFonts w:hint="eastAsia" w:ascii="宋体" w:hAnsi="宋体" w:eastAsia="宋体" w:cs="宋体"/>
                <w:color w:val="auto"/>
                <w:sz w:val="21"/>
                <w:szCs w:val="21"/>
                <w:highlight w:val="none"/>
              </w:rPr>
            </w:pPr>
            <w:r>
              <w:rPr>
                <w:rStyle w:val="37"/>
                <w:rFonts w:hint="eastAsia" w:ascii="宋体" w:hAnsi="宋体" w:eastAsia="宋体" w:cs="宋体"/>
                <w:color w:val="auto"/>
                <w:sz w:val="21"/>
                <w:szCs w:val="21"/>
                <w:highlight w:val="none"/>
              </w:rPr>
              <w:t>13.1</w:t>
            </w:r>
            <w:r>
              <w:rPr>
                <w:rStyle w:val="37"/>
                <w:rFonts w:hint="eastAsia" w:ascii="宋体" w:hAnsi="宋体" w:eastAsia="宋体" w:cs="宋体"/>
                <w:b/>
                <w:bCs/>
                <w:color w:val="auto"/>
                <w:sz w:val="21"/>
                <w:szCs w:val="21"/>
                <w:highlight w:val="none"/>
              </w:rPr>
              <w:t>采购项目预算金额</w:t>
            </w:r>
            <w:r>
              <w:rPr>
                <w:rStyle w:val="37"/>
                <w:rFonts w:hint="eastAsia" w:ascii="宋体" w:hAnsi="宋体" w:eastAsia="宋体" w:cs="宋体"/>
                <w:b/>
                <w:bCs/>
                <w:color w:val="auto"/>
                <w:sz w:val="21"/>
                <w:szCs w:val="21"/>
                <w:highlight w:val="none"/>
                <w:lang w:eastAsia="zh-CN"/>
              </w:rPr>
              <w:t>：</w:t>
            </w:r>
            <w:r>
              <w:rPr>
                <w:rFonts w:hint="eastAsia" w:ascii="宋体" w:hAnsi="宋体" w:cs="宋体"/>
                <w:color w:val="auto"/>
                <w:highlight w:val="none"/>
                <w:lang w:val="en-US" w:eastAsia="zh-CN"/>
              </w:rPr>
              <w:t>1770000.00元</w:t>
            </w:r>
            <w:r>
              <w:rPr>
                <w:rFonts w:hint="eastAsia" w:ascii="宋体" w:hAnsi="宋体" w:cs="宋体"/>
                <w:b/>
                <w:bCs/>
                <w:color w:val="auto"/>
                <w:sz w:val="21"/>
                <w:szCs w:val="21"/>
                <w:highlight w:val="none"/>
                <w:lang w:eastAsia="zh-CN"/>
              </w:rPr>
              <w:t>，</w:t>
            </w:r>
            <w:r>
              <w:rPr>
                <w:rFonts w:hint="eastAsia" w:ascii="宋体" w:hAnsi="宋体" w:cs="宋体"/>
                <w:b w:val="0"/>
                <w:bCs w:val="0"/>
                <w:color w:val="auto"/>
                <w:sz w:val="21"/>
                <w:szCs w:val="21"/>
                <w:highlight w:val="none"/>
                <w:lang w:val="en-US" w:eastAsia="zh-CN"/>
              </w:rPr>
              <w:t>供应商</w:t>
            </w:r>
            <w:r>
              <w:rPr>
                <w:rStyle w:val="37"/>
                <w:rFonts w:hint="eastAsia" w:ascii="宋体" w:hAnsi="宋体" w:eastAsia="宋体" w:cs="宋体"/>
                <w:b w:val="0"/>
                <w:bCs w:val="0"/>
                <w:color w:val="auto"/>
                <w:sz w:val="21"/>
                <w:szCs w:val="21"/>
                <w:highlight w:val="none"/>
              </w:rPr>
              <w:t>报</w:t>
            </w:r>
            <w:r>
              <w:rPr>
                <w:rStyle w:val="37"/>
                <w:rFonts w:hint="eastAsia" w:ascii="宋体" w:hAnsi="宋体" w:eastAsia="宋体" w:cs="宋体"/>
                <w:color w:val="auto"/>
                <w:sz w:val="21"/>
                <w:szCs w:val="21"/>
                <w:highlight w:val="none"/>
              </w:rPr>
              <w:t>价超采购预算金额的，响应文件作无效处理。</w:t>
            </w:r>
          </w:p>
          <w:p w14:paraId="6FACEC0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highlight w:val="none"/>
              </w:rPr>
            </w:pPr>
            <w:r>
              <w:rPr>
                <w:rStyle w:val="37"/>
                <w:rFonts w:hint="eastAsia" w:ascii="宋体" w:hAnsi="宋体" w:eastAsia="宋体" w:cs="宋体"/>
                <w:color w:val="auto"/>
                <w:sz w:val="21"/>
                <w:szCs w:val="21"/>
                <w:highlight w:val="none"/>
              </w:rPr>
              <w:t>13.2供应商必须就“</w:t>
            </w:r>
            <w:r>
              <w:rPr>
                <w:rStyle w:val="37"/>
                <w:rFonts w:hint="eastAsia" w:ascii="宋体" w:hAnsi="宋体" w:cs="宋体"/>
                <w:color w:val="auto"/>
                <w:sz w:val="21"/>
                <w:szCs w:val="21"/>
                <w:highlight w:val="none"/>
                <w:lang w:val="en-US"/>
              </w:rPr>
              <w:t>服务</w:t>
            </w:r>
            <w:r>
              <w:rPr>
                <w:rStyle w:val="37"/>
                <w:rFonts w:hint="eastAsia" w:ascii="宋体" w:hAnsi="宋体" w:eastAsia="宋体" w:cs="宋体"/>
                <w:color w:val="auto"/>
                <w:sz w:val="21"/>
                <w:szCs w:val="21"/>
                <w:highlight w:val="none"/>
              </w:rPr>
              <w:t>采购需求”中的所有内容作完整唯一报价，否则，其磋商将被拒绝；响应文件只允许有一个报价，有选择的或有条件的报价将不予接受。</w:t>
            </w:r>
          </w:p>
        </w:tc>
      </w:tr>
      <w:tr w14:paraId="27AB31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654" w:type="dxa"/>
            <w:tcBorders>
              <w:top w:val="single" w:color="000000" w:sz="4" w:space="0"/>
              <w:left w:val="single" w:color="000000" w:sz="4" w:space="0"/>
              <w:bottom w:val="single" w:color="000000" w:sz="4" w:space="0"/>
              <w:right w:val="single" w:color="000000" w:sz="4" w:space="0"/>
            </w:tcBorders>
            <w:vAlign w:val="center"/>
          </w:tcPr>
          <w:p w14:paraId="6567CD5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37"/>
                <w:rFonts w:hint="eastAsia" w:ascii="宋体" w:hAnsi="宋体" w:eastAsia="宋体" w:cs="宋体"/>
                <w:color w:val="auto"/>
                <w:sz w:val="21"/>
                <w:szCs w:val="21"/>
                <w:highlight w:val="none"/>
              </w:rPr>
            </w:pPr>
            <w:r>
              <w:rPr>
                <w:rStyle w:val="37"/>
                <w:rFonts w:hint="eastAsia" w:ascii="宋体" w:hAnsi="宋体" w:eastAsia="宋体" w:cs="宋体"/>
                <w:color w:val="auto"/>
                <w:sz w:val="21"/>
                <w:szCs w:val="21"/>
                <w:highlight w:val="none"/>
              </w:rPr>
              <w:t>5</w:t>
            </w:r>
          </w:p>
        </w:tc>
        <w:tc>
          <w:tcPr>
            <w:tcW w:w="840" w:type="dxa"/>
            <w:tcBorders>
              <w:top w:val="single" w:color="000000" w:sz="4" w:space="0"/>
              <w:left w:val="single" w:color="000000" w:sz="4" w:space="0"/>
              <w:bottom w:val="single" w:color="000000" w:sz="4" w:space="0"/>
              <w:right w:val="single" w:color="000000" w:sz="4" w:space="0"/>
            </w:tcBorders>
            <w:vAlign w:val="center"/>
          </w:tcPr>
          <w:p w14:paraId="10188A1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37"/>
                <w:rFonts w:hint="eastAsia" w:ascii="宋体" w:hAnsi="宋体" w:eastAsia="宋体" w:cs="宋体"/>
                <w:color w:val="auto"/>
                <w:sz w:val="21"/>
                <w:szCs w:val="21"/>
                <w:highlight w:val="none"/>
              </w:rPr>
            </w:pPr>
            <w:r>
              <w:rPr>
                <w:rStyle w:val="37"/>
                <w:rFonts w:hint="eastAsia" w:ascii="宋体" w:hAnsi="宋体" w:eastAsia="宋体" w:cs="宋体"/>
                <w:color w:val="auto"/>
                <w:sz w:val="21"/>
                <w:szCs w:val="21"/>
                <w:highlight w:val="none"/>
              </w:rPr>
              <w:t>14.1</w:t>
            </w:r>
          </w:p>
        </w:tc>
        <w:tc>
          <w:tcPr>
            <w:tcW w:w="2190" w:type="dxa"/>
            <w:tcBorders>
              <w:top w:val="single" w:color="000000" w:sz="4" w:space="0"/>
              <w:left w:val="single" w:color="000000" w:sz="4" w:space="0"/>
              <w:bottom w:val="single" w:color="000000" w:sz="4" w:space="0"/>
              <w:right w:val="single" w:color="000000" w:sz="4" w:space="0"/>
            </w:tcBorders>
            <w:vAlign w:val="center"/>
          </w:tcPr>
          <w:p w14:paraId="5DE413A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37"/>
                <w:rFonts w:hint="eastAsia" w:ascii="宋体" w:hAnsi="宋体" w:eastAsia="宋体" w:cs="宋体"/>
                <w:color w:val="auto"/>
                <w:sz w:val="21"/>
                <w:szCs w:val="21"/>
                <w:highlight w:val="none"/>
              </w:rPr>
            </w:pPr>
            <w:r>
              <w:rPr>
                <w:rStyle w:val="37"/>
                <w:rFonts w:hint="eastAsia" w:ascii="宋体" w:hAnsi="宋体" w:eastAsia="宋体" w:cs="宋体"/>
                <w:color w:val="auto"/>
                <w:sz w:val="21"/>
                <w:szCs w:val="21"/>
                <w:highlight w:val="none"/>
              </w:rPr>
              <w:t>响应文件有效期</w:t>
            </w:r>
          </w:p>
        </w:tc>
        <w:tc>
          <w:tcPr>
            <w:tcW w:w="6593" w:type="dxa"/>
            <w:tcBorders>
              <w:top w:val="single" w:color="000000" w:sz="4" w:space="0"/>
              <w:left w:val="single" w:color="000000" w:sz="4" w:space="0"/>
              <w:bottom w:val="single" w:color="000000" w:sz="4" w:space="0"/>
              <w:right w:val="single" w:color="000000" w:sz="4" w:space="0"/>
            </w:tcBorders>
            <w:vAlign w:val="center"/>
          </w:tcPr>
          <w:p w14:paraId="7E118F6C">
            <w:pPr>
              <w:keepNext w:val="0"/>
              <w:keepLines w:val="0"/>
              <w:pageBreakBefore w:val="0"/>
              <w:widowControl w:val="0"/>
              <w:kinsoku/>
              <w:wordWrap/>
              <w:overflowPunct/>
              <w:topLinePunct w:val="0"/>
              <w:autoSpaceDE/>
              <w:autoSpaceDN/>
              <w:bidi w:val="0"/>
              <w:adjustRightInd/>
              <w:snapToGrid/>
              <w:spacing w:line="400" w:lineRule="exact"/>
              <w:textAlignment w:val="auto"/>
              <w:rPr>
                <w:rStyle w:val="37"/>
                <w:rFonts w:hint="eastAsia" w:ascii="宋体" w:hAnsi="宋体" w:eastAsia="宋体" w:cs="宋体"/>
                <w:color w:val="auto"/>
                <w:sz w:val="21"/>
                <w:szCs w:val="21"/>
                <w:highlight w:val="none"/>
              </w:rPr>
            </w:pPr>
            <w:r>
              <w:rPr>
                <w:rFonts w:hint="eastAsia" w:ascii="宋体" w:hAnsi="宋体" w:cs="宋体"/>
                <w:color w:val="auto"/>
                <w:kern w:val="0"/>
                <w:szCs w:val="21"/>
                <w:highlight w:val="none"/>
              </w:rPr>
              <w:t>自响应文件递交截止时间之日起90天，有效期不足的响应文件将被拒绝。</w:t>
            </w:r>
          </w:p>
        </w:tc>
      </w:tr>
      <w:tr w14:paraId="6EFE46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trPr>
        <w:tc>
          <w:tcPr>
            <w:tcW w:w="654" w:type="dxa"/>
            <w:tcBorders>
              <w:top w:val="single" w:color="000000" w:sz="4" w:space="0"/>
              <w:left w:val="single" w:color="000000" w:sz="4" w:space="0"/>
              <w:bottom w:val="single" w:color="000000" w:sz="4" w:space="0"/>
              <w:right w:val="single" w:color="000000" w:sz="4" w:space="0"/>
            </w:tcBorders>
            <w:vAlign w:val="center"/>
          </w:tcPr>
          <w:p w14:paraId="0A378A1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37"/>
                <w:rFonts w:hint="eastAsia" w:ascii="宋体" w:hAnsi="宋体" w:eastAsia="宋体" w:cs="宋体"/>
                <w:color w:val="auto"/>
                <w:sz w:val="21"/>
                <w:szCs w:val="21"/>
                <w:highlight w:val="none"/>
              </w:rPr>
            </w:pPr>
            <w:r>
              <w:rPr>
                <w:rStyle w:val="37"/>
                <w:rFonts w:hint="eastAsia" w:ascii="宋体" w:hAnsi="宋体" w:eastAsia="宋体" w:cs="宋体"/>
                <w:color w:val="auto"/>
                <w:sz w:val="21"/>
                <w:szCs w:val="21"/>
                <w:highlight w:val="none"/>
              </w:rPr>
              <w:t>6</w:t>
            </w:r>
          </w:p>
        </w:tc>
        <w:tc>
          <w:tcPr>
            <w:tcW w:w="840" w:type="dxa"/>
            <w:tcBorders>
              <w:top w:val="single" w:color="000000" w:sz="4" w:space="0"/>
              <w:left w:val="single" w:color="000000" w:sz="4" w:space="0"/>
              <w:bottom w:val="single" w:color="000000" w:sz="4" w:space="0"/>
              <w:right w:val="single" w:color="000000" w:sz="4" w:space="0"/>
            </w:tcBorders>
            <w:vAlign w:val="center"/>
          </w:tcPr>
          <w:p w14:paraId="182C381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37"/>
                <w:rFonts w:hint="eastAsia" w:ascii="宋体" w:hAnsi="宋体" w:eastAsia="宋体" w:cs="宋体"/>
                <w:color w:val="auto"/>
                <w:sz w:val="21"/>
                <w:szCs w:val="21"/>
                <w:highlight w:val="none"/>
              </w:rPr>
            </w:pPr>
            <w:r>
              <w:rPr>
                <w:rStyle w:val="37"/>
                <w:rFonts w:hint="eastAsia" w:ascii="宋体" w:hAnsi="宋体" w:eastAsia="宋体" w:cs="宋体"/>
                <w:color w:val="auto"/>
                <w:sz w:val="21"/>
                <w:szCs w:val="21"/>
                <w:highlight w:val="none"/>
              </w:rPr>
              <w:t>15</w:t>
            </w:r>
          </w:p>
        </w:tc>
        <w:tc>
          <w:tcPr>
            <w:tcW w:w="2190" w:type="dxa"/>
            <w:tcBorders>
              <w:top w:val="single" w:color="000000" w:sz="4" w:space="0"/>
              <w:left w:val="single" w:color="000000" w:sz="4" w:space="0"/>
              <w:bottom w:val="single" w:color="000000" w:sz="4" w:space="0"/>
              <w:right w:val="single" w:color="000000" w:sz="4" w:space="0"/>
            </w:tcBorders>
            <w:vAlign w:val="center"/>
          </w:tcPr>
          <w:p w14:paraId="21CC258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37"/>
                <w:rFonts w:hint="eastAsia" w:ascii="宋体" w:hAnsi="宋体" w:eastAsia="宋体" w:cs="宋体"/>
                <w:color w:val="auto"/>
                <w:sz w:val="21"/>
                <w:szCs w:val="21"/>
                <w:highlight w:val="none"/>
                <w:lang w:val="en-US" w:eastAsia="zh-CN"/>
              </w:rPr>
            </w:pPr>
            <w:r>
              <w:rPr>
                <w:rStyle w:val="37"/>
                <w:rFonts w:hint="eastAsia" w:ascii="宋体" w:hAnsi="宋体" w:eastAsia="宋体" w:cs="宋体"/>
                <w:color w:val="auto"/>
                <w:sz w:val="21"/>
                <w:szCs w:val="21"/>
                <w:highlight w:val="none"/>
              </w:rPr>
              <w:t>竞争性磋商响应文件的制作</w:t>
            </w:r>
          </w:p>
        </w:tc>
        <w:tc>
          <w:tcPr>
            <w:tcW w:w="6593" w:type="dxa"/>
            <w:tcBorders>
              <w:top w:val="single" w:color="000000" w:sz="4" w:space="0"/>
              <w:left w:val="single" w:color="000000" w:sz="4" w:space="0"/>
              <w:bottom w:val="single" w:color="000000" w:sz="4" w:space="0"/>
              <w:right w:val="single" w:color="000000" w:sz="4" w:space="0"/>
            </w:tcBorders>
            <w:vAlign w:val="center"/>
          </w:tcPr>
          <w:p w14:paraId="09C155F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Style w:val="37"/>
                <w:rFonts w:hint="eastAsia" w:ascii="宋体" w:hAnsi="宋体" w:eastAsia="宋体" w:cs="宋体"/>
                <w:color w:val="auto"/>
                <w:sz w:val="21"/>
                <w:szCs w:val="21"/>
                <w:highlight w:val="none"/>
              </w:rPr>
            </w:pPr>
            <w:r>
              <w:rPr>
                <w:rStyle w:val="37"/>
                <w:rFonts w:hint="eastAsia" w:ascii="宋体" w:hAnsi="宋体" w:eastAsia="宋体" w:cs="宋体"/>
                <w:color w:val="auto"/>
                <w:sz w:val="21"/>
                <w:szCs w:val="21"/>
                <w:highlight w:val="none"/>
              </w:rPr>
              <w:t>15.1供应商下载或获取竞争性磋商文件后，登录“</w:t>
            </w:r>
            <w:r>
              <w:rPr>
                <w:rFonts w:hint="eastAsia" w:hAnsi="宋体"/>
                <w:color w:val="auto"/>
                <w:sz w:val="21"/>
                <w:szCs w:val="21"/>
                <w:highlight w:val="none"/>
                <w:lang w:eastAsia="zh-CN"/>
              </w:rPr>
              <w:t>广西政府采购云平台</w:t>
            </w:r>
            <w:r>
              <w:rPr>
                <w:rStyle w:val="37"/>
                <w:rFonts w:hint="eastAsia" w:ascii="宋体" w:hAnsi="宋体" w:eastAsia="宋体" w:cs="宋体"/>
                <w:color w:val="auto"/>
                <w:sz w:val="21"/>
                <w:szCs w:val="21"/>
                <w:highlight w:val="none"/>
              </w:rPr>
              <w:t>电子投标客户端”，按照本磋商文件规定的响应文件格式、顺序以及“</w:t>
            </w:r>
            <w:r>
              <w:rPr>
                <w:rFonts w:hint="eastAsia" w:hAnsi="宋体"/>
                <w:color w:val="auto"/>
                <w:sz w:val="21"/>
                <w:szCs w:val="21"/>
                <w:highlight w:val="none"/>
                <w:lang w:eastAsia="zh-CN"/>
              </w:rPr>
              <w:t>广西政府采购云平台</w:t>
            </w:r>
            <w:r>
              <w:rPr>
                <w:rStyle w:val="37"/>
                <w:rFonts w:hint="eastAsia" w:ascii="宋体" w:hAnsi="宋体" w:eastAsia="宋体" w:cs="宋体"/>
                <w:color w:val="auto"/>
                <w:sz w:val="21"/>
                <w:szCs w:val="21"/>
                <w:highlight w:val="none"/>
              </w:rPr>
              <w:t>”的要求，通过“</w:t>
            </w:r>
            <w:r>
              <w:rPr>
                <w:rFonts w:hint="eastAsia" w:hAnsi="宋体"/>
                <w:color w:val="auto"/>
                <w:sz w:val="21"/>
                <w:szCs w:val="21"/>
                <w:highlight w:val="none"/>
                <w:lang w:eastAsia="zh-CN"/>
              </w:rPr>
              <w:t>广西政府采购云平台</w:t>
            </w:r>
            <w:r>
              <w:rPr>
                <w:rStyle w:val="37"/>
                <w:rFonts w:hint="eastAsia" w:ascii="宋体" w:hAnsi="宋体" w:eastAsia="宋体" w:cs="宋体"/>
                <w:color w:val="auto"/>
                <w:sz w:val="21"/>
                <w:szCs w:val="21"/>
                <w:highlight w:val="none"/>
              </w:rPr>
              <w:t>电子投标客户端”编制电子响应文件。</w:t>
            </w:r>
          </w:p>
          <w:p w14:paraId="38D4FB3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Style w:val="37"/>
                <w:rFonts w:hint="eastAsia" w:ascii="宋体" w:hAnsi="宋体" w:eastAsia="宋体" w:cs="宋体"/>
                <w:color w:val="auto"/>
                <w:sz w:val="21"/>
                <w:szCs w:val="21"/>
                <w:highlight w:val="none"/>
              </w:rPr>
            </w:pPr>
            <w:r>
              <w:rPr>
                <w:rStyle w:val="37"/>
                <w:rFonts w:hint="eastAsia" w:ascii="宋体" w:hAnsi="宋体" w:eastAsia="宋体" w:cs="宋体"/>
                <w:color w:val="auto"/>
                <w:sz w:val="21"/>
                <w:szCs w:val="21"/>
                <w:highlight w:val="none"/>
              </w:rPr>
              <w:t>15.</w:t>
            </w:r>
            <w:r>
              <w:rPr>
                <w:rStyle w:val="37"/>
                <w:rFonts w:hint="eastAsia" w:ascii="宋体" w:hAnsi="宋体" w:eastAsia="宋体" w:cs="宋体"/>
                <w:color w:val="auto"/>
                <w:sz w:val="21"/>
                <w:szCs w:val="21"/>
                <w:highlight w:val="none"/>
                <w:lang w:val="en-US" w:eastAsia="zh-CN"/>
              </w:rPr>
              <w:t>2</w:t>
            </w:r>
            <w:r>
              <w:rPr>
                <w:rStyle w:val="37"/>
                <w:rFonts w:hint="eastAsia" w:ascii="宋体" w:hAnsi="宋体" w:eastAsia="宋体" w:cs="宋体"/>
                <w:color w:val="auto"/>
                <w:sz w:val="21"/>
                <w:szCs w:val="21"/>
                <w:highlight w:val="none"/>
              </w:rPr>
              <w:t>电子磋商响应文件中须加盖供应商公章部分均采用 CA 签章，并根据“政府采购项目电子交易管理操作指南-供应商”及本磋商文件规定的格式和顺序编制电子磋商响应文件并进行关联定位，以便磋商小组在评审时，点击评分项可直接定位到该评分项内容。如对磋商文件的某项要求，供应商的电子磋商响应文件未能关联定位提供相应的内容与其对应，则磋商小组在评审时如做出对供应商不利的评审由供应商自行承担。电子磋商响应文件如内容不完整、编排混乱导致磋商响应文件被误读、漏读，或者在按采购文件规定的部位查找不到相关内容的，由供应商自行承担。</w:t>
            </w:r>
          </w:p>
          <w:p w14:paraId="51680E7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Style w:val="37"/>
                <w:rFonts w:hint="eastAsia" w:ascii="宋体" w:hAnsi="宋体" w:eastAsia="宋体" w:cs="宋体"/>
                <w:color w:val="auto"/>
                <w:sz w:val="21"/>
                <w:szCs w:val="21"/>
                <w:highlight w:val="none"/>
              </w:rPr>
            </w:pPr>
            <w:r>
              <w:rPr>
                <w:rStyle w:val="37"/>
                <w:rFonts w:hint="eastAsia" w:ascii="宋体" w:hAnsi="宋体" w:eastAsia="宋体" w:cs="宋体"/>
                <w:color w:val="auto"/>
                <w:sz w:val="21"/>
                <w:szCs w:val="21"/>
                <w:highlight w:val="none"/>
              </w:rPr>
              <w:t>15.</w:t>
            </w:r>
            <w:r>
              <w:rPr>
                <w:rStyle w:val="37"/>
                <w:rFonts w:hint="eastAsia" w:ascii="宋体" w:hAnsi="宋体" w:eastAsia="宋体" w:cs="宋体"/>
                <w:color w:val="auto"/>
                <w:sz w:val="21"/>
                <w:szCs w:val="21"/>
                <w:highlight w:val="none"/>
                <w:lang w:val="en-US" w:eastAsia="zh-CN"/>
              </w:rPr>
              <w:t>3</w:t>
            </w:r>
            <w:r>
              <w:rPr>
                <w:rStyle w:val="37"/>
                <w:rFonts w:hint="eastAsia" w:ascii="宋体" w:hAnsi="宋体" w:eastAsia="宋体" w:cs="宋体"/>
                <w:color w:val="auto"/>
                <w:sz w:val="21"/>
                <w:szCs w:val="21"/>
                <w:highlight w:val="none"/>
              </w:rPr>
              <w:t>供应商法人</w:t>
            </w:r>
            <w:r>
              <w:rPr>
                <w:rFonts w:hint="eastAsia" w:ascii="宋体" w:hAnsi="宋体" w:eastAsia="宋体" w:cs="宋体"/>
                <w:color w:val="auto"/>
                <w:szCs w:val="21"/>
                <w:highlight w:val="none"/>
              </w:rPr>
              <w:t>（负责人）</w:t>
            </w:r>
            <w:r>
              <w:rPr>
                <w:rStyle w:val="37"/>
                <w:rFonts w:hint="eastAsia" w:ascii="宋体" w:hAnsi="宋体" w:eastAsia="宋体" w:cs="宋体"/>
                <w:color w:val="auto"/>
                <w:sz w:val="21"/>
                <w:szCs w:val="21"/>
                <w:highlight w:val="none"/>
              </w:rPr>
              <w:t>或授权代表持有</w:t>
            </w:r>
            <w:r>
              <w:rPr>
                <w:rStyle w:val="37"/>
                <w:rFonts w:hint="eastAsia" w:ascii="宋体" w:hAnsi="宋体" w:cs="宋体"/>
                <w:color w:val="auto"/>
                <w:sz w:val="21"/>
                <w:szCs w:val="21"/>
                <w:highlight w:val="none"/>
              </w:rPr>
              <w:t>广西政府采购云平台</w:t>
            </w:r>
            <w:r>
              <w:rPr>
                <w:rStyle w:val="37"/>
                <w:rFonts w:hint="eastAsia" w:ascii="宋体" w:hAnsi="宋体" w:eastAsia="宋体" w:cs="宋体"/>
                <w:color w:val="auto"/>
                <w:sz w:val="21"/>
                <w:szCs w:val="21"/>
                <w:highlight w:val="none"/>
              </w:rPr>
              <w:t>个人CA签章的，应在响应文件中涉及到签字的位置使用个人CA签章，没有办理</w:t>
            </w:r>
            <w:r>
              <w:rPr>
                <w:rStyle w:val="37"/>
                <w:rFonts w:hint="eastAsia" w:ascii="宋体" w:hAnsi="宋体" w:cs="宋体"/>
                <w:color w:val="auto"/>
                <w:sz w:val="21"/>
                <w:szCs w:val="21"/>
                <w:highlight w:val="none"/>
              </w:rPr>
              <w:t>广西政府采购云平台</w:t>
            </w:r>
            <w:r>
              <w:rPr>
                <w:rStyle w:val="37"/>
                <w:rFonts w:hint="eastAsia" w:ascii="宋体" w:hAnsi="宋体" w:eastAsia="宋体" w:cs="宋体"/>
                <w:color w:val="auto"/>
                <w:sz w:val="21"/>
                <w:szCs w:val="21"/>
                <w:highlight w:val="none"/>
              </w:rPr>
              <w:t>个人CA签章的可在响应文件中涉及到签字的位置手写签字后扫描或者拍照做成PDF的格式上传即可。因响应文件字迹潦草、表达不清、内容不完整、编排混乱导致响应文件被误读、漏读，或者在按竞争性磋商文件规定的部位查找不到相关内容的，其不利后果由供应商自行承担。</w:t>
            </w:r>
          </w:p>
          <w:p w14:paraId="24819F1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Style w:val="37"/>
                <w:rFonts w:hint="eastAsia" w:ascii="宋体" w:hAnsi="宋体" w:eastAsia="宋体" w:cs="宋体"/>
                <w:color w:val="auto"/>
                <w:sz w:val="21"/>
                <w:szCs w:val="21"/>
                <w:highlight w:val="none"/>
              </w:rPr>
            </w:pPr>
            <w:r>
              <w:rPr>
                <w:rStyle w:val="37"/>
                <w:rFonts w:hint="eastAsia" w:ascii="宋体" w:hAnsi="宋体" w:eastAsia="宋体" w:cs="宋体"/>
                <w:color w:val="auto"/>
                <w:sz w:val="21"/>
                <w:szCs w:val="21"/>
                <w:highlight w:val="none"/>
              </w:rPr>
              <w:t>15.</w:t>
            </w:r>
            <w:r>
              <w:rPr>
                <w:rStyle w:val="37"/>
                <w:rFonts w:hint="eastAsia" w:ascii="宋体" w:hAnsi="宋体" w:eastAsia="宋体" w:cs="宋体"/>
                <w:color w:val="auto"/>
                <w:sz w:val="21"/>
                <w:szCs w:val="21"/>
                <w:highlight w:val="none"/>
                <w:lang w:val="en-US" w:eastAsia="zh-CN"/>
              </w:rPr>
              <w:t>4</w:t>
            </w:r>
            <w:r>
              <w:rPr>
                <w:rStyle w:val="37"/>
                <w:rFonts w:hint="eastAsia" w:ascii="宋体" w:hAnsi="宋体" w:eastAsia="宋体" w:cs="宋体"/>
                <w:color w:val="auto"/>
                <w:sz w:val="21"/>
                <w:szCs w:val="21"/>
                <w:highlight w:val="none"/>
              </w:rPr>
              <w:t xml:space="preserve"> 供应商编制、生成电子响应文件后应当加密响应文件。供应商未按规定编制并加密的响应文件，“</w:t>
            </w:r>
            <w:r>
              <w:rPr>
                <w:rStyle w:val="37"/>
                <w:rFonts w:hint="eastAsia" w:ascii="宋体" w:hAnsi="宋体" w:cs="宋体"/>
                <w:color w:val="auto"/>
                <w:sz w:val="21"/>
                <w:szCs w:val="21"/>
                <w:highlight w:val="none"/>
              </w:rPr>
              <w:t>广西政府采购云平台</w:t>
            </w:r>
            <w:r>
              <w:rPr>
                <w:rStyle w:val="37"/>
                <w:rFonts w:hint="eastAsia" w:ascii="宋体" w:hAnsi="宋体" w:eastAsia="宋体" w:cs="宋体"/>
                <w:color w:val="auto"/>
                <w:sz w:val="21"/>
                <w:szCs w:val="21"/>
                <w:highlight w:val="none"/>
              </w:rPr>
              <w:t>”平台将予以拒收。</w:t>
            </w:r>
          </w:p>
          <w:p w14:paraId="41081CE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Style w:val="37"/>
                <w:rFonts w:hint="eastAsia" w:ascii="宋体" w:hAnsi="宋体" w:eastAsia="宋体" w:cs="宋体"/>
                <w:color w:val="auto"/>
                <w:sz w:val="21"/>
                <w:szCs w:val="21"/>
                <w:highlight w:val="none"/>
              </w:rPr>
            </w:pPr>
            <w:r>
              <w:rPr>
                <w:rStyle w:val="37"/>
                <w:rFonts w:hint="eastAsia" w:ascii="宋体" w:hAnsi="宋体" w:eastAsia="宋体" w:cs="宋体"/>
                <w:color w:val="auto"/>
                <w:sz w:val="21"/>
                <w:szCs w:val="21"/>
                <w:highlight w:val="none"/>
              </w:rPr>
              <w:t>15.</w:t>
            </w:r>
            <w:r>
              <w:rPr>
                <w:rStyle w:val="37"/>
                <w:rFonts w:hint="eastAsia" w:ascii="宋体" w:hAnsi="宋体" w:eastAsia="宋体" w:cs="宋体"/>
                <w:color w:val="auto"/>
                <w:sz w:val="21"/>
                <w:szCs w:val="21"/>
                <w:highlight w:val="none"/>
                <w:lang w:val="en-US" w:eastAsia="zh-CN"/>
              </w:rPr>
              <w:t>5</w:t>
            </w:r>
            <w:r>
              <w:rPr>
                <w:rStyle w:val="37"/>
                <w:rFonts w:hint="eastAsia" w:ascii="宋体" w:hAnsi="宋体" w:eastAsia="宋体" w:cs="宋体"/>
                <w:color w:val="auto"/>
                <w:sz w:val="21"/>
                <w:szCs w:val="21"/>
                <w:highlight w:val="none"/>
              </w:rPr>
              <w:t xml:space="preserve">磋商前准备 </w:t>
            </w:r>
          </w:p>
          <w:p w14:paraId="1BC65EB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Style w:val="37"/>
                <w:rFonts w:hint="eastAsia" w:ascii="宋体" w:hAnsi="宋体" w:eastAsia="宋体" w:cs="宋体"/>
                <w:color w:val="auto"/>
                <w:sz w:val="21"/>
                <w:szCs w:val="21"/>
                <w:highlight w:val="none"/>
              </w:rPr>
            </w:pPr>
            <w:r>
              <w:rPr>
                <w:rStyle w:val="37"/>
                <w:rFonts w:hint="eastAsia" w:ascii="宋体" w:hAnsi="宋体" w:eastAsia="宋体" w:cs="宋体"/>
                <w:color w:val="auto"/>
                <w:sz w:val="21"/>
                <w:szCs w:val="21"/>
                <w:highlight w:val="none"/>
              </w:rPr>
              <w:t>15.</w:t>
            </w:r>
            <w:r>
              <w:rPr>
                <w:rStyle w:val="37"/>
                <w:rFonts w:hint="eastAsia" w:ascii="宋体" w:hAnsi="宋体" w:eastAsia="宋体" w:cs="宋体"/>
                <w:color w:val="auto"/>
                <w:sz w:val="21"/>
                <w:szCs w:val="21"/>
                <w:highlight w:val="none"/>
                <w:lang w:val="en-US" w:eastAsia="zh-CN"/>
              </w:rPr>
              <w:t>5</w:t>
            </w:r>
            <w:r>
              <w:rPr>
                <w:rStyle w:val="37"/>
                <w:rFonts w:hint="eastAsia" w:ascii="宋体" w:hAnsi="宋体" w:eastAsia="宋体" w:cs="宋体"/>
                <w:color w:val="auto"/>
                <w:sz w:val="21"/>
                <w:szCs w:val="21"/>
                <w:highlight w:val="none"/>
              </w:rPr>
              <w:t xml:space="preserve">.1本项目实行在线磋商，采用电子磋商响应文件。若供应商参与磋商，自行承担磋商一切费用。 </w:t>
            </w:r>
          </w:p>
          <w:p w14:paraId="46C7E30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Style w:val="37"/>
                <w:rFonts w:hint="eastAsia" w:ascii="宋体" w:hAnsi="宋体" w:eastAsia="宋体" w:cs="宋体"/>
                <w:color w:val="auto"/>
                <w:sz w:val="21"/>
                <w:szCs w:val="21"/>
                <w:highlight w:val="none"/>
              </w:rPr>
            </w:pPr>
            <w:r>
              <w:rPr>
                <w:rStyle w:val="37"/>
                <w:rFonts w:hint="eastAsia" w:ascii="宋体" w:hAnsi="宋体" w:eastAsia="宋体" w:cs="宋体"/>
                <w:color w:val="auto"/>
                <w:sz w:val="21"/>
                <w:szCs w:val="21"/>
                <w:highlight w:val="none"/>
              </w:rPr>
              <w:t>15.</w:t>
            </w:r>
            <w:r>
              <w:rPr>
                <w:rStyle w:val="37"/>
                <w:rFonts w:hint="eastAsia" w:ascii="宋体" w:hAnsi="宋体" w:eastAsia="宋体" w:cs="宋体"/>
                <w:color w:val="auto"/>
                <w:sz w:val="21"/>
                <w:szCs w:val="21"/>
                <w:highlight w:val="none"/>
                <w:lang w:val="en-US" w:eastAsia="zh-CN"/>
              </w:rPr>
              <w:t>5</w:t>
            </w:r>
            <w:r>
              <w:rPr>
                <w:rStyle w:val="37"/>
                <w:rFonts w:hint="eastAsia" w:ascii="宋体" w:hAnsi="宋体" w:eastAsia="宋体" w:cs="宋体"/>
                <w:color w:val="auto"/>
                <w:sz w:val="21"/>
                <w:szCs w:val="21"/>
                <w:highlight w:val="none"/>
              </w:rPr>
              <w:t>.2各供应商应在截标前应确保成为</w:t>
            </w:r>
            <w:r>
              <w:rPr>
                <w:rStyle w:val="37"/>
                <w:rFonts w:hint="eastAsia" w:ascii="宋体" w:hAnsi="宋体" w:cs="宋体"/>
                <w:color w:val="auto"/>
                <w:sz w:val="21"/>
                <w:szCs w:val="21"/>
                <w:highlight w:val="none"/>
              </w:rPr>
              <w:t>广西政府采购云平台</w:t>
            </w:r>
            <w:r>
              <w:rPr>
                <w:rStyle w:val="37"/>
                <w:rFonts w:hint="eastAsia" w:ascii="宋体" w:hAnsi="宋体" w:eastAsia="宋体" w:cs="宋体"/>
                <w:color w:val="auto"/>
                <w:sz w:val="21"/>
                <w:szCs w:val="21"/>
                <w:highlight w:val="none"/>
              </w:rPr>
              <w:t>正式注册入库</w:t>
            </w:r>
            <w:r>
              <w:rPr>
                <w:rStyle w:val="37"/>
                <w:rFonts w:hint="eastAsia" w:ascii="宋体" w:hAnsi="宋体" w:eastAsia="宋体" w:cs="宋体"/>
                <w:color w:val="auto"/>
                <w:sz w:val="21"/>
                <w:szCs w:val="21"/>
                <w:highlight w:val="none"/>
                <w:lang w:eastAsia="zh-CN"/>
              </w:rPr>
              <w:t>，成为正式</w:t>
            </w:r>
            <w:r>
              <w:rPr>
                <w:rStyle w:val="37"/>
                <w:rFonts w:hint="eastAsia" w:ascii="宋体" w:hAnsi="宋体" w:eastAsia="宋体" w:cs="宋体"/>
                <w:color w:val="auto"/>
                <w:sz w:val="21"/>
                <w:szCs w:val="21"/>
                <w:highlight w:val="none"/>
              </w:rPr>
              <w:t xml:space="preserve">供应商，并完成CA数字证书申领。因未注册入库、未办理CA数字证书等原因造成无法磋商或磋商失败等后果由供应商自行承担。 </w:t>
            </w:r>
          </w:p>
          <w:p w14:paraId="76C0C51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Style w:val="37"/>
                <w:rFonts w:hint="eastAsia" w:ascii="宋体" w:hAnsi="宋体" w:eastAsia="宋体" w:cs="宋体"/>
                <w:color w:val="auto"/>
                <w:sz w:val="21"/>
                <w:szCs w:val="21"/>
                <w:highlight w:val="none"/>
              </w:rPr>
            </w:pPr>
            <w:r>
              <w:rPr>
                <w:rStyle w:val="37"/>
                <w:rFonts w:hint="eastAsia" w:ascii="宋体" w:hAnsi="宋体" w:eastAsia="宋体" w:cs="宋体"/>
                <w:color w:val="auto"/>
                <w:sz w:val="21"/>
                <w:szCs w:val="21"/>
                <w:highlight w:val="none"/>
              </w:rPr>
              <w:t>15.</w:t>
            </w:r>
            <w:r>
              <w:rPr>
                <w:rStyle w:val="37"/>
                <w:rFonts w:hint="eastAsia" w:ascii="宋体" w:hAnsi="宋体" w:eastAsia="宋体" w:cs="宋体"/>
                <w:color w:val="auto"/>
                <w:sz w:val="21"/>
                <w:szCs w:val="21"/>
                <w:highlight w:val="none"/>
                <w:lang w:val="en-US" w:eastAsia="zh-CN"/>
              </w:rPr>
              <w:t>5</w:t>
            </w:r>
            <w:r>
              <w:rPr>
                <w:rStyle w:val="37"/>
                <w:rFonts w:hint="eastAsia" w:ascii="宋体" w:hAnsi="宋体" w:eastAsia="宋体" w:cs="宋体"/>
                <w:color w:val="auto"/>
                <w:sz w:val="21"/>
                <w:szCs w:val="21"/>
                <w:highlight w:val="none"/>
              </w:rPr>
              <w:t>.3供应商将</w:t>
            </w:r>
            <w:r>
              <w:rPr>
                <w:rStyle w:val="37"/>
                <w:rFonts w:hint="eastAsia" w:ascii="宋体" w:hAnsi="宋体" w:cs="宋体"/>
                <w:color w:val="auto"/>
                <w:sz w:val="21"/>
                <w:szCs w:val="21"/>
                <w:highlight w:val="none"/>
              </w:rPr>
              <w:t>广西政府采购云平台</w:t>
            </w:r>
            <w:r>
              <w:rPr>
                <w:rStyle w:val="37"/>
                <w:rFonts w:hint="eastAsia" w:ascii="宋体" w:hAnsi="宋体" w:eastAsia="宋体" w:cs="宋体"/>
                <w:color w:val="auto"/>
                <w:sz w:val="21"/>
                <w:szCs w:val="21"/>
                <w:highlight w:val="none"/>
              </w:rPr>
              <w:t>电子交易客户端下载、安装完成后，可通过账号密码或CA登录客户端进行响应文件制作。客户端请至网站下载专区查看，如有问题可拨打</w:t>
            </w:r>
            <w:r>
              <w:rPr>
                <w:rStyle w:val="37"/>
                <w:rFonts w:hint="eastAsia" w:ascii="宋体" w:hAnsi="宋体" w:cs="宋体"/>
                <w:color w:val="auto"/>
                <w:sz w:val="21"/>
                <w:szCs w:val="21"/>
                <w:highlight w:val="none"/>
              </w:rPr>
              <w:t>广西政府采购云平台</w:t>
            </w:r>
            <w:r>
              <w:rPr>
                <w:rStyle w:val="37"/>
                <w:rFonts w:hint="eastAsia" w:ascii="宋体" w:hAnsi="宋体" w:eastAsia="宋体" w:cs="宋体"/>
                <w:color w:val="auto"/>
                <w:sz w:val="21"/>
                <w:szCs w:val="21"/>
                <w:highlight w:val="none"/>
              </w:rPr>
              <w:t>客户服务热线</w:t>
            </w:r>
            <w:r>
              <w:rPr>
                <w:rStyle w:val="37"/>
                <w:rFonts w:hint="eastAsia" w:ascii="宋体" w:hAnsi="宋体" w:cs="宋体"/>
                <w:color w:val="auto"/>
                <w:sz w:val="21"/>
                <w:szCs w:val="21"/>
                <w:highlight w:val="none"/>
              </w:rPr>
              <w:t>95763</w:t>
            </w:r>
            <w:r>
              <w:rPr>
                <w:rStyle w:val="37"/>
                <w:rFonts w:hint="eastAsia" w:ascii="宋体" w:hAnsi="宋体" w:eastAsia="宋体" w:cs="宋体"/>
                <w:color w:val="auto"/>
                <w:sz w:val="21"/>
                <w:szCs w:val="21"/>
                <w:highlight w:val="none"/>
              </w:rPr>
              <w:t>进行咨询。</w:t>
            </w:r>
          </w:p>
        </w:tc>
      </w:tr>
      <w:tr w14:paraId="6F16A8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trPr>
        <w:tc>
          <w:tcPr>
            <w:tcW w:w="654" w:type="dxa"/>
            <w:tcBorders>
              <w:top w:val="single" w:color="000000" w:sz="4" w:space="0"/>
              <w:left w:val="single" w:color="000000" w:sz="4" w:space="0"/>
              <w:bottom w:val="single" w:color="000000" w:sz="4" w:space="0"/>
              <w:right w:val="single" w:color="000000" w:sz="4" w:space="0"/>
            </w:tcBorders>
            <w:vAlign w:val="center"/>
          </w:tcPr>
          <w:p w14:paraId="6B69C2E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37"/>
                <w:rFonts w:hint="eastAsia" w:ascii="宋体" w:hAnsi="宋体" w:eastAsia="宋体" w:cs="宋体"/>
                <w:color w:val="auto"/>
                <w:sz w:val="21"/>
                <w:szCs w:val="21"/>
                <w:highlight w:val="none"/>
              </w:rPr>
            </w:pPr>
            <w:r>
              <w:rPr>
                <w:rStyle w:val="37"/>
                <w:rFonts w:hint="eastAsia" w:ascii="宋体" w:hAnsi="宋体" w:eastAsia="宋体" w:cs="宋体"/>
                <w:color w:val="auto"/>
                <w:sz w:val="21"/>
                <w:szCs w:val="21"/>
                <w:highlight w:val="none"/>
              </w:rPr>
              <w:t>7</w:t>
            </w:r>
          </w:p>
        </w:tc>
        <w:tc>
          <w:tcPr>
            <w:tcW w:w="840" w:type="dxa"/>
            <w:tcBorders>
              <w:top w:val="single" w:color="000000" w:sz="4" w:space="0"/>
              <w:left w:val="single" w:color="000000" w:sz="4" w:space="0"/>
              <w:bottom w:val="single" w:color="000000" w:sz="4" w:space="0"/>
              <w:right w:val="single" w:color="000000" w:sz="4" w:space="0"/>
            </w:tcBorders>
            <w:vAlign w:val="center"/>
          </w:tcPr>
          <w:p w14:paraId="5D5EF14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37"/>
                <w:rFonts w:hint="eastAsia" w:ascii="宋体" w:hAnsi="宋体" w:eastAsia="宋体" w:cs="宋体"/>
                <w:color w:val="auto"/>
                <w:position w:val="10"/>
                <w:sz w:val="21"/>
                <w:szCs w:val="21"/>
                <w:highlight w:val="none"/>
              </w:rPr>
            </w:pPr>
            <w:r>
              <w:rPr>
                <w:rStyle w:val="37"/>
                <w:rFonts w:hint="eastAsia" w:ascii="宋体" w:hAnsi="宋体" w:eastAsia="宋体" w:cs="宋体"/>
                <w:color w:val="auto"/>
                <w:sz w:val="21"/>
                <w:szCs w:val="21"/>
                <w:highlight w:val="none"/>
              </w:rPr>
              <w:t>17.1</w:t>
            </w:r>
          </w:p>
        </w:tc>
        <w:tc>
          <w:tcPr>
            <w:tcW w:w="2190" w:type="dxa"/>
            <w:tcBorders>
              <w:top w:val="single" w:color="000000" w:sz="4" w:space="0"/>
              <w:left w:val="single" w:color="000000" w:sz="4" w:space="0"/>
              <w:bottom w:val="single" w:color="000000" w:sz="4" w:space="0"/>
              <w:right w:val="single" w:color="000000" w:sz="4" w:space="0"/>
            </w:tcBorders>
            <w:vAlign w:val="center"/>
          </w:tcPr>
          <w:p w14:paraId="6CE63AC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37"/>
                <w:rFonts w:hint="eastAsia" w:ascii="宋体" w:hAnsi="宋体" w:eastAsia="宋体" w:cs="宋体"/>
                <w:color w:val="auto"/>
                <w:position w:val="10"/>
                <w:sz w:val="21"/>
                <w:szCs w:val="21"/>
                <w:highlight w:val="none"/>
              </w:rPr>
            </w:pPr>
            <w:r>
              <w:rPr>
                <w:rFonts w:hint="eastAsia" w:ascii="宋体" w:hAnsi="宋体" w:eastAsia="宋体" w:cs="宋体"/>
                <w:color w:val="auto"/>
                <w:sz w:val="21"/>
                <w:szCs w:val="21"/>
                <w:highlight w:val="none"/>
              </w:rPr>
              <w:t>响应文件递交截止时间</w:t>
            </w:r>
          </w:p>
        </w:tc>
        <w:tc>
          <w:tcPr>
            <w:tcW w:w="6593" w:type="dxa"/>
            <w:tcBorders>
              <w:top w:val="single" w:color="000000" w:sz="4" w:space="0"/>
              <w:left w:val="single" w:color="000000" w:sz="4" w:space="0"/>
              <w:bottom w:val="single" w:color="000000" w:sz="4" w:space="0"/>
              <w:right w:val="single" w:color="000000" w:sz="4" w:space="0"/>
            </w:tcBorders>
            <w:vAlign w:val="center"/>
          </w:tcPr>
          <w:p w14:paraId="2C6D52A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Style w:val="37"/>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于</w:t>
            </w:r>
            <w:r>
              <w:rPr>
                <w:rFonts w:hint="eastAsia" w:ascii="宋体" w:hAnsi="宋体" w:cs="宋体"/>
                <w:color w:val="auto"/>
                <w:sz w:val="21"/>
                <w:szCs w:val="21"/>
                <w:highlight w:val="none"/>
                <w:u w:val="single"/>
                <w:lang w:val="en-US" w:eastAsia="zh-CN"/>
              </w:rPr>
              <w:t>2026</w:t>
            </w:r>
            <w:r>
              <w:rPr>
                <w:rStyle w:val="37"/>
                <w:rFonts w:hint="eastAsia" w:ascii="宋体" w:hAnsi="宋体" w:eastAsia="宋体" w:cs="宋体"/>
                <w:color w:val="auto"/>
                <w:szCs w:val="21"/>
                <w:highlight w:val="none"/>
                <w:u w:val="single"/>
              </w:rPr>
              <w:t>年</w:t>
            </w:r>
            <w:r>
              <w:rPr>
                <w:rStyle w:val="37"/>
                <w:rFonts w:hint="eastAsia" w:ascii="宋体" w:hAnsi="宋体" w:cs="宋体"/>
                <w:color w:val="auto"/>
                <w:szCs w:val="21"/>
                <w:highlight w:val="none"/>
                <w:u w:val="single"/>
                <w:lang w:val="en-US"/>
              </w:rPr>
              <w:t>2</w:t>
            </w:r>
            <w:r>
              <w:rPr>
                <w:rStyle w:val="37"/>
                <w:rFonts w:hint="eastAsia" w:ascii="宋体" w:hAnsi="宋体" w:eastAsia="宋体" w:cs="宋体"/>
                <w:color w:val="auto"/>
                <w:szCs w:val="21"/>
                <w:highlight w:val="none"/>
                <w:u w:val="single"/>
              </w:rPr>
              <w:t>月</w:t>
            </w:r>
            <w:r>
              <w:rPr>
                <w:rStyle w:val="37"/>
                <w:rFonts w:hint="eastAsia" w:ascii="宋体" w:hAnsi="宋体" w:cs="宋体"/>
                <w:color w:val="auto"/>
                <w:szCs w:val="21"/>
                <w:highlight w:val="none"/>
                <w:u w:val="single"/>
                <w:lang w:val="en-US"/>
              </w:rPr>
              <w:t>10</w:t>
            </w:r>
            <w:r>
              <w:rPr>
                <w:rStyle w:val="37"/>
                <w:rFonts w:hint="eastAsia" w:ascii="宋体" w:hAnsi="宋体" w:eastAsia="宋体" w:cs="宋体"/>
                <w:color w:val="auto"/>
                <w:szCs w:val="21"/>
                <w:highlight w:val="none"/>
                <w:u w:val="single"/>
              </w:rPr>
              <w:t>日</w:t>
            </w:r>
            <w:r>
              <w:rPr>
                <w:rStyle w:val="37"/>
                <w:rFonts w:hint="eastAsia" w:ascii="宋体" w:hAnsi="宋体" w:cs="宋体"/>
                <w:color w:val="auto"/>
                <w:szCs w:val="21"/>
                <w:highlight w:val="none"/>
                <w:u w:val="single"/>
                <w:lang w:val="en-US"/>
              </w:rPr>
              <w:t>09</w:t>
            </w:r>
            <w:r>
              <w:rPr>
                <w:rFonts w:hint="eastAsia" w:ascii="宋体" w:hAnsi="宋体" w:eastAsia="宋体" w:cs="宋体"/>
                <w:color w:val="auto"/>
                <w:sz w:val="21"/>
                <w:szCs w:val="21"/>
                <w:highlight w:val="none"/>
                <w:u w:val="single"/>
              </w:rPr>
              <w:t>时</w:t>
            </w:r>
            <w:r>
              <w:rPr>
                <w:rFonts w:hint="eastAsia" w:ascii="宋体" w:hAnsi="宋体" w:cs="宋体"/>
                <w:color w:val="auto"/>
                <w:sz w:val="21"/>
                <w:szCs w:val="21"/>
                <w:highlight w:val="none"/>
                <w:u w:val="single"/>
                <w:lang w:val="en-US" w:eastAsia="zh-CN"/>
              </w:rPr>
              <w:t>30</w:t>
            </w:r>
            <w:r>
              <w:rPr>
                <w:rFonts w:hint="eastAsia" w:ascii="宋体" w:hAnsi="宋体" w:eastAsia="宋体" w:cs="宋体"/>
                <w:color w:val="auto"/>
                <w:sz w:val="21"/>
                <w:szCs w:val="21"/>
                <w:highlight w:val="none"/>
                <w:u w:val="single"/>
              </w:rPr>
              <w:t>分</w:t>
            </w:r>
            <w:r>
              <w:rPr>
                <w:rFonts w:hint="eastAsia" w:ascii="宋体" w:hAnsi="宋体" w:eastAsia="宋体" w:cs="宋体"/>
                <w:color w:val="auto"/>
                <w:sz w:val="21"/>
                <w:szCs w:val="21"/>
                <w:highlight w:val="none"/>
              </w:rPr>
              <w:t>之前将电子磋商响应文件上传到</w:t>
            </w:r>
            <w:r>
              <w:rPr>
                <w:rFonts w:hint="eastAsia" w:ascii="宋体" w:hAnsi="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。应按照本项目磋商文件和</w:t>
            </w:r>
            <w:r>
              <w:rPr>
                <w:rFonts w:hint="eastAsia" w:ascii="宋体" w:hAnsi="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的要求编制、加密传输磋商响应文件。供应商在使用系统进行响应的过程中遇到涉及平台使用的任何问题，可致电</w:t>
            </w:r>
            <w:r>
              <w:rPr>
                <w:rFonts w:hint="eastAsia" w:ascii="宋体" w:hAnsi="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技术支持热线咨询，联系方式：</w:t>
            </w:r>
            <w:r>
              <w:rPr>
                <w:rFonts w:hint="eastAsia" w:ascii="宋体" w:hAnsi="宋体" w:cs="宋体"/>
                <w:color w:val="auto"/>
                <w:sz w:val="21"/>
                <w:szCs w:val="21"/>
                <w:highlight w:val="none"/>
                <w:lang w:eastAsia="zh-CN"/>
              </w:rPr>
              <w:t>95763</w:t>
            </w:r>
            <w:r>
              <w:rPr>
                <w:rFonts w:hint="eastAsia" w:ascii="宋体" w:hAnsi="宋体" w:eastAsia="宋体" w:cs="宋体"/>
                <w:color w:val="auto"/>
                <w:sz w:val="21"/>
                <w:szCs w:val="21"/>
                <w:highlight w:val="none"/>
              </w:rPr>
              <w:t>。</w:t>
            </w:r>
          </w:p>
        </w:tc>
      </w:tr>
      <w:tr w14:paraId="2C8636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trPr>
        <w:tc>
          <w:tcPr>
            <w:tcW w:w="654" w:type="dxa"/>
            <w:tcBorders>
              <w:top w:val="single" w:color="000000" w:sz="4" w:space="0"/>
              <w:left w:val="single" w:color="000000" w:sz="4" w:space="0"/>
              <w:bottom w:val="single" w:color="000000" w:sz="4" w:space="0"/>
              <w:right w:val="single" w:color="000000" w:sz="4" w:space="0"/>
            </w:tcBorders>
            <w:vAlign w:val="center"/>
          </w:tcPr>
          <w:p w14:paraId="705A726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37"/>
                <w:rFonts w:hint="eastAsia" w:ascii="宋体" w:hAnsi="宋体" w:eastAsia="宋体" w:cs="宋体"/>
                <w:color w:val="auto"/>
                <w:sz w:val="21"/>
                <w:szCs w:val="21"/>
                <w:highlight w:val="none"/>
              </w:rPr>
            </w:pPr>
            <w:r>
              <w:rPr>
                <w:rStyle w:val="37"/>
                <w:rFonts w:hint="eastAsia" w:ascii="宋体" w:hAnsi="宋体" w:eastAsia="宋体" w:cs="宋体"/>
                <w:color w:val="auto"/>
                <w:sz w:val="21"/>
                <w:szCs w:val="21"/>
                <w:highlight w:val="none"/>
              </w:rPr>
              <w:t>8</w:t>
            </w:r>
          </w:p>
        </w:tc>
        <w:tc>
          <w:tcPr>
            <w:tcW w:w="840" w:type="dxa"/>
            <w:tcBorders>
              <w:top w:val="single" w:color="000000" w:sz="4" w:space="0"/>
              <w:left w:val="single" w:color="000000" w:sz="4" w:space="0"/>
              <w:bottom w:val="single" w:color="000000" w:sz="4" w:space="0"/>
              <w:right w:val="single" w:color="000000" w:sz="4" w:space="0"/>
            </w:tcBorders>
            <w:vAlign w:val="center"/>
          </w:tcPr>
          <w:p w14:paraId="43190BB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37"/>
                <w:rFonts w:hint="eastAsia" w:ascii="宋体" w:hAnsi="宋体" w:eastAsia="宋体" w:cs="宋体"/>
                <w:color w:val="auto"/>
                <w:sz w:val="21"/>
                <w:szCs w:val="21"/>
                <w:highlight w:val="none"/>
              </w:rPr>
            </w:pPr>
            <w:r>
              <w:rPr>
                <w:rStyle w:val="37"/>
                <w:rFonts w:hint="eastAsia" w:ascii="宋体" w:hAnsi="宋体" w:eastAsia="宋体" w:cs="宋体"/>
                <w:color w:val="auto"/>
                <w:sz w:val="21"/>
                <w:szCs w:val="21"/>
                <w:highlight w:val="none"/>
              </w:rPr>
              <w:t>17.2</w:t>
            </w:r>
          </w:p>
        </w:tc>
        <w:tc>
          <w:tcPr>
            <w:tcW w:w="2190" w:type="dxa"/>
            <w:tcBorders>
              <w:top w:val="single" w:color="000000" w:sz="4" w:space="0"/>
              <w:left w:val="single" w:color="000000" w:sz="4" w:space="0"/>
              <w:bottom w:val="single" w:color="000000" w:sz="4" w:space="0"/>
              <w:right w:val="single" w:color="000000" w:sz="4" w:space="0"/>
            </w:tcBorders>
            <w:vAlign w:val="center"/>
          </w:tcPr>
          <w:p w14:paraId="69080D9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37"/>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磋商响应文件解密时间</w:t>
            </w:r>
          </w:p>
        </w:tc>
        <w:tc>
          <w:tcPr>
            <w:tcW w:w="6593" w:type="dxa"/>
            <w:tcBorders>
              <w:top w:val="single" w:color="000000" w:sz="4" w:space="0"/>
              <w:left w:val="single" w:color="000000" w:sz="4" w:space="0"/>
              <w:bottom w:val="single" w:color="000000" w:sz="4" w:space="0"/>
              <w:right w:val="single" w:color="000000" w:sz="4" w:space="0"/>
            </w:tcBorders>
            <w:vAlign w:val="center"/>
          </w:tcPr>
          <w:p w14:paraId="3D7FDDD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Style w:val="37"/>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截标时间后</w:t>
            </w:r>
            <w:r>
              <w:rPr>
                <w:rFonts w:hint="eastAsia" w:ascii="宋体" w:hAnsi="宋体" w:eastAsia="宋体" w:cs="宋体"/>
                <w:color w:val="auto"/>
                <w:sz w:val="21"/>
                <w:szCs w:val="21"/>
                <w:highlight w:val="none"/>
                <w:u w:val="single"/>
              </w:rPr>
              <w:t>30</w:t>
            </w:r>
            <w:r>
              <w:rPr>
                <w:rFonts w:hint="eastAsia" w:ascii="宋体" w:hAnsi="宋体" w:eastAsia="宋体" w:cs="宋体"/>
                <w:color w:val="auto"/>
                <w:sz w:val="21"/>
                <w:szCs w:val="21"/>
                <w:highlight w:val="none"/>
              </w:rPr>
              <w:t>分钟内（</w:t>
            </w:r>
            <w:r>
              <w:rPr>
                <w:rFonts w:hint="eastAsia" w:ascii="宋体" w:hAnsi="宋体" w:cs="宋体"/>
                <w:color w:val="auto"/>
                <w:sz w:val="21"/>
                <w:szCs w:val="21"/>
                <w:highlight w:val="none"/>
                <w:u w:val="single"/>
                <w:lang w:val="en-US" w:eastAsia="zh-CN"/>
              </w:rPr>
              <w:t>2026</w:t>
            </w:r>
            <w:r>
              <w:rPr>
                <w:rStyle w:val="37"/>
                <w:rFonts w:hint="eastAsia" w:ascii="宋体" w:hAnsi="宋体" w:eastAsia="宋体" w:cs="宋体"/>
                <w:color w:val="auto"/>
                <w:szCs w:val="21"/>
                <w:highlight w:val="none"/>
                <w:u w:val="single"/>
              </w:rPr>
              <w:t>年</w:t>
            </w:r>
            <w:r>
              <w:rPr>
                <w:rStyle w:val="37"/>
                <w:rFonts w:hint="eastAsia" w:ascii="宋体" w:hAnsi="宋体" w:cs="宋体"/>
                <w:color w:val="auto"/>
                <w:szCs w:val="21"/>
                <w:highlight w:val="none"/>
                <w:u w:val="single"/>
                <w:lang w:val="en-US"/>
              </w:rPr>
              <w:t>2</w:t>
            </w:r>
            <w:r>
              <w:rPr>
                <w:rStyle w:val="37"/>
                <w:rFonts w:hint="eastAsia" w:ascii="宋体" w:hAnsi="宋体" w:eastAsia="宋体" w:cs="宋体"/>
                <w:color w:val="auto"/>
                <w:szCs w:val="21"/>
                <w:highlight w:val="none"/>
                <w:u w:val="single"/>
              </w:rPr>
              <w:t>月</w:t>
            </w:r>
            <w:r>
              <w:rPr>
                <w:rStyle w:val="37"/>
                <w:rFonts w:hint="eastAsia" w:ascii="宋体" w:hAnsi="宋体" w:cs="宋体"/>
                <w:color w:val="auto"/>
                <w:szCs w:val="21"/>
                <w:highlight w:val="none"/>
                <w:u w:val="single"/>
                <w:lang w:val="en-US"/>
              </w:rPr>
              <w:t>10</w:t>
            </w:r>
            <w:r>
              <w:rPr>
                <w:rStyle w:val="37"/>
                <w:rFonts w:hint="eastAsia" w:ascii="宋体" w:hAnsi="宋体" w:eastAsia="宋体" w:cs="宋体"/>
                <w:color w:val="auto"/>
                <w:szCs w:val="21"/>
                <w:highlight w:val="none"/>
                <w:u w:val="single"/>
              </w:rPr>
              <w:t>日</w:t>
            </w:r>
            <w:r>
              <w:rPr>
                <w:rStyle w:val="37"/>
                <w:rFonts w:hint="eastAsia" w:ascii="宋体" w:hAnsi="宋体" w:cs="宋体"/>
                <w:color w:val="auto"/>
                <w:szCs w:val="21"/>
                <w:highlight w:val="none"/>
                <w:u w:val="single"/>
                <w:lang w:val="en-US"/>
              </w:rPr>
              <w:t>09</w:t>
            </w:r>
            <w:r>
              <w:rPr>
                <w:rFonts w:hint="eastAsia" w:ascii="宋体" w:hAnsi="宋体" w:eastAsia="宋体" w:cs="宋体"/>
                <w:color w:val="auto"/>
                <w:sz w:val="21"/>
                <w:szCs w:val="21"/>
                <w:highlight w:val="none"/>
                <w:u w:val="single"/>
              </w:rPr>
              <w:t>时</w:t>
            </w:r>
            <w:r>
              <w:rPr>
                <w:rFonts w:hint="eastAsia" w:ascii="宋体" w:hAnsi="宋体" w:cs="宋体"/>
                <w:color w:val="auto"/>
                <w:sz w:val="21"/>
                <w:szCs w:val="21"/>
                <w:highlight w:val="none"/>
                <w:u w:val="single"/>
                <w:lang w:val="en-US" w:eastAsia="zh-CN"/>
              </w:rPr>
              <w:t>30</w:t>
            </w:r>
            <w:r>
              <w:rPr>
                <w:rFonts w:hint="eastAsia" w:ascii="宋体" w:hAnsi="宋体" w:eastAsia="宋体" w:cs="宋体"/>
                <w:color w:val="auto"/>
                <w:sz w:val="21"/>
                <w:szCs w:val="21"/>
                <w:highlight w:val="none"/>
                <w:u w:val="single"/>
              </w:rPr>
              <w:t>分至</w:t>
            </w:r>
            <w:r>
              <w:rPr>
                <w:rFonts w:hint="eastAsia" w:ascii="宋体" w:hAnsi="宋体" w:cs="宋体"/>
                <w:color w:val="auto"/>
                <w:sz w:val="21"/>
                <w:szCs w:val="21"/>
                <w:highlight w:val="none"/>
                <w:u w:val="single"/>
                <w:lang w:val="en-US" w:eastAsia="zh-CN"/>
              </w:rPr>
              <w:t>10</w:t>
            </w:r>
            <w:r>
              <w:rPr>
                <w:rFonts w:hint="eastAsia" w:ascii="宋体" w:hAnsi="宋体" w:eastAsia="宋体" w:cs="宋体"/>
                <w:color w:val="auto"/>
                <w:sz w:val="21"/>
                <w:szCs w:val="21"/>
                <w:highlight w:val="none"/>
                <w:u w:val="single"/>
              </w:rPr>
              <w:t>时</w:t>
            </w:r>
            <w:r>
              <w:rPr>
                <w:rFonts w:hint="eastAsia" w:ascii="宋体" w:hAnsi="宋体" w:cs="宋体"/>
                <w:color w:val="auto"/>
                <w:sz w:val="21"/>
                <w:szCs w:val="21"/>
                <w:highlight w:val="none"/>
                <w:u w:val="single"/>
                <w:lang w:val="en-US" w:eastAsia="zh-CN"/>
              </w:rPr>
              <w:t>00</w:t>
            </w:r>
            <w:r>
              <w:rPr>
                <w:rFonts w:hint="eastAsia" w:ascii="宋体" w:hAnsi="宋体" w:eastAsia="宋体" w:cs="宋体"/>
                <w:color w:val="auto"/>
                <w:sz w:val="21"/>
                <w:szCs w:val="21"/>
                <w:highlight w:val="none"/>
                <w:u w:val="single"/>
              </w:rPr>
              <w:t>分</w:t>
            </w:r>
            <w:r>
              <w:rPr>
                <w:rFonts w:hint="eastAsia" w:ascii="宋体" w:hAnsi="宋体" w:eastAsia="宋体" w:cs="宋体"/>
                <w:color w:val="auto"/>
                <w:sz w:val="21"/>
                <w:szCs w:val="21"/>
                <w:highlight w:val="none"/>
              </w:rPr>
              <w:t>)磋商供应商可以登录</w:t>
            </w:r>
            <w:r>
              <w:rPr>
                <w:rFonts w:hint="eastAsia" w:ascii="宋体" w:hAnsi="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，用“项目采购-开标评标”功能进行解密磋商文件。若磋商供应商在规定时间内无法解密或解密失败，可以以电子备份磋商响应文件作为依据</w:t>
            </w:r>
            <w:r>
              <w:rPr>
                <w:rFonts w:hint="eastAsia" w:ascii="宋体" w:hAnsi="宋体" w:eastAsia="宋体" w:cs="宋体"/>
                <w:b/>
                <w:bCs/>
                <w:color w:val="auto"/>
                <w:sz w:val="21"/>
                <w:szCs w:val="21"/>
                <w:highlight w:val="none"/>
              </w:rPr>
              <w:t>【在接到无法解密或解密失败的通知后，磋商供应商可根据自身实际情况按通知时要求的时间到</w:t>
            </w:r>
            <w:r>
              <w:rPr>
                <w:rFonts w:hint="eastAsia" w:ascii="宋体" w:hAnsi="宋体" w:cs="宋体"/>
                <w:b/>
                <w:bCs/>
                <w:color w:val="auto"/>
                <w:sz w:val="21"/>
                <w:szCs w:val="21"/>
                <w:highlight w:val="none"/>
                <w:lang w:val="en-US" w:eastAsia="zh-CN"/>
              </w:rPr>
              <w:t>桂林市</w:t>
            </w:r>
            <w:r>
              <w:rPr>
                <w:rFonts w:hint="eastAsia" w:ascii="宋体" w:hAnsi="宋体" w:cs="宋体"/>
                <w:b/>
                <w:bCs/>
                <w:color w:val="auto"/>
                <w:sz w:val="21"/>
                <w:szCs w:val="21"/>
                <w:highlight w:val="none"/>
                <w:lang w:eastAsia="zh-CN"/>
              </w:rPr>
              <w:t>公共资源交易中心</w:t>
            </w:r>
            <w:r>
              <w:rPr>
                <w:rFonts w:hint="eastAsia" w:ascii="宋体" w:hAnsi="宋体" w:eastAsia="宋体" w:cs="宋体"/>
                <w:b/>
                <w:bCs w:val="0"/>
                <w:color w:val="auto"/>
                <w:sz w:val="21"/>
                <w:szCs w:val="21"/>
                <w:highlight w:val="none"/>
                <w:lang w:eastAsia="zh-CN"/>
              </w:rPr>
              <w:t>（具体开标室根据</w:t>
            </w:r>
            <w:r>
              <w:rPr>
                <w:rFonts w:hint="eastAsia" w:ascii="宋体" w:hAnsi="宋体" w:cs="宋体"/>
                <w:b/>
                <w:bCs w:val="0"/>
                <w:color w:val="auto"/>
                <w:sz w:val="21"/>
                <w:szCs w:val="21"/>
                <w:highlight w:val="none"/>
                <w:lang w:eastAsia="zh-CN"/>
              </w:rPr>
              <w:t>电子屏幕</w:t>
            </w:r>
            <w:r>
              <w:rPr>
                <w:rFonts w:hint="eastAsia" w:ascii="宋体" w:hAnsi="宋体" w:eastAsia="宋体" w:cs="宋体"/>
                <w:b/>
                <w:bCs w:val="0"/>
                <w:color w:val="auto"/>
                <w:sz w:val="21"/>
                <w:szCs w:val="21"/>
                <w:highlight w:val="none"/>
                <w:lang w:eastAsia="zh-CN"/>
              </w:rPr>
              <w:t>显示的安排）</w:t>
            </w:r>
            <w:r>
              <w:rPr>
                <w:rFonts w:hint="eastAsia" w:ascii="宋体" w:hAnsi="宋体" w:eastAsia="宋体" w:cs="宋体"/>
                <w:b/>
                <w:bCs/>
                <w:color w:val="auto"/>
                <w:sz w:val="21"/>
                <w:szCs w:val="21"/>
                <w:highlight w:val="none"/>
              </w:rPr>
              <w:t>现场提交或以电子邮件的形式（以通知时所告知的电子邮箱地址为准）提交电子备份投标文件】</w:t>
            </w:r>
            <w:r>
              <w:rPr>
                <w:rFonts w:hint="eastAsia" w:ascii="宋体" w:hAnsi="宋体" w:eastAsia="宋体" w:cs="宋体"/>
                <w:color w:val="auto"/>
                <w:sz w:val="21"/>
                <w:szCs w:val="21"/>
                <w:highlight w:val="none"/>
              </w:rPr>
              <w:t>，若磋商供应商在规定时间内无法解密或解密失败且未提供电子备份磋商响应文件的(包含提供的电子备份文件无效或无法解密的情况)，视为无效响应。</w:t>
            </w:r>
          </w:p>
        </w:tc>
      </w:tr>
      <w:tr w14:paraId="36499E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654" w:type="dxa"/>
            <w:tcBorders>
              <w:top w:val="single" w:color="000000" w:sz="4" w:space="0"/>
              <w:left w:val="single" w:color="000000" w:sz="4" w:space="0"/>
              <w:bottom w:val="single" w:color="000000" w:sz="4" w:space="0"/>
              <w:right w:val="single" w:color="000000" w:sz="4" w:space="0"/>
            </w:tcBorders>
            <w:vAlign w:val="center"/>
          </w:tcPr>
          <w:p w14:paraId="38F9CC4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37"/>
                <w:rFonts w:hint="eastAsia" w:ascii="宋体" w:hAnsi="宋体" w:eastAsia="宋体" w:cs="宋体"/>
                <w:color w:val="auto"/>
                <w:sz w:val="21"/>
                <w:szCs w:val="21"/>
                <w:highlight w:val="none"/>
              </w:rPr>
            </w:pPr>
            <w:r>
              <w:rPr>
                <w:rStyle w:val="37"/>
                <w:rFonts w:hint="eastAsia" w:ascii="宋体" w:hAnsi="宋体" w:eastAsia="宋体" w:cs="宋体"/>
                <w:color w:val="auto"/>
                <w:sz w:val="21"/>
                <w:szCs w:val="21"/>
                <w:highlight w:val="none"/>
              </w:rPr>
              <w:t>9</w:t>
            </w:r>
          </w:p>
        </w:tc>
        <w:tc>
          <w:tcPr>
            <w:tcW w:w="840" w:type="dxa"/>
            <w:tcBorders>
              <w:top w:val="single" w:color="000000" w:sz="4" w:space="0"/>
              <w:left w:val="single" w:color="000000" w:sz="4" w:space="0"/>
              <w:bottom w:val="single" w:color="000000" w:sz="4" w:space="0"/>
              <w:right w:val="single" w:color="000000" w:sz="4" w:space="0"/>
            </w:tcBorders>
            <w:vAlign w:val="center"/>
          </w:tcPr>
          <w:p w14:paraId="6872BCC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37"/>
                <w:rFonts w:hint="eastAsia" w:ascii="宋体" w:hAnsi="宋体" w:eastAsia="宋体" w:cs="宋体"/>
                <w:color w:val="auto"/>
                <w:sz w:val="21"/>
                <w:szCs w:val="21"/>
                <w:highlight w:val="none"/>
              </w:rPr>
            </w:pPr>
            <w:r>
              <w:rPr>
                <w:rStyle w:val="37"/>
                <w:rFonts w:hint="eastAsia" w:ascii="宋体" w:hAnsi="宋体" w:eastAsia="宋体" w:cs="宋体"/>
                <w:color w:val="auto"/>
                <w:sz w:val="21"/>
                <w:szCs w:val="21"/>
                <w:highlight w:val="none"/>
              </w:rPr>
              <w:t>18.1</w:t>
            </w:r>
          </w:p>
        </w:tc>
        <w:tc>
          <w:tcPr>
            <w:tcW w:w="2190" w:type="dxa"/>
            <w:tcBorders>
              <w:top w:val="single" w:color="000000" w:sz="4" w:space="0"/>
              <w:left w:val="single" w:color="000000" w:sz="4" w:space="0"/>
              <w:bottom w:val="single" w:color="000000" w:sz="4" w:space="0"/>
              <w:right w:val="single" w:color="000000" w:sz="4" w:space="0"/>
            </w:tcBorders>
            <w:vAlign w:val="center"/>
          </w:tcPr>
          <w:p w14:paraId="2B62C80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37"/>
                <w:rFonts w:hint="eastAsia" w:ascii="宋体" w:hAnsi="宋体" w:eastAsia="宋体" w:cs="宋体"/>
                <w:color w:val="auto"/>
                <w:sz w:val="21"/>
                <w:szCs w:val="21"/>
                <w:highlight w:val="none"/>
              </w:rPr>
            </w:pPr>
            <w:r>
              <w:rPr>
                <w:rStyle w:val="37"/>
                <w:rFonts w:hint="eastAsia" w:ascii="宋体" w:hAnsi="宋体" w:eastAsia="宋体" w:cs="宋体"/>
                <w:color w:val="auto"/>
                <w:sz w:val="21"/>
                <w:szCs w:val="21"/>
                <w:highlight w:val="none"/>
              </w:rPr>
              <w:t>磋商小组组成</w:t>
            </w:r>
          </w:p>
        </w:tc>
        <w:tc>
          <w:tcPr>
            <w:tcW w:w="6593" w:type="dxa"/>
            <w:tcBorders>
              <w:top w:val="single" w:color="000000" w:sz="4" w:space="0"/>
              <w:left w:val="single" w:color="000000" w:sz="4" w:space="0"/>
              <w:bottom w:val="single" w:color="000000" w:sz="4" w:space="0"/>
              <w:right w:val="single" w:color="000000" w:sz="4" w:space="0"/>
            </w:tcBorders>
            <w:vAlign w:val="center"/>
          </w:tcPr>
          <w:p w14:paraId="21C0E9B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highlight w:val="none"/>
              </w:rPr>
            </w:pPr>
            <w:r>
              <w:rPr>
                <w:rFonts w:hint="eastAsia"/>
                <w:color w:val="auto"/>
                <w:highlight w:val="none"/>
              </w:rPr>
              <w:t>具体磋商、评审工作由依法组建的磋商小组负责，本项目的磋商小组由采购人代表和有关方面的专家组成。磋商小组的构成</w:t>
            </w:r>
            <w:r>
              <w:rPr>
                <w:rFonts w:hint="eastAsia" w:ascii="宋体" w:hAnsi="宋体" w:eastAsia="宋体" w:cs="宋体"/>
                <w:color w:val="auto"/>
                <w:highlight w:val="none"/>
              </w:rPr>
              <w:t>：3人，其中采购人</w:t>
            </w:r>
            <w:r>
              <w:rPr>
                <w:rStyle w:val="37"/>
                <w:rFonts w:hint="eastAsia" w:ascii="宋体" w:hAnsi="宋体" w:eastAsia="宋体" w:cs="宋体"/>
                <w:color w:val="auto"/>
                <w:sz w:val="21"/>
                <w:szCs w:val="21"/>
                <w:highlight w:val="none"/>
              </w:rPr>
              <w:t>代表1人，有关专家2人</w:t>
            </w:r>
            <w:r>
              <w:rPr>
                <w:rStyle w:val="37"/>
                <w:rFonts w:hint="eastAsia" w:ascii="宋体" w:hAnsi="宋体" w:eastAsia="宋体" w:cs="宋体"/>
                <w:color w:val="auto"/>
                <w:sz w:val="21"/>
                <w:szCs w:val="21"/>
                <w:highlight w:val="none"/>
                <w:lang w:val="en-US" w:eastAsia="zh-CN"/>
              </w:rPr>
              <w:t>。</w:t>
            </w:r>
          </w:p>
        </w:tc>
      </w:tr>
      <w:tr w14:paraId="1C806D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654" w:type="dxa"/>
            <w:tcBorders>
              <w:top w:val="single" w:color="000000" w:sz="4" w:space="0"/>
              <w:left w:val="single" w:color="000000" w:sz="4" w:space="0"/>
              <w:bottom w:val="single" w:color="000000" w:sz="4" w:space="0"/>
              <w:right w:val="single" w:color="000000" w:sz="4" w:space="0"/>
            </w:tcBorders>
            <w:vAlign w:val="center"/>
          </w:tcPr>
          <w:p w14:paraId="6CBE381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37"/>
                <w:rFonts w:hint="eastAsia" w:ascii="宋体" w:hAnsi="宋体" w:eastAsia="宋体" w:cs="宋体"/>
                <w:color w:val="auto"/>
                <w:sz w:val="21"/>
                <w:szCs w:val="21"/>
                <w:highlight w:val="none"/>
                <w:lang w:val="en-US" w:eastAsia="zh-CN"/>
              </w:rPr>
            </w:pPr>
            <w:r>
              <w:rPr>
                <w:rStyle w:val="37"/>
                <w:rFonts w:hint="eastAsia" w:ascii="宋体" w:hAnsi="宋体" w:eastAsia="宋体" w:cs="宋体"/>
                <w:color w:val="auto"/>
                <w:sz w:val="21"/>
                <w:szCs w:val="21"/>
                <w:highlight w:val="none"/>
                <w:lang w:val="en-US" w:eastAsia="zh-CN"/>
              </w:rPr>
              <w:t>10</w:t>
            </w:r>
          </w:p>
        </w:tc>
        <w:tc>
          <w:tcPr>
            <w:tcW w:w="840" w:type="dxa"/>
            <w:tcBorders>
              <w:top w:val="single" w:color="000000" w:sz="4" w:space="0"/>
              <w:left w:val="single" w:color="000000" w:sz="4" w:space="0"/>
              <w:bottom w:val="single" w:color="000000" w:sz="4" w:space="0"/>
              <w:right w:val="single" w:color="000000" w:sz="4" w:space="0"/>
            </w:tcBorders>
            <w:vAlign w:val="center"/>
          </w:tcPr>
          <w:p w14:paraId="31AF188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37"/>
                <w:rFonts w:hint="eastAsia" w:ascii="宋体" w:hAnsi="宋体" w:eastAsia="宋体" w:cs="宋体"/>
                <w:color w:val="auto"/>
                <w:sz w:val="21"/>
                <w:szCs w:val="21"/>
                <w:highlight w:val="none"/>
                <w:lang w:val="en-US" w:eastAsia="zh-CN"/>
              </w:rPr>
            </w:pPr>
            <w:r>
              <w:rPr>
                <w:rStyle w:val="37"/>
                <w:rFonts w:hint="eastAsia" w:ascii="宋体" w:hAnsi="宋体" w:eastAsia="宋体" w:cs="宋体"/>
                <w:color w:val="auto"/>
                <w:sz w:val="21"/>
                <w:szCs w:val="21"/>
                <w:highlight w:val="none"/>
                <w:lang w:val="en-US" w:eastAsia="zh-CN"/>
              </w:rPr>
              <w:t>18.2</w:t>
            </w:r>
          </w:p>
        </w:tc>
        <w:tc>
          <w:tcPr>
            <w:tcW w:w="2190" w:type="dxa"/>
            <w:tcBorders>
              <w:top w:val="single" w:color="000000" w:sz="4" w:space="0"/>
              <w:left w:val="single" w:color="000000" w:sz="4" w:space="0"/>
              <w:bottom w:val="single" w:color="000000" w:sz="4" w:space="0"/>
              <w:right w:val="single" w:color="000000" w:sz="4" w:space="0"/>
            </w:tcBorders>
            <w:vAlign w:val="center"/>
          </w:tcPr>
          <w:p w14:paraId="1CD2C8D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37"/>
                <w:rFonts w:hint="eastAsia" w:ascii="宋体" w:hAnsi="宋体" w:eastAsia="宋体" w:cs="宋体"/>
                <w:color w:val="auto"/>
                <w:sz w:val="21"/>
                <w:szCs w:val="21"/>
                <w:highlight w:val="none"/>
              </w:rPr>
            </w:pPr>
            <w:r>
              <w:rPr>
                <w:rStyle w:val="37"/>
                <w:rFonts w:hint="eastAsia" w:ascii="宋体" w:hAnsi="宋体" w:eastAsia="宋体" w:cs="宋体"/>
                <w:color w:val="auto"/>
                <w:sz w:val="21"/>
                <w:szCs w:val="21"/>
                <w:highlight w:val="none"/>
              </w:rPr>
              <w:t>磋商时间、地点、人员</w:t>
            </w:r>
          </w:p>
        </w:tc>
        <w:tc>
          <w:tcPr>
            <w:tcW w:w="6593" w:type="dxa"/>
            <w:tcBorders>
              <w:top w:val="single" w:color="000000" w:sz="4" w:space="0"/>
              <w:left w:val="single" w:color="000000" w:sz="4" w:space="0"/>
              <w:bottom w:val="single" w:color="000000" w:sz="4" w:space="0"/>
              <w:right w:val="single" w:color="000000" w:sz="4" w:space="0"/>
            </w:tcBorders>
            <w:vAlign w:val="center"/>
          </w:tcPr>
          <w:p w14:paraId="249B632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18.2.1磋商时间：响应文件递交截止时间后；</w:t>
            </w:r>
          </w:p>
          <w:p w14:paraId="57616F0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18.2.2磋商地点：按磋商小组要求及时登</w:t>
            </w:r>
            <w:r>
              <w:rPr>
                <w:rFonts w:hint="eastAsia" w:ascii="宋体" w:hAnsi="宋体" w:cs="宋体"/>
                <w:color w:val="auto"/>
                <w:sz w:val="21"/>
                <w:szCs w:val="21"/>
                <w:highlight w:val="none"/>
                <w:lang w:val="en-US" w:eastAsia="zh-CN"/>
              </w:rPr>
              <w:t>录</w:t>
            </w:r>
            <w:r>
              <w:rPr>
                <w:rFonts w:hint="eastAsia" w:ascii="宋体" w:hAnsi="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等候在线磋商。</w:t>
            </w:r>
          </w:p>
          <w:p w14:paraId="1E66D51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18.2.3磋商参加人员：</w:t>
            </w:r>
            <w:r>
              <w:rPr>
                <w:rFonts w:hint="eastAsia" w:ascii="宋体" w:hAnsi="宋体" w:eastAsia="宋体" w:cs="宋体"/>
                <w:b/>
                <w:bCs/>
                <w:color w:val="auto"/>
                <w:sz w:val="21"/>
                <w:szCs w:val="21"/>
                <w:highlight w:val="none"/>
              </w:rPr>
              <w:t>供应商法定代表人、负责人或相应的委托代理人</w:t>
            </w:r>
            <w:r>
              <w:rPr>
                <w:rFonts w:hint="eastAsia" w:ascii="宋体" w:hAnsi="宋体" w:eastAsia="宋体" w:cs="宋体"/>
                <w:b/>
                <w:bCs/>
                <w:color w:val="auto"/>
                <w:sz w:val="21"/>
                <w:szCs w:val="21"/>
                <w:highlight w:val="none"/>
                <w:u w:val="none"/>
              </w:rPr>
              <w:t>持供应商</w:t>
            </w:r>
            <w:r>
              <w:rPr>
                <w:rFonts w:hint="eastAsia" w:ascii="宋体" w:hAnsi="宋体" w:cs="宋体"/>
                <w:b/>
                <w:bCs/>
                <w:color w:val="auto"/>
                <w:sz w:val="21"/>
                <w:szCs w:val="21"/>
                <w:highlight w:val="none"/>
                <w:u w:val="single"/>
                <w:lang w:eastAsia="zh-CN"/>
              </w:rPr>
              <w:t>广西政府采购云平台</w:t>
            </w:r>
            <w:r>
              <w:rPr>
                <w:rFonts w:hint="eastAsia" w:ascii="宋体" w:hAnsi="宋体" w:eastAsia="宋体" w:cs="宋体"/>
                <w:b/>
                <w:bCs/>
                <w:color w:val="auto"/>
                <w:sz w:val="21"/>
                <w:szCs w:val="21"/>
                <w:highlight w:val="none"/>
                <w:u w:val="single"/>
              </w:rPr>
              <w:t>CA数字证书</w:t>
            </w:r>
            <w:r>
              <w:rPr>
                <w:rFonts w:hint="eastAsia" w:ascii="宋体" w:hAnsi="宋体" w:eastAsia="宋体" w:cs="宋体"/>
                <w:b/>
                <w:bCs/>
                <w:color w:val="auto"/>
                <w:sz w:val="21"/>
                <w:szCs w:val="21"/>
                <w:highlight w:val="none"/>
                <w:u w:val="none"/>
                <w:lang w:eastAsia="zh-CN"/>
              </w:rPr>
              <w:t>在线</w:t>
            </w:r>
            <w:r>
              <w:rPr>
                <w:rFonts w:hint="eastAsia" w:ascii="宋体" w:hAnsi="宋体" w:eastAsia="宋体" w:cs="宋体"/>
                <w:b/>
                <w:bCs/>
                <w:color w:val="auto"/>
                <w:sz w:val="21"/>
                <w:szCs w:val="21"/>
                <w:highlight w:val="none"/>
              </w:rPr>
              <w:t>参加磋商。</w:t>
            </w:r>
          </w:p>
          <w:p w14:paraId="442A27A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18.2.4响应文件递交截止时间后，由磋商小组在评标室内线上开启响应文件。</w:t>
            </w:r>
          </w:p>
        </w:tc>
      </w:tr>
      <w:tr w14:paraId="304AE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54" w:type="dxa"/>
            <w:tcBorders>
              <w:top w:val="single" w:color="000000" w:sz="4" w:space="0"/>
              <w:left w:val="single" w:color="000000" w:sz="4" w:space="0"/>
              <w:bottom w:val="single" w:color="000000" w:sz="4" w:space="0"/>
              <w:right w:val="single" w:color="000000" w:sz="4" w:space="0"/>
            </w:tcBorders>
            <w:vAlign w:val="center"/>
          </w:tcPr>
          <w:p w14:paraId="1DDC321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37"/>
                <w:rFonts w:hint="eastAsia" w:ascii="宋体" w:hAnsi="宋体" w:eastAsia="宋体" w:cs="宋体"/>
                <w:color w:val="auto"/>
                <w:sz w:val="21"/>
                <w:szCs w:val="21"/>
                <w:highlight w:val="none"/>
                <w:lang w:eastAsia="zh-CN"/>
              </w:rPr>
            </w:pPr>
            <w:r>
              <w:rPr>
                <w:rStyle w:val="37"/>
                <w:rFonts w:hint="eastAsia" w:ascii="宋体" w:hAnsi="宋体" w:eastAsia="宋体" w:cs="宋体"/>
                <w:color w:val="auto"/>
                <w:sz w:val="21"/>
                <w:szCs w:val="21"/>
                <w:highlight w:val="none"/>
              </w:rPr>
              <w:t>1</w:t>
            </w:r>
            <w:r>
              <w:rPr>
                <w:rStyle w:val="37"/>
                <w:rFonts w:hint="eastAsia" w:ascii="宋体" w:hAnsi="宋体" w:eastAsia="宋体" w:cs="宋体"/>
                <w:color w:val="auto"/>
                <w:sz w:val="21"/>
                <w:szCs w:val="21"/>
                <w:highlight w:val="none"/>
                <w:lang w:val="en-US" w:eastAsia="zh-CN"/>
              </w:rPr>
              <w:t>1</w:t>
            </w:r>
          </w:p>
        </w:tc>
        <w:tc>
          <w:tcPr>
            <w:tcW w:w="840" w:type="dxa"/>
            <w:tcBorders>
              <w:top w:val="single" w:color="000000" w:sz="4" w:space="0"/>
              <w:left w:val="single" w:color="000000" w:sz="4" w:space="0"/>
              <w:bottom w:val="single" w:color="000000" w:sz="4" w:space="0"/>
              <w:right w:val="single" w:color="000000" w:sz="4" w:space="0"/>
            </w:tcBorders>
            <w:vAlign w:val="center"/>
          </w:tcPr>
          <w:p w14:paraId="460AED6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37"/>
                <w:rFonts w:hint="eastAsia" w:ascii="宋体" w:hAnsi="宋体" w:eastAsia="宋体" w:cs="宋体"/>
                <w:color w:val="auto"/>
                <w:sz w:val="21"/>
                <w:szCs w:val="21"/>
                <w:highlight w:val="none"/>
              </w:rPr>
            </w:pPr>
            <w:r>
              <w:rPr>
                <w:rStyle w:val="37"/>
                <w:rFonts w:hint="eastAsia" w:ascii="宋体" w:hAnsi="宋体" w:eastAsia="宋体" w:cs="宋体"/>
                <w:color w:val="auto"/>
                <w:sz w:val="21"/>
                <w:szCs w:val="21"/>
                <w:highlight w:val="none"/>
              </w:rPr>
              <w:t>19.2</w:t>
            </w:r>
          </w:p>
        </w:tc>
        <w:tc>
          <w:tcPr>
            <w:tcW w:w="2190" w:type="dxa"/>
            <w:tcBorders>
              <w:top w:val="single" w:color="000000" w:sz="4" w:space="0"/>
              <w:left w:val="single" w:color="000000" w:sz="4" w:space="0"/>
              <w:bottom w:val="single" w:color="000000" w:sz="4" w:space="0"/>
              <w:right w:val="single" w:color="000000" w:sz="4" w:space="0"/>
            </w:tcBorders>
            <w:vAlign w:val="center"/>
          </w:tcPr>
          <w:p w14:paraId="443494E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37"/>
                <w:rFonts w:hint="eastAsia" w:ascii="宋体" w:hAnsi="宋体" w:eastAsia="宋体" w:cs="宋体"/>
                <w:color w:val="auto"/>
                <w:sz w:val="21"/>
                <w:szCs w:val="21"/>
                <w:highlight w:val="none"/>
              </w:rPr>
            </w:pPr>
            <w:r>
              <w:rPr>
                <w:rStyle w:val="37"/>
                <w:rFonts w:hint="eastAsia" w:ascii="宋体" w:hAnsi="宋体" w:eastAsia="宋体" w:cs="宋体"/>
                <w:color w:val="auto"/>
                <w:sz w:val="21"/>
                <w:szCs w:val="21"/>
                <w:highlight w:val="none"/>
              </w:rPr>
              <w:t>评审办法</w:t>
            </w:r>
          </w:p>
        </w:tc>
        <w:tc>
          <w:tcPr>
            <w:tcW w:w="6593" w:type="dxa"/>
            <w:tcBorders>
              <w:top w:val="single" w:color="000000" w:sz="4" w:space="0"/>
              <w:left w:val="single" w:color="000000" w:sz="4" w:space="0"/>
              <w:bottom w:val="single" w:color="000000" w:sz="4" w:space="0"/>
              <w:right w:val="single" w:color="000000" w:sz="4" w:space="0"/>
            </w:tcBorders>
            <w:vAlign w:val="center"/>
          </w:tcPr>
          <w:p w14:paraId="0D6EBE90">
            <w:pPr>
              <w:keepNext w:val="0"/>
              <w:keepLines w:val="0"/>
              <w:pageBreakBefore w:val="0"/>
              <w:widowControl w:val="0"/>
              <w:kinsoku/>
              <w:wordWrap/>
              <w:overflowPunct/>
              <w:topLinePunct w:val="0"/>
              <w:autoSpaceDE/>
              <w:autoSpaceDN/>
              <w:bidi w:val="0"/>
              <w:adjustRightInd/>
              <w:snapToGrid/>
              <w:spacing w:line="400" w:lineRule="exact"/>
              <w:textAlignment w:val="auto"/>
              <w:rPr>
                <w:rStyle w:val="37"/>
                <w:rFonts w:hint="eastAsia" w:ascii="宋体" w:hAnsi="宋体" w:eastAsia="宋体" w:cs="宋体"/>
                <w:color w:val="auto"/>
                <w:sz w:val="21"/>
                <w:szCs w:val="21"/>
                <w:highlight w:val="none"/>
              </w:rPr>
            </w:pPr>
            <w:r>
              <w:rPr>
                <w:rStyle w:val="37"/>
                <w:rFonts w:hint="eastAsia" w:ascii="宋体" w:hAnsi="宋体" w:eastAsia="宋体" w:cs="宋体"/>
                <w:color w:val="auto"/>
                <w:sz w:val="21"/>
                <w:szCs w:val="21"/>
                <w:highlight w:val="none"/>
              </w:rPr>
              <w:t>综合评分法，</w:t>
            </w:r>
            <w:r>
              <w:rPr>
                <w:rStyle w:val="37"/>
                <w:rFonts w:hint="eastAsia" w:ascii="宋体" w:hAnsi="宋体" w:eastAsia="宋体" w:cs="宋体"/>
                <w:color w:val="auto"/>
                <w:highlight w:val="none"/>
              </w:rPr>
              <w:t>具体详见第四章评审办法</w:t>
            </w:r>
            <w:r>
              <w:rPr>
                <w:rStyle w:val="37"/>
                <w:rFonts w:hint="eastAsia" w:ascii="宋体" w:hAnsi="宋体" w:cs="宋体"/>
                <w:color w:val="auto"/>
                <w:highlight w:val="none"/>
              </w:rPr>
              <w:t>。</w:t>
            </w:r>
          </w:p>
        </w:tc>
      </w:tr>
      <w:tr w14:paraId="3E46C4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7" w:hRule="atLeast"/>
        </w:trPr>
        <w:tc>
          <w:tcPr>
            <w:tcW w:w="654" w:type="dxa"/>
            <w:tcBorders>
              <w:top w:val="single" w:color="000000" w:sz="4" w:space="0"/>
              <w:left w:val="single" w:color="000000" w:sz="4" w:space="0"/>
              <w:bottom w:val="single" w:color="000000" w:sz="4" w:space="0"/>
              <w:right w:val="single" w:color="000000" w:sz="4" w:space="0"/>
            </w:tcBorders>
            <w:vAlign w:val="center"/>
          </w:tcPr>
          <w:p w14:paraId="6D094C4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37"/>
                <w:rFonts w:hint="eastAsia" w:ascii="宋体" w:hAnsi="宋体" w:eastAsia="宋体" w:cs="宋体"/>
                <w:color w:val="auto"/>
                <w:sz w:val="21"/>
                <w:szCs w:val="21"/>
                <w:highlight w:val="none"/>
                <w:lang w:val="en-US" w:eastAsia="zh-CN"/>
              </w:rPr>
            </w:pPr>
            <w:r>
              <w:rPr>
                <w:rStyle w:val="37"/>
                <w:rFonts w:hint="eastAsia" w:ascii="宋体" w:hAnsi="宋体" w:eastAsia="宋体" w:cs="宋体"/>
                <w:color w:val="auto"/>
                <w:sz w:val="21"/>
                <w:szCs w:val="21"/>
                <w:highlight w:val="none"/>
              </w:rPr>
              <w:t>1</w:t>
            </w:r>
            <w:r>
              <w:rPr>
                <w:rStyle w:val="37"/>
                <w:rFonts w:hint="eastAsia" w:ascii="宋体" w:hAnsi="宋体" w:eastAsia="宋体" w:cs="宋体"/>
                <w:color w:val="auto"/>
                <w:sz w:val="21"/>
                <w:szCs w:val="21"/>
                <w:highlight w:val="none"/>
                <w:lang w:val="en-US" w:eastAsia="zh-CN"/>
              </w:rPr>
              <w:t>2</w:t>
            </w:r>
          </w:p>
        </w:tc>
        <w:tc>
          <w:tcPr>
            <w:tcW w:w="840" w:type="dxa"/>
            <w:tcBorders>
              <w:top w:val="single" w:color="000000" w:sz="4" w:space="0"/>
              <w:left w:val="single" w:color="000000" w:sz="4" w:space="0"/>
              <w:bottom w:val="single" w:color="000000" w:sz="4" w:space="0"/>
              <w:right w:val="single" w:color="000000" w:sz="4" w:space="0"/>
            </w:tcBorders>
            <w:vAlign w:val="center"/>
          </w:tcPr>
          <w:p w14:paraId="4876A1C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37"/>
                <w:rFonts w:hint="eastAsia" w:ascii="宋体" w:hAnsi="宋体" w:eastAsia="宋体" w:cs="宋体"/>
                <w:color w:val="auto"/>
                <w:sz w:val="21"/>
                <w:szCs w:val="21"/>
                <w:highlight w:val="none"/>
              </w:rPr>
            </w:pPr>
            <w:r>
              <w:rPr>
                <w:rStyle w:val="37"/>
                <w:rFonts w:hint="eastAsia" w:ascii="宋体" w:hAnsi="宋体" w:eastAsia="宋体" w:cs="宋体"/>
                <w:color w:val="auto"/>
                <w:sz w:val="21"/>
                <w:szCs w:val="21"/>
                <w:highlight w:val="none"/>
              </w:rPr>
              <w:t>26</w:t>
            </w:r>
          </w:p>
        </w:tc>
        <w:tc>
          <w:tcPr>
            <w:tcW w:w="2190" w:type="dxa"/>
            <w:tcBorders>
              <w:top w:val="single" w:color="000000" w:sz="4" w:space="0"/>
              <w:left w:val="single" w:color="000000" w:sz="4" w:space="0"/>
              <w:bottom w:val="single" w:color="000000" w:sz="4" w:space="0"/>
              <w:right w:val="single" w:color="000000" w:sz="4" w:space="0"/>
            </w:tcBorders>
            <w:vAlign w:val="center"/>
          </w:tcPr>
          <w:p w14:paraId="3F0EA1D7">
            <w:pPr>
              <w:keepNext w:val="0"/>
              <w:keepLines w:val="0"/>
              <w:pageBreakBefore w:val="0"/>
              <w:widowControl w:val="0"/>
              <w:tabs>
                <w:tab w:val="left" w:pos="1140"/>
              </w:tabs>
              <w:kinsoku/>
              <w:wordWrap/>
              <w:overflowPunct/>
              <w:topLinePunct w:val="0"/>
              <w:autoSpaceDE/>
              <w:autoSpaceDN/>
              <w:bidi w:val="0"/>
              <w:adjustRightInd/>
              <w:snapToGrid/>
              <w:spacing w:line="400" w:lineRule="exact"/>
              <w:jc w:val="center"/>
              <w:textAlignment w:val="auto"/>
              <w:rPr>
                <w:rStyle w:val="37"/>
                <w:rFonts w:hint="eastAsia" w:ascii="宋体" w:hAnsi="宋体" w:eastAsia="宋体" w:cs="宋体"/>
                <w:color w:val="auto"/>
                <w:sz w:val="21"/>
                <w:szCs w:val="21"/>
                <w:highlight w:val="none"/>
              </w:rPr>
            </w:pPr>
            <w:r>
              <w:rPr>
                <w:rStyle w:val="37"/>
                <w:rFonts w:hint="eastAsia" w:ascii="宋体" w:hAnsi="宋体" w:eastAsia="宋体" w:cs="宋体"/>
                <w:color w:val="auto"/>
                <w:sz w:val="21"/>
                <w:szCs w:val="21"/>
                <w:highlight w:val="none"/>
              </w:rPr>
              <w:t>信用查询</w:t>
            </w:r>
          </w:p>
        </w:tc>
        <w:tc>
          <w:tcPr>
            <w:tcW w:w="6593" w:type="dxa"/>
            <w:tcBorders>
              <w:top w:val="single" w:color="000000" w:sz="4" w:space="0"/>
              <w:left w:val="single" w:color="000000" w:sz="4" w:space="0"/>
              <w:bottom w:val="single" w:color="000000" w:sz="4" w:space="0"/>
              <w:right w:val="single" w:color="000000" w:sz="4" w:space="0"/>
            </w:tcBorders>
            <w:vAlign w:val="center"/>
          </w:tcPr>
          <w:p w14:paraId="1F1924A8">
            <w:pPr>
              <w:keepNext w:val="0"/>
              <w:keepLines w:val="0"/>
              <w:pageBreakBefore w:val="0"/>
              <w:widowControl w:val="0"/>
              <w:kinsoku/>
              <w:wordWrap/>
              <w:overflowPunct/>
              <w:topLinePunct w:val="0"/>
              <w:autoSpaceDE/>
              <w:autoSpaceDN/>
              <w:bidi w:val="0"/>
              <w:adjustRightInd/>
              <w:snapToGrid/>
              <w:spacing w:line="400" w:lineRule="exact"/>
              <w:textAlignment w:val="auto"/>
              <w:rPr>
                <w:rStyle w:val="37"/>
                <w:rFonts w:hint="eastAsia" w:ascii="宋体" w:hAnsi="宋体" w:eastAsia="宋体" w:cs="宋体"/>
                <w:color w:val="auto"/>
                <w:sz w:val="21"/>
                <w:szCs w:val="21"/>
                <w:highlight w:val="none"/>
              </w:rPr>
            </w:pPr>
            <w:r>
              <w:rPr>
                <w:rStyle w:val="37"/>
                <w:rFonts w:hint="eastAsia" w:ascii="宋体" w:hAnsi="宋体" w:eastAsia="宋体" w:cs="宋体"/>
                <w:color w:val="auto"/>
                <w:sz w:val="21"/>
                <w:szCs w:val="21"/>
                <w:highlight w:val="none"/>
              </w:rPr>
              <w:t>根据《关于做好政府采购有关信用主体标识码登记及在政府采购活动中查询使用信用记录有关问题的通知》桂财采〔2016〕37号的通知，由采购代理机构对第一</w:t>
            </w:r>
            <w:r>
              <w:rPr>
                <w:rStyle w:val="37"/>
                <w:rFonts w:hint="eastAsia" w:ascii="宋体" w:hAnsi="宋体" w:eastAsia="宋体" w:cs="宋体"/>
                <w:color w:val="auto"/>
                <w:sz w:val="21"/>
                <w:szCs w:val="21"/>
                <w:highlight w:val="none"/>
                <w:lang w:eastAsia="zh-CN"/>
              </w:rPr>
              <w:t>成交</w:t>
            </w:r>
            <w:r>
              <w:rPr>
                <w:rStyle w:val="37"/>
                <w:rFonts w:hint="eastAsia" w:ascii="宋体" w:hAnsi="宋体" w:eastAsia="宋体" w:cs="宋体"/>
                <w:color w:val="auto"/>
                <w:sz w:val="21"/>
                <w:szCs w:val="21"/>
                <w:highlight w:val="none"/>
              </w:rPr>
              <w:t>候选供应商进行信用查询：</w:t>
            </w:r>
          </w:p>
          <w:p w14:paraId="6A2AB2FE">
            <w:pPr>
              <w:keepNext w:val="0"/>
              <w:keepLines w:val="0"/>
              <w:pageBreakBefore w:val="0"/>
              <w:widowControl w:val="0"/>
              <w:kinsoku/>
              <w:wordWrap/>
              <w:overflowPunct/>
              <w:topLinePunct w:val="0"/>
              <w:autoSpaceDE/>
              <w:autoSpaceDN/>
              <w:bidi w:val="0"/>
              <w:adjustRightInd/>
              <w:snapToGrid/>
              <w:spacing w:line="400" w:lineRule="exact"/>
              <w:textAlignment w:val="auto"/>
              <w:rPr>
                <w:rStyle w:val="37"/>
                <w:rFonts w:hint="eastAsia" w:ascii="宋体" w:hAnsi="宋体" w:eastAsia="宋体" w:cs="宋体"/>
                <w:color w:val="auto"/>
                <w:sz w:val="21"/>
                <w:szCs w:val="21"/>
                <w:highlight w:val="none"/>
              </w:rPr>
            </w:pPr>
            <w:r>
              <w:rPr>
                <w:rStyle w:val="37"/>
                <w:rFonts w:hint="eastAsia" w:ascii="宋体" w:hAnsi="宋体" w:eastAsia="宋体" w:cs="宋体"/>
                <w:color w:val="auto"/>
                <w:sz w:val="21"/>
                <w:szCs w:val="21"/>
                <w:highlight w:val="none"/>
              </w:rPr>
              <w:t>（1）查询渠道：“信用中国”网站(www.creditchina.gov.cn)、“中国政府采购”网站（www.ccgp.gov.cn）等；</w:t>
            </w:r>
          </w:p>
          <w:p w14:paraId="2A8685AE">
            <w:pPr>
              <w:keepNext w:val="0"/>
              <w:keepLines w:val="0"/>
              <w:pageBreakBefore w:val="0"/>
              <w:widowControl w:val="0"/>
              <w:kinsoku/>
              <w:wordWrap/>
              <w:overflowPunct/>
              <w:topLinePunct w:val="0"/>
              <w:autoSpaceDE/>
              <w:autoSpaceDN/>
              <w:bidi w:val="0"/>
              <w:adjustRightInd/>
              <w:snapToGrid/>
              <w:spacing w:line="400" w:lineRule="exact"/>
              <w:textAlignment w:val="auto"/>
              <w:rPr>
                <w:rStyle w:val="37"/>
                <w:rFonts w:hint="eastAsia" w:ascii="宋体" w:hAnsi="宋体" w:eastAsia="宋体" w:cs="宋体"/>
                <w:color w:val="auto"/>
                <w:sz w:val="21"/>
                <w:szCs w:val="21"/>
                <w:highlight w:val="none"/>
              </w:rPr>
            </w:pPr>
            <w:r>
              <w:rPr>
                <w:rStyle w:val="37"/>
                <w:rFonts w:hint="eastAsia" w:ascii="宋体" w:hAnsi="宋体" w:eastAsia="宋体" w:cs="宋体"/>
                <w:color w:val="auto"/>
                <w:sz w:val="21"/>
                <w:szCs w:val="21"/>
                <w:highlight w:val="none"/>
              </w:rPr>
              <w:t>（2）查询截止时间：</w:t>
            </w:r>
            <w:r>
              <w:rPr>
                <w:rStyle w:val="37"/>
                <w:rFonts w:hint="eastAsia" w:ascii="宋体" w:hAnsi="宋体" w:eastAsia="宋体" w:cs="宋体"/>
                <w:color w:val="auto"/>
                <w:sz w:val="21"/>
                <w:szCs w:val="21"/>
                <w:highlight w:val="none"/>
                <w:lang w:eastAsia="zh-CN"/>
              </w:rPr>
              <w:t>成交</w:t>
            </w:r>
            <w:r>
              <w:rPr>
                <w:rStyle w:val="37"/>
                <w:rFonts w:hint="eastAsia" w:ascii="宋体" w:hAnsi="宋体" w:eastAsia="宋体" w:cs="宋体"/>
                <w:color w:val="auto"/>
                <w:sz w:val="21"/>
                <w:szCs w:val="21"/>
                <w:highlight w:val="none"/>
              </w:rPr>
              <w:t>通知书发出前；</w:t>
            </w:r>
          </w:p>
          <w:p w14:paraId="360E1BB2">
            <w:pPr>
              <w:keepNext w:val="0"/>
              <w:keepLines w:val="0"/>
              <w:pageBreakBefore w:val="0"/>
              <w:widowControl w:val="0"/>
              <w:kinsoku/>
              <w:wordWrap/>
              <w:overflowPunct/>
              <w:topLinePunct w:val="0"/>
              <w:autoSpaceDE/>
              <w:autoSpaceDN/>
              <w:bidi w:val="0"/>
              <w:adjustRightInd/>
              <w:snapToGrid/>
              <w:spacing w:line="400" w:lineRule="exact"/>
              <w:textAlignment w:val="auto"/>
              <w:rPr>
                <w:rStyle w:val="37"/>
                <w:rFonts w:hint="eastAsia" w:ascii="宋体" w:hAnsi="宋体" w:eastAsia="宋体" w:cs="宋体"/>
                <w:color w:val="auto"/>
                <w:sz w:val="21"/>
                <w:szCs w:val="21"/>
                <w:highlight w:val="none"/>
              </w:rPr>
            </w:pPr>
            <w:r>
              <w:rPr>
                <w:rStyle w:val="37"/>
                <w:rFonts w:hint="eastAsia" w:ascii="宋体" w:hAnsi="宋体" w:eastAsia="宋体" w:cs="宋体"/>
                <w:color w:val="auto"/>
                <w:sz w:val="21"/>
                <w:szCs w:val="21"/>
                <w:highlight w:val="none"/>
              </w:rPr>
              <w:t>（3）信用信息查询记录和证据留存方式：在查询网站中直接打印查询记录，打印材料作为采购活动资料保存；</w:t>
            </w:r>
          </w:p>
          <w:p w14:paraId="7735A78B">
            <w:pPr>
              <w:keepNext w:val="0"/>
              <w:keepLines w:val="0"/>
              <w:pageBreakBefore w:val="0"/>
              <w:widowControl w:val="0"/>
              <w:kinsoku/>
              <w:wordWrap/>
              <w:overflowPunct/>
              <w:topLinePunct w:val="0"/>
              <w:autoSpaceDE/>
              <w:autoSpaceDN/>
              <w:bidi w:val="0"/>
              <w:adjustRightInd/>
              <w:snapToGrid/>
              <w:spacing w:line="400" w:lineRule="exact"/>
              <w:textAlignment w:val="auto"/>
              <w:rPr>
                <w:rStyle w:val="37"/>
                <w:rFonts w:hint="eastAsia" w:ascii="宋体" w:hAnsi="宋体" w:eastAsia="宋体" w:cs="宋体"/>
                <w:color w:val="auto"/>
                <w:sz w:val="21"/>
                <w:szCs w:val="21"/>
                <w:highlight w:val="none"/>
              </w:rPr>
            </w:pPr>
            <w:r>
              <w:rPr>
                <w:rStyle w:val="37"/>
                <w:rFonts w:hint="eastAsia" w:ascii="宋体" w:hAnsi="宋体" w:eastAsia="宋体" w:cs="宋体"/>
                <w:color w:val="auto"/>
                <w:sz w:val="21"/>
                <w:szCs w:val="21"/>
                <w:highlight w:val="none"/>
              </w:rPr>
              <w:t>（4）信用信息使用规则：对在“信用中国”网站(www.creditchina.gov.cn)、“中国政府采购”网站（www.ccgp.gov.cn）等渠道列入失信被执行人、重大税收违法案件当事人名单、政府采购严重违法失信行为记录名单及其他不符合《中华人民共和国政府采购法》第二十二条规定条件的供应商，取消其</w:t>
            </w:r>
            <w:r>
              <w:rPr>
                <w:rStyle w:val="37"/>
                <w:rFonts w:hint="eastAsia" w:ascii="宋体" w:hAnsi="宋体" w:eastAsia="宋体" w:cs="宋体"/>
                <w:color w:val="auto"/>
                <w:sz w:val="21"/>
                <w:szCs w:val="21"/>
                <w:highlight w:val="none"/>
                <w:lang w:eastAsia="zh-CN"/>
              </w:rPr>
              <w:t>成交</w:t>
            </w:r>
            <w:r>
              <w:rPr>
                <w:rStyle w:val="37"/>
                <w:rFonts w:hint="eastAsia" w:ascii="宋体" w:hAnsi="宋体" w:eastAsia="宋体" w:cs="宋体"/>
                <w:color w:val="auto"/>
                <w:sz w:val="21"/>
                <w:szCs w:val="21"/>
                <w:highlight w:val="none"/>
              </w:rPr>
              <w:t>候选供应商资格。</w:t>
            </w:r>
          </w:p>
        </w:tc>
      </w:tr>
      <w:tr w14:paraId="0A7691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654" w:type="dxa"/>
            <w:tcBorders>
              <w:top w:val="single" w:color="000000" w:sz="4" w:space="0"/>
              <w:left w:val="single" w:color="000000" w:sz="4" w:space="0"/>
              <w:bottom w:val="single" w:color="000000" w:sz="4" w:space="0"/>
              <w:right w:val="single" w:color="000000" w:sz="4" w:space="0"/>
            </w:tcBorders>
            <w:vAlign w:val="center"/>
          </w:tcPr>
          <w:p w14:paraId="2AD94CE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37"/>
                <w:rFonts w:hint="eastAsia" w:ascii="宋体" w:hAnsi="宋体" w:eastAsia="宋体" w:cs="宋体"/>
                <w:color w:val="auto"/>
                <w:sz w:val="21"/>
                <w:szCs w:val="21"/>
                <w:highlight w:val="none"/>
                <w:lang w:eastAsia="zh-CN"/>
              </w:rPr>
            </w:pPr>
            <w:r>
              <w:rPr>
                <w:rStyle w:val="37"/>
                <w:rFonts w:hint="eastAsia" w:ascii="宋体" w:hAnsi="宋体" w:eastAsia="宋体" w:cs="宋体"/>
                <w:color w:val="auto"/>
                <w:sz w:val="21"/>
                <w:szCs w:val="21"/>
                <w:highlight w:val="none"/>
              </w:rPr>
              <w:t>1</w:t>
            </w:r>
            <w:r>
              <w:rPr>
                <w:rStyle w:val="37"/>
                <w:rFonts w:hint="eastAsia" w:ascii="宋体" w:hAnsi="宋体" w:eastAsia="宋体" w:cs="宋体"/>
                <w:color w:val="auto"/>
                <w:sz w:val="21"/>
                <w:szCs w:val="21"/>
                <w:highlight w:val="none"/>
                <w:lang w:val="en-US" w:eastAsia="zh-CN"/>
              </w:rPr>
              <w:t>3</w:t>
            </w:r>
          </w:p>
        </w:tc>
        <w:tc>
          <w:tcPr>
            <w:tcW w:w="840" w:type="dxa"/>
            <w:tcBorders>
              <w:top w:val="single" w:color="000000" w:sz="4" w:space="0"/>
              <w:left w:val="single" w:color="000000" w:sz="4" w:space="0"/>
              <w:bottom w:val="single" w:color="000000" w:sz="4" w:space="0"/>
              <w:right w:val="single" w:color="000000" w:sz="4" w:space="0"/>
            </w:tcBorders>
            <w:vAlign w:val="center"/>
          </w:tcPr>
          <w:p w14:paraId="0B2E461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37"/>
                <w:rFonts w:hint="eastAsia" w:ascii="宋体" w:hAnsi="宋体" w:eastAsia="宋体" w:cs="宋体"/>
                <w:color w:val="auto"/>
                <w:sz w:val="21"/>
                <w:szCs w:val="21"/>
                <w:highlight w:val="none"/>
              </w:rPr>
            </w:pPr>
            <w:r>
              <w:rPr>
                <w:rStyle w:val="37"/>
                <w:rFonts w:hint="eastAsia" w:ascii="宋体" w:hAnsi="宋体" w:eastAsia="宋体" w:cs="宋体"/>
                <w:color w:val="auto"/>
                <w:sz w:val="21"/>
                <w:szCs w:val="21"/>
                <w:highlight w:val="none"/>
              </w:rPr>
              <w:t>27</w:t>
            </w:r>
          </w:p>
        </w:tc>
        <w:tc>
          <w:tcPr>
            <w:tcW w:w="2190" w:type="dxa"/>
            <w:tcBorders>
              <w:top w:val="single" w:color="000000" w:sz="4" w:space="0"/>
              <w:left w:val="single" w:color="000000" w:sz="4" w:space="0"/>
              <w:bottom w:val="single" w:color="000000" w:sz="4" w:space="0"/>
              <w:right w:val="single" w:color="000000" w:sz="4" w:space="0"/>
            </w:tcBorders>
            <w:vAlign w:val="center"/>
          </w:tcPr>
          <w:p w14:paraId="24DBD18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37"/>
                <w:rFonts w:hint="eastAsia" w:ascii="宋体" w:hAnsi="宋体" w:eastAsia="宋体" w:cs="宋体"/>
                <w:color w:val="auto"/>
                <w:sz w:val="21"/>
                <w:szCs w:val="21"/>
                <w:highlight w:val="none"/>
              </w:rPr>
            </w:pPr>
            <w:r>
              <w:rPr>
                <w:rStyle w:val="37"/>
                <w:rFonts w:hint="eastAsia" w:ascii="宋体" w:hAnsi="宋体" w:eastAsia="宋体" w:cs="宋体"/>
                <w:color w:val="auto"/>
                <w:sz w:val="21"/>
                <w:szCs w:val="21"/>
                <w:highlight w:val="none"/>
              </w:rPr>
              <w:t>成交公告及成交通知书</w:t>
            </w:r>
          </w:p>
        </w:tc>
        <w:tc>
          <w:tcPr>
            <w:tcW w:w="6593" w:type="dxa"/>
            <w:tcBorders>
              <w:top w:val="single" w:color="000000" w:sz="4" w:space="0"/>
              <w:left w:val="single" w:color="000000" w:sz="4" w:space="0"/>
              <w:bottom w:val="single" w:color="000000" w:sz="4" w:space="0"/>
              <w:right w:val="single" w:color="000000" w:sz="4" w:space="0"/>
            </w:tcBorders>
            <w:vAlign w:val="center"/>
          </w:tcPr>
          <w:p w14:paraId="3F02CF91">
            <w:pPr>
              <w:pStyle w:val="39"/>
              <w:keepNext w:val="0"/>
              <w:keepLines w:val="0"/>
              <w:pageBreakBefore w:val="0"/>
              <w:widowControl w:val="0"/>
              <w:tabs>
                <w:tab w:val="left" w:pos="455"/>
              </w:tabs>
              <w:kinsoku/>
              <w:wordWrap/>
              <w:overflowPunct/>
              <w:topLinePunct w:val="0"/>
              <w:autoSpaceDE/>
              <w:autoSpaceDN/>
              <w:bidi w:val="0"/>
              <w:adjustRightInd/>
              <w:snapToGrid/>
              <w:spacing w:line="400" w:lineRule="exact"/>
              <w:textAlignment w:val="auto"/>
              <w:rPr>
                <w:rStyle w:val="37"/>
                <w:rFonts w:hint="eastAsia" w:ascii="宋体" w:hAnsi="宋体" w:eastAsia="宋体" w:cs="宋体"/>
                <w:color w:val="auto"/>
                <w:sz w:val="21"/>
                <w:szCs w:val="21"/>
                <w:highlight w:val="none"/>
              </w:rPr>
            </w:pPr>
            <w:r>
              <w:rPr>
                <w:rStyle w:val="37"/>
                <w:rFonts w:hint="eastAsia" w:ascii="宋体" w:hAnsi="宋体" w:eastAsia="宋体" w:cs="宋体"/>
                <w:color w:val="auto"/>
                <w:sz w:val="21"/>
                <w:szCs w:val="21"/>
                <w:highlight w:val="none"/>
              </w:rPr>
              <w:t>2</w:t>
            </w:r>
            <w:r>
              <w:rPr>
                <w:rStyle w:val="37"/>
                <w:rFonts w:hint="eastAsia" w:ascii="宋体" w:hAnsi="宋体" w:eastAsia="宋体" w:cs="宋体"/>
                <w:color w:val="auto"/>
                <w:sz w:val="21"/>
                <w:szCs w:val="21"/>
                <w:highlight w:val="none"/>
                <w:lang w:val="en-US" w:eastAsia="zh-CN"/>
              </w:rPr>
              <w:t>7</w:t>
            </w:r>
            <w:r>
              <w:rPr>
                <w:rStyle w:val="37"/>
                <w:rFonts w:hint="eastAsia" w:ascii="宋体" w:hAnsi="宋体" w:eastAsia="宋体" w:cs="宋体"/>
                <w:color w:val="auto"/>
                <w:sz w:val="21"/>
                <w:szCs w:val="21"/>
                <w:highlight w:val="none"/>
              </w:rPr>
              <w:t>.1采购代理机构于评审结束后两个工作日内将评审报告送交采购人，采购人应当自收到评审报告五个工作日内在评审报告推荐的成交候选供应商中按顺序确定成交供应商；采购人在收到评审报告五个工作日内未按评审报告推荐的</w:t>
            </w:r>
            <w:r>
              <w:rPr>
                <w:rStyle w:val="37"/>
                <w:rFonts w:hint="eastAsia" w:ascii="宋体" w:hAnsi="宋体" w:eastAsia="宋体" w:cs="宋体"/>
                <w:color w:val="auto"/>
                <w:sz w:val="21"/>
                <w:szCs w:val="21"/>
                <w:highlight w:val="none"/>
                <w:lang w:eastAsia="zh-CN"/>
              </w:rPr>
              <w:t>成交候选供应商</w:t>
            </w:r>
            <w:r>
              <w:rPr>
                <w:rStyle w:val="37"/>
                <w:rFonts w:hint="eastAsia" w:ascii="宋体" w:hAnsi="宋体" w:eastAsia="宋体" w:cs="宋体"/>
                <w:color w:val="auto"/>
                <w:sz w:val="21"/>
                <w:szCs w:val="21"/>
                <w:highlight w:val="none"/>
              </w:rPr>
              <w:t>顺序确定</w:t>
            </w:r>
            <w:r>
              <w:rPr>
                <w:rStyle w:val="37"/>
                <w:rFonts w:hint="eastAsia" w:ascii="宋体" w:hAnsi="宋体" w:eastAsia="宋体" w:cs="宋体"/>
                <w:color w:val="auto"/>
                <w:sz w:val="21"/>
                <w:szCs w:val="21"/>
                <w:highlight w:val="none"/>
                <w:lang w:eastAsia="zh-CN"/>
              </w:rPr>
              <w:t>成交</w:t>
            </w:r>
            <w:r>
              <w:rPr>
                <w:rStyle w:val="37"/>
                <w:rFonts w:hint="eastAsia" w:ascii="宋体" w:hAnsi="宋体" w:eastAsia="宋体" w:cs="宋体"/>
                <w:color w:val="auto"/>
                <w:sz w:val="21"/>
                <w:szCs w:val="21"/>
                <w:highlight w:val="none"/>
                <w:lang w:val="en-US" w:eastAsia="zh-CN"/>
              </w:rPr>
              <w:t>供应商</w:t>
            </w:r>
            <w:r>
              <w:rPr>
                <w:rStyle w:val="37"/>
                <w:rFonts w:hint="eastAsia" w:ascii="宋体" w:hAnsi="宋体" w:eastAsia="宋体" w:cs="宋体"/>
                <w:color w:val="auto"/>
                <w:sz w:val="21"/>
                <w:szCs w:val="21"/>
                <w:highlight w:val="none"/>
              </w:rPr>
              <w:t>，又不能说明合法理由的，视同按评审报告推荐的顺序确定排名第一的</w:t>
            </w:r>
            <w:r>
              <w:rPr>
                <w:rStyle w:val="37"/>
                <w:rFonts w:hint="eastAsia" w:ascii="宋体" w:hAnsi="宋体" w:eastAsia="宋体" w:cs="宋体"/>
                <w:color w:val="auto"/>
                <w:sz w:val="21"/>
                <w:szCs w:val="21"/>
                <w:highlight w:val="none"/>
                <w:lang w:eastAsia="zh-CN"/>
              </w:rPr>
              <w:t>成交候选供应商</w:t>
            </w:r>
            <w:r>
              <w:rPr>
                <w:rStyle w:val="37"/>
                <w:rFonts w:hint="eastAsia" w:ascii="宋体" w:hAnsi="宋体" w:eastAsia="宋体" w:cs="宋体"/>
                <w:color w:val="auto"/>
                <w:sz w:val="21"/>
                <w:szCs w:val="21"/>
                <w:highlight w:val="none"/>
              </w:rPr>
              <w:t>为成交供应商。采购代理机构在成交供应商确定之日起两个工作日内在指定媒体上公告成交结果，成交公告期限为1个工作日。</w:t>
            </w:r>
          </w:p>
          <w:p w14:paraId="231D854F">
            <w:pPr>
              <w:keepNext w:val="0"/>
              <w:keepLines w:val="0"/>
              <w:pageBreakBefore w:val="0"/>
              <w:widowControl w:val="0"/>
              <w:kinsoku/>
              <w:wordWrap/>
              <w:overflowPunct/>
              <w:topLinePunct w:val="0"/>
              <w:autoSpaceDE/>
              <w:autoSpaceDN/>
              <w:bidi w:val="0"/>
              <w:adjustRightInd/>
              <w:snapToGrid/>
              <w:spacing w:line="420" w:lineRule="exact"/>
              <w:textAlignment w:val="auto"/>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lang w:val="en-US" w:eastAsia="zh-CN"/>
              </w:rPr>
              <w:t>27</w:t>
            </w:r>
            <w:r>
              <w:rPr>
                <w:rStyle w:val="37"/>
                <w:rFonts w:hint="eastAsia" w:ascii="宋体" w:hAnsi="宋体" w:eastAsia="宋体" w:cs="宋体"/>
                <w:color w:val="auto"/>
                <w:szCs w:val="21"/>
                <w:highlight w:val="none"/>
              </w:rPr>
              <w:t>.2</w:t>
            </w:r>
            <w:r>
              <w:rPr>
                <w:rStyle w:val="37"/>
                <w:rFonts w:hint="eastAsia" w:ascii="宋体" w:hAnsi="宋体" w:eastAsia="宋体" w:cs="宋体"/>
                <w:b/>
                <w:bCs/>
                <w:color w:val="auto"/>
                <w:szCs w:val="21"/>
                <w:highlight w:val="none"/>
                <w:lang w:val="en-US" w:eastAsia="zh-CN"/>
              </w:rPr>
              <w:t>采购人或者其委托的采购代理机构应当随成交结果同时公告企业《中小企业声明函》或《残疾人福利性单位声明函》或监狱企业的证明文件，接受社会监督</w:t>
            </w:r>
            <w:r>
              <w:rPr>
                <w:rStyle w:val="37"/>
                <w:rFonts w:hint="eastAsia" w:ascii="宋体" w:hAnsi="宋体" w:eastAsia="宋体" w:cs="宋体"/>
                <w:b/>
                <w:bCs/>
                <w:color w:val="auto"/>
                <w:szCs w:val="21"/>
                <w:highlight w:val="none"/>
                <w:lang w:eastAsia="zh-CN"/>
              </w:rPr>
              <w:t>。</w:t>
            </w:r>
          </w:p>
          <w:p w14:paraId="738A2583">
            <w:pPr>
              <w:pStyle w:val="39"/>
              <w:keepNext w:val="0"/>
              <w:keepLines w:val="0"/>
              <w:pageBreakBefore w:val="0"/>
              <w:widowControl w:val="0"/>
              <w:kinsoku/>
              <w:wordWrap/>
              <w:overflowPunct/>
              <w:topLinePunct w:val="0"/>
              <w:autoSpaceDE/>
              <w:autoSpaceDN/>
              <w:bidi w:val="0"/>
              <w:adjustRightInd/>
              <w:snapToGrid/>
              <w:spacing w:line="400" w:lineRule="exact"/>
              <w:textAlignment w:val="auto"/>
              <w:rPr>
                <w:rStyle w:val="37"/>
                <w:rFonts w:hint="eastAsia" w:ascii="宋体" w:hAnsi="宋体" w:eastAsia="宋体" w:cs="宋体"/>
                <w:color w:val="auto"/>
                <w:sz w:val="21"/>
                <w:szCs w:val="21"/>
                <w:highlight w:val="none"/>
              </w:rPr>
            </w:pPr>
            <w:r>
              <w:rPr>
                <w:rStyle w:val="37"/>
                <w:rFonts w:hint="eastAsia" w:ascii="宋体" w:hAnsi="宋体" w:eastAsia="宋体" w:cs="宋体"/>
                <w:color w:val="auto"/>
                <w:szCs w:val="21"/>
                <w:highlight w:val="none"/>
                <w:lang w:val="en-US" w:eastAsia="zh-CN"/>
              </w:rPr>
              <w:t>27.3</w:t>
            </w:r>
            <w:r>
              <w:rPr>
                <w:rFonts w:hint="eastAsia" w:ascii="宋体" w:hAnsi="宋体" w:eastAsia="宋体" w:cs="宋体"/>
                <w:color w:val="auto"/>
                <w:sz w:val="21"/>
                <w:szCs w:val="21"/>
                <w:highlight w:val="none"/>
              </w:rPr>
              <w:t>在发布成交公告的同时，采购代理机构向成交供应商发出成交通知书。如成交供应商自接到通知之日起七个工作日内，不办理成交通知书领取手续的，按违约处理。采购单位将取消其成交资格，从</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小组推荐的成交候选供应商中按顺序重新确定成交供应商</w:t>
            </w:r>
            <w:r>
              <w:rPr>
                <w:rStyle w:val="37"/>
                <w:rFonts w:hint="eastAsia" w:ascii="宋体" w:hAnsi="宋体" w:eastAsia="宋体" w:cs="宋体"/>
                <w:color w:val="auto"/>
                <w:szCs w:val="21"/>
                <w:highlight w:val="none"/>
              </w:rPr>
              <w:t>。</w:t>
            </w:r>
          </w:p>
        </w:tc>
      </w:tr>
      <w:tr w14:paraId="6904E0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654" w:type="dxa"/>
            <w:tcBorders>
              <w:top w:val="single" w:color="000000" w:sz="4" w:space="0"/>
              <w:left w:val="single" w:color="000000" w:sz="4" w:space="0"/>
              <w:bottom w:val="single" w:color="000000" w:sz="4" w:space="0"/>
              <w:right w:val="single" w:color="000000" w:sz="4" w:space="0"/>
            </w:tcBorders>
            <w:vAlign w:val="center"/>
          </w:tcPr>
          <w:p w14:paraId="1E9C949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37"/>
                <w:rFonts w:hint="eastAsia" w:ascii="宋体" w:hAnsi="宋体" w:eastAsia="宋体" w:cs="宋体"/>
                <w:color w:val="auto"/>
                <w:sz w:val="21"/>
                <w:szCs w:val="21"/>
                <w:highlight w:val="none"/>
                <w:lang w:eastAsia="zh-CN"/>
              </w:rPr>
            </w:pPr>
            <w:r>
              <w:rPr>
                <w:rStyle w:val="37"/>
                <w:rFonts w:hint="eastAsia" w:ascii="宋体" w:hAnsi="宋体" w:eastAsia="宋体" w:cs="宋体"/>
                <w:color w:val="auto"/>
                <w:sz w:val="21"/>
                <w:szCs w:val="21"/>
                <w:highlight w:val="none"/>
              </w:rPr>
              <w:t>1</w:t>
            </w:r>
            <w:r>
              <w:rPr>
                <w:rStyle w:val="37"/>
                <w:rFonts w:hint="eastAsia" w:ascii="宋体" w:hAnsi="宋体" w:eastAsia="宋体" w:cs="宋体"/>
                <w:color w:val="auto"/>
                <w:sz w:val="21"/>
                <w:szCs w:val="21"/>
                <w:highlight w:val="none"/>
                <w:lang w:val="en-US" w:eastAsia="zh-CN"/>
              </w:rPr>
              <w:t>4</w:t>
            </w:r>
          </w:p>
        </w:tc>
        <w:tc>
          <w:tcPr>
            <w:tcW w:w="840" w:type="dxa"/>
            <w:tcBorders>
              <w:top w:val="single" w:color="000000" w:sz="4" w:space="0"/>
              <w:left w:val="single" w:color="000000" w:sz="4" w:space="0"/>
              <w:bottom w:val="single" w:color="000000" w:sz="4" w:space="0"/>
              <w:right w:val="single" w:color="000000" w:sz="4" w:space="0"/>
            </w:tcBorders>
            <w:vAlign w:val="center"/>
          </w:tcPr>
          <w:p w14:paraId="7BA0329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37"/>
                <w:rFonts w:hint="eastAsia" w:ascii="宋体" w:hAnsi="宋体" w:eastAsia="宋体" w:cs="宋体"/>
                <w:color w:val="auto"/>
                <w:sz w:val="21"/>
                <w:szCs w:val="21"/>
                <w:highlight w:val="none"/>
              </w:rPr>
            </w:pPr>
            <w:r>
              <w:rPr>
                <w:rStyle w:val="37"/>
                <w:rFonts w:hint="eastAsia" w:ascii="宋体" w:hAnsi="宋体" w:eastAsia="宋体" w:cs="宋体"/>
                <w:color w:val="auto"/>
                <w:sz w:val="21"/>
                <w:szCs w:val="21"/>
                <w:highlight w:val="none"/>
              </w:rPr>
              <w:t>28</w:t>
            </w:r>
          </w:p>
        </w:tc>
        <w:tc>
          <w:tcPr>
            <w:tcW w:w="2190" w:type="dxa"/>
            <w:tcBorders>
              <w:top w:val="single" w:color="000000" w:sz="4" w:space="0"/>
              <w:left w:val="single" w:color="000000" w:sz="4" w:space="0"/>
              <w:bottom w:val="single" w:color="000000" w:sz="4" w:space="0"/>
              <w:right w:val="single" w:color="000000" w:sz="4" w:space="0"/>
            </w:tcBorders>
            <w:vAlign w:val="center"/>
          </w:tcPr>
          <w:p w14:paraId="4FF376D2">
            <w:pPr>
              <w:pStyle w:val="39"/>
              <w:keepNext w:val="0"/>
              <w:keepLines w:val="0"/>
              <w:pageBreakBefore w:val="0"/>
              <w:widowControl w:val="0"/>
              <w:tabs>
                <w:tab w:val="left" w:pos="455"/>
              </w:tabs>
              <w:kinsoku/>
              <w:wordWrap/>
              <w:overflowPunct/>
              <w:topLinePunct w:val="0"/>
              <w:autoSpaceDE/>
              <w:autoSpaceDN/>
              <w:bidi w:val="0"/>
              <w:adjustRightInd/>
              <w:snapToGrid/>
              <w:spacing w:line="400" w:lineRule="exact"/>
              <w:jc w:val="center"/>
              <w:textAlignment w:val="auto"/>
              <w:rPr>
                <w:rStyle w:val="37"/>
                <w:rFonts w:hint="eastAsia" w:ascii="宋体" w:hAnsi="宋体" w:eastAsia="宋体" w:cs="宋体"/>
                <w:color w:val="auto"/>
                <w:sz w:val="21"/>
                <w:szCs w:val="21"/>
                <w:highlight w:val="none"/>
              </w:rPr>
            </w:pPr>
            <w:r>
              <w:rPr>
                <w:rStyle w:val="37"/>
                <w:rFonts w:hint="eastAsia" w:ascii="宋体" w:hAnsi="宋体" w:eastAsia="宋体" w:cs="宋体"/>
                <w:color w:val="auto"/>
                <w:sz w:val="21"/>
                <w:szCs w:val="21"/>
                <w:highlight w:val="none"/>
              </w:rPr>
              <w:t>履约保证金</w:t>
            </w:r>
          </w:p>
        </w:tc>
        <w:tc>
          <w:tcPr>
            <w:tcW w:w="6593" w:type="dxa"/>
            <w:tcBorders>
              <w:top w:val="single" w:color="000000" w:sz="4" w:space="0"/>
              <w:left w:val="single" w:color="000000" w:sz="4" w:space="0"/>
              <w:bottom w:val="single" w:color="000000" w:sz="4" w:space="0"/>
              <w:right w:val="single" w:color="000000" w:sz="4" w:space="0"/>
            </w:tcBorders>
            <w:vAlign w:val="center"/>
          </w:tcPr>
          <w:p w14:paraId="71146FC6">
            <w:pPr>
              <w:pStyle w:val="39"/>
              <w:keepNext w:val="0"/>
              <w:keepLines w:val="0"/>
              <w:pageBreakBefore w:val="0"/>
              <w:widowControl w:val="0"/>
              <w:tabs>
                <w:tab w:val="left" w:pos="455"/>
              </w:tabs>
              <w:kinsoku/>
              <w:wordWrap/>
              <w:overflowPunct/>
              <w:topLinePunct w:val="0"/>
              <w:autoSpaceDE/>
              <w:autoSpaceDN/>
              <w:bidi w:val="0"/>
              <w:adjustRightInd/>
              <w:snapToGrid/>
              <w:spacing w:line="400" w:lineRule="exact"/>
              <w:textAlignment w:val="auto"/>
              <w:rPr>
                <w:rStyle w:val="37"/>
                <w:rFonts w:hint="default" w:ascii="宋体" w:hAnsi="宋体" w:eastAsia="宋体" w:cs="宋体"/>
                <w:color w:val="auto"/>
                <w:sz w:val="21"/>
                <w:szCs w:val="21"/>
                <w:highlight w:val="none"/>
                <w:lang w:val="en-US" w:eastAsia="zh-CN"/>
              </w:rPr>
            </w:pPr>
            <w:r>
              <w:rPr>
                <w:rStyle w:val="37"/>
                <w:rFonts w:hint="eastAsia" w:hAnsi="宋体" w:cs="宋体"/>
                <w:color w:val="auto"/>
                <w:sz w:val="21"/>
                <w:szCs w:val="21"/>
                <w:highlight w:val="none"/>
                <w:lang w:val="en-US" w:eastAsia="zh-CN"/>
              </w:rPr>
              <w:t>本项目不收取</w:t>
            </w:r>
            <w:r>
              <w:rPr>
                <w:rStyle w:val="37"/>
                <w:rFonts w:hint="eastAsia" w:ascii="宋体" w:hAnsi="宋体" w:eastAsia="宋体" w:cs="宋体"/>
                <w:color w:val="auto"/>
                <w:sz w:val="21"/>
                <w:szCs w:val="21"/>
                <w:highlight w:val="none"/>
              </w:rPr>
              <w:t>履约保证金</w:t>
            </w:r>
          </w:p>
        </w:tc>
      </w:tr>
      <w:tr w14:paraId="27DD6B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654" w:type="dxa"/>
            <w:tcBorders>
              <w:top w:val="single" w:color="000000" w:sz="4" w:space="0"/>
              <w:left w:val="single" w:color="000000" w:sz="4" w:space="0"/>
              <w:bottom w:val="single" w:color="000000" w:sz="4" w:space="0"/>
              <w:right w:val="single" w:color="000000" w:sz="4" w:space="0"/>
            </w:tcBorders>
            <w:vAlign w:val="center"/>
          </w:tcPr>
          <w:p w14:paraId="647F5F5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37"/>
                <w:rFonts w:hint="eastAsia" w:ascii="宋体" w:hAnsi="宋体" w:eastAsia="宋体" w:cs="宋体"/>
                <w:color w:val="auto"/>
                <w:sz w:val="21"/>
                <w:szCs w:val="21"/>
                <w:highlight w:val="none"/>
                <w:lang w:eastAsia="zh-CN"/>
              </w:rPr>
            </w:pPr>
            <w:r>
              <w:rPr>
                <w:rStyle w:val="37"/>
                <w:rFonts w:hint="eastAsia" w:ascii="宋体" w:hAnsi="宋体" w:eastAsia="宋体" w:cs="宋体"/>
                <w:color w:val="auto"/>
                <w:sz w:val="21"/>
                <w:szCs w:val="21"/>
                <w:highlight w:val="none"/>
              </w:rPr>
              <w:t>1</w:t>
            </w:r>
            <w:r>
              <w:rPr>
                <w:rStyle w:val="37"/>
                <w:rFonts w:hint="eastAsia" w:ascii="宋体" w:hAnsi="宋体" w:eastAsia="宋体" w:cs="宋体"/>
                <w:color w:val="auto"/>
                <w:sz w:val="21"/>
                <w:szCs w:val="21"/>
                <w:highlight w:val="none"/>
                <w:lang w:val="en-US" w:eastAsia="zh-CN"/>
              </w:rPr>
              <w:t>5</w:t>
            </w:r>
          </w:p>
        </w:tc>
        <w:tc>
          <w:tcPr>
            <w:tcW w:w="840" w:type="dxa"/>
            <w:tcBorders>
              <w:top w:val="single" w:color="000000" w:sz="4" w:space="0"/>
              <w:left w:val="single" w:color="000000" w:sz="4" w:space="0"/>
              <w:bottom w:val="single" w:color="000000" w:sz="4" w:space="0"/>
              <w:right w:val="single" w:color="000000" w:sz="4" w:space="0"/>
            </w:tcBorders>
            <w:vAlign w:val="center"/>
          </w:tcPr>
          <w:p w14:paraId="2AF131C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37"/>
                <w:rFonts w:hint="eastAsia" w:ascii="宋体" w:hAnsi="宋体" w:eastAsia="宋体" w:cs="宋体"/>
                <w:color w:val="auto"/>
                <w:sz w:val="21"/>
                <w:szCs w:val="21"/>
                <w:highlight w:val="none"/>
              </w:rPr>
            </w:pPr>
            <w:r>
              <w:rPr>
                <w:rStyle w:val="37"/>
                <w:rFonts w:hint="eastAsia" w:ascii="宋体" w:hAnsi="宋体" w:eastAsia="宋体" w:cs="宋体"/>
                <w:color w:val="auto"/>
                <w:sz w:val="21"/>
                <w:szCs w:val="21"/>
                <w:highlight w:val="none"/>
              </w:rPr>
              <w:t>29.1</w:t>
            </w:r>
          </w:p>
        </w:tc>
        <w:tc>
          <w:tcPr>
            <w:tcW w:w="2190" w:type="dxa"/>
            <w:tcBorders>
              <w:top w:val="single" w:color="000000" w:sz="4" w:space="0"/>
              <w:left w:val="single" w:color="000000" w:sz="4" w:space="0"/>
              <w:bottom w:val="single" w:color="000000" w:sz="4" w:space="0"/>
              <w:right w:val="single" w:color="000000" w:sz="4" w:space="0"/>
            </w:tcBorders>
            <w:vAlign w:val="center"/>
          </w:tcPr>
          <w:p w14:paraId="3C90D2D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37"/>
                <w:rFonts w:hint="eastAsia" w:ascii="宋体" w:hAnsi="宋体" w:eastAsia="宋体" w:cs="宋体"/>
                <w:color w:val="auto"/>
                <w:sz w:val="21"/>
                <w:szCs w:val="21"/>
                <w:highlight w:val="none"/>
              </w:rPr>
            </w:pPr>
            <w:r>
              <w:rPr>
                <w:rStyle w:val="37"/>
                <w:rFonts w:hint="eastAsia" w:ascii="宋体" w:hAnsi="宋体" w:eastAsia="宋体" w:cs="宋体"/>
                <w:color w:val="auto"/>
                <w:sz w:val="21"/>
                <w:szCs w:val="21"/>
                <w:highlight w:val="none"/>
              </w:rPr>
              <w:t>签订合同时间</w:t>
            </w:r>
          </w:p>
        </w:tc>
        <w:tc>
          <w:tcPr>
            <w:tcW w:w="6593" w:type="dxa"/>
            <w:tcBorders>
              <w:top w:val="single" w:color="000000" w:sz="4" w:space="0"/>
              <w:left w:val="single" w:color="000000" w:sz="4" w:space="0"/>
              <w:bottom w:val="single" w:color="000000" w:sz="4" w:space="0"/>
              <w:right w:val="single" w:color="000000" w:sz="4" w:space="0"/>
            </w:tcBorders>
            <w:vAlign w:val="center"/>
          </w:tcPr>
          <w:p w14:paraId="4BF9590F">
            <w:pPr>
              <w:pStyle w:val="39"/>
              <w:keepNext w:val="0"/>
              <w:keepLines w:val="0"/>
              <w:pageBreakBefore w:val="0"/>
              <w:widowControl w:val="0"/>
              <w:kinsoku/>
              <w:wordWrap/>
              <w:overflowPunct/>
              <w:topLinePunct w:val="0"/>
              <w:autoSpaceDE/>
              <w:autoSpaceDN/>
              <w:bidi w:val="0"/>
              <w:adjustRightInd/>
              <w:snapToGrid/>
              <w:spacing w:line="400" w:lineRule="exact"/>
              <w:textAlignment w:val="auto"/>
              <w:rPr>
                <w:rStyle w:val="37"/>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成交通知书发出后</w:t>
            </w:r>
            <w:r>
              <w:rPr>
                <w:rFonts w:hint="eastAsia" w:hAnsi="宋体" w:cs="宋体"/>
                <w:color w:val="auto"/>
                <w:sz w:val="21"/>
                <w:szCs w:val="21"/>
                <w:highlight w:val="none"/>
                <w:lang w:val="en-US" w:eastAsia="zh-CN"/>
              </w:rPr>
              <w:t>8个工作日</w:t>
            </w:r>
            <w:r>
              <w:rPr>
                <w:rFonts w:hint="eastAsia" w:hAnsi="宋体" w:cs="宋体"/>
                <w:color w:val="auto"/>
                <w:sz w:val="21"/>
                <w:szCs w:val="21"/>
                <w:highlight w:val="none"/>
                <w:lang w:eastAsia="zh-CN"/>
              </w:rPr>
              <w:t>内</w:t>
            </w:r>
            <w:r>
              <w:rPr>
                <w:rFonts w:hint="eastAsia" w:ascii="宋体" w:hAnsi="宋体" w:eastAsia="宋体" w:cs="宋体"/>
                <w:color w:val="auto"/>
                <w:sz w:val="21"/>
                <w:szCs w:val="21"/>
                <w:highlight w:val="none"/>
              </w:rPr>
              <w:t>。成交供应商领取成交通知书后，应按规定与采购人签订合同</w:t>
            </w:r>
            <w:r>
              <w:rPr>
                <w:rStyle w:val="37"/>
                <w:rFonts w:hint="eastAsia" w:ascii="宋体" w:hAnsi="宋体" w:eastAsia="宋体" w:cs="宋体"/>
                <w:color w:val="auto"/>
                <w:sz w:val="21"/>
                <w:szCs w:val="21"/>
                <w:highlight w:val="none"/>
              </w:rPr>
              <w:t>。</w:t>
            </w:r>
          </w:p>
        </w:tc>
      </w:tr>
      <w:tr w14:paraId="1DD946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654" w:type="dxa"/>
            <w:tcBorders>
              <w:top w:val="single" w:color="000000" w:sz="4" w:space="0"/>
              <w:left w:val="single" w:color="000000" w:sz="4" w:space="0"/>
              <w:bottom w:val="single" w:color="000000" w:sz="4" w:space="0"/>
              <w:right w:val="single" w:color="000000" w:sz="4" w:space="0"/>
            </w:tcBorders>
            <w:vAlign w:val="center"/>
          </w:tcPr>
          <w:p w14:paraId="340FDC5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37"/>
                <w:rFonts w:hint="eastAsia" w:ascii="宋体" w:hAnsi="宋体" w:eastAsia="宋体" w:cs="宋体"/>
                <w:color w:val="auto"/>
                <w:sz w:val="21"/>
                <w:szCs w:val="21"/>
                <w:highlight w:val="none"/>
                <w:lang w:eastAsia="zh-CN"/>
              </w:rPr>
            </w:pPr>
            <w:r>
              <w:rPr>
                <w:rStyle w:val="37"/>
                <w:rFonts w:hint="eastAsia" w:ascii="宋体" w:hAnsi="宋体" w:eastAsia="宋体" w:cs="宋体"/>
                <w:color w:val="auto"/>
                <w:sz w:val="21"/>
                <w:szCs w:val="21"/>
                <w:highlight w:val="none"/>
              </w:rPr>
              <w:t>1</w:t>
            </w:r>
            <w:r>
              <w:rPr>
                <w:rStyle w:val="37"/>
                <w:rFonts w:hint="eastAsia" w:ascii="宋体" w:hAnsi="宋体" w:eastAsia="宋体" w:cs="宋体"/>
                <w:color w:val="auto"/>
                <w:sz w:val="21"/>
                <w:szCs w:val="21"/>
                <w:highlight w:val="none"/>
                <w:lang w:val="en-US" w:eastAsia="zh-CN"/>
              </w:rPr>
              <w:t>6</w:t>
            </w:r>
          </w:p>
        </w:tc>
        <w:tc>
          <w:tcPr>
            <w:tcW w:w="840" w:type="dxa"/>
            <w:tcBorders>
              <w:top w:val="single" w:color="000000" w:sz="4" w:space="0"/>
              <w:left w:val="single" w:color="000000" w:sz="4" w:space="0"/>
              <w:bottom w:val="single" w:color="000000" w:sz="4" w:space="0"/>
              <w:right w:val="single" w:color="000000" w:sz="4" w:space="0"/>
            </w:tcBorders>
            <w:vAlign w:val="center"/>
          </w:tcPr>
          <w:p w14:paraId="3534C5D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37"/>
                <w:rFonts w:hint="eastAsia" w:ascii="宋体" w:hAnsi="宋体" w:eastAsia="宋体" w:cs="宋体"/>
                <w:color w:val="auto"/>
                <w:sz w:val="21"/>
                <w:szCs w:val="21"/>
                <w:highlight w:val="none"/>
              </w:rPr>
            </w:pPr>
            <w:r>
              <w:rPr>
                <w:rStyle w:val="37"/>
                <w:rFonts w:hint="eastAsia" w:ascii="宋体" w:hAnsi="宋体" w:eastAsia="宋体" w:cs="宋体"/>
                <w:color w:val="auto"/>
                <w:sz w:val="21"/>
                <w:szCs w:val="21"/>
                <w:highlight w:val="none"/>
              </w:rPr>
              <w:t>29.3</w:t>
            </w:r>
          </w:p>
        </w:tc>
        <w:tc>
          <w:tcPr>
            <w:tcW w:w="2190" w:type="dxa"/>
            <w:tcBorders>
              <w:top w:val="single" w:color="000000" w:sz="4" w:space="0"/>
              <w:left w:val="single" w:color="000000" w:sz="4" w:space="0"/>
              <w:bottom w:val="single" w:color="000000" w:sz="4" w:space="0"/>
              <w:right w:val="single" w:color="000000" w:sz="4" w:space="0"/>
            </w:tcBorders>
            <w:vAlign w:val="center"/>
          </w:tcPr>
          <w:p w14:paraId="6EB2442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37"/>
                <w:rFonts w:hint="eastAsia" w:ascii="宋体" w:hAnsi="宋体" w:eastAsia="宋体" w:cs="宋体"/>
                <w:color w:val="auto"/>
                <w:sz w:val="21"/>
                <w:szCs w:val="21"/>
                <w:highlight w:val="none"/>
              </w:rPr>
            </w:pPr>
            <w:r>
              <w:rPr>
                <w:rStyle w:val="37"/>
                <w:rFonts w:hint="eastAsia" w:ascii="宋体" w:hAnsi="宋体" w:cs="宋体"/>
                <w:color w:val="auto"/>
                <w:sz w:val="21"/>
                <w:szCs w:val="21"/>
                <w:highlight w:val="none"/>
              </w:rPr>
              <w:t>合同公告</w:t>
            </w:r>
          </w:p>
        </w:tc>
        <w:tc>
          <w:tcPr>
            <w:tcW w:w="6593" w:type="dxa"/>
            <w:tcBorders>
              <w:top w:val="single" w:color="000000" w:sz="4" w:space="0"/>
              <w:left w:val="single" w:color="000000" w:sz="4" w:space="0"/>
              <w:bottom w:val="single" w:color="000000" w:sz="4" w:space="0"/>
              <w:right w:val="single" w:color="000000" w:sz="4" w:space="0"/>
            </w:tcBorders>
            <w:vAlign w:val="center"/>
          </w:tcPr>
          <w:p w14:paraId="012DA501">
            <w:pPr>
              <w:keepNext w:val="0"/>
              <w:keepLines w:val="0"/>
              <w:pageBreakBefore w:val="0"/>
              <w:widowControl w:val="0"/>
              <w:kinsoku/>
              <w:wordWrap/>
              <w:overflowPunct/>
              <w:topLinePunct w:val="0"/>
              <w:autoSpaceDE/>
              <w:autoSpaceDN/>
              <w:bidi w:val="0"/>
              <w:adjustRightInd/>
              <w:snapToGrid/>
              <w:spacing w:line="400" w:lineRule="exact"/>
              <w:textAlignment w:val="auto"/>
              <w:rPr>
                <w:rStyle w:val="37"/>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政府采购合同双方自签订之日起2个工作日内在省级以上人民政府财政部门指定媒体上公告。</w:t>
            </w:r>
          </w:p>
        </w:tc>
      </w:tr>
      <w:tr w14:paraId="35297C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654" w:type="dxa"/>
            <w:tcBorders>
              <w:top w:val="single" w:color="000000" w:sz="4" w:space="0"/>
              <w:left w:val="single" w:color="000000" w:sz="4" w:space="0"/>
              <w:bottom w:val="single" w:color="000000" w:sz="4" w:space="0"/>
              <w:right w:val="single" w:color="000000" w:sz="4" w:space="0"/>
            </w:tcBorders>
            <w:vAlign w:val="center"/>
          </w:tcPr>
          <w:p w14:paraId="4C4E783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37"/>
                <w:rFonts w:hint="eastAsia" w:ascii="宋体" w:hAnsi="宋体" w:eastAsia="宋体" w:cs="宋体"/>
                <w:color w:val="auto"/>
                <w:sz w:val="21"/>
                <w:szCs w:val="21"/>
                <w:highlight w:val="none"/>
                <w:lang w:eastAsia="zh-CN"/>
              </w:rPr>
            </w:pPr>
            <w:r>
              <w:rPr>
                <w:rStyle w:val="37"/>
                <w:rFonts w:hint="eastAsia" w:ascii="宋体" w:hAnsi="宋体" w:eastAsia="宋体" w:cs="宋体"/>
                <w:color w:val="auto"/>
                <w:sz w:val="21"/>
                <w:szCs w:val="21"/>
                <w:highlight w:val="none"/>
              </w:rPr>
              <w:t>1</w:t>
            </w:r>
            <w:r>
              <w:rPr>
                <w:rStyle w:val="37"/>
                <w:rFonts w:hint="eastAsia" w:ascii="宋体" w:hAnsi="宋体" w:eastAsia="宋体" w:cs="宋体"/>
                <w:color w:val="auto"/>
                <w:sz w:val="21"/>
                <w:szCs w:val="21"/>
                <w:highlight w:val="none"/>
                <w:lang w:val="en-US" w:eastAsia="zh-CN"/>
              </w:rPr>
              <w:t>7</w:t>
            </w:r>
          </w:p>
        </w:tc>
        <w:tc>
          <w:tcPr>
            <w:tcW w:w="840" w:type="dxa"/>
            <w:tcBorders>
              <w:top w:val="single" w:color="000000" w:sz="4" w:space="0"/>
              <w:left w:val="single" w:color="000000" w:sz="4" w:space="0"/>
              <w:bottom w:val="single" w:color="000000" w:sz="4" w:space="0"/>
              <w:right w:val="single" w:color="000000" w:sz="4" w:space="0"/>
            </w:tcBorders>
            <w:vAlign w:val="center"/>
          </w:tcPr>
          <w:p w14:paraId="6C8C25A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37"/>
                <w:rFonts w:hint="eastAsia" w:ascii="宋体" w:hAnsi="宋体" w:eastAsia="宋体" w:cs="宋体"/>
                <w:color w:val="auto"/>
                <w:sz w:val="21"/>
                <w:szCs w:val="21"/>
                <w:highlight w:val="none"/>
              </w:rPr>
            </w:pPr>
            <w:r>
              <w:rPr>
                <w:rStyle w:val="37"/>
                <w:rFonts w:hint="eastAsia" w:ascii="宋体" w:hAnsi="宋体" w:eastAsia="宋体" w:cs="宋体"/>
                <w:color w:val="auto"/>
                <w:sz w:val="21"/>
                <w:szCs w:val="21"/>
                <w:highlight w:val="none"/>
              </w:rPr>
              <w:t>30</w:t>
            </w:r>
          </w:p>
        </w:tc>
        <w:tc>
          <w:tcPr>
            <w:tcW w:w="2190" w:type="dxa"/>
            <w:tcBorders>
              <w:top w:val="single" w:color="000000" w:sz="4" w:space="0"/>
              <w:left w:val="single" w:color="000000" w:sz="4" w:space="0"/>
              <w:bottom w:val="single" w:color="000000" w:sz="4" w:space="0"/>
              <w:right w:val="single" w:color="000000" w:sz="4" w:space="0"/>
            </w:tcBorders>
            <w:vAlign w:val="center"/>
          </w:tcPr>
          <w:p w14:paraId="05ADC94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37"/>
                <w:rFonts w:hint="eastAsia" w:ascii="宋体" w:hAnsi="宋体" w:eastAsia="宋体" w:cs="宋体"/>
                <w:color w:val="auto"/>
                <w:sz w:val="21"/>
                <w:szCs w:val="21"/>
                <w:highlight w:val="none"/>
              </w:rPr>
            </w:pPr>
            <w:r>
              <w:rPr>
                <w:rStyle w:val="37"/>
                <w:rFonts w:hint="eastAsia" w:ascii="宋体" w:hAnsi="宋体" w:eastAsia="宋体" w:cs="宋体"/>
                <w:color w:val="auto"/>
                <w:sz w:val="21"/>
                <w:szCs w:val="21"/>
                <w:highlight w:val="none"/>
                <w:lang w:eastAsia="zh-CN"/>
              </w:rPr>
              <w:t>采购</w:t>
            </w:r>
            <w:r>
              <w:rPr>
                <w:rStyle w:val="37"/>
                <w:rFonts w:hint="eastAsia" w:ascii="宋体" w:hAnsi="宋体" w:eastAsia="宋体" w:cs="宋体"/>
                <w:color w:val="auto"/>
                <w:sz w:val="21"/>
                <w:szCs w:val="21"/>
                <w:highlight w:val="none"/>
              </w:rPr>
              <w:t>代理服务费</w:t>
            </w:r>
          </w:p>
        </w:tc>
        <w:tc>
          <w:tcPr>
            <w:tcW w:w="6593" w:type="dxa"/>
            <w:tcBorders>
              <w:top w:val="single" w:color="000000" w:sz="4" w:space="0"/>
              <w:left w:val="single" w:color="000000" w:sz="4" w:space="0"/>
              <w:bottom w:val="single" w:color="000000" w:sz="4" w:space="0"/>
              <w:right w:val="single" w:color="000000" w:sz="4" w:space="0"/>
            </w:tcBorders>
            <w:vAlign w:val="center"/>
          </w:tcPr>
          <w:p w14:paraId="42EBF60C">
            <w:pPr>
              <w:keepNext w:val="0"/>
              <w:keepLines w:val="0"/>
              <w:pageBreakBefore w:val="0"/>
              <w:widowControl w:val="0"/>
              <w:kinsoku/>
              <w:wordWrap/>
              <w:overflowPunct/>
              <w:topLinePunct w:val="0"/>
              <w:autoSpaceDE/>
              <w:autoSpaceDN/>
              <w:bidi w:val="0"/>
              <w:adjustRightInd/>
              <w:snapToGrid/>
              <w:spacing w:line="400" w:lineRule="exact"/>
              <w:textAlignment w:val="auto"/>
              <w:rPr>
                <w:rStyle w:val="37"/>
                <w:rFonts w:hint="default" w:ascii="宋体" w:hAnsi="宋体" w:eastAsia="宋体" w:cs="宋体"/>
                <w:color w:val="auto"/>
                <w:sz w:val="21"/>
                <w:szCs w:val="21"/>
                <w:highlight w:val="none"/>
                <w:lang w:val="en-US" w:eastAsia="zh-CN"/>
              </w:rPr>
            </w:pPr>
            <w:r>
              <w:rPr>
                <w:rStyle w:val="37"/>
                <w:rFonts w:hint="default" w:ascii="宋体" w:hAnsi="宋体" w:eastAsia="宋体" w:cs="宋体"/>
                <w:color w:val="auto"/>
                <w:sz w:val="21"/>
                <w:szCs w:val="21"/>
                <w:highlight w:val="none"/>
                <w:lang w:val="en-US" w:eastAsia="zh-CN"/>
              </w:rPr>
              <w:t>采购代理服务费：本项目代理服务费参照《招标代理服务收费管理暂行办法》（计价格﹝2002﹞1980号）以及国家发展和改革委员会办公厅《关于招标代理服务收费有关问题的通知》(发改办价格﹝2003﹞857号)的规定，收费标准以成交金额为计算基数，按差额定率累进法计取，由成交供应商在领取</w:t>
            </w:r>
            <w:r>
              <w:rPr>
                <w:rStyle w:val="37"/>
                <w:rFonts w:hint="eastAsia" w:ascii="宋体" w:hAnsi="宋体" w:cs="宋体"/>
                <w:color w:val="auto"/>
                <w:sz w:val="21"/>
                <w:szCs w:val="21"/>
                <w:highlight w:val="none"/>
                <w:lang w:val="en-US" w:eastAsia="zh-CN"/>
              </w:rPr>
              <w:t>成交</w:t>
            </w:r>
            <w:r>
              <w:rPr>
                <w:rStyle w:val="37"/>
                <w:rFonts w:hint="default" w:ascii="宋体" w:hAnsi="宋体" w:eastAsia="宋体" w:cs="宋体"/>
                <w:color w:val="auto"/>
                <w:sz w:val="21"/>
                <w:szCs w:val="21"/>
                <w:highlight w:val="none"/>
                <w:lang w:val="en-US" w:eastAsia="zh-CN"/>
              </w:rPr>
              <w:t>通知书前一次性向代理机构付清全部代理服务费。</w:t>
            </w:r>
          </w:p>
        </w:tc>
      </w:tr>
      <w:tr w14:paraId="60204B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 w:hRule="atLeast"/>
        </w:trPr>
        <w:tc>
          <w:tcPr>
            <w:tcW w:w="654" w:type="dxa"/>
            <w:tcBorders>
              <w:top w:val="single" w:color="000000" w:sz="4" w:space="0"/>
              <w:left w:val="single" w:color="000000" w:sz="4" w:space="0"/>
              <w:bottom w:val="single" w:color="000000" w:sz="4" w:space="0"/>
              <w:right w:val="single" w:color="000000" w:sz="4" w:space="0"/>
            </w:tcBorders>
            <w:vAlign w:val="center"/>
          </w:tcPr>
          <w:p w14:paraId="6E482FD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37"/>
                <w:rFonts w:hint="eastAsia" w:ascii="宋体" w:hAnsi="宋体" w:eastAsia="宋体" w:cs="宋体"/>
                <w:color w:val="auto"/>
                <w:sz w:val="21"/>
                <w:szCs w:val="21"/>
                <w:highlight w:val="none"/>
                <w:lang w:eastAsia="zh-CN"/>
              </w:rPr>
            </w:pPr>
            <w:r>
              <w:rPr>
                <w:rStyle w:val="37"/>
                <w:rFonts w:hint="eastAsia" w:ascii="宋体" w:hAnsi="宋体" w:eastAsia="宋体" w:cs="宋体"/>
                <w:color w:val="auto"/>
                <w:sz w:val="21"/>
                <w:szCs w:val="21"/>
                <w:highlight w:val="none"/>
              </w:rPr>
              <w:t>1</w:t>
            </w:r>
            <w:r>
              <w:rPr>
                <w:rStyle w:val="37"/>
                <w:rFonts w:hint="eastAsia" w:ascii="宋体" w:hAnsi="宋体" w:eastAsia="宋体" w:cs="宋体"/>
                <w:color w:val="auto"/>
                <w:sz w:val="21"/>
                <w:szCs w:val="21"/>
                <w:highlight w:val="none"/>
                <w:lang w:val="en-US" w:eastAsia="zh-CN"/>
              </w:rPr>
              <w:t>8</w:t>
            </w:r>
          </w:p>
        </w:tc>
        <w:tc>
          <w:tcPr>
            <w:tcW w:w="840" w:type="dxa"/>
            <w:tcBorders>
              <w:top w:val="single" w:color="000000" w:sz="4" w:space="0"/>
              <w:left w:val="single" w:color="000000" w:sz="4" w:space="0"/>
              <w:bottom w:val="single" w:color="000000" w:sz="4" w:space="0"/>
              <w:right w:val="single" w:color="000000" w:sz="4" w:space="0"/>
            </w:tcBorders>
            <w:vAlign w:val="center"/>
          </w:tcPr>
          <w:p w14:paraId="1D2ECAB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37"/>
                <w:rFonts w:hint="eastAsia" w:ascii="宋体" w:hAnsi="宋体" w:eastAsia="宋体" w:cs="宋体"/>
                <w:color w:val="auto"/>
                <w:sz w:val="21"/>
                <w:szCs w:val="21"/>
                <w:highlight w:val="none"/>
              </w:rPr>
            </w:pPr>
            <w:r>
              <w:rPr>
                <w:rStyle w:val="37"/>
                <w:rFonts w:hint="eastAsia" w:ascii="宋体" w:hAnsi="宋体" w:eastAsia="宋体" w:cs="宋体"/>
                <w:color w:val="auto"/>
                <w:sz w:val="21"/>
                <w:szCs w:val="21"/>
                <w:highlight w:val="none"/>
              </w:rPr>
              <w:t>32</w:t>
            </w:r>
          </w:p>
        </w:tc>
        <w:tc>
          <w:tcPr>
            <w:tcW w:w="2190" w:type="dxa"/>
            <w:tcBorders>
              <w:top w:val="single" w:color="000000" w:sz="4" w:space="0"/>
              <w:left w:val="single" w:color="000000" w:sz="4" w:space="0"/>
              <w:bottom w:val="single" w:color="000000" w:sz="4" w:space="0"/>
              <w:right w:val="single" w:color="000000" w:sz="4" w:space="0"/>
            </w:tcBorders>
            <w:vAlign w:val="center"/>
          </w:tcPr>
          <w:p w14:paraId="311D0A5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37"/>
                <w:rFonts w:hint="eastAsia" w:ascii="宋体" w:hAnsi="宋体" w:eastAsia="宋体" w:cs="宋体"/>
                <w:color w:val="auto"/>
                <w:sz w:val="21"/>
                <w:szCs w:val="21"/>
                <w:highlight w:val="none"/>
              </w:rPr>
            </w:pPr>
            <w:r>
              <w:rPr>
                <w:rStyle w:val="37"/>
                <w:rFonts w:hint="eastAsia" w:ascii="宋体" w:hAnsi="宋体" w:eastAsia="宋体" w:cs="宋体"/>
                <w:color w:val="auto"/>
                <w:sz w:val="21"/>
                <w:szCs w:val="21"/>
                <w:highlight w:val="none"/>
              </w:rPr>
              <w:t>解释权</w:t>
            </w:r>
          </w:p>
        </w:tc>
        <w:tc>
          <w:tcPr>
            <w:tcW w:w="6593" w:type="dxa"/>
            <w:tcBorders>
              <w:top w:val="single" w:color="000000" w:sz="4" w:space="0"/>
              <w:left w:val="single" w:color="000000" w:sz="4" w:space="0"/>
              <w:bottom w:val="single" w:color="000000" w:sz="4" w:space="0"/>
              <w:right w:val="single" w:color="000000" w:sz="4" w:space="0"/>
            </w:tcBorders>
            <w:vAlign w:val="center"/>
          </w:tcPr>
          <w:p w14:paraId="67063E7A">
            <w:pPr>
              <w:keepNext w:val="0"/>
              <w:keepLines w:val="0"/>
              <w:pageBreakBefore w:val="0"/>
              <w:widowControl w:val="0"/>
              <w:kinsoku/>
              <w:wordWrap/>
              <w:overflowPunct/>
              <w:topLinePunct w:val="0"/>
              <w:autoSpaceDE/>
              <w:autoSpaceDN/>
              <w:bidi w:val="0"/>
              <w:adjustRightInd/>
              <w:snapToGrid/>
              <w:spacing w:line="400" w:lineRule="exact"/>
              <w:textAlignment w:val="auto"/>
              <w:rPr>
                <w:rStyle w:val="37"/>
                <w:rFonts w:hint="eastAsia" w:ascii="宋体" w:hAnsi="宋体" w:eastAsia="宋体" w:cs="宋体"/>
                <w:color w:val="auto"/>
                <w:sz w:val="21"/>
                <w:szCs w:val="21"/>
                <w:highlight w:val="none"/>
              </w:rPr>
            </w:pPr>
            <w:r>
              <w:rPr>
                <w:rStyle w:val="37"/>
                <w:rFonts w:hint="eastAsia" w:ascii="宋体" w:hAnsi="宋体" w:eastAsia="宋体" w:cs="宋体"/>
                <w:color w:val="auto"/>
                <w:sz w:val="21"/>
                <w:szCs w:val="21"/>
                <w:highlight w:val="none"/>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tc>
      </w:tr>
      <w:tr w14:paraId="135106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654" w:type="dxa"/>
            <w:tcBorders>
              <w:top w:val="single" w:color="000000" w:sz="4" w:space="0"/>
              <w:left w:val="single" w:color="000000" w:sz="4" w:space="0"/>
              <w:bottom w:val="single" w:color="000000" w:sz="4" w:space="0"/>
              <w:right w:val="single" w:color="000000" w:sz="4" w:space="0"/>
            </w:tcBorders>
            <w:vAlign w:val="center"/>
          </w:tcPr>
          <w:p w14:paraId="7D27C96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37"/>
                <w:rFonts w:hint="eastAsia" w:ascii="宋体" w:hAnsi="宋体" w:eastAsia="宋体" w:cs="宋体"/>
                <w:color w:val="auto"/>
                <w:sz w:val="21"/>
                <w:szCs w:val="21"/>
                <w:highlight w:val="none"/>
                <w:lang w:eastAsia="zh-CN"/>
              </w:rPr>
            </w:pPr>
            <w:r>
              <w:rPr>
                <w:rStyle w:val="37"/>
                <w:rFonts w:hint="eastAsia" w:ascii="宋体" w:hAnsi="宋体" w:eastAsia="宋体" w:cs="宋体"/>
                <w:color w:val="auto"/>
                <w:sz w:val="21"/>
                <w:szCs w:val="21"/>
                <w:highlight w:val="none"/>
              </w:rPr>
              <w:t>1</w:t>
            </w:r>
            <w:r>
              <w:rPr>
                <w:rStyle w:val="37"/>
                <w:rFonts w:hint="eastAsia" w:ascii="宋体" w:hAnsi="宋体" w:eastAsia="宋体" w:cs="宋体"/>
                <w:color w:val="auto"/>
                <w:sz w:val="21"/>
                <w:szCs w:val="21"/>
                <w:highlight w:val="none"/>
                <w:lang w:val="en-US" w:eastAsia="zh-CN"/>
              </w:rPr>
              <w:t>9</w:t>
            </w:r>
          </w:p>
        </w:tc>
        <w:tc>
          <w:tcPr>
            <w:tcW w:w="840" w:type="dxa"/>
            <w:tcBorders>
              <w:top w:val="single" w:color="000000" w:sz="4" w:space="0"/>
              <w:left w:val="single" w:color="000000" w:sz="4" w:space="0"/>
              <w:bottom w:val="single" w:color="000000" w:sz="4" w:space="0"/>
              <w:right w:val="single" w:color="000000" w:sz="4" w:space="0"/>
            </w:tcBorders>
            <w:vAlign w:val="center"/>
          </w:tcPr>
          <w:p w14:paraId="686915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37"/>
                <w:rFonts w:hint="eastAsia" w:ascii="宋体" w:hAnsi="宋体" w:eastAsia="宋体" w:cs="宋体"/>
                <w:color w:val="auto"/>
                <w:sz w:val="21"/>
                <w:szCs w:val="21"/>
                <w:highlight w:val="none"/>
              </w:rPr>
            </w:pPr>
            <w:r>
              <w:rPr>
                <w:rStyle w:val="37"/>
                <w:rFonts w:hint="eastAsia" w:ascii="宋体" w:hAnsi="宋体" w:eastAsia="宋体" w:cs="宋体"/>
                <w:color w:val="auto"/>
                <w:sz w:val="21"/>
                <w:szCs w:val="21"/>
                <w:highlight w:val="none"/>
              </w:rPr>
              <w:t>33</w:t>
            </w:r>
          </w:p>
        </w:tc>
        <w:tc>
          <w:tcPr>
            <w:tcW w:w="2190" w:type="dxa"/>
            <w:tcBorders>
              <w:top w:val="single" w:color="000000" w:sz="4" w:space="0"/>
              <w:left w:val="single" w:color="000000" w:sz="4" w:space="0"/>
              <w:bottom w:val="single" w:color="000000" w:sz="4" w:space="0"/>
              <w:right w:val="single" w:color="000000" w:sz="4" w:space="0"/>
            </w:tcBorders>
            <w:vAlign w:val="center"/>
          </w:tcPr>
          <w:p w14:paraId="2FC73A6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37"/>
                <w:rFonts w:hint="eastAsia" w:ascii="宋体" w:hAnsi="宋体" w:eastAsia="宋体" w:cs="宋体"/>
                <w:color w:val="auto"/>
                <w:position w:val="10"/>
                <w:sz w:val="21"/>
                <w:szCs w:val="21"/>
                <w:highlight w:val="none"/>
              </w:rPr>
            </w:pPr>
            <w:r>
              <w:rPr>
                <w:rStyle w:val="37"/>
                <w:rFonts w:hint="eastAsia" w:ascii="宋体" w:hAnsi="宋体" w:eastAsia="宋体" w:cs="宋体"/>
                <w:color w:val="auto"/>
                <w:sz w:val="21"/>
                <w:szCs w:val="21"/>
                <w:highlight w:val="none"/>
              </w:rPr>
              <w:t>监督管理机构</w:t>
            </w:r>
          </w:p>
        </w:tc>
        <w:tc>
          <w:tcPr>
            <w:tcW w:w="6593" w:type="dxa"/>
            <w:tcBorders>
              <w:top w:val="single" w:color="000000" w:sz="4" w:space="0"/>
              <w:left w:val="single" w:color="000000" w:sz="4" w:space="0"/>
              <w:bottom w:val="single" w:color="000000" w:sz="4" w:space="0"/>
              <w:right w:val="single" w:color="000000" w:sz="4" w:space="0"/>
            </w:tcBorders>
            <w:vAlign w:val="center"/>
          </w:tcPr>
          <w:p w14:paraId="18DC301F">
            <w:pPr>
              <w:pStyle w:val="10"/>
              <w:keepNext w:val="0"/>
              <w:keepLines w:val="0"/>
              <w:pageBreakBefore w:val="0"/>
              <w:widowControl w:val="0"/>
              <w:tabs>
                <w:tab w:val="left" w:pos="6090"/>
              </w:tabs>
              <w:kinsoku/>
              <w:wordWrap/>
              <w:overflowPunct/>
              <w:topLinePunct w:val="0"/>
              <w:autoSpaceDE/>
              <w:autoSpaceDN/>
              <w:bidi w:val="0"/>
              <w:adjustRightInd/>
              <w:snapToGrid/>
              <w:spacing w:after="0" w:line="400" w:lineRule="exact"/>
              <w:ind w:left="0" w:leftChars="0" w:firstLine="0" w:firstLineChars="0"/>
              <w:jc w:val="both"/>
              <w:textAlignment w:val="auto"/>
              <w:rPr>
                <w:rStyle w:val="37"/>
                <w:rFonts w:hint="default" w:ascii="宋体" w:hAnsi="宋体" w:eastAsia="宋体" w:cs="宋体"/>
                <w:color w:val="auto"/>
                <w:sz w:val="21"/>
                <w:szCs w:val="21"/>
                <w:highlight w:val="none"/>
                <w:lang w:val="en-US"/>
              </w:rPr>
            </w:pPr>
            <w:r>
              <w:rPr>
                <w:rFonts w:hint="eastAsia" w:ascii="宋体" w:hAnsi="宋体" w:cs="宋体"/>
                <w:color w:val="auto"/>
                <w:sz w:val="21"/>
                <w:szCs w:val="21"/>
                <w:highlight w:val="none"/>
                <w:lang w:val="en-US" w:eastAsia="zh-CN"/>
              </w:rPr>
              <w:t>桂林市</w:t>
            </w:r>
            <w:r>
              <w:rPr>
                <w:rFonts w:hint="eastAsia" w:ascii="宋体" w:hAnsi="宋体" w:eastAsia="宋体" w:cs="宋体"/>
                <w:color w:val="auto"/>
                <w:sz w:val="21"/>
                <w:szCs w:val="21"/>
                <w:highlight w:val="none"/>
                <w:lang w:val="en-US" w:eastAsia="zh-CN"/>
              </w:rPr>
              <w:t>政府采购管理办公室</w:t>
            </w:r>
            <w:r>
              <w:rPr>
                <w:rStyle w:val="37"/>
                <w:rFonts w:hint="default" w:ascii="宋体" w:hAnsi="宋体" w:eastAsia="宋体" w:cs="宋体"/>
                <w:color w:val="auto"/>
                <w:sz w:val="21"/>
                <w:szCs w:val="21"/>
                <w:highlight w:val="none"/>
                <w:lang w:val="en-US" w:eastAsia="zh-CN"/>
              </w:rPr>
              <w:t>；联系电话：0773-2862142</w:t>
            </w:r>
          </w:p>
        </w:tc>
      </w:tr>
    </w:tbl>
    <w:p w14:paraId="757E3191">
      <w:pPr>
        <w:keepNext w:val="0"/>
        <w:keepLines w:val="0"/>
        <w:pageBreakBefore w:val="0"/>
        <w:widowControl w:val="0"/>
        <w:kinsoku/>
        <w:wordWrap/>
        <w:overflowPunct/>
        <w:topLinePunct w:val="0"/>
        <w:autoSpaceDE/>
        <w:autoSpaceDN/>
        <w:bidi w:val="0"/>
        <w:adjustRightInd/>
        <w:snapToGrid/>
        <w:spacing w:line="440" w:lineRule="atLeast"/>
        <w:ind w:firstLine="630" w:firstLineChars="196"/>
        <w:jc w:val="center"/>
        <w:textAlignment w:val="auto"/>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3CB3FCB2">
      <w:pPr>
        <w:pageBreakBefore w:val="0"/>
        <w:widowControl w:val="0"/>
        <w:kinsoku/>
        <w:wordWrap/>
        <w:overflowPunct/>
        <w:topLinePunct w:val="0"/>
        <w:autoSpaceDE/>
        <w:autoSpaceDN/>
        <w:bidi w:val="0"/>
        <w:adjustRightInd/>
        <w:spacing w:line="420" w:lineRule="exact"/>
        <w:ind w:firstLine="551" w:firstLineChars="196"/>
        <w:jc w:val="center"/>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一、总则</w:t>
      </w:r>
    </w:p>
    <w:p w14:paraId="449845B9">
      <w:pPr>
        <w:pageBreakBefore w:val="0"/>
        <w:widowControl w:val="0"/>
        <w:kinsoku/>
        <w:wordWrap/>
        <w:overflowPunct/>
        <w:topLinePunct w:val="0"/>
        <w:autoSpaceDE/>
        <w:autoSpaceDN/>
        <w:bidi w:val="0"/>
        <w:adjustRightInd/>
        <w:spacing w:line="440" w:lineRule="exact"/>
        <w:ind w:left="0" w:leftChars="0" w:firstLine="413" w:firstLineChars="196"/>
        <w:textAlignment w:val="auto"/>
        <w:rPr>
          <w:rFonts w:hint="eastAsia" w:ascii="宋体" w:hAnsi="宋体" w:eastAsia="宋体" w:cs="宋体"/>
          <w:b/>
          <w:strike w:val="0"/>
          <w:dstrike w:val="0"/>
          <w:color w:val="auto"/>
          <w:szCs w:val="21"/>
          <w:highlight w:val="none"/>
        </w:rPr>
      </w:pPr>
      <w:r>
        <w:rPr>
          <w:rFonts w:hint="eastAsia" w:ascii="宋体" w:hAnsi="宋体" w:eastAsia="宋体" w:cs="宋体"/>
          <w:b/>
          <w:strike w:val="0"/>
          <w:dstrike w:val="0"/>
          <w:color w:val="auto"/>
          <w:szCs w:val="21"/>
          <w:highlight w:val="none"/>
        </w:rPr>
        <w:t>1、适应范围</w:t>
      </w:r>
    </w:p>
    <w:p w14:paraId="1C9021C3">
      <w:pPr>
        <w:pageBreakBefore w:val="0"/>
        <w:widowControl w:val="0"/>
        <w:kinsoku/>
        <w:wordWrap/>
        <w:overflowPunct/>
        <w:topLinePunct w:val="0"/>
        <w:autoSpaceDE/>
        <w:autoSpaceDN/>
        <w:bidi w:val="0"/>
        <w:adjustRightInd/>
        <w:spacing w:line="440" w:lineRule="exact"/>
        <w:ind w:left="0" w:leftChars="0" w:firstLine="435"/>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rPr>
        <w:t>项目名称及项目编号</w:t>
      </w:r>
    </w:p>
    <w:p w14:paraId="4479826F">
      <w:pPr>
        <w:pageBreakBefore w:val="0"/>
        <w:widowControl w:val="0"/>
        <w:kinsoku/>
        <w:wordWrap/>
        <w:overflowPunct/>
        <w:topLinePunct w:val="0"/>
        <w:autoSpaceDE/>
        <w:autoSpaceDN/>
        <w:bidi w:val="0"/>
        <w:adjustRightInd/>
        <w:spacing w:line="440" w:lineRule="exact"/>
        <w:ind w:left="0" w:leftChars="0" w:firstLine="435"/>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项目名称</w:t>
      </w:r>
      <w:r>
        <w:rPr>
          <w:rFonts w:hint="eastAsia" w:ascii="宋体" w:hAnsi="宋体" w:eastAsia="宋体" w:cs="宋体"/>
          <w:color w:val="auto"/>
          <w:szCs w:val="21"/>
          <w:highlight w:val="none"/>
          <w:lang w:eastAsia="zh-CN"/>
        </w:rPr>
        <w:t>：桂林市矿产资源</w:t>
      </w:r>
      <w:r>
        <w:rPr>
          <w:rFonts w:hint="eastAsia" w:ascii="宋体" w:hAnsi="宋体" w:eastAsia="宋体" w:cs="宋体"/>
          <w:color w:val="auto"/>
          <w:szCs w:val="21"/>
          <w:highlight w:val="none"/>
          <w:lang w:val="en-US" w:eastAsia="zh-CN"/>
        </w:rPr>
        <w:t>总体</w:t>
      </w:r>
      <w:r>
        <w:rPr>
          <w:rFonts w:hint="eastAsia" w:ascii="宋体" w:hAnsi="宋体" w:eastAsia="宋体" w:cs="宋体"/>
          <w:color w:val="auto"/>
          <w:szCs w:val="21"/>
          <w:highlight w:val="none"/>
          <w:lang w:eastAsia="zh-CN"/>
        </w:rPr>
        <w:t>规划（202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eastAsia="zh-CN"/>
        </w:rPr>
        <w:t>-20</w:t>
      </w:r>
      <w:r>
        <w:rPr>
          <w:rFonts w:hint="eastAsia" w:ascii="宋体" w:hAnsi="宋体" w:eastAsia="宋体" w:cs="宋体"/>
          <w:color w:val="auto"/>
          <w:szCs w:val="21"/>
          <w:highlight w:val="none"/>
          <w:lang w:val="en-US" w:eastAsia="zh-CN"/>
        </w:rPr>
        <w:t>30</w:t>
      </w:r>
      <w:r>
        <w:rPr>
          <w:rFonts w:hint="eastAsia" w:ascii="宋体" w:hAnsi="宋体" w:eastAsia="宋体" w:cs="宋体"/>
          <w:color w:val="auto"/>
          <w:szCs w:val="21"/>
          <w:highlight w:val="none"/>
          <w:lang w:eastAsia="zh-CN"/>
        </w:rPr>
        <w:t>年）编制工作</w:t>
      </w:r>
    </w:p>
    <w:p w14:paraId="3FDB645F">
      <w:pPr>
        <w:pageBreakBefore w:val="0"/>
        <w:widowControl w:val="0"/>
        <w:kinsoku/>
        <w:wordWrap/>
        <w:overflowPunct/>
        <w:topLinePunct w:val="0"/>
        <w:autoSpaceDE/>
        <w:autoSpaceDN/>
        <w:bidi w:val="0"/>
        <w:adjustRightInd/>
        <w:spacing w:line="440" w:lineRule="exact"/>
        <w:ind w:left="0" w:leftChars="0" w:firstLine="435"/>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项目编号：</w:t>
      </w:r>
      <w:r>
        <w:rPr>
          <w:rFonts w:hint="eastAsia" w:ascii="宋体" w:hAnsi="宋体" w:cs="宋体"/>
          <w:color w:val="auto"/>
          <w:spacing w:val="-3"/>
          <w:sz w:val="24"/>
          <w:szCs w:val="24"/>
          <w:highlight w:val="none"/>
          <w:lang w:eastAsia="zh-CN"/>
        </w:rPr>
        <w:t xml:space="preserve"> GLZC2026-C3-990033-HCBY </w:t>
      </w:r>
    </w:p>
    <w:p w14:paraId="46385B37">
      <w:pPr>
        <w:pageBreakBefore w:val="0"/>
        <w:widowControl w:val="0"/>
        <w:kinsoku/>
        <w:wordWrap/>
        <w:overflowPunct/>
        <w:topLinePunct w:val="0"/>
        <w:autoSpaceDE/>
        <w:autoSpaceDN/>
        <w:bidi w:val="0"/>
        <w:adjustRightInd/>
        <w:spacing w:line="440" w:lineRule="exact"/>
        <w:ind w:left="0" w:leftChars="0" w:firstLine="43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本竞争性磋商文件（以下简称采购文件）适用于本磋商项目的磋商、磋商、评标、合同履约、验收、付款等行为（法律、法规另有规定的，从其规定）。</w:t>
      </w:r>
    </w:p>
    <w:p w14:paraId="2B96F618">
      <w:pPr>
        <w:pageBreakBefore w:val="0"/>
        <w:widowControl w:val="0"/>
        <w:kinsoku/>
        <w:wordWrap/>
        <w:overflowPunct/>
        <w:topLinePunct w:val="0"/>
        <w:autoSpaceDE/>
        <w:autoSpaceDN/>
        <w:bidi w:val="0"/>
        <w:adjustRightInd/>
        <w:spacing w:line="440" w:lineRule="exact"/>
        <w:ind w:left="0" w:leftChars="0" w:firstLine="435"/>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2、定义</w:t>
      </w:r>
    </w:p>
    <w:p w14:paraId="75D0B9CC">
      <w:pPr>
        <w:pageBreakBefore w:val="0"/>
        <w:widowControl w:val="0"/>
        <w:kinsoku/>
        <w:wordWrap/>
        <w:overflowPunct/>
        <w:topLinePunct w:val="0"/>
        <w:autoSpaceDE/>
        <w:autoSpaceDN/>
        <w:bidi w:val="0"/>
        <w:adjustRightInd/>
        <w:spacing w:line="440" w:lineRule="exact"/>
        <w:ind w:left="0" w:leftChars="0" w:firstLine="43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2.1“采购单位”是指组织本次采购的采购人和采购代理机构。</w:t>
      </w:r>
    </w:p>
    <w:p w14:paraId="07452831">
      <w:pPr>
        <w:pageBreakBefore w:val="0"/>
        <w:widowControl w:val="0"/>
        <w:kinsoku/>
        <w:wordWrap/>
        <w:overflowPunct/>
        <w:topLinePunct w:val="0"/>
        <w:autoSpaceDE/>
        <w:autoSpaceDN/>
        <w:bidi w:val="0"/>
        <w:adjustRightInd/>
        <w:spacing w:line="440" w:lineRule="exact"/>
        <w:ind w:left="0" w:leftChars="0" w:firstLine="43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2.2“磋商供应商”是指符合本次采购项目的磋商供应商资格并提交响应文件、参加磋商的供应商。如果该供应商在本次磋商中成交，即成为“成交供应商”。</w:t>
      </w:r>
    </w:p>
    <w:p w14:paraId="7296056C">
      <w:pPr>
        <w:pageBreakBefore w:val="0"/>
        <w:widowControl w:val="0"/>
        <w:kinsoku/>
        <w:wordWrap/>
        <w:overflowPunct/>
        <w:topLinePunct w:val="0"/>
        <w:autoSpaceDE/>
        <w:autoSpaceDN/>
        <w:bidi w:val="0"/>
        <w:adjustRightInd/>
        <w:spacing w:line="440" w:lineRule="exact"/>
        <w:ind w:left="0" w:leftChars="0" w:firstLine="43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2.3“服务”系指按采购文件规定，磋商供应商须承担的安装、调试、技术协助、校准、培训、技术指导以及其他类似的义务。</w:t>
      </w:r>
    </w:p>
    <w:p w14:paraId="56DDE531">
      <w:pPr>
        <w:pageBreakBefore w:val="0"/>
        <w:widowControl w:val="0"/>
        <w:kinsoku/>
        <w:wordWrap/>
        <w:overflowPunct/>
        <w:topLinePunct w:val="0"/>
        <w:autoSpaceDE/>
        <w:autoSpaceDN/>
        <w:bidi w:val="0"/>
        <w:adjustRightInd/>
        <w:spacing w:line="440" w:lineRule="exact"/>
        <w:ind w:left="0" w:leftChars="0" w:firstLine="43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2.4“项目”系指磋商供应商按采购文件规定向采购人提供的货物和服务。</w:t>
      </w:r>
    </w:p>
    <w:p w14:paraId="654B93F0">
      <w:pPr>
        <w:pageBreakBefore w:val="0"/>
        <w:widowControl w:val="0"/>
        <w:kinsoku/>
        <w:wordWrap/>
        <w:overflowPunct/>
        <w:topLinePunct w:val="0"/>
        <w:autoSpaceDE/>
        <w:autoSpaceDN/>
        <w:bidi w:val="0"/>
        <w:adjustRightInd/>
        <w:spacing w:line="440" w:lineRule="exact"/>
        <w:ind w:left="0" w:leftChars="0" w:firstLine="43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2.5“书面形式”包括信函、传真、电报等。</w:t>
      </w:r>
    </w:p>
    <w:p w14:paraId="1D4066D8">
      <w:pPr>
        <w:pageBreakBefore w:val="0"/>
        <w:widowControl w:val="0"/>
        <w:kinsoku/>
        <w:wordWrap/>
        <w:overflowPunct/>
        <w:topLinePunct w:val="0"/>
        <w:autoSpaceDE/>
        <w:autoSpaceDN/>
        <w:bidi w:val="0"/>
        <w:adjustRightInd/>
        <w:spacing w:line="440" w:lineRule="exact"/>
        <w:ind w:left="0" w:leftChars="0" w:firstLine="435"/>
        <w:textAlignment w:val="auto"/>
        <w:rPr>
          <w:rFonts w:hint="eastAsia" w:ascii="宋体" w:hAnsi="宋体" w:eastAsia="宋体" w:cs="宋体"/>
          <w:b/>
          <w:color w:val="auto"/>
          <w:szCs w:val="21"/>
          <w:highlight w:val="none"/>
        </w:rPr>
      </w:pPr>
      <w:r>
        <w:rPr>
          <w:rFonts w:hint="eastAsia" w:ascii="宋体" w:hAnsi="宋体" w:eastAsia="宋体" w:cs="宋体"/>
          <w:b/>
          <w:color w:val="auto"/>
          <w:sz w:val="21"/>
          <w:szCs w:val="21"/>
          <w:highlight w:val="none"/>
          <w:lang w:val="en-US" w:eastAsia="zh-CN"/>
        </w:rPr>
        <w:t>2.6</w:t>
      </w:r>
      <w:r>
        <w:rPr>
          <w:rFonts w:hint="eastAsia" w:ascii="宋体" w:hAnsi="宋体" w:eastAsia="宋体" w:cs="宋体"/>
          <w:b/>
          <w:color w:val="auto"/>
          <w:sz w:val="21"/>
          <w:szCs w:val="21"/>
          <w:highlight w:val="none"/>
        </w:rPr>
        <w:t>实质性要求：</w:t>
      </w:r>
      <w:r>
        <w:rPr>
          <w:rFonts w:hint="eastAsia" w:ascii="宋体" w:hAnsi="宋体" w:eastAsia="宋体" w:cs="宋体"/>
          <w:b/>
          <w:bCs/>
          <w:color w:val="auto"/>
          <w:highlight w:val="none"/>
          <w:lang w:eastAsia="zh-CN"/>
        </w:rPr>
        <w:t>本项目采购需求中所有内容均</w:t>
      </w:r>
      <w:r>
        <w:rPr>
          <w:rFonts w:hint="eastAsia" w:ascii="宋体" w:hAnsi="宋体" w:eastAsia="宋体" w:cs="宋体"/>
          <w:b/>
          <w:bCs/>
          <w:color w:val="auto"/>
          <w:highlight w:val="none"/>
        </w:rPr>
        <w:t>为实质性要求</w:t>
      </w:r>
      <w:r>
        <w:rPr>
          <w:rFonts w:hint="eastAsia" w:ascii="宋体" w:hAnsi="宋体" w:eastAsia="宋体" w:cs="宋体"/>
          <w:b/>
          <w:color w:val="auto"/>
          <w:sz w:val="21"/>
          <w:szCs w:val="21"/>
          <w:highlight w:val="none"/>
          <w:lang w:eastAsia="zh-CN"/>
        </w:rPr>
        <w:t>。</w:t>
      </w:r>
    </w:p>
    <w:p w14:paraId="3502D5C3">
      <w:pPr>
        <w:pageBreakBefore w:val="0"/>
        <w:widowControl w:val="0"/>
        <w:kinsoku/>
        <w:wordWrap/>
        <w:overflowPunct/>
        <w:topLinePunct w:val="0"/>
        <w:autoSpaceDE/>
        <w:autoSpaceDN/>
        <w:bidi w:val="0"/>
        <w:adjustRightInd/>
        <w:spacing w:line="440" w:lineRule="exact"/>
        <w:ind w:left="0" w:leftChars="0" w:firstLine="422"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b/>
          <w:color w:val="auto"/>
          <w:szCs w:val="21"/>
          <w:highlight w:val="none"/>
        </w:rPr>
        <w:t>3、磋商供应商资格</w:t>
      </w:r>
      <w:r>
        <w:rPr>
          <w:rFonts w:hint="eastAsia" w:ascii="宋体" w:hAnsi="宋体" w:cs="宋体"/>
          <w:b/>
          <w:color w:val="auto"/>
          <w:szCs w:val="21"/>
          <w:highlight w:val="none"/>
          <w:lang w:eastAsia="zh-CN"/>
        </w:rPr>
        <w:t>：</w:t>
      </w:r>
      <w:r>
        <w:rPr>
          <w:rFonts w:hint="eastAsia" w:ascii="宋体" w:hAnsi="宋体" w:eastAsia="宋体" w:cs="宋体"/>
          <w:bCs/>
          <w:color w:val="auto"/>
          <w:sz w:val="21"/>
          <w:szCs w:val="21"/>
          <w:highlight w:val="none"/>
        </w:rPr>
        <w:t>详见供应商须知前附表。</w:t>
      </w:r>
    </w:p>
    <w:p w14:paraId="55D53D48">
      <w:pPr>
        <w:pageBreakBefore w:val="0"/>
        <w:widowControl w:val="0"/>
        <w:kinsoku/>
        <w:wordWrap/>
        <w:overflowPunct/>
        <w:topLinePunct w:val="0"/>
        <w:autoSpaceDE/>
        <w:autoSpaceDN/>
        <w:bidi w:val="0"/>
        <w:adjustRightInd/>
        <w:spacing w:line="440" w:lineRule="exact"/>
        <w:ind w:left="0" w:leftChars="0" w:firstLine="435"/>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4、磋商费用</w:t>
      </w:r>
    </w:p>
    <w:p w14:paraId="171C6E1C">
      <w:pPr>
        <w:pageBreakBefore w:val="0"/>
        <w:widowControl w:val="0"/>
        <w:kinsoku/>
        <w:wordWrap/>
        <w:overflowPunct/>
        <w:topLinePunct w:val="0"/>
        <w:autoSpaceDE/>
        <w:autoSpaceDN/>
        <w:bidi w:val="0"/>
        <w:adjustRightInd/>
        <w:spacing w:line="440" w:lineRule="exact"/>
        <w:ind w:left="0" w:leftChars="0" w:firstLine="435"/>
        <w:textAlignment w:val="auto"/>
        <w:rPr>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不论磋商结果如何，供应商均应自行承担所有与磋商有关的全部费用。</w:t>
      </w:r>
    </w:p>
    <w:p w14:paraId="66B96152">
      <w:pPr>
        <w:pageBreakBefore w:val="0"/>
        <w:widowControl w:val="0"/>
        <w:tabs>
          <w:tab w:val="left" w:pos="1635"/>
        </w:tabs>
        <w:kinsoku/>
        <w:wordWrap/>
        <w:overflowPunct/>
        <w:topLinePunct w:val="0"/>
        <w:autoSpaceDE/>
        <w:autoSpaceDN/>
        <w:bidi w:val="0"/>
        <w:adjustRightInd/>
        <w:spacing w:line="440" w:lineRule="exact"/>
        <w:ind w:left="0" w:leftChars="0" w:firstLine="435"/>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5、联合体要求</w:t>
      </w:r>
      <w:r>
        <w:rPr>
          <w:rFonts w:hint="eastAsia" w:ascii="宋体" w:hAnsi="宋体" w:cs="宋体"/>
          <w:b/>
          <w:color w:val="auto"/>
          <w:kern w:val="0"/>
          <w:szCs w:val="21"/>
          <w:highlight w:val="none"/>
        </w:rPr>
        <w:t>（本项目</w:t>
      </w:r>
      <w:r>
        <w:rPr>
          <w:rFonts w:hint="eastAsia" w:ascii="宋体" w:hAnsi="宋体" w:cs="宋体"/>
          <w:b/>
          <w:color w:val="auto"/>
          <w:kern w:val="0"/>
          <w:szCs w:val="21"/>
          <w:highlight w:val="none"/>
          <w:lang w:eastAsia="zh-CN"/>
        </w:rPr>
        <w:t>不</w:t>
      </w:r>
      <w:r>
        <w:rPr>
          <w:rFonts w:hint="eastAsia" w:ascii="宋体" w:hAnsi="宋体" w:cs="宋体"/>
          <w:b/>
          <w:color w:val="auto"/>
          <w:kern w:val="0"/>
          <w:szCs w:val="21"/>
          <w:highlight w:val="none"/>
        </w:rPr>
        <w:t>接受联合体磋商）</w:t>
      </w:r>
    </w:p>
    <w:p w14:paraId="6392E26A">
      <w:pPr>
        <w:pageBreakBefore w:val="0"/>
        <w:widowControl w:val="0"/>
        <w:numPr>
          <w:ilvl w:val="0"/>
          <w:numId w:val="3"/>
        </w:numPr>
        <w:tabs>
          <w:tab w:val="left" w:pos="2190"/>
        </w:tabs>
        <w:kinsoku/>
        <w:wordWrap/>
        <w:overflowPunct/>
        <w:topLinePunct w:val="0"/>
        <w:autoSpaceDE/>
        <w:autoSpaceDN/>
        <w:bidi w:val="0"/>
        <w:adjustRightInd/>
        <w:spacing w:line="440" w:lineRule="exact"/>
        <w:ind w:left="0" w:leftChars="0" w:firstLine="413" w:firstLineChars="196"/>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质疑和投诉</w:t>
      </w:r>
    </w:p>
    <w:p w14:paraId="6ECFE526">
      <w:pPr>
        <w:pageBreakBefore w:val="0"/>
        <w:widowControl w:val="0"/>
        <w:tabs>
          <w:tab w:val="left" w:pos="2190"/>
        </w:tabs>
        <w:kinsoku/>
        <w:wordWrap/>
        <w:overflowPunct/>
        <w:topLinePunct w:val="0"/>
        <w:autoSpaceDE/>
        <w:autoSpaceDN/>
        <w:bidi w:val="0"/>
        <w:adjustRightInd/>
        <w:spacing w:line="440" w:lineRule="exact"/>
        <w:ind w:left="0" w:leftChars="0" w:firstLine="435"/>
        <w:textAlignment w:val="auto"/>
        <w:rPr>
          <w:rStyle w:val="37"/>
          <w:rFonts w:hint="eastAsia" w:ascii="宋体" w:hAnsi="宋体" w:eastAsia="宋体" w:cs="宋体"/>
          <w:color w:val="auto"/>
          <w:szCs w:val="21"/>
          <w:highlight w:val="none"/>
        </w:rPr>
      </w:pPr>
      <w:r>
        <w:rPr>
          <w:rFonts w:hint="eastAsia" w:ascii="宋体" w:hAnsi="宋体" w:eastAsia="宋体" w:cs="宋体"/>
          <w:color w:val="auto"/>
          <w:szCs w:val="21"/>
          <w:highlight w:val="none"/>
        </w:rPr>
        <w:t>6.1供应商认为磋商文件使自己的合法权益受到损害的，</w:t>
      </w:r>
      <w:r>
        <w:rPr>
          <w:rFonts w:hint="eastAsia" w:ascii="宋体" w:hAnsi="宋体" w:cs="宋体"/>
          <w:color w:val="auto"/>
          <w:highlight w:val="none"/>
        </w:rPr>
        <w:t>应当在</w:t>
      </w:r>
      <w:r>
        <w:rPr>
          <w:rFonts w:hint="eastAsia" w:ascii="宋体" w:hAnsi="宋体" w:cs="宋体"/>
          <w:color w:val="auto"/>
          <w:highlight w:val="none"/>
          <w:lang w:val="en-US" w:eastAsia="zh-CN"/>
        </w:rPr>
        <w:t>公告期限</w:t>
      </w:r>
      <w:r>
        <w:rPr>
          <w:rFonts w:hint="eastAsia" w:ascii="宋体" w:hAnsi="宋体" w:cs="宋体"/>
          <w:color w:val="auto"/>
          <w:highlight w:val="none"/>
        </w:rPr>
        <w:t>届满之日起</w:t>
      </w:r>
      <w:r>
        <w:rPr>
          <w:rFonts w:hint="eastAsia" w:ascii="宋体" w:hAnsi="宋体" w:cs="宋体"/>
          <w:color w:val="auto"/>
          <w:highlight w:val="none"/>
          <w:lang w:val="en-US" w:eastAsia="zh-CN"/>
        </w:rPr>
        <w:t>7</w:t>
      </w:r>
      <w:r>
        <w:rPr>
          <w:rFonts w:hint="eastAsia" w:ascii="宋体" w:hAnsi="宋体" w:cs="宋体"/>
          <w:color w:val="auto"/>
          <w:highlight w:val="none"/>
        </w:rPr>
        <w:t>个工作日内</w:t>
      </w:r>
      <w:r>
        <w:rPr>
          <w:rFonts w:hint="eastAsia" w:ascii="宋体" w:hAnsi="宋体" w:eastAsia="宋体" w:cs="宋体"/>
          <w:color w:val="auto"/>
          <w:szCs w:val="21"/>
          <w:highlight w:val="none"/>
        </w:rPr>
        <w:t>，以书面形式向采购代理机构提出质疑</w:t>
      </w:r>
      <w:r>
        <w:rPr>
          <w:rStyle w:val="37"/>
          <w:rFonts w:hint="eastAsia" w:ascii="宋体" w:hAnsi="宋体" w:eastAsia="宋体" w:cs="宋体"/>
          <w:color w:val="auto"/>
          <w:szCs w:val="21"/>
          <w:highlight w:val="none"/>
        </w:rPr>
        <w:t>；供应商认为采购过程或成交结果使自己的合法权益受到损害的，应当在各采购程序环节结束之日或成交公告期限届满之日起七个工作日内，以书面形式向采购代理机构提出质疑（“质疑函”格式见附表1）。否则，采购代理机构有权拒收。</w:t>
      </w:r>
    </w:p>
    <w:p w14:paraId="083496B7">
      <w:pPr>
        <w:pageBreakBefore w:val="0"/>
        <w:widowControl w:val="0"/>
        <w:tabs>
          <w:tab w:val="left" w:pos="2190"/>
        </w:tabs>
        <w:kinsoku/>
        <w:wordWrap/>
        <w:overflowPunct/>
        <w:topLinePunct w:val="0"/>
        <w:autoSpaceDE/>
        <w:autoSpaceDN/>
        <w:bidi w:val="0"/>
        <w:adjustRightInd/>
        <w:spacing w:line="440" w:lineRule="exact"/>
        <w:ind w:left="0" w:leftChars="0" w:firstLine="435"/>
        <w:textAlignment w:val="auto"/>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采购代理机构应认真做好质疑处理工作，对于质疑供应商在法定质疑期内提出的质疑函，应当在收到质疑函后7个工作日内作出答复，并以书面形式通知质疑供应商和其他有关供应商。</w:t>
      </w:r>
    </w:p>
    <w:p w14:paraId="182D1291">
      <w:pPr>
        <w:pageBreakBefore w:val="0"/>
        <w:widowControl w:val="0"/>
        <w:tabs>
          <w:tab w:val="left" w:pos="2190"/>
        </w:tabs>
        <w:kinsoku/>
        <w:wordWrap/>
        <w:overflowPunct/>
        <w:topLinePunct w:val="0"/>
        <w:autoSpaceDE/>
        <w:autoSpaceDN/>
        <w:bidi w:val="0"/>
        <w:adjustRightInd/>
        <w:spacing w:line="440" w:lineRule="exact"/>
        <w:ind w:left="0" w:leftChars="0" w:firstLine="435"/>
        <w:textAlignment w:val="auto"/>
        <w:rPr>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供应商在法定质疑期内应一次性提出与项目相关的质疑，供应商在提出与项目相关的质疑前应当做好全面且详细的工作，代理机构不再受理供应商针对同一采购程序环节的再次质疑。</w:t>
      </w:r>
    </w:p>
    <w:p w14:paraId="4A9030FF">
      <w:pPr>
        <w:pageBreakBefore w:val="0"/>
        <w:widowControl w:val="0"/>
        <w:tabs>
          <w:tab w:val="left" w:pos="2190"/>
        </w:tabs>
        <w:kinsoku/>
        <w:wordWrap/>
        <w:overflowPunct/>
        <w:topLinePunct w:val="0"/>
        <w:autoSpaceDE/>
        <w:autoSpaceDN/>
        <w:bidi w:val="0"/>
        <w:adjustRightInd/>
        <w:spacing w:line="440" w:lineRule="exact"/>
        <w:ind w:left="0" w:leftChars="0" w:firstLine="435"/>
        <w:textAlignment w:val="auto"/>
        <w:rPr>
          <w:rStyle w:val="37"/>
          <w:rFonts w:hint="eastAsia" w:ascii="宋体" w:hAnsi="宋体" w:eastAsia="宋体" w:cs="宋体"/>
          <w:color w:val="auto"/>
          <w:szCs w:val="21"/>
          <w:highlight w:val="none"/>
        </w:rPr>
      </w:pPr>
      <w:r>
        <w:rPr>
          <w:rFonts w:hint="eastAsia" w:ascii="宋体" w:hAnsi="宋体" w:eastAsia="宋体" w:cs="宋体"/>
          <w:color w:val="auto"/>
          <w:szCs w:val="21"/>
          <w:highlight w:val="none"/>
        </w:rPr>
        <w:t>6.2磋商供应商对采购代理机构的质疑答复不满意或者采购代理机构未在规定的时间内作出答复的，可以在答复期满后十五个工作日内向</w:t>
      </w:r>
      <w:r>
        <w:rPr>
          <w:rFonts w:hint="eastAsia" w:ascii="宋体" w:hAnsi="宋体" w:cs="宋体"/>
          <w:color w:val="auto"/>
          <w:sz w:val="21"/>
          <w:szCs w:val="21"/>
          <w:highlight w:val="none"/>
          <w:lang w:val="en-US" w:eastAsia="zh-CN"/>
        </w:rPr>
        <w:t>桂林市</w:t>
      </w:r>
      <w:r>
        <w:rPr>
          <w:rFonts w:hint="eastAsia" w:ascii="宋体" w:hAnsi="宋体" w:eastAsia="宋体" w:cs="宋体"/>
          <w:color w:val="auto"/>
          <w:sz w:val="21"/>
          <w:szCs w:val="21"/>
          <w:highlight w:val="none"/>
          <w:lang w:val="en-US" w:eastAsia="zh-CN"/>
        </w:rPr>
        <w:t>政府采购管理办公室</w:t>
      </w:r>
      <w:r>
        <w:rPr>
          <w:rFonts w:hint="eastAsia" w:ascii="宋体" w:hAnsi="宋体" w:eastAsia="宋体" w:cs="宋体"/>
          <w:color w:val="auto"/>
          <w:szCs w:val="21"/>
          <w:highlight w:val="none"/>
        </w:rPr>
        <w:t>投诉</w:t>
      </w:r>
      <w:r>
        <w:rPr>
          <w:rStyle w:val="37"/>
          <w:rFonts w:hint="eastAsia" w:ascii="宋体" w:hAnsi="宋体" w:eastAsia="宋体" w:cs="宋体"/>
          <w:color w:val="auto"/>
          <w:szCs w:val="21"/>
          <w:highlight w:val="none"/>
        </w:rPr>
        <w:t>（“投诉书”格式见附表2）。</w:t>
      </w:r>
    </w:p>
    <w:p w14:paraId="2760E6F9">
      <w:pPr>
        <w:pageBreakBefore w:val="0"/>
        <w:widowControl w:val="0"/>
        <w:tabs>
          <w:tab w:val="left" w:pos="2190"/>
        </w:tabs>
        <w:kinsoku/>
        <w:wordWrap/>
        <w:overflowPunct/>
        <w:topLinePunct w:val="0"/>
        <w:autoSpaceDE/>
        <w:autoSpaceDN/>
        <w:bidi w:val="0"/>
        <w:adjustRightInd/>
        <w:spacing w:line="440" w:lineRule="exact"/>
        <w:ind w:left="0" w:leftChars="0" w:firstLine="43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6.3质疑、投诉应当采用书面形式，质疑书、投诉书实行实名制，均应明确阐述采购文件、磋商过程或成交结果中使自己合法权益受到损害的实质性内容，并提供必要的证明材料。</w:t>
      </w:r>
    </w:p>
    <w:p w14:paraId="19A48BC6">
      <w:pPr>
        <w:pageBreakBefore w:val="0"/>
        <w:widowControl w:val="0"/>
        <w:tabs>
          <w:tab w:val="left" w:pos="2190"/>
        </w:tabs>
        <w:kinsoku/>
        <w:wordWrap/>
        <w:overflowPunct/>
        <w:topLinePunct w:val="0"/>
        <w:autoSpaceDE/>
        <w:autoSpaceDN/>
        <w:bidi w:val="0"/>
        <w:adjustRightInd/>
        <w:spacing w:line="440" w:lineRule="exact"/>
        <w:ind w:left="0" w:leftChars="0" w:firstLine="435"/>
        <w:textAlignment w:val="auto"/>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供应商提出质疑应当提交质疑函和必要的证明材料，针对同一采购程序环节的质疑必须在法定质疑期内一次性提出。质疑函应当包括下列内容：</w:t>
      </w:r>
    </w:p>
    <w:p w14:paraId="42A8BB14">
      <w:pPr>
        <w:pageBreakBefore w:val="0"/>
        <w:widowControl w:val="0"/>
        <w:tabs>
          <w:tab w:val="left" w:pos="2190"/>
        </w:tabs>
        <w:kinsoku/>
        <w:wordWrap/>
        <w:overflowPunct/>
        <w:topLinePunct w:val="0"/>
        <w:autoSpaceDE/>
        <w:autoSpaceDN/>
        <w:bidi w:val="0"/>
        <w:adjustRightInd/>
        <w:spacing w:line="440" w:lineRule="exact"/>
        <w:ind w:left="0" w:leftChars="0" w:firstLine="435"/>
        <w:textAlignment w:val="auto"/>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（1）供应商的姓名或者名称、地址、邮编、联系人及联系电话；</w:t>
      </w:r>
    </w:p>
    <w:p w14:paraId="22EEB9B6">
      <w:pPr>
        <w:pageBreakBefore w:val="0"/>
        <w:widowControl w:val="0"/>
        <w:tabs>
          <w:tab w:val="left" w:pos="2190"/>
        </w:tabs>
        <w:kinsoku/>
        <w:wordWrap/>
        <w:overflowPunct/>
        <w:topLinePunct w:val="0"/>
        <w:autoSpaceDE/>
        <w:autoSpaceDN/>
        <w:bidi w:val="0"/>
        <w:adjustRightInd/>
        <w:spacing w:line="440" w:lineRule="exact"/>
        <w:ind w:left="0" w:leftChars="0" w:firstLine="435"/>
        <w:textAlignment w:val="auto"/>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（2）质疑项目的名称、编号；</w:t>
      </w:r>
    </w:p>
    <w:p w14:paraId="02DE8462">
      <w:pPr>
        <w:pageBreakBefore w:val="0"/>
        <w:widowControl w:val="0"/>
        <w:tabs>
          <w:tab w:val="left" w:pos="2190"/>
        </w:tabs>
        <w:kinsoku/>
        <w:wordWrap/>
        <w:overflowPunct/>
        <w:topLinePunct w:val="0"/>
        <w:autoSpaceDE/>
        <w:autoSpaceDN/>
        <w:bidi w:val="0"/>
        <w:adjustRightInd/>
        <w:spacing w:line="440" w:lineRule="exact"/>
        <w:ind w:left="0" w:leftChars="0" w:firstLine="435"/>
        <w:textAlignment w:val="auto"/>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（3）具体、明确的质疑事项和与质疑事项相关的请求；</w:t>
      </w:r>
    </w:p>
    <w:p w14:paraId="4DF34FFA">
      <w:pPr>
        <w:pageBreakBefore w:val="0"/>
        <w:widowControl w:val="0"/>
        <w:tabs>
          <w:tab w:val="left" w:pos="2190"/>
        </w:tabs>
        <w:kinsoku/>
        <w:wordWrap/>
        <w:overflowPunct/>
        <w:topLinePunct w:val="0"/>
        <w:autoSpaceDE/>
        <w:autoSpaceDN/>
        <w:bidi w:val="0"/>
        <w:adjustRightInd/>
        <w:spacing w:line="440" w:lineRule="exact"/>
        <w:ind w:left="0" w:leftChars="0" w:firstLine="435"/>
        <w:textAlignment w:val="auto"/>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（4）事实依据；</w:t>
      </w:r>
    </w:p>
    <w:p w14:paraId="7A9766F6">
      <w:pPr>
        <w:pageBreakBefore w:val="0"/>
        <w:widowControl w:val="0"/>
        <w:tabs>
          <w:tab w:val="left" w:pos="2190"/>
        </w:tabs>
        <w:kinsoku/>
        <w:wordWrap/>
        <w:overflowPunct/>
        <w:topLinePunct w:val="0"/>
        <w:autoSpaceDE/>
        <w:autoSpaceDN/>
        <w:bidi w:val="0"/>
        <w:adjustRightInd/>
        <w:spacing w:line="440" w:lineRule="exact"/>
        <w:ind w:left="0" w:leftChars="0" w:firstLine="435"/>
        <w:textAlignment w:val="auto"/>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（5）必要的法律依据；</w:t>
      </w:r>
    </w:p>
    <w:p w14:paraId="7BBEA431">
      <w:pPr>
        <w:pageBreakBefore w:val="0"/>
        <w:widowControl w:val="0"/>
        <w:tabs>
          <w:tab w:val="left" w:pos="2190"/>
        </w:tabs>
        <w:kinsoku/>
        <w:wordWrap/>
        <w:overflowPunct/>
        <w:topLinePunct w:val="0"/>
        <w:autoSpaceDE/>
        <w:autoSpaceDN/>
        <w:bidi w:val="0"/>
        <w:adjustRightInd/>
        <w:spacing w:line="440" w:lineRule="exact"/>
        <w:ind w:left="0" w:leftChars="0" w:firstLine="435"/>
        <w:textAlignment w:val="auto"/>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（6）提出质疑的日期。</w:t>
      </w:r>
    </w:p>
    <w:p w14:paraId="482B79F3">
      <w:pPr>
        <w:pageBreakBefore w:val="0"/>
        <w:widowControl w:val="0"/>
        <w:tabs>
          <w:tab w:val="left" w:pos="2190"/>
        </w:tabs>
        <w:kinsoku/>
        <w:wordWrap/>
        <w:overflowPunct/>
        <w:topLinePunct w:val="0"/>
        <w:autoSpaceDE/>
        <w:autoSpaceDN/>
        <w:bidi w:val="0"/>
        <w:adjustRightInd/>
        <w:spacing w:line="440" w:lineRule="exact"/>
        <w:ind w:left="0" w:leftChars="0" w:firstLine="435"/>
        <w:textAlignment w:val="auto"/>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供应商为法人或者其他组织的，应当由法定代表人、主要负责人，或者其授权代表签字或者盖章，并加盖公章。</w:t>
      </w:r>
    </w:p>
    <w:p w14:paraId="40D39A88">
      <w:pPr>
        <w:pageBreakBefore w:val="0"/>
        <w:widowControl w:val="0"/>
        <w:tabs>
          <w:tab w:val="left" w:pos="2190"/>
        </w:tabs>
        <w:kinsoku/>
        <w:wordWrap/>
        <w:overflowPunct/>
        <w:topLinePunct w:val="0"/>
        <w:autoSpaceDE/>
        <w:autoSpaceDN/>
        <w:bidi w:val="0"/>
        <w:adjustRightInd/>
        <w:spacing w:line="440" w:lineRule="exact"/>
        <w:ind w:left="0" w:leftChars="0" w:firstLine="435"/>
        <w:textAlignment w:val="auto"/>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接收质疑函方式：以书面形式</w:t>
      </w:r>
    </w:p>
    <w:p w14:paraId="21A1975D">
      <w:pPr>
        <w:keepNext w:val="0"/>
        <w:keepLines w:val="0"/>
        <w:pageBreakBefore w:val="0"/>
        <w:widowControl w:val="0"/>
        <w:tabs>
          <w:tab w:val="left" w:pos="2190"/>
        </w:tabs>
        <w:kinsoku/>
        <w:wordWrap/>
        <w:overflowPunct/>
        <w:topLinePunct w:val="0"/>
        <w:autoSpaceDE/>
        <w:autoSpaceDN/>
        <w:bidi w:val="0"/>
        <w:adjustRightInd/>
        <w:spacing w:line="440" w:lineRule="exact"/>
        <w:ind w:left="0" w:leftChars="0" w:firstLine="435"/>
        <w:textAlignment w:val="auto"/>
        <w:rPr>
          <w:rStyle w:val="37"/>
          <w:rFonts w:hint="default" w:ascii="宋体" w:hAnsi="宋体" w:eastAsia="宋体" w:cs="Times New Roman"/>
          <w:color w:val="auto"/>
          <w:szCs w:val="21"/>
          <w:highlight w:val="none"/>
          <w:lang w:val="en-US" w:eastAsia="zh-CN"/>
        </w:rPr>
      </w:pPr>
      <w:r>
        <w:rPr>
          <w:rFonts w:hint="eastAsia" w:cs="宋体" w:asciiTheme="minorEastAsia" w:hAnsiTheme="minorEastAsia" w:eastAsiaTheme="minorEastAsia"/>
          <w:color w:val="auto"/>
          <w:szCs w:val="21"/>
          <w:highlight w:val="none"/>
        </w:rPr>
        <w:t>6.</w:t>
      </w:r>
      <w:r>
        <w:rPr>
          <w:rFonts w:hint="eastAsia" w:cs="宋体" w:asciiTheme="minorEastAsia" w:hAnsiTheme="minorEastAsia" w:eastAsiaTheme="minorEastAsia"/>
          <w:color w:val="auto"/>
          <w:szCs w:val="21"/>
          <w:highlight w:val="none"/>
          <w:lang w:val="en-US" w:eastAsia="zh-CN"/>
        </w:rPr>
        <w:t>4</w:t>
      </w:r>
      <w:r>
        <w:rPr>
          <w:rStyle w:val="37"/>
          <w:rFonts w:hint="eastAsia" w:ascii="宋体" w:hAnsi="宋体" w:eastAsia="宋体" w:cs="Times New Roman"/>
          <w:color w:val="auto"/>
          <w:szCs w:val="21"/>
          <w:highlight w:val="none"/>
        </w:rPr>
        <w:t>质疑联系部门：</w:t>
      </w:r>
      <w:r>
        <w:rPr>
          <w:rStyle w:val="37"/>
          <w:rFonts w:hint="eastAsia" w:ascii="宋体" w:hAnsi="宋体" w:cs="Times New Roman"/>
          <w:color w:val="auto"/>
          <w:szCs w:val="21"/>
          <w:highlight w:val="none"/>
          <w:lang w:val="en-US" w:eastAsia="zh-CN"/>
        </w:rPr>
        <w:t>华诚博远工程咨询有限公司</w:t>
      </w:r>
    </w:p>
    <w:p w14:paraId="19C12ED2">
      <w:pPr>
        <w:keepNext w:val="0"/>
        <w:keepLines w:val="0"/>
        <w:pageBreakBefore w:val="0"/>
        <w:widowControl w:val="0"/>
        <w:tabs>
          <w:tab w:val="left" w:pos="2190"/>
        </w:tabs>
        <w:kinsoku/>
        <w:wordWrap/>
        <w:overflowPunct/>
        <w:topLinePunct w:val="0"/>
        <w:autoSpaceDE/>
        <w:autoSpaceDN/>
        <w:bidi w:val="0"/>
        <w:adjustRightInd/>
        <w:spacing w:line="440" w:lineRule="exact"/>
        <w:ind w:left="1680" w:leftChars="300" w:hanging="1050" w:hangingChars="500"/>
        <w:textAlignment w:val="auto"/>
        <w:rPr>
          <w:rStyle w:val="37"/>
          <w:rFonts w:hint="default" w:ascii="宋体" w:hAnsi="宋体" w:eastAsia="宋体" w:cs="Times New Roman"/>
          <w:color w:val="auto"/>
          <w:szCs w:val="21"/>
          <w:highlight w:val="none"/>
          <w:lang w:val="en-US"/>
        </w:rPr>
      </w:pPr>
      <w:r>
        <w:rPr>
          <w:rStyle w:val="37"/>
          <w:rFonts w:hint="eastAsia" w:ascii="宋体" w:hAnsi="宋体" w:eastAsia="宋体" w:cs="Times New Roman"/>
          <w:color w:val="auto"/>
          <w:szCs w:val="21"/>
          <w:highlight w:val="none"/>
          <w:lang w:val="en-US" w:eastAsia="zh-CN"/>
        </w:rPr>
        <w:t>通讯地址：</w:t>
      </w:r>
      <w:r>
        <w:rPr>
          <w:rFonts w:hint="eastAsia" w:ascii="宋体" w:hAnsi="宋体" w:cs="宋体"/>
          <w:color w:val="auto"/>
          <w:sz w:val="21"/>
          <w:szCs w:val="21"/>
          <w:highlight w:val="none"/>
          <w:shd w:val="clear" w:color="auto" w:fill="FFFFFF"/>
          <w:lang w:eastAsia="zh-CN"/>
        </w:rPr>
        <w:t>桂林市七星区空明西路鸾东小区52栋</w:t>
      </w:r>
    </w:p>
    <w:p w14:paraId="65865D66">
      <w:pPr>
        <w:keepNext w:val="0"/>
        <w:pageBreakBefore w:val="0"/>
        <w:tabs>
          <w:tab w:val="left" w:pos="2190"/>
        </w:tabs>
        <w:kinsoku/>
        <w:wordWrap/>
        <w:overflowPunct/>
        <w:topLinePunct w:val="0"/>
        <w:bidi w:val="0"/>
        <w:spacing w:line="410" w:lineRule="exact"/>
        <w:ind w:firstLine="435"/>
        <w:rPr>
          <w:rFonts w:hint="eastAsia" w:ascii="宋体" w:hAnsi="宋体" w:eastAsia="宋体" w:cs="宋体"/>
          <w:color w:val="auto"/>
          <w:sz w:val="21"/>
          <w:szCs w:val="21"/>
          <w:highlight w:val="none"/>
          <w:lang w:val="en-US" w:eastAsia="zh-CN"/>
        </w:rPr>
      </w:pPr>
      <w:r>
        <w:rPr>
          <w:rStyle w:val="37"/>
          <w:rFonts w:hint="eastAsia" w:ascii="宋体" w:hAnsi="宋体" w:eastAsia="宋体" w:cs="Times New Roman"/>
          <w:color w:val="auto"/>
          <w:szCs w:val="21"/>
          <w:highlight w:val="none"/>
          <w:lang w:eastAsia="zh-CN"/>
        </w:rPr>
        <w:t>6.</w:t>
      </w:r>
      <w:r>
        <w:rPr>
          <w:rStyle w:val="37"/>
          <w:rFonts w:hint="eastAsia" w:ascii="宋体" w:hAnsi="宋体" w:eastAsia="宋体" w:cs="Times New Roman"/>
          <w:color w:val="auto"/>
          <w:szCs w:val="21"/>
          <w:highlight w:val="none"/>
          <w:lang w:val="en-US" w:eastAsia="zh-CN"/>
        </w:rPr>
        <w:t>5</w:t>
      </w:r>
      <w:r>
        <w:rPr>
          <w:rStyle w:val="37"/>
          <w:rFonts w:hint="eastAsia" w:ascii="宋体" w:hAnsi="宋体" w:eastAsia="宋体" w:cs="Times New Roman"/>
          <w:color w:val="auto"/>
          <w:szCs w:val="21"/>
          <w:highlight w:val="none"/>
          <w:lang w:eastAsia="zh-CN"/>
        </w:rPr>
        <w:t xml:space="preserve"> </w:t>
      </w:r>
      <w:r>
        <w:rPr>
          <w:rFonts w:hint="eastAsia" w:ascii="宋体" w:hAnsi="宋体" w:eastAsia="宋体" w:cs="宋体"/>
          <w:color w:val="auto"/>
          <w:sz w:val="21"/>
          <w:szCs w:val="21"/>
          <w:highlight w:val="none"/>
        </w:rPr>
        <w:t>投诉联系部门：</w:t>
      </w:r>
      <w:r>
        <w:rPr>
          <w:rFonts w:hint="eastAsia" w:ascii="宋体" w:hAnsi="宋体" w:cs="宋体"/>
          <w:color w:val="auto"/>
          <w:sz w:val="21"/>
          <w:szCs w:val="21"/>
          <w:highlight w:val="none"/>
          <w:lang w:val="en-US" w:eastAsia="zh-CN"/>
        </w:rPr>
        <w:t>桂林市</w:t>
      </w:r>
      <w:r>
        <w:rPr>
          <w:rFonts w:hint="eastAsia" w:ascii="宋体" w:hAnsi="宋体" w:eastAsia="宋体" w:cs="宋体"/>
          <w:color w:val="auto"/>
          <w:sz w:val="21"/>
          <w:szCs w:val="21"/>
          <w:highlight w:val="none"/>
          <w:lang w:val="en-US" w:eastAsia="zh-CN"/>
        </w:rPr>
        <w:t>政府采购管理办公室</w:t>
      </w:r>
    </w:p>
    <w:p w14:paraId="105E0578">
      <w:pPr>
        <w:keepNext w:val="0"/>
        <w:pageBreakBefore w:val="0"/>
        <w:tabs>
          <w:tab w:val="left" w:pos="2190"/>
        </w:tabs>
        <w:kinsoku/>
        <w:wordWrap/>
        <w:overflowPunct/>
        <w:topLinePunct w:val="0"/>
        <w:bidi w:val="0"/>
        <w:spacing w:line="410" w:lineRule="exact"/>
        <w:ind w:firstLine="840" w:firstLineChars="4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通讯地址：桂林市临桂区公园北路8号金融大厦18-24层</w:t>
      </w:r>
    </w:p>
    <w:p w14:paraId="0C3BBBCC">
      <w:pPr>
        <w:pageBreakBefore w:val="0"/>
        <w:widowControl w:val="0"/>
        <w:tabs>
          <w:tab w:val="left" w:pos="2190"/>
        </w:tabs>
        <w:kinsoku/>
        <w:wordWrap/>
        <w:overflowPunct/>
        <w:topLinePunct w:val="0"/>
        <w:autoSpaceDE/>
        <w:autoSpaceDN/>
        <w:bidi w:val="0"/>
        <w:adjustRightInd/>
        <w:spacing w:line="440" w:lineRule="exact"/>
        <w:ind w:left="0" w:leftChars="0"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7、转包与分包</w:t>
      </w:r>
    </w:p>
    <w:p w14:paraId="7695B354">
      <w:pPr>
        <w:pageBreakBefore w:val="0"/>
        <w:widowControl w:val="0"/>
        <w:tabs>
          <w:tab w:val="left" w:pos="2190"/>
        </w:tabs>
        <w:kinsoku/>
        <w:wordWrap/>
        <w:overflowPunct/>
        <w:topLinePunct w:val="0"/>
        <w:autoSpaceDE/>
        <w:autoSpaceDN/>
        <w:bidi w:val="0"/>
        <w:adjustRightInd/>
        <w:spacing w:line="440" w:lineRule="exact"/>
        <w:ind w:left="0" w:leftChars="0" w:firstLine="43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7.1本项目</w:t>
      </w:r>
      <w:r>
        <w:rPr>
          <w:rFonts w:hint="eastAsia" w:ascii="宋体" w:hAnsi="宋体" w:eastAsia="宋体" w:cs="宋体"/>
          <w:color w:val="auto"/>
          <w:szCs w:val="21"/>
          <w:highlight w:val="none"/>
          <w:u w:val="single"/>
        </w:rPr>
        <w:t>不允许</w:t>
      </w:r>
      <w:r>
        <w:rPr>
          <w:rFonts w:hint="eastAsia" w:ascii="宋体" w:hAnsi="宋体" w:eastAsia="宋体" w:cs="宋体"/>
          <w:color w:val="auto"/>
          <w:szCs w:val="21"/>
          <w:highlight w:val="none"/>
        </w:rPr>
        <w:t>转包。</w:t>
      </w:r>
    </w:p>
    <w:p w14:paraId="61F7BE9C">
      <w:pPr>
        <w:pageBreakBefore w:val="0"/>
        <w:widowControl w:val="0"/>
        <w:tabs>
          <w:tab w:val="left" w:pos="2190"/>
        </w:tabs>
        <w:kinsoku/>
        <w:wordWrap/>
        <w:overflowPunct/>
        <w:topLinePunct w:val="0"/>
        <w:autoSpaceDE/>
        <w:autoSpaceDN/>
        <w:bidi w:val="0"/>
        <w:adjustRightInd/>
        <w:spacing w:line="440" w:lineRule="exact"/>
        <w:ind w:left="0" w:leftChars="0" w:firstLine="43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7.2本项目</w:t>
      </w:r>
      <w:r>
        <w:rPr>
          <w:rFonts w:hint="eastAsia" w:ascii="宋体" w:hAnsi="宋体" w:cs="宋体"/>
          <w:color w:val="auto"/>
          <w:szCs w:val="21"/>
          <w:highlight w:val="none"/>
          <w:lang w:eastAsia="zh-CN"/>
        </w:rPr>
        <w:t>不</w:t>
      </w:r>
      <w:r>
        <w:rPr>
          <w:rFonts w:hint="eastAsia" w:ascii="宋体" w:hAnsi="宋体" w:eastAsia="宋体" w:cs="宋体"/>
          <w:color w:val="auto"/>
          <w:szCs w:val="21"/>
          <w:highlight w:val="none"/>
          <w:u w:val="single"/>
        </w:rPr>
        <w:t>可以</w:t>
      </w:r>
      <w:r>
        <w:rPr>
          <w:rFonts w:hint="eastAsia" w:ascii="宋体" w:hAnsi="宋体" w:eastAsia="宋体" w:cs="宋体"/>
          <w:color w:val="auto"/>
          <w:szCs w:val="21"/>
          <w:highlight w:val="none"/>
        </w:rPr>
        <w:t>分包。</w:t>
      </w:r>
    </w:p>
    <w:p w14:paraId="111E21D9">
      <w:pPr>
        <w:pageBreakBefore w:val="0"/>
        <w:widowControl w:val="0"/>
        <w:tabs>
          <w:tab w:val="left" w:pos="2190"/>
        </w:tabs>
        <w:kinsoku/>
        <w:wordWrap/>
        <w:overflowPunct/>
        <w:topLinePunct w:val="0"/>
        <w:autoSpaceDE/>
        <w:autoSpaceDN/>
        <w:bidi w:val="0"/>
        <w:adjustRightInd/>
        <w:spacing w:line="440" w:lineRule="exact"/>
        <w:ind w:left="0" w:leftChars="0" w:firstLine="435"/>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8、特别说明</w:t>
      </w:r>
    </w:p>
    <w:p w14:paraId="3B23D024">
      <w:pPr>
        <w:pageBreakBefore w:val="0"/>
        <w:widowControl w:val="0"/>
        <w:tabs>
          <w:tab w:val="left" w:pos="2190"/>
        </w:tabs>
        <w:kinsoku/>
        <w:wordWrap/>
        <w:overflowPunct/>
        <w:topLinePunct w:val="0"/>
        <w:autoSpaceDE/>
        <w:autoSpaceDN/>
        <w:bidi w:val="0"/>
        <w:adjustRightInd/>
        <w:spacing w:line="440" w:lineRule="exact"/>
        <w:ind w:left="0" w:leftChars="0" w:firstLine="43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8.1单位负责人为同一人或者存在直接控股、管理关系的，不得参加同一分标磋商或未划分分标的同一项目的磋商，否则，磋商无效。</w:t>
      </w:r>
    </w:p>
    <w:p w14:paraId="62BCB5EA">
      <w:pPr>
        <w:pageBreakBefore w:val="0"/>
        <w:widowControl w:val="0"/>
        <w:tabs>
          <w:tab w:val="left" w:pos="2190"/>
        </w:tabs>
        <w:kinsoku/>
        <w:wordWrap/>
        <w:overflowPunct/>
        <w:topLinePunct w:val="0"/>
        <w:autoSpaceDE/>
        <w:autoSpaceDN/>
        <w:bidi w:val="0"/>
        <w:adjustRightInd/>
        <w:spacing w:line="440" w:lineRule="exact"/>
        <w:ind w:left="0" w:leftChars="0" w:firstLine="43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8.2单位负责人为同一人或者存在直接控股、管理关系的不同供应商，不得参加同一合同项下的政府采购活动。除单一来源采购项目外，为采购项目提供整体设计、规范编制或者项目管理、检测等服务的供应商，不得再参加该采购项目的其他采购活动。</w:t>
      </w:r>
    </w:p>
    <w:p w14:paraId="41D1AB48">
      <w:pPr>
        <w:pageBreakBefore w:val="0"/>
        <w:widowControl w:val="0"/>
        <w:tabs>
          <w:tab w:val="left" w:pos="2190"/>
        </w:tabs>
        <w:kinsoku/>
        <w:wordWrap/>
        <w:overflowPunct/>
        <w:topLinePunct w:val="0"/>
        <w:autoSpaceDE/>
        <w:autoSpaceDN/>
        <w:bidi w:val="0"/>
        <w:adjustRightInd/>
        <w:spacing w:line="440" w:lineRule="exact"/>
        <w:ind w:left="0" w:leftChars="0" w:firstLine="43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8.3供应商应仔细阅读竞争性磋商文件的所有内容，按照竞争性磋商文件的要求提交响应文件，并对所提供的全部资料的真实性承担法律责任。</w:t>
      </w:r>
    </w:p>
    <w:p w14:paraId="01F9631F">
      <w:pPr>
        <w:pageBreakBefore w:val="0"/>
        <w:widowControl w:val="0"/>
        <w:tabs>
          <w:tab w:val="left" w:pos="2190"/>
        </w:tabs>
        <w:kinsoku/>
        <w:wordWrap/>
        <w:overflowPunct/>
        <w:topLinePunct w:val="0"/>
        <w:autoSpaceDE/>
        <w:autoSpaceDN/>
        <w:bidi w:val="0"/>
        <w:adjustRightInd/>
        <w:spacing w:line="440" w:lineRule="exact"/>
        <w:ind w:left="0" w:leftChars="0" w:firstLine="43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8.4供应商在磋商活动中提供任何虚假材料，其响应文件无效，并报监管部门查处；成交后发现的，</w:t>
      </w:r>
      <w:r>
        <w:rPr>
          <w:rFonts w:hint="eastAsia" w:ascii="宋体" w:hAnsi="宋体" w:cs="宋体"/>
          <w:color w:val="auto"/>
          <w:szCs w:val="21"/>
          <w:highlight w:val="none"/>
          <w:lang w:eastAsia="zh-CN"/>
        </w:rPr>
        <w:t>成交供应商</w:t>
      </w:r>
      <w:r>
        <w:rPr>
          <w:rFonts w:hint="eastAsia" w:ascii="宋体" w:hAnsi="宋体" w:eastAsia="宋体" w:cs="宋体"/>
          <w:color w:val="auto"/>
          <w:szCs w:val="21"/>
          <w:highlight w:val="none"/>
        </w:rPr>
        <w:t>须依照《中华人民共和国消费者权益保护法》第49条之规定双倍赔偿采购人，且民事赔偿并不免除违法供应商的行政与刑事责任。</w:t>
      </w:r>
    </w:p>
    <w:p w14:paraId="05708971">
      <w:pPr>
        <w:pageBreakBefore w:val="0"/>
        <w:widowControl w:val="0"/>
        <w:tabs>
          <w:tab w:val="left" w:pos="2190"/>
        </w:tabs>
        <w:kinsoku/>
        <w:wordWrap/>
        <w:overflowPunct/>
        <w:topLinePunct w:val="0"/>
        <w:autoSpaceDE/>
        <w:autoSpaceDN/>
        <w:bidi w:val="0"/>
        <w:adjustRightInd/>
        <w:spacing w:line="440" w:lineRule="exact"/>
        <w:ind w:left="0" w:leftChars="0" w:firstLine="43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8.5根据财库〔2017〕141号《三部门联合发布关于促进残疾人就业政府采购政策的通知》第三条规定，在政府采购活动中，残疾人福利性单位视同小型和微型企业，享受预留份额、评审中价格扣除等促进中小企业发展的政府采购政策。向残疾人福利性单位采购的金额，计入面向中小企业采购的统计数据。残疾人福利性单位属于小型和微型企业的，不重复享受政策。</w:t>
      </w:r>
    </w:p>
    <w:p w14:paraId="20AF3C72">
      <w:pPr>
        <w:pageBreakBefore w:val="0"/>
        <w:widowControl w:val="0"/>
        <w:tabs>
          <w:tab w:val="left" w:pos="2190"/>
        </w:tabs>
        <w:kinsoku/>
        <w:wordWrap/>
        <w:overflowPunct/>
        <w:topLinePunct w:val="0"/>
        <w:autoSpaceDE/>
        <w:autoSpaceDN/>
        <w:bidi w:val="0"/>
        <w:adjustRightInd/>
        <w:spacing w:line="440" w:lineRule="exact"/>
        <w:ind w:left="0" w:leftChars="0" w:firstLine="43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8.5.1符合条件的残疾人福利性单位在参加政府采购活动时，应当提供本通知规定的《残疾人福利性单位声明函》（见本竞争性磋商文件第六章附件），并对声明的真实性负责。</w:t>
      </w:r>
    </w:p>
    <w:p w14:paraId="2FD5A5A1">
      <w:pPr>
        <w:pageBreakBefore w:val="0"/>
        <w:widowControl w:val="0"/>
        <w:tabs>
          <w:tab w:val="left" w:pos="2190"/>
        </w:tabs>
        <w:kinsoku/>
        <w:wordWrap/>
        <w:overflowPunct/>
        <w:topLinePunct w:val="0"/>
        <w:autoSpaceDE/>
        <w:autoSpaceDN/>
        <w:bidi w:val="0"/>
        <w:adjustRightInd/>
        <w:spacing w:line="440" w:lineRule="exact"/>
        <w:ind w:left="0" w:leftChars="0" w:firstLine="43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8.5.2供应商提供的《残疾人福利性单位声明函》与事实不符的，依照《政府采购法》第七十七条第一款的规定追究法律责任。</w:t>
      </w:r>
    </w:p>
    <w:p w14:paraId="6CCDE5C1">
      <w:pPr>
        <w:pageBreakBefore w:val="0"/>
        <w:widowControl w:val="0"/>
        <w:tabs>
          <w:tab w:val="left" w:pos="2190"/>
        </w:tabs>
        <w:kinsoku/>
        <w:wordWrap/>
        <w:overflowPunct/>
        <w:topLinePunct w:val="0"/>
        <w:autoSpaceDE/>
        <w:autoSpaceDN/>
        <w:bidi w:val="0"/>
        <w:adjustRightInd/>
        <w:spacing w:line="440" w:lineRule="exact"/>
        <w:ind w:left="0" w:leftChars="0" w:firstLine="43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8.5.3享受政府采购支持政策的残疾人福利性单位应当同时满足以下条件：</w:t>
      </w:r>
    </w:p>
    <w:p w14:paraId="5EA5EA0C">
      <w:pPr>
        <w:pageBreakBefore w:val="0"/>
        <w:widowControl w:val="0"/>
        <w:tabs>
          <w:tab w:val="left" w:pos="2190"/>
        </w:tabs>
        <w:kinsoku/>
        <w:wordWrap/>
        <w:overflowPunct/>
        <w:topLinePunct w:val="0"/>
        <w:autoSpaceDE/>
        <w:autoSpaceDN/>
        <w:bidi w:val="0"/>
        <w:adjustRightInd/>
        <w:spacing w:line="440" w:lineRule="exact"/>
        <w:ind w:left="0" w:leftChars="0" w:firstLine="43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（1）安置的残疾人占本单位在职职工人数的比例不低于25%（含25%），并且安置的残疾人人数不少于10人（含10人）；</w:t>
      </w:r>
    </w:p>
    <w:p w14:paraId="39A66B2E">
      <w:pPr>
        <w:pageBreakBefore w:val="0"/>
        <w:widowControl w:val="0"/>
        <w:tabs>
          <w:tab w:val="left" w:pos="2190"/>
        </w:tabs>
        <w:kinsoku/>
        <w:wordWrap/>
        <w:overflowPunct/>
        <w:topLinePunct w:val="0"/>
        <w:autoSpaceDE/>
        <w:autoSpaceDN/>
        <w:bidi w:val="0"/>
        <w:adjustRightInd/>
        <w:spacing w:line="440" w:lineRule="exact"/>
        <w:ind w:left="0" w:leftChars="0" w:firstLine="43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（2）依法与安置的每位残疾人签订了一年以上（含一年）的劳动合同或服务协议；</w:t>
      </w:r>
    </w:p>
    <w:p w14:paraId="7F87493E">
      <w:pPr>
        <w:pageBreakBefore w:val="0"/>
        <w:widowControl w:val="0"/>
        <w:tabs>
          <w:tab w:val="left" w:pos="2190"/>
        </w:tabs>
        <w:kinsoku/>
        <w:wordWrap/>
        <w:overflowPunct/>
        <w:topLinePunct w:val="0"/>
        <w:autoSpaceDE/>
        <w:autoSpaceDN/>
        <w:bidi w:val="0"/>
        <w:adjustRightInd/>
        <w:spacing w:line="440" w:lineRule="exact"/>
        <w:ind w:left="0" w:leftChars="0" w:firstLine="43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（3）通过银行等金融机构向安置的每位残疾人，按月支付了不低于单位所在区县适用的经省级人民政府批准的月最低工资标准的工资；</w:t>
      </w:r>
    </w:p>
    <w:p w14:paraId="4C3BB893">
      <w:pPr>
        <w:pageBreakBefore w:val="0"/>
        <w:widowControl w:val="0"/>
        <w:tabs>
          <w:tab w:val="left" w:pos="2190"/>
        </w:tabs>
        <w:kinsoku/>
        <w:wordWrap/>
        <w:overflowPunct/>
        <w:topLinePunct w:val="0"/>
        <w:autoSpaceDE/>
        <w:autoSpaceDN/>
        <w:bidi w:val="0"/>
        <w:adjustRightInd/>
        <w:spacing w:line="440" w:lineRule="exact"/>
        <w:ind w:left="0" w:leftChars="0" w:firstLine="43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）提供本单位制造的货物、承担的工程或者服务（以下简称产品），或者提供其他残疾人福利性单位制造的货物（不包括使用非残疾人福利性单位注册商标的货物）。</w:t>
      </w:r>
    </w:p>
    <w:p w14:paraId="15205C27">
      <w:pPr>
        <w:pageBreakBefore w:val="0"/>
        <w:widowControl w:val="0"/>
        <w:tabs>
          <w:tab w:val="left" w:pos="2190"/>
        </w:tabs>
        <w:kinsoku/>
        <w:wordWrap/>
        <w:overflowPunct/>
        <w:topLinePunct w:val="0"/>
        <w:autoSpaceDE/>
        <w:autoSpaceDN/>
        <w:bidi w:val="0"/>
        <w:adjustRightInd/>
        <w:spacing w:line="440" w:lineRule="exact"/>
        <w:ind w:left="0" w:leftChars="0" w:firstLine="43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文件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43B8E971">
      <w:pPr>
        <w:pageBreakBefore w:val="0"/>
        <w:widowControl w:val="0"/>
        <w:tabs>
          <w:tab w:val="left" w:pos="2190"/>
        </w:tabs>
        <w:kinsoku/>
        <w:wordWrap/>
        <w:overflowPunct/>
        <w:topLinePunct w:val="0"/>
        <w:autoSpaceDE/>
        <w:autoSpaceDN/>
        <w:bidi w:val="0"/>
        <w:adjustRightInd/>
        <w:spacing w:line="440" w:lineRule="exact"/>
        <w:ind w:left="0" w:leftChars="0" w:firstLine="315" w:firstLineChars="150"/>
        <w:textAlignment w:val="auto"/>
        <w:rPr>
          <w:rFonts w:hint="eastAsia" w:ascii="宋体" w:hAnsi="宋体" w:eastAsia="宋体" w:cs="宋体"/>
          <w:color w:val="auto"/>
          <w:szCs w:val="21"/>
          <w:highlight w:val="none"/>
        </w:rPr>
      </w:pPr>
    </w:p>
    <w:p w14:paraId="7901D713">
      <w:pPr>
        <w:pageBreakBefore w:val="0"/>
        <w:widowControl w:val="0"/>
        <w:tabs>
          <w:tab w:val="left" w:pos="2190"/>
        </w:tabs>
        <w:kinsoku/>
        <w:wordWrap/>
        <w:overflowPunct/>
        <w:topLinePunct w:val="0"/>
        <w:autoSpaceDE/>
        <w:autoSpaceDN/>
        <w:bidi w:val="0"/>
        <w:adjustRightInd/>
        <w:spacing w:line="440" w:lineRule="exact"/>
        <w:ind w:left="0" w:leftChars="0" w:firstLine="435"/>
        <w:jc w:val="center"/>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二、磋商文件</w:t>
      </w:r>
    </w:p>
    <w:p w14:paraId="335D18C8">
      <w:pPr>
        <w:pageBreakBefore w:val="0"/>
        <w:widowControl w:val="0"/>
        <w:tabs>
          <w:tab w:val="left" w:pos="2190"/>
        </w:tabs>
        <w:kinsoku/>
        <w:wordWrap/>
        <w:overflowPunct/>
        <w:topLinePunct w:val="0"/>
        <w:autoSpaceDE/>
        <w:autoSpaceDN/>
        <w:bidi w:val="0"/>
        <w:adjustRightInd/>
        <w:spacing w:line="440" w:lineRule="exact"/>
        <w:ind w:left="0" w:leftChars="0" w:firstLine="437"/>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9、采购文件的构成</w:t>
      </w:r>
    </w:p>
    <w:p w14:paraId="035FD99B">
      <w:pPr>
        <w:pageBreakBefore w:val="0"/>
        <w:widowControl w:val="0"/>
        <w:tabs>
          <w:tab w:val="left" w:pos="2190"/>
        </w:tabs>
        <w:kinsoku/>
        <w:wordWrap/>
        <w:overflowPunct/>
        <w:topLinePunct w:val="0"/>
        <w:autoSpaceDE/>
        <w:autoSpaceDN/>
        <w:bidi w:val="0"/>
        <w:adjustRightInd/>
        <w:spacing w:line="440" w:lineRule="exact"/>
        <w:ind w:left="0" w:leftChars="0" w:firstLine="437"/>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highlight w:val="none"/>
        </w:rPr>
        <w:t>竞争性磋商公告</w:t>
      </w:r>
      <w:r>
        <w:rPr>
          <w:rFonts w:hint="eastAsia" w:ascii="宋体" w:hAnsi="宋体" w:eastAsia="宋体" w:cs="宋体"/>
          <w:color w:val="auto"/>
          <w:szCs w:val="21"/>
          <w:highlight w:val="none"/>
        </w:rPr>
        <w:t>；</w:t>
      </w:r>
    </w:p>
    <w:p w14:paraId="37EE9A5D">
      <w:pPr>
        <w:pageBreakBefore w:val="0"/>
        <w:widowControl w:val="0"/>
        <w:tabs>
          <w:tab w:val="left" w:pos="2190"/>
        </w:tabs>
        <w:kinsoku/>
        <w:wordWrap/>
        <w:overflowPunct/>
        <w:topLinePunct w:val="0"/>
        <w:autoSpaceDE/>
        <w:autoSpaceDN/>
        <w:bidi w:val="0"/>
        <w:adjustRightInd/>
        <w:spacing w:line="440" w:lineRule="exact"/>
        <w:ind w:left="0" w:leftChars="0" w:firstLine="437"/>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（2）磋商供应商须知；</w:t>
      </w:r>
    </w:p>
    <w:p w14:paraId="347AC6E7">
      <w:pPr>
        <w:pageBreakBefore w:val="0"/>
        <w:widowControl w:val="0"/>
        <w:tabs>
          <w:tab w:val="left" w:pos="2190"/>
        </w:tabs>
        <w:kinsoku/>
        <w:wordWrap/>
        <w:overflowPunct/>
        <w:topLinePunct w:val="0"/>
        <w:autoSpaceDE/>
        <w:autoSpaceDN/>
        <w:bidi w:val="0"/>
        <w:adjustRightInd/>
        <w:spacing w:line="440" w:lineRule="exact"/>
        <w:ind w:left="0" w:leftChars="0" w:firstLine="437"/>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（3）采购需求；</w:t>
      </w:r>
    </w:p>
    <w:p w14:paraId="1E9EA09F">
      <w:pPr>
        <w:pageBreakBefore w:val="0"/>
        <w:widowControl w:val="0"/>
        <w:tabs>
          <w:tab w:val="left" w:pos="2190"/>
        </w:tabs>
        <w:kinsoku/>
        <w:wordWrap/>
        <w:overflowPunct/>
        <w:topLinePunct w:val="0"/>
        <w:autoSpaceDE/>
        <w:autoSpaceDN/>
        <w:bidi w:val="0"/>
        <w:adjustRightInd/>
        <w:spacing w:line="440" w:lineRule="exact"/>
        <w:ind w:left="0" w:leftChars="0" w:firstLine="437"/>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（4）评审办法；</w:t>
      </w:r>
    </w:p>
    <w:p w14:paraId="6867FBE8">
      <w:pPr>
        <w:pageBreakBefore w:val="0"/>
        <w:widowControl w:val="0"/>
        <w:tabs>
          <w:tab w:val="left" w:pos="2190"/>
        </w:tabs>
        <w:kinsoku/>
        <w:wordWrap/>
        <w:overflowPunct/>
        <w:topLinePunct w:val="0"/>
        <w:autoSpaceDE/>
        <w:autoSpaceDN/>
        <w:bidi w:val="0"/>
        <w:adjustRightInd/>
        <w:spacing w:line="440" w:lineRule="exact"/>
        <w:ind w:left="0" w:leftChars="0" w:firstLine="437"/>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（5）合同主要条款及格式；</w:t>
      </w:r>
    </w:p>
    <w:p w14:paraId="10237E9A">
      <w:pPr>
        <w:pageBreakBefore w:val="0"/>
        <w:widowControl w:val="0"/>
        <w:tabs>
          <w:tab w:val="left" w:pos="2190"/>
        </w:tabs>
        <w:kinsoku/>
        <w:wordWrap/>
        <w:overflowPunct/>
        <w:topLinePunct w:val="0"/>
        <w:autoSpaceDE/>
        <w:autoSpaceDN/>
        <w:bidi w:val="0"/>
        <w:adjustRightInd/>
        <w:spacing w:line="440" w:lineRule="exact"/>
        <w:ind w:left="0" w:leftChars="0" w:firstLine="437"/>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（6）响应文件格式。</w:t>
      </w:r>
    </w:p>
    <w:p w14:paraId="0E7D8AC6">
      <w:pPr>
        <w:pageBreakBefore w:val="0"/>
        <w:widowControl w:val="0"/>
        <w:tabs>
          <w:tab w:val="left" w:pos="2190"/>
        </w:tabs>
        <w:kinsoku/>
        <w:wordWrap/>
        <w:overflowPunct/>
        <w:topLinePunct w:val="0"/>
        <w:autoSpaceDE/>
        <w:autoSpaceDN/>
        <w:bidi w:val="0"/>
        <w:adjustRightInd/>
        <w:spacing w:line="440" w:lineRule="exact"/>
        <w:ind w:left="0" w:leftChars="0" w:firstLine="437"/>
        <w:textAlignment w:val="auto"/>
        <w:rPr>
          <w:rStyle w:val="37"/>
          <w:rFonts w:hint="eastAsia" w:ascii="宋体" w:hAnsi="宋体" w:eastAsia="宋体" w:cs="宋体"/>
          <w:b/>
          <w:color w:val="auto"/>
          <w:szCs w:val="21"/>
          <w:highlight w:val="none"/>
        </w:rPr>
      </w:pPr>
      <w:r>
        <w:rPr>
          <w:rStyle w:val="37"/>
          <w:rFonts w:hint="eastAsia" w:ascii="宋体" w:hAnsi="宋体" w:eastAsia="宋体" w:cs="宋体"/>
          <w:b/>
          <w:color w:val="auto"/>
          <w:szCs w:val="21"/>
          <w:highlight w:val="none"/>
        </w:rPr>
        <w:t>10. 磋商文件的澄清与修改</w:t>
      </w:r>
    </w:p>
    <w:p w14:paraId="182B2775">
      <w:pPr>
        <w:pageBreakBefore w:val="0"/>
        <w:widowControl w:val="0"/>
        <w:tabs>
          <w:tab w:val="left" w:pos="2190"/>
        </w:tabs>
        <w:kinsoku/>
        <w:wordWrap/>
        <w:overflowPunct/>
        <w:topLinePunct w:val="0"/>
        <w:autoSpaceDE/>
        <w:autoSpaceDN/>
        <w:bidi w:val="0"/>
        <w:adjustRightInd/>
        <w:spacing w:line="440" w:lineRule="exact"/>
        <w:ind w:left="0" w:leftChars="0" w:firstLine="437"/>
        <w:textAlignment w:val="auto"/>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10.1提交首次响应文件截止之日前，采购代理机构可能对已发出的磋商文件进行必要澄清或者修改，澄清或者修改的内容可能影响响应文件编制的，采购代理机构应当在提交首次响应文件递交截止时间五日前在本项目竞争性磋商公告发布的同一媒体上发布更正公告，不足五日的，应当顺延首次响应文件递交截止时间。</w:t>
      </w:r>
    </w:p>
    <w:p w14:paraId="6D016854">
      <w:pPr>
        <w:pageBreakBefore w:val="0"/>
        <w:widowControl w:val="0"/>
        <w:tabs>
          <w:tab w:val="left" w:pos="2190"/>
        </w:tabs>
        <w:kinsoku/>
        <w:wordWrap/>
        <w:overflowPunct/>
        <w:topLinePunct w:val="0"/>
        <w:autoSpaceDE/>
        <w:autoSpaceDN/>
        <w:bidi w:val="0"/>
        <w:adjustRightInd/>
        <w:spacing w:line="440" w:lineRule="exact"/>
        <w:ind w:left="0" w:leftChars="0" w:firstLine="437"/>
        <w:textAlignment w:val="auto"/>
        <w:rPr>
          <w:rStyle w:val="37"/>
          <w:rFonts w:hint="eastAsia" w:ascii="宋体" w:hAnsi="宋体" w:eastAsia="宋体" w:cs="宋体"/>
          <w:color w:val="auto"/>
          <w:szCs w:val="21"/>
          <w:highlight w:val="none"/>
        </w:rPr>
      </w:pPr>
      <w:r>
        <w:rPr>
          <w:rStyle w:val="37"/>
          <w:rFonts w:hint="eastAsia" w:ascii="宋体" w:hAnsi="宋体" w:eastAsia="宋体" w:cs="宋体"/>
          <w:b/>
          <w:bCs/>
          <w:color w:val="auto"/>
          <w:szCs w:val="21"/>
          <w:highlight w:val="none"/>
        </w:rPr>
        <w:t>10.2</w:t>
      </w:r>
      <w:r>
        <w:rPr>
          <w:rStyle w:val="37"/>
          <w:rFonts w:hint="eastAsia" w:ascii="宋体" w:hAnsi="宋体" w:eastAsia="宋体" w:cs="宋体"/>
          <w:b/>
          <w:color w:val="auto"/>
          <w:szCs w:val="21"/>
          <w:highlight w:val="none"/>
        </w:rPr>
        <w:t>供应商应实时关注本项目公告相关网站了解澄清、修改等与项目有关的内容，如因供应商未及时登录本项目公告相关网站了解澄清、修改等与项目有关的内容，从而导致响应无效的，由供应商自行承担责任。</w:t>
      </w:r>
    </w:p>
    <w:p w14:paraId="1432D173">
      <w:pPr>
        <w:pageBreakBefore w:val="0"/>
        <w:widowControl w:val="0"/>
        <w:tabs>
          <w:tab w:val="left" w:pos="2190"/>
        </w:tabs>
        <w:kinsoku/>
        <w:wordWrap/>
        <w:overflowPunct/>
        <w:topLinePunct w:val="0"/>
        <w:autoSpaceDE/>
        <w:autoSpaceDN/>
        <w:bidi w:val="0"/>
        <w:adjustRightInd/>
        <w:spacing w:line="440" w:lineRule="exact"/>
        <w:ind w:left="0" w:leftChars="0" w:firstLine="437"/>
        <w:textAlignment w:val="auto"/>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10.3必要的澄清、修改的内容为磋商文件的组成部分。当澄清、修改通知就同一内容的表述不一致时，以最后发出的书面文件为准。</w:t>
      </w:r>
    </w:p>
    <w:p w14:paraId="5B19ACE1">
      <w:pPr>
        <w:pageBreakBefore w:val="0"/>
        <w:widowControl w:val="0"/>
        <w:tabs>
          <w:tab w:val="left" w:pos="2190"/>
        </w:tabs>
        <w:kinsoku/>
        <w:wordWrap/>
        <w:overflowPunct/>
        <w:topLinePunct w:val="0"/>
        <w:autoSpaceDE/>
        <w:autoSpaceDN/>
        <w:bidi w:val="0"/>
        <w:adjustRightInd/>
        <w:spacing w:line="440" w:lineRule="exact"/>
        <w:ind w:left="0" w:leftChars="0" w:firstLine="437"/>
        <w:textAlignment w:val="auto"/>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10.4磋商文件的澄清、修改都应该通过采购代理机构以法定形式发布，采购人非通过本机构，不得擅自澄清、修改和补充磋商文件。</w:t>
      </w:r>
    </w:p>
    <w:p w14:paraId="1F63454F">
      <w:pPr>
        <w:pageBreakBefore w:val="0"/>
        <w:widowControl w:val="0"/>
        <w:tabs>
          <w:tab w:val="left" w:pos="2190"/>
        </w:tabs>
        <w:kinsoku/>
        <w:wordWrap/>
        <w:overflowPunct/>
        <w:topLinePunct w:val="0"/>
        <w:autoSpaceDE/>
        <w:autoSpaceDN/>
        <w:bidi w:val="0"/>
        <w:adjustRightInd/>
        <w:spacing w:line="440" w:lineRule="exact"/>
        <w:ind w:left="0" w:leftChars="0" w:firstLine="437"/>
        <w:textAlignment w:val="auto"/>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10.5采购人或者采购代理机构</w:t>
      </w:r>
      <w:r>
        <w:rPr>
          <w:rStyle w:val="37"/>
          <w:rFonts w:hint="eastAsia" w:ascii="宋体" w:hAnsi="宋体" w:eastAsia="宋体" w:cs="宋体"/>
          <w:color w:val="auto"/>
          <w:highlight w:val="none"/>
        </w:rPr>
        <w:t>可以视采购具体情况，延长磋商截止时间和开标时间，并在</w:t>
      </w:r>
      <w:r>
        <w:rPr>
          <w:rStyle w:val="37"/>
          <w:rFonts w:hint="eastAsia" w:ascii="宋体" w:hAnsi="宋体" w:eastAsia="宋体" w:cs="宋体"/>
          <w:color w:val="auto"/>
          <w:szCs w:val="21"/>
          <w:highlight w:val="none"/>
        </w:rPr>
        <w:t>本项目招标公告发布的同一媒体上发布变更公告。</w:t>
      </w:r>
    </w:p>
    <w:p w14:paraId="48244C5C">
      <w:pPr>
        <w:pageBreakBefore w:val="0"/>
        <w:widowControl w:val="0"/>
        <w:tabs>
          <w:tab w:val="left" w:pos="2190"/>
        </w:tabs>
        <w:kinsoku/>
        <w:wordWrap/>
        <w:overflowPunct/>
        <w:topLinePunct w:val="0"/>
        <w:autoSpaceDE/>
        <w:autoSpaceDN/>
        <w:bidi w:val="0"/>
        <w:adjustRightInd/>
        <w:spacing w:line="440" w:lineRule="exact"/>
        <w:ind w:left="0" w:leftChars="0" w:firstLine="435"/>
        <w:jc w:val="center"/>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三、竞争性磋商响应文件的编制</w:t>
      </w:r>
    </w:p>
    <w:p w14:paraId="40A4C731">
      <w:pPr>
        <w:pageBreakBefore w:val="0"/>
        <w:widowControl w:val="0"/>
        <w:tabs>
          <w:tab w:val="left" w:pos="2190"/>
        </w:tabs>
        <w:kinsoku/>
        <w:wordWrap/>
        <w:overflowPunct/>
        <w:topLinePunct w:val="0"/>
        <w:autoSpaceDE/>
        <w:autoSpaceDN/>
        <w:bidi w:val="0"/>
        <w:adjustRightInd/>
        <w:spacing w:line="440" w:lineRule="exact"/>
        <w:ind w:left="0" w:leftChars="0" w:firstLine="435"/>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11、竞争性磋商响应文件（以下简称响应文件）的组成及要求</w:t>
      </w:r>
    </w:p>
    <w:p w14:paraId="6F10C183">
      <w:pPr>
        <w:pageBreakBefore w:val="0"/>
        <w:widowControl w:val="0"/>
        <w:kinsoku/>
        <w:wordWrap/>
        <w:overflowPunct/>
        <w:topLinePunct w:val="0"/>
        <w:autoSpaceDE/>
        <w:autoSpaceDN/>
        <w:bidi w:val="0"/>
        <w:adjustRightInd/>
        <w:spacing w:line="440" w:lineRule="exact"/>
        <w:ind w:left="0" w:leftChars="0" w:firstLine="422" w:firstLineChars="200"/>
        <w:jc w:val="left"/>
        <w:textAlignment w:val="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11.1 响</w:t>
      </w:r>
      <w:r>
        <w:rPr>
          <w:rFonts w:hint="eastAsia" w:ascii="宋体" w:hAnsi="宋体" w:eastAsia="宋体" w:cs="宋体"/>
          <w:b/>
          <w:color w:val="auto"/>
          <w:szCs w:val="21"/>
          <w:highlight w:val="none"/>
        </w:rPr>
        <w:t>应文件的组成（格式见第六章响应文件格式）</w:t>
      </w:r>
    </w:p>
    <w:p w14:paraId="0BF67F8A">
      <w:pPr>
        <w:pageBreakBefore w:val="0"/>
        <w:widowControl w:val="0"/>
        <w:tabs>
          <w:tab w:val="left" w:pos="1305"/>
        </w:tabs>
        <w:kinsoku/>
        <w:wordWrap/>
        <w:overflowPunct/>
        <w:topLinePunct w:val="0"/>
        <w:autoSpaceDE/>
        <w:autoSpaceDN/>
        <w:bidi w:val="0"/>
        <w:adjustRightInd/>
        <w:spacing w:line="440" w:lineRule="exact"/>
        <w:ind w:left="0" w:leftChars="0" w:firstLine="422" w:firstLineChars="200"/>
        <w:textAlignment w:val="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11.</w:t>
      </w:r>
      <w:r>
        <w:rPr>
          <w:rFonts w:hint="eastAsia" w:ascii="宋体" w:hAnsi="宋体" w:cs="宋体"/>
          <w:b/>
          <w:bCs/>
          <w:color w:val="auto"/>
          <w:szCs w:val="21"/>
          <w:highlight w:val="none"/>
          <w:lang w:val="en-US" w:eastAsia="zh-CN"/>
        </w:rPr>
        <w:t>1</w:t>
      </w:r>
      <w:r>
        <w:rPr>
          <w:rFonts w:hint="eastAsia" w:ascii="宋体" w:hAnsi="宋体" w:eastAsia="宋体" w:cs="宋体"/>
          <w:b/>
          <w:bCs/>
          <w:color w:val="auto"/>
          <w:szCs w:val="21"/>
          <w:highlight w:val="none"/>
          <w:lang w:val="en-US" w:eastAsia="zh-CN"/>
        </w:rPr>
        <w:t>.1 资格性响应证明材料：</w:t>
      </w:r>
    </w:p>
    <w:p w14:paraId="00F95C6E">
      <w:pPr>
        <w:pageBreakBefore w:val="0"/>
        <w:widowControl w:val="0"/>
        <w:tabs>
          <w:tab w:val="left" w:pos="1305"/>
        </w:tabs>
        <w:kinsoku/>
        <w:wordWrap/>
        <w:overflowPunct/>
        <w:topLinePunct w:val="0"/>
        <w:autoSpaceDE/>
        <w:autoSpaceDN/>
        <w:bidi w:val="0"/>
        <w:adjustRightInd/>
        <w:spacing w:line="440" w:lineRule="exact"/>
        <w:ind w:left="0" w:leftChars="0" w:firstLine="420" w:firstLineChars="200"/>
        <w:textAlignment w:val="auto"/>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rPr>
        <w:t>供应商相应的法定代表人、负责人身份证</w:t>
      </w:r>
      <w:r>
        <w:rPr>
          <w:rFonts w:hint="eastAsia" w:ascii="宋体" w:hAnsi="宋体" w:eastAsia="宋体" w:cs="宋体"/>
          <w:color w:val="auto"/>
          <w:szCs w:val="21"/>
          <w:highlight w:val="none"/>
        </w:rPr>
        <w:t>正反两</w:t>
      </w:r>
      <w:r>
        <w:rPr>
          <w:rFonts w:hint="eastAsia" w:ascii="宋体" w:hAnsi="宋体" w:cs="宋体"/>
          <w:color w:val="auto"/>
          <w:szCs w:val="21"/>
          <w:highlight w:val="none"/>
          <w:lang w:val="en-US" w:eastAsia="zh-CN"/>
        </w:rPr>
        <w:t>面</w:t>
      </w:r>
      <w:r>
        <w:rPr>
          <w:rFonts w:hint="eastAsia" w:ascii="宋体" w:hAnsi="宋体" w:cs="宋体"/>
          <w:color w:val="auto"/>
          <w:sz w:val="21"/>
          <w:szCs w:val="21"/>
          <w:highlight w:val="none"/>
          <w:lang w:eastAsia="zh-CN"/>
        </w:rPr>
        <w:t>扫描</w:t>
      </w:r>
      <w:r>
        <w:rPr>
          <w:rFonts w:hint="eastAsia" w:ascii="宋体" w:hAnsi="宋体" w:eastAsia="宋体" w:cs="宋体"/>
          <w:color w:val="auto"/>
          <w:sz w:val="21"/>
          <w:szCs w:val="21"/>
          <w:highlight w:val="none"/>
        </w:rPr>
        <w:t>件</w:t>
      </w:r>
      <w:r>
        <w:rPr>
          <w:rFonts w:hint="eastAsia" w:ascii="宋体" w:hAnsi="宋体" w:cs="宋体"/>
          <w:b/>
          <w:color w:val="auto"/>
          <w:kern w:val="0"/>
          <w:szCs w:val="21"/>
          <w:highlight w:val="none"/>
        </w:rPr>
        <w:t>（</w:t>
      </w:r>
      <w:r>
        <w:rPr>
          <w:rFonts w:hint="eastAsia" w:ascii="宋体" w:hAnsi="宋体" w:eastAsia="宋体" w:cs="宋体"/>
          <w:b/>
          <w:bCs/>
          <w:color w:val="auto"/>
          <w:sz w:val="21"/>
          <w:szCs w:val="21"/>
          <w:highlight w:val="none"/>
        </w:rPr>
        <w:t>必须提供</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否则作无效响应处理</w:t>
      </w:r>
      <w:r>
        <w:rPr>
          <w:rFonts w:hint="eastAsia" w:ascii="宋体" w:hAnsi="宋体" w:cs="宋体"/>
          <w:b/>
          <w:color w:val="auto"/>
          <w:kern w:val="0"/>
          <w:szCs w:val="21"/>
          <w:highlight w:val="none"/>
        </w:rPr>
        <w:t>）</w:t>
      </w:r>
      <w:r>
        <w:rPr>
          <w:rFonts w:hint="eastAsia" w:ascii="宋体" w:hAnsi="宋体" w:eastAsia="宋体" w:cs="宋体"/>
          <w:b/>
          <w:color w:val="auto"/>
          <w:szCs w:val="21"/>
          <w:highlight w:val="none"/>
        </w:rPr>
        <w:t>；</w:t>
      </w:r>
    </w:p>
    <w:p w14:paraId="5377DE29">
      <w:pPr>
        <w:keepNext w:val="0"/>
        <w:keepLines w:val="0"/>
        <w:pageBreakBefore w:val="0"/>
        <w:tabs>
          <w:tab w:val="left" w:pos="1305"/>
        </w:tabs>
        <w:kinsoku/>
        <w:wordWrap/>
        <w:overflowPunct/>
        <w:topLinePunct w:val="0"/>
        <w:bidi w:val="0"/>
        <w:adjustRightInd/>
        <w:spacing w:before="0" w:after="0" w:line="400" w:lineRule="exact"/>
        <w:ind w:firstLine="420"/>
        <w:rPr>
          <w:rFonts w:hint="eastAsia" w:ascii="宋体" w:hAnsi="宋体" w:cs="宋体"/>
          <w:color w:val="auto"/>
          <w:kern w:val="0"/>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）供应商的授权委托书原件、委托代理人身份证正反面</w:t>
      </w:r>
      <w:r>
        <w:rPr>
          <w:rFonts w:hint="eastAsia" w:ascii="宋体" w:hAnsi="宋体" w:cs="宋体"/>
          <w:color w:val="auto"/>
          <w:szCs w:val="21"/>
          <w:highlight w:val="none"/>
          <w:lang w:eastAsia="zh-CN"/>
        </w:rPr>
        <w:t>扫描件</w:t>
      </w:r>
      <w:r>
        <w:rPr>
          <w:rFonts w:hint="eastAsia" w:ascii="宋体" w:hAnsi="宋体" w:eastAsia="宋体" w:cs="宋体"/>
          <w:color w:val="auto"/>
          <w:sz w:val="21"/>
          <w:szCs w:val="21"/>
          <w:highlight w:val="none"/>
        </w:rPr>
        <w:t>以及由县级以上（含县级）</w:t>
      </w:r>
      <w:r>
        <w:rPr>
          <w:rFonts w:hint="eastAsia" w:ascii="宋体" w:hAnsi="宋体" w:cs="宋体"/>
          <w:color w:val="auto"/>
          <w:sz w:val="21"/>
          <w:szCs w:val="21"/>
          <w:highlight w:val="none"/>
          <w:lang w:eastAsia="zh-CN"/>
        </w:rPr>
        <w:t>社会保险</w:t>
      </w:r>
      <w:r>
        <w:rPr>
          <w:rFonts w:hint="eastAsia" w:ascii="宋体" w:hAnsi="宋体" w:eastAsia="宋体" w:cs="宋体"/>
          <w:color w:val="auto"/>
          <w:sz w:val="21"/>
          <w:szCs w:val="21"/>
          <w:highlight w:val="none"/>
        </w:rPr>
        <w:t>经办机构出具的</w:t>
      </w:r>
      <w:r>
        <w:rPr>
          <w:rFonts w:hint="eastAsia" w:ascii="宋体" w:hAnsi="宋体" w:cs="宋体"/>
          <w:color w:val="auto"/>
          <w:sz w:val="21"/>
          <w:szCs w:val="21"/>
          <w:highlight w:val="none"/>
          <w:lang w:eastAsia="zh-CN"/>
        </w:rPr>
        <w:t>供应商为委托代理人交纳的投标截止时间前半年内任意一个月的社会保险证明扫描</w:t>
      </w:r>
      <w:r>
        <w:rPr>
          <w:rFonts w:hint="eastAsia" w:ascii="宋体" w:hAnsi="宋体" w:eastAsia="宋体" w:cs="宋体"/>
          <w:color w:val="auto"/>
          <w:sz w:val="21"/>
          <w:szCs w:val="21"/>
          <w:highlight w:val="none"/>
        </w:rPr>
        <w:t>件</w:t>
      </w:r>
      <w:r>
        <w:rPr>
          <w:rFonts w:hint="eastAsia" w:ascii="宋体" w:hAnsi="宋体" w:eastAsia="宋体" w:cs="宋体"/>
          <w:b/>
          <w:color w:val="auto"/>
          <w:szCs w:val="21"/>
          <w:highlight w:val="none"/>
        </w:rPr>
        <w:t>（委托代理时必须提供</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否则作无效响应处理</w:t>
      </w:r>
      <w:r>
        <w:rPr>
          <w:rFonts w:hint="eastAsia" w:ascii="宋体" w:hAnsi="宋体" w:eastAsia="宋体" w:cs="宋体"/>
          <w:b/>
          <w:color w:val="auto"/>
          <w:szCs w:val="21"/>
          <w:highlight w:val="none"/>
        </w:rPr>
        <w:t>）</w:t>
      </w:r>
      <w:r>
        <w:rPr>
          <w:rFonts w:hint="eastAsia" w:ascii="宋体" w:hAnsi="宋体" w:cs="宋体"/>
          <w:b/>
          <w:color w:val="auto"/>
          <w:kern w:val="0"/>
          <w:szCs w:val="21"/>
          <w:highlight w:val="none"/>
        </w:rPr>
        <w:t>；</w:t>
      </w:r>
    </w:p>
    <w:p w14:paraId="20595AEE">
      <w:pPr>
        <w:pageBreakBefore w:val="0"/>
        <w:widowControl w:val="0"/>
        <w:tabs>
          <w:tab w:val="left" w:pos="1305"/>
        </w:tabs>
        <w:kinsoku/>
        <w:wordWrap/>
        <w:overflowPunct/>
        <w:topLinePunct w:val="0"/>
        <w:autoSpaceDE/>
        <w:autoSpaceDN/>
        <w:bidi w:val="0"/>
        <w:adjustRightInd/>
        <w:spacing w:line="440" w:lineRule="exact"/>
        <w:ind w:left="0" w:leftChars="0" w:firstLine="420" w:firstLineChars="200"/>
        <w:textAlignment w:val="auto"/>
        <w:rPr>
          <w:rFonts w:hint="eastAsia" w:ascii="宋体" w:hAnsi="宋体" w:eastAsia="宋体" w:cs="宋体"/>
          <w:b/>
          <w:bCs/>
          <w:color w:val="auto"/>
          <w:szCs w:val="21"/>
          <w:highlight w:val="none"/>
          <w:lang w:eastAsia="zh-CN"/>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）供应商参加政府采购活动前3年内在经营活动中没有重大违法记录的书面声明（格式见附件，</w:t>
      </w:r>
      <w:r>
        <w:rPr>
          <w:rFonts w:hint="eastAsia" w:ascii="宋体" w:hAnsi="宋体" w:eastAsia="宋体" w:cs="宋体"/>
          <w:b/>
          <w:color w:val="auto"/>
          <w:szCs w:val="21"/>
          <w:highlight w:val="none"/>
        </w:rPr>
        <w:t>必须提供</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否则作无效响应处理</w:t>
      </w:r>
      <w:r>
        <w:rPr>
          <w:rFonts w:hint="eastAsia" w:ascii="宋体" w:hAnsi="宋体" w:eastAsia="宋体" w:cs="宋体"/>
          <w:b/>
          <w:color w:val="auto"/>
          <w:szCs w:val="21"/>
          <w:highlight w:val="none"/>
        </w:rPr>
        <w:t>）</w:t>
      </w:r>
      <w:r>
        <w:rPr>
          <w:rFonts w:hint="eastAsia" w:ascii="宋体" w:hAnsi="宋体" w:cs="宋体"/>
          <w:b/>
          <w:color w:val="auto"/>
          <w:szCs w:val="21"/>
          <w:highlight w:val="none"/>
          <w:lang w:eastAsia="zh-CN"/>
        </w:rPr>
        <w:t>；</w:t>
      </w:r>
    </w:p>
    <w:p w14:paraId="273DC93E">
      <w:pPr>
        <w:tabs>
          <w:tab w:val="left" w:pos="1305"/>
        </w:tabs>
        <w:spacing w:line="404"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）供应商的法人或者其他组织营业执照等证明文件</w:t>
      </w:r>
      <w:r>
        <w:rPr>
          <w:rFonts w:hint="eastAsia" w:ascii="宋体" w:hAnsi="宋体" w:cs="宋体"/>
          <w:color w:val="auto"/>
          <w:sz w:val="21"/>
          <w:szCs w:val="21"/>
          <w:highlight w:val="none"/>
          <w:lang w:eastAsia="zh-CN"/>
        </w:rPr>
        <w:t>扫描</w:t>
      </w:r>
      <w:r>
        <w:rPr>
          <w:rFonts w:hint="eastAsia" w:ascii="宋体" w:hAnsi="宋体" w:eastAsia="宋体" w:cs="宋体"/>
          <w:color w:val="auto"/>
          <w:sz w:val="21"/>
          <w:szCs w:val="21"/>
          <w:highlight w:val="none"/>
        </w:rPr>
        <w:t>件</w:t>
      </w:r>
      <w:r>
        <w:rPr>
          <w:rFonts w:hint="eastAsia" w:ascii="宋体" w:hAnsi="宋体" w:cs="宋体"/>
          <w:b/>
          <w:color w:val="auto"/>
          <w:kern w:val="0"/>
          <w:szCs w:val="21"/>
          <w:highlight w:val="none"/>
        </w:rPr>
        <w:t>（必须提供</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否则作无效响应处理</w:t>
      </w:r>
      <w:r>
        <w:rPr>
          <w:rFonts w:hint="eastAsia" w:ascii="宋体" w:hAnsi="宋体" w:cs="宋体"/>
          <w:b/>
          <w:color w:val="auto"/>
          <w:kern w:val="0"/>
          <w:szCs w:val="21"/>
          <w:highlight w:val="none"/>
        </w:rPr>
        <w:t>）</w:t>
      </w:r>
      <w:r>
        <w:rPr>
          <w:rFonts w:hint="eastAsia" w:ascii="宋体" w:hAnsi="宋体" w:eastAsia="宋体" w:cs="宋体"/>
          <w:color w:val="auto"/>
          <w:szCs w:val="21"/>
          <w:highlight w:val="none"/>
        </w:rPr>
        <w:t>；</w:t>
      </w:r>
    </w:p>
    <w:p w14:paraId="13A50EE2">
      <w:pPr>
        <w:pageBreakBefore w:val="0"/>
        <w:widowControl w:val="0"/>
        <w:tabs>
          <w:tab w:val="left" w:pos="1305"/>
        </w:tabs>
        <w:kinsoku/>
        <w:wordWrap/>
        <w:overflowPunct/>
        <w:topLinePunct w:val="0"/>
        <w:autoSpaceDE/>
        <w:autoSpaceDN/>
        <w:bidi w:val="0"/>
        <w:adjustRightInd/>
        <w:spacing w:line="440" w:lineRule="exact"/>
        <w:ind w:left="0" w:leftChars="0"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36FF7790">
      <w:pPr>
        <w:keepNext w:val="0"/>
        <w:keepLines w:val="0"/>
        <w:pageBreakBefore w:val="0"/>
        <w:tabs>
          <w:tab w:val="left" w:pos="1305"/>
        </w:tabs>
        <w:kinsoku/>
        <w:wordWrap/>
        <w:overflowPunct/>
        <w:topLinePunct w:val="0"/>
        <w:autoSpaceDE/>
        <w:autoSpaceDN/>
        <w:bidi w:val="0"/>
        <w:adjustRightInd/>
        <w:spacing w:line="400" w:lineRule="exact"/>
        <w:ind w:left="0" w:leftChars="0" w:firstLine="420" w:firstLineChars="200"/>
        <w:textAlignment w:val="auto"/>
        <w:rPr>
          <w:rFonts w:hint="eastAsia"/>
          <w:color w:val="auto"/>
          <w:highlight w:val="none"/>
        </w:rPr>
      </w:pPr>
      <w:r>
        <w:rPr>
          <w:rFonts w:hint="eastAsia" w:ascii="宋体" w:hAnsi="宋体" w:cs="宋体"/>
          <w:color w:val="auto"/>
          <w:szCs w:val="21"/>
          <w:highlight w:val="none"/>
          <w:lang w:val="en-US" w:eastAsia="zh-CN"/>
        </w:rPr>
        <w:t>（5）供应商依法缴纳税收的相关材料（响应截止时间前半年内任意1个月的依法缴纳税收的增值税发票（税收完税证明）或企业所得税完税证明或税务部门出具的免税证明或税务部门出具的无欠税证明材料扫描件等；从成立之日起到响应文件提交截止时间止不足要求月数的，只需提供从成立之日起的依法缴纳税收相应证明文件）</w:t>
      </w:r>
      <w:r>
        <w:rPr>
          <w:rFonts w:hint="eastAsia" w:ascii="宋体" w:hAnsi="宋体" w:cs="宋体"/>
          <w:b/>
          <w:color w:val="auto"/>
          <w:szCs w:val="21"/>
          <w:highlight w:val="none"/>
        </w:rPr>
        <w:t>（必须提供</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否则作无效响应处理</w:t>
      </w:r>
      <w:r>
        <w:rPr>
          <w:rFonts w:hint="eastAsia" w:ascii="宋体" w:hAnsi="宋体" w:cs="宋体"/>
          <w:b/>
          <w:color w:val="auto"/>
          <w:szCs w:val="21"/>
          <w:highlight w:val="none"/>
        </w:rPr>
        <w:t>）</w:t>
      </w:r>
      <w:r>
        <w:rPr>
          <w:rFonts w:hint="eastAsia" w:ascii="宋体" w:hAnsi="宋体" w:cs="宋体"/>
          <w:color w:val="auto"/>
          <w:szCs w:val="21"/>
          <w:highlight w:val="none"/>
        </w:rPr>
        <w:t>；</w:t>
      </w:r>
    </w:p>
    <w:p w14:paraId="0EC826D6">
      <w:pPr>
        <w:keepNext w:val="0"/>
        <w:pageBreakBefore w:val="0"/>
        <w:widowControl w:val="0"/>
        <w:tabs>
          <w:tab w:val="left" w:pos="1305"/>
        </w:tabs>
        <w:kinsoku/>
        <w:wordWrap/>
        <w:overflowPunct/>
        <w:topLinePunct w:val="0"/>
        <w:autoSpaceDE/>
        <w:autoSpaceDN/>
        <w:bidi w:val="0"/>
        <w:adjustRightInd/>
        <w:spacing w:line="44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w:t>
      </w:r>
      <w:r>
        <w:rPr>
          <w:rFonts w:hint="eastAsia" w:ascii="宋体" w:hAnsi="宋体" w:cs="宋体"/>
          <w:b w:val="0"/>
          <w:bCs/>
          <w:color w:val="auto"/>
          <w:szCs w:val="21"/>
          <w:highlight w:val="none"/>
          <w:lang w:eastAsia="zh-CN"/>
        </w:rPr>
        <w:t>供应商202</w:t>
      </w:r>
      <w:r>
        <w:rPr>
          <w:rFonts w:hint="eastAsia" w:ascii="宋体" w:hAnsi="宋体" w:cs="宋体"/>
          <w:b w:val="0"/>
          <w:bCs/>
          <w:color w:val="auto"/>
          <w:szCs w:val="21"/>
          <w:highlight w:val="none"/>
          <w:lang w:val="en-US" w:eastAsia="zh-CN"/>
        </w:rPr>
        <w:t>4</w:t>
      </w:r>
      <w:r>
        <w:rPr>
          <w:rFonts w:hint="eastAsia" w:ascii="宋体" w:hAnsi="宋体" w:cs="宋体"/>
          <w:b w:val="0"/>
          <w:bCs/>
          <w:color w:val="auto"/>
          <w:szCs w:val="21"/>
          <w:highlight w:val="none"/>
          <w:lang w:eastAsia="zh-CN"/>
        </w:rPr>
        <w:t>年度财务状况报告</w:t>
      </w:r>
      <w:r>
        <w:rPr>
          <w:rFonts w:hint="eastAsia" w:ascii="宋体" w:hAnsi="宋体" w:cs="宋体"/>
          <w:b/>
          <w:bCs w:val="0"/>
          <w:color w:val="auto"/>
          <w:szCs w:val="21"/>
          <w:highlight w:val="none"/>
          <w:lang w:eastAsia="zh-CN"/>
        </w:rPr>
        <w:t>（必须提供，</w:t>
      </w:r>
      <w:r>
        <w:rPr>
          <w:rFonts w:hint="eastAsia" w:ascii="宋体" w:hAnsi="宋体" w:cs="宋体"/>
          <w:b/>
          <w:bCs/>
          <w:color w:val="auto"/>
          <w:sz w:val="21"/>
          <w:szCs w:val="21"/>
          <w:highlight w:val="none"/>
          <w:lang w:val="en-US" w:eastAsia="zh-CN"/>
        </w:rPr>
        <w:t>否则作无效响应处理；</w:t>
      </w:r>
      <w:r>
        <w:rPr>
          <w:rFonts w:hint="eastAsia" w:ascii="宋体" w:hAnsi="宋体" w:cs="宋体"/>
          <w:b/>
          <w:bCs w:val="0"/>
          <w:color w:val="auto"/>
          <w:szCs w:val="21"/>
          <w:highlight w:val="none"/>
          <w:lang w:eastAsia="zh-CN"/>
        </w:rPr>
        <w:t>可以是供应商自行编制也可是通过第三方审计公司编制，如为自行编制至少须提供现金流量表、负债表及利润表。</w:t>
      </w:r>
      <w:r>
        <w:rPr>
          <w:rFonts w:hint="eastAsia" w:ascii="宋体" w:hAnsi="宋体" w:cs="宋体"/>
          <w:b/>
          <w:bCs w:val="0"/>
          <w:color w:val="auto"/>
          <w:szCs w:val="21"/>
          <w:highlight w:val="none"/>
          <w:lang w:val="en-US" w:eastAsia="zh-CN"/>
        </w:rPr>
        <w:t>供应商</w:t>
      </w:r>
      <w:r>
        <w:rPr>
          <w:rFonts w:hint="eastAsia" w:ascii="宋体" w:hAnsi="宋体" w:cs="宋体"/>
          <w:b/>
          <w:bCs w:val="0"/>
          <w:color w:val="auto"/>
          <w:szCs w:val="21"/>
          <w:highlight w:val="none"/>
          <w:lang w:eastAsia="zh-CN"/>
        </w:rPr>
        <w:t>属于成立时间在规定年度之后的法人或其他组织，</w:t>
      </w:r>
      <w:r>
        <w:rPr>
          <w:rFonts w:hint="eastAsia" w:ascii="宋体" w:hAnsi="宋体" w:cs="宋体"/>
          <w:b/>
          <w:bCs/>
          <w:color w:val="auto"/>
          <w:sz w:val="21"/>
          <w:szCs w:val="21"/>
          <w:highlight w:val="none"/>
        </w:rPr>
        <w:t>则无需提供</w:t>
      </w:r>
      <w:r>
        <w:rPr>
          <w:rFonts w:hint="eastAsia" w:ascii="宋体" w:hAnsi="宋体" w:cs="宋体"/>
          <w:b/>
          <w:bCs w:val="0"/>
          <w:color w:val="auto"/>
          <w:szCs w:val="21"/>
          <w:highlight w:val="none"/>
          <w:lang w:eastAsia="zh-CN"/>
        </w:rPr>
        <w:t>）</w:t>
      </w:r>
      <w:r>
        <w:rPr>
          <w:rFonts w:hint="eastAsia" w:ascii="宋体" w:hAnsi="宋体" w:eastAsia="宋体" w:cs="宋体"/>
          <w:b/>
          <w:bCs/>
          <w:color w:val="auto"/>
          <w:sz w:val="21"/>
          <w:szCs w:val="21"/>
          <w:highlight w:val="none"/>
        </w:rPr>
        <w:t>；</w:t>
      </w:r>
    </w:p>
    <w:p w14:paraId="74D9CA88">
      <w:pPr>
        <w:keepNext w:val="0"/>
        <w:keepLines w:val="0"/>
        <w:pageBreakBefore w:val="0"/>
        <w:tabs>
          <w:tab w:val="left" w:pos="1305"/>
        </w:tabs>
        <w:kinsoku/>
        <w:wordWrap/>
        <w:overflowPunct/>
        <w:topLinePunct w:val="0"/>
        <w:bidi w:val="0"/>
        <w:adjustRightInd/>
        <w:spacing w:line="420" w:lineRule="exact"/>
        <w:ind w:firstLine="420" w:firstLineChars="200"/>
        <w:rPr>
          <w:rFonts w:hint="eastAsia" w:ascii="宋体" w:hAnsi="宋体" w:cs="宋体"/>
          <w:b/>
          <w:bCs w:val="0"/>
          <w:color w:val="auto"/>
          <w:szCs w:val="21"/>
          <w:highlight w:val="none"/>
          <w:lang w:eastAsia="zh-CN"/>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w:t>
      </w:r>
      <w:r>
        <w:rPr>
          <w:rFonts w:hint="eastAsia" w:ascii="宋体" w:hAnsi="宋体" w:cs="宋体"/>
          <w:b w:val="0"/>
          <w:bCs/>
          <w:color w:val="auto"/>
          <w:szCs w:val="21"/>
          <w:highlight w:val="none"/>
          <w:lang w:eastAsia="zh-CN"/>
        </w:rPr>
        <w:t>供应商依法缴纳社会保障资金的相关材料</w:t>
      </w:r>
      <w:r>
        <w:rPr>
          <w:rFonts w:hint="eastAsia" w:ascii="宋体" w:hAnsi="宋体" w:cs="宋体"/>
          <w:b/>
          <w:bCs w:val="0"/>
          <w:color w:val="auto"/>
          <w:szCs w:val="21"/>
          <w:highlight w:val="none"/>
          <w:lang w:eastAsia="zh-CN"/>
        </w:rPr>
        <w:t>（必须提供</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否则作无效响应处理</w:t>
      </w:r>
      <w:r>
        <w:rPr>
          <w:rFonts w:hint="eastAsia" w:ascii="宋体" w:hAnsi="宋体" w:cs="宋体"/>
          <w:b/>
          <w:bCs w:val="0"/>
          <w:color w:val="auto"/>
          <w:szCs w:val="21"/>
          <w:highlight w:val="none"/>
          <w:lang w:eastAsia="zh-CN"/>
        </w:rPr>
        <w:t>）；　</w:t>
      </w:r>
    </w:p>
    <w:p w14:paraId="771F1E65">
      <w:pPr>
        <w:keepNext w:val="0"/>
        <w:pageBreakBefore w:val="0"/>
        <w:widowControl w:val="0"/>
        <w:tabs>
          <w:tab w:val="left" w:pos="1305"/>
        </w:tabs>
        <w:kinsoku/>
        <w:wordWrap/>
        <w:overflowPunct/>
        <w:topLinePunct w:val="0"/>
        <w:autoSpaceDE/>
        <w:autoSpaceDN/>
        <w:bidi w:val="0"/>
        <w:adjustRightInd/>
        <w:spacing w:line="44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cs="宋体"/>
          <w:b w:val="0"/>
          <w:bCs/>
          <w:color w:val="auto"/>
          <w:szCs w:val="21"/>
          <w:highlight w:val="none"/>
          <w:lang w:eastAsia="zh-CN"/>
        </w:rPr>
        <w:t>注：供应商必须提供2025年以来任意1个月的依法缴纳社会保障资金的缴费证明材料（如：专用收据、养老保险税收完税证明、社会保险缴纳清单或者社保部门的证明）</w:t>
      </w:r>
      <w:r>
        <w:rPr>
          <w:rFonts w:hint="eastAsia" w:ascii="宋体" w:hAnsi="宋体" w:cs="宋体"/>
          <w:b w:val="0"/>
          <w:bCs/>
          <w:color w:val="auto"/>
          <w:szCs w:val="21"/>
          <w:highlight w:val="none"/>
          <w:lang w:val="en-US" w:eastAsia="zh-CN"/>
        </w:rPr>
        <w:t>扫描件</w:t>
      </w:r>
      <w:r>
        <w:rPr>
          <w:rFonts w:hint="eastAsia" w:ascii="宋体" w:hAnsi="宋体" w:cs="宋体"/>
          <w:b w:val="0"/>
          <w:bCs/>
          <w:color w:val="auto"/>
          <w:szCs w:val="21"/>
          <w:highlight w:val="none"/>
          <w:lang w:eastAsia="zh-CN"/>
        </w:rPr>
        <w:t>；依法不需要缴纳社会保障资金的供应商，必须提供相应文件证明不需要缴纳社会保障资金。从成立之日起到投标文件提交截止时间止不足要求月数的，则无需提交。</w:t>
      </w:r>
    </w:p>
    <w:p w14:paraId="1ACD467C">
      <w:pPr>
        <w:keepNext w:val="0"/>
        <w:pageBreakBefore w:val="0"/>
        <w:widowControl w:val="0"/>
        <w:tabs>
          <w:tab w:val="left" w:pos="1305"/>
        </w:tabs>
        <w:kinsoku/>
        <w:wordWrap/>
        <w:overflowPunct/>
        <w:topLinePunct w:val="0"/>
        <w:autoSpaceDE/>
        <w:autoSpaceDN/>
        <w:bidi w:val="0"/>
        <w:adjustRightInd/>
        <w:spacing w:line="440" w:lineRule="exact"/>
        <w:ind w:left="0" w:leftChars="0"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cs="宋体"/>
          <w:b w:val="0"/>
          <w:bCs w:val="0"/>
          <w:color w:val="auto"/>
          <w:kern w:val="2"/>
          <w:sz w:val="21"/>
          <w:szCs w:val="21"/>
          <w:highlight w:val="none"/>
          <w:lang w:val="en-US" w:eastAsia="zh-CN" w:bidi="ar-SA"/>
        </w:rPr>
        <w:t>（8）</w:t>
      </w:r>
      <w:r>
        <w:rPr>
          <w:rFonts w:hint="eastAsia" w:ascii="宋体" w:hAnsi="宋体" w:cs="宋体"/>
          <w:b w:val="0"/>
          <w:bCs/>
          <w:color w:val="auto"/>
          <w:szCs w:val="21"/>
          <w:highlight w:val="none"/>
          <w:lang w:eastAsia="zh-CN"/>
        </w:rPr>
        <w:t>投标声明</w:t>
      </w:r>
      <w:r>
        <w:rPr>
          <w:rFonts w:hint="eastAsia" w:ascii="宋体" w:hAnsi="宋体" w:cs="宋体"/>
          <w:b/>
          <w:bCs w:val="0"/>
          <w:color w:val="auto"/>
          <w:szCs w:val="21"/>
          <w:highlight w:val="none"/>
          <w:lang w:eastAsia="zh-CN"/>
        </w:rPr>
        <w:t>（必须提供</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否则作无效响应处理</w:t>
      </w:r>
      <w:r>
        <w:rPr>
          <w:rFonts w:hint="eastAsia" w:ascii="宋体" w:hAnsi="宋体" w:cs="宋体"/>
          <w:b/>
          <w:bCs w:val="0"/>
          <w:color w:val="auto"/>
          <w:szCs w:val="21"/>
          <w:highlight w:val="none"/>
          <w:lang w:eastAsia="zh-CN"/>
        </w:rPr>
        <w:t>）；</w:t>
      </w:r>
    </w:p>
    <w:p w14:paraId="6DE6A91D">
      <w:pPr>
        <w:keepNext w:val="0"/>
        <w:pageBreakBefore w:val="0"/>
        <w:widowControl w:val="0"/>
        <w:tabs>
          <w:tab w:val="left" w:pos="1305"/>
        </w:tabs>
        <w:kinsoku/>
        <w:wordWrap/>
        <w:overflowPunct/>
        <w:topLinePunct w:val="0"/>
        <w:autoSpaceDE/>
        <w:autoSpaceDN/>
        <w:bidi w:val="0"/>
        <w:adjustRightInd/>
        <w:spacing w:line="440" w:lineRule="exact"/>
        <w:ind w:left="0" w:leftChars="0" w:firstLine="420" w:firstLineChars="200"/>
        <w:textAlignment w:val="auto"/>
        <w:rPr>
          <w:rFonts w:hint="default" w:ascii="宋体" w:hAnsi="宋体" w:eastAsia="宋体" w:cs="宋体"/>
          <w:b w:val="0"/>
          <w:bCs w:val="0"/>
          <w:color w:val="auto"/>
          <w:kern w:val="2"/>
          <w:sz w:val="21"/>
          <w:szCs w:val="21"/>
          <w:highlight w:val="none"/>
          <w:lang w:val="en-US" w:eastAsia="zh-CN" w:bidi="ar-SA"/>
        </w:rPr>
      </w:pPr>
      <w:r>
        <w:rPr>
          <w:rFonts w:hint="eastAsia" w:ascii="宋体" w:hAnsi="宋体" w:cs="宋体"/>
          <w:b w:val="0"/>
          <w:bCs w:val="0"/>
          <w:color w:val="auto"/>
          <w:kern w:val="2"/>
          <w:sz w:val="21"/>
          <w:szCs w:val="21"/>
          <w:highlight w:val="none"/>
          <w:lang w:val="en-US" w:eastAsia="zh-CN" w:bidi="ar-SA"/>
        </w:rPr>
        <w:t>（9）</w:t>
      </w:r>
      <w:r>
        <w:rPr>
          <w:rFonts w:hint="eastAsia" w:ascii="宋体" w:hAnsi="宋体" w:cs="宋体"/>
          <w:b w:val="0"/>
          <w:bCs/>
          <w:color w:val="auto"/>
          <w:szCs w:val="21"/>
          <w:highlight w:val="none"/>
          <w:lang w:eastAsia="zh-CN"/>
        </w:rPr>
        <w:t>供应商参加本项目无围标串标行为的承诺函</w:t>
      </w:r>
      <w:r>
        <w:rPr>
          <w:rFonts w:hint="eastAsia" w:ascii="宋体" w:hAnsi="宋体" w:cs="宋体"/>
          <w:b/>
          <w:bCs w:val="0"/>
          <w:color w:val="auto"/>
          <w:szCs w:val="21"/>
          <w:highlight w:val="none"/>
          <w:lang w:eastAsia="zh-CN"/>
        </w:rPr>
        <w:t>（必须提供</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否则作无效响应处理</w:t>
      </w:r>
      <w:r>
        <w:rPr>
          <w:rFonts w:hint="eastAsia" w:ascii="宋体" w:hAnsi="宋体" w:cs="宋体"/>
          <w:b/>
          <w:bCs w:val="0"/>
          <w:color w:val="auto"/>
          <w:szCs w:val="21"/>
          <w:highlight w:val="none"/>
          <w:lang w:eastAsia="zh-CN"/>
        </w:rPr>
        <w:t>）；</w:t>
      </w:r>
    </w:p>
    <w:p w14:paraId="4C586ABF">
      <w:pPr>
        <w:keepNext w:val="0"/>
        <w:pageBreakBefore w:val="0"/>
        <w:widowControl w:val="0"/>
        <w:tabs>
          <w:tab w:val="left" w:pos="1305"/>
        </w:tabs>
        <w:kinsoku/>
        <w:wordWrap/>
        <w:overflowPunct/>
        <w:topLinePunct w:val="0"/>
        <w:autoSpaceDE/>
        <w:autoSpaceDN/>
        <w:bidi w:val="0"/>
        <w:adjustRightInd/>
        <w:spacing w:line="440" w:lineRule="exact"/>
        <w:ind w:left="0" w:leftChars="0" w:firstLine="420" w:firstLineChars="200"/>
        <w:textAlignment w:val="auto"/>
        <w:rPr>
          <w:rFonts w:hint="eastAsia" w:ascii="宋体" w:hAnsi="宋体" w:cs="宋体"/>
          <w:color w:val="auto"/>
          <w:szCs w:val="21"/>
          <w:highlight w:val="none"/>
          <w:lang w:eastAsia="zh-CN"/>
        </w:rPr>
      </w:pPr>
      <w:r>
        <w:rPr>
          <w:rFonts w:hint="eastAsia" w:ascii="宋体" w:hAnsi="宋体" w:cs="宋体"/>
          <w:b w:val="0"/>
          <w:bCs w:val="0"/>
          <w:color w:val="auto"/>
          <w:kern w:val="2"/>
          <w:sz w:val="21"/>
          <w:szCs w:val="21"/>
          <w:highlight w:val="none"/>
          <w:lang w:val="en-US" w:eastAsia="zh-CN" w:bidi="ar-SA"/>
        </w:rPr>
        <w:t>（10）</w:t>
      </w:r>
      <w:r>
        <w:rPr>
          <w:rFonts w:hint="eastAsia" w:ascii="宋体" w:hAnsi="宋体" w:eastAsia="宋体" w:cs="宋体"/>
          <w:b w:val="0"/>
          <w:bCs w:val="0"/>
          <w:color w:val="auto"/>
          <w:kern w:val="2"/>
          <w:sz w:val="21"/>
          <w:szCs w:val="21"/>
          <w:highlight w:val="none"/>
          <w:lang w:val="en-US" w:eastAsia="zh-CN" w:bidi="ar-SA"/>
        </w:rPr>
        <w:t>中小微企业或监狱企业或残疾人福利性单位的证明材料</w:t>
      </w:r>
      <w:r>
        <w:rPr>
          <w:rFonts w:hint="eastAsia" w:ascii="宋体" w:hAnsi="宋体" w:eastAsia="宋体"/>
          <w:b w:val="0"/>
          <w:bCs w:val="0"/>
          <w:color w:val="auto"/>
          <w:kern w:val="2"/>
          <w:sz w:val="21"/>
          <w:szCs w:val="21"/>
          <w:highlight w:val="none"/>
          <w:lang w:val="en-US" w:eastAsia="zh-CN" w:bidi="ar-SA"/>
        </w:rPr>
        <w:t>【如属于中小型、微型企业的，应当提供《中小企业声明函》，</w:t>
      </w:r>
      <w:r>
        <w:rPr>
          <w:rFonts w:hint="eastAsia" w:ascii="宋体" w:hAnsi="宋体" w:eastAsia="宋体" w:cs="宋体"/>
          <w:b w:val="0"/>
          <w:bCs w:val="0"/>
          <w:color w:val="auto"/>
          <w:kern w:val="2"/>
          <w:sz w:val="21"/>
          <w:szCs w:val="21"/>
          <w:highlight w:val="none"/>
          <w:lang w:val="en-US" w:eastAsia="zh-CN" w:bidi="ar-SA"/>
        </w:rPr>
        <w:t>以提供中小企业声明函为准</w:t>
      </w:r>
      <w:r>
        <w:rPr>
          <w:rFonts w:hint="eastAsia" w:ascii="宋体" w:hAnsi="宋体" w:eastAsia="宋体"/>
          <w:b w:val="0"/>
          <w:bCs w:val="0"/>
          <w:color w:val="auto"/>
          <w:kern w:val="2"/>
          <w:sz w:val="21"/>
          <w:szCs w:val="21"/>
          <w:highlight w:val="none"/>
          <w:lang w:val="en-US" w:eastAsia="zh-CN" w:bidi="ar-SA"/>
        </w:rPr>
        <w:t>；如符合条件的残疾人福利性单位的，应当提供《残疾人福利性单位声明函》；如属于监狱企业的，应当提供由省级以上监狱管理局、戒毒管理局(含新疆生产建设兵团)出具的属于监狱企业的证明文件，</w:t>
      </w:r>
      <w:r>
        <w:rPr>
          <w:rFonts w:hint="eastAsia" w:ascii="宋体" w:hAnsi="宋体" w:eastAsia="宋体" w:cs="宋体"/>
          <w:b w:val="0"/>
          <w:bCs w:val="0"/>
          <w:color w:val="auto"/>
          <w:kern w:val="2"/>
          <w:sz w:val="21"/>
          <w:szCs w:val="21"/>
          <w:highlight w:val="none"/>
          <w:lang w:val="en-US" w:eastAsia="zh-CN" w:bidi="ar-SA"/>
        </w:rPr>
        <w:t>采购人或者其委托的采购代理机构应当随</w:t>
      </w:r>
      <w:r>
        <w:rPr>
          <w:rFonts w:hint="eastAsia" w:ascii="宋体" w:hAnsi="宋体" w:cs="宋体"/>
          <w:b w:val="0"/>
          <w:bCs w:val="0"/>
          <w:color w:val="auto"/>
          <w:kern w:val="2"/>
          <w:sz w:val="21"/>
          <w:szCs w:val="21"/>
          <w:highlight w:val="none"/>
          <w:lang w:val="en-US" w:eastAsia="zh-CN" w:bidi="ar-SA"/>
        </w:rPr>
        <w:t>成交</w:t>
      </w:r>
      <w:r>
        <w:rPr>
          <w:rFonts w:hint="eastAsia" w:ascii="宋体" w:hAnsi="宋体" w:eastAsia="宋体" w:cs="宋体"/>
          <w:b w:val="0"/>
          <w:bCs w:val="0"/>
          <w:color w:val="auto"/>
          <w:kern w:val="2"/>
          <w:sz w:val="21"/>
          <w:szCs w:val="21"/>
          <w:highlight w:val="none"/>
          <w:lang w:val="en-US" w:eastAsia="zh-CN" w:bidi="ar-SA"/>
        </w:rPr>
        <w:t>结果同时公告企业《中小企业声明函》</w:t>
      </w:r>
      <w:r>
        <w:rPr>
          <w:rFonts w:hint="eastAsia" w:ascii="宋体" w:hAnsi="宋体" w:eastAsia="宋体"/>
          <w:b w:val="0"/>
          <w:bCs w:val="0"/>
          <w:color w:val="auto"/>
          <w:kern w:val="2"/>
          <w:sz w:val="21"/>
          <w:szCs w:val="21"/>
          <w:highlight w:val="none"/>
          <w:lang w:val="en-US" w:eastAsia="zh-CN" w:bidi="ar-SA"/>
        </w:rPr>
        <w:t>或《残疾人福利性单位声明函》或监狱企业的证明文件</w:t>
      </w:r>
      <w:r>
        <w:rPr>
          <w:rFonts w:hint="eastAsia" w:ascii="宋体" w:hAnsi="宋体" w:eastAsia="宋体" w:cs="宋体"/>
          <w:b w:val="0"/>
          <w:bCs w:val="0"/>
          <w:color w:val="auto"/>
          <w:kern w:val="2"/>
          <w:sz w:val="21"/>
          <w:szCs w:val="21"/>
          <w:highlight w:val="none"/>
          <w:lang w:val="en-US" w:eastAsia="zh-CN" w:bidi="ar-SA"/>
        </w:rPr>
        <w:t>，接受社会监督</w:t>
      </w:r>
      <w:r>
        <w:rPr>
          <w:rFonts w:hint="eastAsia" w:ascii="宋体" w:hAnsi="宋体" w:eastAsia="宋体"/>
          <w:b w:val="0"/>
          <w:bCs w:val="0"/>
          <w:color w:val="auto"/>
          <w:kern w:val="2"/>
          <w:sz w:val="21"/>
          <w:szCs w:val="21"/>
          <w:highlight w:val="none"/>
          <w:lang w:val="en-US" w:eastAsia="zh-CN" w:bidi="ar-SA"/>
        </w:rPr>
        <w:t>】</w:t>
      </w:r>
      <w:r>
        <w:rPr>
          <w:rFonts w:hint="eastAsia" w:ascii="宋体" w:hAnsi="宋体" w:eastAsia="宋体" w:cs="宋体"/>
          <w:b/>
          <w:color w:val="auto"/>
          <w:sz w:val="21"/>
          <w:szCs w:val="21"/>
          <w:highlight w:val="none"/>
        </w:rPr>
        <w:t>（</w:t>
      </w:r>
      <w:r>
        <w:rPr>
          <w:rFonts w:hint="eastAsia" w:ascii="宋体" w:hAnsi="宋体" w:eastAsia="宋体" w:cs="宋体"/>
          <w:b/>
          <w:bCs/>
          <w:color w:val="auto"/>
          <w:szCs w:val="21"/>
          <w:highlight w:val="none"/>
        </w:rPr>
        <w:t>如有，请提供</w:t>
      </w:r>
      <w:r>
        <w:rPr>
          <w:rFonts w:hint="eastAsia" w:ascii="宋体" w:hAnsi="宋体" w:eastAsia="宋体" w:cs="宋体"/>
          <w:b/>
          <w:color w:val="auto"/>
          <w:sz w:val="21"/>
          <w:szCs w:val="21"/>
          <w:highlight w:val="none"/>
        </w:rPr>
        <w:t>）</w:t>
      </w:r>
      <w:r>
        <w:rPr>
          <w:rFonts w:hint="eastAsia" w:ascii="宋体" w:hAnsi="宋体" w:cs="宋体"/>
          <w:b/>
          <w:color w:val="auto"/>
          <w:sz w:val="21"/>
          <w:szCs w:val="21"/>
          <w:highlight w:val="none"/>
          <w:lang w:eastAsia="zh-CN"/>
        </w:rPr>
        <w:t>；</w:t>
      </w:r>
    </w:p>
    <w:p w14:paraId="7D7A1640">
      <w:pPr>
        <w:pageBreakBefore w:val="0"/>
        <w:widowControl w:val="0"/>
        <w:tabs>
          <w:tab w:val="left" w:pos="1305"/>
        </w:tabs>
        <w:kinsoku/>
        <w:wordWrap/>
        <w:overflowPunct/>
        <w:topLinePunct w:val="0"/>
        <w:autoSpaceDE/>
        <w:autoSpaceDN/>
        <w:bidi w:val="0"/>
        <w:adjustRightInd/>
        <w:spacing w:line="440" w:lineRule="exact"/>
        <w:ind w:left="0" w:lef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11</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供应商可结合本项目的评标办法视自身情况自行提交相关证明材料</w:t>
      </w:r>
      <w:r>
        <w:rPr>
          <w:rFonts w:hint="eastAsia" w:ascii="宋体" w:hAnsi="宋体" w:eastAsia="宋体" w:cs="宋体"/>
          <w:b/>
          <w:bCs/>
          <w:color w:val="auto"/>
          <w:szCs w:val="21"/>
          <w:highlight w:val="none"/>
        </w:rPr>
        <w:t>（如有，请提供）</w:t>
      </w:r>
      <w:r>
        <w:rPr>
          <w:rFonts w:hint="eastAsia" w:ascii="宋体" w:hAnsi="宋体" w:eastAsia="宋体" w:cs="宋体"/>
          <w:color w:val="auto"/>
          <w:szCs w:val="21"/>
          <w:highlight w:val="none"/>
        </w:rPr>
        <w:t>。</w:t>
      </w:r>
    </w:p>
    <w:p w14:paraId="5198E445">
      <w:pPr>
        <w:pageBreakBefore w:val="0"/>
        <w:widowControl w:val="0"/>
        <w:tabs>
          <w:tab w:val="left" w:pos="1305"/>
        </w:tabs>
        <w:kinsoku/>
        <w:wordWrap/>
        <w:overflowPunct/>
        <w:topLinePunct w:val="0"/>
        <w:autoSpaceDE/>
        <w:autoSpaceDN/>
        <w:bidi w:val="0"/>
        <w:adjustRightInd/>
        <w:spacing w:line="440" w:lineRule="exact"/>
        <w:ind w:left="0" w:leftChars="0" w:firstLine="422" w:firstLineChars="200"/>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11.</w:t>
      </w:r>
      <w:r>
        <w:rPr>
          <w:rFonts w:hint="eastAsia" w:ascii="宋体" w:hAnsi="宋体" w:cs="宋体"/>
          <w:b/>
          <w:bCs/>
          <w:color w:val="auto"/>
          <w:szCs w:val="21"/>
          <w:highlight w:val="none"/>
          <w:lang w:val="en-US" w:eastAsia="zh-CN"/>
        </w:rPr>
        <w:t>1</w:t>
      </w:r>
      <w:r>
        <w:rPr>
          <w:rFonts w:hint="eastAsia" w:ascii="宋体" w:hAnsi="宋体" w:eastAsia="宋体" w:cs="宋体"/>
          <w:b/>
          <w:bCs/>
          <w:color w:val="auto"/>
          <w:szCs w:val="21"/>
          <w:highlight w:val="none"/>
          <w:lang w:val="en-US" w:eastAsia="zh-CN"/>
        </w:rPr>
        <w:t>.2商务、技术性响应及其他证明材料</w:t>
      </w:r>
    </w:p>
    <w:p w14:paraId="1BED4D1F">
      <w:pPr>
        <w:pageBreakBefore w:val="0"/>
        <w:widowControl w:val="0"/>
        <w:tabs>
          <w:tab w:val="left" w:pos="1305"/>
        </w:tabs>
        <w:kinsoku/>
        <w:wordWrap/>
        <w:overflowPunct/>
        <w:topLinePunct w:val="0"/>
        <w:autoSpaceDE/>
        <w:autoSpaceDN/>
        <w:bidi w:val="0"/>
        <w:adjustRightInd/>
        <w:spacing w:line="440" w:lineRule="exact"/>
        <w:ind w:left="0" w:leftChars="0" w:firstLine="422" w:firstLineChars="200"/>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符合性响应证明材料：</w:t>
      </w:r>
    </w:p>
    <w:p w14:paraId="097B1078">
      <w:pPr>
        <w:pageBreakBefore w:val="0"/>
        <w:widowControl w:val="0"/>
        <w:tabs>
          <w:tab w:val="left" w:pos="1305"/>
        </w:tabs>
        <w:kinsoku/>
        <w:wordWrap/>
        <w:overflowPunct/>
        <w:topLinePunct w:val="0"/>
        <w:autoSpaceDE/>
        <w:autoSpaceDN/>
        <w:bidi w:val="0"/>
        <w:adjustRightInd/>
        <w:spacing w:line="440" w:lineRule="exact"/>
        <w:ind w:left="0" w:leftChars="0"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响应函</w:t>
      </w:r>
      <w:r>
        <w:rPr>
          <w:rFonts w:hint="eastAsia" w:ascii="宋体" w:hAnsi="宋体" w:eastAsia="宋体" w:cs="宋体"/>
          <w:b/>
          <w:color w:val="auto"/>
          <w:szCs w:val="21"/>
          <w:highlight w:val="none"/>
        </w:rPr>
        <w:t>（格式见附件，必须提供</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否则作无效响应处理</w:t>
      </w:r>
      <w:r>
        <w:rPr>
          <w:rFonts w:hint="eastAsia" w:ascii="宋体" w:hAnsi="宋体" w:eastAsia="宋体" w:cs="宋体"/>
          <w:b/>
          <w:color w:val="auto"/>
          <w:szCs w:val="21"/>
          <w:highlight w:val="none"/>
        </w:rPr>
        <w:t>）；</w:t>
      </w:r>
    </w:p>
    <w:p w14:paraId="328E8CCA">
      <w:pPr>
        <w:pageBreakBefore w:val="0"/>
        <w:widowControl w:val="0"/>
        <w:tabs>
          <w:tab w:val="left" w:pos="1305"/>
        </w:tabs>
        <w:kinsoku/>
        <w:wordWrap/>
        <w:overflowPunct/>
        <w:topLinePunct w:val="0"/>
        <w:autoSpaceDE/>
        <w:autoSpaceDN/>
        <w:bidi w:val="0"/>
        <w:adjustRightInd/>
        <w:spacing w:line="440" w:lineRule="exact"/>
        <w:ind w:left="0" w:leftChars="0" w:firstLine="420" w:firstLineChars="200"/>
        <w:textAlignment w:val="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磋商报价表</w:t>
      </w:r>
      <w:r>
        <w:rPr>
          <w:rFonts w:hint="eastAsia" w:ascii="宋体" w:hAnsi="宋体" w:eastAsia="宋体" w:cs="宋体"/>
          <w:b/>
          <w:color w:val="auto"/>
          <w:szCs w:val="21"/>
          <w:highlight w:val="none"/>
        </w:rPr>
        <w:t>（格式见附件，必须提供</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否则作无效响应处理</w:t>
      </w:r>
      <w:r>
        <w:rPr>
          <w:rFonts w:hint="eastAsia" w:ascii="宋体" w:hAnsi="宋体" w:eastAsia="宋体" w:cs="宋体"/>
          <w:b/>
          <w:color w:val="auto"/>
          <w:szCs w:val="21"/>
          <w:highlight w:val="none"/>
        </w:rPr>
        <w:t>）</w:t>
      </w:r>
      <w:r>
        <w:rPr>
          <w:rFonts w:hint="eastAsia" w:ascii="宋体" w:hAnsi="宋体" w:eastAsia="宋体" w:cs="宋体"/>
          <w:color w:val="auto"/>
          <w:szCs w:val="21"/>
          <w:highlight w:val="none"/>
        </w:rPr>
        <w:t>；</w:t>
      </w:r>
    </w:p>
    <w:p w14:paraId="1472FAF8">
      <w:pPr>
        <w:keepNext w:val="0"/>
        <w:pageBreakBefore w:val="0"/>
        <w:widowControl w:val="0"/>
        <w:tabs>
          <w:tab w:val="left" w:pos="1305"/>
        </w:tabs>
        <w:kinsoku/>
        <w:wordWrap/>
        <w:overflowPunct/>
        <w:topLinePunct w:val="0"/>
        <w:autoSpaceDE/>
        <w:autoSpaceDN/>
        <w:bidi w:val="0"/>
        <w:adjustRightInd/>
        <w:spacing w:line="440" w:lineRule="exact"/>
        <w:ind w:left="0" w:leftChars="0" w:firstLine="420" w:firstLineChars="200"/>
        <w:textAlignment w:val="auto"/>
        <w:rPr>
          <w:rFonts w:hint="eastAsia" w:ascii="宋体"/>
          <w:color w:val="auto"/>
          <w:szCs w:val="20"/>
          <w:highlight w:val="none"/>
        </w:rPr>
      </w:pPr>
      <w:r>
        <w:rPr>
          <w:rFonts w:hint="eastAsia" w:ascii="宋体"/>
          <w:color w:val="auto"/>
          <w:szCs w:val="20"/>
          <w:highlight w:val="none"/>
        </w:rPr>
        <w:t>（</w:t>
      </w:r>
      <w:r>
        <w:rPr>
          <w:rFonts w:hint="eastAsia" w:ascii="宋体"/>
          <w:color w:val="auto"/>
          <w:szCs w:val="20"/>
          <w:highlight w:val="none"/>
          <w:lang w:val="en-US" w:eastAsia="zh-CN"/>
        </w:rPr>
        <w:t>3</w:t>
      </w:r>
      <w:r>
        <w:rPr>
          <w:rFonts w:hint="eastAsia" w:ascii="宋体"/>
          <w:color w:val="auto"/>
          <w:szCs w:val="20"/>
          <w:highlight w:val="none"/>
        </w:rPr>
        <w:t>）</w:t>
      </w:r>
      <w:r>
        <w:rPr>
          <w:rFonts w:hint="eastAsia" w:ascii="宋体" w:hAnsi="宋体" w:eastAsiaTheme="majorEastAsia"/>
          <w:color w:val="auto"/>
          <w:szCs w:val="21"/>
          <w:highlight w:val="none"/>
          <w:lang w:eastAsia="zh-CN"/>
        </w:rPr>
        <w:t>采购需求响应表</w:t>
      </w:r>
      <w:r>
        <w:rPr>
          <w:rFonts w:hint="eastAsia"/>
          <w:b/>
          <w:bCs/>
          <w:color w:val="auto"/>
          <w:highlight w:val="none"/>
          <w:lang w:eastAsia="zh-CN"/>
        </w:rPr>
        <w:t>（必须提供</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否则作无效响应处理</w:t>
      </w:r>
      <w:r>
        <w:rPr>
          <w:rFonts w:hint="eastAsia"/>
          <w:b/>
          <w:bCs/>
          <w:color w:val="auto"/>
          <w:highlight w:val="none"/>
          <w:lang w:eastAsia="zh-CN"/>
        </w:rPr>
        <w:t>）；</w:t>
      </w:r>
    </w:p>
    <w:p w14:paraId="3959AFCB">
      <w:pPr>
        <w:keepNext w:val="0"/>
        <w:pageBreakBefore w:val="0"/>
        <w:widowControl w:val="0"/>
        <w:tabs>
          <w:tab w:val="left" w:pos="1305"/>
        </w:tabs>
        <w:kinsoku/>
        <w:wordWrap/>
        <w:overflowPunct/>
        <w:topLinePunct w:val="0"/>
        <w:autoSpaceDE/>
        <w:autoSpaceDN/>
        <w:bidi w:val="0"/>
        <w:adjustRightInd/>
        <w:spacing w:line="440" w:lineRule="exact"/>
        <w:ind w:left="0" w:leftChars="0" w:firstLine="420" w:firstLineChars="200"/>
        <w:textAlignment w:val="auto"/>
        <w:rPr>
          <w:rFonts w:hint="eastAsia" w:ascii="宋体" w:hAnsi="宋体"/>
          <w:b/>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4</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项目技术设计书</w:t>
      </w:r>
      <w:r>
        <w:rPr>
          <w:rFonts w:hint="eastAsia" w:hAnsi="宋体" w:cs="宋体"/>
          <w:color w:val="auto"/>
          <w:szCs w:val="21"/>
          <w:highlight w:val="none"/>
        </w:rPr>
        <w:t>（由</w:t>
      </w:r>
      <w:r>
        <w:rPr>
          <w:rFonts w:hint="eastAsia" w:hAnsi="宋体" w:cs="宋体"/>
          <w:color w:val="auto"/>
          <w:szCs w:val="21"/>
          <w:highlight w:val="none"/>
          <w:lang w:eastAsia="zh-CN"/>
        </w:rPr>
        <w:t>供应商</w:t>
      </w:r>
      <w:r>
        <w:rPr>
          <w:rFonts w:hint="eastAsia" w:hAnsi="宋体" w:cs="宋体"/>
          <w:color w:val="auto"/>
          <w:szCs w:val="21"/>
          <w:highlight w:val="none"/>
        </w:rPr>
        <w:t>根据项目实际情况和采购需求自行编制，格式自拟）</w:t>
      </w:r>
      <w:r>
        <w:rPr>
          <w:rFonts w:hint="eastAsia" w:ascii="宋体" w:hAnsi="宋体"/>
          <w:b/>
          <w:color w:val="auto"/>
          <w:szCs w:val="21"/>
          <w:highlight w:val="none"/>
        </w:rPr>
        <w:t>（</w:t>
      </w:r>
      <w:r>
        <w:rPr>
          <w:rFonts w:hint="eastAsia" w:ascii="宋体" w:hAnsi="宋体" w:cs="宋体"/>
          <w:b/>
          <w:bCs/>
          <w:color w:val="auto"/>
          <w:szCs w:val="21"/>
          <w:highlight w:val="none"/>
          <w:u w:val="none"/>
        </w:rPr>
        <w:t>如有，请提供</w:t>
      </w:r>
      <w:r>
        <w:rPr>
          <w:rFonts w:hint="eastAsia" w:ascii="宋体" w:hAnsi="宋体"/>
          <w:b/>
          <w:color w:val="auto"/>
          <w:szCs w:val="21"/>
          <w:highlight w:val="none"/>
        </w:rPr>
        <w:t>）；</w:t>
      </w:r>
    </w:p>
    <w:p w14:paraId="1D054806">
      <w:pPr>
        <w:keepNext w:val="0"/>
        <w:pageBreakBefore w:val="0"/>
        <w:tabs>
          <w:tab w:val="left" w:pos="1305"/>
        </w:tabs>
        <w:kinsoku/>
        <w:wordWrap/>
        <w:overflowPunct/>
        <w:topLinePunct w:val="0"/>
        <w:bidi w:val="0"/>
        <w:spacing w:line="410" w:lineRule="exact"/>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其他响应性证明材料：</w:t>
      </w:r>
    </w:p>
    <w:p w14:paraId="0230A10C">
      <w:pPr>
        <w:keepNext w:val="0"/>
        <w:keepLines w:val="0"/>
        <w:pageBreakBefore w:val="0"/>
        <w:tabs>
          <w:tab w:val="left" w:pos="1305"/>
        </w:tabs>
        <w:kinsoku/>
        <w:wordWrap/>
        <w:overflowPunct/>
        <w:topLinePunct w:val="0"/>
        <w:autoSpaceDE/>
        <w:autoSpaceDN/>
        <w:bidi w:val="0"/>
        <w:adjustRightInd/>
        <w:spacing w:line="400" w:lineRule="exact"/>
        <w:ind w:left="0" w:leftChars="0" w:right="0" w:rightChars="0" w:firstLine="420" w:firstLineChars="200"/>
        <w:textAlignment w:val="auto"/>
        <w:rPr>
          <w:rFonts w:hint="eastAsia" w:asciiTheme="majorEastAsia" w:hAnsiTheme="majorEastAsia" w:eastAsiaTheme="majorEastAsia" w:cstheme="majorEastAsia"/>
          <w:b w:val="0"/>
          <w:bCs w:val="0"/>
          <w:color w:val="auto"/>
          <w:sz w:val="21"/>
          <w:szCs w:val="21"/>
          <w:highlight w:val="none"/>
          <w:lang w:eastAsia="zh-CN"/>
        </w:rPr>
      </w:pPr>
      <w:r>
        <w:rPr>
          <w:rFonts w:hint="eastAsia" w:asciiTheme="majorEastAsia" w:hAnsiTheme="majorEastAsia" w:eastAsiaTheme="majorEastAsia" w:cstheme="majorEastAsia"/>
          <w:b w:val="0"/>
          <w:bCs w:val="0"/>
          <w:color w:val="auto"/>
          <w:sz w:val="21"/>
          <w:szCs w:val="21"/>
          <w:highlight w:val="none"/>
          <w:lang w:eastAsia="zh-CN"/>
        </w:rPr>
        <w:t>（</w:t>
      </w:r>
      <w:r>
        <w:rPr>
          <w:rFonts w:hint="eastAsia" w:asciiTheme="majorEastAsia" w:hAnsiTheme="majorEastAsia" w:eastAsiaTheme="majorEastAsia" w:cstheme="majorEastAsia"/>
          <w:b w:val="0"/>
          <w:bCs w:val="0"/>
          <w:color w:val="auto"/>
          <w:sz w:val="21"/>
          <w:szCs w:val="21"/>
          <w:highlight w:val="none"/>
          <w:lang w:val="en-US" w:eastAsia="zh-CN"/>
        </w:rPr>
        <w:t>5</w:t>
      </w:r>
      <w:r>
        <w:rPr>
          <w:rFonts w:hint="eastAsia" w:asciiTheme="majorEastAsia" w:hAnsiTheme="majorEastAsia" w:eastAsiaTheme="majorEastAsia" w:cstheme="majorEastAsia"/>
          <w:b w:val="0"/>
          <w:bCs w:val="0"/>
          <w:color w:val="auto"/>
          <w:sz w:val="21"/>
          <w:szCs w:val="21"/>
          <w:highlight w:val="none"/>
          <w:lang w:eastAsia="zh-CN"/>
        </w:rPr>
        <w:t>）</w:t>
      </w:r>
      <w:r>
        <w:rPr>
          <w:rFonts w:hint="eastAsia" w:ascii="宋体" w:eastAsiaTheme="majorEastAsia"/>
          <w:color w:val="auto"/>
          <w:szCs w:val="20"/>
          <w:highlight w:val="none"/>
          <w:lang w:val="en-US" w:eastAsia="zh-CN"/>
        </w:rPr>
        <w:t>质量和保密保证措施及承诺</w:t>
      </w:r>
      <w:r>
        <w:rPr>
          <w:rFonts w:hint="eastAsia" w:ascii="宋体"/>
          <w:color w:val="auto"/>
          <w:szCs w:val="20"/>
          <w:highlight w:val="none"/>
        </w:rPr>
        <w:t>（由供应商根据项目实际情况和采购需求自行编制，格式自拟）</w:t>
      </w:r>
      <w:r>
        <w:rPr>
          <w:rFonts w:hint="eastAsia" w:ascii="宋体" w:hAnsi="宋体" w:cs="宋体"/>
          <w:b/>
          <w:color w:val="auto"/>
          <w:szCs w:val="21"/>
          <w:highlight w:val="none"/>
        </w:rPr>
        <w:t>（</w:t>
      </w:r>
      <w:r>
        <w:rPr>
          <w:rFonts w:hint="eastAsia" w:ascii="宋体" w:hAnsi="宋体" w:cs="宋体"/>
          <w:b/>
          <w:bCs/>
          <w:color w:val="auto"/>
          <w:szCs w:val="21"/>
          <w:highlight w:val="none"/>
          <w:u w:val="none"/>
        </w:rPr>
        <w:t>如有，请提供</w:t>
      </w:r>
      <w:r>
        <w:rPr>
          <w:rFonts w:hint="eastAsia" w:ascii="宋体" w:hAnsi="宋体" w:cs="宋体"/>
          <w:b/>
          <w:color w:val="auto"/>
          <w:szCs w:val="21"/>
          <w:highlight w:val="none"/>
        </w:rPr>
        <w:t>）</w:t>
      </w:r>
      <w:r>
        <w:rPr>
          <w:rFonts w:hint="eastAsia" w:ascii="宋体" w:hAnsi="宋体"/>
          <w:b/>
          <w:color w:val="auto"/>
          <w:szCs w:val="21"/>
          <w:highlight w:val="none"/>
        </w:rPr>
        <w:t>；</w:t>
      </w:r>
    </w:p>
    <w:p w14:paraId="4693A859">
      <w:pPr>
        <w:pageBreakBefore w:val="0"/>
        <w:widowControl w:val="0"/>
        <w:tabs>
          <w:tab w:val="left" w:pos="1305"/>
        </w:tabs>
        <w:kinsoku/>
        <w:wordWrap/>
        <w:overflowPunct/>
        <w:topLinePunct w:val="0"/>
        <w:autoSpaceDE/>
        <w:autoSpaceDN/>
        <w:bidi w:val="0"/>
        <w:adjustRightInd/>
        <w:spacing w:line="440" w:lineRule="exact"/>
        <w:ind w:left="0" w:leftChars="0" w:firstLine="420" w:firstLineChars="200"/>
        <w:textAlignment w:val="auto"/>
        <w:rPr>
          <w:rFonts w:hint="default" w:ascii="宋体" w:hAnsi="宋体" w:eastAsia="宋体" w:cs="宋体"/>
          <w:color w:val="auto"/>
          <w:szCs w:val="20"/>
          <w:highlight w:val="none"/>
          <w:lang w:val="en-US" w:eastAsia="zh-CN"/>
        </w:rPr>
      </w:pPr>
      <w:r>
        <w:rPr>
          <w:rFonts w:hint="eastAsia" w:ascii="宋体" w:hAnsi="宋体" w:eastAsia="宋体" w:cs="宋体"/>
          <w:color w:val="auto"/>
          <w:szCs w:val="20"/>
          <w:highlight w:val="none"/>
        </w:rPr>
        <w:t>（</w:t>
      </w:r>
      <w:r>
        <w:rPr>
          <w:rFonts w:hint="eastAsia" w:ascii="宋体" w:hAnsi="宋体" w:cs="宋体"/>
          <w:color w:val="auto"/>
          <w:szCs w:val="20"/>
          <w:highlight w:val="none"/>
          <w:lang w:val="en-US" w:eastAsia="zh-CN"/>
        </w:rPr>
        <w:t>6</w:t>
      </w:r>
      <w:r>
        <w:rPr>
          <w:rFonts w:hint="eastAsia" w:ascii="宋体" w:hAnsi="宋体" w:eastAsia="宋体" w:cs="宋体"/>
          <w:color w:val="auto"/>
          <w:szCs w:val="20"/>
          <w:highlight w:val="none"/>
        </w:rPr>
        <w:t>）</w:t>
      </w:r>
      <w:r>
        <w:rPr>
          <w:rFonts w:hint="eastAsia" w:ascii="宋体" w:hAnsi="宋体" w:cs="宋体"/>
          <w:color w:val="auto"/>
          <w:szCs w:val="20"/>
          <w:highlight w:val="none"/>
          <w:lang w:val="en-US" w:eastAsia="zh-CN"/>
        </w:rPr>
        <w:t>后续服务和其它优化措施</w:t>
      </w:r>
      <w:r>
        <w:rPr>
          <w:rFonts w:hint="eastAsia" w:ascii="宋体"/>
          <w:color w:val="auto"/>
          <w:szCs w:val="20"/>
          <w:highlight w:val="none"/>
        </w:rPr>
        <w:t>（由供应商根据项目实际情况和采购需求自行编制，格式自拟）</w:t>
      </w:r>
      <w:r>
        <w:rPr>
          <w:rFonts w:hint="eastAsia" w:ascii="宋体" w:hAnsi="宋体" w:cs="宋体"/>
          <w:b/>
          <w:color w:val="auto"/>
          <w:szCs w:val="21"/>
          <w:highlight w:val="none"/>
        </w:rPr>
        <w:t>（</w:t>
      </w:r>
      <w:r>
        <w:rPr>
          <w:rFonts w:hint="eastAsia" w:ascii="宋体" w:hAnsi="宋体" w:cs="宋体"/>
          <w:b/>
          <w:bCs/>
          <w:color w:val="auto"/>
          <w:szCs w:val="21"/>
          <w:highlight w:val="none"/>
          <w:u w:val="none"/>
        </w:rPr>
        <w:t>如有，请提供</w:t>
      </w:r>
      <w:r>
        <w:rPr>
          <w:rFonts w:hint="eastAsia" w:ascii="宋体" w:hAnsi="宋体" w:cs="宋体"/>
          <w:b/>
          <w:color w:val="auto"/>
          <w:szCs w:val="21"/>
          <w:highlight w:val="none"/>
        </w:rPr>
        <w:t>）</w:t>
      </w:r>
      <w:r>
        <w:rPr>
          <w:rFonts w:hint="eastAsia" w:ascii="宋体" w:hAnsi="宋体"/>
          <w:b/>
          <w:color w:val="auto"/>
          <w:szCs w:val="21"/>
          <w:highlight w:val="none"/>
        </w:rPr>
        <w:t>；</w:t>
      </w:r>
    </w:p>
    <w:p w14:paraId="5D126884">
      <w:pPr>
        <w:pageBreakBefore w:val="0"/>
        <w:widowControl w:val="0"/>
        <w:tabs>
          <w:tab w:val="left" w:pos="1305"/>
        </w:tabs>
        <w:kinsoku/>
        <w:wordWrap/>
        <w:overflowPunct/>
        <w:topLinePunct w:val="0"/>
        <w:autoSpaceDE/>
        <w:autoSpaceDN/>
        <w:bidi w:val="0"/>
        <w:adjustRightInd/>
        <w:spacing w:line="440" w:lineRule="exact"/>
        <w:ind w:left="0" w:leftChars="0" w:firstLine="420" w:firstLineChars="200"/>
        <w:textAlignment w:val="auto"/>
        <w:rPr>
          <w:rFonts w:hint="eastAsia" w:ascii="宋体" w:hAnsi="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7</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项目生产管理方案和工期计划安排</w:t>
      </w:r>
      <w:r>
        <w:rPr>
          <w:rFonts w:hint="eastAsia" w:ascii="宋体"/>
          <w:color w:val="auto"/>
          <w:szCs w:val="20"/>
          <w:highlight w:val="none"/>
        </w:rPr>
        <w:t>（由供应商根据项目实际情况和采购需求自行编制，格式自拟）</w:t>
      </w:r>
      <w:r>
        <w:rPr>
          <w:rFonts w:hint="eastAsia" w:ascii="宋体" w:hAnsi="宋体" w:cs="宋体"/>
          <w:b/>
          <w:color w:val="auto"/>
          <w:szCs w:val="21"/>
          <w:highlight w:val="none"/>
        </w:rPr>
        <w:t>（</w:t>
      </w:r>
      <w:r>
        <w:rPr>
          <w:rFonts w:hint="eastAsia" w:ascii="宋体" w:hAnsi="宋体" w:cs="宋体"/>
          <w:b/>
          <w:bCs/>
          <w:color w:val="auto"/>
          <w:szCs w:val="21"/>
          <w:highlight w:val="none"/>
          <w:u w:val="none"/>
        </w:rPr>
        <w:t>如有，请提供</w:t>
      </w:r>
      <w:r>
        <w:rPr>
          <w:rFonts w:hint="eastAsia" w:ascii="宋体" w:hAnsi="宋体" w:cs="宋体"/>
          <w:b/>
          <w:color w:val="auto"/>
          <w:szCs w:val="21"/>
          <w:highlight w:val="none"/>
        </w:rPr>
        <w:t>）</w:t>
      </w:r>
      <w:r>
        <w:rPr>
          <w:rFonts w:hint="eastAsia" w:ascii="宋体" w:hAnsi="宋体"/>
          <w:b/>
          <w:color w:val="auto"/>
          <w:szCs w:val="21"/>
          <w:highlight w:val="none"/>
        </w:rPr>
        <w:t>；</w:t>
      </w:r>
    </w:p>
    <w:p w14:paraId="6E63A2D0">
      <w:pPr>
        <w:pageBreakBefore w:val="0"/>
        <w:widowControl w:val="0"/>
        <w:tabs>
          <w:tab w:val="left" w:pos="1305"/>
        </w:tabs>
        <w:kinsoku/>
        <w:wordWrap/>
        <w:overflowPunct/>
        <w:topLinePunct w:val="0"/>
        <w:autoSpaceDE/>
        <w:autoSpaceDN/>
        <w:bidi w:val="0"/>
        <w:adjustRightInd/>
        <w:spacing w:line="440" w:lineRule="exact"/>
        <w:ind w:left="0" w:leftChars="0" w:firstLine="420" w:firstLineChars="200"/>
        <w:textAlignment w:val="auto"/>
        <w:rPr>
          <w:rFonts w:hint="eastAsia" w:ascii="宋体" w:hAnsi="宋体" w:eastAsia="宋体" w:cs="宋体"/>
          <w:color w:val="auto"/>
          <w:szCs w:val="20"/>
          <w:highlight w:val="none"/>
          <w:lang w:eastAsia="zh-CN"/>
        </w:rPr>
      </w:pP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8</w:t>
      </w:r>
      <w:r>
        <w:rPr>
          <w:rFonts w:hint="eastAsia" w:ascii="宋体" w:hAnsi="宋体" w:cs="宋体"/>
          <w:b w:val="0"/>
          <w:bCs w:val="0"/>
          <w:color w:val="auto"/>
          <w:sz w:val="21"/>
          <w:szCs w:val="21"/>
          <w:highlight w:val="none"/>
          <w:lang w:eastAsia="zh-CN"/>
        </w:rPr>
        <w:t>）投入项目人员</w:t>
      </w:r>
      <w:r>
        <w:rPr>
          <w:rFonts w:hint="eastAsia" w:ascii="宋体"/>
          <w:color w:val="auto"/>
          <w:szCs w:val="20"/>
          <w:highlight w:val="none"/>
        </w:rPr>
        <w:t>（由供应商根据项目实际情况和采购需求自行编制，格式自拟）</w:t>
      </w:r>
      <w:r>
        <w:rPr>
          <w:rFonts w:hint="eastAsia" w:ascii="宋体" w:hAnsi="宋体" w:cs="宋体"/>
          <w:b/>
          <w:color w:val="auto"/>
          <w:szCs w:val="21"/>
          <w:highlight w:val="none"/>
        </w:rPr>
        <w:t>（</w:t>
      </w:r>
      <w:r>
        <w:rPr>
          <w:rFonts w:hint="eastAsia" w:ascii="宋体" w:hAnsi="宋体" w:cs="宋体"/>
          <w:b/>
          <w:bCs/>
          <w:color w:val="auto"/>
          <w:szCs w:val="21"/>
          <w:highlight w:val="none"/>
          <w:u w:val="none"/>
        </w:rPr>
        <w:t>如有，请提供</w:t>
      </w:r>
      <w:r>
        <w:rPr>
          <w:rFonts w:hint="eastAsia" w:ascii="宋体" w:hAnsi="宋体" w:cs="宋体"/>
          <w:b/>
          <w:color w:val="auto"/>
          <w:szCs w:val="21"/>
          <w:highlight w:val="none"/>
        </w:rPr>
        <w:t>）</w:t>
      </w:r>
      <w:r>
        <w:rPr>
          <w:rFonts w:hint="eastAsia" w:ascii="宋体" w:hAnsi="宋体" w:eastAsia="宋体" w:cs="宋体"/>
          <w:color w:val="auto"/>
          <w:szCs w:val="20"/>
          <w:highlight w:val="none"/>
          <w:lang w:eastAsia="zh-CN"/>
        </w:rPr>
        <w:t>；</w:t>
      </w:r>
    </w:p>
    <w:p w14:paraId="0D930117">
      <w:pPr>
        <w:pageBreakBefore w:val="0"/>
        <w:widowControl w:val="0"/>
        <w:tabs>
          <w:tab w:val="left" w:pos="1305"/>
        </w:tabs>
        <w:kinsoku/>
        <w:wordWrap/>
        <w:overflowPunct/>
        <w:topLinePunct w:val="0"/>
        <w:autoSpaceDE/>
        <w:autoSpaceDN/>
        <w:bidi w:val="0"/>
        <w:adjustRightInd/>
        <w:spacing w:line="440" w:lineRule="exact"/>
        <w:ind w:left="0" w:leftChars="0" w:firstLine="420" w:firstLineChars="200"/>
        <w:textAlignment w:val="auto"/>
        <w:rPr>
          <w:rFonts w:hint="eastAsia" w:ascii="宋体" w:hAnsi="宋体" w:eastAsia="宋体" w:cs="宋体"/>
          <w:color w:val="auto"/>
          <w:szCs w:val="20"/>
          <w:highlight w:val="none"/>
        </w:rPr>
      </w:pP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eastAsia="zh-CN"/>
        </w:rPr>
        <w:t>业绩证明材料</w:t>
      </w:r>
      <w:r>
        <w:rPr>
          <w:rFonts w:hint="eastAsia" w:ascii="宋体"/>
          <w:color w:val="auto"/>
          <w:szCs w:val="20"/>
          <w:highlight w:val="none"/>
        </w:rPr>
        <w:t>（由供应商根据项目实际情况和采购需求自行编制，格式自拟）</w:t>
      </w:r>
      <w:r>
        <w:rPr>
          <w:rFonts w:hint="eastAsia" w:ascii="宋体" w:hAnsi="宋体" w:cs="宋体"/>
          <w:b/>
          <w:color w:val="auto"/>
          <w:szCs w:val="21"/>
          <w:highlight w:val="none"/>
        </w:rPr>
        <w:t>（</w:t>
      </w:r>
      <w:r>
        <w:rPr>
          <w:rFonts w:hint="eastAsia" w:ascii="宋体" w:hAnsi="宋体" w:cs="宋体"/>
          <w:b/>
          <w:bCs/>
          <w:color w:val="auto"/>
          <w:szCs w:val="21"/>
          <w:highlight w:val="none"/>
          <w:u w:val="none"/>
        </w:rPr>
        <w:t>如有，请提供</w:t>
      </w:r>
      <w:r>
        <w:rPr>
          <w:rFonts w:hint="eastAsia" w:ascii="宋体" w:hAnsi="宋体" w:cs="宋体"/>
          <w:b/>
          <w:color w:val="auto"/>
          <w:szCs w:val="21"/>
          <w:highlight w:val="none"/>
        </w:rPr>
        <w:t>）</w:t>
      </w:r>
      <w:r>
        <w:rPr>
          <w:rFonts w:hint="eastAsia" w:ascii="宋体" w:hAnsi="宋体" w:eastAsia="宋体" w:cs="宋体"/>
          <w:color w:val="auto"/>
          <w:szCs w:val="20"/>
          <w:highlight w:val="none"/>
          <w:lang w:eastAsia="zh-CN"/>
        </w:rPr>
        <w:t>；</w:t>
      </w:r>
    </w:p>
    <w:p w14:paraId="132F05B2">
      <w:pPr>
        <w:keepNext w:val="0"/>
        <w:pageBreakBefore w:val="0"/>
        <w:widowControl w:val="0"/>
        <w:tabs>
          <w:tab w:val="left" w:pos="1305"/>
        </w:tabs>
        <w:kinsoku/>
        <w:wordWrap/>
        <w:overflowPunct/>
        <w:topLinePunct w:val="0"/>
        <w:autoSpaceDE/>
        <w:autoSpaceDN/>
        <w:bidi w:val="0"/>
        <w:adjustRightInd/>
        <w:spacing w:line="44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b w:val="0"/>
          <w:bCs w:val="0"/>
          <w:color w:val="auto"/>
          <w:kern w:val="2"/>
          <w:sz w:val="21"/>
          <w:szCs w:val="21"/>
          <w:highlight w:val="none"/>
          <w:lang w:val="en-US" w:eastAsia="zh-CN" w:bidi="ar-SA"/>
        </w:rPr>
        <w:t>（10）</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可结合本项目的评标办法视自身情况自行提交相关证明材料</w:t>
      </w:r>
      <w:r>
        <w:rPr>
          <w:rFonts w:hint="eastAsia" w:ascii="宋体" w:hAnsi="宋体" w:eastAsia="宋体" w:cs="宋体"/>
          <w:b/>
          <w:color w:val="auto"/>
          <w:sz w:val="21"/>
          <w:szCs w:val="21"/>
          <w:highlight w:val="none"/>
        </w:rPr>
        <w:t>（如有，请提供）</w:t>
      </w:r>
      <w:r>
        <w:rPr>
          <w:rFonts w:hint="eastAsia" w:ascii="宋体" w:hAnsi="宋体" w:eastAsia="宋体" w:cs="宋体"/>
          <w:color w:val="auto"/>
          <w:sz w:val="21"/>
          <w:szCs w:val="21"/>
          <w:highlight w:val="none"/>
        </w:rPr>
        <w:t>。</w:t>
      </w:r>
    </w:p>
    <w:p w14:paraId="6EAD84CB">
      <w:pPr>
        <w:keepNext w:val="0"/>
        <w:keepLines w:val="0"/>
        <w:pageBreakBefore w:val="0"/>
        <w:widowControl w:val="0"/>
        <w:tabs>
          <w:tab w:val="left" w:pos="1305"/>
        </w:tabs>
        <w:kinsoku/>
        <w:wordWrap/>
        <w:overflowPunct/>
        <w:topLinePunct w:val="0"/>
        <w:autoSpaceDE/>
        <w:autoSpaceDN/>
        <w:bidi w:val="0"/>
        <w:adjustRightInd/>
        <w:snapToGrid/>
        <w:spacing w:line="440" w:lineRule="exact"/>
        <w:ind w:left="0" w:leftChars="0" w:firstLine="422" w:firstLineChars="200"/>
        <w:textAlignment w:val="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供应商提供的以上相关证明材料必须真实有效，属于“必须提供”的文件应加盖供应商CA证书签章，否则响应无效；其中“必须提供”的文件“响应文件（格式）”中有要求法定代表人</w:t>
      </w:r>
      <w:r>
        <w:rPr>
          <w:rFonts w:hint="eastAsia" w:ascii="宋体" w:hAnsi="宋体"/>
          <w:b/>
          <w:color w:val="auto"/>
          <w:szCs w:val="21"/>
          <w:highlight w:val="none"/>
        </w:rPr>
        <w:t>(负责人)</w:t>
      </w:r>
      <w:r>
        <w:rPr>
          <w:rFonts w:hint="eastAsia" w:ascii="宋体" w:hAnsi="宋体" w:eastAsia="宋体" w:cs="宋体"/>
          <w:b/>
          <w:color w:val="auto"/>
          <w:szCs w:val="21"/>
          <w:highlight w:val="none"/>
        </w:rPr>
        <w:t>或相应的授权委托代理人在规定位置签字的，可使用法定代表人</w:t>
      </w:r>
      <w:r>
        <w:rPr>
          <w:rFonts w:hint="eastAsia" w:ascii="宋体" w:hAnsi="宋体"/>
          <w:b/>
          <w:color w:val="auto"/>
          <w:szCs w:val="21"/>
          <w:highlight w:val="none"/>
        </w:rPr>
        <w:t>(负责人)</w:t>
      </w:r>
      <w:r>
        <w:rPr>
          <w:rFonts w:hint="eastAsia" w:ascii="宋体" w:hAnsi="宋体" w:eastAsia="宋体" w:cs="宋体"/>
          <w:b/>
          <w:color w:val="auto"/>
          <w:szCs w:val="21"/>
          <w:highlight w:val="none"/>
        </w:rPr>
        <w:t>或相应的授权委托代理人个人CA证书签章，没有办理</w:t>
      </w:r>
      <w:r>
        <w:rPr>
          <w:rFonts w:hint="eastAsia" w:ascii="宋体" w:hAnsi="宋体" w:cs="宋体"/>
          <w:b/>
          <w:color w:val="auto"/>
          <w:szCs w:val="21"/>
          <w:highlight w:val="none"/>
          <w:lang w:eastAsia="zh-CN"/>
        </w:rPr>
        <w:t>广西政府采购云平台</w:t>
      </w:r>
      <w:r>
        <w:rPr>
          <w:rFonts w:hint="eastAsia" w:ascii="宋体" w:hAnsi="宋体" w:eastAsia="宋体" w:cs="宋体"/>
          <w:b/>
          <w:color w:val="auto"/>
          <w:szCs w:val="21"/>
          <w:highlight w:val="none"/>
        </w:rPr>
        <w:t>个人CA证书签章的可在响应文件中涉及到签字的位置手写签字后扫描或者拍照做成 PDF 的格式上传，无个人CA证书签章</w:t>
      </w:r>
      <w:r>
        <w:rPr>
          <w:rFonts w:hint="eastAsia" w:ascii="宋体" w:hAnsi="宋体" w:eastAsia="宋体" w:cs="宋体"/>
          <w:b/>
          <w:color w:val="auto"/>
          <w:szCs w:val="21"/>
          <w:highlight w:val="none"/>
          <w:lang w:eastAsia="zh-CN"/>
        </w:rPr>
        <w:t>或</w:t>
      </w:r>
      <w:r>
        <w:rPr>
          <w:rFonts w:hint="eastAsia" w:ascii="宋体" w:hAnsi="宋体" w:eastAsia="宋体" w:cs="宋体"/>
          <w:b/>
          <w:color w:val="auto"/>
          <w:szCs w:val="21"/>
          <w:highlight w:val="none"/>
        </w:rPr>
        <w:t>手写签字的，响应文件按无效处理</w:t>
      </w: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lang w:val="en-US" w:eastAsia="zh-CN"/>
        </w:rPr>
        <w:t xml:space="preserve"> </w:t>
      </w:r>
    </w:p>
    <w:p w14:paraId="5A0F7E82">
      <w:pPr>
        <w:pageBreakBefore w:val="0"/>
        <w:widowControl w:val="0"/>
        <w:tabs>
          <w:tab w:val="left" w:pos="1305"/>
        </w:tabs>
        <w:kinsoku/>
        <w:wordWrap/>
        <w:overflowPunct/>
        <w:topLinePunct w:val="0"/>
        <w:autoSpaceDE/>
        <w:autoSpaceDN/>
        <w:bidi w:val="0"/>
        <w:adjustRightInd/>
        <w:spacing w:line="440" w:lineRule="exact"/>
        <w:ind w:left="0" w:leftChars="0" w:firstLine="420" w:firstLineChars="200"/>
        <w:textAlignment w:val="auto"/>
        <w:rPr>
          <w:rFonts w:hint="eastAsia" w:ascii="宋体" w:hAnsi="宋体" w:eastAsia="宋体" w:cs="宋体"/>
          <w:color w:val="auto"/>
          <w:szCs w:val="20"/>
          <w:highlight w:val="none"/>
        </w:rPr>
      </w:pPr>
      <w:r>
        <w:rPr>
          <w:rFonts w:hint="eastAsia" w:ascii="宋体" w:hAnsi="宋体" w:eastAsia="宋体" w:cs="宋体"/>
          <w:color w:val="auto"/>
          <w:szCs w:val="21"/>
          <w:highlight w:val="none"/>
        </w:rPr>
        <w:t>11.</w:t>
      </w:r>
      <w:r>
        <w:rPr>
          <w:rFonts w:hint="eastAsia" w:ascii="宋体" w:hAnsi="宋体" w:cs="宋体"/>
          <w:color w:val="auto"/>
          <w:szCs w:val="21"/>
          <w:highlight w:val="none"/>
          <w:lang w:val="en-US" w:eastAsia="zh-CN"/>
        </w:rPr>
        <w:t>2</w:t>
      </w:r>
      <w:r>
        <w:rPr>
          <w:rFonts w:hint="eastAsia" w:ascii="宋体" w:hAnsi="宋体" w:eastAsia="宋体" w:cs="宋体"/>
          <w:color w:val="auto"/>
          <w:szCs w:val="20"/>
          <w:highlight w:val="none"/>
        </w:rPr>
        <w:t>供应商应按竞争性磋商文件第六章“响应文件（格式）”编制响应文件,否则磋商文件无效。</w:t>
      </w:r>
    </w:p>
    <w:p w14:paraId="384C57B9">
      <w:pPr>
        <w:pageBreakBefore w:val="0"/>
        <w:widowControl w:val="0"/>
        <w:tabs>
          <w:tab w:val="left" w:pos="1305"/>
        </w:tabs>
        <w:kinsoku/>
        <w:wordWrap/>
        <w:overflowPunct/>
        <w:topLinePunct w:val="0"/>
        <w:autoSpaceDE/>
        <w:autoSpaceDN/>
        <w:bidi w:val="0"/>
        <w:adjustRightInd/>
        <w:spacing w:line="440" w:lineRule="exact"/>
        <w:ind w:left="0" w:leftChars="0"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12、响应文件的语言及计量</w:t>
      </w:r>
    </w:p>
    <w:p w14:paraId="0AEF5696">
      <w:pPr>
        <w:pageBreakBefore w:val="0"/>
        <w:widowControl w:val="0"/>
        <w:tabs>
          <w:tab w:val="left" w:pos="1305"/>
        </w:tabs>
        <w:kinsoku/>
        <w:wordWrap/>
        <w:overflowPunct/>
        <w:topLinePunct w:val="0"/>
        <w:autoSpaceDE/>
        <w:autoSpaceDN/>
        <w:bidi w:val="0"/>
        <w:adjustRightInd/>
        <w:spacing w:line="44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响应文件以及磋商供应商与采购代理机构就有关磋商事宜的所有来往函电，均应以中文汉语书写。磋商供应商提交的支持文件和印刷的文献可以使用别的语言，但其相应内容必须附有中文翻译文本，在解释响应文件时以中文翻译文本为主。</w:t>
      </w:r>
    </w:p>
    <w:p w14:paraId="04ACEE01">
      <w:pPr>
        <w:pageBreakBefore w:val="0"/>
        <w:widowControl w:val="0"/>
        <w:tabs>
          <w:tab w:val="left" w:pos="1305"/>
        </w:tabs>
        <w:kinsoku/>
        <w:wordWrap/>
        <w:overflowPunct/>
        <w:topLinePunct w:val="0"/>
        <w:autoSpaceDE/>
        <w:autoSpaceDN/>
        <w:bidi w:val="0"/>
        <w:adjustRightInd/>
        <w:spacing w:line="44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12.2磋商计量单位，采购文件已有明确规定的，使用采购文件规定的计量单位；采购文件没有规定的，应采用中华人民共和国法定计量单位（货币单位：人民币元），否则视同未响应。</w:t>
      </w:r>
    </w:p>
    <w:p w14:paraId="05F5959B">
      <w:pPr>
        <w:pageBreakBefore w:val="0"/>
        <w:widowControl w:val="0"/>
        <w:tabs>
          <w:tab w:val="left" w:pos="1305"/>
        </w:tabs>
        <w:kinsoku/>
        <w:wordWrap/>
        <w:overflowPunct/>
        <w:topLinePunct w:val="0"/>
        <w:autoSpaceDE/>
        <w:autoSpaceDN/>
        <w:bidi w:val="0"/>
        <w:adjustRightInd/>
        <w:spacing w:line="440" w:lineRule="exact"/>
        <w:ind w:left="0" w:leftChars="0"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13、</w:t>
      </w:r>
      <w:r>
        <w:rPr>
          <w:rStyle w:val="37"/>
          <w:rFonts w:hint="eastAsia" w:ascii="宋体" w:hAnsi="宋体" w:eastAsia="宋体" w:cs="宋体"/>
          <w:color w:val="auto"/>
          <w:sz w:val="21"/>
          <w:szCs w:val="21"/>
          <w:highlight w:val="none"/>
        </w:rPr>
        <w:t>磋商报价及采购预算金额</w:t>
      </w:r>
    </w:p>
    <w:p w14:paraId="7AFA948F">
      <w:pPr>
        <w:pageBreakBefore w:val="0"/>
        <w:widowControl w:val="0"/>
        <w:kinsoku/>
        <w:wordWrap/>
        <w:overflowPunct/>
        <w:topLinePunct w:val="0"/>
        <w:autoSpaceDE/>
        <w:autoSpaceDN/>
        <w:bidi w:val="0"/>
        <w:adjustRightInd/>
        <w:spacing w:line="440" w:lineRule="exact"/>
        <w:ind w:left="0" w:leftChars="0" w:firstLine="422" w:firstLineChars="200"/>
        <w:textAlignment w:val="auto"/>
        <w:rPr>
          <w:rFonts w:hint="eastAsia" w:ascii="宋体" w:hAnsi="宋体" w:eastAsia="宋体" w:cs="宋体"/>
          <w:b/>
          <w:color w:val="auto"/>
          <w:szCs w:val="21"/>
          <w:highlight w:val="none"/>
        </w:rPr>
      </w:pPr>
      <w:r>
        <w:rPr>
          <w:rStyle w:val="37"/>
          <w:rFonts w:hint="eastAsia" w:ascii="宋体" w:hAnsi="宋体" w:eastAsia="宋体" w:cs="宋体"/>
          <w:b/>
          <w:bCs/>
          <w:color w:val="auto"/>
          <w:szCs w:val="21"/>
          <w:highlight w:val="none"/>
        </w:rPr>
        <w:t>13.1</w:t>
      </w:r>
      <w:r>
        <w:rPr>
          <w:rFonts w:hint="eastAsia" w:ascii="宋体" w:hAnsi="宋体" w:eastAsia="宋体" w:cs="宋体"/>
          <w:b/>
          <w:color w:val="auto"/>
          <w:szCs w:val="21"/>
          <w:highlight w:val="none"/>
        </w:rPr>
        <w:t>采购项目预算金额</w:t>
      </w:r>
      <w:r>
        <w:rPr>
          <w:rFonts w:hint="eastAsia" w:ascii="宋体" w:hAnsi="宋体" w:cs="宋体"/>
          <w:b/>
          <w:color w:val="auto"/>
          <w:szCs w:val="21"/>
          <w:highlight w:val="none"/>
          <w:lang w:eastAsia="zh-CN"/>
        </w:rPr>
        <w:t>：</w:t>
      </w:r>
      <w:r>
        <w:rPr>
          <w:rFonts w:hint="eastAsia" w:ascii="宋体" w:hAnsi="宋体" w:cs="宋体"/>
          <w:color w:val="auto"/>
          <w:szCs w:val="21"/>
          <w:highlight w:val="none"/>
          <w:lang w:val="en-US" w:eastAsia="zh-CN"/>
        </w:rPr>
        <w:t>详见供应商须知前附表。</w:t>
      </w:r>
    </w:p>
    <w:p w14:paraId="2F63944F">
      <w:pPr>
        <w:pageBreakBefore w:val="0"/>
        <w:widowControl w:val="0"/>
        <w:tabs>
          <w:tab w:val="left" w:pos="1305"/>
        </w:tabs>
        <w:kinsoku/>
        <w:wordWrap/>
        <w:overflowPunct/>
        <w:topLinePunct w:val="0"/>
        <w:autoSpaceDE/>
        <w:autoSpaceDN/>
        <w:bidi w:val="0"/>
        <w:adjustRightInd/>
        <w:spacing w:line="440" w:lineRule="exact"/>
        <w:ind w:left="0" w:leftChars="0" w:firstLine="422" w:firstLineChars="200"/>
        <w:textAlignment w:val="auto"/>
        <w:rPr>
          <w:rStyle w:val="37"/>
          <w:rFonts w:hint="eastAsia" w:ascii="宋体" w:hAnsi="宋体" w:eastAsia="宋体" w:cs="宋体"/>
          <w:b/>
          <w:color w:val="auto"/>
          <w:szCs w:val="21"/>
          <w:highlight w:val="none"/>
        </w:rPr>
      </w:pPr>
      <w:r>
        <w:rPr>
          <w:rStyle w:val="37"/>
          <w:rFonts w:hint="eastAsia" w:ascii="宋体" w:hAnsi="宋体" w:eastAsia="宋体" w:cs="宋体"/>
          <w:b/>
          <w:bCs/>
          <w:color w:val="auto"/>
          <w:szCs w:val="21"/>
          <w:highlight w:val="none"/>
        </w:rPr>
        <w:t>13.2</w:t>
      </w:r>
      <w:r>
        <w:rPr>
          <w:rFonts w:hint="eastAsia" w:ascii="宋体" w:hAnsi="宋体" w:eastAsia="宋体" w:cs="宋体"/>
          <w:b/>
          <w:bCs/>
          <w:color w:val="auto"/>
          <w:szCs w:val="21"/>
          <w:highlight w:val="none"/>
        </w:rPr>
        <w:t>供</w:t>
      </w:r>
      <w:r>
        <w:rPr>
          <w:rFonts w:hint="eastAsia" w:ascii="宋体" w:hAnsi="宋体" w:eastAsia="宋体" w:cs="宋体"/>
          <w:b/>
          <w:color w:val="auto"/>
          <w:szCs w:val="21"/>
          <w:highlight w:val="none"/>
        </w:rPr>
        <w:t>应商必须就“</w:t>
      </w:r>
      <w:r>
        <w:rPr>
          <w:rFonts w:hint="eastAsia" w:ascii="宋体" w:hAnsi="宋体" w:cs="宋体"/>
          <w:b/>
          <w:color w:val="auto"/>
          <w:szCs w:val="21"/>
          <w:highlight w:val="none"/>
          <w:lang w:val="en-US" w:eastAsia="zh-CN"/>
        </w:rPr>
        <w:t>服务</w:t>
      </w:r>
      <w:r>
        <w:rPr>
          <w:rFonts w:hint="eastAsia" w:ascii="宋体" w:hAnsi="宋体" w:eastAsia="宋体" w:cs="宋体"/>
          <w:b/>
          <w:color w:val="auto"/>
          <w:szCs w:val="21"/>
          <w:highlight w:val="none"/>
        </w:rPr>
        <w:t>采购需求”中的所有内容作完整唯一报价，否则，其磋商将被拒绝；响应文件只允许有一个报价，有选择的或有条件的报价将不予接受。</w:t>
      </w:r>
    </w:p>
    <w:p w14:paraId="60531259">
      <w:pPr>
        <w:pageBreakBefore w:val="0"/>
        <w:widowControl w:val="0"/>
        <w:tabs>
          <w:tab w:val="left" w:pos="1305"/>
        </w:tabs>
        <w:kinsoku/>
        <w:wordWrap/>
        <w:overflowPunct/>
        <w:topLinePunct w:val="0"/>
        <w:autoSpaceDE/>
        <w:autoSpaceDN/>
        <w:bidi w:val="0"/>
        <w:adjustRightInd/>
        <w:spacing w:line="440" w:lineRule="exact"/>
        <w:ind w:left="0" w:leftChars="0" w:firstLine="420" w:firstLineChars="200"/>
        <w:textAlignment w:val="auto"/>
        <w:rPr>
          <w:rStyle w:val="37"/>
          <w:rFonts w:hint="eastAsia" w:ascii="宋体" w:hAnsi="宋体" w:eastAsia="宋体" w:cs="宋体"/>
          <w:color w:val="auto"/>
          <w:szCs w:val="21"/>
          <w:highlight w:val="none"/>
          <w:lang w:eastAsia="zh-CN"/>
        </w:rPr>
      </w:pPr>
      <w:r>
        <w:rPr>
          <w:rStyle w:val="37"/>
          <w:rFonts w:hint="eastAsia" w:ascii="宋体" w:hAnsi="宋体" w:eastAsia="宋体" w:cs="宋体"/>
          <w:color w:val="auto"/>
          <w:szCs w:val="21"/>
          <w:highlight w:val="none"/>
        </w:rPr>
        <w:t>13.3</w:t>
      </w:r>
      <w:r>
        <w:rPr>
          <w:rFonts w:hint="eastAsia" w:ascii="宋体" w:hAnsi="宋体" w:eastAsia="宋体" w:cs="宋体"/>
          <w:color w:val="auto"/>
          <w:szCs w:val="21"/>
          <w:highlight w:val="none"/>
        </w:rPr>
        <w:t>磋商报价应</w:t>
      </w:r>
      <w:r>
        <w:rPr>
          <w:rFonts w:hint="eastAsia" w:ascii="宋体" w:hAnsi="宋体" w:cs="宋体"/>
          <w:color w:val="auto"/>
          <w:szCs w:val="21"/>
          <w:highlight w:val="none"/>
          <w:lang w:eastAsia="zh-CN"/>
        </w:rPr>
        <w:t>包括本次采购范围内的服务价款、作业工具、人员工资、管理费用、差旅费用、税金、保险、利润及一切不可预见的成本等所有费用的总和。供应商应综合考虑在报价中，采购人不再另行支付磋商报价之外的任何费用。</w:t>
      </w:r>
    </w:p>
    <w:p w14:paraId="33E164E7">
      <w:pPr>
        <w:pStyle w:val="17"/>
        <w:pageBreakBefore w:val="0"/>
        <w:widowControl w:val="0"/>
        <w:kinsoku/>
        <w:wordWrap/>
        <w:overflowPunct/>
        <w:topLinePunct w:val="0"/>
        <w:autoSpaceDE/>
        <w:autoSpaceDN/>
        <w:bidi w:val="0"/>
        <w:adjustRightInd/>
        <w:spacing w:line="440" w:lineRule="exact"/>
        <w:ind w:left="0" w:leftChars="0" w:firstLine="420" w:firstLineChars="200"/>
        <w:textAlignment w:val="auto"/>
        <w:rPr>
          <w:rStyle w:val="37"/>
          <w:rFonts w:hint="eastAsia" w:ascii="宋体" w:hAnsi="宋体" w:eastAsia="宋体" w:cs="宋体"/>
          <w:color w:val="auto"/>
          <w:sz w:val="21"/>
          <w:szCs w:val="21"/>
          <w:highlight w:val="none"/>
        </w:rPr>
      </w:pPr>
      <w:r>
        <w:rPr>
          <w:rStyle w:val="37"/>
          <w:rFonts w:hint="eastAsia" w:ascii="宋体" w:hAnsi="宋体" w:eastAsia="宋体" w:cs="宋体"/>
          <w:color w:val="auto"/>
          <w:sz w:val="21"/>
          <w:szCs w:val="21"/>
          <w:highlight w:val="none"/>
        </w:rPr>
        <w:t>13.4</w:t>
      </w:r>
      <w:r>
        <w:rPr>
          <w:rStyle w:val="37"/>
          <w:rFonts w:hint="eastAsia" w:ascii="宋体" w:hAnsi="宋体" w:cs="宋体"/>
          <w:color w:val="auto"/>
          <w:sz w:val="21"/>
          <w:szCs w:val="21"/>
          <w:highlight w:val="none"/>
          <w:lang w:val="en-US"/>
        </w:rPr>
        <w:t>其</w:t>
      </w:r>
      <w:r>
        <w:rPr>
          <w:rStyle w:val="37"/>
          <w:rFonts w:hint="eastAsia" w:ascii="宋体" w:hAnsi="宋体" w:eastAsia="宋体" w:cs="宋体"/>
          <w:color w:val="auto"/>
          <w:sz w:val="21"/>
          <w:szCs w:val="21"/>
          <w:highlight w:val="none"/>
        </w:rPr>
        <w:t>最后报价超出采购预算金额</w:t>
      </w:r>
      <w:r>
        <w:rPr>
          <w:rStyle w:val="37"/>
          <w:rFonts w:hint="eastAsia" w:ascii="宋体" w:hAnsi="宋体" w:cs="宋体"/>
          <w:color w:val="auto"/>
          <w:sz w:val="21"/>
          <w:szCs w:val="21"/>
          <w:highlight w:val="none"/>
          <w:lang w:val="en-US"/>
        </w:rPr>
        <w:t>或高于首次报价</w:t>
      </w:r>
      <w:r>
        <w:rPr>
          <w:rStyle w:val="37"/>
          <w:rFonts w:hint="eastAsia" w:ascii="宋体" w:hAnsi="宋体" w:eastAsia="宋体" w:cs="宋体"/>
          <w:color w:val="auto"/>
          <w:sz w:val="21"/>
          <w:szCs w:val="21"/>
          <w:highlight w:val="none"/>
        </w:rPr>
        <w:t>导致已通过评审的响应文件无效的，按供应商在提交响应文件截止时间后撤回响应文件处理。</w:t>
      </w:r>
    </w:p>
    <w:p w14:paraId="72CB4ACE">
      <w:pPr>
        <w:pageBreakBefore w:val="0"/>
        <w:widowControl w:val="0"/>
        <w:kinsoku/>
        <w:wordWrap/>
        <w:overflowPunct/>
        <w:topLinePunct w:val="0"/>
        <w:autoSpaceDE/>
        <w:autoSpaceDN/>
        <w:bidi w:val="0"/>
        <w:adjustRightInd/>
        <w:spacing w:line="440" w:lineRule="exact"/>
        <w:ind w:left="0" w:leftChars="0" w:firstLine="316" w:firstLineChars="150"/>
        <w:textAlignment w:val="auto"/>
        <w:rPr>
          <w:rStyle w:val="37"/>
          <w:rFonts w:hint="eastAsia" w:ascii="宋体" w:hAnsi="宋体" w:eastAsia="宋体" w:cs="宋体"/>
          <w:b/>
          <w:color w:val="auto"/>
          <w:szCs w:val="21"/>
          <w:highlight w:val="none"/>
        </w:rPr>
      </w:pPr>
      <w:r>
        <w:rPr>
          <w:rStyle w:val="37"/>
          <w:rFonts w:hint="eastAsia" w:ascii="宋体" w:hAnsi="宋体" w:eastAsia="宋体" w:cs="宋体"/>
          <w:b/>
          <w:color w:val="auto"/>
          <w:szCs w:val="21"/>
          <w:highlight w:val="none"/>
        </w:rPr>
        <w:t>14.响应文件有效期</w:t>
      </w:r>
    </w:p>
    <w:p w14:paraId="0F20B8C0">
      <w:pPr>
        <w:pStyle w:val="17"/>
        <w:pageBreakBefore w:val="0"/>
        <w:widowControl w:val="0"/>
        <w:kinsoku/>
        <w:wordWrap/>
        <w:overflowPunct/>
        <w:topLinePunct w:val="0"/>
        <w:autoSpaceDE/>
        <w:autoSpaceDN/>
        <w:bidi w:val="0"/>
        <w:adjustRightInd/>
        <w:spacing w:line="440" w:lineRule="exact"/>
        <w:ind w:left="0" w:leftChars="0" w:firstLine="422" w:firstLineChars="200"/>
        <w:textAlignment w:val="auto"/>
        <w:rPr>
          <w:rStyle w:val="37"/>
          <w:rFonts w:hint="eastAsia" w:ascii="宋体" w:hAnsi="宋体" w:eastAsia="宋体" w:cs="宋体"/>
          <w:color w:val="auto"/>
          <w:sz w:val="21"/>
          <w:szCs w:val="21"/>
          <w:highlight w:val="none"/>
        </w:rPr>
      </w:pPr>
      <w:r>
        <w:rPr>
          <w:rStyle w:val="37"/>
          <w:rFonts w:hint="eastAsia" w:ascii="宋体" w:hAnsi="宋体" w:eastAsia="宋体" w:cs="宋体"/>
          <w:b/>
          <w:bCs/>
          <w:color w:val="auto"/>
          <w:sz w:val="21"/>
          <w:szCs w:val="21"/>
          <w:highlight w:val="none"/>
        </w:rPr>
        <w:t>14.1</w:t>
      </w:r>
      <w:r>
        <w:rPr>
          <w:rStyle w:val="37"/>
          <w:rFonts w:hint="eastAsia" w:ascii="宋体" w:hAnsi="宋体" w:eastAsia="宋体" w:cs="宋体"/>
          <w:b/>
          <w:color w:val="auto"/>
          <w:sz w:val="21"/>
          <w:szCs w:val="21"/>
          <w:highlight w:val="none"/>
        </w:rPr>
        <w:t>响应文件有效期：自响应文件递交截止时间之日起90天，有效期不足的响应文件将被拒绝。</w:t>
      </w:r>
    </w:p>
    <w:p w14:paraId="2F67AA95">
      <w:pPr>
        <w:pageBreakBefore w:val="0"/>
        <w:widowControl w:val="0"/>
        <w:tabs>
          <w:tab w:val="left" w:pos="1305"/>
        </w:tabs>
        <w:kinsoku/>
        <w:wordWrap/>
        <w:overflowPunct/>
        <w:topLinePunct w:val="0"/>
        <w:autoSpaceDE/>
        <w:autoSpaceDN/>
        <w:bidi w:val="0"/>
        <w:adjustRightInd/>
        <w:spacing w:line="440" w:lineRule="exact"/>
        <w:ind w:left="0" w:leftChars="0" w:firstLine="420" w:firstLineChars="200"/>
        <w:textAlignment w:val="auto"/>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14.2出现特殊情况下，需要延长响应有效期的，采购代理机构以书面形式通知供应商延长磋商有效期。供应商同意延长的，便不能修改响应文件。供应商拒绝延长的，其响应无效。</w:t>
      </w:r>
    </w:p>
    <w:p w14:paraId="065556CA">
      <w:pPr>
        <w:pageBreakBefore w:val="0"/>
        <w:widowControl w:val="0"/>
        <w:tabs>
          <w:tab w:val="left" w:pos="1305"/>
          <w:tab w:val="left" w:pos="4830"/>
        </w:tabs>
        <w:kinsoku/>
        <w:wordWrap/>
        <w:overflowPunct/>
        <w:topLinePunct w:val="0"/>
        <w:autoSpaceDE/>
        <w:autoSpaceDN/>
        <w:bidi w:val="0"/>
        <w:adjustRightInd/>
        <w:spacing w:line="440" w:lineRule="exact"/>
        <w:ind w:left="0" w:leftChars="0" w:firstLine="422" w:firstLineChars="200"/>
        <w:textAlignment w:val="auto"/>
        <w:rPr>
          <w:rStyle w:val="37"/>
          <w:rFonts w:hint="default" w:ascii="宋体" w:hAnsi="宋体" w:eastAsia="宋体" w:cs="宋体"/>
          <w:b/>
          <w:color w:val="auto"/>
          <w:szCs w:val="21"/>
          <w:highlight w:val="none"/>
          <w:lang w:val="en-US" w:eastAsia="zh-CN"/>
        </w:rPr>
      </w:pPr>
      <w:r>
        <w:rPr>
          <w:rStyle w:val="37"/>
          <w:rFonts w:hint="eastAsia" w:ascii="宋体" w:hAnsi="宋体" w:eastAsia="宋体" w:cs="宋体"/>
          <w:b/>
          <w:color w:val="auto"/>
          <w:szCs w:val="21"/>
          <w:highlight w:val="none"/>
        </w:rPr>
        <w:t>15. 竞争性磋商响应文件的制作</w:t>
      </w:r>
    </w:p>
    <w:p w14:paraId="63F62D38">
      <w:pPr>
        <w:pageBreakBefore w:val="0"/>
        <w:widowControl w:val="0"/>
        <w:kinsoku/>
        <w:wordWrap/>
        <w:overflowPunct/>
        <w:topLinePunct w:val="0"/>
        <w:autoSpaceDE/>
        <w:autoSpaceDN/>
        <w:bidi w:val="0"/>
        <w:adjustRightInd/>
        <w:spacing w:line="440" w:lineRule="exact"/>
        <w:ind w:left="0" w:leftChars="0" w:firstLine="420" w:firstLineChars="200"/>
        <w:textAlignment w:val="auto"/>
        <w:rPr>
          <w:rFonts w:hint="eastAsia" w:ascii="宋体" w:hAnsi="宋体" w:cs="宋体"/>
          <w:color w:val="auto"/>
          <w:szCs w:val="21"/>
          <w:highlight w:val="none"/>
        </w:rPr>
      </w:pPr>
      <w:bookmarkStart w:id="2" w:name="_Toc12"/>
      <w:r>
        <w:rPr>
          <w:rFonts w:hint="eastAsia" w:ascii="宋体" w:hAnsi="宋体" w:cs="宋体"/>
          <w:color w:val="auto"/>
          <w:szCs w:val="21"/>
          <w:highlight w:val="none"/>
        </w:rPr>
        <w:t>15.1供应商下载或获取竞争性磋商文件后，登录“</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电子投标客户端”，按照本磋商文件规定的响应文件格式、顺序以及“</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”的要求，通过“</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电子投标客户端”编制电子响应文件。</w:t>
      </w:r>
    </w:p>
    <w:p w14:paraId="1B8939C1">
      <w:pPr>
        <w:tabs>
          <w:tab w:val="left" w:pos="1305"/>
        </w:tabs>
        <w:spacing w:line="404"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15.</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电子磋商响应文件中须加盖供应商公章部分均采用CA签章，并根据“政府采购项目电子交易管理操作指南-供应商”及本磋商文件规定的格式和顺序编制电子磋商响应文件并进行关联定位，以便磋商小组在评审时，点击评分项可直接定位到该评分项内容。如对磋商文件的某项要求，供应商的电子磋商响应文件未能关联定位提供相应的内容与其对应，则磋商小组在评审时如做出对供应商不利的评审由供应商自行承担。电子磋商响应文件如内容不完整、编排混乱导致磋商响应文件被误读、漏读，或者在按采购文件规定的部位查找不到相关内容的，由供应商自行承担。</w:t>
      </w:r>
    </w:p>
    <w:p w14:paraId="618EBA62">
      <w:pPr>
        <w:pageBreakBefore w:val="0"/>
        <w:widowControl w:val="0"/>
        <w:kinsoku/>
        <w:wordWrap/>
        <w:overflowPunct/>
        <w:topLinePunct w:val="0"/>
        <w:autoSpaceDE/>
        <w:autoSpaceDN/>
        <w:bidi w:val="0"/>
        <w:adjustRightInd/>
        <w:spacing w:line="440" w:lineRule="exact"/>
        <w:ind w:left="0" w:leftChars="0"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15.</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供应商法人</w:t>
      </w:r>
      <w:r>
        <w:rPr>
          <w:rFonts w:hint="eastAsia" w:ascii="宋体" w:hAnsi="宋体" w:eastAsia="宋体" w:cs="宋体"/>
          <w:color w:val="auto"/>
          <w:szCs w:val="21"/>
          <w:highlight w:val="none"/>
        </w:rPr>
        <w:t>（负责人）</w:t>
      </w:r>
      <w:r>
        <w:rPr>
          <w:rFonts w:hint="eastAsia" w:ascii="宋体" w:hAnsi="宋体" w:cs="宋体"/>
          <w:color w:val="auto"/>
          <w:szCs w:val="21"/>
          <w:highlight w:val="none"/>
        </w:rPr>
        <w:t>或授权代表持有</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个人CA签章的，应在响应文件中涉及到签字的位置使用个人CA签章，没有办理</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个人CA签章的可在响应文件中涉及到签字的位置手写签字后扫描或者拍照做成PDF的格式上传即可。因响应文件字迹潦草、表达不清、内容不完整、编排混乱导致响应文件被误读、漏读，或者在按竞争性磋商文件规定的部位查找不到相关内容的，其不利后果由供应商自行承担。</w:t>
      </w:r>
    </w:p>
    <w:p w14:paraId="1892F026">
      <w:pPr>
        <w:pageBreakBefore w:val="0"/>
        <w:widowControl w:val="0"/>
        <w:kinsoku/>
        <w:wordWrap/>
        <w:overflowPunct/>
        <w:topLinePunct w:val="0"/>
        <w:autoSpaceDE/>
        <w:autoSpaceDN/>
        <w:bidi w:val="0"/>
        <w:adjustRightInd/>
        <w:spacing w:line="440" w:lineRule="exact"/>
        <w:ind w:left="0" w:leftChars="0"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15.</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 xml:space="preserve"> 供应商编制、生成电子响应文件后应当加密响应文件。供应商未按规定编制并加密的响应文件，“</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”将予以拒收。</w:t>
      </w:r>
    </w:p>
    <w:p w14:paraId="26C03D37">
      <w:pPr>
        <w:pageBreakBefore w:val="0"/>
        <w:widowControl w:val="0"/>
        <w:kinsoku/>
        <w:wordWrap/>
        <w:overflowPunct/>
        <w:topLinePunct w:val="0"/>
        <w:autoSpaceDE/>
        <w:autoSpaceDN/>
        <w:bidi w:val="0"/>
        <w:adjustRightInd/>
        <w:spacing w:line="440" w:lineRule="exact"/>
        <w:ind w:left="0" w:leftChars="0"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15.</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 xml:space="preserve">磋商前准备 </w:t>
      </w:r>
    </w:p>
    <w:p w14:paraId="206C2EBF">
      <w:pPr>
        <w:pageBreakBefore w:val="0"/>
        <w:widowControl w:val="0"/>
        <w:kinsoku/>
        <w:wordWrap/>
        <w:overflowPunct/>
        <w:topLinePunct w:val="0"/>
        <w:autoSpaceDE/>
        <w:autoSpaceDN/>
        <w:bidi w:val="0"/>
        <w:adjustRightInd/>
        <w:spacing w:line="440" w:lineRule="exact"/>
        <w:ind w:left="0" w:leftChars="0"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15.</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 xml:space="preserve">.1本项目实行在线磋商，采用电子磋商响应文件。若供应商参与磋商，自行承担磋商一切费用。 </w:t>
      </w:r>
    </w:p>
    <w:p w14:paraId="5265CB95">
      <w:pPr>
        <w:pageBreakBefore w:val="0"/>
        <w:widowControl w:val="0"/>
        <w:kinsoku/>
        <w:wordWrap/>
        <w:overflowPunct/>
        <w:topLinePunct w:val="0"/>
        <w:autoSpaceDE/>
        <w:autoSpaceDN/>
        <w:bidi w:val="0"/>
        <w:adjustRightInd/>
        <w:spacing w:line="440" w:lineRule="exact"/>
        <w:ind w:left="0" w:leftChars="0"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15.</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.2各供应商应在截标前应确保成为</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正式注册入库</w:t>
      </w:r>
      <w:r>
        <w:rPr>
          <w:rFonts w:hint="eastAsia" w:ascii="宋体" w:hAnsi="宋体" w:cs="宋体"/>
          <w:color w:val="auto"/>
          <w:szCs w:val="21"/>
          <w:highlight w:val="none"/>
          <w:lang w:eastAsia="zh-CN"/>
        </w:rPr>
        <w:t>，成为正式</w:t>
      </w:r>
      <w:r>
        <w:rPr>
          <w:rFonts w:hint="eastAsia" w:ascii="宋体" w:hAnsi="宋体" w:cs="宋体"/>
          <w:color w:val="auto"/>
          <w:szCs w:val="21"/>
          <w:highlight w:val="none"/>
        </w:rPr>
        <w:t xml:space="preserve">供应商，并完成 CA 数字证书申领。因未注册入库、未办理 CA 数字证书等原因造成无法磋商或磋商失败等后果由供应商自行承担。 </w:t>
      </w:r>
    </w:p>
    <w:p w14:paraId="3424DECD">
      <w:pPr>
        <w:pageBreakBefore w:val="0"/>
        <w:widowControl w:val="0"/>
        <w:kinsoku/>
        <w:wordWrap/>
        <w:overflowPunct/>
        <w:topLinePunct w:val="0"/>
        <w:autoSpaceDE/>
        <w:autoSpaceDN/>
        <w:bidi w:val="0"/>
        <w:adjustRightInd/>
        <w:spacing w:line="440" w:lineRule="exact"/>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15.</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.3供应商将</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电子交易客户端下载、安装完成后，可通过账号密码或 CA 登录客户端进行响应文件制作。客户端请至网站下载专区查看，如有问题可拨打</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客户服务热线</w:t>
      </w:r>
      <w:r>
        <w:rPr>
          <w:rFonts w:hint="eastAsia" w:ascii="宋体" w:hAnsi="宋体" w:cs="宋体"/>
          <w:color w:val="auto"/>
          <w:szCs w:val="21"/>
          <w:highlight w:val="none"/>
          <w:lang w:eastAsia="zh-CN"/>
        </w:rPr>
        <w:t>95763</w:t>
      </w:r>
      <w:r>
        <w:rPr>
          <w:rFonts w:hint="eastAsia" w:ascii="宋体" w:hAnsi="宋体" w:cs="宋体"/>
          <w:color w:val="auto"/>
          <w:szCs w:val="21"/>
          <w:highlight w:val="none"/>
        </w:rPr>
        <w:t>进行咨询。</w:t>
      </w:r>
    </w:p>
    <w:p w14:paraId="407D5675">
      <w:pPr>
        <w:pageBreakBefore w:val="0"/>
        <w:widowControl w:val="0"/>
        <w:kinsoku/>
        <w:wordWrap/>
        <w:overflowPunct/>
        <w:topLinePunct w:val="0"/>
        <w:autoSpaceDE/>
        <w:autoSpaceDN/>
        <w:bidi w:val="0"/>
        <w:adjustRightInd/>
        <w:spacing w:line="440" w:lineRule="exact"/>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15.6供应商公章及签字</w:t>
      </w:r>
    </w:p>
    <w:p w14:paraId="19A6EF21">
      <w:pPr>
        <w:pageBreakBefore w:val="0"/>
        <w:widowControl w:val="0"/>
        <w:kinsoku/>
        <w:wordWrap/>
        <w:overflowPunct/>
        <w:topLinePunct w:val="0"/>
        <w:autoSpaceDE/>
        <w:autoSpaceDN/>
        <w:bidi w:val="0"/>
        <w:adjustRightInd/>
        <w:spacing w:line="440" w:lineRule="exact"/>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15.</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.1本竞争性磋商文件中描述供应商的“公章”是指供应商通过指定电子化政府采购平台办理数字证书（CA认证证书）获得的以法定主体行为名称制作的电子印章。</w:t>
      </w:r>
    </w:p>
    <w:p w14:paraId="457EC45B">
      <w:pPr>
        <w:pageBreakBefore w:val="0"/>
        <w:widowControl w:val="0"/>
        <w:kinsoku/>
        <w:wordWrap/>
        <w:overflowPunct/>
        <w:topLinePunct w:val="0"/>
        <w:autoSpaceDE/>
        <w:autoSpaceDN/>
        <w:bidi w:val="0"/>
        <w:adjustRightInd/>
        <w:spacing w:line="440" w:lineRule="exact"/>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15.</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.2本竞争性磋商文件中要求供应商对其电子响应文件的相关内容加盖公章的，均指采用CA证书签章。</w:t>
      </w:r>
    </w:p>
    <w:p w14:paraId="66AFB88A">
      <w:pPr>
        <w:pageBreakBefore w:val="0"/>
        <w:widowControl w:val="0"/>
        <w:kinsoku/>
        <w:wordWrap/>
        <w:overflowPunct/>
        <w:topLinePunct w:val="0"/>
        <w:autoSpaceDE/>
        <w:autoSpaceDN/>
        <w:bidi w:val="0"/>
        <w:adjustRightInd/>
        <w:spacing w:line="440" w:lineRule="exact"/>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15.</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3本竞争性磋商文件中描述供应商的“签字”是指供应商通过指定电子化政府采购平台办理数字证书（CA认证证书）获得的以供应商法定代表人（负责人）或者委托代理人姓名制作的个人电子印章（个人CA证书签章）或手写签字。没有办理个人电子印章（个人CA证书签章）的，可以为手写签字的形式(可在响应文件中涉及到签字的位置手写签字后扫描或者拍照做成PDF的格式上传即可)。</w:t>
      </w:r>
    </w:p>
    <w:p w14:paraId="72CEB8CF">
      <w:pPr>
        <w:pageBreakBefore w:val="0"/>
        <w:widowControl w:val="0"/>
        <w:numPr>
          <w:ilvl w:val="0"/>
          <w:numId w:val="4"/>
        </w:numPr>
        <w:kinsoku/>
        <w:wordWrap/>
        <w:overflowPunct/>
        <w:topLinePunct w:val="0"/>
        <w:autoSpaceDE/>
        <w:autoSpaceDN/>
        <w:bidi w:val="0"/>
        <w:adjustRightInd/>
        <w:spacing w:line="44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响应文件的修改和撤回</w:t>
      </w:r>
      <w:bookmarkEnd w:id="2"/>
      <w:bookmarkStart w:id="3" w:name="_Toc30156"/>
      <w:bookmarkStart w:id="4" w:name="_Toc26434"/>
    </w:p>
    <w:p w14:paraId="1A244AE6">
      <w:pPr>
        <w:pageBreakBefore w:val="0"/>
        <w:widowControl w:val="0"/>
        <w:numPr>
          <w:ilvl w:val="0"/>
          <w:numId w:val="0"/>
        </w:numPr>
        <w:kinsoku/>
        <w:wordWrap/>
        <w:overflowPunct/>
        <w:topLinePunct w:val="0"/>
        <w:autoSpaceDE/>
        <w:autoSpaceDN/>
        <w:bidi w:val="0"/>
        <w:adjustRightInd/>
        <w:spacing w:line="440" w:lineRule="exact"/>
        <w:ind w:left="0" w:leftChars="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16.1 供应商应当在响应文件提交截止时间前，将生成的电子响应文件上传提交至“</w:t>
      </w:r>
      <w:r>
        <w:rPr>
          <w:rFonts w:hint="eastAsia" w:ascii="宋体" w:hAnsi="宋体" w:cs="宋体"/>
          <w:b w:val="0"/>
          <w:bCs w:val="0"/>
          <w:color w:val="auto"/>
          <w:sz w:val="21"/>
          <w:szCs w:val="21"/>
          <w:highlight w:val="none"/>
          <w:lang w:eastAsia="zh-CN"/>
        </w:rPr>
        <w:t>广西政府采购</w:t>
      </w:r>
      <w:r>
        <w:rPr>
          <w:rFonts w:hint="eastAsia" w:ascii="宋体" w:hAnsi="宋体" w:eastAsia="宋体" w:cs="宋体"/>
          <w:color w:val="auto"/>
          <w:szCs w:val="21"/>
          <w:highlight w:val="none"/>
          <w:lang w:eastAsia="zh-CN"/>
        </w:rPr>
        <w:t>云平台</w:t>
      </w:r>
      <w:r>
        <w:rPr>
          <w:rFonts w:hint="eastAsia" w:ascii="宋体" w:hAnsi="宋体" w:eastAsia="宋体" w:cs="宋体"/>
          <w:color w:val="auto"/>
          <w:szCs w:val="21"/>
          <w:highlight w:val="none"/>
        </w:rPr>
        <w:t>”平台。响应文件提交截止时间前可以补充、修改或撤回电子响应文件，补充、修改电子响应文件的，应当先行撤回原文件，补充、修改后重新传输提交。在响应文件提交截止时间后的响应文件有效期内，供应商不得撤回其响应文件。响应文件提交截止时间前未成功将电子响应文件上传“</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”平台的，视为未提交响应文件。</w:t>
      </w:r>
    </w:p>
    <w:p w14:paraId="50C6FA89">
      <w:pPr>
        <w:pStyle w:val="4"/>
        <w:keepNext/>
        <w:keepLines/>
        <w:pageBreakBefore w:val="0"/>
        <w:widowControl w:val="0"/>
        <w:kinsoku/>
        <w:wordWrap/>
        <w:overflowPunct/>
        <w:topLinePunct w:val="0"/>
        <w:autoSpaceDE/>
        <w:autoSpaceDN/>
        <w:bidi w:val="0"/>
        <w:adjustRightInd/>
        <w:snapToGrid/>
        <w:spacing w:before="0" w:after="0" w:line="440" w:lineRule="exact"/>
        <w:ind w:left="0" w:leftChars="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16.2 在响应文件递交截止时间后的响应文件有效期内，供应商不得撤回其响应文件。</w:t>
      </w:r>
    </w:p>
    <w:p w14:paraId="65434064">
      <w:pPr>
        <w:pStyle w:val="4"/>
        <w:keepNext/>
        <w:keepLines/>
        <w:pageBreakBefore w:val="0"/>
        <w:widowControl w:val="0"/>
        <w:kinsoku/>
        <w:wordWrap/>
        <w:overflowPunct/>
        <w:topLinePunct w:val="0"/>
        <w:autoSpaceDE/>
        <w:autoSpaceDN/>
        <w:bidi w:val="0"/>
        <w:adjustRightInd/>
        <w:snapToGrid/>
        <w:spacing w:before="0" w:after="0" w:line="440" w:lineRule="exact"/>
        <w:ind w:left="0" w:leftChars="0"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 响应文件的递交和解密</w:t>
      </w:r>
      <w:bookmarkEnd w:id="3"/>
      <w:bookmarkEnd w:id="4"/>
    </w:p>
    <w:p w14:paraId="2EEF62B6">
      <w:pPr>
        <w:pStyle w:val="4"/>
        <w:keepNext/>
        <w:keepLines/>
        <w:pageBreakBefore w:val="0"/>
        <w:widowControl w:val="0"/>
        <w:kinsoku/>
        <w:wordWrap/>
        <w:overflowPunct/>
        <w:topLinePunct w:val="0"/>
        <w:autoSpaceDE/>
        <w:autoSpaceDN/>
        <w:bidi w:val="0"/>
        <w:adjustRightInd/>
        <w:snapToGrid/>
        <w:spacing w:before="0" w:after="0" w:line="440" w:lineRule="exact"/>
        <w:ind w:left="0" w:leftChars="0" w:firstLine="420" w:firstLineChars="20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17.1响应文件递交截止时间：</w:t>
      </w:r>
      <w:r>
        <w:rPr>
          <w:rFonts w:hint="eastAsia" w:ascii="宋体" w:hAnsi="宋体" w:cs="宋体"/>
          <w:b w:val="0"/>
          <w:bCs w:val="0"/>
          <w:color w:val="auto"/>
          <w:sz w:val="21"/>
          <w:szCs w:val="21"/>
          <w:highlight w:val="none"/>
          <w:lang w:eastAsia="zh-CN"/>
        </w:rPr>
        <w:t>详见供应商须知前附表。</w:t>
      </w:r>
    </w:p>
    <w:p w14:paraId="433899C0">
      <w:pPr>
        <w:pageBreakBefore w:val="0"/>
        <w:widowControl w:val="0"/>
        <w:kinsoku/>
        <w:wordWrap/>
        <w:overflowPunct/>
        <w:topLinePunct w:val="0"/>
        <w:autoSpaceDE/>
        <w:autoSpaceDN/>
        <w:bidi w:val="0"/>
        <w:adjustRightInd/>
        <w:spacing w:line="44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17.2磋商响应文件解密时间：</w:t>
      </w:r>
      <w:r>
        <w:rPr>
          <w:rFonts w:hint="eastAsia" w:ascii="宋体" w:hAnsi="宋体" w:cs="宋体"/>
          <w:b w:val="0"/>
          <w:bCs w:val="0"/>
          <w:color w:val="auto"/>
          <w:sz w:val="21"/>
          <w:szCs w:val="21"/>
          <w:highlight w:val="none"/>
          <w:lang w:eastAsia="zh-CN"/>
        </w:rPr>
        <w:t>详见供应商须知前附表。</w:t>
      </w:r>
    </w:p>
    <w:p w14:paraId="5E62E00E">
      <w:pPr>
        <w:pageBreakBefore w:val="0"/>
        <w:widowControl w:val="0"/>
        <w:kinsoku/>
        <w:wordWrap/>
        <w:overflowPunct/>
        <w:topLinePunct w:val="0"/>
        <w:autoSpaceDE/>
        <w:autoSpaceDN/>
        <w:bidi w:val="0"/>
        <w:adjustRightInd/>
        <w:spacing w:line="44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17.3 除竞争性磋商文件另有规定外，供应商所递交的响应文件不予退还。</w:t>
      </w:r>
    </w:p>
    <w:p w14:paraId="6117C0F0">
      <w:pPr>
        <w:pageBreakBefore w:val="0"/>
        <w:widowControl w:val="0"/>
        <w:kinsoku/>
        <w:wordWrap/>
        <w:overflowPunct/>
        <w:topLinePunct w:val="0"/>
        <w:autoSpaceDE/>
        <w:autoSpaceDN/>
        <w:bidi w:val="0"/>
        <w:adjustRightInd/>
        <w:spacing w:line="44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17.4 电子响应文件的相关说明</w:t>
      </w:r>
    </w:p>
    <w:p w14:paraId="49059D1A">
      <w:pPr>
        <w:pageBreakBefore w:val="0"/>
        <w:widowControl w:val="0"/>
        <w:kinsoku/>
        <w:wordWrap/>
        <w:overflowPunct/>
        <w:topLinePunct w:val="0"/>
        <w:autoSpaceDE/>
        <w:autoSpaceDN/>
        <w:bidi w:val="0"/>
        <w:adjustRightInd/>
        <w:spacing w:line="44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供应商进行电子响应应安装客户端软件，并按照采购文件和电子交易平台的要求编制并加密磋商响应文件。供应商未按规定加密的磋商响应文件，电子交易平台将拒收。供应商应当在磋商截止时间前完成磋商响应文件的传输递交，并可以补充、修改或者撤回磋商响应文件。补充或者修改磋商响应文件的，应当先行撤回原文件，补充、修改后重新传输递交。磋商截止时间前未完成传输的，视为撤回磋商响应文件。磋商截止时间后递交的磋商响应文件，电子交易平台将拒收。 </w:t>
      </w:r>
    </w:p>
    <w:p w14:paraId="2754FE67">
      <w:pPr>
        <w:pageBreakBefore w:val="0"/>
        <w:widowControl w:val="0"/>
        <w:kinsoku/>
        <w:wordWrap/>
        <w:overflowPunct/>
        <w:topLinePunct w:val="0"/>
        <w:autoSpaceDE/>
        <w:autoSpaceDN/>
        <w:bidi w:val="0"/>
        <w:adjustRightInd/>
        <w:spacing w:line="44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（2）如有特殊情况，采购代理机构延长截止时间和开标时间，采购代理机构和供应商的权利和义务将受到新的截止时间和开标时间的约束。</w:t>
      </w:r>
    </w:p>
    <w:p w14:paraId="3637E418">
      <w:pPr>
        <w:pStyle w:val="10"/>
        <w:pageBreakBefore w:val="0"/>
        <w:widowControl w:val="0"/>
        <w:kinsoku/>
        <w:wordWrap/>
        <w:overflowPunct/>
        <w:topLinePunct w:val="0"/>
        <w:autoSpaceDE/>
        <w:autoSpaceDN/>
        <w:bidi w:val="0"/>
        <w:adjustRightInd/>
        <w:spacing w:line="440" w:lineRule="exact"/>
        <w:ind w:left="0" w:leftChars="0"/>
        <w:textAlignment w:val="auto"/>
        <w:rPr>
          <w:rFonts w:hint="eastAsia"/>
          <w:color w:val="auto"/>
          <w:highlight w:val="none"/>
        </w:rPr>
      </w:pPr>
    </w:p>
    <w:p w14:paraId="3359B033">
      <w:pPr>
        <w:pageBreakBefore w:val="0"/>
        <w:widowControl w:val="0"/>
        <w:numPr>
          <w:ilvl w:val="0"/>
          <w:numId w:val="5"/>
        </w:numPr>
        <w:tabs>
          <w:tab w:val="left" w:pos="1305"/>
        </w:tabs>
        <w:kinsoku/>
        <w:wordWrap/>
        <w:overflowPunct/>
        <w:topLinePunct w:val="0"/>
        <w:autoSpaceDE/>
        <w:autoSpaceDN/>
        <w:bidi w:val="0"/>
        <w:adjustRightInd/>
        <w:spacing w:line="440" w:lineRule="exact"/>
        <w:ind w:left="0" w:leftChars="0" w:firstLine="562" w:firstLineChars="200"/>
        <w:jc w:val="center"/>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竞争性磋商（简称磋商）与评审</w:t>
      </w:r>
    </w:p>
    <w:p w14:paraId="45758453">
      <w:pPr>
        <w:pageBreakBefore w:val="0"/>
        <w:widowControl w:val="0"/>
        <w:tabs>
          <w:tab w:val="left" w:pos="1305"/>
        </w:tabs>
        <w:kinsoku/>
        <w:wordWrap/>
        <w:overflowPunct/>
        <w:topLinePunct w:val="0"/>
        <w:autoSpaceDE/>
        <w:autoSpaceDN/>
        <w:bidi w:val="0"/>
        <w:adjustRightInd/>
        <w:spacing w:line="440" w:lineRule="exact"/>
        <w:ind w:left="0" w:leftChars="0" w:firstLine="422" w:firstLineChars="200"/>
        <w:textAlignment w:val="auto"/>
        <w:rPr>
          <w:rStyle w:val="37"/>
          <w:rFonts w:hint="eastAsia" w:ascii="宋体" w:hAnsi="宋体" w:eastAsia="宋体" w:cs="宋体"/>
          <w:b/>
          <w:color w:val="auto"/>
          <w:szCs w:val="21"/>
          <w:highlight w:val="none"/>
        </w:rPr>
      </w:pPr>
      <w:r>
        <w:rPr>
          <w:rStyle w:val="37"/>
          <w:rFonts w:hint="eastAsia" w:ascii="宋体" w:hAnsi="宋体" w:eastAsia="宋体" w:cs="宋体"/>
          <w:b/>
          <w:color w:val="auto"/>
          <w:szCs w:val="21"/>
          <w:highlight w:val="none"/>
        </w:rPr>
        <w:t>18. 磋商小组组成及磋商时间、地点、人员</w:t>
      </w:r>
    </w:p>
    <w:p w14:paraId="49EBAAE9">
      <w:pPr>
        <w:pageBreakBefore w:val="0"/>
        <w:widowControl w:val="0"/>
        <w:kinsoku/>
        <w:wordWrap/>
        <w:overflowPunct/>
        <w:topLinePunct w:val="0"/>
        <w:autoSpaceDE/>
        <w:autoSpaceDN/>
        <w:bidi w:val="0"/>
        <w:adjustRightInd/>
        <w:spacing w:line="440" w:lineRule="exact"/>
        <w:ind w:left="0" w:leftChars="0" w:firstLine="420" w:firstLineChars="200"/>
        <w:textAlignment w:val="auto"/>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18.1磋商小组组成：</w:t>
      </w:r>
    </w:p>
    <w:p w14:paraId="6F4B0574">
      <w:pPr>
        <w:pStyle w:val="17"/>
        <w:pageBreakBefore w:val="0"/>
        <w:widowControl w:val="0"/>
        <w:kinsoku/>
        <w:wordWrap/>
        <w:overflowPunct/>
        <w:topLinePunct w:val="0"/>
        <w:autoSpaceDE/>
        <w:autoSpaceDN/>
        <w:bidi w:val="0"/>
        <w:adjustRightInd/>
        <w:spacing w:line="440" w:lineRule="exact"/>
        <w:ind w:left="0" w:leftChars="0" w:firstLine="420" w:firstLineChars="200"/>
        <w:textAlignment w:val="auto"/>
        <w:rPr>
          <w:rStyle w:val="37"/>
          <w:rFonts w:hint="eastAsia" w:ascii="宋体" w:hAnsi="宋体" w:eastAsia="宋体" w:cs="宋体"/>
          <w:color w:val="auto"/>
          <w:sz w:val="21"/>
          <w:szCs w:val="21"/>
          <w:highlight w:val="none"/>
        </w:rPr>
      </w:pPr>
      <w:r>
        <w:rPr>
          <w:rStyle w:val="37"/>
          <w:rFonts w:hint="eastAsia" w:ascii="宋体" w:hAnsi="宋体" w:eastAsia="宋体" w:cs="宋体"/>
          <w:color w:val="auto"/>
          <w:sz w:val="21"/>
          <w:szCs w:val="21"/>
          <w:highlight w:val="none"/>
        </w:rPr>
        <w:t>具体磋商、评审工作由依法组建的磋商小组负责，本项目的磋商小组由采购人代表和有关方面的专家组成。磋商小组的构成：3人，其中采购人代表1人，有关专家2人。</w:t>
      </w:r>
    </w:p>
    <w:p w14:paraId="63385783">
      <w:pPr>
        <w:pStyle w:val="17"/>
        <w:pageBreakBefore w:val="0"/>
        <w:widowControl w:val="0"/>
        <w:kinsoku/>
        <w:wordWrap/>
        <w:overflowPunct/>
        <w:topLinePunct w:val="0"/>
        <w:autoSpaceDE/>
        <w:autoSpaceDN/>
        <w:bidi w:val="0"/>
        <w:adjustRightInd/>
        <w:spacing w:line="440" w:lineRule="exact"/>
        <w:ind w:left="0" w:leftChars="0" w:firstLine="420" w:firstLineChars="200"/>
        <w:textAlignment w:val="auto"/>
        <w:rPr>
          <w:rStyle w:val="37"/>
          <w:rFonts w:hint="eastAsia" w:ascii="宋体" w:hAnsi="宋体" w:eastAsia="宋体" w:cs="宋体"/>
          <w:color w:val="auto"/>
          <w:sz w:val="21"/>
          <w:szCs w:val="21"/>
          <w:highlight w:val="none"/>
        </w:rPr>
      </w:pPr>
      <w:r>
        <w:rPr>
          <w:rStyle w:val="37"/>
          <w:rFonts w:hint="eastAsia" w:ascii="宋体" w:hAnsi="宋体" w:eastAsia="宋体" w:cs="宋体"/>
          <w:color w:val="auto"/>
          <w:sz w:val="21"/>
          <w:szCs w:val="21"/>
          <w:highlight w:val="none"/>
        </w:rPr>
        <w:t>18.2磋商时间、地点、人员：</w:t>
      </w:r>
    </w:p>
    <w:p w14:paraId="1817B5B7">
      <w:pPr>
        <w:pageBreakBefore w:val="0"/>
        <w:widowControl w:val="0"/>
        <w:kinsoku/>
        <w:wordWrap/>
        <w:overflowPunct/>
        <w:topLinePunct w:val="0"/>
        <w:autoSpaceDE/>
        <w:autoSpaceDN/>
        <w:bidi w:val="0"/>
        <w:adjustRightInd/>
        <w:spacing w:line="440" w:lineRule="exact"/>
        <w:ind w:left="0" w:leftChars="0" w:firstLine="420" w:firstLineChars="200"/>
        <w:textAlignment w:val="auto"/>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18.2.1磋商时间：响应文件递交截止时间后</w:t>
      </w:r>
      <w:r>
        <w:rPr>
          <w:rStyle w:val="37"/>
          <w:rFonts w:hint="eastAsia" w:ascii="宋体" w:hAnsi="宋体" w:eastAsia="宋体" w:cs="宋体"/>
          <w:color w:val="auto"/>
          <w:highlight w:val="none"/>
        </w:rPr>
        <w:t>；</w:t>
      </w:r>
    </w:p>
    <w:p w14:paraId="3D8FC299">
      <w:pPr>
        <w:pageBreakBefore w:val="0"/>
        <w:widowControl w:val="0"/>
        <w:kinsoku/>
        <w:wordWrap/>
        <w:overflowPunct/>
        <w:topLinePunct w:val="0"/>
        <w:autoSpaceDE/>
        <w:autoSpaceDN/>
        <w:bidi w:val="0"/>
        <w:adjustRightInd/>
        <w:spacing w:line="440" w:lineRule="exact"/>
        <w:ind w:left="0" w:leftChars="0" w:firstLine="420" w:firstLineChars="200"/>
        <w:textAlignment w:val="auto"/>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18.2.2磋商地点：</w:t>
      </w:r>
      <w:r>
        <w:rPr>
          <w:rFonts w:hint="eastAsia" w:ascii="宋体" w:hAnsi="宋体" w:eastAsia="宋体" w:cs="宋体"/>
          <w:color w:val="auto"/>
          <w:szCs w:val="21"/>
          <w:highlight w:val="none"/>
        </w:rPr>
        <w:t>按磋商小组要求及时</w:t>
      </w:r>
      <w:r>
        <w:rPr>
          <w:rFonts w:hint="eastAsia" w:ascii="宋体" w:hAnsi="宋体" w:cs="宋体"/>
          <w:color w:val="auto"/>
          <w:szCs w:val="21"/>
          <w:highlight w:val="none"/>
          <w:lang w:eastAsia="zh-CN"/>
        </w:rPr>
        <w:t>登录广西政府采购云平台</w:t>
      </w:r>
      <w:r>
        <w:rPr>
          <w:rFonts w:hint="eastAsia" w:ascii="宋体" w:hAnsi="宋体" w:eastAsia="宋体" w:cs="宋体"/>
          <w:color w:val="auto"/>
          <w:szCs w:val="21"/>
          <w:highlight w:val="none"/>
        </w:rPr>
        <w:t>等候在线磋商</w:t>
      </w:r>
      <w:r>
        <w:rPr>
          <w:rStyle w:val="37"/>
          <w:rFonts w:hint="eastAsia" w:ascii="宋体" w:hAnsi="宋体" w:eastAsia="宋体" w:cs="宋体"/>
          <w:color w:val="auto"/>
          <w:highlight w:val="none"/>
        </w:rPr>
        <w:t>。</w:t>
      </w:r>
    </w:p>
    <w:p w14:paraId="2701AB2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Style w:val="37"/>
          <w:rFonts w:hint="eastAsia" w:ascii="宋体" w:hAnsi="宋体" w:eastAsia="宋体" w:cs="宋体"/>
          <w:color w:val="auto"/>
          <w:szCs w:val="21"/>
          <w:highlight w:val="none"/>
          <w:lang w:eastAsia="zh-CN"/>
        </w:rPr>
      </w:pPr>
      <w:r>
        <w:rPr>
          <w:rStyle w:val="37"/>
          <w:rFonts w:hint="eastAsia" w:ascii="宋体" w:hAnsi="宋体" w:eastAsia="宋体" w:cs="宋体"/>
          <w:color w:val="auto"/>
          <w:highlight w:val="none"/>
        </w:rPr>
        <w:t>18.2.3磋商参加人员：</w:t>
      </w:r>
      <w:r>
        <w:rPr>
          <w:rStyle w:val="37"/>
          <w:rFonts w:hint="eastAsia" w:ascii="宋体" w:hAnsi="宋体" w:cs="宋体"/>
          <w:color w:val="auto"/>
          <w:highlight w:val="none"/>
        </w:rPr>
        <w:t>详见供应商须知前附表。</w:t>
      </w:r>
    </w:p>
    <w:p w14:paraId="48A8DF5B">
      <w:pPr>
        <w:pStyle w:val="17"/>
        <w:pageBreakBefore w:val="0"/>
        <w:widowControl w:val="0"/>
        <w:kinsoku/>
        <w:wordWrap/>
        <w:overflowPunct/>
        <w:topLinePunct w:val="0"/>
        <w:autoSpaceDE/>
        <w:autoSpaceDN/>
        <w:bidi w:val="0"/>
        <w:adjustRightInd/>
        <w:spacing w:line="440" w:lineRule="exact"/>
        <w:ind w:left="0" w:leftChars="0" w:firstLine="420" w:firstLineChars="200"/>
        <w:textAlignment w:val="auto"/>
        <w:rPr>
          <w:rStyle w:val="37"/>
          <w:rFonts w:hint="eastAsia" w:ascii="宋体" w:hAnsi="宋体" w:eastAsia="宋体" w:cs="宋体"/>
          <w:color w:val="auto"/>
          <w:sz w:val="21"/>
          <w:szCs w:val="24"/>
          <w:highlight w:val="none"/>
        </w:rPr>
      </w:pPr>
      <w:r>
        <w:rPr>
          <w:rStyle w:val="37"/>
          <w:rFonts w:hint="eastAsia" w:ascii="宋体" w:hAnsi="宋体" w:eastAsia="宋体" w:cs="宋体"/>
          <w:color w:val="auto"/>
          <w:sz w:val="21"/>
          <w:szCs w:val="24"/>
          <w:highlight w:val="none"/>
        </w:rPr>
        <w:t>18.2.4响应文件递交截止时间后，由磋商小组在评标室内线上开启响应文件。</w:t>
      </w:r>
    </w:p>
    <w:p w14:paraId="75556EA7">
      <w:pPr>
        <w:pStyle w:val="17"/>
        <w:keepNext w:val="0"/>
        <w:keepLines w:val="0"/>
        <w:pageBreakBefore w:val="0"/>
        <w:widowControl w:val="0"/>
        <w:kinsoku/>
        <w:wordWrap/>
        <w:overflowPunct/>
        <w:topLinePunct w:val="0"/>
        <w:autoSpaceDE/>
        <w:autoSpaceDN/>
        <w:bidi w:val="0"/>
        <w:adjustRightInd/>
        <w:spacing w:line="440" w:lineRule="exact"/>
        <w:ind w:left="0" w:leftChars="0" w:firstLine="420" w:firstLineChars="200"/>
        <w:textAlignment w:val="auto"/>
        <w:rPr>
          <w:rStyle w:val="37"/>
          <w:rFonts w:hint="eastAsia" w:ascii="宋体" w:hAnsi="宋体" w:eastAsia="宋体" w:cs="宋体"/>
          <w:color w:val="auto"/>
          <w:sz w:val="21"/>
          <w:szCs w:val="24"/>
          <w:highlight w:val="none"/>
          <w:lang w:val="en-US" w:eastAsia="zh-CN"/>
        </w:rPr>
      </w:pPr>
      <w:r>
        <w:rPr>
          <w:rStyle w:val="37"/>
          <w:rFonts w:hint="eastAsia" w:ascii="宋体" w:hAnsi="宋体" w:eastAsia="宋体" w:cs="宋体"/>
          <w:color w:val="auto"/>
          <w:sz w:val="21"/>
          <w:szCs w:val="24"/>
          <w:highlight w:val="none"/>
        </w:rPr>
        <w:t>18.2.</w:t>
      </w:r>
      <w:r>
        <w:rPr>
          <w:rStyle w:val="37"/>
          <w:rFonts w:hint="eastAsia" w:ascii="宋体" w:hAnsi="宋体" w:eastAsia="宋体" w:cs="宋体"/>
          <w:color w:val="auto"/>
          <w:sz w:val="21"/>
          <w:szCs w:val="24"/>
          <w:highlight w:val="none"/>
          <w:lang w:val="en-US" w:eastAsia="zh-CN"/>
        </w:rPr>
        <w:t>5本项目需要供应商代表在响应文件提交截止时间当天，按磋商小组要求及时</w:t>
      </w:r>
      <w:r>
        <w:rPr>
          <w:rStyle w:val="37"/>
          <w:rFonts w:hint="eastAsia" w:ascii="宋体" w:hAnsi="宋体" w:cs="宋体"/>
          <w:color w:val="auto"/>
          <w:sz w:val="21"/>
          <w:szCs w:val="24"/>
          <w:highlight w:val="none"/>
          <w:lang w:val="en-US" w:eastAsia="zh-CN"/>
        </w:rPr>
        <w:t>登录</w:t>
      </w:r>
      <w:r>
        <w:rPr>
          <w:rStyle w:val="37"/>
          <w:rFonts w:hint="eastAsia" w:ascii="宋体" w:hAnsi="宋体" w:eastAsia="宋体" w:cs="宋体"/>
          <w:color w:val="auto"/>
          <w:sz w:val="21"/>
          <w:szCs w:val="24"/>
          <w:highlight w:val="none"/>
          <w:lang w:val="en-US" w:eastAsia="zh-CN"/>
        </w:rPr>
        <w:t>“</w:t>
      </w:r>
      <w:r>
        <w:rPr>
          <w:rStyle w:val="37"/>
          <w:rFonts w:hint="eastAsia" w:ascii="宋体" w:hAnsi="宋体" w:cs="宋体"/>
          <w:color w:val="auto"/>
          <w:sz w:val="21"/>
          <w:szCs w:val="24"/>
          <w:highlight w:val="none"/>
          <w:lang w:val="en-US" w:eastAsia="zh-CN"/>
        </w:rPr>
        <w:t>广西政府采购云平台</w:t>
      </w:r>
      <w:r>
        <w:rPr>
          <w:rStyle w:val="37"/>
          <w:rFonts w:hint="eastAsia" w:ascii="宋体" w:hAnsi="宋体" w:eastAsia="宋体" w:cs="宋体"/>
          <w:color w:val="auto"/>
          <w:sz w:val="21"/>
          <w:szCs w:val="24"/>
          <w:highlight w:val="none"/>
          <w:lang w:val="en-US" w:eastAsia="zh-CN"/>
        </w:rPr>
        <w:t>”等候在线磋商及提交最后报价。</w:t>
      </w:r>
    </w:p>
    <w:p w14:paraId="40E13649">
      <w:pPr>
        <w:pageBreakBefore w:val="0"/>
        <w:widowControl w:val="0"/>
        <w:tabs>
          <w:tab w:val="left" w:pos="1305"/>
        </w:tabs>
        <w:kinsoku/>
        <w:wordWrap/>
        <w:overflowPunct/>
        <w:topLinePunct w:val="0"/>
        <w:autoSpaceDE/>
        <w:autoSpaceDN/>
        <w:bidi w:val="0"/>
        <w:adjustRightInd/>
        <w:spacing w:line="440" w:lineRule="exact"/>
        <w:ind w:left="0" w:leftChars="0" w:firstLine="422" w:firstLineChars="200"/>
        <w:textAlignment w:val="auto"/>
        <w:rPr>
          <w:rStyle w:val="37"/>
          <w:rFonts w:hint="eastAsia" w:ascii="宋体" w:hAnsi="宋体" w:eastAsia="宋体" w:cs="宋体"/>
          <w:b/>
          <w:color w:val="auto"/>
          <w:highlight w:val="none"/>
        </w:rPr>
      </w:pPr>
      <w:r>
        <w:rPr>
          <w:rStyle w:val="37"/>
          <w:rFonts w:hint="eastAsia" w:ascii="宋体" w:hAnsi="宋体" w:eastAsia="宋体" w:cs="宋体"/>
          <w:b/>
          <w:color w:val="auto"/>
          <w:highlight w:val="none"/>
        </w:rPr>
        <w:t>19.评审原则和评审办法</w:t>
      </w:r>
    </w:p>
    <w:p w14:paraId="27DBD892">
      <w:pPr>
        <w:pageBreakBefore w:val="0"/>
        <w:widowControl w:val="0"/>
        <w:tabs>
          <w:tab w:val="left" w:pos="1305"/>
        </w:tabs>
        <w:kinsoku/>
        <w:wordWrap/>
        <w:overflowPunct/>
        <w:topLinePunct w:val="0"/>
        <w:autoSpaceDE/>
        <w:autoSpaceDN/>
        <w:bidi w:val="0"/>
        <w:adjustRightInd/>
        <w:spacing w:line="440" w:lineRule="exact"/>
        <w:ind w:left="0" w:leftChars="0" w:firstLine="420" w:firstLineChars="200"/>
        <w:textAlignment w:val="auto"/>
        <w:rPr>
          <w:rStyle w:val="37"/>
          <w:rFonts w:hint="eastAsia" w:ascii="宋体" w:hAnsi="宋体" w:eastAsia="宋体" w:cs="宋体"/>
          <w:color w:val="auto"/>
          <w:highlight w:val="none"/>
        </w:rPr>
      </w:pPr>
      <w:r>
        <w:rPr>
          <w:rStyle w:val="37"/>
          <w:rFonts w:hint="eastAsia" w:ascii="宋体" w:hAnsi="宋体" w:eastAsia="宋体" w:cs="宋体"/>
          <w:color w:val="auto"/>
          <w:highlight w:val="none"/>
        </w:rPr>
        <w:t>19.1磋商小组必须坚持公平、公正、科学和择优的原则。</w:t>
      </w:r>
    </w:p>
    <w:p w14:paraId="46F33065">
      <w:pPr>
        <w:pageBreakBefore w:val="0"/>
        <w:widowControl w:val="0"/>
        <w:tabs>
          <w:tab w:val="left" w:pos="1305"/>
        </w:tabs>
        <w:kinsoku/>
        <w:wordWrap/>
        <w:overflowPunct/>
        <w:topLinePunct w:val="0"/>
        <w:autoSpaceDE/>
        <w:autoSpaceDN/>
        <w:bidi w:val="0"/>
        <w:adjustRightInd/>
        <w:spacing w:line="440" w:lineRule="exact"/>
        <w:ind w:left="0" w:leftChars="0" w:firstLine="420" w:firstLineChars="200"/>
        <w:textAlignment w:val="auto"/>
        <w:rPr>
          <w:rStyle w:val="37"/>
          <w:rFonts w:hint="eastAsia" w:ascii="宋体" w:hAnsi="宋体" w:eastAsia="宋体" w:cs="宋体"/>
          <w:color w:val="auto"/>
          <w:highlight w:val="none"/>
        </w:rPr>
      </w:pPr>
      <w:r>
        <w:rPr>
          <w:rStyle w:val="37"/>
          <w:rFonts w:hint="eastAsia" w:ascii="宋体" w:hAnsi="宋体" w:eastAsia="宋体" w:cs="宋体"/>
          <w:color w:val="auto"/>
          <w:highlight w:val="none"/>
        </w:rPr>
        <w:t>19.2评审办法：综合评分法，具体详见第四章评审办法</w:t>
      </w:r>
      <w:r>
        <w:rPr>
          <w:rStyle w:val="37"/>
          <w:rFonts w:hint="eastAsia" w:ascii="宋体" w:hAnsi="宋体" w:cs="宋体"/>
          <w:color w:val="auto"/>
          <w:highlight w:val="none"/>
        </w:rPr>
        <w:t>。</w:t>
      </w:r>
    </w:p>
    <w:p w14:paraId="3EFB5159">
      <w:pPr>
        <w:pageBreakBefore w:val="0"/>
        <w:widowControl w:val="0"/>
        <w:tabs>
          <w:tab w:val="left" w:pos="1305"/>
        </w:tabs>
        <w:kinsoku/>
        <w:wordWrap/>
        <w:overflowPunct/>
        <w:topLinePunct w:val="0"/>
        <w:autoSpaceDE/>
        <w:autoSpaceDN/>
        <w:bidi w:val="0"/>
        <w:adjustRightInd/>
        <w:spacing w:line="440" w:lineRule="exact"/>
        <w:ind w:left="0" w:leftChars="0" w:firstLine="420" w:firstLineChars="200"/>
        <w:textAlignment w:val="auto"/>
        <w:rPr>
          <w:rStyle w:val="37"/>
          <w:rFonts w:hint="eastAsia" w:ascii="宋体" w:hAnsi="宋体" w:eastAsia="宋体" w:cs="宋体"/>
          <w:color w:val="auto"/>
          <w:highlight w:val="none"/>
        </w:rPr>
      </w:pPr>
      <w:r>
        <w:rPr>
          <w:rStyle w:val="37"/>
          <w:rFonts w:hint="eastAsia" w:ascii="宋体" w:hAnsi="宋体" w:eastAsia="宋体" w:cs="宋体"/>
          <w:color w:val="auto"/>
          <w:highlight w:val="none"/>
        </w:rPr>
        <w:t>19.3磋商小组应按磋商文件进行评审，不得擅自更改评审办法。</w:t>
      </w:r>
    </w:p>
    <w:p w14:paraId="400765AA">
      <w:pPr>
        <w:pageBreakBefore w:val="0"/>
        <w:widowControl w:val="0"/>
        <w:tabs>
          <w:tab w:val="left" w:pos="1305"/>
        </w:tabs>
        <w:kinsoku/>
        <w:wordWrap/>
        <w:overflowPunct/>
        <w:topLinePunct w:val="0"/>
        <w:autoSpaceDE/>
        <w:autoSpaceDN/>
        <w:bidi w:val="0"/>
        <w:adjustRightInd/>
        <w:spacing w:line="440" w:lineRule="exact"/>
        <w:ind w:left="0" w:leftChars="0" w:firstLine="420" w:firstLineChars="200"/>
        <w:textAlignment w:val="auto"/>
        <w:rPr>
          <w:rStyle w:val="37"/>
          <w:rFonts w:hint="eastAsia" w:ascii="宋体" w:hAnsi="宋体" w:eastAsia="宋体" w:cs="宋体"/>
          <w:color w:val="auto"/>
          <w:highlight w:val="none"/>
        </w:rPr>
      </w:pPr>
      <w:r>
        <w:rPr>
          <w:rStyle w:val="37"/>
          <w:rFonts w:hint="eastAsia" w:ascii="宋体" w:hAnsi="宋体" w:eastAsia="宋体" w:cs="宋体"/>
          <w:color w:val="auto"/>
          <w:highlight w:val="none"/>
        </w:rPr>
        <w:t>19.4在评审过程中，磋商小组任何人不得对某个供应商发表任何倾向性意见，不得向其他磋商小组成员明示或暗示自己的评审意见。</w:t>
      </w:r>
    </w:p>
    <w:p w14:paraId="52FACC77">
      <w:pPr>
        <w:pageBreakBefore w:val="0"/>
        <w:widowControl w:val="0"/>
        <w:tabs>
          <w:tab w:val="left" w:pos="1305"/>
        </w:tabs>
        <w:kinsoku/>
        <w:wordWrap/>
        <w:overflowPunct/>
        <w:topLinePunct w:val="0"/>
        <w:autoSpaceDE/>
        <w:autoSpaceDN/>
        <w:bidi w:val="0"/>
        <w:adjustRightInd/>
        <w:spacing w:line="440" w:lineRule="exact"/>
        <w:ind w:left="0" w:leftChars="0" w:firstLine="420" w:firstLineChars="200"/>
        <w:textAlignment w:val="auto"/>
        <w:rPr>
          <w:rFonts w:hint="eastAsia" w:ascii="宋体" w:hAnsi="宋体" w:eastAsia="宋体" w:cs="宋体"/>
          <w:color w:val="auto"/>
          <w:highlight w:val="none"/>
        </w:rPr>
      </w:pPr>
      <w:r>
        <w:rPr>
          <w:rStyle w:val="37"/>
          <w:rFonts w:hint="eastAsia" w:ascii="宋体" w:hAnsi="宋体" w:eastAsia="宋体" w:cs="宋体"/>
          <w:color w:val="auto"/>
          <w:highlight w:val="none"/>
        </w:rPr>
        <w:t>19.5磋商小组成员对需要共同认定的事项存在争议的，按照少数服从多数的原则作出结论。持不同意见的磋商小组成员应当在评审报告上签署不同意见并说明理由，否则视为同意。</w:t>
      </w:r>
    </w:p>
    <w:p w14:paraId="6F7CFF21">
      <w:pPr>
        <w:pageBreakBefore w:val="0"/>
        <w:widowControl w:val="0"/>
        <w:tabs>
          <w:tab w:val="left" w:pos="1305"/>
        </w:tabs>
        <w:kinsoku/>
        <w:wordWrap/>
        <w:overflowPunct/>
        <w:topLinePunct w:val="0"/>
        <w:autoSpaceDE/>
        <w:autoSpaceDN/>
        <w:bidi w:val="0"/>
        <w:adjustRightInd/>
        <w:spacing w:line="440" w:lineRule="exact"/>
        <w:ind w:left="0" w:leftChars="0" w:firstLine="422" w:firstLineChars="200"/>
        <w:textAlignment w:val="auto"/>
        <w:rPr>
          <w:rStyle w:val="37"/>
          <w:rFonts w:hint="eastAsia" w:ascii="宋体" w:hAnsi="宋体" w:eastAsia="宋体" w:cs="宋体"/>
          <w:b/>
          <w:color w:val="auto"/>
          <w:highlight w:val="none"/>
        </w:rPr>
      </w:pPr>
      <w:r>
        <w:rPr>
          <w:rStyle w:val="37"/>
          <w:rFonts w:hint="eastAsia" w:ascii="宋体" w:hAnsi="宋体" w:eastAsia="宋体" w:cs="宋体"/>
          <w:b/>
          <w:color w:val="auto"/>
          <w:highlight w:val="none"/>
        </w:rPr>
        <w:t>20.评审程序及磋商要求</w:t>
      </w:r>
    </w:p>
    <w:p w14:paraId="31A9484D">
      <w:pPr>
        <w:pageBreakBefore w:val="0"/>
        <w:widowControl w:val="0"/>
        <w:tabs>
          <w:tab w:val="left" w:pos="1305"/>
        </w:tabs>
        <w:kinsoku/>
        <w:wordWrap/>
        <w:overflowPunct/>
        <w:topLinePunct w:val="0"/>
        <w:autoSpaceDE/>
        <w:autoSpaceDN/>
        <w:bidi w:val="0"/>
        <w:adjustRightInd/>
        <w:spacing w:line="440" w:lineRule="exact"/>
        <w:ind w:left="0" w:leftChars="0" w:firstLine="420" w:firstLineChars="200"/>
        <w:textAlignment w:val="auto"/>
        <w:rPr>
          <w:rStyle w:val="37"/>
          <w:rFonts w:hint="eastAsia" w:ascii="宋体" w:hAnsi="宋体" w:eastAsia="宋体" w:cs="宋体"/>
          <w:color w:val="auto"/>
          <w:highlight w:val="none"/>
        </w:rPr>
      </w:pPr>
      <w:r>
        <w:rPr>
          <w:rStyle w:val="37"/>
          <w:rFonts w:hint="eastAsia" w:ascii="宋体" w:hAnsi="宋体" w:eastAsia="宋体" w:cs="宋体"/>
          <w:color w:val="auto"/>
          <w:highlight w:val="none"/>
        </w:rPr>
        <w:t>20.1磋商小组成员的通讯工具或相关电子设备交由</w:t>
      </w:r>
      <w:r>
        <w:rPr>
          <w:rStyle w:val="37"/>
          <w:rFonts w:hint="eastAsia" w:ascii="宋体" w:hAnsi="宋体" w:eastAsia="宋体" w:cs="宋体"/>
          <w:color w:val="auto"/>
          <w:highlight w:val="none"/>
          <w:lang w:eastAsia="zh-CN"/>
        </w:rPr>
        <w:t>公共资源交易中心</w:t>
      </w:r>
      <w:r>
        <w:rPr>
          <w:rStyle w:val="37"/>
          <w:rFonts w:hint="eastAsia" w:ascii="宋体" w:hAnsi="宋体" w:eastAsia="宋体" w:cs="宋体"/>
          <w:color w:val="auto"/>
          <w:highlight w:val="none"/>
        </w:rPr>
        <w:t>统一保管后到达评标室，采购代理机构核实磋商小组成员身份，告知回避要求，宣布评审工作纪律和程序，推选磋商小组组长。</w:t>
      </w:r>
    </w:p>
    <w:p w14:paraId="5E749476">
      <w:pPr>
        <w:pageBreakBefore w:val="0"/>
        <w:widowControl w:val="0"/>
        <w:tabs>
          <w:tab w:val="left" w:pos="1305"/>
        </w:tabs>
        <w:kinsoku/>
        <w:wordWrap/>
        <w:overflowPunct/>
        <w:topLinePunct w:val="0"/>
        <w:autoSpaceDE/>
        <w:autoSpaceDN/>
        <w:bidi w:val="0"/>
        <w:adjustRightInd/>
        <w:spacing w:line="440" w:lineRule="exact"/>
        <w:ind w:left="0" w:leftChars="0" w:firstLine="420" w:firstLineChars="200"/>
        <w:textAlignment w:val="auto"/>
        <w:rPr>
          <w:rFonts w:hint="eastAsia" w:ascii="宋体" w:hAnsi="宋体" w:eastAsia="宋体" w:cs="宋体"/>
          <w:color w:val="auto"/>
          <w:highlight w:val="none"/>
        </w:rPr>
      </w:pPr>
      <w:r>
        <w:rPr>
          <w:rStyle w:val="37"/>
          <w:rFonts w:hint="eastAsia" w:ascii="宋体" w:hAnsi="宋体" w:eastAsia="宋体" w:cs="宋体"/>
          <w:color w:val="auto"/>
          <w:highlight w:val="none"/>
        </w:rPr>
        <w:t>20.2磋商小组应当对发布公告的竞争性磋商文件（简称磋商文件）进行确认，审查供应商的响应文件并作出评价；要求供应商解释或者澄清其响应文件；编写评审报告；告知采购人、采购代理机构在评审过程中发现的供应商的违法违规行为。</w:t>
      </w:r>
    </w:p>
    <w:p w14:paraId="504BC22F">
      <w:pPr>
        <w:pageBreakBefore w:val="0"/>
        <w:widowControl w:val="0"/>
        <w:tabs>
          <w:tab w:val="left" w:pos="1305"/>
        </w:tabs>
        <w:kinsoku/>
        <w:wordWrap/>
        <w:overflowPunct/>
        <w:topLinePunct w:val="0"/>
        <w:autoSpaceDE/>
        <w:autoSpaceDN/>
        <w:bidi w:val="0"/>
        <w:adjustRightInd/>
        <w:spacing w:line="440" w:lineRule="exact"/>
        <w:ind w:left="0" w:leftChars="0" w:firstLine="420" w:firstLineChars="200"/>
        <w:textAlignment w:val="auto"/>
        <w:rPr>
          <w:rFonts w:hint="eastAsia" w:ascii="宋体" w:hAnsi="宋体" w:eastAsia="宋体" w:cs="宋体"/>
          <w:color w:val="auto"/>
          <w:highlight w:val="none"/>
        </w:rPr>
      </w:pPr>
      <w:r>
        <w:rPr>
          <w:rStyle w:val="37"/>
          <w:rFonts w:hint="eastAsia" w:ascii="宋体" w:hAnsi="宋体" w:eastAsia="宋体" w:cs="宋体"/>
          <w:color w:val="auto"/>
          <w:highlight w:val="none"/>
        </w:rPr>
        <w:t>20.3磋商小组依据法律法规和竞争性磋商文件的规定，首先对响应文件进行资格性审查，以确定供应商是否具备本项目供应商资格；再对通过资格性审查的供应商响应文件的有效性、完整性和对磋商文件的响应程度进行符合性审查，以确定是否对磋商文件的实质性要求做出响应。</w:t>
      </w:r>
    </w:p>
    <w:p w14:paraId="185A7122">
      <w:pPr>
        <w:pageBreakBefore w:val="0"/>
        <w:widowControl w:val="0"/>
        <w:tabs>
          <w:tab w:val="left" w:pos="1305"/>
        </w:tabs>
        <w:kinsoku/>
        <w:wordWrap/>
        <w:overflowPunct/>
        <w:topLinePunct w:val="0"/>
        <w:autoSpaceDE/>
        <w:autoSpaceDN/>
        <w:bidi w:val="0"/>
        <w:adjustRightInd/>
        <w:spacing w:line="440" w:lineRule="exact"/>
        <w:ind w:left="0" w:leftChars="0" w:firstLine="420" w:firstLineChars="200"/>
        <w:textAlignment w:val="auto"/>
        <w:rPr>
          <w:rStyle w:val="37"/>
          <w:rFonts w:hint="eastAsia" w:ascii="宋体" w:hAnsi="宋体" w:eastAsia="宋体" w:cs="宋体"/>
          <w:color w:val="auto"/>
          <w:highlight w:val="none"/>
        </w:rPr>
      </w:pPr>
      <w:r>
        <w:rPr>
          <w:rStyle w:val="37"/>
          <w:rFonts w:hint="eastAsia" w:ascii="宋体" w:hAnsi="宋体" w:eastAsia="宋体" w:cs="宋体"/>
          <w:color w:val="auto"/>
          <w:highlight w:val="none"/>
        </w:rPr>
        <w:t>20.4磋商小组在对供应商进行资格性审查时，将对供应商企业股东及出资等信息进行查询。根据《中华人民共和国政府采购法实施条例》第十八条第一款规定，审查中如发现供应商存在单位负责人为同一人或者存在直接控股、管理关系的不同供应商参加同一合同项下的政府采购活动的，按响应文件无效处理。</w:t>
      </w:r>
    </w:p>
    <w:p w14:paraId="406CF4A3">
      <w:pPr>
        <w:pageBreakBefore w:val="0"/>
        <w:widowControl w:val="0"/>
        <w:tabs>
          <w:tab w:val="left" w:pos="1305"/>
        </w:tabs>
        <w:kinsoku/>
        <w:wordWrap/>
        <w:overflowPunct/>
        <w:topLinePunct w:val="0"/>
        <w:autoSpaceDE/>
        <w:autoSpaceDN/>
        <w:bidi w:val="0"/>
        <w:adjustRightInd/>
        <w:spacing w:line="440" w:lineRule="exact"/>
        <w:ind w:left="0" w:leftChars="0" w:firstLine="420" w:firstLineChars="200"/>
        <w:textAlignment w:val="auto"/>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20.4.1查询渠道：《国家企业信用信息公示系统》（网址：http://www.gsxt.gov.cn/index.html）。</w:t>
      </w:r>
    </w:p>
    <w:p w14:paraId="3580B54E">
      <w:pPr>
        <w:pageBreakBefore w:val="0"/>
        <w:widowControl w:val="0"/>
        <w:tabs>
          <w:tab w:val="left" w:pos="1305"/>
        </w:tabs>
        <w:kinsoku/>
        <w:wordWrap/>
        <w:overflowPunct/>
        <w:topLinePunct w:val="0"/>
        <w:autoSpaceDE/>
        <w:autoSpaceDN/>
        <w:bidi w:val="0"/>
        <w:adjustRightInd/>
        <w:spacing w:line="440" w:lineRule="exact"/>
        <w:ind w:left="0" w:leftChars="0" w:firstLine="420" w:firstLineChars="200"/>
        <w:textAlignment w:val="auto"/>
        <w:rPr>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20.4.2审查流程：</w:t>
      </w:r>
    </w:p>
    <w:p w14:paraId="699ABC71">
      <w:pPr>
        <w:pageBreakBefore w:val="0"/>
        <w:widowControl w:val="0"/>
        <w:tabs>
          <w:tab w:val="left" w:pos="1305"/>
        </w:tabs>
        <w:kinsoku/>
        <w:wordWrap/>
        <w:overflowPunct/>
        <w:topLinePunct w:val="0"/>
        <w:autoSpaceDE/>
        <w:autoSpaceDN/>
        <w:bidi w:val="0"/>
        <w:adjustRightInd/>
        <w:spacing w:line="440" w:lineRule="exact"/>
        <w:ind w:left="0" w:leftChars="0" w:firstLine="420" w:firstLineChars="200"/>
        <w:textAlignment w:val="auto"/>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（1）进入《国家企业信用信息公示系统》（网址：http://www.gsxt.gov.cn/index.html），输入企业名称，进入企业信息主页面；</w:t>
      </w:r>
    </w:p>
    <w:p w14:paraId="3B744A63">
      <w:pPr>
        <w:pageBreakBefore w:val="0"/>
        <w:widowControl w:val="0"/>
        <w:tabs>
          <w:tab w:val="left" w:pos="1305"/>
        </w:tabs>
        <w:kinsoku/>
        <w:wordWrap/>
        <w:overflowPunct/>
        <w:topLinePunct w:val="0"/>
        <w:autoSpaceDE/>
        <w:autoSpaceDN/>
        <w:bidi w:val="0"/>
        <w:adjustRightInd/>
        <w:spacing w:line="440" w:lineRule="exact"/>
        <w:ind w:left="0" w:leftChars="0" w:firstLine="420" w:firstLineChars="200"/>
        <w:textAlignment w:val="auto"/>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（2）查看主页“股东及出资信息”栏，或年报中的“股东及出资信息”栏信息；</w:t>
      </w:r>
    </w:p>
    <w:p w14:paraId="4DF38C3D">
      <w:pPr>
        <w:pageBreakBefore w:val="0"/>
        <w:widowControl w:val="0"/>
        <w:tabs>
          <w:tab w:val="left" w:pos="1305"/>
        </w:tabs>
        <w:kinsoku/>
        <w:wordWrap/>
        <w:overflowPunct/>
        <w:topLinePunct w:val="0"/>
        <w:autoSpaceDE/>
        <w:autoSpaceDN/>
        <w:bidi w:val="0"/>
        <w:adjustRightInd/>
        <w:spacing w:line="440" w:lineRule="exact"/>
        <w:ind w:left="0" w:leftChars="0" w:firstLine="420" w:firstLineChars="200"/>
        <w:textAlignment w:val="auto"/>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（3）将各供应商的股东及出资信息进行比对，得出审查结论；</w:t>
      </w:r>
    </w:p>
    <w:p w14:paraId="2B3AE3F7">
      <w:pPr>
        <w:pageBreakBefore w:val="0"/>
        <w:widowControl w:val="0"/>
        <w:tabs>
          <w:tab w:val="left" w:pos="1305"/>
        </w:tabs>
        <w:kinsoku/>
        <w:wordWrap/>
        <w:overflowPunct/>
        <w:topLinePunct w:val="0"/>
        <w:autoSpaceDE/>
        <w:autoSpaceDN/>
        <w:bidi w:val="0"/>
        <w:adjustRightInd/>
        <w:spacing w:line="440" w:lineRule="exact"/>
        <w:ind w:left="0" w:leftChars="0" w:firstLine="420" w:firstLineChars="200"/>
        <w:textAlignment w:val="auto"/>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（4）将相关资料作为评审资料打印存档。</w:t>
      </w:r>
    </w:p>
    <w:p w14:paraId="091151FB">
      <w:pPr>
        <w:pageBreakBefore w:val="0"/>
        <w:widowControl w:val="0"/>
        <w:tabs>
          <w:tab w:val="left" w:pos="1305"/>
        </w:tabs>
        <w:kinsoku/>
        <w:wordWrap/>
        <w:overflowPunct/>
        <w:topLinePunct w:val="0"/>
        <w:autoSpaceDE/>
        <w:autoSpaceDN/>
        <w:bidi w:val="0"/>
        <w:adjustRightInd/>
        <w:spacing w:line="440" w:lineRule="exact"/>
        <w:ind w:left="0" w:leftChars="0" w:firstLine="420" w:firstLineChars="200"/>
        <w:textAlignment w:val="auto"/>
        <w:rPr>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注：以上审查过程中，如出现查询企业网页主页面无法显示股东及出资信息的或仅以主页面信息内容无法认定供应商之间存在单位负责人为同一人或者存在直接控股、管理关系的，审查程序可继续进行，待评审结束后将对以上供就要商作进一步核实确认，如确认供应商之间存在有上述关联供应商情形的，关联供应商均按响应文件无效处理。</w:t>
      </w:r>
    </w:p>
    <w:p w14:paraId="1AC7B7EC">
      <w:pPr>
        <w:pageBreakBefore w:val="0"/>
        <w:widowControl w:val="0"/>
        <w:kinsoku/>
        <w:wordWrap/>
        <w:overflowPunct/>
        <w:topLinePunct w:val="0"/>
        <w:autoSpaceDE/>
        <w:autoSpaceDN/>
        <w:bidi w:val="0"/>
        <w:adjustRightInd/>
        <w:spacing w:line="440" w:lineRule="exact"/>
        <w:ind w:left="0" w:leftChars="0"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20.5 磋商小组如发现供应商提供的证明文件不齐全或不符合规定格式的，应当在“</w:t>
      </w:r>
      <w:r>
        <w:rPr>
          <w:rFonts w:hint="eastAsia" w:ascii="宋体" w:hAnsi="宋体" w:cs="宋体"/>
          <w:b/>
          <w:bCs/>
          <w:color w:val="auto"/>
          <w:szCs w:val="21"/>
          <w:highlight w:val="none"/>
          <w:lang w:eastAsia="zh-CN"/>
        </w:rPr>
        <w:t>广西政府采购云平台</w:t>
      </w:r>
      <w:r>
        <w:rPr>
          <w:rFonts w:hint="eastAsia" w:ascii="宋体" w:hAnsi="宋体" w:eastAsia="宋体" w:cs="宋体"/>
          <w:b/>
          <w:bCs/>
          <w:color w:val="auto"/>
          <w:szCs w:val="21"/>
          <w:highlight w:val="none"/>
        </w:rPr>
        <w:t>”中一次性告知供应商，供应商应当在“</w:t>
      </w:r>
      <w:r>
        <w:rPr>
          <w:rFonts w:hint="eastAsia" w:ascii="宋体" w:hAnsi="宋体" w:cs="宋体"/>
          <w:b/>
          <w:bCs/>
          <w:color w:val="auto"/>
          <w:szCs w:val="21"/>
          <w:highlight w:val="none"/>
          <w:lang w:eastAsia="zh-CN"/>
        </w:rPr>
        <w:t>广西政府采购云平台</w:t>
      </w:r>
      <w:r>
        <w:rPr>
          <w:rFonts w:hint="eastAsia" w:ascii="宋体" w:hAnsi="宋体" w:eastAsia="宋体" w:cs="宋体"/>
          <w:b/>
          <w:bCs/>
          <w:color w:val="auto"/>
          <w:szCs w:val="21"/>
          <w:highlight w:val="none"/>
        </w:rPr>
        <w:t>”按规定的时间内补正或更正；补正或更正的材料应当采用书面形式，并由其法定代表人</w:t>
      </w:r>
      <w:r>
        <w:rPr>
          <w:rFonts w:hint="eastAsia" w:ascii="宋体" w:hAnsi="宋体" w:cs="宋体"/>
          <w:b/>
          <w:bCs/>
          <w:color w:val="auto"/>
          <w:szCs w:val="21"/>
          <w:highlight w:val="none"/>
          <w:lang w:eastAsia="zh-CN"/>
        </w:rPr>
        <w:t>、</w:t>
      </w:r>
      <w:r>
        <w:rPr>
          <w:rFonts w:hint="eastAsia" w:ascii="宋体" w:hAnsi="宋体" w:eastAsia="宋体" w:cs="宋体"/>
          <w:b/>
          <w:bCs/>
          <w:color w:val="auto"/>
          <w:szCs w:val="21"/>
          <w:highlight w:val="none"/>
        </w:rPr>
        <w:t>负责人</w:t>
      </w:r>
      <w:r>
        <w:rPr>
          <w:rFonts w:hint="eastAsia" w:ascii="宋体" w:hAnsi="宋体" w:eastAsia="宋体" w:cs="宋体"/>
          <w:b/>
          <w:bCs/>
          <w:color w:val="auto"/>
          <w:szCs w:val="21"/>
          <w:highlight w:val="none"/>
          <w:lang w:eastAsia="zh-CN"/>
        </w:rPr>
        <w:t>或</w:t>
      </w:r>
      <w:r>
        <w:rPr>
          <w:rFonts w:hint="eastAsia" w:ascii="宋体" w:hAnsi="宋体" w:eastAsia="宋体" w:cs="宋体"/>
          <w:b/>
          <w:bCs/>
          <w:color w:val="auto"/>
          <w:szCs w:val="21"/>
          <w:highlight w:val="none"/>
        </w:rPr>
        <w:t>授权委托代表签字（或个人CA证书签章）或加盖供应商CA证书签章</w:t>
      </w:r>
      <w:r>
        <w:rPr>
          <w:rFonts w:hint="eastAsia" w:ascii="宋体" w:hAnsi="宋体" w:eastAsia="宋体" w:cs="宋体"/>
          <w:b/>
          <w:bCs/>
          <w:color w:val="auto"/>
          <w:szCs w:val="21"/>
          <w:highlight w:val="none"/>
          <w:lang w:eastAsia="zh-CN"/>
        </w:rPr>
        <w:t>。</w:t>
      </w:r>
    </w:p>
    <w:p w14:paraId="3438CD4E">
      <w:pPr>
        <w:keepNext w:val="0"/>
        <w:keepLines w:val="0"/>
        <w:pageBreakBefore w:val="0"/>
        <w:widowControl w:val="0"/>
        <w:tabs>
          <w:tab w:val="left" w:pos="1305"/>
        </w:tabs>
        <w:kinsoku/>
        <w:wordWrap/>
        <w:overflowPunct/>
        <w:topLinePunct w:val="0"/>
        <w:autoSpaceDE/>
        <w:autoSpaceDN/>
        <w:bidi w:val="0"/>
        <w:adjustRightInd/>
        <w:spacing w:line="440" w:lineRule="exact"/>
        <w:ind w:left="0" w:leftChars="0" w:firstLine="420" w:firstLineChars="200"/>
        <w:textAlignment w:val="auto"/>
        <w:rPr>
          <w:rStyle w:val="37"/>
          <w:rFonts w:hint="eastAsia" w:ascii="宋体" w:hAnsi="宋体"/>
          <w:color w:val="auto"/>
          <w:szCs w:val="21"/>
          <w:highlight w:val="none"/>
        </w:rPr>
      </w:pPr>
      <w:r>
        <w:rPr>
          <w:rStyle w:val="37"/>
          <w:rFonts w:hint="eastAsia" w:ascii="宋体" w:hAnsi="宋体" w:eastAsia="宋体" w:cs="宋体"/>
          <w:color w:val="auto"/>
          <w:szCs w:val="21"/>
          <w:highlight w:val="none"/>
        </w:rPr>
        <w:t>20.6</w:t>
      </w:r>
      <w:r>
        <w:rPr>
          <w:rStyle w:val="37"/>
          <w:rFonts w:hint="eastAsia" w:ascii="宋体" w:hAnsi="宋体"/>
          <w:color w:val="auto"/>
          <w:szCs w:val="21"/>
          <w:highlight w:val="none"/>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澄清、说明或者更正应由其法定代表人</w:t>
      </w:r>
      <w:r>
        <w:rPr>
          <w:rStyle w:val="37"/>
          <w:rFonts w:hint="eastAsia" w:ascii="宋体" w:hAnsi="宋体"/>
          <w:color w:val="auto"/>
          <w:szCs w:val="21"/>
          <w:highlight w:val="none"/>
          <w:lang w:eastAsia="zh-CN"/>
        </w:rPr>
        <w:t>、负责人</w:t>
      </w:r>
      <w:r>
        <w:rPr>
          <w:rStyle w:val="37"/>
          <w:rFonts w:hint="eastAsia" w:ascii="宋体" w:hAnsi="宋体"/>
          <w:color w:val="auto"/>
          <w:szCs w:val="21"/>
          <w:highlight w:val="none"/>
        </w:rPr>
        <w:t>或相应的授权委托代表签字（</w:t>
      </w:r>
      <w:r>
        <w:rPr>
          <w:rStyle w:val="37"/>
          <w:rFonts w:hint="eastAsia" w:ascii="宋体" w:hAnsi="宋体"/>
          <w:color w:val="auto"/>
          <w:szCs w:val="21"/>
          <w:highlight w:val="none"/>
          <w:lang w:eastAsia="zh-CN"/>
        </w:rPr>
        <w:t>或加盖</w:t>
      </w:r>
      <w:r>
        <w:rPr>
          <w:rStyle w:val="37"/>
          <w:rFonts w:hint="eastAsia" w:ascii="宋体" w:hAnsi="宋体"/>
          <w:color w:val="auto"/>
          <w:szCs w:val="21"/>
          <w:highlight w:val="none"/>
        </w:rPr>
        <w:t>个人CA签章)或者加盖供应商公章</w:t>
      </w:r>
      <w:r>
        <w:rPr>
          <w:rFonts w:hint="eastAsia" w:ascii="宋体" w:hAnsi="宋体" w:cs="宋体"/>
          <w:color w:val="auto"/>
          <w:szCs w:val="21"/>
          <w:highlight w:val="none"/>
        </w:rPr>
        <w:t>(CA签章)</w:t>
      </w:r>
      <w:r>
        <w:rPr>
          <w:rStyle w:val="37"/>
          <w:rFonts w:hint="eastAsia" w:ascii="宋体" w:hAnsi="宋体"/>
          <w:color w:val="auto"/>
          <w:szCs w:val="21"/>
          <w:highlight w:val="none"/>
        </w:rPr>
        <w:t>。</w:t>
      </w:r>
    </w:p>
    <w:p w14:paraId="28CE0B53">
      <w:pPr>
        <w:keepNext w:val="0"/>
        <w:keepLines w:val="0"/>
        <w:pageBreakBefore w:val="0"/>
        <w:widowControl w:val="0"/>
        <w:tabs>
          <w:tab w:val="left" w:pos="1305"/>
        </w:tabs>
        <w:kinsoku/>
        <w:wordWrap/>
        <w:overflowPunct/>
        <w:topLinePunct w:val="0"/>
        <w:autoSpaceDE/>
        <w:autoSpaceDN/>
        <w:bidi w:val="0"/>
        <w:adjustRightInd/>
        <w:spacing w:line="440" w:lineRule="exact"/>
        <w:ind w:left="0" w:leftChars="0" w:firstLine="420" w:firstLineChars="200"/>
        <w:textAlignment w:val="auto"/>
        <w:rPr>
          <w:rStyle w:val="37"/>
          <w:rFonts w:ascii="宋体" w:hAnsi="宋体"/>
          <w:color w:val="auto"/>
          <w:szCs w:val="21"/>
          <w:highlight w:val="none"/>
        </w:rPr>
      </w:pPr>
      <w:r>
        <w:rPr>
          <w:rStyle w:val="37"/>
          <w:rFonts w:hint="eastAsia" w:ascii="宋体" w:hAnsi="宋体"/>
          <w:color w:val="auto"/>
          <w:szCs w:val="21"/>
          <w:highlight w:val="none"/>
        </w:rPr>
        <w:t>对未通过资格性审查或符合性审查的供应商，由磋商小组应当以电话或通过“广西政府采购云平台”告知未通过资格性或符合性审查的供应商未通过的原因并做相应记录。</w:t>
      </w:r>
    </w:p>
    <w:p w14:paraId="1F4D5915">
      <w:pPr>
        <w:keepNext w:val="0"/>
        <w:keepLines w:val="0"/>
        <w:pageBreakBefore w:val="0"/>
        <w:widowControl w:val="0"/>
        <w:tabs>
          <w:tab w:val="left" w:pos="1305"/>
        </w:tabs>
        <w:kinsoku/>
        <w:wordWrap/>
        <w:overflowPunct/>
        <w:topLinePunct w:val="0"/>
        <w:autoSpaceDE/>
        <w:autoSpaceDN/>
        <w:bidi w:val="0"/>
        <w:adjustRightInd/>
        <w:spacing w:line="440" w:lineRule="exact"/>
        <w:ind w:left="0" w:leftChars="0" w:firstLine="420" w:firstLineChars="200"/>
        <w:textAlignment w:val="auto"/>
        <w:rPr>
          <w:rStyle w:val="37"/>
          <w:rFonts w:hint="default" w:ascii="宋体" w:hAnsi="宋体" w:eastAsia="宋体"/>
          <w:color w:val="auto"/>
          <w:szCs w:val="21"/>
          <w:highlight w:val="none"/>
          <w:lang w:val="en-US" w:eastAsia="zh-CN"/>
        </w:rPr>
      </w:pPr>
      <w:r>
        <w:rPr>
          <w:rStyle w:val="37"/>
          <w:rFonts w:hint="eastAsia" w:ascii="宋体" w:hAnsi="宋体"/>
          <w:color w:val="auto"/>
          <w:szCs w:val="21"/>
          <w:highlight w:val="none"/>
        </w:rPr>
        <w:t>根据磋商文件规定的程序、评定成交的标准等事项与实质性响应竞争性磋商文件要求的供应商进行磋商未实质性响应磋商文件的响应文件按无效处理</w:t>
      </w:r>
      <w:r>
        <w:rPr>
          <w:rStyle w:val="37"/>
          <w:rFonts w:hint="eastAsia" w:ascii="宋体" w:hAnsi="宋体"/>
          <w:color w:val="auto"/>
          <w:szCs w:val="21"/>
          <w:highlight w:val="none"/>
          <w:lang w:eastAsia="zh-CN"/>
        </w:rPr>
        <w:t>。</w:t>
      </w:r>
      <w:r>
        <w:rPr>
          <w:rStyle w:val="37"/>
          <w:rFonts w:hint="eastAsia" w:ascii="宋体" w:hAnsi="宋体"/>
          <w:color w:val="auto"/>
          <w:szCs w:val="21"/>
          <w:highlight w:val="none"/>
        </w:rPr>
        <w:t xml:space="preserve"> </w:t>
      </w:r>
      <w:r>
        <w:rPr>
          <w:rStyle w:val="37"/>
          <w:rFonts w:hint="eastAsia" w:ascii="宋体" w:hAnsi="宋体"/>
          <w:color w:val="auto"/>
          <w:szCs w:val="21"/>
          <w:highlight w:val="none"/>
          <w:lang w:val="en-US" w:eastAsia="zh-CN"/>
        </w:rPr>
        <w:t>磋商小组应当告知有关供应商。</w:t>
      </w:r>
    </w:p>
    <w:p w14:paraId="05EB51E8">
      <w:pPr>
        <w:keepNext w:val="0"/>
        <w:keepLines w:val="0"/>
        <w:pageBreakBefore w:val="0"/>
        <w:widowControl w:val="0"/>
        <w:tabs>
          <w:tab w:val="left" w:pos="1305"/>
        </w:tabs>
        <w:kinsoku/>
        <w:wordWrap/>
        <w:overflowPunct/>
        <w:topLinePunct w:val="0"/>
        <w:autoSpaceDE/>
        <w:autoSpaceDN/>
        <w:bidi w:val="0"/>
        <w:adjustRightInd/>
        <w:spacing w:line="440" w:lineRule="exact"/>
        <w:ind w:left="0" w:leftChars="0" w:firstLine="420" w:firstLineChars="200"/>
        <w:textAlignment w:val="auto"/>
        <w:rPr>
          <w:rStyle w:val="37"/>
          <w:rFonts w:ascii="宋体" w:hAnsi="宋体"/>
          <w:color w:val="auto"/>
          <w:szCs w:val="21"/>
          <w:highlight w:val="none"/>
        </w:rPr>
      </w:pPr>
      <w:r>
        <w:rPr>
          <w:rStyle w:val="37"/>
          <w:rFonts w:hint="eastAsia" w:ascii="宋体" w:hAnsi="宋体" w:eastAsia="宋体" w:cs="宋体"/>
          <w:color w:val="auto"/>
          <w:szCs w:val="21"/>
          <w:highlight w:val="none"/>
        </w:rPr>
        <w:t>20.7</w:t>
      </w:r>
      <w:r>
        <w:rPr>
          <w:rStyle w:val="37"/>
          <w:rFonts w:hint="eastAsia" w:ascii="宋体" w:hAnsi="宋体"/>
          <w:color w:val="auto"/>
          <w:szCs w:val="21"/>
          <w:highlight w:val="none"/>
        </w:rPr>
        <w:t xml:space="preserve">磋商小组所有成员应当按已确定的磋商顺序集中与单一供应商分别进行磋商，并给予所有实质性响应竞争性磋商文件要求的供应商平等的磋商机会。 </w:t>
      </w:r>
    </w:p>
    <w:p w14:paraId="68D11E04">
      <w:pPr>
        <w:keepNext w:val="0"/>
        <w:keepLines w:val="0"/>
        <w:pageBreakBefore w:val="0"/>
        <w:widowControl w:val="0"/>
        <w:tabs>
          <w:tab w:val="left" w:pos="1305"/>
        </w:tabs>
        <w:kinsoku/>
        <w:wordWrap/>
        <w:overflowPunct/>
        <w:topLinePunct w:val="0"/>
        <w:autoSpaceDE/>
        <w:autoSpaceDN/>
        <w:bidi w:val="0"/>
        <w:adjustRightInd/>
        <w:spacing w:line="440" w:lineRule="exact"/>
        <w:ind w:left="0" w:leftChars="0" w:firstLine="420" w:firstLineChars="200"/>
        <w:textAlignment w:val="auto"/>
        <w:rPr>
          <w:rStyle w:val="37"/>
          <w:rFonts w:ascii="宋体" w:hAnsi="宋体"/>
          <w:color w:val="auto"/>
          <w:szCs w:val="21"/>
          <w:highlight w:val="none"/>
        </w:rPr>
      </w:pPr>
      <w:r>
        <w:rPr>
          <w:rStyle w:val="37"/>
          <w:rFonts w:hint="eastAsia" w:ascii="宋体" w:hAnsi="宋体"/>
          <w:color w:val="auto"/>
          <w:szCs w:val="21"/>
          <w:highlight w:val="none"/>
        </w:rPr>
        <w:t xml:space="preserve">磋商中，磋商小组不得透露与磋商有关的其他供应商的技术资料、价格和其他信息。 </w:t>
      </w:r>
    </w:p>
    <w:p w14:paraId="0F09D004">
      <w:pPr>
        <w:pageBreakBefore w:val="0"/>
        <w:widowControl w:val="0"/>
        <w:tabs>
          <w:tab w:val="left" w:pos="1305"/>
        </w:tabs>
        <w:kinsoku/>
        <w:wordWrap/>
        <w:overflowPunct/>
        <w:topLinePunct w:val="0"/>
        <w:autoSpaceDE/>
        <w:autoSpaceDN/>
        <w:bidi w:val="0"/>
        <w:adjustRightInd/>
        <w:spacing w:line="440" w:lineRule="exact"/>
        <w:ind w:left="0" w:leftChars="0" w:firstLine="420" w:firstLineChars="200"/>
        <w:textAlignment w:val="auto"/>
        <w:rPr>
          <w:rStyle w:val="37"/>
          <w:rFonts w:hint="eastAsia" w:ascii="宋体" w:hAnsi="宋体" w:eastAsia="宋体" w:cs="宋体"/>
          <w:color w:val="auto"/>
          <w:szCs w:val="21"/>
          <w:highlight w:val="none"/>
        </w:rPr>
      </w:pPr>
      <w:r>
        <w:rPr>
          <w:rStyle w:val="37"/>
          <w:rFonts w:hint="eastAsia" w:ascii="宋体" w:hAnsi="宋体"/>
          <w:color w:val="auto"/>
          <w:szCs w:val="21"/>
          <w:highlight w:val="none"/>
        </w:rPr>
        <w:t>采购代理机构对磋商过程和重要磋商内容进行记录，磋商双方在记录上签字确认。</w:t>
      </w:r>
    </w:p>
    <w:p w14:paraId="21E24DFD">
      <w:pPr>
        <w:keepNext w:val="0"/>
        <w:keepLines w:val="0"/>
        <w:pageBreakBefore w:val="0"/>
        <w:widowControl w:val="0"/>
        <w:tabs>
          <w:tab w:val="left" w:pos="1305"/>
        </w:tabs>
        <w:kinsoku/>
        <w:wordWrap/>
        <w:overflowPunct/>
        <w:topLinePunct w:val="0"/>
        <w:autoSpaceDE/>
        <w:autoSpaceDN/>
        <w:bidi w:val="0"/>
        <w:adjustRightInd/>
        <w:spacing w:line="440" w:lineRule="exact"/>
        <w:ind w:left="0" w:leftChars="0" w:firstLine="420" w:firstLineChars="200"/>
        <w:textAlignment w:val="auto"/>
        <w:rPr>
          <w:rStyle w:val="37"/>
          <w:rFonts w:hint="eastAsia" w:ascii="宋体" w:hAnsi="宋体" w:eastAsia="宋体" w:cs="Times New Roman"/>
          <w:color w:val="auto"/>
          <w:szCs w:val="21"/>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0</w:t>
      </w:r>
      <w:r>
        <w:rPr>
          <w:rFonts w:hint="eastAsia" w:ascii="宋体" w:hAnsi="宋体" w:eastAsia="宋体" w:cs="宋体"/>
          <w:color w:val="auto"/>
          <w:szCs w:val="21"/>
          <w:highlight w:val="none"/>
        </w:rPr>
        <w:t>.8</w:t>
      </w:r>
      <w:r>
        <w:rPr>
          <w:rStyle w:val="37"/>
          <w:rFonts w:hint="eastAsia" w:ascii="宋体" w:hAnsi="宋体"/>
          <w:color w:val="auto"/>
          <w:szCs w:val="21"/>
          <w:highlight w:val="none"/>
        </w:rPr>
        <w:t>在</w:t>
      </w:r>
      <w:r>
        <w:rPr>
          <w:rStyle w:val="37"/>
          <w:rFonts w:hint="eastAsia" w:ascii="宋体" w:hAnsi="宋体" w:eastAsia="宋体" w:cs="Times New Roman"/>
          <w:color w:val="auto"/>
          <w:szCs w:val="21"/>
          <w:highlight w:val="none"/>
        </w:rPr>
        <w:t>磋商过程中，磋商小组可以根据磋商文件和磋商情况实质性变动</w:t>
      </w:r>
      <w:r>
        <w:rPr>
          <w:rStyle w:val="37"/>
          <w:rFonts w:hint="eastAsia" w:ascii="宋体" w:hAnsi="宋体" w:cs="Times New Roman"/>
          <w:color w:val="auto"/>
          <w:szCs w:val="21"/>
          <w:highlight w:val="none"/>
          <w:lang w:val="en-US"/>
        </w:rPr>
        <w:t>服务</w:t>
      </w:r>
      <w:r>
        <w:rPr>
          <w:rStyle w:val="37"/>
          <w:rFonts w:hint="eastAsia" w:ascii="宋体" w:hAnsi="宋体" w:eastAsia="宋体" w:cs="Times New Roman"/>
          <w:color w:val="auto"/>
          <w:szCs w:val="21"/>
          <w:highlight w:val="none"/>
        </w:rPr>
        <w:t>采购需求中的技术、服务要求以及合同草案条款，但不得变动磋商文件中的其他内容。实质性变动的内容，须经采购人代表确认。</w:t>
      </w:r>
    </w:p>
    <w:p w14:paraId="58CFE1F2">
      <w:pPr>
        <w:keepNext w:val="0"/>
        <w:keepLines w:val="0"/>
        <w:pageBreakBefore w:val="0"/>
        <w:widowControl w:val="0"/>
        <w:tabs>
          <w:tab w:val="left" w:pos="1305"/>
        </w:tabs>
        <w:kinsoku/>
        <w:wordWrap/>
        <w:overflowPunct/>
        <w:topLinePunct w:val="0"/>
        <w:autoSpaceDE/>
        <w:autoSpaceDN/>
        <w:bidi w:val="0"/>
        <w:adjustRightInd/>
        <w:spacing w:line="440" w:lineRule="exact"/>
        <w:ind w:left="0" w:leftChars="0" w:firstLine="420" w:firstLineChars="200"/>
        <w:textAlignment w:val="auto"/>
        <w:rPr>
          <w:rStyle w:val="37"/>
          <w:rFonts w:hint="eastAsia" w:ascii="宋体" w:hAnsi="宋体" w:eastAsia="宋体" w:cs="Times New Roman"/>
          <w:color w:val="auto"/>
          <w:szCs w:val="21"/>
          <w:highlight w:val="none"/>
        </w:rPr>
      </w:pPr>
      <w:r>
        <w:rPr>
          <w:rStyle w:val="37"/>
          <w:rFonts w:hint="eastAsia" w:ascii="宋体" w:hAnsi="宋体" w:eastAsia="宋体" w:cs="Times New Roman"/>
          <w:color w:val="auto"/>
          <w:szCs w:val="21"/>
          <w:highlight w:val="none"/>
        </w:rPr>
        <w:t xml:space="preserve">对磋商文件作出的实质性变动是磋商文件的有效组成部分，磋商小组应当及时以书面形式同时通知所有参加磋商的供应商。 </w:t>
      </w:r>
    </w:p>
    <w:p w14:paraId="46CA8764">
      <w:pPr>
        <w:keepNext w:val="0"/>
        <w:keepLines w:val="0"/>
        <w:pageBreakBefore w:val="0"/>
        <w:widowControl w:val="0"/>
        <w:tabs>
          <w:tab w:val="left" w:pos="1305"/>
        </w:tabs>
        <w:kinsoku/>
        <w:wordWrap/>
        <w:overflowPunct/>
        <w:topLinePunct w:val="0"/>
        <w:autoSpaceDE/>
        <w:autoSpaceDN/>
        <w:bidi w:val="0"/>
        <w:adjustRightInd/>
        <w:spacing w:line="440" w:lineRule="exact"/>
        <w:ind w:left="0" w:leftChars="0" w:firstLine="420" w:firstLineChars="200"/>
        <w:textAlignment w:val="auto"/>
        <w:rPr>
          <w:rStyle w:val="37"/>
          <w:rFonts w:hint="eastAsia" w:ascii="宋体" w:hAnsi="宋体" w:eastAsia="宋体" w:cs="Times New Roman"/>
          <w:color w:val="auto"/>
          <w:szCs w:val="21"/>
          <w:highlight w:val="none"/>
        </w:rPr>
      </w:pPr>
      <w:r>
        <w:rPr>
          <w:rStyle w:val="37"/>
          <w:rFonts w:hint="eastAsia" w:ascii="宋体" w:hAnsi="宋体" w:eastAsia="宋体" w:cs="Times New Roman"/>
          <w:color w:val="auto"/>
          <w:szCs w:val="21"/>
          <w:highlight w:val="none"/>
        </w:rPr>
        <w:t>供应商应当按照磋商文件的变动情况和磋商小组的要求重新提交响应文件，并由其法定代表人、负责人或相应的授权委托代表签字（</w:t>
      </w:r>
      <w:r>
        <w:rPr>
          <w:rStyle w:val="37"/>
          <w:rFonts w:hint="eastAsia" w:ascii="宋体" w:hAnsi="宋体" w:eastAsia="宋体" w:cs="Times New Roman"/>
          <w:color w:val="auto"/>
          <w:szCs w:val="21"/>
          <w:highlight w:val="none"/>
          <w:lang w:eastAsia="zh-CN"/>
        </w:rPr>
        <w:t>或加盖</w:t>
      </w:r>
      <w:r>
        <w:rPr>
          <w:rStyle w:val="37"/>
          <w:rFonts w:hint="eastAsia" w:ascii="宋体" w:hAnsi="宋体" w:eastAsia="宋体" w:cs="Times New Roman"/>
          <w:color w:val="auto"/>
          <w:szCs w:val="21"/>
          <w:highlight w:val="none"/>
        </w:rPr>
        <w:t>个人CA签章）或者加盖</w:t>
      </w:r>
      <w:r>
        <w:rPr>
          <w:rFonts w:hint="eastAsia" w:ascii="宋体" w:hAnsi="宋体" w:cs="宋体"/>
          <w:color w:val="auto"/>
          <w:szCs w:val="21"/>
          <w:highlight w:val="none"/>
        </w:rPr>
        <w:t>供应商公章(CA签章)</w:t>
      </w:r>
      <w:r>
        <w:rPr>
          <w:rStyle w:val="37"/>
          <w:rFonts w:hint="eastAsia" w:ascii="宋体" w:hAnsi="宋体" w:eastAsia="宋体" w:cs="Times New Roman"/>
          <w:color w:val="auto"/>
          <w:szCs w:val="21"/>
          <w:highlight w:val="none"/>
        </w:rPr>
        <w:t xml:space="preserve">。逾时不交的，视同放弃磋商。 </w:t>
      </w:r>
    </w:p>
    <w:p w14:paraId="083CD461">
      <w:pPr>
        <w:keepNext w:val="0"/>
        <w:keepLines w:val="0"/>
        <w:pageBreakBefore w:val="0"/>
        <w:widowControl w:val="0"/>
        <w:tabs>
          <w:tab w:val="left" w:pos="1305"/>
        </w:tabs>
        <w:kinsoku/>
        <w:wordWrap/>
        <w:overflowPunct/>
        <w:topLinePunct w:val="0"/>
        <w:autoSpaceDE/>
        <w:autoSpaceDN/>
        <w:bidi w:val="0"/>
        <w:adjustRightInd/>
        <w:spacing w:line="440" w:lineRule="exact"/>
        <w:ind w:left="0" w:leftChars="0" w:firstLine="420" w:firstLineChars="200"/>
        <w:textAlignment w:val="auto"/>
        <w:rPr>
          <w:rStyle w:val="37"/>
          <w:rFonts w:hint="eastAsia" w:ascii="宋体" w:hAnsi="宋体" w:eastAsia="宋体" w:cs="Times New Roman"/>
          <w:color w:val="auto"/>
          <w:szCs w:val="21"/>
          <w:highlight w:val="none"/>
        </w:rPr>
      </w:pPr>
      <w:r>
        <w:rPr>
          <w:rStyle w:val="37"/>
          <w:rFonts w:hint="eastAsia" w:ascii="宋体" w:hAnsi="宋体" w:eastAsia="宋体" w:cs="Times New Roman"/>
          <w:color w:val="auto"/>
          <w:szCs w:val="21"/>
          <w:highlight w:val="none"/>
        </w:rPr>
        <w:t>2</w:t>
      </w:r>
      <w:r>
        <w:rPr>
          <w:rStyle w:val="37"/>
          <w:rFonts w:hint="eastAsia" w:ascii="宋体" w:hAnsi="宋体" w:cs="Times New Roman"/>
          <w:color w:val="auto"/>
          <w:szCs w:val="21"/>
          <w:highlight w:val="none"/>
          <w:lang w:val="en-US"/>
        </w:rPr>
        <w:t>0</w:t>
      </w:r>
      <w:r>
        <w:rPr>
          <w:rStyle w:val="37"/>
          <w:rFonts w:hint="eastAsia" w:ascii="宋体" w:hAnsi="宋体" w:eastAsia="宋体" w:cs="Times New Roman"/>
          <w:color w:val="auto"/>
          <w:szCs w:val="21"/>
          <w:highlight w:val="none"/>
        </w:rPr>
        <w:t>.</w:t>
      </w:r>
      <w:r>
        <w:rPr>
          <w:rStyle w:val="37"/>
          <w:rFonts w:hint="eastAsia" w:ascii="宋体" w:hAnsi="宋体" w:eastAsia="宋体" w:cs="Times New Roman"/>
          <w:color w:val="auto"/>
          <w:szCs w:val="21"/>
          <w:highlight w:val="none"/>
          <w:lang w:val="en-US" w:eastAsia="zh-CN"/>
        </w:rPr>
        <w:t>9</w:t>
      </w:r>
      <w:r>
        <w:rPr>
          <w:rStyle w:val="37"/>
          <w:rFonts w:hint="eastAsia" w:ascii="宋体" w:hAnsi="宋体" w:eastAsia="宋体" w:cs="Times New Roman"/>
          <w:color w:val="auto"/>
          <w:szCs w:val="21"/>
          <w:highlight w:val="none"/>
        </w:rPr>
        <w:t xml:space="preserve">最后报价 </w:t>
      </w:r>
    </w:p>
    <w:p w14:paraId="1375ABBD">
      <w:pPr>
        <w:keepNext w:val="0"/>
        <w:keepLines w:val="0"/>
        <w:pageBreakBefore w:val="0"/>
        <w:widowControl w:val="0"/>
        <w:tabs>
          <w:tab w:val="left" w:pos="1305"/>
        </w:tabs>
        <w:kinsoku/>
        <w:wordWrap/>
        <w:overflowPunct/>
        <w:topLinePunct w:val="0"/>
        <w:autoSpaceDE/>
        <w:autoSpaceDN/>
        <w:bidi w:val="0"/>
        <w:adjustRightInd/>
        <w:spacing w:line="440" w:lineRule="exact"/>
        <w:ind w:left="0" w:leftChars="0" w:firstLine="420" w:firstLineChars="200"/>
        <w:textAlignment w:val="auto"/>
        <w:rPr>
          <w:rStyle w:val="37"/>
          <w:rFonts w:hint="eastAsia" w:ascii="宋体" w:hAnsi="宋体" w:eastAsia="宋体" w:cs="Times New Roman"/>
          <w:color w:val="auto"/>
          <w:szCs w:val="21"/>
          <w:highlight w:val="none"/>
        </w:rPr>
      </w:pPr>
      <w:r>
        <w:rPr>
          <w:rStyle w:val="37"/>
          <w:rFonts w:hint="eastAsia" w:ascii="宋体" w:hAnsi="宋体" w:eastAsia="宋体" w:cs="Times New Roman"/>
          <w:color w:val="auto"/>
          <w:szCs w:val="21"/>
          <w:highlight w:val="none"/>
        </w:rPr>
        <w:t>20.</w:t>
      </w:r>
      <w:r>
        <w:rPr>
          <w:rStyle w:val="37"/>
          <w:rFonts w:hint="eastAsia" w:ascii="宋体" w:hAnsi="宋体" w:eastAsia="宋体" w:cs="Times New Roman"/>
          <w:color w:val="auto"/>
          <w:szCs w:val="21"/>
          <w:highlight w:val="none"/>
          <w:lang w:val="en-US" w:eastAsia="zh-CN"/>
        </w:rPr>
        <w:t>9</w:t>
      </w:r>
      <w:r>
        <w:rPr>
          <w:rStyle w:val="37"/>
          <w:rFonts w:hint="eastAsia" w:ascii="宋体" w:hAnsi="宋体" w:eastAsia="宋体" w:cs="Times New Roman"/>
          <w:color w:val="auto"/>
          <w:szCs w:val="21"/>
          <w:highlight w:val="none"/>
        </w:rPr>
        <w:t>.1磋商文件能够详细列明采购标的的技术、服务要求的，磋商结束后，磋商小组应当要求所有实质性响应的供应商在在“</w:t>
      </w:r>
      <w:r>
        <w:rPr>
          <w:rStyle w:val="37"/>
          <w:rFonts w:hint="eastAsia" w:ascii="宋体" w:hAnsi="宋体" w:cs="Times New Roman"/>
          <w:color w:val="auto"/>
          <w:szCs w:val="21"/>
          <w:highlight w:val="none"/>
        </w:rPr>
        <w:t>广西政府采购云平台</w:t>
      </w:r>
      <w:r>
        <w:rPr>
          <w:rStyle w:val="37"/>
          <w:rFonts w:hint="eastAsia" w:ascii="宋体" w:hAnsi="宋体" w:eastAsia="宋体" w:cs="Times New Roman"/>
          <w:color w:val="auto"/>
          <w:szCs w:val="21"/>
          <w:highlight w:val="none"/>
        </w:rPr>
        <w:t>”按规定时间内提交最后报价</w:t>
      </w:r>
      <w:r>
        <w:rPr>
          <w:rStyle w:val="37"/>
          <w:rFonts w:hint="eastAsia" w:ascii="宋体" w:hAnsi="宋体" w:cs="Times New Roman"/>
          <w:color w:val="auto"/>
          <w:szCs w:val="21"/>
          <w:highlight w:val="none"/>
        </w:rPr>
        <w:t>，</w:t>
      </w:r>
      <w:r>
        <w:rPr>
          <w:rStyle w:val="37"/>
          <w:rFonts w:hint="eastAsia" w:ascii="宋体" w:hAnsi="宋体" w:cs="Times New Roman"/>
          <w:color w:val="auto"/>
          <w:szCs w:val="21"/>
          <w:highlight w:val="none"/>
          <w:lang w:val="en-US"/>
        </w:rPr>
        <w:t>未在规定时间内密封提交最后报价的，按供应商在提交响应文件截止时间后撤回响应文件处理</w:t>
      </w:r>
      <w:r>
        <w:rPr>
          <w:rStyle w:val="37"/>
          <w:rFonts w:hint="eastAsia" w:ascii="宋体" w:hAnsi="宋体" w:eastAsia="宋体" w:cs="Times New Roman"/>
          <w:color w:val="auto"/>
          <w:szCs w:val="21"/>
          <w:highlight w:val="none"/>
        </w:rPr>
        <w:t>；最后报价应由其法定代表人</w:t>
      </w:r>
      <w:r>
        <w:rPr>
          <w:rStyle w:val="37"/>
          <w:rFonts w:hint="eastAsia" w:ascii="宋体" w:hAnsi="宋体" w:cs="Times New Roman"/>
          <w:color w:val="auto"/>
          <w:szCs w:val="21"/>
          <w:highlight w:val="none"/>
        </w:rPr>
        <w:t>、</w:t>
      </w:r>
      <w:r>
        <w:rPr>
          <w:rStyle w:val="37"/>
          <w:rFonts w:hint="eastAsia" w:ascii="宋体" w:hAnsi="宋体" w:eastAsia="宋体" w:cs="Times New Roman"/>
          <w:color w:val="auto"/>
          <w:szCs w:val="21"/>
          <w:highlight w:val="none"/>
        </w:rPr>
        <w:t>负责人或授权委托代表签字（或个人CA证书签章）或加盖</w:t>
      </w:r>
      <w:r>
        <w:rPr>
          <w:rFonts w:hint="eastAsia" w:ascii="宋体" w:hAnsi="宋体" w:cs="宋体"/>
          <w:color w:val="auto"/>
          <w:szCs w:val="21"/>
          <w:highlight w:val="none"/>
        </w:rPr>
        <w:t>供应商公章(CA签章)</w:t>
      </w:r>
      <w:r>
        <w:rPr>
          <w:rStyle w:val="37"/>
          <w:rFonts w:hint="eastAsia" w:ascii="宋体" w:hAnsi="宋体" w:eastAsia="宋体" w:cs="Times New Roman"/>
          <w:color w:val="auto"/>
          <w:szCs w:val="21"/>
          <w:highlight w:val="none"/>
        </w:rPr>
        <w:t>。</w:t>
      </w:r>
    </w:p>
    <w:p w14:paraId="1349E678">
      <w:pPr>
        <w:keepNext w:val="0"/>
        <w:keepLines w:val="0"/>
        <w:pageBreakBefore w:val="0"/>
        <w:widowControl w:val="0"/>
        <w:tabs>
          <w:tab w:val="left" w:pos="1305"/>
        </w:tabs>
        <w:kinsoku/>
        <w:wordWrap/>
        <w:overflowPunct/>
        <w:topLinePunct w:val="0"/>
        <w:autoSpaceDE/>
        <w:autoSpaceDN/>
        <w:bidi w:val="0"/>
        <w:adjustRightInd/>
        <w:spacing w:line="440" w:lineRule="exact"/>
        <w:ind w:left="0" w:leftChars="0" w:firstLine="420" w:firstLineChars="200"/>
        <w:textAlignment w:val="auto"/>
        <w:rPr>
          <w:rStyle w:val="37"/>
          <w:rFonts w:hint="eastAsia" w:ascii="宋体" w:hAnsi="宋体" w:eastAsia="宋体" w:cs="Times New Roman"/>
          <w:color w:val="auto"/>
          <w:szCs w:val="21"/>
          <w:highlight w:val="none"/>
        </w:rPr>
      </w:pPr>
      <w:r>
        <w:rPr>
          <w:rStyle w:val="37"/>
          <w:rFonts w:hint="eastAsia" w:ascii="宋体" w:hAnsi="宋体" w:eastAsia="宋体" w:cs="Times New Roman"/>
          <w:color w:val="auto"/>
          <w:szCs w:val="21"/>
          <w:highlight w:val="none"/>
        </w:rPr>
        <w:t>磋商文件不能详细列明采购标的的技术、服务要求的，需由磋商供应商提供最终</w:t>
      </w:r>
      <w:r>
        <w:rPr>
          <w:rStyle w:val="37"/>
          <w:rFonts w:hint="eastAsia" w:ascii="宋体" w:hAnsi="宋体" w:cs="Times New Roman"/>
          <w:color w:val="auto"/>
          <w:szCs w:val="21"/>
          <w:highlight w:val="none"/>
        </w:rPr>
        <w:t>项目</w:t>
      </w:r>
      <w:r>
        <w:rPr>
          <w:rStyle w:val="37"/>
          <w:rFonts w:hint="eastAsia" w:ascii="宋体" w:hAnsi="宋体" w:cs="Times New Roman"/>
          <w:color w:val="auto"/>
          <w:szCs w:val="21"/>
          <w:highlight w:val="none"/>
          <w:lang w:val="en-US"/>
        </w:rPr>
        <w:t>技术</w:t>
      </w:r>
      <w:r>
        <w:rPr>
          <w:rStyle w:val="37"/>
          <w:rFonts w:hint="eastAsia" w:ascii="宋体" w:hAnsi="宋体" w:eastAsia="宋体" w:cs="Times New Roman"/>
          <w:color w:val="auto"/>
          <w:szCs w:val="21"/>
          <w:highlight w:val="none"/>
        </w:rPr>
        <w:t>方案的，磋商结束后，磋商小组应当按照少数服从多数的原则投票推荐 3 家以上（含 3 家）供应商的项目</w:t>
      </w:r>
      <w:r>
        <w:rPr>
          <w:rStyle w:val="37"/>
          <w:rFonts w:hint="eastAsia" w:ascii="宋体" w:hAnsi="宋体" w:cs="Times New Roman"/>
          <w:color w:val="auto"/>
          <w:szCs w:val="21"/>
          <w:highlight w:val="none"/>
          <w:lang w:val="en-US"/>
        </w:rPr>
        <w:t>技术</w:t>
      </w:r>
      <w:r>
        <w:rPr>
          <w:rStyle w:val="37"/>
          <w:rFonts w:hint="eastAsia" w:ascii="宋体" w:hAnsi="宋体" w:eastAsia="宋体" w:cs="Times New Roman"/>
          <w:color w:val="auto"/>
          <w:szCs w:val="21"/>
          <w:highlight w:val="none"/>
        </w:rPr>
        <w:t>方案，并要求其在规定时间内密封提交最后报价。</w:t>
      </w:r>
      <w:r>
        <w:rPr>
          <w:rStyle w:val="37"/>
          <w:rFonts w:hint="eastAsia" w:ascii="宋体" w:hAnsi="宋体" w:cs="Times New Roman"/>
          <w:color w:val="auto"/>
          <w:szCs w:val="21"/>
          <w:highlight w:val="none"/>
          <w:lang w:val="en-US"/>
        </w:rPr>
        <w:t>未在规定时间内密封提交最后报价的，按供应商在提交响应文件截止时间后撤回响应文件处理。</w:t>
      </w:r>
      <w:r>
        <w:rPr>
          <w:rStyle w:val="37"/>
          <w:rFonts w:hint="eastAsia" w:ascii="宋体" w:hAnsi="宋体" w:eastAsia="宋体" w:cs="Times New Roman"/>
          <w:color w:val="auto"/>
          <w:szCs w:val="21"/>
          <w:highlight w:val="none"/>
        </w:rPr>
        <w:t>最后报价应由其法定代表人</w:t>
      </w:r>
      <w:r>
        <w:rPr>
          <w:rStyle w:val="37"/>
          <w:rFonts w:hint="eastAsia" w:ascii="宋体" w:hAnsi="宋体" w:cs="Times New Roman"/>
          <w:color w:val="auto"/>
          <w:szCs w:val="21"/>
          <w:highlight w:val="none"/>
        </w:rPr>
        <w:t>、</w:t>
      </w:r>
      <w:r>
        <w:rPr>
          <w:rStyle w:val="37"/>
          <w:rFonts w:hint="eastAsia" w:ascii="宋体" w:hAnsi="宋体" w:eastAsia="宋体" w:cs="Times New Roman"/>
          <w:color w:val="auto"/>
          <w:szCs w:val="21"/>
          <w:highlight w:val="none"/>
        </w:rPr>
        <w:t>负责人</w:t>
      </w:r>
      <w:r>
        <w:rPr>
          <w:rStyle w:val="37"/>
          <w:rFonts w:hint="eastAsia" w:ascii="宋体" w:hAnsi="宋体" w:cs="Times New Roman"/>
          <w:color w:val="auto"/>
          <w:szCs w:val="21"/>
          <w:highlight w:val="none"/>
        </w:rPr>
        <w:t>或</w:t>
      </w:r>
      <w:r>
        <w:rPr>
          <w:rStyle w:val="37"/>
          <w:rFonts w:hint="eastAsia" w:ascii="宋体" w:hAnsi="宋体" w:eastAsia="宋体" w:cs="Times New Roman"/>
          <w:color w:val="auto"/>
          <w:szCs w:val="21"/>
          <w:highlight w:val="none"/>
        </w:rPr>
        <w:t>授权委托代表签字（或个人CA证书签章）或加盖</w:t>
      </w:r>
      <w:r>
        <w:rPr>
          <w:rFonts w:hint="eastAsia" w:ascii="宋体" w:hAnsi="宋体" w:cs="宋体"/>
          <w:color w:val="auto"/>
          <w:szCs w:val="21"/>
          <w:highlight w:val="none"/>
        </w:rPr>
        <w:t>供应商公章(CA签章)</w:t>
      </w:r>
      <w:r>
        <w:rPr>
          <w:rStyle w:val="37"/>
          <w:rFonts w:hint="eastAsia" w:ascii="宋体" w:hAnsi="宋体" w:eastAsia="宋体" w:cs="Times New Roman"/>
          <w:color w:val="auto"/>
          <w:szCs w:val="21"/>
          <w:highlight w:val="none"/>
        </w:rPr>
        <w:t>。</w:t>
      </w:r>
    </w:p>
    <w:p w14:paraId="63D9E22A">
      <w:pPr>
        <w:keepNext w:val="0"/>
        <w:keepLines w:val="0"/>
        <w:pageBreakBefore w:val="0"/>
        <w:widowControl w:val="0"/>
        <w:tabs>
          <w:tab w:val="left" w:pos="1305"/>
        </w:tabs>
        <w:kinsoku/>
        <w:wordWrap/>
        <w:overflowPunct/>
        <w:topLinePunct w:val="0"/>
        <w:autoSpaceDE/>
        <w:autoSpaceDN/>
        <w:bidi w:val="0"/>
        <w:adjustRightInd/>
        <w:spacing w:line="440" w:lineRule="exact"/>
        <w:ind w:left="0" w:leftChars="0" w:firstLine="420" w:firstLineChars="200"/>
        <w:textAlignment w:val="auto"/>
        <w:rPr>
          <w:rStyle w:val="37"/>
          <w:rFonts w:hint="eastAsia" w:ascii="宋体" w:hAnsi="宋体" w:eastAsia="宋体" w:cs="Times New Roman"/>
          <w:color w:val="auto"/>
          <w:szCs w:val="21"/>
          <w:highlight w:val="none"/>
        </w:rPr>
      </w:pPr>
      <w:r>
        <w:rPr>
          <w:rStyle w:val="37"/>
          <w:rFonts w:hint="eastAsia" w:ascii="宋体" w:hAnsi="宋体" w:eastAsia="宋体" w:cs="Times New Roman"/>
          <w:color w:val="auto"/>
          <w:szCs w:val="21"/>
          <w:highlight w:val="none"/>
        </w:rPr>
        <w:t>20.</w:t>
      </w:r>
      <w:r>
        <w:rPr>
          <w:rStyle w:val="37"/>
          <w:rFonts w:hint="eastAsia" w:ascii="宋体" w:hAnsi="宋体" w:eastAsia="宋体" w:cs="Times New Roman"/>
          <w:color w:val="auto"/>
          <w:szCs w:val="21"/>
          <w:highlight w:val="none"/>
          <w:lang w:val="en-US" w:eastAsia="zh-CN"/>
        </w:rPr>
        <w:t>9</w:t>
      </w:r>
      <w:r>
        <w:rPr>
          <w:rStyle w:val="37"/>
          <w:rFonts w:hint="eastAsia" w:ascii="宋体" w:hAnsi="宋体" w:eastAsia="宋体" w:cs="Times New Roman"/>
          <w:color w:val="auto"/>
          <w:szCs w:val="21"/>
          <w:highlight w:val="none"/>
        </w:rPr>
        <w:t>.2根据财库【2015】124号</w:t>
      </w:r>
      <w:r>
        <w:rPr>
          <w:rStyle w:val="37"/>
          <w:rFonts w:hint="eastAsia" w:ascii="宋体" w:hAnsi="宋体" w:cs="Times New Roman"/>
          <w:color w:val="auto"/>
          <w:szCs w:val="21"/>
          <w:highlight w:val="none"/>
          <w:lang w:eastAsia="zh-CN"/>
        </w:rPr>
        <w:t>《</w:t>
      </w:r>
      <w:r>
        <w:rPr>
          <w:rStyle w:val="37"/>
          <w:rFonts w:hint="eastAsia" w:ascii="宋体" w:hAnsi="宋体" w:eastAsia="宋体" w:cs="Times New Roman"/>
          <w:color w:val="auto"/>
          <w:szCs w:val="21"/>
          <w:highlight w:val="none"/>
        </w:rPr>
        <w:t xml:space="preserve">财政部关于政府采购竞争性磋商采购方式有关问题的通知》的规定，如采购项目为政府购买服务项目(含政府和社会资本合作项目)，在采购过程中符合要求的供应商(社会资本)只有2家的，竞争性磋商采购活动可以继续进行，并要求其在规定时间内密封提交最后报价；采购过程中符合要求的供应商(社会资本)只有1家的，采购人或者采购代理机构应当终止竞争性磋商采购活动，发布项目终止公告并说明原因，重新开展采购活动。 </w:t>
      </w:r>
    </w:p>
    <w:p w14:paraId="7CEF594C">
      <w:pPr>
        <w:keepNext w:val="0"/>
        <w:keepLines w:val="0"/>
        <w:pageBreakBefore w:val="0"/>
        <w:widowControl w:val="0"/>
        <w:tabs>
          <w:tab w:val="left" w:pos="1305"/>
        </w:tabs>
        <w:kinsoku/>
        <w:wordWrap/>
        <w:overflowPunct/>
        <w:topLinePunct w:val="0"/>
        <w:autoSpaceDE/>
        <w:autoSpaceDN/>
        <w:bidi w:val="0"/>
        <w:adjustRightInd/>
        <w:spacing w:line="440" w:lineRule="exact"/>
        <w:ind w:left="0" w:leftChars="0" w:firstLine="420" w:firstLineChars="200"/>
        <w:textAlignment w:val="auto"/>
        <w:rPr>
          <w:rStyle w:val="37"/>
          <w:rFonts w:hint="eastAsia" w:ascii="宋体" w:hAnsi="宋体" w:eastAsia="宋体" w:cs="Times New Roman"/>
          <w:color w:val="auto"/>
          <w:szCs w:val="21"/>
          <w:highlight w:val="none"/>
        </w:rPr>
      </w:pPr>
      <w:r>
        <w:rPr>
          <w:rStyle w:val="37"/>
          <w:rFonts w:hint="eastAsia" w:ascii="宋体" w:hAnsi="宋体" w:eastAsia="宋体" w:cs="Times New Roman"/>
          <w:color w:val="auto"/>
          <w:szCs w:val="21"/>
          <w:highlight w:val="none"/>
        </w:rPr>
        <w:t>20.</w:t>
      </w:r>
      <w:r>
        <w:rPr>
          <w:rStyle w:val="37"/>
          <w:rFonts w:hint="eastAsia" w:ascii="宋体" w:hAnsi="宋体" w:eastAsia="宋体" w:cs="Times New Roman"/>
          <w:color w:val="auto"/>
          <w:szCs w:val="21"/>
          <w:highlight w:val="none"/>
          <w:lang w:val="en-US" w:eastAsia="zh-CN"/>
        </w:rPr>
        <w:t>9</w:t>
      </w:r>
      <w:r>
        <w:rPr>
          <w:rStyle w:val="37"/>
          <w:rFonts w:hint="eastAsia" w:ascii="宋体" w:hAnsi="宋体" w:eastAsia="宋体" w:cs="Times New Roman"/>
          <w:color w:val="auto"/>
          <w:szCs w:val="21"/>
          <w:highlight w:val="none"/>
        </w:rPr>
        <w:t>.3最后报价是供应商响应文件的有效组成部分。</w:t>
      </w:r>
    </w:p>
    <w:p w14:paraId="3975C2A7">
      <w:pPr>
        <w:keepNext w:val="0"/>
        <w:keepLines w:val="0"/>
        <w:pageBreakBefore w:val="0"/>
        <w:widowControl w:val="0"/>
        <w:tabs>
          <w:tab w:val="left" w:pos="1305"/>
        </w:tabs>
        <w:kinsoku/>
        <w:wordWrap/>
        <w:overflowPunct/>
        <w:topLinePunct w:val="0"/>
        <w:autoSpaceDE/>
        <w:autoSpaceDN/>
        <w:bidi w:val="0"/>
        <w:adjustRightInd/>
        <w:spacing w:line="440" w:lineRule="exact"/>
        <w:ind w:left="0" w:leftChars="0" w:firstLine="420" w:firstLineChars="200"/>
        <w:textAlignment w:val="auto"/>
        <w:rPr>
          <w:rStyle w:val="37"/>
          <w:rFonts w:hint="eastAsia" w:ascii="宋体" w:hAnsi="宋体" w:eastAsia="宋体" w:cs="Times New Roman"/>
          <w:color w:val="auto"/>
          <w:szCs w:val="21"/>
          <w:highlight w:val="none"/>
        </w:rPr>
      </w:pPr>
      <w:r>
        <w:rPr>
          <w:rStyle w:val="37"/>
          <w:rFonts w:hint="eastAsia" w:ascii="宋体" w:hAnsi="宋体" w:eastAsia="宋体" w:cs="Times New Roman"/>
          <w:color w:val="auto"/>
          <w:szCs w:val="21"/>
          <w:highlight w:val="none"/>
        </w:rPr>
        <w:t>20.</w:t>
      </w:r>
      <w:r>
        <w:rPr>
          <w:rStyle w:val="37"/>
          <w:rFonts w:hint="eastAsia" w:ascii="宋体" w:hAnsi="宋体" w:eastAsia="宋体" w:cs="Times New Roman"/>
          <w:color w:val="auto"/>
          <w:szCs w:val="21"/>
          <w:highlight w:val="none"/>
          <w:lang w:val="en-US" w:eastAsia="zh-CN"/>
        </w:rPr>
        <w:t>9.4</w:t>
      </w:r>
      <w:r>
        <w:rPr>
          <w:rStyle w:val="37"/>
          <w:rFonts w:hint="eastAsia" w:ascii="宋体" w:hAnsi="宋体" w:eastAsia="宋体" w:cs="Times New Roman"/>
          <w:color w:val="auto"/>
          <w:szCs w:val="21"/>
          <w:highlight w:val="none"/>
        </w:rPr>
        <w:t>已提交响应文件的供应商，在提交最后报价之前，可以根据磋商情况书面退出磋商。</w:t>
      </w:r>
    </w:p>
    <w:p w14:paraId="39C90D36">
      <w:pPr>
        <w:pageBreakBefore w:val="0"/>
        <w:widowControl w:val="0"/>
        <w:kinsoku/>
        <w:wordWrap/>
        <w:overflowPunct/>
        <w:topLinePunct w:val="0"/>
        <w:autoSpaceDE/>
        <w:autoSpaceDN/>
        <w:bidi w:val="0"/>
        <w:adjustRightInd/>
        <w:spacing w:line="440" w:lineRule="exact"/>
        <w:ind w:left="0" w:leftChars="0" w:firstLine="420"/>
        <w:textAlignment w:val="auto"/>
        <w:rPr>
          <w:rStyle w:val="37"/>
          <w:rFonts w:hint="eastAsia" w:ascii="宋体" w:hAnsi="宋体" w:eastAsia="宋体" w:cs="Times New Roman"/>
          <w:color w:val="auto"/>
          <w:szCs w:val="21"/>
          <w:highlight w:val="none"/>
        </w:rPr>
      </w:pPr>
      <w:r>
        <w:rPr>
          <w:rStyle w:val="37"/>
          <w:rFonts w:hint="eastAsia" w:ascii="宋体" w:hAnsi="宋体" w:eastAsia="宋体" w:cs="Times New Roman"/>
          <w:color w:val="auto"/>
          <w:szCs w:val="21"/>
          <w:highlight w:val="none"/>
          <w:lang w:val="en-US" w:eastAsia="zh-CN"/>
        </w:rPr>
        <w:t>20.9.5</w:t>
      </w:r>
      <w:r>
        <w:rPr>
          <w:rStyle w:val="37"/>
          <w:rFonts w:hint="eastAsia" w:ascii="宋体" w:hAnsi="宋体" w:eastAsia="宋体" w:cs="Times New Roman"/>
          <w:color w:val="auto"/>
          <w:szCs w:val="21"/>
          <w:highlight w:val="none"/>
        </w:rPr>
        <w:t>其最后报价不得超出采购预算。</w:t>
      </w:r>
      <w:r>
        <w:rPr>
          <w:rFonts w:hint="eastAsia" w:ascii="宋体" w:hAnsi="宋体" w:cs="宋体"/>
          <w:color w:val="auto"/>
          <w:szCs w:val="21"/>
          <w:highlight w:val="none"/>
        </w:rPr>
        <w:t>磋商过程中磋商文件未作实质性变动的，最后报价不得</w:t>
      </w:r>
      <w:r>
        <w:rPr>
          <w:rFonts w:hint="eastAsia" w:ascii="宋体" w:hAnsi="宋体" w:cs="宋体"/>
          <w:color w:val="auto"/>
          <w:szCs w:val="21"/>
          <w:highlight w:val="none"/>
          <w:lang w:eastAsia="zh-CN"/>
        </w:rPr>
        <w:t>高于</w:t>
      </w:r>
      <w:r>
        <w:rPr>
          <w:rFonts w:hint="eastAsia" w:ascii="宋体" w:hAnsi="宋体" w:cs="宋体"/>
          <w:color w:val="auto"/>
          <w:szCs w:val="21"/>
          <w:highlight w:val="none"/>
        </w:rPr>
        <w:t>首次报价。最后报价</w:t>
      </w:r>
      <w:r>
        <w:rPr>
          <w:rFonts w:hint="eastAsia" w:ascii="宋体" w:hAnsi="宋体" w:cs="宋体"/>
          <w:color w:val="auto"/>
          <w:szCs w:val="21"/>
          <w:highlight w:val="none"/>
          <w:lang w:eastAsia="zh-CN"/>
        </w:rPr>
        <w:t>超</w:t>
      </w:r>
      <w:r>
        <w:rPr>
          <w:rStyle w:val="37"/>
          <w:rFonts w:hint="eastAsia" w:ascii="宋体" w:hAnsi="宋体" w:eastAsia="宋体" w:cs="Times New Roman"/>
          <w:color w:val="auto"/>
          <w:szCs w:val="21"/>
          <w:highlight w:val="none"/>
        </w:rPr>
        <w:t>出</w:t>
      </w:r>
      <w:r>
        <w:rPr>
          <w:rFonts w:hint="eastAsia" w:ascii="宋体" w:hAnsi="宋体" w:cs="宋体"/>
          <w:color w:val="auto"/>
          <w:szCs w:val="21"/>
          <w:highlight w:val="none"/>
        </w:rPr>
        <w:t>采购预算</w:t>
      </w:r>
      <w:r>
        <w:rPr>
          <w:rFonts w:hint="eastAsia" w:ascii="宋体" w:hAnsi="宋体" w:cs="宋体"/>
          <w:color w:val="auto"/>
          <w:szCs w:val="21"/>
          <w:highlight w:val="none"/>
          <w:lang w:val="en-US" w:eastAsia="zh-CN"/>
        </w:rPr>
        <w:t>金额或高于首次报价的</w:t>
      </w:r>
      <w:r>
        <w:rPr>
          <w:rFonts w:hint="eastAsia" w:ascii="宋体" w:hAnsi="宋体" w:cs="宋体"/>
          <w:color w:val="auto"/>
          <w:szCs w:val="21"/>
          <w:highlight w:val="none"/>
        </w:rPr>
        <w:t>导致已通过评审的响应文件无效的，按供应商在提交响应文件截止时间后撤回响应文件处理。</w:t>
      </w:r>
    </w:p>
    <w:p w14:paraId="264EC49D">
      <w:pPr>
        <w:keepNext w:val="0"/>
        <w:keepLines w:val="0"/>
        <w:pageBreakBefore w:val="0"/>
        <w:widowControl w:val="0"/>
        <w:tabs>
          <w:tab w:val="left" w:pos="1305"/>
        </w:tabs>
        <w:kinsoku/>
        <w:wordWrap/>
        <w:overflowPunct/>
        <w:topLinePunct w:val="0"/>
        <w:autoSpaceDE/>
        <w:autoSpaceDN/>
        <w:bidi w:val="0"/>
        <w:adjustRightInd/>
        <w:spacing w:line="440" w:lineRule="exact"/>
        <w:ind w:left="0" w:leftChars="0" w:firstLine="420" w:firstLineChars="200"/>
        <w:textAlignment w:val="auto"/>
        <w:rPr>
          <w:rStyle w:val="37"/>
          <w:rFonts w:hint="eastAsia" w:ascii="宋体" w:hAnsi="宋体" w:eastAsia="宋体" w:cs="Times New Roman"/>
          <w:color w:val="auto"/>
          <w:szCs w:val="21"/>
          <w:highlight w:val="none"/>
          <w:lang w:val="en-US" w:eastAsia="zh-CN"/>
        </w:rPr>
      </w:pPr>
      <w:r>
        <w:rPr>
          <w:rStyle w:val="37"/>
          <w:rFonts w:hint="eastAsia" w:ascii="宋体" w:hAnsi="宋体" w:eastAsia="宋体" w:cs="Times New Roman"/>
          <w:color w:val="auto"/>
          <w:szCs w:val="21"/>
          <w:highlight w:val="none"/>
          <w:lang w:val="en-US" w:eastAsia="zh-CN"/>
        </w:rPr>
        <w:t>20.9.</w:t>
      </w:r>
      <w:r>
        <w:rPr>
          <w:rStyle w:val="37"/>
          <w:rFonts w:hint="eastAsia" w:ascii="宋体" w:hAnsi="宋体" w:cs="Times New Roman"/>
          <w:color w:val="auto"/>
          <w:szCs w:val="21"/>
          <w:highlight w:val="none"/>
          <w:lang w:val="en-US" w:eastAsia="zh-CN"/>
        </w:rPr>
        <w:t>6</w:t>
      </w:r>
      <w:r>
        <w:rPr>
          <w:rStyle w:val="37"/>
          <w:rFonts w:hint="eastAsia" w:ascii="宋体" w:hAnsi="宋体" w:eastAsia="宋体" w:cs="Times New Roman"/>
          <w:color w:val="auto"/>
          <w:szCs w:val="21"/>
          <w:highlight w:val="none"/>
          <w:lang w:val="en-US" w:eastAsia="zh-CN"/>
        </w:rPr>
        <w:t>响应文件中磋商报价（含最后报价）出现前后不一致的，按照下列规定修正：</w:t>
      </w:r>
    </w:p>
    <w:p w14:paraId="652B95A6">
      <w:pPr>
        <w:keepNext w:val="0"/>
        <w:keepLines w:val="0"/>
        <w:pageBreakBefore w:val="0"/>
        <w:widowControl w:val="0"/>
        <w:tabs>
          <w:tab w:val="left" w:pos="1305"/>
        </w:tabs>
        <w:kinsoku/>
        <w:wordWrap/>
        <w:overflowPunct/>
        <w:topLinePunct w:val="0"/>
        <w:autoSpaceDE/>
        <w:autoSpaceDN/>
        <w:bidi w:val="0"/>
        <w:adjustRightInd/>
        <w:spacing w:line="440" w:lineRule="exact"/>
        <w:ind w:left="0" w:leftChars="0" w:firstLine="420" w:firstLineChars="200"/>
        <w:textAlignment w:val="auto"/>
        <w:rPr>
          <w:rStyle w:val="37"/>
          <w:rFonts w:hint="eastAsia" w:ascii="宋体" w:hAnsi="宋体" w:eastAsia="宋体" w:cs="Times New Roman"/>
          <w:color w:val="auto"/>
          <w:szCs w:val="21"/>
          <w:highlight w:val="none"/>
          <w:lang w:val="en-US" w:eastAsia="zh-CN"/>
        </w:rPr>
      </w:pPr>
      <w:r>
        <w:rPr>
          <w:rStyle w:val="37"/>
          <w:rFonts w:hint="eastAsia" w:ascii="宋体" w:hAnsi="宋体" w:eastAsia="宋体" w:cs="Times New Roman"/>
          <w:color w:val="auto"/>
          <w:szCs w:val="21"/>
          <w:highlight w:val="none"/>
          <w:lang w:val="en-US" w:eastAsia="zh-CN"/>
        </w:rPr>
        <w:t>（1）响应文件中</w:t>
      </w:r>
      <w:r>
        <w:rPr>
          <w:rStyle w:val="37"/>
          <w:rFonts w:hint="eastAsia" w:ascii="宋体" w:hAnsi="宋体" w:cs="Times New Roman"/>
          <w:color w:val="auto"/>
          <w:szCs w:val="21"/>
          <w:highlight w:val="none"/>
          <w:lang w:val="en-US" w:eastAsia="zh-CN"/>
        </w:rPr>
        <w:t>磋商</w:t>
      </w:r>
      <w:r>
        <w:rPr>
          <w:rStyle w:val="37"/>
          <w:rFonts w:hint="eastAsia" w:ascii="宋体" w:hAnsi="宋体" w:eastAsia="宋体" w:cs="Times New Roman"/>
          <w:color w:val="auto"/>
          <w:szCs w:val="21"/>
          <w:highlight w:val="none"/>
          <w:lang w:val="en-US" w:eastAsia="zh-CN"/>
        </w:rPr>
        <w:t>报价表内容与响应文件中相应内容不一致的，以</w:t>
      </w:r>
      <w:r>
        <w:rPr>
          <w:rStyle w:val="37"/>
          <w:rFonts w:hint="eastAsia" w:ascii="宋体" w:hAnsi="宋体" w:cs="Times New Roman"/>
          <w:color w:val="auto"/>
          <w:szCs w:val="21"/>
          <w:highlight w:val="none"/>
          <w:lang w:val="en-US" w:eastAsia="zh-CN"/>
        </w:rPr>
        <w:t>磋商</w:t>
      </w:r>
      <w:r>
        <w:rPr>
          <w:rStyle w:val="37"/>
          <w:rFonts w:hint="eastAsia" w:ascii="宋体" w:hAnsi="宋体" w:eastAsia="宋体" w:cs="Times New Roman"/>
          <w:color w:val="auto"/>
          <w:szCs w:val="21"/>
          <w:highlight w:val="none"/>
          <w:lang w:val="en-US" w:eastAsia="zh-CN"/>
        </w:rPr>
        <w:t>报价表为准；</w:t>
      </w:r>
    </w:p>
    <w:p w14:paraId="27943962">
      <w:pPr>
        <w:keepNext w:val="0"/>
        <w:keepLines w:val="0"/>
        <w:pageBreakBefore w:val="0"/>
        <w:widowControl w:val="0"/>
        <w:tabs>
          <w:tab w:val="left" w:pos="1305"/>
        </w:tabs>
        <w:kinsoku/>
        <w:wordWrap/>
        <w:overflowPunct/>
        <w:topLinePunct w:val="0"/>
        <w:autoSpaceDE/>
        <w:autoSpaceDN/>
        <w:bidi w:val="0"/>
        <w:adjustRightInd/>
        <w:spacing w:line="440" w:lineRule="exact"/>
        <w:ind w:left="0" w:leftChars="0" w:firstLine="420" w:firstLineChars="200"/>
        <w:textAlignment w:val="auto"/>
        <w:rPr>
          <w:rStyle w:val="37"/>
          <w:rFonts w:hint="eastAsia" w:ascii="宋体" w:hAnsi="宋体" w:eastAsia="宋体" w:cs="Times New Roman"/>
          <w:color w:val="auto"/>
          <w:szCs w:val="21"/>
          <w:highlight w:val="none"/>
          <w:lang w:val="en-US" w:eastAsia="zh-CN"/>
        </w:rPr>
      </w:pPr>
      <w:r>
        <w:rPr>
          <w:rStyle w:val="37"/>
          <w:rFonts w:hint="eastAsia" w:ascii="宋体" w:hAnsi="宋体" w:eastAsia="宋体" w:cs="Times New Roman"/>
          <w:color w:val="auto"/>
          <w:szCs w:val="21"/>
          <w:highlight w:val="none"/>
          <w:lang w:val="en-US" w:eastAsia="zh-CN"/>
        </w:rPr>
        <w:t>（2）大写金额和小写金额不一致的，以大写金额为准；</w:t>
      </w:r>
    </w:p>
    <w:p w14:paraId="7A356FE2">
      <w:pPr>
        <w:keepNext w:val="0"/>
        <w:keepLines w:val="0"/>
        <w:pageBreakBefore w:val="0"/>
        <w:widowControl w:val="0"/>
        <w:tabs>
          <w:tab w:val="left" w:pos="1305"/>
        </w:tabs>
        <w:kinsoku/>
        <w:wordWrap/>
        <w:overflowPunct/>
        <w:topLinePunct w:val="0"/>
        <w:autoSpaceDE/>
        <w:autoSpaceDN/>
        <w:bidi w:val="0"/>
        <w:adjustRightInd/>
        <w:spacing w:line="440" w:lineRule="exact"/>
        <w:ind w:left="0" w:leftChars="0" w:firstLine="420" w:firstLineChars="200"/>
        <w:textAlignment w:val="auto"/>
        <w:rPr>
          <w:rStyle w:val="37"/>
          <w:rFonts w:hint="eastAsia" w:ascii="宋体" w:hAnsi="宋体" w:eastAsia="宋体" w:cs="Times New Roman"/>
          <w:color w:val="auto"/>
          <w:szCs w:val="21"/>
          <w:highlight w:val="none"/>
          <w:lang w:val="en-US" w:eastAsia="zh-CN"/>
        </w:rPr>
      </w:pPr>
      <w:r>
        <w:rPr>
          <w:rStyle w:val="37"/>
          <w:rFonts w:hint="eastAsia" w:ascii="宋体" w:hAnsi="宋体" w:eastAsia="宋体" w:cs="Times New Roman"/>
          <w:color w:val="auto"/>
          <w:szCs w:val="21"/>
          <w:highlight w:val="none"/>
          <w:lang w:val="en-US" w:eastAsia="zh-CN"/>
        </w:rPr>
        <w:t>（3）单价金额小数点或者百分比有明显错位的，以报价明细表的总价为准，并修改单价；</w:t>
      </w:r>
    </w:p>
    <w:p w14:paraId="7172BAD7">
      <w:pPr>
        <w:keepNext w:val="0"/>
        <w:keepLines w:val="0"/>
        <w:pageBreakBefore w:val="0"/>
        <w:widowControl w:val="0"/>
        <w:tabs>
          <w:tab w:val="left" w:pos="1305"/>
        </w:tabs>
        <w:kinsoku/>
        <w:wordWrap/>
        <w:overflowPunct/>
        <w:topLinePunct w:val="0"/>
        <w:autoSpaceDE/>
        <w:autoSpaceDN/>
        <w:bidi w:val="0"/>
        <w:adjustRightInd/>
        <w:spacing w:line="440" w:lineRule="exact"/>
        <w:ind w:left="0" w:leftChars="0" w:firstLine="420" w:firstLineChars="200"/>
        <w:textAlignment w:val="auto"/>
        <w:rPr>
          <w:rStyle w:val="37"/>
          <w:rFonts w:hint="eastAsia" w:ascii="宋体" w:hAnsi="宋体" w:eastAsia="宋体" w:cs="Times New Roman"/>
          <w:color w:val="auto"/>
          <w:szCs w:val="21"/>
          <w:highlight w:val="none"/>
          <w:lang w:val="en-US" w:eastAsia="zh-CN"/>
        </w:rPr>
      </w:pPr>
      <w:r>
        <w:rPr>
          <w:rStyle w:val="37"/>
          <w:rFonts w:hint="eastAsia" w:ascii="宋体" w:hAnsi="宋体" w:eastAsia="宋体" w:cs="Times New Roman"/>
          <w:color w:val="auto"/>
          <w:szCs w:val="21"/>
          <w:highlight w:val="none"/>
          <w:lang w:val="en-US" w:eastAsia="zh-CN"/>
        </w:rPr>
        <w:t>（4）总价金额与按单价汇总金额不一致的，以单价金额计算结果为准。</w:t>
      </w:r>
    </w:p>
    <w:p w14:paraId="19F378E2">
      <w:pPr>
        <w:keepNext w:val="0"/>
        <w:keepLines w:val="0"/>
        <w:pageBreakBefore w:val="0"/>
        <w:widowControl w:val="0"/>
        <w:tabs>
          <w:tab w:val="left" w:pos="1305"/>
        </w:tabs>
        <w:kinsoku/>
        <w:wordWrap/>
        <w:overflowPunct/>
        <w:topLinePunct w:val="0"/>
        <w:autoSpaceDE/>
        <w:autoSpaceDN/>
        <w:bidi w:val="0"/>
        <w:adjustRightInd/>
        <w:spacing w:line="440" w:lineRule="exact"/>
        <w:ind w:left="0" w:leftChars="0" w:firstLine="420" w:firstLineChars="200"/>
        <w:textAlignment w:val="auto"/>
        <w:rPr>
          <w:rStyle w:val="37"/>
          <w:rFonts w:hint="default" w:ascii="宋体" w:hAnsi="宋体" w:eastAsia="宋体" w:cs="Times New Roman"/>
          <w:color w:val="auto"/>
          <w:szCs w:val="21"/>
          <w:highlight w:val="none"/>
          <w:lang w:val="en-US" w:eastAsia="zh-CN"/>
        </w:rPr>
      </w:pPr>
      <w:r>
        <w:rPr>
          <w:rStyle w:val="37"/>
          <w:rFonts w:hint="eastAsia" w:ascii="宋体" w:hAnsi="宋体" w:eastAsia="宋体" w:cs="Times New Roman"/>
          <w:color w:val="auto"/>
          <w:szCs w:val="21"/>
          <w:highlight w:val="none"/>
          <w:lang w:val="en-US" w:eastAsia="zh-CN"/>
        </w:rPr>
        <w:t>同时出现两种以上不一致的，按照第（1）-（4）规定的顺序修正。修正的报价经供应商确认（须供应商在线签字或加盖个人CA证书签章确认）后产生约束力，供应商不确认的，其响应文件无效。</w:t>
      </w:r>
    </w:p>
    <w:p w14:paraId="20B25A08">
      <w:pPr>
        <w:keepNext w:val="0"/>
        <w:keepLines w:val="0"/>
        <w:pageBreakBefore w:val="0"/>
        <w:widowControl w:val="0"/>
        <w:tabs>
          <w:tab w:val="left" w:pos="1305"/>
        </w:tabs>
        <w:kinsoku/>
        <w:wordWrap/>
        <w:overflowPunct/>
        <w:topLinePunct w:val="0"/>
        <w:autoSpaceDE/>
        <w:autoSpaceDN/>
        <w:bidi w:val="0"/>
        <w:adjustRightInd/>
        <w:spacing w:line="440" w:lineRule="exact"/>
        <w:ind w:left="0" w:leftChars="0" w:firstLine="420" w:firstLineChars="200"/>
        <w:textAlignment w:val="auto"/>
        <w:rPr>
          <w:rStyle w:val="37"/>
          <w:rFonts w:hint="eastAsia" w:ascii="宋体" w:hAnsi="宋体" w:eastAsia="宋体" w:cs="Times New Roman"/>
          <w:color w:val="auto"/>
          <w:szCs w:val="21"/>
          <w:highlight w:val="none"/>
        </w:rPr>
      </w:pPr>
      <w:r>
        <w:rPr>
          <w:rStyle w:val="37"/>
          <w:rFonts w:hint="eastAsia" w:ascii="宋体" w:hAnsi="宋体" w:eastAsia="宋体" w:cs="Times New Roman"/>
          <w:color w:val="auto"/>
          <w:szCs w:val="21"/>
          <w:highlight w:val="none"/>
        </w:rPr>
        <w:t>20.1</w:t>
      </w:r>
      <w:r>
        <w:rPr>
          <w:rStyle w:val="37"/>
          <w:rFonts w:hint="eastAsia" w:ascii="宋体" w:hAnsi="宋体" w:cs="Times New Roman"/>
          <w:color w:val="auto"/>
          <w:szCs w:val="21"/>
          <w:highlight w:val="none"/>
          <w:lang w:val="en-US" w:eastAsia="zh-CN"/>
        </w:rPr>
        <w:t>0</w:t>
      </w:r>
      <w:r>
        <w:rPr>
          <w:rStyle w:val="37"/>
          <w:rFonts w:hint="eastAsia" w:ascii="宋体" w:hAnsi="宋体" w:eastAsia="宋体" w:cs="Times New Roman"/>
          <w:color w:val="auto"/>
          <w:szCs w:val="21"/>
          <w:highlight w:val="none"/>
        </w:rPr>
        <w:t xml:space="preserve">综合比较与评价：          </w:t>
      </w:r>
    </w:p>
    <w:p w14:paraId="6CAE1C3E">
      <w:pPr>
        <w:keepNext w:val="0"/>
        <w:keepLines w:val="0"/>
        <w:pageBreakBefore w:val="0"/>
        <w:widowControl w:val="0"/>
        <w:tabs>
          <w:tab w:val="left" w:pos="1305"/>
        </w:tabs>
        <w:kinsoku/>
        <w:wordWrap/>
        <w:overflowPunct/>
        <w:topLinePunct w:val="0"/>
        <w:autoSpaceDE/>
        <w:autoSpaceDN/>
        <w:bidi w:val="0"/>
        <w:adjustRightInd/>
        <w:spacing w:line="440" w:lineRule="exact"/>
        <w:ind w:left="0" w:leftChars="0" w:firstLine="420" w:firstLineChars="200"/>
        <w:textAlignment w:val="auto"/>
        <w:rPr>
          <w:rStyle w:val="37"/>
          <w:rFonts w:hint="eastAsia" w:ascii="宋体" w:hAnsi="宋体" w:eastAsia="宋体" w:cs="Times New Roman"/>
          <w:color w:val="auto"/>
          <w:szCs w:val="21"/>
          <w:highlight w:val="none"/>
        </w:rPr>
      </w:pPr>
      <w:r>
        <w:rPr>
          <w:rStyle w:val="37"/>
          <w:rFonts w:hint="eastAsia" w:ascii="宋体" w:hAnsi="宋体" w:eastAsia="宋体" w:cs="Times New Roman"/>
          <w:color w:val="auto"/>
          <w:szCs w:val="21"/>
          <w:highlight w:val="none"/>
        </w:rPr>
        <w:t>20.1</w:t>
      </w:r>
      <w:r>
        <w:rPr>
          <w:rStyle w:val="37"/>
          <w:rFonts w:hint="eastAsia" w:ascii="宋体" w:hAnsi="宋体" w:cs="Times New Roman"/>
          <w:color w:val="auto"/>
          <w:szCs w:val="21"/>
          <w:highlight w:val="none"/>
          <w:lang w:val="en-US" w:eastAsia="zh-CN"/>
        </w:rPr>
        <w:t>0</w:t>
      </w:r>
      <w:r>
        <w:rPr>
          <w:rStyle w:val="37"/>
          <w:rFonts w:hint="eastAsia" w:ascii="宋体" w:hAnsi="宋体" w:eastAsia="宋体" w:cs="Times New Roman"/>
          <w:color w:val="auto"/>
          <w:szCs w:val="21"/>
          <w:highlight w:val="none"/>
        </w:rPr>
        <w:t>.1经磋商确定最终采购需求和提交最后报价的供应商后，由磋商小组按竞争性磋商文件要求采用综合评分法对提交最后报价的供应商的响应文件和最后报价进行综合评分。</w:t>
      </w:r>
    </w:p>
    <w:p w14:paraId="303F04FF">
      <w:pPr>
        <w:keepNext w:val="0"/>
        <w:keepLines w:val="0"/>
        <w:pageBreakBefore w:val="0"/>
        <w:widowControl w:val="0"/>
        <w:tabs>
          <w:tab w:val="left" w:pos="1305"/>
        </w:tabs>
        <w:kinsoku/>
        <w:wordWrap/>
        <w:overflowPunct/>
        <w:topLinePunct w:val="0"/>
        <w:autoSpaceDE/>
        <w:autoSpaceDN/>
        <w:bidi w:val="0"/>
        <w:adjustRightInd/>
        <w:spacing w:line="440" w:lineRule="exact"/>
        <w:ind w:left="0" w:leftChars="0" w:firstLine="420" w:firstLineChars="200"/>
        <w:textAlignment w:val="auto"/>
        <w:rPr>
          <w:rStyle w:val="37"/>
          <w:rFonts w:hint="eastAsia" w:ascii="宋体" w:hAnsi="宋体" w:eastAsia="宋体" w:cs="Times New Roman"/>
          <w:color w:val="auto"/>
          <w:szCs w:val="21"/>
          <w:highlight w:val="none"/>
        </w:rPr>
      </w:pPr>
      <w:r>
        <w:rPr>
          <w:rStyle w:val="37"/>
          <w:rFonts w:hint="eastAsia" w:ascii="宋体" w:hAnsi="宋体" w:eastAsia="宋体" w:cs="Times New Roman"/>
          <w:color w:val="auto"/>
          <w:szCs w:val="21"/>
          <w:highlight w:val="none"/>
        </w:rPr>
        <w:t>20.1</w:t>
      </w:r>
      <w:r>
        <w:rPr>
          <w:rStyle w:val="37"/>
          <w:rFonts w:hint="eastAsia" w:ascii="宋体" w:hAnsi="宋体" w:cs="Times New Roman"/>
          <w:color w:val="auto"/>
          <w:szCs w:val="21"/>
          <w:highlight w:val="none"/>
          <w:lang w:val="en-US" w:eastAsia="zh-CN"/>
        </w:rPr>
        <w:t>0</w:t>
      </w:r>
      <w:r>
        <w:rPr>
          <w:rStyle w:val="37"/>
          <w:rFonts w:hint="eastAsia" w:ascii="宋体" w:hAnsi="宋体" w:eastAsia="宋体" w:cs="Times New Roman"/>
          <w:color w:val="auto"/>
          <w:szCs w:val="21"/>
          <w:highlight w:val="none"/>
        </w:rPr>
        <w:t xml:space="preserve">.2磋商小组成员应当独立对每个供应商的响应文件进行评价，最终汇总每个供应商的得分。各供应商的得分为所有评委的有效评分的算术平均数。 </w:t>
      </w:r>
    </w:p>
    <w:p w14:paraId="74959A56">
      <w:pPr>
        <w:keepNext w:val="0"/>
        <w:keepLines w:val="0"/>
        <w:pageBreakBefore w:val="0"/>
        <w:widowControl w:val="0"/>
        <w:tabs>
          <w:tab w:val="left" w:pos="1305"/>
        </w:tabs>
        <w:kinsoku/>
        <w:wordWrap/>
        <w:overflowPunct/>
        <w:topLinePunct w:val="0"/>
        <w:autoSpaceDE/>
        <w:autoSpaceDN/>
        <w:bidi w:val="0"/>
        <w:adjustRightInd/>
        <w:spacing w:line="440" w:lineRule="exact"/>
        <w:ind w:left="0" w:leftChars="0" w:firstLine="420" w:firstLineChars="200"/>
        <w:textAlignment w:val="auto"/>
        <w:rPr>
          <w:rStyle w:val="37"/>
          <w:rFonts w:hint="eastAsia" w:ascii="宋体" w:hAnsi="宋体" w:eastAsia="宋体" w:cs="Times New Roman"/>
          <w:color w:val="auto"/>
          <w:szCs w:val="21"/>
          <w:highlight w:val="none"/>
        </w:rPr>
      </w:pPr>
      <w:r>
        <w:rPr>
          <w:rStyle w:val="37"/>
          <w:rFonts w:hint="eastAsia" w:ascii="宋体" w:hAnsi="宋体" w:eastAsia="宋体" w:cs="Times New Roman"/>
          <w:color w:val="auto"/>
          <w:szCs w:val="21"/>
          <w:highlight w:val="none"/>
        </w:rPr>
        <w:t>20.1</w:t>
      </w:r>
      <w:r>
        <w:rPr>
          <w:rStyle w:val="37"/>
          <w:rFonts w:hint="eastAsia" w:ascii="宋体" w:hAnsi="宋体" w:cs="Times New Roman"/>
          <w:color w:val="auto"/>
          <w:szCs w:val="21"/>
          <w:highlight w:val="none"/>
          <w:lang w:val="en-US" w:eastAsia="zh-CN"/>
        </w:rPr>
        <w:t>0</w:t>
      </w:r>
      <w:r>
        <w:rPr>
          <w:rStyle w:val="37"/>
          <w:rFonts w:hint="eastAsia" w:ascii="宋体" w:hAnsi="宋体" w:eastAsia="宋体" w:cs="Times New Roman"/>
          <w:color w:val="auto"/>
          <w:szCs w:val="21"/>
          <w:highlight w:val="none"/>
        </w:rPr>
        <w:t xml:space="preserve">.3采购代理机构对评审数据进行校对、核对，对畸高、畸低的重大差异评分提示磋商小组复核或书面说明理由。 </w:t>
      </w:r>
    </w:p>
    <w:p w14:paraId="05AA0B38">
      <w:pPr>
        <w:keepNext w:val="0"/>
        <w:keepLines w:val="0"/>
        <w:pageBreakBefore w:val="0"/>
        <w:widowControl w:val="0"/>
        <w:tabs>
          <w:tab w:val="left" w:pos="1305"/>
        </w:tabs>
        <w:kinsoku/>
        <w:wordWrap/>
        <w:overflowPunct/>
        <w:topLinePunct w:val="0"/>
        <w:autoSpaceDE/>
        <w:autoSpaceDN/>
        <w:bidi w:val="0"/>
        <w:adjustRightInd/>
        <w:spacing w:line="440" w:lineRule="exact"/>
        <w:ind w:left="0" w:leftChars="0" w:firstLine="420" w:firstLineChars="200"/>
        <w:textAlignment w:val="auto"/>
        <w:rPr>
          <w:rStyle w:val="37"/>
          <w:rFonts w:hint="eastAsia" w:ascii="宋体" w:hAnsi="宋体" w:eastAsia="宋体" w:cs="Times New Roman"/>
          <w:color w:val="auto"/>
          <w:szCs w:val="21"/>
          <w:highlight w:val="none"/>
        </w:rPr>
      </w:pPr>
      <w:r>
        <w:rPr>
          <w:rStyle w:val="37"/>
          <w:rFonts w:hint="eastAsia" w:ascii="宋体" w:hAnsi="宋体" w:eastAsia="宋体" w:cs="Times New Roman"/>
          <w:color w:val="auto"/>
          <w:szCs w:val="21"/>
          <w:highlight w:val="none"/>
          <w:lang w:val="en-US" w:eastAsia="zh-CN"/>
        </w:rPr>
        <w:t>20.1</w:t>
      </w:r>
      <w:r>
        <w:rPr>
          <w:rStyle w:val="37"/>
          <w:rFonts w:hint="eastAsia" w:ascii="宋体" w:hAnsi="宋体" w:cs="Times New Roman"/>
          <w:color w:val="auto"/>
          <w:szCs w:val="21"/>
          <w:highlight w:val="none"/>
          <w:lang w:val="en-US" w:eastAsia="zh-CN"/>
        </w:rPr>
        <w:t>0</w:t>
      </w:r>
      <w:r>
        <w:rPr>
          <w:rStyle w:val="37"/>
          <w:rFonts w:hint="eastAsia" w:ascii="宋体" w:hAnsi="宋体" w:eastAsia="宋体" w:cs="Times New Roman"/>
          <w:color w:val="auto"/>
          <w:szCs w:val="21"/>
          <w:highlight w:val="none"/>
          <w:lang w:val="en-US" w:eastAsia="zh-CN"/>
        </w:rPr>
        <w:t>.4磋商小组应当根据综合评分情况，按照评审得分由高到低顺序推荐3名以上（含3名）成交候选供应商，并编写评审报告；如采购项目为政府购买服务项目（含政府和社会资本合作项目），在采购过程中符合要求的供应商（社会资本）只有2家的，竞争性磋商采购活动可以继续进行，磋商小组应当根据综合评分情况，按照评审得分由高到低顺序推荐2名以上（含2名）成交候选供应商，并编写评审报告</w:t>
      </w:r>
      <w:r>
        <w:rPr>
          <w:rStyle w:val="37"/>
          <w:rFonts w:hint="eastAsia" w:ascii="宋体" w:hAnsi="宋体" w:cs="宋体"/>
          <w:color w:val="auto"/>
          <w:szCs w:val="21"/>
          <w:highlight w:val="none"/>
          <w:lang w:eastAsia="zh-CN"/>
        </w:rPr>
        <w:t>。</w:t>
      </w:r>
    </w:p>
    <w:p w14:paraId="5E305C50">
      <w:pPr>
        <w:keepNext w:val="0"/>
        <w:keepLines w:val="0"/>
        <w:pageBreakBefore w:val="0"/>
        <w:widowControl w:val="0"/>
        <w:tabs>
          <w:tab w:val="left" w:pos="1305"/>
        </w:tabs>
        <w:kinsoku/>
        <w:wordWrap/>
        <w:overflowPunct/>
        <w:topLinePunct w:val="0"/>
        <w:autoSpaceDE/>
        <w:autoSpaceDN/>
        <w:bidi w:val="0"/>
        <w:adjustRightInd/>
        <w:spacing w:line="440" w:lineRule="exact"/>
        <w:ind w:left="0" w:leftChars="0" w:firstLine="420" w:firstLineChars="200"/>
        <w:textAlignment w:val="auto"/>
        <w:rPr>
          <w:rStyle w:val="37"/>
          <w:rFonts w:hint="eastAsia" w:ascii="宋体" w:hAnsi="宋体" w:eastAsia="宋体" w:cs="Times New Roman"/>
          <w:color w:val="auto"/>
          <w:szCs w:val="21"/>
          <w:highlight w:val="none"/>
        </w:rPr>
      </w:pPr>
      <w:r>
        <w:rPr>
          <w:rStyle w:val="37"/>
          <w:rFonts w:hint="eastAsia" w:ascii="宋体" w:hAnsi="宋体" w:eastAsia="宋体" w:cs="Times New Roman"/>
          <w:color w:val="auto"/>
          <w:szCs w:val="21"/>
          <w:highlight w:val="none"/>
        </w:rPr>
        <w:t>20.1</w:t>
      </w:r>
      <w:r>
        <w:rPr>
          <w:rStyle w:val="37"/>
          <w:rFonts w:hint="eastAsia" w:ascii="宋体" w:hAnsi="宋体" w:cs="Times New Roman"/>
          <w:color w:val="auto"/>
          <w:szCs w:val="21"/>
          <w:highlight w:val="none"/>
          <w:lang w:val="en-US" w:eastAsia="zh-CN"/>
        </w:rPr>
        <w:t>1</w:t>
      </w:r>
      <w:r>
        <w:rPr>
          <w:rStyle w:val="37"/>
          <w:rFonts w:hint="eastAsia" w:ascii="宋体" w:hAnsi="宋体" w:eastAsia="宋体" w:cs="Times New Roman"/>
          <w:color w:val="auto"/>
          <w:szCs w:val="21"/>
          <w:highlight w:val="none"/>
        </w:rPr>
        <w:t xml:space="preserve">在评审过程中出现法律法规和磋商文件均没有明确规定的情形时，由磋商小组现场协商解决，协商不一致的，由全体磋商小组投票表决，以得票率二分之一以上专家的意见为准。 </w:t>
      </w:r>
    </w:p>
    <w:p w14:paraId="35BD1B43">
      <w:pPr>
        <w:keepNext w:val="0"/>
        <w:keepLines w:val="0"/>
        <w:pageBreakBefore w:val="0"/>
        <w:widowControl w:val="0"/>
        <w:tabs>
          <w:tab w:val="left" w:pos="1305"/>
        </w:tabs>
        <w:kinsoku/>
        <w:wordWrap/>
        <w:overflowPunct/>
        <w:topLinePunct w:val="0"/>
        <w:autoSpaceDE/>
        <w:autoSpaceDN/>
        <w:bidi w:val="0"/>
        <w:adjustRightInd/>
        <w:spacing w:line="440" w:lineRule="exact"/>
        <w:ind w:left="0" w:leftChars="0" w:firstLine="420" w:firstLineChars="200"/>
        <w:textAlignment w:val="auto"/>
        <w:rPr>
          <w:rStyle w:val="37"/>
          <w:rFonts w:hint="eastAsia" w:ascii="宋体" w:hAnsi="宋体" w:eastAsia="宋体" w:cs="Times New Roman"/>
          <w:color w:val="auto"/>
          <w:szCs w:val="21"/>
          <w:highlight w:val="none"/>
        </w:rPr>
      </w:pPr>
      <w:r>
        <w:rPr>
          <w:rStyle w:val="37"/>
          <w:rFonts w:hint="eastAsia" w:ascii="宋体" w:hAnsi="宋体" w:eastAsia="宋体" w:cs="Times New Roman"/>
          <w:color w:val="auto"/>
          <w:szCs w:val="21"/>
          <w:highlight w:val="none"/>
        </w:rPr>
        <w:t>20.1</w:t>
      </w:r>
      <w:r>
        <w:rPr>
          <w:rStyle w:val="37"/>
          <w:rFonts w:hint="eastAsia" w:ascii="宋体" w:hAnsi="宋体" w:cs="Times New Roman"/>
          <w:color w:val="auto"/>
          <w:szCs w:val="21"/>
          <w:highlight w:val="none"/>
          <w:lang w:val="en-US" w:eastAsia="zh-CN"/>
        </w:rPr>
        <w:t>2</w:t>
      </w:r>
      <w:r>
        <w:rPr>
          <w:rStyle w:val="37"/>
          <w:rFonts w:hint="eastAsia" w:ascii="宋体" w:hAnsi="宋体" w:eastAsia="宋体" w:cs="Times New Roman"/>
          <w:color w:val="auto"/>
          <w:szCs w:val="21"/>
          <w:highlight w:val="none"/>
        </w:rPr>
        <w:t xml:space="preserve">采购代理机构发现磋商小组有明显的违规倾向或歧视现象，或不按评审办法进行，或其他不正常行为的，应当及时制止。如制止无效，应及时向监督管理机构报告。 </w:t>
      </w:r>
    </w:p>
    <w:p w14:paraId="6E535009">
      <w:pPr>
        <w:pageBreakBefore w:val="0"/>
        <w:widowControl w:val="0"/>
        <w:tabs>
          <w:tab w:val="left" w:pos="1305"/>
        </w:tabs>
        <w:kinsoku/>
        <w:wordWrap/>
        <w:overflowPunct/>
        <w:topLinePunct w:val="0"/>
        <w:autoSpaceDE/>
        <w:autoSpaceDN/>
        <w:bidi w:val="0"/>
        <w:adjustRightInd/>
        <w:spacing w:line="440" w:lineRule="exact"/>
        <w:ind w:left="0" w:leftChars="0" w:firstLine="422" w:firstLineChars="200"/>
        <w:textAlignment w:val="auto"/>
        <w:rPr>
          <w:rStyle w:val="37"/>
          <w:rFonts w:hint="eastAsia" w:ascii="宋体" w:hAnsi="宋体" w:eastAsia="宋体" w:cs="宋体"/>
          <w:b/>
          <w:color w:val="auto"/>
          <w:szCs w:val="21"/>
          <w:highlight w:val="none"/>
          <w:lang w:eastAsia="zh-CN"/>
        </w:rPr>
      </w:pPr>
      <w:r>
        <w:rPr>
          <w:rStyle w:val="37"/>
          <w:rFonts w:hint="eastAsia" w:ascii="宋体" w:hAnsi="宋体" w:eastAsia="宋体" w:cs="宋体"/>
          <w:b/>
          <w:color w:val="auto"/>
          <w:szCs w:val="21"/>
          <w:highlight w:val="none"/>
        </w:rPr>
        <w:t xml:space="preserve">21.推荐及确定成交候选供应商原则 </w:t>
      </w:r>
      <w:r>
        <w:rPr>
          <w:rStyle w:val="37"/>
          <w:rFonts w:hint="eastAsia" w:ascii="宋体" w:hAnsi="宋体" w:cs="宋体"/>
          <w:b/>
          <w:color w:val="auto"/>
          <w:szCs w:val="21"/>
          <w:highlight w:val="none"/>
          <w:lang w:eastAsia="zh-CN"/>
        </w:rPr>
        <w:t>：详见</w:t>
      </w:r>
      <w:r>
        <w:rPr>
          <w:rStyle w:val="37"/>
          <w:rFonts w:hint="eastAsia" w:ascii="宋体" w:hAnsi="宋体" w:eastAsia="宋体" w:cs="宋体"/>
          <w:b/>
          <w:bCs/>
          <w:color w:val="auto"/>
          <w:sz w:val="21"/>
          <w:szCs w:val="21"/>
          <w:highlight w:val="none"/>
        </w:rPr>
        <w:t>第四章</w:t>
      </w:r>
      <w:r>
        <w:rPr>
          <w:rStyle w:val="37"/>
          <w:rFonts w:hint="eastAsia" w:ascii="宋体" w:hAnsi="宋体" w:eastAsia="宋体" w:cs="宋体"/>
          <w:b/>
          <w:bCs/>
          <w:color w:val="auto"/>
          <w:sz w:val="21"/>
          <w:szCs w:val="21"/>
          <w:highlight w:val="none"/>
          <w:lang w:eastAsia="zh-CN"/>
        </w:rPr>
        <w:t>评标办法。</w:t>
      </w:r>
    </w:p>
    <w:p w14:paraId="754E8182">
      <w:pPr>
        <w:pageBreakBefore w:val="0"/>
        <w:widowControl w:val="0"/>
        <w:tabs>
          <w:tab w:val="left" w:pos="1305"/>
        </w:tabs>
        <w:kinsoku/>
        <w:wordWrap/>
        <w:overflowPunct/>
        <w:topLinePunct w:val="0"/>
        <w:autoSpaceDE/>
        <w:autoSpaceDN/>
        <w:bidi w:val="0"/>
        <w:adjustRightInd/>
        <w:spacing w:line="440" w:lineRule="exact"/>
        <w:ind w:left="0" w:leftChars="0" w:firstLine="420" w:firstLineChars="200"/>
        <w:textAlignment w:val="auto"/>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 xml:space="preserve">22.属于下列情况之一者，响应文件无效： </w:t>
      </w:r>
    </w:p>
    <w:p w14:paraId="644C52B1">
      <w:pPr>
        <w:pageBreakBefore w:val="0"/>
        <w:widowControl w:val="0"/>
        <w:tabs>
          <w:tab w:val="left" w:pos="1305"/>
        </w:tabs>
        <w:kinsoku/>
        <w:wordWrap/>
        <w:overflowPunct/>
        <w:topLinePunct w:val="0"/>
        <w:autoSpaceDE/>
        <w:autoSpaceDN/>
        <w:bidi w:val="0"/>
        <w:adjustRightInd/>
        <w:spacing w:line="440" w:lineRule="exact"/>
        <w:ind w:left="0" w:leftChars="0" w:firstLine="420" w:firstLineChars="200"/>
        <w:textAlignment w:val="auto"/>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 xml:space="preserve"> (1)</w:t>
      </w:r>
      <w:r>
        <w:rPr>
          <w:rFonts w:hint="eastAsia" w:ascii="宋体" w:hAnsi="宋体" w:eastAsia="宋体" w:cs="宋体"/>
          <w:color w:val="auto"/>
          <w:szCs w:val="21"/>
          <w:highlight w:val="none"/>
        </w:rPr>
        <w:t>未按规定要求线上签字、签章的</w:t>
      </w:r>
      <w:r>
        <w:rPr>
          <w:rStyle w:val="37"/>
          <w:rFonts w:hint="eastAsia" w:ascii="宋体" w:hAnsi="宋体" w:eastAsia="宋体" w:cs="宋体"/>
          <w:color w:val="auto"/>
          <w:szCs w:val="21"/>
          <w:highlight w:val="none"/>
        </w:rPr>
        <w:t xml:space="preserve">，或未提供授权委托书(委托代理的)； </w:t>
      </w:r>
    </w:p>
    <w:p w14:paraId="09B6165D">
      <w:pPr>
        <w:pageBreakBefore w:val="0"/>
        <w:widowControl w:val="0"/>
        <w:tabs>
          <w:tab w:val="left" w:pos="1305"/>
        </w:tabs>
        <w:kinsoku/>
        <w:wordWrap/>
        <w:overflowPunct/>
        <w:topLinePunct w:val="0"/>
        <w:autoSpaceDE/>
        <w:autoSpaceDN/>
        <w:bidi w:val="0"/>
        <w:adjustRightInd/>
        <w:spacing w:line="440" w:lineRule="exact"/>
        <w:ind w:left="0" w:leftChars="0" w:firstLine="525" w:firstLineChars="250"/>
        <w:textAlignment w:val="auto"/>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w:t>
      </w:r>
      <w:r>
        <w:rPr>
          <w:rStyle w:val="37"/>
          <w:rFonts w:hint="eastAsia" w:ascii="宋体" w:hAnsi="宋体" w:cs="宋体"/>
          <w:color w:val="auto"/>
          <w:szCs w:val="21"/>
          <w:highlight w:val="none"/>
          <w:lang w:val="en-US"/>
        </w:rPr>
        <w:t>2</w:t>
      </w:r>
      <w:r>
        <w:rPr>
          <w:rStyle w:val="37"/>
          <w:rFonts w:hint="eastAsia" w:ascii="宋体" w:hAnsi="宋体" w:eastAsia="宋体" w:cs="宋体"/>
          <w:color w:val="auto"/>
          <w:szCs w:val="21"/>
          <w:highlight w:val="none"/>
        </w:rPr>
        <w:t>)不具备磋商文件规定的资格要求的</w:t>
      </w:r>
      <w:r>
        <w:rPr>
          <w:rStyle w:val="37"/>
          <w:rFonts w:hint="eastAsia" w:ascii="宋体" w:hAnsi="宋体"/>
          <w:color w:val="auto"/>
          <w:szCs w:val="21"/>
          <w:highlight w:val="none"/>
          <w:lang w:eastAsia="zh-CN"/>
        </w:rPr>
        <w:t>，或参加政府采购活动前三年内经营活动中存在重大违法记录的</w:t>
      </w:r>
      <w:r>
        <w:rPr>
          <w:rStyle w:val="37"/>
          <w:rFonts w:hint="eastAsia" w:ascii="宋体" w:hAnsi="宋体" w:eastAsia="宋体" w:cs="宋体"/>
          <w:color w:val="auto"/>
          <w:szCs w:val="21"/>
          <w:highlight w:val="none"/>
        </w:rPr>
        <w:t xml:space="preserve">； </w:t>
      </w:r>
    </w:p>
    <w:p w14:paraId="5DBD81CA">
      <w:pPr>
        <w:pageBreakBefore w:val="0"/>
        <w:widowControl w:val="0"/>
        <w:tabs>
          <w:tab w:val="left" w:pos="1305"/>
        </w:tabs>
        <w:kinsoku/>
        <w:wordWrap/>
        <w:overflowPunct/>
        <w:topLinePunct w:val="0"/>
        <w:autoSpaceDE/>
        <w:autoSpaceDN/>
        <w:bidi w:val="0"/>
        <w:adjustRightInd/>
        <w:spacing w:line="440" w:lineRule="exact"/>
        <w:ind w:left="0" w:leftChars="0" w:firstLine="420" w:firstLineChars="200"/>
        <w:textAlignment w:val="auto"/>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w:t>
      </w:r>
      <w:r>
        <w:rPr>
          <w:rStyle w:val="37"/>
          <w:rFonts w:hint="eastAsia" w:ascii="宋体" w:hAnsi="宋体" w:cs="宋体"/>
          <w:color w:val="auto"/>
          <w:szCs w:val="21"/>
          <w:highlight w:val="none"/>
          <w:lang w:val="en-US"/>
        </w:rPr>
        <w:t>3</w:t>
      </w:r>
      <w:r>
        <w:rPr>
          <w:rStyle w:val="37"/>
          <w:rFonts w:hint="eastAsia" w:ascii="宋体" w:hAnsi="宋体" w:eastAsia="宋体" w:cs="宋体"/>
          <w:color w:val="auto"/>
          <w:szCs w:val="21"/>
          <w:highlight w:val="none"/>
        </w:rPr>
        <w:t xml:space="preserve">)响应文件未按磋商文件的内容和要求编制，或提供虚假材料的； </w:t>
      </w:r>
    </w:p>
    <w:p w14:paraId="1FC6902E">
      <w:pPr>
        <w:pageBreakBefore w:val="0"/>
        <w:widowControl w:val="0"/>
        <w:tabs>
          <w:tab w:val="left" w:pos="1305"/>
        </w:tabs>
        <w:kinsoku/>
        <w:wordWrap/>
        <w:overflowPunct/>
        <w:topLinePunct w:val="0"/>
        <w:autoSpaceDE/>
        <w:autoSpaceDN/>
        <w:bidi w:val="0"/>
        <w:adjustRightInd/>
        <w:spacing w:line="440" w:lineRule="exact"/>
        <w:ind w:left="0" w:leftChars="0" w:firstLine="315" w:firstLineChars="150"/>
        <w:textAlignment w:val="auto"/>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 xml:space="preserve"> (</w:t>
      </w:r>
      <w:r>
        <w:rPr>
          <w:rStyle w:val="37"/>
          <w:rFonts w:hint="eastAsia" w:ascii="宋体" w:hAnsi="宋体" w:cs="宋体"/>
          <w:color w:val="auto"/>
          <w:szCs w:val="21"/>
          <w:highlight w:val="none"/>
          <w:lang w:val="en-US"/>
        </w:rPr>
        <w:t>4</w:t>
      </w:r>
      <w:r>
        <w:rPr>
          <w:rStyle w:val="37"/>
          <w:rFonts w:hint="eastAsia" w:ascii="宋体" w:hAnsi="宋体" w:eastAsia="宋体" w:cs="宋体"/>
          <w:color w:val="auto"/>
          <w:szCs w:val="21"/>
          <w:highlight w:val="none"/>
        </w:rPr>
        <w:t xml:space="preserve">)响应文件有效期不能满足磋商文件要求的； </w:t>
      </w:r>
    </w:p>
    <w:p w14:paraId="59136AB5">
      <w:pPr>
        <w:pageBreakBefore w:val="0"/>
        <w:widowControl w:val="0"/>
        <w:tabs>
          <w:tab w:val="left" w:pos="1305"/>
        </w:tabs>
        <w:kinsoku/>
        <w:wordWrap/>
        <w:overflowPunct/>
        <w:topLinePunct w:val="0"/>
        <w:autoSpaceDE/>
        <w:autoSpaceDN/>
        <w:bidi w:val="0"/>
        <w:adjustRightInd/>
        <w:spacing w:line="440" w:lineRule="exact"/>
        <w:ind w:left="0" w:leftChars="0" w:firstLine="420" w:firstLineChars="200"/>
        <w:textAlignment w:val="auto"/>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w:t>
      </w:r>
      <w:r>
        <w:rPr>
          <w:rStyle w:val="37"/>
          <w:rFonts w:hint="eastAsia" w:ascii="宋体" w:hAnsi="宋体" w:cs="宋体"/>
          <w:color w:val="auto"/>
          <w:szCs w:val="21"/>
          <w:highlight w:val="none"/>
          <w:lang w:val="en-US" w:eastAsia="zh-CN"/>
        </w:rPr>
        <w:t>5</w:t>
      </w:r>
      <w:r>
        <w:rPr>
          <w:rStyle w:val="37"/>
          <w:rFonts w:hint="eastAsia" w:ascii="宋体" w:hAnsi="宋体" w:eastAsia="宋体" w:cs="宋体"/>
          <w:color w:val="auto"/>
          <w:szCs w:val="21"/>
          <w:highlight w:val="none"/>
        </w:rPr>
        <w:t xml:space="preserve">)供应商未就“采购需求”中所有内容作完整唯一报价的，或报价超出采购预算金额的； </w:t>
      </w:r>
    </w:p>
    <w:p w14:paraId="71F692CA">
      <w:pPr>
        <w:pageBreakBefore w:val="0"/>
        <w:widowControl w:val="0"/>
        <w:tabs>
          <w:tab w:val="left" w:pos="1305"/>
        </w:tabs>
        <w:kinsoku/>
        <w:wordWrap/>
        <w:overflowPunct/>
        <w:topLinePunct w:val="0"/>
        <w:autoSpaceDE/>
        <w:autoSpaceDN/>
        <w:bidi w:val="0"/>
        <w:adjustRightInd/>
        <w:spacing w:line="440" w:lineRule="exact"/>
        <w:ind w:left="0" w:leftChars="0" w:firstLine="315" w:firstLineChars="150"/>
        <w:textAlignment w:val="auto"/>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 xml:space="preserve"> (</w:t>
      </w:r>
      <w:r>
        <w:rPr>
          <w:rStyle w:val="37"/>
          <w:rFonts w:hint="eastAsia" w:ascii="宋体" w:hAnsi="宋体" w:cs="宋体"/>
          <w:color w:val="auto"/>
          <w:szCs w:val="21"/>
          <w:highlight w:val="none"/>
          <w:lang w:val="en-US" w:eastAsia="zh-CN"/>
        </w:rPr>
        <w:t>6</w:t>
      </w:r>
      <w:r>
        <w:rPr>
          <w:rStyle w:val="37"/>
          <w:rFonts w:hint="eastAsia" w:ascii="宋体" w:hAnsi="宋体" w:eastAsia="宋体" w:cs="宋体"/>
          <w:color w:val="auto"/>
          <w:szCs w:val="21"/>
          <w:highlight w:val="none"/>
        </w:rPr>
        <w:t>)</w:t>
      </w:r>
      <w:r>
        <w:rPr>
          <w:rStyle w:val="37"/>
          <w:rFonts w:hint="eastAsia" w:ascii="宋体" w:hAnsi="宋体"/>
          <w:color w:val="auto"/>
          <w:szCs w:val="21"/>
          <w:highlight w:val="none"/>
        </w:rPr>
        <w:t>未在磋商小组规定的时间内重新提交响应文件的</w:t>
      </w:r>
      <w:r>
        <w:rPr>
          <w:rStyle w:val="37"/>
          <w:rFonts w:hint="eastAsia" w:ascii="宋体" w:hAnsi="宋体"/>
          <w:color w:val="auto"/>
          <w:szCs w:val="21"/>
          <w:highlight w:val="none"/>
          <w:lang w:eastAsia="zh-CN"/>
        </w:rPr>
        <w:t>；</w:t>
      </w:r>
      <w:r>
        <w:rPr>
          <w:rStyle w:val="37"/>
          <w:rFonts w:hint="eastAsia" w:ascii="宋体" w:hAnsi="宋体" w:eastAsia="宋体" w:cs="宋体"/>
          <w:color w:val="auto"/>
          <w:szCs w:val="21"/>
          <w:highlight w:val="none"/>
        </w:rPr>
        <w:t xml:space="preserve"> </w:t>
      </w:r>
    </w:p>
    <w:p w14:paraId="1165A2D1">
      <w:pPr>
        <w:pageBreakBefore w:val="0"/>
        <w:widowControl w:val="0"/>
        <w:tabs>
          <w:tab w:val="left" w:pos="1305"/>
        </w:tabs>
        <w:kinsoku/>
        <w:wordWrap/>
        <w:overflowPunct/>
        <w:topLinePunct w:val="0"/>
        <w:autoSpaceDE/>
        <w:autoSpaceDN/>
        <w:bidi w:val="0"/>
        <w:adjustRightInd/>
        <w:spacing w:line="440" w:lineRule="exact"/>
        <w:ind w:left="0" w:leftChars="0" w:firstLine="420" w:firstLineChars="200"/>
        <w:textAlignment w:val="auto"/>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w:t>
      </w:r>
      <w:r>
        <w:rPr>
          <w:rStyle w:val="37"/>
          <w:rFonts w:hint="eastAsia" w:ascii="宋体" w:hAnsi="宋体" w:cs="宋体"/>
          <w:color w:val="auto"/>
          <w:szCs w:val="21"/>
          <w:highlight w:val="none"/>
          <w:lang w:val="en-US" w:eastAsia="zh-CN"/>
        </w:rPr>
        <w:t>7</w:t>
      </w:r>
      <w:r>
        <w:rPr>
          <w:rStyle w:val="37"/>
          <w:rFonts w:hint="eastAsia" w:ascii="宋体" w:hAnsi="宋体" w:eastAsia="宋体" w:cs="宋体"/>
          <w:color w:val="auto"/>
          <w:szCs w:val="21"/>
          <w:highlight w:val="none"/>
        </w:rPr>
        <w:t xml:space="preserve">)未满足磋商文件实质性要求的；或者响应文件有采购人不能接受的附加条件的； </w:t>
      </w:r>
    </w:p>
    <w:p w14:paraId="0489279F">
      <w:pPr>
        <w:pageBreakBefore w:val="0"/>
        <w:widowControl w:val="0"/>
        <w:tabs>
          <w:tab w:val="left" w:pos="1305"/>
        </w:tabs>
        <w:kinsoku/>
        <w:wordWrap/>
        <w:overflowPunct/>
        <w:topLinePunct w:val="0"/>
        <w:autoSpaceDE/>
        <w:autoSpaceDN/>
        <w:bidi w:val="0"/>
        <w:adjustRightInd/>
        <w:spacing w:line="440" w:lineRule="exact"/>
        <w:ind w:left="0" w:leftChars="0" w:firstLine="420" w:firstLineChars="200"/>
        <w:textAlignment w:val="auto"/>
        <w:rPr>
          <w:rStyle w:val="37"/>
          <w:rFonts w:hint="eastAsia" w:ascii="宋体" w:hAnsi="宋体" w:cs="宋体"/>
          <w:color w:val="auto"/>
          <w:szCs w:val="21"/>
          <w:highlight w:val="none"/>
        </w:rPr>
      </w:pPr>
      <w:r>
        <w:rPr>
          <w:rStyle w:val="37"/>
          <w:rFonts w:hint="eastAsia" w:ascii="宋体" w:hAnsi="宋体" w:eastAsia="宋体" w:cs="宋体"/>
          <w:color w:val="auto"/>
          <w:szCs w:val="21"/>
          <w:highlight w:val="none"/>
        </w:rPr>
        <w:t>(</w:t>
      </w:r>
      <w:r>
        <w:rPr>
          <w:rStyle w:val="37"/>
          <w:rFonts w:hint="eastAsia" w:ascii="宋体" w:hAnsi="宋体" w:cs="宋体"/>
          <w:color w:val="auto"/>
          <w:szCs w:val="21"/>
          <w:highlight w:val="none"/>
          <w:lang w:val="en-US" w:eastAsia="zh-CN"/>
        </w:rPr>
        <w:t>8</w:t>
      </w:r>
      <w:r>
        <w:rPr>
          <w:rStyle w:val="37"/>
          <w:rFonts w:hint="eastAsia" w:ascii="宋体" w:hAnsi="宋体" w:eastAsia="宋体" w:cs="宋体"/>
          <w:color w:val="auto"/>
          <w:szCs w:val="21"/>
          <w:highlight w:val="none"/>
        </w:rPr>
        <w:t>)不符合法律、法规和磋商文件规定的其他实质性要求和条件的</w:t>
      </w:r>
      <w:r>
        <w:rPr>
          <w:rStyle w:val="37"/>
          <w:rFonts w:hint="eastAsia" w:ascii="宋体" w:hAnsi="宋体" w:cs="宋体"/>
          <w:color w:val="auto"/>
          <w:szCs w:val="21"/>
          <w:highlight w:val="none"/>
        </w:rPr>
        <w:t>；</w:t>
      </w:r>
    </w:p>
    <w:p w14:paraId="4DE33A7D">
      <w:pPr>
        <w:pageBreakBefore w:val="0"/>
        <w:widowControl w:val="0"/>
        <w:tabs>
          <w:tab w:val="left" w:pos="1305"/>
        </w:tabs>
        <w:kinsoku/>
        <w:wordWrap/>
        <w:overflowPunct/>
        <w:topLinePunct w:val="0"/>
        <w:autoSpaceDE/>
        <w:autoSpaceDN/>
        <w:bidi w:val="0"/>
        <w:adjustRightInd/>
        <w:spacing w:line="440" w:lineRule="exact"/>
        <w:ind w:firstLine="420" w:firstLineChars="200"/>
        <w:textAlignment w:val="auto"/>
        <w:rPr>
          <w:rStyle w:val="37"/>
          <w:rFonts w:hint="eastAsia" w:ascii="宋体" w:hAnsi="宋体" w:cs="宋体"/>
          <w:color w:val="auto"/>
          <w:szCs w:val="21"/>
          <w:highlight w:val="none"/>
          <w:lang w:val="en-US"/>
        </w:rPr>
      </w:pPr>
      <w:r>
        <w:rPr>
          <w:rStyle w:val="37"/>
          <w:rFonts w:hint="eastAsia" w:ascii="宋体" w:hAnsi="宋体" w:cs="宋体"/>
          <w:color w:val="auto"/>
          <w:szCs w:val="21"/>
          <w:highlight w:val="none"/>
        </w:rPr>
        <w:t>（</w:t>
      </w:r>
      <w:r>
        <w:rPr>
          <w:rStyle w:val="37"/>
          <w:rFonts w:hint="eastAsia" w:ascii="宋体" w:hAnsi="宋体" w:cs="宋体"/>
          <w:color w:val="auto"/>
          <w:szCs w:val="21"/>
          <w:highlight w:val="none"/>
          <w:lang w:val="en-US"/>
        </w:rPr>
        <w:t>9</w:t>
      </w:r>
      <w:r>
        <w:rPr>
          <w:rStyle w:val="37"/>
          <w:rFonts w:hint="eastAsia" w:ascii="宋体" w:hAnsi="宋体" w:cs="宋体"/>
          <w:color w:val="auto"/>
          <w:szCs w:val="21"/>
          <w:highlight w:val="none"/>
        </w:rPr>
        <w:t>）</w:t>
      </w:r>
      <w:r>
        <w:rPr>
          <w:rStyle w:val="37"/>
          <w:rFonts w:hint="eastAsia" w:ascii="宋体" w:hAnsi="宋体" w:cs="宋体"/>
          <w:color w:val="auto"/>
          <w:szCs w:val="21"/>
          <w:highlight w:val="none"/>
          <w:lang w:val="en-US"/>
        </w:rPr>
        <w:t>未在磋商小组规定的时间内提交最后报价的；</w:t>
      </w:r>
    </w:p>
    <w:p w14:paraId="61D5756A">
      <w:pPr>
        <w:pageBreakBefore w:val="0"/>
        <w:widowControl w:val="0"/>
        <w:tabs>
          <w:tab w:val="left" w:pos="1305"/>
        </w:tabs>
        <w:kinsoku/>
        <w:wordWrap/>
        <w:overflowPunct/>
        <w:topLinePunct w:val="0"/>
        <w:autoSpaceDE/>
        <w:autoSpaceDN/>
        <w:bidi w:val="0"/>
        <w:adjustRightInd/>
        <w:spacing w:line="440" w:lineRule="exact"/>
        <w:ind w:firstLine="420" w:firstLineChars="200"/>
        <w:textAlignment w:val="auto"/>
        <w:rPr>
          <w:rStyle w:val="37"/>
          <w:rFonts w:hint="eastAsia" w:ascii="宋体" w:hAnsi="宋体" w:eastAsia="宋体" w:cs="宋体"/>
          <w:color w:val="auto"/>
          <w:szCs w:val="21"/>
          <w:highlight w:val="none"/>
        </w:rPr>
      </w:pPr>
      <w:r>
        <w:rPr>
          <w:rStyle w:val="37"/>
          <w:rFonts w:hint="eastAsia" w:ascii="宋体" w:hAnsi="宋体" w:cs="宋体"/>
          <w:color w:val="auto"/>
          <w:szCs w:val="21"/>
          <w:highlight w:val="none"/>
          <w:lang w:val="en-US"/>
        </w:rPr>
        <w:t>（10）</w:t>
      </w:r>
      <w:r>
        <w:rPr>
          <w:rStyle w:val="37"/>
          <w:rFonts w:hint="eastAsia" w:ascii="宋体" w:hAnsi="宋体" w:eastAsia="宋体" w:cs="宋体"/>
          <w:color w:val="auto"/>
          <w:szCs w:val="21"/>
          <w:highlight w:val="none"/>
        </w:rPr>
        <w:t>磋商文件未做实质性变动，供应商最后报价高于首次报价的</w:t>
      </w:r>
      <w:r>
        <w:rPr>
          <w:rStyle w:val="37"/>
          <w:rFonts w:hint="eastAsia" w:ascii="宋体" w:hAnsi="宋体" w:cs="宋体"/>
          <w:color w:val="auto"/>
          <w:szCs w:val="21"/>
          <w:highlight w:val="none"/>
        </w:rPr>
        <w:t>。</w:t>
      </w:r>
    </w:p>
    <w:p w14:paraId="7A442150">
      <w:pPr>
        <w:pageBreakBefore w:val="0"/>
        <w:widowControl w:val="0"/>
        <w:tabs>
          <w:tab w:val="left" w:pos="1305"/>
        </w:tabs>
        <w:kinsoku/>
        <w:wordWrap/>
        <w:overflowPunct/>
        <w:topLinePunct w:val="0"/>
        <w:autoSpaceDE/>
        <w:autoSpaceDN/>
        <w:bidi w:val="0"/>
        <w:adjustRightInd/>
        <w:spacing w:line="440" w:lineRule="exact"/>
        <w:ind w:left="0" w:leftChars="0" w:firstLine="422" w:firstLineChars="200"/>
        <w:textAlignment w:val="auto"/>
        <w:rPr>
          <w:rStyle w:val="37"/>
          <w:rFonts w:hint="eastAsia" w:ascii="宋体" w:hAnsi="宋体" w:eastAsia="宋体" w:cs="宋体"/>
          <w:b/>
          <w:color w:val="auto"/>
          <w:szCs w:val="21"/>
          <w:highlight w:val="none"/>
        </w:rPr>
      </w:pPr>
      <w:r>
        <w:rPr>
          <w:rStyle w:val="37"/>
          <w:rFonts w:hint="eastAsia" w:ascii="宋体" w:hAnsi="宋体" w:eastAsia="宋体" w:cs="宋体"/>
          <w:b/>
          <w:color w:val="auto"/>
          <w:szCs w:val="21"/>
          <w:highlight w:val="none"/>
        </w:rPr>
        <w:t xml:space="preserve">供应商有下列情形之一的，视为串通参与磋商，响应文件将被视为无效： </w:t>
      </w:r>
    </w:p>
    <w:p w14:paraId="4DA1A65E">
      <w:pPr>
        <w:pageBreakBefore w:val="0"/>
        <w:widowControl w:val="0"/>
        <w:tabs>
          <w:tab w:val="left" w:pos="1305"/>
        </w:tabs>
        <w:kinsoku/>
        <w:wordWrap/>
        <w:overflowPunct/>
        <w:topLinePunct w:val="0"/>
        <w:autoSpaceDE/>
        <w:autoSpaceDN/>
        <w:bidi w:val="0"/>
        <w:adjustRightInd/>
        <w:spacing w:line="440" w:lineRule="exact"/>
        <w:ind w:left="0" w:leftChars="0" w:firstLine="420" w:firstLineChars="200"/>
        <w:textAlignment w:val="auto"/>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 xml:space="preserve"> (1)不同供应商的响应文件由同一单位或者个人编制； </w:t>
      </w:r>
    </w:p>
    <w:p w14:paraId="322E9047">
      <w:pPr>
        <w:pageBreakBefore w:val="0"/>
        <w:widowControl w:val="0"/>
        <w:tabs>
          <w:tab w:val="left" w:pos="1305"/>
        </w:tabs>
        <w:kinsoku/>
        <w:wordWrap/>
        <w:overflowPunct/>
        <w:topLinePunct w:val="0"/>
        <w:autoSpaceDE/>
        <w:autoSpaceDN/>
        <w:bidi w:val="0"/>
        <w:adjustRightInd/>
        <w:spacing w:line="440" w:lineRule="exact"/>
        <w:ind w:left="0" w:leftChars="0" w:firstLine="420" w:firstLineChars="200"/>
        <w:textAlignment w:val="auto"/>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 xml:space="preserve"> (2)不同供应商委托同一单位或者个人办理磋商事宜的； </w:t>
      </w:r>
    </w:p>
    <w:p w14:paraId="6C591D4E">
      <w:pPr>
        <w:pageBreakBefore w:val="0"/>
        <w:widowControl w:val="0"/>
        <w:tabs>
          <w:tab w:val="left" w:pos="1305"/>
        </w:tabs>
        <w:kinsoku/>
        <w:wordWrap/>
        <w:overflowPunct/>
        <w:topLinePunct w:val="0"/>
        <w:autoSpaceDE/>
        <w:autoSpaceDN/>
        <w:bidi w:val="0"/>
        <w:adjustRightInd/>
        <w:spacing w:line="440" w:lineRule="exact"/>
        <w:ind w:left="0" w:leftChars="0" w:firstLine="420" w:firstLineChars="200"/>
        <w:textAlignment w:val="auto"/>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 xml:space="preserve"> (3)不同的供应商的响应文件载明的项目管理员为同一个人的；</w:t>
      </w:r>
    </w:p>
    <w:p w14:paraId="24ACD02F">
      <w:pPr>
        <w:pageBreakBefore w:val="0"/>
        <w:widowControl w:val="0"/>
        <w:tabs>
          <w:tab w:val="left" w:pos="1305"/>
        </w:tabs>
        <w:kinsoku/>
        <w:wordWrap/>
        <w:overflowPunct/>
        <w:topLinePunct w:val="0"/>
        <w:autoSpaceDE/>
        <w:autoSpaceDN/>
        <w:bidi w:val="0"/>
        <w:adjustRightInd/>
        <w:spacing w:line="440" w:lineRule="exact"/>
        <w:ind w:left="0" w:leftChars="0" w:firstLine="525" w:firstLineChars="250"/>
        <w:textAlignment w:val="auto"/>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(4)不同供应商的响应文件异常一致或最后报价呈规律性差异的；</w:t>
      </w:r>
    </w:p>
    <w:p w14:paraId="5CB9DEDA">
      <w:pPr>
        <w:pageBreakBefore w:val="0"/>
        <w:widowControl w:val="0"/>
        <w:tabs>
          <w:tab w:val="left" w:pos="1305"/>
        </w:tabs>
        <w:kinsoku/>
        <w:wordWrap/>
        <w:overflowPunct/>
        <w:topLinePunct w:val="0"/>
        <w:autoSpaceDE/>
        <w:autoSpaceDN/>
        <w:bidi w:val="0"/>
        <w:adjustRightInd/>
        <w:spacing w:line="440" w:lineRule="exact"/>
        <w:ind w:left="0" w:leftChars="0" w:firstLine="420" w:firstLineChars="200"/>
        <w:textAlignment w:val="auto"/>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 xml:space="preserve"> 23.出现下列情形之一的，采购人或者采购代理机构应当终止竞争性磋商采购活动，发布项目终止公告并说明原因，重新开展采购活动： </w:t>
      </w:r>
    </w:p>
    <w:p w14:paraId="3A0D04E6">
      <w:pPr>
        <w:pageBreakBefore w:val="0"/>
        <w:widowControl w:val="0"/>
        <w:tabs>
          <w:tab w:val="left" w:pos="1305"/>
        </w:tabs>
        <w:kinsoku/>
        <w:wordWrap/>
        <w:overflowPunct/>
        <w:topLinePunct w:val="0"/>
        <w:autoSpaceDE/>
        <w:autoSpaceDN/>
        <w:bidi w:val="0"/>
        <w:adjustRightInd/>
        <w:spacing w:line="440" w:lineRule="exact"/>
        <w:ind w:left="0" w:leftChars="0" w:firstLine="420" w:firstLineChars="200"/>
        <w:textAlignment w:val="auto"/>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 xml:space="preserve">(1)因情况变化，不再符合规定的竞争性磋商采购方式适用情形的； </w:t>
      </w:r>
    </w:p>
    <w:p w14:paraId="00BEFD72">
      <w:pPr>
        <w:pageBreakBefore w:val="0"/>
        <w:widowControl w:val="0"/>
        <w:tabs>
          <w:tab w:val="left" w:pos="1305"/>
        </w:tabs>
        <w:kinsoku/>
        <w:wordWrap/>
        <w:overflowPunct/>
        <w:topLinePunct w:val="0"/>
        <w:autoSpaceDE/>
        <w:autoSpaceDN/>
        <w:bidi w:val="0"/>
        <w:adjustRightInd/>
        <w:spacing w:line="440" w:lineRule="exact"/>
        <w:ind w:left="0" w:leftChars="0" w:firstLine="420" w:firstLineChars="200"/>
        <w:textAlignment w:val="auto"/>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 xml:space="preserve">(2)出现影响采购公正的违法、违规行为的； </w:t>
      </w:r>
    </w:p>
    <w:p w14:paraId="7705E703">
      <w:pPr>
        <w:pageBreakBefore w:val="0"/>
        <w:widowControl w:val="0"/>
        <w:tabs>
          <w:tab w:val="left" w:pos="1305"/>
        </w:tabs>
        <w:kinsoku/>
        <w:wordWrap/>
        <w:overflowPunct/>
        <w:topLinePunct w:val="0"/>
        <w:autoSpaceDE/>
        <w:autoSpaceDN/>
        <w:bidi w:val="0"/>
        <w:adjustRightInd/>
        <w:spacing w:line="440" w:lineRule="exact"/>
        <w:ind w:left="0" w:leftChars="0" w:firstLine="420" w:firstLineChars="200"/>
        <w:textAlignment w:val="auto"/>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24.</w:t>
      </w:r>
      <w:r>
        <w:rPr>
          <w:rStyle w:val="37"/>
          <w:rFonts w:hint="eastAsia" w:ascii="宋体" w:hAnsi="宋体" w:eastAsia="宋体" w:cs="宋体"/>
          <w:b/>
          <w:bCs/>
          <w:color w:val="auto"/>
          <w:szCs w:val="21"/>
          <w:highlight w:val="none"/>
        </w:rPr>
        <w:t xml:space="preserve">在采购活动中因重大变故，采购任务取消的，采购人或者采购代理机构应当终止采购活动，通知所有参加采购活动的供应商，并将项目实施情况和采购任务取消原因报送本级财政部门。 </w:t>
      </w:r>
    </w:p>
    <w:p w14:paraId="71489439">
      <w:pPr>
        <w:pageBreakBefore w:val="0"/>
        <w:widowControl w:val="0"/>
        <w:tabs>
          <w:tab w:val="left" w:pos="1305"/>
        </w:tabs>
        <w:kinsoku/>
        <w:wordWrap/>
        <w:overflowPunct/>
        <w:topLinePunct w:val="0"/>
        <w:autoSpaceDE/>
        <w:autoSpaceDN/>
        <w:bidi w:val="0"/>
        <w:adjustRightInd/>
        <w:spacing w:line="440" w:lineRule="exact"/>
        <w:ind w:left="0" w:leftChars="0" w:firstLine="420" w:firstLineChars="200"/>
        <w:textAlignment w:val="auto"/>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 xml:space="preserve">25.磋商过程的监控 </w:t>
      </w:r>
    </w:p>
    <w:p w14:paraId="04763881">
      <w:pPr>
        <w:pageBreakBefore w:val="0"/>
        <w:widowControl w:val="0"/>
        <w:tabs>
          <w:tab w:val="left" w:pos="1305"/>
        </w:tabs>
        <w:kinsoku/>
        <w:wordWrap/>
        <w:overflowPunct/>
        <w:topLinePunct w:val="0"/>
        <w:autoSpaceDE/>
        <w:autoSpaceDN/>
        <w:bidi w:val="0"/>
        <w:adjustRightInd/>
        <w:spacing w:line="440" w:lineRule="exact"/>
        <w:ind w:left="0" w:leftChars="0" w:firstLine="420" w:firstLineChars="200"/>
        <w:textAlignment w:val="auto"/>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 xml:space="preserve">本项目磋商过程实行全程录音、录像监控，供应商在磋商过程中所进行的试图影响磋商结果的不公正活动，可能导致其响应被拒绝。 </w:t>
      </w:r>
    </w:p>
    <w:p w14:paraId="2D6D557F">
      <w:pPr>
        <w:pageBreakBefore w:val="0"/>
        <w:widowControl w:val="0"/>
        <w:tabs>
          <w:tab w:val="left" w:pos="1305"/>
        </w:tabs>
        <w:kinsoku/>
        <w:wordWrap/>
        <w:overflowPunct/>
        <w:topLinePunct w:val="0"/>
        <w:autoSpaceDE/>
        <w:autoSpaceDN/>
        <w:bidi w:val="0"/>
        <w:adjustRightInd/>
        <w:spacing w:line="440" w:lineRule="exact"/>
        <w:ind w:left="0" w:leftChars="0" w:firstLine="420" w:firstLineChars="200"/>
        <w:textAlignment w:val="auto"/>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 xml:space="preserve">26.信用查询 </w:t>
      </w:r>
    </w:p>
    <w:p w14:paraId="2CD0C66A">
      <w:pPr>
        <w:pageBreakBefore w:val="0"/>
        <w:widowControl w:val="0"/>
        <w:tabs>
          <w:tab w:val="left" w:pos="1305"/>
        </w:tabs>
        <w:kinsoku/>
        <w:wordWrap/>
        <w:overflowPunct/>
        <w:topLinePunct w:val="0"/>
        <w:autoSpaceDE/>
        <w:autoSpaceDN/>
        <w:bidi w:val="0"/>
        <w:adjustRightInd/>
        <w:spacing w:line="440" w:lineRule="exact"/>
        <w:ind w:left="0" w:leftChars="0" w:firstLine="420" w:firstLineChars="200"/>
        <w:textAlignment w:val="auto"/>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根据关于做好政府采购有关信用主体标识码登记及在政府采购活动中查询使用信用记录有关问题的通知》 (桂财采(2016)37)，由采购代理机构对第一</w:t>
      </w:r>
      <w:r>
        <w:rPr>
          <w:rStyle w:val="37"/>
          <w:rFonts w:hint="eastAsia" w:ascii="宋体" w:hAnsi="宋体"/>
          <w:color w:val="auto"/>
          <w:szCs w:val="21"/>
          <w:highlight w:val="none"/>
        </w:rPr>
        <w:t>成交候选</w:t>
      </w:r>
      <w:r>
        <w:rPr>
          <w:rStyle w:val="37"/>
          <w:rFonts w:hint="eastAsia" w:ascii="宋体" w:hAnsi="宋体"/>
          <w:color w:val="auto"/>
          <w:szCs w:val="21"/>
          <w:highlight w:val="none"/>
          <w:lang w:eastAsia="zh-CN"/>
        </w:rPr>
        <w:t>供应商</w:t>
      </w:r>
      <w:r>
        <w:rPr>
          <w:rStyle w:val="37"/>
          <w:rFonts w:hint="eastAsia" w:ascii="宋体" w:hAnsi="宋体" w:eastAsia="宋体" w:cs="宋体"/>
          <w:color w:val="auto"/>
          <w:szCs w:val="21"/>
          <w:highlight w:val="none"/>
        </w:rPr>
        <w:t xml:space="preserve">进行信用查询： </w:t>
      </w:r>
    </w:p>
    <w:p w14:paraId="53B48D62">
      <w:pPr>
        <w:pageBreakBefore w:val="0"/>
        <w:widowControl w:val="0"/>
        <w:tabs>
          <w:tab w:val="left" w:pos="1305"/>
        </w:tabs>
        <w:kinsoku/>
        <w:wordWrap/>
        <w:overflowPunct/>
        <w:topLinePunct w:val="0"/>
        <w:autoSpaceDE/>
        <w:autoSpaceDN/>
        <w:bidi w:val="0"/>
        <w:adjustRightInd/>
        <w:spacing w:line="440" w:lineRule="exact"/>
        <w:ind w:left="0" w:leftChars="0" w:firstLine="420" w:firstLineChars="200"/>
        <w:textAlignment w:val="auto"/>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 xml:space="preserve">(1)查询渠道：“信用中国”网站(wwv.creditchina.go.cn)、中国政府采购网(ww.ccgp.gov.cn) 等； </w:t>
      </w:r>
    </w:p>
    <w:p w14:paraId="7A311CCA">
      <w:pPr>
        <w:pageBreakBefore w:val="0"/>
        <w:widowControl w:val="0"/>
        <w:tabs>
          <w:tab w:val="left" w:pos="1305"/>
        </w:tabs>
        <w:kinsoku/>
        <w:wordWrap/>
        <w:overflowPunct/>
        <w:topLinePunct w:val="0"/>
        <w:autoSpaceDE/>
        <w:autoSpaceDN/>
        <w:bidi w:val="0"/>
        <w:adjustRightInd/>
        <w:spacing w:line="440" w:lineRule="exact"/>
        <w:ind w:left="0" w:leftChars="0" w:firstLine="420" w:firstLineChars="200"/>
        <w:textAlignment w:val="auto"/>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 xml:space="preserve">(2)查询截止时间：成交通知书发出前； </w:t>
      </w:r>
    </w:p>
    <w:p w14:paraId="2B7B1C7E">
      <w:pPr>
        <w:pageBreakBefore w:val="0"/>
        <w:widowControl w:val="0"/>
        <w:tabs>
          <w:tab w:val="left" w:pos="1305"/>
        </w:tabs>
        <w:kinsoku/>
        <w:wordWrap/>
        <w:overflowPunct/>
        <w:topLinePunct w:val="0"/>
        <w:autoSpaceDE/>
        <w:autoSpaceDN/>
        <w:bidi w:val="0"/>
        <w:adjustRightInd/>
        <w:spacing w:line="440" w:lineRule="exact"/>
        <w:ind w:left="0" w:leftChars="0" w:firstLine="420" w:firstLineChars="200"/>
        <w:textAlignment w:val="auto"/>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 xml:space="preserve">(3)信用信息查询记录和证据留存方式：在查询网站中直接打印查询记录，打印材料作为采购活动资料保存； </w:t>
      </w:r>
    </w:p>
    <w:p w14:paraId="41815878">
      <w:pPr>
        <w:pageBreakBefore w:val="0"/>
        <w:widowControl w:val="0"/>
        <w:tabs>
          <w:tab w:val="left" w:pos="1305"/>
        </w:tabs>
        <w:kinsoku/>
        <w:wordWrap/>
        <w:overflowPunct/>
        <w:topLinePunct w:val="0"/>
        <w:autoSpaceDE/>
        <w:autoSpaceDN/>
        <w:bidi w:val="0"/>
        <w:adjustRightInd/>
        <w:spacing w:line="440" w:lineRule="exact"/>
        <w:ind w:left="0" w:leftChars="0" w:firstLine="420" w:firstLineChars="200"/>
        <w:textAlignment w:val="auto"/>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(4)信用信息使用规则：对在信用中国网站(ww.credit china.gov.cn) 、中国政府采购网(www.ccgp.gov.cn)等渠道列入失信被执行人、重大税收违法案件当事人名单、政府采购严重违法失信行为记录名单及其他不符合《中华人民共和国政府采购法》第二十二条规定条件的供应商，取消其</w:t>
      </w:r>
      <w:r>
        <w:rPr>
          <w:rStyle w:val="37"/>
          <w:rFonts w:hint="eastAsia" w:ascii="宋体" w:hAnsi="宋体" w:cs="宋体"/>
          <w:color w:val="auto"/>
          <w:szCs w:val="21"/>
          <w:highlight w:val="none"/>
          <w:lang w:eastAsia="zh-CN"/>
        </w:rPr>
        <w:t>成交候选供应商</w:t>
      </w:r>
      <w:r>
        <w:rPr>
          <w:rStyle w:val="37"/>
          <w:rFonts w:hint="eastAsia" w:ascii="宋体" w:hAnsi="宋体" w:eastAsia="宋体" w:cs="宋体"/>
          <w:color w:val="auto"/>
          <w:szCs w:val="21"/>
          <w:highlight w:val="none"/>
        </w:rPr>
        <w:t xml:space="preserve">资格。 </w:t>
      </w:r>
    </w:p>
    <w:p w14:paraId="08BFE53B">
      <w:pPr>
        <w:pageBreakBefore w:val="0"/>
        <w:widowControl w:val="0"/>
        <w:tabs>
          <w:tab w:val="left" w:pos="1305"/>
        </w:tabs>
        <w:kinsoku/>
        <w:wordWrap/>
        <w:overflowPunct/>
        <w:topLinePunct w:val="0"/>
        <w:autoSpaceDE/>
        <w:autoSpaceDN/>
        <w:bidi w:val="0"/>
        <w:adjustRightInd/>
        <w:spacing w:line="440" w:lineRule="exact"/>
        <w:ind w:left="0" w:leftChars="0" w:firstLine="420" w:firstLineChars="200"/>
        <w:textAlignment w:val="auto"/>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 xml:space="preserve">27.成交公告及成交通知书 </w:t>
      </w:r>
    </w:p>
    <w:p w14:paraId="54B29071">
      <w:pPr>
        <w:pageBreakBefore w:val="0"/>
        <w:widowControl w:val="0"/>
        <w:tabs>
          <w:tab w:val="left" w:pos="1305"/>
        </w:tabs>
        <w:kinsoku/>
        <w:wordWrap/>
        <w:overflowPunct/>
        <w:topLinePunct w:val="0"/>
        <w:autoSpaceDE/>
        <w:autoSpaceDN/>
        <w:bidi w:val="0"/>
        <w:adjustRightInd/>
        <w:spacing w:line="440" w:lineRule="exact"/>
        <w:ind w:left="0" w:leftChars="0" w:firstLine="420" w:firstLineChars="200"/>
        <w:textAlignment w:val="auto"/>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27.1采购代理机构于评审结束后两个工作日内将评审报告送交采购人，采购人应当自收到评审报告五个工作日内在评审报告推荐的成交候选供应商中按顺序确定成交供应商；采购人在收到评审报告五个工作日内未按评审报告推荐的</w:t>
      </w:r>
      <w:r>
        <w:rPr>
          <w:rStyle w:val="37"/>
          <w:rFonts w:hint="eastAsia" w:ascii="宋体" w:hAnsi="宋体" w:cs="宋体"/>
          <w:color w:val="auto"/>
          <w:szCs w:val="21"/>
          <w:highlight w:val="none"/>
          <w:lang w:eastAsia="zh-CN"/>
        </w:rPr>
        <w:t>成交候选供应商</w:t>
      </w:r>
      <w:r>
        <w:rPr>
          <w:rStyle w:val="37"/>
          <w:rFonts w:hint="eastAsia" w:ascii="宋体" w:hAnsi="宋体" w:eastAsia="宋体" w:cs="宋体"/>
          <w:color w:val="auto"/>
          <w:szCs w:val="21"/>
          <w:highlight w:val="none"/>
        </w:rPr>
        <w:t>顺序确定</w:t>
      </w:r>
      <w:r>
        <w:rPr>
          <w:rStyle w:val="37"/>
          <w:rFonts w:hint="eastAsia" w:ascii="宋体" w:hAnsi="宋体" w:eastAsia="宋体" w:cs="宋体"/>
          <w:color w:val="auto"/>
          <w:szCs w:val="21"/>
          <w:highlight w:val="none"/>
          <w:lang w:eastAsia="zh-CN"/>
        </w:rPr>
        <w:t>成交</w:t>
      </w:r>
      <w:r>
        <w:rPr>
          <w:rStyle w:val="37"/>
          <w:rFonts w:hint="eastAsia" w:hAnsi="宋体" w:cs="宋体"/>
          <w:color w:val="auto"/>
          <w:szCs w:val="21"/>
          <w:highlight w:val="none"/>
          <w:lang w:val="en-US" w:eastAsia="zh-CN"/>
        </w:rPr>
        <w:t>供应商</w:t>
      </w:r>
      <w:r>
        <w:rPr>
          <w:rStyle w:val="37"/>
          <w:rFonts w:hint="eastAsia" w:ascii="宋体" w:hAnsi="宋体" w:eastAsia="宋体" w:cs="宋体"/>
          <w:color w:val="auto"/>
          <w:szCs w:val="21"/>
          <w:highlight w:val="none"/>
        </w:rPr>
        <w:t>，又不能说明合法理由的，视同按评审报告推荐的顺序确定排名第一的</w:t>
      </w:r>
      <w:r>
        <w:rPr>
          <w:rStyle w:val="37"/>
          <w:rFonts w:hint="eastAsia" w:ascii="宋体" w:hAnsi="宋体" w:cs="宋体"/>
          <w:color w:val="auto"/>
          <w:szCs w:val="21"/>
          <w:highlight w:val="none"/>
          <w:lang w:eastAsia="zh-CN"/>
        </w:rPr>
        <w:t>成交候选供应商</w:t>
      </w:r>
      <w:r>
        <w:rPr>
          <w:rStyle w:val="37"/>
          <w:rFonts w:hint="eastAsia" w:ascii="宋体" w:hAnsi="宋体" w:eastAsia="宋体" w:cs="宋体"/>
          <w:color w:val="auto"/>
          <w:szCs w:val="21"/>
          <w:highlight w:val="none"/>
        </w:rPr>
        <w:t xml:space="preserve">为成交供应商。采购代理机构在成交供应商确定之日起两个工作日内在指定媒体上公告成交结果，成交公告期限为1个工作日。 </w:t>
      </w:r>
    </w:p>
    <w:p w14:paraId="103F3FF3">
      <w:pPr>
        <w:pageBreakBefore w:val="0"/>
        <w:widowControl w:val="0"/>
        <w:tabs>
          <w:tab w:val="left" w:pos="1305"/>
        </w:tabs>
        <w:kinsoku/>
        <w:wordWrap/>
        <w:overflowPunct/>
        <w:topLinePunct w:val="0"/>
        <w:autoSpaceDE/>
        <w:autoSpaceDN/>
        <w:bidi w:val="0"/>
        <w:adjustRightInd/>
        <w:spacing w:line="440" w:lineRule="exact"/>
        <w:ind w:left="0" w:leftChars="0" w:firstLine="420" w:firstLineChars="200"/>
        <w:textAlignment w:val="auto"/>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27.2</w:t>
      </w:r>
      <w:r>
        <w:rPr>
          <w:rStyle w:val="37"/>
          <w:rFonts w:hint="eastAsia" w:ascii="宋体" w:hAnsi="宋体" w:eastAsia="宋体" w:cs="宋体"/>
          <w:b/>
          <w:bCs/>
          <w:color w:val="auto"/>
          <w:szCs w:val="21"/>
          <w:highlight w:val="none"/>
          <w:lang w:val="en-US" w:eastAsia="zh-CN"/>
        </w:rPr>
        <w:t>采购人或者其委托的采购代理机构应当随成交结果同时公告企业《中小企业声明函》或《残疾人福利性单位声明函》或监狱企业的证明文件，接受社会监督</w:t>
      </w:r>
      <w:r>
        <w:rPr>
          <w:rStyle w:val="37"/>
          <w:rFonts w:hint="eastAsia" w:ascii="宋体" w:hAnsi="宋体" w:eastAsia="宋体" w:cs="宋体"/>
          <w:b/>
          <w:bCs/>
          <w:color w:val="auto"/>
          <w:szCs w:val="21"/>
          <w:highlight w:val="none"/>
          <w:lang w:eastAsia="zh-CN"/>
        </w:rPr>
        <w:t>。</w:t>
      </w:r>
    </w:p>
    <w:p w14:paraId="622B760F">
      <w:pPr>
        <w:pageBreakBefore w:val="0"/>
        <w:widowControl w:val="0"/>
        <w:tabs>
          <w:tab w:val="left" w:pos="1305"/>
        </w:tabs>
        <w:kinsoku/>
        <w:wordWrap/>
        <w:overflowPunct/>
        <w:topLinePunct w:val="0"/>
        <w:autoSpaceDE/>
        <w:autoSpaceDN/>
        <w:bidi w:val="0"/>
        <w:adjustRightInd/>
        <w:spacing w:line="440" w:lineRule="exact"/>
        <w:ind w:left="0" w:leftChars="0" w:firstLine="420" w:firstLineChars="200"/>
        <w:textAlignment w:val="auto"/>
        <w:rPr>
          <w:rStyle w:val="37"/>
          <w:rFonts w:hint="eastAsia" w:ascii="宋体" w:hAnsi="宋体" w:eastAsia="宋体" w:cs="宋体"/>
          <w:color w:val="auto"/>
          <w:szCs w:val="21"/>
          <w:highlight w:val="none"/>
        </w:rPr>
      </w:pPr>
      <w:r>
        <w:rPr>
          <w:rStyle w:val="37"/>
          <w:rFonts w:hint="eastAsia" w:ascii="宋体" w:hAnsi="宋体"/>
          <w:color w:val="auto"/>
          <w:szCs w:val="21"/>
          <w:highlight w:val="none"/>
          <w:lang w:val="en-US"/>
        </w:rPr>
        <w:t>27.3</w:t>
      </w:r>
      <w:r>
        <w:rPr>
          <w:rFonts w:hint="eastAsia" w:ascii="宋体" w:hAnsi="宋体" w:eastAsia="宋体" w:cs="宋体"/>
          <w:color w:val="auto"/>
          <w:sz w:val="21"/>
          <w:szCs w:val="21"/>
          <w:highlight w:val="none"/>
        </w:rPr>
        <w:t>在发布成交公告的同时，采购代理机构向成交供应商发出成交通知书。如成交供应商自接到通知之日起七个工作日内，不办理成交通知书领取手续的，按违约处理。采购单位将取消其成交资格，从</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小组推荐的成交候选供应商中按顺序重新确定成交供应商</w:t>
      </w:r>
      <w:r>
        <w:rPr>
          <w:rStyle w:val="37"/>
          <w:rFonts w:hint="eastAsia" w:ascii="宋体" w:hAnsi="宋体" w:eastAsia="宋体" w:cs="宋体"/>
          <w:color w:val="auto"/>
          <w:szCs w:val="21"/>
          <w:highlight w:val="none"/>
        </w:rPr>
        <w:t xml:space="preserve">。 </w:t>
      </w:r>
    </w:p>
    <w:p w14:paraId="0BCA6899">
      <w:pPr>
        <w:pageBreakBefore w:val="0"/>
        <w:widowControl w:val="0"/>
        <w:tabs>
          <w:tab w:val="left" w:pos="1305"/>
        </w:tabs>
        <w:kinsoku/>
        <w:wordWrap/>
        <w:overflowPunct/>
        <w:topLinePunct w:val="0"/>
        <w:autoSpaceDE/>
        <w:autoSpaceDN/>
        <w:bidi w:val="0"/>
        <w:adjustRightInd/>
        <w:spacing w:line="440" w:lineRule="exact"/>
        <w:ind w:left="0" w:leftChars="0" w:firstLine="420" w:firstLineChars="200"/>
        <w:textAlignment w:val="auto"/>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27.</w:t>
      </w:r>
      <w:r>
        <w:rPr>
          <w:rStyle w:val="37"/>
          <w:rFonts w:hint="eastAsia" w:ascii="宋体" w:hAnsi="宋体" w:cs="宋体"/>
          <w:color w:val="auto"/>
          <w:szCs w:val="21"/>
          <w:highlight w:val="none"/>
          <w:lang w:val="en-US"/>
        </w:rPr>
        <w:t>4</w:t>
      </w:r>
      <w:r>
        <w:rPr>
          <w:rStyle w:val="37"/>
          <w:rFonts w:hint="eastAsia" w:ascii="宋体" w:hAnsi="宋体" w:eastAsia="宋体" w:cs="宋体"/>
          <w:color w:val="auto"/>
          <w:szCs w:val="21"/>
          <w:highlight w:val="none"/>
        </w:rPr>
        <w:t xml:space="preserve">采购代理机构无义务向未成交的供应商解释未成交原因和退还响应文件。 </w:t>
      </w:r>
    </w:p>
    <w:p w14:paraId="12333598">
      <w:pPr>
        <w:pStyle w:val="15"/>
        <w:pageBreakBefore w:val="0"/>
        <w:widowControl w:val="0"/>
        <w:kinsoku/>
        <w:wordWrap/>
        <w:overflowPunct/>
        <w:topLinePunct w:val="0"/>
        <w:autoSpaceDE/>
        <w:autoSpaceDN/>
        <w:bidi w:val="0"/>
        <w:adjustRightInd/>
        <w:spacing w:line="440" w:lineRule="exact"/>
        <w:ind w:left="0" w:leftChars="0" w:firstLine="420" w:firstLineChars="200"/>
        <w:textAlignment w:val="auto"/>
        <w:rPr>
          <w:rFonts w:hint="eastAsia" w:ascii="宋体" w:hAnsi="宋体" w:eastAsia="宋体" w:cs="宋体"/>
          <w:color w:val="auto"/>
          <w:highlight w:val="none"/>
        </w:rPr>
      </w:pPr>
    </w:p>
    <w:p w14:paraId="5573C66B">
      <w:pPr>
        <w:pageBreakBefore w:val="0"/>
        <w:widowControl w:val="0"/>
        <w:tabs>
          <w:tab w:val="left" w:pos="1140"/>
        </w:tabs>
        <w:kinsoku/>
        <w:wordWrap/>
        <w:overflowPunct/>
        <w:topLinePunct w:val="0"/>
        <w:autoSpaceDE/>
        <w:autoSpaceDN/>
        <w:bidi w:val="0"/>
        <w:adjustRightInd/>
        <w:spacing w:line="440" w:lineRule="exact"/>
        <w:ind w:left="0" w:leftChars="0" w:firstLine="3092" w:firstLineChars="1100"/>
        <w:textAlignment w:val="auto"/>
        <w:rPr>
          <w:rFonts w:hint="eastAsia" w:ascii="宋体" w:hAnsi="宋体" w:eastAsia="宋体" w:cs="宋体"/>
          <w:b/>
          <w:color w:val="auto"/>
          <w:sz w:val="28"/>
          <w:szCs w:val="28"/>
          <w:highlight w:val="none"/>
        </w:rPr>
      </w:pPr>
    </w:p>
    <w:p w14:paraId="21D04491">
      <w:pPr>
        <w:pageBreakBefore w:val="0"/>
        <w:widowControl w:val="0"/>
        <w:tabs>
          <w:tab w:val="left" w:pos="1140"/>
        </w:tabs>
        <w:kinsoku/>
        <w:wordWrap/>
        <w:overflowPunct/>
        <w:topLinePunct w:val="0"/>
        <w:autoSpaceDE/>
        <w:autoSpaceDN/>
        <w:bidi w:val="0"/>
        <w:adjustRightInd/>
        <w:spacing w:line="440" w:lineRule="exact"/>
        <w:ind w:left="0" w:leftChars="0" w:firstLine="3092" w:firstLineChars="1100"/>
        <w:textAlignment w:val="auto"/>
        <w:rPr>
          <w:rFonts w:hint="eastAsia" w:ascii="宋体" w:hAnsi="宋体" w:eastAsia="宋体" w:cs="宋体"/>
          <w:b/>
          <w:color w:val="auto"/>
          <w:highlight w:val="none"/>
          <w:lang w:val="en-US" w:eastAsia="zh-CN"/>
        </w:rPr>
      </w:pPr>
      <w:r>
        <w:rPr>
          <w:rFonts w:hint="eastAsia" w:ascii="宋体" w:hAnsi="宋体" w:eastAsia="宋体" w:cs="宋体"/>
          <w:b/>
          <w:color w:val="auto"/>
          <w:sz w:val="28"/>
          <w:szCs w:val="28"/>
          <w:highlight w:val="none"/>
        </w:rPr>
        <w:t>五、签订合同</w:t>
      </w:r>
    </w:p>
    <w:p w14:paraId="587434B3">
      <w:pPr>
        <w:pageBreakBefore w:val="0"/>
        <w:widowControl w:val="0"/>
        <w:kinsoku/>
        <w:wordWrap/>
        <w:overflowPunct/>
        <w:topLinePunct w:val="0"/>
        <w:autoSpaceDE/>
        <w:autoSpaceDN/>
        <w:bidi w:val="0"/>
        <w:adjustRightInd/>
        <w:spacing w:line="440" w:lineRule="exact"/>
        <w:ind w:left="0" w:leftChars="0" w:firstLine="413" w:firstLineChars="196"/>
        <w:textAlignment w:val="auto"/>
        <w:rPr>
          <w:rFonts w:hint="eastAsia" w:ascii="宋体" w:hAnsi="宋体" w:eastAsia="宋体" w:cs="宋体"/>
          <w:b/>
          <w:color w:val="auto"/>
          <w:highlight w:val="none"/>
          <w:lang w:val="en-US" w:eastAsia="zh-CN"/>
        </w:rPr>
      </w:pPr>
      <w:r>
        <w:rPr>
          <w:rFonts w:hint="eastAsia" w:ascii="宋体" w:hAnsi="宋体" w:eastAsia="宋体" w:cs="宋体"/>
          <w:b/>
          <w:color w:val="auto"/>
          <w:highlight w:val="none"/>
        </w:rPr>
        <w:t>28</w:t>
      </w:r>
      <w:r>
        <w:rPr>
          <w:rFonts w:hint="eastAsia" w:ascii="宋体" w:hAnsi="宋体" w:eastAsia="宋体" w:cs="宋体"/>
          <w:b/>
          <w:color w:val="auto"/>
          <w:szCs w:val="21"/>
          <w:highlight w:val="none"/>
        </w:rPr>
        <w:t>、</w:t>
      </w:r>
      <w:r>
        <w:rPr>
          <w:rFonts w:hint="eastAsia" w:ascii="宋体" w:hAnsi="宋体" w:eastAsia="宋体" w:cs="宋体"/>
          <w:b/>
          <w:bCs/>
          <w:color w:val="auto"/>
          <w:szCs w:val="21"/>
          <w:highlight w:val="none"/>
        </w:rPr>
        <w:t>履约保证金</w:t>
      </w:r>
      <w:r>
        <w:rPr>
          <w:rFonts w:hint="eastAsia" w:ascii="宋体" w:hAnsi="宋体" w:eastAsia="宋体" w:cs="宋体"/>
          <w:b/>
          <w:bCs/>
          <w:color w:val="auto"/>
          <w:szCs w:val="21"/>
          <w:highlight w:val="none"/>
          <w:lang w:eastAsia="zh-CN"/>
        </w:rPr>
        <w:t>：</w:t>
      </w:r>
      <w:r>
        <w:rPr>
          <w:rFonts w:hint="eastAsia" w:ascii="宋体" w:hAnsi="宋体" w:cs="宋体"/>
          <w:b/>
          <w:bCs/>
          <w:color w:val="auto"/>
          <w:szCs w:val="21"/>
          <w:highlight w:val="none"/>
          <w:lang w:val="en-US" w:eastAsia="zh-CN"/>
        </w:rPr>
        <w:t>本项目不收取履约保证金</w:t>
      </w:r>
      <w:r>
        <w:rPr>
          <w:rFonts w:hint="eastAsia" w:ascii="宋体" w:hAnsi="宋体" w:eastAsia="宋体" w:cs="宋体"/>
          <w:b w:val="0"/>
          <w:bCs w:val="0"/>
          <w:color w:val="auto"/>
          <w:szCs w:val="21"/>
          <w:highlight w:val="none"/>
          <w:lang w:val="en-US" w:eastAsia="zh-CN"/>
        </w:rPr>
        <w:t>。</w:t>
      </w:r>
    </w:p>
    <w:p w14:paraId="141F4C58">
      <w:pPr>
        <w:pageBreakBefore w:val="0"/>
        <w:widowControl w:val="0"/>
        <w:tabs>
          <w:tab w:val="left" w:pos="1140"/>
        </w:tabs>
        <w:kinsoku/>
        <w:wordWrap/>
        <w:overflowPunct/>
        <w:topLinePunct w:val="0"/>
        <w:autoSpaceDE/>
        <w:autoSpaceDN/>
        <w:bidi w:val="0"/>
        <w:adjustRightInd/>
        <w:spacing w:line="440" w:lineRule="exact"/>
        <w:ind w:left="0" w:leftChars="0"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29、签订合同</w:t>
      </w:r>
    </w:p>
    <w:p w14:paraId="07611399">
      <w:pPr>
        <w:pStyle w:val="15"/>
        <w:pageBreakBefore w:val="0"/>
        <w:widowControl w:val="0"/>
        <w:kinsoku/>
        <w:wordWrap/>
        <w:overflowPunct/>
        <w:topLinePunct w:val="0"/>
        <w:autoSpaceDE/>
        <w:autoSpaceDN/>
        <w:bidi w:val="0"/>
        <w:adjustRightInd/>
        <w:spacing w:line="44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29.1签订合同时间：</w:t>
      </w:r>
      <w:r>
        <w:rPr>
          <w:rFonts w:hint="eastAsia" w:hAnsi="宋体" w:cs="宋体"/>
          <w:b/>
          <w:bCs/>
          <w:color w:val="auto"/>
          <w:highlight w:val="none"/>
          <w:lang w:eastAsia="zh-CN"/>
        </w:rPr>
        <w:t>成交通知书发出后</w:t>
      </w:r>
      <w:r>
        <w:rPr>
          <w:rFonts w:hint="eastAsia" w:hAnsi="宋体" w:cs="宋体"/>
          <w:b/>
          <w:bCs/>
          <w:color w:val="auto"/>
          <w:highlight w:val="none"/>
          <w:lang w:val="en-US" w:eastAsia="zh-CN"/>
        </w:rPr>
        <w:t>8个工作日</w:t>
      </w:r>
      <w:r>
        <w:rPr>
          <w:rFonts w:hint="eastAsia" w:hAnsi="宋体" w:cs="宋体"/>
          <w:b/>
          <w:bCs/>
          <w:color w:val="auto"/>
          <w:highlight w:val="none"/>
          <w:lang w:eastAsia="zh-CN"/>
        </w:rPr>
        <w:t>内</w:t>
      </w:r>
      <w:r>
        <w:rPr>
          <w:rFonts w:hint="eastAsia" w:ascii="宋体" w:hAnsi="宋体" w:eastAsia="宋体" w:cs="宋体"/>
          <w:b/>
          <w:bCs/>
          <w:color w:val="auto"/>
          <w:highlight w:val="none"/>
        </w:rPr>
        <w:t>。成交供应商领取成交通知书后，应按规定与采购人签订合同。</w:t>
      </w:r>
    </w:p>
    <w:p w14:paraId="076ED0D3">
      <w:pPr>
        <w:pStyle w:val="15"/>
        <w:pageBreakBefore w:val="0"/>
        <w:widowControl w:val="0"/>
        <w:kinsoku/>
        <w:wordWrap/>
        <w:overflowPunct/>
        <w:topLinePunct w:val="0"/>
        <w:autoSpaceDE/>
        <w:autoSpaceDN/>
        <w:bidi w:val="0"/>
        <w:adjustRightInd/>
        <w:spacing w:line="44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29.2如成交供应商有下列情形之一，情节严重的，由财政部门将其列入不良行为记录名单，在一至三年内禁止参加政府采购活动，并予以通报。采购代理机构可从磋商小组推荐的成交候选供应商中按顺序重新确定成交供应商，组织供需双方签订合同或重新组织采购。拒绝签订政府采购合同的成交供应商不得参加对该项目重新开展的采购活动。</w:t>
      </w:r>
    </w:p>
    <w:p w14:paraId="746E8BCB">
      <w:pPr>
        <w:pStyle w:val="15"/>
        <w:pageBreakBefore w:val="0"/>
        <w:widowControl w:val="0"/>
        <w:kinsoku/>
        <w:wordWrap/>
        <w:overflowPunct/>
        <w:topLinePunct w:val="0"/>
        <w:autoSpaceDE/>
        <w:autoSpaceDN/>
        <w:bidi w:val="0"/>
        <w:adjustRightInd/>
        <w:spacing w:line="44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（1）成交后不与采购人签订合同的（不可抗力除外）；</w:t>
      </w:r>
    </w:p>
    <w:p w14:paraId="142F4850">
      <w:pPr>
        <w:pStyle w:val="15"/>
        <w:pageBreakBefore w:val="0"/>
        <w:widowControl w:val="0"/>
        <w:kinsoku/>
        <w:wordWrap/>
        <w:overflowPunct/>
        <w:topLinePunct w:val="0"/>
        <w:autoSpaceDE/>
        <w:autoSpaceDN/>
        <w:bidi w:val="0"/>
        <w:adjustRightInd/>
        <w:spacing w:line="44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（2）将成交项目转让给他人，或者在响应文件中未说明，且未经采购人同意，将成交项目分包给他人的；</w:t>
      </w:r>
    </w:p>
    <w:p w14:paraId="5393C2FC">
      <w:pPr>
        <w:pStyle w:val="15"/>
        <w:pageBreakBefore w:val="0"/>
        <w:widowControl w:val="0"/>
        <w:kinsoku/>
        <w:wordWrap/>
        <w:overflowPunct/>
        <w:topLinePunct w:val="0"/>
        <w:autoSpaceDE/>
        <w:autoSpaceDN/>
        <w:bidi w:val="0"/>
        <w:adjustRightInd/>
        <w:spacing w:line="44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（3）拒绝履行合同义务的。</w:t>
      </w:r>
    </w:p>
    <w:p w14:paraId="7B24ADC8">
      <w:pPr>
        <w:pageBreakBefore w:val="0"/>
        <w:widowControl w:val="0"/>
        <w:tabs>
          <w:tab w:val="left" w:pos="1305"/>
        </w:tabs>
        <w:kinsoku/>
        <w:wordWrap/>
        <w:overflowPunct/>
        <w:topLinePunct w:val="0"/>
        <w:autoSpaceDE/>
        <w:autoSpaceDN/>
        <w:bidi w:val="0"/>
        <w:adjustRightInd/>
        <w:spacing w:line="440" w:lineRule="exact"/>
        <w:ind w:left="0" w:leftChars="0" w:firstLine="422" w:firstLineChars="200"/>
        <w:textAlignment w:val="auto"/>
        <w:rPr>
          <w:rStyle w:val="37"/>
          <w:rFonts w:hint="eastAsia" w:ascii="宋体" w:hAnsi="宋体" w:eastAsia="宋体" w:cs="宋体"/>
          <w:b w:val="0"/>
          <w:bCs w:val="0"/>
          <w:color w:val="auto"/>
          <w:szCs w:val="21"/>
          <w:highlight w:val="none"/>
        </w:rPr>
      </w:pPr>
      <w:r>
        <w:rPr>
          <w:rFonts w:hint="eastAsia" w:ascii="宋体" w:hAnsi="宋体" w:eastAsia="宋体" w:cs="宋体"/>
          <w:b/>
          <w:bCs/>
          <w:color w:val="auto"/>
          <w:highlight w:val="none"/>
        </w:rPr>
        <w:t>29.3</w:t>
      </w:r>
      <w:r>
        <w:rPr>
          <w:rFonts w:hint="eastAsia" w:ascii="宋体" w:hAnsi="宋体" w:cs="宋体"/>
          <w:b/>
          <w:bCs/>
          <w:color w:val="auto"/>
          <w:highlight w:val="none"/>
          <w:lang w:val="en-US" w:eastAsia="zh-CN"/>
        </w:rPr>
        <w:t>合同公告</w:t>
      </w:r>
      <w:r>
        <w:rPr>
          <w:rFonts w:hint="eastAsia" w:ascii="宋体" w:hAnsi="宋体" w:eastAsia="宋体" w:cs="宋体"/>
          <w:b/>
          <w:bCs/>
          <w:color w:val="auto"/>
          <w:highlight w:val="none"/>
        </w:rPr>
        <w:t>：</w:t>
      </w:r>
      <w:r>
        <w:rPr>
          <w:rFonts w:hint="eastAsia" w:ascii="宋体" w:hAnsi="宋体" w:eastAsia="宋体" w:cs="宋体"/>
          <w:b w:val="0"/>
          <w:bCs w:val="0"/>
          <w:color w:val="auto"/>
          <w:highlight w:val="none"/>
        </w:rPr>
        <w:t>政府采购合同双方自签订之日起2个工作日内在省级以上人民政府财政部门指定媒体上公告。</w:t>
      </w:r>
    </w:p>
    <w:p w14:paraId="70034A80">
      <w:pPr>
        <w:pStyle w:val="15"/>
        <w:pageBreakBefore w:val="0"/>
        <w:widowControl w:val="0"/>
        <w:tabs>
          <w:tab w:val="left" w:pos="3815"/>
          <w:tab w:val="center" w:pos="4891"/>
        </w:tabs>
        <w:kinsoku/>
        <w:wordWrap/>
        <w:overflowPunct/>
        <w:topLinePunct w:val="0"/>
        <w:autoSpaceDE/>
        <w:autoSpaceDN/>
        <w:bidi w:val="0"/>
        <w:adjustRightInd/>
        <w:spacing w:line="440" w:lineRule="exact"/>
        <w:ind w:left="0" w:leftChars="0"/>
        <w:jc w:val="center"/>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六、其他事项</w:t>
      </w:r>
    </w:p>
    <w:p w14:paraId="3E3937BE">
      <w:pPr>
        <w:pageBreakBefore w:val="0"/>
        <w:widowControl w:val="0"/>
        <w:kinsoku/>
        <w:wordWrap/>
        <w:overflowPunct/>
        <w:topLinePunct w:val="0"/>
        <w:autoSpaceDE/>
        <w:autoSpaceDN/>
        <w:bidi w:val="0"/>
        <w:adjustRightInd/>
        <w:spacing w:line="440" w:lineRule="exact"/>
        <w:ind w:left="0" w:leftChars="0" w:firstLine="422" w:firstLineChars="200"/>
        <w:textAlignment w:val="auto"/>
        <w:rPr>
          <w:rFonts w:hint="eastAsia" w:ascii="宋体" w:hAnsi="宋体" w:eastAsia="宋体" w:cs="宋体"/>
          <w:b/>
          <w:color w:val="auto"/>
          <w:highlight w:val="none"/>
        </w:rPr>
      </w:pPr>
      <w:r>
        <w:rPr>
          <w:rFonts w:hint="eastAsia" w:ascii="宋体" w:hAnsi="宋体" w:eastAsia="宋体" w:cs="宋体"/>
          <w:b/>
          <w:color w:val="auto"/>
          <w:highlight w:val="none"/>
          <w:lang w:val="en-US" w:eastAsia="zh-CN"/>
        </w:rPr>
        <w:t>3</w:t>
      </w:r>
      <w:r>
        <w:rPr>
          <w:rFonts w:hint="eastAsia" w:ascii="宋体" w:hAnsi="宋体" w:eastAsia="宋体" w:cs="宋体"/>
          <w:b/>
          <w:color w:val="auto"/>
          <w:highlight w:val="none"/>
        </w:rPr>
        <w:t>0</w:t>
      </w:r>
      <w:r>
        <w:rPr>
          <w:rFonts w:hint="eastAsia" w:ascii="宋体" w:hAnsi="宋体" w:eastAsia="宋体" w:cs="宋体"/>
          <w:b/>
          <w:color w:val="auto"/>
          <w:szCs w:val="21"/>
          <w:highlight w:val="none"/>
        </w:rPr>
        <w:t>、</w:t>
      </w:r>
      <w:r>
        <w:rPr>
          <w:rFonts w:hint="eastAsia" w:ascii="宋体" w:hAnsi="宋体" w:eastAsia="宋体" w:cs="宋体"/>
          <w:b/>
          <w:color w:val="auto"/>
          <w:highlight w:val="none"/>
        </w:rPr>
        <w:t>采购代理服务费</w:t>
      </w:r>
    </w:p>
    <w:p w14:paraId="16B07178">
      <w:pPr>
        <w:pageBreakBefore w:val="0"/>
        <w:widowControl w:val="0"/>
        <w:kinsoku/>
        <w:wordWrap/>
        <w:overflowPunct/>
        <w:topLinePunct w:val="0"/>
        <w:autoSpaceDE/>
        <w:autoSpaceDN/>
        <w:bidi w:val="0"/>
        <w:adjustRightInd/>
        <w:spacing w:line="440" w:lineRule="exact"/>
        <w:ind w:left="0" w:leftChars="0" w:firstLine="420" w:firstLineChars="200"/>
        <w:textAlignment w:val="auto"/>
        <w:rPr>
          <w:rStyle w:val="37"/>
          <w:rFonts w:hint="default" w:ascii="宋体" w:hAnsi="宋体" w:eastAsia="宋体" w:cs="宋体"/>
          <w:color w:val="auto"/>
          <w:szCs w:val="21"/>
          <w:highlight w:val="none"/>
          <w:lang w:val="en-US" w:eastAsia="zh-CN"/>
        </w:rPr>
      </w:pPr>
      <w:r>
        <w:rPr>
          <w:rStyle w:val="37"/>
          <w:rFonts w:hint="eastAsia" w:ascii="宋体" w:hAnsi="宋体" w:eastAsia="宋体" w:cs="宋体"/>
          <w:color w:val="auto"/>
          <w:szCs w:val="21"/>
          <w:highlight w:val="none"/>
          <w:lang w:val="en-US" w:eastAsia="zh-CN"/>
        </w:rPr>
        <w:t>采购</w:t>
      </w:r>
      <w:r>
        <w:rPr>
          <w:rStyle w:val="37"/>
          <w:rFonts w:hint="eastAsia" w:ascii="宋体" w:hAnsi="宋体" w:eastAsia="宋体" w:cs="宋体"/>
          <w:color w:val="auto"/>
          <w:szCs w:val="21"/>
          <w:highlight w:val="none"/>
        </w:rPr>
        <w:t>代理服务费：本项目代理服务费参照《招标代理服务收费管理暂行办法》（计价格﹝2002﹞1980号）以及国家发展和改革委员会办公厅《关于招标代理服务收费有关问题的通知》(发改办价格﹝2003﹞857号)的规定，收费标准以</w:t>
      </w:r>
      <w:r>
        <w:rPr>
          <w:rStyle w:val="37"/>
          <w:rFonts w:hint="eastAsia" w:ascii="宋体" w:hAnsi="宋体" w:cs="宋体"/>
          <w:color w:val="auto"/>
          <w:szCs w:val="21"/>
          <w:highlight w:val="none"/>
          <w:lang w:val="en-US"/>
        </w:rPr>
        <w:t>成交金额</w:t>
      </w:r>
      <w:r>
        <w:rPr>
          <w:rStyle w:val="37"/>
          <w:rFonts w:hint="eastAsia" w:ascii="宋体" w:hAnsi="宋体" w:eastAsia="宋体" w:cs="宋体"/>
          <w:color w:val="auto"/>
          <w:szCs w:val="21"/>
          <w:highlight w:val="none"/>
        </w:rPr>
        <w:t>为计算基数，按差额定率累进法计取，由</w:t>
      </w:r>
      <w:r>
        <w:rPr>
          <w:rStyle w:val="37"/>
          <w:rFonts w:hint="eastAsia" w:ascii="宋体" w:hAnsi="宋体" w:cs="宋体"/>
          <w:color w:val="auto"/>
          <w:szCs w:val="21"/>
          <w:highlight w:val="none"/>
          <w:lang w:val="en-US"/>
        </w:rPr>
        <w:t>成交供应商</w:t>
      </w:r>
      <w:r>
        <w:rPr>
          <w:rStyle w:val="37"/>
          <w:rFonts w:hint="eastAsia" w:ascii="宋体" w:hAnsi="宋体" w:eastAsia="宋体" w:cs="宋体"/>
          <w:color w:val="auto"/>
          <w:szCs w:val="21"/>
          <w:highlight w:val="none"/>
        </w:rPr>
        <w:t>在领取</w:t>
      </w:r>
      <w:r>
        <w:rPr>
          <w:rStyle w:val="37"/>
          <w:rFonts w:hint="eastAsia" w:ascii="宋体" w:hAnsi="宋体" w:cs="宋体"/>
          <w:color w:val="auto"/>
          <w:szCs w:val="21"/>
          <w:highlight w:val="none"/>
          <w:lang w:val="en-US"/>
        </w:rPr>
        <w:t>成交</w:t>
      </w:r>
      <w:r>
        <w:rPr>
          <w:rStyle w:val="37"/>
          <w:rFonts w:hint="eastAsia" w:ascii="宋体" w:hAnsi="宋体" w:eastAsia="宋体" w:cs="宋体"/>
          <w:color w:val="auto"/>
          <w:szCs w:val="21"/>
          <w:highlight w:val="none"/>
        </w:rPr>
        <w:t>通知书前一次性向代理机构付清全部代理服务费。</w:t>
      </w:r>
    </w:p>
    <w:p w14:paraId="1F5B58FC">
      <w:pPr>
        <w:pageBreakBefore w:val="0"/>
        <w:widowControl w:val="0"/>
        <w:kinsoku/>
        <w:wordWrap/>
        <w:overflowPunct/>
        <w:topLinePunct w:val="0"/>
        <w:autoSpaceDE/>
        <w:autoSpaceDN/>
        <w:bidi w:val="0"/>
        <w:adjustRightInd/>
        <w:spacing w:line="440" w:lineRule="exact"/>
        <w:ind w:left="0" w:left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采购代理服务收费标准</w:t>
      </w:r>
    </w:p>
    <w:tbl>
      <w:tblPr>
        <w:tblStyle w:val="25"/>
        <w:tblW w:w="9006"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9"/>
        <w:gridCol w:w="2002"/>
        <w:gridCol w:w="1992"/>
        <w:gridCol w:w="2293"/>
      </w:tblGrid>
      <w:tr w14:paraId="7BBEC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719" w:type="dxa"/>
          </w:tcPr>
          <w:p w14:paraId="0FA28157">
            <w:pPr>
              <w:pStyle w:val="15"/>
              <w:pageBreakBefore w:val="0"/>
              <w:widowControl w:val="0"/>
              <w:kinsoku/>
              <w:wordWrap/>
              <w:overflowPunct/>
              <w:topLinePunct w:val="0"/>
              <w:autoSpaceDE/>
              <w:autoSpaceDN/>
              <w:bidi w:val="0"/>
              <w:adjustRightInd/>
              <w:spacing w:line="440" w:lineRule="exact"/>
              <w:ind w:left="0" w:leftChars="0"/>
              <w:textAlignment w:val="auto"/>
              <w:rPr>
                <w:rFonts w:hint="eastAsia" w:ascii="宋体" w:hAnsi="宋体" w:eastAsia="宋体" w:cs="宋体"/>
                <w:color w:val="auto"/>
                <w:highlight w:val="none"/>
              </w:rPr>
            </w:pPr>
            <w:r>
              <w:rPr>
                <w:rFonts w:hint="eastAsia" w:ascii="宋体" w:hAnsi="宋体" w:eastAsia="宋体" w:cs="宋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296545</wp:posOffset>
                      </wp:positionH>
                      <wp:positionV relativeFrom="paragraph">
                        <wp:posOffset>10795</wp:posOffset>
                      </wp:positionV>
                      <wp:extent cx="1352550" cy="631190"/>
                      <wp:effectExtent l="1905" t="4445" r="17145" b="12065"/>
                      <wp:wrapNone/>
                      <wp:docPr id="4" name="直接连接符 4"/>
                      <wp:cNvGraphicFramePr/>
                      <a:graphic xmlns:a="http://schemas.openxmlformats.org/drawingml/2006/main">
                        <a:graphicData uri="http://schemas.microsoft.com/office/word/2010/wordprocessingShape">
                          <wps:wsp>
                            <wps:cNvCnPr/>
                            <wps:spPr>
                              <a:xfrm>
                                <a:off x="0" y="0"/>
                                <a:ext cx="1352550" cy="63119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3.35pt;margin-top:0.85pt;height:49.7pt;width:106.5pt;z-index:251660288;mso-width-relative:page;mso-height-relative:page;" filled="f" stroked="t" coordsize="21600,21600" o:gfxdata="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RID5FdQAAAAIAQAADwAAAAAAAAABACAAAAAiAAAAZHJzL2Rvd25yZXYueG1sUEsBAhQA&#10;FAAAAAgAh07iQPW5lxr2AQAA6wMAAA4AAAAAAAAAAQAgAAAAIwEAAGRycy9lMm9Eb2MueG1sUEsF&#10;BgAAAAAGAAYAWQEAAIsFAAAAAA==&#10;">
                      <v:fill on="f" focussize="0,0"/>
                      <v:stroke color="#000000" joinstyle="round"/>
                      <v:imagedata o:title=""/>
                      <o:lock v:ext="edit" aspectratio="f"/>
                    </v:line>
                  </w:pict>
                </mc:Fallback>
              </mc:AlternateContent>
            </w:r>
            <w:r>
              <w:rPr>
                <w:rFonts w:hint="eastAsia" w:ascii="宋体" w:hAnsi="宋体" w:eastAsia="宋体" w:cs="宋体"/>
                <w:color w:val="auto"/>
                <w:highlight w:val="none"/>
              </w:rPr>
              <w:t>费率           服务类型</w:t>
            </w:r>
          </w:p>
          <w:p w14:paraId="38575163">
            <w:pPr>
              <w:pStyle w:val="15"/>
              <w:pageBreakBefore w:val="0"/>
              <w:widowControl w:val="0"/>
              <w:kinsoku/>
              <w:wordWrap/>
              <w:overflowPunct/>
              <w:topLinePunct w:val="0"/>
              <w:autoSpaceDE/>
              <w:autoSpaceDN/>
              <w:bidi w:val="0"/>
              <w:adjustRightInd/>
              <w:spacing w:line="440" w:lineRule="exact"/>
              <w:ind w:left="0" w:leftChars="0"/>
              <w:textAlignment w:val="auto"/>
              <w:rPr>
                <w:rFonts w:hint="eastAsia" w:ascii="宋体" w:hAnsi="宋体" w:eastAsia="宋体" w:cs="宋体"/>
                <w:color w:val="auto"/>
                <w:highlight w:val="none"/>
              </w:rPr>
            </w:pPr>
            <w:r>
              <w:rPr>
                <w:rFonts w:hint="eastAsia" w:ascii="宋体" w:hAnsi="宋体" w:eastAsia="宋体" w:cs="宋体"/>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-67945</wp:posOffset>
                      </wp:positionH>
                      <wp:positionV relativeFrom="paragraph">
                        <wp:posOffset>45085</wp:posOffset>
                      </wp:positionV>
                      <wp:extent cx="1714500" cy="396240"/>
                      <wp:effectExtent l="1270" t="4445" r="17780" b="18415"/>
                      <wp:wrapNone/>
                      <wp:docPr id="3" name="直接连接符 3"/>
                      <wp:cNvGraphicFramePr/>
                      <a:graphic xmlns:a="http://schemas.openxmlformats.org/drawingml/2006/main">
                        <a:graphicData uri="http://schemas.microsoft.com/office/word/2010/wordprocessingShape">
                          <wps:wsp>
                            <wps:cNvCnPr/>
                            <wps:spPr>
                              <a:xfrm>
                                <a:off x="0" y="0"/>
                                <a:ext cx="1714500" cy="39624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5.35pt;margin-top:3.55pt;height:31.2pt;width:135pt;z-index:251661312;mso-width-relative:page;mso-height-relative:page;" filled="f" stroked="t" coordsize="21600,21600" o:gfxdata="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WusYndgAAAAIAQAADwAAAAAAAAABACAAAAAiAAAAZHJzL2Rvd25yZXYueG1s&#10;UEsBAhQAFAAAAAgAh07iQDRWJzX4AQAA6wMAAA4AAAAAAAAAAQAgAAAAJwEAAGRycy9lMm9Eb2Mu&#10;eG1sUEsFBgAAAAAGAAYAWQEAAJEFAAAAAA==&#10;">
                      <v:fill on="f" focussize="0,0"/>
                      <v:stroke color="#000000" joinstyle="round"/>
                      <v:imagedata o:title=""/>
                      <o:lock v:ext="edit" aspectratio="f"/>
                    </v:line>
                  </w:pict>
                </mc:Fallback>
              </mc:AlternateContent>
            </w:r>
          </w:p>
          <w:p w14:paraId="7A3DAF42">
            <w:pPr>
              <w:pStyle w:val="15"/>
              <w:pageBreakBefore w:val="0"/>
              <w:widowControl w:val="0"/>
              <w:kinsoku/>
              <w:wordWrap/>
              <w:overflowPunct/>
              <w:topLinePunct w:val="0"/>
              <w:autoSpaceDE/>
              <w:autoSpaceDN/>
              <w:bidi w:val="0"/>
              <w:adjustRightInd/>
              <w:spacing w:line="440" w:lineRule="exact"/>
              <w:ind w:left="0" w:left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成交金额（万元）</w:t>
            </w:r>
          </w:p>
        </w:tc>
        <w:tc>
          <w:tcPr>
            <w:tcW w:w="2002" w:type="dxa"/>
            <w:vAlign w:val="center"/>
          </w:tcPr>
          <w:p w14:paraId="0F41CE1C">
            <w:pPr>
              <w:pStyle w:val="15"/>
              <w:pageBreakBefore w:val="0"/>
              <w:widowControl w:val="0"/>
              <w:kinsoku/>
              <w:wordWrap/>
              <w:overflowPunct/>
              <w:topLinePunct w:val="0"/>
              <w:autoSpaceDE/>
              <w:autoSpaceDN/>
              <w:bidi w:val="0"/>
              <w:adjustRightInd/>
              <w:spacing w:line="440" w:lineRule="exact"/>
              <w:ind w:left="0" w:left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货物招标</w:t>
            </w:r>
          </w:p>
        </w:tc>
        <w:tc>
          <w:tcPr>
            <w:tcW w:w="1992" w:type="dxa"/>
            <w:vAlign w:val="center"/>
          </w:tcPr>
          <w:p w14:paraId="4BCD0E44">
            <w:pPr>
              <w:pStyle w:val="15"/>
              <w:pageBreakBefore w:val="0"/>
              <w:widowControl w:val="0"/>
              <w:kinsoku/>
              <w:wordWrap/>
              <w:overflowPunct/>
              <w:topLinePunct w:val="0"/>
              <w:autoSpaceDE/>
              <w:autoSpaceDN/>
              <w:bidi w:val="0"/>
              <w:adjustRightInd/>
              <w:spacing w:line="440" w:lineRule="exact"/>
              <w:ind w:left="0" w:left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服务招标</w:t>
            </w:r>
          </w:p>
        </w:tc>
        <w:tc>
          <w:tcPr>
            <w:tcW w:w="2293" w:type="dxa"/>
            <w:vAlign w:val="center"/>
          </w:tcPr>
          <w:p w14:paraId="3F43A189">
            <w:pPr>
              <w:pStyle w:val="15"/>
              <w:pageBreakBefore w:val="0"/>
              <w:widowControl w:val="0"/>
              <w:kinsoku/>
              <w:wordWrap/>
              <w:overflowPunct/>
              <w:topLinePunct w:val="0"/>
              <w:autoSpaceDE/>
              <w:autoSpaceDN/>
              <w:bidi w:val="0"/>
              <w:adjustRightInd/>
              <w:spacing w:line="440" w:lineRule="exact"/>
              <w:ind w:left="0" w:left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工程招标</w:t>
            </w:r>
          </w:p>
        </w:tc>
      </w:tr>
      <w:tr w14:paraId="69D41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2719" w:type="dxa"/>
          </w:tcPr>
          <w:p w14:paraId="14F679A0">
            <w:pPr>
              <w:pStyle w:val="15"/>
              <w:pageBreakBefore w:val="0"/>
              <w:widowControl w:val="0"/>
              <w:kinsoku/>
              <w:wordWrap/>
              <w:overflowPunct/>
              <w:topLinePunct w:val="0"/>
              <w:autoSpaceDE/>
              <w:autoSpaceDN/>
              <w:bidi w:val="0"/>
              <w:adjustRightInd/>
              <w:spacing w:line="440" w:lineRule="exact"/>
              <w:ind w:left="0" w:left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100以下</w:t>
            </w:r>
          </w:p>
        </w:tc>
        <w:tc>
          <w:tcPr>
            <w:tcW w:w="2002" w:type="dxa"/>
          </w:tcPr>
          <w:p w14:paraId="23AE2F90">
            <w:pPr>
              <w:pStyle w:val="15"/>
              <w:pageBreakBefore w:val="0"/>
              <w:widowControl w:val="0"/>
              <w:kinsoku/>
              <w:wordWrap/>
              <w:overflowPunct/>
              <w:topLinePunct w:val="0"/>
              <w:autoSpaceDE/>
              <w:autoSpaceDN/>
              <w:bidi w:val="0"/>
              <w:adjustRightInd/>
              <w:spacing w:line="440" w:lineRule="exact"/>
              <w:ind w:left="0" w:left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1.5%</w:t>
            </w:r>
          </w:p>
        </w:tc>
        <w:tc>
          <w:tcPr>
            <w:tcW w:w="1992" w:type="dxa"/>
          </w:tcPr>
          <w:p w14:paraId="0DD5841A">
            <w:pPr>
              <w:pStyle w:val="15"/>
              <w:pageBreakBefore w:val="0"/>
              <w:widowControl w:val="0"/>
              <w:kinsoku/>
              <w:wordWrap/>
              <w:overflowPunct/>
              <w:topLinePunct w:val="0"/>
              <w:autoSpaceDE/>
              <w:autoSpaceDN/>
              <w:bidi w:val="0"/>
              <w:adjustRightInd/>
              <w:spacing w:line="440" w:lineRule="exact"/>
              <w:ind w:left="0" w:left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1.5%</w:t>
            </w:r>
          </w:p>
        </w:tc>
        <w:tc>
          <w:tcPr>
            <w:tcW w:w="2293" w:type="dxa"/>
          </w:tcPr>
          <w:p w14:paraId="6646762F">
            <w:pPr>
              <w:pStyle w:val="15"/>
              <w:pageBreakBefore w:val="0"/>
              <w:widowControl w:val="0"/>
              <w:kinsoku/>
              <w:wordWrap/>
              <w:overflowPunct/>
              <w:topLinePunct w:val="0"/>
              <w:autoSpaceDE/>
              <w:autoSpaceDN/>
              <w:bidi w:val="0"/>
              <w:adjustRightInd/>
              <w:spacing w:line="440" w:lineRule="exact"/>
              <w:ind w:left="0" w:left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1.0%</w:t>
            </w:r>
          </w:p>
        </w:tc>
      </w:tr>
      <w:tr w14:paraId="58BDF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trPr>
        <w:tc>
          <w:tcPr>
            <w:tcW w:w="2719" w:type="dxa"/>
          </w:tcPr>
          <w:p w14:paraId="0A84E54A">
            <w:pPr>
              <w:pStyle w:val="15"/>
              <w:pageBreakBefore w:val="0"/>
              <w:widowControl w:val="0"/>
              <w:kinsoku/>
              <w:wordWrap/>
              <w:overflowPunct/>
              <w:topLinePunct w:val="0"/>
              <w:autoSpaceDE/>
              <w:autoSpaceDN/>
              <w:bidi w:val="0"/>
              <w:adjustRightInd/>
              <w:spacing w:line="440" w:lineRule="exact"/>
              <w:ind w:left="0" w:left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100-500</w:t>
            </w:r>
          </w:p>
        </w:tc>
        <w:tc>
          <w:tcPr>
            <w:tcW w:w="2002" w:type="dxa"/>
          </w:tcPr>
          <w:p w14:paraId="2EF9155C">
            <w:pPr>
              <w:pStyle w:val="15"/>
              <w:pageBreakBefore w:val="0"/>
              <w:widowControl w:val="0"/>
              <w:kinsoku/>
              <w:wordWrap/>
              <w:overflowPunct/>
              <w:topLinePunct w:val="0"/>
              <w:autoSpaceDE/>
              <w:autoSpaceDN/>
              <w:bidi w:val="0"/>
              <w:adjustRightInd/>
              <w:spacing w:line="440" w:lineRule="exact"/>
              <w:ind w:left="0" w:left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1.1%</w:t>
            </w:r>
          </w:p>
        </w:tc>
        <w:tc>
          <w:tcPr>
            <w:tcW w:w="1992" w:type="dxa"/>
          </w:tcPr>
          <w:p w14:paraId="4CC33D20">
            <w:pPr>
              <w:pStyle w:val="15"/>
              <w:pageBreakBefore w:val="0"/>
              <w:widowControl w:val="0"/>
              <w:kinsoku/>
              <w:wordWrap/>
              <w:overflowPunct/>
              <w:topLinePunct w:val="0"/>
              <w:autoSpaceDE/>
              <w:autoSpaceDN/>
              <w:bidi w:val="0"/>
              <w:adjustRightInd/>
              <w:spacing w:line="440" w:lineRule="exact"/>
              <w:ind w:left="0" w:left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0.8%</w:t>
            </w:r>
          </w:p>
        </w:tc>
        <w:tc>
          <w:tcPr>
            <w:tcW w:w="2293" w:type="dxa"/>
          </w:tcPr>
          <w:p w14:paraId="169DF2EF">
            <w:pPr>
              <w:pStyle w:val="15"/>
              <w:pageBreakBefore w:val="0"/>
              <w:widowControl w:val="0"/>
              <w:kinsoku/>
              <w:wordWrap/>
              <w:overflowPunct/>
              <w:topLinePunct w:val="0"/>
              <w:autoSpaceDE/>
              <w:autoSpaceDN/>
              <w:bidi w:val="0"/>
              <w:adjustRightInd/>
              <w:spacing w:line="440" w:lineRule="exact"/>
              <w:ind w:left="0" w:left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0.7%</w:t>
            </w:r>
          </w:p>
        </w:tc>
      </w:tr>
      <w:tr w14:paraId="2F133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719" w:type="dxa"/>
          </w:tcPr>
          <w:p w14:paraId="07BF046B">
            <w:pPr>
              <w:pStyle w:val="15"/>
              <w:pageBreakBefore w:val="0"/>
              <w:widowControl w:val="0"/>
              <w:kinsoku/>
              <w:wordWrap/>
              <w:overflowPunct/>
              <w:topLinePunct w:val="0"/>
              <w:autoSpaceDE/>
              <w:autoSpaceDN/>
              <w:bidi w:val="0"/>
              <w:adjustRightInd/>
              <w:spacing w:line="440" w:lineRule="exact"/>
              <w:ind w:left="0" w:left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500-1000</w:t>
            </w:r>
          </w:p>
        </w:tc>
        <w:tc>
          <w:tcPr>
            <w:tcW w:w="2002" w:type="dxa"/>
          </w:tcPr>
          <w:p w14:paraId="66755CC6">
            <w:pPr>
              <w:pStyle w:val="15"/>
              <w:pageBreakBefore w:val="0"/>
              <w:widowControl w:val="0"/>
              <w:kinsoku/>
              <w:wordWrap/>
              <w:overflowPunct/>
              <w:topLinePunct w:val="0"/>
              <w:autoSpaceDE/>
              <w:autoSpaceDN/>
              <w:bidi w:val="0"/>
              <w:adjustRightInd/>
              <w:spacing w:line="440" w:lineRule="exact"/>
              <w:ind w:left="0" w:left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0.8%</w:t>
            </w:r>
          </w:p>
        </w:tc>
        <w:tc>
          <w:tcPr>
            <w:tcW w:w="1992" w:type="dxa"/>
          </w:tcPr>
          <w:p w14:paraId="7E529A1D">
            <w:pPr>
              <w:pStyle w:val="15"/>
              <w:pageBreakBefore w:val="0"/>
              <w:widowControl w:val="0"/>
              <w:kinsoku/>
              <w:wordWrap/>
              <w:overflowPunct/>
              <w:topLinePunct w:val="0"/>
              <w:autoSpaceDE/>
              <w:autoSpaceDN/>
              <w:bidi w:val="0"/>
              <w:adjustRightInd/>
              <w:spacing w:line="440" w:lineRule="exact"/>
              <w:ind w:left="0" w:left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0.45%</w:t>
            </w:r>
          </w:p>
        </w:tc>
        <w:tc>
          <w:tcPr>
            <w:tcW w:w="2293" w:type="dxa"/>
          </w:tcPr>
          <w:p w14:paraId="10C63C47">
            <w:pPr>
              <w:pStyle w:val="15"/>
              <w:pageBreakBefore w:val="0"/>
              <w:widowControl w:val="0"/>
              <w:kinsoku/>
              <w:wordWrap/>
              <w:overflowPunct/>
              <w:topLinePunct w:val="0"/>
              <w:autoSpaceDE/>
              <w:autoSpaceDN/>
              <w:bidi w:val="0"/>
              <w:adjustRightInd/>
              <w:spacing w:line="440" w:lineRule="exact"/>
              <w:ind w:left="0" w:left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0.55%</w:t>
            </w:r>
          </w:p>
        </w:tc>
      </w:tr>
      <w:tr w14:paraId="51B8C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719" w:type="dxa"/>
          </w:tcPr>
          <w:p w14:paraId="386E577B">
            <w:pPr>
              <w:pStyle w:val="15"/>
              <w:pageBreakBefore w:val="0"/>
              <w:widowControl w:val="0"/>
              <w:kinsoku/>
              <w:wordWrap/>
              <w:overflowPunct/>
              <w:topLinePunct w:val="0"/>
              <w:autoSpaceDE/>
              <w:autoSpaceDN/>
              <w:bidi w:val="0"/>
              <w:adjustRightInd/>
              <w:spacing w:line="440" w:lineRule="exact"/>
              <w:ind w:left="0" w:left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1000-5000</w:t>
            </w:r>
          </w:p>
        </w:tc>
        <w:tc>
          <w:tcPr>
            <w:tcW w:w="2002" w:type="dxa"/>
          </w:tcPr>
          <w:p w14:paraId="7CDB0393">
            <w:pPr>
              <w:pStyle w:val="15"/>
              <w:pageBreakBefore w:val="0"/>
              <w:widowControl w:val="0"/>
              <w:kinsoku/>
              <w:wordWrap/>
              <w:overflowPunct/>
              <w:topLinePunct w:val="0"/>
              <w:autoSpaceDE/>
              <w:autoSpaceDN/>
              <w:bidi w:val="0"/>
              <w:adjustRightInd/>
              <w:spacing w:line="440" w:lineRule="exact"/>
              <w:ind w:left="0" w:left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0.5%</w:t>
            </w:r>
          </w:p>
        </w:tc>
        <w:tc>
          <w:tcPr>
            <w:tcW w:w="1992" w:type="dxa"/>
          </w:tcPr>
          <w:p w14:paraId="08259811">
            <w:pPr>
              <w:pStyle w:val="15"/>
              <w:pageBreakBefore w:val="0"/>
              <w:widowControl w:val="0"/>
              <w:kinsoku/>
              <w:wordWrap/>
              <w:overflowPunct/>
              <w:topLinePunct w:val="0"/>
              <w:autoSpaceDE/>
              <w:autoSpaceDN/>
              <w:bidi w:val="0"/>
              <w:adjustRightInd/>
              <w:spacing w:line="440" w:lineRule="exact"/>
              <w:ind w:left="0" w:left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0.25%</w:t>
            </w:r>
          </w:p>
        </w:tc>
        <w:tc>
          <w:tcPr>
            <w:tcW w:w="2293" w:type="dxa"/>
          </w:tcPr>
          <w:p w14:paraId="5C5BBA35">
            <w:pPr>
              <w:pStyle w:val="15"/>
              <w:pageBreakBefore w:val="0"/>
              <w:widowControl w:val="0"/>
              <w:kinsoku/>
              <w:wordWrap/>
              <w:overflowPunct/>
              <w:topLinePunct w:val="0"/>
              <w:autoSpaceDE/>
              <w:autoSpaceDN/>
              <w:bidi w:val="0"/>
              <w:adjustRightInd/>
              <w:spacing w:line="440" w:lineRule="exact"/>
              <w:ind w:left="0" w:left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0.35%</w:t>
            </w:r>
          </w:p>
        </w:tc>
      </w:tr>
      <w:tr w14:paraId="5B2B1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719" w:type="dxa"/>
          </w:tcPr>
          <w:p w14:paraId="0A0E30C4">
            <w:pPr>
              <w:pStyle w:val="15"/>
              <w:pageBreakBefore w:val="0"/>
              <w:widowControl w:val="0"/>
              <w:kinsoku/>
              <w:wordWrap/>
              <w:overflowPunct/>
              <w:topLinePunct w:val="0"/>
              <w:autoSpaceDE/>
              <w:autoSpaceDN/>
              <w:bidi w:val="0"/>
              <w:adjustRightInd/>
              <w:spacing w:line="440" w:lineRule="exact"/>
              <w:ind w:left="0" w:left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5000-10000</w:t>
            </w:r>
          </w:p>
        </w:tc>
        <w:tc>
          <w:tcPr>
            <w:tcW w:w="2002" w:type="dxa"/>
          </w:tcPr>
          <w:p w14:paraId="4063D4FE">
            <w:pPr>
              <w:pStyle w:val="15"/>
              <w:pageBreakBefore w:val="0"/>
              <w:widowControl w:val="0"/>
              <w:kinsoku/>
              <w:wordWrap/>
              <w:overflowPunct/>
              <w:topLinePunct w:val="0"/>
              <w:autoSpaceDE/>
              <w:autoSpaceDN/>
              <w:bidi w:val="0"/>
              <w:adjustRightInd/>
              <w:spacing w:line="440" w:lineRule="exact"/>
              <w:ind w:left="0" w:left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0.25%</w:t>
            </w:r>
          </w:p>
        </w:tc>
        <w:tc>
          <w:tcPr>
            <w:tcW w:w="1992" w:type="dxa"/>
          </w:tcPr>
          <w:p w14:paraId="25E83527">
            <w:pPr>
              <w:pStyle w:val="15"/>
              <w:pageBreakBefore w:val="0"/>
              <w:widowControl w:val="0"/>
              <w:kinsoku/>
              <w:wordWrap/>
              <w:overflowPunct/>
              <w:topLinePunct w:val="0"/>
              <w:autoSpaceDE/>
              <w:autoSpaceDN/>
              <w:bidi w:val="0"/>
              <w:adjustRightInd/>
              <w:spacing w:line="440" w:lineRule="exact"/>
              <w:ind w:left="0" w:left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0.1%</w:t>
            </w:r>
          </w:p>
        </w:tc>
        <w:tc>
          <w:tcPr>
            <w:tcW w:w="2293" w:type="dxa"/>
          </w:tcPr>
          <w:p w14:paraId="2BD3754D">
            <w:pPr>
              <w:pStyle w:val="15"/>
              <w:pageBreakBefore w:val="0"/>
              <w:widowControl w:val="0"/>
              <w:kinsoku/>
              <w:wordWrap/>
              <w:overflowPunct/>
              <w:topLinePunct w:val="0"/>
              <w:autoSpaceDE/>
              <w:autoSpaceDN/>
              <w:bidi w:val="0"/>
              <w:adjustRightInd/>
              <w:spacing w:line="440" w:lineRule="exact"/>
              <w:ind w:left="0" w:left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0.2%</w:t>
            </w:r>
          </w:p>
        </w:tc>
      </w:tr>
      <w:tr w14:paraId="1DB2C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2719" w:type="dxa"/>
          </w:tcPr>
          <w:p w14:paraId="17DDE013">
            <w:pPr>
              <w:pStyle w:val="15"/>
              <w:pageBreakBefore w:val="0"/>
              <w:widowControl w:val="0"/>
              <w:kinsoku/>
              <w:wordWrap/>
              <w:overflowPunct/>
              <w:topLinePunct w:val="0"/>
              <w:autoSpaceDE/>
              <w:autoSpaceDN/>
              <w:bidi w:val="0"/>
              <w:adjustRightInd/>
              <w:spacing w:line="440" w:lineRule="exact"/>
              <w:ind w:left="0" w:left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10000-100000</w:t>
            </w:r>
          </w:p>
        </w:tc>
        <w:tc>
          <w:tcPr>
            <w:tcW w:w="2002" w:type="dxa"/>
          </w:tcPr>
          <w:p w14:paraId="589E61A0">
            <w:pPr>
              <w:pStyle w:val="15"/>
              <w:pageBreakBefore w:val="0"/>
              <w:widowControl w:val="0"/>
              <w:kinsoku/>
              <w:wordWrap/>
              <w:overflowPunct/>
              <w:topLinePunct w:val="0"/>
              <w:autoSpaceDE/>
              <w:autoSpaceDN/>
              <w:bidi w:val="0"/>
              <w:adjustRightInd/>
              <w:spacing w:line="440" w:lineRule="exact"/>
              <w:ind w:left="0" w:left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0.05%</w:t>
            </w:r>
          </w:p>
        </w:tc>
        <w:tc>
          <w:tcPr>
            <w:tcW w:w="1992" w:type="dxa"/>
          </w:tcPr>
          <w:p w14:paraId="3C025731">
            <w:pPr>
              <w:pStyle w:val="15"/>
              <w:pageBreakBefore w:val="0"/>
              <w:widowControl w:val="0"/>
              <w:kinsoku/>
              <w:wordWrap/>
              <w:overflowPunct/>
              <w:topLinePunct w:val="0"/>
              <w:autoSpaceDE/>
              <w:autoSpaceDN/>
              <w:bidi w:val="0"/>
              <w:adjustRightInd/>
              <w:spacing w:line="440" w:lineRule="exact"/>
              <w:ind w:left="0" w:left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0.05%</w:t>
            </w:r>
          </w:p>
        </w:tc>
        <w:tc>
          <w:tcPr>
            <w:tcW w:w="2293" w:type="dxa"/>
          </w:tcPr>
          <w:p w14:paraId="0AB0A4DE">
            <w:pPr>
              <w:pStyle w:val="15"/>
              <w:pageBreakBefore w:val="0"/>
              <w:widowControl w:val="0"/>
              <w:kinsoku/>
              <w:wordWrap/>
              <w:overflowPunct/>
              <w:topLinePunct w:val="0"/>
              <w:autoSpaceDE/>
              <w:autoSpaceDN/>
              <w:bidi w:val="0"/>
              <w:adjustRightInd/>
              <w:spacing w:line="440" w:lineRule="exact"/>
              <w:ind w:left="0" w:left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0.05%</w:t>
            </w:r>
          </w:p>
        </w:tc>
      </w:tr>
      <w:tr w14:paraId="0DDD7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2719" w:type="dxa"/>
          </w:tcPr>
          <w:p w14:paraId="60EAFCB8">
            <w:pPr>
              <w:pStyle w:val="15"/>
              <w:pageBreakBefore w:val="0"/>
              <w:widowControl w:val="0"/>
              <w:kinsoku/>
              <w:wordWrap/>
              <w:overflowPunct/>
              <w:topLinePunct w:val="0"/>
              <w:autoSpaceDE/>
              <w:autoSpaceDN/>
              <w:bidi w:val="0"/>
              <w:adjustRightInd/>
              <w:spacing w:line="440" w:lineRule="exact"/>
              <w:ind w:left="0" w:left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100000以上</w:t>
            </w:r>
          </w:p>
        </w:tc>
        <w:tc>
          <w:tcPr>
            <w:tcW w:w="2002" w:type="dxa"/>
          </w:tcPr>
          <w:p w14:paraId="45EDC88E">
            <w:pPr>
              <w:pStyle w:val="15"/>
              <w:pageBreakBefore w:val="0"/>
              <w:widowControl w:val="0"/>
              <w:kinsoku/>
              <w:wordWrap/>
              <w:overflowPunct/>
              <w:topLinePunct w:val="0"/>
              <w:autoSpaceDE/>
              <w:autoSpaceDN/>
              <w:bidi w:val="0"/>
              <w:adjustRightInd/>
              <w:spacing w:line="440" w:lineRule="exact"/>
              <w:ind w:left="0" w:left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0.01%</w:t>
            </w:r>
          </w:p>
        </w:tc>
        <w:tc>
          <w:tcPr>
            <w:tcW w:w="1992" w:type="dxa"/>
          </w:tcPr>
          <w:p w14:paraId="043761DD">
            <w:pPr>
              <w:pStyle w:val="15"/>
              <w:pageBreakBefore w:val="0"/>
              <w:widowControl w:val="0"/>
              <w:kinsoku/>
              <w:wordWrap/>
              <w:overflowPunct/>
              <w:topLinePunct w:val="0"/>
              <w:autoSpaceDE/>
              <w:autoSpaceDN/>
              <w:bidi w:val="0"/>
              <w:adjustRightInd/>
              <w:spacing w:line="440" w:lineRule="exact"/>
              <w:ind w:left="0" w:left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0.01%</w:t>
            </w:r>
          </w:p>
        </w:tc>
        <w:tc>
          <w:tcPr>
            <w:tcW w:w="2293" w:type="dxa"/>
          </w:tcPr>
          <w:p w14:paraId="78A2B14C">
            <w:pPr>
              <w:pStyle w:val="15"/>
              <w:pageBreakBefore w:val="0"/>
              <w:widowControl w:val="0"/>
              <w:kinsoku/>
              <w:wordWrap/>
              <w:overflowPunct/>
              <w:topLinePunct w:val="0"/>
              <w:autoSpaceDE/>
              <w:autoSpaceDN/>
              <w:bidi w:val="0"/>
              <w:adjustRightInd/>
              <w:spacing w:line="440" w:lineRule="exact"/>
              <w:ind w:left="0" w:left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0.01%</w:t>
            </w:r>
          </w:p>
        </w:tc>
      </w:tr>
    </w:tbl>
    <w:p w14:paraId="6CDFCD9E">
      <w:pPr>
        <w:pStyle w:val="15"/>
        <w:pageBreakBefore w:val="0"/>
        <w:widowControl w:val="0"/>
        <w:kinsoku/>
        <w:wordWrap/>
        <w:overflowPunct/>
        <w:topLinePunct w:val="0"/>
        <w:autoSpaceDE/>
        <w:autoSpaceDN/>
        <w:bidi w:val="0"/>
        <w:adjustRightInd/>
        <w:spacing w:line="440" w:lineRule="exact"/>
        <w:ind w:left="0" w:leftChars="0" w:firstLine="210" w:firstLineChars="1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注：采购代理服务收费按差额定率累进法计算。  </w:t>
      </w:r>
    </w:p>
    <w:p w14:paraId="73D2118C">
      <w:pPr>
        <w:pageBreakBefore w:val="0"/>
        <w:widowControl w:val="0"/>
        <w:kinsoku/>
        <w:wordWrap/>
        <w:overflowPunct/>
        <w:topLinePunct w:val="0"/>
        <w:autoSpaceDE/>
        <w:autoSpaceDN/>
        <w:bidi w:val="0"/>
        <w:adjustRightInd/>
        <w:spacing w:line="440" w:lineRule="exact"/>
        <w:ind w:left="0" w:leftChars="0" w:firstLine="422" w:firstLineChars="200"/>
        <w:textAlignment w:val="auto"/>
        <w:rPr>
          <w:rStyle w:val="37"/>
          <w:rFonts w:hint="eastAsia" w:ascii="宋体" w:hAnsi="宋体" w:eastAsia="宋体" w:cs="宋体"/>
          <w:b/>
          <w:color w:val="auto"/>
          <w:highlight w:val="none"/>
        </w:rPr>
      </w:pPr>
      <w:r>
        <w:rPr>
          <w:rStyle w:val="37"/>
          <w:rFonts w:hint="eastAsia" w:ascii="宋体" w:hAnsi="宋体" w:eastAsia="宋体" w:cs="宋体"/>
          <w:b/>
          <w:color w:val="auto"/>
          <w:highlight w:val="none"/>
        </w:rPr>
        <w:t>3</w:t>
      </w:r>
      <w:r>
        <w:rPr>
          <w:rStyle w:val="37"/>
          <w:rFonts w:hint="eastAsia" w:ascii="宋体" w:hAnsi="宋体" w:cs="宋体"/>
          <w:b/>
          <w:color w:val="auto"/>
          <w:highlight w:val="none"/>
          <w:lang w:val="en-US" w:eastAsia="zh-CN"/>
        </w:rPr>
        <w:t>1.</w:t>
      </w:r>
      <w:r>
        <w:rPr>
          <w:rStyle w:val="37"/>
          <w:rFonts w:hint="eastAsia" w:ascii="宋体" w:hAnsi="宋体" w:eastAsia="宋体" w:cs="宋体"/>
          <w:b/>
          <w:color w:val="auto"/>
          <w:highlight w:val="none"/>
        </w:rPr>
        <w:t>采购代理机构银行账户（用于交纳</w:t>
      </w:r>
      <w:r>
        <w:rPr>
          <w:rStyle w:val="37"/>
          <w:rFonts w:hint="eastAsia" w:ascii="宋体" w:hAnsi="宋体" w:eastAsia="宋体" w:cs="宋体"/>
          <w:b/>
          <w:color w:val="auto"/>
          <w:highlight w:val="none"/>
          <w:lang w:val="en-US" w:eastAsia="zh-CN"/>
        </w:rPr>
        <w:t>采购</w:t>
      </w:r>
      <w:r>
        <w:rPr>
          <w:rStyle w:val="37"/>
          <w:rFonts w:hint="eastAsia" w:ascii="宋体" w:hAnsi="宋体" w:eastAsia="宋体" w:cs="宋体"/>
          <w:b/>
          <w:color w:val="auto"/>
          <w:highlight w:val="none"/>
        </w:rPr>
        <w:t>代理服务费）：</w:t>
      </w:r>
    </w:p>
    <w:p w14:paraId="3D86292A">
      <w:pPr>
        <w:pStyle w:val="15"/>
        <w:keepNext w:val="0"/>
        <w:keepLines w:val="0"/>
        <w:pageBreakBefore w:val="0"/>
        <w:widowControl w:val="0"/>
        <w:kinsoku/>
        <w:wordWrap/>
        <w:overflowPunct/>
        <w:topLinePunct w:val="0"/>
        <w:autoSpaceDE/>
        <w:autoSpaceDN/>
        <w:bidi w:val="0"/>
        <w:snapToGrid/>
        <w:spacing w:line="420" w:lineRule="exact"/>
        <w:ind w:firstLine="420" w:firstLineChars="200"/>
        <w:rPr>
          <w:rFonts w:hint="default" w:hAnsi="宋体" w:eastAsia="宋体" w:cs="宋体"/>
          <w:bCs/>
          <w:color w:val="auto"/>
          <w:szCs w:val="21"/>
          <w:highlight w:val="none"/>
          <w:lang w:val="en-US" w:eastAsia="zh-CN"/>
        </w:rPr>
      </w:pPr>
      <w:r>
        <w:rPr>
          <w:rFonts w:hint="eastAsia" w:hAnsi="宋体" w:cs="宋体"/>
          <w:bCs/>
          <w:color w:val="auto"/>
          <w:szCs w:val="21"/>
          <w:highlight w:val="none"/>
        </w:rPr>
        <w:t>账户名称：</w:t>
      </w:r>
      <w:r>
        <w:rPr>
          <w:rFonts w:hint="eastAsia" w:hAnsi="宋体" w:cs="宋体"/>
          <w:bCs/>
          <w:color w:val="auto"/>
          <w:szCs w:val="21"/>
          <w:highlight w:val="none"/>
          <w:lang w:val="en-US" w:eastAsia="zh-CN"/>
        </w:rPr>
        <w:t>华诚博远工程咨询有限公司</w:t>
      </w:r>
    </w:p>
    <w:p w14:paraId="04507175">
      <w:pPr>
        <w:pStyle w:val="15"/>
        <w:keepNext w:val="0"/>
        <w:pageBreakBefore w:val="0"/>
        <w:kinsoku/>
        <w:wordWrap/>
        <w:overflowPunct/>
        <w:topLinePunct w:val="0"/>
        <w:bidi w:val="0"/>
        <w:spacing w:line="400" w:lineRule="exact"/>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银行账号：</w:t>
      </w:r>
      <w:r>
        <w:rPr>
          <w:rFonts w:hint="eastAsia" w:hAnsi="宋体" w:cs="宋体"/>
          <w:color w:val="auto"/>
          <w:kern w:val="0"/>
          <w:highlight w:val="none"/>
        </w:rPr>
        <w:t>11170101040007437</w:t>
      </w:r>
    </w:p>
    <w:p w14:paraId="7C0DAAF9">
      <w:pPr>
        <w:pStyle w:val="39"/>
        <w:pageBreakBefore w:val="0"/>
        <w:widowControl w:val="0"/>
        <w:kinsoku/>
        <w:wordWrap/>
        <w:overflowPunct/>
        <w:topLinePunct w:val="0"/>
        <w:autoSpaceDE/>
        <w:autoSpaceDN/>
        <w:bidi w:val="0"/>
        <w:adjustRightInd/>
        <w:snapToGrid w:val="0"/>
        <w:spacing w:line="440" w:lineRule="exact"/>
        <w:ind w:left="0" w:leftChars="0" w:firstLine="420" w:firstLineChars="200"/>
        <w:textAlignment w:val="auto"/>
        <w:rPr>
          <w:rStyle w:val="37"/>
          <w:rFonts w:hint="eastAsia" w:ascii="宋体" w:hAnsi="宋体" w:eastAsia="宋体" w:cs="宋体"/>
          <w:color w:val="auto"/>
          <w:highlight w:val="none"/>
        </w:rPr>
      </w:pPr>
      <w:r>
        <w:rPr>
          <w:rFonts w:hint="eastAsia" w:ascii="宋体" w:hAnsi="宋体" w:eastAsia="宋体" w:cs="宋体"/>
          <w:b w:val="0"/>
          <w:bCs/>
          <w:color w:val="auto"/>
          <w:sz w:val="21"/>
          <w:szCs w:val="21"/>
          <w:highlight w:val="none"/>
          <w:lang w:val="en-US" w:eastAsia="zh-CN"/>
        </w:rPr>
        <w:t>开户银行：</w:t>
      </w:r>
      <w:r>
        <w:rPr>
          <w:rFonts w:hint="eastAsia" w:hAnsi="宋体" w:cs="宋体"/>
          <w:color w:val="auto"/>
          <w:kern w:val="0"/>
          <w:highlight w:val="none"/>
        </w:rPr>
        <w:t>中国农业银行股份有限公司北京骡马市支行</w:t>
      </w:r>
      <w:r>
        <w:rPr>
          <w:rStyle w:val="37"/>
          <w:rFonts w:hint="eastAsia" w:ascii="宋体" w:hAnsi="宋体" w:eastAsia="宋体" w:cs="宋体"/>
          <w:color w:val="auto"/>
          <w:highlight w:val="none"/>
        </w:rPr>
        <w:t xml:space="preserve">  </w:t>
      </w:r>
    </w:p>
    <w:p w14:paraId="4E131403">
      <w:pPr>
        <w:pageBreakBefore w:val="0"/>
        <w:widowControl w:val="0"/>
        <w:kinsoku/>
        <w:wordWrap/>
        <w:overflowPunct/>
        <w:topLinePunct w:val="0"/>
        <w:autoSpaceDE/>
        <w:autoSpaceDN/>
        <w:bidi w:val="0"/>
        <w:adjustRightInd/>
        <w:spacing w:line="440" w:lineRule="exact"/>
        <w:ind w:left="0" w:leftChars="0" w:firstLine="422" w:firstLineChars="200"/>
        <w:textAlignment w:val="auto"/>
        <w:rPr>
          <w:rFonts w:hint="eastAsia" w:ascii="宋体" w:hAnsi="宋体" w:eastAsia="宋体" w:cs="宋体"/>
          <w:color w:val="auto"/>
          <w:highlight w:val="none"/>
        </w:rPr>
      </w:pPr>
      <w:r>
        <w:rPr>
          <w:rFonts w:hint="eastAsia" w:ascii="宋体" w:hAnsi="宋体" w:eastAsia="宋体" w:cs="宋体"/>
          <w:b/>
          <w:color w:val="auto"/>
          <w:highlight w:val="none"/>
        </w:rPr>
        <w:t>3</w:t>
      </w:r>
      <w:r>
        <w:rPr>
          <w:rFonts w:hint="eastAsia" w:ascii="宋体" w:hAnsi="宋体" w:cs="宋体"/>
          <w:b/>
          <w:color w:val="auto"/>
          <w:highlight w:val="none"/>
          <w:lang w:val="en-US" w:eastAsia="zh-CN"/>
        </w:rPr>
        <w:t>2</w:t>
      </w:r>
      <w:r>
        <w:rPr>
          <w:rFonts w:hint="eastAsia" w:ascii="宋体" w:hAnsi="宋体" w:cs="宋体"/>
          <w:b/>
          <w:color w:val="auto"/>
          <w:highlight w:val="none"/>
          <w:lang w:eastAsia="zh-CN"/>
        </w:rPr>
        <w:t>.</w:t>
      </w:r>
      <w:r>
        <w:rPr>
          <w:rFonts w:hint="eastAsia" w:ascii="宋体" w:hAnsi="宋体" w:eastAsia="宋体" w:cs="宋体"/>
          <w:b/>
          <w:color w:val="auto"/>
          <w:highlight w:val="none"/>
        </w:rPr>
        <w:t>解释权：</w:t>
      </w:r>
    </w:p>
    <w:p w14:paraId="0DEAB5D8">
      <w:pPr>
        <w:keepNext w:val="0"/>
        <w:keepLines w:val="0"/>
        <w:pageBreakBefore w:val="0"/>
        <w:widowControl w:val="0"/>
        <w:kinsoku/>
        <w:wordWrap/>
        <w:overflowPunct/>
        <w:topLinePunct w:val="0"/>
        <w:autoSpaceDE/>
        <w:autoSpaceDN/>
        <w:bidi w:val="0"/>
        <w:adjustRightInd/>
        <w:spacing w:line="440" w:lineRule="exact"/>
        <w:ind w:left="0" w:leftChars="0" w:firstLine="420" w:firstLineChars="200"/>
        <w:textAlignment w:val="auto"/>
        <w:rPr>
          <w:rFonts w:hint="eastAsia" w:ascii="宋体" w:hAnsi="宋体" w:eastAsia="宋体" w:cs="宋体"/>
          <w:color w:val="auto"/>
          <w:highlight w:val="none"/>
        </w:rPr>
      </w:pPr>
      <w:r>
        <w:rPr>
          <w:rStyle w:val="37"/>
          <w:rFonts w:hint="eastAsia" w:ascii="宋体" w:hAnsi="宋体" w:eastAsia="宋体" w:cs="宋体"/>
          <w:color w:val="auto"/>
          <w:highlight w:val="none"/>
        </w:rPr>
        <w:t>本竞争性磋商文件是根据《中华人民共和国政府采购法》、《中华人民共和国政府采购法实施条例》、《政府采购竞争性磋商采购方式管理暂行办法》和政府采购管理有关规定编制，</w:t>
      </w:r>
      <w:r>
        <w:rPr>
          <w:rStyle w:val="37"/>
          <w:rFonts w:hint="eastAsia" w:ascii="宋体" w:hAnsi="宋体" w:eastAsia="宋体" w:cs="宋体"/>
          <w:color w:val="auto"/>
          <w:szCs w:val="21"/>
          <w:highlight w:val="none"/>
        </w:rPr>
        <w:t>本竞争性磋商文件的解释权属于采购代理机构。</w:t>
      </w:r>
    </w:p>
    <w:p w14:paraId="4BBA83D1">
      <w:pPr>
        <w:pageBreakBefore w:val="0"/>
        <w:widowControl w:val="0"/>
        <w:tabs>
          <w:tab w:val="center" w:pos="4410"/>
          <w:tab w:val="left" w:pos="6735"/>
        </w:tabs>
        <w:kinsoku/>
        <w:wordWrap/>
        <w:overflowPunct/>
        <w:topLinePunct w:val="0"/>
        <w:autoSpaceDE/>
        <w:autoSpaceDN/>
        <w:bidi w:val="0"/>
        <w:adjustRightInd/>
        <w:spacing w:line="440" w:lineRule="exact"/>
        <w:ind w:left="0" w:leftChars="0" w:firstLine="422" w:firstLineChars="20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3</w:t>
      </w:r>
      <w:r>
        <w:rPr>
          <w:rFonts w:hint="eastAsia" w:ascii="宋体" w:hAnsi="宋体" w:cs="宋体"/>
          <w:b/>
          <w:color w:val="auto"/>
          <w:highlight w:val="none"/>
          <w:lang w:val="en-US" w:eastAsia="zh-CN"/>
        </w:rPr>
        <w:t>3.</w:t>
      </w:r>
      <w:r>
        <w:rPr>
          <w:rFonts w:hint="eastAsia" w:ascii="宋体" w:hAnsi="宋体" w:eastAsia="宋体" w:cs="宋体"/>
          <w:b/>
          <w:color w:val="auto"/>
          <w:highlight w:val="none"/>
        </w:rPr>
        <w:t>监督管理机构：</w:t>
      </w:r>
    </w:p>
    <w:p w14:paraId="07B8B3DD">
      <w:pPr>
        <w:pStyle w:val="3"/>
        <w:keepNext/>
        <w:keepLines/>
        <w:pageBreakBefore w:val="0"/>
        <w:widowControl w:val="0"/>
        <w:kinsoku/>
        <w:wordWrap/>
        <w:overflowPunct/>
        <w:topLinePunct w:val="0"/>
        <w:autoSpaceDE/>
        <w:autoSpaceDN/>
        <w:bidi w:val="0"/>
        <w:adjustRightInd/>
        <w:snapToGrid/>
        <w:spacing w:before="0" w:after="0" w:line="400" w:lineRule="exact"/>
        <w:ind w:firstLine="420" w:firstLineChars="200"/>
        <w:textAlignment w:val="auto"/>
        <w:rPr>
          <w:rStyle w:val="37"/>
          <w:rFonts w:hint="eastAsia" w:ascii="宋体" w:hAnsi="宋体" w:eastAsia="宋体" w:cs="宋体"/>
          <w:b w:val="0"/>
          <w:color w:val="auto"/>
          <w:highlight w:val="none"/>
          <w:lang w:val="en-US" w:eastAsia="zh-CN"/>
        </w:rPr>
      </w:pPr>
      <w:r>
        <w:rPr>
          <w:rStyle w:val="37"/>
          <w:rFonts w:hint="eastAsia" w:ascii="宋体" w:hAnsi="宋体" w:eastAsia="宋体" w:cs="宋体"/>
          <w:b w:val="0"/>
          <w:color w:val="auto"/>
          <w:highlight w:val="none"/>
          <w:lang w:val="en-US" w:eastAsia="zh-CN"/>
        </w:rPr>
        <w:t>桂林市政府采购管理办公室；联系电话：0773-2862142</w:t>
      </w:r>
    </w:p>
    <w:p w14:paraId="480721E3">
      <w:pPr>
        <w:pStyle w:val="3"/>
        <w:keepNext/>
        <w:keepLines/>
        <w:pageBreakBefore w:val="0"/>
        <w:widowControl w:val="0"/>
        <w:kinsoku/>
        <w:wordWrap/>
        <w:overflowPunct/>
        <w:topLinePunct w:val="0"/>
        <w:autoSpaceDE/>
        <w:autoSpaceDN/>
        <w:bidi w:val="0"/>
        <w:adjustRightInd/>
        <w:snapToGrid/>
        <w:spacing w:before="0" w:after="0" w:line="400" w:lineRule="exact"/>
        <w:ind w:firstLine="420" w:firstLineChars="200"/>
        <w:textAlignment w:val="auto"/>
        <w:rPr>
          <w:rStyle w:val="37"/>
          <w:rFonts w:hint="eastAsia" w:ascii="宋体" w:hAnsi="宋体" w:eastAsia="宋体" w:cs="宋体"/>
          <w:b w:val="0"/>
          <w:color w:val="auto"/>
          <w:highlight w:val="none"/>
          <w:lang w:val="en-US" w:eastAsia="zh-CN"/>
        </w:rPr>
      </w:pPr>
    </w:p>
    <w:p w14:paraId="4B662042">
      <w:pPr>
        <w:pStyle w:val="10"/>
        <w:rPr>
          <w:rFonts w:hint="eastAsia"/>
          <w:color w:val="auto"/>
          <w:highlight w:val="none"/>
        </w:rPr>
      </w:pPr>
    </w:p>
    <w:p w14:paraId="1337BC75">
      <w:pPr>
        <w:rPr>
          <w:rFonts w:hint="eastAsia"/>
          <w:color w:val="auto"/>
          <w:highlight w:val="none"/>
        </w:rPr>
      </w:pPr>
    </w:p>
    <w:p w14:paraId="666EEAC5">
      <w:pPr>
        <w:pStyle w:val="3"/>
        <w:rPr>
          <w:rFonts w:hint="eastAsia"/>
          <w:color w:val="auto"/>
          <w:highlight w:val="none"/>
        </w:rPr>
      </w:pPr>
    </w:p>
    <w:p w14:paraId="2E9D7DF2">
      <w:pPr>
        <w:rPr>
          <w:rFonts w:hint="eastAsia"/>
          <w:color w:val="auto"/>
          <w:highlight w:val="none"/>
        </w:rPr>
      </w:pPr>
    </w:p>
    <w:p w14:paraId="7622A030">
      <w:pPr>
        <w:pStyle w:val="3"/>
        <w:rPr>
          <w:rFonts w:hint="eastAsia"/>
          <w:color w:val="auto"/>
          <w:highlight w:val="none"/>
        </w:rPr>
      </w:pPr>
    </w:p>
    <w:p w14:paraId="41186AA2">
      <w:pPr>
        <w:rPr>
          <w:rFonts w:hint="eastAsia"/>
          <w:color w:val="auto"/>
          <w:highlight w:val="none"/>
        </w:rPr>
      </w:pPr>
    </w:p>
    <w:p w14:paraId="7BE358E0">
      <w:pPr>
        <w:pStyle w:val="3"/>
        <w:rPr>
          <w:rFonts w:hint="eastAsia"/>
          <w:color w:val="auto"/>
          <w:highlight w:val="none"/>
        </w:rPr>
      </w:pPr>
    </w:p>
    <w:p w14:paraId="160F7E86">
      <w:pPr>
        <w:rPr>
          <w:rFonts w:hint="eastAsia"/>
          <w:color w:val="auto"/>
          <w:highlight w:val="none"/>
        </w:rPr>
      </w:pPr>
    </w:p>
    <w:p w14:paraId="32C1FCC4">
      <w:pPr>
        <w:pStyle w:val="3"/>
        <w:rPr>
          <w:rFonts w:hint="eastAsia"/>
          <w:color w:val="auto"/>
          <w:highlight w:val="none"/>
        </w:rPr>
      </w:pPr>
    </w:p>
    <w:p w14:paraId="6DF26F2E">
      <w:pPr>
        <w:rPr>
          <w:rFonts w:hint="eastAsia"/>
          <w:color w:val="auto"/>
          <w:highlight w:val="none"/>
        </w:rPr>
      </w:pPr>
    </w:p>
    <w:p w14:paraId="5431F819">
      <w:pPr>
        <w:pStyle w:val="3"/>
        <w:rPr>
          <w:rFonts w:hint="eastAsia"/>
          <w:color w:val="auto"/>
          <w:highlight w:val="none"/>
        </w:rPr>
      </w:pPr>
    </w:p>
    <w:p w14:paraId="24977143">
      <w:pPr>
        <w:rPr>
          <w:rFonts w:hint="eastAsia"/>
          <w:color w:val="auto"/>
          <w:highlight w:val="none"/>
        </w:rPr>
      </w:pPr>
    </w:p>
    <w:p w14:paraId="5B782B6B">
      <w:pPr>
        <w:pStyle w:val="3"/>
        <w:rPr>
          <w:rFonts w:hint="eastAsia"/>
          <w:color w:val="auto"/>
          <w:highlight w:val="none"/>
        </w:rPr>
      </w:pPr>
    </w:p>
    <w:p w14:paraId="5B480473">
      <w:pPr>
        <w:rPr>
          <w:rFonts w:hint="eastAsia"/>
          <w:color w:val="auto"/>
          <w:highlight w:val="none"/>
        </w:rPr>
      </w:pPr>
    </w:p>
    <w:p w14:paraId="66FAD6FD">
      <w:pPr>
        <w:rPr>
          <w:rFonts w:hint="eastAsia"/>
          <w:color w:val="auto"/>
          <w:highlight w:val="none"/>
        </w:rPr>
      </w:pPr>
    </w:p>
    <w:p w14:paraId="53348A55">
      <w:pPr>
        <w:rPr>
          <w:rFonts w:hint="eastAsia" w:ascii="宋体" w:hAnsi="宋体" w:eastAsia="宋体" w:cs="宋体"/>
          <w:b/>
          <w:color w:val="auto"/>
          <w:sz w:val="24"/>
          <w:szCs w:val="24"/>
          <w:highlight w:val="none"/>
        </w:rPr>
      </w:pPr>
      <w:bookmarkStart w:id="5" w:name="_Toc34217863"/>
      <w:r>
        <w:rPr>
          <w:rFonts w:hint="eastAsia" w:ascii="宋体" w:hAnsi="宋体" w:eastAsia="宋体" w:cs="宋体"/>
          <w:b/>
          <w:color w:val="auto"/>
          <w:sz w:val="24"/>
          <w:szCs w:val="24"/>
          <w:highlight w:val="none"/>
        </w:rPr>
        <w:br w:type="page"/>
      </w:r>
    </w:p>
    <w:p w14:paraId="5DE65477">
      <w:pPr>
        <w:pStyle w:val="15"/>
        <w:snapToGrid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附表1：</w:t>
      </w:r>
    </w:p>
    <w:p w14:paraId="22306A2E">
      <w:pPr>
        <w:spacing w:line="460" w:lineRule="exact"/>
        <w:jc w:val="center"/>
        <w:rPr>
          <w:rFonts w:hint="eastAsia" w:ascii="宋体" w:hAnsi="宋体" w:eastAsia="宋体" w:cs="宋体"/>
          <w:color w:val="auto"/>
          <w:sz w:val="32"/>
          <w:szCs w:val="32"/>
          <w:highlight w:val="none"/>
        </w:rPr>
      </w:pPr>
      <w:r>
        <w:rPr>
          <w:rFonts w:hint="eastAsia" w:ascii="宋体" w:hAnsi="宋体" w:eastAsia="宋体" w:cs="宋体"/>
          <w:b/>
          <w:bCs/>
          <w:color w:val="auto"/>
          <w:sz w:val="32"/>
          <w:szCs w:val="32"/>
          <w:highlight w:val="none"/>
        </w:rPr>
        <w:t>质疑函（格式）</w:t>
      </w:r>
    </w:p>
    <w:p w14:paraId="5257A279">
      <w:pPr>
        <w:pStyle w:val="15"/>
        <w:snapToGrid w:val="0"/>
        <w:spacing w:line="360" w:lineRule="exact"/>
        <w:ind w:firstLine="42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一、质疑供应商基本信息：</w:t>
      </w:r>
    </w:p>
    <w:p w14:paraId="34E3567F">
      <w:pPr>
        <w:pStyle w:val="15"/>
        <w:snapToGrid w:val="0"/>
        <w:spacing w:line="360" w:lineRule="exact"/>
        <w:ind w:firstLine="420" w:firstLineChars="200"/>
        <w:rPr>
          <w:rFonts w:hint="eastAsia" w:ascii="宋体" w:hAnsi="宋体" w:eastAsia="宋体" w:cs="宋体"/>
          <w:bCs/>
          <w:color w:val="auto"/>
          <w:highlight w:val="none"/>
          <w:u w:val="single"/>
        </w:rPr>
      </w:pPr>
      <w:r>
        <w:rPr>
          <w:rFonts w:hint="eastAsia" w:ascii="宋体" w:hAnsi="宋体" w:eastAsia="宋体" w:cs="宋体"/>
          <w:bCs/>
          <w:color w:val="auto"/>
          <w:highlight w:val="none"/>
        </w:rPr>
        <w:t>质疑供应商：</w:t>
      </w:r>
      <w:r>
        <w:rPr>
          <w:rFonts w:hint="eastAsia" w:ascii="宋体" w:hAnsi="宋体" w:eastAsia="宋体" w:cs="宋体"/>
          <w:bCs/>
          <w:color w:val="auto"/>
          <w:highlight w:val="none"/>
          <w:u w:val="single"/>
        </w:rPr>
        <w:t xml:space="preserve">                                       </w:t>
      </w:r>
    </w:p>
    <w:p w14:paraId="512E5861">
      <w:pPr>
        <w:pStyle w:val="15"/>
        <w:snapToGrid w:val="0"/>
        <w:spacing w:line="360" w:lineRule="exact"/>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地址：</w:t>
      </w:r>
      <w:r>
        <w:rPr>
          <w:rFonts w:hint="eastAsia" w:ascii="宋体" w:hAnsi="宋体" w:eastAsia="宋体" w:cs="宋体"/>
          <w:bCs/>
          <w:color w:val="auto"/>
          <w:highlight w:val="none"/>
          <w:u w:val="single"/>
        </w:rPr>
        <w:t xml:space="preserve">                                          </w:t>
      </w:r>
      <w:r>
        <w:rPr>
          <w:rFonts w:hint="eastAsia" w:ascii="宋体" w:hAnsi="宋体" w:eastAsia="宋体" w:cs="宋体"/>
          <w:bCs/>
          <w:color w:val="auto"/>
          <w:highlight w:val="none"/>
        </w:rPr>
        <w:t>邮编：</w:t>
      </w:r>
      <w:r>
        <w:rPr>
          <w:rFonts w:hint="eastAsia" w:ascii="宋体" w:hAnsi="宋体" w:eastAsia="宋体" w:cs="宋体"/>
          <w:bCs/>
          <w:color w:val="auto"/>
          <w:highlight w:val="none"/>
          <w:u w:val="single"/>
        </w:rPr>
        <w:t xml:space="preserve">                  </w:t>
      </w:r>
    </w:p>
    <w:p w14:paraId="67B4D1CD">
      <w:pPr>
        <w:pStyle w:val="15"/>
        <w:snapToGrid w:val="0"/>
        <w:spacing w:line="360" w:lineRule="exact"/>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联系人：</w:t>
      </w:r>
      <w:r>
        <w:rPr>
          <w:rFonts w:hint="eastAsia" w:ascii="宋体" w:hAnsi="宋体" w:eastAsia="宋体" w:cs="宋体"/>
          <w:bCs/>
          <w:color w:val="auto"/>
          <w:highlight w:val="none"/>
          <w:u w:val="single"/>
        </w:rPr>
        <w:t xml:space="preserve">                     </w:t>
      </w:r>
      <w:r>
        <w:rPr>
          <w:rFonts w:hint="eastAsia" w:ascii="宋体" w:hAnsi="宋体" w:eastAsia="宋体" w:cs="宋体"/>
          <w:bCs/>
          <w:color w:val="auto"/>
          <w:highlight w:val="none"/>
        </w:rPr>
        <w:t>联系电话：</w:t>
      </w:r>
      <w:r>
        <w:rPr>
          <w:rFonts w:hint="eastAsia" w:ascii="宋体" w:hAnsi="宋体" w:eastAsia="宋体" w:cs="宋体"/>
          <w:bCs/>
          <w:color w:val="auto"/>
          <w:highlight w:val="none"/>
          <w:u w:val="single"/>
        </w:rPr>
        <w:t xml:space="preserve">                 </w:t>
      </w:r>
    </w:p>
    <w:p w14:paraId="3B65DEE1">
      <w:pPr>
        <w:pStyle w:val="15"/>
        <w:snapToGrid w:val="0"/>
        <w:spacing w:line="360" w:lineRule="exact"/>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授权代表：</w:t>
      </w:r>
      <w:r>
        <w:rPr>
          <w:rFonts w:hint="eastAsia" w:ascii="宋体" w:hAnsi="宋体" w:eastAsia="宋体" w:cs="宋体"/>
          <w:bCs/>
          <w:color w:val="auto"/>
          <w:highlight w:val="none"/>
          <w:u w:val="single"/>
        </w:rPr>
        <w:t xml:space="preserve">                      </w:t>
      </w:r>
    </w:p>
    <w:p w14:paraId="2EFECC9F">
      <w:pPr>
        <w:pStyle w:val="15"/>
        <w:snapToGrid w:val="0"/>
        <w:spacing w:line="360" w:lineRule="exact"/>
        <w:ind w:firstLine="420" w:firstLineChars="200"/>
        <w:rPr>
          <w:rFonts w:hint="eastAsia" w:ascii="宋体" w:hAnsi="宋体" w:eastAsia="宋体" w:cs="宋体"/>
          <w:bCs/>
          <w:color w:val="auto"/>
          <w:highlight w:val="none"/>
          <w:u w:val="single"/>
        </w:rPr>
      </w:pPr>
      <w:r>
        <w:rPr>
          <w:rFonts w:hint="eastAsia" w:ascii="宋体" w:hAnsi="宋体" w:eastAsia="宋体" w:cs="宋体"/>
          <w:bCs/>
          <w:color w:val="auto"/>
          <w:highlight w:val="none"/>
        </w:rPr>
        <w:t>联系电话：</w:t>
      </w:r>
      <w:r>
        <w:rPr>
          <w:rFonts w:hint="eastAsia" w:ascii="宋体" w:hAnsi="宋体" w:eastAsia="宋体" w:cs="宋体"/>
          <w:bCs/>
          <w:color w:val="auto"/>
          <w:highlight w:val="none"/>
          <w:u w:val="single"/>
        </w:rPr>
        <w:t xml:space="preserve">                      </w:t>
      </w:r>
    </w:p>
    <w:p w14:paraId="761CF75A">
      <w:pPr>
        <w:pStyle w:val="15"/>
        <w:snapToGrid w:val="0"/>
        <w:spacing w:line="360" w:lineRule="exact"/>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地址：</w:t>
      </w:r>
      <w:r>
        <w:rPr>
          <w:rFonts w:hint="eastAsia" w:ascii="宋体" w:hAnsi="宋体" w:eastAsia="宋体" w:cs="宋体"/>
          <w:bCs/>
          <w:color w:val="auto"/>
          <w:highlight w:val="none"/>
          <w:u w:val="single"/>
        </w:rPr>
        <w:t xml:space="preserve">                 </w:t>
      </w:r>
      <w:r>
        <w:rPr>
          <w:rFonts w:hint="eastAsia" w:ascii="宋体" w:hAnsi="宋体" w:eastAsia="宋体" w:cs="宋体"/>
          <w:bCs/>
          <w:color w:val="auto"/>
          <w:highlight w:val="none"/>
        </w:rPr>
        <w:t>邮编：</w:t>
      </w:r>
      <w:r>
        <w:rPr>
          <w:rFonts w:hint="eastAsia" w:ascii="宋体" w:hAnsi="宋体" w:eastAsia="宋体" w:cs="宋体"/>
          <w:bCs/>
          <w:color w:val="auto"/>
          <w:highlight w:val="none"/>
          <w:u w:val="single"/>
        </w:rPr>
        <w:t xml:space="preserve">                  </w:t>
      </w:r>
    </w:p>
    <w:p w14:paraId="525C6C7A">
      <w:pPr>
        <w:pStyle w:val="15"/>
        <w:snapToGrid w:val="0"/>
        <w:spacing w:line="360" w:lineRule="exact"/>
        <w:ind w:firstLine="42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二、质疑项目基本情况：</w:t>
      </w:r>
    </w:p>
    <w:p w14:paraId="36F2337C">
      <w:pPr>
        <w:pStyle w:val="15"/>
        <w:spacing w:line="360" w:lineRule="exact"/>
        <w:ind w:left="25" w:leftChars="12" w:firstLine="413" w:firstLineChars="197"/>
        <w:rPr>
          <w:rFonts w:hint="eastAsia" w:ascii="宋体" w:hAnsi="宋体" w:eastAsia="宋体" w:cs="宋体"/>
          <w:color w:val="auto"/>
          <w:szCs w:val="21"/>
          <w:highlight w:val="none"/>
        </w:rPr>
      </w:pPr>
      <w:r>
        <w:rPr>
          <w:rFonts w:hint="eastAsia" w:ascii="宋体" w:hAnsi="宋体" w:eastAsia="宋体" w:cs="宋体"/>
          <w:bCs/>
          <w:color w:val="auto"/>
          <w:highlight w:val="none"/>
        </w:rPr>
        <w:t>质疑</w:t>
      </w:r>
      <w:r>
        <w:rPr>
          <w:rFonts w:hint="eastAsia" w:ascii="宋体" w:hAnsi="宋体" w:eastAsia="宋体" w:cs="宋体"/>
          <w:color w:val="auto"/>
          <w:szCs w:val="21"/>
          <w:highlight w:val="none"/>
        </w:rPr>
        <w:t>项目的名称：</w:t>
      </w:r>
      <w:r>
        <w:rPr>
          <w:rFonts w:hint="eastAsia" w:ascii="宋体" w:hAnsi="宋体" w:eastAsia="宋体" w:cs="宋体"/>
          <w:bCs/>
          <w:color w:val="auto"/>
          <w:highlight w:val="none"/>
          <w:u w:val="single"/>
        </w:rPr>
        <w:t xml:space="preserve">                                     </w:t>
      </w:r>
    </w:p>
    <w:p w14:paraId="4DBDBCDC">
      <w:pPr>
        <w:pStyle w:val="15"/>
        <w:spacing w:line="360" w:lineRule="exact"/>
        <w:ind w:left="25" w:leftChars="12" w:firstLine="413" w:firstLineChars="197"/>
        <w:rPr>
          <w:rFonts w:hint="eastAsia" w:ascii="宋体" w:hAnsi="宋体" w:eastAsia="宋体" w:cs="宋体"/>
          <w:color w:val="auto"/>
          <w:szCs w:val="21"/>
          <w:highlight w:val="none"/>
        </w:rPr>
      </w:pPr>
      <w:r>
        <w:rPr>
          <w:rFonts w:hint="eastAsia" w:ascii="宋体" w:hAnsi="宋体" w:eastAsia="宋体" w:cs="宋体"/>
          <w:bCs/>
          <w:color w:val="auto"/>
          <w:highlight w:val="none"/>
        </w:rPr>
        <w:t>质疑</w:t>
      </w:r>
      <w:r>
        <w:rPr>
          <w:rFonts w:hint="eastAsia" w:ascii="宋体" w:hAnsi="宋体" w:eastAsia="宋体" w:cs="宋体"/>
          <w:color w:val="auto"/>
          <w:szCs w:val="21"/>
          <w:highlight w:val="none"/>
        </w:rPr>
        <w:t>项目的编号：</w:t>
      </w:r>
      <w:r>
        <w:rPr>
          <w:rFonts w:hint="eastAsia" w:ascii="宋体" w:hAnsi="宋体" w:eastAsia="宋体" w:cs="宋体"/>
          <w:bCs/>
          <w:color w:val="auto"/>
          <w:highlight w:val="none"/>
          <w:u w:val="single"/>
        </w:rPr>
        <w:t xml:space="preserve">                               </w:t>
      </w:r>
      <w:r>
        <w:rPr>
          <w:rFonts w:hint="eastAsia" w:ascii="宋体" w:hAnsi="宋体" w:eastAsia="宋体" w:cs="宋体"/>
          <w:bCs/>
          <w:color w:val="auto"/>
          <w:highlight w:val="none"/>
        </w:rPr>
        <w:t>包号：</w:t>
      </w:r>
      <w:r>
        <w:rPr>
          <w:rFonts w:hint="eastAsia" w:ascii="宋体" w:hAnsi="宋体" w:eastAsia="宋体" w:cs="宋体"/>
          <w:bCs/>
          <w:color w:val="auto"/>
          <w:highlight w:val="none"/>
          <w:u w:val="single"/>
        </w:rPr>
        <w:t xml:space="preserve">                            </w:t>
      </w:r>
    </w:p>
    <w:p w14:paraId="07534896">
      <w:pPr>
        <w:pStyle w:val="15"/>
        <w:spacing w:line="360" w:lineRule="exact"/>
        <w:ind w:left="25" w:leftChars="12" w:firstLine="413" w:firstLineChars="197"/>
        <w:rPr>
          <w:rFonts w:hint="eastAsia" w:ascii="宋体" w:hAnsi="宋体" w:eastAsia="宋体" w:cs="宋体"/>
          <w:bCs/>
          <w:color w:val="auto"/>
          <w:highlight w:val="none"/>
          <w:u w:val="single"/>
        </w:rPr>
      </w:pPr>
      <w:r>
        <w:rPr>
          <w:rFonts w:hint="eastAsia" w:ascii="宋体" w:hAnsi="宋体" w:eastAsia="宋体" w:cs="宋体"/>
          <w:color w:val="auto"/>
          <w:szCs w:val="21"/>
          <w:highlight w:val="none"/>
        </w:rPr>
        <w:t>采购人名称：</w:t>
      </w:r>
      <w:r>
        <w:rPr>
          <w:rFonts w:hint="eastAsia" w:ascii="宋体" w:hAnsi="宋体" w:eastAsia="宋体" w:cs="宋体"/>
          <w:bCs/>
          <w:color w:val="auto"/>
          <w:highlight w:val="none"/>
          <w:u w:val="single"/>
        </w:rPr>
        <w:t xml:space="preserve">                                         </w:t>
      </w:r>
    </w:p>
    <w:p w14:paraId="112F4CB8">
      <w:pPr>
        <w:pStyle w:val="15"/>
        <w:spacing w:line="360" w:lineRule="exact"/>
        <w:ind w:left="25" w:leftChars="12" w:firstLine="413" w:firstLineChars="197"/>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采购文件获取日期：</w:t>
      </w:r>
      <w:r>
        <w:rPr>
          <w:rFonts w:hint="eastAsia" w:ascii="宋体" w:hAnsi="宋体" w:eastAsia="宋体" w:cs="宋体"/>
          <w:color w:val="auto"/>
          <w:szCs w:val="21"/>
          <w:highlight w:val="none"/>
          <w:u w:val="single"/>
        </w:rPr>
        <w:t xml:space="preserve">                                   </w:t>
      </w:r>
    </w:p>
    <w:p w14:paraId="123970C7">
      <w:pPr>
        <w:pStyle w:val="15"/>
        <w:spacing w:line="360" w:lineRule="exact"/>
        <w:ind w:left="25" w:leftChars="12" w:firstLine="413" w:firstLineChars="196"/>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三、质疑事项具体内容</w:t>
      </w:r>
    </w:p>
    <w:p w14:paraId="6B2B28E2">
      <w:pPr>
        <w:pStyle w:val="15"/>
        <w:spacing w:line="360" w:lineRule="exact"/>
        <w:ind w:left="25" w:leftChars="12" w:firstLine="413" w:firstLineChars="197"/>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质疑事项1：</w:t>
      </w:r>
      <w:r>
        <w:rPr>
          <w:rFonts w:hint="eastAsia" w:ascii="宋体" w:hAnsi="宋体" w:eastAsia="宋体" w:cs="宋体"/>
          <w:bCs/>
          <w:color w:val="auto"/>
          <w:highlight w:val="none"/>
          <w:u w:val="single"/>
        </w:rPr>
        <w:t xml:space="preserve">                                                                    </w:t>
      </w:r>
    </w:p>
    <w:p w14:paraId="6ED25F2A">
      <w:pPr>
        <w:pStyle w:val="15"/>
        <w:spacing w:line="360" w:lineRule="exact"/>
        <w:ind w:left="25" w:leftChars="12" w:firstLine="413" w:firstLineChars="197"/>
        <w:rPr>
          <w:rFonts w:hint="eastAsia" w:ascii="宋体" w:hAnsi="宋体" w:eastAsia="宋体" w:cs="宋体"/>
          <w:color w:val="auto"/>
          <w:szCs w:val="21"/>
          <w:highlight w:val="none"/>
        </w:rPr>
      </w:pPr>
      <w:r>
        <w:rPr>
          <w:rFonts w:hint="eastAsia" w:ascii="宋体" w:hAnsi="宋体" w:eastAsia="宋体" w:cs="宋体"/>
          <w:color w:val="auto"/>
          <w:szCs w:val="21"/>
          <w:highlight w:val="none"/>
        </w:rPr>
        <w:t>事实依据：</w:t>
      </w:r>
      <w:r>
        <w:rPr>
          <w:rFonts w:hint="eastAsia" w:ascii="宋体" w:hAnsi="宋体" w:eastAsia="宋体" w:cs="宋体"/>
          <w:bCs/>
          <w:color w:val="auto"/>
          <w:highlight w:val="none"/>
          <w:u w:val="single"/>
        </w:rPr>
        <w:t xml:space="preserve">                                                                      </w:t>
      </w:r>
    </w:p>
    <w:p w14:paraId="664A970A">
      <w:pPr>
        <w:pStyle w:val="15"/>
        <w:spacing w:line="360" w:lineRule="exact"/>
        <w:ind w:left="25" w:leftChars="12" w:firstLine="413" w:firstLineChars="197"/>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法律依据：</w:t>
      </w:r>
      <w:r>
        <w:rPr>
          <w:rFonts w:hint="eastAsia" w:ascii="宋体" w:hAnsi="宋体" w:eastAsia="宋体" w:cs="宋体"/>
          <w:color w:val="auto"/>
          <w:szCs w:val="21"/>
          <w:highlight w:val="none"/>
          <w:u w:val="single"/>
        </w:rPr>
        <w:t xml:space="preserve">                                                        </w:t>
      </w:r>
      <w:r>
        <w:rPr>
          <w:rFonts w:hint="eastAsia" w:ascii="宋体" w:hAnsi="宋体" w:eastAsia="宋体" w:cs="宋体"/>
          <w:bCs/>
          <w:color w:val="auto"/>
          <w:highlight w:val="none"/>
          <w:u w:val="single"/>
        </w:rPr>
        <w:t xml:space="preserve">              </w:t>
      </w:r>
    </w:p>
    <w:p w14:paraId="3A486CA5">
      <w:pPr>
        <w:pStyle w:val="15"/>
        <w:spacing w:line="360" w:lineRule="exact"/>
        <w:ind w:left="25" w:leftChars="12" w:firstLine="413" w:firstLineChars="197"/>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质疑事项2</w:t>
      </w:r>
    </w:p>
    <w:p w14:paraId="7A8B75B7">
      <w:pPr>
        <w:pStyle w:val="15"/>
        <w:spacing w:line="360" w:lineRule="exact"/>
        <w:ind w:left="25" w:leftChars="12" w:firstLine="413" w:firstLineChars="197"/>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p w14:paraId="2D4A0CD7">
      <w:pPr>
        <w:pStyle w:val="15"/>
        <w:spacing w:line="360" w:lineRule="exact"/>
        <w:ind w:left="25" w:leftChars="12" w:firstLine="413" w:firstLineChars="197"/>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四、与质疑事项相关的质疑请求：</w:t>
      </w:r>
    </w:p>
    <w:p w14:paraId="715CC579">
      <w:pPr>
        <w:pStyle w:val="15"/>
        <w:spacing w:line="360" w:lineRule="exact"/>
        <w:ind w:left="25" w:leftChars="12" w:firstLine="413" w:firstLineChars="197"/>
        <w:rPr>
          <w:rFonts w:hint="eastAsia" w:ascii="宋体" w:hAnsi="宋体" w:eastAsia="宋体" w:cs="宋体"/>
          <w:color w:val="auto"/>
          <w:szCs w:val="21"/>
          <w:highlight w:val="none"/>
        </w:rPr>
      </w:pPr>
      <w:r>
        <w:rPr>
          <w:rFonts w:hint="eastAsia" w:ascii="宋体" w:hAnsi="宋体" w:eastAsia="宋体" w:cs="宋体"/>
          <w:color w:val="auto"/>
          <w:szCs w:val="21"/>
          <w:highlight w:val="none"/>
        </w:rPr>
        <w:t>请求：</w:t>
      </w:r>
      <w:r>
        <w:rPr>
          <w:rFonts w:hint="eastAsia" w:ascii="宋体" w:hAnsi="宋体" w:eastAsia="宋体" w:cs="宋体"/>
          <w:bCs/>
          <w:color w:val="auto"/>
          <w:highlight w:val="none"/>
          <w:u w:val="single"/>
        </w:rPr>
        <w:t xml:space="preserve">                                                                </w:t>
      </w:r>
    </w:p>
    <w:p w14:paraId="3FCA7A16">
      <w:pPr>
        <w:pStyle w:val="15"/>
        <w:spacing w:line="360" w:lineRule="exact"/>
        <w:ind w:left="25" w:leftChars="12" w:firstLine="308" w:firstLineChars="147"/>
        <w:rPr>
          <w:rFonts w:hint="eastAsia" w:ascii="宋体" w:hAnsi="宋体" w:eastAsia="宋体" w:cs="宋体"/>
          <w:color w:val="auto"/>
          <w:szCs w:val="21"/>
          <w:highlight w:val="none"/>
        </w:rPr>
      </w:pPr>
    </w:p>
    <w:p w14:paraId="3D697365">
      <w:pPr>
        <w:pStyle w:val="15"/>
        <w:spacing w:line="360" w:lineRule="exact"/>
        <w:ind w:left="25" w:leftChars="12" w:firstLine="413" w:firstLineChars="197"/>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单位</w:t>
      </w:r>
      <w:r>
        <w:rPr>
          <w:rFonts w:hint="eastAsia" w:ascii="宋体" w:hAnsi="宋体" w:eastAsia="宋体" w:cs="宋体"/>
          <w:color w:val="auto"/>
          <w:szCs w:val="21"/>
          <w:highlight w:val="none"/>
        </w:rPr>
        <w:t>公章：</w:t>
      </w:r>
    </w:p>
    <w:p w14:paraId="093C5569">
      <w:pPr>
        <w:pStyle w:val="15"/>
        <w:spacing w:line="360" w:lineRule="exact"/>
        <w:ind w:left="25" w:leftChars="12" w:firstLine="413" w:firstLineChars="197"/>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签字（签章）：                                       </w:t>
      </w:r>
    </w:p>
    <w:p w14:paraId="313B92A2">
      <w:pPr>
        <w:pStyle w:val="15"/>
        <w:spacing w:line="360" w:lineRule="exact"/>
        <w:ind w:left="25" w:leftChars="12" w:firstLine="413" w:firstLineChars="197"/>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p>
    <w:p w14:paraId="07A157F0">
      <w:pPr>
        <w:pStyle w:val="15"/>
        <w:snapToGrid w:val="0"/>
        <w:spacing w:line="340" w:lineRule="exact"/>
        <w:rPr>
          <w:rFonts w:hint="eastAsia" w:ascii="宋体" w:hAnsi="宋体" w:eastAsia="宋体" w:cs="宋体"/>
          <w:b/>
          <w:color w:val="auto"/>
          <w:szCs w:val="21"/>
          <w:highlight w:val="none"/>
        </w:rPr>
      </w:pPr>
    </w:p>
    <w:p w14:paraId="79482E35">
      <w:pPr>
        <w:pStyle w:val="15"/>
        <w:snapToGrid w:val="0"/>
        <w:spacing w:line="34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说明：</w:t>
      </w:r>
    </w:p>
    <w:p w14:paraId="061B37F0">
      <w:pPr>
        <w:pStyle w:val="15"/>
        <w:spacing w:line="340" w:lineRule="exact"/>
        <w:ind w:left="25" w:leftChars="12" w:firstLine="310" w:firstLineChars="147"/>
        <w:rPr>
          <w:rFonts w:hint="eastAsia" w:ascii="宋体" w:hAnsi="宋体" w:eastAsia="宋体" w:cs="宋体"/>
          <w:b/>
          <w:bCs/>
          <w:color w:val="auto"/>
          <w:highlight w:val="none"/>
        </w:rPr>
      </w:pPr>
      <w:r>
        <w:rPr>
          <w:rFonts w:hint="eastAsia" w:ascii="宋体" w:hAnsi="宋体" w:eastAsia="宋体" w:cs="宋体"/>
          <w:b/>
          <w:color w:val="auto"/>
          <w:szCs w:val="21"/>
          <w:highlight w:val="none"/>
        </w:rPr>
        <w:t>1.供应商提出质疑时，应提交质疑函和必要的证明材料</w:t>
      </w:r>
      <w:r>
        <w:rPr>
          <w:rFonts w:hint="eastAsia" w:ascii="宋体" w:hAnsi="宋体" w:eastAsia="宋体" w:cs="宋体"/>
          <w:b/>
          <w:bCs/>
          <w:color w:val="auto"/>
          <w:highlight w:val="none"/>
        </w:rPr>
        <w:t>。</w:t>
      </w:r>
    </w:p>
    <w:p w14:paraId="1EB7D165">
      <w:pPr>
        <w:pStyle w:val="15"/>
        <w:spacing w:line="340" w:lineRule="exact"/>
        <w:ind w:left="25" w:leftChars="12" w:firstLine="310" w:firstLineChars="147"/>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5936955">
      <w:pPr>
        <w:pStyle w:val="15"/>
        <w:spacing w:line="340" w:lineRule="exact"/>
        <w:ind w:left="25" w:leftChars="12" w:firstLine="310" w:firstLineChars="147"/>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3.质疑供应商若对项目的某一分包进行质疑，质疑函中应列明具体分包号。</w:t>
      </w:r>
    </w:p>
    <w:p w14:paraId="01B56A2B">
      <w:pPr>
        <w:pStyle w:val="15"/>
        <w:spacing w:line="340" w:lineRule="exact"/>
        <w:ind w:left="25" w:leftChars="12" w:firstLine="310" w:firstLineChars="147"/>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4.质疑函的质疑事项应具体、明确，并有必要的事实依据和法律依据。</w:t>
      </w:r>
    </w:p>
    <w:p w14:paraId="76F22181">
      <w:pPr>
        <w:pStyle w:val="15"/>
        <w:spacing w:line="340" w:lineRule="exact"/>
        <w:ind w:left="25" w:leftChars="12" w:firstLine="310" w:firstLineChars="147"/>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5.质疑函的质疑请求应与质疑事项相关。</w:t>
      </w:r>
    </w:p>
    <w:p w14:paraId="38F415A6">
      <w:pPr>
        <w:pStyle w:val="15"/>
        <w:spacing w:line="340" w:lineRule="exact"/>
        <w:ind w:left="25" w:leftChars="12" w:firstLine="310" w:firstLineChars="147"/>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6.质疑供应商为法人或者其他组织的，质疑函应由法定代表人、负责人、自然人或者其授权代表签字或者盖章，并加盖公章。</w:t>
      </w:r>
    </w:p>
    <w:p w14:paraId="3D63EA82">
      <w:pPr>
        <w:pStyle w:val="15"/>
        <w:snapToGrid w:val="0"/>
        <w:rPr>
          <w:rFonts w:hint="eastAsia" w:ascii="宋体" w:hAnsi="宋体" w:eastAsia="宋体" w:cs="宋体"/>
          <w:b/>
          <w:color w:val="auto"/>
          <w:sz w:val="24"/>
          <w:szCs w:val="24"/>
          <w:highlight w:val="none"/>
        </w:rPr>
      </w:pPr>
    </w:p>
    <w:p w14:paraId="520E0AF1">
      <w:pPr>
        <w:pStyle w:val="15"/>
        <w:snapToGrid w:val="0"/>
        <w:rPr>
          <w:rFonts w:hint="eastAsia" w:ascii="宋体" w:hAnsi="宋体" w:eastAsia="宋体" w:cs="宋体"/>
          <w:b/>
          <w:color w:val="auto"/>
          <w:sz w:val="24"/>
          <w:szCs w:val="24"/>
          <w:highlight w:val="none"/>
        </w:rPr>
      </w:pPr>
    </w:p>
    <w:p w14:paraId="1A272FE6">
      <w:pPr>
        <w:pStyle w:val="16"/>
        <w:rPr>
          <w:rFonts w:hint="eastAsia"/>
          <w:color w:val="auto"/>
          <w:highlight w:val="none"/>
        </w:rPr>
      </w:pPr>
    </w:p>
    <w:p w14:paraId="0D739395">
      <w:pPr>
        <w:pStyle w:val="15"/>
        <w:snapToGrid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附表2：</w:t>
      </w:r>
    </w:p>
    <w:p w14:paraId="3B0095A3">
      <w:pPr>
        <w:spacing w:line="46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投诉书（格式）</w:t>
      </w:r>
    </w:p>
    <w:p w14:paraId="23C1C7AD">
      <w:pPr>
        <w:pStyle w:val="15"/>
        <w:snapToGrid w:val="0"/>
        <w:spacing w:line="400" w:lineRule="exact"/>
        <w:ind w:firstLine="42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一、投诉相关主体基本情况：</w:t>
      </w:r>
    </w:p>
    <w:p w14:paraId="687F0900">
      <w:pPr>
        <w:pStyle w:val="15"/>
        <w:snapToGrid w:val="0"/>
        <w:spacing w:line="400" w:lineRule="exact"/>
        <w:ind w:firstLine="420" w:firstLineChars="200"/>
        <w:rPr>
          <w:rFonts w:hint="eastAsia" w:ascii="宋体" w:hAnsi="宋体" w:eastAsia="宋体" w:cs="宋体"/>
          <w:bCs/>
          <w:color w:val="auto"/>
          <w:highlight w:val="none"/>
          <w:u w:val="single"/>
        </w:rPr>
      </w:pPr>
      <w:r>
        <w:rPr>
          <w:rFonts w:hint="eastAsia" w:hAnsi="宋体" w:cs="宋体"/>
          <w:bCs/>
          <w:color w:val="auto"/>
          <w:highlight w:val="none"/>
          <w:lang w:eastAsia="zh-CN"/>
        </w:rPr>
        <w:t>供应商</w:t>
      </w:r>
      <w:r>
        <w:rPr>
          <w:rFonts w:hint="eastAsia" w:ascii="宋体" w:hAnsi="宋体" w:eastAsia="宋体" w:cs="宋体"/>
          <w:bCs/>
          <w:color w:val="auto"/>
          <w:highlight w:val="none"/>
        </w:rPr>
        <w:t>：</w:t>
      </w:r>
      <w:r>
        <w:rPr>
          <w:rFonts w:hint="eastAsia" w:ascii="宋体" w:hAnsi="宋体" w:eastAsia="宋体" w:cs="宋体"/>
          <w:bCs/>
          <w:color w:val="auto"/>
          <w:highlight w:val="none"/>
          <w:u w:val="single"/>
        </w:rPr>
        <w:t xml:space="preserve">                                                                          </w:t>
      </w:r>
    </w:p>
    <w:p w14:paraId="39C36260">
      <w:pPr>
        <w:pStyle w:val="15"/>
        <w:snapToGrid w:val="0"/>
        <w:spacing w:line="400" w:lineRule="exact"/>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地址：</w:t>
      </w:r>
      <w:r>
        <w:rPr>
          <w:rFonts w:hint="eastAsia" w:ascii="宋体" w:hAnsi="宋体" w:eastAsia="宋体" w:cs="宋体"/>
          <w:bCs/>
          <w:color w:val="auto"/>
          <w:highlight w:val="none"/>
          <w:u w:val="single"/>
        </w:rPr>
        <w:t xml:space="preserve">                                          </w:t>
      </w:r>
      <w:r>
        <w:rPr>
          <w:rFonts w:hint="eastAsia" w:ascii="宋体" w:hAnsi="宋体" w:eastAsia="宋体" w:cs="宋体"/>
          <w:bCs/>
          <w:color w:val="auto"/>
          <w:highlight w:val="none"/>
        </w:rPr>
        <w:t>邮编：</w:t>
      </w:r>
      <w:r>
        <w:rPr>
          <w:rFonts w:hint="eastAsia" w:ascii="宋体" w:hAnsi="宋体" w:eastAsia="宋体" w:cs="宋体"/>
          <w:bCs/>
          <w:color w:val="auto"/>
          <w:highlight w:val="none"/>
          <w:u w:val="single"/>
        </w:rPr>
        <w:t xml:space="preserve">                            </w:t>
      </w:r>
    </w:p>
    <w:p w14:paraId="0090BDD7">
      <w:pPr>
        <w:pStyle w:val="15"/>
        <w:snapToGrid w:val="0"/>
        <w:spacing w:line="400" w:lineRule="exact"/>
        <w:ind w:firstLine="420" w:firstLineChars="200"/>
        <w:rPr>
          <w:rFonts w:hint="eastAsia" w:ascii="宋体" w:hAnsi="宋体" w:eastAsia="宋体" w:cs="宋体"/>
          <w:bCs/>
          <w:color w:val="auto"/>
          <w:highlight w:val="none"/>
          <w:u w:val="single"/>
        </w:rPr>
      </w:pPr>
      <w:r>
        <w:rPr>
          <w:rFonts w:hint="eastAsia" w:ascii="宋体" w:hAnsi="宋体" w:eastAsia="宋体" w:cs="宋体"/>
          <w:bCs/>
          <w:color w:val="auto"/>
          <w:highlight w:val="none"/>
        </w:rPr>
        <w:t>法定代表人/主要负责人：</w:t>
      </w:r>
      <w:r>
        <w:rPr>
          <w:rFonts w:hint="eastAsia" w:ascii="宋体" w:hAnsi="宋体" w:eastAsia="宋体" w:cs="宋体"/>
          <w:bCs/>
          <w:color w:val="auto"/>
          <w:highlight w:val="none"/>
          <w:u w:val="single"/>
        </w:rPr>
        <w:t xml:space="preserve">                                                           </w:t>
      </w:r>
    </w:p>
    <w:p w14:paraId="73A0168B">
      <w:pPr>
        <w:pStyle w:val="15"/>
        <w:snapToGrid w:val="0"/>
        <w:spacing w:line="400" w:lineRule="exact"/>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联系电话：</w:t>
      </w:r>
      <w:r>
        <w:rPr>
          <w:rFonts w:hint="eastAsia" w:ascii="宋体" w:hAnsi="宋体" w:eastAsia="宋体" w:cs="宋体"/>
          <w:bCs/>
          <w:color w:val="auto"/>
          <w:highlight w:val="none"/>
          <w:u w:val="single"/>
        </w:rPr>
        <w:t xml:space="preserve">                                         </w:t>
      </w:r>
    </w:p>
    <w:p w14:paraId="18E3FD79">
      <w:pPr>
        <w:pStyle w:val="15"/>
        <w:snapToGrid w:val="0"/>
        <w:spacing w:line="400" w:lineRule="exact"/>
        <w:ind w:firstLine="420" w:firstLineChars="200"/>
        <w:rPr>
          <w:rFonts w:hint="eastAsia" w:ascii="宋体" w:hAnsi="宋体" w:eastAsia="宋体" w:cs="宋体"/>
          <w:bCs/>
          <w:color w:val="auto"/>
          <w:highlight w:val="none"/>
          <w:u w:val="single"/>
        </w:rPr>
      </w:pPr>
      <w:r>
        <w:rPr>
          <w:rFonts w:hint="eastAsia" w:ascii="宋体" w:hAnsi="宋体" w:eastAsia="宋体" w:cs="宋体"/>
          <w:bCs/>
          <w:color w:val="auto"/>
          <w:highlight w:val="none"/>
        </w:rPr>
        <w:t>授权代表：</w:t>
      </w:r>
      <w:r>
        <w:rPr>
          <w:rFonts w:hint="eastAsia" w:ascii="宋体" w:hAnsi="宋体" w:eastAsia="宋体" w:cs="宋体"/>
          <w:bCs/>
          <w:color w:val="auto"/>
          <w:highlight w:val="none"/>
          <w:u w:val="single"/>
        </w:rPr>
        <w:t xml:space="preserve">                                         </w:t>
      </w:r>
      <w:r>
        <w:rPr>
          <w:rFonts w:hint="eastAsia" w:ascii="宋体" w:hAnsi="宋体" w:eastAsia="宋体" w:cs="宋体"/>
          <w:bCs/>
          <w:color w:val="auto"/>
          <w:highlight w:val="none"/>
        </w:rPr>
        <w:t>联系电话：</w:t>
      </w:r>
      <w:r>
        <w:rPr>
          <w:rFonts w:hint="eastAsia" w:ascii="宋体" w:hAnsi="宋体" w:eastAsia="宋体" w:cs="宋体"/>
          <w:bCs/>
          <w:color w:val="auto"/>
          <w:highlight w:val="none"/>
          <w:u w:val="single"/>
        </w:rPr>
        <w:t xml:space="preserve">                     </w:t>
      </w:r>
    </w:p>
    <w:p w14:paraId="68084214">
      <w:pPr>
        <w:pStyle w:val="15"/>
        <w:snapToGrid w:val="0"/>
        <w:spacing w:line="400" w:lineRule="exact"/>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地址：</w:t>
      </w:r>
      <w:r>
        <w:rPr>
          <w:rFonts w:hint="eastAsia" w:ascii="宋体" w:hAnsi="宋体" w:eastAsia="宋体" w:cs="宋体"/>
          <w:bCs/>
          <w:color w:val="auto"/>
          <w:highlight w:val="none"/>
          <w:u w:val="single"/>
        </w:rPr>
        <w:t xml:space="preserve">                                                            </w:t>
      </w:r>
      <w:r>
        <w:rPr>
          <w:rFonts w:hint="eastAsia" w:ascii="宋体" w:hAnsi="宋体" w:eastAsia="宋体" w:cs="宋体"/>
          <w:bCs/>
          <w:color w:val="auto"/>
          <w:highlight w:val="none"/>
        </w:rPr>
        <w:t>邮编：</w:t>
      </w:r>
      <w:r>
        <w:rPr>
          <w:rFonts w:hint="eastAsia" w:ascii="宋体" w:hAnsi="宋体" w:eastAsia="宋体" w:cs="宋体"/>
          <w:bCs/>
          <w:color w:val="auto"/>
          <w:highlight w:val="none"/>
          <w:u w:val="single"/>
        </w:rPr>
        <w:t xml:space="preserve">          </w:t>
      </w:r>
    </w:p>
    <w:p w14:paraId="22A2AD23">
      <w:pPr>
        <w:pStyle w:val="15"/>
        <w:snapToGrid w:val="0"/>
        <w:spacing w:line="400" w:lineRule="exact"/>
        <w:ind w:firstLine="420" w:firstLineChars="200"/>
        <w:rPr>
          <w:rFonts w:hint="eastAsia" w:ascii="宋体" w:hAnsi="宋体" w:eastAsia="宋体" w:cs="宋体"/>
          <w:bCs/>
          <w:color w:val="auto"/>
          <w:highlight w:val="none"/>
          <w:u w:val="single"/>
        </w:rPr>
      </w:pPr>
      <w:r>
        <w:rPr>
          <w:rFonts w:hint="eastAsia" w:ascii="宋体" w:hAnsi="宋体" w:eastAsia="宋体" w:cs="宋体"/>
          <w:bCs/>
          <w:color w:val="auto"/>
          <w:highlight w:val="none"/>
        </w:rPr>
        <w:t>被投诉人1：</w:t>
      </w:r>
      <w:r>
        <w:rPr>
          <w:rFonts w:hint="eastAsia" w:ascii="宋体" w:hAnsi="宋体" w:eastAsia="宋体" w:cs="宋体"/>
          <w:bCs/>
          <w:color w:val="auto"/>
          <w:highlight w:val="none"/>
          <w:u w:val="single"/>
        </w:rPr>
        <w:t xml:space="preserve">                                       </w:t>
      </w:r>
    </w:p>
    <w:p w14:paraId="1BC4389C">
      <w:pPr>
        <w:pStyle w:val="15"/>
        <w:snapToGrid w:val="0"/>
        <w:spacing w:line="400" w:lineRule="exact"/>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地址：</w:t>
      </w:r>
      <w:r>
        <w:rPr>
          <w:rFonts w:hint="eastAsia" w:ascii="宋体" w:hAnsi="宋体" w:eastAsia="宋体" w:cs="宋体"/>
          <w:bCs/>
          <w:color w:val="auto"/>
          <w:highlight w:val="none"/>
          <w:u w:val="single"/>
        </w:rPr>
        <w:t xml:space="preserve">                                                            </w:t>
      </w:r>
      <w:r>
        <w:rPr>
          <w:rFonts w:hint="eastAsia" w:ascii="宋体" w:hAnsi="宋体" w:eastAsia="宋体" w:cs="宋体"/>
          <w:bCs/>
          <w:color w:val="auto"/>
          <w:highlight w:val="none"/>
        </w:rPr>
        <w:t>邮编：</w:t>
      </w:r>
      <w:r>
        <w:rPr>
          <w:rFonts w:hint="eastAsia" w:ascii="宋体" w:hAnsi="宋体" w:eastAsia="宋体" w:cs="宋体"/>
          <w:bCs/>
          <w:color w:val="auto"/>
          <w:highlight w:val="none"/>
          <w:u w:val="single"/>
        </w:rPr>
        <w:t xml:space="preserve">          </w:t>
      </w:r>
    </w:p>
    <w:p w14:paraId="77411F96">
      <w:pPr>
        <w:pStyle w:val="15"/>
        <w:snapToGrid w:val="0"/>
        <w:spacing w:line="400" w:lineRule="exact"/>
        <w:ind w:firstLine="420" w:firstLineChars="200"/>
        <w:rPr>
          <w:rFonts w:hint="eastAsia" w:ascii="宋体" w:hAnsi="宋体" w:eastAsia="宋体" w:cs="宋体"/>
          <w:bCs/>
          <w:color w:val="auto"/>
          <w:highlight w:val="none"/>
          <w:u w:val="single"/>
        </w:rPr>
      </w:pPr>
      <w:r>
        <w:rPr>
          <w:rFonts w:hint="eastAsia" w:ascii="宋体" w:hAnsi="宋体" w:eastAsia="宋体" w:cs="宋体"/>
          <w:bCs/>
          <w:color w:val="auto"/>
          <w:highlight w:val="none"/>
        </w:rPr>
        <w:t>联系人：</w:t>
      </w:r>
      <w:r>
        <w:rPr>
          <w:rFonts w:hint="eastAsia" w:ascii="宋体" w:hAnsi="宋体" w:eastAsia="宋体" w:cs="宋体"/>
          <w:bCs/>
          <w:color w:val="auto"/>
          <w:highlight w:val="none"/>
          <w:u w:val="single"/>
        </w:rPr>
        <w:t xml:space="preserve">                                                </w:t>
      </w:r>
      <w:r>
        <w:rPr>
          <w:rFonts w:hint="eastAsia" w:ascii="宋体" w:hAnsi="宋体" w:eastAsia="宋体" w:cs="宋体"/>
          <w:bCs/>
          <w:color w:val="auto"/>
          <w:highlight w:val="none"/>
        </w:rPr>
        <w:t>联系电话：</w:t>
      </w:r>
      <w:r>
        <w:rPr>
          <w:rFonts w:hint="eastAsia" w:ascii="宋体" w:hAnsi="宋体" w:eastAsia="宋体" w:cs="宋体"/>
          <w:bCs/>
          <w:color w:val="auto"/>
          <w:highlight w:val="none"/>
          <w:u w:val="single"/>
        </w:rPr>
        <w:t xml:space="preserve">                </w:t>
      </w:r>
    </w:p>
    <w:p w14:paraId="53AE8457">
      <w:pPr>
        <w:pStyle w:val="15"/>
        <w:snapToGrid w:val="0"/>
        <w:spacing w:line="400" w:lineRule="exact"/>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被投诉人2：</w:t>
      </w:r>
    </w:p>
    <w:p w14:paraId="227E7035">
      <w:pPr>
        <w:pStyle w:val="15"/>
        <w:snapToGrid w:val="0"/>
        <w:spacing w:line="400" w:lineRule="exact"/>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w:t>
      </w:r>
    </w:p>
    <w:p w14:paraId="189EE062">
      <w:pPr>
        <w:pStyle w:val="15"/>
        <w:snapToGrid w:val="0"/>
        <w:spacing w:line="400" w:lineRule="exact"/>
        <w:ind w:firstLine="420" w:firstLineChars="200"/>
        <w:rPr>
          <w:rFonts w:hint="eastAsia" w:ascii="宋体" w:hAnsi="宋体" w:eastAsia="宋体" w:cs="宋体"/>
          <w:bCs/>
          <w:color w:val="auto"/>
          <w:highlight w:val="none"/>
          <w:u w:val="single"/>
        </w:rPr>
      </w:pPr>
      <w:r>
        <w:rPr>
          <w:rFonts w:hint="eastAsia" w:ascii="宋体" w:hAnsi="宋体" w:eastAsia="宋体" w:cs="宋体"/>
          <w:bCs/>
          <w:color w:val="auto"/>
          <w:highlight w:val="none"/>
        </w:rPr>
        <w:t>相关供应商：</w:t>
      </w:r>
      <w:r>
        <w:rPr>
          <w:rFonts w:hint="eastAsia" w:ascii="宋体" w:hAnsi="宋体" w:eastAsia="宋体" w:cs="宋体"/>
          <w:bCs/>
          <w:color w:val="auto"/>
          <w:highlight w:val="none"/>
          <w:u w:val="single"/>
        </w:rPr>
        <w:t xml:space="preserve">                                                                      </w:t>
      </w:r>
    </w:p>
    <w:p w14:paraId="207E2903">
      <w:pPr>
        <w:pStyle w:val="15"/>
        <w:snapToGrid w:val="0"/>
        <w:spacing w:line="400" w:lineRule="exact"/>
        <w:ind w:firstLine="420" w:firstLineChars="200"/>
        <w:rPr>
          <w:rFonts w:hint="eastAsia" w:ascii="宋体" w:hAnsi="宋体" w:eastAsia="宋体" w:cs="宋体"/>
          <w:bCs/>
          <w:color w:val="auto"/>
          <w:highlight w:val="none"/>
          <w:u w:val="single"/>
        </w:rPr>
      </w:pPr>
      <w:r>
        <w:rPr>
          <w:rFonts w:hint="eastAsia" w:ascii="宋体" w:hAnsi="宋体" w:eastAsia="宋体" w:cs="宋体"/>
          <w:bCs/>
          <w:color w:val="auto"/>
          <w:highlight w:val="none"/>
        </w:rPr>
        <w:t>地址：</w:t>
      </w:r>
      <w:r>
        <w:rPr>
          <w:rFonts w:hint="eastAsia" w:ascii="宋体" w:hAnsi="宋体" w:eastAsia="宋体" w:cs="宋体"/>
          <w:bCs/>
          <w:color w:val="auto"/>
          <w:highlight w:val="none"/>
          <w:u w:val="single"/>
        </w:rPr>
        <w:t xml:space="preserve">                                              </w:t>
      </w:r>
      <w:r>
        <w:rPr>
          <w:rFonts w:hint="eastAsia" w:ascii="宋体" w:hAnsi="宋体" w:eastAsia="宋体" w:cs="宋体"/>
          <w:bCs/>
          <w:color w:val="auto"/>
          <w:highlight w:val="none"/>
        </w:rPr>
        <w:t>邮编：</w:t>
      </w:r>
      <w:r>
        <w:rPr>
          <w:rFonts w:hint="eastAsia" w:ascii="宋体" w:hAnsi="宋体" w:eastAsia="宋体" w:cs="宋体"/>
          <w:bCs/>
          <w:color w:val="auto"/>
          <w:highlight w:val="none"/>
          <w:u w:val="single"/>
        </w:rPr>
        <w:t xml:space="preserve">                        </w:t>
      </w:r>
    </w:p>
    <w:p w14:paraId="40461465">
      <w:pPr>
        <w:pStyle w:val="15"/>
        <w:snapToGrid w:val="0"/>
        <w:spacing w:line="400" w:lineRule="exact"/>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联系人：</w:t>
      </w:r>
      <w:r>
        <w:rPr>
          <w:rFonts w:hint="eastAsia" w:ascii="宋体" w:hAnsi="宋体" w:eastAsia="宋体" w:cs="宋体"/>
          <w:bCs/>
          <w:color w:val="auto"/>
          <w:highlight w:val="none"/>
          <w:u w:val="single"/>
        </w:rPr>
        <w:t xml:space="preserve">                                            </w:t>
      </w:r>
      <w:r>
        <w:rPr>
          <w:rFonts w:hint="eastAsia" w:ascii="宋体" w:hAnsi="宋体" w:eastAsia="宋体" w:cs="宋体"/>
          <w:bCs/>
          <w:color w:val="auto"/>
          <w:highlight w:val="none"/>
        </w:rPr>
        <w:t>联系电话：</w:t>
      </w:r>
      <w:r>
        <w:rPr>
          <w:rFonts w:hint="eastAsia" w:ascii="宋体" w:hAnsi="宋体" w:eastAsia="宋体" w:cs="宋体"/>
          <w:bCs/>
          <w:color w:val="auto"/>
          <w:highlight w:val="none"/>
          <w:u w:val="single"/>
        </w:rPr>
        <w:t xml:space="preserve">                    </w:t>
      </w:r>
    </w:p>
    <w:p w14:paraId="45BABB31">
      <w:pPr>
        <w:pStyle w:val="15"/>
        <w:snapToGrid w:val="0"/>
        <w:spacing w:line="400" w:lineRule="exact"/>
        <w:ind w:firstLine="42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二、投诉项目基本情况：</w:t>
      </w:r>
    </w:p>
    <w:p w14:paraId="0AD42945">
      <w:pPr>
        <w:pStyle w:val="15"/>
        <w:spacing w:line="400" w:lineRule="exact"/>
        <w:ind w:left="25" w:leftChars="12" w:firstLine="413" w:firstLineChars="197"/>
        <w:rPr>
          <w:rFonts w:hint="eastAsia" w:ascii="宋体" w:hAnsi="宋体" w:eastAsia="宋体" w:cs="宋体"/>
          <w:color w:val="auto"/>
          <w:szCs w:val="21"/>
          <w:highlight w:val="none"/>
        </w:rPr>
      </w:pPr>
      <w:r>
        <w:rPr>
          <w:rFonts w:hint="eastAsia" w:ascii="宋体" w:hAnsi="宋体" w:eastAsia="宋体" w:cs="宋体"/>
          <w:bCs/>
          <w:color w:val="auto"/>
          <w:highlight w:val="none"/>
        </w:rPr>
        <w:t>采购</w:t>
      </w:r>
      <w:r>
        <w:rPr>
          <w:rFonts w:hint="eastAsia" w:ascii="宋体" w:hAnsi="宋体" w:eastAsia="宋体" w:cs="宋体"/>
          <w:color w:val="auto"/>
          <w:szCs w:val="21"/>
          <w:highlight w:val="none"/>
        </w:rPr>
        <w:t>项目的名称：</w:t>
      </w:r>
      <w:r>
        <w:rPr>
          <w:rFonts w:hint="eastAsia" w:ascii="宋体" w:hAnsi="宋体" w:eastAsia="宋体" w:cs="宋体"/>
          <w:bCs/>
          <w:color w:val="auto"/>
          <w:highlight w:val="none"/>
          <w:u w:val="single"/>
        </w:rPr>
        <w:t xml:space="preserve">                                                                  </w:t>
      </w:r>
    </w:p>
    <w:p w14:paraId="35250487">
      <w:pPr>
        <w:pStyle w:val="15"/>
        <w:spacing w:line="400" w:lineRule="exact"/>
        <w:ind w:left="25" w:leftChars="12" w:firstLine="413" w:firstLineChars="197"/>
        <w:rPr>
          <w:rFonts w:hint="eastAsia" w:ascii="宋体" w:hAnsi="宋体" w:eastAsia="宋体" w:cs="宋体"/>
          <w:color w:val="auto"/>
          <w:szCs w:val="21"/>
          <w:highlight w:val="none"/>
        </w:rPr>
      </w:pPr>
      <w:r>
        <w:rPr>
          <w:rFonts w:hint="eastAsia" w:ascii="宋体" w:hAnsi="宋体" w:eastAsia="宋体" w:cs="宋体"/>
          <w:bCs/>
          <w:color w:val="auto"/>
          <w:highlight w:val="none"/>
        </w:rPr>
        <w:t>采购</w:t>
      </w:r>
      <w:r>
        <w:rPr>
          <w:rFonts w:hint="eastAsia" w:ascii="宋体" w:hAnsi="宋体" w:eastAsia="宋体" w:cs="宋体"/>
          <w:color w:val="auto"/>
          <w:szCs w:val="21"/>
          <w:highlight w:val="none"/>
        </w:rPr>
        <w:t>项目的编号：</w:t>
      </w:r>
      <w:r>
        <w:rPr>
          <w:rFonts w:hint="eastAsia" w:ascii="宋体" w:hAnsi="宋体" w:eastAsia="宋体" w:cs="宋体"/>
          <w:bCs/>
          <w:color w:val="auto"/>
          <w:highlight w:val="none"/>
          <w:u w:val="single"/>
        </w:rPr>
        <w:t xml:space="preserve">                                    </w:t>
      </w:r>
      <w:r>
        <w:rPr>
          <w:rFonts w:hint="eastAsia" w:ascii="宋体" w:hAnsi="宋体" w:eastAsia="宋体" w:cs="宋体"/>
          <w:bCs/>
          <w:color w:val="auto"/>
          <w:highlight w:val="none"/>
        </w:rPr>
        <w:t>包号：</w:t>
      </w:r>
      <w:r>
        <w:rPr>
          <w:rFonts w:hint="eastAsia" w:ascii="宋体" w:hAnsi="宋体" w:eastAsia="宋体" w:cs="宋体"/>
          <w:bCs/>
          <w:color w:val="auto"/>
          <w:highlight w:val="none"/>
          <w:u w:val="single"/>
        </w:rPr>
        <w:t xml:space="preserve">                        </w:t>
      </w:r>
    </w:p>
    <w:p w14:paraId="1FFF2108">
      <w:pPr>
        <w:pStyle w:val="15"/>
        <w:spacing w:line="400" w:lineRule="exact"/>
        <w:ind w:left="25" w:leftChars="12" w:firstLine="413" w:firstLineChars="197"/>
        <w:rPr>
          <w:rFonts w:hint="eastAsia" w:ascii="宋体" w:hAnsi="宋体" w:eastAsia="宋体" w:cs="宋体"/>
          <w:bCs/>
          <w:color w:val="auto"/>
          <w:highlight w:val="none"/>
          <w:u w:val="single"/>
        </w:rPr>
      </w:pPr>
      <w:r>
        <w:rPr>
          <w:rFonts w:hint="eastAsia" w:ascii="宋体" w:hAnsi="宋体" w:eastAsia="宋体" w:cs="宋体"/>
          <w:color w:val="auto"/>
          <w:szCs w:val="21"/>
          <w:highlight w:val="none"/>
        </w:rPr>
        <w:t>采购人名称：</w:t>
      </w:r>
      <w:r>
        <w:rPr>
          <w:rFonts w:hint="eastAsia" w:ascii="宋体" w:hAnsi="宋体" w:eastAsia="宋体" w:cs="宋体"/>
          <w:bCs/>
          <w:color w:val="auto"/>
          <w:highlight w:val="none"/>
          <w:u w:val="single"/>
        </w:rPr>
        <w:t xml:space="preserve">                                                                      </w:t>
      </w:r>
    </w:p>
    <w:p w14:paraId="4598C4F8">
      <w:pPr>
        <w:pStyle w:val="15"/>
        <w:spacing w:line="400" w:lineRule="exact"/>
        <w:ind w:left="25" w:leftChars="12" w:firstLine="413" w:firstLineChars="197"/>
        <w:rPr>
          <w:rFonts w:hint="eastAsia" w:ascii="宋体" w:hAnsi="宋体" w:eastAsia="宋体" w:cs="宋体"/>
          <w:bCs/>
          <w:color w:val="auto"/>
          <w:highlight w:val="none"/>
          <w:u w:val="single"/>
        </w:rPr>
      </w:pPr>
      <w:r>
        <w:rPr>
          <w:rFonts w:hint="eastAsia" w:ascii="宋体" w:hAnsi="宋体" w:eastAsia="宋体" w:cs="宋体"/>
          <w:color w:val="auto"/>
          <w:szCs w:val="21"/>
          <w:highlight w:val="none"/>
        </w:rPr>
        <w:t>代理机构名称：</w:t>
      </w:r>
      <w:r>
        <w:rPr>
          <w:rFonts w:hint="eastAsia" w:ascii="宋体" w:hAnsi="宋体" w:eastAsia="宋体" w:cs="宋体"/>
          <w:bCs/>
          <w:color w:val="auto"/>
          <w:highlight w:val="none"/>
          <w:u w:val="single"/>
        </w:rPr>
        <w:t xml:space="preserve">                                                                    </w:t>
      </w:r>
    </w:p>
    <w:p w14:paraId="6A29AF32">
      <w:pPr>
        <w:pStyle w:val="15"/>
        <w:spacing w:line="400" w:lineRule="exact"/>
        <w:ind w:left="25" w:leftChars="12" w:firstLine="413" w:firstLineChars="197"/>
        <w:rPr>
          <w:rFonts w:hint="eastAsia" w:ascii="宋体" w:hAnsi="宋体" w:eastAsia="宋体" w:cs="宋体"/>
          <w:bCs/>
          <w:color w:val="auto"/>
          <w:highlight w:val="none"/>
          <w:u w:val="single"/>
        </w:rPr>
      </w:pPr>
      <w:r>
        <w:rPr>
          <w:rFonts w:hint="eastAsia" w:ascii="宋体" w:hAnsi="宋体" w:eastAsia="宋体" w:cs="宋体"/>
          <w:bCs/>
          <w:color w:val="auto"/>
          <w:highlight w:val="none"/>
        </w:rPr>
        <w:t>采购文件公告：</w:t>
      </w:r>
      <w:r>
        <w:rPr>
          <w:rFonts w:hint="eastAsia" w:ascii="宋体" w:hAnsi="宋体" w:eastAsia="宋体" w:cs="宋体"/>
          <w:bCs/>
          <w:color w:val="auto"/>
          <w:highlight w:val="none"/>
          <w:u w:val="single"/>
        </w:rPr>
        <w:t>是/否</w:t>
      </w:r>
      <w:r>
        <w:rPr>
          <w:rFonts w:hint="eastAsia" w:ascii="宋体" w:hAnsi="宋体" w:eastAsia="宋体" w:cs="宋体"/>
          <w:bCs/>
          <w:color w:val="auto"/>
          <w:highlight w:val="none"/>
        </w:rPr>
        <w:t>公告期限：</w:t>
      </w:r>
      <w:r>
        <w:rPr>
          <w:rFonts w:hint="eastAsia" w:ascii="宋体" w:hAnsi="宋体" w:eastAsia="宋体" w:cs="宋体"/>
          <w:bCs/>
          <w:color w:val="auto"/>
          <w:highlight w:val="none"/>
          <w:u w:val="single"/>
        </w:rPr>
        <w:t xml:space="preserve">                                                     </w:t>
      </w:r>
    </w:p>
    <w:p w14:paraId="4BE53F5D">
      <w:pPr>
        <w:pStyle w:val="15"/>
        <w:spacing w:line="400" w:lineRule="exact"/>
        <w:ind w:left="25" w:leftChars="12" w:firstLine="413" w:firstLineChars="197"/>
        <w:rPr>
          <w:rFonts w:hint="eastAsia" w:ascii="宋体" w:hAnsi="宋体" w:eastAsia="宋体" w:cs="宋体"/>
          <w:b/>
          <w:color w:val="auto"/>
          <w:szCs w:val="21"/>
          <w:highlight w:val="none"/>
        </w:rPr>
      </w:pPr>
      <w:r>
        <w:rPr>
          <w:rFonts w:hint="eastAsia" w:ascii="宋体" w:hAnsi="宋体" w:eastAsia="宋体" w:cs="宋体"/>
          <w:bCs/>
          <w:color w:val="auto"/>
          <w:highlight w:val="none"/>
        </w:rPr>
        <w:t>采购结果公告：</w:t>
      </w:r>
      <w:r>
        <w:rPr>
          <w:rFonts w:hint="eastAsia" w:ascii="宋体" w:hAnsi="宋体" w:eastAsia="宋体" w:cs="宋体"/>
          <w:bCs/>
          <w:color w:val="auto"/>
          <w:highlight w:val="none"/>
          <w:u w:val="single"/>
        </w:rPr>
        <w:t>是/否</w:t>
      </w:r>
      <w:r>
        <w:rPr>
          <w:rFonts w:hint="eastAsia" w:ascii="宋体" w:hAnsi="宋体" w:eastAsia="宋体" w:cs="宋体"/>
          <w:bCs/>
          <w:color w:val="auto"/>
          <w:highlight w:val="none"/>
        </w:rPr>
        <w:t>公告期限：</w:t>
      </w:r>
      <w:r>
        <w:rPr>
          <w:rFonts w:hint="eastAsia" w:ascii="宋体" w:hAnsi="宋体" w:eastAsia="宋体" w:cs="宋体"/>
          <w:bCs/>
          <w:color w:val="auto"/>
          <w:highlight w:val="none"/>
          <w:u w:val="single"/>
        </w:rPr>
        <w:t xml:space="preserve">                                                     </w:t>
      </w:r>
    </w:p>
    <w:p w14:paraId="20D78EFE">
      <w:pPr>
        <w:pStyle w:val="15"/>
        <w:spacing w:line="400" w:lineRule="exact"/>
        <w:ind w:left="25" w:leftChars="12" w:firstLine="413" w:firstLineChars="196"/>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三、质疑基本情况</w:t>
      </w:r>
    </w:p>
    <w:p w14:paraId="7B7798DA">
      <w:pPr>
        <w:pStyle w:val="15"/>
        <w:spacing w:line="400" w:lineRule="exact"/>
        <w:ind w:left="25" w:leftChars="12" w:firstLine="833" w:firstLineChars="397"/>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投诉人于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日，向</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提出质疑，质疑事项为：</w:t>
      </w:r>
    </w:p>
    <w:p w14:paraId="2B540289">
      <w:pPr>
        <w:pStyle w:val="15"/>
        <w:spacing w:line="400" w:lineRule="exact"/>
        <w:rPr>
          <w:rFonts w:hint="eastAsia" w:ascii="宋体" w:hAnsi="宋体" w:eastAsia="宋体" w:cs="宋体"/>
          <w:bCs/>
          <w:color w:val="auto"/>
          <w:highlight w:val="none"/>
          <w:u w:val="single"/>
        </w:rPr>
      </w:pPr>
      <w:r>
        <w:rPr>
          <w:rFonts w:hint="eastAsia" w:ascii="宋体" w:hAnsi="宋体" w:eastAsia="宋体" w:cs="宋体"/>
          <w:color w:val="auto"/>
          <w:szCs w:val="21"/>
          <w:highlight w:val="none"/>
        </w:rPr>
        <w:t xml:space="preserve">    </w:t>
      </w:r>
      <w:r>
        <w:rPr>
          <w:rFonts w:hint="eastAsia" w:ascii="宋体" w:hAnsi="宋体" w:eastAsia="宋体" w:cs="宋体"/>
          <w:bCs/>
          <w:color w:val="auto"/>
          <w:highlight w:val="none"/>
          <w:u w:val="single"/>
        </w:rPr>
        <w:t xml:space="preserve">                                                                                  </w:t>
      </w:r>
    </w:p>
    <w:p w14:paraId="6ECBC9CF">
      <w:pPr>
        <w:pStyle w:val="15"/>
        <w:spacing w:line="400" w:lineRule="exact"/>
        <w:rPr>
          <w:rFonts w:hint="eastAsia" w:ascii="宋体" w:hAnsi="宋体" w:eastAsia="宋体" w:cs="宋体"/>
          <w:bCs/>
          <w:color w:val="auto"/>
          <w:highlight w:val="none"/>
          <w:u w:val="single"/>
        </w:rPr>
      </w:pPr>
      <w:r>
        <w:rPr>
          <w:rFonts w:hint="eastAsia" w:ascii="宋体" w:hAnsi="宋体" w:eastAsia="宋体" w:cs="宋体"/>
          <w:bCs/>
          <w:color w:val="auto"/>
          <w:highlight w:val="none"/>
        </w:rPr>
        <w:t xml:space="preserve">    </w:t>
      </w:r>
      <w:r>
        <w:rPr>
          <w:rFonts w:hint="eastAsia" w:ascii="宋体" w:hAnsi="宋体" w:eastAsia="宋体" w:cs="宋体"/>
          <w:bCs/>
          <w:color w:val="auto"/>
          <w:highlight w:val="none"/>
          <w:u w:val="single"/>
        </w:rPr>
        <w:t xml:space="preserve">                                                                                  </w:t>
      </w:r>
    </w:p>
    <w:p w14:paraId="5023AB76">
      <w:pPr>
        <w:pStyle w:val="15"/>
        <w:spacing w:line="400" w:lineRule="exact"/>
        <w:rPr>
          <w:rFonts w:hint="eastAsia" w:ascii="宋体" w:hAnsi="宋体" w:eastAsia="宋体" w:cs="宋体"/>
          <w:color w:val="auto"/>
          <w:szCs w:val="21"/>
          <w:highlight w:val="none"/>
        </w:rPr>
      </w:pPr>
      <w:r>
        <w:rPr>
          <w:rFonts w:hint="eastAsia" w:ascii="宋体" w:hAnsi="宋体" w:eastAsia="宋体" w:cs="宋体"/>
          <w:bCs/>
          <w:color w:val="auto"/>
          <w:highlight w:val="none"/>
        </w:rPr>
        <w:t xml:space="preserve">        </w:t>
      </w:r>
      <w:r>
        <w:rPr>
          <w:rFonts w:hint="eastAsia" w:ascii="宋体" w:hAnsi="宋体" w:eastAsia="宋体" w:cs="宋体"/>
          <w:bCs/>
          <w:color w:val="auto"/>
          <w:highlight w:val="none"/>
          <w:u w:val="single"/>
        </w:rPr>
        <w:t>采购人/代理机构</w:t>
      </w:r>
      <w:r>
        <w:rPr>
          <w:rFonts w:hint="eastAsia" w:ascii="宋体" w:hAnsi="宋体" w:eastAsia="宋体" w:cs="宋体"/>
          <w:bCs/>
          <w:color w:val="auto"/>
          <w:highlight w:val="none"/>
        </w:rPr>
        <w:t>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r>
        <w:rPr>
          <w:rFonts w:hint="eastAsia" w:ascii="宋体" w:hAnsi="宋体" w:eastAsia="宋体" w:cs="宋体"/>
          <w:bCs/>
          <w:color w:val="auto"/>
          <w:highlight w:val="none"/>
        </w:rPr>
        <w:t xml:space="preserve">就质疑事项作出了答复/没有在法定期限内作出答复。                                                                                             </w:t>
      </w:r>
    </w:p>
    <w:p w14:paraId="79EE236C">
      <w:pPr>
        <w:pStyle w:val="15"/>
        <w:spacing w:line="400" w:lineRule="exact"/>
        <w:ind w:left="25" w:leftChars="12" w:firstLine="413" w:firstLineChars="196"/>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四、投诉事项具体内容</w:t>
      </w:r>
    </w:p>
    <w:p w14:paraId="4B48EA7A">
      <w:pPr>
        <w:pStyle w:val="15"/>
        <w:spacing w:line="400" w:lineRule="exact"/>
        <w:ind w:left="25" w:leftChars="12" w:firstLine="413" w:firstLineChars="197"/>
        <w:rPr>
          <w:rFonts w:hint="eastAsia" w:ascii="宋体" w:hAnsi="宋体" w:eastAsia="宋体" w:cs="宋体"/>
          <w:bCs/>
          <w:color w:val="auto"/>
          <w:highlight w:val="none"/>
          <w:u w:val="single"/>
        </w:rPr>
      </w:pPr>
      <w:r>
        <w:rPr>
          <w:rFonts w:hint="eastAsia" w:ascii="宋体" w:hAnsi="宋体" w:eastAsia="宋体" w:cs="宋体"/>
          <w:color w:val="auto"/>
          <w:szCs w:val="21"/>
          <w:highlight w:val="none"/>
        </w:rPr>
        <w:t>投诉事项1：</w:t>
      </w:r>
      <w:r>
        <w:rPr>
          <w:rFonts w:hint="eastAsia" w:ascii="宋体" w:hAnsi="宋体" w:eastAsia="宋体" w:cs="宋体"/>
          <w:bCs/>
          <w:color w:val="auto"/>
          <w:highlight w:val="none"/>
          <w:u w:val="single"/>
        </w:rPr>
        <w:t xml:space="preserve">                                                                      </w:t>
      </w:r>
    </w:p>
    <w:p w14:paraId="055FA2BA">
      <w:pPr>
        <w:pStyle w:val="15"/>
        <w:spacing w:line="400" w:lineRule="exact"/>
        <w:ind w:firstLine="420" w:firstLineChars="200"/>
        <w:rPr>
          <w:rFonts w:hint="eastAsia" w:ascii="宋体" w:hAnsi="宋体" w:eastAsia="宋体" w:cs="宋体"/>
          <w:bCs/>
          <w:color w:val="auto"/>
          <w:highlight w:val="none"/>
          <w:u w:val="single"/>
        </w:rPr>
      </w:pPr>
      <w:r>
        <w:rPr>
          <w:rFonts w:hint="eastAsia" w:ascii="宋体" w:hAnsi="宋体" w:eastAsia="宋体" w:cs="宋体"/>
          <w:bCs/>
          <w:color w:val="auto"/>
          <w:highlight w:val="none"/>
        </w:rPr>
        <w:t>事实依据：</w:t>
      </w:r>
      <w:r>
        <w:rPr>
          <w:rFonts w:hint="eastAsia" w:ascii="宋体" w:hAnsi="宋体" w:eastAsia="宋体" w:cs="宋体"/>
          <w:color w:val="auto"/>
          <w:szCs w:val="21"/>
          <w:highlight w:val="none"/>
        </w:rPr>
        <w:t xml:space="preserve"> </w:t>
      </w:r>
      <w:r>
        <w:rPr>
          <w:rFonts w:hint="eastAsia" w:ascii="宋体" w:hAnsi="宋体" w:eastAsia="宋体" w:cs="宋体"/>
          <w:bCs/>
          <w:color w:val="auto"/>
          <w:highlight w:val="none"/>
          <w:u w:val="single"/>
        </w:rPr>
        <w:t xml:space="preserve">                                                                       </w:t>
      </w:r>
    </w:p>
    <w:p w14:paraId="1239D714">
      <w:pPr>
        <w:pStyle w:val="15"/>
        <w:spacing w:line="400" w:lineRule="exact"/>
        <w:ind w:left="25" w:leftChars="12" w:firstLine="413" w:firstLineChars="197"/>
        <w:rPr>
          <w:rFonts w:hint="eastAsia" w:ascii="宋体" w:hAnsi="宋体" w:eastAsia="宋体" w:cs="宋体"/>
          <w:color w:val="auto"/>
          <w:szCs w:val="21"/>
          <w:highlight w:val="none"/>
        </w:rPr>
      </w:pPr>
      <w:r>
        <w:rPr>
          <w:rFonts w:hint="eastAsia" w:ascii="宋体" w:hAnsi="宋体" w:eastAsia="宋体" w:cs="宋体"/>
          <w:bCs/>
          <w:color w:val="auto"/>
          <w:highlight w:val="none"/>
          <w:u w:val="single"/>
        </w:rPr>
        <w:t xml:space="preserve">                                                                                  </w:t>
      </w:r>
    </w:p>
    <w:p w14:paraId="630F8BA5">
      <w:pPr>
        <w:pStyle w:val="15"/>
        <w:spacing w:line="400" w:lineRule="exact"/>
        <w:ind w:firstLine="420" w:firstLineChars="200"/>
        <w:rPr>
          <w:rFonts w:hint="eastAsia" w:ascii="宋体" w:hAnsi="宋体" w:eastAsia="宋体" w:cs="宋体"/>
          <w:bCs/>
          <w:color w:val="auto"/>
          <w:highlight w:val="none"/>
          <w:u w:val="single"/>
        </w:rPr>
      </w:pPr>
      <w:r>
        <w:rPr>
          <w:rFonts w:hint="eastAsia" w:ascii="宋体" w:hAnsi="宋体" w:eastAsia="宋体" w:cs="宋体"/>
          <w:bCs/>
          <w:color w:val="auto"/>
          <w:highlight w:val="none"/>
        </w:rPr>
        <w:t>法律依据：</w:t>
      </w:r>
      <w:r>
        <w:rPr>
          <w:rFonts w:hint="eastAsia" w:ascii="宋体" w:hAnsi="宋体" w:eastAsia="宋体" w:cs="宋体"/>
          <w:color w:val="auto"/>
          <w:szCs w:val="21"/>
          <w:highlight w:val="none"/>
        </w:rPr>
        <w:t xml:space="preserve"> </w:t>
      </w:r>
      <w:r>
        <w:rPr>
          <w:rFonts w:hint="eastAsia" w:ascii="宋体" w:hAnsi="宋体" w:eastAsia="宋体" w:cs="宋体"/>
          <w:bCs/>
          <w:color w:val="auto"/>
          <w:highlight w:val="none"/>
          <w:u w:val="single"/>
        </w:rPr>
        <w:t xml:space="preserve">                                                                       </w:t>
      </w:r>
    </w:p>
    <w:p w14:paraId="419B9405">
      <w:pPr>
        <w:pStyle w:val="15"/>
        <w:spacing w:line="400" w:lineRule="exact"/>
        <w:ind w:left="25" w:leftChars="12" w:firstLine="308" w:firstLineChars="147"/>
        <w:rPr>
          <w:rFonts w:hint="eastAsia" w:ascii="宋体" w:hAnsi="宋体" w:eastAsia="宋体" w:cs="宋体"/>
          <w:bCs/>
          <w:color w:val="auto"/>
          <w:highlight w:val="none"/>
          <w:u w:val="single"/>
        </w:rPr>
      </w:pPr>
      <w:r>
        <w:rPr>
          <w:rFonts w:hint="eastAsia" w:ascii="宋体" w:hAnsi="宋体" w:eastAsia="宋体" w:cs="宋体"/>
          <w:bCs/>
          <w:color w:val="auto"/>
          <w:highlight w:val="none"/>
        </w:rPr>
        <w:t xml:space="preserve"> </w:t>
      </w:r>
      <w:r>
        <w:rPr>
          <w:rFonts w:hint="eastAsia" w:ascii="宋体" w:hAnsi="宋体" w:eastAsia="宋体" w:cs="宋体"/>
          <w:bCs/>
          <w:color w:val="auto"/>
          <w:highlight w:val="none"/>
          <w:u w:val="single"/>
        </w:rPr>
        <w:t xml:space="preserve">                                                                                  </w:t>
      </w:r>
    </w:p>
    <w:p w14:paraId="0A420528">
      <w:pPr>
        <w:pStyle w:val="15"/>
        <w:spacing w:line="400" w:lineRule="exact"/>
        <w:ind w:left="25" w:leftChars="12" w:firstLine="413" w:firstLineChars="197"/>
        <w:rPr>
          <w:rFonts w:hint="eastAsia" w:ascii="宋体" w:hAnsi="宋体" w:eastAsia="宋体" w:cs="宋体"/>
          <w:bCs/>
          <w:color w:val="auto"/>
          <w:highlight w:val="none"/>
        </w:rPr>
      </w:pPr>
      <w:r>
        <w:rPr>
          <w:rFonts w:hint="eastAsia" w:ascii="宋体" w:hAnsi="宋体" w:eastAsia="宋体" w:cs="宋体"/>
          <w:color w:val="auto"/>
          <w:szCs w:val="21"/>
          <w:highlight w:val="none"/>
        </w:rPr>
        <w:t xml:space="preserve">投诉事项2 </w:t>
      </w:r>
    </w:p>
    <w:p w14:paraId="021E314B">
      <w:pPr>
        <w:pStyle w:val="15"/>
        <w:spacing w:line="400" w:lineRule="exact"/>
        <w:ind w:left="25" w:leftChars="12" w:firstLine="413" w:firstLineChars="197"/>
        <w:rPr>
          <w:rFonts w:hint="eastAsia" w:ascii="宋体" w:hAnsi="宋体" w:eastAsia="宋体" w:cs="宋体"/>
          <w:bCs/>
          <w:color w:val="auto"/>
          <w:highlight w:val="none"/>
        </w:rPr>
      </w:pPr>
      <w:r>
        <w:rPr>
          <w:rFonts w:hint="eastAsia" w:ascii="宋体" w:hAnsi="宋体" w:eastAsia="宋体" w:cs="宋体"/>
          <w:bCs/>
          <w:color w:val="auto"/>
          <w:highlight w:val="none"/>
        </w:rPr>
        <w:t>……</w:t>
      </w:r>
    </w:p>
    <w:p w14:paraId="2936604D">
      <w:pPr>
        <w:pStyle w:val="15"/>
        <w:spacing w:line="400" w:lineRule="exact"/>
        <w:ind w:left="25" w:leftChars="12" w:firstLine="413" w:firstLineChars="196"/>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五、与投诉事项相关的投诉请求：</w:t>
      </w:r>
    </w:p>
    <w:p w14:paraId="1574E4F2">
      <w:pPr>
        <w:pStyle w:val="15"/>
        <w:spacing w:line="400" w:lineRule="exact"/>
        <w:ind w:left="25" w:leftChars="12" w:firstLine="413" w:firstLineChars="197"/>
        <w:rPr>
          <w:rFonts w:hint="eastAsia" w:ascii="宋体" w:hAnsi="宋体" w:eastAsia="宋体" w:cs="宋体"/>
          <w:color w:val="auto"/>
          <w:szCs w:val="21"/>
          <w:highlight w:val="none"/>
        </w:rPr>
      </w:pPr>
      <w:r>
        <w:rPr>
          <w:rFonts w:hint="eastAsia" w:ascii="宋体" w:hAnsi="宋体" w:eastAsia="宋体" w:cs="宋体"/>
          <w:color w:val="auto"/>
          <w:szCs w:val="21"/>
          <w:highlight w:val="none"/>
        </w:rPr>
        <w:t>请求：</w:t>
      </w:r>
      <w:r>
        <w:rPr>
          <w:rFonts w:hint="eastAsia" w:ascii="宋体" w:hAnsi="宋体" w:eastAsia="宋体" w:cs="宋体"/>
          <w:bCs/>
          <w:color w:val="auto"/>
          <w:highlight w:val="none"/>
          <w:u w:val="single"/>
        </w:rPr>
        <w:t xml:space="preserve">                                                                            </w:t>
      </w:r>
    </w:p>
    <w:p w14:paraId="38AA3F72">
      <w:pPr>
        <w:pStyle w:val="15"/>
        <w:spacing w:line="400" w:lineRule="exact"/>
        <w:ind w:left="25" w:leftChars="12" w:firstLine="308" w:firstLineChars="147"/>
        <w:rPr>
          <w:rFonts w:hint="eastAsia" w:ascii="宋体" w:hAnsi="宋体" w:eastAsia="宋体" w:cs="宋体"/>
          <w:color w:val="auto"/>
          <w:szCs w:val="21"/>
          <w:highlight w:val="none"/>
        </w:rPr>
      </w:pPr>
    </w:p>
    <w:p w14:paraId="36588344">
      <w:pPr>
        <w:pStyle w:val="15"/>
        <w:spacing w:line="360" w:lineRule="exact"/>
        <w:ind w:left="25" w:leftChars="12" w:firstLine="413" w:firstLineChars="197"/>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单位</w:t>
      </w:r>
      <w:r>
        <w:rPr>
          <w:rFonts w:hint="eastAsia" w:ascii="宋体" w:hAnsi="宋体" w:eastAsia="宋体" w:cs="宋体"/>
          <w:color w:val="auto"/>
          <w:szCs w:val="21"/>
          <w:highlight w:val="none"/>
        </w:rPr>
        <w:t>公章：</w:t>
      </w:r>
    </w:p>
    <w:p w14:paraId="5D88BE44">
      <w:pPr>
        <w:pStyle w:val="15"/>
        <w:spacing w:line="400" w:lineRule="exact"/>
        <w:ind w:left="25" w:leftChars="12" w:firstLine="413" w:firstLineChars="197"/>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签字（签章）：                                   </w:t>
      </w:r>
    </w:p>
    <w:p w14:paraId="317FEB67">
      <w:pPr>
        <w:pStyle w:val="15"/>
        <w:spacing w:line="400" w:lineRule="exact"/>
        <w:ind w:left="25" w:leftChars="12" w:firstLine="413" w:firstLineChars="197"/>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p>
    <w:p w14:paraId="1BF3F572">
      <w:pPr>
        <w:pStyle w:val="15"/>
        <w:spacing w:line="360" w:lineRule="exact"/>
        <w:ind w:left="25" w:leftChars="12" w:firstLine="413" w:firstLineChars="197"/>
        <w:rPr>
          <w:rFonts w:hint="eastAsia" w:ascii="宋体" w:hAnsi="宋体" w:eastAsia="宋体" w:cs="宋体"/>
          <w:color w:val="auto"/>
          <w:szCs w:val="21"/>
          <w:highlight w:val="none"/>
        </w:rPr>
      </w:pPr>
      <w:r>
        <w:rPr>
          <w:rFonts w:hint="eastAsia" w:ascii="宋体" w:hAnsi="宋体" w:eastAsia="宋体" w:cs="宋体"/>
          <w:bCs/>
          <w:color w:val="auto"/>
          <w:highlight w:val="none"/>
        </w:rPr>
        <w:t xml:space="preserve">                                                                                 </w:t>
      </w:r>
    </w:p>
    <w:p w14:paraId="7133E811">
      <w:pPr>
        <w:pStyle w:val="15"/>
        <w:snapToGrid w:val="0"/>
        <w:spacing w:line="34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说明：</w:t>
      </w:r>
    </w:p>
    <w:p w14:paraId="32C4584A">
      <w:pPr>
        <w:pStyle w:val="15"/>
        <w:spacing w:line="340" w:lineRule="exact"/>
        <w:ind w:left="25" w:leftChars="12" w:firstLine="310" w:firstLineChars="147"/>
        <w:rPr>
          <w:rFonts w:hint="eastAsia" w:ascii="宋体" w:hAnsi="宋体" w:eastAsia="宋体" w:cs="宋体"/>
          <w:b/>
          <w:bCs/>
          <w:color w:val="auto"/>
          <w:highlight w:val="none"/>
        </w:rPr>
      </w:pPr>
      <w:r>
        <w:rPr>
          <w:rFonts w:hint="eastAsia" w:ascii="宋体" w:hAnsi="宋体" w:eastAsia="宋体" w:cs="宋体"/>
          <w:b/>
          <w:color w:val="auto"/>
          <w:szCs w:val="21"/>
          <w:highlight w:val="none"/>
        </w:rPr>
        <w:t>1.投诉人提起投诉时，应当提交投诉书和必要的证明材料，并按照被投诉人和与投诉事项有关的供应商数量提供投诉书副本。</w:t>
      </w:r>
    </w:p>
    <w:p w14:paraId="0E23C6C5">
      <w:pPr>
        <w:pStyle w:val="15"/>
        <w:spacing w:line="340" w:lineRule="exact"/>
        <w:ind w:left="25" w:leftChars="12" w:firstLine="310" w:firstLineChars="147"/>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14:paraId="74171F41">
      <w:pPr>
        <w:pStyle w:val="15"/>
        <w:spacing w:line="340" w:lineRule="exact"/>
        <w:ind w:left="25" w:leftChars="12" w:firstLine="310" w:firstLineChars="147"/>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3.投诉人若对项目的某一分包进行投诉，投诉书应列明具体分包号。</w:t>
      </w:r>
    </w:p>
    <w:p w14:paraId="77F7331C">
      <w:pPr>
        <w:pStyle w:val="15"/>
        <w:spacing w:line="340" w:lineRule="exact"/>
        <w:ind w:left="25" w:leftChars="12" w:firstLine="310" w:firstLineChars="147"/>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4.投诉书应简要列明质疑事项，质疑函、质疑答复等作为附件材料提供。</w:t>
      </w:r>
    </w:p>
    <w:p w14:paraId="382751C1">
      <w:pPr>
        <w:pStyle w:val="15"/>
        <w:spacing w:line="340" w:lineRule="exact"/>
        <w:ind w:left="25" w:leftChars="12" w:firstLine="310" w:firstLineChars="147"/>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5.投诉书的投诉事项应具体、明确，并有必要的事实依据和法律依据。</w:t>
      </w:r>
    </w:p>
    <w:p w14:paraId="08E8C71E">
      <w:pPr>
        <w:pStyle w:val="15"/>
        <w:spacing w:line="340" w:lineRule="exact"/>
        <w:ind w:left="25" w:leftChars="12" w:firstLine="310" w:firstLineChars="147"/>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6.投诉书的投诉请求应与投诉事项相关。</w:t>
      </w:r>
    </w:p>
    <w:p w14:paraId="3B8E7D46">
      <w:pPr>
        <w:pStyle w:val="15"/>
        <w:spacing w:line="340" w:lineRule="exact"/>
        <w:ind w:left="25" w:leftChars="12" w:firstLine="310" w:firstLineChars="147"/>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7.投诉人为法人或者其他组织的，投诉书应当由法定代表人、负责人、自然人或者其授权代表签字或者盖章，并加盖公章。</w:t>
      </w:r>
    </w:p>
    <w:p w14:paraId="6E7658F3">
      <w:pPr>
        <w:spacing w:line="500" w:lineRule="exact"/>
        <w:rPr>
          <w:rFonts w:hint="eastAsia" w:ascii="宋体" w:hAnsi="宋体" w:eastAsia="宋体" w:cs="宋体"/>
          <w:b/>
          <w:color w:val="auto"/>
          <w:sz w:val="32"/>
          <w:szCs w:val="32"/>
          <w:highlight w:val="none"/>
        </w:rPr>
      </w:pPr>
    </w:p>
    <w:p w14:paraId="473345BA">
      <w:pPr>
        <w:spacing w:line="500" w:lineRule="exact"/>
        <w:jc w:val="center"/>
        <w:rPr>
          <w:rFonts w:hint="eastAsia" w:ascii="宋体" w:hAnsi="宋体" w:eastAsia="宋体" w:cs="宋体"/>
          <w:b/>
          <w:color w:val="auto"/>
          <w:sz w:val="32"/>
          <w:szCs w:val="32"/>
          <w:highlight w:val="none"/>
        </w:rPr>
      </w:pPr>
    </w:p>
    <w:p w14:paraId="7FB0B728">
      <w:pPr>
        <w:spacing w:line="500" w:lineRule="exact"/>
        <w:jc w:val="center"/>
        <w:rPr>
          <w:rFonts w:hint="eastAsia" w:ascii="宋体" w:hAnsi="宋体" w:eastAsia="宋体" w:cs="宋体"/>
          <w:b/>
          <w:color w:val="auto"/>
          <w:sz w:val="32"/>
          <w:szCs w:val="32"/>
          <w:highlight w:val="none"/>
        </w:rPr>
      </w:pPr>
    </w:p>
    <w:p w14:paraId="7068C4A4">
      <w:pPr>
        <w:spacing w:line="500" w:lineRule="exact"/>
        <w:jc w:val="center"/>
        <w:rPr>
          <w:rFonts w:hint="eastAsia" w:ascii="宋体" w:hAnsi="宋体" w:eastAsia="宋体" w:cs="宋体"/>
          <w:b/>
          <w:color w:val="auto"/>
          <w:sz w:val="32"/>
          <w:szCs w:val="32"/>
          <w:highlight w:val="none"/>
        </w:rPr>
      </w:pPr>
    </w:p>
    <w:p w14:paraId="537C99A4">
      <w:pPr>
        <w:spacing w:line="500" w:lineRule="exact"/>
        <w:jc w:val="center"/>
        <w:rPr>
          <w:rFonts w:hint="eastAsia" w:ascii="宋体" w:hAnsi="宋体" w:eastAsia="宋体" w:cs="宋体"/>
          <w:b/>
          <w:color w:val="auto"/>
          <w:sz w:val="32"/>
          <w:szCs w:val="32"/>
          <w:highlight w:val="none"/>
        </w:rPr>
      </w:pPr>
    </w:p>
    <w:p w14:paraId="568EBADF">
      <w:pPr>
        <w:spacing w:line="500" w:lineRule="exact"/>
        <w:jc w:val="center"/>
        <w:rPr>
          <w:rFonts w:hint="eastAsia" w:ascii="宋体" w:hAnsi="宋体" w:eastAsia="宋体" w:cs="宋体"/>
          <w:b/>
          <w:color w:val="auto"/>
          <w:sz w:val="32"/>
          <w:szCs w:val="32"/>
          <w:highlight w:val="none"/>
        </w:rPr>
      </w:pPr>
    </w:p>
    <w:p w14:paraId="4D69E56D">
      <w:pPr>
        <w:spacing w:line="500" w:lineRule="exact"/>
        <w:jc w:val="center"/>
        <w:rPr>
          <w:rFonts w:hint="eastAsia" w:ascii="宋体" w:hAnsi="宋体" w:eastAsia="宋体" w:cs="宋体"/>
          <w:b/>
          <w:color w:val="auto"/>
          <w:sz w:val="32"/>
          <w:szCs w:val="32"/>
          <w:highlight w:val="none"/>
        </w:rPr>
      </w:pPr>
    </w:p>
    <w:p w14:paraId="67A4AD97">
      <w:pPr>
        <w:pStyle w:val="3"/>
        <w:rPr>
          <w:rFonts w:hint="eastAsia"/>
          <w:color w:val="auto"/>
          <w:highlight w:val="none"/>
        </w:rPr>
      </w:pPr>
    </w:p>
    <w:p w14:paraId="586DE540">
      <w:pPr>
        <w:pStyle w:val="10"/>
        <w:ind w:left="0" w:leftChars="0" w:firstLine="0" w:firstLineChars="0"/>
        <w:rPr>
          <w:rFonts w:hint="eastAsia"/>
          <w:color w:val="auto"/>
          <w:highlight w:val="none"/>
        </w:rPr>
      </w:pPr>
    </w:p>
    <w:p w14:paraId="5837A39A">
      <w:pPr>
        <w:pStyle w:val="10"/>
        <w:ind w:left="0" w:leftChars="0" w:firstLine="0" w:firstLineChars="0"/>
        <w:rPr>
          <w:rFonts w:hint="eastAsia"/>
          <w:color w:val="auto"/>
          <w:highlight w:val="none"/>
        </w:rPr>
      </w:pPr>
    </w:p>
    <w:bookmarkEnd w:id="5"/>
    <w:p w14:paraId="45CA9774">
      <w:pPr>
        <w:rPr>
          <w:rFonts w:hint="eastAsia" w:ascii="宋体" w:hAnsi="宋体" w:eastAsia="宋体" w:cs="宋体"/>
          <w:b/>
          <w:color w:val="auto"/>
          <w:sz w:val="32"/>
          <w:szCs w:val="32"/>
          <w:highlight w:val="none"/>
        </w:rPr>
      </w:pPr>
      <w:bookmarkStart w:id="6" w:name="_Toc34217864"/>
      <w:r>
        <w:rPr>
          <w:rFonts w:hint="eastAsia" w:ascii="宋体" w:hAnsi="宋体" w:eastAsia="宋体" w:cs="宋体"/>
          <w:b/>
          <w:color w:val="auto"/>
          <w:sz w:val="32"/>
          <w:szCs w:val="32"/>
          <w:highlight w:val="none"/>
        </w:rPr>
        <w:br w:type="page"/>
      </w:r>
    </w:p>
    <w:p w14:paraId="2FED7CCE">
      <w:pPr>
        <w:spacing w:line="36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第三章</w:t>
      </w:r>
      <w:r>
        <w:rPr>
          <w:rFonts w:hint="eastAsia" w:ascii="宋体" w:hAnsi="宋体" w:eastAsia="宋体" w:cs="宋体"/>
          <w:b/>
          <w:color w:val="auto"/>
          <w:sz w:val="32"/>
          <w:szCs w:val="32"/>
          <w:highlight w:val="none"/>
          <w:lang w:val="en-US" w:eastAsia="zh-CN"/>
        </w:rPr>
        <w:t xml:space="preserve">  </w:t>
      </w:r>
      <w:r>
        <w:rPr>
          <w:rFonts w:hint="eastAsia" w:ascii="宋体" w:hAnsi="宋体" w:eastAsia="宋体" w:cs="宋体"/>
          <w:b/>
          <w:color w:val="auto"/>
          <w:sz w:val="32"/>
          <w:szCs w:val="32"/>
          <w:highlight w:val="none"/>
        </w:rPr>
        <w:t>采购需求</w:t>
      </w:r>
    </w:p>
    <w:p w14:paraId="4EC8C39E">
      <w:pPr>
        <w:rPr>
          <w:rFonts w:hint="eastAsia" w:ascii="宋体" w:hAnsi="宋体" w:eastAsia="宋体" w:cs="宋体"/>
          <w:color w:val="auto"/>
          <w:szCs w:val="21"/>
          <w:highlight w:val="none"/>
        </w:rPr>
      </w:pPr>
    </w:p>
    <w:p w14:paraId="3DC5068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cs="宋体"/>
          <w:b w:val="0"/>
          <w:bCs w:val="0"/>
          <w:color w:val="auto"/>
          <w:sz w:val="21"/>
          <w:szCs w:val="21"/>
          <w:highlight w:val="none"/>
          <w:lang w:val="en-US" w:eastAsia="zh-CN"/>
        </w:rPr>
      </w:pPr>
      <w:r>
        <w:rPr>
          <w:rFonts w:hint="eastAsia" w:ascii="宋体" w:hAnsi="宋体" w:cs="宋体"/>
          <w:b/>
          <w:bCs/>
          <w:color w:val="auto"/>
          <w:sz w:val="21"/>
          <w:szCs w:val="21"/>
          <w:highlight w:val="none"/>
          <w:lang w:val="en-US" w:eastAsia="zh-CN"/>
        </w:rPr>
        <w:t>一、采购内容：</w:t>
      </w:r>
    </w:p>
    <w:p w14:paraId="1BCAD80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桂林市矿产资源总体规划（2026-2030年）编制工作。</w:t>
      </w:r>
    </w:p>
    <w:p w14:paraId="74883FF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cs="宋体"/>
          <w:b w:val="0"/>
          <w:bCs w:val="0"/>
          <w:color w:val="auto"/>
          <w:sz w:val="21"/>
          <w:szCs w:val="21"/>
          <w:highlight w:val="none"/>
          <w:lang w:val="en-US" w:eastAsia="zh-CN"/>
        </w:rPr>
      </w:pPr>
      <w:r>
        <w:rPr>
          <w:rFonts w:hint="eastAsia" w:ascii="宋体" w:hAnsi="宋体" w:cs="宋体"/>
          <w:b/>
          <w:bCs/>
          <w:color w:val="auto"/>
          <w:sz w:val="21"/>
          <w:szCs w:val="21"/>
          <w:highlight w:val="none"/>
          <w:lang w:val="en-US" w:eastAsia="zh-CN"/>
        </w:rPr>
        <w:t>（一）项目概况</w:t>
      </w:r>
    </w:p>
    <w:p w14:paraId="356D280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依据自治区矿产资源规划的目标任务，开展桂林市矿产资源总体规划(2026-2030年)编制工作。做好规划编制，一是细化和落实上级规划的目标指标、规划布局与分区、重大项目等,确保上级规划有效落地；二是统筹部署市级审批发证的矿产资源开发利用和保护的布局安排；三是部署安排矿山生态修复工作，制定绿色矿山建设任务、进度安排，明确新建矿山、生产矿山生态修复的责任和要求，提出建立完善矿区生态修复的具体管理措施；四是明确矿产资源勘查开发和保护监督管理举措；五是同步推进规划数据库建设。按照国家和自治区相关部门的时序安排和要求，按时按质编制完成桂林市矿产资源总体规划（2026-2030年）系列成果。</w:t>
      </w:r>
    </w:p>
    <w:p w14:paraId="3EDDFA6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cs="宋体"/>
          <w:b w:val="0"/>
          <w:bCs w:val="0"/>
          <w:color w:val="auto"/>
          <w:sz w:val="21"/>
          <w:szCs w:val="21"/>
          <w:highlight w:val="none"/>
          <w:lang w:val="en-US" w:eastAsia="zh-CN"/>
        </w:rPr>
      </w:pPr>
      <w:r>
        <w:rPr>
          <w:rFonts w:hint="eastAsia" w:ascii="宋体" w:hAnsi="宋体" w:cs="宋体"/>
          <w:b/>
          <w:bCs/>
          <w:color w:val="auto"/>
          <w:sz w:val="21"/>
          <w:szCs w:val="21"/>
          <w:highlight w:val="none"/>
          <w:lang w:val="en-US" w:eastAsia="zh-CN"/>
        </w:rPr>
        <w:t>（二）编制依据</w:t>
      </w:r>
    </w:p>
    <w:p w14:paraId="30E6812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1.《矿产资源规划编制实施办法》（国土资源部令第55号）；</w:t>
      </w:r>
    </w:p>
    <w:p w14:paraId="5356DF2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2.《广西壮族自治区自然资源厅关于加强矿业权管理促进矿业高质量发展的意见》（桂自然资规〔2025〕6号）；</w:t>
      </w:r>
    </w:p>
    <w:p w14:paraId="557D43B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3.《广西壮族自治区自然资源厅办公室关于印发〈全区“十五五”矿产资源规划编制工作方案〉的通知》（桂自然资办〔2024〕218号）；</w:t>
      </w:r>
    </w:p>
    <w:p w14:paraId="2214E5E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4.《桂林市自然资源局办公室关于印发〈桂林市矿产资源总体规划（2026-2030年）编制工作方案〉的通知》（市自然资办〔2025〕25号）。</w:t>
      </w:r>
    </w:p>
    <w:p w14:paraId="47EE986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（三）规划范围</w:t>
      </w:r>
    </w:p>
    <w:p w14:paraId="09AC6F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规划范围为桂林市行政辖区内的矿产资源。</w:t>
      </w:r>
    </w:p>
    <w:p w14:paraId="3C3AAB7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（四）规划期限</w:t>
      </w:r>
    </w:p>
    <w:p w14:paraId="05AF239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规划以2025年为基期,目标年为2030年,展望到2035年。</w:t>
      </w:r>
    </w:p>
    <w:p w14:paraId="1FAD27B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二、编制主要内容及要求</w:t>
      </w:r>
    </w:p>
    <w:p w14:paraId="11609E4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（一）做好规划编制基础工作</w:t>
      </w:r>
    </w:p>
    <w:p w14:paraId="17CEA12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完善编制工作措施，充分做好组织准备和技术准备，严格核实资源勘查、资源储量、矿业权设置、开发利用、矿山地质环境及土地复垦等基础数据，认真做好基础调研、资料收集等工作。</w:t>
      </w:r>
    </w:p>
    <w:p w14:paraId="55ABD99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（二）编制矿产资源规划文本</w:t>
      </w:r>
    </w:p>
    <w:p w14:paraId="1B591DC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综合集成重点专题研究成果，全面细化落实自治区自然资源厅规划部署要求，明确规划的总体目标、重点任务、规划控制指标、规划区划分原则及管理措施，对市级依法出让登记和上级自然资源主管部门委托出让登记矿种的勘查、开发利用和保护活动作出详细安排。</w:t>
      </w:r>
    </w:p>
    <w:p w14:paraId="3D22280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（三）规划图件制作</w:t>
      </w:r>
    </w:p>
    <w:p w14:paraId="19F1EEE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以1:1万地理底图为基本底图，规划底图坐标采用2000国家大地坐标系，按照《广西“十五五”市级矿产资源规划编制技术规程》要求制作桂林市规划附图。</w:t>
      </w:r>
    </w:p>
    <w:p w14:paraId="5C233A5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（四）规划编制数据库建设</w:t>
      </w:r>
    </w:p>
    <w:p w14:paraId="2381B89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按照最新的矿产资源规划数据库标准和矿产资源规划数据库建设指南，按时完成桂林市矿产资源规划数据库的建设、质量检查和汇交工作，保障数据库建设与规划编制的同期开展、同步完成。</w:t>
      </w:r>
    </w:p>
    <w:p w14:paraId="560EAA8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（五）规划环境影响评价</w:t>
      </w:r>
    </w:p>
    <w:p w14:paraId="1BC3E34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根据《规划环境影响评价条例》的有关规定，编写环境影响篇章，并与规划成果同步提交审查。</w:t>
      </w:r>
    </w:p>
    <w:p w14:paraId="2851E6C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三、工作部署及进度安排：</w:t>
      </w:r>
    </w:p>
    <w:p w14:paraId="1F09052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2026年4月底前,完成规划预审稿报自治区自然资源厅审批。</w:t>
      </w:r>
    </w:p>
    <w:p w14:paraId="73B2314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2026年8月底前,规划送审稿（含规划数据库）经市人民政府审核同意后，报自治区自然资源厅审批。</w:t>
      </w:r>
    </w:p>
    <w:p w14:paraId="4F53208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cs="宋体"/>
          <w:b w:val="0"/>
          <w:bCs w:val="0"/>
          <w:color w:val="auto"/>
          <w:sz w:val="21"/>
          <w:szCs w:val="21"/>
          <w:highlight w:val="none"/>
          <w:lang w:val="en-US" w:eastAsia="zh-CN"/>
        </w:rPr>
      </w:pPr>
      <w:r>
        <w:rPr>
          <w:rFonts w:hint="eastAsia" w:ascii="宋体" w:hAnsi="宋体" w:cs="宋体"/>
          <w:b/>
          <w:bCs/>
          <w:color w:val="auto"/>
          <w:sz w:val="21"/>
          <w:szCs w:val="21"/>
          <w:highlight w:val="none"/>
          <w:lang w:val="en-US" w:eastAsia="zh-CN"/>
        </w:rPr>
        <w:t>四、成果交付内容及要求</w:t>
      </w:r>
    </w:p>
    <w:p w14:paraId="0697044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 xml:space="preserve"> </w:t>
      </w:r>
      <w:r>
        <w:rPr>
          <w:rFonts w:hint="eastAsia" w:ascii="宋体" w:hAnsi="宋体" w:cs="宋体"/>
          <w:b/>
          <w:bCs/>
          <w:color w:val="auto"/>
          <w:sz w:val="21"/>
          <w:szCs w:val="21"/>
          <w:highlight w:val="none"/>
          <w:lang w:val="en-US" w:eastAsia="zh-CN"/>
        </w:rPr>
        <w:t>(一)成果内容</w:t>
      </w:r>
    </w:p>
    <w:p w14:paraId="7E5CEB1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提交规划文本、附表、附图、编制说明和数据库等。</w:t>
      </w:r>
    </w:p>
    <w:p w14:paraId="20038D9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（二）格式要求</w:t>
      </w:r>
    </w:p>
    <w:p w14:paraId="200FCAE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全部成果均应提供电子文件和纸质文本（具体份数由双方协定），文图表的内容应一致。电子文本采用Microsoft Word、WPS格式文件，附表采用Microsoft Excel、WPS格式文件；绘制规划附图采用ArcGIS或MapGIS等；电子图形文件包括符合数据库要求的标准矢量格式和JPG格式，纸质文本采用A4纸打印。</w:t>
      </w:r>
    </w:p>
    <w:p w14:paraId="1F65D85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全部成果坐标系应用2000国家大地坐标系。规划区块内赋存矿种应都纳入允许开采矿种当中，针对不同矿种的开采指标应根据实际设立，不限于一个。</w:t>
      </w:r>
    </w:p>
    <w:p w14:paraId="7502550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（三）质量要求</w:t>
      </w:r>
    </w:p>
    <w:p w14:paraId="0E60ED2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符合自然资源部以及自治区自然资源厅关于矿产资源总体规划编制工作的标准、规范、规程和办法等要求，并通过自治区相关部门的审查验收，通过有批准权的机关批准。</w:t>
      </w:r>
    </w:p>
    <w:p w14:paraId="68149F2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（四）交付时间</w:t>
      </w:r>
    </w:p>
    <w:p w14:paraId="01F1CC7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签订合同后,2026年4月底前,完成规划预审稿报自治区自然资源厅审批。2026年8月底前,规划送审稿（含规划数据库）经市人民政府审核同意后，报自治区自然资源厅审批。编制的《桂林市矿产资源总体规划（2026-2030年）》须经自治区自然资源厅批复同意实施。</w:t>
      </w:r>
    </w:p>
    <w:p w14:paraId="1F5B21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（五）交付地点</w:t>
      </w:r>
    </w:p>
    <w:p w14:paraId="2A742C5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 xml:space="preserve"> 桂林市采购人指定地点。</w:t>
      </w:r>
    </w:p>
    <w:p w14:paraId="5E22E7D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cs="宋体"/>
          <w:b w:val="0"/>
          <w:bCs w:val="0"/>
          <w:color w:val="auto"/>
          <w:sz w:val="21"/>
          <w:szCs w:val="21"/>
          <w:highlight w:val="none"/>
          <w:lang w:val="en-US" w:eastAsia="zh-CN"/>
        </w:rPr>
      </w:pPr>
      <w:r>
        <w:rPr>
          <w:rFonts w:hint="eastAsia" w:ascii="宋体" w:hAnsi="宋体" w:cs="宋体"/>
          <w:b/>
          <w:bCs/>
          <w:color w:val="auto"/>
          <w:sz w:val="21"/>
          <w:szCs w:val="21"/>
          <w:highlight w:val="none"/>
          <w:lang w:val="en-US" w:eastAsia="zh-CN"/>
        </w:rPr>
        <w:t>五、付款方式：</w:t>
      </w:r>
    </w:p>
    <w:p w14:paraId="4014067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全部价款按合同条款分阶段分期付款。付费次序、占合同款的次序比例、付费时间如下：</w:t>
      </w:r>
    </w:p>
    <w:p w14:paraId="030B7CF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第一期支付：完成规划预审稿，并通过自治区相关部门和专家审查及收到财政部门拨款后10个工作日内，采购人支付给成交人合同签订金额的50%；</w:t>
      </w:r>
    </w:p>
    <w:p w14:paraId="7A1A81C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第二期支付：完成规划送审稿（含规划数据库），并通过自治区级审查、批复及收到财政部门拨款后10个工作日内，采购人支付给成交人合同签订金额的40%。</w:t>
      </w:r>
    </w:p>
    <w:p w14:paraId="18F9E2D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第三期支付：完成审批后的规划成果和数据库成果一年的维护及收到财政部门拨款后10个工作日内，采购人支付给成交人合同签订金额的10%。</w:t>
      </w:r>
    </w:p>
    <w:p w14:paraId="73E208C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cs="宋体"/>
          <w:b w:val="0"/>
          <w:bCs w:val="0"/>
          <w:color w:val="auto"/>
          <w:sz w:val="21"/>
          <w:szCs w:val="21"/>
          <w:highlight w:val="none"/>
          <w:lang w:val="en-US" w:eastAsia="zh-CN"/>
        </w:rPr>
      </w:pPr>
      <w:r>
        <w:rPr>
          <w:rFonts w:hint="eastAsia" w:ascii="宋体" w:hAnsi="宋体" w:cs="宋体"/>
          <w:b/>
          <w:bCs/>
          <w:color w:val="auto"/>
          <w:sz w:val="21"/>
          <w:szCs w:val="21"/>
          <w:highlight w:val="none"/>
          <w:lang w:val="en-US" w:eastAsia="zh-CN"/>
        </w:rPr>
        <w:t>六、售后服务要求</w:t>
      </w:r>
    </w:p>
    <w:p w14:paraId="12C09D5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Style w:val="37"/>
          <w:rFonts w:hint="eastAsia" w:ascii="宋体" w:hAnsi="宋体" w:eastAsia="宋体" w:cs="宋体"/>
          <w:color w:val="auto"/>
          <w:sz w:val="21"/>
          <w:szCs w:val="21"/>
          <w:highlight w:val="none"/>
        </w:rPr>
      </w:pPr>
      <w:r>
        <w:rPr>
          <w:rFonts w:hint="eastAsia" w:ascii="宋体" w:hAnsi="宋体" w:cs="宋体"/>
          <w:b w:val="0"/>
          <w:bCs w:val="0"/>
          <w:color w:val="auto"/>
          <w:sz w:val="21"/>
          <w:szCs w:val="21"/>
          <w:highlight w:val="none"/>
          <w:lang w:val="en-US" w:eastAsia="zh-CN"/>
        </w:rPr>
        <w:t>规划成果和数据库通过审查批复后一年的免费维护。</w:t>
      </w:r>
    </w:p>
    <w:p w14:paraId="155BEC2B">
      <w:pPr>
        <w:rPr>
          <w:rStyle w:val="37"/>
          <w:rFonts w:hint="eastAsia" w:ascii="宋体" w:hAnsi="宋体" w:eastAsia="宋体" w:cs="宋体"/>
          <w:color w:val="auto"/>
          <w:sz w:val="21"/>
          <w:szCs w:val="21"/>
          <w:highlight w:val="none"/>
        </w:rPr>
      </w:pPr>
    </w:p>
    <w:p w14:paraId="2C50293D">
      <w:pPr>
        <w:pStyle w:val="10"/>
        <w:rPr>
          <w:rFonts w:hint="eastAsia" w:ascii="宋体" w:hAnsi="宋体" w:eastAsia="宋体" w:cs="宋体"/>
          <w:bCs w:val="0"/>
          <w:color w:val="auto"/>
          <w:highlight w:val="none"/>
        </w:rPr>
      </w:pPr>
    </w:p>
    <w:p w14:paraId="7CDF8FA6">
      <w:pPr>
        <w:rPr>
          <w:rFonts w:hint="eastAsia" w:ascii="宋体" w:hAnsi="宋体" w:eastAsia="宋体" w:cs="宋体"/>
          <w:bCs w:val="0"/>
          <w:color w:val="auto"/>
          <w:highlight w:val="none"/>
        </w:rPr>
      </w:pPr>
    </w:p>
    <w:p w14:paraId="141DDF1C">
      <w:pPr>
        <w:pStyle w:val="3"/>
        <w:rPr>
          <w:rFonts w:hint="default" w:ascii="宋体" w:hAnsi="宋体" w:eastAsia="宋体" w:cs="宋体"/>
          <w:bCs w:val="0"/>
          <w:color w:val="auto"/>
          <w:highlight w:val="none"/>
          <w:lang w:val="en-US" w:eastAsia="zh-CN"/>
        </w:rPr>
      </w:pPr>
      <w:r>
        <w:rPr>
          <w:rFonts w:hint="eastAsia" w:ascii="宋体" w:hAnsi="宋体" w:eastAsia="宋体" w:cs="宋体"/>
          <w:bCs w:val="0"/>
          <w:color w:val="auto"/>
          <w:highlight w:val="none"/>
          <w:lang w:val="en-US" w:eastAsia="zh-CN"/>
        </w:rPr>
        <w:t xml:space="preserve">  </w:t>
      </w:r>
    </w:p>
    <w:p w14:paraId="50BD5868">
      <w:pPr>
        <w:rPr>
          <w:rFonts w:hint="eastAsia" w:ascii="宋体" w:hAnsi="宋体" w:eastAsia="宋体" w:cs="宋体"/>
          <w:bCs w:val="0"/>
          <w:color w:val="auto"/>
          <w:highlight w:val="none"/>
        </w:rPr>
      </w:pPr>
    </w:p>
    <w:p w14:paraId="582F3C03">
      <w:pPr>
        <w:pStyle w:val="3"/>
        <w:rPr>
          <w:rFonts w:hint="eastAsia" w:ascii="宋体" w:hAnsi="宋体" w:eastAsia="宋体" w:cs="宋体"/>
          <w:bCs w:val="0"/>
          <w:color w:val="auto"/>
          <w:highlight w:val="none"/>
        </w:rPr>
      </w:pPr>
    </w:p>
    <w:p w14:paraId="19D23C41">
      <w:pPr>
        <w:rPr>
          <w:rFonts w:hint="eastAsia" w:ascii="宋体" w:hAnsi="宋体" w:eastAsia="宋体" w:cs="宋体"/>
          <w:bCs w:val="0"/>
          <w:color w:val="auto"/>
          <w:highlight w:val="none"/>
        </w:rPr>
      </w:pPr>
    </w:p>
    <w:p w14:paraId="0A07C3E3">
      <w:pPr>
        <w:rPr>
          <w:rFonts w:hint="eastAsia" w:ascii="宋体" w:hAnsi="宋体" w:eastAsia="宋体" w:cs="宋体"/>
          <w:bCs w:val="0"/>
          <w:color w:val="auto"/>
          <w:highlight w:val="none"/>
        </w:rPr>
      </w:pPr>
      <w:r>
        <w:rPr>
          <w:rFonts w:hint="eastAsia" w:ascii="宋体" w:hAnsi="宋体" w:eastAsia="宋体" w:cs="宋体"/>
          <w:bCs w:val="0"/>
          <w:color w:val="auto"/>
          <w:highlight w:val="none"/>
        </w:rPr>
        <w:br w:type="page"/>
      </w:r>
    </w:p>
    <w:p w14:paraId="5054736C">
      <w:pPr>
        <w:pStyle w:val="4"/>
        <w:tabs>
          <w:tab w:val="left" w:pos="3387"/>
        </w:tabs>
        <w:snapToGrid w:val="0"/>
        <w:spacing w:before="0" w:after="0" w:line="300" w:lineRule="auto"/>
        <w:jc w:val="center"/>
        <w:rPr>
          <w:rFonts w:hint="eastAsia" w:ascii="宋体" w:hAnsi="宋体" w:eastAsia="宋体" w:cs="宋体"/>
          <w:b w:val="0"/>
          <w:bCs w:val="0"/>
          <w:color w:val="auto"/>
          <w:szCs w:val="21"/>
          <w:highlight w:val="none"/>
        </w:rPr>
      </w:pPr>
      <w:r>
        <w:rPr>
          <w:rFonts w:hint="eastAsia" w:ascii="宋体" w:hAnsi="宋体" w:eastAsia="宋体" w:cs="宋体"/>
          <w:bCs w:val="0"/>
          <w:color w:val="auto"/>
          <w:highlight w:val="none"/>
        </w:rPr>
        <w:t>第四章  评审办法</w:t>
      </w:r>
      <w:bookmarkEnd w:id="6"/>
    </w:p>
    <w:p w14:paraId="1F99F37B">
      <w:pPr>
        <w:pStyle w:val="15"/>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kern w:val="0"/>
          <w:szCs w:val="21"/>
          <w:highlight w:val="none"/>
        </w:rPr>
      </w:pPr>
      <w:bookmarkStart w:id="7" w:name="_Toc25308876"/>
      <w:r>
        <w:rPr>
          <w:rFonts w:hint="eastAsia" w:ascii="宋体" w:hAnsi="宋体" w:eastAsia="宋体" w:cs="宋体"/>
          <w:b/>
          <w:bCs/>
          <w:color w:val="auto"/>
          <w:kern w:val="0"/>
          <w:szCs w:val="21"/>
          <w:highlight w:val="none"/>
        </w:rPr>
        <w:t>一、评标依据及方式</w:t>
      </w:r>
    </w:p>
    <w:p w14:paraId="6F2D483D">
      <w:pPr>
        <w:pStyle w:val="15"/>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hAnsi="宋体" w:cs="宋体"/>
          <w:color w:val="auto"/>
          <w:kern w:val="0"/>
          <w:szCs w:val="21"/>
          <w:highlight w:val="none"/>
          <w:lang w:eastAsia="zh-CN"/>
        </w:rPr>
        <w:t>、</w:t>
      </w:r>
      <w:r>
        <w:rPr>
          <w:rFonts w:hint="eastAsia" w:ascii="宋体" w:hAnsi="宋体" w:eastAsia="宋体" w:cs="宋体"/>
          <w:color w:val="auto"/>
          <w:kern w:val="0"/>
          <w:szCs w:val="21"/>
          <w:highlight w:val="none"/>
        </w:rPr>
        <w:t>评标依据：</w:t>
      </w:r>
      <w:r>
        <w:rPr>
          <w:rFonts w:hint="eastAsia" w:hAnsi="宋体" w:cs="宋体"/>
          <w:color w:val="auto"/>
          <w:szCs w:val="21"/>
          <w:highlight w:val="none"/>
        </w:rPr>
        <w:t>磋商小组会以竞争性磋商文件和响应文件为评标依据，对磋商供应商的响应文件进行评审,</w:t>
      </w:r>
      <w:r>
        <w:rPr>
          <w:rFonts w:hint="eastAsia" w:hAnsi="宋体" w:cs="宋体"/>
          <w:bCs/>
          <w:color w:val="auto"/>
          <w:szCs w:val="21"/>
          <w:highlight w:val="none"/>
        </w:rPr>
        <w:t xml:space="preserve"> 按百分制打分。</w:t>
      </w:r>
    </w:p>
    <w:p w14:paraId="79EA7F9A">
      <w:pPr>
        <w:pStyle w:val="15"/>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hAnsi="宋体" w:cs="宋体"/>
          <w:color w:val="auto"/>
          <w:kern w:val="0"/>
          <w:szCs w:val="21"/>
          <w:highlight w:val="none"/>
          <w:lang w:eastAsia="zh-CN"/>
        </w:rPr>
        <w:t>、</w:t>
      </w:r>
      <w:r>
        <w:rPr>
          <w:rFonts w:hint="eastAsia" w:ascii="宋体" w:hAnsi="宋体" w:eastAsia="宋体" w:cs="宋体"/>
          <w:color w:val="auto"/>
          <w:kern w:val="0"/>
          <w:szCs w:val="21"/>
          <w:highlight w:val="none"/>
        </w:rPr>
        <w:t>评标方式：以封闭方式进行评标。</w:t>
      </w:r>
    </w:p>
    <w:p w14:paraId="74C38156">
      <w:pPr>
        <w:pStyle w:val="15"/>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hAnsi="宋体" w:cs="宋体"/>
          <w:color w:val="auto"/>
          <w:kern w:val="0"/>
          <w:szCs w:val="21"/>
          <w:highlight w:val="none"/>
          <w:lang w:eastAsia="zh-CN"/>
        </w:rPr>
        <w:t>、</w:t>
      </w:r>
      <w:r>
        <w:rPr>
          <w:rFonts w:hint="eastAsia" w:hAnsi="宋体" w:cs="宋体"/>
          <w:color w:val="auto"/>
          <w:kern w:val="0"/>
          <w:szCs w:val="21"/>
          <w:highlight w:val="none"/>
        </w:rPr>
        <w:t>根据财库〔2012〕69号文规定，采购人和采购代理机构，磋商小组成员要严格遵守政府采购相关法律制度，依法履行各自职责，公正、客观、审慎地组织和参与评审工作。</w:t>
      </w:r>
    </w:p>
    <w:p w14:paraId="1418C111">
      <w:pPr>
        <w:pStyle w:val="15"/>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hAnsi="宋体" w:cs="宋体"/>
          <w:b/>
          <w:bCs/>
          <w:color w:val="auto"/>
          <w:szCs w:val="21"/>
          <w:highlight w:val="none"/>
        </w:rPr>
      </w:pPr>
      <w:r>
        <w:rPr>
          <w:rFonts w:hint="eastAsia" w:hAnsi="宋体" w:cs="宋体"/>
          <w:b/>
          <w:bCs/>
          <w:color w:val="auto"/>
          <w:szCs w:val="21"/>
          <w:highlight w:val="none"/>
        </w:rPr>
        <w:t>二、资格性和符合性审查</w:t>
      </w:r>
    </w:p>
    <w:p w14:paraId="040501C4">
      <w:pPr>
        <w:pStyle w:val="15"/>
        <w:keepNext w:val="0"/>
        <w:keepLines w:val="0"/>
        <w:pageBreakBefore w:val="0"/>
        <w:widowControl w:val="0"/>
        <w:kinsoku/>
        <w:wordWrap/>
        <w:overflowPunct/>
        <w:topLinePunct w:val="0"/>
        <w:autoSpaceDE/>
        <w:autoSpaceDN/>
        <w:bidi w:val="0"/>
        <w:adjustRightInd/>
        <w:spacing w:line="400" w:lineRule="exact"/>
        <w:ind w:firstLine="210" w:firstLineChars="100"/>
        <w:jc w:val="left"/>
        <w:textAlignment w:val="auto"/>
        <w:rPr>
          <w:rFonts w:hint="eastAsia" w:hAnsi="宋体" w:cs="宋体"/>
          <w:bCs/>
          <w:color w:val="auto"/>
          <w:szCs w:val="21"/>
          <w:highlight w:val="none"/>
        </w:rPr>
      </w:pPr>
      <w:r>
        <w:rPr>
          <w:rFonts w:hint="eastAsia" w:hAnsi="宋体" w:cs="宋体"/>
          <w:bCs/>
          <w:color w:val="auto"/>
          <w:szCs w:val="21"/>
          <w:highlight w:val="none"/>
        </w:rPr>
        <w:t>（一）对响应文件进行资格审查；</w:t>
      </w:r>
    </w:p>
    <w:p w14:paraId="3CF4B212">
      <w:pPr>
        <w:pStyle w:val="15"/>
        <w:keepNext w:val="0"/>
        <w:keepLines w:val="0"/>
        <w:pageBreakBefore w:val="0"/>
        <w:widowControl w:val="0"/>
        <w:kinsoku/>
        <w:wordWrap/>
        <w:overflowPunct/>
        <w:topLinePunct w:val="0"/>
        <w:autoSpaceDE/>
        <w:autoSpaceDN/>
        <w:bidi w:val="0"/>
        <w:adjustRightInd/>
        <w:spacing w:line="400" w:lineRule="exact"/>
        <w:ind w:firstLine="210" w:firstLineChars="100"/>
        <w:jc w:val="left"/>
        <w:textAlignment w:val="auto"/>
        <w:rPr>
          <w:rFonts w:hint="eastAsia" w:hAnsi="宋体" w:cs="宋体"/>
          <w:bCs/>
          <w:color w:val="auto"/>
          <w:szCs w:val="21"/>
          <w:highlight w:val="none"/>
        </w:rPr>
      </w:pPr>
      <w:r>
        <w:rPr>
          <w:rFonts w:hint="eastAsia" w:hAnsi="宋体" w:cs="宋体"/>
          <w:bCs/>
          <w:color w:val="auto"/>
          <w:szCs w:val="21"/>
          <w:highlight w:val="none"/>
        </w:rPr>
        <w:t>（二）对资格审查合格的响应文件进行符合性审查,</w:t>
      </w:r>
      <w:r>
        <w:rPr>
          <w:rFonts w:hint="eastAsia" w:hAnsi="宋体" w:cs="宋体"/>
          <w:color w:val="auto"/>
          <w:szCs w:val="21"/>
          <w:highlight w:val="none"/>
        </w:rPr>
        <w:t>响应文件是否实质性响应竞争性磋商文件。</w:t>
      </w:r>
    </w:p>
    <w:tbl>
      <w:tblPr>
        <w:tblStyle w:val="25"/>
        <w:tblW w:w="100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
        <w:gridCol w:w="993"/>
        <w:gridCol w:w="2467"/>
        <w:gridCol w:w="6069"/>
      </w:tblGrid>
      <w:tr w14:paraId="79C52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4" w:type="dxa"/>
            <w:shd w:val="clear" w:color="auto" w:fill="FFFFFF"/>
            <w:tcMar>
              <w:top w:w="0" w:type="dxa"/>
              <w:left w:w="0" w:type="dxa"/>
              <w:bottom w:w="0" w:type="dxa"/>
              <w:right w:w="0" w:type="dxa"/>
            </w:tcMar>
            <w:vAlign w:val="center"/>
          </w:tcPr>
          <w:p w14:paraId="08A57630">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3460" w:type="dxa"/>
            <w:gridSpan w:val="2"/>
            <w:shd w:val="clear" w:color="auto" w:fill="FFFFFF"/>
            <w:vAlign w:val="center"/>
          </w:tcPr>
          <w:p w14:paraId="7CE38C93">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评审因素</w:t>
            </w:r>
          </w:p>
        </w:tc>
        <w:tc>
          <w:tcPr>
            <w:tcW w:w="6069" w:type="dxa"/>
            <w:shd w:val="clear" w:color="auto" w:fill="FFFFFF"/>
            <w:vAlign w:val="center"/>
          </w:tcPr>
          <w:p w14:paraId="48DB7E85">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评审标准</w:t>
            </w:r>
          </w:p>
        </w:tc>
      </w:tr>
      <w:tr w14:paraId="6AA60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4" w:type="dxa"/>
            <w:vMerge w:val="restart"/>
            <w:vAlign w:val="center"/>
          </w:tcPr>
          <w:p w14:paraId="501FB601">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1</w:t>
            </w:r>
          </w:p>
        </w:tc>
        <w:tc>
          <w:tcPr>
            <w:tcW w:w="993" w:type="dxa"/>
            <w:vMerge w:val="restart"/>
            <w:vAlign w:val="center"/>
          </w:tcPr>
          <w:p w14:paraId="089241DE">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资格</w:t>
            </w:r>
          </w:p>
          <w:p w14:paraId="23858297">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审查</w:t>
            </w:r>
          </w:p>
        </w:tc>
        <w:tc>
          <w:tcPr>
            <w:tcW w:w="2467" w:type="dxa"/>
            <w:vAlign w:val="center"/>
          </w:tcPr>
          <w:p w14:paraId="3550935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供应商相应的法定代表人、负责人身份证</w:t>
            </w:r>
          </w:p>
        </w:tc>
        <w:tc>
          <w:tcPr>
            <w:tcW w:w="6069" w:type="dxa"/>
            <w:vAlign w:val="center"/>
          </w:tcPr>
          <w:p w14:paraId="40B71F2C">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供应商相应的法定代表人、负责人身份证</w:t>
            </w:r>
            <w:r>
              <w:rPr>
                <w:rFonts w:hint="eastAsia" w:ascii="宋体" w:hAnsi="宋体" w:eastAsia="宋体" w:cs="宋体"/>
                <w:color w:val="auto"/>
                <w:szCs w:val="21"/>
                <w:highlight w:val="none"/>
              </w:rPr>
              <w:t>正反两</w:t>
            </w:r>
            <w:r>
              <w:rPr>
                <w:rFonts w:hint="eastAsia" w:ascii="宋体" w:hAnsi="宋体" w:cs="宋体"/>
                <w:color w:val="auto"/>
                <w:szCs w:val="21"/>
                <w:highlight w:val="none"/>
                <w:lang w:val="en-US" w:eastAsia="zh-CN"/>
              </w:rPr>
              <w:t>面</w:t>
            </w:r>
            <w:r>
              <w:rPr>
                <w:rFonts w:hint="eastAsia" w:ascii="宋体" w:hAnsi="宋体" w:cs="宋体"/>
                <w:color w:val="auto"/>
                <w:sz w:val="21"/>
                <w:szCs w:val="21"/>
                <w:highlight w:val="none"/>
                <w:lang w:eastAsia="zh-CN"/>
              </w:rPr>
              <w:t>扫描</w:t>
            </w:r>
            <w:r>
              <w:rPr>
                <w:rFonts w:hint="eastAsia" w:ascii="宋体" w:hAnsi="宋体" w:eastAsia="宋体" w:cs="宋体"/>
                <w:color w:val="auto"/>
                <w:sz w:val="21"/>
                <w:szCs w:val="21"/>
                <w:highlight w:val="none"/>
              </w:rPr>
              <w:t>件</w:t>
            </w:r>
            <w:r>
              <w:rPr>
                <w:rFonts w:hint="eastAsia" w:ascii="宋体" w:hAnsi="宋体" w:cs="宋体"/>
                <w:b/>
                <w:color w:val="auto"/>
                <w:kern w:val="0"/>
                <w:szCs w:val="21"/>
                <w:highlight w:val="none"/>
              </w:rPr>
              <w:t>（必须提供</w:t>
            </w:r>
            <w:r>
              <w:rPr>
                <w:rFonts w:hint="eastAsia" w:ascii="宋体" w:hAnsi="宋体" w:cs="宋体"/>
                <w:b/>
                <w:color w:val="auto"/>
                <w:kern w:val="0"/>
                <w:szCs w:val="21"/>
                <w:highlight w:val="none"/>
                <w:lang w:eastAsia="zh-CN"/>
              </w:rPr>
              <w:t>，</w:t>
            </w:r>
            <w:r>
              <w:rPr>
                <w:rFonts w:hint="eastAsia" w:ascii="宋体" w:hAnsi="宋体" w:cs="宋体"/>
                <w:b/>
                <w:bCs w:val="0"/>
                <w:color w:val="auto"/>
                <w:spacing w:val="-4"/>
                <w:kern w:val="0"/>
                <w:sz w:val="21"/>
                <w:szCs w:val="21"/>
                <w:highlight w:val="none"/>
                <w:lang w:val="en-US" w:eastAsia="zh-CN" w:bidi="ar-SA"/>
              </w:rPr>
              <w:t>否则作无效响应处理</w:t>
            </w:r>
            <w:r>
              <w:rPr>
                <w:rFonts w:hint="eastAsia" w:ascii="宋体" w:hAnsi="宋体" w:cs="宋体"/>
                <w:b/>
                <w:color w:val="auto"/>
                <w:kern w:val="0"/>
                <w:szCs w:val="21"/>
                <w:highlight w:val="none"/>
              </w:rPr>
              <w:t>）</w:t>
            </w:r>
            <w:r>
              <w:rPr>
                <w:rFonts w:hint="eastAsia" w:ascii="宋体" w:hAnsi="宋体" w:eastAsia="宋体" w:cs="宋体"/>
                <w:b/>
                <w:color w:val="auto"/>
                <w:szCs w:val="21"/>
                <w:highlight w:val="none"/>
              </w:rPr>
              <w:t>；</w:t>
            </w:r>
          </w:p>
        </w:tc>
      </w:tr>
      <w:tr w14:paraId="55ED7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4" w:type="dxa"/>
            <w:vMerge w:val="continue"/>
            <w:vAlign w:val="center"/>
          </w:tcPr>
          <w:p w14:paraId="2A3E4922">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color w:val="auto"/>
                <w:szCs w:val="21"/>
                <w:highlight w:val="none"/>
              </w:rPr>
            </w:pPr>
          </w:p>
        </w:tc>
        <w:tc>
          <w:tcPr>
            <w:tcW w:w="993" w:type="dxa"/>
            <w:vMerge w:val="continue"/>
            <w:vAlign w:val="center"/>
          </w:tcPr>
          <w:p w14:paraId="620979FC">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color w:val="auto"/>
                <w:szCs w:val="21"/>
                <w:highlight w:val="none"/>
              </w:rPr>
            </w:pPr>
          </w:p>
        </w:tc>
        <w:tc>
          <w:tcPr>
            <w:tcW w:w="2467" w:type="dxa"/>
            <w:shd w:val="clear" w:color="auto" w:fill="auto"/>
            <w:vAlign w:val="center"/>
          </w:tcPr>
          <w:p w14:paraId="207DC1A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供应商的授权委托书</w:t>
            </w:r>
          </w:p>
        </w:tc>
        <w:tc>
          <w:tcPr>
            <w:tcW w:w="6069" w:type="dxa"/>
            <w:shd w:val="clear" w:color="auto" w:fill="auto"/>
            <w:vAlign w:val="center"/>
          </w:tcPr>
          <w:p w14:paraId="6DE68E9E">
            <w:pPr>
              <w:keepNext w:val="0"/>
              <w:keepLines w:val="0"/>
              <w:pageBreakBefore w:val="0"/>
              <w:widowControl w:val="0"/>
              <w:tabs>
                <w:tab w:val="left" w:pos="1305"/>
              </w:tabs>
              <w:kinsoku/>
              <w:wordWrap/>
              <w:overflowPunct/>
              <w:topLinePunct w:val="0"/>
              <w:autoSpaceDE/>
              <w:autoSpaceDN/>
              <w:bidi w:val="0"/>
              <w:adjustRightInd/>
              <w:snapToGrid/>
              <w:spacing w:line="38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供应商的授权委托书原件、委托代理人身份证正反面</w:t>
            </w:r>
            <w:r>
              <w:rPr>
                <w:rFonts w:hint="eastAsia" w:ascii="宋体" w:hAnsi="宋体" w:cs="宋体"/>
                <w:color w:val="auto"/>
                <w:szCs w:val="21"/>
                <w:highlight w:val="none"/>
                <w:lang w:eastAsia="zh-CN"/>
              </w:rPr>
              <w:t>扫描件</w:t>
            </w:r>
            <w:r>
              <w:rPr>
                <w:rFonts w:hint="eastAsia" w:ascii="宋体" w:hAnsi="宋体" w:eastAsia="宋体" w:cs="宋体"/>
                <w:color w:val="auto"/>
                <w:sz w:val="21"/>
                <w:szCs w:val="21"/>
                <w:highlight w:val="none"/>
              </w:rPr>
              <w:t>以及由县级以上（含县级）</w:t>
            </w:r>
            <w:r>
              <w:rPr>
                <w:rFonts w:hint="eastAsia" w:ascii="宋体" w:hAnsi="宋体" w:cs="宋体"/>
                <w:color w:val="auto"/>
                <w:sz w:val="21"/>
                <w:szCs w:val="21"/>
                <w:highlight w:val="none"/>
                <w:lang w:eastAsia="zh-CN"/>
              </w:rPr>
              <w:t>社会保险</w:t>
            </w:r>
            <w:r>
              <w:rPr>
                <w:rFonts w:hint="eastAsia" w:ascii="宋体" w:hAnsi="宋体" w:eastAsia="宋体" w:cs="宋体"/>
                <w:color w:val="auto"/>
                <w:sz w:val="21"/>
                <w:szCs w:val="21"/>
                <w:highlight w:val="none"/>
              </w:rPr>
              <w:t>经办机构出具的</w:t>
            </w:r>
            <w:r>
              <w:rPr>
                <w:rFonts w:hint="eastAsia" w:ascii="宋体" w:hAnsi="宋体" w:cs="宋体"/>
                <w:color w:val="auto"/>
                <w:sz w:val="21"/>
                <w:szCs w:val="21"/>
                <w:highlight w:val="none"/>
                <w:lang w:eastAsia="zh-CN"/>
              </w:rPr>
              <w:t>供应商为委托代理人交纳的投标截止时间前半年内任意一个月的社会保险证明扫描</w:t>
            </w:r>
            <w:r>
              <w:rPr>
                <w:rFonts w:hint="eastAsia" w:ascii="宋体" w:hAnsi="宋体" w:eastAsia="宋体" w:cs="宋体"/>
                <w:color w:val="auto"/>
                <w:sz w:val="21"/>
                <w:szCs w:val="21"/>
                <w:highlight w:val="none"/>
              </w:rPr>
              <w:t>件</w:t>
            </w:r>
            <w:r>
              <w:rPr>
                <w:rFonts w:hint="eastAsia" w:ascii="宋体" w:hAnsi="宋体" w:eastAsia="宋体" w:cs="宋体"/>
                <w:b/>
                <w:color w:val="auto"/>
                <w:szCs w:val="21"/>
                <w:highlight w:val="none"/>
              </w:rPr>
              <w:t>（委托代理时必须提供</w:t>
            </w:r>
            <w:r>
              <w:rPr>
                <w:rFonts w:hint="eastAsia" w:ascii="宋体" w:hAnsi="宋体" w:cs="宋体"/>
                <w:b/>
                <w:color w:val="auto"/>
                <w:kern w:val="0"/>
                <w:szCs w:val="21"/>
                <w:highlight w:val="none"/>
                <w:lang w:eastAsia="zh-CN"/>
              </w:rPr>
              <w:t>，</w:t>
            </w:r>
            <w:r>
              <w:rPr>
                <w:rFonts w:hint="eastAsia" w:ascii="宋体" w:hAnsi="宋体" w:cs="宋体"/>
                <w:b/>
                <w:bCs w:val="0"/>
                <w:color w:val="auto"/>
                <w:spacing w:val="-4"/>
                <w:kern w:val="0"/>
                <w:sz w:val="21"/>
                <w:szCs w:val="21"/>
                <w:highlight w:val="none"/>
                <w:lang w:val="en-US" w:eastAsia="zh-CN" w:bidi="ar-SA"/>
              </w:rPr>
              <w:t>否则作无效响应处理</w:t>
            </w:r>
            <w:r>
              <w:rPr>
                <w:rFonts w:hint="eastAsia" w:ascii="宋体" w:hAnsi="宋体" w:eastAsia="宋体" w:cs="宋体"/>
                <w:b/>
                <w:color w:val="auto"/>
                <w:szCs w:val="21"/>
                <w:highlight w:val="none"/>
              </w:rPr>
              <w:t>）</w:t>
            </w:r>
            <w:r>
              <w:rPr>
                <w:rFonts w:hint="eastAsia" w:ascii="宋体" w:hAnsi="宋体" w:cs="宋体"/>
                <w:b/>
                <w:color w:val="auto"/>
                <w:kern w:val="0"/>
                <w:szCs w:val="21"/>
                <w:highlight w:val="none"/>
              </w:rPr>
              <w:t>；</w:t>
            </w:r>
          </w:p>
        </w:tc>
      </w:tr>
      <w:tr w14:paraId="087D5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4" w:type="dxa"/>
            <w:vMerge w:val="continue"/>
            <w:vAlign w:val="center"/>
          </w:tcPr>
          <w:p w14:paraId="3DF09CE5">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color w:val="auto"/>
                <w:szCs w:val="21"/>
                <w:highlight w:val="none"/>
              </w:rPr>
            </w:pPr>
          </w:p>
        </w:tc>
        <w:tc>
          <w:tcPr>
            <w:tcW w:w="993" w:type="dxa"/>
            <w:vMerge w:val="continue"/>
            <w:vAlign w:val="center"/>
          </w:tcPr>
          <w:p w14:paraId="21F94C3C">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color w:val="auto"/>
                <w:szCs w:val="21"/>
                <w:highlight w:val="none"/>
              </w:rPr>
            </w:pPr>
          </w:p>
        </w:tc>
        <w:tc>
          <w:tcPr>
            <w:tcW w:w="2467" w:type="dxa"/>
            <w:shd w:val="clear" w:color="auto" w:fill="auto"/>
            <w:vAlign w:val="center"/>
          </w:tcPr>
          <w:p w14:paraId="112559D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bCs/>
                <w:color w:val="auto"/>
                <w:szCs w:val="21"/>
                <w:highlight w:val="none"/>
              </w:rPr>
              <w:t>重大违法记录及有关信用信息的书面声明</w:t>
            </w:r>
          </w:p>
        </w:tc>
        <w:tc>
          <w:tcPr>
            <w:tcW w:w="6069" w:type="dxa"/>
            <w:shd w:val="clear" w:color="auto" w:fill="auto"/>
            <w:vAlign w:val="center"/>
          </w:tcPr>
          <w:p w14:paraId="6AD3BF49">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供应商参加政府采购活动前3年内在经营活动中没有重大违法记录的书面声明（格式见附件，</w:t>
            </w:r>
            <w:r>
              <w:rPr>
                <w:rFonts w:hint="eastAsia" w:ascii="宋体" w:hAnsi="宋体" w:eastAsia="宋体" w:cs="宋体"/>
                <w:b/>
                <w:color w:val="auto"/>
                <w:szCs w:val="21"/>
                <w:highlight w:val="none"/>
              </w:rPr>
              <w:t>必须提供</w:t>
            </w:r>
            <w:r>
              <w:rPr>
                <w:rFonts w:hint="eastAsia" w:ascii="宋体" w:hAnsi="宋体" w:cs="宋体"/>
                <w:b/>
                <w:color w:val="auto"/>
                <w:kern w:val="0"/>
                <w:szCs w:val="21"/>
                <w:highlight w:val="none"/>
                <w:lang w:eastAsia="zh-CN"/>
              </w:rPr>
              <w:t>，</w:t>
            </w:r>
            <w:r>
              <w:rPr>
                <w:rFonts w:hint="eastAsia" w:ascii="宋体" w:hAnsi="宋体" w:cs="宋体"/>
                <w:b/>
                <w:bCs w:val="0"/>
                <w:color w:val="auto"/>
                <w:spacing w:val="-4"/>
                <w:kern w:val="0"/>
                <w:sz w:val="21"/>
                <w:szCs w:val="21"/>
                <w:highlight w:val="none"/>
                <w:lang w:val="en-US" w:eastAsia="zh-CN" w:bidi="ar-SA"/>
              </w:rPr>
              <w:t>否则作无效响应处理</w:t>
            </w:r>
            <w:r>
              <w:rPr>
                <w:rFonts w:hint="eastAsia" w:ascii="宋体" w:hAnsi="宋体" w:eastAsia="宋体" w:cs="宋体"/>
                <w:b/>
                <w:color w:val="auto"/>
                <w:szCs w:val="21"/>
                <w:highlight w:val="none"/>
              </w:rPr>
              <w:t>）</w:t>
            </w:r>
            <w:r>
              <w:rPr>
                <w:rFonts w:hint="eastAsia" w:ascii="宋体" w:hAnsi="宋体" w:cs="宋体"/>
                <w:b/>
                <w:color w:val="auto"/>
                <w:szCs w:val="21"/>
                <w:highlight w:val="none"/>
                <w:lang w:eastAsia="zh-CN"/>
              </w:rPr>
              <w:t>；</w:t>
            </w:r>
          </w:p>
        </w:tc>
      </w:tr>
      <w:tr w14:paraId="7A314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4" w:type="dxa"/>
            <w:vMerge w:val="continue"/>
            <w:vAlign w:val="center"/>
          </w:tcPr>
          <w:p w14:paraId="2AB5697A">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color w:val="auto"/>
                <w:szCs w:val="21"/>
                <w:highlight w:val="none"/>
              </w:rPr>
            </w:pPr>
          </w:p>
        </w:tc>
        <w:tc>
          <w:tcPr>
            <w:tcW w:w="993" w:type="dxa"/>
            <w:vMerge w:val="continue"/>
            <w:vAlign w:val="center"/>
          </w:tcPr>
          <w:p w14:paraId="7BFA9963">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color w:val="auto"/>
                <w:szCs w:val="21"/>
                <w:highlight w:val="none"/>
              </w:rPr>
            </w:pPr>
          </w:p>
        </w:tc>
        <w:tc>
          <w:tcPr>
            <w:tcW w:w="2467" w:type="dxa"/>
            <w:shd w:val="clear" w:color="auto" w:fill="auto"/>
            <w:vAlign w:val="center"/>
          </w:tcPr>
          <w:p w14:paraId="041DB5A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供应商的法人或者其他组织营业执照等证明文件</w:t>
            </w:r>
          </w:p>
        </w:tc>
        <w:tc>
          <w:tcPr>
            <w:tcW w:w="6069" w:type="dxa"/>
            <w:shd w:val="clear" w:color="auto" w:fill="auto"/>
            <w:vAlign w:val="center"/>
          </w:tcPr>
          <w:p w14:paraId="0D66B7E3">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供应商的法人或者其他组织营业执照等证明文件</w:t>
            </w:r>
            <w:r>
              <w:rPr>
                <w:rFonts w:hint="eastAsia" w:ascii="宋体" w:hAnsi="宋体" w:cs="宋体"/>
                <w:color w:val="auto"/>
                <w:sz w:val="21"/>
                <w:szCs w:val="21"/>
                <w:highlight w:val="none"/>
                <w:lang w:eastAsia="zh-CN"/>
              </w:rPr>
              <w:t>扫描</w:t>
            </w:r>
            <w:r>
              <w:rPr>
                <w:rFonts w:hint="eastAsia" w:ascii="宋体" w:hAnsi="宋体" w:eastAsia="宋体" w:cs="宋体"/>
                <w:color w:val="auto"/>
                <w:sz w:val="21"/>
                <w:szCs w:val="21"/>
                <w:highlight w:val="none"/>
              </w:rPr>
              <w:t>件</w:t>
            </w:r>
            <w:r>
              <w:rPr>
                <w:rFonts w:hint="eastAsia" w:ascii="宋体" w:hAnsi="宋体" w:cs="宋体"/>
                <w:b/>
                <w:color w:val="auto"/>
                <w:kern w:val="0"/>
                <w:szCs w:val="21"/>
                <w:highlight w:val="none"/>
              </w:rPr>
              <w:t>（必须提供</w:t>
            </w:r>
            <w:r>
              <w:rPr>
                <w:rFonts w:hint="eastAsia" w:ascii="宋体" w:hAnsi="宋体" w:cs="宋体"/>
                <w:b/>
                <w:color w:val="auto"/>
                <w:kern w:val="0"/>
                <w:szCs w:val="21"/>
                <w:highlight w:val="none"/>
                <w:lang w:eastAsia="zh-CN"/>
              </w:rPr>
              <w:t>，</w:t>
            </w:r>
            <w:r>
              <w:rPr>
                <w:rFonts w:hint="eastAsia" w:ascii="宋体" w:hAnsi="宋体" w:cs="宋体"/>
                <w:b/>
                <w:bCs w:val="0"/>
                <w:color w:val="auto"/>
                <w:spacing w:val="-4"/>
                <w:kern w:val="0"/>
                <w:sz w:val="21"/>
                <w:szCs w:val="21"/>
                <w:highlight w:val="none"/>
                <w:lang w:val="en-US" w:eastAsia="zh-CN" w:bidi="ar-SA"/>
              </w:rPr>
              <w:t>否则作无效响应处理</w:t>
            </w:r>
            <w:r>
              <w:rPr>
                <w:rFonts w:hint="eastAsia" w:ascii="宋体" w:hAnsi="宋体" w:cs="宋体"/>
                <w:b/>
                <w:color w:val="auto"/>
                <w:kern w:val="0"/>
                <w:szCs w:val="21"/>
                <w:highlight w:val="none"/>
              </w:rPr>
              <w:t>）</w:t>
            </w:r>
            <w:r>
              <w:rPr>
                <w:rFonts w:hint="eastAsia" w:ascii="宋体" w:hAnsi="宋体" w:eastAsia="宋体" w:cs="宋体"/>
                <w:color w:val="auto"/>
                <w:szCs w:val="21"/>
                <w:highlight w:val="none"/>
              </w:rPr>
              <w:t>；</w:t>
            </w:r>
          </w:p>
        </w:tc>
      </w:tr>
      <w:tr w14:paraId="441E6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524" w:type="dxa"/>
            <w:vMerge w:val="continue"/>
            <w:vAlign w:val="center"/>
          </w:tcPr>
          <w:p w14:paraId="64B5CA4D">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color w:val="auto"/>
                <w:szCs w:val="21"/>
                <w:highlight w:val="none"/>
              </w:rPr>
            </w:pPr>
          </w:p>
        </w:tc>
        <w:tc>
          <w:tcPr>
            <w:tcW w:w="993" w:type="dxa"/>
            <w:vMerge w:val="continue"/>
            <w:vAlign w:val="center"/>
          </w:tcPr>
          <w:p w14:paraId="3BF4EB00">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color w:val="auto"/>
                <w:szCs w:val="21"/>
                <w:highlight w:val="none"/>
              </w:rPr>
            </w:pPr>
          </w:p>
        </w:tc>
        <w:tc>
          <w:tcPr>
            <w:tcW w:w="2467" w:type="dxa"/>
            <w:shd w:val="clear" w:color="auto" w:fill="auto"/>
            <w:vAlign w:val="center"/>
          </w:tcPr>
          <w:p w14:paraId="524A543E">
            <w:pPr>
              <w:keepNext w:val="0"/>
              <w:keepLines w:val="0"/>
              <w:pageBreakBefore w:val="0"/>
              <w:widowControl w:val="0"/>
              <w:kinsoku/>
              <w:wordWrap/>
              <w:overflowPunct/>
              <w:topLinePunct w:val="0"/>
              <w:autoSpaceDE/>
              <w:autoSpaceDN/>
              <w:bidi w:val="0"/>
              <w:adjustRightInd/>
              <w:snapToGrid/>
              <w:spacing w:line="400" w:lineRule="exact"/>
              <w:ind w:left="0" w:left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依法缴纳税收的相关材料</w:t>
            </w:r>
          </w:p>
        </w:tc>
        <w:tc>
          <w:tcPr>
            <w:tcW w:w="6069" w:type="dxa"/>
            <w:shd w:val="clear" w:color="auto" w:fill="auto"/>
            <w:vAlign w:val="center"/>
          </w:tcPr>
          <w:p w14:paraId="12D0FCE7">
            <w:pPr>
              <w:keepNext w:val="0"/>
              <w:keepLines w:val="0"/>
              <w:pageBreakBefore w:val="0"/>
              <w:widowControl w:val="0"/>
              <w:kinsoku/>
              <w:wordWrap/>
              <w:overflowPunct/>
              <w:topLinePunct w:val="0"/>
              <w:autoSpaceDE/>
              <w:autoSpaceDN/>
              <w:bidi w:val="0"/>
              <w:adjustRightInd/>
              <w:snapToGrid/>
              <w:spacing w:line="380" w:lineRule="exact"/>
              <w:ind w:left="0" w:left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供应商依法缴纳税收的相关材料（响应截止时间前半年内任意1个月的依法缴纳税收的增值税发票（税收完税证明）或企业所得税完税证明或税务部门出具的免税证明或税务部门出具的无欠税证明材料扫描件等；从成立之日起到响应文件提交截止时间止不足要求月数的，只需提供从成立之日起的依法缴纳税收相应证明文件）</w:t>
            </w:r>
            <w:r>
              <w:rPr>
                <w:rFonts w:hint="eastAsia" w:ascii="宋体" w:hAnsi="宋体" w:cs="宋体"/>
                <w:b/>
                <w:color w:val="auto"/>
                <w:szCs w:val="21"/>
                <w:highlight w:val="none"/>
              </w:rPr>
              <w:t>（必须提供</w:t>
            </w:r>
            <w:r>
              <w:rPr>
                <w:rFonts w:hint="eastAsia" w:ascii="宋体" w:hAnsi="宋体" w:cs="宋体"/>
                <w:b/>
                <w:color w:val="auto"/>
                <w:kern w:val="0"/>
                <w:szCs w:val="21"/>
                <w:highlight w:val="none"/>
                <w:lang w:eastAsia="zh-CN"/>
              </w:rPr>
              <w:t>，</w:t>
            </w:r>
            <w:r>
              <w:rPr>
                <w:rFonts w:hint="eastAsia" w:ascii="宋体" w:hAnsi="宋体" w:cs="宋体"/>
                <w:b/>
                <w:bCs w:val="0"/>
                <w:color w:val="auto"/>
                <w:spacing w:val="-4"/>
                <w:kern w:val="0"/>
                <w:sz w:val="21"/>
                <w:szCs w:val="21"/>
                <w:highlight w:val="none"/>
                <w:lang w:val="en-US" w:eastAsia="zh-CN" w:bidi="ar-SA"/>
              </w:rPr>
              <w:t>否则作无效响应处理</w:t>
            </w:r>
            <w:r>
              <w:rPr>
                <w:rFonts w:hint="eastAsia" w:ascii="宋体" w:hAnsi="宋体" w:cs="宋体"/>
                <w:b/>
                <w:color w:val="auto"/>
                <w:szCs w:val="21"/>
                <w:highlight w:val="none"/>
              </w:rPr>
              <w:t>）</w:t>
            </w:r>
            <w:r>
              <w:rPr>
                <w:rFonts w:hint="eastAsia" w:ascii="宋体" w:hAnsi="宋体" w:cs="宋体"/>
                <w:color w:val="auto"/>
                <w:szCs w:val="21"/>
                <w:highlight w:val="none"/>
              </w:rPr>
              <w:t>；</w:t>
            </w:r>
          </w:p>
        </w:tc>
      </w:tr>
      <w:tr w14:paraId="612AF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524" w:type="dxa"/>
            <w:vMerge w:val="continue"/>
            <w:vAlign w:val="center"/>
          </w:tcPr>
          <w:p w14:paraId="007B7689">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color w:val="auto"/>
                <w:szCs w:val="21"/>
                <w:highlight w:val="none"/>
              </w:rPr>
            </w:pPr>
          </w:p>
        </w:tc>
        <w:tc>
          <w:tcPr>
            <w:tcW w:w="993" w:type="dxa"/>
            <w:vMerge w:val="continue"/>
            <w:vAlign w:val="center"/>
          </w:tcPr>
          <w:p w14:paraId="39B97806">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color w:val="auto"/>
                <w:szCs w:val="21"/>
                <w:highlight w:val="none"/>
              </w:rPr>
            </w:pPr>
          </w:p>
        </w:tc>
        <w:tc>
          <w:tcPr>
            <w:tcW w:w="2467" w:type="dxa"/>
            <w:shd w:val="clear" w:color="auto" w:fill="auto"/>
            <w:vAlign w:val="center"/>
          </w:tcPr>
          <w:p w14:paraId="329FE89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b w:val="0"/>
                <w:bCs/>
                <w:color w:val="auto"/>
                <w:szCs w:val="21"/>
                <w:highlight w:val="none"/>
                <w:lang w:eastAsia="zh-CN"/>
              </w:rPr>
              <w:t>供应商202</w:t>
            </w:r>
            <w:r>
              <w:rPr>
                <w:rFonts w:hint="eastAsia" w:ascii="宋体" w:hAnsi="宋体" w:cs="宋体"/>
                <w:b w:val="0"/>
                <w:bCs/>
                <w:color w:val="auto"/>
                <w:szCs w:val="21"/>
                <w:highlight w:val="none"/>
                <w:lang w:val="en-US" w:eastAsia="zh-CN"/>
              </w:rPr>
              <w:t>4</w:t>
            </w:r>
            <w:r>
              <w:rPr>
                <w:rFonts w:hint="eastAsia" w:ascii="宋体" w:hAnsi="宋体" w:cs="宋体"/>
                <w:b w:val="0"/>
                <w:bCs/>
                <w:color w:val="auto"/>
                <w:szCs w:val="21"/>
                <w:highlight w:val="none"/>
                <w:lang w:eastAsia="zh-CN"/>
              </w:rPr>
              <w:t>年度财务状况报告</w:t>
            </w:r>
          </w:p>
        </w:tc>
        <w:tc>
          <w:tcPr>
            <w:tcW w:w="6069" w:type="dxa"/>
            <w:shd w:val="clear" w:color="auto" w:fill="auto"/>
            <w:vAlign w:val="center"/>
          </w:tcPr>
          <w:p w14:paraId="2755010B">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b w:val="0"/>
                <w:bCs/>
                <w:color w:val="auto"/>
                <w:szCs w:val="21"/>
                <w:highlight w:val="none"/>
                <w:lang w:eastAsia="zh-CN"/>
              </w:rPr>
              <w:t>供应商202</w:t>
            </w:r>
            <w:r>
              <w:rPr>
                <w:rFonts w:hint="eastAsia" w:ascii="宋体" w:hAnsi="宋体" w:cs="宋体"/>
                <w:b w:val="0"/>
                <w:bCs/>
                <w:color w:val="auto"/>
                <w:szCs w:val="21"/>
                <w:highlight w:val="none"/>
                <w:lang w:val="en-US" w:eastAsia="zh-CN"/>
              </w:rPr>
              <w:t>4</w:t>
            </w:r>
            <w:r>
              <w:rPr>
                <w:rFonts w:hint="eastAsia" w:ascii="宋体" w:hAnsi="宋体" w:cs="宋体"/>
                <w:b w:val="0"/>
                <w:bCs/>
                <w:color w:val="auto"/>
                <w:szCs w:val="21"/>
                <w:highlight w:val="none"/>
                <w:lang w:eastAsia="zh-CN"/>
              </w:rPr>
              <w:t>年度财务状况报告</w:t>
            </w:r>
            <w:r>
              <w:rPr>
                <w:rFonts w:hint="eastAsia" w:ascii="宋体" w:hAnsi="宋体" w:cs="宋体"/>
                <w:b/>
                <w:bCs w:val="0"/>
                <w:color w:val="auto"/>
                <w:szCs w:val="21"/>
                <w:highlight w:val="none"/>
                <w:lang w:eastAsia="zh-CN"/>
              </w:rPr>
              <w:t>（必须提供，</w:t>
            </w:r>
            <w:r>
              <w:rPr>
                <w:rFonts w:hint="eastAsia" w:ascii="宋体" w:hAnsi="宋体" w:cs="宋体"/>
                <w:b/>
                <w:bCs w:val="0"/>
                <w:color w:val="auto"/>
                <w:spacing w:val="-4"/>
                <w:kern w:val="0"/>
                <w:sz w:val="21"/>
                <w:szCs w:val="21"/>
                <w:highlight w:val="none"/>
                <w:lang w:val="en-US" w:eastAsia="zh-CN" w:bidi="ar-SA"/>
              </w:rPr>
              <w:t>否则作无效响应处理；</w:t>
            </w:r>
            <w:r>
              <w:rPr>
                <w:rFonts w:hint="eastAsia" w:ascii="宋体" w:hAnsi="宋体" w:cs="宋体"/>
                <w:b/>
                <w:bCs w:val="0"/>
                <w:color w:val="auto"/>
                <w:szCs w:val="21"/>
                <w:highlight w:val="none"/>
                <w:lang w:eastAsia="zh-CN"/>
              </w:rPr>
              <w:t>可以是供应商自行编制也可是通过第三方审计公司编制，如为自行编制至少须提供现金流量表、负债表及利润表。</w:t>
            </w:r>
            <w:r>
              <w:rPr>
                <w:rFonts w:hint="eastAsia" w:ascii="宋体" w:hAnsi="宋体" w:cs="宋体"/>
                <w:b/>
                <w:bCs w:val="0"/>
                <w:color w:val="auto"/>
                <w:szCs w:val="21"/>
                <w:highlight w:val="none"/>
                <w:lang w:val="en-US" w:eastAsia="zh-CN"/>
              </w:rPr>
              <w:t>供应商</w:t>
            </w:r>
            <w:r>
              <w:rPr>
                <w:rFonts w:hint="eastAsia" w:ascii="宋体" w:hAnsi="宋体" w:cs="宋体"/>
                <w:b/>
                <w:bCs w:val="0"/>
                <w:color w:val="auto"/>
                <w:szCs w:val="21"/>
                <w:highlight w:val="none"/>
                <w:lang w:eastAsia="zh-CN"/>
              </w:rPr>
              <w:t>属于成立时间在规定年度之后的法人或其他组织，</w:t>
            </w:r>
            <w:r>
              <w:rPr>
                <w:rFonts w:hint="eastAsia" w:ascii="宋体" w:hAnsi="宋体" w:cs="宋体"/>
                <w:b/>
                <w:bCs/>
                <w:color w:val="auto"/>
                <w:sz w:val="21"/>
                <w:szCs w:val="21"/>
                <w:highlight w:val="none"/>
              </w:rPr>
              <w:t>则无需提供</w:t>
            </w:r>
            <w:r>
              <w:rPr>
                <w:rFonts w:hint="eastAsia" w:ascii="宋体" w:hAnsi="宋体" w:cs="宋体"/>
                <w:b/>
                <w:bCs w:val="0"/>
                <w:color w:val="auto"/>
                <w:szCs w:val="21"/>
                <w:highlight w:val="none"/>
                <w:lang w:eastAsia="zh-CN"/>
              </w:rPr>
              <w:t>）</w:t>
            </w:r>
          </w:p>
        </w:tc>
      </w:tr>
      <w:tr w14:paraId="1883C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24" w:type="dxa"/>
            <w:vMerge w:val="continue"/>
            <w:vAlign w:val="center"/>
          </w:tcPr>
          <w:p w14:paraId="7D2882F8">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color w:val="auto"/>
                <w:szCs w:val="21"/>
                <w:highlight w:val="none"/>
              </w:rPr>
            </w:pPr>
          </w:p>
        </w:tc>
        <w:tc>
          <w:tcPr>
            <w:tcW w:w="993" w:type="dxa"/>
            <w:vMerge w:val="continue"/>
            <w:vAlign w:val="center"/>
          </w:tcPr>
          <w:p w14:paraId="17285A10">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color w:val="auto"/>
                <w:szCs w:val="21"/>
                <w:highlight w:val="none"/>
              </w:rPr>
            </w:pPr>
          </w:p>
        </w:tc>
        <w:tc>
          <w:tcPr>
            <w:tcW w:w="2467" w:type="dxa"/>
            <w:shd w:val="clear" w:color="auto" w:fill="auto"/>
            <w:vAlign w:val="center"/>
          </w:tcPr>
          <w:p w14:paraId="60CBE7D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cs="宋体"/>
                <w:b w:val="0"/>
                <w:bCs/>
                <w:color w:val="auto"/>
                <w:szCs w:val="21"/>
                <w:highlight w:val="none"/>
                <w:lang w:eastAsia="zh-CN"/>
              </w:rPr>
              <w:t>供应商依法缴纳社会保障资金的相关材料</w:t>
            </w:r>
          </w:p>
        </w:tc>
        <w:tc>
          <w:tcPr>
            <w:tcW w:w="6069" w:type="dxa"/>
            <w:shd w:val="clear" w:color="auto" w:fill="auto"/>
            <w:vAlign w:val="center"/>
          </w:tcPr>
          <w:p w14:paraId="3F6A80E9">
            <w:pPr>
              <w:keepNext w:val="0"/>
              <w:keepLines w:val="0"/>
              <w:pageBreakBefore w:val="0"/>
              <w:widowControl w:val="0"/>
              <w:tabs>
                <w:tab w:val="left" w:pos="1305"/>
              </w:tabs>
              <w:kinsoku/>
              <w:wordWrap/>
              <w:overflowPunct/>
              <w:topLinePunct w:val="0"/>
              <w:autoSpaceDE/>
              <w:autoSpaceDN/>
              <w:bidi w:val="0"/>
              <w:adjustRightInd/>
              <w:snapToGrid/>
              <w:spacing w:line="380" w:lineRule="exact"/>
              <w:textAlignment w:val="auto"/>
              <w:rPr>
                <w:rFonts w:hint="eastAsia" w:ascii="宋体" w:hAnsi="宋体" w:cs="宋体"/>
                <w:b/>
                <w:bCs w:val="0"/>
                <w:color w:val="auto"/>
                <w:szCs w:val="21"/>
                <w:highlight w:val="none"/>
                <w:lang w:eastAsia="zh-CN"/>
              </w:rPr>
            </w:pPr>
            <w:r>
              <w:rPr>
                <w:rFonts w:hint="eastAsia" w:ascii="宋体" w:hAnsi="宋体" w:cs="宋体"/>
                <w:b w:val="0"/>
                <w:bCs/>
                <w:color w:val="auto"/>
                <w:szCs w:val="21"/>
                <w:highlight w:val="none"/>
                <w:lang w:eastAsia="zh-CN"/>
              </w:rPr>
              <w:t>供应商依法缴纳社会保障资金的相关材料</w:t>
            </w:r>
            <w:r>
              <w:rPr>
                <w:rFonts w:hint="eastAsia" w:ascii="宋体" w:hAnsi="宋体" w:cs="宋体"/>
                <w:b/>
                <w:bCs w:val="0"/>
                <w:color w:val="auto"/>
                <w:szCs w:val="21"/>
                <w:highlight w:val="none"/>
                <w:lang w:eastAsia="zh-CN"/>
              </w:rPr>
              <w:t>（必须提供</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否则作无效响应处理</w:t>
            </w:r>
            <w:r>
              <w:rPr>
                <w:rFonts w:hint="eastAsia" w:ascii="宋体" w:hAnsi="宋体" w:cs="宋体"/>
                <w:b/>
                <w:bCs w:val="0"/>
                <w:color w:val="auto"/>
                <w:szCs w:val="21"/>
                <w:highlight w:val="none"/>
                <w:lang w:eastAsia="zh-CN"/>
              </w:rPr>
              <w:t>）；　</w:t>
            </w:r>
          </w:p>
          <w:p w14:paraId="031E0CA8">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cs="宋体"/>
                <w:b w:val="0"/>
                <w:bCs/>
                <w:color w:val="auto"/>
                <w:szCs w:val="21"/>
                <w:highlight w:val="none"/>
                <w:lang w:eastAsia="zh-CN"/>
              </w:rPr>
              <w:t>注：供应商必须提供</w:t>
            </w:r>
            <w:bookmarkStart w:id="16" w:name="_GoBack"/>
            <w:r>
              <w:rPr>
                <w:rFonts w:hint="eastAsia" w:ascii="宋体" w:hAnsi="宋体" w:cs="宋体"/>
                <w:b w:val="0"/>
                <w:bCs/>
                <w:color w:val="auto"/>
                <w:szCs w:val="21"/>
                <w:highlight w:val="none"/>
                <w:lang w:eastAsia="zh-CN"/>
              </w:rPr>
              <w:t>202</w:t>
            </w:r>
            <w:bookmarkEnd w:id="16"/>
            <w:r>
              <w:rPr>
                <w:rFonts w:hint="eastAsia" w:ascii="宋体" w:hAnsi="宋体" w:cs="宋体"/>
                <w:b w:val="0"/>
                <w:bCs/>
                <w:color w:val="auto"/>
                <w:szCs w:val="21"/>
                <w:highlight w:val="none"/>
                <w:lang w:eastAsia="zh-CN"/>
              </w:rPr>
              <w:t>5年以来任意1个月的依法缴纳社会保障资金的缴费证明材料（如：专用收据、养老保险税收完税证明、社会保险缴纳清单或者社保部门的证明）</w:t>
            </w:r>
            <w:r>
              <w:rPr>
                <w:rFonts w:hint="eastAsia" w:ascii="宋体" w:hAnsi="宋体" w:cs="宋体"/>
                <w:b w:val="0"/>
                <w:bCs/>
                <w:color w:val="auto"/>
                <w:szCs w:val="21"/>
                <w:highlight w:val="none"/>
                <w:lang w:val="en-US" w:eastAsia="zh-CN"/>
              </w:rPr>
              <w:t>扫描件</w:t>
            </w:r>
            <w:r>
              <w:rPr>
                <w:rFonts w:hint="eastAsia" w:ascii="宋体" w:hAnsi="宋体" w:cs="宋体"/>
                <w:b w:val="0"/>
                <w:bCs/>
                <w:color w:val="auto"/>
                <w:szCs w:val="21"/>
                <w:highlight w:val="none"/>
                <w:lang w:eastAsia="zh-CN"/>
              </w:rPr>
              <w:t>；依法不需要缴纳社会保障资金的供应商，必须提供相应文件证明不需要缴纳社会保障资金。从成立之日起到投标文件提交截止时间止不足要求月数的，则无需提交。</w:t>
            </w:r>
          </w:p>
        </w:tc>
      </w:tr>
      <w:tr w14:paraId="3896D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24" w:type="dxa"/>
            <w:vMerge w:val="continue"/>
            <w:vAlign w:val="center"/>
          </w:tcPr>
          <w:p w14:paraId="4D0DDB0A">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color w:val="auto"/>
                <w:szCs w:val="21"/>
                <w:highlight w:val="none"/>
              </w:rPr>
            </w:pPr>
          </w:p>
        </w:tc>
        <w:tc>
          <w:tcPr>
            <w:tcW w:w="993" w:type="dxa"/>
            <w:vMerge w:val="continue"/>
            <w:vAlign w:val="center"/>
          </w:tcPr>
          <w:p w14:paraId="389C09F1">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color w:val="auto"/>
                <w:szCs w:val="21"/>
                <w:highlight w:val="none"/>
              </w:rPr>
            </w:pPr>
          </w:p>
        </w:tc>
        <w:tc>
          <w:tcPr>
            <w:tcW w:w="2467" w:type="dxa"/>
            <w:shd w:val="clear" w:color="auto" w:fill="auto"/>
            <w:vAlign w:val="center"/>
          </w:tcPr>
          <w:p w14:paraId="16ED50F5">
            <w:pPr>
              <w:keepNext w:val="0"/>
              <w:keepLines w:val="0"/>
              <w:pageBreakBefore w:val="0"/>
              <w:widowControl w:val="0"/>
              <w:kinsoku/>
              <w:wordWrap/>
              <w:overflowPunct/>
              <w:topLinePunct w:val="0"/>
              <w:autoSpaceDE/>
              <w:autoSpaceDN/>
              <w:bidi w:val="0"/>
              <w:adjustRightInd/>
              <w:snapToGrid/>
              <w:spacing w:line="400" w:lineRule="exact"/>
              <w:ind w:left="0" w:leftChars="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cs="宋体"/>
                <w:b w:val="0"/>
                <w:bCs/>
                <w:color w:val="auto"/>
                <w:szCs w:val="21"/>
                <w:highlight w:val="none"/>
                <w:lang w:eastAsia="zh-CN"/>
              </w:rPr>
              <w:t>投标声明</w:t>
            </w:r>
          </w:p>
        </w:tc>
        <w:tc>
          <w:tcPr>
            <w:tcW w:w="6069" w:type="dxa"/>
            <w:shd w:val="clear" w:color="auto" w:fill="auto"/>
            <w:vAlign w:val="center"/>
          </w:tcPr>
          <w:p w14:paraId="7430CB9B">
            <w:pPr>
              <w:keepNext w:val="0"/>
              <w:keepLines w:val="0"/>
              <w:pageBreakBefore w:val="0"/>
              <w:widowControl w:val="0"/>
              <w:kinsoku/>
              <w:wordWrap/>
              <w:overflowPunct/>
              <w:topLinePunct w:val="0"/>
              <w:autoSpaceDE/>
              <w:autoSpaceDN/>
              <w:bidi w:val="0"/>
              <w:adjustRightInd/>
              <w:snapToGrid/>
              <w:spacing w:line="380" w:lineRule="exact"/>
              <w:ind w:left="0" w:leftChars="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cs="宋体"/>
                <w:b w:val="0"/>
                <w:bCs/>
                <w:color w:val="auto"/>
                <w:szCs w:val="21"/>
                <w:highlight w:val="none"/>
                <w:lang w:eastAsia="zh-CN"/>
              </w:rPr>
              <w:t>投标声明</w:t>
            </w:r>
            <w:r>
              <w:rPr>
                <w:rFonts w:hint="eastAsia" w:ascii="宋体" w:hAnsi="宋体" w:cs="宋体"/>
                <w:b/>
                <w:bCs w:val="0"/>
                <w:color w:val="auto"/>
                <w:szCs w:val="21"/>
                <w:highlight w:val="none"/>
                <w:lang w:eastAsia="zh-CN"/>
              </w:rPr>
              <w:t>（必须提供</w:t>
            </w:r>
            <w:r>
              <w:rPr>
                <w:rFonts w:hint="eastAsia" w:ascii="宋体" w:hAnsi="宋体" w:cs="宋体"/>
                <w:b/>
                <w:bCs w:val="0"/>
                <w:color w:val="auto"/>
                <w:spacing w:val="-4"/>
                <w:kern w:val="0"/>
                <w:sz w:val="21"/>
                <w:szCs w:val="21"/>
                <w:highlight w:val="none"/>
                <w:lang w:val="en-US" w:eastAsia="zh-CN" w:bidi="ar-SA"/>
              </w:rPr>
              <w:t>，否则作无效响应处理</w:t>
            </w:r>
            <w:r>
              <w:rPr>
                <w:rFonts w:hint="eastAsia" w:ascii="宋体" w:hAnsi="宋体" w:cs="宋体"/>
                <w:b w:val="0"/>
                <w:bCs/>
                <w:color w:val="auto"/>
                <w:szCs w:val="21"/>
                <w:highlight w:val="none"/>
                <w:lang w:eastAsia="zh-CN"/>
              </w:rPr>
              <w:t>）</w:t>
            </w:r>
          </w:p>
        </w:tc>
      </w:tr>
      <w:tr w14:paraId="5F126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24" w:type="dxa"/>
            <w:vMerge w:val="continue"/>
            <w:vAlign w:val="center"/>
          </w:tcPr>
          <w:p w14:paraId="716BB622">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color w:val="auto"/>
                <w:szCs w:val="21"/>
                <w:highlight w:val="none"/>
              </w:rPr>
            </w:pPr>
          </w:p>
        </w:tc>
        <w:tc>
          <w:tcPr>
            <w:tcW w:w="993" w:type="dxa"/>
            <w:vMerge w:val="continue"/>
            <w:vAlign w:val="center"/>
          </w:tcPr>
          <w:p w14:paraId="559B0F62">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color w:val="auto"/>
                <w:szCs w:val="21"/>
                <w:highlight w:val="none"/>
              </w:rPr>
            </w:pPr>
          </w:p>
        </w:tc>
        <w:tc>
          <w:tcPr>
            <w:tcW w:w="2467" w:type="dxa"/>
            <w:shd w:val="clear" w:color="auto" w:fill="auto"/>
            <w:vAlign w:val="center"/>
          </w:tcPr>
          <w:p w14:paraId="10A6349B">
            <w:pPr>
              <w:keepNext w:val="0"/>
              <w:keepLines w:val="0"/>
              <w:pageBreakBefore w:val="0"/>
              <w:widowControl w:val="0"/>
              <w:kinsoku/>
              <w:wordWrap/>
              <w:overflowPunct/>
              <w:topLinePunct w:val="0"/>
              <w:autoSpaceDE/>
              <w:autoSpaceDN/>
              <w:bidi w:val="0"/>
              <w:adjustRightInd/>
              <w:snapToGrid/>
              <w:spacing w:line="400" w:lineRule="exact"/>
              <w:ind w:left="0" w:leftChars="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cs="宋体"/>
                <w:b w:val="0"/>
                <w:bCs/>
                <w:color w:val="auto"/>
                <w:szCs w:val="21"/>
                <w:highlight w:val="none"/>
                <w:lang w:eastAsia="zh-CN"/>
              </w:rPr>
              <w:t>承诺函</w:t>
            </w:r>
          </w:p>
        </w:tc>
        <w:tc>
          <w:tcPr>
            <w:tcW w:w="6069" w:type="dxa"/>
            <w:shd w:val="clear" w:color="auto" w:fill="auto"/>
            <w:vAlign w:val="center"/>
          </w:tcPr>
          <w:p w14:paraId="3E257785">
            <w:pPr>
              <w:keepNext w:val="0"/>
              <w:keepLines w:val="0"/>
              <w:pageBreakBefore w:val="0"/>
              <w:widowControl w:val="0"/>
              <w:kinsoku/>
              <w:wordWrap/>
              <w:overflowPunct/>
              <w:topLinePunct w:val="0"/>
              <w:autoSpaceDE/>
              <w:autoSpaceDN/>
              <w:bidi w:val="0"/>
              <w:adjustRightInd/>
              <w:snapToGrid/>
              <w:spacing w:line="380" w:lineRule="exact"/>
              <w:ind w:left="0" w:leftChars="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cs="宋体"/>
                <w:b w:val="0"/>
                <w:bCs/>
                <w:color w:val="auto"/>
                <w:szCs w:val="21"/>
                <w:highlight w:val="none"/>
                <w:lang w:eastAsia="zh-CN"/>
              </w:rPr>
              <w:t>供应商参加本项目无围标串标行为的承诺函</w:t>
            </w:r>
            <w:r>
              <w:rPr>
                <w:rFonts w:hint="eastAsia" w:ascii="宋体" w:hAnsi="宋体" w:cs="宋体"/>
                <w:b/>
                <w:bCs w:val="0"/>
                <w:color w:val="auto"/>
                <w:szCs w:val="21"/>
                <w:highlight w:val="none"/>
                <w:lang w:eastAsia="zh-CN"/>
              </w:rPr>
              <w:t>（必须提供</w:t>
            </w:r>
            <w:r>
              <w:rPr>
                <w:rFonts w:hint="eastAsia" w:ascii="宋体" w:hAnsi="宋体" w:cs="宋体"/>
                <w:b/>
                <w:bCs w:val="0"/>
                <w:color w:val="auto"/>
                <w:spacing w:val="-4"/>
                <w:kern w:val="0"/>
                <w:sz w:val="21"/>
                <w:szCs w:val="21"/>
                <w:highlight w:val="none"/>
                <w:lang w:val="en-US" w:eastAsia="zh-CN" w:bidi="ar-SA"/>
              </w:rPr>
              <w:t>，否则作无效响应处理</w:t>
            </w:r>
            <w:r>
              <w:rPr>
                <w:rFonts w:hint="eastAsia" w:ascii="宋体" w:hAnsi="宋体" w:cs="宋体"/>
                <w:b w:val="0"/>
                <w:bCs/>
                <w:color w:val="auto"/>
                <w:szCs w:val="21"/>
                <w:highlight w:val="none"/>
                <w:lang w:eastAsia="zh-CN"/>
              </w:rPr>
              <w:t>）</w:t>
            </w:r>
          </w:p>
        </w:tc>
      </w:tr>
      <w:tr w14:paraId="36CD0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24" w:type="dxa"/>
            <w:vMerge w:val="restart"/>
            <w:vAlign w:val="center"/>
          </w:tcPr>
          <w:p w14:paraId="1A0FCBF7">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2</w:t>
            </w:r>
          </w:p>
        </w:tc>
        <w:tc>
          <w:tcPr>
            <w:tcW w:w="993" w:type="dxa"/>
            <w:vMerge w:val="restart"/>
            <w:vAlign w:val="center"/>
          </w:tcPr>
          <w:p w14:paraId="14BD5388">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color w:val="auto"/>
                <w:szCs w:val="21"/>
                <w:highlight w:val="none"/>
              </w:rPr>
            </w:pPr>
            <w:r>
              <w:rPr>
                <w:rFonts w:hint="eastAsia" w:ascii="宋体" w:hAnsi="宋体" w:cs="宋体"/>
                <w:bCs/>
                <w:color w:val="auto"/>
                <w:szCs w:val="21"/>
                <w:highlight w:val="none"/>
              </w:rPr>
              <w:t>符合性审查</w:t>
            </w:r>
          </w:p>
        </w:tc>
        <w:tc>
          <w:tcPr>
            <w:tcW w:w="2467" w:type="dxa"/>
            <w:vAlign w:val="center"/>
          </w:tcPr>
          <w:p w14:paraId="57FC9B6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供应商名称</w:t>
            </w:r>
          </w:p>
        </w:tc>
        <w:tc>
          <w:tcPr>
            <w:tcW w:w="6069" w:type="dxa"/>
            <w:vAlign w:val="center"/>
          </w:tcPr>
          <w:p w14:paraId="2C94615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与营业执照一致</w:t>
            </w:r>
          </w:p>
        </w:tc>
      </w:tr>
      <w:tr w14:paraId="3743B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4" w:type="dxa"/>
            <w:vMerge w:val="continue"/>
            <w:vAlign w:val="center"/>
          </w:tcPr>
          <w:p w14:paraId="114BE879">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color w:val="auto"/>
                <w:szCs w:val="21"/>
                <w:highlight w:val="none"/>
              </w:rPr>
            </w:pPr>
          </w:p>
        </w:tc>
        <w:tc>
          <w:tcPr>
            <w:tcW w:w="993" w:type="dxa"/>
            <w:vMerge w:val="continue"/>
            <w:vAlign w:val="center"/>
          </w:tcPr>
          <w:p w14:paraId="31DAF33D">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color w:val="auto"/>
                <w:szCs w:val="21"/>
                <w:highlight w:val="none"/>
              </w:rPr>
            </w:pPr>
          </w:p>
        </w:tc>
        <w:tc>
          <w:tcPr>
            <w:tcW w:w="2467" w:type="dxa"/>
            <w:vAlign w:val="center"/>
          </w:tcPr>
          <w:p w14:paraId="23AF13E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Cs w:val="21"/>
                <w:highlight w:val="none"/>
              </w:rPr>
            </w:pPr>
            <w:r>
              <w:rPr>
                <w:rFonts w:hint="eastAsia"/>
                <w:color w:val="auto"/>
                <w:szCs w:val="21"/>
                <w:highlight w:val="none"/>
              </w:rPr>
              <w:t>响应</w:t>
            </w:r>
            <w:r>
              <w:rPr>
                <w:rFonts w:hint="eastAsia" w:ascii="宋体" w:hAnsi="宋体" w:cs="宋体"/>
                <w:color w:val="auto"/>
                <w:szCs w:val="21"/>
                <w:highlight w:val="none"/>
              </w:rPr>
              <w:t>文件签字盖章</w:t>
            </w:r>
          </w:p>
        </w:tc>
        <w:tc>
          <w:tcPr>
            <w:tcW w:w="6069" w:type="dxa"/>
            <w:vAlign w:val="center"/>
          </w:tcPr>
          <w:p w14:paraId="0D4D710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按照竞争性磋商文件规定要求签字、盖章的</w:t>
            </w:r>
          </w:p>
        </w:tc>
      </w:tr>
      <w:tr w14:paraId="7B34E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jc w:val="center"/>
        </w:trPr>
        <w:tc>
          <w:tcPr>
            <w:tcW w:w="524" w:type="dxa"/>
            <w:vMerge w:val="continue"/>
            <w:vAlign w:val="center"/>
          </w:tcPr>
          <w:p w14:paraId="44008215">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color w:val="auto"/>
                <w:szCs w:val="21"/>
                <w:highlight w:val="none"/>
              </w:rPr>
            </w:pPr>
          </w:p>
        </w:tc>
        <w:tc>
          <w:tcPr>
            <w:tcW w:w="993" w:type="dxa"/>
            <w:vMerge w:val="continue"/>
            <w:vAlign w:val="center"/>
          </w:tcPr>
          <w:p w14:paraId="5F034924">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color w:val="auto"/>
                <w:szCs w:val="21"/>
                <w:highlight w:val="none"/>
              </w:rPr>
            </w:pPr>
          </w:p>
        </w:tc>
        <w:tc>
          <w:tcPr>
            <w:tcW w:w="2467" w:type="dxa"/>
            <w:vAlign w:val="center"/>
          </w:tcPr>
          <w:p w14:paraId="40241C5E">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auto"/>
                <w:szCs w:val="21"/>
                <w:highlight w:val="none"/>
              </w:rPr>
            </w:pPr>
            <w:r>
              <w:rPr>
                <w:rFonts w:hint="eastAsia" w:ascii="宋体" w:hAnsi="宋体" w:cs="宋体"/>
                <w:color w:val="auto"/>
                <w:szCs w:val="21"/>
                <w:highlight w:val="none"/>
              </w:rPr>
              <w:t>磋商报价表</w:t>
            </w:r>
          </w:p>
        </w:tc>
        <w:tc>
          <w:tcPr>
            <w:tcW w:w="6069" w:type="dxa"/>
            <w:vAlign w:val="center"/>
          </w:tcPr>
          <w:p w14:paraId="2BCCBFA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符合竞争性磋商文件中规定的报价范围及要求</w:t>
            </w:r>
          </w:p>
        </w:tc>
      </w:tr>
      <w:tr w14:paraId="577A0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jc w:val="center"/>
        </w:trPr>
        <w:tc>
          <w:tcPr>
            <w:tcW w:w="524" w:type="dxa"/>
            <w:vMerge w:val="continue"/>
            <w:vAlign w:val="center"/>
          </w:tcPr>
          <w:p w14:paraId="77FE89CC">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color w:val="auto"/>
                <w:szCs w:val="21"/>
                <w:highlight w:val="none"/>
              </w:rPr>
            </w:pPr>
          </w:p>
        </w:tc>
        <w:tc>
          <w:tcPr>
            <w:tcW w:w="993" w:type="dxa"/>
            <w:vMerge w:val="continue"/>
            <w:vAlign w:val="center"/>
          </w:tcPr>
          <w:p w14:paraId="322F5920">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color w:val="auto"/>
                <w:szCs w:val="21"/>
                <w:highlight w:val="none"/>
              </w:rPr>
            </w:pPr>
          </w:p>
        </w:tc>
        <w:tc>
          <w:tcPr>
            <w:tcW w:w="2467" w:type="dxa"/>
            <w:shd w:val="clear" w:color="auto" w:fill="auto"/>
            <w:vAlign w:val="center"/>
          </w:tcPr>
          <w:p w14:paraId="538642EE">
            <w:pPr>
              <w:keepNext w:val="0"/>
              <w:keepLines w:val="0"/>
              <w:pageBreakBefore w:val="0"/>
              <w:widowControl w:val="0"/>
              <w:kinsoku/>
              <w:wordWrap/>
              <w:overflowPunct/>
              <w:topLinePunct w:val="0"/>
              <w:autoSpaceDE/>
              <w:autoSpaceDN/>
              <w:bidi w:val="0"/>
              <w:adjustRightInd/>
              <w:snapToGrid/>
              <w:spacing w:line="350" w:lineRule="exact"/>
              <w:ind w:left="0" w:leftChars="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Theme="majorEastAsia"/>
                <w:color w:val="auto"/>
                <w:szCs w:val="21"/>
                <w:highlight w:val="none"/>
                <w:lang w:eastAsia="zh-CN"/>
              </w:rPr>
              <w:t>采购需求响应表</w:t>
            </w:r>
          </w:p>
        </w:tc>
        <w:tc>
          <w:tcPr>
            <w:tcW w:w="6069" w:type="dxa"/>
            <w:shd w:val="clear" w:color="auto" w:fill="auto"/>
            <w:vAlign w:val="center"/>
          </w:tcPr>
          <w:p w14:paraId="6F3EF1E2">
            <w:pPr>
              <w:keepNext w:val="0"/>
              <w:keepLines w:val="0"/>
              <w:pageBreakBefore w:val="0"/>
              <w:widowControl w:val="0"/>
              <w:kinsoku/>
              <w:wordWrap/>
              <w:overflowPunct/>
              <w:topLinePunct w:val="0"/>
              <w:autoSpaceDE/>
              <w:autoSpaceDN/>
              <w:bidi w:val="0"/>
              <w:adjustRightInd/>
              <w:snapToGrid/>
              <w:spacing w:line="350" w:lineRule="exact"/>
              <w:ind w:left="0" w:left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符合</w:t>
            </w:r>
            <w:r>
              <w:rPr>
                <w:rFonts w:hint="eastAsia" w:ascii="宋体" w:hAnsi="宋体" w:cs="宋体"/>
                <w:color w:val="auto"/>
                <w:sz w:val="21"/>
                <w:szCs w:val="21"/>
                <w:highlight w:val="none"/>
                <w:lang w:val="en-US" w:eastAsia="zh-CN"/>
              </w:rPr>
              <w:t>采购文件</w:t>
            </w:r>
            <w:r>
              <w:rPr>
                <w:rFonts w:hint="eastAsia" w:ascii="宋体" w:hAnsi="宋体" w:eastAsia="宋体" w:cs="宋体"/>
                <w:color w:val="auto"/>
                <w:sz w:val="21"/>
                <w:szCs w:val="21"/>
                <w:highlight w:val="none"/>
                <w:lang w:val="en-US" w:eastAsia="zh-CN"/>
              </w:rPr>
              <w:t>规定</w:t>
            </w:r>
          </w:p>
        </w:tc>
      </w:tr>
      <w:tr w14:paraId="0737D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24" w:type="dxa"/>
            <w:vMerge w:val="continue"/>
            <w:vAlign w:val="center"/>
          </w:tcPr>
          <w:p w14:paraId="5CC31F30">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color w:val="auto"/>
                <w:szCs w:val="21"/>
                <w:highlight w:val="none"/>
              </w:rPr>
            </w:pPr>
          </w:p>
        </w:tc>
        <w:tc>
          <w:tcPr>
            <w:tcW w:w="993" w:type="dxa"/>
            <w:vMerge w:val="continue"/>
            <w:vAlign w:val="center"/>
          </w:tcPr>
          <w:p w14:paraId="5CAD67E8">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color w:val="auto"/>
                <w:szCs w:val="21"/>
                <w:highlight w:val="none"/>
              </w:rPr>
            </w:pPr>
          </w:p>
        </w:tc>
        <w:tc>
          <w:tcPr>
            <w:tcW w:w="2467" w:type="dxa"/>
            <w:vAlign w:val="center"/>
          </w:tcPr>
          <w:p w14:paraId="258BF28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lang w:eastAsia="zh-CN"/>
              </w:rPr>
            </w:pPr>
            <w:r>
              <w:rPr>
                <w:rFonts w:hint="eastAsia" w:ascii="宋体" w:hAnsi="宋体"/>
                <w:color w:val="auto"/>
                <w:szCs w:val="21"/>
                <w:highlight w:val="none"/>
                <w:lang w:eastAsia="zh-CN"/>
              </w:rPr>
              <w:t>其他</w:t>
            </w:r>
          </w:p>
        </w:tc>
        <w:tc>
          <w:tcPr>
            <w:tcW w:w="6069" w:type="dxa"/>
            <w:vAlign w:val="center"/>
          </w:tcPr>
          <w:p w14:paraId="156449B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不存在磋商文件或相关法律法规中明确的其他无效响应的情形</w:t>
            </w:r>
          </w:p>
        </w:tc>
      </w:tr>
    </w:tbl>
    <w:p w14:paraId="0C69CC63">
      <w:pPr>
        <w:keepNext w:val="0"/>
        <w:keepLines w:val="0"/>
        <w:pageBreakBefore w:val="0"/>
        <w:kinsoku/>
        <w:wordWrap/>
        <w:overflowPunct/>
        <w:topLinePunct w:val="0"/>
        <w:bidi w:val="0"/>
        <w:snapToGrid/>
        <w:spacing w:line="440" w:lineRule="exact"/>
        <w:ind w:right="-312"/>
        <w:jc w:val="left"/>
        <w:textAlignment w:val="auto"/>
        <w:rPr>
          <w:rFonts w:hint="default" w:ascii="宋体" w:hAnsi="宋体" w:eastAsia="宋体" w:cs="宋体"/>
          <w:b/>
          <w:bCs/>
          <w:color w:val="auto"/>
          <w:kern w:val="0"/>
          <w:szCs w:val="21"/>
          <w:highlight w:val="none"/>
          <w:lang w:val="en-US" w:eastAsia="zh-CN"/>
        </w:rPr>
      </w:pPr>
      <w:r>
        <w:rPr>
          <w:rFonts w:hint="eastAsia" w:ascii="宋体" w:hAnsi="宋体" w:cs="宋体"/>
          <w:b/>
          <w:bCs/>
          <w:color w:val="auto"/>
          <w:kern w:val="0"/>
          <w:szCs w:val="21"/>
          <w:highlight w:val="none"/>
          <w:lang w:val="en-US" w:eastAsia="zh-CN"/>
        </w:rPr>
        <w:t>三、详细评审</w:t>
      </w:r>
    </w:p>
    <w:p w14:paraId="63465014">
      <w:pPr>
        <w:keepNext w:val="0"/>
        <w:keepLines w:val="0"/>
        <w:pageBreakBefore w:val="0"/>
        <w:kinsoku/>
        <w:wordWrap/>
        <w:overflowPunct/>
        <w:topLinePunct w:val="0"/>
        <w:bidi w:val="0"/>
        <w:snapToGrid/>
        <w:spacing w:line="440" w:lineRule="exact"/>
        <w:ind w:right="-312"/>
        <w:jc w:val="left"/>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（一）对进入详评的，采用综合评分法。</w:t>
      </w:r>
    </w:p>
    <w:p w14:paraId="32CDB42E">
      <w:pPr>
        <w:keepNext w:val="0"/>
        <w:keepLines w:val="0"/>
        <w:pageBreakBefore w:val="0"/>
        <w:kinsoku/>
        <w:wordWrap/>
        <w:overflowPunct/>
        <w:topLinePunct w:val="0"/>
        <w:bidi w:val="0"/>
        <w:snapToGrid/>
        <w:spacing w:line="440" w:lineRule="exact"/>
        <w:ind w:right="-312"/>
        <w:jc w:val="left"/>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（二）计分办法（按四舍五入取至小数点后二位）。</w:t>
      </w:r>
    </w:p>
    <w:p w14:paraId="56A02853">
      <w:pPr>
        <w:keepNext w:val="0"/>
        <w:keepLines w:val="0"/>
        <w:pageBreakBefore w:val="0"/>
        <w:kinsoku/>
        <w:wordWrap/>
        <w:overflowPunct/>
        <w:topLinePunct w:val="0"/>
        <w:bidi w:val="0"/>
        <w:snapToGrid/>
        <w:spacing w:line="440" w:lineRule="exact"/>
        <w:ind w:right="-312"/>
        <w:jc w:val="left"/>
        <w:textAlignment w:val="auto"/>
        <w:rPr>
          <w:rFonts w:hint="default" w:ascii="宋体" w:hAnsi="宋体" w:eastAsia="宋体" w:cs="宋体"/>
          <w:b/>
          <w:bCs/>
          <w:color w:val="auto"/>
          <w:kern w:val="0"/>
          <w:szCs w:val="21"/>
          <w:highlight w:val="none"/>
          <w:lang w:val="en-US" w:eastAsia="zh-CN"/>
        </w:rPr>
      </w:pP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三</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价格部分（10分）</w:t>
      </w:r>
    </w:p>
    <w:p w14:paraId="2DE9E9BC">
      <w:pPr>
        <w:pStyle w:val="15"/>
        <w:keepNext w:val="0"/>
        <w:keepLines w:val="0"/>
        <w:pageBreakBefore w:val="0"/>
        <w:kinsoku/>
        <w:wordWrap/>
        <w:overflowPunct/>
        <w:topLinePunct w:val="0"/>
        <w:bidi w:val="0"/>
        <w:snapToGrid/>
        <w:spacing w:line="440" w:lineRule="exact"/>
        <w:ind w:firstLine="422" w:firstLineChars="200"/>
        <w:jc w:val="left"/>
        <w:textAlignment w:val="auto"/>
        <w:rPr>
          <w:rFonts w:hint="eastAsia" w:ascii="宋体" w:hAnsi="宋体" w:eastAsia="宋体" w:cs="宋体"/>
          <w:b/>
          <w:bCs/>
          <w:color w:val="auto"/>
          <w:kern w:val="0"/>
          <w:szCs w:val="21"/>
          <w:highlight w:val="none"/>
        </w:rPr>
      </w:pPr>
      <w:bookmarkStart w:id="8" w:name="OLE_LINK1"/>
      <w:r>
        <w:rPr>
          <w:rFonts w:hint="eastAsia" w:ascii="宋体" w:hAnsi="宋体" w:eastAsia="宋体" w:cs="宋体"/>
          <w:b/>
          <w:bCs/>
          <w:color w:val="auto"/>
          <w:kern w:val="0"/>
          <w:szCs w:val="21"/>
          <w:highlight w:val="none"/>
        </w:rPr>
        <w:t>1、价格分……………………………………………………………………………………………</w:t>
      </w:r>
      <w:r>
        <w:rPr>
          <w:rFonts w:hint="eastAsia" w:hAnsi="宋体" w:cs="宋体"/>
          <w:b/>
          <w:bCs/>
          <w:color w:val="auto"/>
          <w:kern w:val="0"/>
          <w:szCs w:val="21"/>
          <w:highlight w:val="none"/>
          <w:lang w:val="en-US" w:eastAsia="zh-CN"/>
        </w:rPr>
        <w:t>10</w:t>
      </w:r>
      <w:r>
        <w:rPr>
          <w:rFonts w:hint="eastAsia" w:ascii="宋体" w:hAnsi="宋体" w:eastAsia="宋体" w:cs="宋体"/>
          <w:b/>
          <w:bCs/>
          <w:color w:val="auto"/>
          <w:kern w:val="0"/>
          <w:szCs w:val="21"/>
          <w:highlight w:val="none"/>
        </w:rPr>
        <w:t>分</w:t>
      </w:r>
    </w:p>
    <w:p w14:paraId="3267CD51">
      <w:pPr>
        <w:pStyle w:val="15"/>
        <w:spacing w:line="440" w:lineRule="exact"/>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（1）以满足磋商文件要求且最后报价最低的供应商的价格为磋商基准价，其价格分为满分。其他供应商的价格分统一按照下列公式计算：</w:t>
      </w:r>
    </w:p>
    <w:p w14:paraId="60049ED2">
      <w:pPr>
        <w:pStyle w:val="15"/>
        <w:spacing w:line="440" w:lineRule="exact"/>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磋商报价得分=（磋商基准价/最后磋商报价）×10</w:t>
      </w:r>
    </w:p>
    <w:p w14:paraId="1EAED95D">
      <w:pPr>
        <w:pStyle w:val="15"/>
        <w:spacing w:line="440" w:lineRule="exact"/>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（2）因落实政府采购政策进行价格调整的，以调整后的价格计算磋商基准价和最后磋商报价：</w:t>
      </w:r>
    </w:p>
    <w:p w14:paraId="0210DDEB">
      <w:pPr>
        <w:pStyle w:val="15"/>
        <w:spacing w:line="440" w:lineRule="exact"/>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①按照《政府采购促进中小企业发展管理办法》（财库2020）46号）以及《广西壮族自治区财政厅关于持续优化政府采购营商环境推动高质量发展的通知》（桂财采〔2024〕55 号）之规定，认定为小微企业的（以响应文件提供的符合规定的有关材料为准），对其最后报价给予20%的扣除，扣除后的价格为评审报价，即评审报价=最后报价×（1-20%）；大中型企业与小微企业组成联合体竞标，其中小微企业的协议合同金额占到联合体协议合同总金额30%以上的，联合体竞标价给予6%的扣除，扣除后的价格为评审报价，即评审报价=最后报价×（1-6%）。</w:t>
      </w:r>
    </w:p>
    <w:p w14:paraId="6B869592">
      <w:pPr>
        <w:pStyle w:val="15"/>
        <w:spacing w:line="440" w:lineRule="exact"/>
        <w:ind w:firstLine="422" w:firstLineChars="200"/>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如采购项目或采购包属于专门面向中小企业采购的项目或者采购包，不再执行价格评审优惠的扶持政策。</w:t>
      </w:r>
    </w:p>
    <w:p w14:paraId="1DE92756">
      <w:pPr>
        <w:pStyle w:val="15"/>
        <w:spacing w:line="440" w:lineRule="exact"/>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②按照《关于政府采购支持监狱企业发展有关问题的通知》(财库[2014]68号)，供应商认定为监狱企业的，在政府采购活动中，监狱企业视同小型、微型企业。评审时投标价格给予同等比例扣除的政府采购政策。监狱企业以提供由省级以上监狱管理局、戒毒管理局(含新疆生产建设兵团)出具的属于监狱企业的证明文件为准。</w:t>
      </w:r>
    </w:p>
    <w:p w14:paraId="27DAF910">
      <w:pPr>
        <w:pStyle w:val="15"/>
        <w:spacing w:line="440" w:lineRule="exact"/>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③根据《三部门联合发布关于促进残疾人就业政府采购政策的通知》（财库[2017]141 号）的规定，残疾人福利性单位视同小型、微型企业，享受小型、微型企业。评审时投标价格给予同等比例扣除的政府采购政策。</w:t>
      </w:r>
      <w:r>
        <w:rPr>
          <w:rFonts w:hint="eastAsia" w:ascii="宋体" w:hAnsi="宋体" w:eastAsia="宋体" w:cs="宋体"/>
          <w:b/>
          <w:bCs/>
          <w:color w:val="auto"/>
          <w:kern w:val="2"/>
          <w:sz w:val="21"/>
          <w:szCs w:val="21"/>
          <w:highlight w:val="none"/>
          <w:lang w:val="en-US" w:eastAsia="zh-CN" w:bidi="ar-SA"/>
        </w:rPr>
        <w:t>（注：必须提供残疾人福利性单位声明函，否则不予以认定。供应商既属于残疾人福利性单位又属于小型、微型企业的，其报价只能享受一次的扣除，不重复享受政策。）</w:t>
      </w:r>
    </w:p>
    <w:p w14:paraId="2442C2C1">
      <w:pPr>
        <w:pStyle w:val="15"/>
        <w:pageBreakBefore w:val="0"/>
        <w:widowControl w:val="0"/>
        <w:numPr>
          <w:ilvl w:val="0"/>
          <w:numId w:val="0"/>
        </w:numPr>
        <w:kinsoku/>
        <w:wordWrap/>
        <w:overflowPunct/>
        <w:topLinePunct w:val="0"/>
        <w:autoSpaceDE/>
        <w:autoSpaceDN/>
        <w:bidi w:val="0"/>
        <w:adjustRightInd/>
        <w:snapToGrid/>
        <w:spacing w:line="430" w:lineRule="exact"/>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（3）报价得分计算时，报价均为供应商的实际最后报价进行政府采购政策性扣除后的价格，即进行报价得分计算时的报价=最后报价×（1—因落实政府采购政策进行的价格扣除）；最终成交金额＝最后报价。</w:t>
      </w:r>
    </w:p>
    <w:p w14:paraId="7160D6FB">
      <w:pPr>
        <w:pStyle w:val="15"/>
        <w:pageBreakBefore w:val="0"/>
        <w:widowControl w:val="0"/>
        <w:numPr>
          <w:ilvl w:val="0"/>
          <w:numId w:val="0"/>
        </w:numPr>
        <w:kinsoku/>
        <w:wordWrap/>
        <w:overflowPunct/>
        <w:topLinePunct w:val="0"/>
        <w:autoSpaceDE/>
        <w:autoSpaceDN/>
        <w:bidi w:val="0"/>
        <w:adjustRightInd/>
        <w:snapToGrid/>
        <w:spacing w:line="430" w:lineRule="exact"/>
        <w:jc w:val="left"/>
        <w:textAlignment w:val="auto"/>
        <w:rPr>
          <w:rFonts w:hint="default" w:ascii="宋体" w:hAnsi="宋体" w:eastAsia="宋体" w:cs="宋体"/>
          <w:b/>
          <w:bCs w:val="0"/>
          <w:color w:val="auto"/>
          <w:sz w:val="21"/>
          <w:szCs w:val="21"/>
          <w:highlight w:val="none"/>
          <w:lang w:val="en-US" w:eastAsia="zh-CN"/>
        </w:rPr>
      </w:pPr>
      <w:r>
        <w:rPr>
          <w:rFonts w:hint="eastAsia" w:hAnsi="宋体" w:cs="宋体"/>
          <w:b/>
          <w:bCs w:val="0"/>
          <w:color w:val="auto"/>
          <w:sz w:val="21"/>
          <w:szCs w:val="21"/>
          <w:highlight w:val="none"/>
          <w:lang w:val="en-US" w:eastAsia="zh-CN"/>
        </w:rPr>
        <w:t>（四）技术部分（60分）</w:t>
      </w:r>
    </w:p>
    <w:p w14:paraId="1F94C92F">
      <w:pPr>
        <w:pStyle w:val="15"/>
        <w:pageBreakBefore w:val="0"/>
        <w:widowControl w:val="0"/>
        <w:kinsoku/>
        <w:wordWrap/>
        <w:overflowPunct/>
        <w:topLinePunct w:val="0"/>
        <w:autoSpaceDE/>
        <w:autoSpaceDN/>
        <w:bidi w:val="0"/>
        <w:adjustRightInd/>
        <w:snapToGrid/>
        <w:spacing w:line="430" w:lineRule="exact"/>
        <w:ind w:left="105" w:leftChars="50" w:firstLine="335" w:firstLineChars="159"/>
        <w:jc w:val="left"/>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2</w:t>
      </w:r>
      <w:bookmarkEnd w:id="8"/>
      <w:r>
        <w:rPr>
          <w:rFonts w:hint="eastAsia" w:hAnsi="宋体" w:cs="宋体"/>
          <w:b/>
          <w:bCs w:val="0"/>
          <w:color w:val="auto"/>
          <w:sz w:val="21"/>
          <w:szCs w:val="21"/>
          <w:highlight w:val="none"/>
          <w:lang w:val="en-US" w:eastAsia="zh-CN"/>
        </w:rPr>
        <w:t>、项目技术设计书</w:t>
      </w:r>
      <w:r>
        <w:rPr>
          <w:rFonts w:hint="eastAsia" w:ascii="宋体" w:hAnsi="宋体" w:eastAsia="宋体" w:cs="宋体"/>
          <w:b/>
          <w:color w:val="auto"/>
          <w:sz w:val="21"/>
          <w:szCs w:val="21"/>
          <w:highlight w:val="none"/>
        </w:rPr>
        <w:t>………………………………………………………………………………</w:t>
      </w:r>
      <w:r>
        <w:rPr>
          <w:rFonts w:hint="eastAsia" w:hAnsi="宋体" w:cs="宋体"/>
          <w:b/>
          <w:color w:val="auto"/>
          <w:sz w:val="21"/>
          <w:szCs w:val="21"/>
          <w:highlight w:val="none"/>
          <w:lang w:val="en-US" w:eastAsia="zh-CN"/>
        </w:rPr>
        <w:t>30</w:t>
      </w:r>
      <w:r>
        <w:rPr>
          <w:rFonts w:hint="eastAsia" w:ascii="宋体" w:hAnsi="宋体" w:eastAsia="宋体" w:cs="宋体"/>
          <w:b/>
          <w:color w:val="auto"/>
          <w:sz w:val="21"/>
          <w:szCs w:val="21"/>
          <w:highlight w:val="none"/>
          <w:lang w:val="en-US" w:eastAsia="zh-CN"/>
        </w:rPr>
        <w:t>分</w:t>
      </w:r>
    </w:p>
    <w:p w14:paraId="5EC2C932">
      <w:pPr>
        <w:pageBreakBefore w:val="0"/>
        <w:widowControl w:val="0"/>
        <w:kinsoku/>
        <w:wordWrap/>
        <w:overflowPunct/>
        <w:topLinePunct w:val="0"/>
        <w:autoSpaceDN/>
        <w:bidi w:val="0"/>
        <w:spacing w:line="44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由磋商小组根据</w:t>
      </w:r>
      <w:r>
        <w:rPr>
          <w:rFonts w:hint="eastAsia" w:ascii="宋体" w:hAnsi="宋体" w:cs="宋体"/>
          <w:color w:val="auto"/>
          <w:sz w:val="21"/>
          <w:szCs w:val="21"/>
          <w:highlight w:val="none"/>
          <w:lang w:val="en-US" w:eastAsia="zh-CN"/>
        </w:rPr>
        <w:t>供应商</w:t>
      </w:r>
      <w:r>
        <w:rPr>
          <w:rFonts w:hint="eastAsia" w:ascii="宋体" w:hAnsi="宋体" w:cs="宋体"/>
          <w:color w:val="auto"/>
          <w:sz w:val="21"/>
          <w:szCs w:val="21"/>
          <w:highlight w:val="none"/>
        </w:rPr>
        <w:t>提供的“</w:t>
      </w:r>
      <w:r>
        <w:rPr>
          <w:rFonts w:hint="eastAsia" w:ascii="宋体" w:hAnsi="宋体" w:cs="宋体"/>
          <w:color w:val="auto"/>
          <w:sz w:val="21"/>
          <w:szCs w:val="21"/>
          <w:highlight w:val="none"/>
          <w:lang w:val="en-US" w:eastAsia="zh-CN"/>
        </w:rPr>
        <w:t>项目技术设计书</w:t>
      </w:r>
      <w:r>
        <w:rPr>
          <w:rFonts w:hint="eastAsia" w:ascii="宋体" w:hAnsi="宋体" w:cs="宋体"/>
          <w:color w:val="auto"/>
          <w:sz w:val="21"/>
          <w:szCs w:val="21"/>
          <w:highlight w:val="none"/>
        </w:rPr>
        <w:t>”内容，</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包括</w:t>
      </w:r>
      <w:r>
        <w:rPr>
          <w:rFonts w:hint="eastAsia" w:ascii="宋体" w:hAnsi="宋体" w:cs="宋体"/>
          <w:color w:val="auto"/>
          <w:sz w:val="21"/>
          <w:szCs w:val="21"/>
          <w:highlight w:val="none"/>
          <w:lang w:val="en-US" w:eastAsia="zh-CN"/>
        </w:rPr>
        <w:t>但不限于</w:t>
      </w:r>
      <w:r>
        <w:rPr>
          <w:rFonts w:hint="eastAsia" w:ascii="宋体" w:hAnsi="宋体" w:cs="宋体"/>
          <w:color w:val="auto"/>
          <w:sz w:val="21"/>
          <w:szCs w:val="21"/>
          <w:highlight w:val="none"/>
        </w:rPr>
        <w:t>:</w:t>
      </w:r>
      <w:r>
        <w:rPr>
          <w:rFonts w:hint="default" w:ascii="宋体" w:hAnsi="宋体" w:cs="宋体"/>
          <w:color w:val="auto"/>
          <w:sz w:val="21"/>
          <w:szCs w:val="21"/>
          <w:highlight w:val="none"/>
        </w:rPr>
        <w:t>①</w:t>
      </w:r>
      <w:r>
        <w:rPr>
          <w:rFonts w:hint="eastAsia" w:ascii="宋体" w:hAnsi="宋体" w:cs="宋体"/>
          <w:color w:val="auto"/>
          <w:sz w:val="21"/>
          <w:szCs w:val="21"/>
          <w:highlight w:val="none"/>
          <w:lang w:eastAsia="zh-CN"/>
        </w:rPr>
        <w:t>符合</w:t>
      </w:r>
      <w:r>
        <w:rPr>
          <w:rFonts w:hint="default" w:ascii="宋体" w:hAnsi="宋体" w:cs="宋体"/>
          <w:color w:val="auto"/>
          <w:sz w:val="21"/>
          <w:szCs w:val="21"/>
          <w:highlight w:val="none"/>
          <w:lang w:val="en-US" w:eastAsia="zh-CN"/>
        </w:rPr>
        <w:t>“十五五”矿产资源规划编制的相关要求</w:t>
      </w:r>
      <w:r>
        <w:rPr>
          <w:rFonts w:hint="eastAsia" w:ascii="宋体" w:hAnsi="宋体" w:cs="宋体"/>
          <w:color w:val="auto"/>
          <w:sz w:val="21"/>
          <w:szCs w:val="21"/>
          <w:highlight w:val="none"/>
        </w:rPr>
        <w:t>；</w:t>
      </w:r>
      <w:r>
        <w:rPr>
          <w:rFonts w:hint="default" w:ascii="宋体" w:hAnsi="宋体" w:cs="宋体"/>
          <w:color w:val="auto"/>
          <w:sz w:val="21"/>
          <w:szCs w:val="21"/>
          <w:highlight w:val="none"/>
        </w:rPr>
        <w:t>②</w:t>
      </w:r>
      <w:r>
        <w:rPr>
          <w:rFonts w:hint="default" w:ascii="宋体" w:hAnsi="宋体" w:cs="宋体"/>
          <w:color w:val="auto"/>
          <w:sz w:val="21"/>
          <w:szCs w:val="21"/>
          <w:highlight w:val="none"/>
          <w:lang w:val="en-US" w:eastAsia="zh-CN"/>
        </w:rPr>
        <w:t>技术路线和流程</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③采用新技术新方法作业</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④设计符合当地实际。</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进行评审并打分。</w:t>
      </w:r>
    </w:p>
    <w:p w14:paraId="657C6A18">
      <w:pPr>
        <w:pStyle w:val="15"/>
        <w:keepNext w:val="0"/>
        <w:keepLines w:val="0"/>
        <w:pageBreakBefore w:val="0"/>
        <w:numPr>
          <w:ilvl w:val="0"/>
          <w:numId w:val="0"/>
        </w:numPr>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一档（</w:t>
      </w:r>
      <w:r>
        <w:rPr>
          <w:rFonts w:hint="eastAsia" w:hAnsi="宋体" w:cs="宋体"/>
          <w:b w:val="0"/>
          <w:bCs w:val="0"/>
          <w:color w:val="auto"/>
          <w:kern w:val="2"/>
          <w:sz w:val="21"/>
          <w:szCs w:val="21"/>
          <w:highlight w:val="none"/>
          <w:lang w:val="en-US" w:eastAsia="zh-CN" w:bidi="ar-SA"/>
        </w:rPr>
        <w:t>12</w:t>
      </w:r>
      <w:r>
        <w:rPr>
          <w:rFonts w:hint="eastAsia" w:ascii="宋体" w:hAnsi="宋体" w:eastAsia="宋体" w:cs="宋体"/>
          <w:b w:val="0"/>
          <w:bCs w:val="0"/>
          <w:color w:val="auto"/>
          <w:kern w:val="2"/>
          <w:sz w:val="21"/>
          <w:szCs w:val="21"/>
          <w:highlight w:val="none"/>
          <w:lang w:val="en-US" w:eastAsia="zh-CN" w:bidi="ar-SA"/>
        </w:rPr>
        <w:t>分）:</w:t>
      </w:r>
      <w:r>
        <w:rPr>
          <w:rFonts w:hint="eastAsia" w:hAnsi="宋体" w:cs="宋体"/>
          <w:b w:val="0"/>
          <w:bCs w:val="0"/>
          <w:color w:val="auto"/>
          <w:kern w:val="2"/>
          <w:sz w:val="21"/>
          <w:szCs w:val="21"/>
          <w:highlight w:val="none"/>
          <w:lang w:val="en-US" w:eastAsia="zh-CN" w:bidi="ar-SA"/>
        </w:rPr>
        <w:t>四</w:t>
      </w:r>
      <w:r>
        <w:rPr>
          <w:rFonts w:hint="eastAsia" w:ascii="宋体" w:hAnsi="宋体" w:eastAsia="宋体" w:cs="宋体"/>
          <w:b w:val="0"/>
          <w:bCs w:val="0"/>
          <w:color w:val="auto"/>
          <w:kern w:val="2"/>
          <w:sz w:val="21"/>
          <w:szCs w:val="21"/>
          <w:highlight w:val="none"/>
          <w:lang w:val="en-US" w:eastAsia="zh-CN" w:bidi="ar-SA"/>
        </w:rPr>
        <w:t>项评审因素经评审有一项</w:t>
      </w:r>
      <w:r>
        <w:rPr>
          <w:rFonts w:hint="eastAsia" w:ascii="宋体" w:hAnsi="宋体" w:cs="宋体"/>
          <w:color w:val="auto"/>
          <w:sz w:val="21"/>
          <w:szCs w:val="21"/>
          <w:highlight w:val="none"/>
        </w:rPr>
        <w:t>内容经评审合理、可行且针对性</w:t>
      </w:r>
      <w:r>
        <w:rPr>
          <w:rFonts w:hint="eastAsia" w:ascii="宋体" w:hAnsi="宋体" w:cs="宋体"/>
          <w:color w:val="auto"/>
          <w:sz w:val="21"/>
          <w:szCs w:val="21"/>
          <w:highlight w:val="none"/>
          <w:lang w:eastAsia="zh-CN"/>
        </w:rPr>
        <w:t>强</w:t>
      </w:r>
      <w:r>
        <w:rPr>
          <w:rFonts w:hint="eastAsia" w:ascii="宋体" w:hAnsi="宋体" w:cs="宋体"/>
          <w:color w:val="auto"/>
          <w:sz w:val="21"/>
          <w:szCs w:val="21"/>
          <w:highlight w:val="none"/>
        </w:rPr>
        <w:t>的</w:t>
      </w:r>
      <w:r>
        <w:rPr>
          <w:rFonts w:hint="eastAsia" w:ascii="宋体" w:hAnsi="宋体" w:eastAsia="宋体" w:cs="宋体"/>
          <w:b w:val="0"/>
          <w:bCs w:val="0"/>
          <w:color w:val="auto"/>
          <w:kern w:val="2"/>
          <w:sz w:val="21"/>
          <w:szCs w:val="21"/>
          <w:highlight w:val="none"/>
          <w:lang w:val="en-US" w:eastAsia="zh-CN" w:bidi="ar-SA"/>
        </w:rPr>
        <w:t>；</w:t>
      </w:r>
    </w:p>
    <w:p w14:paraId="3B558527">
      <w:pPr>
        <w:pStyle w:val="15"/>
        <w:keepNext w:val="0"/>
        <w:keepLines w:val="0"/>
        <w:pageBreakBefore w:val="0"/>
        <w:numPr>
          <w:ilvl w:val="0"/>
          <w:numId w:val="0"/>
        </w:numPr>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二档（</w:t>
      </w:r>
      <w:r>
        <w:rPr>
          <w:rFonts w:hint="eastAsia" w:hAnsi="宋体" w:cs="宋体"/>
          <w:b w:val="0"/>
          <w:bCs w:val="0"/>
          <w:color w:val="auto"/>
          <w:kern w:val="2"/>
          <w:sz w:val="21"/>
          <w:szCs w:val="21"/>
          <w:highlight w:val="none"/>
          <w:lang w:val="en-US" w:eastAsia="zh-CN" w:bidi="ar-SA"/>
        </w:rPr>
        <w:t>18</w:t>
      </w:r>
      <w:r>
        <w:rPr>
          <w:rFonts w:hint="eastAsia" w:ascii="宋体" w:hAnsi="宋体" w:eastAsia="宋体" w:cs="宋体"/>
          <w:b w:val="0"/>
          <w:bCs w:val="0"/>
          <w:color w:val="auto"/>
          <w:kern w:val="2"/>
          <w:sz w:val="21"/>
          <w:szCs w:val="21"/>
          <w:highlight w:val="none"/>
          <w:lang w:val="en-US" w:eastAsia="zh-CN" w:bidi="ar-SA"/>
        </w:rPr>
        <w:t>分）:</w:t>
      </w:r>
      <w:r>
        <w:rPr>
          <w:rFonts w:hint="eastAsia" w:hAnsi="宋体" w:cs="宋体"/>
          <w:b w:val="0"/>
          <w:bCs w:val="0"/>
          <w:color w:val="auto"/>
          <w:kern w:val="2"/>
          <w:sz w:val="21"/>
          <w:szCs w:val="21"/>
          <w:highlight w:val="none"/>
          <w:lang w:val="en-US" w:eastAsia="zh-CN" w:bidi="ar-SA"/>
        </w:rPr>
        <w:t>四</w:t>
      </w:r>
      <w:r>
        <w:rPr>
          <w:rFonts w:hint="eastAsia" w:ascii="宋体" w:hAnsi="宋体" w:eastAsia="宋体" w:cs="宋体"/>
          <w:b w:val="0"/>
          <w:bCs w:val="0"/>
          <w:color w:val="auto"/>
          <w:kern w:val="2"/>
          <w:sz w:val="21"/>
          <w:szCs w:val="21"/>
          <w:highlight w:val="none"/>
          <w:lang w:val="en-US" w:eastAsia="zh-CN" w:bidi="ar-SA"/>
        </w:rPr>
        <w:t>项评审因素经评审有二项</w:t>
      </w:r>
      <w:r>
        <w:rPr>
          <w:rFonts w:hint="eastAsia" w:ascii="宋体" w:hAnsi="宋体" w:cs="宋体"/>
          <w:color w:val="auto"/>
          <w:sz w:val="21"/>
          <w:szCs w:val="21"/>
          <w:highlight w:val="none"/>
        </w:rPr>
        <w:t>内容经评审合理、可行且针对性</w:t>
      </w:r>
      <w:r>
        <w:rPr>
          <w:rFonts w:hint="eastAsia" w:ascii="宋体" w:hAnsi="宋体" w:cs="宋体"/>
          <w:color w:val="auto"/>
          <w:sz w:val="21"/>
          <w:szCs w:val="21"/>
          <w:highlight w:val="none"/>
          <w:lang w:eastAsia="zh-CN"/>
        </w:rPr>
        <w:t>强</w:t>
      </w:r>
      <w:r>
        <w:rPr>
          <w:rFonts w:hint="eastAsia" w:ascii="宋体" w:hAnsi="宋体" w:cs="宋体"/>
          <w:color w:val="auto"/>
          <w:sz w:val="21"/>
          <w:szCs w:val="21"/>
          <w:highlight w:val="none"/>
        </w:rPr>
        <w:t>的</w:t>
      </w:r>
      <w:r>
        <w:rPr>
          <w:rFonts w:hint="eastAsia" w:ascii="宋体" w:hAnsi="宋体" w:eastAsia="宋体" w:cs="宋体"/>
          <w:b w:val="0"/>
          <w:bCs w:val="0"/>
          <w:color w:val="auto"/>
          <w:kern w:val="2"/>
          <w:sz w:val="21"/>
          <w:szCs w:val="21"/>
          <w:highlight w:val="none"/>
          <w:lang w:val="en-US" w:eastAsia="zh-CN" w:bidi="ar-SA"/>
        </w:rPr>
        <w:t>；</w:t>
      </w:r>
    </w:p>
    <w:p w14:paraId="3522BA89">
      <w:pPr>
        <w:pStyle w:val="15"/>
        <w:keepNext w:val="0"/>
        <w:keepLines w:val="0"/>
        <w:pageBreakBefore w:val="0"/>
        <w:numPr>
          <w:ilvl w:val="0"/>
          <w:numId w:val="0"/>
        </w:numPr>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三档（</w:t>
      </w:r>
      <w:r>
        <w:rPr>
          <w:rFonts w:hint="eastAsia" w:hAnsi="宋体" w:cs="宋体"/>
          <w:b w:val="0"/>
          <w:bCs w:val="0"/>
          <w:color w:val="auto"/>
          <w:kern w:val="2"/>
          <w:sz w:val="21"/>
          <w:szCs w:val="21"/>
          <w:highlight w:val="none"/>
          <w:lang w:val="en-US" w:eastAsia="zh-CN" w:bidi="ar-SA"/>
        </w:rPr>
        <w:t>24</w:t>
      </w:r>
      <w:r>
        <w:rPr>
          <w:rFonts w:hint="eastAsia" w:ascii="宋体" w:hAnsi="宋体" w:eastAsia="宋体" w:cs="宋体"/>
          <w:b w:val="0"/>
          <w:bCs w:val="0"/>
          <w:color w:val="auto"/>
          <w:kern w:val="2"/>
          <w:sz w:val="21"/>
          <w:szCs w:val="21"/>
          <w:highlight w:val="none"/>
          <w:lang w:val="en-US" w:eastAsia="zh-CN" w:bidi="ar-SA"/>
        </w:rPr>
        <w:t>分）:</w:t>
      </w:r>
      <w:r>
        <w:rPr>
          <w:rFonts w:hint="eastAsia" w:hAnsi="宋体" w:cs="宋体"/>
          <w:b w:val="0"/>
          <w:bCs w:val="0"/>
          <w:color w:val="auto"/>
          <w:kern w:val="2"/>
          <w:sz w:val="21"/>
          <w:szCs w:val="21"/>
          <w:highlight w:val="none"/>
          <w:lang w:val="en-US" w:eastAsia="zh-CN" w:bidi="ar-SA"/>
        </w:rPr>
        <w:t>四</w:t>
      </w:r>
      <w:r>
        <w:rPr>
          <w:rFonts w:hint="eastAsia" w:ascii="宋体" w:hAnsi="宋体" w:eastAsia="宋体" w:cs="宋体"/>
          <w:b w:val="0"/>
          <w:bCs w:val="0"/>
          <w:color w:val="auto"/>
          <w:kern w:val="2"/>
          <w:sz w:val="21"/>
          <w:szCs w:val="21"/>
          <w:highlight w:val="none"/>
          <w:lang w:val="en-US" w:eastAsia="zh-CN" w:bidi="ar-SA"/>
        </w:rPr>
        <w:t>项评审因素经评审有三项</w:t>
      </w:r>
      <w:r>
        <w:rPr>
          <w:rFonts w:hint="eastAsia" w:ascii="宋体" w:hAnsi="宋体" w:cs="宋体"/>
          <w:color w:val="auto"/>
          <w:sz w:val="21"/>
          <w:szCs w:val="21"/>
          <w:highlight w:val="none"/>
        </w:rPr>
        <w:t>内容经评审合理、可行且针对性</w:t>
      </w:r>
      <w:r>
        <w:rPr>
          <w:rFonts w:hint="eastAsia" w:ascii="宋体" w:hAnsi="宋体" w:cs="宋体"/>
          <w:color w:val="auto"/>
          <w:sz w:val="21"/>
          <w:szCs w:val="21"/>
          <w:highlight w:val="none"/>
          <w:lang w:eastAsia="zh-CN"/>
        </w:rPr>
        <w:t>强</w:t>
      </w:r>
      <w:r>
        <w:rPr>
          <w:rFonts w:hint="eastAsia" w:ascii="宋体" w:hAnsi="宋体" w:cs="宋体"/>
          <w:color w:val="auto"/>
          <w:sz w:val="21"/>
          <w:szCs w:val="21"/>
          <w:highlight w:val="none"/>
        </w:rPr>
        <w:t>的</w:t>
      </w:r>
      <w:r>
        <w:rPr>
          <w:rFonts w:hint="eastAsia" w:ascii="宋体" w:hAnsi="宋体" w:eastAsia="宋体" w:cs="宋体"/>
          <w:b w:val="0"/>
          <w:bCs w:val="0"/>
          <w:color w:val="auto"/>
          <w:kern w:val="2"/>
          <w:sz w:val="21"/>
          <w:szCs w:val="21"/>
          <w:highlight w:val="none"/>
          <w:lang w:val="en-US" w:eastAsia="zh-CN" w:bidi="ar-SA"/>
        </w:rPr>
        <w:t>；</w:t>
      </w:r>
    </w:p>
    <w:p w14:paraId="117C30C1">
      <w:pPr>
        <w:pStyle w:val="15"/>
        <w:keepNext w:val="0"/>
        <w:keepLines w:val="0"/>
        <w:pageBreakBefore w:val="0"/>
        <w:numPr>
          <w:ilvl w:val="0"/>
          <w:numId w:val="0"/>
        </w:numPr>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四档（</w:t>
      </w:r>
      <w:r>
        <w:rPr>
          <w:rFonts w:hint="eastAsia" w:hAnsi="宋体" w:cs="宋体"/>
          <w:b w:val="0"/>
          <w:bCs w:val="0"/>
          <w:color w:val="auto"/>
          <w:kern w:val="2"/>
          <w:sz w:val="21"/>
          <w:szCs w:val="21"/>
          <w:highlight w:val="none"/>
          <w:lang w:val="en-US" w:eastAsia="zh-CN" w:bidi="ar-SA"/>
        </w:rPr>
        <w:t>30</w:t>
      </w:r>
      <w:r>
        <w:rPr>
          <w:rFonts w:hint="eastAsia" w:ascii="宋体" w:hAnsi="宋体" w:eastAsia="宋体" w:cs="宋体"/>
          <w:b w:val="0"/>
          <w:bCs w:val="0"/>
          <w:color w:val="auto"/>
          <w:kern w:val="2"/>
          <w:sz w:val="21"/>
          <w:szCs w:val="21"/>
          <w:highlight w:val="none"/>
          <w:lang w:val="en-US" w:eastAsia="zh-CN" w:bidi="ar-SA"/>
        </w:rPr>
        <w:t>分）:</w:t>
      </w:r>
      <w:r>
        <w:rPr>
          <w:rFonts w:hint="eastAsia" w:hAnsi="宋体" w:cs="宋体"/>
          <w:b w:val="0"/>
          <w:bCs w:val="0"/>
          <w:color w:val="auto"/>
          <w:kern w:val="2"/>
          <w:sz w:val="21"/>
          <w:szCs w:val="21"/>
          <w:highlight w:val="none"/>
          <w:lang w:val="en-US" w:eastAsia="zh-CN" w:bidi="ar-SA"/>
        </w:rPr>
        <w:t>四</w:t>
      </w:r>
      <w:r>
        <w:rPr>
          <w:rFonts w:hint="eastAsia" w:ascii="宋体" w:hAnsi="宋体" w:eastAsia="宋体" w:cs="宋体"/>
          <w:b w:val="0"/>
          <w:bCs w:val="0"/>
          <w:color w:val="auto"/>
          <w:kern w:val="2"/>
          <w:sz w:val="21"/>
          <w:szCs w:val="21"/>
          <w:highlight w:val="none"/>
          <w:lang w:val="en-US" w:eastAsia="zh-CN" w:bidi="ar-SA"/>
        </w:rPr>
        <w:t>项评审因素经评审有四项</w:t>
      </w:r>
      <w:r>
        <w:rPr>
          <w:rFonts w:hint="eastAsia" w:ascii="宋体" w:hAnsi="宋体" w:cs="宋体"/>
          <w:color w:val="auto"/>
          <w:sz w:val="21"/>
          <w:szCs w:val="21"/>
          <w:highlight w:val="none"/>
        </w:rPr>
        <w:t>内容经评审合理、可行且针对性</w:t>
      </w:r>
      <w:r>
        <w:rPr>
          <w:rFonts w:hint="eastAsia" w:ascii="宋体" w:hAnsi="宋体" w:cs="宋体"/>
          <w:color w:val="auto"/>
          <w:sz w:val="21"/>
          <w:szCs w:val="21"/>
          <w:highlight w:val="none"/>
          <w:lang w:eastAsia="zh-CN"/>
        </w:rPr>
        <w:t>强</w:t>
      </w:r>
      <w:r>
        <w:rPr>
          <w:rFonts w:hint="eastAsia" w:ascii="宋体" w:hAnsi="宋体" w:cs="宋体"/>
          <w:color w:val="auto"/>
          <w:sz w:val="21"/>
          <w:szCs w:val="21"/>
          <w:highlight w:val="none"/>
        </w:rPr>
        <w:t>的</w:t>
      </w:r>
      <w:r>
        <w:rPr>
          <w:rFonts w:hint="eastAsia" w:ascii="宋体" w:hAnsi="宋体" w:eastAsia="宋体" w:cs="宋体"/>
          <w:b w:val="0"/>
          <w:bCs w:val="0"/>
          <w:color w:val="auto"/>
          <w:kern w:val="2"/>
          <w:sz w:val="21"/>
          <w:szCs w:val="21"/>
          <w:highlight w:val="none"/>
          <w:lang w:val="en-US" w:eastAsia="zh-CN" w:bidi="ar-SA"/>
        </w:rPr>
        <w:t>；</w:t>
      </w:r>
    </w:p>
    <w:p w14:paraId="1C380DFE">
      <w:pPr>
        <w:spacing w:line="360" w:lineRule="auto"/>
        <w:ind w:firstLine="422" w:firstLineChars="200"/>
        <w:rPr>
          <w:rFonts w:ascii="宋体" w:hAnsi="宋体" w:cs="宋体"/>
          <w:color w:val="auto"/>
          <w:sz w:val="21"/>
          <w:szCs w:val="21"/>
          <w:highlight w:val="none"/>
        </w:rPr>
      </w:pPr>
      <w:r>
        <w:rPr>
          <w:rFonts w:hint="eastAsia" w:ascii="宋体" w:hAnsi="宋体" w:cs="宋体"/>
          <w:b/>
          <w:bCs/>
          <w:color w:val="auto"/>
          <w:szCs w:val="21"/>
          <w:highlight w:val="none"/>
          <w:lang w:val="en-US" w:eastAsia="zh-CN"/>
        </w:rPr>
        <w:t>注：未提供的不予计分。</w:t>
      </w:r>
    </w:p>
    <w:p w14:paraId="2FF4394D">
      <w:pPr>
        <w:pStyle w:val="15"/>
        <w:pageBreakBefore w:val="0"/>
        <w:widowControl w:val="0"/>
        <w:tabs>
          <w:tab w:val="left" w:pos="8820"/>
        </w:tabs>
        <w:kinsoku/>
        <w:wordWrap/>
        <w:overflowPunct/>
        <w:topLinePunct w:val="0"/>
        <w:autoSpaceDN/>
        <w:bidi w:val="0"/>
        <w:spacing w:line="440" w:lineRule="exact"/>
        <w:ind w:firstLine="422" w:firstLineChars="200"/>
        <w:jc w:val="left"/>
        <w:textAlignment w:val="auto"/>
        <w:outlineLvl w:val="0"/>
        <w:rPr>
          <w:rFonts w:hint="eastAsia"/>
          <w:b/>
          <w:color w:val="auto"/>
          <w:highlight w:val="none"/>
          <w:lang w:val="en-US" w:eastAsia="zh-CN"/>
        </w:rPr>
      </w:pPr>
      <w:r>
        <w:rPr>
          <w:rFonts w:hint="eastAsia" w:hAnsi="宋体" w:cs="宋体"/>
          <w:b/>
          <w:bCs w:val="0"/>
          <w:color w:val="auto"/>
          <w:sz w:val="21"/>
          <w:szCs w:val="21"/>
          <w:highlight w:val="none"/>
          <w:lang w:val="en-US" w:eastAsia="zh-CN"/>
        </w:rPr>
        <w:t>3</w:t>
      </w:r>
      <w:r>
        <w:rPr>
          <w:rFonts w:hint="eastAsia" w:ascii="宋体" w:hAnsi="宋体" w:eastAsia="宋体" w:cs="宋体"/>
          <w:b/>
          <w:bCs w:val="0"/>
          <w:color w:val="auto"/>
          <w:sz w:val="21"/>
          <w:szCs w:val="21"/>
          <w:highlight w:val="none"/>
          <w:lang w:val="en-US" w:eastAsia="zh-CN"/>
        </w:rPr>
        <w:t>、</w:t>
      </w:r>
      <w:r>
        <w:rPr>
          <w:rFonts w:hint="eastAsia"/>
          <w:b/>
          <w:color w:val="auto"/>
          <w:highlight w:val="none"/>
          <w:lang w:val="en-US" w:eastAsia="zh-CN"/>
        </w:rPr>
        <w:t>质量和保密保证措施及承诺</w:t>
      </w:r>
      <w:r>
        <w:rPr>
          <w:rFonts w:hint="eastAsia" w:ascii="宋体" w:hAnsi="宋体" w:eastAsia="宋体" w:cs="宋体"/>
          <w:b/>
          <w:color w:val="auto"/>
          <w:sz w:val="21"/>
          <w:szCs w:val="21"/>
          <w:highlight w:val="none"/>
        </w:rPr>
        <w:t>…………………………………………………………………</w:t>
      </w:r>
      <w:r>
        <w:rPr>
          <w:rFonts w:hint="eastAsia" w:hAnsi="宋体" w:cs="宋体"/>
          <w:b/>
          <w:color w:val="auto"/>
          <w:sz w:val="21"/>
          <w:szCs w:val="21"/>
          <w:highlight w:val="none"/>
          <w:lang w:val="en-US" w:eastAsia="zh-CN"/>
        </w:rPr>
        <w:t>10</w:t>
      </w:r>
      <w:r>
        <w:rPr>
          <w:rFonts w:hint="eastAsia" w:ascii="宋体" w:hAnsi="宋体" w:eastAsia="宋体" w:cs="宋体"/>
          <w:b/>
          <w:color w:val="auto"/>
          <w:sz w:val="21"/>
          <w:szCs w:val="21"/>
          <w:highlight w:val="none"/>
          <w:lang w:val="en-US" w:eastAsia="zh-CN"/>
        </w:rPr>
        <w:t>分</w:t>
      </w:r>
    </w:p>
    <w:p w14:paraId="3AC2CDF5">
      <w:pPr>
        <w:pageBreakBefore w:val="0"/>
        <w:widowControl w:val="0"/>
        <w:kinsoku/>
        <w:wordWrap/>
        <w:overflowPunct/>
        <w:topLinePunct w:val="0"/>
        <w:autoSpaceDN/>
        <w:bidi w:val="0"/>
        <w:spacing w:line="44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由磋商小组根据</w:t>
      </w:r>
      <w:r>
        <w:rPr>
          <w:rFonts w:hint="eastAsia" w:ascii="宋体" w:hAnsi="宋体" w:cs="宋体"/>
          <w:color w:val="auto"/>
          <w:sz w:val="21"/>
          <w:szCs w:val="21"/>
          <w:highlight w:val="none"/>
          <w:lang w:val="en-US" w:eastAsia="zh-CN"/>
        </w:rPr>
        <w:t>供应商</w:t>
      </w:r>
      <w:r>
        <w:rPr>
          <w:rFonts w:hint="eastAsia" w:ascii="宋体" w:hAnsi="宋体" w:cs="宋体"/>
          <w:color w:val="auto"/>
          <w:sz w:val="21"/>
          <w:szCs w:val="21"/>
          <w:highlight w:val="none"/>
        </w:rPr>
        <w:t>提供的“</w:t>
      </w:r>
      <w:r>
        <w:rPr>
          <w:rFonts w:hint="eastAsia" w:ascii="宋体" w:hAnsi="宋体" w:cs="宋体"/>
          <w:color w:val="auto"/>
          <w:sz w:val="21"/>
          <w:szCs w:val="21"/>
          <w:highlight w:val="none"/>
          <w:lang w:val="en-US" w:eastAsia="zh-CN"/>
        </w:rPr>
        <w:t>质量和保密保证措施及承诺</w:t>
      </w:r>
      <w:r>
        <w:rPr>
          <w:rFonts w:hint="eastAsia" w:ascii="宋体" w:hAnsi="宋体" w:cs="宋体"/>
          <w:color w:val="auto"/>
          <w:sz w:val="21"/>
          <w:szCs w:val="21"/>
          <w:highlight w:val="none"/>
        </w:rPr>
        <w:t>”内容，</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包括</w:t>
      </w:r>
      <w:r>
        <w:rPr>
          <w:rFonts w:hint="eastAsia" w:ascii="宋体" w:hAnsi="宋体" w:cs="宋体"/>
          <w:color w:val="auto"/>
          <w:sz w:val="21"/>
          <w:szCs w:val="21"/>
          <w:highlight w:val="none"/>
          <w:lang w:val="en-US" w:eastAsia="zh-CN"/>
        </w:rPr>
        <w:t>但不限于</w:t>
      </w:r>
      <w:r>
        <w:rPr>
          <w:rFonts w:hint="eastAsia" w:ascii="宋体" w:hAnsi="宋体" w:cs="宋体"/>
          <w:color w:val="auto"/>
          <w:sz w:val="21"/>
          <w:szCs w:val="21"/>
          <w:highlight w:val="none"/>
        </w:rPr>
        <w:t>:</w:t>
      </w:r>
      <w:r>
        <w:rPr>
          <w:rFonts w:hint="default" w:ascii="宋体" w:hAnsi="宋体" w:cs="宋体"/>
          <w:color w:val="auto"/>
          <w:sz w:val="21"/>
          <w:szCs w:val="21"/>
          <w:highlight w:val="none"/>
        </w:rPr>
        <w:t>①</w:t>
      </w:r>
      <w:r>
        <w:rPr>
          <w:rFonts w:hint="default" w:ascii="宋体" w:hAnsi="宋体" w:cs="宋体"/>
          <w:color w:val="auto"/>
          <w:sz w:val="21"/>
          <w:szCs w:val="21"/>
          <w:highlight w:val="none"/>
          <w:lang w:val="en-US" w:eastAsia="zh-CN"/>
        </w:rPr>
        <w:t>专门的质检机构进行质量把关，有明确的内部质量管理奖罚措施</w:t>
      </w:r>
      <w:r>
        <w:rPr>
          <w:rFonts w:hint="eastAsia" w:ascii="宋体" w:hAnsi="宋体" w:cs="宋体"/>
          <w:color w:val="auto"/>
          <w:sz w:val="21"/>
          <w:szCs w:val="21"/>
          <w:highlight w:val="none"/>
        </w:rPr>
        <w:t>；</w:t>
      </w:r>
      <w:r>
        <w:rPr>
          <w:rFonts w:hint="default" w:ascii="宋体" w:hAnsi="宋体" w:cs="宋体"/>
          <w:color w:val="auto"/>
          <w:sz w:val="21"/>
          <w:szCs w:val="21"/>
          <w:highlight w:val="none"/>
        </w:rPr>
        <w:t>②</w:t>
      </w:r>
      <w:r>
        <w:rPr>
          <w:rFonts w:hint="default" w:ascii="宋体" w:hAnsi="宋体" w:cs="宋体"/>
          <w:color w:val="auto"/>
          <w:sz w:val="21"/>
          <w:szCs w:val="21"/>
          <w:highlight w:val="none"/>
          <w:lang w:val="en-US" w:eastAsia="zh-CN"/>
        </w:rPr>
        <w:t>具体的质量管理制度和措施，包括：建立过程检查制度和三级检查制度</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③具体的保密管理制度和措施</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④有技术培训、质量意识和保密意识教育。</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进行评审并打分。</w:t>
      </w:r>
    </w:p>
    <w:p w14:paraId="5BC5E632">
      <w:pPr>
        <w:pStyle w:val="15"/>
        <w:keepNext w:val="0"/>
        <w:keepLines w:val="0"/>
        <w:pageBreakBefore w:val="0"/>
        <w:numPr>
          <w:ilvl w:val="0"/>
          <w:numId w:val="0"/>
        </w:numPr>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一档（1分）:</w:t>
      </w:r>
      <w:r>
        <w:rPr>
          <w:rFonts w:hint="eastAsia" w:hAnsi="宋体" w:cs="宋体"/>
          <w:b w:val="0"/>
          <w:bCs w:val="0"/>
          <w:color w:val="auto"/>
          <w:kern w:val="2"/>
          <w:sz w:val="21"/>
          <w:szCs w:val="21"/>
          <w:highlight w:val="none"/>
          <w:lang w:val="en-US" w:eastAsia="zh-CN" w:bidi="ar-SA"/>
        </w:rPr>
        <w:t>四</w:t>
      </w:r>
      <w:r>
        <w:rPr>
          <w:rFonts w:hint="eastAsia" w:ascii="宋体" w:hAnsi="宋体" w:eastAsia="宋体" w:cs="宋体"/>
          <w:b w:val="0"/>
          <w:bCs w:val="0"/>
          <w:color w:val="auto"/>
          <w:kern w:val="2"/>
          <w:sz w:val="21"/>
          <w:szCs w:val="21"/>
          <w:highlight w:val="none"/>
          <w:lang w:val="en-US" w:eastAsia="zh-CN" w:bidi="ar-SA"/>
        </w:rPr>
        <w:t>项评审因素经评审有一项</w:t>
      </w:r>
      <w:r>
        <w:rPr>
          <w:rFonts w:hint="eastAsia" w:ascii="宋体" w:hAnsi="宋体" w:cs="宋体"/>
          <w:color w:val="auto"/>
          <w:sz w:val="21"/>
          <w:szCs w:val="21"/>
          <w:highlight w:val="none"/>
        </w:rPr>
        <w:t>内容经评审合理、可行且针对性</w:t>
      </w:r>
      <w:r>
        <w:rPr>
          <w:rFonts w:hint="eastAsia" w:ascii="宋体" w:hAnsi="宋体" w:cs="宋体"/>
          <w:color w:val="auto"/>
          <w:sz w:val="21"/>
          <w:szCs w:val="21"/>
          <w:highlight w:val="none"/>
          <w:lang w:eastAsia="zh-CN"/>
        </w:rPr>
        <w:t>强</w:t>
      </w:r>
      <w:r>
        <w:rPr>
          <w:rFonts w:hint="eastAsia" w:ascii="宋体" w:hAnsi="宋体" w:cs="宋体"/>
          <w:color w:val="auto"/>
          <w:sz w:val="21"/>
          <w:szCs w:val="21"/>
          <w:highlight w:val="none"/>
        </w:rPr>
        <w:t>的</w:t>
      </w:r>
      <w:r>
        <w:rPr>
          <w:rFonts w:hint="eastAsia" w:ascii="宋体" w:hAnsi="宋体" w:eastAsia="宋体" w:cs="宋体"/>
          <w:b w:val="0"/>
          <w:bCs w:val="0"/>
          <w:color w:val="auto"/>
          <w:kern w:val="2"/>
          <w:sz w:val="21"/>
          <w:szCs w:val="21"/>
          <w:highlight w:val="none"/>
          <w:lang w:val="en-US" w:eastAsia="zh-CN" w:bidi="ar-SA"/>
        </w:rPr>
        <w:t>；</w:t>
      </w:r>
    </w:p>
    <w:p w14:paraId="265EC8BF">
      <w:pPr>
        <w:pStyle w:val="15"/>
        <w:keepNext w:val="0"/>
        <w:keepLines w:val="0"/>
        <w:pageBreakBefore w:val="0"/>
        <w:numPr>
          <w:ilvl w:val="0"/>
          <w:numId w:val="0"/>
        </w:numPr>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二档（4分）:</w:t>
      </w:r>
      <w:r>
        <w:rPr>
          <w:rFonts w:hint="eastAsia" w:hAnsi="宋体" w:cs="宋体"/>
          <w:b w:val="0"/>
          <w:bCs w:val="0"/>
          <w:color w:val="auto"/>
          <w:kern w:val="2"/>
          <w:sz w:val="21"/>
          <w:szCs w:val="21"/>
          <w:highlight w:val="none"/>
          <w:lang w:val="en-US" w:eastAsia="zh-CN" w:bidi="ar-SA"/>
        </w:rPr>
        <w:t>四</w:t>
      </w:r>
      <w:r>
        <w:rPr>
          <w:rFonts w:hint="eastAsia" w:ascii="宋体" w:hAnsi="宋体" w:eastAsia="宋体" w:cs="宋体"/>
          <w:b w:val="0"/>
          <w:bCs w:val="0"/>
          <w:color w:val="auto"/>
          <w:kern w:val="2"/>
          <w:sz w:val="21"/>
          <w:szCs w:val="21"/>
          <w:highlight w:val="none"/>
          <w:lang w:val="en-US" w:eastAsia="zh-CN" w:bidi="ar-SA"/>
        </w:rPr>
        <w:t>项评审因素经评审有二项</w:t>
      </w:r>
      <w:r>
        <w:rPr>
          <w:rFonts w:hint="eastAsia" w:ascii="宋体" w:hAnsi="宋体" w:cs="宋体"/>
          <w:color w:val="auto"/>
          <w:sz w:val="21"/>
          <w:szCs w:val="21"/>
          <w:highlight w:val="none"/>
        </w:rPr>
        <w:t>内容经评审合理、可行且针对性</w:t>
      </w:r>
      <w:r>
        <w:rPr>
          <w:rFonts w:hint="eastAsia" w:ascii="宋体" w:hAnsi="宋体" w:cs="宋体"/>
          <w:color w:val="auto"/>
          <w:sz w:val="21"/>
          <w:szCs w:val="21"/>
          <w:highlight w:val="none"/>
          <w:lang w:eastAsia="zh-CN"/>
        </w:rPr>
        <w:t>强</w:t>
      </w:r>
      <w:r>
        <w:rPr>
          <w:rFonts w:hint="eastAsia" w:ascii="宋体" w:hAnsi="宋体" w:cs="宋体"/>
          <w:color w:val="auto"/>
          <w:sz w:val="21"/>
          <w:szCs w:val="21"/>
          <w:highlight w:val="none"/>
        </w:rPr>
        <w:t>的</w:t>
      </w:r>
      <w:r>
        <w:rPr>
          <w:rFonts w:hint="eastAsia" w:ascii="宋体" w:hAnsi="宋体" w:eastAsia="宋体" w:cs="宋体"/>
          <w:b w:val="0"/>
          <w:bCs w:val="0"/>
          <w:color w:val="auto"/>
          <w:kern w:val="2"/>
          <w:sz w:val="21"/>
          <w:szCs w:val="21"/>
          <w:highlight w:val="none"/>
          <w:lang w:val="en-US" w:eastAsia="zh-CN" w:bidi="ar-SA"/>
        </w:rPr>
        <w:t>；</w:t>
      </w:r>
    </w:p>
    <w:p w14:paraId="0FC23DB0">
      <w:pPr>
        <w:pStyle w:val="15"/>
        <w:keepNext w:val="0"/>
        <w:keepLines w:val="0"/>
        <w:pageBreakBefore w:val="0"/>
        <w:numPr>
          <w:ilvl w:val="0"/>
          <w:numId w:val="0"/>
        </w:numPr>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三档（7分）:</w:t>
      </w:r>
      <w:r>
        <w:rPr>
          <w:rFonts w:hint="eastAsia" w:hAnsi="宋体" w:cs="宋体"/>
          <w:b w:val="0"/>
          <w:bCs w:val="0"/>
          <w:color w:val="auto"/>
          <w:kern w:val="2"/>
          <w:sz w:val="21"/>
          <w:szCs w:val="21"/>
          <w:highlight w:val="none"/>
          <w:lang w:val="en-US" w:eastAsia="zh-CN" w:bidi="ar-SA"/>
        </w:rPr>
        <w:t>四</w:t>
      </w:r>
      <w:r>
        <w:rPr>
          <w:rFonts w:hint="eastAsia" w:ascii="宋体" w:hAnsi="宋体" w:eastAsia="宋体" w:cs="宋体"/>
          <w:b w:val="0"/>
          <w:bCs w:val="0"/>
          <w:color w:val="auto"/>
          <w:kern w:val="2"/>
          <w:sz w:val="21"/>
          <w:szCs w:val="21"/>
          <w:highlight w:val="none"/>
          <w:lang w:val="en-US" w:eastAsia="zh-CN" w:bidi="ar-SA"/>
        </w:rPr>
        <w:t>项评审因素经评审有三项</w:t>
      </w:r>
      <w:r>
        <w:rPr>
          <w:rFonts w:hint="eastAsia" w:ascii="宋体" w:hAnsi="宋体" w:cs="宋体"/>
          <w:color w:val="auto"/>
          <w:sz w:val="21"/>
          <w:szCs w:val="21"/>
          <w:highlight w:val="none"/>
        </w:rPr>
        <w:t>内容经评审合理、可行且针对性</w:t>
      </w:r>
      <w:r>
        <w:rPr>
          <w:rFonts w:hint="eastAsia" w:ascii="宋体" w:hAnsi="宋体" w:cs="宋体"/>
          <w:color w:val="auto"/>
          <w:sz w:val="21"/>
          <w:szCs w:val="21"/>
          <w:highlight w:val="none"/>
          <w:lang w:eastAsia="zh-CN"/>
        </w:rPr>
        <w:t>强</w:t>
      </w:r>
      <w:r>
        <w:rPr>
          <w:rFonts w:hint="eastAsia" w:ascii="宋体" w:hAnsi="宋体" w:cs="宋体"/>
          <w:color w:val="auto"/>
          <w:sz w:val="21"/>
          <w:szCs w:val="21"/>
          <w:highlight w:val="none"/>
        </w:rPr>
        <w:t>的</w:t>
      </w:r>
      <w:r>
        <w:rPr>
          <w:rFonts w:hint="eastAsia" w:ascii="宋体" w:hAnsi="宋体" w:eastAsia="宋体" w:cs="宋体"/>
          <w:b w:val="0"/>
          <w:bCs w:val="0"/>
          <w:color w:val="auto"/>
          <w:kern w:val="2"/>
          <w:sz w:val="21"/>
          <w:szCs w:val="21"/>
          <w:highlight w:val="none"/>
          <w:lang w:val="en-US" w:eastAsia="zh-CN" w:bidi="ar-SA"/>
        </w:rPr>
        <w:t>；</w:t>
      </w:r>
    </w:p>
    <w:p w14:paraId="580391F7">
      <w:pPr>
        <w:spacing w:line="360" w:lineRule="auto"/>
        <w:ind w:firstLine="420" w:firstLineChars="20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四档（10分）:</w:t>
      </w:r>
      <w:r>
        <w:rPr>
          <w:rFonts w:hint="eastAsia" w:hAnsi="宋体" w:cs="宋体"/>
          <w:b w:val="0"/>
          <w:bCs w:val="0"/>
          <w:color w:val="auto"/>
          <w:kern w:val="2"/>
          <w:sz w:val="21"/>
          <w:szCs w:val="21"/>
          <w:highlight w:val="none"/>
          <w:lang w:val="en-US" w:eastAsia="zh-CN" w:bidi="ar-SA"/>
        </w:rPr>
        <w:t>四</w:t>
      </w:r>
      <w:r>
        <w:rPr>
          <w:rFonts w:hint="eastAsia" w:ascii="宋体" w:hAnsi="宋体" w:eastAsia="宋体" w:cs="宋体"/>
          <w:b w:val="0"/>
          <w:bCs w:val="0"/>
          <w:color w:val="auto"/>
          <w:kern w:val="2"/>
          <w:sz w:val="21"/>
          <w:szCs w:val="21"/>
          <w:highlight w:val="none"/>
          <w:lang w:val="en-US" w:eastAsia="zh-CN" w:bidi="ar-SA"/>
        </w:rPr>
        <w:t>项评审因素经评审有四项</w:t>
      </w:r>
      <w:r>
        <w:rPr>
          <w:rFonts w:hint="eastAsia" w:ascii="宋体" w:hAnsi="宋体" w:cs="宋体"/>
          <w:color w:val="auto"/>
          <w:sz w:val="21"/>
          <w:szCs w:val="21"/>
          <w:highlight w:val="none"/>
        </w:rPr>
        <w:t>内容经评审合理、可行且针对性</w:t>
      </w:r>
      <w:r>
        <w:rPr>
          <w:rFonts w:hint="eastAsia" w:ascii="宋体" w:hAnsi="宋体" w:cs="宋体"/>
          <w:color w:val="auto"/>
          <w:sz w:val="21"/>
          <w:szCs w:val="21"/>
          <w:highlight w:val="none"/>
          <w:lang w:eastAsia="zh-CN"/>
        </w:rPr>
        <w:t>强</w:t>
      </w:r>
      <w:r>
        <w:rPr>
          <w:rFonts w:hint="eastAsia" w:ascii="宋体" w:hAnsi="宋体" w:cs="宋体"/>
          <w:color w:val="auto"/>
          <w:sz w:val="21"/>
          <w:szCs w:val="21"/>
          <w:highlight w:val="none"/>
        </w:rPr>
        <w:t>的</w:t>
      </w:r>
      <w:r>
        <w:rPr>
          <w:rFonts w:hint="eastAsia" w:ascii="宋体" w:hAnsi="宋体" w:eastAsia="宋体" w:cs="宋体"/>
          <w:b w:val="0"/>
          <w:bCs w:val="0"/>
          <w:color w:val="auto"/>
          <w:kern w:val="2"/>
          <w:sz w:val="21"/>
          <w:szCs w:val="21"/>
          <w:highlight w:val="none"/>
          <w:lang w:val="en-US" w:eastAsia="zh-CN" w:bidi="ar-SA"/>
        </w:rPr>
        <w:t>；</w:t>
      </w:r>
    </w:p>
    <w:p w14:paraId="094F8C38">
      <w:pPr>
        <w:spacing w:line="360" w:lineRule="auto"/>
        <w:ind w:firstLine="422" w:firstLineChars="200"/>
        <w:rPr>
          <w:rFonts w:hint="eastAsia" w:ascii="宋体" w:hAnsi="宋体" w:eastAsia="宋体" w:cs="宋体"/>
          <w:b/>
          <w:bCs w:val="0"/>
          <w:color w:val="auto"/>
          <w:sz w:val="21"/>
          <w:szCs w:val="21"/>
          <w:highlight w:val="none"/>
          <w:lang w:val="en-US" w:eastAsia="zh-CN"/>
        </w:rPr>
      </w:pPr>
      <w:r>
        <w:rPr>
          <w:rFonts w:hint="eastAsia" w:ascii="宋体" w:hAnsi="宋体" w:cs="宋体"/>
          <w:b/>
          <w:bCs/>
          <w:color w:val="auto"/>
          <w:szCs w:val="21"/>
          <w:highlight w:val="none"/>
          <w:lang w:val="en-US" w:eastAsia="zh-CN"/>
        </w:rPr>
        <w:t>注：未提供的不予计分。</w:t>
      </w:r>
    </w:p>
    <w:p w14:paraId="5196FB27">
      <w:pPr>
        <w:pStyle w:val="15"/>
        <w:pageBreakBefore w:val="0"/>
        <w:widowControl w:val="0"/>
        <w:tabs>
          <w:tab w:val="left" w:pos="8820"/>
        </w:tabs>
        <w:kinsoku/>
        <w:wordWrap/>
        <w:overflowPunct/>
        <w:topLinePunct w:val="0"/>
        <w:autoSpaceDN/>
        <w:bidi w:val="0"/>
        <w:spacing w:line="440" w:lineRule="exact"/>
        <w:ind w:firstLine="422" w:firstLineChars="200"/>
        <w:jc w:val="left"/>
        <w:textAlignment w:val="auto"/>
        <w:outlineLvl w:val="0"/>
        <w:rPr>
          <w:rFonts w:hint="eastAsia"/>
          <w:b/>
          <w:color w:val="auto"/>
          <w:highlight w:val="none"/>
        </w:rPr>
      </w:pPr>
      <w:r>
        <w:rPr>
          <w:rFonts w:hint="eastAsia"/>
          <w:b/>
          <w:color w:val="auto"/>
          <w:highlight w:val="none"/>
          <w:lang w:val="en-US" w:eastAsia="zh-CN"/>
        </w:rPr>
        <w:t>4、后续服务和其它优化措施</w:t>
      </w:r>
      <w:r>
        <w:rPr>
          <w:rFonts w:hint="eastAsia" w:hAnsi="宋体" w:cs="宋体"/>
          <w:b/>
          <w:bCs/>
          <w:color w:val="auto"/>
          <w:highlight w:val="none"/>
        </w:rPr>
        <w:t>……………………………………………………………………</w:t>
      </w:r>
      <w:r>
        <w:rPr>
          <w:rFonts w:hint="eastAsia" w:hAnsi="宋体" w:cs="宋体"/>
          <w:b/>
          <w:bCs/>
          <w:color w:val="auto"/>
          <w:highlight w:val="none"/>
          <w:lang w:val="en-US" w:eastAsia="zh-CN"/>
        </w:rPr>
        <w:t>10</w:t>
      </w:r>
      <w:r>
        <w:rPr>
          <w:b/>
          <w:color w:val="auto"/>
          <w:highlight w:val="none"/>
        </w:rPr>
        <w:t>分</w:t>
      </w:r>
    </w:p>
    <w:p w14:paraId="3C9E902E">
      <w:pPr>
        <w:pageBreakBefore w:val="0"/>
        <w:widowControl w:val="0"/>
        <w:kinsoku/>
        <w:wordWrap/>
        <w:overflowPunct/>
        <w:topLinePunct w:val="0"/>
        <w:autoSpaceDN/>
        <w:bidi w:val="0"/>
        <w:spacing w:line="44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由磋商小组根据</w:t>
      </w:r>
      <w:r>
        <w:rPr>
          <w:rFonts w:hint="eastAsia" w:ascii="宋体" w:hAnsi="宋体" w:cs="宋体"/>
          <w:color w:val="auto"/>
          <w:sz w:val="21"/>
          <w:szCs w:val="21"/>
          <w:highlight w:val="none"/>
          <w:lang w:val="en-US" w:eastAsia="zh-CN"/>
        </w:rPr>
        <w:t>供应商</w:t>
      </w:r>
      <w:r>
        <w:rPr>
          <w:rFonts w:hint="eastAsia" w:ascii="宋体" w:hAnsi="宋体" w:cs="宋体"/>
          <w:color w:val="auto"/>
          <w:sz w:val="21"/>
          <w:szCs w:val="21"/>
          <w:highlight w:val="none"/>
        </w:rPr>
        <w:t>提供的“</w:t>
      </w:r>
      <w:r>
        <w:rPr>
          <w:rFonts w:hint="eastAsia" w:ascii="宋体" w:hAnsi="宋体" w:cs="宋体"/>
          <w:color w:val="auto"/>
          <w:sz w:val="21"/>
          <w:szCs w:val="21"/>
          <w:highlight w:val="none"/>
          <w:lang w:val="en-US" w:eastAsia="zh-CN"/>
        </w:rPr>
        <w:t>后续服务和其它优化措施</w:t>
      </w:r>
      <w:r>
        <w:rPr>
          <w:rFonts w:hint="eastAsia" w:ascii="宋体" w:hAnsi="宋体" w:cs="宋体"/>
          <w:color w:val="auto"/>
          <w:sz w:val="21"/>
          <w:szCs w:val="21"/>
          <w:highlight w:val="none"/>
        </w:rPr>
        <w:t>”内容，</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包括</w:t>
      </w:r>
      <w:r>
        <w:rPr>
          <w:rFonts w:hint="eastAsia" w:ascii="宋体" w:hAnsi="宋体" w:cs="宋体"/>
          <w:color w:val="auto"/>
          <w:sz w:val="21"/>
          <w:szCs w:val="21"/>
          <w:highlight w:val="none"/>
          <w:lang w:val="en-US" w:eastAsia="zh-CN"/>
        </w:rPr>
        <w:t>但不限于</w:t>
      </w:r>
      <w:r>
        <w:rPr>
          <w:rFonts w:hint="eastAsia" w:ascii="宋体" w:hAnsi="宋体" w:cs="宋体"/>
          <w:color w:val="auto"/>
          <w:sz w:val="21"/>
          <w:szCs w:val="21"/>
          <w:highlight w:val="none"/>
        </w:rPr>
        <w:t>:</w:t>
      </w:r>
      <w:r>
        <w:rPr>
          <w:rFonts w:hint="default" w:ascii="宋体" w:hAnsi="宋体" w:cs="宋体"/>
          <w:color w:val="auto"/>
          <w:sz w:val="21"/>
          <w:szCs w:val="21"/>
          <w:highlight w:val="none"/>
        </w:rPr>
        <w:t>①</w:t>
      </w:r>
      <w:r>
        <w:rPr>
          <w:rFonts w:hint="default" w:ascii="宋体" w:hAnsi="宋体" w:cs="宋体"/>
          <w:color w:val="auto"/>
          <w:sz w:val="21"/>
          <w:szCs w:val="21"/>
          <w:highlight w:val="none"/>
          <w:lang w:val="en-US" w:eastAsia="zh-CN"/>
        </w:rPr>
        <w:t>承诺免费提供各种与项目成果使用有关的技术培训</w:t>
      </w:r>
      <w:r>
        <w:rPr>
          <w:rFonts w:hint="eastAsia" w:ascii="宋体" w:hAnsi="宋体" w:cs="宋体"/>
          <w:color w:val="auto"/>
          <w:sz w:val="21"/>
          <w:szCs w:val="21"/>
          <w:highlight w:val="none"/>
        </w:rPr>
        <w:t>；</w:t>
      </w:r>
      <w:r>
        <w:rPr>
          <w:rFonts w:hint="default" w:ascii="宋体" w:hAnsi="宋体" w:cs="宋体"/>
          <w:color w:val="auto"/>
          <w:sz w:val="21"/>
          <w:szCs w:val="21"/>
          <w:highlight w:val="none"/>
        </w:rPr>
        <w:t>②</w:t>
      </w:r>
      <w:r>
        <w:rPr>
          <w:rFonts w:hint="eastAsia" w:ascii="宋体" w:hAnsi="宋体" w:cs="宋体"/>
          <w:color w:val="auto"/>
          <w:sz w:val="21"/>
          <w:szCs w:val="21"/>
          <w:highlight w:val="none"/>
          <w:lang w:val="en-US" w:eastAsia="zh-CN"/>
        </w:rPr>
        <w:t>承诺免费提供后续服务（含技术培训）2年以上</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③承诺中标后在桂林市内配备常驻的后续服务技术人员，承诺应采购人需求响应时间在1天内到达现场</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④完整、详细的售后服务方案。</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进行评审并打分。</w:t>
      </w:r>
    </w:p>
    <w:p w14:paraId="3845FF91">
      <w:pPr>
        <w:pStyle w:val="15"/>
        <w:keepNext w:val="0"/>
        <w:keepLines w:val="0"/>
        <w:pageBreakBefore w:val="0"/>
        <w:numPr>
          <w:ilvl w:val="0"/>
          <w:numId w:val="0"/>
        </w:numPr>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一档（</w:t>
      </w:r>
      <w:r>
        <w:rPr>
          <w:rFonts w:hint="eastAsia" w:hAnsi="宋体" w:cs="宋体"/>
          <w:b w:val="0"/>
          <w:bCs w:val="0"/>
          <w:color w:val="auto"/>
          <w:kern w:val="2"/>
          <w:sz w:val="21"/>
          <w:szCs w:val="21"/>
          <w:highlight w:val="none"/>
          <w:lang w:val="en-US" w:eastAsia="zh-CN" w:bidi="ar-SA"/>
        </w:rPr>
        <w:t>1分</w:t>
      </w:r>
      <w:r>
        <w:rPr>
          <w:rFonts w:hint="eastAsia" w:ascii="宋体" w:hAnsi="宋体" w:eastAsia="宋体" w:cs="宋体"/>
          <w:b w:val="0"/>
          <w:bCs w:val="0"/>
          <w:color w:val="auto"/>
          <w:kern w:val="2"/>
          <w:sz w:val="21"/>
          <w:szCs w:val="21"/>
          <w:highlight w:val="none"/>
          <w:lang w:val="en-US" w:eastAsia="zh-CN" w:bidi="ar-SA"/>
        </w:rPr>
        <w:t>）:</w:t>
      </w:r>
      <w:r>
        <w:rPr>
          <w:rFonts w:hint="eastAsia" w:hAnsi="宋体" w:cs="宋体"/>
          <w:b w:val="0"/>
          <w:bCs w:val="0"/>
          <w:color w:val="auto"/>
          <w:kern w:val="2"/>
          <w:sz w:val="21"/>
          <w:szCs w:val="21"/>
          <w:highlight w:val="none"/>
          <w:lang w:val="en-US" w:eastAsia="zh-CN" w:bidi="ar-SA"/>
        </w:rPr>
        <w:t>四</w:t>
      </w:r>
      <w:r>
        <w:rPr>
          <w:rFonts w:hint="eastAsia" w:ascii="宋体" w:hAnsi="宋体" w:eastAsia="宋体" w:cs="宋体"/>
          <w:b w:val="0"/>
          <w:bCs w:val="0"/>
          <w:color w:val="auto"/>
          <w:kern w:val="2"/>
          <w:sz w:val="21"/>
          <w:szCs w:val="21"/>
          <w:highlight w:val="none"/>
          <w:lang w:val="en-US" w:eastAsia="zh-CN" w:bidi="ar-SA"/>
        </w:rPr>
        <w:t>项评审因素经评审有一项</w:t>
      </w:r>
      <w:r>
        <w:rPr>
          <w:rFonts w:hint="eastAsia" w:ascii="宋体" w:hAnsi="宋体" w:cs="宋体"/>
          <w:color w:val="auto"/>
          <w:sz w:val="21"/>
          <w:szCs w:val="21"/>
          <w:highlight w:val="none"/>
        </w:rPr>
        <w:t>内容经评审合理、可行且针对性</w:t>
      </w:r>
      <w:r>
        <w:rPr>
          <w:rFonts w:hint="eastAsia" w:ascii="宋体" w:hAnsi="宋体" w:cs="宋体"/>
          <w:color w:val="auto"/>
          <w:sz w:val="21"/>
          <w:szCs w:val="21"/>
          <w:highlight w:val="none"/>
          <w:lang w:eastAsia="zh-CN"/>
        </w:rPr>
        <w:t>强</w:t>
      </w:r>
      <w:r>
        <w:rPr>
          <w:rFonts w:hint="eastAsia" w:ascii="宋体" w:hAnsi="宋体" w:cs="宋体"/>
          <w:color w:val="auto"/>
          <w:sz w:val="21"/>
          <w:szCs w:val="21"/>
          <w:highlight w:val="none"/>
        </w:rPr>
        <w:t>的</w:t>
      </w:r>
      <w:r>
        <w:rPr>
          <w:rFonts w:hint="eastAsia" w:ascii="宋体" w:hAnsi="宋体" w:eastAsia="宋体" w:cs="宋体"/>
          <w:b w:val="0"/>
          <w:bCs w:val="0"/>
          <w:color w:val="auto"/>
          <w:kern w:val="2"/>
          <w:sz w:val="21"/>
          <w:szCs w:val="21"/>
          <w:highlight w:val="none"/>
          <w:lang w:val="en-US" w:eastAsia="zh-CN" w:bidi="ar-SA"/>
        </w:rPr>
        <w:t>；</w:t>
      </w:r>
    </w:p>
    <w:p w14:paraId="5CAD4EC8">
      <w:pPr>
        <w:pStyle w:val="15"/>
        <w:keepNext w:val="0"/>
        <w:keepLines w:val="0"/>
        <w:pageBreakBefore w:val="0"/>
        <w:numPr>
          <w:ilvl w:val="0"/>
          <w:numId w:val="0"/>
        </w:numPr>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二档（</w:t>
      </w:r>
      <w:r>
        <w:rPr>
          <w:rFonts w:hint="eastAsia" w:hAnsi="宋体" w:cs="宋体"/>
          <w:b w:val="0"/>
          <w:bCs w:val="0"/>
          <w:color w:val="auto"/>
          <w:kern w:val="2"/>
          <w:sz w:val="21"/>
          <w:szCs w:val="21"/>
          <w:highlight w:val="none"/>
          <w:lang w:val="en-US" w:eastAsia="zh-CN" w:bidi="ar-SA"/>
        </w:rPr>
        <w:t>4分</w:t>
      </w:r>
      <w:r>
        <w:rPr>
          <w:rFonts w:hint="eastAsia" w:ascii="宋体" w:hAnsi="宋体" w:eastAsia="宋体" w:cs="宋体"/>
          <w:b w:val="0"/>
          <w:bCs w:val="0"/>
          <w:color w:val="auto"/>
          <w:kern w:val="2"/>
          <w:sz w:val="21"/>
          <w:szCs w:val="21"/>
          <w:highlight w:val="none"/>
          <w:lang w:val="en-US" w:eastAsia="zh-CN" w:bidi="ar-SA"/>
        </w:rPr>
        <w:t>）:</w:t>
      </w:r>
      <w:r>
        <w:rPr>
          <w:rFonts w:hint="eastAsia" w:hAnsi="宋体" w:cs="宋体"/>
          <w:b w:val="0"/>
          <w:bCs w:val="0"/>
          <w:color w:val="auto"/>
          <w:kern w:val="2"/>
          <w:sz w:val="21"/>
          <w:szCs w:val="21"/>
          <w:highlight w:val="none"/>
          <w:lang w:val="en-US" w:eastAsia="zh-CN" w:bidi="ar-SA"/>
        </w:rPr>
        <w:t>四</w:t>
      </w:r>
      <w:r>
        <w:rPr>
          <w:rFonts w:hint="eastAsia" w:ascii="宋体" w:hAnsi="宋体" w:eastAsia="宋体" w:cs="宋体"/>
          <w:b w:val="0"/>
          <w:bCs w:val="0"/>
          <w:color w:val="auto"/>
          <w:kern w:val="2"/>
          <w:sz w:val="21"/>
          <w:szCs w:val="21"/>
          <w:highlight w:val="none"/>
          <w:lang w:val="en-US" w:eastAsia="zh-CN" w:bidi="ar-SA"/>
        </w:rPr>
        <w:t>项评审因素经评审有二项</w:t>
      </w:r>
      <w:r>
        <w:rPr>
          <w:rFonts w:hint="eastAsia" w:ascii="宋体" w:hAnsi="宋体" w:cs="宋体"/>
          <w:color w:val="auto"/>
          <w:sz w:val="21"/>
          <w:szCs w:val="21"/>
          <w:highlight w:val="none"/>
        </w:rPr>
        <w:t>内容经评审合理、可行且针对性</w:t>
      </w:r>
      <w:r>
        <w:rPr>
          <w:rFonts w:hint="eastAsia" w:ascii="宋体" w:hAnsi="宋体" w:cs="宋体"/>
          <w:color w:val="auto"/>
          <w:sz w:val="21"/>
          <w:szCs w:val="21"/>
          <w:highlight w:val="none"/>
          <w:lang w:eastAsia="zh-CN"/>
        </w:rPr>
        <w:t>强</w:t>
      </w:r>
      <w:r>
        <w:rPr>
          <w:rFonts w:hint="eastAsia" w:ascii="宋体" w:hAnsi="宋体" w:cs="宋体"/>
          <w:color w:val="auto"/>
          <w:sz w:val="21"/>
          <w:szCs w:val="21"/>
          <w:highlight w:val="none"/>
        </w:rPr>
        <w:t>的</w:t>
      </w:r>
      <w:r>
        <w:rPr>
          <w:rFonts w:hint="eastAsia" w:ascii="宋体" w:hAnsi="宋体" w:eastAsia="宋体" w:cs="宋体"/>
          <w:b w:val="0"/>
          <w:bCs w:val="0"/>
          <w:color w:val="auto"/>
          <w:kern w:val="2"/>
          <w:sz w:val="21"/>
          <w:szCs w:val="21"/>
          <w:highlight w:val="none"/>
          <w:lang w:val="en-US" w:eastAsia="zh-CN" w:bidi="ar-SA"/>
        </w:rPr>
        <w:t>；</w:t>
      </w:r>
    </w:p>
    <w:p w14:paraId="77CDCA76">
      <w:pPr>
        <w:pStyle w:val="15"/>
        <w:keepNext w:val="0"/>
        <w:keepLines w:val="0"/>
        <w:pageBreakBefore w:val="0"/>
        <w:numPr>
          <w:ilvl w:val="0"/>
          <w:numId w:val="0"/>
        </w:numPr>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三档（</w:t>
      </w:r>
      <w:r>
        <w:rPr>
          <w:rFonts w:hint="eastAsia" w:hAnsi="宋体" w:cs="宋体"/>
          <w:b w:val="0"/>
          <w:bCs w:val="0"/>
          <w:color w:val="auto"/>
          <w:kern w:val="2"/>
          <w:sz w:val="21"/>
          <w:szCs w:val="21"/>
          <w:highlight w:val="none"/>
          <w:lang w:val="en-US" w:eastAsia="zh-CN" w:bidi="ar-SA"/>
        </w:rPr>
        <w:t>7分</w:t>
      </w:r>
      <w:r>
        <w:rPr>
          <w:rFonts w:hint="eastAsia" w:ascii="宋体" w:hAnsi="宋体" w:eastAsia="宋体" w:cs="宋体"/>
          <w:b w:val="0"/>
          <w:bCs w:val="0"/>
          <w:color w:val="auto"/>
          <w:kern w:val="2"/>
          <w:sz w:val="21"/>
          <w:szCs w:val="21"/>
          <w:highlight w:val="none"/>
          <w:lang w:val="en-US" w:eastAsia="zh-CN" w:bidi="ar-SA"/>
        </w:rPr>
        <w:t>）:</w:t>
      </w:r>
      <w:r>
        <w:rPr>
          <w:rFonts w:hint="eastAsia" w:hAnsi="宋体" w:cs="宋体"/>
          <w:b w:val="0"/>
          <w:bCs w:val="0"/>
          <w:color w:val="auto"/>
          <w:kern w:val="2"/>
          <w:sz w:val="21"/>
          <w:szCs w:val="21"/>
          <w:highlight w:val="none"/>
          <w:lang w:val="en-US" w:eastAsia="zh-CN" w:bidi="ar-SA"/>
        </w:rPr>
        <w:t>四</w:t>
      </w:r>
      <w:r>
        <w:rPr>
          <w:rFonts w:hint="eastAsia" w:ascii="宋体" w:hAnsi="宋体" w:eastAsia="宋体" w:cs="宋体"/>
          <w:b w:val="0"/>
          <w:bCs w:val="0"/>
          <w:color w:val="auto"/>
          <w:kern w:val="2"/>
          <w:sz w:val="21"/>
          <w:szCs w:val="21"/>
          <w:highlight w:val="none"/>
          <w:lang w:val="en-US" w:eastAsia="zh-CN" w:bidi="ar-SA"/>
        </w:rPr>
        <w:t>项评审因素经评审有三项</w:t>
      </w:r>
      <w:r>
        <w:rPr>
          <w:rFonts w:hint="eastAsia" w:ascii="宋体" w:hAnsi="宋体" w:cs="宋体"/>
          <w:color w:val="auto"/>
          <w:sz w:val="21"/>
          <w:szCs w:val="21"/>
          <w:highlight w:val="none"/>
        </w:rPr>
        <w:t>内容经评审合理、可行且针对性</w:t>
      </w:r>
      <w:r>
        <w:rPr>
          <w:rFonts w:hint="eastAsia" w:ascii="宋体" w:hAnsi="宋体" w:cs="宋体"/>
          <w:color w:val="auto"/>
          <w:sz w:val="21"/>
          <w:szCs w:val="21"/>
          <w:highlight w:val="none"/>
          <w:lang w:eastAsia="zh-CN"/>
        </w:rPr>
        <w:t>强</w:t>
      </w:r>
      <w:r>
        <w:rPr>
          <w:rFonts w:hint="eastAsia" w:ascii="宋体" w:hAnsi="宋体" w:cs="宋体"/>
          <w:color w:val="auto"/>
          <w:sz w:val="21"/>
          <w:szCs w:val="21"/>
          <w:highlight w:val="none"/>
        </w:rPr>
        <w:t>的</w:t>
      </w:r>
      <w:r>
        <w:rPr>
          <w:rFonts w:hint="eastAsia" w:ascii="宋体" w:hAnsi="宋体" w:eastAsia="宋体" w:cs="宋体"/>
          <w:b w:val="0"/>
          <w:bCs w:val="0"/>
          <w:color w:val="auto"/>
          <w:kern w:val="2"/>
          <w:sz w:val="21"/>
          <w:szCs w:val="21"/>
          <w:highlight w:val="none"/>
          <w:lang w:val="en-US" w:eastAsia="zh-CN" w:bidi="ar-SA"/>
        </w:rPr>
        <w:t>；</w:t>
      </w:r>
    </w:p>
    <w:p w14:paraId="26AF06F7">
      <w:pPr>
        <w:pStyle w:val="15"/>
        <w:keepNext w:val="0"/>
        <w:keepLines w:val="0"/>
        <w:pageBreakBefore w:val="0"/>
        <w:numPr>
          <w:ilvl w:val="0"/>
          <w:numId w:val="0"/>
        </w:numPr>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四档（</w:t>
      </w:r>
      <w:r>
        <w:rPr>
          <w:rFonts w:hint="eastAsia" w:hAnsi="宋体" w:cs="宋体"/>
          <w:b w:val="0"/>
          <w:bCs w:val="0"/>
          <w:color w:val="auto"/>
          <w:kern w:val="2"/>
          <w:sz w:val="21"/>
          <w:szCs w:val="21"/>
          <w:highlight w:val="none"/>
          <w:lang w:val="en-US" w:eastAsia="zh-CN" w:bidi="ar-SA"/>
        </w:rPr>
        <w:t>10分</w:t>
      </w:r>
      <w:r>
        <w:rPr>
          <w:rFonts w:hint="eastAsia" w:ascii="宋体" w:hAnsi="宋体" w:eastAsia="宋体" w:cs="宋体"/>
          <w:b w:val="0"/>
          <w:bCs w:val="0"/>
          <w:color w:val="auto"/>
          <w:kern w:val="2"/>
          <w:sz w:val="21"/>
          <w:szCs w:val="21"/>
          <w:highlight w:val="none"/>
          <w:lang w:val="en-US" w:eastAsia="zh-CN" w:bidi="ar-SA"/>
        </w:rPr>
        <w:t>）:</w:t>
      </w:r>
      <w:r>
        <w:rPr>
          <w:rFonts w:hint="eastAsia" w:hAnsi="宋体" w:cs="宋体"/>
          <w:b w:val="0"/>
          <w:bCs w:val="0"/>
          <w:color w:val="auto"/>
          <w:kern w:val="2"/>
          <w:sz w:val="21"/>
          <w:szCs w:val="21"/>
          <w:highlight w:val="none"/>
          <w:lang w:val="en-US" w:eastAsia="zh-CN" w:bidi="ar-SA"/>
        </w:rPr>
        <w:t>四</w:t>
      </w:r>
      <w:r>
        <w:rPr>
          <w:rFonts w:hint="eastAsia" w:ascii="宋体" w:hAnsi="宋体" w:eastAsia="宋体" w:cs="宋体"/>
          <w:b w:val="0"/>
          <w:bCs w:val="0"/>
          <w:color w:val="auto"/>
          <w:kern w:val="2"/>
          <w:sz w:val="21"/>
          <w:szCs w:val="21"/>
          <w:highlight w:val="none"/>
          <w:lang w:val="en-US" w:eastAsia="zh-CN" w:bidi="ar-SA"/>
        </w:rPr>
        <w:t>项评审因素经评审有四项</w:t>
      </w:r>
      <w:r>
        <w:rPr>
          <w:rFonts w:hint="eastAsia" w:ascii="宋体" w:hAnsi="宋体" w:cs="宋体"/>
          <w:color w:val="auto"/>
          <w:sz w:val="21"/>
          <w:szCs w:val="21"/>
          <w:highlight w:val="none"/>
        </w:rPr>
        <w:t>内容经评审合理、可行且针对性</w:t>
      </w:r>
      <w:r>
        <w:rPr>
          <w:rFonts w:hint="eastAsia" w:ascii="宋体" w:hAnsi="宋体" w:cs="宋体"/>
          <w:color w:val="auto"/>
          <w:sz w:val="21"/>
          <w:szCs w:val="21"/>
          <w:highlight w:val="none"/>
          <w:lang w:eastAsia="zh-CN"/>
        </w:rPr>
        <w:t>强</w:t>
      </w:r>
      <w:r>
        <w:rPr>
          <w:rFonts w:hint="eastAsia" w:ascii="宋体" w:hAnsi="宋体" w:cs="宋体"/>
          <w:color w:val="auto"/>
          <w:sz w:val="21"/>
          <w:szCs w:val="21"/>
          <w:highlight w:val="none"/>
        </w:rPr>
        <w:t>的</w:t>
      </w:r>
      <w:r>
        <w:rPr>
          <w:rFonts w:hint="eastAsia" w:ascii="宋体" w:hAnsi="宋体" w:eastAsia="宋体" w:cs="宋体"/>
          <w:b w:val="0"/>
          <w:bCs w:val="0"/>
          <w:color w:val="auto"/>
          <w:kern w:val="2"/>
          <w:sz w:val="21"/>
          <w:szCs w:val="21"/>
          <w:highlight w:val="none"/>
          <w:lang w:val="en-US" w:eastAsia="zh-CN" w:bidi="ar-SA"/>
        </w:rPr>
        <w:t>；</w:t>
      </w:r>
    </w:p>
    <w:p w14:paraId="325B886C">
      <w:pPr>
        <w:pStyle w:val="15"/>
        <w:keepNext w:val="0"/>
        <w:keepLines w:val="0"/>
        <w:pageBreakBefore w:val="0"/>
        <w:numPr>
          <w:ilvl w:val="0"/>
          <w:numId w:val="0"/>
        </w:numPr>
        <w:kinsoku/>
        <w:wordWrap/>
        <w:overflowPunct/>
        <w:topLinePunct w:val="0"/>
        <w:autoSpaceDE/>
        <w:autoSpaceDN/>
        <w:bidi w:val="0"/>
        <w:spacing w:line="420" w:lineRule="exact"/>
        <w:ind w:firstLine="422" w:firstLineChars="200"/>
        <w:jc w:val="left"/>
        <w:textAlignment w:val="auto"/>
        <w:rPr>
          <w:rFonts w:hint="eastAsia"/>
          <w:b/>
          <w:color w:val="auto"/>
          <w:highlight w:val="none"/>
          <w:lang w:val="en-US" w:eastAsia="zh-CN"/>
        </w:rPr>
      </w:pPr>
      <w:r>
        <w:rPr>
          <w:rFonts w:hint="eastAsia" w:ascii="宋体" w:hAnsi="宋体" w:cs="宋体"/>
          <w:b/>
          <w:bCs/>
          <w:color w:val="auto"/>
          <w:szCs w:val="21"/>
          <w:highlight w:val="none"/>
          <w:lang w:val="en-US" w:eastAsia="zh-CN"/>
        </w:rPr>
        <w:t>注：未提供的不予计分。</w:t>
      </w:r>
    </w:p>
    <w:p w14:paraId="68BB7615">
      <w:pPr>
        <w:pStyle w:val="15"/>
        <w:pageBreakBefore w:val="0"/>
        <w:widowControl w:val="0"/>
        <w:tabs>
          <w:tab w:val="left" w:pos="8820"/>
        </w:tabs>
        <w:kinsoku/>
        <w:wordWrap/>
        <w:overflowPunct/>
        <w:topLinePunct w:val="0"/>
        <w:autoSpaceDN/>
        <w:bidi w:val="0"/>
        <w:spacing w:line="440" w:lineRule="exact"/>
        <w:ind w:firstLine="422" w:firstLineChars="200"/>
        <w:jc w:val="left"/>
        <w:textAlignment w:val="auto"/>
        <w:outlineLvl w:val="0"/>
        <w:rPr>
          <w:rFonts w:hint="eastAsia"/>
          <w:b/>
          <w:color w:val="auto"/>
          <w:highlight w:val="none"/>
        </w:rPr>
      </w:pPr>
      <w:r>
        <w:rPr>
          <w:rFonts w:hint="eastAsia"/>
          <w:b/>
          <w:color w:val="auto"/>
          <w:highlight w:val="none"/>
          <w:lang w:val="en-US" w:eastAsia="zh-CN"/>
        </w:rPr>
        <w:t>5、项目生产管理方案和工期计划安排</w:t>
      </w:r>
      <w:r>
        <w:rPr>
          <w:rFonts w:hint="eastAsia" w:hAnsi="宋体" w:cs="宋体"/>
          <w:b/>
          <w:bCs/>
          <w:color w:val="auto"/>
          <w:highlight w:val="none"/>
        </w:rPr>
        <w:t>……………………………………………………………</w:t>
      </w:r>
      <w:r>
        <w:rPr>
          <w:rFonts w:hint="eastAsia" w:hAnsi="宋体" w:cs="宋体"/>
          <w:b/>
          <w:bCs/>
          <w:color w:val="auto"/>
          <w:highlight w:val="none"/>
          <w:lang w:val="en-US" w:eastAsia="zh-CN"/>
        </w:rPr>
        <w:t>10</w:t>
      </w:r>
      <w:r>
        <w:rPr>
          <w:b/>
          <w:color w:val="auto"/>
          <w:highlight w:val="none"/>
        </w:rPr>
        <w:t>分</w:t>
      </w:r>
    </w:p>
    <w:p w14:paraId="7BDAF4DE">
      <w:pPr>
        <w:pageBreakBefore w:val="0"/>
        <w:widowControl w:val="0"/>
        <w:kinsoku/>
        <w:wordWrap/>
        <w:overflowPunct/>
        <w:topLinePunct w:val="0"/>
        <w:autoSpaceDN/>
        <w:bidi w:val="0"/>
        <w:spacing w:line="44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由磋商小组根据</w:t>
      </w:r>
      <w:r>
        <w:rPr>
          <w:rFonts w:hint="eastAsia" w:ascii="宋体" w:hAnsi="宋体" w:cs="宋体"/>
          <w:color w:val="auto"/>
          <w:sz w:val="21"/>
          <w:szCs w:val="21"/>
          <w:highlight w:val="none"/>
          <w:lang w:val="en-US" w:eastAsia="zh-CN"/>
        </w:rPr>
        <w:t>供应商</w:t>
      </w:r>
      <w:r>
        <w:rPr>
          <w:rFonts w:hint="eastAsia" w:ascii="宋体" w:hAnsi="宋体" w:cs="宋体"/>
          <w:color w:val="auto"/>
          <w:sz w:val="21"/>
          <w:szCs w:val="21"/>
          <w:highlight w:val="none"/>
        </w:rPr>
        <w:t>提供的“</w:t>
      </w:r>
      <w:r>
        <w:rPr>
          <w:rFonts w:hint="eastAsia" w:ascii="宋体" w:hAnsi="宋体" w:cs="宋体"/>
          <w:color w:val="auto"/>
          <w:sz w:val="21"/>
          <w:szCs w:val="21"/>
          <w:highlight w:val="none"/>
          <w:lang w:val="en-US" w:eastAsia="zh-CN"/>
        </w:rPr>
        <w:t>项目生产管理方案和工期计划安排</w:t>
      </w:r>
      <w:r>
        <w:rPr>
          <w:rFonts w:hint="eastAsia" w:ascii="宋体" w:hAnsi="宋体" w:cs="宋体"/>
          <w:color w:val="auto"/>
          <w:sz w:val="21"/>
          <w:szCs w:val="21"/>
          <w:highlight w:val="none"/>
        </w:rPr>
        <w:t>”内容，</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包括</w:t>
      </w:r>
      <w:r>
        <w:rPr>
          <w:rFonts w:hint="eastAsia" w:ascii="宋体" w:hAnsi="宋体" w:cs="宋体"/>
          <w:color w:val="auto"/>
          <w:sz w:val="21"/>
          <w:szCs w:val="21"/>
          <w:highlight w:val="none"/>
          <w:lang w:val="en-US" w:eastAsia="zh-CN"/>
        </w:rPr>
        <w:t>但不限于</w:t>
      </w:r>
      <w:r>
        <w:rPr>
          <w:rFonts w:hint="eastAsia" w:ascii="宋体" w:hAnsi="宋体" w:cs="宋体"/>
          <w:color w:val="auto"/>
          <w:sz w:val="21"/>
          <w:szCs w:val="21"/>
          <w:highlight w:val="none"/>
        </w:rPr>
        <w:t>:</w:t>
      </w:r>
      <w:r>
        <w:rPr>
          <w:rFonts w:hint="default" w:ascii="宋体" w:hAnsi="宋体" w:cs="宋体"/>
          <w:color w:val="auto"/>
          <w:sz w:val="21"/>
          <w:szCs w:val="21"/>
          <w:highlight w:val="none"/>
        </w:rPr>
        <w:t>①</w:t>
      </w:r>
      <w:r>
        <w:rPr>
          <w:rFonts w:hint="default" w:ascii="宋体" w:hAnsi="宋体" w:cs="宋体"/>
          <w:color w:val="auto"/>
          <w:sz w:val="21"/>
          <w:szCs w:val="21"/>
          <w:highlight w:val="none"/>
          <w:lang w:val="en-US" w:eastAsia="zh-CN"/>
        </w:rPr>
        <w:t>明确的管理机构和岗位职责</w:t>
      </w:r>
      <w:r>
        <w:rPr>
          <w:rFonts w:hint="eastAsia" w:ascii="宋体" w:hAnsi="宋体" w:cs="宋体"/>
          <w:color w:val="auto"/>
          <w:sz w:val="21"/>
          <w:szCs w:val="21"/>
          <w:highlight w:val="none"/>
        </w:rPr>
        <w:t>；</w:t>
      </w:r>
      <w:r>
        <w:rPr>
          <w:rFonts w:hint="default" w:ascii="宋体" w:hAnsi="宋体" w:cs="宋体"/>
          <w:color w:val="auto"/>
          <w:sz w:val="21"/>
          <w:szCs w:val="21"/>
          <w:highlight w:val="none"/>
        </w:rPr>
        <w:t>②</w:t>
      </w:r>
      <w:r>
        <w:rPr>
          <w:rFonts w:hint="default" w:ascii="宋体" w:hAnsi="宋体" w:cs="宋体"/>
          <w:color w:val="auto"/>
          <w:sz w:val="21"/>
          <w:szCs w:val="21"/>
          <w:highlight w:val="none"/>
          <w:lang w:val="en-US" w:eastAsia="zh-CN"/>
        </w:rPr>
        <w:t>各项工作计划和工期安排</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③有明确的相关岗位人员，有明确的生产和技术管理机构及人员。】进行评审并打</w:t>
      </w:r>
      <w:r>
        <w:rPr>
          <w:rFonts w:hint="eastAsia" w:ascii="宋体" w:hAnsi="宋体" w:cs="宋体"/>
          <w:color w:val="auto"/>
          <w:sz w:val="21"/>
          <w:szCs w:val="21"/>
          <w:highlight w:val="none"/>
        </w:rPr>
        <w:t>分。</w:t>
      </w:r>
    </w:p>
    <w:p w14:paraId="5404FFAD">
      <w:pPr>
        <w:pStyle w:val="15"/>
        <w:keepNext w:val="0"/>
        <w:keepLines w:val="0"/>
        <w:pageBreakBefore w:val="0"/>
        <w:numPr>
          <w:ilvl w:val="0"/>
          <w:numId w:val="0"/>
        </w:numPr>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一档（</w:t>
      </w:r>
      <w:r>
        <w:rPr>
          <w:rFonts w:hint="eastAsia" w:hAnsi="宋体" w:cs="宋体"/>
          <w:b w:val="0"/>
          <w:bCs w:val="0"/>
          <w:color w:val="auto"/>
          <w:kern w:val="2"/>
          <w:sz w:val="21"/>
          <w:szCs w:val="21"/>
          <w:highlight w:val="none"/>
          <w:lang w:val="en-US" w:eastAsia="zh-CN" w:bidi="ar-SA"/>
        </w:rPr>
        <w:t>4</w:t>
      </w:r>
      <w:r>
        <w:rPr>
          <w:rFonts w:hint="eastAsia" w:ascii="宋体" w:hAnsi="宋体" w:eastAsia="宋体" w:cs="宋体"/>
          <w:b w:val="0"/>
          <w:bCs w:val="0"/>
          <w:color w:val="auto"/>
          <w:kern w:val="2"/>
          <w:sz w:val="21"/>
          <w:szCs w:val="21"/>
          <w:highlight w:val="none"/>
          <w:lang w:val="en-US" w:eastAsia="zh-CN" w:bidi="ar-SA"/>
        </w:rPr>
        <w:t>分）:</w:t>
      </w:r>
      <w:r>
        <w:rPr>
          <w:rFonts w:hint="eastAsia" w:hAnsi="宋体" w:cs="宋体"/>
          <w:b w:val="0"/>
          <w:bCs w:val="0"/>
          <w:color w:val="auto"/>
          <w:kern w:val="2"/>
          <w:sz w:val="21"/>
          <w:szCs w:val="21"/>
          <w:highlight w:val="none"/>
          <w:lang w:val="en-US" w:eastAsia="zh-CN" w:bidi="ar-SA"/>
        </w:rPr>
        <w:t>三</w:t>
      </w:r>
      <w:r>
        <w:rPr>
          <w:rFonts w:hint="eastAsia" w:ascii="宋体" w:hAnsi="宋体" w:eastAsia="宋体" w:cs="宋体"/>
          <w:b w:val="0"/>
          <w:bCs w:val="0"/>
          <w:color w:val="auto"/>
          <w:kern w:val="2"/>
          <w:sz w:val="21"/>
          <w:szCs w:val="21"/>
          <w:highlight w:val="none"/>
          <w:lang w:val="en-US" w:eastAsia="zh-CN" w:bidi="ar-SA"/>
        </w:rPr>
        <w:t>项评审因素经评审有一项</w:t>
      </w:r>
      <w:r>
        <w:rPr>
          <w:rFonts w:hint="eastAsia" w:ascii="宋体" w:hAnsi="宋体" w:cs="宋体"/>
          <w:color w:val="auto"/>
          <w:sz w:val="21"/>
          <w:szCs w:val="21"/>
          <w:highlight w:val="none"/>
        </w:rPr>
        <w:t>内容经评审合理、可行且针对性</w:t>
      </w:r>
      <w:r>
        <w:rPr>
          <w:rFonts w:hint="eastAsia" w:ascii="宋体" w:hAnsi="宋体" w:cs="宋体"/>
          <w:color w:val="auto"/>
          <w:sz w:val="21"/>
          <w:szCs w:val="21"/>
          <w:highlight w:val="none"/>
          <w:lang w:eastAsia="zh-CN"/>
        </w:rPr>
        <w:t>强</w:t>
      </w:r>
      <w:r>
        <w:rPr>
          <w:rFonts w:hint="eastAsia" w:ascii="宋体" w:hAnsi="宋体" w:cs="宋体"/>
          <w:color w:val="auto"/>
          <w:sz w:val="21"/>
          <w:szCs w:val="21"/>
          <w:highlight w:val="none"/>
        </w:rPr>
        <w:t>的</w:t>
      </w:r>
      <w:r>
        <w:rPr>
          <w:rFonts w:hint="eastAsia" w:ascii="宋体" w:hAnsi="宋体" w:eastAsia="宋体" w:cs="宋体"/>
          <w:b w:val="0"/>
          <w:bCs w:val="0"/>
          <w:color w:val="auto"/>
          <w:kern w:val="2"/>
          <w:sz w:val="21"/>
          <w:szCs w:val="21"/>
          <w:highlight w:val="none"/>
          <w:lang w:val="en-US" w:eastAsia="zh-CN" w:bidi="ar-SA"/>
        </w:rPr>
        <w:t>；</w:t>
      </w:r>
    </w:p>
    <w:p w14:paraId="62C9D7DA">
      <w:pPr>
        <w:pStyle w:val="15"/>
        <w:keepNext w:val="0"/>
        <w:keepLines w:val="0"/>
        <w:pageBreakBefore w:val="0"/>
        <w:numPr>
          <w:ilvl w:val="0"/>
          <w:numId w:val="0"/>
        </w:numPr>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二档（</w:t>
      </w:r>
      <w:r>
        <w:rPr>
          <w:rFonts w:hint="eastAsia" w:hAnsi="宋体" w:cs="宋体"/>
          <w:b w:val="0"/>
          <w:bCs w:val="0"/>
          <w:color w:val="auto"/>
          <w:kern w:val="2"/>
          <w:sz w:val="21"/>
          <w:szCs w:val="21"/>
          <w:highlight w:val="none"/>
          <w:lang w:val="en-US" w:eastAsia="zh-CN" w:bidi="ar-SA"/>
        </w:rPr>
        <w:t>7</w:t>
      </w:r>
      <w:r>
        <w:rPr>
          <w:rFonts w:hint="eastAsia" w:ascii="宋体" w:hAnsi="宋体" w:eastAsia="宋体" w:cs="宋体"/>
          <w:b w:val="0"/>
          <w:bCs w:val="0"/>
          <w:color w:val="auto"/>
          <w:kern w:val="2"/>
          <w:sz w:val="21"/>
          <w:szCs w:val="21"/>
          <w:highlight w:val="none"/>
          <w:lang w:val="en-US" w:eastAsia="zh-CN" w:bidi="ar-SA"/>
        </w:rPr>
        <w:t>分）:</w:t>
      </w:r>
      <w:r>
        <w:rPr>
          <w:rFonts w:hint="eastAsia" w:hAnsi="宋体" w:cs="宋体"/>
          <w:b w:val="0"/>
          <w:bCs w:val="0"/>
          <w:color w:val="auto"/>
          <w:kern w:val="2"/>
          <w:sz w:val="21"/>
          <w:szCs w:val="21"/>
          <w:highlight w:val="none"/>
          <w:lang w:val="en-US" w:eastAsia="zh-CN" w:bidi="ar-SA"/>
        </w:rPr>
        <w:t>三</w:t>
      </w:r>
      <w:r>
        <w:rPr>
          <w:rFonts w:hint="eastAsia" w:ascii="宋体" w:hAnsi="宋体" w:eastAsia="宋体" w:cs="宋体"/>
          <w:b w:val="0"/>
          <w:bCs w:val="0"/>
          <w:color w:val="auto"/>
          <w:kern w:val="2"/>
          <w:sz w:val="21"/>
          <w:szCs w:val="21"/>
          <w:highlight w:val="none"/>
          <w:lang w:val="en-US" w:eastAsia="zh-CN" w:bidi="ar-SA"/>
        </w:rPr>
        <w:t>项评审因素经评审有二项</w:t>
      </w:r>
      <w:r>
        <w:rPr>
          <w:rFonts w:hint="eastAsia" w:ascii="宋体" w:hAnsi="宋体" w:cs="宋体"/>
          <w:color w:val="auto"/>
          <w:sz w:val="21"/>
          <w:szCs w:val="21"/>
          <w:highlight w:val="none"/>
        </w:rPr>
        <w:t>内容经评审合理、可行且针对性</w:t>
      </w:r>
      <w:r>
        <w:rPr>
          <w:rFonts w:hint="eastAsia" w:ascii="宋体" w:hAnsi="宋体" w:cs="宋体"/>
          <w:color w:val="auto"/>
          <w:sz w:val="21"/>
          <w:szCs w:val="21"/>
          <w:highlight w:val="none"/>
          <w:lang w:eastAsia="zh-CN"/>
        </w:rPr>
        <w:t>强</w:t>
      </w:r>
      <w:r>
        <w:rPr>
          <w:rFonts w:hint="eastAsia" w:ascii="宋体" w:hAnsi="宋体" w:cs="宋体"/>
          <w:color w:val="auto"/>
          <w:sz w:val="21"/>
          <w:szCs w:val="21"/>
          <w:highlight w:val="none"/>
        </w:rPr>
        <w:t>的</w:t>
      </w:r>
      <w:r>
        <w:rPr>
          <w:rFonts w:hint="eastAsia" w:ascii="宋体" w:hAnsi="宋体" w:eastAsia="宋体" w:cs="宋体"/>
          <w:b w:val="0"/>
          <w:bCs w:val="0"/>
          <w:color w:val="auto"/>
          <w:kern w:val="2"/>
          <w:sz w:val="21"/>
          <w:szCs w:val="21"/>
          <w:highlight w:val="none"/>
          <w:lang w:val="en-US" w:eastAsia="zh-CN" w:bidi="ar-SA"/>
        </w:rPr>
        <w:t>；</w:t>
      </w:r>
    </w:p>
    <w:p w14:paraId="7ECDDA6B">
      <w:pPr>
        <w:pStyle w:val="15"/>
        <w:keepNext w:val="0"/>
        <w:keepLines w:val="0"/>
        <w:pageBreakBefore w:val="0"/>
        <w:numPr>
          <w:ilvl w:val="0"/>
          <w:numId w:val="0"/>
        </w:numPr>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三档（</w:t>
      </w:r>
      <w:r>
        <w:rPr>
          <w:rFonts w:hint="eastAsia" w:hAnsi="宋体" w:cs="宋体"/>
          <w:b w:val="0"/>
          <w:bCs w:val="0"/>
          <w:color w:val="auto"/>
          <w:kern w:val="2"/>
          <w:sz w:val="21"/>
          <w:szCs w:val="21"/>
          <w:highlight w:val="none"/>
          <w:lang w:val="en-US" w:eastAsia="zh-CN" w:bidi="ar-SA"/>
        </w:rPr>
        <w:t>10</w:t>
      </w:r>
      <w:r>
        <w:rPr>
          <w:rFonts w:hint="eastAsia" w:ascii="宋体" w:hAnsi="宋体" w:eastAsia="宋体" w:cs="宋体"/>
          <w:b w:val="0"/>
          <w:bCs w:val="0"/>
          <w:color w:val="auto"/>
          <w:kern w:val="2"/>
          <w:sz w:val="21"/>
          <w:szCs w:val="21"/>
          <w:highlight w:val="none"/>
          <w:lang w:val="en-US" w:eastAsia="zh-CN" w:bidi="ar-SA"/>
        </w:rPr>
        <w:t>分）:</w:t>
      </w:r>
      <w:r>
        <w:rPr>
          <w:rFonts w:hint="eastAsia" w:hAnsi="宋体" w:cs="宋体"/>
          <w:b w:val="0"/>
          <w:bCs w:val="0"/>
          <w:color w:val="auto"/>
          <w:kern w:val="2"/>
          <w:sz w:val="21"/>
          <w:szCs w:val="21"/>
          <w:highlight w:val="none"/>
          <w:lang w:val="en-US" w:eastAsia="zh-CN" w:bidi="ar-SA"/>
        </w:rPr>
        <w:t>三</w:t>
      </w:r>
      <w:r>
        <w:rPr>
          <w:rFonts w:hint="eastAsia" w:ascii="宋体" w:hAnsi="宋体" w:eastAsia="宋体" w:cs="宋体"/>
          <w:b w:val="0"/>
          <w:bCs w:val="0"/>
          <w:color w:val="auto"/>
          <w:kern w:val="2"/>
          <w:sz w:val="21"/>
          <w:szCs w:val="21"/>
          <w:highlight w:val="none"/>
          <w:lang w:val="en-US" w:eastAsia="zh-CN" w:bidi="ar-SA"/>
        </w:rPr>
        <w:t>项评审因素经评审有三项</w:t>
      </w:r>
      <w:r>
        <w:rPr>
          <w:rFonts w:hint="eastAsia" w:ascii="宋体" w:hAnsi="宋体" w:cs="宋体"/>
          <w:color w:val="auto"/>
          <w:sz w:val="21"/>
          <w:szCs w:val="21"/>
          <w:highlight w:val="none"/>
        </w:rPr>
        <w:t>内容经评审合理、可行且针对性</w:t>
      </w:r>
      <w:r>
        <w:rPr>
          <w:rFonts w:hint="eastAsia" w:ascii="宋体" w:hAnsi="宋体" w:cs="宋体"/>
          <w:color w:val="auto"/>
          <w:sz w:val="21"/>
          <w:szCs w:val="21"/>
          <w:highlight w:val="none"/>
          <w:lang w:eastAsia="zh-CN"/>
        </w:rPr>
        <w:t>强</w:t>
      </w:r>
      <w:r>
        <w:rPr>
          <w:rFonts w:hint="eastAsia" w:ascii="宋体" w:hAnsi="宋体" w:cs="宋体"/>
          <w:color w:val="auto"/>
          <w:sz w:val="21"/>
          <w:szCs w:val="21"/>
          <w:highlight w:val="none"/>
        </w:rPr>
        <w:t>的</w:t>
      </w:r>
      <w:r>
        <w:rPr>
          <w:rFonts w:hint="eastAsia" w:ascii="宋体" w:hAnsi="宋体" w:eastAsia="宋体" w:cs="宋体"/>
          <w:b w:val="0"/>
          <w:bCs w:val="0"/>
          <w:color w:val="auto"/>
          <w:kern w:val="2"/>
          <w:sz w:val="21"/>
          <w:szCs w:val="21"/>
          <w:highlight w:val="none"/>
          <w:lang w:val="en-US" w:eastAsia="zh-CN" w:bidi="ar-SA"/>
        </w:rPr>
        <w:t>；</w:t>
      </w:r>
    </w:p>
    <w:p w14:paraId="5F0ED432">
      <w:pPr>
        <w:pStyle w:val="15"/>
        <w:keepNext w:val="0"/>
        <w:keepLines w:val="0"/>
        <w:pageBreakBefore w:val="0"/>
        <w:numPr>
          <w:ilvl w:val="0"/>
          <w:numId w:val="0"/>
        </w:numPr>
        <w:kinsoku/>
        <w:wordWrap/>
        <w:overflowPunct/>
        <w:topLinePunct w:val="0"/>
        <w:autoSpaceDE/>
        <w:autoSpaceDN/>
        <w:bidi w:val="0"/>
        <w:spacing w:line="420" w:lineRule="exact"/>
        <w:ind w:firstLine="422" w:firstLineChars="200"/>
        <w:jc w:val="left"/>
        <w:textAlignment w:val="auto"/>
        <w:rPr>
          <w:rFonts w:hint="eastAsia" w:hAnsi="宋体" w:cs="宋体"/>
          <w:b w:val="0"/>
          <w:bCs w:val="0"/>
          <w:color w:val="auto"/>
          <w:kern w:val="2"/>
          <w:sz w:val="21"/>
          <w:szCs w:val="21"/>
          <w:highlight w:val="none"/>
          <w:lang w:val="en-US" w:eastAsia="zh-CN" w:bidi="ar-SA"/>
        </w:rPr>
      </w:pPr>
      <w:r>
        <w:rPr>
          <w:rFonts w:hint="eastAsia" w:ascii="宋体" w:hAnsi="宋体" w:cs="宋体"/>
          <w:b/>
          <w:bCs/>
          <w:color w:val="auto"/>
          <w:szCs w:val="21"/>
          <w:highlight w:val="none"/>
          <w:lang w:val="en-US" w:eastAsia="zh-CN"/>
        </w:rPr>
        <w:t>注：未提供的不予计分。</w:t>
      </w:r>
    </w:p>
    <w:p w14:paraId="0F503FE9">
      <w:pPr>
        <w:pStyle w:val="15"/>
        <w:spacing w:line="430" w:lineRule="exact"/>
        <w:ind w:left="105" w:leftChars="50" w:firstLine="333" w:firstLineChars="159"/>
        <w:jc w:val="left"/>
        <w:rPr>
          <w:rFonts w:hint="eastAsia" w:hAnsi="宋体" w:cs="宋体"/>
          <w:b w:val="0"/>
          <w:bCs/>
          <w:color w:val="auto"/>
          <w:sz w:val="21"/>
          <w:szCs w:val="21"/>
          <w:highlight w:val="none"/>
          <w:lang w:val="en-US" w:eastAsia="zh-CN"/>
        </w:rPr>
      </w:pPr>
    </w:p>
    <w:p w14:paraId="34F6DE8E">
      <w:pPr>
        <w:pStyle w:val="15"/>
        <w:spacing w:line="430" w:lineRule="exact"/>
        <w:ind w:left="105" w:leftChars="50" w:firstLine="335" w:firstLineChars="159"/>
        <w:jc w:val="left"/>
        <w:rPr>
          <w:rFonts w:hint="default" w:hAnsi="宋体" w:cs="宋体"/>
          <w:b/>
          <w:bCs w:val="0"/>
          <w:color w:val="auto"/>
          <w:sz w:val="21"/>
          <w:szCs w:val="21"/>
          <w:highlight w:val="none"/>
          <w:lang w:val="en-US" w:eastAsia="zh-CN"/>
        </w:rPr>
      </w:pPr>
      <w:r>
        <w:rPr>
          <w:rFonts w:hint="eastAsia" w:hAnsi="宋体" w:cs="宋体"/>
          <w:b/>
          <w:bCs w:val="0"/>
          <w:color w:val="auto"/>
          <w:sz w:val="21"/>
          <w:szCs w:val="21"/>
          <w:highlight w:val="none"/>
          <w:lang w:val="en-US" w:eastAsia="zh-CN"/>
        </w:rPr>
        <w:t>（五）商务部分（30分）</w:t>
      </w:r>
    </w:p>
    <w:p w14:paraId="464B7638">
      <w:pPr>
        <w:pStyle w:val="15"/>
        <w:pageBreakBefore w:val="0"/>
        <w:widowControl w:val="0"/>
        <w:numPr>
          <w:ilvl w:val="0"/>
          <w:numId w:val="0"/>
        </w:numPr>
        <w:kinsoku/>
        <w:wordWrap/>
        <w:overflowPunct/>
        <w:topLinePunct w:val="0"/>
        <w:autoSpaceDE/>
        <w:autoSpaceDN/>
        <w:bidi w:val="0"/>
        <w:adjustRightInd/>
        <w:snapToGrid/>
        <w:spacing w:line="430" w:lineRule="exact"/>
        <w:ind w:leftChars="209"/>
        <w:jc w:val="left"/>
        <w:textAlignment w:val="auto"/>
        <w:rPr>
          <w:rFonts w:hint="eastAsia" w:ascii="宋体" w:hAnsi="宋体" w:eastAsia="宋体" w:cs="宋体"/>
          <w:b/>
          <w:color w:val="auto"/>
          <w:sz w:val="21"/>
          <w:szCs w:val="21"/>
          <w:highlight w:val="none"/>
          <w:lang w:val="en-US" w:eastAsia="zh-CN"/>
        </w:rPr>
      </w:pPr>
      <w:r>
        <w:rPr>
          <w:rFonts w:hint="eastAsia" w:hAnsi="宋体" w:cs="宋体"/>
          <w:b/>
          <w:bCs w:val="0"/>
          <w:color w:val="auto"/>
          <w:sz w:val="21"/>
          <w:szCs w:val="21"/>
          <w:highlight w:val="none"/>
          <w:lang w:val="en-US" w:eastAsia="zh-CN"/>
        </w:rPr>
        <w:t>6、</w:t>
      </w:r>
      <w:r>
        <w:rPr>
          <w:rFonts w:hint="eastAsia" w:ascii="宋体" w:hAnsi="宋体" w:eastAsia="宋体" w:cs="宋体"/>
          <w:b/>
          <w:bCs w:val="0"/>
          <w:color w:val="auto"/>
          <w:sz w:val="21"/>
          <w:szCs w:val="21"/>
          <w:highlight w:val="none"/>
          <w:lang w:val="en-US" w:eastAsia="zh-CN"/>
        </w:rPr>
        <w:t>投入项目人员</w:t>
      </w:r>
      <w:r>
        <w:rPr>
          <w:rFonts w:hint="eastAsia" w:ascii="宋体" w:hAnsi="宋体" w:eastAsia="宋体" w:cs="宋体"/>
          <w:b/>
          <w:color w:val="auto"/>
          <w:sz w:val="21"/>
          <w:szCs w:val="21"/>
          <w:highlight w:val="none"/>
        </w:rPr>
        <w:t>…………………………………………………………………………………</w:t>
      </w:r>
      <w:r>
        <w:rPr>
          <w:rFonts w:hint="eastAsia" w:hAnsi="宋体" w:cs="宋体"/>
          <w:b/>
          <w:color w:val="auto"/>
          <w:sz w:val="21"/>
          <w:szCs w:val="21"/>
          <w:highlight w:val="none"/>
          <w:lang w:val="en-US" w:eastAsia="zh-CN"/>
        </w:rPr>
        <w:t>15</w:t>
      </w:r>
      <w:r>
        <w:rPr>
          <w:rFonts w:hint="eastAsia" w:ascii="宋体" w:hAnsi="宋体" w:eastAsia="宋体" w:cs="宋体"/>
          <w:b/>
          <w:color w:val="auto"/>
          <w:sz w:val="21"/>
          <w:szCs w:val="21"/>
          <w:highlight w:val="none"/>
          <w:lang w:val="en-US" w:eastAsia="zh-CN"/>
        </w:rPr>
        <w:t>分</w:t>
      </w:r>
    </w:p>
    <w:p w14:paraId="39DA64A0">
      <w:pPr>
        <w:pStyle w:val="15"/>
        <w:keepNext w:val="0"/>
        <w:keepLines w:val="0"/>
        <w:pageBreakBefore w:val="0"/>
        <w:numPr>
          <w:ilvl w:val="0"/>
          <w:numId w:val="0"/>
        </w:numPr>
        <w:kinsoku/>
        <w:wordWrap/>
        <w:overflowPunct/>
        <w:topLinePunct w:val="0"/>
        <w:autoSpaceDE/>
        <w:autoSpaceDN/>
        <w:bidi w:val="0"/>
        <w:spacing w:line="420" w:lineRule="exact"/>
        <w:ind w:firstLine="420" w:firstLineChars="200"/>
        <w:jc w:val="left"/>
        <w:textAlignment w:val="auto"/>
        <w:rPr>
          <w:rFonts w:hint="eastAsia" w:hAnsi="宋体" w:cs="宋体"/>
          <w:b w:val="0"/>
          <w:bCs w:val="0"/>
          <w:color w:val="auto"/>
          <w:kern w:val="2"/>
          <w:sz w:val="21"/>
          <w:szCs w:val="21"/>
          <w:highlight w:val="none"/>
          <w:lang w:val="en-US" w:eastAsia="zh-CN" w:bidi="ar-SA"/>
        </w:rPr>
      </w:pPr>
      <w:r>
        <w:rPr>
          <w:rFonts w:hint="eastAsia" w:hAnsi="宋体" w:cs="宋体"/>
          <w:b w:val="0"/>
          <w:bCs w:val="0"/>
          <w:color w:val="auto"/>
          <w:kern w:val="2"/>
          <w:sz w:val="21"/>
          <w:szCs w:val="21"/>
          <w:highlight w:val="none"/>
          <w:lang w:val="en-US" w:eastAsia="zh-CN" w:bidi="ar-SA"/>
        </w:rPr>
        <w:t>（1）拟投入地质矿产类技术人员（职称专业包括地质矿产、采矿、选矿、水文地质、工程地质、环境地质、矿业经济），具有高级职称每人得1分，具有中级职称每人得0.5分，具有初级职称每人得0.3分，本项满分7分；</w:t>
      </w:r>
    </w:p>
    <w:p w14:paraId="73BA7710">
      <w:pPr>
        <w:pStyle w:val="15"/>
        <w:keepNext w:val="0"/>
        <w:keepLines w:val="0"/>
        <w:pageBreakBefore w:val="0"/>
        <w:numPr>
          <w:ilvl w:val="0"/>
          <w:numId w:val="0"/>
        </w:numPr>
        <w:kinsoku/>
        <w:wordWrap/>
        <w:overflowPunct/>
        <w:topLinePunct w:val="0"/>
        <w:autoSpaceDE/>
        <w:autoSpaceDN/>
        <w:bidi w:val="0"/>
        <w:spacing w:line="420" w:lineRule="exact"/>
        <w:ind w:firstLine="420" w:firstLineChars="200"/>
        <w:jc w:val="left"/>
        <w:textAlignment w:val="auto"/>
        <w:rPr>
          <w:rFonts w:hint="eastAsia" w:hAnsi="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w:t>
      </w:r>
      <w:r>
        <w:rPr>
          <w:rFonts w:hint="eastAsia" w:hAnsi="宋体" w:cs="宋体"/>
          <w:b w:val="0"/>
          <w:bCs w:val="0"/>
          <w:color w:val="auto"/>
          <w:kern w:val="2"/>
          <w:sz w:val="21"/>
          <w:szCs w:val="21"/>
          <w:highlight w:val="none"/>
          <w:lang w:val="en-US" w:eastAsia="zh-CN" w:bidi="ar-SA"/>
        </w:rPr>
        <w:t>拟投入测绘信息类技术人员（职称专业为测绘工程、地理信息），具有高级职称每人得1分，具有中级职称每人得0.5分，具有初级职称每人得0.3分，本项满分4分；</w:t>
      </w:r>
    </w:p>
    <w:p w14:paraId="1D398BDC">
      <w:pPr>
        <w:pStyle w:val="15"/>
        <w:keepNext w:val="0"/>
        <w:keepLines w:val="0"/>
        <w:pageBreakBefore w:val="0"/>
        <w:numPr>
          <w:ilvl w:val="0"/>
          <w:numId w:val="0"/>
        </w:numPr>
        <w:kinsoku/>
        <w:wordWrap/>
        <w:overflowPunct/>
        <w:topLinePunct w:val="0"/>
        <w:autoSpaceDE/>
        <w:autoSpaceDN/>
        <w:bidi w:val="0"/>
        <w:spacing w:line="420" w:lineRule="exact"/>
        <w:ind w:firstLine="420" w:firstLineChars="200"/>
        <w:jc w:val="left"/>
        <w:textAlignment w:val="auto"/>
        <w:rPr>
          <w:rFonts w:hint="eastAsia" w:hAnsi="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w:t>
      </w:r>
      <w:r>
        <w:rPr>
          <w:rFonts w:hint="eastAsia" w:hAnsi="宋体" w:cs="宋体"/>
          <w:b w:val="0"/>
          <w:bCs w:val="0"/>
          <w:color w:val="auto"/>
          <w:kern w:val="2"/>
          <w:sz w:val="21"/>
          <w:szCs w:val="21"/>
          <w:highlight w:val="none"/>
          <w:lang w:val="en-US" w:eastAsia="zh-CN" w:bidi="ar-SA"/>
        </w:rPr>
        <w:t>拟投入土地资源管理类技术人员（职称专业包括土地管理、城市（乡）规划），具有高级职称每人得1分，具有中级职称每人得0.5分，具有初级职称每人得0.3分，本项满分4分；</w:t>
      </w:r>
    </w:p>
    <w:p w14:paraId="72D99F5B">
      <w:pPr>
        <w:pStyle w:val="15"/>
        <w:keepNext w:val="0"/>
        <w:keepLines w:val="0"/>
        <w:pageBreakBefore w:val="0"/>
        <w:numPr>
          <w:ilvl w:val="0"/>
          <w:numId w:val="0"/>
        </w:numPr>
        <w:kinsoku/>
        <w:wordWrap/>
        <w:overflowPunct/>
        <w:topLinePunct w:val="0"/>
        <w:autoSpaceDE/>
        <w:autoSpaceDN/>
        <w:bidi w:val="0"/>
        <w:spacing w:line="420" w:lineRule="exact"/>
        <w:ind w:firstLine="422" w:firstLineChars="200"/>
        <w:jc w:val="left"/>
        <w:textAlignment w:val="auto"/>
        <w:rPr>
          <w:rFonts w:hint="default" w:hAnsi="宋体" w:cs="宋体"/>
          <w:b/>
          <w:bCs/>
          <w:color w:val="auto"/>
          <w:kern w:val="2"/>
          <w:sz w:val="21"/>
          <w:szCs w:val="21"/>
          <w:highlight w:val="none"/>
          <w:lang w:val="en-US" w:eastAsia="zh-CN" w:bidi="ar-SA"/>
        </w:rPr>
      </w:pPr>
      <w:r>
        <w:rPr>
          <w:rFonts w:hint="eastAsia" w:hAnsi="宋体" w:cs="宋体"/>
          <w:b/>
          <w:bCs/>
          <w:color w:val="auto"/>
          <w:kern w:val="2"/>
          <w:sz w:val="21"/>
          <w:szCs w:val="21"/>
          <w:highlight w:val="none"/>
          <w:lang w:val="en-US" w:eastAsia="zh-CN" w:bidi="ar-SA"/>
        </w:rPr>
        <w:t>注：提供以上人员的相关证书复印件以及由县级以上（含县级）社会保险经办机构出具的供应商为上述人员交纳的2025年以来任意一个月社保证明复印件（①供应商为截标时间前60日以内成立的企业，可以提供供应商与上述人员签订的劳动合同复印件代替社保证明复印件；②上述人员为免缴纳社保人员，提供免缴纳社保的证明材料复印件及供应商与上述人员签订的劳动合同复印件代替社保证明复印件）；以上材料为复印件并加盖公章，没有提供有效证明材料的不予认定。</w:t>
      </w:r>
    </w:p>
    <w:p w14:paraId="6BF8AF17">
      <w:pPr>
        <w:pStyle w:val="15"/>
        <w:spacing w:line="430" w:lineRule="exact"/>
        <w:ind w:left="105" w:leftChars="50" w:firstLine="335" w:firstLineChars="159"/>
        <w:jc w:val="left"/>
        <w:rPr>
          <w:rFonts w:hAnsi="宋体" w:cs="宋体"/>
          <w:b/>
          <w:color w:val="auto"/>
          <w:sz w:val="21"/>
          <w:szCs w:val="21"/>
          <w:highlight w:val="none"/>
          <w:lang w:val="en-GB"/>
        </w:rPr>
      </w:pPr>
      <w:r>
        <w:rPr>
          <w:rFonts w:hint="eastAsia" w:hAnsi="宋体" w:cs="宋体"/>
          <w:b/>
          <w:color w:val="auto"/>
          <w:sz w:val="21"/>
          <w:szCs w:val="21"/>
          <w:highlight w:val="none"/>
          <w:lang w:val="en-US" w:eastAsia="zh-CN"/>
        </w:rPr>
        <w:t>7</w:t>
      </w:r>
      <w:r>
        <w:rPr>
          <w:rFonts w:hint="eastAsia" w:hAnsi="宋体" w:cs="宋体"/>
          <w:b/>
          <w:color w:val="auto"/>
          <w:sz w:val="21"/>
          <w:szCs w:val="21"/>
          <w:highlight w:val="none"/>
        </w:rPr>
        <w:t>、</w:t>
      </w:r>
      <w:r>
        <w:rPr>
          <w:rFonts w:hint="eastAsia" w:hAnsi="宋体" w:cs="宋体"/>
          <w:b/>
          <w:color w:val="auto"/>
          <w:sz w:val="21"/>
          <w:szCs w:val="21"/>
          <w:highlight w:val="none"/>
          <w:lang w:val="en-US" w:eastAsia="zh-CN"/>
        </w:rPr>
        <w:t>业绩</w:t>
      </w:r>
      <w:r>
        <w:rPr>
          <w:rFonts w:hint="eastAsia" w:hAnsi="宋体" w:cs="宋体"/>
          <w:b/>
          <w:color w:val="auto"/>
          <w:sz w:val="21"/>
          <w:szCs w:val="21"/>
          <w:highlight w:val="none"/>
        </w:rPr>
        <w:t>…………………………………………………………………………………………………</w:t>
      </w:r>
      <w:r>
        <w:rPr>
          <w:rFonts w:hint="eastAsia" w:hAnsi="宋体" w:cs="宋体"/>
          <w:b/>
          <w:color w:val="auto"/>
          <w:sz w:val="21"/>
          <w:szCs w:val="21"/>
          <w:highlight w:val="none"/>
          <w:lang w:val="en-US" w:eastAsia="zh-CN"/>
        </w:rPr>
        <w:t>15</w:t>
      </w:r>
      <w:r>
        <w:rPr>
          <w:rFonts w:hint="eastAsia" w:hAnsi="宋体" w:cs="宋体"/>
          <w:b/>
          <w:color w:val="auto"/>
          <w:sz w:val="21"/>
          <w:szCs w:val="21"/>
          <w:highlight w:val="none"/>
        </w:rPr>
        <w:t>分</w:t>
      </w:r>
    </w:p>
    <w:p w14:paraId="119107D3">
      <w:pPr>
        <w:spacing w:line="430" w:lineRule="exact"/>
        <w:ind w:firstLine="449" w:firstLineChars="214"/>
        <w:rPr>
          <w:rFonts w:hint="default" w:ascii="宋体" w:hAnsi="宋体" w:cs="宋体"/>
          <w:b w:val="0"/>
          <w:bCs w:val="0"/>
          <w:color w:val="auto"/>
          <w:sz w:val="21"/>
          <w:szCs w:val="21"/>
          <w:highlight w:val="none"/>
          <w:lang w:val="en-US" w:eastAsia="zh-CN"/>
        </w:rPr>
      </w:pPr>
      <w:r>
        <w:rPr>
          <w:rFonts w:hint="eastAsia" w:ascii="宋体" w:hAnsi="宋体" w:cs="宋体"/>
          <w:color w:val="auto"/>
          <w:sz w:val="21"/>
          <w:szCs w:val="21"/>
          <w:highlight w:val="none"/>
          <w:lang w:val="en-US" w:eastAsia="zh-CN"/>
        </w:rPr>
        <w:t>供应商2015年至今（时间以签订合同日期为准，下同），</w:t>
      </w:r>
      <w:r>
        <w:rPr>
          <w:rFonts w:hint="eastAsia" w:ascii="宋体" w:hAnsi="宋体" w:cs="宋体"/>
          <w:b w:val="0"/>
          <w:bCs w:val="0"/>
          <w:color w:val="auto"/>
          <w:sz w:val="21"/>
          <w:szCs w:val="21"/>
          <w:highlight w:val="none"/>
          <w:lang w:val="en-US" w:eastAsia="zh-CN"/>
        </w:rPr>
        <w:t>具有矿产资源规划类项目业绩的，每个业绩得1.5分，满分15分。</w:t>
      </w:r>
    </w:p>
    <w:p w14:paraId="688CEEAB">
      <w:pPr>
        <w:keepNext w:val="0"/>
        <w:keepLines w:val="0"/>
        <w:pageBreakBefore w:val="0"/>
        <w:kinsoku/>
        <w:wordWrap/>
        <w:overflowPunct/>
        <w:topLinePunct w:val="0"/>
        <w:bidi w:val="0"/>
        <w:snapToGrid/>
        <w:spacing w:line="440" w:lineRule="exact"/>
        <w:ind w:firstLine="420" w:firstLineChars="200"/>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注：</w:t>
      </w:r>
      <w:r>
        <w:rPr>
          <w:rFonts w:hint="eastAsia" w:ascii="宋体" w:hAnsi="宋体" w:cs="宋体"/>
          <w:b/>
          <w:bCs/>
          <w:color w:val="auto"/>
          <w:sz w:val="21"/>
          <w:szCs w:val="21"/>
          <w:highlight w:val="none"/>
          <w:lang w:val="en-US" w:eastAsia="zh-CN"/>
        </w:rPr>
        <w:t>矿产资源规划类项目</w:t>
      </w:r>
      <w:r>
        <w:rPr>
          <w:rFonts w:hint="eastAsia" w:ascii="宋体" w:hAnsi="宋体" w:cs="宋体"/>
          <w:b w:val="0"/>
          <w:bCs w:val="0"/>
          <w:color w:val="auto"/>
          <w:sz w:val="21"/>
          <w:szCs w:val="21"/>
          <w:highlight w:val="none"/>
          <w:lang w:val="en-US" w:eastAsia="zh-CN"/>
        </w:rPr>
        <w:t>指矿产资源总体规划、矿产资源开发专项规划、矿产资源规划专题研究、矿产资源规划调整方案、矿产资源数据库编制、矿产资源总体规划评估、矿产资源总体规划年度实施方案、国家或自治区级重要矿区规划、重要矿种开发规划，且项目业主应为各级自然资源主管部门或受自然资源主管部门委托选取技术队伍的单位，须提供合同复印件，不按照上述要求提供资料者，不作为评分的依据。</w:t>
      </w:r>
    </w:p>
    <w:p w14:paraId="43DC661D">
      <w:pPr>
        <w:keepNext w:val="0"/>
        <w:keepLines w:val="0"/>
        <w:pageBreakBefore w:val="0"/>
        <w:kinsoku/>
        <w:wordWrap/>
        <w:overflowPunct/>
        <w:topLinePunct w:val="0"/>
        <w:bidi w:val="0"/>
        <w:snapToGrid/>
        <w:spacing w:line="440" w:lineRule="exact"/>
        <w:ind w:firstLine="422" w:firstLineChars="200"/>
        <w:textAlignment w:val="auto"/>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8、</w:t>
      </w:r>
      <w:r>
        <w:rPr>
          <w:rFonts w:hint="eastAsia" w:ascii="宋体" w:hAnsi="宋体" w:eastAsia="宋体" w:cs="宋体"/>
          <w:b/>
          <w:bCs/>
          <w:color w:val="auto"/>
          <w:sz w:val="21"/>
          <w:szCs w:val="21"/>
          <w:highlight w:val="none"/>
        </w:rPr>
        <w:t>综合得分＝1+2+3+4+5</w:t>
      </w:r>
      <w:r>
        <w:rPr>
          <w:rFonts w:hint="eastAsia" w:ascii="宋体" w:hAnsi="宋体" w:cs="宋体"/>
          <w:b/>
          <w:bCs/>
          <w:color w:val="auto"/>
          <w:sz w:val="21"/>
          <w:szCs w:val="21"/>
          <w:highlight w:val="none"/>
          <w:lang w:val="en-US" w:eastAsia="zh-CN"/>
        </w:rPr>
        <w:t>+6+7</w:t>
      </w:r>
    </w:p>
    <w:p w14:paraId="113F23D7">
      <w:pPr>
        <w:keepNext w:val="0"/>
        <w:keepLines w:val="0"/>
        <w:pageBreakBefore w:val="0"/>
        <w:kinsoku/>
        <w:wordWrap/>
        <w:overflowPunct/>
        <w:topLinePunct w:val="0"/>
        <w:bidi w:val="0"/>
        <w:snapToGrid/>
        <w:spacing w:line="44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三、推荐</w:t>
      </w:r>
      <w:r>
        <w:rPr>
          <w:rFonts w:hint="eastAsia" w:ascii="宋体" w:hAnsi="宋体" w:eastAsia="宋体" w:cs="宋体"/>
          <w:b/>
          <w:color w:val="auto"/>
          <w:sz w:val="21"/>
          <w:szCs w:val="21"/>
          <w:highlight w:val="none"/>
          <w:lang w:eastAsia="zh-CN"/>
        </w:rPr>
        <w:t>成交</w:t>
      </w:r>
      <w:r>
        <w:rPr>
          <w:rFonts w:hint="eastAsia" w:ascii="宋体" w:hAnsi="宋体" w:eastAsia="宋体" w:cs="宋体"/>
          <w:b/>
          <w:color w:val="auto"/>
          <w:sz w:val="21"/>
          <w:szCs w:val="21"/>
          <w:highlight w:val="none"/>
        </w:rPr>
        <w:t>候选供应商原则</w:t>
      </w:r>
    </w:p>
    <w:p w14:paraId="6E6C1DAB">
      <w:pPr>
        <w:pStyle w:val="39"/>
        <w:keepNext w:val="0"/>
        <w:keepLines w:val="0"/>
        <w:pageBreakBefore w:val="0"/>
        <w:tabs>
          <w:tab w:val="left" w:pos="4214"/>
        </w:tabs>
        <w:kinsoku/>
        <w:wordWrap/>
        <w:overflowPunct/>
        <w:topLinePunct w:val="0"/>
        <w:bidi w:val="0"/>
        <w:snapToGrid/>
        <w:spacing w:line="440" w:lineRule="exact"/>
        <w:ind w:firstLine="420" w:firstLineChars="200"/>
        <w:textAlignment w:val="auto"/>
        <w:rPr>
          <w:rStyle w:val="37"/>
          <w:rFonts w:hint="eastAsia" w:ascii="宋体" w:hAnsi="宋体" w:eastAsia="宋体" w:cs="宋体"/>
          <w:color w:val="auto"/>
          <w:szCs w:val="21"/>
          <w:highlight w:val="none"/>
        </w:rPr>
      </w:pPr>
      <w:r>
        <w:rPr>
          <w:rStyle w:val="37"/>
          <w:rFonts w:hint="eastAsia" w:ascii="宋体" w:hAnsi="宋体" w:eastAsia="宋体" w:cs="宋体"/>
          <w:color w:val="auto"/>
          <w:sz w:val="21"/>
          <w:szCs w:val="21"/>
          <w:highlight w:val="none"/>
        </w:rPr>
        <w:t xml:space="preserve"> (1)磋商小组应当根据综合评分情况，按照综合得分由高到低顺序推荐成交候选供应商，并编</w:t>
      </w:r>
      <w:r>
        <w:rPr>
          <w:rStyle w:val="37"/>
          <w:rFonts w:hint="eastAsia" w:ascii="宋体" w:hAnsi="宋体" w:eastAsia="宋体" w:cs="宋体"/>
          <w:color w:val="auto"/>
          <w:szCs w:val="21"/>
          <w:highlight w:val="none"/>
        </w:rPr>
        <w:t>写评审报告。磋商小组根据综合得分由高到低排列次序，若得分相同时，以评审报价由低到高顺序排列；若得分相同且评审报价相同的，以最后报价由低到高顺序排列；若仍相同的，按</w:t>
      </w:r>
      <w:r>
        <w:rPr>
          <w:rStyle w:val="37"/>
          <w:rFonts w:hint="eastAsia" w:ascii="宋体" w:hAnsi="宋体" w:eastAsia="宋体" w:cs="宋体"/>
          <w:color w:val="auto"/>
          <w:szCs w:val="21"/>
          <w:highlight w:val="none"/>
          <w:lang w:val="en-US" w:eastAsia="zh-CN"/>
        </w:rPr>
        <w:t>服务</w:t>
      </w:r>
      <w:r>
        <w:rPr>
          <w:rStyle w:val="37"/>
          <w:rFonts w:hint="eastAsia" w:hAnsi="宋体" w:cs="宋体"/>
          <w:color w:val="auto"/>
          <w:szCs w:val="21"/>
          <w:highlight w:val="none"/>
          <w:lang w:val="en-US" w:eastAsia="zh-CN"/>
        </w:rPr>
        <w:t>实施</w:t>
      </w:r>
      <w:r>
        <w:rPr>
          <w:rStyle w:val="37"/>
          <w:rFonts w:hint="eastAsia" w:ascii="宋体" w:hAnsi="宋体" w:eastAsia="宋体" w:cs="宋体"/>
          <w:color w:val="auto"/>
          <w:szCs w:val="21"/>
          <w:highlight w:val="none"/>
          <w:lang w:val="en-US" w:eastAsia="zh-CN"/>
        </w:rPr>
        <w:t>方案得分高低</w:t>
      </w:r>
      <w:r>
        <w:rPr>
          <w:rStyle w:val="37"/>
          <w:rFonts w:hint="eastAsia" w:ascii="宋体" w:hAnsi="宋体" w:eastAsia="宋体" w:cs="宋体"/>
          <w:color w:val="auto"/>
          <w:szCs w:val="21"/>
          <w:highlight w:val="none"/>
        </w:rPr>
        <w:t xml:space="preserve">顺序排列并推荐成交候选供应商。 </w:t>
      </w:r>
    </w:p>
    <w:p w14:paraId="5D0EEF13">
      <w:pPr>
        <w:keepNext w:val="0"/>
        <w:keepLines w:val="0"/>
        <w:pageBreakBefore w:val="0"/>
        <w:tabs>
          <w:tab w:val="left" w:pos="1305"/>
        </w:tabs>
        <w:kinsoku/>
        <w:wordWrap/>
        <w:overflowPunct/>
        <w:topLinePunct w:val="0"/>
        <w:bidi w:val="0"/>
        <w:snapToGrid/>
        <w:spacing w:line="440" w:lineRule="exact"/>
        <w:ind w:firstLine="420" w:firstLineChars="200"/>
        <w:textAlignment w:val="auto"/>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 xml:space="preserve"> (2)采购单位应当确定磋商小组推荐排名第一的成交候选供应商为成交供应商。 </w:t>
      </w:r>
    </w:p>
    <w:p w14:paraId="13605CC0">
      <w:pPr>
        <w:keepNext w:val="0"/>
        <w:keepLines w:val="0"/>
        <w:pageBreakBefore w:val="0"/>
        <w:tabs>
          <w:tab w:val="left" w:pos="1305"/>
        </w:tabs>
        <w:kinsoku/>
        <w:wordWrap/>
        <w:overflowPunct/>
        <w:topLinePunct w:val="0"/>
        <w:bidi w:val="0"/>
        <w:snapToGrid/>
        <w:spacing w:line="440" w:lineRule="exact"/>
        <w:ind w:firstLine="420" w:firstLineChars="200"/>
        <w:textAlignment w:val="auto"/>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 xml:space="preserve"> (3)排名第一的成交候选供应商放弃成交、因不可抗力提出不能履行合同，或因失信行为被取消</w:t>
      </w:r>
      <w:r>
        <w:rPr>
          <w:rStyle w:val="37"/>
          <w:rFonts w:hint="eastAsia" w:ascii="宋体" w:hAnsi="宋体" w:cs="宋体"/>
          <w:color w:val="auto"/>
          <w:szCs w:val="21"/>
          <w:highlight w:val="none"/>
          <w:lang w:eastAsia="zh-CN"/>
        </w:rPr>
        <w:t>成交候选供应商</w:t>
      </w:r>
      <w:r>
        <w:rPr>
          <w:rStyle w:val="37"/>
          <w:rFonts w:hint="eastAsia" w:ascii="宋体" w:hAnsi="宋体" w:eastAsia="宋体" w:cs="宋体"/>
          <w:color w:val="auto"/>
          <w:szCs w:val="21"/>
          <w:highlight w:val="none"/>
        </w:rPr>
        <w:t xml:space="preserve">资格的，采购单位可以确定排名第二的成交候选供应商为成交供应商。 </w:t>
      </w:r>
    </w:p>
    <w:p w14:paraId="5CACC0C8">
      <w:pPr>
        <w:keepNext w:val="0"/>
        <w:keepLines w:val="0"/>
        <w:pageBreakBefore w:val="0"/>
        <w:tabs>
          <w:tab w:val="left" w:pos="1305"/>
        </w:tabs>
        <w:kinsoku/>
        <w:wordWrap/>
        <w:overflowPunct/>
        <w:topLinePunct w:val="0"/>
        <w:bidi w:val="0"/>
        <w:snapToGrid/>
        <w:spacing w:line="440" w:lineRule="exact"/>
        <w:ind w:firstLine="420" w:firstLineChars="200"/>
        <w:textAlignment w:val="auto"/>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 xml:space="preserve"> (</w:t>
      </w:r>
      <w:r>
        <w:rPr>
          <w:rStyle w:val="37"/>
          <w:rFonts w:hint="eastAsia" w:ascii="宋体" w:hAnsi="宋体" w:cs="宋体"/>
          <w:color w:val="auto"/>
          <w:szCs w:val="21"/>
          <w:highlight w:val="none"/>
          <w:lang w:val="en-US"/>
        </w:rPr>
        <w:t>4</w:t>
      </w:r>
      <w:r>
        <w:rPr>
          <w:rStyle w:val="37"/>
          <w:rFonts w:hint="eastAsia" w:ascii="宋体" w:hAnsi="宋体" w:eastAsia="宋体" w:cs="宋体"/>
          <w:color w:val="auto"/>
          <w:szCs w:val="21"/>
          <w:highlight w:val="none"/>
        </w:rPr>
        <w:t>)排名第二的成交候选供应商因前款规定的同样原因不能签订合同的，采购单位可以确定排名第三的成交候选</w:t>
      </w:r>
      <w:r>
        <w:rPr>
          <w:rStyle w:val="37"/>
          <w:rFonts w:hint="eastAsia" w:ascii="宋体" w:hAnsi="宋体" w:cs="宋体"/>
          <w:color w:val="auto"/>
          <w:szCs w:val="21"/>
          <w:highlight w:val="none"/>
          <w:lang w:val="en-US" w:eastAsia="zh-CN"/>
        </w:rPr>
        <w:t>供应商</w:t>
      </w:r>
      <w:r>
        <w:rPr>
          <w:rStyle w:val="37"/>
          <w:rFonts w:hint="eastAsia" w:ascii="宋体" w:hAnsi="宋体" w:eastAsia="宋体" w:cs="宋体"/>
          <w:color w:val="auto"/>
          <w:szCs w:val="21"/>
          <w:highlight w:val="none"/>
        </w:rPr>
        <w:t xml:space="preserve">为成交供应商。 </w:t>
      </w:r>
    </w:p>
    <w:p w14:paraId="644E9EBB">
      <w:pPr>
        <w:spacing w:line="400" w:lineRule="exact"/>
        <w:ind w:firstLine="420" w:firstLineChars="199"/>
        <w:rPr>
          <w:rFonts w:hint="eastAsia" w:ascii="宋体" w:hAnsi="宋体" w:eastAsia="宋体" w:cs="宋体"/>
          <w:b/>
          <w:color w:val="auto"/>
          <w:szCs w:val="20"/>
          <w:highlight w:val="none"/>
        </w:rPr>
      </w:pPr>
    </w:p>
    <w:p w14:paraId="78834B41">
      <w:pPr>
        <w:rPr>
          <w:rFonts w:hint="eastAsia" w:ascii="宋体" w:hAnsi="宋体" w:eastAsia="宋体" w:cs="宋体"/>
          <w:color w:val="auto"/>
          <w:highlight w:val="none"/>
        </w:rPr>
      </w:pPr>
    </w:p>
    <w:p w14:paraId="376E9719">
      <w:pPr>
        <w:rPr>
          <w:rFonts w:hint="eastAsia" w:ascii="宋体" w:hAnsi="宋体" w:eastAsia="宋体" w:cs="宋体"/>
          <w:color w:val="auto"/>
          <w:highlight w:val="none"/>
        </w:rPr>
      </w:pPr>
      <w:bookmarkStart w:id="9" w:name="_Toc34217866"/>
    </w:p>
    <w:p w14:paraId="74410E2F">
      <w:pPr>
        <w:pStyle w:val="21"/>
        <w:rPr>
          <w:rFonts w:hint="eastAsia" w:ascii="宋体" w:hAnsi="宋体" w:eastAsia="宋体" w:cs="宋体"/>
          <w:color w:val="auto"/>
          <w:highlight w:val="none"/>
        </w:rPr>
      </w:pPr>
    </w:p>
    <w:p w14:paraId="32B54EF3">
      <w:pPr>
        <w:pStyle w:val="21"/>
        <w:rPr>
          <w:rFonts w:hint="eastAsia" w:ascii="宋体" w:hAnsi="宋体" w:eastAsia="宋体" w:cs="宋体"/>
          <w:color w:val="auto"/>
          <w:highlight w:val="none"/>
        </w:rPr>
      </w:pPr>
    </w:p>
    <w:p w14:paraId="6D64D91E">
      <w:pPr>
        <w:pStyle w:val="21"/>
        <w:rPr>
          <w:rFonts w:hint="eastAsia" w:ascii="宋体" w:hAnsi="宋体" w:eastAsia="宋体" w:cs="宋体"/>
          <w:color w:val="auto"/>
          <w:highlight w:val="none"/>
        </w:rPr>
      </w:pPr>
    </w:p>
    <w:p w14:paraId="0B8A38DF">
      <w:pPr>
        <w:pStyle w:val="21"/>
        <w:rPr>
          <w:rFonts w:hint="eastAsia" w:ascii="宋体" w:hAnsi="宋体" w:eastAsia="宋体" w:cs="宋体"/>
          <w:color w:val="auto"/>
          <w:highlight w:val="none"/>
        </w:rPr>
      </w:pPr>
    </w:p>
    <w:p w14:paraId="0ECF3002">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5CD7060D">
      <w:pPr>
        <w:pStyle w:val="23"/>
        <w:spacing w:line="440" w:lineRule="exact"/>
        <w:rPr>
          <w:rStyle w:val="35"/>
          <w:rFonts w:hint="eastAsia" w:ascii="宋体" w:hAnsi="宋体" w:eastAsia="宋体" w:cs="宋体"/>
          <w:b/>
          <w:bCs/>
          <w:color w:val="auto"/>
          <w:highlight w:val="none"/>
        </w:rPr>
      </w:pPr>
      <w:r>
        <w:rPr>
          <w:rFonts w:hint="eastAsia" w:ascii="宋体" w:hAnsi="宋体" w:eastAsia="宋体" w:cs="宋体"/>
          <w:color w:val="auto"/>
          <w:highlight w:val="none"/>
        </w:rPr>
        <w:t>第五章  采购合同</w:t>
      </w:r>
      <w:bookmarkEnd w:id="7"/>
      <w:bookmarkEnd w:id="9"/>
    </w:p>
    <w:p w14:paraId="3C494274">
      <w:pPr>
        <w:keepNext w:val="0"/>
        <w:keepLines w:val="0"/>
        <w:pageBreakBefore w:val="0"/>
        <w:widowControl w:val="0"/>
        <w:kinsoku/>
        <w:wordWrap/>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项目名称：</w:t>
      </w:r>
      <w:r>
        <w:rPr>
          <w:rFonts w:hint="eastAsia" w:ascii="宋体" w:hAnsi="宋体" w:cs="宋体"/>
          <w:color w:val="auto"/>
          <w:highlight w:val="none"/>
          <w:lang w:eastAsia="zh-CN"/>
        </w:rPr>
        <w:t>桂林市矿产资源总体规划（2026-2030年）编制工作</w:t>
      </w:r>
    </w:p>
    <w:p w14:paraId="202AD1A3">
      <w:pPr>
        <w:keepNext w:val="0"/>
        <w:keepLines w:val="0"/>
        <w:pageBreakBefore w:val="0"/>
        <w:widowControl w:val="0"/>
        <w:kinsoku/>
        <w:wordWrap/>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项目编号：</w:t>
      </w:r>
      <w:r>
        <w:rPr>
          <w:rFonts w:hint="eastAsia" w:ascii="宋体" w:hAnsi="宋体" w:cs="宋体"/>
          <w:color w:val="auto"/>
          <w:spacing w:val="-3"/>
          <w:sz w:val="24"/>
          <w:szCs w:val="24"/>
          <w:highlight w:val="none"/>
          <w:lang w:eastAsia="zh-CN"/>
        </w:rPr>
        <w:t xml:space="preserve">  </w:t>
      </w:r>
    </w:p>
    <w:p w14:paraId="10AC3894">
      <w:pPr>
        <w:keepNext w:val="0"/>
        <w:keepLines w:val="0"/>
        <w:pageBreakBefore w:val="0"/>
        <w:widowControl w:val="0"/>
        <w:kinsoku/>
        <w:wordWrap/>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甲方：</w:t>
      </w:r>
      <w:r>
        <w:rPr>
          <w:rFonts w:hint="eastAsia" w:ascii="宋体" w:hAnsi="宋体" w:eastAsia="宋体" w:cs="宋体"/>
          <w:color w:val="auto"/>
          <w:highlight w:val="none"/>
          <w:u w:val="single"/>
        </w:rPr>
        <w:t xml:space="preserve">                             </w:t>
      </w:r>
      <w:r>
        <w:rPr>
          <w:rFonts w:hint="eastAsia" w:ascii="宋体" w:hAnsi="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（采购人）</w:t>
      </w:r>
    </w:p>
    <w:p w14:paraId="0ECF5CFE">
      <w:pPr>
        <w:keepNext w:val="0"/>
        <w:keepLines w:val="0"/>
        <w:pageBreakBefore w:val="0"/>
        <w:widowControl w:val="0"/>
        <w:kinsoku/>
        <w:wordWrap/>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乙方：</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r>
        <w:rPr>
          <w:rFonts w:hint="eastAsia" w:ascii="宋体" w:hAnsi="宋体" w:cs="宋体"/>
          <w:color w:val="auto"/>
          <w:highlight w:val="none"/>
          <w:lang w:val="en-US" w:eastAsia="zh-CN"/>
        </w:rPr>
        <w:t>成交</w:t>
      </w:r>
      <w:r>
        <w:rPr>
          <w:rFonts w:hint="eastAsia" w:ascii="宋体" w:hAnsi="宋体" w:eastAsia="宋体" w:cs="宋体"/>
          <w:color w:val="auto"/>
          <w:highlight w:val="none"/>
        </w:rPr>
        <w:t>供应商）</w:t>
      </w:r>
    </w:p>
    <w:p w14:paraId="2E80E09F">
      <w:pPr>
        <w:keepNext w:val="0"/>
        <w:keepLines w:val="0"/>
        <w:pageBreakBefore w:val="0"/>
        <w:widowControl w:val="0"/>
        <w:kinsoku/>
        <w:wordWrap/>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根据《中华人民共和国政府采购法》、《中华人民共和国政府采购法实施条例》、</w:t>
      </w:r>
      <w:r>
        <w:rPr>
          <w:rFonts w:hint="eastAsia" w:ascii="宋体" w:hAnsi="宋体" w:cs="宋体"/>
          <w:color w:val="auto"/>
          <w:highlight w:val="none"/>
          <w:lang w:eastAsia="zh-CN"/>
        </w:rPr>
        <w:t>《</w:t>
      </w:r>
      <w:r>
        <w:rPr>
          <w:rFonts w:hint="eastAsia" w:ascii="宋体" w:hAnsi="宋体" w:cs="宋体"/>
          <w:b w:val="0"/>
          <w:bCs/>
          <w:color w:val="auto"/>
          <w:sz w:val="21"/>
          <w:szCs w:val="21"/>
          <w:highlight w:val="none"/>
        </w:rPr>
        <w:t>政府采购竞争性磋商采购方式管理暂行办法》</w:t>
      </w:r>
      <w:r>
        <w:rPr>
          <w:rFonts w:hint="eastAsia" w:ascii="宋体" w:hAnsi="宋体" w:cs="宋体"/>
          <w:b w:val="0"/>
          <w:bCs/>
          <w:color w:val="auto"/>
          <w:sz w:val="21"/>
          <w:szCs w:val="21"/>
          <w:highlight w:val="none"/>
          <w:lang w:eastAsia="zh-CN"/>
        </w:rPr>
        <w:t>、</w:t>
      </w:r>
      <w:r>
        <w:rPr>
          <w:rFonts w:hint="eastAsia" w:ascii="宋体" w:hAnsi="宋体" w:eastAsia="宋体" w:cs="宋体"/>
          <w:color w:val="auto"/>
          <w:highlight w:val="none"/>
        </w:rPr>
        <w:t>《中华人民共和国</w:t>
      </w:r>
      <w:r>
        <w:rPr>
          <w:rFonts w:hint="eastAsia" w:ascii="宋体" w:hAnsi="宋体" w:eastAsia="宋体" w:cs="宋体"/>
          <w:color w:val="auto"/>
          <w:highlight w:val="none"/>
          <w:lang w:eastAsia="zh-CN"/>
        </w:rPr>
        <w:t>民法典</w:t>
      </w:r>
      <w:r>
        <w:rPr>
          <w:rFonts w:hint="eastAsia" w:ascii="宋体" w:hAnsi="宋体" w:eastAsia="宋体" w:cs="宋体"/>
          <w:color w:val="auto"/>
          <w:highlight w:val="none"/>
        </w:rPr>
        <w:t>》等法律、法规规定，</w:t>
      </w:r>
      <w:r>
        <w:rPr>
          <w:rFonts w:hint="eastAsia" w:ascii="宋体" w:hAnsi="宋体" w:cs="宋体"/>
          <w:color w:val="auto"/>
          <w:highlight w:val="none"/>
        </w:rPr>
        <w:t>按照竞争性磋商文件规定条款和乙方响应文件及其承诺</w:t>
      </w:r>
      <w:r>
        <w:rPr>
          <w:rFonts w:hint="eastAsia" w:ascii="宋体" w:hAnsi="宋体" w:eastAsia="宋体" w:cs="宋体"/>
          <w:color w:val="auto"/>
          <w:highlight w:val="none"/>
        </w:rPr>
        <w:t>、甲乙双方签订本采购合同。</w:t>
      </w:r>
    </w:p>
    <w:p w14:paraId="612BE28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13" w:firstLineChars="196"/>
        <w:jc w:val="left"/>
        <w:textAlignment w:val="auto"/>
        <w:rPr>
          <w:rFonts w:ascii="宋体" w:hAnsi="宋体" w:cs="宋体"/>
          <w:b/>
          <w:color w:val="auto"/>
          <w:sz w:val="21"/>
          <w:szCs w:val="21"/>
          <w:highlight w:val="none"/>
        </w:rPr>
      </w:pPr>
      <w:r>
        <w:rPr>
          <w:rFonts w:hint="eastAsia" w:ascii="宋体" w:hAnsi="宋体" w:cs="宋体"/>
          <w:b/>
          <w:color w:val="auto"/>
          <w:sz w:val="21"/>
          <w:szCs w:val="21"/>
          <w:highlight w:val="none"/>
        </w:rPr>
        <w:t>第一条 合同标的名称及合同金额</w:t>
      </w:r>
    </w:p>
    <w:p w14:paraId="64B2E9B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315" w:firstLineChars="150"/>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1、合同标的名称：</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rPr>
        <w:tab/>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w:t>
      </w:r>
    </w:p>
    <w:p w14:paraId="0C3B9DE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315" w:firstLineChars="150"/>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2、根据《</w:t>
      </w:r>
      <w:r>
        <w:rPr>
          <w:rFonts w:hint="eastAsia" w:ascii="宋体" w:hAnsi="宋体" w:cs="宋体"/>
          <w:color w:val="auto"/>
          <w:sz w:val="21"/>
          <w:szCs w:val="21"/>
          <w:highlight w:val="none"/>
          <w:lang w:val="en-US" w:eastAsia="zh-CN"/>
        </w:rPr>
        <w:t>成交</w:t>
      </w:r>
      <w:r>
        <w:rPr>
          <w:rFonts w:hint="eastAsia" w:ascii="宋体" w:hAnsi="宋体" w:cs="宋体"/>
          <w:color w:val="auto"/>
          <w:sz w:val="21"/>
          <w:szCs w:val="21"/>
          <w:highlight w:val="none"/>
        </w:rPr>
        <w:t>通知书》的</w:t>
      </w:r>
      <w:r>
        <w:rPr>
          <w:rFonts w:hint="eastAsia" w:ascii="宋体" w:hAnsi="宋体" w:cs="宋体"/>
          <w:color w:val="auto"/>
          <w:sz w:val="21"/>
          <w:szCs w:val="21"/>
          <w:highlight w:val="none"/>
          <w:lang w:val="en-US" w:eastAsia="zh-CN"/>
        </w:rPr>
        <w:t>成交</w:t>
      </w:r>
      <w:r>
        <w:rPr>
          <w:rFonts w:hint="eastAsia" w:ascii="宋体" w:hAnsi="宋体" w:cs="宋体"/>
          <w:color w:val="auto"/>
          <w:sz w:val="21"/>
          <w:szCs w:val="21"/>
          <w:highlight w:val="none"/>
        </w:rPr>
        <w:t>内容，合同的金额为：</w:t>
      </w:r>
    </w:p>
    <w:tbl>
      <w:tblPr>
        <w:tblStyle w:val="25"/>
        <w:tblW w:w="9236" w:type="dxa"/>
        <w:tblInd w:w="3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6"/>
        <w:gridCol w:w="3975"/>
        <w:gridCol w:w="1167"/>
        <w:gridCol w:w="1029"/>
        <w:gridCol w:w="2079"/>
      </w:tblGrid>
      <w:tr w14:paraId="690BD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986" w:type="dxa"/>
            <w:vAlign w:val="center"/>
          </w:tcPr>
          <w:p w14:paraId="41E63FE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ascii="宋体" w:hAnsi="宋体" w:cs="宋体"/>
                <w:b/>
                <w:color w:val="auto"/>
                <w:sz w:val="21"/>
                <w:szCs w:val="21"/>
                <w:highlight w:val="none"/>
              </w:rPr>
            </w:pPr>
            <w:r>
              <w:rPr>
                <w:rFonts w:hint="eastAsia" w:ascii="宋体" w:hAnsi="宋体" w:cs="宋体"/>
                <w:b/>
                <w:color w:val="auto"/>
                <w:sz w:val="21"/>
                <w:szCs w:val="21"/>
                <w:highlight w:val="none"/>
                <w:lang w:eastAsia="zh-CN"/>
              </w:rPr>
              <w:t>序</w:t>
            </w:r>
            <w:r>
              <w:rPr>
                <w:rFonts w:hint="eastAsia" w:ascii="宋体" w:hAnsi="宋体" w:cs="宋体"/>
                <w:b/>
                <w:color w:val="auto"/>
                <w:sz w:val="21"/>
                <w:szCs w:val="21"/>
                <w:highlight w:val="none"/>
              </w:rPr>
              <w:t>号</w:t>
            </w:r>
          </w:p>
        </w:tc>
        <w:tc>
          <w:tcPr>
            <w:tcW w:w="3975" w:type="dxa"/>
            <w:vAlign w:val="center"/>
          </w:tcPr>
          <w:p w14:paraId="4C71B0A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ascii="宋体" w:hAnsi="宋体" w:cs="宋体"/>
                <w:b/>
                <w:color w:val="auto"/>
                <w:sz w:val="21"/>
                <w:szCs w:val="21"/>
                <w:highlight w:val="none"/>
              </w:rPr>
            </w:pPr>
            <w:r>
              <w:rPr>
                <w:rFonts w:hint="eastAsia" w:ascii="宋体" w:hAnsi="宋体" w:cs="宋体"/>
                <w:b/>
                <w:color w:val="auto"/>
                <w:sz w:val="21"/>
                <w:szCs w:val="21"/>
                <w:highlight w:val="none"/>
              </w:rPr>
              <w:t>服务名称</w:t>
            </w:r>
          </w:p>
        </w:tc>
        <w:tc>
          <w:tcPr>
            <w:tcW w:w="1167" w:type="dxa"/>
            <w:vAlign w:val="center"/>
          </w:tcPr>
          <w:p w14:paraId="3F31C92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ascii="宋体" w:hAnsi="宋体" w:cs="宋体"/>
                <w:b/>
                <w:color w:val="auto"/>
                <w:sz w:val="21"/>
                <w:szCs w:val="21"/>
                <w:highlight w:val="none"/>
              </w:rPr>
            </w:pPr>
            <w:r>
              <w:rPr>
                <w:rFonts w:hint="eastAsia" w:ascii="宋体" w:hAnsi="宋体" w:cs="宋体"/>
                <w:b/>
                <w:color w:val="auto"/>
                <w:sz w:val="21"/>
                <w:szCs w:val="21"/>
                <w:highlight w:val="none"/>
              </w:rPr>
              <w:t>数量</w:t>
            </w:r>
          </w:p>
        </w:tc>
        <w:tc>
          <w:tcPr>
            <w:tcW w:w="1029" w:type="dxa"/>
            <w:vAlign w:val="center"/>
          </w:tcPr>
          <w:p w14:paraId="5F6DF90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ascii="宋体" w:hAnsi="宋体" w:cs="宋体"/>
                <w:b/>
                <w:color w:val="auto"/>
                <w:sz w:val="21"/>
                <w:szCs w:val="21"/>
                <w:highlight w:val="none"/>
              </w:rPr>
            </w:pPr>
            <w:r>
              <w:rPr>
                <w:rFonts w:hint="eastAsia" w:ascii="宋体" w:hAnsi="宋体" w:cs="宋体"/>
                <w:b/>
                <w:color w:val="auto"/>
                <w:sz w:val="21"/>
                <w:szCs w:val="21"/>
                <w:highlight w:val="none"/>
              </w:rPr>
              <w:t>单位</w:t>
            </w:r>
          </w:p>
        </w:tc>
        <w:tc>
          <w:tcPr>
            <w:tcW w:w="2079" w:type="dxa"/>
            <w:vAlign w:val="center"/>
          </w:tcPr>
          <w:p w14:paraId="01FC73B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ascii="宋体" w:hAnsi="宋体" w:cs="宋体"/>
                <w:b/>
                <w:color w:val="auto"/>
                <w:sz w:val="21"/>
                <w:szCs w:val="21"/>
                <w:highlight w:val="none"/>
              </w:rPr>
            </w:pPr>
            <w:r>
              <w:rPr>
                <w:rFonts w:hint="eastAsia" w:ascii="宋体" w:hAnsi="宋体" w:cs="宋体"/>
                <w:b/>
                <w:color w:val="auto"/>
                <w:sz w:val="21"/>
                <w:szCs w:val="21"/>
                <w:highlight w:val="none"/>
              </w:rPr>
              <w:t>合同金额（元）</w:t>
            </w:r>
          </w:p>
        </w:tc>
      </w:tr>
      <w:tr w14:paraId="2B25A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986" w:type="dxa"/>
            <w:vAlign w:val="center"/>
          </w:tcPr>
          <w:p w14:paraId="0EF8C58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ascii="宋体" w:hAnsi="宋体" w:cs="宋体"/>
                <w:b/>
                <w:color w:val="auto"/>
                <w:sz w:val="21"/>
                <w:szCs w:val="21"/>
                <w:highlight w:val="none"/>
              </w:rPr>
            </w:pPr>
          </w:p>
        </w:tc>
        <w:tc>
          <w:tcPr>
            <w:tcW w:w="3975" w:type="dxa"/>
            <w:vAlign w:val="center"/>
          </w:tcPr>
          <w:p w14:paraId="566BA44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ascii="宋体" w:hAnsi="宋体" w:cs="宋体"/>
                <w:b/>
                <w:color w:val="auto"/>
                <w:sz w:val="21"/>
                <w:szCs w:val="21"/>
                <w:highlight w:val="none"/>
              </w:rPr>
            </w:pPr>
          </w:p>
        </w:tc>
        <w:tc>
          <w:tcPr>
            <w:tcW w:w="1167" w:type="dxa"/>
            <w:vAlign w:val="center"/>
          </w:tcPr>
          <w:p w14:paraId="04971FD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ascii="宋体" w:hAnsi="宋体" w:cs="宋体"/>
                <w:bCs/>
                <w:color w:val="auto"/>
                <w:sz w:val="21"/>
                <w:szCs w:val="21"/>
                <w:highlight w:val="none"/>
              </w:rPr>
            </w:pPr>
            <w:r>
              <w:rPr>
                <w:rFonts w:hint="eastAsia" w:ascii="宋体" w:hAnsi="宋体" w:cs="宋体"/>
                <w:bCs/>
                <w:color w:val="auto"/>
                <w:sz w:val="21"/>
                <w:szCs w:val="21"/>
                <w:highlight w:val="none"/>
              </w:rPr>
              <w:t>1</w:t>
            </w:r>
          </w:p>
        </w:tc>
        <w:tc>
          <w:tcPr>
            <w:tcW w:w="1029" w:type="dxa"/>
            <w:vAlign w:val="center"/>
          </w:tcPr>
          <w:p w14:paraId="66C8864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ascii="宋体" w:hAnsi="宋体" w:cs="宋体"/>
                <w:bCs/>
                <w:color w:val="auto"/>
                <w:sz w:val="21"/>
                <w:szCs w:val="21"/>
                <w:highlight w:val="none"/>
              </w:rPr>
            </w:pPr>
            <w:r>
              <w:rPr>
                <w:rFonts w:hint="eastAsia" w:ascii="宋体" w:hAnsi="宋体" w:cs="宋体"/>
                <w:bCs/>
                <w:color w:val="auto"/>
                <w:sz w:val="21"/>
                <w:szCs w:val="21"/>
                <w:highlight w:val="none"/>
              </w:rPr>
              <w:t>项</w:t>
            </w:r>
          </w:p>
        </w:tc>
        <w:tc>
          <w:tcPr>
            <w:tcW w:w="2079" w:type="dxa"/>
            <w:vAlign w:val="center"/>
          </w:tcPr>
          <w:p w14:paraId="4E46885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ascii="宋体" w:hAnsi="宋体" w:cs="宋体"/>
                <w:b/>
                <w:color w:val="auto"/>
                <w:sz w:val="21"/>
                <w:szCs w:val="21"/>
                <w:highlight w:val="none"/>
              </w:rPr>
            </w:pPr>
          </w:p>
        </w:tc>
      </w:tr>
      <w:tr w14:paraId="3467C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9236" w:type="dxa"/>
            <w:gridSpan w:val="5"/>
            <w:vAlign w:val="center"/>
          </w:tcPr>
          <w:p w14:paraId="300685D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left"/>
              <w:textAlignment w:val="auto"/>
              <w:rPr>
                <w:rFonts w:ascii="宋体" w:hAnsi="宋体" w:cs="宋体"/>
                <w:b/>
                <w:color w:val="auto"/>
                <w:sz w:val="21"/>
                <w:szCs w:val="21"/>
                <w:highlight w:val="none"/>
              </w:rPr>
            </w:pPr>
            <w:r>
              <w:rPr>
                <w:rFonts w:hint="eastAsia"/>
                <w:color w:val="auto"/>
                <w:sz w:val="21"/>
                <w:szCs w:val="21"/>
                <w:highlight w:val="none"/>
              </w:rPr>
              <w:t>合同金额</w:t>
            </w:r>
            <w:r>
              <w:rPr>
                <w:rFonts w:hint="eastAsia"/>
                <w:color w:val="auto"/>
                <w:spacing w:val="-5"/>
                <w:sz w:val="21"/>
                <w:szCs w:val="21"/>
                <w:highlight w:val="none"/>
              </w:rPr>
              <w:t>（</w:t>
            </w:r>
            <w:r>
              <w:rPr>
                <w:rFonts w:hint="eastAsia"/>
                <w:color w:val="auto"/>
                <w:sz w:val="21"/>
                <w:szCs w:val="21"/>
                <w:highlight w:val="none"/>
              </w:rPr>
              <w:t>大写）：人民币</w:t>
            </w:r>
            <w:r>
              <w:rPr>
                <w:rFonts w:hint="eastAsia"/>
                <w:color w:val="auto"/>
                <w:sz w:val="21"/>
                <w:szCs w:val="21"/>
                <w:highlight w:val="none"/>
                <w:u w:val="single"/>
              </w:rPr>
              <w:t xml:space="preserve">                </w:t>
            </w:r>
            <w:r>
              <w:rPr>
                <w:rFonts w:hint="eastAsia"/>
                <w:color w:val="auto"/>
                <w:sz w:val="21"/>
                <w:szCs w:val="21"/>
                <w:highlight w:val="none"/>
                <w:u w:val="single"/>
              </w:rPr>
              <w:tab/>
            </w:r>
            <w:r>
              <w:rPr>
                <w:rFonts w:hint="eastAsia"/>
                <w:color w:val="auto"/>
                <w:spacing w:val="-3"/>
                <w:sz w:val="21"/>
                <w:szCs w:val="21"/>
                <w:highlight w:val="none"/>
              </w:rPr>
              <w:t>（￥</w:t>
            </w:r>
            <w:r>
              <w:rPr>
                <w:rFonts w:hint="eastAsia"/>
                <w:color w:val="auto"/>
                <w:spacing w:val="-3"/>
                <w:sz w:val="21"/>
                <w:szCs w:val="21"/>
                <w:highlight w:val="none"/>
                <w:u w:val="single"/>
              </w:rPr>
              <w:t xml:space="preserve">         </w:t>
            </w:r>
            <w:r>
              <w:rPr>
                <w:rFonts w:hint="eastAsia"/>
                <w:color w:val="auto"/>
                <w:spacing w:val="-3"/>
                <w:sz w:val="21"/>
                <w:szCs w:val="21"/>
                <w:highlight w:val="none"/>
                <w:u w:val="single"/>
                <w:lang w:val="en-US" w:eastAsia="zh-CN"/>
              </w:rPr>
              <w:t xml:space="preserve">          </w:t>
            </w:r>
            <w:r>
              <w:rPr>
                <w:rFonts w:hint="eastAsia"/>
                <w:color w:val="auto"/>
                <w:spacing w:val="-3"/>
                <w:sz w:val="21"/>
                <w:szCs w:val="21"/>
                <w:highlight w:val="none"/>
                <w:u w:val="single"/>
              </w:rPr>
              <w:tab/>
            </w:r>
            <w:r>
              <w:rPr>
                <w:rFonts w:hint="eastAsia"/>
                <w:color w:val="auto"/>
                <w:sz w:val="21"/>
                <w:szCs w:val="21"/>
                <w:highlight w:val="none"/>
              </w:rPr>
              <w:t>）</w:t>
            </w:r>
          </w:p>
        </w:tc>
      </w:tr>
      <w:tr w14:paraId="7592D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9236" w:type="dxa"/>
            <w:gridSpan w:val="5"/>
            <w:vAlign w:val="center"/>
          </w:tcPr>
          <w:p w14:paraId="0539356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left"/>
              <w:textAlignment w:val="auto"/>
              <w:rPr>
                <w:rFonts w:hint="eastAsia" w:eastAsia="宋体"/>
                <w:color w:val="auto"/>
                <w:sz w:val="21"/>
                <w:szCs w:val="21"/>
                <w:highlight w:val="none"/>
                <w:lang w:val="en-US" w:eastAsia="zh-CN"/>
              </w:rPr>
            </w:pPr>
            <w:r>
              <w:rPr>
                <w:rFonts w:hint="eastAsia"/>
                <w:color w:val="auto"/>
                <w:sz w:val="21"/>
                <w:szCs w:val="21"/>
                <w:highlight w:val="none"/>
                <w:lang w:val="en-US" w:eastAsia="zh-CN"/>
              </w:rPr>
              <w:t>说明：投标</w:t>
            </w:r>
            <w:r>
              <w:rPr>
                <w:rFonts w:hint="eastAsia" w:ascii="宋体" w:hAnsi="宋体" w:eastAsia="宋体" w:cs="宋体"/>
                <w:color w:val="auto"/>
                <w:szCs w:val="21"/>
                <w:highlight w:val="none"/>
              </w:rPr>
              <w:t>报价</w:t>
            </w:r>
            <w:r>
              <w:rPr>
                <w:rFonts w:hint="eastAsia" w:ascii="宋体" w:hAnsi="宋体" w:cs="宋体"/>
                <w:color w:val="auto"/>
                <w:szCs w:val="21"/>
                <w:highlight w:val="none"/>
                <w:lang w:eastAsia="zh-CN"/>
              </w:rPr>
              <w:t>包括本次采购范围内的服务价款、作业工具、人员工资、管理费用、差旅费用、税金、保险、利润及一切不可预见的成本等所有费用的总和。</w:t>
            </w:r>
            <w:r>
              <w:rPr>
                <w:rFonts w:hint="eastAsia" w:ascii="宋体" w:hAnsi="宋体" w:cs="宋体"/>
                <w:color w:val="auto"/>
                <w:szCs w:val="21"/>
                <w:highlight w:val="none"/>
                <w:lang w:val="en-US" w:eastAsia="zh-CN"/>
              </w:rPr>
              <w:t>乙方</w:t>
            </w:r>
            <w:r>
              <w:rPr>
                <w:rFonts w:hint="eastAsia" w:ascii="宋体" w:hAnsi="宋体" w:cs="宋体"/>
                <w:color w:val="auto"/>
                <w:szCs w:val="21"/>
                <w:highlight w:val="none"/>
                <w:lang w:eastAsia="zh-CN"/>
              </w:rPr>
              <w:t>综合考虑在报价中，</w:t>
            </w:r>
            <w:r>
              <w:rPr>
                <w:rFonts w:hint="eastAsia" w:ascii="宋体" w:hAnsi="宋体" w:cs="宋体"/>
                <w:color w:val="auto"/>
                <w:szCs w:val="21"/>
                <w:highlight w:val="none"/>
                <w:lang w:val="en-US" w:eastAsia="zh-CN"/>
              </w:rPr>
              <w:t>甲方</w:t>
            </w:r>
            <w:r>
              <w:rPr>
                <w:rFonts w:hint="eastAsia" w:ascii="宋体" w:hAnsi="宋体" w:cs="宋体"/>
                <w:color w:val="auto"/>
                <w:szCs w:val="21"/>
                <w:highlight w:val="none"/>
                <w:lang w:eastAsia="zh-CN"/>
              </w:rPr>
              <w:t>不再另行支付磋商报价之外的任何费用。</w:t>
            </w:r>
          </w:p>
        </w:tc>
      </w:tr>
    </w:tbl>
    <w:p w14:paraId="24B6573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13" w:firstLineChars="196"/>
        <w:jc w:val="left"/>
        <w:textAlignment w:val="auto"/>
        <w:rPr>
          <w:rStyle w:val="37"/>
          <w:rFonts w:ascii="宋体" w:hAnsi="宋体"/>
          <w:b/>
          <w:color w:val="auto"/>
          <w:sz w:val="21"/>
          <w:szCs w:val="21"/>
          <w:highlight w:val="none"/>
        </w:rPr>
      </w:pPr>
      <w:r>
        <w:rPr>
          <w:rFonts w:hint="eastAsia" w:ascii="宋体" w:hAnsi="宋体" w:cs="宋体"/>
          <w:b/>
          <w:color w:val="auto"/>
          <w:sz w:val="21"/>
          <w:szCs w:val="21"/>
          <w:highlight w:val="none"/>
        </w:rPr>
        <w:t xml:space="preserve">第二条  </w:t>
      </w:r>
      <w:r>
        <w:rPr>
          <w:rStyle w:val="37"/>
          <w:rFonts w:hint="eastAsia" w:ascii="宋体" w:hAnsi="宋体"/>
          <w:b/>
          <w:color w:val="auto"/>
          <w:sz w:val="21"/>
          <w:szCs w:val="21"/>
          <w:highlight w:val="none"/>
        </w:rPr>
        <w:t xml:space="preserve"> 服务保证</w:t>
      </w:r>
    </w:p>
    <w:p w14:paraId="5C1F51D0">
      <w:pPr>
        <w:pageBreakBefore w:val="0"/>
        <w:widowControl w:val="0"/>
        <w:kinsoku/>
        <w:wordWrap/>
        <w:overflowPunct/>
        <w:topLinePunct w:val="0"/>
        <w:autoSpaceDE/>
        <w:autoSpaceDN/>
        <w:bidi w:val="0"/>
        <w:adjustRightInd/>
        <w:snapToGrid/>
        <w:spacing w:line="400" w:lineRule="exact"/>
        <w:ind w:firstLine="411" w:firstLineChars="196"/>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乙方应按招标文件承诺的服务响应条款向甲方提供相应服务。乙方负责对成果文件进行说明和解释，对成果文件出现的遗漏或错误负责补充或修改，使其达到质量要求。</w:t>
      </w:r>
    </w:p>
    <w:p w14:paraId="0F202B37">
      <w:pPr>
        <w:pStyle w:val="15"/>
        <w:pageBreakBefore w:val="0"/>
        <w:widowControl w:val="0"/>
        <w:tabs>
          <w:tab w:val="left" w:pos="5940"/>
        </w:tabs>
        <w:kinsoku/>
        <w:wordWrap/>
        <w:overflowPunct/>
        <w:topLinePunct w:val="0"/>
        <w:autoSpaceDE/>
        <w:autoSpaceDN/>
        <w:bidi w:val="0"/>
        <w:adjustRightInd/>
        <w:snapToGrid/>
        <w:spacing w:line="400" w:lineRule="exact"/>
        <w:ind w:firstLine="422" w:firstLineChars="200"/>
        <w:textAlignment w:val="auto"/>
        <w:rPr>
          <w:rStyle w:val="37"/>
          <w:rFonts w:hint="eastAsia" w:ascii="宋体" w:hAnsi="宋体" w:eastAsia="宋体" w:cs="Times New Roman"/>
          <w:b/>
          <w:color w:val="auto"/>
          <w:szCs w:val="21"/>
          <w:highlight w:val="none"/>
        </w:rPr>
      </w:pPr>
      <w:r>
        <w:rPr>
          <w:rStyle w:val="37"/>
          <w:rFonts w:hint="eastAsia" w:ascii="宋体" w:hAnsi="宋体" w:eastAsia="宋体" w:cs="Times New Roman"/>
          <w:b/>
          <w:color w:val="auto"/>
          <w:szCs w:val="21"/>
          <w:highlight w:val="none"/>
        </w:rPr>
        <w:t>第三条  权力保证</w:t>
      </w:r>
    </w:p>
    <w:p w14:paraId="509DA786">
      <w:pPr>
        <w:pageBreakBefore w:val="0"/>
        <w:widowControl w:val="0"/>
        <w:kinsoku/>
        <w:wordWrap/>
        <w:overflowPunct/>
        <w:topLinePunct w:val="0"/>
        <w:autoSpaceDE/>
        <w:autoSpaceDN/>
        <w:bidi w:val="0"/>
        <w:adjustRightInd/>
        <w:snapToGrid/>
        <w:spacing w:line="400" w:lineRule="exact"/>
        <w:ind w:firstLine="411" w:firstLineChars="196"/>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乙方应保证所提供的服务或其任何一部分均不会侵犯任何第三方的专利权、商标权或著作权。工业设计权或其他权利，否则，乙方向第三方承担一切责任。</w:t>
      </w:r>
    </w:p>
    <w:p w14:paraId="2A2ACD41">
      <w:pPr>
        <w:pStyle w:val="15"/>
        <w:pageBreakBefore w:val="0"/>
        <w:widowControl w:val="0"/>
        <w:numPr>
          <w:ilvl w:val="0"/>
          <w:numId w:val="0"/>
        </w:numPr>
        <w:tabs>
          <w:tab w:val="left" w:pos="5940"/>
        </w:tabs>
        <w:kinsoku/>
        <w:wordWrap/>
        <w:overflowPunct/>
        <w:topLinePunct w:val="0"/>
        <w:autoSpaceDE/>
        <w:autoSpaceDN/>
        <w:bidi w:val="0"/>
        <w:adjustRightInd/>
        <w:snapToGrid/>
        <w:spacing w:line="400" w:lineRule="exact"/>
        <w:ind w:firstLine="422" w:firstLineChars="200"/>
        <w:textAlignment w:val="auto"/>
        <w:rPr>
          <w:rStyle w:val="37"/>
          <w:rFonts w:hint="eastAsia" w:ascii="宋体" w:hAnsi="宋体" w:eastAsia="宋体" w:cs="Times New Roman"/>
          <w:b/>
          <w:color w:val="auto"/>
          <w:szCs w:val="21"/>
          <w:highlight w:val="none"/>
        </w:rPr>
      </w:pPr>
      <w:r>
        <w:rPr>
          <w:rFonts w:hint="eastAsia" w:ascii="宋体" w:hAnsi="宋体" w:eastAsia="宋体" w:cs="Times New Roman"/>
          <w:b/>
          <w:color w:val="auto"/>
          <w:kern w:val="2"/>
          <w:sz w:val="21"/>
          <w:szCs w:val="21"/>
          <w:highlight w:val="none"/>
          <w:lang w:val="en-US" w:eastAsia="zh-CN" w:bidi="ar-SA"/>
        </w:rPr>
        <w:t>第四条</w:t>
      </w:r>
      <w:r>
        <w:rPr>
          <w:rFonts w:hint="eastAsia" w:hAnsi="宋体" w:cs="Times New Roman"/>
          <w:b/>
          <w:color w:val="auto"/>
          <w:kern w:val="2"/>
          <w:sz w:val="21"/>
          <w:szCs w:val="21"/>
          <w:highlight w:val="none"/>
          <w:lang w:val="en-US" w:eastAsia="zh-CN" w:bidi="ar-SA"/>
        </w:rPr>
        <w:t xml:space="preserve"> </w:t>
      </w:r>
      <w:r>
        <w:rPr>
          <w:rStyle w:val="37"/>
          <w:rFonts w:hint="eastAsia" w:ascii="宋体" w:hAnsi="宋体" w:eastAsia="宋体" w:cs="Times New Roman"/>
          <w:b/>
          <w:color w:val="auto"/>
          <w:szCs w:val="21"/>
          <w:highlight w:val="none"/>
        </w:rPr>
        <w:t xml:space="preserve"> </w:t>
      </w:r>
      <w:r>
        <w:rPr>
          <w:rFonts w:hint="eastAsia" w:ascii="宋体" w:hAnsi="宋体" w:cs="宋体"/>
          <w:b/>
          <w:bCs/>
          <w:color w:val="auto"/>
          <w:sz w:val="21"/>
          <w:szCs w:val="21"/>
          <w:highlight w:val="none"/>
          <w:lang w:val="en-US" w:eastAsia="zh-CN"/>
        </w:rPr>
        <w:t>编制主要内容及要求</w:t>
      </w:r>
    </w:p>
    <w:p w14:paraId="5944279B">
      <w:pPr>
        <w:pageBreakBefore w:val="0"/>
        <w:widowControl w:val="0"/>
        <w:kinsoku/>
        <w:wordWrap/>
        <w:overflowPunct/>
        <w:topLinePunct w:val="0"/>
        <w:autoSpaceDE/>
        <w:autoSpaceDN/>
        <w:bidi w:val="0"/>
        <w:adjustRightInd/>
        <w:snapToGrid/>
        <w:spacing w:line="400" w:lineRule="exact"/>
        <w:ind w:firstLine="411" w:firstLineChars="196"/>
        <w:textAlignment w:val="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（一）做好规划编制基础工作</w:t>
      </w:r>
    </w:p>
    <w:p w14:paraId="4007FB36">
      <w:pPr>
        <w:pageBreakBefore w:val="0"/>
        <w:widowControl w:val="0"/>
        <w:kinsoku/>
        <w:wordWrap/>
        <w:overflowPunct/>
        <w:topLinePunct w:val="0"/>
        <w:autoSpaceDE/>
        <w:autoSpaceDN/>
        <w:bidi w:val="0"/>
        <w:adjustRightInd/>
        <w:snapToGrid/>
        <w:spacing w:line="400" w:lineRule="exact"/>
        <w:ind w:firstLine="411" w:firstLineChars="196"/>
        <w:textAlignment w:val="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完善编制工作措施，充分做好组织准备和技术准备，严格核实资源勘查、资源储量、矿业权设置、开发利用、矿山地质环境及土地复垦等基础数据，认真做好基础调研、资料收集等工作。</w:t>
      </w:r>
    </w:p>
    <w:p w14:paraId="692ED0D3">
      <w:pPr>
        <w:pageBreakBefore w:val="0"/>
        <w:widowControl w:val="0"/>
        <w:kinsoku/>
        <w:wordWrap/>
        <w:overflowPunct/>
        <w:topLinePunct w:val="0"/>
        <w:autoSpaceDE/>
        <w:autoSpaceDN/>
        <w:bidi w:val="0"/>
        <w:adjustRightInd/>
        <w:snapToGrid/>
        <w:spacing w:line="400" w:lineRule="exact"/>
        <w:ind w:firstLine="411" w:firstLineChars="196"/>
        <w:textAlignment w:val="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（二）编制矿产资源规划文本</w:t>
      </w:r>
    </w:p>
    <w:p w14:paraId="4494D368">
      <w:pPr>
        <w:pageBreakBefore w:val="0"/>
        <w:widowControl w:val="0"/>
        <w:kinsoku/>
        <w:wordWrap/>
        <w:overflowPunct/>
        <w:topLinePunct w:val="0"/>
        <w:autoSpaceDE/>
        <w:autoSpaceDN/>
        <w:bidi w:val="0"/>
        <w:adjustRightInd/>
        <w:snapToGrid/>
        <w:spacing w:line="400" w:lineRule="exact"/>
        <w:ind w:firstLine="411" w:firstLineChars="196"/>
        <w:textAlignment w:val="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综合集成重点专题研究成果，全面细化落实自治区自然资源厅规划部署要求，明确规划的总体目标、重点任务、规划控制指标、规划区划分原则及管理措施，对市级依法出让登记和上级自然资源主管部门委托出让登记矿种的勘查、开发利用和保护活动作出详细安排。</w:t>
      </w:r>
    </w:p>
    <w:p w14:paraId="7C1C6E00">
      <w:pPr>
        <w:pageBreakBefore w:val="0"/>
        <w:widowControl w:val="0"/>
        <w:kinsoku/>
        <w:wordWrap/>
        <w:overflowPunct/>
        <w:topLinePunct w:val="0"/>
        <w:autoSpaceDE/>
        <w:autoSpaceDN/>
        <w:bidi w:val="0"/>
        <w:adjustRightInd/>
        <w:snapToGrid/>
        <w:spacing w:line="400" w:lineRule="exact"/>
        <w:ind w:firstLine="411" w:firstLineChars="196"/>
        <w:textAlignment w:val="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（三）规划图件制作</w:t>
      </w:r>
    </w:p>
    <w:p w14:paraId="7E580F34">
      <w:pPr>
        <w:pageBreakBefore w:val="0"/>
        <w:widowControl w:val="0"/>
        <w:kinsoku/>
        <w:wordWrap/>
        <w:overflowPunct/>
        <w:topLinePunct w:val="0"/>
        <w:autoSpaceDE/>
        <w:autoSpaceDN/>
        <w:bidi w:val="0"/>
        <w:adjustRightInd/>
        <w:snapToGrid/>
        <w:spacing w:line="400" w:lineRule="exact"/>
        <w:ind w:firstLine="411" w:firstLineChars="196"/>
        <w:textAlignment w:val="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以1:1万地理底图为基本底图，规划底图坐标采用2000国家大地坐标系，按照《广西“十五五”市级矿产资源规划编制技术规程》要求制作桂林市规划附图。</w:t>
      </w:r>
    </w:p>
    <w:p w14:paraId="759E0200">
      <w:pPr>
        <w:pageBreakBefore w:val="0"/>
        <w:widowControl w:val="0"/>
        <w:kinsoku/>
        <w:wordWrap/>
        <w:overflowPunct/>
        <w:topLinePunct w:val="0"/>
        <w:autoSpaceDE/>
        <w:autoSpaceDN/>
        <w:bidi w:val="0"/>
        <w:adjustRightInd/>
        <w:snapToGrid/>
        <w:spacing w:line="400" w:lineRule="exact"/>
        <w:ind w:firstLine="411" w:firstLineChars="196"/>
        <w:textAlignment w:val="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（四）规划编制数据库建设</w:t>
      </w:r>
    </w:p>
    <w:p w14:paraId="0A33D29C">
      <w:pPr>
        <w:pageBreakBefore w:val="0"/>
        <w:widowControl w:val="0"/>
        <w:kinsoku/>
        <w:wordWrap/>
        <w:overflowPunct/>
        <w:topLinePunct w:val="0"/>
        <w:autoSpaceDE/>
        <w:autoSpaceDN/>
        <w:bidi w:val="0"/>
        <w:adjustRightInd/>
        <w:snapToGrid/>
        <w:spacing w:line="400" w:lineRule="exact"/>
        <w:ind w:firstLine="411" w:firstLineChars="196"/>
        <w:textAlignment w:val="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按照最新的矿产资源规划数据库标准和矿产资源规划数据库建设指南，按时完成桂林市矿产资源规划数据库的建设、质量检查和汇交工作，保障数据库建设与规划编制的同期开展、同步完成。</w:t>
      </w:r>
    </w:p>
    <w:p w14:paraId="4210D6F6">
      <w:pPr>
        <w:pageBreakBefore w:val="0"/>
        <w:widowControl w:val="0"/>
        <w:kinsoku/>
        <w:wordWrap/>
        <w:overflowPunct/>
        <w:topLinePunct w:val="0"/>
        <w:autoSpaceDE/>
        <w:autoSpaceDN/>
        <w:bidi w:val="0"/>
        <w:adjustRightInd/>
        <w:snapToGrid/>
        <w:spacing w:line="400" w:lineRule="exact"/>
        <w:ind w:firstLine="411" w:firstLineChars="196"/>
        <w:textAlignment w:val="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（五）规划环境影响评价</w:t>
      </w:r>
    </w:p>
    <w:p w14:paraId="78D7E6BB">
      <w:pPr>
        <w:pageBreakBefore w:val="0"/>
        <w:widowControl w:val="0"/>
        <w:kinsoku/>
        <w:wordWrap/>
        <w:overflowPunct/>
        <w:topLinePunct w:val="0"/>
        <w:autoSpaceDE/>
        <w:autoSpaceDN/>
        <w:bidi w:val="0"/>
        <w:adjustRightInd/>
        <w:snapToGrid/>
        <w:spacing w:line="400" w:lineRule="exact"/>
        <w:ind w:firstLine="411" w:firstLineChars="196"/>
        <w:textAlignment w:val="auto"/>
        <w:rPr>
          <w:rFonts w:hint="default" w:ascii="宋体" w:hAnsi="宋体" w:eastAsia="宋体" w:cs="宋体"/>
          <w:bCs/>
          <w:color w:val="auto"/>
          <w:szCs w:val="21"/>
          <w:highlight w:val="none"/>
          <w:lang w:val="en-US"/>
        </w:rPr>
      </w:pPr>
      <w:r>
        <w:rPr>
          <w:rFonts w:hint="eastAsia" w:ascii="宋体" w:hAnsi="宋体" w:eastAsia="宋体" w:cs="宋体"/>
          <w:bCs/>
          <w:color w:val="auto"/>
          <w:szCs w:val="21"/>
          <w:highlight w:val="none"/>
          <w:lang w:val="en-US" w:eastAsia="zh-CN"/>
        </w:rPr>
        <w:t>根据《规划环境影响评价条例》的有关规定，编写环境影响篇章，并与规划成果同步提交审查。</w:t>
      </w:r>
    </w:p>
    <w:p w14:paraId="573D0575">
      <w:pPr>
        <w:pStyle w:val="15"/>
        <w:pageBreakBefore w:val="0"/>
        <w:widowControl w:val="0"/>
        <w:numPr>
          <w:ilvl w:val="0"/>
          <w:numId w:val="0"/>
        </w:numPr>
        <w:tabs>
          <w:tab w:val="left" w:pos="5940"/>
        </w:tabs>
        <w:kinsoku/>
        <w:wordWrap/>
        <w:overflowPunct/>
        <w:topLinePunct w:val="0"/>
        <w:autoSpaceDE/>
        <w:autoSpaceDN/>
        <w:bidi w:val="0"/>
        <w:adjustRightInd/>
        <w:snapToGrid/>
        <w:spacing w:line="400" w:lineRule="exact"/>
        <w:ind w:firstLine="422" w:firstLineChars="200"/>
        <w:textAlignment w:val="auto"/>
        <w:rPr>
          <w:rStyle w:val="37"/>
          <w:rFonts w:hint="eastAsia" w:ascii="宋体" w:hAnsi="宋体" w:eastAsia="宋体" w:cs="Times New Roman"/>
          <w:b/>
          <w:color w:val="auto"/>
          <w:szCs w:val="21"/>
          <w:highlight w:val="none"/>
        </w:rPr>
      </w:pPr>
      <w:r>
        <w:rPr>
          <w:rFonts w:hint="eastAsia" w:ascii="宋体" w:hAnsi="宋体" w:eastAsia="宋体" w:cs="Times New Roman"/>
          <w:b/>
          <w:color w:val="auto"/>
          <w:kern w:val="2"/>
          <w:sz w:val="21"/>
          <w:szCs w:val="21"/>
          <w:highlight w:val="none"/>
          <w:lang w:val="en-US" w:eastAsia="zh-CN" w:bidi="ar-SA"/>
        </w:rPr>
        <w:t>第五条</w:t>
      </w:r>
      <w:r>
        <w:rPr>
          <w:rFonts w:hint="eastAsia" w:hAnsi="宋体" w:cs="Times New Roman"/>
          <w:b/>
          <w:color w:val="auto"/>
          <w:kern w:val="2"/>
          <w:sz w:val="21"/>
          <w:szCs w:val="21"/>
          <w:highlight w:val="none"/>
          <w:lang w:val="en-US" w:eastAsia="zh-CN" w:bidi="ar-SA"/>
        </w:rPr>
        <w:t xml:space="preserve">  </w:t>
      </w:r>
      <w:r>
        <w:rPr>
          <w:rFonts w:hint="eastAsia" w:ascii="宋体" w:hAnsi="宋体" w:eastAsia="宋体" w:cs="Times New Roman"/>
          <w:b/>
          <w:color w:val="auto"/>
          <w:kern w:val="2"/>
          <w:sz w:val="21"/>
          <w:szCs w:val="21"/>
          <w:highlight w:val="none"/>
          <w:lang w:val="en-US" w:eastAsia="zh-CN" w:bidi="ar-SA"/>
        </w:rPr>
        <w:t>成果交付内容及要求</w:t>
      </w:r>
    </w:p>
    <w:p w14:paraId="70FCE5D0">
      <w:pPr>
        <w:pageBreakBefore w:val="0"/>
        <w:widowControl w:val="0"/>
        <w:kinsoku/>
        <w:wordWrap/>
        <w:overflowPunct/>
        <w:topLinePunct w:val="0"/>
        <w:autoSpaceDE/>
        <w:autoSpaceDN/>
        <w:bidi w:val="0"/>
        <w:adjustRightInd/>
        <w:snapToGrid/>
        <w:spacing w:line="400" w:lineRule="exact"/>
        <w:ind w:firstLine="411" w:firstLineChars="196"/>
        <w:textAlignment w:val="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(一)成果内容</w:t>
      </w:r>
    </w:p>
    <w:p w14:paraId="43C0502A">
      <w:pPr>
        <w:pageBreakBefore w:val="0"/>
        <w:widowControl w:val="0"/>
        <w:kinsoku/>
        <w:wordWrap/>
        <w:overflowPunct/>
        <w:topLinePunct w:val="0"/>
        <w:autoSpaceDE/>
        <w:autoSpaceDN/>
        <w:bidi w:val="0"/>
        <w:adjustRightInd/>
        <w:snapToGrid/>
        <w:spacing w:line="400" w:lineRule="exact"/>
        <w:ind w:firstLine="411" w:firstLineChars="196"/>
        <w:textAlignment w:val="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提交规划文本、附表、附图、编制说明和数据库等。</w:t>
      </w:r>
    </w:p>
    <w:p w14:paraId="531984B3">
      <w:pPr>
        <w:pageBreakBefore w:val="0"/>
        <w:widowControl w:val="0"/>
        <w:kinsoku/>
        <w:wordWrap/>
        <w:overflowPunct/>
        <w:topLinePunct w:val="0"/>
        <w:autoSpaceDE/>
        <w:autoSpaceDN/>
        <w:bidi w:val="0"/>
        <w:adjustRightInd/>
        <w:snapToGrid/>
        <w:spacing w:line="400" w:lineRule="exact"/>
        <w:ind w:firstLine="411" w:firstLineChars="196"/>
        <w:textAlignment w:val="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（二）格式要求</w:t>
      </w:r>
    </w:p>
    <w:p w14:paraId="3657B40B">
      <w:pPr>
        <w:pageBreakBefore w:val="0"/>
        <w:widowControl w:val="0"/>
        <w:kinsoku/>
        <w:wordWrap/>
        <w:overflowPunct/>
        <w:topLinePunct w:val="0"/>
        <w:autoSpaceDE/>
        <w:autoSpaceDN/>
        <w:bidi w:val="0"/>
        <w:adjustRightInd/>
        <w:snapToGrid/>
        <w:spacing w:line="400" w:lineRule="exact"/>
        <w:ind w:firstLine="411" w:firstLineChars="196"/>
        <w:textAlignment w:val="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全部成果均应提供电子文件和纸质文本（具体份数由双方协定），文图表的内容应一致。电子文本采用Microsoft Word、WPS格式文件，附表采用Microsoft Excel、WPS格式文件；绘制规划附图采用ArcGIS或MapGIS等；电子图形文件包括符合数据库要求的标准矢量格式和JPG格式，纸质文本采用A4纸打印。</w:t>
      </w:r>
    </w:p>
    <w:p w14:paraId="5863955C">
      <w:pPr>
        <w:pageBreakBefore w:val="0"/>
        <w:widowControl w:val="0"/>
        <w:kinsoku/>
        <w:wordWrap/>
        <w:overflowPunct/>
        <w:topLinePunct w:val="0"/>
        <w:autoSpaceDE/>
        <w:autoSpaceDN/>
        <w:bidi w:val="0"/>
        <w:adjustRightInd/>
        <w:snapToGrid/>
        <w:spacing w:line="400" w:lineRule="exact"/>
        <w:ind w:firstLine="411" w:firstLineChars="196"/>
        <w:textAlignment w:val="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全部成果坐标系应用2000国家大地坐标系。规划区块内赋存矿种应都纳入允许开采矿种当中，针对不同矿种的开采指标应根据实际设立，不限于一个。</w:t>
      </w:r>
    </w:p>
    <w:p w14:paraId="4CAAE3C8">
      <w:pPr>
        <w:pageBreakBefore w:val="0"/>
        <w:widowControl w:val="0"/>
        <w:kinsoku/>
        <w:wordWrap/>
        <w:overflowPunct/>
        <w:topLinePunct w:val="0"/>
        <w:autoSpaceDE/>
        <w:autoSpaceDN/>
        <w:bidi w:val="0"/>
        <w:adjustRightInd/>
        <w:snapToGrid/>
        <w:spacing w:line="400" w:lineRule="exact"/>
        <w:ind w:firstLine="411" w:firstLineChars="196"/>
        <w:textAlignment w:val="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（三）质量要求</w:t>
      </w:r>
    </w:p>
    <w:p w14:paraId="2DBC63F4">
      <w:pPr>
        <w:pageBreakBefore w:val="0"/>
        <w:widowControl w:val="0"/>
        <w:kinsoku/>
        <w:wordWrap/>
        <w:overflowPunct/>
        <w:topLinePunct w:val="0"/>
        <w:autoSpaceDE/>
        <w:autoSpaceDN/>
        <w:bidi w:val="0"/>
        <w:adjustRightInd/>
        <w:snapToGrid/>
        <w:spacing w:line="400" w:lineRule="exact"/>
        <w:ind w:firstLine="411" w:firstLineChars="196"/>
        <w:textAlignment w:val="auto"/>
        <w:rPr>
          <w:rFonts w:hint="eastAsia" w:ascii="宋体" w:hAnsi="宋体" w:eastAsia="宋体" w:cs="Times New Roman"/>
          <w:b/>
          <w:color w:val="auto"/>
          <w:kern w:val="2"/>
          <w:sz w:val="21"/>
          <w:szCs w:val="21"/>
          <w:highlight w:val="none"/>
          <w:lang w:val="en-US" w:eastAsia="zh-CN" w:bidi="ar-SA"/>
        </w:rPr>
      </w:pPr>
      <w:r>
        <w:rPr>
          <w:rFonts w:hint="eastAsia" w:ascii="宋体" w:hAnsi="宋体" w:eastAsia="宋体" w:cs="宋体"/>
          <w:bCs/>
          <w:color w:val="auto"/>
          <w:szCs w:val="21"/>
          <w:highlight w:val="none"/>
          <w:lang w:val="en-US" w:eastAsia="zh-CN"/>
        </w:rPr>
        <w:t>符合自然资源部以及自治区自然资源厅关于矿产资源总体规划编制工作的标准、规范、规程和办法等要求，并通过自治区相关部门的审查验收，通过有批准权的机关批准。</w:t>
      </w:r>
    </w:p>
    <w:p w14:paraId="69D5F393">
      <w:pPr>
        <w:pStyle w:val="15"/>
        <w:pageBreakBefore w:val="0"/>
        <w:widowControl w:val="0"/>
        <w:numPr>
          <w:ilvl w:val="0"/>
          <w:numId w:val="0"/>
        </w:numPr>
        <w:tabs>
          <w:tab w:val="left" w:pos="5940"/>
        </w:tabs>
        <w:kinsoku/>
        <w:wordWrap/>
        <w:overflowPunct/>
        <w:topLinePunct w:val="0"/>
        <w:autoSpaceDE/>
        <w:autoSpaceDN/>
        <w:bidi w:val="0"/>
        <w:adjustRightInd/>
        <w:snapToGrid/>
        <w:spacing w:line="400" w:lineRule="exact"/>
        <w:ind w:firstLine="422" w:firstLineChars="200"/>
        <w:textAlignment w:val="auto"/>
        <w:rPr>
          <w:rStyle w:val="37"/>
          <w:rFonts w:hint="eastAsia" w:ascii="宋体" w:hAnsi="宋体" w:eastAsia="宋体" w:cs="Times New Roman"/>
          <w:b/>
          <w:color w:val="auto"/>
          <w:szCs w:val="21"/>
          <w:highlight w:val="none"/>
        </w:rPr>
      </w:pPr>
      <w:r>
        <w:rPr>
          <w:rFonts w:hint="eastAsia" w:ascii="宋体" w:hAnsi="宋体" w:eastAsia="宋体" w:cs="Times New Roman"/>
          <w:b/>
          <w:color w:val="auto"/>
          <w:kern w:val="2"/>
          <w:sz w:val="21"/>
          <w:szCs w:val="21"/>
          <w:highlight w:val="none"/>
          <w:lang w:val="en-US" w:eastAsia="zh-CN" w:bidi="ar-SA"/>
        </w:rPr>
        <w:t>第六条</w:t>
      </w:r>
      <w:r>
        <w:rPr>
          <w:rFonts w:hint="eastAsia" w:hAnsi="宋体" w:cs="Times New Roman"/>
          <w:b/>
          <w:color w:val="auto"/>
          <w:kern w:val="2"/>
          <w:sz w:val="21"/>
          <w:szCs w:val="21"/>
          <w:highlight w:val="none"/>
          <w:lang w:val="en-US" w:eastAsia="zh-CN" w:bidi="ar-SA"/>
        </w:rPr>
        <w:t xml:space="preserve">  </w:t>
      </w:r>
      <w:r>
        <w:rPr>
          <w:rStyle w:val="37"/>
          <w:rFonts w:hint="eastAsia" w:hAnsi="宋体" w:cs="Times New Roman"/>
          <w:b/>
          <w:color w:val="auto"/>
          <w:szCs w:val="21"/>
          <w:highlight w:val="none"/>
          <w:lang w:val="en-US"/>
        </w:rPr>
        <w:t>服务时间和服务地点</w:t>
      </w:r>
    </w:p>
    <w:p w14:paraId="50608E8D">
      <w:pPr>
        <w:pStyle w:val="15"/>
        <w:pageBreakBefore w:val="0"/>
        <w:widowControl w:val="0"/>
        <w:tabs>
          <w:tab w:val="left" w:pos="5940"/>
        </w:tabs>
        <w:kinsoku/>
        <w:wordWrap/>
        <w:overflowPunct/>
        <w:topLinePunct w:val="0"/>
        <w:autoSpaceDE/>
        <w:autoSpaceDN/>
        <w:bidi w:val="0"/>
        <w:adjustRightInd/>
        <w:snapToGrid/>
        <w:spacing w:line="400" w:lineRule="exact"/>
        <w:ind w:firstLine="420" w:firstLineChars="200"/>
        <w:textAlignment w:val="auto"/>
        <w:rPr>
          <w:rFonts w:hint="eastAsia" w:hAnsi="宋体" w:cs="宋体"/>
          <w:b w:val="0"/>
          <w:bCs/>
          <w:color w:val="auto"/>
          <w:kern w:val="0"/>
          <w:sz w:val="21"/>
          <w:szCs w:val="21"/>
          <w:highlight w:val="none"/>
          <w:lang w:val="en-US" w:eastAsia="zh-CN"/>
        </w:rPr>
      </w:pPr>
      <w:r>
        <w:rPr>
          <w:rFonts w:hint="eastAsia" w:hAnsi="宋体" w:cs="宋体"/>
          <w:b w:val="0"/>
          <w:bCs/>
          <w:color w:val="auto"/>
          <w:kern w:val="0"/>
          <w:sz w:val="21"/>
          <w:szCs w:val="21"/>
          <w:highlight w:val="none"/>
          <w:lang w:val="en-US" w:eastAsia="zh-CN"/>
        </w:rPr>
        <w:t>服务时间：签订合同后,2026年4月底前,完成规划预审稿报自治区自然资源厅审批。2026年8月底前,规划送审稿（含规划数据库）经市人民政府审核同意后，报自治区自然资源厅审批。编制的《桂林市矿产资源总体规划（2026-2030年）》须经自治区自然资源厅批复同意实施。</w:t>
      </w:r>
    </w:p>
    <w:p w14:paraId="367A5960">
      <w:pPr>
        <w:pStyle w:val="15"/>
        <w:pageBreakBefore w:val="0"/>
        <w:widowControl w:val="0"/>
        <w:tabs>
          <w:tab w:val="left" w:pos="5940"/>
        </w:tabs>
        <w:kinsoku/>
        <w:wordWrap/>
        <w:overflowPunct/>
        <w:topLinePunct w:val="0"/>
        <w:autoSpaceDE/>
        <w:autoSpaceDN/>
        <w:bidi w:val="0"/>
        <w:adjustRightInd/>
        <w:snapToGrid/>
        <w:spacing w:line="400" w:lineRule="exact"/>
        <w:ind w:firstLine="420" w:firstLineChars="200"/>
        <w:textAlignment w:val="auto"/>
        <w:rPr>
          <w:rFonts w:hint="default" w:hAnsi="宋体" w:cs="宋体"/>
          <w:b w:val="0"/>
          <w:bCs/>
          <w:color w:val="auto"/>
          <w:kern w:val="0"/>
          <w:sz w:val="21"/>
          <w:szCs w:val="21"/>
          <w:highlight w:val="none"/>
          <w:lang w:val="en-US" w:eastAsia="zh-CN"/>
        </w:rPr>
      </w:pPr>
      <w:r>
        <w:rPr>
          <w:rFonts w:hint="eastAsia" w:hAnsi="宋体" w:cs="宋体"/>
          <w:b w:val="0"/>
          <w:bCs/>
          <w:color w:val="auto"/>
          <w:kern w:val="0"/>
          <w:sz w:val="21"/>
          <w:szCs w:val="21"/>
          <w:highlight w:val="none"/>
          <w:lang w:val="en-US" w:eastAsia="zh-CN"/>
        </w:rPr>
        <w:t>服务地点：桂林市采购人指定地点。</w:t>
      </w:r>
    </w:p>
    <w:p w14:paraId="5C29F4E4">
      <w:pPr>
        <w:pStyle w:val="15"/>
        <w:pageBreakBefore w:val="0"/>
        <w:widowControl w:val="0"/>
        <w:tabs>
          <w:tab w:val="left" w:pos="5940"/>
        </w:tabs>
        <w:kinsoku/>
        <w:wordWrap/>
        <w:overflowPunct/>
        <w:topLinePunct w:val="0"/>
        <w:autoSpaceDE/>
        <w:autoSpaceDN/>
        <w:bidi w:val="0"/>
        <w:adjustRightInd/>
        <w:snapToGrid/>
        <w:spacing w:line="400" w:lineRule="exact"/>
        <w:ind w:firstLine="422" w:firstLineChars="200"/>
        <w:textAlignment w:val="auto"/>
        <w:rPr>
          <w:rStyle w:val="37"/>
          <w:rFonts w:hint="eastAsia" w:ascii="宋体" w:hAnsi="宋体" w:eastAsia="宋体" w:cs="Times New Roman"/>
          <w:b/>
          <w:color w:val="auto"/>
          <w:szCs w:val="21"/>
          <w:highlight w:val="none"/>
        </w:rPr>
      </w:pPr>
      <w:r>
        <w:rPr>
          <w:rStyle w:val="37"/>
          <w:rFonts w:hint="eastAsia" w:ascii="宋体" w:hAnsi="宋体" w:eastAsia="宋体" w:cs="Times New Roman"/>
          <w:b/>
          <w:color w:val="auto"/>
          <w:szCs w:val="21"/>
          <w:highlight w:val="none"/>
        </w:rPr>
        <w:t>第</w:t>
      </w:r>
      <w:r>
        <w:rPr>
          <w:rStyle w:val="37"/>
          <w:rFonts w:hint="eastAsia" w:hAnsi="宋体" w:cs="Times New Roman"/>
          <w:b/>
          <w:color w:val="auto"/>
          <w:szCs w:val="21"/>
          <w:highlight w:val="none"/>
          <w:lang w:val="en-US" w:eastAsia="zh-CN"/>
        </w:rPr>
        <w:t>七</w:t>
      </w:r>
      <w:r>
        <w:rPr>
          <w:rStyle w:val="37"/>
          <w:rFonts w:hint="eastAsia" w:ascii="宋体" w:hAnsi="宋体" w:eastAsia="宋体" w:cs="Times New Roman"/>
          <w:b/>
          <w:color w:val="auto"/>
          <w:szCs w:val="21"/>
          <w:highlight w:val="none"/>
        </w:rPr>
        <w:t xml:space="preserve">条  双方责任 </w:t>
      </w:r>
    </w:p>
    <w:p w14:paraId="4B139276">
      <w:pPr>
        <w:pStyle w:val="15"/>
        <w:pageBreakBefore w:val="0"/>
        <w:widowControl w:val="0"/>
        <w:tabs>
          <w:tab w:val="left" w:pos="5940"/>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1、甲方责任 </w:t>
      </w:r>
    </w:p>
    <w:p w14:paraId="27AFED71">
      <w:pPr>
        <w:pStyle w:val="15"/>
        <w:pageBreakBefore w:val="0"/>
        <w:widowControl w:val="0"/>
        <w:tabs>
          <w:tab w:val="left" w:pos="5940"/>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（1）甲方在本委托合同签订后，协助乙方进行服务准备事项。</w:t>
      </w:r>
    </w:p>
    <w:p w14:paraId="5B3E77DA">
      <w:pPr>
        <w:pStyle w:val="15"/>
        <w:pageBreakBefore w:val="0"/>
        <w:widowControl w:val="0"/>
        <w:tabs>
          <w:tab w:val="left" w:pos="5940"/>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（2）为乙方开展工作提供必要的条件和配合。</w:t>
      </w:r>
    </w:p>
    <w:p w14:paraId="784AFE24">
      <w:pPr>
        <w:pStyle w:val="15"/>
        <w:pageBreakBefore w:val="0"/>
        <w:widowControl w:val="0"/>
        <w:tabs>
          <w:tab w:val="left" w:pos="5940"/>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（3）对乙方开展工作的全过程，甲方派出人员进行必要的业务检查、监督和指导。</w:t>
      </w:r>
    </w:p>
    <w:p w14:paraId="7E9FCCB1">
      <w:pPr>
        <w:pStyle w:val="15"/>
        <w:pageBreakBefore w:val="0"/>
        <w:widowControl w:val="0"/>
        <w:tabs>
          <w:tab w:val="left" w:pos="5940"/>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（4）按本合同之规定及时向乙方支付技术服务费。</w:t>
      </w:r>
    </w:p>
    <w:p w14:paraId="4F2588B6">
      <w:pPr>
        <w:pStyle w:val="15"/>
        <w:pageBreakBefore w:val="0"/>
        <w:widowControl w:val="0"/>
        <w:tabs>
          <w:tab w:val="left" w:pos="5940"/>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2、乙方责任</w:t>
      </w:r>
    </w:p>
    <w:p w14:paraId="06A28171">
      <w:pPr>
        <w:pStyle w:val="15"/>
        <w:pageBreakBefore w:val="0"/>
        <w:widowControl w:val="0"/>
        <w:tabs>
          <w:tab w:val="left" w:pos="5940"/>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（1）在委托合同签订后，准备服务工作。</w:t>
      </w:r>
    </w:p>
    <w:p w14:paraId="3C380BD1">
      <w:pPr>
        <w:pStyle w:val="15"/>
        <w:pageBreakBefore w:val="0"/>
        <w:widowControl w:val="0"/>
        <w:tabs>
          <w:tab w:val="left" w:pos="5940"/>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（2）服务内容及要求</w:t>
      </w:r>
    </w:p>
    <w:p w14:paraId="7D01E9DB">
      <w:pPr>
        <w:pStyle w:val="15"/>
        <w:pageBreakBefore w:val="0"/>
        <w:widowControl w:val="0"/>
        <w:tabs>
          <w:tab w:val="left" w:pos="5940"/>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bCs/>
          <w:color w:val="auto"/>
          <w:szCs w:val="21"/>
          <w:highlight w:val="none"/>
        </w:rPr>
        <w:t>按</w:t>
      </w:r>
      <w:r>
        <w:rPr>
          <w:rFonts w:hint="eastAsia" w:ascii="宋体" w:hAnsi="宋体" w:eastAsia="宋体" w:cs="宋体"/>
          <w:bCs/>
          <w:color w:val="auto"/>
          <w:szCs w:val="21"/>
          <w:highlight w:val="none"/>
          <w:lang w:eastAsia="zh-CN"/>
        </w:rPr>
        <w:t>磋商</w:t>
      </w:r>
      <w:r>
        <w:rPr>
          <w:rFonts w:hint="eastAsia" w:ascii="宋体" w:hAnsi="宋体" w:eastAsia="宋体" w:cs="宋体"/>
          <w:bCs/>
          <w:color w:val="auto"/>
          <w:szCs w:val="21"/>
          <w:highlight w:val="none"/>
        </w:rPr>
        <w:t>文件规定的服务范围向甲方提供相应服务</w:t>
      </w:r>
      <w:r>
        <w:rPr>
          <w:rFonts w:hint="eastAsia" w:ascii="宋体" w:hAnsi="宋体" w:eastAsia="宋体" w:cs="宋体"/>
          <w:color w:val="auto"/>
          <w:szCs w:val="21"/>
          <w:highlight w:val="none"/>
          <w:lang w:val="en-US" w:eastAsia="zh-CN"/>
        </w:rPr>
        <w:t>。</w:t>
      </w:r>
    </w:p>
    <w:p w14:paraId="588C176F">
      <w:pPr>
        <w:pStyle w:val="15"/>
        <w:pageBreakBefore w:val="0"/>
        <w:widowControl w:val="0"/>
        <w:tabs>
          <w:tab w:val="left" w:pos="5940"/>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3、双方约定</w:t>
      </w:r>
    </w:p>
    <w:p w14:paraId="0DB9A926">
      <w:pPr>
        <w:pStyle w:val="15"/>
        <w:pageBreakBefore w:val="0"/>
        <w:widowControl w:val="0"/>
        <w:tabs>
          <w:tab w:val="left" w:pos="5940"/>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（1）乙方不得将甲方委托的工作转交第三方完成。</w:t>
      </w:r>
    </w:p>
    <w:p w14:paraId="4F296F5C">
      <w:pPr>
        <w:pStyle w:val="15"/>
        <w:pageBreakBefore w:val="0"/>
        <w:widowControl w:val="0"/>
        <w:tabs>
          <w:tab w:val="left" w:pos="5940"/>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（2）乙方应严格按国家有关标准提供相关服务。按本合同规定的内容、时间及份数向甲方交付技术文件，并对提交的技术文件的质量负责。 </w:t>
      </w:r>
    </w:p>
    <w:p w14:paraId="7E80DE9E">
      <w:pPr>
        <w:pStyle w:val="15"/>
        <w:pageBreakBefore w:val="0"/>
        <w:widowControl w:val="0"/>
        <w:tabs>
          <w:tab w:val="left" w:pos="5940"/>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（3）乙方不得将甲方委托的服务工作内容及基础资料透露给除乙方以外的任何人。即使向履行本合同有关的人员提供，也应注意保密并限于履行合同的必需范围。</w:t>
      </w:r>
    </w:p>
    <w:p w14:paraId="23214B9C">
      <w:pPr>
        <w:pStyle w:val="15"/>
        <w:pageBreakBefore w:val="0"/>
        <w:widowControl w:val="0"/>
        <w:tabs>
          <w:tab w:val="left" w:pos="5940"/>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合同有效期内，甲方认为乙方实际投入的人员不足以满足任务需要或认为人员不称职时，可向乙方发出要求增加或更换人员的通知，乙方在收到通知后的5天内应增加或更换相应的人员，由此产生的费用由乙方自行承担。</w:t>
      </w:r>
    </w:p>
    <w:p w14:paraId="3B00CD34">
      <w:pPr>
        <w:pStyle w:val="15"/>
        <w:pageBreakBefore w:val="0"/>
        <w:widowControl w:val="0"/>
        <w:tabs>
          <w:tab w:val="left" w:pos="5940"/>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（5）乙方提供不符合招投标文件和本合同规定的服务，甲方有权拒绝接受。</w:t>
      </w:r>
    </w:p>
    <w:p w14:paraId="614CF16C">
      <w:pPr>
        <w:pStyle w:val="15"/>
        <w:pageBreakBefore w:val="0"/>
        <w:widowControl w:val="0"/>
        <w:tabs>
          <w:tab w:val="left" w:pos="5940"/>
        </w:tabs>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w:t>
      </w:r>
      <w:r>
        <w:rPr>
          <w:rFonts w:hint="eastAsia" w:hAnsi="宋体" w:cs="宋体"/>
          <w:b/>
          <w:bCs/>
          <w:color w:val="auto"/>
          <w:szCs w:val="21"/>
          <w:highlight w:val="none"/>
          <w:lang w:val="en-US" w:eastAsia="zh-CN"/>
        </w:rPr>
        <w:t>八</w:t>
      </w:r>
      <w:r>
        <w:rPr>
          <w:rFonts w:hint="eastAsia" w:ascii="宋体" w:hAnsi="宋体" w:eastAsia="宋体" w:cs="宋体"/>
          <w:b/>
          <w:bCs/>
          <w:color w:val="auto"/>
          <w:szCs w:val="21"/>
          <w:highlight w:val="none"/>
        </w:rPr>
        <w:t xml:space="preserve">条 税费 </w:t>
      </w:r>
    </w:p>
    <w:p w14:paraId="22022E41">
      <w:pPr>
        <w:pStyle w:val="15"/>
        <w:pageBreakBefore w:val="0"/>
        <w:widowControl w:val="0"/>
        <w:tabs>
          <w:tab w:val="left" w:pos="5940"/>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本合同执行中相关的一切税费均由乙方负担。</w:t>
      </w:r>
    </w:p>
    <w:p w14:paraId="32055CA4">
      <w:pPr>
        <w:pStyle w:val="15"/>
        <w:pageBreakBefore w:val="0"/>
        <w:widowControl w:val="0"/>
        <w:tabs>
          <w:tab w:val="left" w:pos="5940"/>
        </w:tabs>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w:t>
      </w:r>
      <w:r>
        <w:rPr>
          <w:rFonts w:hint="eastAsia" w:hAnsi="宋体" w:cs="宋体"/>
          <w:b/>
          <w:bCs/>
          <w:color w:val="auto"/>
          <w:szCs w:val="21"/>
          <w:highlight w:val="none"/>
          <w:lang w:val="en-US" w:eastAsia="zh-CN"/>
        </w:rPr>
        <w:t>九</w:t>
      </w:r>
      <w:r>
        <w:rPr>
          <w:rFonts w:hint="eastAsia" w:ascii="宋体" w:hAnsi="宋体" w:eastAsia="宋体" w:cs="宋体"/>
          <w:b/>
          <w:bCs/>
          <w:color w:val="auto"/>
          <w:szCs w:val="21"/>
          <w:highlight w:val="none"/>
        </w:rPr>
        <w:t>条  付款方式</w:t>
      </w:r>
    </w:p>
    <w:p w14:paraId="57E1E3F6">
      <w:pPr>
        <w:pStyle w:val="15"/>
        <w:pageBreakBefore w:val="0"/>
        <w:widowControl w:val="0"/>
        <w:tabs>
          <w:tab w:val="left" w:pos="5940"/>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全部价款按合同条款分阶段分期付款。付费次序、占合同款的次序比例、付费时间如下：</w:t>
      </w:r>
    </w:p>
    <w:p w14:paraId="10645161">
      <w:pPr>
        <w:pStyle w:val="15"/>
        <w:pageBreakBefore w:val="0"/>
        <w:widowControl w:val="0"/>
        <w:tabs>
          <w:tab w:val="left" w:pos="5940"/>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第一期支付：完成规划预审稿，并通过自治区相关部门和专家审查及收到财政部门拨款后10个工作日内，</w:t>
      </w:r>
      <w:r>
        <w:rPr>
          <w:rFonts w:hint="eastAsia" w:hAnsi="宋体" w:cs="宋体"/>
          <w:bCs/>
          <w:color w:val="auto"/>
          <w:szCs w:val="21"/>
          <w:highlight w:val="none"/>
          <w:lang w:val="en-US" w:eastAsia="zh-CN"/>
        </w:rPr>
        <w:t>甲方</w:t>
      </w:r>
      <w:r>
        <w:rPr>
          <w:rFonts w:hint="eastAsia" w:ascii="宋体" w:hAnsi="宋体" w:cs="宋体"/>
          <w:bCs/>
          <w:color w:val="auto"/>
          <w:szCs w:val="21"/>
          <w:highlight w:val="none"/>
          <w:lang w:val="en-US" w:eastAsia="zh-CN"/>
        </w:rPr>
        <w:t>支付给</w:t>
      </w:r>
      <w:r>
        <w:rPr>
          <w:rFonts w:hint="eastAsia" w:hAnsi="宋体" w:cs="宋体"/>
          <w:bCs/>
          <w:color w:val="auto"/>
          <w:szCs w:val="21"/>
          <w:highlight w:val="none"/>
          <w:lang w:val="en-US" w:eastAsia="zh-CN"/>
        </w:rPr>
        <w:t>乙方</w:t>
      </w:r>
      <w:r>
        <w:rPr>
          <w:rFonts w:hint="eastAsia" w:ascii="宋体" w:hAnsi="宋体" w:cs="宋体"/>
          <w:bCs/>
          <w:color w:val="auto"/>
          <w:szCs w:val="21"/>
          <w:highlight w:val="none"/>
          <w:lang w:val="en-US" w:eastAsia="zh-CN"/>
        </w:rPr>
        <w:t>合同签订金额的50%；</w:t>
      </w:r>
    </w:p>
    <w:p w14:paraId="211075D2">
      <w:pPr>
        <w:pStyle w:val="15"/>
        <w:pageBreakBefore w:val="0"/>
        <w:widowControl w:val="0"/>
        <w:tabs>
          <w:tab w:val="left" w:pos="5940"/>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第二期支付：完成规划送审稿（含规划数据库），并通过自治区级审查、批复及收到财政部门拨款后10个工作日内，</w:t>
      </w:r>
      <w:r>
        <w:rPr>
          <w:rFonts w:hint="eastAsia" w:hAnsi="宋体" w:cs="宋体"/>
          <w:bCs/>
          <w:color w:val="auto"/>
          <w:szCs w:val="21"/>
          <w:highlight w:val="none"/>
          <w:lang w:val="en-US" w:eastAsia="zh-CN"/>
        </w:rPr>
        <w:t>甲方</w:t>
      </w:r>
      <w:r>
        <w:rPr>
          <w:rFonts w:hint="eastAsia" w:ascii="宋体" w:hAnsi="宋体" w:cs="宋体"/>
          <w:bCs/>
          <w:color w:val="auto"/>
          <w:szCs w:val="21"/>
          <w:highlight w:val="none"/>
          <w:lang w:val="en-US" w:eastAsia="zh-CN"/>
        </w:rPr>
        <w:t>支付给</w:t>
      </w:r>
      <w:r>
        <w:rPr>
          <w:rFonts w:hint="eastAsia" w:hAnsi="宋体" w:cs="宋体"/>
          <w:bCs/>
          <w:color w:val="auto"/>
          <w:szCs w:val="21"/>
          <w:highlight w:val="none"/>
          <w:lang w:val="en-US" w:eastAsia="zh-CN"/>
        </w:rPr>
        <w:t>乙方</w:t>
      </w:r>
      <w:r>
        <w:rPr>
          <w:rFonts w:hint="eastAsia" w:ascii="宋体" w:hAnsi="宋体" w:cs="宋体"/>
          <w:bCs/>
          <w:color w:val="auto"/>
          <w:szCs w:val="21"/>
          <w:highlight w:val="none"/>
          <w:lang w:val="en-US" w:eastAsia="zh-CN"/>
        </w:rPr>
        <w:t>合同签订金额的40%。</w:t>
      </w:r>
    </w:p>
    <w:p w14:paraId="760BFBA3">
      <w:pPr>
        <w:pStyle w:val="15"/>
        <w:pageBreakBefore w:val="0"/>
        <w:widowControl w:val="0"/>
        <w:tabs>
          <w:tab w:val="left" w:pos="5940"/>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第三期支付：完成审批后的规划成果和数据库成果一年的维护及收到财政部门拨款后10个工作日内，，</w:t>
      </w:r>
      <w:r>
        <w:rPr>
          <w:rFonts w:hint="eastAsia" w:hAnsi="宋体" w:cs="宋体"/>
          <w:bCs/>
          <w:color w:val="auto"/>
          <w:szCs w:val="21"/>
          <w:highlight w:val="none"/>
          <w:lang w:val="en-US" w:eastAsia="zh-CN"/>
        </w:rPr>
        <w:t>甲方</w:t>
      </w:r>
      <w:r>
        <w:rPr>
          <w:rFonts w:hint="eastAsia" w:ascii="宋体" w:hAnsi="宋体" w:cs="宋体"/>
          <w:bCs/>
          <w:color w:val="auto"/>
          <w:szCs w:val="21"/>
          <w:highlight w:val="none"/>
          <w:lang w:val="en-US" w:eastAsia="zh-CN"/>
        </w:rPr>
        <w:t>支付给</w:t>
      </w:r>
      <w:r>
        <w:rPr>
          <w:rFonts w:hint="eastAsia" w:hAnsi="宋体" w:cs="宋体"/>
          <w:bCs/>
          <w:color w:val="auto"/>
          <w:szCs w:val="21"/>
          <w:highlight w:val="none"/>
          <w:lang w:val="en-US" w:eastAsia="zh-CN"/>
        </w:rPr>
        <w:t>乙方</w:t>
      </w:r>
      <w:r>
        <w:rPr>
          <w:rFonts w:hint="eastAsia" w:ascii="宋体" w:hAnsi="宋体" w:cs="宋体"/>
          <w:bCs/>
          <w:color w:val="auto"/>
          <w:szCs w:val="21"/>
          <w:highlight w:val="none"/>
          <w:lang w:val="en-US" w:eastAsia="zh-CN"/>
        </w:rPr>
        <w:t>合同签订金额的10%。</w:t>
      </w:r>
    </w:p>
    <w:p w14:paraId="6FB38D9E">
      <w:pPr>
        <w:pStyle w:val="15"/>
        <w:pageBreakBefore w:val="0"/>
        <w:widowControl w:val="0"/>
        <w:tabs>
          <w:tab w:val="left" w:pos="5940"/>
        </w:tabs>
        <w:kinsoku/>
        <w:wordWrap/>
        <w:overflowPunct/>
        <w:topLinePunct w:val="0"/>
        <w:autoSpaceDE/>
        <w:autoSpaceDN/>
        <w:bidi w:val="0"/>
        <w:adjustRightInd/>
        <w:snapToGrid/>
        <w:spacing w:line="400" w:lineRule="exact"/>
        <w:ind w:firstLine="422" w:firstLineChars="200"/>
        <w:textAlignment w:val="auto"/>
        <w:rPr>
          <w:rStyle w:val="37"/>
          <w:rFonts w:hint="eastAsia" w:ascii="宋体" w:hAnsi="宋体" w:eastAsia="宋体" w:cs="Times New Roman"/>
          <w:b/>
          <w:color w:val="auto"/>
          <w:szCs w:val="21"/>
          <w:highlight w:val="none"/>
        </w:rPr>
      </w:pPr>
      <w:r>
        <w:rPr>
          <w:rStyle w:val="37"/>
          <w:rFonts w:hint="eastAsia" w:ascii="宋体" w:hAnsi="宋体" w:eastAsia="宋体" w:cs="Times New Roman"/>
          <w:b/>
          <w:color w:val="auto"/>
          <w:szCs w:val="21"/>
          <w:highlight w:val="none"/>
        </w:rPr>
        <w:t>第</w:t>
      </w:r>
      <w:r>
        <w:rPr>
          <w:rStyle w:val="37"/>
          <w:rFonts w:hint="eastAsia" w:hAnsi="宋体" w:cs="Times New Roman"/>
          <w:b/>
          <w:color w:val="auto"/>
          <w:szCs w:val="21"/>
          <w:highlight w:val="none"/>
          <w:lang w:val="en-US"/>
        </w:rPr>
        <w:t>十</w:t>
      </w:r>
      <w:r>
        <w:rPr>
          <w:rStyle w:val="37"/>
          <w:rFonts w:hint="eastAsia" w:ascii="宋体" w:hAnsi="宋体" w:eastAsia="宋体" w:cs="Times New Roman"/>
          <w:b/>
          <w:color w:val="auto"/>
          <w:szCs w:val="21"/>
          <w:highlight w:val="none"/>
        </w:rPr>
        <w:t>条 违约责任</w:t>
      </w:r>
    </w:p>
    <w:p w14:paraId="032EE2BA">
      <w:pPr>
        <w:pStyle w:val="15"/>
        <w:pageBreakBefore w:val="0"/>
        <w:widowControl w:val="0"/>
        <w:tabs>
          <w:tab w:val="left" w:pos="5940"/>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1、甲方责任 </w:t>
      </w:r>
    </w:p>
    <w:p w14:paraId="1C3E670C">
      <w:pPr>
        <w:pStyle w:val="15"/>
        <w:pageBreakBefore w:val="0"/>
        <w:widowControl w:val="0"/>
        <w:tabs>
          <w:tab w:val="left" w:pos="5940"/>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（1）甲方在本委托合同签订后，协助乙方进行服务准备事项。</w:t>
      </w:r>
    </w:p>
    <w:p w14:paraId="499FEA0E">
      <w:pPr>
        <w:pStyle w:val="15"/>
        <w:pageBreakBefore w:val="0"/>
        <w:widowControl w:val="0"/>
        <w:tabs>
          <w:tab w:val="left" w:pos="5940"/>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（2）为乙方开展工作提供必要的条件和配合。</w:t>
      </w:r>
    </w:p>
    <w:p w14:paraId="7F6815A3">
      <w:pPr>
        <w:pStyle w:val="15"/>
        <w:pageBreakBefore w:val="0"/>
        <w:widowControl w:val="0"/>
        <w:tabs>
          <w:tab w:val="left" w:pos="5940"/>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（3）对乙方开展工作的全过程，甲方派出人员进行必要的业务检查、监督和指导。</w:t>
      </w:r>
    </w:p>
    <w:p w14:paraId="42DF1601">
      <w:pPr>
        <w:pStyle w:val="15"/>
        <w:pageBreakBefore w:val="0"/>
        <w:widowControl w:val="0"/>
        <w:tabs>
          <w:tab w:val="left" w:pos="5940"/>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（4）按本合同之规定及时向乙方支付技术服务费。</w:t>
      </w:r>
    </w:p>
    <w:p w14:paraId="2EA17234">
      <w:pPr>
        <w:pStyle w:val="15"/>
        <w:pageBreakBefore w:val="0"/>
        <w:widowControl w:val="0"/>
        <w:tabs>
          <w:tab w:val="left" w:pos="5940"/>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2、乙方责任</w:t>
      </w:r>
    </w:p>
    <w:p w14:paraId="1428794D">
      <w:pPr>
        <w:pStyle w:val="15"/>
        <w:pageBreakBefore w:val="0"/>
        <w:widowControl w:val="0"/>
        <w:tabs>
          <w:tab w:val="left" w:pos="5940"/>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（1）在委托合同签订后，准备服务工作。</w:t>
      </w:r>
    </w:p>
    <w:p w14:paraId="0CE1C501">
      <w:pPr>
        <w:pStyle w:val="15"/>
        <w:pageBreakBefore w:val="0"/>
        <w:widowControl w:val="0"/>
        <w:tabs>
          <w:tab w:val="left" w:pos="5940"/>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（2）服务内容及要求</w:t>
      </w:r>
    </w:p>
    <w:p w14:paraId="5DD47C9B">
      <w:pPr>
        <w:pStyle w:val="15"/>
        <w:pageBreakBefore w:val="0"/>
        <w:widowControl w:val="0"/>
        <w:tabs>
          <w:tab w:val="left" w:pos="5940"/>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bCs/>
          <w:color w:val="auto"/>
          <w:szCs w:val="21"/>
          <w:highlight w:val="none"/>
        </w:rPr>
        <w:t>按</w:t>
      </w:r>
      <w:r>
        <w:rPr>
          <w:rFonts w:hint="eastAsia" w:ascii="宋体" w:hAnsi="宋体" w:eastAsia="宋体" w:cs="宋体"/>
          <w:bCs/>
          <w:color w:val="auto"/>
          <w:szCs w:val="21"/>
          <w:highlight w:val="none"/>
          <w:lang w:eastAsia="zh-CN"/>
        </w:rPr>
        <w:t>磋商</w:t>
      </w:r>
      <w:r>
        <w:rPr>
          <w:rFonts w:hint="eastAsia" w:ascii="宋体" w:hAnsi="宋体" w:eastAsia="宋体" w:cs="宋体"/>
          <w:bCs/>
          <w:color w:val="auto"/>
          <w:szCs w:val="21"/>
          <w:highlight w:val="none"/>
        </w:rPr>
        <w:t>文件规定的服务范围</w:t>
      </w:r>
      <w:r>
        <w:rPr>
          <w:rFonts w:hint="eastAsia" w:ascii="宋体" w:hAnsi="宋体" w:eastAsia="宋体" w:cs="宋体"/>
          <w:bCs/>
          <w:color w:val="auto"/>
          <w:szCs w:val="21"/>
          <w:highlight w:val="none"/>
          <w:lang w:eastAsia="zh-CN"/>
        </w:rPr>
        <w:t>完成</w:t>
      </w:r>
      <w:r>
        <w:rPr>
          <w:rFonts w:hint="eastAsia" w:ascii="宋体" w:hAnsi="宋体" w:eastAsia="宋体" w:cs="宋体"/>
          <w:bCs/>
          <w:color w:val="auto"/>
          <w:szCs w:val="21"/>
          <w:highlight w:val="none"/>
        </w:rPr>
        <w:t>相应服务</w:t>
      </w:r>
      <w:r>
        <w:rPr>
          <w:rFonts w:hint="eastAsia" w:ascii="宋体" w:hAnsi="宋体" w:eastAsia="宋体" w:cs="宋体"/>
          <w:color w:val="auto"/>
          <w:szCs w:val="21"/>
          <w:highlight w:val="none"/>
          <w:lang w:val="en-US" w:eastAsia="zh-CN"/>
        </w:rPr>
        <w:t>。</w:t>
      </w:r>
    </w:p>
    <w:p w14:paraId="4026A9C6">
      <w:pPr>
        <w:pStyle w:val="15"/>
        <w:pageBreakBefore w:val="0"/>
        <w:widowControl w:val="0"/>
        <w:tabs>
          <w:tab w:val="left" w:pos="5940"/>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3、双方约定</w:t>
      </w:r>
    </w:p>
    <w:p w14:paraId="18A57CC3">
      <w:pPr>
        <w:pStyle w:val="15"/>
        <w:pageBreakBefore w:val="0"/>
        <w:widowControl w:val="0"/>
        <w:tabs>
          <w:tab w:val="left" w:pos="5940"/>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（1）乙方不得将甲方委托的工作转交第三方完成。</w:t>
      </w:r>
    </w:p>
    <w:p w14:paraId="63D5D16F">
      <w:pPr>
        <w:pStyle w:val="15"/>
        <w:pageBreakBefore w:val="0"/>
        <w:widowControl w:val="0"/>
        <w:tabs>
          <w:tab w:val="left" w:pos="5940"/>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（2）乙方应严格按国家有关标准提供相关服务。按本合同规定的内容、时间及份数向甲方交付技术文件，并对提交的技术文件的质量负责。 </w:t>
      </w:r>
    </w:p>
    <w:p w14:paraId="5DB57F1E">
      <w:pPr>
        <w:pStyle w:val="15"/>
        <w:pageBreakBefore w:val="0"/>
        <w:widowControl w:val="0"/>
        <w:tabs>
          <w:tab w:val="left" w:pos="5940"/>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（3）乙方不得将甲方委托的服务工作内容及基础资料透露给除乙方以外的任何人。即使向履行本合同有关的人员提供，也应注意保密并限于履行合同的必需范围。</w:t>
      </w:r>
    </w:p>
    <w:p w14:paraId="4E565E98">
      <w:pPr>
        <w:pStyle w:val="15"/>
        <w:pageBreakBefore w:val="0"/>
        <w:widowControl w:val="0"/>
        <w:tabs>
          <w:tab w:val="left" w:pos="5940"/>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合同有效期内，甲方认为乙方实际投入的人员不足以满足任务需要或认为人员不称职时，可向乙方发出要求增加或更换人员的通知，乙方在收到通知后的5天内应增加或更换相应的人员，由此产生的费用由乙方自行承担。</w:t>
      </w:r>
    </w:p>
    <w:p w14:paraId="23D8C440">
      <w:pPr>
        <w:pStyle w:val="15"/>
        <w:pageBreakBefore w:val="0"/>
        <w:widowControl w:val="0"/>
        <w:tabs>
          <w:tab w:val="left" w:pos="5940"/>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（5）乙方提供不符合招投标文件和本合同规定的服务，甲方有权拒绝接受。</w:t>
      </w:r>
    </w:p>
    <w:p w14:paraId="7EE62F0C">
      <w:pPr>
        <w:pStyle w:val="15"/>
        <w:pageBreakBefore w:val="0"/>
        <w:widowControl w:val="0"/>
        <w:tabs>
          <w:tab w:val="left" w:pos="5940"/>
        </w:tabs>
        <w:kinsoku/>
        <w:wordWrap/>
        <w:overflowPunct/>
        <w:topLinePunct w:val="0"/>
        <w:autoSpaceDE/>
        <w:autoSpaceDN/>
        <w:bidi w:val="0"/>
        <w:adjustRightInd/>
        <w:snapToGrid/>
        <w:spacing w:line="400" w:lineRule="exact"/>
        <w:ind w:firstLine="422" w:firstLineChars="200"/>
        <w:textAlignment w:val="auto"/>
        <w:rPr>
          <w:rStyle w:val="37"/>
          <w:rFonts w:hint="eastAsia" w:ascii="宋体" w:hAnsi="宋体" w:eastAsia="宋体" w:cs="Times New Roman"/>
          <w:b/>
          <w:color w:val="auto"/>
          <w:szCs w:val="21"/>
          <w:highlight w:val="none"/>
        </w:rPr>
      </w:pPr>
      <w:r>
        <w:rPr>
          <w:rStyle w:val="37"/>
          <w:rFonts w:hint="eastAsia" w:ascii="宋体" w:hAnsi="宋体" w:eastAsia="宋体" w:cs="Times New Roman"/>
          <w:b/>
          <w:color w:val="auto"/>
          <w:szCs w:val="21"/>
          <w:highlight w:val="none"/>
        </w:rPr>
        <w:t>第</w:t>
      </w:r>
      <w:r>
        <w:rPr>
          <w:rStyle w:val="37"/>
          <w:rFonts w:hint="eastAsia" w:hAnsi="宋体" w:cs="Times New Roman"/>
          <w:b/>
          <w:color w:val="auto"/>
          <w:szCs w:val="21"/>
          <w:highlight w:val="none"/>
          <w:lang w:val="en-US" w:eastAsia="zh-CN"/>
        </w:rPr>
        <w:t>十一</w:t>
      </w:r>
      <w:r>
        <w:rPr>
          <w:rStyle w:val="37"/>
          <w:rFonts w:hint="eastAsia" w:ascii="宋体" w:hAnsi="宋体" w:eastAsia="宋体" w:cs="Times New Roman"/>
          <w:b/>
          <w:color w:val="auto"/>
          <w:szCs w:val="21"/>
          <w:highlight w:val="none"/>
        </w:rPr>
        <w:t>条  不可抗力事件处理</w:t>
      </w:r>
    </w:p>
    <w:p w14:paraId="0D747B89">
      <w:pPr>
        <w:pStyle w:val="15"/>
        <w:pageBreakBefore w:val="0"/>
        <w:widowControl w:val="0"/>
        <w:tabs>
          <w:tab w:val="left" w:pos="5940"/>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1.在合同有效期内，乙方因不可抗力事件导致不能履行合同，则合同履行期可延长，其延长期与不可抗力影响期相同。</w:t>
      </w:r>
    </w:p>
    <w:p w14:paraId="69F93DB3">
      <w:pPr>
        <w:pStyle w:val="15"/>
        <w:pageBreakBefore w:val="0"/>
        <w:widowControl w:val="0"/>
        <w:tabs>
          <w:tab w:val="left" w:pos="5940"/>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2.不可抗力事件发生后，应立即通知对方，并寄送有关权威机构出具的证明。</w:t>
      </w:r>
    </w:p>
    <w:p w14:paraId="09F2A488">
      <w:pPr>
        <w:pStyle w:val="15"/>
        <w:pageBreakBefore w:val="0"/>
        <w:widowControl w:val="0"/>
        <w:tabs>
          <w:tab w:val="left" w:pos="5940"/>
        </w:tabs>
        <w:kinsoku/>
        <w:wordWrap/>
        <w:overflowPunct/>
        <w:topLinePunct w:val="0"/>
        <w:autoSpaceDE/>
        <w:autoSpaceDN/>
        <w:bidi w:val="0"/>
        <w:adjustRightInd/>
        <w:snapToGrid/>
        <w:spacing w:line="400" w:lineRule="exact"/>
        <w:ind w:firstLine="422" w:firstLineChars="200"/>
        <w:textAlignment w:val="auto"/>
        <w:rPr>
          <w:rStyle w:val="37"/>
          <w:rFonts w:hint="eastAsia" w:ascii="宋体" w:hAnsi="宋体" w:eastAsia="宋体" w:cs="Times New Roman"/>
          <w:b/>
          <w:color w:val="auto"/>
          <w:szCs w:val="21"/>
          <w:highlight w:val="none"/>
        </w:rPr>
      </w:pPr>
      <w:r>
        <w:rPr>
          <w:rStyle w:val="37"/>
          <w:rFonts w:hint="eastAsia" w:ascii="宋体" w:hAnsi="宋体" w:eastAsia="宋体" w:cs="Times New Roman"/>
          <w:b/>
          <w:color w:val="auto"/>
          <w:szCs w:val="21"/>
          <w:highlight w:val="none"/>
        </w:rPr>
        <w:t>第十</w:t>
      </w:r>
      <w:r>
        <w:rPr>
          <w:rStyle w:val="37"/>
          <w:rFonts w:hint="eastAsia" w:hAnsi="宋体" w:cs="Times New Roman"/>
          <w:b/>
          <w:color w:val="auto"/>
          <w:szCs w:val="21"/>
          <w:highlight w:val="none"/>
          <w:lang w:val="en-US"/>
        </w:rPr>
        <w:t>二</w:t>
      </w:r>
      <w:r>
        <w:rPr>
          <w:rStyle w:val="37"/>
          <w:rFonts w:hint="eastAsia" w:ascii="宋体" w:hAnsi="宋体" w:eastAsia="宋体" w:cs="Times New Roman"/>
          <w:b/>
          <w:color w:val="auto"/>
          <w:szCs w:val="21"/>
          <w:highlight w:val="none"/>
        </w:rPr>
        <w:t>条  合同争议解决</w:t>
      </w:r>
    </w:p>
    <w:p w14:paraId="33BC1AC8">
      <w:pPr>
        <w:pStyle w:val="15"/>
        <w:pageBreakBefore w:val="0"/>
        <w:widowControl w:val="0"/>
        <w:tabs>
          <w:tab w:val="left" w:pos="5940"/>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1.因服务问题发生争议的，应邀请国家认可的机构进行鉴定。服务符合标准的，鉴定费由甲方承担；服务不符合标准的，鉴定费由乙方承担。</w:t>
      </w:r>
    </w:p>
    <w:p w14:paraId="711CB239">
      <w:pPr>
        <w:pStyle w:val="15"/>
        <w:pageBreakBefore w:val="0"/>
        <w:widowControl w:val="0"/>
        <w:tabs>
          <w:tab w:val="left" w:pos="5940"/>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2.因履行本合同引起的或与本合同有关的争议，甲乙双方应首先通过友好协商解决，如果协商不能解决，可向</w:t>
      </w:r>
      <w:r>
        <w:rPr>
          <w:rFonts w:hint="eastAsia" w:ascii="宋体" w:hAnsi="宋体" w:eastAsia="宋体" w:cs="宋体"/>
          <w:color w:val="auto"/>
          <w:szCs w:val="21"/>
          <w:highlight w:val="none"/>
          <w:lang w:val="en-US" w:eastAsia="zh-CN"/>
        </w:rPr>
        <w:t>当地</w:t>
      </w:r>
      <w:r>
        <w:rPr>
          <w:rFonts w:hint="eastAsia" w:ascii="宋体" w:hAnsi="宋体" w:eastAsia="宋体" w:cs="宋体"/>
          <w:color w:val="auto"/>
          <w:szCs w:val="21"/>
          <w:highlight w:val="none"/>
        </w:rPr>
        <w:t>仲裁委员会申请仲裁或向</w:t>
      </w:r>
      <w:r>
        <w:rPr>
          <w:rFonts w:hint="eastAsia" w:ascii="宋体" w:hAnsi="宋体" w:eastAsia="宋体" w:cs="宋体"/>
          <w:color w:val="auto"/>
          <w:szCs w:val="21"/>
          <w:highlight w:val="none"/>
          <w:lang w:val="en-US" w:eastAsia="zh-CN"/>
        </w:rPr>
        <w:t>当地</w:t>
      </w:r>
      <w:r>
        <w:rPr>
          <w:rFonts w:hint="eastAsia" w:ascii="宋体" w:hAnsi="宋体" w:eastAsia="宋体" w:cs="宋体"/>
          <w:color w:val="auto"/>
          <w:szCs w:val="21"/>
          <w:highlight w:val="none"/>
        </w:rPr>
        <w:t>人民法院提起诉讼。</w:t>
      </w:r>
    </w:p>
    <w:p w14:paraId="10217F18">
      <w:pPr>
        <w:pStyle w:val="15"/>
        <w:pageBreakBefore w:val="0"/>
        <w:widowControl w:val="0"/>
        <w:tabs>
          <w:tab w:val="left" w:pos="5940"/>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3.诉讼期间，本合同继续履行。</w:t>
      </w:r>
    </w:p>
    <w:p w14:paraId="7D2F3DD9">
      <w:pPr>
        <w:pStyle w:val="15"/>
        <w:pageBreakBefore w:val="0"/>
        <w:widowControl w:val="0"/>
        <w:tabs>
          <w:tab w:val="left" w:pos="5940"/>
        </w:tabs>
        <w:kinsoku/>
        <w:wordWrap/>
        <w:overflowPunct/>
        <w:topLinePunct w:val="0"/>
        <w:autoSpaceDE/>
        <w:autoSpaceDN/>
        <w:bidi w:val="0"/>
        <w:adjustRightInd/>
        <w:snapToGrid/>
        <w:spacing w:line="400" w:lineRule="exact"/>
        <w:ind w:firstLine="422" w:firstLineChars="200"/>
        <w:textAlignment w:val="auto"/>
        <w:rPr>
          <w:rStyle w:val="37"/>
          <w:rFonts w:hint="eastAsia" w:ascii="宋体" w:hAnsi="宋体" w:eastAsia="宋体" w:cs="Times New Roman"/>
          <w:b/>
          <w:color w:val="auto"/>
          <w:szCs w:val="21"/>
          <w:highlight w:val="none"/>
        </w:rPr>
      </w:pPr>
      <w:r>
        <w:rPr>
          <w:rStyle w:val="37"/>
          <w:rFonts w:hint="eastAsia" w:ascii="宋体" w:hAnsi="宋体" w:eastAsia="宋体" w:cs="Times New Roman"/>
          <w:b/>
          <w:color w:val="auto"/>
          <w:szCs w:val="21"/>
          <w:highlight w:val="none"/>
        </w:rPr>
        <w:t>第十</w:t>
      </w:r>
      <w:r>
        <w:rPr>
          <w:rStyle w:val="37"/>
          <w:rFonts w:hint="eastAsia" w:hAnsi="宋体" w:cs="Times New Roman"/>
          <w:b/>
          <w:color w:val="auto"/>
          <w:szCs w:val="21"/>
          <w:highlight w:val="none"/>
          <w:lang w:val="en-US" w:eastAsia="zh-CN"/>
        </w:rPr>
        <w:t>三</w:t>
      </w:r>
      <w:r>
        <w:rPr>
          <w:rStyle w:val="37"/>
          <w:rFonts w:hint="eastAsia" w:ascii="宋体" w:hAnsi="宋体" w:eastAsia="宋体" w:cs="Times New Roman"/>
          <w:b/>
          <w:color w:val="auto"/>
          <w:szCs w:val="21"/>
          <w:highlight w:val="none"/>
        </w:rPr>
        <w:t>条  合同生效及其它</w:t>
      </w:r>
    </w:p>
    <w:p w14:paraId="05E035CB">
      <w:pPr>
        <w:pStyle w:val="15"/>
        <w:pageBreakBefore w:val="0"/>
        <w:widowControl w:val="0"/>
        <w:tabs>
          <w:tab w:val="left" w:pos="5940"/>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1.合同经甲乙双方法定代表人、负责人或相应的授权代表签字并加盖</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公章后生效。</w:t>
      </w:r>
    </w:p>
    <w:p w14:paraId="3AB06AAB">
      <w:pPr>
        <w:pStyle w:val="15"/>
        <w:pageBreakBefore w:val="0"/>
        <w:widowControl w:val="0"/>
        <w:tabs>
          <w:tab w:val="left" w:pos="5940"/>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2.合同执行中涉及采购资金和采购内容修改或补充的，作为主合同不可分割的一部分。</w:t>
      </w:r>
    </w:p>
    <w:p w14:paraId="06EE79E6">
      <w:pPr>
        <w:pStyle w:val="15"/>
        <w:pageBreakBefore w:val="0"/>
        <w:widowControl w:val="0"/>
        <w:tabs>
          <w:tab w:val="left" w:pos="5940"/>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3.本合同未尽事宜，遵照《</w:t>
      </w:r>
      <w:r>
        <w:rPr>
          <w:rFonts w:hint="eastAsia" w:ascii="宋体" w:hAnsi="宋体" w:eastAsia="宋体" w:cs="宋体"/>
          <w:color w:val="auto"/>
          <w:szCs w:val="21"/>
          <w:highlight w:val="none"/>
          <w:lang w:val="en-US" w:eastAsia="zh-CN"/>
        </w:rPr>
        <w:t>民法典</w:t>
      </w:r>
      <w:r>
        <w:rPr>
          <w:rFonts w:hint="eastAsia" w:ascii="宋体" w:hAnsi="宋体" w:eastAsia="宋体" w:cs="宋体"/>
          <w:color w:val="auto"/>
          <w:szCs w:val="21"/>
          <w:highlight w:val="none"/>
        </w:rPr>
        <w:t>》有关条文执行。</w:t>
      </w:r>
    </w:p>
    <w:p w14:paraId="242535D8">
      <w:pPr>
        <w:pStyle w:val="15"/>
        <w:pageBreakBefore w:val="0"/>
        <w:widowControl w:val="0"/>
        <w:tabs>
          <w:tab w:val="left" w:pos="5940"/>
        </w:tabs>
        <w:kinsoku/>
        <w:wordWrap/>
        <w:overflowPunct/>
        <w:topLinePunct w:val="0"/>
        <w:autoSpaceDE/>
        <w:autoSpaceDN/>
        <w:bidi w:val="0"/>
        <w:adjustRightInd/>
        <w:snapToGrid/>
        <w:spacing w:line="400" w:lineRule="exact"/>
        <w:ind w:firstLine="422" w:firstLineChars="200"/>
        <w:textAlignment w:val="auto"/>
        <w:rPr>
          <w:rStyle w:val="37"/>
          <w:rFonts w:hint="eastAsia" w:ascii="宋体" w:hAnsi="宋体" w:eastAsia="宋体" w:cs="Times New Roman"/>
          <w:b/>
          <w:color w:val="auto"/>
          <w:szCs w:val="21"/>
          <w:highlight w:val="none"/>
        </w:rPr>
      </w:pPr>
      <w:r>
        <w:rPr>
          <w:rStyle w:val="37"/>
          <w:rFonts w:hint="eastAsia" w:ascii="宋体" w:hAnsi="宋体" w:eastAsia="宋体" w:cs="Times New Roman"/>
          <w:b/>
          <w:color w:val="auto"/>
          <w:szCs w:val="21"/>
          <w:highlight w:val="none"/>
        </w:rPr>
        <w:t>第十</w:t>
      </w:r>
      <w:r>
        <w:rPr>
          <w:rStyle w:val="37"/>
          <w:rFonts w:hint="eastAsia" w:hAnsi="宋体" w:cs="Times New Roman"/>
          <w:b/>
          <w:color w:val="auto"/>
          <w:szCs w:val="21"/>
          <w:highlight w:val="none"/>
          <w:lang w:val="en-US" w:eastAsia="zh-CN"/>
        </w:rPr>
        <w:t>四</w:t>
      </w:r>
      <w:r>
        <w:rPr>
          <w:rStyle w:val="37"/>
          <w:rFonts w:hint="eastAsia" w:ascii="宋体" w:hAnsi="宋体" w:eastAsia="宋体" w:cs="Times New Roman"/>
          <w:b/>
          <w:color w:val="auto"/>
          <w:szCs w:val="21"/>
          <w:highlight w:val="none"/>
        </w:rPr>
        <w:t>条  合同的变更、终止与转让</w:t>
      </w:r>
    </w:p>
    <w:p w14:paraId="747171CF">
      <w:pPr>
        <w:pStyle w:val="15"/>
        <w:pageBreakBefore w:val="0"/>
        <w:widowControl w:val="0"/>
        <w:tabs>
          <w:tab w:val="left" w:pos="5940"/>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1.除《中华人民共和国政府采购法》第五十条规定的情形外，本合同一经签订，甲乙双方不得擅自变更，中止或终止。</w:t>
      </w:r>
    </w:p>
    <w:p w14:paraId="3F14EF3E">
      <w:pPr>
        <w:pStyle w:val="15"/>
        <w:pageBreakBefore w:val="0"/>
        <w:widowControl w:val="0"/>
        <w:tabs>
          <w:tab w:val="left" w:pos="5940"/>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2.乙方不得擅自转让其应履行的合同义务。</w:t>
      </w:r>
    </w:p>
    <w:p w14:paraId="73FEBD67">
      <w:pPr>
        <w:pStyle w:val="15"/>
        <w:pageBreakBefore w:val="0"/>
        <w:widowControl w:val="0"/>
        <w:tabs>
          <w:tab w:val="left" w:pos="5940"/>
        </w:tabs>
        <w:kinsoku/>
        <w:wordWrap/>
        <w:overflowPunct/>
        <w:topLinePunct w:val="0"/>
        <w:autoSpaceDE/>
        <w:autoSpaceDN/>
        <w:bidi w:val="0"/>
        <w:adjustRightInd/>
        <w:snapToGrid/>
        <w:spacing w:line="400" w:lineRule="exact"/>
        <w:ind w:firstLine="422" w:firstLineChars="200"/>
        <w:textAlignment w:val="auto"/>
        <w:rPr>
          <w:rStyle w:val="37"/>
          <w:rFonts w:hint="eastAsia" w:ascii="宋体" w:hAnsi="宋体" w:eastAsia="宋体" w:cs="Times New Roman"/>
          <w:b/>
          <w:color w:val="auto"/>
          <w:szCs w:val="21"/>
          <w:highlight w:val="none"/>
        </w:rPr>
      </w:pPr>
      <w:r>
        <w:rPr>
          <w:rStyle w:val="37"/>
          <w:rFonts w:hint="eastAsia" w:ascii="宋体" w:hAnsi="宋体" w:eastAsia="宋体" w:cs="Times New Roman"/>
          <w:b/>
          <w:color w:val="auto"/>
          <w:szCs w:val="21"/>
          <w:highlight w:val="none"/>
        </w:rPr>
        <w:t>第十</w:t>
      </w:r>
      <w:r>
        <w:rPr>
          <w:rStyle w:val="37"/>
          <w:rFonts w:hint="eastAsia" w:hAnsi="宋体" w:cs="Times New Roman"/>
          <w:b/>
          <w:color w:val="auto"/>
          <w:szCs w:val="21"/>
          <w:highlight w:val="none"/>
          <w:lang w:val="en-US" w:eastAsia="zh-CN"/>
        </w:rPr>
        <w:t>五</w:t>
      </w:r>
      <w:r>
        <w:rPr>
          <w:rStyle w:val="37"/>
          <w:rFonts w:hint="eastAsia" w:ascii="宋体" w:hAnsi="宋体" w:eastAsia="宋体" w:cs="Times New Roman"/>
          <w:b/>
          <w:color w:val="auto"/>
          <w:szCs w:val="21"/>
          <w:highlight w:val="none"/>
        </w:rPr>
        <w:t>条  签订本合同依据：</w:t>
      </w:r>
    </w:p>
    <w:p w14:paraId="5C251735">
      <w:pPr>
        <w:pStyle w:val="15"/>
        <w:pageBreakBefore w:val="0"/>
        <w:widowControl w:val="0"/>
        <w:tabs>
          <w:tab w:val="left" w:pos="5940"/>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竞争性磋商</w:t>
      </w:r>
      <w:r>
        <w:rPr>
          <w:rFonts w:hint="eastAsia" w:ascii="宋体" w:hAnsi="宋体" w:eastAsia="宋体" w:cs="宋体"/>
          <w:color w:val="auto"/>
          <w:szCs w:val="21"/>
          <w:highlight w:val="none"/>
        </w:rPr>
        <w:t>文件；</w:t>
      </w:r>
    </w:p>
    <w:p w14:paraId="18AB1DE6">
      <w:pPr>
        <w:pStyle w:val="15"/>
        <w:pageBreakBefore w:val="0"/>
        <w:widowControl w:val="0"/>
        <w:tabs>
          <w:tab w:val="left" w:pos="5940"/>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2.乙方提供的投标（或应答）文件；</w:t>
      </w:r>
    </w:p>
    <w:p w14:paraId="6A1304CD">
      <w:pPr>
        <w:pStyle w:val="15"/>
        <w:pageBreakBefore w:val="0"/>
        <w:widowControl w:val="0"/>
        <w:tabs>
          <w:tab w:val="left" w:pos="5940"/>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3.服务承诺书；</w:t>
      </w:r>
    </w:p>
    <w:p w14:paraId="54D8CFF6">
      <w:pPr>
        <w:pStyle w:val="15"/>
        <w:keepNext w:val="0"/>
        <w:keepLines w:val="0"/>
        <w:pageBreakBefore w:val="0"/>
        <w:widowControl w:val="0"/>
        <w:tabs>
          <w:tab w:val="left" w:pos="5940"/>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rPr>
        <w:t>通知书。</w:t>
      </w:r>
    </w:p>
    <w:p w14:paraId="1A99746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left"/>
        <w:textAlignment w:val="auto"/>
        <w:rPr>
          <w:rFonts w:hint="eastAsia" w:ascii="宋体" w:hAnsi="宋体" w:cs="宋体"/>
          <w:b/>
          <w:color w:val="auto"/>
          <w:sz w:val="21"/>
          <w:szCs w:val="21"/>
          <w:highlight w:val="none"/>
        </w:rPr>
      </w:pPr>
      <w:r>
        <w:rPr>
          <w:rFonts w:hint="eastAsia" w:ascii="宋体" w:hAnsi="宋体" w:eastAsia="宋体" w:cs="宋体"/>
          <w:color w:val="auto"/>
          <w:szCs w:val="21"/>
          <w:highlight w:val="none"/>
        </w:rPr>
        <w:t>本合同甲乙双方签字盖章后生效，一式</w:t>
      </w:r>
      <w:r>
        <w:rPr>
          <w:rFonts w:hint="eastAsia" w:ascii="宋体" w:hAnsi="宋体" w:eastAsia="宋体" w:cs="宋体"/>
          <w:color w:val="auto"/>
          <w:szCs w:val="21"/>
          <w:highlight w:val="none"/>
          <w:lang w:val="en-US" w:eastAsia="zh-CN"/>
        </w:rPr>
        <w:t>肆</w:t>
      </w:r>
      <w:r>
        <w:rPr>
          <w:rFonts w:hint="eastAsia" w:ascii="宋体" w:hAnsi="宋体" w:eastAsia="宋体" w:cs="宋体"/>
          <w:color w:val="auto"/>
          <w:szCs w:val="21"/>
          <w:highlight w:val="none"/>
        </w:rPr>
        <w:t>份，具有同等法律效力，甲方</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乙方</w:t>
      </w:r>
      <w:r>
        <w:rPr>
          <w:rFonts w:hint="eastAsia" w:ascii="宋体" w:hAnsi="宋体" w:eastAsia="宋体" w:cs="宋体"/>
          <w:color w:val="auto"/>
          <w:szCs w:val="21"/>
          <w:highlight w:val="none"/>
          <w:lang w:val="en-US" w:eastAsia="zh-CN"/>
        </w:rPr>
        <w:t>各贰</w:t>
      </w:r>
      <w:r>
        <w:rPr>
          <w:rFonts w:hint="eastAsia" w:ascii="宋体" w:hAnsi="宋体" w:eastAsia="宋体" w:cs="宋体"/>
          <w:color w:val="auto"/>
          <w:szCs w:val="21"/>
          <w:highlight w:val="none"/>
        </w:rPr>
        <w:t>份。</w:t>
      </w:r>
      <w:r>
        <w:rPr>
          <w:rFonts w:hint="eastAsia" w:ascii="宋体" w:hAnsi="宋体" w:eastAsia="宋体" w:cs="宋体"/>
          <w:color w:val="auto"/>
          <w:sz w:val="21"/>
          <w:szCs w:val="21"/>
          <w:highlight w:val="none"/>
        </w:rPr>
        <w:t>政府采购合同双方自签订之日起2个工作日内在省级以上人民政府财政部门指定媒体上公告。</w:t>
      </w:r>
    </w:p>
    <w:p w14:paraId="06D2CE7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rPr>
          <w:rFonts w:hint="eastAsia" w:ascii="宋体" w:hAnsi="宋体" w:cs="宋体"/>
          <w:color w:val="auto"/>
          <w:sz w:val="21"/>
          <w:szCs w:val="21"/>
          <w:highlight w:val="none"/>
        </w:rPr>
      </w:pPr>
    </w:p>
    <w:p w14:paraId="519D8E9F">
      <w:pPr>
        <w:rPr>
          <w:rFonts w:hint="eastAsia" w:ascii="宋体" w:hAnsi="宋体"/>
          <w:color w:val="auto"/>
          <w:szCs w:val="21"/>
          <w:highlight w:val="none"/>
        </w:rPr>
      </w:pPr>
      <w:r>
        <w:rPr>
          <w:rFonts w:hint="eastAsia" w:ascii="宋体" w:hAnsi="宋体"/>
          <w:color w:val="auto"/>
          <w:szCs w:val="21"/>
          <w:highlight w:val="none"/>
        </w:rPr>
        <w:br w:type="page"/>
      </w:r>
    </w:p>
    <w:p w14:paraId="2A80C975">
      <w:pPr>
        <w:keepNext w:val="0"/>
        <w:keepLines w:val="0"/>
        <w:pageBreakBefore w:val="0"/>
        <w:widowControl w:val="0"/>
        <w:kinsoku/>
        <w:wordWrap/>
        <w:overflowPunct/>
        <w:topLinePunct w:val="0"/>
        <w:autoSpaceDE/>
        <w:autoSpaceDN/>
        <w:bidi w:val="0"/>
        <w:adjustRightInd/>
        <w:snapToGrid/>
        <w:spacing w:line="400" w:lineRule="exact"/>
        <w:ind w:left="0"/>
        <w:textAlignment w:val="auto"/>
        <w:rPr>
          <w:rFonts w:hint="eastAsia" w:ascii="宋体" w:hAnsi="宋体"/>
          <w:color w:val="auto"/>
          <w:szCs w:val="21"/>
          <w:highlight w:val="none"/>
          <w:u w:val="single"/>
        </w:rPr>
      </w:pPr>
      <w:r>
        <w:rPr>
          <w:rFonts w:hint="eastAsia" w:ascii="宋体" w:hAnsi="宋体"/>
          <w:color w:val="auto"/>
          <w:szCs w:val="21"/>
          <w:highlight w:val="none"/>
        </w:rPr>
        <w:t>甲方（公章）：</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乙方（公章）：</w:t>
      </w:r>
      <w:r>
        <w:rPr>
          <w:rFonts w:hint="eastAsia" w:ascii="宋体" w:hAnsi="宋体"/>
          <w:color w:val="auto"/>
          <w:szCs w:val="21"/>
          <w:highlight w:val="none"/>
          <w:u w:val="single"/>
        </w:rPr>
        <w:t xml:space="preserve">                           </w:t>
      </w:r>
    </w:p>
    <w:p w14:paraId="33095D50">
      <w:pPr>
        <w:keepNext w:val="0"/>
        <w:keepLines w:val="0"/>
        <w:pageBreakBefore w:val="0"/>
        <w:widowControl w:val="0"/>
        <w:kinsoku/>
        <w:wordWrap/>
        <w:overflowPunct/>
        <w:topLinePunct w:val="0"/>
        <w:autoSpaceDE/>
        <w:autoSpaceDN/>
        <w:bidi w:val="0"/>
        <w:adjustRightInd/>
        <w:snapToGrid/>
        <w:spacing w:line="400" w:lineRule="exact"/>
        <w:ind w:left="0" w:hanging="4620" w:hangingChars="2200"/>
        <w:textAlignment w:val="auto"/>
        <w:rPr>
          <w:rFonts w:hint="eastAsia" w:ascii="宋体" w:hAnsi="宋体"/>
          <w:color w:val="auto"/>
          <w:szCs w:val="21"/>
          <w:highlight w:val="none"/>
          <w:u w:val="single"/>
        </w:rPr>
      </w:pPr>
      <w:r>
        <w:rPr>
          <w:rFonts w:hint="eastAsia" w:ascii="宋体" w:hAnsi="宋体"/>
          <w:color w:val="auto"/>
          <w:szCs w:val="21"/>
          <w:highlight w:val="none"/>
        </w:rPr>
        <w:t>法定代表人签字：</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r>
        <w:rPr>
          <w:rFonts w:hint="eastAsia" w:hAnsi="宋体"/>
          <w:color w:val="auto"/>
          <w:highlight w:val="none"/>
        </w:rPr>
        <w:t>法定代表人</w:t>
      </w:r>
      <w:r>
        <w:rPr>
          <w:rFonts w:hint="eastAsia" w:ascii="宋体" w:hAnsi="宋体" w:eastAsia="宋体" w:cs="宋体"/>
          <w:color w:val="auto"/>
          <w:sz w:val="21"/>
          <w:szCs w:val="21"/>
          <w:highlight w:val="none"/>
        </w:rPr>
        <w:t>（负责人）签字</w:t>
      </w:r>
      <w:r>
        <w:rPr>
          <w:rFonts w:hint="eastAsia" w:ascii="宋体" w:hAnsi="宋体"/>
          <w:color w:val="auto"/>
          <w:szCs w:val="21"/>
          <w:highlight w:val="none"/>
        </w:rPr>
        <w:t>：</w:t>
      </w:r>
      <w:r>
        <w:rPr>
          <w:rFonts w:hint="eastAsia" w:ascii="宋体" w:hAnsi="宋体"/>
          <w:color w:val="auto"/>
          <w:szCs w:val="21"/>
          <w:highlight w:val="none"/>
          <w:u w:val="single"/>
        </w:rPr>
        <w:t xml:space="preserve">                                 </w:t>
      </w:r>
    </w:p>
    <w:p w14:paraId="37547E36">
      <w:pPr>
        <w:keepNext w:val="0"/>
        <w:keepLines w:val="0"/>
        <w:pageBreakBefore w:val="0"/>
        <w:widowControl w:val="0"/>
        <w:tabs>
          <w:tab w:val="left" w:pos="4680"/>
        </w:tabs>
        <w:kinsoku/>
        <w:wordWrap/>
        <w:overflowPunct/>
        <w:topLinePunct w:val="0"/>
        <w:autoSpaceDE/>
        <w:autoSpaceDN/>
        <w:bidi w:val="0"/>
        <w:adjustRightInd/>
        <w:snapToGrid/>
        <w:spacing w:line="400" w:lineRule="exact"/>
        <w:ind w:left="0"/>
        <w:textAlignment w:val="auto"/>
        <w:rPr>
          <w:rFonts w:hint="eastAsia" w:ascii="宋体" w:hAnsi="宋体"/>
          <w:color w:val="auto"/>
          <w:szCs w:val="21"/>
          <w:highlight w:val="none"/>
          <w:u w:val="single"/>
        </w:rPr>
      </w:pPr>
      <w:r>
        <w:rPr>
          <w:rFonts w:hint="eastAsia" w:ascii="宋体" w:hAnsi="宋体"/>
          <w:color w:val="auto"/>
          <w:szCs w:val="21"/>
          <w:highlight w:val="none"/>
        </w:rPr>
        <w:t>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委托代理人：</w:t>
      </w:r>
      <w:r>
        <w:rPr>
          <w:rFonts w:hint="eastAsia" w:ascii="宋体" w:hAnsi="宋体"/>
          <w:color w:val="auto"/>
          <w:szCs w:val="21"/>
          <w:highlight w:val="none"/>
          <w:u w:val="single"/>
        </w:rPr>
        <w:t xml:space="preserve">                                    </w:t>
      </w:r>
    </w:p>
    <w:p w14:paraId="767FCA71">
      <w:pPr>
        <w:keepNext w:val="0"/>
        <w:keepLines w:val="0"/>
        <w:pageBreakBefore w:val="0"/>
        <w:widowControl w:val="0"/>
        <w:tabs>
          <w:tab w:val="left" w:pos="5040"/>
        </w:tabs>
        <w:kinsoku/>
        <w:wordWrap/>
        <w:overflowPunct/>
        <w:topLinePunct w:val="0"/>
        <w:autoSpaceDE/>
        <w:autoSpaceDN/>
        <w:bidi w:val="0"/>
        <w:adjustRightInd/>
        <w:snapToGrid/>
        <w:spacing w:line="400" w:lineRule="exact"/>
        <w:ind w:left="0"/>
        <w:textAlignment w:val="auto"/>
        <w:rPr>
          <w:rFonts w:hint="eastAsia" w:ascii="宋体" w:hAnsi="宋体"/>
          <w:color w:val="auto"/>
          <w:szCs w:val="21"/>
          <w:highlight w:val="none"/>
          <w:u w:val="single"/>
        </w:rPr>
      </w:pPr>
      <w:r>
        <w:rPr>
          <w:rFonts w:hint="eastAsia" w:ascii="宋体" w:hAnsi="宋体"/>
          <w:color w:val="auto"/>
          <w:szCs w:val="21"/>
          <w:highlight w:val="none"/>
        </w:rPr>
        <w:t>电  话：</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电   话： </w:t>
      </w:r>
      <w:r>
        <w:rPr>
          <w:rFonts w:hint="eastAsia" w:ascii="宋体" w:hAnsi="宋体"/>
          <w:color w:val="auto"/>
          <w:szCs w:val="21"/>
          <w:highlight w:val="none"/>
          <w:u w:val="single"/>
        </w:rPr>
        <w:t xml:space="preserve">                                      </w:t>
      </w:r>
    </w:p>
    <w:p w14:paraId="6DF5432F">
      <w:pPr>
        <w:keepNext w:val="0"/>
        <w:keepLines w:val="0"/>
        <w:pageBreakBefore w:val="0"/>
        <w:widowControl w:val="0"/>
        <w:tabs>
          <w:tab w:val="left" w:pos="5040"/>
        </w:tabs>
        <w:kinsoku/>
        <w:wordWrap/>
        <w:overflowPunct/>
        <w:topLinePunct w:val="0"/>
        <w:autoSpaceDE/>
        <w:autoSpaceDN/>
        <w:bidi w:val="0"/>
        <w:adjustRightInd/>
        <w:snapToGrid/>
        <w:spacing w:line="400" w:lineRule="exact"/>
        <w:ind w:left="0"/>
        <w:textAlignment w:val="auto"/>
        <w:rPr>
          <w:rFonts w:hint="eastAsia" w:ascii="宋体" w:hAnsi="宋体"/>
          <w:color w:val="auto"/>
          <w:szCs w:val="21"/>
          <w:highlight w:val="none"/>
        </w:rPr>
      </w:pPr>
      <w:r>
        <w:rPr>
          <w:rFonts w:hint="eastAsia" w:ascii="宋体" w:hAnsi="宋体"/>
          <w:color w:val="auto"/>
          <w:szCs w:val="21"/>
          <w:highlight w:val="none"/>
        </w:rPr>
        <w:t>开户名称：</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开户名称：</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778107FB">
      <w:pPr>
        <w:keepNext w:val="0"/>
        <w:keepLines w:val="0"/>
        <w:pageBreakBefore w:val="0"/>
        <w:widowControl w:val="0"/>
        <w:tabs>
          <w:tab w:val="left" w:pos="5040"/>
        </w:tabs>
        <w:kinsoku/>
        <w:wordWrap/>
        <w:overflowPunct/>
        <w:topLinePunct w:val="0"/>
        <w:autoSpaceDE/>
        <w:autoSpaceDN/>
        <w:bidi w:val="0"/>
        <w:adjustRightInd/>
        <w:snapToGrid/>
        <w:spacing w:line="400" w:lineRule="exact"/>
        <w:ind w:left="0"/>
        <w:textAlignment w:val="auto"/>
        <w:rPr>
          <w:rFonts w:hint="eastAsia" w:ascii="宋体" w:hAnsi="宋体"/>
          <w:color w:val="auto"/>
          <w:szCs w:val="21"/>
          <w:highlight w:val="none"/>
        </w:rPr>
      </w:pPr>
      <w:r>
        <w:rPr>
          <w:rFonts w:hint="eastAsia" w:ascii="宋体" w:hAnsi="宋体"/>
          <w:color w:val="auto"/>
          <w:szCs w:val="21"/>
          <w:highlight w:val="none"/>
        </w:rPr>
        <w:t>开户银行：</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开户银行：</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30B878D5">
      <w:pPr>
        <w:keepNext w:val="0"/>
        <w:keepLines w:val="0"/>
        <w:pageBreakBefore w:val="0"/>
        <w:widowControl w:val="0"/>
        <w:tabs>
          <w:tab w:val="left" w:pos="5040"/>
        </w:tabs>
        <w:kinsoku/>
        <w:wordWrap/>
        <w:overflowPunct/>
        <w:topLinePunct w:val="0"/>
        <w:autoSpaceDE/>
        <w:autoSpaceDN/>
        <w:bidi w:val="0"/>
        <w:adjustRightInd/>
        <w:snapToGrid/>
        <w:spacing w:line="400" w:lineRule="exact"/>
        <w:ind w:left="0"/>
        <w:textAlignment w:val="auto"/>
        <w:rPr>
          <w:rFonts w:hint="eastAsia" w:ascii="宋体" w:hAnsi="宋体"/>
          <w:color w:val="auto"/>
          <w:szCs w:val="21"/>
          <w:highlight w:val="none"/>
        </w:rPr>
      </w:pPr>
      <w:r>
        <w:rPr>
          <w:rFonts w:hint="eastAsia" w:ascii="宋体" w:hAnsi="宋体"/>
          <w:color w:val="auto"/>
          <w:szCs w:val="21"/>
          <w:highlight w:val="none"/>
        </w:rPr>
        <w:t>银行账号：</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银行账号：</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7383EC7A">
      <w:pPr>
        <w:keepNext w:val="0"/>
        <w:keepLines w:val="0"/>
        <w:pageBreakBefore w:val="0"/>
        <w:widowControl w:val="0"/>
        <w:kinsoku/>
        <w:wordWrap/>
        <w:overflowPunct/>
        <w:topLinePunct w:val="0"/>
        <w:autoSpaceDE/>
        <w:autoSpaceDN/>
        <w:bidi w:val="0"/>
        <w:adjustRightInd/>
        <w:snapToGrid/>
        <w:spacing w:line="400" w:lineRule="exact"/>
        <w:ind w:left="0"/>
        <w:textAlignment w:val="auto"/>
        <w:rPr>
          <w:rFonts w:hint="eastAsia" w:ascii="宋体" w:hAnsi="宋体" w:eastAsia="宋体" w:cs="宋体"/>
          <w:color w:val="auto"/>
          <w:szCs w:val="21"/>
          <w:highlight w:val="none"/>
        </w:rPr>
      </w:pPr>
      <w:r>
        <w:rPr>
          <w:rFonts w:hint="eastAsia" w:ascii="宋体" w:hAnsi="宋体"/>
          <w:color w:val="auto"/>
          <w:szCs w:val="21"/>
          <w:highlight w:val="none"/>
        </w:rPr>
        <w:t>日    期：</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日    期：</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6961295C">
      <w:pPr>
        <w:pStyle w:val="15"/>
        <w:keepNext w:val="0"/>
        <w:keepLines w:val="0"/>
        <w:pageBreakBefore w:val="0"/>
        <w:widowControl w:val="0"/>
        <w:tabs>
          <w:tab w:val="left" w:pos="4214"/>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合同签订地：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合同签订地：</w:t>
      </w:r>
    </w:p>
    <w:p w14:paraId="295FFA3B">
      <w:pPr>
        <w:pStyle w:val="15"/>
        <w:keepNext w:val="0"/>
        <w:keepLines w:val="0"/>
        <w:pageBreakBefore w:val="0"/>
        <w:widowControl w:val="0"/>
        <w:tabs>
          <w:tab w:val="left" w:pos="4214"/>
        </w:tabs>
        <w:kinsoku/>
        <w:wordWrap/>
        <w:overflowPunct/>
        <w:topLinePunct w:val="0"/>
        <w:autoSpaceDE/>
        <w:autoSpaceDN/>
        <w:bidi w:val="0"/>
        <w:snapToGrid/>
        <w:spacing w:line="360" w:lineRule="atLeast"/>
        <w:ind w:left="0" w:firstLine="2310" w:firstLineChars="1100"/>
        <w:textAlignment w:val="auto"/>
        <w:rPr>
          <w:rFonts w:hint="eastAsia" w:ascii="宋体" w:hAnsi="宋体" w:eastAsia="宋体" w:cs="宋体"/>
          <w:color w:val="auto"/>
          <w:sz w:val="21"/>
          <w:szCs w:val="21"/>
          <w:highlight w:val="none"/>
        </w:rPr>
      </w:pPr>
    </w:p>
    <w:p w14:paraId="55F00828">
      <w:pPr>
        <w:pStyle w:val="15"/>
        <w:keepNext w:val="0"/>
        <w:keepLines w:val="0"/>
        <w:pageBreakBefore w:val="0"/>
        <w:widowControl w:val="0"/>
        <w:tabs>
          <w:tab w:val="left" w:pos="4214"/>
        </w:tabs>
        <w:kinsoku/>
        <w:wordWrap/>
        <w:overflowPunct/>
        <w:topLinePunct w:val="0"/>
        <w:autoSpaceDE/>
        <w:autoSpaceDN/>
        <w:bidi w:val="0"/>
        <w:snapToGrid/>
        <w:spacing w:line="360" w:lineRule="atLeast"/>
        <w:ind w:left="0" w:firstLine="3313" w:firstLineChars="1100"/>
        <w:textAlignment w:val="auto"/>
        <w:rPr>
          <w:rFonts w:hint="eastAsia" w:ascii="宋体" w:hAnsi="宋体" w:eastAsia="宋体" w:cs="宋体"/>
          <w:b/>
          <w:color w:val="auto"/>
          <w:sz w:val="30"/>
          <w:szCs w:val="30"/>
          <w:highlight w:val="none"/>
        </w:rPr>
      </w:pPr>
    </w:p>
    <w:p w14:paraId="1F37A347">
      <w:pPr>
        <w:pStyle w:val="15"/>
        <w:keepNext w:val="0"/>
        <w:keepLines w:val="0"/>
        <w:pageBreakBefore w:val="0"/>
        <w:widowControl w:val="0"/>
        <w:tabs>
          <w:tab w:val="left" w:pos="4214"/>
        </w:tabs>
        <w:kinsoku/>
        <w:wordWrap/>
        <w:overflowPunct/>
        <w:topLinePunct w:val="0"/>
        <w:autoSpaceDE/>
        <w:autoSpaceDN/>
        <w:bidi w:val="0"/>
        <w:snapToGrid/>
        <w:spacing w:line="360" w:lineRule="atLeast"/>
        <w:ind w:left="0" w:firstLine="3313" w:firstLineChars="1100"/>
        <w:textAlignment w:val="auto"/>
        <w:rPr>
          <w:rFonts w:hint="eastAsia" w:ascii="宋体" w:hAnsi="宋体" w:eastAsia="宋体" w:cs="宋体"/>
          <w:b/>
          <w:color w:val="auto"/>
          <w:sz w:val="30"/>
          <w:szCs w:val="30"/>
          <w:highlight w:val="none"/>
        </w:rPr>
      </w:pPr>
    </w:p>
    <w:p w14:paraId="2335BF88">
      <w:pPr>
        <w:pStyle w:val="15"/>
        <w:keepNext w:val="0"/>
        <w:keepLines w:val="0"/>
        <w:pageBreakBefore w:val="0"/>
        <w:widowControl w:val="0"/>
        <w:tabs>
          <w:tab w:val="left" w:pos="4214"/>
        </w:tabs>
        <w:kinsoku/>
        <w:wordWrap/>
        <w:overflowPunct/>
        <w:topLinePunct w:val="0"/>
        <w:autoSpaceDE/>
        <w:autoSpaceDN/>
        <w:bidi w:val="0"/>
        <w:snapToGrid/>
        <w:spacing w:line="360" w:lineRule="atLeast"/>
        <w:ind w:left="0" w:firstLine="3313" w:firstLineChars="1100"/>
        <w:textAlignment w:val="auto"/>
        <w:rPr>
          <w:rFonts w:hint="eastAsia" w:ascii="宋体" w:hAnsi="宋体" w:eastAsia="宋体" w:cs="宋体"/>
          <w:b/>
          <w:color w:val="auto"/>
          <w:sz w:val="30"/>
          <w:szCs w:val="30"/>
          <w:highlight w:val="none"/>
        </w:rPr>
      </w:pPr>
    </w:p>
    <w:p w14:paraId="4E4AA269">
      <w:pPr>
        <w:pStyle w:val="15"/>
        <w:keepNext w:val="0"/>
        <w:keepLines w:val="0"/>
        <w:pageBreakBefore w:val="0"/>
        <w:widowControl w:val="0"/>
        <w:tabs>
          <w:tab w:val="left" w:pos="4214"/>
        </w:tabs>
        <w:kinsoku/>
        <w:wordWrap/>
        <w:overflowPunct/>
        <w:topLinePunct w:val="0"/>
        <w:autoSpaceDE/>
        <w:autoSpaceDN/>
        <w:bidi w:val="0"/>
        <w:snapToGrid/>
        <w:spacing w:line="360" w:lineRule="atLeast"/>
        <w:ind w:left="0" w:firstLine="3313" w:firstLineChars="1100"/>
        <w:textAlignment w:val="auto"/>
        <w:rPr>
          <w:rFonts w:hint="eastAsia" w:ascii="宋体" w:hAnsi="宋体" w:eastAsia="宋体" w:cs="宋体"/>
          <w:b/>
          <w:color w:val="auto"/>
          <w:sz w:val="30"/>
          <w:szCs w:val="30"/>
          <w:highlight w:val="none"/>
        </w:rPr>
      </w:pPr>
    </w:p>
    <w:p w14:paraId="5E7A5EC6">
      <w:pP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br w:type="page"/>
      </w:r>
    </w:p>
    <w:p w14:paraId="29FC931F">
      <w:pPr>
        <w:pStyle w:val="15"/>
        <w:keepNext w:val="0"/>
        <w:keepLines w:val="0"/>
        <w:pageBreakBefore w:val="0"/>
        <w:widowControl w:val="0"/>
        <w:tabs>
          <w:tab w:val="left" w:pos="4214"/>
        </w:tabs>
        <w:kinsoku/>
        <w:wordWrap/>
        <w:overflowPunct/>
        <w:topLinePunct w:val="0"/>
        <w:autoSpaceDE/>
        <w:autoSpaceDN/>
        <w:bidi w:val="0"/>
        <w:snapToGrid/>
        <w:spacing w:line="360" w:lineRule="atLeast"/>
        <w:ind w:left="0" w:firstLine="3313" w:firstLineChars="1100"/>
        <w:textAlignment w:val="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第六章 响应文件格式</w:t>
      </w:r>
    </w:p>
    <w:p w14:paraId="3FA4855B">
      <w:pPr>
        <w:spacing w:line="400" w:lineRule="exact"/>
        <w:rPr>
          <w:rFonts w:hint="eastAsia" w:ascii="宋体" w:hAnsi="宋体" w:eastAsia="宋体" w:cs="宋体"/>
          <w:b/>
          <w:color w:val="auto"/>
          <w:sz w:val="32"/>
          <w:szCs w:val="32"/>
          <w:highlight w:val="none"/>
        </w:rPr>
      </w:pPr>
    </w:p>
    <w:p w14:paraId="4AFBD69A">
      <w:pPr>
        <w:spacing w:line="400" w:lineRule="exact"/>
        <w:ind w:firstLine="321" w:firstLineChars="100"/>
        <w:rPr>
          <w:rFonts w:hint="eastAsia" w:ascii="宋体" w:hAnsi="宋体" w:eastAsia="宋体" w:cs="宋体"/>
          <w:b/>
          <w:color w:val="auto"/>
          <w:sz w:val="32"/>
          <w:szCs w:val="32"/>
          <w:highlight w:val="none"/>
        </w:rPr>
      </w:pPr>
    </w:p>
    <w:p w14:paraId="0AC942CA">
      <w:pPr>
        <w:spacing w:line="400" w:lineRule="exact"/>
        <w:ind w:firstLine="321" w:firstLineChars="100"/>
        <w:rPr>
          <w:rFonts w:hint="eastAsia" w:ascii="宋体" w:hAnsi="宋体" w:eastAsia="宋体" w:cs="宋体"/>
          <w:b/>
          <w:color w:val="auto"/>
          <w:sz w:val="32"/>
          <w:szCs w:val="32"/>
          <w:highlight w:val="none"/>
        </w:rPr>
      </w:pPr>
    </w:p>
    <w:p w14:paraId="5418A929">
      <w:pPr>
        <w:spacing w:line="400" w:lineRule="exact"/>
        <w:ind w:firstLine="321" w:firstLineChars="100"/>
        <w:rPr>
          <w:rFonts w:hint="eastAsia" w:ascii="宋体" w:hAnsi="宋体" w:eastAsia="宋体" w:cs="宋体"/>
          <w:b/>
          <w:color w:val="auto"/>
          <w:sz w:val="32"/>
          <w:szCs w:val="32"/>
          <w:highlight w:val="none"/>
        </w:rPr>
      </w:pPr>
    </w:p>
    <w:p w14:paraId="579DF5E5">
      <w:pPr>
        <w:spacing w:line="400" w:lineRule="exact"/>
        <w:ind w:firstLine="321" w:firstLineChars="10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响应文件封面标记</w:t>
      </w:r>
    </w:p>
    <w:p w14:paraId="5A08A352">
      <w:pPr>
        <w:snapToGrid w:val="0"/>
        <w:spacing w:before="156" w:beforeLines="50" w:after="50"/>
        <w:jc w:val="center"/>
        <w:rPr>
          <w:rFonts w:hint="eastAsia" w:ascii="宋体" w:hAnsi="宋体" w:eastAsia="宋体" w:cs="宋体"/>
          <w:bCs/>
          <w:color w:val="auto"/>
          <w:sz w:val="32"/>
          <w:szCs w:val="32"/>
          <w:highlight w:val="none"/>
        </w:rPr>
      </w:pPr>
    </w:p>
    <w:p w14:paraId="63A0C255">
      <w:pPr>
        <w:snapToGrid w:val="0"/>
        <w:spacing w:before="156" w:beforeLines="50" w:after="50"/>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响 应 文 件</w:t>
      </w:r>
    </w:p>
    <w:p w14:paraId="1A2F7D03">
      <w:pPr>
        <w:snapToGrid w:val="0"/>
        <w:spacing w:before="156" w:beforeLines="50" w:after="50"/>
        <w:rPr>
          <w:rFonts w:hint="eastAsia" w:ascii="宋体" w:hAnsi="宋体" w:eastAsia="宋体" w:cs="宋体"/>
          <w:bCs/>
          <w:color w:val="auto"/>
          <w:sz w:val="24"/>
          <w:szCs w:val="20"/>
          <w:highlight w:val="none"/>
        </w:rPr>
      </w:pPr>
    </w:p>
    <w:p w14:paraId="49F14CE6">
      <w:pPr>
        <w:snapToGrid w:val="0"/>
        <w:spacing w:before="156" w:beforeLines="50" w:after="50"/>
        <w:ind w:firstLine="360" w:firstLineChars="1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项目名称： </w:t>
      </w:r>
    </w:p>
    <w:p w14:paraId="24984747">
      <w:pPr>
        <w:snapToGrid w:val="0"/>
        <w:spacing w:before="156" w:beforeLines="50" w:after="50"/>
        <w:ind w:firstLine="360" w:firstLineChars="150"/>
        <w:rPr>
          <w:rFonts w:hint="eastAsia" w:ascii="宋体" w:hAnsi="宋体" w:eastAsia="宋体" w:cs="宋体"/>
          <w:bCs/>
          <w:color w:val="auto"/>
          <w:sz w:val="24"/>
          <w:highlight w:val="none"/>
        </w:rPr>
      </w:pPr>
    </w:p>
    <w:p w14:paraId="76CBD8FE">
      <w:pPr>
        <w:snapToGrid w:val="0"/>
        <w:spacing w:before="156" w:beforeLines="50" w:after="50"/>
        <w:ind w:firstLine="360" w:firstLineChars="1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项目编号： </w:t>
      </w:r>
    </w:p>
    <w:p w14:paraId="6139C3C4">
      <w:pPr>
        <w:spacing w:line="400" w:lineRule="exact"/>
        <w:ind w:firstLine="1050" w:firstLineChars="500"/>
        <w:rPr>
          <w:rFonts w:hint="eastAsia" w:ascii="宋体" w:hAnsi="宋体" w:eastAsia="宋体" w:cs="宋体"/>
          <w:color w:val="auto"/>
          <w:szCs w:val="21"/>
          <w:highlight w:val="none"/>
        </w:rPr>
      </w:pPr>
    </w:p>
    <w:p w14:paraId="292BFC4D">
      <w:pPr>
        <w:snapToGrid w:val="0"/>
        <w:spacing w:before="156" w:beforeLines="50" w:after="50"/>
        <w:ind w:firstLine="360" w:firstLineChars="1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采购代理机构： </w:t>
      </w:r>
    </w:p>
    <w:p w14:paraId="3CD09CD4">
      <w:pPr>
        <w:snapToGrid w:val="0"/>
        <w:spacing w:before="156" w:beforeLines="50" w:after="50"/>
        <w:ind w:firstLine="360" w:firstLineChars="150"/>
        <w:rPr>
          <w:rFonts w:hint="eastAsia" w:ascii="宋体" w:hAnsi="宋体" w:eastAsia="宋体" w:cs="宋体"/>
          <w:bCs/>
          <w:color w:val="auto"/>
          <w:sz w:val="24"/>
          <w:highlight w:val="none"/>
        </w:rPr>
      </w:pPr>
    </w:p>
    <w:p w14:paraId="2863C596">
      <w:pPr>
        <w:keepNext w:val="0"/>
        <w:keepLines w:val="0"/>
        <w:pageBreakBefore w:val="0"/>
        <w:widowControl w:val="0"/>
        <w:kinsoku/>
        <w:wordWrap/>
        <w:overflowPunct/>
        <w:topLinePunct w:val="0"/>
        <w:autoSpaceDE/>
        <w:autoSpaceDN/>
        <w:bidi w:val="0"/>
        <w:adjustRightInd/>
        <w:snapToGrid w:val="0"/>
        <w:spacing w:line="500" w:lineRule="exact"/>
        <w:ind w:firstLine="360" w:firstLineChars="150"/>
        <w:textAlignment w:val="auto"/>
        <w:rPr>
          <w:rFonts w:hint="eastAsia" w:ascii="宋体" w:hAnsi="宋体" w:eastAsia="宋体" w:cs="宋体"/>
          <w:bCs/>
          <w:color w:val="auto"/>
          <w:sz w:val="24"/>
          <w:highlight w:val="none"/>
        </w:rPr>
      </w:pPr>
      <w:bookmarkStart w:id="10" w:name="_Toc4932_WPSOffice_Level2"/>
      <w:bookmarkStart w:id="11" w:name="_Toc20319_WPSOffice_Level2"/>
      <w:r>
        <w:rPr>
          <w:rFonts w:hint="eastAsia" w:ascii="宋体" w:hAnsi="宋体" w:eastAsia="宋体" w:cs="宋体"/>
          <w:bCs/>
          <w:color w:val="auto"/>
          <w:sz w:val="24"/>
          <w:highlight w:val="none"/>
        </w:rPr>
        <w:t>供应商</w:t>
      </w:r>
      <w:r>
        <w:rPr>
          <w:rFonts w:hint="eastAsia" w:ascii="宋体" w:hAnsi="宋体" w:cs="宋体"/>
          <w:bCs/>
          <w:color w:val="auto"/>
          <w:sz w:val="24"/>
          <w:highlight w:val="none"/>
        </w:rPr>
        <w:t>[公章(CA签章)]</w:t>
      </w: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u w:val="single"/>
        </w:rPr>
        <w:t xml:space="preserve">                       </w:t>
      </w:r>
      <w:bookmarkEnd w:id="10"/>
      <w:bookmarkEnd w:id="11"/>
      <w:r>
        <w:rPr>
          <w:rFonts w:hint="eastAsia" w:ascii="宋体" w:hAnsi="宋体" w:eastAsia="宋体" w:cs="宋体"/>
          <w:bCs/>
          <w:color w:val="auto"/>
          <w:sz w:val="24"/>
          <w:highlight w:val="none"/>
          <w:u w:val="single"/>
        </w:rPr>
        <w:t xml:space="preserve">       </w:t>
      </w:r>
    </w:p>
    <w:p w14:paraId="6EF1D50A">
      <w:pPr>
        <w:keepNext w:val="0"/>
        <w:keepLines w:val="0"/>
        <w:pageBreakBefore w:val="0"/>
        <w:widowControl w:val="0"/>
        <w:kinsoku/>
        <w:wordWrap/>
        <w:overflowPunct/>
        <w:topLinePunct w:val="0"/>
        <w:autoSpaceDE/>
        <w:autoSpaceDN/>
        <w:bidi w:val="0"/>
        <w:adjustRightInd/>
        <w:snapToGrid w:val="0"/>
        <w:spacing w:line="500" w:lineRule="exact"/>
        <w:ind w:firstLine="240" w:firstLineChars="100"/>
        <w:textAlignment w:val="auto"/>
        <w:rPr>
          <w:rFonts w:hint="eastAsia" w:ascii="宋体" w:hAnsi="宋体" w:eastAsia="宋体" w:cs="宋体"/>
          <w:bCs/>
          <w:color w:val="auto"/>
          <w:sz w:val="24"/>
          <w:highlight w:val="none"/>
        </w:rPr>
      </w:pPr>
      <w:bookmarkStart w:id="12" w:name="_Toc32056_WPSOffice_Level2"/>
      <w:bookmarkStart w:id="13" w:name="_Toc9622_WPSOffice_Level2"/>
    </w:p>
    <w:p w14:paraId="09880024">
      <w:pPr>
        <w:keepNext w:val="0"/>
        <w:keepLines w:val="0"/>
        <w:pageBreakBefore w:val="0"/>
        <w:widowControl w:val="0"/>
        <w:kinsoku/>
        <w:wordWrap/>
        <w:overflowPunct/>
        <w:topLinePunct w:val="0"/>
        <w:autoSpaceDE/>
        <w:autoSpaceDN/>
        <w:bidi w:val="0"/>
        <w:adjustRightInd/>
        <w:snapToGrid w:val="0"/>
        <w:spacing w:line="500" w:lineRule="exact"/>
        <w:ind w:firstLine="240" w:firstLineChars="100"/>
        <w:textAlignment w:val="auto"/>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法定代表人、负责人或相应的委托代理人签字[或盖章(个人CA签章)]：</w:t>
      </w:r>
      <w:r>
        <w:rPr>
          <w:rFonts w:hint="eastAsia" w:ascii="宋体" w:hAnsi="宋体" w:eastAsia="宋体" w:cs="宋体"/>
          <w:bCs/>
          <w:color w:val="auto"/>
          <w:sz w:val="24"/>
          <w:highlight w:val="none"/>
          <w:u w:val="single"/>
        </w:rPr>
        <w:t xml:space="preserve">     </w:t>
      </w:r>
      <w:r>
        <w:rPr>
          <w:rFonts w:hint="eastAsia" w:ascii="宋体" w:hAnsi="宋体" w:cs="宋体"/>
          <w:bCs/>
          <w:color w:val="auto"/>
          <w:sz w:val="24"/>
          <w:highlight w:val="none"/>
          <w:u w:val="single"/>
          <w:lang w:val="en-US" w:eastAsia="zh-CN"/>
        </w:rPr>
        <w:t xml:space="preserve">       </w:t>
      </w:r>
      <w:r>
        <w:rPr>
          <w:rFonts w:hint="eastAsia" w:ascii="宋体" w:hAnsi="宋体" w:eastAsia="宋体" w:cs="宋体"/>
          <w:bCs/>
          <w:color w:val="auto"/>
          <w:sz w:val="24"/>
          <w:highlight w:val="none"/>
          <w:u w:val="single"/>
        </w:rPr>
        <w:t xml:space="preserve"> </w:t>
      </w:r>
    </w:p>
    <w:p w14:paraId="5DF2BDF7">
      <w:pPr>
        <w:snapToGrid w:val="0"/>
        <w:spacing w:before="156" w:beforeLines="50" w:after="50"/>
        <w:ind w:firstLine="360" w:firstLineChars="150"/>
        <w:rPr>
          <w:rFonts w:hint="eastAsia" w:ascii="宋体" w:hAnsi="宋体" w:eastAsia="宋体" w:cs="宋体"/>
          <w:bCs/>
          <w:color w:val="auto"/>
          <w:sz w:val="24"/>
          <w:highlight w:val="none"/>
        </w:rPr>
      </w:pPr>
    </w:p>
    <w:p w14:paraId="26AA6A7E">
      <w:pPr>
        <w:snapToGrid w:val="0"/>
        <w:spacing w:before="156" w:beforeLines="50" w:after="50"/>
        <w:ind w:firstLine="360" w:firstLineChars="150"/>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联系电话：</w:t>
      </w:r>
      <w:bookmarkEnd w:id="12"/>
      <w:bookmarkEnd w:id="13"/>
      <w:r>
        <w:rPr>
          <w:rFonts w:hint="eastAsia" w:ascii="宋体" w:hAnsi="宋体" w:eastAsia="宋体" w:cs="宋体"/>
          <w:bCs/>
          <w:color w:val="auto"/>
          <w:sz w:val="24"/>
          <w:highlight w:val="none"/>
          <w:u w:val="single"/>
        </w:rPr>
        <w:t xml:space="preserve">                           </w:t>
      </w:r>
    </w:p>
    <w:p w14:paraId="1888BFFE">
      <w:pPr>
        <w:snapToGrid w:val="0"/>
        <w:spacing w:before="156" w:beforeLines="50" w:after="50"/>
        <w:ind w:firstLine="360" w:firstLineChars="150"/>
        <w:rPr>
          <w:rFonts w:hint="eastAsia" w:ascii="宋体" w:hAnsi="宋体" w:eastAsia="宋体" w:cs="宋体"/>
          <w:bCs/>
          <w:color w:val="auto"/>
          <w:sz w:val="24"/>
          <w:highlight w:val="none"/>
        </w:rPr>
      </w:pPr>
      <w:bookmarkStart w:id="14" w:name="_Toc15933_WPSOffice_Level2"/>
      <w:bookmarkStart w:id="15" w:name="_Toc26465_WPSOffice_Level2"/>
    </w:p>
    <w:p w14:paraId="7FA8C52D">
      <w:pPr>
        <w:snapToGrid w:val="0"/>
        <w:spacing w:before="156" w:beforeLines="50" w:after="50"/>
        <w:ind w:firstLine="360" w:firstLineChars="1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日期：</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年</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月</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日</w:t>
      </w:r>
      <w:bookmarkEnd w:id="14"/>
      <w:bookmarkEnd w:id="15"/>
    </w:p>
    <w:p w14:paraId="0DE861A8">
      <w:pPr>
        <w:pStyle w:val="15"/>
        <w:tabs>
          <w:tab w:val="left" w:pos="4214"/>
        </w:tabs>
        <w:spacing w:line="360" w:lineRule="auto"/>
        <w:ind w:firstLine="3313" w:firstLineChars="1100"/>
        <w:rPr>
          <w:rFonts w:hint="eastAsia" w:ascii="宋体" w:hAnsi="宋体" w:eastAsia="宋体" w:cs="宋体"/>
          <w:b/>
          <w:color w:val="auto"/>
          <w:sz w:val="30"/>
          <w:szCs w:val="30"/>
          <w:highlight w:val="none"/>
        </w:rPr>
        <w:sectPr>
          <w:footerReference r:id="rId4" w:type="default"/>
          <w:pgSz w:w="11906" w:h="16838"/>
          <w:pgMar w:top="1440" w:right="1287" w:bottom="1440" w:left="1179" w:header="851" w:footer="992" w:gutter="0"/>
          <w:pgNumType w:fmt="decimal" w:start="1"/>
          <w:cols w:space="0" w:num="1"/>
          <w:docGrid w:type="lines" w:linePitch="312" w:charSpace="0"/>
        </w:sectPr>
      </w:pPr>
    </w:p>
    <w:p w14:paraId="5F6D6819">
      <w:pPr>
        <w:spacing w:line="400" w:lineRule="exact"/>
        <w:ind w:firstLine="281" w:firstLineChars="100"/>
        <w:jc w:val="left"/>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eastAsia="zh-CN"/>
        </w:rPr>
        <w:t>一、</w:t>
      </w:r>
      <w:r>
        <w:rPr>
          <w:rFonts w:hint="eastAsia" w:ascii="宋体" w:hAnsi="宋体" w:eastAsia="宋体" w:cs="宋体"/>
          <w:b/>
          <w:color w:val="auto"/>
          <w:sz w:val="28"/>
          <w:szCs w:val="28"/>
          <w:highlight w:val="none"/>
        </w:rPr>
        <w:t>资格性响应证明材料</w:t>
      </w:r>
    </w:p>
    <w:p w14:paraId="3EF1DA91">
      <w:pPr>
        <w:pStyle w:val="15"/>
        <w:spacing w:line="400" w:lineRule="exact"/>
        <w:ind w:firstLine="275" w:firstLineChars="98"/>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1</w:t>
      </w:r>
      <w:r>
        <w:rPr>
          <w:rFonts w:hint="eastAsia" w:ascii="宋体" w:hAnsi="宋体" w:eastAsia="宋体" w:cs="宋体"/>
          <w:b/>
          <w:color w:val="auto"/>
          <w:sz w:val="28"/>
          <w:szCs w:val="28"/>
          <w:highlight w:val="none"/>
        </w:rPr>
        <w:t>、供应商相应的法定代表人、负责人身份证正反两面扫描件（必须提供</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lang w:val="en-US" w:eastAsia="zh-CN"/>
        </w:rPr>
        <w:t>否则作无效响应处理</w:t>
      </w:r>
      <w:r>
        <w:rPr>
          <w:rFonts w:hint="eastAsia" w:ascii="宋体" w:hAnsi="宋体" w:eastAsia="宋体" w:cs="宋体"/>
          <w:b/>
          <w:color w:val="auto"/>
          <w:sz w:val="28"/>
          <w:szCs w:val="28"/>
          <w:highlight w:val="none"/>
        </w:rPr>
        <w:t>）；</w:t>
      </w:r>
    </w:p>
    <w:p w14:paraId="3377E746">
      <w:pPr>
        <w:pStyle w:val="15"/>
        <w:rPr>
          <w:rFonts w:hint="eastAsia" w:ascii="宋体" w:hAnsi="宋体" w:eastAsia="宋体" w:cs="宋体"/>
          <w:color w:val="auto"/>
          <w:highlight w:val="none"/>
        </w:rPr>
      </w:pPr>
    </w:p>
    <w:p w14:paraId="13F135BB">
      <w:pPr>
        <w:pStyle w:val="10"/>
        <w:rPr>
          <w:rFonts w:hint="eastAsia" w:ascii="宋体" w:hAnsi="宋体" w:eastAsia="宋体" w:cs="宋体"/>
          <w:color w:val="auto"/>
          <w:highlight w:val="none"/>
        </w:rPr>
      </w:pPr>
    </w:p>
    <w:p w14:paraId="5F46AD9E">
      <w:pPr>
        <w:rPr>
          <w:rFonts w:hint="eastAsia" w:ascii="宋体" w:hAnsi="宋体" w:eastAsia="宋体" w:cs="宋体"/>
          <w:color w:val="auto"/>
          <w:highlight w:val="none"/>
        </w:rPr>
      </w:pPr>
    </w:p>
    <w:p w14:paraId="4F6831AC">
      <w:pPr>
        <w:pStyle w:val="10"/>
        <w:rPr>
          <w:rFonts w:hint="eastAsia" w:ascii="宋体" w:hAnsi="宋体" w:eastAsia="宋体" w:cs="宋体"/>
          <w:color w:val="auto"/>
          <w:highlight w:val="none"/>
        </w:rPr>
      </w:pPr>
    </w:p>
    <w:p w14:paraId="52FB3107">
      <w:pPr>
        <w:rPr>
          <w:rFonts w:hint="eastAsia" w:ascii="宋体" w:hAnsi="宋体" w:eastAsia="宋体" w:cs="宋体"/>
          <w:color w:val="auto"/>
          <w:highlight w:val="none"/>
        </w:rPr>
      </w:pPr>
    </w:p>
    <w:p w14:paraId="009A6B05">
      <w:pPr>
        <w:pStyle w:val="10"/>
        <w:rPr>
          <w:rFonts w:hint="eastAsia" w:ascii="宋体" w:hAnsi="宋体" w:eastAsia="宋体" w:cs="宋体"/>
          <w:color w:val="auto"/>
          <w:highlight w:val="none"/>
        </w:rPr>
      </w:pPr>
    </w:p>
    <w:p w14:paraId="4E03F02E">
      <w:pPr>
        <w:rPr>
          <w:rFonts w:hint="eastAsia" w:ascii="宋体" w:hAnsi="宋体" w:eastAsia="宋体" w:cs="宋体"/>
          <w:color w:val="auto"/>
          <w:highlight w:val="none"/>
        </w:rPr>
      </w:pPr>
    </w:p>
    <w:p w14:paraId="0732A976">
      <w:pPr>
        <w:pStyle w:val="10"/>
        <w:rPr>
          <w:rFonts w:hint="eastAsia" w:ascii="宋体" w:hAnsi="宋体" w:eastAsia="宋体" w:cs="宋体"/>
          <w:color w:val="auto"/>
          <w:highlight w:val="none"/>
        </w:rPr>
      </w:pPr>
    </w:p>
    <w:p w14:paraId="566EEF1F">
      <w:pPr>
        <w:rPr>
          <w:rFonts w:hint="eastAsia" w:ascii="宋体" w:hAnsi="宋体" w:eastAsia="宋体" w:cs="宋体"/>
          <w:color w:val="auto"/>
          <w:highlight w:val="none"/>
        </w:rPr>
      </w:pPr>
    </w:p>
    <w:p w14:paraId="20F2EEA2">
      <w:pPr>
        <w:pStyle w:val="10"/>
        <w:rPr>
          <w:rFonts w:hint="eastAsia" w:ascii="宋体" w:hAnsi="宋体" w:eastAsia="宋体" w:cs="宋体"/>
          <w:color w:val="auto"/>
          <w:highlight w:val="none"/>
        </w:rPr>
      </w:pPr>
    </w:p>
    <w:p w14:paraId="4C4CC75D">
      <w:pPr>
        <w:rPr>
          <w:rFonts w:hint="eastAsia" w:ascii="宋体" w:hAnsi="宋体" w:eastAsia="宋体" w:cs="宋体"/>
          <w:color w:val="auto"/>
          <w:highlight w:val="none"/>
        </w:rPr>
      </w:pPr>
    </w:p>
    <w:p w14:paraId="180B106B">
      <w:pPr>
        <w:pStyle w:val="10"/>
        <w:rPr>
          <w:rFonts w:hint="eastAsia" w:ascii="宋体" w:hAnsi="宋体" w:eastAsia="宋体" w:cs="宋体"/>
          <w:color w:val="auto"/>
          <w:highlight w:val="none"/>
        </w:rPr>
      </w:pPr>
    </w:p>
    <w:p w14:paraId="0E68F81F">
      <w:pPr>
        <w:rPr>
          <w:rFonts w:hint="eastAsia" w:ascii="宋体" w:hAnsi="宋体" w:eastAsia="宋体" w:cs="宋体"/>
          <w:color w:val="auto"/>
          <w:highlight w:val="none"/>
        </w:rPr>
      </w:pPr>
    </w:p>
    <w:p w14:paraId="2BF7667E">
      <w:pPr>
        <w:pStyle w:val="10"/>
        <w:rPr>
          <w:rFonts w:hint="eastAsia" w:ascii="宋体" w:hAnsi="宋体" w:eastAsia="宋体" w:cs="宋体"/>
          <w:color w:val="auto"/>
          <w:highlight w:val="none"/>
        </w:rPr>
      </w:pPr>
    </w:p>
    <w:p w14:paraId="30448FDC">
      <w:pPr>
        <w:rPr>
          <w:rFonts w:hint="eastAsia" w:ascii="宋体" w:hAnsi="宋体" w:eastAsia="宋体" w:cs="宋体"/>
          <w:color w:val="auto"/>
          <w:highlight w:val="none"/>
        </w:rPr>
      </w:pPr>
    </w:p>
    <w:p w14:paraId="4473CED5">
      <w:pPr>
        <w:pStyle w:val="10"/>
        <w:rPr>
          <w:rFonts w:hint="eastAsia" w:ascii="宋体" w:hAnsi="宋体" w:eastAsia="宋体" w:cs="宋体"/>
          <w:color w:val="auto"/>
          <w:highlight w:val="none"/>
        </w:rPr>
      </w:pPr>
    </w:p>
    <w:p w14:paraId="686750B8">
      <w:pPr>
        <w:rPr>
          <w:rFonts w:hint="eastAsia" w:ascii="宋体" w:hAnsi="宋体" w:eastAsia="宋体" w:cs="宋体"/>
          <w:color w:val="auto"/>
          <w:highlight w:val="none"/>
        </w:rPr>
      </w:pPr>
    </w:p>
    <w:p w14:paraId="41C88E6E">
      <w:pPr>
        <w:pStyle w:val="10"/>
        <w:rPr>
          <w:rFonts w:hint="eastAsia" w:ascii="宋体" w:hAnsi="宋体" w:eastAsia="宋体" w:cs="宋体"/>
          <w:color w:val="auto"/>
          <w:highlight w:val="none"/>
        </w:rPr>
      </w:pPr>
    </w:p>
    <w:p w14:paraId="6A5D408C">
      <w:pPr>
        <w:rPr>
          <w:rFonts w:hint="eastAsia" w:ascii="宋体" w:hAnsi="宋体" w:eastAsia="宋体" w:cs="宋体"/>
          <w:color w:val="auto"/>
          <w:highlight w:val="none"/>
        </w:rPr>
      </w:pPr>
    </w:p>
    <w:p w14:paraId="4EFED9C1">
      <w:pPr>
        <w:pStyle w:val="10"/>
        <w:rPr>
          <w:rFonts w:hint="eastAsia" w:ascii="宋体" w:hAnsi="宋体" w:eastAsia="宋体" w:cs="宋体"/>
          <w:color w:val="auto"/>
          <w:highlight w:val="none"/>
        </w:rPr>
      </w:pPr>
    </w:p>
    <w:p w14:paraId="6CD5276F">
      <w:pPr>
        <w:rPr>
          <w:rFonts w:hint="eastAsia" w:ascii="宋体" w:hAnsi="宋体" w:eastAsia="宋体" w:cs="宋体"/>
          <w:color w:val="auto"/>
          <w:highlight w:val="none"/>
        </w:rPr>
      </w:pPr>
    </w:p>
    <w:p w14:paraId="3EDD0BAE">
      <w:pPr>
        <w:pStyle w:val="10"/>
        <w:rPr>
          <w:rFonts w:hint="eastAsia" w:ascii="宋体" w:hAnsi="宋体" w:eastAsia="宋体" w:cs="宋体"/>
          <w:color w:val="auto"/>
          <w:highlight w:val="none"/>
        </w:rPr>
      </w:pPr>
    </w:p>
    <w:p w14:paraId="77EDEB45">
      <w:pPr>
        <w:rPr>
          <w:rFonts w:hint="eastAsia" w:ascii="宋体" w:hAnsi="宋体" w:eastAsia="宋体" w:cs="宋体"/>
          <w:color w:val="auto"/>
          <w:highlight w:val="none"/>
        </w:rPr>
      </w:pPr>
    </w:p>
    <w:p w14:paraId="0A7F21DE">
      <w:pPr>
        <w:pStyle w:val="10"/>
        <w:rPr>
          <w:rFonts w:hint="eastAsia" w:ascii="宋体" w:hAnsi="宋体" w:eastAsia="宋体" w:cs="宋体"/>
          <w:color w:val="auto"/>
          <w:highlight w:val="none"/>
        </w:rPr>
      </w:pPr>
    </w:p>
    <w:p w14:paraId="4A3CF867">
      <w:pPr>
        <w:rPr>
          <w:rFonts w:hint="eastAsia" w:ascii="宋体" w:hAnsi="宋体" w:eastAsia="宋体" w:cs="宋体"/>
          <w:color w:val="auto"/>
          <w:highlight w:val="none"/>
        </w:rPr>
      </w:pPr>
    </w:p>
    <w:p w14:paraId="002B2684">
      <w:pPr>
        <w:pStyle w:val="10"/>
        <w:rPr>
          <w:rFonts w:hint="eastAsia" w:ascii="宋体" w:hAnsi="宋体" w:eastAsia="宋体" w:cs="宋体"/>
          <w:color w:val="auto"/>
          <w:highlight w:val="none"/>
        </w:rPr>
      </w:pPr>
    </w:p>
    <w:p w14:paraId="087B6E36">
      <w:pPr>
        <w:rPr>
          <w:rFonts w:hint="eastAsia" w:ascii="宋体" w:hAnsi="宋体" w:eastAsia="宋体" w:cs="宋体"/>
          <w:color w:val="auto"/>
          <w:highlight w:val="none"/>
        </w:rPr>
      </w:pPr>
    </w:p>
    <w:p w14:paraId="52F09CBA">
      <w:pPr>
        <w:pStyle w:val="10"/>
        <w:rPr>
          <w:rFonts w:hint="eastAsia" w:ascii="宋体" w:hAnsi="宋体" w:eastAsia="宋体" w:cs="宋体"/>
          <w:color w:val="auto"/>
          <w:highlight w:val="none"/>
        </w:rPr>
      </w:pPr>
    </w:p>
    <w:p w14:paraId="0F38A67B">
      <w:pPr>
        <w:rPr>
          <w:rFonts w:hint="eastAsia" w:ascii="宋体" w:hAnsi="宋体" w:eastAsia="宋体" w:cs="宋体"/>
          <w:color w:val="auto"/>
          <w:highlight w:val="none"/>
        </w:rPr>
      </w:pPr>
    </w:p>
    <w:p w14:paraId="273BFEDC">
      <w:pPr>
        <w:pStyle w:val="10"/>
        <w:rPr>
          <w:rFonts w:hint="eastAsia" w:ascii="宋体" w:hAnsi="宋体" w:eastAsia="宋体" w:cs="宋体"/>
          <w:color w:val="auto"/>
          <w:highlight w:val="none"/>
        </w:rPr>
      </w:pPr>
    </w:p>
    <w:p w14:paraId="1A46C207">
      <w:pPr>
        <w:rPr>
          <w:rFonts w:hint="eastAsia" w:ascii="宋体" w:hAnsi="宋体" w:eastAsia="宋体" w:cs="宋体"/>
          <w:color w:val="auto"/>
          <w:highlight w:val="none"/>
        </w:rPr>
      </w:pPr>
    </w:p>
    <w:p w14:paraId="39FC2A9D">
      <w:pPr>
        <w:pStyle w:val="10"/>
        <w:rPr>
          <w:rFonts w:hint="eastAsia" w:ascii="宋体" w:hAnsi="宋体" w:eastAsia="宋体" w:cs="宋体"/>
          <w:color w:val="auto"/>
          <w:highlight w:val="none"/>
        </w:rPr>
      </w:pPr>
    </w:p>
    <w:p w14:paraId="6957BBB9">
      <w:pPr>
        <w:rPr>
          <w:rFonts w:hint="eastAsia" w:ascii="宋体" w:hAnsi="宋体" w:eastAsia="宋体" w:cs="宋体"/>
          <w:color w:val="auto"/>
          <w:highlight w:val="none"/>
        </w:rPr>
      </w:pPr>
    </w:p>
    <w:p w14:paraId="63640266">
      <w:pPr>
        <w:pStyle w:val="10"/>
        <w:rPr>
          <w:rFonts w:hint="eastAsia" w:ascii="宋体" w:hAnsi="宋体" w:eastAsia="宋体" w:cs="宋体"/>
          <w:color w:val="auto"/>
          <w:highlight w:val="none"/>
        </w:rPr>
      </w:pPr>
    </w:p>
    <w:p w14:paraId="6F310D22">
      <w:pPr>
        <w:rPr>
          <w:rFonts w:hint="eastAsia" w:ascii="宋体" w:hAnsi="宋体" w:eastAsia="宋体" w:cs="宋体"/>
          <w:color w:val="auto"/>
          <w:highlight w:val="none"/>
        </w:rPr>
      </w:pPr>
    </w:p>
    <w:p w14:paraId="3C8DDA70">
      <w:pPr>
        <w:pStyle w:val="10"/>
        <w:rPr>
          <w:rFonts w:hint="eastAsia" w:ascii="宋体" w:hAnsi="宋体" w:eastAsia="宋体" w:cs="宋体"/>
          <w:color w:val="auto"/>
          <w:highlight w:val="none"/>
        </w:rPr>
      </w:pPr>
    </w:p>
    <w:p w14:paraId="28884502">
      <w:pPr>
        <w:rPr>
          <w:rFonts w:hint="eastAsia" w:ascii="宋体" w:hAnsi="宋体" w:eastAsia="宋体" w:cs="宋体"/>
          <w:color w:val="auto"/>
          <w:highlight w:val="none"/>
        </w:rPr>
      </w:pPr>
    </w:p>
    <w:p w14:paraId="5EA29BD2">
      <w:pPr>
        <w:pStyle w:val="10"/>
        <w:rPr>
          <w:rFonts w:hint="eastAsia" w:ascii="宋体" w:hAnsi="宋体" w:eastAsia="宋体" w:cs="宋体"/>
          <w:color w:val="auto"/>
          <w:highlight w:val="none"/>
        </w:rPr>
      </w:pPr>
    </w:p>
    <w:p w14:paraId="1023C4FB">
      <w:pPr>
        <w:rPr>
          <w:rFonts w:hint="eastAsia"/>
          <w:color w:val="auto"/>
          <w:highlight w:val="none"/>
        </w:rPr>
      </w:pPr>
    </w:p>
    <w:p w14:paraId="61D245DC">
      <w:pPr>
        <w:rPr>
          <w:rFonts w:hint="eastAsia"/>
          <w:color w:val="auto"/>
          <w:highlight w:val="none"/>
        </w:rPr>
      </w:pPr>
    </w:p>
    <w:p w14:paraId="6D2A9A30">
      <w:pPr>
        <w:rPr>
          <w:rFonts w:hint="eastAsia"/>
          <w:color w:val="auto"/>
          <w:highlight w:val="none"/>
        </w:rPr>
      </w:pPr>
    </w:p>
    <w:p w14:paraId="0A94AD98">
      <w:pPr>
        <w:pStyle w:val="15"/>
        <w:numPr>
          <w:ilvl w:val="0"/>
          <w:numId w:val="6"/>
        </w:numPr>
        <w:ind w:left="0" w:leftChars="0" w:firstLine="275" w:firstLineChars="98"/>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供应商的授权委托书原件、委托代理人身份证正反面扫描件以及由县级以上（含县级）</w:t>
      </w:r>
      <w:r>
        <w:rPr>
          <w:rFonts w:hint="eastAsia" w:hAnsi="宋体" w:cs="宋体"/>
          <w:b/>
          <w:color w:val="auto"/>
          <w:sz w:val="28"/>
          <w:szCs w:val="28"/>
          <w:highlight w:val="none"/>
          <w:lang w:val="en-US" w:eastAsia="zh-CN"/>
        </w:rPr>
        <w:t>社会保险</w:t>
      </w:r>
      <w:r>
        <w:rPr>
          <w:rFonts w:hint="eastAsia" w:ascii="宋体" w:hAnsi="宋体" w:eastAsia="宋体" w:cs="宋体"/>
          <w:b/>
          <w:color w:val="auto"/>
          <w:sz w:val="28"/>
          <w:szCs w:val="28"/>
          <w:highlight w:val="none"/>
          <w:lang w:val="en-US" w:eastAsia="zh-CN"/>
        </w:rPr>
        <w:t>经办机构出具的供应商为委托代理人交纳的投标截止时间前半年内任意一个月的</w:t>
      </w:r>
      <w:r>
        <w:rPr>
          <w:rFonts w:hint="eastAsia" w:hAnsi="宋体" w:cs="宋体"/>
          <w:b/>
          <w:color w:val="auto"/>
          <w:sz w:val="28"/>
          <w:szCs w:val="28"/>
          <w:highlight w:val="none"/>
          <w:lang w:val="en-US" w:eastAsia="zh-CN"/>
        </w:rPr>
        <w:t>社会保险</w:t>
      </w:r>
      <w:r>
        <w:rPr>
          <w:rFonts w:hint="eastAsia" w:ascii="宋体" w:hAnsi="宋体" w:eastAsia="宋体" w:cs="宋体"/>
          <w:b/>
          <w:color w:val="auto"/>
          <w:sz w:val="28"/>
          <w:szCs w:val="28"/>
          <w:highlight w:val="none"/>
          <w:lang w:val="en-US" w:eastAsia="zh-CN"/>
        </w:rPr>
        <w:t>证明扫描件（委托代理时必须提供</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lang w:val="en-US" w:eastAsia="zh-CN"/>
        </w:rPr>
        <w:t>否则作无效响应处理）；</w:t>
      </w:r>
    </w:p>
    <w:p w14:paraId="2FD4A03E">
      <w:pPr>
        <w:pStyle w:val="15"/>
        <w:numPr>
          <w:ilvl w:val="0"/>
          <w:numId w:val="0"/>
        </w:numPr>
        <w:ind w:leftChars="98" w:firstLine="562" w:firstLineChars="200"/>
        <w:rPr>
          <w:rFonts w:hint="eastAsia" w:ascii="宋体" w:hAnsi="宋体" w:eastAsia="宋体" w:cs="宋体"/>
          <w:b/>
          <w:color w:val="auto"/>
          <w:sz w:val="32"/>
          <w:highlight w:val="none"/>
        </w:rPr>
      </w:pPr>
      <w:r>
        <w:rPr>
          <w:rFonts w:hint="eastAsia" w:ascii="宋体" w:hAnsi="宋体" w:eastAsia="宋体" w:cs="宋体"/>
          <w:b/>
          <w:color w:val="auto"/>
          <w:sz w:val="28"/>
          <w:szCs w:val="18"/>
          <w:highlight w:val="none"/>
        </w:rPr>
        <w:t xml:space="preserve">附件： </w:t>
      </w:r>
      <w:r>
        <w:rPr>
          <w:rFonts w:hint="eastAsia" w:ascii="宋体" w:hAnsi="宋体" w:eastAsia="宋体" w:cs="宋体"/>
          <w:b/>
          <w:color w:val="auto"/>
          <w:sz w:val="32"/>
          <w:highlight w:val="none"/>
        </w:rPr>
        <w:t xml:space="preserve">           </w:t>
      </w:r>
    </w:p>
    <w:p w14:paraId="1421213E">
      <w:pPr>
        <w:pStyle w:val="15"/>
        <w:ind w:firstLine="630" w:firstLineChars="196"/>
        <w:jc w:val="center"/>
        <w:rPr>
          <w:rFonts w:hint="eastAsia" w:ascii="宋体" w:hAnsi="宋体" w:eastAsia="宋体" w:cs="宋体"/>
          <w:b/>
          <w:color w:val="auto"/>
          <w:sz w:val="32"/>
          <w:highlight w:val="none"/>
          <w:lang w:eastAsia="zh-CN"/>
        </w:rPr>
      </w:pPr>
      <w:r>
        <w:rPr>
          <w:rFonts w:hint="eastAsia" w:ascii="宋体" w:hAnsi="宋体" w:eastAsia="宋体" w:cs="宋体"/>
          <w:b/>
          <w:color w:val="auto"/>
          <w:sz w:val="32"/>
          <w:highlight w:val="none"/>
        </w:rPr>
        <w:t>授权委托书</w:t>
      </w:r>
    </w:p>
    <w:p w14:paraId="1BAC4D5E">
      <w:pPr>
        <w:pStyle w:val="15"/>
        <w:rPr>
          <w:rFonts w:hint="eastAsia" w:ascii="宋体" w:hAnsi="宋体" w:eastAsia="宋体" w:cs="宋体"/>
          <w:color w:val="auto"/>
          <w:highlight w:val="none"/>
        </w:rPr>
      </w:pPr>
    </w:p>
    <w:p w14:paraId="5390DE0B">
      <w:pPr>
        <w:spacing w:line="40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lang w:val="en-US" w:eastAsia="zh-CN"/>
        </w:rPr>
        <w:t>采购人</w:t>
      </w:r>
      <w:r>
        <w:rPr>
          <w:rFonts w:hint="eastAsia" w:ascii="宋体" w:hAnsi="宋体" w:eastAsia="宋体" w:cs="宋体"/>
          <w:color w:val="auto"/>
          <w:szCs w:val="21"/>
          <w:highlight w:val="none"/>
          <w:u w:val="single"/>
          <w:lang w:eastAsia="zh-CN"/>
        </w:rPr>
        <w:t>）</w:t>
      </w:r>
    </w:p>
    <w:p w14:paraId="44F7C805">
      <w:pPr>
        <w:pStyle w:val="15"/>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kern w:val="0"/>
          <w:highlight w:val="none"/>
        </w:rPr>
        <w:t>我</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（姓名）系</w:t>
      </w:r>
      <w:r>
        <w:rPr>
          <w:rFonts w:hint="eastAsia" w:ascii="宋体" w:hAnsi="宋体" w:eastAsia="宋体" w:cs="宋体"/>
          <w:color w:val="auto"/>
          <w:highlight w:val="none"/>
          <w:u w:val="single"/>
        </w:rPr>
        <w:t xml:space="preserve">        </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（供应商名称）的法定代表人（负责人），现授权委托本单位在职职工</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（姓 名）以我公司名义参加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highlight w:val="none"/>
          <w:u w:val="single"/>
        </w:rPr>
        <w:t>（项目名称及项目编号）</w:t>
      </w:r>
      <w:r>
        <w:rPr>
          <w:rFonts w:hint="eastAsia" w:ascii="宋体" w:hAnsi="宋体" w:eastAsia="宋体" w:cs="宋体"/>
          <w:color w:val="auto"/>
          <w:highlight w:val="none"/>
        </w:rPr>
        <w:t>项目的磋商活动，并代表我方全权办理针对上述项目的磋商、签约等具体事务和签署相关文件。</w:t>
      </w:r>
    </w:p>
    <w:p w14:paraId="136A32EE">
      <w:pPr>
        <w:pStyle w:val="15"/>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我方对被授权人的签字事项负全部责任。</w:t>
      </w:r>
    </w:p>
    <w:p w14:paraId="53536F27">
      <w:pPr>
        <w:pStyle w:val="15"/>
        <w:spacing w:line="400" w:lineRule="exact"/>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                                                                                             </w:t>
      </w:r>
    </w:p>
    <w:p w14:paraId="6A03CD34">
      <w:pPr>
        <w:spacing w:line="4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 xml:space="preserve">代理人无转委托权,特此委托。 </w:t>
      </w:r>
    </w:p>
    <w:p w14:paraId="5FF94A15">
      <w:pPr>
        <w:snapToGrid w:val="0"/>
        <w:spacing w:line="400" w:lineRule="exact"/>
        <w:ind w:firstLine="525"/>
        <w:outlineLvl w:val="4"/>
        <w:rPr>
          <w:rFonts w:hint="eastAsia" w:ascii="宋体" w:hAnsi="宋体" w:eastAsia="宋体" w:cs="宋体"/>
          <w:color w:val="auto"/>
          <w:szCs w:val="21"/>
          <w:highlight w:val="none"/>
        </w:rPr>
      </w:pPr>
    </w:p>
    <w:p w14:paraId="379D41A5">
      <w:pPr>
        <w:snapToGrid w:val="0"/>
        <w:spacing w:line="400" w:lineRule="exact"/>
        <w:ind w:firstLine="420"/>
        <w:outlineLvl w:val="4"/>
        <w:rPr>
          <w:rFonts w:hint="eastAsia" w:ascii="宋体" w:hAnsi="宋体" w:eastAsia="宋体" w:cs="宋体"/>
          <w:color w:val="auto"/>
          <w:szCs w:val="21"/>
          <w:highlight w:val="none"/>
        </w:rPr>
      </w:pPr>
    </w:p>
    <w:p w14:paraId="233CAFEC">
      <w:pPr>
        <w:keepNext w:val="0"/>
        <w:keepLines w:val="0"/>
        <w:pageBreakBefore w:val="0"/>
        <w:widowControl w:val="0"/>
        <w:kinsoku/>
        <w:wordWrap/>
        <w:overflowPunct/>
        <w:topLinePunct w:val="0"/>
        <w:autoSpaceDE/>
        <w:autoSpaceDN/>
        <w:bidi w:val="0"/>
        <w:adjustRightInd/>
        <w:snapToGrid w:val="0"/>
        <w:spacing w:line="500" w:lineRule="exact"/>
        <w:ind w:firstLine="420"/>
        <w:textAlignment w:val="auto"/>
        <w:outlineLvl w:val="4"/>
        <w:rPr>
          <w:rFonts w:hint="eastAsia" w:ascii="宋体" w:hAnsi="宋体"/>
          <w:color w:val="auto"/>
          <w:szCs w:val="21"/>
          <w:highlight w:val="none"/>
        </w:rPr>
      </w:pPr>
      <w:r>
        <w:rPr>
          <w:rFonts w:hint="eastAsia" w:ascii="宋体" w:hAnsi="宋体"/>
          <w:color w:val="auto"/>
          <w:szCs w:val="21"/>
          <w:highlight w:val="none"/>
        </w:rPr>
        <w:t>供应商[公章(CA签章)]：</w:t>
      </w:r>
      <w:r>
        <w:rPr>
          <w:rFonts w:hint="eastAsia" w:hAnsi="宋体"/>
          <w:color w:val="auto"/>
          <w:highlight w:val="none"/>
          <w:u w:val="single"/>
        </w:rPr>
        <w:t xml:space="preserve">                      </w:t>
      </w:r>
      <w:r>
        <w:rPr>
          <w:rFonts w:hint="eastAsia" w:hAnsi="宋体"/>
          <w:color w:val="auto"/>
          <w:highlight w:val="none"/>
          <w:u w:val="none"/>
        </w:rPr>
        <w:t xml:space="preserve">； </w:t>
      </w:r>
      <w:r>
        <w:rPr>
          <w:rFonts w:hint="eastAsia" w:ascii="宋体" w:hAnsi="宋体"/>
          <w:color w:val="auto"/>
          <w:szCs w:val="21"/>
          <w:highlight w:val="none"/>
          <w:u w:val="none"/>
        </w:rPr>
        <w:t xml:space="preserve"> </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 xml:space="preserve">         </w:t>
      </w:r>
      <w:r>
        <w:rPr>
          <w:rFonts w:hint="eastAsia" w:ascii="宋体" w:hAnsi="宋体"/>
          <w:color w:val="auto"/>
          <w:szCs w:val="21"/>
          <w:highlight w:val="none"/>
        </w:rPr>
        <w:t xml:space="preserve">                           </w:t>
      </w:r>
    </w:p>
    <w:p w14:paraId="7D4C9024">
      <w:pPr>
        <w:snapToGrid w:val="0"/>
        <w:spacing w:line="400" w:lineRule="exact"/>
        <w:ind w:firstLine="420"/>
        <w:outlineLvl w:val="4"/>
        <w:rPr>
          <w:rFonts w:hint="eastAsia" w:ascii="宋体" w:hAnsi="宋体" w:eastAsia="宋体" w:cs="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lang w:val="en-US" w:eastAsia="zh-CN"/>
        </w:rPr>
        <w:t>或</w:t>
      </w:r>
      <w:r>
        <w:rPr>
          <w:rFonts w:hint="eastAsia" w:ascii="宋体" w:hAnsi="宋体"/>
          <w:color w:val="auto"/>
          <w:szCs w:val="21"/>
          <w:highlight w:val="none"/>
        </w:rPr>
        <w:t xml:space="preserve">负责人签字[或盖章(个人CA签章)]： </w:t>
      </w:r>
      <w:r>
        <w:rPr>
          <w:rFonts w:hint="eastAsia" w:hAnsi="宋体"/>
          <w:color w:val="auto"/>
          <w:highlight w:val="none"/>
          <w:u w:val="single"/>
        </w:rPr>
        <w:t xml:space="preserve">                      ； </w:t>
      </w:r>
      <w:r>
        <w:rPr>
          <w:rFonts w:hint="eastAsia" w:ascii="宋体" w:hAnsi="宋体"/>
          <w:color w:val="auto"/>
          <w:szCs w:val="21"/>
          <w:highlight w:val="none"/>
        </w:rPr>
        <w:t xml:space="preserve"> </w:t>
      </w:r>
    </w:p>
    <w:p w14:paraId="47134A85">
      <w:pPr>
        <w:snapToGrid w:val="0"/>
        <w:spacing w:line="400" w:lineRule="exact"/>
        <w:ind w:firstLine="420"/>
        <w:outlineLvl w:val="4"/>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0EC44965">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宋体" w:hAnsi="宋体" w:eastAsia="宋体" w:cs="宋体"/>
          <w:b/>
          <w:color w:val="auto"/>
          <w:szCs w:val="21"/>
          <w:highlight w:val="none"/>
        </w:rPr>
      </w:pPr>
    </w:p>
    <w:p w14:paraId="3BC9EDF8">
      <w:pPr>
        <w:keepNext w:val="0"/>
        <w:keepLines w:val="0"/>
        <w:pageBreakBefore w:val="0"/>
        <w:widowControl w:val="0"/>
        <w:kinsoku/>
        <w:wordWrap/>
        <w:overflowPunct/>
        <w:topLinePunct w:val="0"/>
        <w:autoSpaceDE/>
        <w:autoSpaceDN/>
        <w:bidi w:val="0"/>
        <w:adjustRightInd/>
        <w:snapToGrid w:val="0"/>
        <w:spacing w:line="300" w:lineRule="exact"/>
        <w:ind w:firstLine="422" w:firstLineChars="200"/>
        <w:textAlignment w:val="auto"/>
        <w:outlineLvl w:val="4"/>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附：委托代理人有效的身份证正反两面</w:t>
      </w:r>
      <w:r>
        <w:rPr>
          <w:rFonts w:hint="eastAsia" w:ascii="宋体" w:hAnsi="宋体" w:cs="宋体"/>
          <w:b/>
          <w:color w:val="auto"/>
          <w:szCs w:val="21"/>
          <w:highlight w:val="none"/>
          <w:lang w:eastAsia="zh-CN"/>
        </w:rPr>
        <w:t>扫描件</w:t>
      </w:r>
      <w:r>
        <w:rPr>
          <w:rFonts w:hint="eastAsia" w:ascii="宋体" w:hAnsi="宋体" w:eastAsia="宋体" w:cs="宋体"/>
          <w:b/>
          <w:color w:val="auto"/>
          <w:szCs w:val="21"/>
          <w:highlight w:val="none"/>
          <w:lang w:eastAsia="zh-CN"/>
        </w:rPr>
        <w:t>以及由县级以上（含县级）</w:t>
      </w:r>
      <w:r>
        <w:rPr>
          <w:rFonts w:hint="eastAsia" w:ascii="宋体" w:hAnsi="宋体" w:cs="宋体"/>
          <w:b/>
          <w:color w:val="auto"/>
          <w:szCs w:val="21"/>
          <w:highlight w:val="none"/>
          <w:lang w:eastAsia="zh-CN"/>
        </w:rPr>
        <w:t>社会保险</w:t>
      </w:r>
      <w:r>
        <w:rPr>
          <w:rFonts w:hint="eastAsia" w:ascii="宋体" w:hAnsi="宋体" w:eastAsia="宋体" w:cs="宋体"/>
          <w:b/>
          <w:color w:val="auto"/>
          <w:szCs w:val="21"/>
          <w:highlight w:val="none"/>
          <w:lang w:eastAsia="zh-CN"/>
        </w:rPr>
        <w:t>经办机构出具的供应商为委托代理人交纳的投标截止时间前半年内任意一个月的</w:t>
      </w:r>
      <w:r>
        <w:rPr>
          <w:rFonts w:hint="eastAsia" w:ascii="宋体" w:hAnsi="宋体" w:cs="宋体"/>
          <w:b/>
          <w:color w:val="auto"/>
          <w:szCs w:val="21"/>
          <w:highlight w:val="none"/>
          <w:lang w:eastAsia="zh-CN"/>
        </w:rPr>
        <w:t>社会保险</w:t>
      </w:r>
      <w:r>
        <w:rPr>
          <w:rFonts w:hint="eastAsia" w:ascii="宋体" w:hAnsi="宋体" w:eastAsia="宋体" w:cs="宋体"/>
          <w:b/>
          <w:color w:val="auto"/>
          <w:szCs w:val="21"/>
          <w:highlight w:val="none"/>
          <w:lang w:eastAsia="zh-CN"/>
        </w:rPr>
        <w:t>证明</w:t>
      </w:r>
      <w:r>
        <w:rPr>
          <w:rFonts w:hint="eastAsia" w:ascii="宋体" w:hAnsi="宋体" w:cs="宋体"/>
          <w:b/>
          <w:color w:val="auto"/>
          <w:szCs w:val="21"/>
          <w:highlight w:val="none"/>
          <w:lang w:eastAsia="zh-CN"/>
        </w:rPr>
        <w:t>扫描件</w:t>
      </w:r>
      <w:r>
        <w:rPr>
          <w:rFonts w:hint="eastAsia" w:ascii="宋体" w:hAnsi="宋体" w:eastAsia="宋体" w:cs="宋体"/>
          <w:b/>
          <w:color w:val="auto"/>
          <w:szCs w:val="21"/>
          <w:highlight w:val="none"/>
          <w:lang w:eastAsia="zh-CN"/>
        </w:rPr>
        <w:t>。</w:t>
      </w:r>
    </w:p>
    <w:p w14:paraId="08134917">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 如供应商为截标时间前60日以内成立的公司，可以提供供应商与委托代理人签订的劳动合同</w:t>
      </w:r>
      <w:r>
        <w:rPr>
          <w:rFonts w:hint="eastAsia" w:ascii="宋体" w:hAnsi="宋体" w:cs="宋体"/>
          <w:b/>
          <w:color w:val="auto"/>
          <w:szCs w:val="21"/>
          <w:highlight w:val="none"/>
          <w:lang w:eastAsia="zh-CN"/>
        </w:rPr>
        <w:t>扫描件</w:t>
      </w:r>
      <w:r>
        <w:rPr>
          <w:rFonts w:hint="eastAsia" w:ascii="宋体" w:hAnsi="宋体" w:eastAsia="宋体" w:cs="宋体"/>
          <w:b/>
          <w:color w:val="auto"/>
          <w:szCs w:val="21"/>
          <w:highlight w:val="none"/>
        </w:rPr>
        <w:t>代替</w:t>
      </w:r>
      <w:r>
        <w:rPr>
          <w:rFonts w:hint="eastAsia" w:ascii="宋体" w:hAnsi="宋体" w:cs="宋体"/>
          <w:b/>
          <w:color w:val="auto"/>
          <w:szCs w:val="21"/>
          <w:highlight w:val="none"/>
          <w:lang w:eastAsia="zh-CN"/>
        </w:rPr>
        <w:t>社会保险</w:t>
      </w:r>
      <w:r>
        <w:rPr>
          <w:rFonts w:hint="eastAsia" w:ascii="宋体" w:hAnsi="宋体" w:eastAsia="宋体" w:cs="宋体"/>
          <w:b/>
          <w:color w:val="auto"/>
          <w:szCs w:val="21"/>
          <w:highlight w:val="none"/>
        </w:rPr>
        <w:t>证明</w:t>
      </w:r>
      <w:r>
        <w:rPr>
          <w:rFonts w:hint="eastAsia" w:ascii="宋体" w:hAnsi="宋体" w:cs="宋体"/>
          <w:b/>
          <w:color w:val="auto"/>
          <w:szCs w:val="21"/>
          <w:highlight w:val="none"/>
          <w:lang w:eastAsia="zh-CN"/>
        </w:rPr>
        <w:t>扫描件</w:t>
      </w:r>
      <w:r>
        <w:rPr>
          <w:rFonts w:hint="eastAsia" w:ascii="宋体" w:hAnsi="宋体" w:eastAsia="宋体" w:cs="宋体"/>
          <w:b/>
          <w:color w:val="auto"/>
          <w:szCs w:val="21"/>
          <w:highlight w:val="none"/>
        </w:rPr>
        <w:t>；</w:t>
      </w:r>
    </w:p>
    <w:p w14:paraId="53A679BC">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（2）如供应商为事业单位，可以提供事业单位机构编制管理证</w:t>
      </w:r>
      <w:r>
        <w:rPr>
          <w:rFonts w:hint="eastAsia" w:ascii="宋体" w:hAnsi="宋体" w:cs="宋体"/>
          <w:b/>
          <w:color w:val="auto"/>
          <w:szCs w:val="21"/>
          <w:highlight w:val="none"/>
          <w:lang w:eastAsia="zh-CN"/>
        </w:rPr>
        <w:t>扫描件</w:t>
      </w:r>
      <w:r>
        <w:rPr>
          <w:rFonts w:hint="eastAsia" w:ascii="宋体" w:hAnsi="宋体" w:eastAsia="宋体" w:cs="宋体"/>
          <w:b/>
          <w:color w:val="auto"/>
          <w:szCs w:val="21"/>
          <w:highlight w:val="none"/>
        </w:rPr>
        <w:t>或事业单位机构为其发放工资的工资条</w:t>
      </w:r>
      <w:r>
        <w:rPr>
          <w:rFonts w:hint="eastAsia" w:ascii="宋体" w:hAnsi="宋体" w:cs="宋体"/>
          <w:b/>
          <w:color w:val="auto"/>
          <w:szCs w:val="21"/>
          <w:highlight w:val="none"/>
          <w:lang w:eastAsia="zh-CN"/>
        </w:rPr>
        <w:t>扫描件</w:t>
      </w:r>
      <w:r>
        <w:rPr>
          <w:rFonts w:hint="eastAsia" w:ascii="宋体" w:hAnsi="宋体" w:eastAsia="宋体" w:cs="宋体"/>
          <w:b/>
          <w:color w:val="auto"/>
          <w:szCs w:val="21"/>
          <w:highlight w:val="none"/>
        </w:rPr>
        <w:t>代替</w:t>
      </w:r>
      <w:r>
        <w:rPr>
          <w:rFonts w:hint="eastAsia" w:ascii="宋体" w:hAnsi="宋体" w:cs="宋体"/>
          <w:b/>
          <w:color w:val="auto"/>
          <w:szCs w:val="21"/>
          <w:highlight w:val="none"/>
          <w:lang w:eastAsia="zh-CN"/>
        </w:rPr>
        <w:t>社会保险</w:t>
      </w:r>
      <w:r>
        <w:rPr>
          <w:rFonts w:hint="eastAsia" w:ascii="宋体" w:hAnsi="宋体" w:eastAsia="宋体" w:cs="宋体"/>
          <w:b/>
          <w:color w:val="auto"/>
          <w:szCs w:val="21"/>
          <w:highlight w:val="none"/>
        </w:rPr>
        <w:t>证明</w:t>
      </w:r>
      <w:r>
        <w:rPr>
          <w:rFonts w:hint="eastAsia" w:ascii="宋体" w:hAnsi="宋体" w:cs="宋体"/>
          <w:b/>
          <w:color w:val="auto"/>
          <w:szCs w:val="21"/>
          <w:highlight w:val="none"/>
          <w:lang w:eastAsia="zh-CN"/>
        </w:rPr>
        <w:t>扫描件</w:t>
      </w:r>
      <w:r>
        <w:rPr>
          <w:rFonts w:hint="eastAsia" w:ascii="宋体" w:hAnsi="宋体" w:eastAsia="宋体" w:cs="宋体"/>
          <w:b/>
          <w:color w:val="auto"/>
          <w:szCs w:val="21"/>
          <w:highlight w:val="none"/>
        </w:rPr>
        <w:t>；</w:t>
      </w:r>
    </w:p>
    <w:p w14:paraId="401FDA62">
      <w:pPr>
        <w:keepNext w:val="0"/>
        <w:keepLines w:val="0"/>
        <w:pageBreakBefore w:val="0"/>
        <w:widowControl w:val="0"/>
        <w:kinsoku/>
        <w:wordWrap/>
        <w:overflowPunct/>
        <w:topLinePunct w:val="0"/>
        <w:autoSpaceDE/>
        <w:autoSpaceDN/>
        <w:bidi w:val="0"/>
        <w:adjustRightInd/>
        <w:snapToGrid w:val="0"/>
        <w:spacing w:line="300" w:lineRule="exact"/>
        <w:textAlignment w:val="auto"/>
        <w:outlineLvl w:val="4"/>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（3）如委托代理人为免</w:t>
      </w:r>
      <w:r>
        <w:rPr>
          <w:rFonts w:hint="eastAsia" w:ascii="宋体" w:hAnsi="宋体" w:cs="宋体"/>
          <w:b/>
          <w:color w:val="auto"/>
          <w:szCs w:val="21"/>
          <w:highlight w:val="none"/>
          <w:lang w:eastAsia="zh-CN"/>
        </w:rPr>
        <w:t>缴纳社会保险</w:t>
      </w:r>
      <w:r>
        <w:rPr>
          <w:rFonts w:hint="eastAsia" w:ascii="宋体" w:hAnsi="宋体" w:eastAsia="宋体" w:cs="宋体"/>
          <w:b/>
          <w:color w:val="auto"/>
          <w:szCs w:val="21"/>
          <w:highlight w:val="none"/>
        </w:rPr>
        <w:t>人员，提供免</w:t>
      </w:r>
      <w:r>
        <w:rPr>
          <w:rFonts w:hint="eastAsia" w:ascii="宋体" w:hAnsi="宋体" w:cs="宋体"/>
          <w:b/>
          <w:color w:val="auto"/>
          <w:szCs w:val="21"/>
          <w:highlight w:val="none"/>
          <w:lang w:eastAsia="zh-CN"/>
        </w:rPr>
        <w:t>缴纳社会保险</w:t>
      </w:r>
      <w:r>
        <w:rPr>
          <w:rFonts w:hint="eastAsia" w:ascii="宋体" w:hAnsi="宋体" w:eastAsia="宋体" w:cs="宋体"/>
          <w:b/>
          <w:color w:val="auto"/>
          <w:szCs w:val="21"/>
          <w:highlight w:val="none"/>
        </w:rPr>
        <w:t>的证明材料</w:t>
      </w:r>
      <w:r>
        <w:rPr>
          <w:rFonts w:hint="eastAsia" w:ascii="宋体" w:hAnsi="宋体" w:cs="宋体"/>
          <w:b/>
          <w:color w:val="auto"/>
          <w:szCs w:val="21"/>
          <w:highlight w:val="none"/>
          <w:lang w:eastAsia="zh-CN"/>
        </w:rPr>
        <w:t>扫描件</w:t>
      </w:r>
      <w:r>
        <w:rPr>
          <w:rFonts w:hint="eastAsia" w:ascii="宋体" w:hAnsi="宋体" w:eastAsia="宋体" w:cs="宋体"/>
          <w:b/>
          <w:color w:val="auto"/>
          <w:szCs w:val="21"/>
          <w:highlight w:val="none"/>
        </w:rPr>
        <w:t>及供应商与委托代理人签订的劳动合同</w:t>
      </w:r>
      <w:r>
        <w:rPr>
          <w:rFonts w:hint="eastAsia" w:ascii="宋体" w:hAnsi="宋体" w:cs="宋体"/>
          <w:b/>
          <w:color w:val="auto"/>
          <w:szCs w:val="21"/>
          <w:highlight w:val="none"/>
          <w:lang w:eastAsia="zh-CN"/>
        </w:rPr>
        <w:t>扫描件</w:t>
      </w:r>
      <w:r>
        <w:rPr>
          <w:rFonts w:hint="eastAsia" w:ascii="宋体" w:hAnsi="宋体" w:eastAsia="宋体" w:cs="宋体"/>
          <w:b/>
          <w:color w:val="auto"/>
          <w:szCs w:val="21"/>
          <w:highlight w:val="none"/>
        </w:rPr>
        <w:t>代替</w:t>
      </w:r>
      <w:r>
        <w:rPr>
          <w:rFonts w:hint="eastAsia" w:ascii="宋体" w:hAnsi="宋体" w:cs="宋体"/>
          <w:b/>
          <w:color w:val="auto"/>
          <w:szCs w:val="21"/>
          <w:highlight w:val="none"/>
          <w:lang w:eastAsia="zh-CN"/>
        </w:rPr>
        <w:t>社会保险</w:t>
      </w:r>
      <w:r>
        <w:rPr>
          <w:rFonts w:hint="eastAsia" w:ascii="宋体" w:hAnsi="宋体" w:eastAsia="宋体" w:cs="宋体"/>
          <w:b/>
          <w:color w:val="auto"/>
          <w:szCs w:val="21"/>
          <w:highlight w:val="none"/>
        </w:rPr>
        <w:t>证明</w:t>
      </w:r>
      <w:r>
        <w:rPr>
          <w:rFonts w:hint="eastAsia" w:ascii="宋体" w:hAnsi="宋体" w:cs="宋体"/>
          <w:b/>
          <w:color w:val="auto"/>
          <w:szCs w:val="21"/>
          <w:highlight w:val="none"/>
          <w:lang w:eastAsia="zh-CN"/>
        </w:rPr>
        <w:t>扫描件</w:t>
      </w:r>
      <w:r>
        <w:rPr>
          <w:rFonts w:hint="eastAsia" w:ascii="宋体" w:hAnsi="宋体" w:eastAsia="宋体" w:cs="宋体"/>
          <w:b/>
          <w:color w:val="auto"/>
          <w:szCs w:val="21"/>
          <w:highlight w:val="none"/>
        </w:rPr>
        <w:t>。</w:t>
      </w:r>
    </w:p>
    <w:p w14:paraId="221D7995">
      <w:pPr>
        <w:pStyle w:val="24"/>
        <w:rPr>
          <w:rFonts w:hint="eastAsia" w:ascii="宋体" w:hAnsi="宋体" w:eastAsia="宋体" w:cs="宋体"/>
          <w:color w:val="auto"/>
          <w:highlight w:val="none"/>
        </w:rPr>
      </w:pPr>
    </w:p>
    <w:p w14:paraId="197C9AFF">
      <w:pPr>
        <w:pStyle w:val="3"/>
        <w:rPr>
          <w:rFonts w:hint="eastAsia" w:ascii="宋体" w:hAnsi="宋体" w:eastAsia="宋体" w:cs="宋体"/>
          <w:b/>
          <w:color w:val="auto"/>
          <w:szCs w:val="21"/>
          <w:highlight w:val="none"/>
          <w:lang w:eastAsia="zh-CN"/>
        </w:rPr>
      </w:pPr>
    </w:p>
    <w:p w14:paraId="7CE2DB51">
      <w:pPr>
        <w:pStyle w:val="3"/>
        <w:rPr>
          <w:rFonts w:hint="eastAsia" w:ascii="宋体" w:hAnsi="宋体" w:eastAsia="宋体" w:cs="宋体"/>
          <w:b/>
          <w:color w:val="auto"/>
          <w:szCs w:val="21"/>
          <w:highlight w:val="none"/>
          <w:lang w:eastAsia="zh-CN"/>
        </w:rPr>
      </w:pPr>
    </w:p>
    <w:p w14:paraId="0704F1F1">
      <w:pPr>
        <w:rPr>
          <w:rFonts w:hint="eastAsia" w:ascii="宋体" w:hAnsi="宋体" w:eastAsia="宋体" w:cs="宋体"/>
          <w:b/>
          <w:color w:val="auto"/>
          <w:szCs w:val="21"/>
          <w:highlight w:val="none"/>
          <w:lang w:eastAsia="zh-CN"/>
        </w:rPr>
      </w:pPr>
    </w:p>
    <w:p w14:paraId="68839FEC">
      <w:pPr>
        <w:pStyle w:val="15"/>
        <w:spacing w:line="400" w:lineRule="exact"/>
        <w:rPr>
          <w:rFonts w:hint="eastAsia" w:ascii="宋体" w:hAnsi="宋体" w:eastAsia="宋体" w:cs="宋体"/>
          <w:b/>
          <w:color w:val="auto"/>
          <w:sz w:val="32"/>
          <w:szCs w:val="32"/>
          <w:highlight w:val="none"/>
        </w:rPr>
      </w:pPr>
      <w:r>
        <w:rPr>
          <w:rFonts w:hint="eastAsia" w:hAnsi="宋体" w:cs="宋体"/>
          <w:b/>
          <w:color w:val="auto"/>
          <w:sz w:val="28"/>
          <w:szCs w:val="28"/>
          <w:highlight w:val="none"/>
          <w:lang w:val="en-US" w:eastAsia="zh-CN"/>
        </w:rPr>
        <w:t>3</w:t>
      </w:r>
      <w:r>
        <w:rPr>
          <w:rFonts w:hint="eastAsia" w:ascii="宋体" w:hAnsi="宋体" w:eastAsia="宋体" w:cs="宋体"/>
          <w:b/>
          <w:color w:val="auto"/>
          <w:sz w:val="28"/>
          <w:szCs w:val="28"/>
          <w:highlight w:val="none"/>
        </w:rPr>
        <w:t>、供应商参加政府采购活动前3年内在经营活动中没有重大违法记录的书面声明（格式见附件，必须提供</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lang w:val="en-US" w:eastAsia="zh-CN"/>
        </w:rPr>
        <w:t>否则作无效响应处理</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32"/>
          <w:szCs w:val="32"/>
          <w:highlight w:val="none"/>
        </w:rPr>
        <w:t xml:space="preserve">                      </w:t>
      </w:r>
    </w:p>
    <w:p w14:paraId="30FBD76B">
      <w:pPr>
        <w:pStyle w:val="15"/>
        <w:spacing w:line="400" w:lineRule="exact"/>
        <w:ind w:left="420" w:leftChars="200" w:firstLine="157" w:firstLineChars="49"/>
        <w:rPr>
          <w:rFonts w:hint="eastAsia" w:ascii="宋体" w:hAnsi="宋体" w:eastAsia="宋体" w:cs="宋体"/>
          <w:b/>
          <w:color w:val="auto"/>
          <w:sz w:val="32"/>
          <w:szCs w:val="32"/>
          <w:highlight w:val="none"/>
        </w:rPr>
      </w:pPr>
    </w:p>
    <w:p w14:paraId="72F14861">
      <w:pPr>
        <w:pStyle w:val="15"/>
        <w:spacing w:line="400" w:lineRule="exact"/>
        <w:ind w:left="420" w:leftChars="200" w:firstLine="138" w:firstLineChars="49"/>
        <w:rPr>
          <w:rFonts w:hint="eastAsia" w:ascii="宋体" w:hAnsi="宋体" w:eastAsia="宋体" w:cs="宋体"/>
          <w:b/>
          <w:color w:val="auto"/>
          <w:sz w:val="32"/>
          <w:szCs w:val="32"/>
          <w:highlight w:val="none"/>
        </w:rPr>
      </w:pPr>
      <w:r>
        <w:rPr>
          <w:rFonts w:hint="eastAsia" w:ascii="宋体" w:hAnsi="宋体" w:eastAsia="宋体" w:cs="宋体"/>
          <w:b/>
          <w:color w:val="auto"/>
          <w:sz w:val="28"/>
          <w:szCs w:val="28"/>
          <w:highlight w:val="none"/>
        </w:rPr>
        <w:t>附件：</w:t>
      </w:r>
      <w:r>
        <w:rPr>
          <w:rFonts w:hint="eastAsia" w:ascii="宋体" w:hAnsi="宋体" w:eastAsia="宋体" w:cs="宋体"/>
          <w:b/>
          <w:color w:val="auto"/>
          <w:sz w:val="32"/>
          <w:szCs w:val="32"/>
          <w:highlight w:val="none"/>
        </w:rPr>
        <w:t xml:space="preserve"> </w:t>
      </w:r>
    </w:p>
    <w:p w14:paraId="7E577D9E">
      <w:pPr>
        <w:pStyle w:val="15"/>
        <w:spacing w:line="40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声   明</w:t>
      </w:r>
    </w:p>
    <w:p w14:paraId="198F9127">
      <w:pPr>
        <w:snapToGrid w:val="0"/>
        <w:spacing w:line="400" w:lineRule="exact"/>
        <w:outlineLvl w:val="4"/>
        <w:rPr>
          <w:rFonts w:hint="eastAsia" w:ascii="宋体" w:hAnsi="宋体" w:eastAsia="宋体" w:cs="宋体"/>
          <w:color w:val="auto"/>
          <w:szCs w:val="21"/>
          <w:highlight w:val="none"/>
          <w:u w:val="single"/>
          <w:lang w:eastAsia="zh-CN"/>
        </w:rPr>
      </w:pPr>
      <w:r>
        <w:rPr>
          <w:rFonts w:hint="eastAsia" w:ascii="宋体" w:hAnsi="宋体" w:eastAsia="宋体" w:cs="宋体"/>
          <w:b/>
          <w:color w:val="auto"/>
          <w:szCs w:val="21"/>
          <w:highlight w:val="none"/>
        </w:rPr>
        <w:t>致</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lang w:val="en-US" w:eastAsia="zh-CN"/>
        </w:rPr>
        <w:t>采购人</w:t>
      </w:r>
      <w:r>
        <w:rPr>
          <w:rFonts w:hint="eastAsia" w:ascii="宋体" w:hAnsi="宋体" w:eastAsia="宋体" w:cs="宋体"/>
          <w:color w:val="auto"/>
          <w:szCs w:val="21"/>
          <w:highlight w:val="none"/>
          <w:u w:val="single"/>
          <w:lang w:eastAsia="zh-CN"/>
        </w:rPr>
        <w:t>）</w:t>
      </w:r>
    </w:p>
    <w:p w14:paraId="41B1887D">
      <w:pPr>
        <w:pStyle w:val="15"/>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我公司郑重声明，在参加政府采购活动前3年内在经营活动中没有重大违法记录（重大违法记录是指供应商因违法经营受到刑事处罚或者责令停产停业、吊销许可证或者执照、较大数额罚款等行政处罚）。</w:t>
      </w:r>
    </w:p>
    <w:p w14:paraId="3C153FDE">
      <w:pPr>
        <w:pStyle w:val="15"/>
        <w:spacing w:line="400" w:lineRule="exact"/>
        <w:ind w:firstLine="420" w:firstLineChars="200"/>
        <w:rPr>
          <w:rFonts w:hint="eastAsia" w:ascii="宋体" w:hAnsi="宋体" w:eastAsia="宋体" w:cs="宋体"/>
          <w:color w:val="auto"/>
          <w:highlight w:val="none"/>
        </w:rPr>
      </w:pPr>
    </w:p>
    <w:p w14:paraId="75BE02A2">
      <w:pPr>
        <w:snapToGrid w:val="0"/>
        <w:spacing w:line="400" w:lineRule="exact"/>
        <w:ind w:firstLine="420"/>
        <w:outlineLvl w:val="4"/>
        <w:rPr>
          <w:rFonts w:hint="eastAsia" w:ascii="宋体" w:hAnsi="宋体" w:eastAsia="宋体" w:cs="宋体"/>
          <w:color w:val="auto"/>
          <w:szCs w:val="21"/>
          <w:highlight w:val="none"/>
        </w:rPr>
      </w:pPr>
    </w:p>
    <w:p w14:paraId="4F5C8F80">
      <w:pPr>
        <w:spacing w:line="340" w:lineRule="exact"/>
        <w:ind w:firstLine="1260" w:firstLineChars="600"/>
        <w:rPr>
          <w:rFonts w:hint="eastAsia" w:ascii="宋体" w:hAnsi="宋体" w:cs="宋体"/>
          <w:color w:val="auto"/>
          <w:szCs w:val="21"/>
          <w:highlight w:val="none"/>
        </w:rPr>
      </w:pPr>
      <w:r>
        <w:rPr>
          <w:rFonts w:hint="eastAsia" w:ascii="宋体" w:hAnsi="宋体" w:cs="宋体"/>
          <w:color w:val="auto"/>
          <w:szCs w:val="21"/>
          <w:highlight w:val="none"/>
        </w:rPr>
        <w:t>供应商[公章(CA签章)]：</w:t>
      </w:r>
      <w:r>
        <w:rPr>
          <w:rFonts w:hint="eastAsia" w:hAnsi="宋体"/>
          <w:color w:val="auto"/>
          <w:highlight w:val="none"/>
          <w:u w:val="single"/>
        </w:rPr>
        <w:t xml:space="preserve">                      ； </w:t>
      </w:r>
      <w:r>
        <w:rPr>
          <w:rFonts w:hint="eastAsia" w:ascii="宋体" w:hAnsi="宋体" w:cs="宋体"/>
          <w:color w:val="auto"/>
          <w:szCs w:val="21"/>
          <w:highlight w:val="none"/>
        </w:rPr>
        <w:t xml:space="preserve">                                      </w:t>
      </w:r>
    </w:p>
    <w:p w14:paraId="4D85A2DF">
      <w:pPr>
        <w:spacing w:line="340" w:lineRule="exact"/>
        <w:ind w:firstLine="1260" w:firstLineChars="600"/>
        <w:rPr>
          <w:rFonts w:hint="eastAsia" w:hAnsi="宋体"/>
          <w:color w:val="auto"/>
          <w:highlight w:val="none"/>
          <w:u w:val="single"/>
        </w:rPr>
      </w:pPr>
      <w:r>
        <w:rPr>
          <w:rFonts w:hint="eastAsia" w:ascii="宋体" w:hAnsi="宋体" w:cs="宋体"/>
          <w:color w:val="auto"/>
          <w:szCs w:val="21"/>
          <w:highlight w:val="none"/>
        </w:rPr>
        <w:t>法定代表人、负责人或相应的委托代理人签字[或盖章(个人CA签章)]：</w:t>
      </w:r>
      <w:r>
        <w:rPr>
          <w:rFonts w:hint="eastAsia" w:hAnsi="宋体"/>
          <w:color w:val="auto"/>
          <w:highlight w:val="none"/>
          <w:u w:val="single"/>
        </w:rPr>
        <w:t xml:space="preserve">         ； </w:t>
      </w:r>
    </w:p>
    <w:p w14:paraId="584218E2">
      <w:pPr>
        <w:spacing w:line="340" w:lineRule="exact"/>
        <w:ind w:firstLine="1260" w:firstLineChars="600"/>
        <w:rPr>
          <w:rFonts w:hint="eastAsia" w:ascii="宋体" w:hAnsi="宋体" w:eastAsia="宋体" w:cs="宋体"/>
          <w:b/>
          <w:color w:val="auto"/>
          <w:sz w:val="32"/>
          <w:highlight w:val="none"/>
        </w:rPr>
      </w:pPr>
      <w:r>
        <w:rPr>
          <w:rFonts w:hint="eastAsia" w:ascii="宋体" w:hAnsi="宋体" w:eastAsia="宋体" w:cs="宋体"/>
          <w:color w:val="auto"/>
          <w:highlight w:val="none"/>
        </w:rPr>
        <w:t xml:space="preserve">日          期：                                            </w:t>
      </w:r>
    </w:p>
    <w:p w14:paraId="25E654FD">
      <w:pPr>
        <w:spacing w:line="400" w:lineRule="exact"/>
        <w:rPr>
          <w:rFonts w:hint="eastAsia" w:ascii="宋体" w:hAnsi="宋体" w:eastAsia="宋体" w:cs="宋体"/>
          <w:b/>
          <w:color w:val="auto"/>
          <w:sz w:val="28"/>
          <w:szCs w:val="28"/>
          <w:highlight w:val="none"/>
        </w:rPr>
      </w:pPr>
    </w:p>
    <w:p w14:paraId="65EBCA79">
      <w:pPr>
        <w:spacing w:line="400" w:lineRule="exact"/>
        <w:rPr>
          <w:rFonts w:hint="eastAsia" w:ascii="宋体" w:hAnsi="宋体" w:eastAsia="宋体" w:cs="宋体"/>
          <w:b/>
          <w:color w:val="auto"/>
          <w:sz w:val="28"/>
          <w:szCs w:val="28"/>
          <w:highlight w:val="none"/>
        </w:rPr>
      </w:pPr>
    </w:p>
    <w:p w14:paraId="09CB9C51">
      <w:pPr>
        <w:pStyle w:val="10"/>
        <w:rPr>
          <w:rFonts w:hint="eastAsia"/>
          <w:color w:val="auto"/>
          <w:highlight w:val="none"/>
        </w:rPr>
      </w:pPr>
    </w:p>
    <w:p w14:paraId="558A64A1">
      <w:pPr>
        <w:rPr>
          <w:rFonts w:hint="eastAsia"/>
          <w:color w:val="auto"/>
          <w:highlight w:val="none"/>
        </w:rPr>
      </w:pPr>
    </w:p>
    <w:p w14:paraId="759E740E">
      <w:pPr>
        <w:spacing w:line="400" w:lineRule="exact"/>
        <w:rPr>
          <w:rFonts w:hint="eastAsia" w:ascii="宋体" w:hAnsi="宋体" w:eastAsia="宋体" w:cs="宋体"/>
          <w:b/>
          <w:color w:val="auto"/>
          <w:sz w:val="28"/>
          <w:szCs w:val="28"/>
          <w:highlight w:val="none"/>
        </w:rPr>
      </w:pPr>
      <w:r>
        <w:rPr>
          <w:rFonts w:hint="eastAsia" w:ascii="宋体" w:hAnsi="宋体" w:cs="宋体"/>
          <w:b/>
          <w:color w:val="auto"/>
          <w:sz w:val="28"/>
          <w:szCs w:val="28"/>
          <w:highlight w:val="none"/>
          <w:lang w:val="en-US" w:eastAsia="zh-CN"/>
        </w:rPr>
        <w:t>4</w:t>
      </w:r>
      <w:r>
        <w:rPr>
          <w:rFonts w:hint="eastAsia" w:ascii="宋体" w:hAnsi="宋体" w:cs="宋体"/>
          <w:b/>
          <w:color w:val="auto"/>
          <w:sz w:val="28"/>
          <w:szCs w:val="28"/>
          <w:highlight w:val="none"/>
          <w:lang w:eastAsia="zh-CN"/>
        </w:rPr>
        <w:t>、供应商的法人或者其他组织营业执照等证明文件扫描件（必须提供</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lang w:val="en-US" w:eastAsia="zh-CN"/>
        </w:rPr>
        <w:t>否则作无效响应处理</w:t>
      </w:r>
      <w:r>
        <w:rPr>
          <w:rFonts w:hint="eastAsia" w:ascii="宋体" w:hAnsi="宋体" w:cs="宋体"/>
          <w:b/>
          <w:color w:val="auto"/>
          <w:sz w:val="28"/>
          <w:szCs w:val="28"/>
          <w:highlight w:val="none"/>
          <w:lang w:eastAsia="zh-CN"/>
        </w:rPr>
        <w:t>）；</w:t>
      </w:r>
    </w:p>
    <w:p w14:paraId="79056A77">
      <w:pPr>
        <w:tabs>
          <w:tab w:val="left" w:pos="1305"/>
        </w:tabs>
        <w:spacing w:line="340" w:lineRule="exact"/>
        <w:rPr>
          <w:rFonts w:hint="eastAsia" w:ascii="宋体" w:hAnsi="宋体" w:eastAsia="宋体" w:cs="宋体"/>
          <w:b/>
          <w:color w:val="auto"/>
          <w:szCs w:val="21"/>
          <w:highlight w:val="none"/>
        </w:rPr>
      </w:pPr>
    </w:p>
    <w:p w14:paraId="5F34769E">
      <w:pPr>
        <w:tabs>
          <w:tab w:val="left" w:pos="1305"/>
        </w:tabs>
        <w:spacing w:line="400" w:lineRule="exact"/>
        <w:rPr>
          <w:rFonts w:hint="eastAsia" w:ascii="宋体" w:hAnsi="宋体" w:eastAsia="宋体" w:cs="宋体"/>
          <w:b/>
          <w:color w:val="auto"/>
          <w:sz w:val="28"/>
          <w:szCs w:val="28"/>
          <w:highlight w:val="none"/>
        </w:rPr>
      </w:pPr>
      <w:r>
        <w:rPr>
          <w:rFonts w:hint="eastAsia" w:ascii="宋体" w:hAnsi="宋体" w:eastAsia="宋体" w:cs="宋体"/>
          <w:b/>
          <w:color w:val="auto"/>
          <w:szCs w:val="21"/>
          <w:highlight w:val="none"/>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18463190">
      <w:pPr>
        <w:pStyle w:val="17"/>
        <w:rPr>
          <w:rFonts w:hint="eastAsia" w:ascii="宋体" w:hAnsi="宋体" w:eastAsia="宋体" w:cs="宋体"/>
          <w:b/>
          <w:color w:val="auto"/>
          <w:sz w:val="28"/>
          <w:szCs w:val="28"/>
          <w:highlight w:val="none"/>
        </w:rPr>
      </w:pPr>
    </w:p>
    <w:p w14:paraId="327D17E1">
      <w:pPr>
        <w:pStyle w:val="17"/>
        <w:rPr>
          <w:rFonts w:hint="eastAsia" w:ascii="宋体" w:hAnsi="宋体" w:eastAsia="宋体" w:cs="宋体"/>
          <w:b/>
          <w:color w:val="auto"/>
          <w:sz w:val="28"/>
          <w:szCs w:val="28"/>
          <w:highlight w:val="none"/>
        </w:rPr>
      </w:pPr>
    </w:p>
    <w:p w14:paraId="21D79888">
      <w:pPr>
        <w:pStyle w:val="21"/>
        <w:ind w:left="0" w:leftChars="0" w:firstLine="0" w:firstLineChars="0"/>
        <w:rPr>
          <w:rFonts w:hint="eastAsia" w:ascii="宋体" w:hAnsi="宋体" w:eastAsia="宋体" w:cs="宋体"/>
          <w:color w:val="auto"/>
          <w:highlight w:val="none"/>
        </w:rPr>
      </w:pPr>
    </w:p>
    <w:p w14:paraId="62245224">
      <w:pPr>
        <w:pStyle w:val="10"/>
        <w:ind w:left="0" w:leftChars="0" w:firstLine="0" w:firstLineChars="0"/>
        <w:rPr>
          <w:rFonts w:hint="eastAsia" w:ascii="Times New Roman" w:hAnsi="Times New Roman" w:eastAsia="宋体" w:cs="Times New Roman"/>
          <w:color w:val="auto"/>
          <w:highlight w:val="none"/>
          <w:lang w:val="en-US" w:eastAsia="zh-CN"/>
        </w:rPr>
      </w:pPr>
      <w:r>
        <w:rPr>
          <w:rFonts w:hint="eastAsia" w:ascii="宋体" w:hAnsi="宋体" w:cs="宋体"/>
          <w:b/>
          <w:color w:val="auto"/>
          <w:kern w:val="2"/>
          <w:sz w:val="28"/>
          <w:szCs w:val="28"/>
          <w:highlight w:val="none"/>
          <w:lang w:val="en-US" w:eastAsia="zh-CN" w:bidi="ar-SA"/>
        </w:rPr>
        <w:t>5</w:t>
      </w:r>
      <w:r>
        <w:rPr>
          <w:rFonts w:hint="eastAsia" w:ascii="宋体" w:hAnsi="宋体" w:eastAsia="宋体" w:cs="宋体"/>
          <w:b/>
          <w:color w:val="auto"/>
          <w:kern w:val="2"/>
          <w:sz w:val="28"/>
          <w:szCs w:val="28"/>
          <w:highlight w:val="none"/>
          <w:lang w:val="en-US" w:eastAsia="zh-CN" w:bidi="ar-SA"/>
        </w:rPr>
        <w:t>、供应商依法缴纳税收的相关材料（响应截止时间前半年内任意1个月的依法缴纳税收的增值税发票（税收完税证明）或企业所得税完税证明或税务部门出具的免税证明或税务部门出具的无欠税证明材料扫描件等；从成立之日起到响应文件提交截止时间止不足要求月数的，只需提供从成立之日起的依法缴纳税收相应证明文件）（必须提供，否则作无效响应处理）；</w:t>
      </w:r>
    </w:p>
    <w:p w14:paraId="3F1E7943">
      <w:pPr>
        <w:pStyle w:val="21"/>
        <w:ind w:left="0" w:leftChars="0" w:firstLine="0" w:firstLineChars="0"/>
        <w:rPr>
          <w:rFonts w:hint="eastAsia" w:ascii="宋体" w:hAnsi="宋体" w:cs="宋体"/>
          <w:b/>
          <w:color w:val="auto"/>
          <w:kern w:val="2"/>
          <w:sz w:val="28"/>
          <w:szCs w:val="28"/>
          <w:highlight w:val="none"/>
          <w:lang w:val="en-US" w:eastAsia="zh-CN" w:bidi="ar-SA"/>
        </w:rPr>
      </w:pPr>
      <w:r>
        <w:rPr>
          <w:rFonts w:hint="eastAsia" w:ascii="宋体" w:hAnsi="宋体" w:cs="宋体"/>
          <w:b/>
          <w:color w:val="auto"/>
          <w:kern w:val="2"/>
          <w:sz w:val="28"/>
          <w:szCs w:val="28"/>
          <w:highlight w:val="none"/>
          <w:lang w:val="en-US" w:eastAsia="zh-CN" w:bidi="ar-SA"/>
        </w:rPr>
        <w:t>6、</w:t>
      </w:r>
      <w:r>
        <w:rPr>
          <w:rFonts w:hint="eastAsia" w:ascii="宋体" w:hAnsi="宋体" w:eastAsia="宋体" w:cs="宋体"/>
          <w:b/>
          <w:color w:val="auto"/>
          <w:kern w:val="2"/>
          <w:sz w:val="28"/>
          <w:szCs w:val="28"/>
          <w:highlight w:val="none"/>
          <w:lang w:val="en-US" w:eastAsia="zh-CN" w:bidi="ar-SA"/>
        </w:rPr>
        <w:t>供应商2024年度财务状况报告（必须提供，否则作无效响应处理</w:t>
      </w:r>
      <w:r>
        <w:rPr>
          <w:rFonts w:hint="eastAsia" w:ascii="宋体" w:hAnsi="宋体" w:cs="宋体"/>
          <w:b/>
          <w:color w:val="auto"/>
          <w:kern w:val="2"/>
          <w:sz w:val="28"/>
          <w:szCs w:val="28"/>
          <w:highlight w:val="none"/>
          <w:lang w:val="en-US" w:eastAsia="zh-CN" w:bidi="ar-SA"/>
        </w:rPr>
        <w:t>；</w:t>
      </w:r>
      <w:r>
        <w:rPr>
          <w:rFonts w:hint="eastAsia" w:ascii="宋体" w:hAnsi="宋体" w:eastAsia="宋体" w:cs="宋体"/>
          <w:b/>
          <w:color w:val="auto"/>
          <w:kern w:val="2"/>
          <w:sz w:val="28"/>
          <w:szCs w:val="28"/>
          <w:highlight w:val="none"/>
          <w:lang w:val="en-US" w:eastAsia="zh-CN" w:bidi="ar-SA"/>
        </w:rPr>
        <w:t>可以是供应商自行编制也可是通过第三方审计公司编制，如为自行编制至少须提供现金流量表、负债表及利润表。供应商属于成立时间在规定年度之后的法人或其他组织，则无需提供）</w:t>
      </w:r>
      <w:r>
        <w:rPr>
          <w:rFonts w:hint="eastAsia" w:ascii="宋体" w:hAnsi="宋体" w:cs="宋体"/>
          <w:b/>
          <w:color w:val="auto"/>
          <w:kern w:val="2"/>
          <w:sz w:val="28"/>
          <w:szCs w:val="28"/>
          <w:highlight w:val="none"/>
          <w:lang w:val="en-US" w:eastAsia="zh-CN" w:bidi="ar-SA"/>
        </w:rPr>
        <w:t>；</w:t>
      </w:r>
    </w:p>
    <w:p w14:paraId="3AC62B07">
      <w:pPr>
        <w:pStyle w:val="21"/>
        <w:ind w:left="0" w:leftChars="0" w:firstLine="0" w:firstLineChars="0"/>
        <w:rPr>
          <w:rFonts w:hint="eastAsia" w:ascii="宋体" w:hAnsi="宋体" w:cs="宋体"/>
          <w:b/>
          <w:color w:val="auto"/>
          <w:kern w:val="2"/>
          <w:sz w:val="28"/>
          <w:szCs w:val="28"/>
          <w:highlight w:val="none"/>
          <w:lang w:val="en-US" w:eastAsia="zh-CN" w:bidi="ar-SA"/>
        </w:rPr>
      </w:pPr>
    </w:p>
    <w:p w14:paraId="50068230">
      <w:pPr>
        <w:pStyle w:val="21"/>
        <w:ind w:left="0" w:leftChars="0" w:firstLine="0" w:firstLineChars="0"/>
        <w:rPr>
          <w:rFonts w:hint="eastAsia" w:ascii="宋体" w:hAnsi="宋体" w:cs="宋体"/>
          <w:b/>
          <w:color w:val="auto"/>
          <w:kern w:val="2"/>
          <w:sz w:val="28"/>
          <w:szCs w:val="28"/>
          <w:highlight w:val="none"/>
          <w:lang w:val="en-US" w:eastAsia="zh-CN" w:bidi="ar-SA"/>
        </w:rPr>
      </w:pPr>
    </w:p>
    <w:p w14:paraId="56A89938">
      <w:pPr>
        <w:pStyle w:val="21"/>
        <w:ind w:left="0" w:leftChars="0" w:firstLine="0" w:firstLineChars="0"/>
        <w:rPr>
          <w:rFonts w:hint="eastAsia" w:ascii="宋体" w:hAnsi="宋体" w:cs="宋体"/>
          <w:b/>
          <w:color w:val="auto"/>
          <w:kern w:val="2"/>
          <w:sz w:val="28"/>
          <w:szCs w:val="28"/>
          <w:highlight w:val="none"/>
          <w:lang w:val="en-US" w:eastAsia="zh-CN" w:bidi="ar-SA"/>
        </w:rPr>
      </w:pPr>
    </w:p>
    <w:p w14:paraId="3A473DB6">
      <w:pPr>
        <w:pStyle w:val="21"/>
        <w:ind w:left="0" w:leftChars="0" w:firstLine="0" w:firstLineChars="0"/>
        <w:rPr>
          <w:rFonts w:hint="eastAsia" w:ascii="宋体" w:hAnsi="宋体" w:cs="宋体"/>
          <w:b/>
          <w:color w:val="auto"/>
          <w:kern w:val="2"/>
          <w:sz w:val="28"/>
          <w:szCs w:val="28"/>
          <w:highlight w:val="none"/>
          <w:lang w:val="en-US" w:eastAsia="zh-CN" w:bidi="ar-SA"/>
        </w:rPr>
      </w:pPr>
    </w:p>
    <w:p w14:paraId="55351F99">
      <w:pPr>
        <w:pStyle w:val="21"/>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cs="宋体"/>
          <w:b w:val="0"/>
          <w:bCs/>
          <w:color w:val="auto"/>
          <w:szCs w:val="21"/>
          <w:highlight w:val="none"/>
          <w:lang w:eastAsia="zh-CN"/>
        </w:rPr>
      </w:pPr>
      <w:r>
        <w:rPr>
          <w:rFonts w:hint="eastAsia" w:ascii="宋体" w:hAnsi="宋体" w:cs="宋体"/>
          <w:b/>
          <w:color w:val="auto"/>
          <w:kern w:val="2"/>
          <w:sz w:val="28"/>
          <w:szCs w:val="28"/>
          <w:highlight w:val="none"/>
          <w:lang w:val="en-US" w:eastAsia="zh-CN" w:bidi="ar-SA"/>
        </w:rPr>
        <w:t>7、</w:t>
      </w:r>
      <w:r>
        <w:rPr>
          <w:rFonts w:hint="eastAsia" w:ascii="宋体" w:hAnsi="宋体" w:eastAsia="宋体" w:cs="宋体"/>
          <w:b/>
          <w:color w:val="auto"/>
          <w:kern w:val="2"/>
          <w:sz w:val="28"/>
          <w:szCs w:val="28"/>
          <w:highlight w:val="none"/>
          <w:lang w:val="en-US" w:eastAsia="zh-CN" w:bidi="ar-SA"/>
        </w:rPr>
        <w:t>供应商依法缴纳社会保障资金的相关材料（必须提供，否则作无效响应处理）；</w:t>
      </w:r>
    </w:p>
    <w:p w14:paraId="259959E1">
      <w:pPr>
        <w:pStyle w:val="21"/>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default" w:ascii="宋体" w:hAnsi="宋体" w:cs="宋体"/>
          <w:b/>
          <w:color w:val="auto"/>
          <w:kern w:val="2"/>
          <w:sz w:val="28"/>
          <w:szCs w:val="28"/>
          <w:highlight w:val="none"/>
          <w:lang w:val="en-US" w:eastAsia="zh-CN" w:bidi="ar-SA"/>
        </w:rPr>
      </w:pPr>
      <w:r>
        <w:rPr>
          <w:rFonts w:hint="eastAsia" w:ascii="宋体" w:hAnsi="宋体" w:cs="宋体"/>
          <w:b w:val="0"/>
          <w:bCs/>
          <w:color w:val="auto"/>
          <w:szCs w:val="21"/>
          <w:highlight w:val="none"/>
          <w:lang w:eastAsia="zh-CN"/>
        </w:rPr>
        <w:t>注：供应商必须提供2025年以来任意1个月的依法缴纳社会保障资金的缴费证明材料（如：专用收据、养老保险税收完税证明、社会保险缴纳清单或者社保部门的证明）</w:t>
      </w:r>
      <w:r>
        <w:rPr>
          <w:rFonts w:hint="eastAsia" w:ascii="宋体" w:hAnsi="宋体" w:cs="宋体"/>
          <w:b w:val="0"/>
          <w:bCs/>
          <w:color w:val="auto"/>
          <w:szCs w:val="21"/>
          <w:highlight w:val="none"/>
          <w:lang w:val="en-US" w:eastAsia="zh-CN"/>
        </w:rPr>
        <w:t>扫描件</w:t>
      </w:r>
      <w:r>
        <w:rPr>
          <w:rFonts w:hint="eastAsia" w:ascii="宋体" w:hAnsi="宋体" w:cs="宋体"/>
          <w:b w:val="0"/>
          <w:bCs/>
          <w:color w:val="auto"/>
          <w:szCs w:val="21"/>
          <w:highlight w:val="none"/>
          <w:lang w:eastAsia="zh-CN"/>
        </w:rPr>
        <w:t>；依法不需要缴纳社会保障资金的供应商，必须提供相应文件证明不需要缴纳社会保障资金。从成立之日起到投标文件提交截止时间止不足要求月数的，则无需提交。</w:t>
      </w:r>
    </w:p>
    <w:p w14:paraId="2B8332EB">
      <w:pPr>
        <w:rPr>
          <w:rFonts w:hint="eastAsia" w:ascii="宋体" w:hAnsi="宋体" w:cs="宋体"/>
          <w:b/>
          <w:color w:val="auto"/>
          <w:kern w:val="2"/>
          <w:sz w:val="28"/>
          <w:szCs w:val="28"/>
          <w:highlight w:val="none"/>
          <w:lang w:val="en-US" w:eastAsia="zh-CN" w:bidi="ar-SA"/>
        </w:rPr>
      </w:pPr>
      <w:r>
        <w:rPr>
          <w:rFonts w:hint="eastAsia" w:ascii="宋体" w:hAnsi="宋体" w:cs="宋体"/>
          <w:b/>
          <w:color w:val="auto"/>
          <w:kern w:val="2"/>
          <w:sz w:val="28"/>
          <w:szCs w:val="28"/>
          <w:highlight w:val="none"/>
          <w:lang w:val="en-US" w:eastAsia="zh-CN" w:bidi="ar-SA"/>
        </w:rPr>
        <w:br w:type="page"/>
      </w:r>
    </w:p>
    <w:p w14:paraId="6F2BD783">
      <w:pPr>
        <w:pStyle w:val="21"/>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440" w:lineRule="exact"/>
        <w:ind w:left="0" w:leftChars="0" w:firstLine="0" w:firstLineChars="0"/>
        <w:textAlignment w:val="auto"/>
        <w:rPr>
          <w:rFonts w:hint="default" w:ascii="宋体" w:hAnsi="宋体" w:eastAsia="宋体" w:cs="宋体"/>
          <w:b/>
          <w:bCs/>
          <w:color w:val="auto"/>
          <w:kern w:val="2"/>
          <w:sz w:val="24"/>
          <w:szCs w:val="24"/>
          <w:highlight w:val="none"/>
          <w:lang w:val="en-US" w:eastAsia="zh-CN" w:bidi="ar-SA"/>
        </w:rPr>
      </w:pPr>
      <w:r>
        <w:rPr>
          <w:rFonts w:hint="eastAsia" w:ascii="宋体" w:hAnsi="宋体" w:cs="宋体"/>
          <w:b/>
          <w:color w:val="auto"/>
          <w:kern w:val="2"/>
          <w:sz w:val="28"/>
          <w:szCs w:val="28"/>
          <w:highlight w:val="none"/>
          <w:lang w:val="en-US" w:eastAsia="zh-CN" w:bidi="ar-SA"/>
        </w:rPr>
        <w:t>8、</w:t>
      </w:r>
      <w:r>
        <w:rPr>
          <w:rFonts w:hint="eastAsia" w:ascii="宋体" w:hAnsi="宋体" w:eastAsia="宋体" w:cs="宋体"/>
          <w:b/>
          <w:color w:val="auto"/>
          <w:kern w:val="2"/>
          <w:sz w:val="28"/>
          <w:szCs w:val="28"/>
          <w:highlight w:val="none"/>
          <w:lang w:val="en-US" w:eastAsia="zh-CN" w:bidi="ar-SA"/>
        </w:rPr>
        <w:t>投标声明（必须提供，否则作无效响应处理</w:t>
      </w:r>
      <w:r>
        <w:rPr>
          <w:rFonts w:hint="eastAsia" w:ascii="宋体" w:hAnsi="宋体" w:cs="宋体"/>
          <w:b/>
          <w:bCs/>
          <w:color w:val="auto"/>
          <w:kern w:val="2"/>
          <w:sz w:val="24"/>
          <w:szCs w:val="24"/>
          <w:highlight w:val="none"/>
          <w:lang w:val="en-US" w:eastAsia="zh-CN" w:bidi="ar-SA"/>
        </w:rPr>
        <w:t>）</w:t>
      </w:r>
    </w:p>
    <w:p w14:paraId="61E4476B">
      <w:pPr>
        <w:pageBreakBefore w:val="0"/>
        <w:widowControl w:val="0"/>
        <w:kinsoku/>
        <w:wordWrap/>
        <w:overflowPunct/>
        <w:topLinePunct w:val="0"/>
        <w:bidi w:val="0"/>
        <w:spacing w:line="440" w:lineRule="exact"/>
        <w:contextualSpacing/>
        <w:textAlignment w:val="auto"/>
        <w:rPr>
          <w:rFonts w:hint="eastAsia" w:ascii="宋体" w:hAnsi="宋体" w:cs="宋体"/>
          <w:color w:val="auto"/>
          <w:sz w:val="21"/>
          <w:szCs w:val="21"/>
          <w:highlight w:val="none"/>
        </w:rPr>
      </w:pPr>
    </w:p>
    <w:p w14:paraId="40E07AA5">
      <w:pPr>
        <w:pageBreakBefore w:val="0"/>
        <w:widowControl w:val="0"/>
        <w:kinsoku/>
        <w:wordWrap/>
        <w:overflowPunct/>
        <w:topLinePunct w:val="0"/>
        <w:bidi w:val="0"/>
        <w:spacing w:line="440" w:lineRule="exact"/>
        <w:contextualSpacing/>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致：</w:t>
      </w:r>
      <w:r>
        <w:rPr>
          <w:rFonts w:hint="eastAsia" w:ascii="宋体" w:hAnsi="宋体" w:cs="宋体"/>
          <w:color w:val="auto"/>
          <w:sz w:val="21"/>
          <w:szCs w:val="21"/>
          <w:highlight w:val="none"/>
          <w:u w:val="single"/>
        </w:rPr>
        <w:t>（采购人名称）</w:t>
      </w:r>
      <w:r>
        <w:rPr>
          <w:rFonts w:hint="eastAsia" w:ascii="宋体" w:hAnsi="宋体" w:cs="宋体"/>
          <w:color w:val="auto"/>
          <w:sz w:val="21"/>
          <w:szCs w:val="21"/>
          <w:highlight w:val="none"/>
        </w:rPr>
        <w:t>：</w:t>
      </w:r>
    </w:p>
    <w:p w14:paraId="5F80A3B6">
      <w:pPr>
        <w:pageBreakBefore w:val="0"/>
        <w:widowControl w:val="0"/>
        <w:kinsoku/>
        <w:wordWrap/>
        <w:overflowPunct/>
        <w:topLinePunct w:val="0"/>
        <w:bidi w:val="0"/>
        <w:spacing w:line="440" w:lineRule="exact"/>
        <w:ind w:firstLine="420" w:firstLineChars="200"/>
        <w:contextualSpacing/>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u w:val="single"/>
        </w:rPr>
        <w:t>（供应商名称）</w:t>
      </w:r>
      <w:r>
        <w:rPr>
          <w:rFonts w:hint="eastAsia" w:ascii="宋体" w:hAnsi="宋体" w:cs="宋体"/>
          <w:color w:val="auto"/>
          <w:sz w:val="21"/>
          <w:szCs w:val="21"/>
          <w:highlight w:val="none"/>
        </w:rPr>
        <w:t>系中华人民共和国合法供应商，经营地址</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w:t>
      </w:r>
    </w:p>
    <w:p w14:paraId="6F2E9E54">
      <w:pPr>
        <w:pageBreakBefore w:val="0"/>
        <w:widowControl w:val="0"/>
        <w:kinsoku/>
        <w:wordWrap/>
        <w:overflowPunct/>
        <w:topLinePunct w:val="0"/>
        <w:bidi w:val="0"/>
        <w:spacing w:line="440" w:lineRule="exact"/>
        <w:ind w:firstLine="420" w:firstLineChars="200"/>
        <w:contextualSpacing/>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我方愿意参加贵方组织的</w:t>
      </w:r>
      <w:r>
        <w:rPr>
          <w:rFonts w:hint="eastAsia" w:ascii="宋体" w:hAnsi="宋体" w:cs="宋体"/>
          <w:color w:val="auto"/>
          <w:sz w:val="21"/>
          <w:szCs w:val="21"/>
          <w:highlight w:val="none"/>
          <w:u w:val="single"/>
        </w:rPr>
        <w:t>（项目名称）</w:t>
      </w:r>
      <w:r>
        <w:rPr>
          <w:rFonts w:hint="eastAsia" w:ascii="宋体" w:hAnsi="宋体" w:cs="宋体"/>
          <w:color w:val="auto"/>
          <w:sz w:val="21"/>
          <w:szCs w:val="21"/>
          <w:highlight w:val="none"/>
        </w:rPr>
        <w:t>项目的</w:t>
      </w:r>
      <w:r>
        <w:rPr>
          <w:rFonts w:hint="eastAsia" w:ascii="宋体" w:hAnsi="宋体" w:cs="宋体"/>
          <w:color w:val="auto"/>
          <w:sz w:val="21"/>
          <w:szCs w:val="21"/>
          <w:highlight w:val="none"/>
          <w:lang w:eastAsia="zh-CN"/>
        </w:rPr>
        <w:t>投标</w:t>
      </w:r>
      <w:r>
        <w:rPr>
          <w:rFonts w:hint="eastAsia" w:ascii="宋体" w:hAnsi="宋体" w:cs="宋体"/>
          <w:color w:val="auto"/>
          <w:sz w:val="21"/>
          <w:szCs w:val="21"/>
          <w:highlight w:val="none"/>
        </w:rPr>
        <w:t>，为便于贵方公正、择优地确定</w:t>
      </w:r>
      <w:r>
        <w:rPr>
          <w:rFonts w:hint="eastAsia" w:ascii="宋体" w:hAnsi="宋体" w:cs="宋体"/>
          <w:color w:val="auto"/>
          <w:sz w:val="21"/>
          <w:szCs w:val="21"/>
          <w:highlight w:val="none"/>
          <w:lang w:val="en-US" w:eastAsia="zh-CN"/>
        </w:rPr>
        <w:t>成交</w:t>
      </w:r>
      <w:r>
        <w:rPr>
          <w:rFonts w:hint="eastAsia" w:ascii="宋体" w:hAnsi="宋体" w:cs="宋体"/>
          <w:color w:val="auto"/>
          <w:sz w:val="21"/>
          <w:szCs w:val="21"/>
          <w:highlight w:val="none"/>
        </w:rPr>
        <w:t>供应商及其</w:t>
      </w:r>
      <w:r>
        <w:rPr>
          <w:rFonts w:hint="eastAsia" w:ascii="宋体" w:hAnsi="宋体" w:cs="宋体"/>
          <w:color w:val="auto"/>
          <w:sz w:val="21"/>
          <w:szCs w:val="21"/>
          <w:highlight w:val="none"/>
          <w:lang w:val="en-US" w:eastAsia="zh-CN"/>
        </w:rPr>
        <w:t>磋商</w:t>
      </w:r>
      <w:r>
        <w:rPr>
          <w:rFonts w:hint="eastAsia" w:ascii="宋体" w:hAnsi="宋体" w:cs="宋体"/>
          <w:color w:val="auto"/>
          <w:sz w:val="21"/>
          <w:szCs w:val="21"/>
          <w:highlight w:val="none"/>
        </w:rPr>
        <w:t>产品和服务，我方就本次</w:t>
      </w:r>
      <w:r>
        <w:rPr>
          <w:rFonts w:hint="eastAsia" w:ascii="宋体" w:hAnsi="宋体" w:cs="宋体"/>
          <w:color w:val="auto"/>
          <w:sz w:val="21"/>
          <w:szCs w:val="21"/>
          <w:highlight w:val="none"/>
          <w:lang w:eastAsia="zh-CN"/>
        </w:rPr>
        <w:t>投标</w:t>
      </w:r>
      <w:r>
        <w:rPr>
          <w:rFonts w:hint="eastAsia" w:ascii="宋体" w:hAnsi="宋体" w:cs="宋体"/>
          <w:color w:val="auto"/>
          <w:sz w:val="21"/>
          <w:szCs w:val="21"/>
          <w:highlight w:val="none"/>
        </w:rPr>
        <w:t>有关事项郑重声明如下：</w:t>
      </w:r>
    </w:p>
    <w:p w14:paraId="266D51B8">
      <w:pPr>
        <w:pageBreakBefore w:val="0"/>
        <w:widowControl w:val="0"/>
        <w:kinsoku/>
        <w:wordWrap/>
        <w:overflowPunct/>
        <w:topLinePunct w:val="0"/>
        <w:bidi w:val="0"/>
        <w:spacing w:line="440" w:lineRule="exact"/>
        <w:ind w:firstLine="420" w:firstLineChars="200"/>
        <w:contextualSpacing/>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1.我方向贵方提交的所有</w:t>
      </w:r>
      <w:r>
        <w:rPr>
          <w:rFonts w:hint="eastAsia" w:ascii="宋体" w:hAnsi="宋体" w:cs="宋体"/>
          <w:color w:val="auto"/>
          <w:sz w:val="21"/>
          <w:szCs w:val="21"/>
          <w:highlight w:val="none"/>
          <w:lang w:eastAsia="zh-CN"/>
        </w:rPr>
        <w:t>投标文件</w:t>
      </w:r>
      <w:r>
        <w:rPr>
          <w:rFonts w:hint="eastAsia" w:ascii="宋体" w:hAnsi="宋体" w:cs="宋体"/>
          <w:color w:val="auto"/>
          <w:sz w:val="21"/>
          <w:szCs w:val="21"/>
          <w:highlight w:val="none"/>
        </w:rPr>
        <w:t>、资料都是准确的和真实的。</w:t>
      </w:r>
    </w:p>
    <w:p w14:paraId="1CDFEE1A">
      <w:pPr>
        <w:pageBreakBefore w:val="0"/>
        <w:widowControl w:val="0"/>
        <w:kinsoku/>
        <w:wordWrap/>
        <w:overflowPunct/>
        <w:topLinePunct w:val="0"/>
        <w:bidi w:val="0"/>
        <w:spacing w:line="440" w:lineRule="exact"/>
        <w:ind w:firstLine="420" w:firstLineChars="200"/>
        <w:contextualSpacing/>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.在此，我方宣布同意如下：</w:t>
      </w:r>
    </w:p>
    <w:p w14:paraId="2B8792D7">
      <w:pPr>
        <w:pageBreakBefore w:val="0"/>
        <w:widowControl w:val="0"/>
        <w:kinsoku/>
        <w:wordWrap/>
        <w:overflowPunct/>
        <w:topLinePunct w:val="0"/>
        <w:bidi w:val="0"/>
        <w:spacing w:line="440" w:lineRule="exact"/>
        <w:ind w:firstLine="420" w:firstLineChars="200"/>
        <w:contextualSpacing/>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（1）将按</w:t>
      </w:r>
      <w:r>
        <w:rPr>
          <w:rFonts w:hint="eastAsia" w:ascii="宋体" w:hAnsi="宋体" w:cs="宋体"/>
          <w:color w:val="auto"/>
          <w:sz w:val="21"/>
          <w:szCs w:val="21"/>
          <w:highlight w:val="none"/>
          <w:lang w:eastAsia="zh-CN"/>
        </w:rPr>
        <w:t>采购文件</w:t>
      </w:r>
      <w:r>
        <w:rPr>
          <w:rFonts w:hint="eastAsia" w:ascii="宋体" w:hAnsi="宋体" w:cs="宋体"/>
          <w:color w:val="auto"/>
          <w:sz w:val="21"/>
          <w:szCs w:val="21"/>
          <w:highlight w:val="none"/>
        </w:rPr>
        <w:t>的约定履行合同责任和义务；</w:t>
      </w:r>
    </w:p>
    <w:p w14:paraId="131FFCD0">
      <w:pPr>
        <w:pageBreakBefore w:val="0"/>
        <w:widowControl w:val="0"/>
        <w:kinsoku/>
        <w:wordWrap/>
        <w:overflowPunct/>
        <w:topLinePunct w:val="0"/>
        <w:bidi w:val="0"/>
        <w:spacing w:line="440" w:lineRule="exact"/>
        <w:ind w:firstLine="420" w:firstLineChars="200"/>
        <w:contextualSpacing/>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（2）已详细审查全部</w:t>
      </w:r>
      <w:r>
        <w:rPr>
          <w:rFonts w:hint="eastAsia" w:ascii="宋体" w:hAnsi="宋体" w:cs="宋体"/>
          <w:color w:val="auto"/>
          <w:sz w:val="21"/>
          <w:szCs w:val="21"/>
          <w:highlight w:val="none"/>
          <w:lang w:eastAsia="zh-CN"/>
        </w:rPr>
        <w:t>采购文件</w:t>
      </w:r>
      <w:r>
        <w:rPr>
          <w:rFonts w:hint="eastAsia" w:ascii="宋体" w:hAnsi="宋体" w:cs="宋体"/>
          <w:color w:val="auto"/>
          <w:sz w:val="21"/>
          <w:szCs w:val="21"/>
          <w:highlight w:val="none"/>
        </w:rPr>
        <w:t>，包括澄清或者更正公告（如有）；</w:t>
      </w:r>
    </w:p>
    <w:p w14:paraId="579C98DB">
      <w:pPr>
        <w:pageBreakBefore w:val="0"/>
        <w:widowControl w:val="0"/>
        <w:kinsoku/>
        <w:wordWrap/>
        <w:overflowPunct/>
        <w:topLinePunct w:val="0"/>
        <w:bidi w:val="0"/>
        <w:spacing w:line="440" w:lineRule="exact"/>
        <w:ind w:firstLine="420" w:firstLineChars="200"/>
        <w:contextualSpacing/>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（3）同意提供按照贵方可能要求的与</w:t>
      </w:r>
      <w:r>
        <w:rPr>
          <w:rFonts w:hint="eastAsia" w:ascii="宋体" w:hAnsi="宋体" w:cs="宋体"/>
          <w:color w:val="auto"/>
          <w:sz w:val="21"/>
          <w:szCs w:val="21"/>
          <w:highlight w:val="none"/>
          <w:lang w:eastAsia="zh-CN"/>
        </w:rPr>
        <w:t>采购</w:t>
      </w:r>
      <w:r>
        <w:rPr>
          <w:rFonts w:hint="eastAsia" w:ascii="宋体" w:hAnsi="宋体" w:cs="宋体"/>
          <w:color w:val="auto"/>
          <w:sz w:val="21"/>
          <w:szCs w:val="21"/>
          <w:highlight w:val="none"/>
        </w:rPr>
        <w:t>有关的一切数据或者资料；</w:t>
      </w:r>
    </w:p>
    <w:p w14:paraId="7ADD9A17">
      <w:pPr>
        <w:pageBreakBefore w:val="0"/>
        <w:widowControl w:val="0"/>
        <w:kinsoku/>
        <w:wordWrap/>
        <w:overflowPunct/>
        <w:topLinePunct w:val="0"/>
        <w:bidi w:val="0"/>
        <w:spacing w:line="440" w:lineRule="exact"/>
        <w:ind w:firstLine="420" w:firstLineChars="200"/>
        <w:contextualSpacing/>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（4）响应</w:t>
      </w:r>
      <w:r>
        <w:rPr>
          <w:rFonts w:hint="eastAsia" w:ascii="宋体" w:hAnsi="宋体" w:cs="宋体"/>
          <w:color w:val="auto"/>
          <w:sz w:val="21"/>
          <w:szCs w:val="21"/>
          <w:highlight w:val="none"/>
          <w:lang w:eastAsia="zh-CN"/>
        </w:rPr>
        <w:t>采购文件</w:t>
      </w:r>
      <w:r>
        <w:rPr>
          <w:rFonts w:hint="eastAsia" w:ascii="宋体" w:hAnsi="宋体" w:cs="宋体"/>
          <w:color w:val="auto"/>
          <w:sz w:val="21"/>
          <w:szCs w:val="21"/>
          <w:highlight w:val="none"/>
        </w:rPr>
        <w:t>规定的</w:t>
      </w:r>
      <w:r>
        <w:rPr>
          <w:rFonts w:hint="eastAsia" w:ascii="宋体" w:hAnsi="宋体" w:cs="宋体"/>
          <w:color w:val="auto"/>
          <w:sz w:val="21"/>
          <w:szCs w:val="21"/>
          <w:highlight w:val="none"/>
          <w:lang w:eastAsia="zh-CN"/>
        </w:rPr>
        <w:t>投标</w:t>
      </w:r>
      <w:r>
        <w:rPr>
          <w:rFonts w:hint="eastAsia" w:ascii="宋体" w:hAnsi="宋体" w:cs="宋体"/>
          <w:color w:val="auto"/>
          <w:sz w:val="21"/>
          <w:szCs w:val="21"/>
          <w:highlight w:val="none"/>
        </w:rPr>
        <w:t>有效期。</w:t>
      </w:r>
    </w:p>
    <w:p w14:paraId="74720CAC">
      <w:pPr>
        <w:pageBreakBefore w:val="0"/>
        <w:widowControl w:val="0"/>
        <w:kinsoku/>
        <w:wordWrap/>
        <w:overflowPunct/>
        <w:topLinePunct w:val="0"/>
        <w:bidi w:val="0"/>
        <w:spacing w:line="440" w:lineRule="exact"/>
        <w:ind w:firstLine="420" w:firstLineChars="200"/>
        <w:contextualSpacing/>
        <w:textAlignment w:val="auto"/>
        <w:rPr>
          <w:rFonts w:ascii="宋体" w:hAnsi="宋体" w:cs="宋体"/>
          <w:color w:val="auto"/>
          <w:sz w:val="21"/>
          <w:szCs w:val="21"/>
          <w:highlight w:val="none"/>
        </w:rPr>
      </w:pPr>
      <w:r>
        <w:rPr>
          <w:rFonts w:hint="eastAsia" w:ascii="宋体" w:hAnsi="宋体" w:cs="宋体"/>
          <w:color w:val="auto"/>
          <w:sz w:val="21"/>
          <w:szCs w:val="21"/>
          <w:highlight w:val="none"/>
        </w:rPr>
        <w:t>（5）同意按</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lang w:eastAsia="zh-CN"/>
        </w:rPr>
        <w:t>文件</w:t>
      </w:r>
      <w:r>
        <w:rPr>
          <w:rFonts w:hint="eastAsia" w:ascii="宋体" w:hAnsi="宋体" w:cs="宋体"/>
          <w:color w:val="auto"/>
          <w:sz w:val="21"/>
          <w:szCs w:val="21"/>
          <w:highlight w:val="none"/>
        </w:rPr>
        <w:t>“供应商须知”第3</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条规定，在领取</w:t>
      </w:r>
      <w:r>
        <w:rPr>
          <w:rFonts w:hint="eastAsia" w:ascii="宋体" w:hAnsi="宋体" w:cs="宋体"/>
          <w:color w:val="auto"/>
          <w:sz w:val="21"/>
          <w:szCs w:val="21"/>
          <w:highlight w:val="none"/>
          <w:lang w:val="en-US" w:eastAsia="zh-CN"/>
        </w:rPr>
        <w:t>成交</w:t>
      </w:r>
      <w:r>
        <w:rPr>
          <w:rFonts w:hint="eastAsia" w:ascii="宋体" w:hAnsi="宋体" w:cs="宋体"/>
          <w:color w:val="auto"/>
          <w:sz w:val="21"/>
          <w:szCs w:val="21"/>
          <w:highlight w:val="none"/>
        </w:rPr>
        <w:t>通知书前向采购代理机构交纳代理服务费。</w:t>
      </w:r>
    </w:p>
    <w:p w14:paraId="7C846F26">
      <w:pPr>
        <w:pageBreakBefore w:val="0"/>
        <w:widowControl w:val="0"/>
        <w:kinsoku/>
        <w:wordWrap/>
        <w:overflowPunct/>
        <w:topLinePunct w:val="0"/>
        <w:bidi w:val="0"/>
        <w:spacing w:line="440" w:lineRule="exact"/>
        <w:ind w:firstLine="420" w:firstLineChars="200"/>
        <w:contextualSpacing/>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.我方承诺符合《中华人民共和国政府采购法》第二十二条规定：</w:t>
      </w:r>
    </w:p>
    <w:p w14:paraId="6DEB7037">
      <w:pPr>
        <w:pageBreakBefore w:val="0"/>
        <w:widowControl w:val="0"/>
        <w:kinsoku/>
        <w:wordWrap/>
        <w:overflowPunct/>
        <w:topLinePunct w:val="0"/>
        <w:bidi w:val="0"/>
        <w:spacing w:line="440" w:lineRule="exact"/>
        <w:ind w:firstLine="420" w:firstLineChars="200"/>
        <w:contextualSpacing/>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（1）具有独立承担民事责任的能力；</w:t>
      </w:r>
    </w:p>
    <w:p w14:paraId="5D1DFCE6">
      <w:pPr>
        <w:pageBreakBefore w:val="0"/>
        <w:widowControl w:val="0"/>
        <w:kinsoku/>
        <w:wordWrap/>
        <w:overflowPunct/>
        <w:topLinePunct w:val="0"/>
        <w:bidi w:val="0"/>
        <w:spacing w:line="440" w:lineRule="exact"/>
        <w:ind w:firstLine="420" w:firstLineChars="200"/>
        <w:contextualSpacing/>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（2）具有良好的商业信誉和健全的财务会计制度；</w:t>
      </w:r>
    </w:p>
    <w:p w14:paraId="50264FA3">
      <w:pPr>
        <w:pageBreakBefore w:val="0"/>
        <w:widowControl w:val="0"/>
        <w:kinsoku/>
        <w:wordWrap/>
        <w:overflowPunct/>
        <w:topLinePunct w:val="0"/>
        <w:bidi w:val="0"/>
        <w:spacing w:line="440" w:lineRule="exact"/>
        <w:ind w:firstLine="420" w:firstLineChars="200"/>
        <w:contextualSpacing/>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（3）具有履行合同所必需的设备和专业技术能力；</w:t>
      </w:r>
    </w:p>
    <w:p w14:paraId="69E90CE2">
      <w:pPr>
        <w:pageBreakBefore w:val="0"/>
        <w:widowControl w:val="0"/>
        <w:kinsoku/>
        <w:wordWrap/>
        <w:overflowPunct/>
        <w:topLinePunct w:val="0"/>
        <w:bidi w:val="0"/>
        <w:spacing w:line="440" w:lineRule="exact"/>
        <w:ind w:firstLine="420" w:firstLineChars="200"/>
        <w:contextualSpacing/>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（4）有依法缴纳税收和社会保障资金的良好记录；</w:t>
      </w:r>
    </w:p>
    <w:p w14:paraId="67C25BEB">
      <w:pPr>
        <w:pageBreakBefore w:val="0"/>
        <w:widowControl w:val="0"/>
        <w:kinsoku/>
        <w:wordWrap/>
        <w:overflowPunct/>
        <w:topLinePunct w:val="0"/>
        <w:bidi w:val="0"/>
        <w:spacing w:line="440" w:lineRule="exact"/>
        <w:ind w:firstLine="420" w:firstLineChars="200"/>
        <w:contextualSpacing/>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（5）参加政府采购活动前三年内，在经营活动中没有重大违法记录；</w:t>
      </w:r>
    </w:p>
    <w:p w14:paraId="4F8F6F38">
      <w:pPr>
        <w:pageBreakBefore w:val="0"/>
        <w:widowControl w:val="0"/>
        <w:kinsoku/>
        <w:wordWrap/>
        <w:overflowPunct/>
        <w:topLinePunct w:val="0"/>
        <w:bidi w:val="0"/>
        <w:spacing w:line="440" w:lineRule="exact"/>
        <w:ind w:firstLine="420" w:firstLineChars="200"/>
        <w:contextualSpacing/>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（6）法律、行政法规规定的其他条件。</w:t>
      </w:r>
    </w:p>
    <w:p w14:paraId="4B0B9B32">
      <w:pPr>
        <w:pageBreakBefore w:val="0"/>
        <w:widowControl w:val="0"/>
        <w:kinsoku/>
        <w:wordWrap/>
        <w:overflowPunct/>
        <w:topLinePunct w:val="0"/>
        <w:bidi w:val="0"/>
        <w:spacing w:line="440" w:lineRule="exact"/>
        <w:ind w:firstLine="420" w:firstLineChars="200"/>
        <w:contextualSpacing/>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3EE7DA9B">
      <w:pPr>
        <w:pStyle w:val="13"/>
        <w:pageBreakBefore w:val="0"/>
        <w:widowControl w:val="0"/>
        <w:tabs>
          <w:tab w:val="left" w:pos="939"/>
        </w:tabs>
        <w:kinsoku/>
        <w:wordWrap/>
        <w:overflowPunct/>
        <w:topLinePunct w:val="0"/>
        <w:bidi w:val="0"/>
        <w:spacing w:line="440" w:lineRule="exact"/>
        <w:ind w:left="0" w:leftChars="0"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.以上事项如有虚假或者隐瞒，我方愿意承担一切后果，并不再寻求任何旨在减轻或者免除法律责任的辩解。特此承诺。</w:t>
      </w:r>
    </w:p>
    <w:p w14:paraId="1A6D7AB4">
      <w:pPr>
        <w:pageBreakBefore w:val="0"/>
        <w:widowControl w:val="0"/>
        <w:kinsoku/>
        <w:wordWrap/>
        <w:overflowPunct/>
        <w:topLinePunct w:val="0"/>
        <w:bidi w:val="0"/>
        <w:snapToGrid w:val="0"/>
        <w:spacing w:line="440" w:lineRule="exact"/>
        <w:ind w:firstLine="1575" w:firstLineChars="75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供应商</w:t>
      </w:r>
      <w:r>
        <w:rPr>
          <w:rFonts w:hint="eastAsia" w:ascii="宋体" w:hAnsi="宋体" w:eastAsia="宋体" w:cs="宋体"/>
          <w:bCs/>
          <w:color w:val="auto"/>
          <w:szCs w:val="21"/>
          <w:highlight w:val="none"/>
        </w:rPr>
        <w:t>[公章(CA签章)]</w:t>
      </w:r>
      <w:r>
        <w:rPr>
          <w:rFonts w:hint="eastAsia" w:ascii="宋体" w:hAnsi="宋体" w:eastAsia="宋体" w:cs="宋体"/>
          <w:bCs/>
          <w:color w:val="auto"/>
          <w:sz w:val="21"/>
          <w:szCs w:val="21"/>
          <w:highlight w:val="none"/>
        </w:rPr>
        <w:t xml:space="preserve">：                              </w:t>
      </w:r>
    </w:p>
    <w:p w14:paraId="49112044">
      <w:pPr>
        <w:pageBreakBefore w:val="0"/>
        <w:widowControl w:val="0"/>
        <w:kinsoku/>
        <w:wordWrap/>
        <w:overflowPunct/>
        <w:topLinePunct w:val="0"/>
        <w:bidi w:val="0"/>
        <w:snapToGrid w:val="0"/>
        <w:spacing w:line="440" w:lineRule="exact"/>
        <w:ind w:firstLine="1575" w:firstLineChars="75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法定代表人、负责人或相应的委托代理人签字[或盖章(CA签章)]：</w:t>
      </w:r>
    </w:p>
    <w:p w14:paraId="2DE1DB2A">
      <w:pPr>
        <w:pStyle w:val="21"/>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440" w:lineRule="exact"/>
        <w:ind w:left="0" w:leftChars="0" w:firstLine="1470" w:firstLineChars="7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color w:val="auto"/>
          <w:highlight w:val="none"/>
        </w:rPr>
        <w:t>日          期：</w:t>
      </w:r>
    </w:p>
    <w:p w14:paraId="34F40FD7">
      <w:pPr>
        <w:pStyle w:val="21"/>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cs="宋体"/>
          <w:b/>
          <w:color w:val="auto"/>
          <w:kern w:val="2"/>
          <w:sz w:val="28"/>
          <w:szCs w:val="28"/>
          <w:highlight w:val="none"/>
          <w:lang w:val="en-US" w:eastAsia="zh-CN" w:bidi="ar-SA"/>
        </w:rPr>
        <w:t>9、</w:t>
      </w:r>
      <w:r>
        <w:rPr>
          <w:rFonts w:hint="eastAsia" w:ascii="宋体" w:hAnsi="宋体" w:eastAsia="宋体" w:cs="宋体"/>
          <w:b/>
          <w:color w:val="auto"/>
          <w:kern w:val="2"/>
          <w:sz w:val="28"/>
          <w:szCs w:val="28"/>
          <w:highlight w:val="none"/>
          <w:lang w:val="en-US" w:eastAsia="zh-CN" w:bidi="ar-SA"/>
        </w:rPr>
        <w:t>供应商参加本项目无围标串标行为的承诺函（必须提供，否则作无效响应处理）</w:t>
      </w:r>
    </w:p>
    <w:p w14:paraId="3BB3F282">
      <w:pPr>
        <w:spacing w:line="360" w:lineRule="auto"/>
        <w:ind w:firstLine="422" w:firstLineChars="200"/>
        <w:contextualSpacing/>
        <w:rPr>
          <w:rFonts w:hint="eastAsia" w:ascii="宋体" w:hAnsi="宋体" w:cs="仿宋_GB2312"/>
          <w:b/>
          <w:bCs/>
          <w:color w:val="auto"/>
          <w:sz w:val="21"/>
          <w:szCs w:val="21"/>
          <w:highlight w:val="none"/>
        </w:rPr>
      </w:pPr>
    </w:p>
    <w:p w14:paraId="78879E01">
      <w:pPr>
        <w:spacing w:line="360" w:lineRule="auto"/>
        <w:ind w:firstLine="422" w:firstLineChars="200"/>
        <w:contextualSpacing/>
        <w:rPr>
          <w:rFonts w:hint="eastAsia" w:ascii="宋体" w:hAnsi="宋体" w:cs="仿宋_GB2312"/>
          <w:b/>
          <w:bCs/>
          <w:color w:val="auto"/>
          <w:sz w:val="21"/>
          <w:szCs w:val="21"/>
          <w:highlight w:val="none"/>
        </w:rPr>
      </w:pPr>
      <w:r>
        <w:rPr>
          <w:rFonts w:hint="eastAsia" w:ascii="宋体" w:hAnsi="宋体" w:cs="仿宋_GB2312"/>
          <w:b/>
          <w:bCs/>
          <w:color w:val="auto"/>
          <w:sz w:val="21"/>
          <w:szCs w:val="21"/>
          <w:highlight w:val="none"/>
        </w:rPr>
        <w:t>一、我方承诺无下列相互串通</w:t>
      </w:r>
      <w:r>
        <w:rPr>
          <w:rFonts w:hint="eastAsia" w:ascii="宋体" w:hAnsi="宋体" w:cs="仿宋_GB2312"/>
          <w:b/>
          <w:bCs/>
          <w:color w:val="auto"/>
          <w:sz w:val="21"/>
          <w:szCs w:val="21"/>
          <w:highlight w:val="none"/>
          <w:lang w:eastAsia="zh-CN"/>
        </w:rPr>
        <w:t>投标</w:t>
      </w:r>
      <w:r>
        <w:rPr>
          <w:rFonts w:hint="eastAsia" w:ascii="宋体" w:hAnsi="宋体" w:cs="仿宋_GB2312"/>
          <w:b/>
          <w:bCs/>
          <w:color w:val="auto"/>
          <w:sz w:val="21"/>
          <w:szCs w:val="21"/>
          <w:highlight w:val="none"/>
        </w:rPr>
        <w:t>的情形：</w:t>
      </w:r>
    </w:p>
    <w:p w14:paraId="76BC40C4">
      <w:pPr>
        <w:snapToGrid w:val="0"/>
        <w:spacing w:line="404" w:lineRule="exact"/>
        <w:ind w:left="355" w:leftChars="169" w:firstLine="102" w:firstLineChars="49"/>
        <w:outlineLvl w:val="4"/>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1.</w:t>
      </w:r>
      <w:r>
        <w:rPr>
          <w:rFonts w:hint="eastAsia" w:ascii="宋体" w:hAnsi="宋体" w:cs="宋体"/>
          <w:color w:val="auto"/>
          <w:kern w:val="0"/>
          <w:sz w:val="21"/>
          <w:szCs w:val="21"/>
          <w:highlight w:val="none"/>
        </w:rPr>
        <w:t>不同供应商的</w:t>
      </w:r>
      <w:r>
        <w:rPr>
          <w:rFonts w:hint="eastAsia" w:ascii="宋体" w:hAnsi="宋体" w:cs="宋体"/>
          <w:color w:val="auto"/>
          <w:kern w:val="0"/>
          <w:sz w:val="21"/>
          <w:szCs w:val="21"/>
          <w:highlight w:val="none"/>
          <w:lang w:eastAsia="zh-CN"/>
        </w:rPr>
        <w:t>投标</w:t>
      </w:r>
      <w:r>
        <w:rPr>
          <w:rFonts w:hint="eastAsia" w:ascii="宋体" w:hAnsi="宋体" w:cs="宋体"/>
          <w:color w:val="auto"/>
          <w:kern w:val="0"/>
          <w:sz w:val="21"/>
          <w:szCs w:val="21"/>
          <w:highlight w:val="none"/>
        </w:rPr>
        <w:t>文件由同一单位或者个人编制；</w:t>
      </w:r>
    </w:p>
    <w:p w14:paraId="67855251">
      <w:pPr>
        <w:snapToGrid w:val="0"/>
        <w:spacing w:line="404" w:lineRule="exact"/>
        <w:ind w:left="355" w:leftChars="169" w:firstLine="102" w:firstLineChars="49"/>
        <w:outlineLvl w:val="4"/>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2.</w:t>
      </w:r>
      <w:r>
        <w:rPr>
          <w:rFonts w:hint="eastAsia" w:ascii="宋体" w:hAnsi="宋体" w:cs="宋体"/>
          <w:color w:val="auto"/>
          <w:kern w:val="0"/>
          <w:sz w:val="21"/>
          <w:szCs w:val="21"/>
          <w:highlight w:val="none"/>
        </w:rPr>
        <w:t>不同供应商委托同一单位或者个人办理</w:t>
      </w:r>
      <w:r>
        <w:rPr>
          <w:rFonts w:hint="eastAsia" w:ascii="宋体" w:hAnsi="宋体" w:cs="宋体"/>
          <w:color w:val="auto"/>
          <w:kern w:val="0"/>
          <w:sz w:val="21"/>
          <w:szCs w:val="21"/>
          <w:highlight w:val="none"/>
          <w:lang w:eastAsia="zh-CN"/>
        </w:rPr>
        <w:t>投标</w:t>
      </w:r>
      <w:r>
        <w:rPr>
          <w:rFonts w:hint="eastAsia" w:ascii="宋体" w:hAnsi="宋体" w:cs="宋体"/>
          <w:color w:val="auto"/>
          <w:kern w:val="0"/>
          <w:sz w:val="21"/>
          <w:szCs w:val="21"/>
          <w:highlight w:val="none"/>
        </w:rPr>
        <w:t>事宜；</w:t>
      </w:r>
    </w:p>
    <w:p w14:paraId="0077585F">
      <w:pPr>
        <w:snapToGrid w:val="0"/>
        <w:spacing w:line="404" w:lineRule="exact"/>
        <w:ind w:left="355" w:leftChars="169" w:firstLine="102" w:firstLineChars="49"/>
        <w:outlineLvl w:val="4"/>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3.</w:t>
      </w:r>
      <w:r>
        <w:rPr>
          <w:rFonts w:hint="eastAsia" w:ascii="宋体" w:hAnsi="宋体" w:cs="宋体"/>
          <w:color w:val="auto"/>
          <w:kern w:val="0"/>
          <w:sz w:val="21"/>
          <w:szCs w:val="21"/>
          <w:highlight w:val="none"/>
        </w:rPr>
        <w:t>不同的供应商的</w:t>
      </w:r>
      <w:r>
        <w:rPr>
          <w:rFonts w:hint="eastAsia" w:ascii="宋体" w:hAnsi="宋体" w:cs="宋体"/>
          <w:color w:val="auto"/>
          <w:kern w:val="0"/>
          <w:sz w:val="21"/>
          <w:szCs w:val="21"/>
          <w:highlight w:val="none"/>
          <w:lang w:eastAsia="zh-CN"/>
        </w:rPr>
        <w:t>投标</w:t>
      </w:r>
      <w:r>
        <w:rPr>
          <w:rFonts w:hint="eastAsia" w:ascii="宋体" w:hAnsi="宋体" w:cs="宋体"/>
          <w:color w:val="auto"/>
          <w:kern w:val="0"/>
          <w:sz w:val="21"/>
          <w:szCs w:val="21"/>
          <w:highlight w:val="none"/>
        </w:rPr>
        <w:t>文件载明的项目管理员为同一个人；</w:t>
      </w:r>
    </w:p>
    <w:p w14:paraId="3B440AC0">
      <w:pPr>
        <w:snapToGrid w:val="0"/>
        <w:spacing w:line="404" w:lineRule="exact"/>
        <w:ind w:left="355" w:leftChars="169" w:firstLine="102" w:firstLineChars="49"/>
        <w:outlineLvl w:val="4"/>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4.</w:t>
      </w:r>
      <w:r>
        <w:rPr>
          <w:rFonts w:hint="eastAsia" w:ascii="宋体" w:hAnsi="宋体" w:cs="宋体"/>
          <w:color w:val="auto"/>
          <w:kern w:val="0"/>
          <w:sz w:val="21"/>
          <w:szCs w:val="21"/>
          <w:highlight w:val="none"/>
        </w:rPr>
        <w:t>不同供应商的</w:t>
      </w:r>
      <w:r>
        <w:rPr>
          <w:rFonts w:hint="eastAsia" w:ascii="宋体" w:hAnsi="宋体" w:cs="宋体"/>
          <w:color w:val="auto"/>
          <w:kern w:val="0"/>
          <w:sz w:val="21"/>
          <w:szCs w:val="21"/>
          <w:highlight w:val="none"/>
          <w:lang w:eastAsia="zh-CN"/>
        </w:rPr>
        <w:t>投标</w:t>
      </w:r>
      <w:r>
        <w:rPr>
          <w:rFonts w:hint="eastAsia" w:ascii="宋体" w:hAnsi="宋体" w:cs="宋体"/>
          <w:color w:val="auto"/>
          <w:kern w:val="0"/>
          <w:sz w:val="21"/>
          <w:szCs w:val="21"/>
          <w:highlight w:val="none"/>
        </w:rPr>
        <w:t xml:space="preserve">文件异常一致或最后报价呈规律性差异； </w:t>
      </w:r>
    </w:p>
    <w:p w14:paraId="2071688D">
      <w:pPr>
        <w:spacing w:line="360" w:lineRule="auto"/>
        <w:ind w:firstLine="422" w:firstLineChars="200"/>
        <w:contextualSpacing/>
        <w:rPr>
          <w:rFonts w:hint="eastAsia" w:ascii="宋体" w:hAnsi="宋体" w:cs="仿宋_GB2312"/>
          <w:b/>
          <w:bCs/>
          <w:color w:val="auto"/>
          <w:sz w:val="21"/>
          <w:szCs w:val="21"/>
          <w:highlight w:val="none"/>
        </w:rPr>
      </w:pPr>
      <w:r>
        <w:rPr>
          <w:rFonts w:hint="eastAsia" w:ascii="宋体" w:hAnsi="宋体" w:cs="仿宋_GB2312"/>
          <w:b/>
          <w:bCs/>
          <w:color w:val="auto"/>
          <w:sz w:val="21"/>
          <w:szCs w:val="21"/>
          <w:highlight w:val="none"/>
        </w:rPr>
        <w:t>二、我方承诺无下列恶意串通的情形：</w:t>
      </w:r>
    </w:p>
    <w:p w14:paraId="24327D4C">
      <w:pPr>
        <w:spacing w:line="360" w:lineRule="auto"/>
        <w:ind w:firstLine="420" w:firstLineChars="200"/>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1.供应商直接或者间接从采购人或者采购代理机构处获得其他供应商的相关信息并修改其</w:t>
      </w:r>
      <w:r>
        <w:rPr>
          <w:rFonts w:hint="eastAsia" w:ascii="宋体" w:hAnsi="宋体" w:cs="仿宋_GB2312"/>
          <w:color w:val="auto"/>
          <w:sz w:val="21"/>
          <w:szCs w:val="21"/>
          <w:highlight w:val="none"/>
          <w:lang w:eastAsia="zh-CN"/>
        </w:rPr>
        <w:t>投标文件</w:t>
      </w:r>
      <w:r>
        <w:rPr>
          <w:rFonts w:hint="eastAsia" w:ascii="宋体" w:hAnsi="宋体" w:cs="仿宋_GB2312"/>
          <w:color w:val="auto"/>
          <w:sz w:val="21"/>
          <w:szCs w:val="21"/>
          <w:highlight w:val="none"/>
        </w:rPr>
        <w:t>；</w:t>
      </w:r>
    </w:p>
    <w:p w14:paraId="1307030D">
      <w:pPr>
        <w:spacing w:line="360" w:lineRule="auto"/>
        <w:ind w:firstLine="420" w:firstLineChars="200"/>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2.供应商按照采购人或者采购代理机构的授意撤换、修改</w:t>
      </w:r>
      <w:r>
        <w:rPr>
          <w:rFonts w:hint="eastAsia" w:ascii="宋体" w:hAnsi="宋体" w:cs="仿宋_GB2312"/>
          <w:color w:val="auto"/>
          <w:sz w:val="21"/>
          <w:szCs w:val="21"/>
          <w:highlight w:val="none"/>
          <w:lang w:eastAsia="zh-CN"/>
        </w:rPr>
        <w:t>投标文件</w:t>
      </w:r>
      <w:r>
        <w:rPr>
          <w:rFonts w:hint="eastAsia" w:ascii="宋体" w:hAnsi="宋体" w:cs="仿宋_GB2312"/>
          <w:color w:val="auto"/>
          <w:sz w:val="21"/>
          <w:szCs w:val="21"/>
          <w:highlight w:val="none"/>
        </w:rPr>
        <w:t>；</w:t>
      </w:r>
    </w:p>
    <w:p w14:paraId="39AC7001">
      <w:pPr>
        <w:spacing w:line="360" w:lineRule="auto"/>
        <w:ind w:firstLine="420" w:firstLineChars="200"/>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3.供</w:t>
      </w:r>
      <w:r>
        <w:rPr>
          <w:rFonts w:hint="eastAsia" w:ascii="宋体" w:hAnsi="宋体" w:cs="仿宋_GB2312"/>
          <w:color w:val="auto"/>
          <w:spacing w:val="-6"/>
          <w:sz w:val="21"/>
          <w:szCs w:val="21"/>
          <w:highlight w:val="none"/>
        </w:rPr>
        <w:t>应商之间协商报价、方案等</w:t>
      </w:r>
      <w:r>
        <w:rPr>
          <w:rFonts w:hint="eastAsia" w:ascii="宋体" w:hAnsi="宋体" w:cs="仿宋_GB2312"/>
          <w:color w:val="auto"/>
          <w:spacing w:val="-6"/>
          <w:sz w:val="21"/>
          <w:szCs w:val="21"/>
          <w:highlight w:val="none"/>
          <w:lang w:eastAsia="zh-CN"/>
        </w:rPr>
        <w:t>投标</w:t>
      </w:r>
      <w:r>
        <w:rPr>
          <w:rFonts w:hint="eastAsia" w:ascii="宋体" w:hAnsi="宋体" w:cs="仿宋_GB2312"/>
          <w:color w:val="auto"/>
          <w:spacing w:val="-6"/>
          <w:sz w:val="21"/>
          <w:szCs w:val="21"/>
          <w:highlight w:val="none"/>
        </w:rPr>
        <w:t>文件的实质性内容；</w:t>
      </w:r>
    </w:p>
    <w:p w14:paraId="7CE74EB7">
      <w:pPr>
        <w:spacing w:line="360" w:lineRule="auto"/>
        <w:ind w:firstLine="420" w:firstLineChars="200"/>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4.属于同一集团、协会、商会等组织成员的供应商按照该组织要求协同参加政府采购活动；</w:t>
      </w:r>
    </w:p>
    <w:p w14:paraId="138CF1A7">
      <w:pPr>
        <w:spacing w:line="360" w:lineRule="auto"/>
        <w:ind w:firstLine="420" w:firstLineChars="200"/>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5.供应商之间事先约定一致抬高或者压低</w:t>
      </w:r>
      <w:r>
        <w:rPr>
          <w:rFonts w:hint="eastAsia" w:ascii="宋体" w:hAnsi="宋体" w:cs="仿宋_GB2312"/>
          <w:color w:val="auto"/>
          <w:sz w:val="21"/>
          <w:szCs w:val="21"/>
          <w:highlight w:val="none"/>
          <w:lang w:eastAsia="zh-CN"/>
        </w:rPr>
        <w:t>投标</w:t>
      </w:r>
      <w:r>
        <w:rPr>
          <w:rFonts w:hint="eastAsia" w:ascii="宋体" w:hAnsi="宋体" w:cs="仿宋_GB2312"/>
          <w:color w:val="auto"/>
          <w:sz w:val="21"/>
          <w:szCs w:val="21"/>
          <w:highlight w:val="none"/>
        </w:rPr>
        <w:t>报价，或者在</w:t>
      </w:r>
      <w:r>
        <w:rPr>
          <w:rFonts w:hint="eastAsia" w:ascii="宋体" w:hAnsi="宋体" w:cs="仿宋_GB2312"/>
          <w:color w:val="auto"/>
          <w:sz w:val="21"/>
          <w:szCs w:val="21"/>
          <w:highlight w:val="none"/>
          <w:lang w:eastAsia="zh-CN"/>
        </w:rPr>
        <w:t>采购</w:t>
      </w:r>
      <w:r>
        <w:rPr>
          <w:rFonts w:hint="eastAsia" w:ascii="宋体" w:hAnsi="宋体" w:cs="仿宋_GB2312"/>
          <w:color w:val="auto"/>
          <w:sz w:val="21"/>
          <w:szCs w:val="21"/>
          <w:highlight w:val="none"/>
        </w:rPr>
        <w:t>项目中事先约定轮流以高价位或者低价位</w:t>
      </w:r>
      <w:r>
        <w:rPr>
          <w:rFonts w:hint="eastAsia" w:ascii="宋体" w:hAnsi="宋体" w:cs="仿宋_GB2312"/>
          <w:color w:val="auto"/>
          <w:sz w:val="21"/>
          <w:szCs w:val="21"/>
          <w:highlight w:val="none"/>
          <w:lang w:eastAsia="zh-CN"/>
        </w:rPr>
        <w:t>中标</w:t>
      </w:r>
      <w:r>
        <w:rPr>
          <w:rFonts w:hint="eastAsia" w:ascii="宋体" w:hAnsi="宋体" w:cs="仿宋_GB2312"/>
          <w:color w:val="auto"/>
          <w:sz w:val="21"/>
          <w:szCs w:val="21"/>
          <w:highlight w:val="none"/>
        </w:rPr>
        <w:t>，或者事先约定由某一特定供应商</w:t>
      </w:r>
      <w:r>
        <w:rPr>
          <w:rFonts w:hint="eastAsia" w:ascii="宋体" w:hAnsi="宋体" w:cs="仿宋_GB2312"/>
          <w:color w:val="auto"/>
          <w:sz w:val="21"/>
          <w:szCs w:val="21"/>
          <w:highlight w:val="none"/>
          <w:lang w:eastAsia="zh-CN"/>
        </w:rPr>
        <w:t>中标</w:t>
      </w:r>
      <w:r>
        <w:rPr>
          <w:rFonts w:hint="eastAsia" w:ascii="宋体" w:hAnsi="宋体" w:cs="仿宋_GB2312"/>
          <w:color w:val="auto"/>
          <w:sz w:val="21"/>
          <w:szCs w:val="21"/>
          <w:highlight w:val="none"/>
        </w:rPr>
        <w:t>，然后再参加</w:t>
      </w:r>
      <w:r>
        <w:rPr>
          <w:rFonts w:hint="eastAsia" w:ascii="宋体" w:hAnsi="宋体" w:cs="仿宋_GB2312"/>
          <w:color w:val="auto"/>
          <w:sz w:val="21"/>
          <w:szCs w:val="21"/>
          <w:highlight w:val="none"/>
          <w:lang w:eastAsia="zh-CN"/>
        </w:rPr>
        <w:t>投标</w:t>
      </w:r>
      <w:r>
        <w:rPr>
          <w:rFonts w:hint="eastAsia" w:ascii="宋体" w:hAnsi="宋体" w:cs="仿宋_GB2312"/>
          <w:color w:val="auto"/>
          <w:sz w:val="21"/>
          <w:szCs w:val="21"/>
          <w:highlight w:val="none"/>
        </w:rPr>
        <w:t>；</w:t>
      </w:r>
    </w:p>
    <w:p w14:paraId="528B9589">
      <w:pPr>
        <w:spacing w:line="360" w:lineRule="auto"/>
        <w:ind w:firstLine="420" w:firstLineChars="200"/>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6.供应商之间商定部分供应商放弃参加政府采购活动或者放弃</w:t>
      </w:r>
      <w:r>
        <w:rPr>
          <w:rFonts w:hint="eastAsia" w:ascii="宋体" w:hAnsi="宋体" w:cs="仿宋_GB2312"/>
          <w:color w:val="auto"/>
          <w:sz w:val="21"/>
          <w:szCs w:val="21"/>
          <w:highlight w:val="none"/>
          <w:lang w:eastAsia="zh-CN"/>
        </w:rPr>
        <w:t>中标</w:t>
      </w:r>
      <w:r>
        <w:rPr>
          <w:rFonts w:hint="eastAsia" w:ascii="宋体" w:hAnsi="宋体" w:cs="仿宋_GB2312"/>
          <w:color w:val="auto"/>
          <w:sz w:val="21"/>
          <w:szCs w:val="21"/>
          <w:highlight w:val="none"/>
        </w:rPr>
        <w:t>；</w:t>
      </w:r>
    </w:p>
    <w:p w14:paraId="01F6CC45">
      <w:pPr>
        <w:spacing w:line="360" w:lineRule="auto"/>
        <w:ind w:firstLine="420" w:firstLineChars="200"/>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7.供应商与采购人或者采购代理机构之间、供应商相互之间，为</w:t>
      </w:r>
      <w:r>
        <w:rPr>
          <w:rFonts w:hint="eastAsia" w:ascii="宋体" w:hAnsi="宋体" w:cs="仿宋_GB2312"/>
          <w:color w:val="auto"/>
          <w:spacing w:val="-6"/>
          <w:sz w:val="21"/>
          <w:szCs w:val="21"/>
          <w:highlight w:val="none"/>
        </w:rPr>
        <w:t>谋求特定供应商</w:t>
      </w:r>
      <w:r>
        <w:rPr>
          <w:rFonts w:hint="eastAsia" w:ascii="宋体" w:hAnsi="宋体" w:cs="仿宋_GB2312"/>
          <w:color w:val="auto"/>
          <w:spacing w:val="-6"/>
          <w:sz w:val="21"/>
          <w:szCs w:val="21"/>
          <w:highlight w:val="none"/>
          <w:lang w:val="en-US" w:eastAsia="zh-CN"/>
        </w:rPr>
        <w:t>中标</w:t>
      </w:r>
      <w:r>
        <w:rPr>
          <w:rFonts w:hint="eastAsia" w:ascii="宋体" w:hAnsi="宋体" w:cs="仿宋_GB2312"/>
          <w:color w:val="auto"/>
          <w:spacing w:val="-6"/>
          <w:sz w:val="21"/>
          <w:szCs w:val="21"/>
          <w:highlight w:val="none"/>
        </w:rPr>
        <w:t>或者排斥其他供应商的其他串通行为。</w:t>
      </w:r>
    </w:p>
    <w:p w14:paraId="025E50DC">
      <w:pPr>
        <w:spacing w:line="360" w:lineRule="auto"/>
        <w:ind w:firstLine="422" w:firstLineChars="200"/>
        <w:contextualSpacing/>
        <w:rPr>
          <w:rFonts w:hint="eastAsia" w:ascii="宋体" w:hAnsi="宋体" w:eastAsia="宋体" w:cs="宋体"/>
          <w:b/>
          <w:color w:val="auto"/>
          <w:sz w:val="32"/>
          <w:szCs w:val="32"/>
          <w:highlight w:val="none"/>
        </w:rPr>
      </w:pPr>
      <w:r>
        <w:rPr>
          <w:rFonts w:hint="eastAsia" w:ascii="宋体" w:hAnsi="宋体" w:cs="仿宋_GB2312"/>
          <w:b/>
          <w:bCs/>
          <w:color w:val="auto"/>
          <w:sz w:val="21"/>
          <w:szCs w:val="21"/>
          <w:highlight w:val="none"/>
        </w:rPr>
        <w:t>以上情形一经核查属实，我方愿意承担一切后果，并不再寻求任何旨在减轻或者免除法律责任的辩解。</w:t>
      </w:r>
    </w:p>
    <w:p w14:paraId="553FB087">
      <w:pPr>
        <w:snapToGrid w:val="0"/>
        <w:spacing w:beforeLines="50" w:after="50"/>
        <w:ind w:firstLine="1575" w:firstLineChars="750"/>
        <w:rPr>
          <w:rFonts w:hint="eastAsia" w:ascii="宋体" w:hAnsi="宋体" w:eastAsia="宋体" w:cs="宋体"/>
          <w:bCs/>
          <w:color w:val="auto"/>
          <w:sz w:val="21"/>
          <w:szCs w:val="21"/>
          <w:highlight w:val="none"/>
        </w:rPr>
      </w:pPr>
    </w:p>
    <w:p w14:paraId="69F706D2">
      <w:pPr>
        <w:snapToGrid w:val="0"/>
        <w:spacing w:beforeLines="50" w:after="50"/>
        <w:ind w:firstLine="1575" w:firstLineChars="750"/>
        <w:rPr>
          <w:rFonts w:hint="eastAsia" w:ascii="宋体" w:hAnsi="宋体" w:eastAsia="宋体" w:cs="宋体"/>
          <w:bCs/>
          <w:color w:val="auto"/>
          <w:sz w:val="21"/>
          <w:szCs w:val="21"/>
          <w:highlight w:val="none"/>
        </w:rPr>
      </w:pPr>
    </w:p>
    <w:p w14:paraId="63C36846">
      <w:pPr>
        <w:snapToGrid w:val="0"/>
        <w:spacing w:beforeLines="50" w:after="50"/>
        <w:ind w:firstLine="1575" w:firstLineChars="75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供应商</w:t>
      </w:r>
      <w:r>
        <w:rPr>
          <w:rFonts w:hint="eastAsia" w:ascii="宋体" w:hAnsi="宋体" w:eastAsia="宋体" w:cs="宋体"/>
          <w:bCs/>
          <w:color w:val="auto"/>
          <w:szCs w:val="21"/>
          <w:highlight w:val="none"/>
        </w:rPr>
        <w:t>[公章(CA签章)]</w:t>
      </w:r>
      <w:r>
        <w:rPr>
          <w:rFonts w:hint="eastAsia" w:ascii="宋体" w:hAnsi="宋体" w:eastAsia="宋体" w:cs="宋体"/>
          <w:bCs/>
          <w:color w:val="auto"/>
          <w:sz w:val="21"/>
          <w:szCs w:val="21"/>
          <w:highlight w:val="none"/>
        </w:rPr>
        <w:t xml:space="preserve">：                              </w:t>
      </w:r>
    </w:p>
    <w:p w14:paraId="5F3EF656">
      <w:pPr>
        <w:snapToGrid w:val="0"/>
        <w:spacing w:beforeLines="50" w:after="50"/>
        <w:ind w:firstLine="1575" w:firstLineChars="75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法定代表人、负责人或相应的委托代理人签字[或盖章(CA签章)]：</w:t>
      </w:r>
    </w:p>
    <w:p w14:paraId="7299B2E4">
      <w:pPr>
        <w:pStyle w:val="21"/>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440" w:lineRule="exact"/>
        <w:ind w:left="0" w:leftChars="0" w:firstLine="1470" w:firstLineChars="7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val="0"/>
          <w:bCs/>
          <w:color w:val="auto"/>
          <w:sz w:val="21"/>
          <w:szCs w:val="21"/>
          <w:highlight w:val="none"/>
        </w:rPr>
        <w:t>日          期：</w:t>
      </w:r>
    </w:p>
    <w:p w14:paraId="40FAAF32">
      <w:pPr>
        <w:pStyle w:val="21"/>
        <w:ind w:left="0" w:leftChars="0" w:firstLine="0" w:firstLineChars="0"/>
        <w:rPr>
          <w:rFonts w:hint="default" w:ascii="宋体" w:hAnsi="宋体" w:cs="宋体"/>
          <w:b/>
          <w:color w:val="auto"/>
          <w:kern w:val="2"/>
          <w:sz w:val="28"/>
          <w:szCs w:val="28"/>
          <w:highlight w:val="none"/>
          <w:lang w:val="en-US" w:eastAsia="zh-CN" w:bidi="ar-SA"/>
        </w:rPr>
      </w:pPr>
    </w:p>
    <w:p w14:paraId="0DDB8EA6">
      <w:pPr>
        <w:pStyle w:val="21"/>
        <w:ind w:left="0" w:leftChars="0" w:firstLine="0" w:firstLineChars="0"/>
        <w:rPr>
          <w:rFonts w:hint="eastAsia" w:ascii="宋体" w:hAnsi="宋体" w:cs="宋体"/>
          <w:b/>
          <w:color w:val="auto"/>
          <w:kern w:val="2"/>
          <w:sz w:val="28"/>
          <w:szCs w:val="28"/>
          <w:highlight w:val="none"/>
          <w:lang w:val="en-US" w:eastAsia="zh-CN" w:bidi="ar-SA"/>
        </w:rPr>
      </w:pPr>
    </w:p>
    <w:p w14:paraId="0B9ADFE8">
      <w:pPr>
        <w:pStyle w:val="21"/>
        <w:ind w:left="0" w:leftChars="0" w:firstLine="0" w:firstLineChars="0"/>
        <w:rPr>
          <w:rFonts w:hint="eastAsia" w:ascii="宋体" w:hAnsi="宋体" w:cs="宋体"/>
          <w:b/>
          <w:color w:val="auto"/>
          <w:kern w:val="2"/>
          <w:sz w:val="28"/>
          <w:szCs w:val="28"/>
          <w:highlight w:val="none"/>
          <w:lang w:val="en-US" w:eastAsia="zh-CN" w:bidi="ar-SA"/>
        </w:rPr>
      </w:pPr>
    </w:p>
    <w:p w14:paraId="5C3E4EFC">
      <w:pPr>
        <w:pStyle w:val="21"/>
        <w:ind w:left="0" w:leftChars="0" w:firstLine="0" w:firstLineChars="0"/>
        <w:rPr>
          <w:rFonts w:hint="eastAsia" w:ascii="宋体" w:hAnsi="宋体" w:cs="宋体"/>
          <w:b/>
          <w:color w:val="auto"/>
          <w:kern w:val="2"/>
          <w:sz w:val="28"/>
          <w:szCs w:val="28"/>
          <w:highlight w:val="none"/>
          <w:lang w:val="en-US" w:eastAsia="zh-CN" w:bidi="ar-SA"/>
        </w:rPr>
      </w:pPr>
      <w:r>
        <w:rPr>
          <w:rFonts w:hint="eastAsia" w:ascii="宋体" w:hAnsi="宋体" w:cs="宋体"/>
          <w:b/>
          <w:color w:val="auto"/>
          <w:kern w:val="2"/>
          <w:sz w:val="28"/>
          <w:szCs w:val="28"/>
          <w:highlight w:val="none"/>
          <w:lang w:val="en-US" w:eastAsia="zh-CN" w:bidi="ar-SA"/>
        </w:rPr>
        <w:t>10、中小微企业或监</w:t>
      </w:r>
      <w:r>
        <w:rPr>
          <w:rFonts w:hint="eastAsia" w:ascii="宋体" w:hAnsi="宋体" w:eastAsia="宋体" w:cs="宋体"/>
          <w:b/>
          <w:color w:val="auto"/>
          <w:kern w:val="2"/>
          <w:sz w:val="28"/>
          <w:szCs w:val="28"/>
          <w:highlight w:val="none"/>
          <w:lang w:val="en-US" w:eastAsia="zh-CN" w:bidi="ar-SA"/>
        </w:rPr>
        <w:t>狱企业</w:t>
      </w:r>
      <w:r>
        <w:rPr>
          <w:rFonts w:hint="eastAsia" w:ascii="宋体" w:hAnsi="宋体" w:cs="宋体"/>
          <w:b/>
          <w:color w:val="auto"/>
          <w:kern w:val="2"/>
          <w:sz w:val="28"/>
          <w:szCs w:val="28"/>
          <w:highlight w:val="none"/>
          <w:lang w:val="en-US" w:eastAsia="zh-CN" w:bidi="ar-SA"/>
        </w:rPr>
        <w:t>或残疾人福利性单位的证明材料【如属于中小型、微型企业的，应当提供《中小企业声明函》，以提供中小企业声明函为准；如符合条件的残疾人福利性单位的，应当提供《残疾人福利性单位声明函》；如属于监狱企业的，应当提供由省级以上监狱管理局、戒毒管理局(含新疆生产建设兵团)出具的属于监狱企业的证明文件，采购人或者其委托的采购代理机构应当随成交结果同时公告企业《中小企业声明函》或《残疾人福利性单位声明函》或监狱企业的证明文件，接受社会监督】（如有，请提供）；</w:t>
      </w:r>
    </w:p>
    <w:p w14:paraId="3FF89B76">
      <w:pPr>
        <w:tabs>
          <w:tab w:val="left" w:pos="1305"/>
        </w:tabs>
        <w:spacing w:line="380" w:lineRule="exact"/>
        <w:ind w:firstLine="3373" w:firstLineChars="1200"/>
        <w:jc w:val="both"/>
        <w:rPr>
          <w:rFonts w:hint="eastAsia" w:ascii="宋体" w:hAnsi="宋体" w:eastAsia="宋体" w:cs="宋体"/>
          <w:b/>
          <w:bCs/>
          <w:color w:val="auto"/>
          <w:sz w:val="28"/>
          <w:szCs w:val="28"/>
          <w:highlight w:val="none"/>
        </w:rPr>
      </w:pPr>
    </w:p>
    <w:p w14:paraId="5BC6C29B">
      <w:pPr>
        <w:tabs>
          <w:tab w:val="left" w:pos="1305"/>
        </w:tabs>
        <w:spacing w:line="380" w:lineRule="exact"/>
        <w:ind w:firstLine="3373" w:firstLineChars="1200"/>
        <w:jc w:val="both"/>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中小企业声明函格式</w:t>
      </w:r>
    </w:p>
    <w:p w14:paraId="7D1CEB28">
      <w:pPr>
        <w:tabs>
          <w:tab w:val="left" w:pos="1305"/>
        </w:tabs>
        <w:spacing w:line="380" w:lineRule="exact"/>
        <w:ind w:firstLine="422" w:firstLineChars="200"/>
        <w:rPr>
          <w:rFonts w:hint="eastAsia" w:ascii="宋体" w:hAnsi="宋体" w:eastAsia="宋体" w:cs="宋体"/>
          <w:b/>
          <w:bCs/>
          <w:color w:val="auto"/>
          <w:szCs w:val="20"/>
          <w:highlight w:val="none"/>
        </w:rPr>
      </w:pPr>
    </w:p>
    <w:p w14:paraId="2F98262B">
      <w:pPr>
        <w:tabs>
          <w:tab w:val="left" w:pos="1305"/>
        </w:tabs>
        <w:spacing w:line="38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本公司郑重声明，根据《政府采购促进中小企业发展管理办法》（财库﹝2020﹞46 号）的规定，本公司参加</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eastAsia="zh-CN"/>
        </w:rPr>
        <w:t>（单位名称）</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eastAsia="zh-CN"/>
        </w:rPr>
        <w:t>的</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eastAsia="zh-CN"/>
        </w:rPr>
        <w:t>项目名称）</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eastAsia="zh-CN"/>
        </w:rPr>
        <w:t>采购活动，</w:t>
      </w:r>
      <w:r>
        <w:rPr>
          <w:rFonts w:hint="eastAsia" w:ascii="宋体" w:hAnsi="宋体" w:eastAsia="宋体" w:cs="宋体"/>
          <w:color w:val="auto"/>
          <w:sz w:val="21"/>
          <w:szCs w:val="21"/>
          <w:highlight w:val="none"/>
          <w:lang w:val="en-US" w:eastAsia="zh-CN"/>
        </w:rPr>
        <w:t>为符合政策要求的中小企业</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相关</w:t>
      </w:r>
      <w:r>
        <w:rPr>
          <w:rFonts w:hint="eastAsia" w:ascii="宋体" w:hAnsi="宋体" w:eastAsia="宋体" w:cs="宋体"/>
          <w:color w:val="auto"/>
          <w:sz w:val="21"/>
          <w:szCs w:val="21"/>
          <w:highlight w:val="none"/>
          <w:lang w:eastAsia="zh-CN"/>
        </w:rPr>
        <w:t>企业的具体情况如下：</w:t>
      </w:r>
    </w:p>
    <w:p w14:paraId="72D854FB">
      <w:pPr>
        <w:tabs>
          <w:tab w:val="left" w:pos="1305"/>
        </w:tabs>
        <w:spacing w:line="38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u w:val="single"/>
          <w:lang w:eastAsia="zh-CN"/>
        </w:rPr>
        <w:t>（标的名称）</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eastAsia="zh-CN"/>
        </w:rPr>
        <w:t>，属于</w:t>
      </w:r>
      <w:r>
        <w:rPr>
          <w:rFonts w:hint="eastAsia" w:ascii="宋体" w:hAnsi="宋体" w:cs="宋体"/>
          <w:b/>
          <w:bCs/>
          <w:color w:val="auto"/>
          <w:sz w:val="21"/>
          <w:szCs w:val="21"/>
          <w:highlight w:val="none"/>
          <w:u w:val="single"/>
          <w:lang w:val="en-US" w:eastAsia="zh-CN"/>
        </w:rPr>
        <w:t xml:space="preserve">  其他未列明</w:t>
      </w:r>
      <w:r>
        <w:rPr>
          <w:rFonts w:hint="eastAsia" w:ascii="宋体" w:hAnsi="宋体" w:cs="宋体"/>
          <w:color w:val="auto"/>
          <w:sz w:val="21"/>
          <w:szCs w:val="21"/>
          <w:highlight w:val="none"/>
          <w:u w:val="single"/>
        </w:rPr>
        <w:t xml:space="preserve"> </w:t>
      </w:r>
      <w:r>
        <w:rPr>
          <w:rFonts w:hint="eastAsia" w:ascii="宋体" w:hAnsi="宋体" w:cs="宋体"/>
          <w:b/>
          <w:bCs/>
          <w:color w:val="auto"/>
          <w:sz w:val="21"/>
          <w:szCs w:val="21"/>
          <w:highlight w:val="none"/>
          <w:u w:val="single"/>
          <w:lang w:val="en-US" w:eastAsia="zh-CN"/>
        </w:rPr>
        <w:t xml:space="preserve"> </w:t>
      </w:r>
      <w:r>
        <w:rPr>
          <w:rFonts w:hint="eastAsia" w:ascii="宋体" w:hAnsi="宋体" w:cs="宋体"/>
          <w:b w:val="0"/>
          <w:bCs w:val="0"/>
          <w:color w:val="auto"/>
          <w:sz w:val="21"/>
          <w:szCs w:val="21"/>
          <w:highlight w:val="none"/>
          <w:u w:val="none"/>
          <w:lang w:val="en-US" w:eastAsia="zh-CN"/>
        </w:rPr>
        <w:t>行业</w:t>
      </w:r>
      <w:r>
        <w:rPr>
          <w:rFonts w:hint="eastAsia" w:ascii="宋体" w:hAnsi="宋体" w:eastAsia="宋体" w:cs="宋体"/>
          <w:color w:val="auto"/>
          <w:sz w:val="21"/>
          <w:szCs w:val="21"/>
          <w:highlight w:val="none"/>
          <w:lang w:eastAsia="zh-CN"/>
        </w:rPr>
        <w:t>；承建（承接）企业为</w:t>
      </w:r>
      <w:r>
        <w:rPr>
          <w:rFonts w:hint="eastAsia" w:ascii="宋体" w:hAnsi="宋体" w:eastAsia="宋体" w:cs="宋体"/>
          <w:color w:val="auto"/>
          <w:sz w:val="21"/>
          <w:szCs w:val="21"/>
          <w:highlight w:val="none"/>
          <w:u w:val="single"/>
          <w:lang w:eastAsia="zh-CN"/>
        </w:rPr>
        <w:t>（企业名称）</w:t>
      </w:r>
      <w:r>
        <w:rPr>
          <w:rFonts w:hint="eastAsia" w:ascii="宋体" w:hAnsi="宋体" w:eastAsia="宋体" w:cs="宋体"/>
          <w:color w:val="auto"/>
          <w:sz w:val="21"/>
          <w:szCs w:val="21"/>
          <w:highlight w:val="none"/>
          <w:lang w:eastAsia="zh-CN"/>
        </w:rPr>
        <w:t>，从业人员</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lang w:eastAsia="zh-CN"/>
        </w:rPr>
        <w:t>人，营业收入为</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lang w:eastAsia="zh-CN"/>
        </w:rPr>
        <w:t>万元，资产总额为</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lang w:eastAsia="zh-CN"/>
        </w:rPr>
        <w:t>万元，属于</w:t>
      </w:r>
      <w:r>
        <w:rPr>
          <w:rFonts w:hint="eastAsia" w:ascii="宋体" w:hAnsi="宋体" w:eastAsia="宋体" w:cs="宋体"/>
          <w:color w:val="auto"/>
          <w:sz w:val="21"/>
          <w:szCs w:val="21"/>
          <w:highlight w:val="none"/>
          <w:u w:val="single"/>
          <w:lang w:eastAsia="zh-CN"/>
        </w:rPr>
        <w:t>（中型企业</w:t>
      </w:r>
      <w:r>
        <w:rPr>
          <w:rFonts w:hint="eastAsia" w:ascii="宋体" w:hAnsi="宋体" w:cs="宋体"/>
          <w:color w:val="auto"/>
          <w:sz w:val="21"/>
          <w:szCs w:val="21"/>
          <w:highlight w:val="none"/>
          <w:u w:val="single"/>
          <w:lang w:eastAsia="zh-CN"/>
        </w:rPr>
        <w:t>或</w:t>
      </w:r>
      <w:r>
        <w:rPr>
          <w:rFonts w:hint="eastAsia" w:ascii="宋体" w:hAnsi="宋体" w:eastAsia="宋体" w:cs="宋体"/>
          <w:color w:val="auto"/>
          <w:sz w:val="21"/>
          <w:szCs w:val="21"/>
          <w:highlight w:val="none"/>
          <w:u w:val="single"/>
          <w:lang w:eastAsia="zh-CN"/>
        </w:rPr>
        <w:t>小型企业</w:t>
      </w:r>
      <w:r>
        <w:rPr>
          <w:rFonts w:hint="eastAsia" w:ascii="宋体" w:hAnsi="宋体" w:cs="宋体"/>
          <w:color w:val="auto"/>
          <w:sz w:val="21"/>
          <w:szCs w:val="21"/>
          <w:highlight w:val="none"/>
          <w:u w:val="single"/>
          <w:lang w:eastAsia="zh-CN"/>
        </w:rPr>
        <w:t>或</w:t>
      </w:r>
      <w:r>
        <w:rPr>
          <w:rFonts w:hint="eastAsia" w:ascii="宋体" w:hAnsi="宋体" w:eastAsia="宋体" w:cs="宋体"/>
          <w:color w:val="auto"/>
          <w:sz w:val="21"/>
          <w:szCs w:val="21"/>
          <w:highlight w:val="none"/>
          <w:u w:val="single"/>
          <w:lang w:eastAsia="zh-CN"/>
        </w:rPr>
        <w:t>微型企业）</w:t>
      </w:r>
      <w:r>
        <w:rPr>
          <w:rFonts w:hint="eastAsia" w:ascii="宋体" w:hAnsi="宋体" w:eastAsia="宋体" w:cs="宋体"/>
          <w:color w:val="auto"/>
          <w:sz w:val="21"/>
          <w:szCs w:val="21"/>
          <w:highlight w:val="none"/>
          <w:lang w:eastAsia="zh-CN"/>
        </w:rPr>
        <w:t>；</w:t>
      </w:r>
    </w:p>
    <w:p w14:paraId="1768773F">
      <w:pPr>
        <w:pStyle w:val="10"/>
        <w:ind w:firstLine="420" w:firstLineChars="200"/>
        <w:jc w:val="both"/>
        <w:rPr>
          <w:rFonts w:hint="eastAsia"/>
          <w:color w:val="auto"/>
          <w:sz w:val="21"/>
          <w:szCs w:val="21"/>
          <w:highlight w:val="none"/>
          <w:lang w:eastAsia="zh-CN"/>
        </w:rPr>
      </w:pPr>
    </w:p>
    <w:p w14:paraId="7788A62C">
      <w:pPr>
        <w:pStyle w:val="10"/>
        <w:ind w:firstLine="420" w:firstLineChars="200"/>
        <w:jc w:val="both"/>
        <w:rPr>
          <w:rFonts w:hint="eastAsia"/>
          <w:color w:val="auto"/>
          <w:sz w:val="21"/>
          <w:szCs w:val="21"/>
          <w:highlight w:val="none"/>
          <w:lang w:eastAsia="zh-CN"/>
        </w:rPr>
      </w:pPr>
      <w:r>
        <w:rPr>
          <w:rFonts w:hint="eastAsia"/>
          <w:color w:val="auto"/>
          <w:sz w:val="21"/>
          <w:szCs w:val="21"/>
          <w:highlight w:val="none"/>
          <w:lang w:eastAsia="zh-CN"/>
        </w:rPr>
        <w:t>……</w:t>
      </w:r>
    </w:p>
    <w:p w14:paraId="0AB4766A">
      <w:pPr>
        <w:tabs>
          <w:tab w:val="left" w:pos="1305"/>
        </w:tabs>
        <w:spacing w:line="38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以上企业，不属于大企业的分支机构，不存在控股股东为大企业的情形，也不存在与大企业的负责人为同一人的情形。</w:t>
      </w:r>
    </w:p>
    <w:p w14:paraId="6852BEC7">
      <w:pPr>
        <w:pStyle w:val="10"/>
        <w:rPr>
          <w:rFonts w:hint="eastAsia"/>
          <w:color w:val="auto"/>
          <w:sz w:val="21"/>
          <w:szCs w:val="21"/>
          <w:highlight w:val="none"/>
          <w:lang w:eastAsia="zh-CN"/>
        </w:rPr>
      </w:pPr>
    </w:p>
    <w:p w14:paraId="222E5AD4">
      <w:pPr>
        <w:tabs>
          <w:tab w:val="left" w:pos="1305"/>
        </w:tabs>
        <w:spacing w:line="38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本企业对上述声明内容的真实性负责。如有虚假，将依法承担相应责任。</w:t>
      </w:r>
    </w:p>
    <w:p w14:paraId="2DA0D698">
      <w:pPr>
        <w:pStyle w:val="10"/>
        <w:rPr>
          <w:rFonts w:hint="eastAsia"/>
          <w:color w:val="auto"/>
          <w:sz w:val="21"/>
          <w:szCs w:val="21"/>
          <w:highlight w:val="none"/>
          <w:lang w:eastAsia="zh-CN"/>
        </w:rPr>
      </w:pPr>
    </w:p>
    <w:p w14:paraId="4C52E6E1">
      <w:pPr>
        <w:snapToGrid w:val="0"/>
        <w:spacing w:before="50" w:line="400" w:lineRule="exact"/>
        <w:ind w:firstLine="4620" w:firstLineChars="2200"/>
        <w:jc w:val="left"/>
        <w:rPr>
          <w:rFonts w:ascii="宋体" w:hAnsi="宋体" w:cs="宋体"/>
          <w:color w:val="auto"/>
          <w:sz w:val="21"/>
          <w:szCs w:val="21"/>
          <w:highlight w:val="none"/>
        </w:rPr>
      </w:pPr>
      <w:r>
        <w:rPr>
          <w:rFonts w:hint="eastAsia" w:ascii="宋体" w:hAnsi="宋体" w:cs="宋体"/>
          <w:color w:val="auto"/>
          <w:sz w:val="21"/>
          <w:szCs w:val="21"/>
          <w:highlight w:val="none"/>
        </w:rPr>
        <w:t xml:space="preserve">企业名称[公章(CA签章)]： </w:t>
      </w:r>
    </w:p>
    <w:p w14:paraId="3697C174">
      <w:pPr>
        <w:snapToGrid w:val="0"/>
        <w:spacing w:before="50" w:line="400" w:lineRule="exact"/>
        <w:ind w:firstLine="4620" w:firstLineChars="2200"/>
        <w:jc w:val="left"/>
        <w:rPr>
          <w:rFonts w:ascii="宋体" w:hAnsi="宋体" w:cs="宋体"/>
          <w:color w:val="auto"/>
          <w:sz w:val="21"/>
          <w:szCs w:val="21"/>
          <w:highlight w:val="none"/>
        </w:rPr>
      </w:pPr>
      <w:r>
        <w:rPr>
          <w:rFonts w:hint="eastAsia" w:ascii="宋体" w:hAnsi="宋体" w:cs="宋体"/>
          <w:color w:val="auto"/>
          <w:sz w:val="21"/>
          <w:szCs w:val="21"/>
          <w:highlight w:val="none"/>
        </w:rPr>
        <w:t xml:space="preserve">日 期： </w:t>
      </w:r>
    </w:p>
    <w:p w14:paraId="1C0D7922">
      <w:pPr>
        <w:pStyle w:val="21"/>
        <w:pBdr>
          <w:top w:val="none" w:color="auto" w:sz="0" w:space="0"/>
          <w:left w:val="none" w:color="auto" w:sz="0" w:space="0"/>
          <w:bottom w:val="none" w:color="auto" w:sz="0" w:space="0"/>
          <w:right w:val="none" w:color="auto" w:sz="0" w:space="0"/>
        </w:pBdr>
        <w:ind w:left="0" w:leftChars="0" w:firstLine="0" w:firstLineChars="0"/>
        <w:rPr>
          <w:rFonts w:ascii="宋体" w:hAnsi="宋体" w:cs="宋体"/>
          <w:b/>
          <w:color w:val="auto"/>
          <w:sz w:val="28"/>
          <w:szCs w:val="28"/>
          <w:highlight w:val="none"/>
        </w:rPr>
      </w:pPr>
    </w:p>
    <w:p w14:paraId="5A6B462F">
      <w:pPr>
        <w:pStyle w:val="21"/>
        <w:pBdr>
          <w:top w:val="none" w:color="auto" w:sz="0" w:space="0"/>
          <w:left w:val="none" w:color="auto" w:sz="0" w:space="0"/>
          <w:bottom w:val="none" w:color="auto" w:sz="0" w:space="0"/>
          <w:right w:val="none" w:color="auto" w:sz="0" w:space="0"/>
        </w:pBdr>
        <w:ind w:left="0" w:leftChars="0" w:firstLine="0" w:firstLineChars="0"/>
        <w:rPr>
          <w:rFonts w:ascii="宋体" w:hAnsi="宋体" w:cs="宋体"/>
          <w:b/>
          <w:color w:val="auto"/>
          <w:sz w:val="28"/>
          <w:szCs w:val="28"/>
          <w:highlight w:val="none"/>
        </w:rPr>
      </w:pPr>
    </w:p>
    <w:p w14:paraId="70E4089A">
      <w:pPr>
        <w:tabs>
          <w:tab w:val="left" w:pos="1305"/>
        </w:tabs>
        <w:spacing w:line="380" w:lineRule="exact"/>
        <w:rPr>
          <w:rFonts w:ascii="宋体" w:hAnsi="宋体" w:cs="宋体"/>
          <w:b/>
          <w:bCs/>
          <w:color w:val="auto"/>
          <w:sz w:val="32"/>
          <w:szCs w:val="32"/>
          <w:highlight w:val="none"/>
        </w:rPr>
      </w:pPr>
      <w:r>
        <w:rPr>
          <w:rFonts w:hint="eastAsia"/>
          <w:color w:val="auto"/>
          <w:highlight w:val="none"/>
        </w:rPr>
        <w:t>1. 从业人员、营业收入、资产总额填报上一年度数据，无上一年度数据的新成立企业可不填报上一年度的数据，但须填报所属企业类型（中型企业或小型企业或微型企业），否则投标无效。</w:t>
      </w:r>
    </w:p>
    <w:p w14:paraId="55608090">
      <w:pPr>
        <w:pStyle w:val="21"/>
        <w:ind w:left="0" w:leftChars="0" w:firstLine="0" w:firstLineChars="0"/>
        <w:rPr>
          <w:rFonts w:hint="eastAsia" w:ascii="宋体" w:hAnsi="宋体" w:cs="宋体"/>
          <w:b/>
          <w:bCs/>
          <w:color w:val="auto"/>
          <w:kern w:val="0"/>
          <w:sz w:val="30"/>
          <w:szCs w:val="30"/>
          <w:highlight w:val="none"/>
        </w:rPr>
      </w:pPr>
      <w:r>
        <w:rPr>
          <w:rFonts w:hint="eastAsia" w:ascii="Times New Roman" w:hAnsi="Times New Roman"/>
          <w:color w:val="auto"/>
          <w:szCs w:val="21"/>
          <w:highlight w:val="none"/>
        </w:rPr>
        <w:t>2.</w:t>
      </w:r>
      <w:r>
        <w:rPr>
          <w:rFonts w:hint="eastAsia" w:hAnsi="宋体" w:cs="宋体"/>
          <w:b/>
          <w:bCs/>
          <w:color w:val="auto"/>
          <w:szCs w:val="21"/>
          <w:highlight w:val="none"/>
        </w:rPr>
        <w:t>本项目所属行业参照《统计上大中小微型企业划分标准表》，属于“其他未列明行</w:t>
      </w:r>
      <w:r>
        <w:rPr>
          <w:rFonts w:hint="eastAsia" w:hAnsi="宋体" w:cs="宋体"/>
          <w:b/>
          <w:bCs/>
          <w:color w:val="auto"/>
          <w:szCs w:val="21"/>
          <w:highlight w:val="none"/>
          <w:lang w:val="en-US" w:eastAsia="zh-CN"/>
        </w:rPr>
        <w:t>业</w:t>
      </w:r>
      <w:r>
        <w:rPr>
          <w:rFonts w:hint="eastAsia" w:hAnsi="宋体" w:cs="宋体"/>
          <w:b/>
          <w:bCs/>
          <w:color w:val="auto"/>
          <w:szCs w:val="21"/>
          <w:highlight w:val="none"/>
        </w:rPr>
        <w:t>”。</w:t>
      </w:r>
    </w:p>
    <w:p w14:paraId="7509A05C">
      <w:pPr>
        <w:rPr>
          <w:rFonts w:hint="eastAsia"/>
          <w:color w:val="auto"/>
          <w:highlight w:val="none"/>
        </w:rPr>
      </w:pPr>
    </w:p>
    <w:p w14:paraId="5F25A823">
      <w:pPr>
        <w:jc w:val="center"/>
        <w:rPr>
          <w:rFonts w:hint="eastAsia" w:ascii="宋体" w:hAnsi="宋体" w:cs="宋体"/>
          <w:b/>
          <w:bCs/>
          <w:color w:val="auto"/>
          <w:kern w:val="0"/>
          <w:sz w:val="30"/>
          <w:szCs w:val="30"/>
          <w:highlight w:val="none"/>
        </w:rPr>
      </w:pPr>
      <w:r>
        <w:rPr>
          <w:rFonts w:hint="eastAsia" w:ascii="宋体" w:hAnsi="宋体" w:cs="宋体"/>
          <w:b/>
          <w:bCs/>
          <w:color w:val="auto"/>
          <w:kern w:val="0"/>
          <w:sz w:val="30"/>
          <w:szCs w:val="30"/>
          <w:highlight w:val="none"/>
        </w:rPr>
        <w:t>统计上大中小微型企业划分标准</w:t>
      </w:r>
    </w:p>
    <w:tbl>
      <w:tblPr>
        <w:tblStyle w:val="25"/>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193C2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2113" w:type="dxa"/>
            <w:shd w:val="clear" w:color="auto" w:fill="FFFFFF"/>
            <w:vAlign w:val="center"/>
          </w:tcPr>
          <w:p w14:paraId="18312451">
            <w:pPr>
              <w:widowControl/>
              <w:spacing w:line="240" w:lineRule="exact"/>
              <w:jc w:val="center"/>
              <w:rPr>
                <w:b/>
                <w:bCs/>
                <w:color w:val="auto"/>
                <w:kern w:val="0"/>
                <w:sz w:val="18"/>
                <w:szCs w:val="21"/>
                <w:highlight w:val="none"/>
              </w:rPr>
            </w:pPr>
            <w:r>
              <w:rPr>
                <w:b/>
                <w:bCs/>
                <w:color w:val="auto"/>
                <w:kern w:val="0"/>
                <w:sz w:val="18"/>
                <w:szCs w:val="21"/>
                <w:highlight w:val="none"/>
              </w:rPr>
              <w:t>行业名称</w:t>
            </w:r>
          </w:p>
        </w:tc>
        <w:tc>
          <w:tcPr>
            <w:tcW w:w="1369" w:type="dxa"/>
            <w:shd w:val="clear" w:color="auto" w:fill="FFFFFF"/>
            <w:vAlign w:val="center"/>
          </w:tcPr>
          <w:p w14:paraId="2B6EA91F">
            <w:pPr>
              <w:widowControl/>
              <w:jc w:val="center"/>
              <w:rPr>
                <w:b/>
                <w:bCs/>
                <w:color w:val="auto"/>
                <w:kern w:val="0"/>
                <w:sz w:val="18"/>
                <w:szCs w:val="18"/>
                <w:highlight w:val="none"/>
              </w:rPr>
            </w:pPr>
            <w:r>
              <w:rPr>
                <w:b/>
                <w:bCs/>
                <w:color w:val="auto"/>
                <w:kern w:val="0"/>
                <w:sz w:val="18"/>
                <w:szCs w:val="18"/>
                <w:highlight w:val="none"/>
              </w:rPr>
              <w:t>指标名称</w:t>
            </w:r>
          </w:p>
        </w:tc>
        <w:tc>
          <w:tcPr>
            <w:tcW w:w="709" w:type="dxa"/>
            <w:shd w:val="clear" w:color="auto" w:fill="FFFFFF"/>
            <w:vAlign w:val="center"/>
          </w:tcPr>
          <w:p w14:paraId="3097E036">
            <w:pPr>
              <w:widowControl/>
              <w:jc w:val="center"/>
              <w:rPr>
                <w:b/>
                <w:bCs/>
                <w:color w:val="auto"/>
                <w:kern w:val="0"/>
                <w:sz w:val="18"/>
                <w:szCs w:val="18"/>
                <w:highlight w:val="none"/>
              </w:rPr>
            </w:pPr>
            <w:r>
              <w:rPr>
                <w:b/>
                <w:bCs/>
                <w:color w:val="auto"/>
                <w:kern w:val="0"/>
                <w:sz w:val="18"/>
                <w:szCs w:val="18"/>
                <w:highlight w:val="none"/>
              </w:rPr>
              <w:t>计量</w:t>
            </w:r>
            <w:r>
              <w:rPr>
                <w:b/>
                <w:bCs/>
                <w:color w:val="auto"/>
                <w:kern w:val="0"/>
                <w:sz w:val="18"/>
                <w:szCs w:val="18"/>
                <w:highlight w:val="none"/>
              </w:rPr>
              <w:br w:type="textWrapping"/>
            </w:r>
            <w:r>
              <w:rPr>
                <w:b/>
                <w:bCs/>
                <w:color w:val="auto"/>
                <w:kern w:val="0"/>
                <w:sz w:val="18"/>
                <w:szCs w:val="18"/>
                <w:highlight w:val="none"/>
              </w:rPr>
              <w:t>单位</w:t>
            </w:r>
          </w:p>
        </w:tc>
        <w:tc>
          <w:tcPr>
            <w:tcW w:w="1125" w:type="dxa"/>
            <w:shd w:val="clear" w:color="auto" w:fill="FFFFFF"/>
            <w:vAlign w:val="center"/>
          </w:tcPr>
          <w:p w14:paraId="5185A283">
            <w:pPr>
              <w:widowControl/>
              <w:jc w:val="center"/>
              <w:rPr>
                <w:b/>
                <w:bCs/>
                <w:color w:val="auto"/>
                <w:kern w:val="0"/>
                <w:sz w:val="18"/>
                <w:szCs w:val="18"/>
                <w:highlight w:val="none"/>
              </w:rPr>
            </w:pPr>
            <w:r>
              <w:rPr>
                <w:b/>
                <w:bCs/>
                <w:color w:val="auto"/>
                <w:kern w:val="0"/>
                <w:sz w:val="18"/>
                <w:szCs w:val="18"/>
                <w:highlight w:val="none"/>
              </w:rPr>
              <w:t>大型</w:t>
            </w:r>
          </w:p>
        </w:tc>
        <w:tc>
          <w:tcPr>
            <w:tcW w:w="1701" w:type="dxa"/>
            <w:shd w:val="clear" w:color="auto" w:fill="FFFFFF"/>
            <w:vAlign w:val="center"/>
          </w:tcPr>
          <w:p w14:paraId="621A4CA1">
            <w:pPr>
              <w:widowControl/>
              <w:jc w:val="center"/>
              <w:rPr>
                <w:b/>
                <w:bCs/>
                <w:color w:val="auto"/>
                <w:kern w:val="0"/>
                <w:sz w:val="18"/>
                <w:szCs w:val="18"/>
                <w:highlight w:val="none"/>
              </w:rPr>
            </w:pPr>
            <w:r>
              <w:rPr>
                <w:b/>
                <w:bCs/>
                <w:color w:val="auto"/>
                <w:kern w:val="0"/>
                <w:sz w:val="18"/>
                <w:szCs w:val="18"/>
                <w:highlight w:val="none"/>
              </w:rPr>
              <w:t>中型</w:t>
            </w:r>
          </w:p>
        </w:tc>
        <w:tc>
          <w:tcPr>
            <w:tcW w:w="1426" w:type="dxa"/>
            <w:shd w:val="clear" w:color="auto" w:fill="FFFFFF"/>
            <w:vAlign w:val="center"/>
          </w:tcPr>
          <w:p w14:paraId="700B53FF">
            <w:pPr>
              <w:widowControl/>
              <w:jc w:val="center"/>
              <w:rPr>
                <w:b/>
                <w:bCs/>
                <w:color w:val="auto"/>
                <w:kern w:val="0"/>
                <w:sz w:val="18"/>
                <w:szCs w:val="18"/>
                <w:highlight w:val="none"/>
              </w:rPr>
            </w:pPr>
            <w:r>
              <w:rPr>
                <w:b/>
                <w:bCs/>
                <w:color w:val="auto"/>
                <w:kern w:val="0"/>
                <w:sz w:val="18"/>
                <w:szCs w:val="18"/>
                <w:highlight w:val="none"/>
              </w:rPr>
              <w:t>小型</w:t>
            </w:r>
          </w:p>
        </w:tc>
        <w:tc>
          <w:tcPr>
            <w:tcW w:w="992" w:type="dxa"/>
            <w:shd w:val="clear" w:color="auto" w:fill="FFFFFF"/>
            <w:vAlign w:val="center"/>
          </w:tcPr>
          <w:p w14:paraId="13EB8FA8">
            <w:pPr>
              <w:widowControl/>
              <w:jc w:val="center"/>
              <w:rPr>
                <w:b/>
                <w:bCs/>
                <w:color w:val="auto"/>
                <w:kern w:val="0"/>
                <w:sz w:val="18"/>
                <w:szCs w:val="18"/>
                <w:highlight w:val="none"/>
              </w:rPr>
            </w:pPr>
            <w:r>
              <w:rPr>
                <w:b/>
                <w:bCs/>
                <w:color w:val="auto"/>
                <w:kern w:val="0"/>
                <w:sz w:val="18"/>
                <w:szCs w:val="18"/>
                <w:highlight w:val="none"/>
              </w:rPr>
              <w:t>微型</w:t>
            </w:r>
          </w:p>
        </w:tc>
      </w:tr>
      <w:tr w14:paraId="010F0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14:paraId="0F12BD69">
            <w:pPr>
              <w:widowControl/>
              <w:spacing w:line="240" w:lineRule="exact"/>
              <w:jc w:val="left"/>
              <w:rPr>
                <w:color w:val="auto"/>
                <w:kern w:val="0"/>
                <w:sz w:val="18"/>
                <w:szCs w:val="18"/>
                <w:highlight w:val="none"/>
              </w:rPr>
            </w:pPr>
            <w:r>
              <w:rPr>
                <w:color w:val="auto"/>
                <w:kern w:val="0"/>
                <w:sz w:val="18"/>
                <w:szCs w:val="18"/>
                <w:highlight w:val="none"/>
              </w:rPr>
              <w:t>农、林、牧、渔业</w:t>
            </w:r>
          </w:p>
        </w:tc>
        <w:tc>
          <w:tcPr>
            <w:tcW w:w="1369" w:type="dxa"/>
            <w:vAlign w:val="center"/>
          </w:tcPr>
          <w:p w14:paraId="30660C02">
            <w:pPr>
              <w:widowControl/>
              <w:jc w:val="center"/>
              <w:rPr>
                <w:color w:val="auto"/>
                <w:kern w:val="0"/>
                <w:sz w:val="18"/>
                <w:szCs w:val="18"/>
                <w:highlight w:val="none"/>
              </w:rPr>
            </w:pPr>
            <w:r>
              <w:rPr>
                <w:color w:val="auto"/>
                <w:kern w:val="0"/>
                <w:sz w:val="18"/>
                <w:szCs w:val="18"/>
                <w:highlight w:val="none"/>
              </w:rPr>
              <w:t>营业收入(Y)</w:t>
            </w:r>
          </w:p>
        </w:tc>
        <w:tc>
          <w:tcPr>
            <w:tcW w:w="709" w:type="dxa"/>
            <w:vAlign w:val="center"/>
          </w:tcPr>
          <w:p w14:paraId="0275A905">
            <w:pPr>
              <w:widowControl/>
              <w:jc w:val="center"/>
              <w:rPr>
                <w:color w:val="auto"/>
                <w:kern w:val="0"/>
                <w:sz w:val="18"/>
                <w:szCs w:val="18"/>
                <w:highlight w:val="none"/>
              </w:rPr>
            </w:pPr>
            <w:r>
              <w:rPr>
                <w:color w:val="auto"/>
                <w:kern w:val="0"/>
                <w:sz w:val="18"/>
                <w:szCs w:val="18"/>
                <w:highlight w:val="none"/>
              </w:rPr>
              <w:t>万元</w:t>
            </w:r>
          </w:p>
        </w:tc>
        <w:tc>
          <w:tcPr>
            <w:tcW w:w="1125" w:type="dxa"/>
            <w:vAlign w:val="center"/>
          </w:tcPr>
          <w:p w14:paraId="7106147F">
            <w:pPr>
              <w:widowControl/>
              <w:jc w:val="center"/>
              <w:rPr>
                <w:color w:val="auto"/>
                <w:kern w:val="0"/>
                <w:sz w:val="18"/>
                <w:szCs w:val="18"/>
                <w:highlight w:val="none"/>
              </w:rPr>
            </w:pPr>
            <w:r>
              <w:rPr>
                <w:color w:val="auto"/>
                <w:kern w:val="0"/>
                <w:sz w:val="18"/>
                <w:szCs w:val="18"/>
                <w:highlight w:val="none"/>
              </w:rPr>
              <w:t>Y≥20000</w:t>
            </w:r>
          </w:p>
        </w:tc>
        <w:tc>
          <w:tcPr>
            <w:tcW w:w="1701" w:type="dxa"/>
            <w:vAlign w:val="center"/>
          </w:tcPr>
          <w:p w14:paraId="1072330E">
            <w:pPr>
              <w:widowControl/>
              <w:jc w:val="center"/>
              <w:rPr>
                <w:color w:val="auto"/>
                <w:kern w:val="0"/>
                <w:sz w:val="18"/>
                <w:szCs w:val="18"/>
                <w:highlight w:val="none"/>
              </w:rPr>
            </w:pPr>
            <w:r>
              <w:rPr>
                <w:color w:val="auto"/>
                <w:kern w:val="0"/>
                <w:sz w:val="18"/>
                <w:szCs w:val="18"/>
                <w:highlight w:val="none"/>
              </w:rPr>
              <w:t>500≤Y＜20000</w:t>
            </w:r>
          </w:p>
        </w:tc>
        <w:tc>
          <w:tcPr>
            <w:tcW w:w="1426" w:type="dxa"/>
            <w:vAlign w:val="center"/>
          </w:tcPr>
          <w:p w14:paraId="1A4A91B5">
            <w:pPr>
              <w:widowControl/>
              <w:jc w:val="center"/>
              <w:rPr>
                <w:color w:val="auto"/>
                <w:kern w:val="0"/>
                <w:sz w:val="18"/>
                <w:szCs w:val="18"/>
                <w:highlight w:val="none"/>
              </w:rPr>
            </w:pPr>
            <w:r>
              <w:rPr>
                <w:color w:val="auto"/>
                <w:kern w:val="0"/>
                <w:sz w:val="18"/>
                <w:szCs w:val="18"/>
                <w:highlight w:val="none"/>
              </w:rPr>
              <w:t>50≤Y＜500</w:t>
            </w:r>
          </w:p>
        </w:tc>
        <w:tc>
          <w:tcPr>
            <w:tcW w:w="992" w:type="dxa"/>
            <w:vAlign w:val="center"/>
          </w:tcPr>
          <w:p w14:paraId="5C622A9C">
            <w:pPr>
              <w:widowControl/>
              <w:jc w:val="center"/>
              <w:rPr>
                <w:color w:val="auto"/>
                <w:kern w:val="0"/>
                <w:sz w:val="18"/>
                <w:szCs w:val="18"/>
                <w:highlight w:val="none"/>
              </w:rPr>
            </w:pPr>
            <w:r>
              <w:rPr>
                <w:color w:val="auto"/>
                <w:kern w:val="0"/>
                <w:sz w:val="18"/>
                <w:szCs w:val="18"/>
                <w:highlight w:val="none"/>
              </w:rPr>
              <w:t>Y＜50</w:t>
            </w:r>
          </w:p>
        </w:tc>
      </w:tr>
      <w:tr w14:paraId="29DD2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459DB2B5">
            <w:pPr>
              <w:widowControl/>
              <w:spacing w:line="240" w:lineRule="exact"/>
              <w:jc w:val="left"/>
              <w:rPr>
                <w:color w:val="auto"/>
                <w:kern w:val="0"/>
                <w:sz w:val="18"/>
                <w:szCs w:val="18"/>
                <w:highlight w:val="none"/>
              </w:rPr>
            </w:pPr>
            <w:r>
              <w:rPr>
                <w:color w:val="auto"/>
                <w:kern w:val="0"/>
                <w:sz w:val="18"/>
                <w:szCs w:val="18"/>
                <w:highlight w:val="none"/>
              </w:rPr>
              <w:t>工业 *</w:t>
            </w:r>
          </w:p>
        </w:tc>
        <w:tc>
          <w:tcPr>
            <w:tcW w:w="1369" w:type="dxa"/>
            <w:vAlign w:val="center"/>
          </w:tcPr>
          <w:p w14:paraId="5D2E23F5">
            <w:pPr>
              <w:widowControl/>
              <w:jc w:val="center"/>
              <w:rPr>
                <w:color w:val="auto"/>
                <w:kern w:val="0"/>
                <w:sz w:val="18"/>
                <w:szCs w:val="18"/>
                <w:highlight w:val="none"/>
              </w:rPr>
            </w:pPr>
            <w:r>
              <w:rPr>
                <w:color w:val="auto"/>
                <w:kern w:val="0"/>
                <w:sz w:val="18"/>
                <w:szCs w:val="18"/>
                <w:highlight w:val="none"/>
              </w:rPr>
              <w:t>从业人员(X)</w:t>
            </w:r>
          </w:p>
        </w:tc>
        <w:tc>
          <w:tcPr>
            <w:tcW w:w="709" w:type="dxa"/>
            <w:vAlign w:val="center"/>
          </w:tcPr>
          <w:p w14:paraId="596C3847">
            <w:pPr>
              <w:widowControl/>
              <w:jc w:val="center"/>
              <w:rPr>
                <w:color w:val="auto"/>
                <w:kern w:val="0"/>
                <w:sz w:val="18"/>
                <w:szCs w:val="18"/>
                <w:highlight w:val="none"/>
              </w:rPr>
            </w:pPr>
            <w:r>
              <w:rPr>
                <w:color w:val="auto"/>
                <w:kern w:val="0"/>
                <w:sz w:val="18"/>
                <w:szCs w:val="18"/>
                <w:highlight w:val="none"/>
              </w:rPr>
              <w:t>人</w:t>
            </w:r>
          </w:p>
        </w:tc>
        <w:tc>
          <w:tcPr>
            <w:tcW w:w="1125" w:type="dxa"/>
            <w:vAlign w:val="center"/>
          </w:tcPr>
          <w:p w14:paraId="16A4F0A1">
            <w:pPr>
              <w:widowControl/>
              <w:jc w:val="center"/>
              <w:rPr>
                <w:color w:val="auto"/>
                <w:kern w:val="0"/>
                <w:sz w:val="18"/>
                <w:szCs w:val="18"/>
                <w:highlight w:val="none"/>
              </w:rPr>
            </w:pPr>
            <w:r>
              <w:rPr>
                <w:color w:val="auto"/>
                <w:kern w:val="0"/>
                <w:sz w:val="18"/>
                <w:szCs w:val="18"/>
                <w:highlight w:val="none"/>
              </w:rPr>
              <w:t>X≥1000</w:t>
            </w:r>
          </w:p>
        </w:tc>
        <w:tc>
          <w:tcPr>
            <w:tcW w:w="1701" w:type="dxa"/>
            <w:vAlign w:val="center"/>
          </w:tcPr>
          <w:p w14:paraId="490F3FC2">
            <w:pPr>
              <w:widowControl/>
              <w:jc w:val="center"/>
              <w:rPr>
                <w:color w:val="auto"/>
                <w:kern w:val="0"/>
                <w:sz w:val="18"/>
                <w:szCs w:val="18"/>
                <w:highlight w:val="none"/>
              </w:rPr>
            </w:pPr>
            <w:r>
              <w:rPr>
                <w:color w:val="auto"/>
                <w:kern w:val="0"/>
                <w:sz w:val="18"/>
                <w:szCs w:val="18"/>
                <w:highlight w:val="none"/>
              </w:rPr>
              <w:t>300≤X＜1000</w:t>
            </w:r>
          </w:p>
        </w:tc>
        <w:tc>
          <w:tcPr>
            <w:tcW w:w="1426" w:type="dxa"/>
            <w:vAlign w:val="center"/>
          </w:tcPr>
          <w:p w14:paraId="1CACE99B">
            <w:pPr>
              <w:widowControl/>
              <w:jc w:val="center"/>
              <w:rPr>
                <w:color w:val="auto"/>
                <w:kern w:val="0"/>
                <w:sz w:val="18"/>
                <w:szCs w:val="18"/>
                <w:highlight w:val="none"/>
              </w:rPr>
            </w:pPr>
            <w:r>
              <w:rPr>
                <w:color w:val="auto"/>
                <w:kern w:val="0"/>
                <w:sz w:val="18"/>
                <w:szCs w:val="18"/>
                <w:highlight w:val="none"/>
              </w:rPr>
              <w:t>20≤X＜300</w:t>
            </w:r>
          </w:p>
        </w:tc>
        <w:tc>
          <w:tcPr>
            <w:tcW w:w="992" w:type="dxa"/>
            <w:vAlign w:val="center"/>
          </w:tcPr>
          <w:p w14:paraId="0D7EC085">
            <w:pPr>
              <w:widowControl/>
              <w:jc w:val="center"/>
              <w:rPr>
                <w:color w:val="auto"/>
                <w:kern w:val="0"/>
                <w:sz w:val="18"/>
                <w:szCs w:val="18"/>
                <w:highlight w:val="none"/>
              </w:rPr>
            </w:pPr>
            <w:r>
              <w:rPr>
                <w:color w:val="auto"/>
                <w:kern w:val="0"/>
                <w:sz w:val="18"/>
                <w:szCs w:val="18"/>
                <w:highlight w:val="none"/>
              </w:rPr>
              <w:t>X＜20</w:t>
            </w:r>
          </w:p>
        </w:tc>
      </w:tr>
      <w:tr w14:paraId="2C633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23668E67">
            <w:pPr>
              <w:widowControl/>
              <w:jc w:val="left"/>
              <w:rPr>
                <w:color w:val="auto"/>
                <w:kern w:val="0"/>
                <w:sz w:val="18"/>
                <w:szCs w:val="18"/>
                <w:highlight w:val="none"/>
              </w:rPr>
            </w:pPr>
          </w:p>
        </w:tc>
        <w:tc>
          <w:tcPr>
            <w:tcW w:w="1369" w:type="dxa"/>
            <w:vAlign w:val="center"/>
          </w:tcPr>
          <w:p w14:paraId="7D6170F3">
            <w:pPr>
              <w:widowControl/>
              <w:spacing w:line="240" w:lineRule="exact"/>
              <w:jc w:val="center"/>
              <w:rPr>
                <w:color w:val="auto"/>
                <w:kern w:val="0"/>
                <w:sz w:val="18"/>
                <w:szCs w:val="18"/>
                <w:highlight w:val="none"/>
              </w:rPr>
            </w:pPr>
            <w:r>
              <w:rPr>
                <w:color w:val="auto"/>
                <w:kern w:val="0"/>
                <w:sz w:val="18"/>
                <w:szCs w:val="18"/>
                <w:highlight w:val="none"/>
              </w:rPr>
              <w:t>营业收入(Y)</w:t>
            </w:r>
          </w:p>
        </w:tc>
        <w:tc>
          <w:tcPr>
            <w:tcW w:w="709" w:type="dxa"/>
            <w:vAlign w:val="center"/>
          </w:tcPr>
          <w:p w14:paraId="2E56559C">
            <w:pPr>
              <w:widowControl/>
              <w:jc w:val="center"/>
              <w:rPr>
                <w:color w:val="auto"/>
                <w:kern w:val="0"/>
                <w:sz w:val="18"/>
                <w:szCs w:val="18"/>
                <w:highlight w:val="none"/>
              </w:rPr>
            </w:pPr>
            <w:r>
              <w:rPr>
                <w:color w:val="auto"/>
                <w:kern w:val="0"/>
                <w:sz w:val="18"/>
                <w:szCs w:val="18"/>
                <w:highlight w:val="none"/>
              </w:rPr>
              <w:t>万元</w:t>
            </w:r>
          </w:p>
        </w:tc>
        <w:tc>
          <w:tcPr>
            <w:tcW w:w="1125" w:type="dxa"/>
            <w:vAlign w:val="center"/>
          </w:tcPr>
          <w:p w14:paraId="43FB1B06">
            <w:pPr>
              <w:widowControl/>
              <w:jc w:val="center"/>
              <w:rPr>
                <w:color w:val="auto"/>
                <w:kern w:val="0"/>
                <w:sz w:val="18"/>
                <w:szCs w:val="18"/>
                <w:highlight w:val="none"/>
              </w:rPr>
            </w:pPr>
            <w:r>
              <w:rPr>
                <w:color w:val="auto"/>
                <w:kern w:val="0"/>
                <w:sz w:val="18"/>
                <w:szCs w:val="18"/>
                <w:highlight w:val="none"/>
              </w:rPr>
              <w:t>Y≥40000</w:t>
            </w:r>
          </w:p>
        </w:tc>
        <w:tc>
          <w:tcPr>
            <w:tcW w:w="1701" w:type="dxa"/>
            <w:vAlign w:val="center"/>
          </w:tcPr>
          <w:p w14:paraId="6DB3FF27">
            <w:pPr>
              <w:widowControl/>
              <w:jc w:val="center"/>
              <w:rPr>
                <w:color w:val="auto"/>
                <w:kern w:val="0"/>
                <w:sz w:val="18"/>
                <w:szCs w:val="18"/>
                <w:highlight w:val="none"/>
              </w:rPr>
            </w:pPr>
            <w:r>
              <w:rPr>
                <w:color w:val="auto"/>
                <w:kern w:val="0"/>
                <w:sz w:val="18"/>
                <w:szCs w:val="18"/>
                <w:highlight w:val="none"/>
              </w:rPr>
              <w:t>2000≤Y＜40000</w:t>
            </w:r>
          </w:p>
        </w:tc>
        <w:tc>
          <w:tcPr>
            <w:tcW w:w="1426" w:type="dxa"/>
            <w:vAlign w:val="center"/>
          </w:tcPr>
          <w:p w14:paraId="739A8E2C">
            <w:pPr>
              <w:widowControl/>
              <w:jc w:val="center"/>
              <w:rPr>
                <w:color w:val="auto"/>
                <w:kern w:val="0"/>
                <w:sz w:val="18"/>
                <w:szCs w:val="18"/>
                <w:highlight w:val="none"/>
              </w:rPr>
            </w:pPr>
            <w:r>
              <w:rPr>
                <w:color w:val="auto"/>
                <w:kern w:val="0"/>
                <w:sz w:val="18"/>
                <w:szCs w:val="18"/>
                <w:highlight w:val="none"/>
              </w:rPr>
              <w:t>300≤Y＜2000</w:t>
            </w:r>
          </w:p>
        </w:tc>
        <w:tc>
          <w:tcPr>
            <w:tcW w:w="992" w:type="dxa"/>
            <w:vAlign w:val="center"/>
          </w:tcPr>
          <w:p w14:paraId="40668B42">
            <w:pPr>
              <w:widowControl/>
              <w:jc w:val="center"/>
              <w:rPr>
                <w:color w:val="auto"/>
                <w:kern w:val="0"/>
                <w:sz w:val="18"/>
                <w:szCs w:val="18"/>
                <w:highlight w:val="none"/>
              </w:rPr>
            </w:pPr>
            <w:r>
              <w:rPr>
                <w:color w:val="auto"/>
                <w:kern w:val="0"/>
                <w:sz w:val="18"/>
                <w:szCs w:val="18"/>
                <w:highlight w:val="none"/>
              </w:rPr>
              <w:t>Y＜300</w:t>
            </w:r>
          </w:p>
        </w:tc>
      </w:tr>
      <w:tr w14:paraId="5EDE6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02E7B959">
            <w:pPr>
              <w:widowControl/>
              <w:spacing w:line="240" w:lineRule="exact"/>
              <w:jc w:val="left"/>
              <w:rPr>
                <w:color w:val="auto"/>
                <w:kern w:val="0"/>
                <w:sz w:val="18"/>
                <w:szCs w:val="18"/>
                <w:highlight w:val="none"/>
              </w:rPr>
            </w:pPr>
            <w:r>
              <w:rPr>
                <w:color w:val="auto"/>
                <w:kern w:val="0"/>
                <w:sz w:val="18"/>
                <w:szCs w:val="18"/>
                <w:highlight w:val="none"/>
              </w:rPr>
              <w:t>建筑业</w:t>
            </w:r>
          </w:p>
        </w:tc>
        <w:tc>
          <w:tcPr>
            <w:tcW w:w="1369" w:type="dxa"/>
            <w:vAlign w:val="center"/>
          </w:tcPr>
          <w:p w14:paraId="0ECFC4FB">
            <w:pPr>
              <w:widowControl/>
              <w:jc w:val="center"/>
              <w:rPr>
                <w:color w:val="auto"/>
                <w:kern w:val="0"/>
                <w:sz w:val="18"/>
                <w:szCs w:val="18"/>
                <w:highlight w:val="none"/>
              </w:rPr>
            </w:pPr>
            <w:r>
              <w:rPr>
                <w:color w:val="auto"/>
                <w:kern w:val="0"/>
                <w:sz w:val="18"/>
                <w:szCs w:val="18"/>
                <w:highlight w:val="none"/>
              </w:rPr>
              <w:t>营业收入(Y)</w:t>
            </w:r>
          </w:p>
        </w:tc>
        <w:tc>
          <w:tcPr>
            <w:tcW w:w="709" w:type="dxa"/>
            <w:vAlign w:val="center"/>
          </w:tcPr>
          <w:p w14:paraId="32FFA284">
            <w:pPr>
              <w:widowControl/>
              <w:jc w:val="center"/>
              <w:rPr>
                <w:color w:val="auto"/>
                <w:kern w:val="0"/>
                <w:sz w:val="18"/>
                <w:szCs w:val="18"/>
                <w:highlight w:val="none"/>
              </w:rPr>
            </w:pPr>
            <w:r>
              <w:rPr>
                <w:color w:val="auto"/>
                <w:kern w:val="0"/>
                <w:sz w:val="18"/>
                <w:szCs w:val="18"/>
                <w:highlight w:val="none"/>
              </w:rPr>
              <w:t>万元</w:t>
            </w:r>
          </w:p>
        </w:tc>
        <w:tc>
          <w:tcPr>
            <w:tcW w:w="1125" w:type="dxa"/>
            <w:vAlign w:val="center"/>
          </w:tcPr>
          <w:p w14:paraId="658924F7">
            <w:pPr>
              <w:widowControl/>
              <w:jc w:val="center"/>
              <w:rPr>
                <w:color w:val="auto"/>
                <w:kern w:val="0"/>
                <w:sz w:val="18"/>
                <w:szCs w:val="18"/>
                <w:highlight w:val="none"/>
              </w:rPr>
            </w:pPr>
            <w:r>
              <w:rPr>
                <w:color w:val="auto"/>
                <w:kern w:val="0"/>
                <w:sz w:val="18"/>
                <w:szCs w:val="18"/>
                <w:highlight w:val="none"/>
              </w:rPr>
              <w:t>Y≥80000</w:t>
            </w:r>
          </w:p>
        </w:tc>
        <w:tc>
          <w:tcPr>
            <w:tcW w:w="1701" w:type="dxa"/>
            <w:vAlign w:val="center"/>
          </w:tcPr>
          <w:p w14:paraId="54334E69">
            <w:pPr>
              <w:widowControl/>
              <w:jc w:val="center"/>
              <w:rPr>
                <w:color w:val="auto"/>
                <w:kern w:val="0"/>
                <w:sz w:val="18"/>
                <w:szCs w:val="18"/>
                <w:highlight w:val="none"/>
              </w:rPr>
            </w:pPr>
            <w:r>
              <w:rPr>
                <w:color w:val="auto"/>
                <w:kern w:val="0"/>
                <w:sz w:val="18"/>
                <w:szCs w:val="18"/>
                <w:highlight w:val="none"/>
              </w:rPr>
              <w:t>6000≤Y＜80000</w:t>
            </w:r>
          </w:p>
        </w:tc>
        <w:tc>
          <w:tcPr>
            <w:tcW w:w="1426" w:type="dxa"/>
            <w:vAlign w:val="center"/>
          </w:tcPr>
          <w:p w14:paraId="4C14D2FF">
            <w:pPr>
              <w:widowControl/>
              <w:jc w:val="center"/>
              <w:rPr>
                <w:color w:val="auto"/>
                <w:kern w:val="0"/>
                <w:sz w:val="18"/>
                <w:szCs w:val="18"/>
                <w:highlight w:val="none"/>
              </w:rPr>
            </w:pPr>
            <w:r>
              <w:rPr>
                <w:color w:val="auto"/>
                <w:kern w:val="0"/>
                <w:sz w:val="18"/>
                <w:szCs w:val="18"/>
                <w:highlight w:val="none"/>
              </w:rPr>
              <w:t>300≤Y＜6000</w:t>
            </w:r>
          </w:p>
        </w:tc>
        <w:tc>
          <w:tcPr>
            <w:tcW w:w="992" w:type="dxa"/>
            <w:vAlign w:val="center"/>
          </w:tcPr>
          <w:p w14:paraId="3882D027">
            <w:pPr>
              <w:widowControl/>
              <w:jc w:val="center"/>
              <w:rPr>
                <w:color w:val="auto"/>
                <w:kern w:val="0"/>
                <w:sz w:val="18"/>
                <w:szCs w:val="18"/>
                <w:highlight w:val="none"/>
              </w:rPr>
            </w:pPr>
            <w:r>
              <w:rPr>
                <w:color w:val="auto"/>
                <w:kern w:val="0"/>
                <w:sz w:val="18"/>
                <w:szCs w:val="18"/>
                <w:highlight w:val="none"/>
              </w:rPr>
              <w:t>Y＜300</w:t>
            </w:r>
          </w:p>
        </w:tc>
      </w:tr>
      <w:tr w14:paraId="00FCA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05C66705">
            <w:pPr>
              <w:widowControl/>
              <w:jc w:val="left"/>
              <w:rPr>
                <w:color w:val="auto"/>
                <w:kern w:val="0"/>
                <w:sz w:val="18"/>
                <w:szCs w:val="18"/>
                <w:highlight w:val="none"/>
              </w:rPr>
            </w:pPr>
          </w:p>
        </w:tc>
        <w:tc>
          <w:tcPr>
            <w:tcW w:w="1369" w:type="dxa"/>
            <w:vAlign w:val="center"/>
          </w:tcPr>
          <w:p w14:paraId="273FAF2D">
            <w:pPr>
              <w:widowControl/>
              <w:spacing w:line="240" w:lineRule="exact"/>
              <w:jc w:val="center"/>
              <w:rPr>
                <w:color w:val="auto"/>
                <w:kern w:val="0"/>
                <w:sz w:val="18"/>
                <w:szCs w:val="18"/>
                <w:highlight w:val="none"/>
              </w:rPr>
            </w:pPr>
            <w:r>
              <w:rPr>
                <w:color w:val="auto"/>
                <w:kern w:val="0"/>
                <w:sz w:val="18"/>
                <w:szCs w:val="18"/>
                <w:highlight w:val="none"/>
              </w:rPr>
              <w:t>资产总额(Z)</w:t>
            </w:r>
          </w:p>
        </w:tc>
        <w:tc>
          <w:tcPr>
            <w:tcW w:w="709" w:type="dxa"/>
            <w:vAlign w:val="center"/>
          </w:tcPr>
          <w:p w14:paraId="1D6B1068">
            <w:pPr>
              <w:widowControl/>
              <w:jc w:val="center"/>
              <w:rPr>
                <w:color w:val="auto"/>
                <w:kern w:val="0"/>
                <w:sz w:val="18"/>
                <w:szCs w:val="18"/>
                <w:highlight w:val="none"/>
              </w:rPr>
            </w:pPr>
            <w:r>
              <w:rPr>
                <w:color w:val="auto"/>
                <w:kern w:val="0"/>
                <w:sz w:val="18"/>
                <w:szCs w:val="18"/>
                <w:highlight w:val="none"/>
              </w:rPr>
              <w:t>万元</w:t>
            </w:r>
          </w:p>
        </w:tc>
        <w:tc>
          <w:tcPr>
            <w:tcW w:w="1125" w:type="dxa"/>
            <w:vAlign w:val="center"/>
          </w:tcPr>
          <w:p w14:paraId="4F6E3712">
            <w:pPr>
              <w:widowControl/>
              <w:jc w:val="center"/>
              <w:rPr>
                <w:color w:val="auto"/>
                <w:kern w:val="0"/>
                <w:sz w:val="18"/>
                <w:szCs w:val="18"/>
                <w:highlight w:val="none"/>
              </w:rPr>
            </w:pPr>
            <w:r>
              <w:rPr>
                <w:color w:val="auto"/>
                <w:kern w:val="0"/>
                <w:sz w:val="18"/>
                <w:szCs w:val="18"/>
                <w:highlight w:val="none"/>
              </w:rPr>
              <w:t>Z≥80000</w:t>
            </w:r>
          </w:p>
        </w:tc>
        <w:tc>
          <w:tcPr>
            <w:tcW w:w="1701" w:type="dxa"/>
            <w:vAlign w:val="center"/>
          </w:tcPr>
          <w:p w14:paraId="53083D43">
            <w:pPr>
              <w:widowControl/>
              <w:jc w:val="center"/>
              <w:rPr>
                <w:color w:val="auto"/>
                <w:kern w:val="0"/>
                <w:sz w:val="18"/>
                <w:szCs w:val="18"/>
                <w:highlight w:val="none"/>
              </w:rPr>
            </w:pPr>
            <w:r>
              <w:rPr>
                <w:color w:val="auto"/>
                <w:kern w:val="0"/>
                <w:sz w:val="18"/>
                <w:szCs w:val="18"/>
                <w:highlight w:val="none"/>
              </w:rPr>
              <w:t>5000≤Z＜80000</w:t>
            </w:r>
          </w:p>
        </w:tc>
        <w:tc>
          <w:tcPr>
            <w:tcW w:w="1426" w:type="dxa"/>
            <w:vAlign w:val="center"/>
          </w:tcPr>
          <w:p w14:paraId="76976A5D">
            <w:pPr>
              <w:widowControl/>
              <w:jc w:val="center"/>
              <w:rPr>
                <w:color w:val="auto"/>
                <w:kern w:val="0"/>
                <w:sz w:val="18"/>
                <w:szCs w:val="18"/>
                <w:highlight w:val="none"/>
              </w:rPr>
            </w:pPr>
            <w:r>
              <w:rPr>
                <w:color w:val="auto"/>
                <w:kern w:val="0"/>
                <w:sz w:val="18"/>
                <w:szCs w:val="18"/>
                <w:highlight w:val="none"/>
              </w:rPr>
              <w:t>300≤Z＜5000</w:t>
            </w:r>
          </w:p>
        </w:tc>
        <w:tc>
          <w:tcPr>
            <w:tcW w:w="992" w:type="dxa"/>
            <w:vAlign w:val="center"/>
          </w:tcPr>
          <w:p w14:paraId="44C2AE42">
            <w:pPr>
              <w:widowControl/>
              <w:jc w:val="center"/>
              <w:rPr>
                <w:color w:val="auto"/>
                <w:kern w:val="0"/>
                <w:sz w:val="18"/>
                <w:szCs w:val="18"/>
                <w:highlight w:val="none"/>
              </w:rPr>
            </w:pPr>
            <w:r>
              <w:rPr>
                <w:color w:val="auto"/>
                <w:kern w:val="0"/>
                <w:sz w:val="18"/>
                <w:szCs w:val="18"/>
                <w:highlight w:val="none"/>
              </w:rPr>
              <w:t>Z＜300</w:t>
            </w:r>
          </w:p>
        </w:tc>
      </w:tr>
      <w:tr w14:paraId="45259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081AF456">
            <w:pPr>
              <w:widowControl/>
              <w:spacing w:line="240" w:lineRule="exact"/>
              <w:jc w:val="left"/>
              <w:rPr>
                <w:color w:val="auto"/>
                <w:kern w:val="0"/>
                <w:sz w:val="18"/>
                <w:szCs w:val="18"/>
                <w:highlight w:val="none"/>
              </w:rPr>
            </w:pPr>
            <w:r>
              <w:rPr>
                <w:color w:val="auto"/>
                <w:kern w:val="0"/>
                <w:sz w:val="18"/>
                <w:szCs w:val="18"/>
                <w:highlight w:val="none"/>
              </w:rPr>
              <w:t>批发业</w:t>
            </w:r>
          </w:p>
        </w:tc>
        <w:tc>
          <w:tcPr>
            <w:tcW w:w="1369" w:type="dxa"/>
            <w:vAlign w:val="center"/>
          </w:tcPr>
          <w:p w14:paraId="37AD7AF7">
            <w:pPr>
              <w:widowControl/>
              <w:jc w:val="center"/>
              <w:rPr>
                <w:color w:val="auto"/>
                <w:kern w:val="0"/>
                <w:sz w:val="18"/>
                <w:szCs w:val="18"/>
                <w:highlight w:val="none"/>
              </w:rPr>
            </w:pPr>
            <w:r>
              <w:rPr>
                <w:color w:val="auto"/>
                <w:kern w:val="0"/>
                <w:sz w:val="18"/>
                <w:szCs w:val="18"/>
                <w:highlight w:val="none"/>
              </w:rPr>
              <w:t>从业人员(X)</w:t>
            </w:r>
          </w:p>
        </w:tc>
        <w:tc>
          <w:tcPr>
            <w:tcW w:w="709" w:type="dxa"/>
            <w:vAlign w:val="center"/>
          </w:tcPr>
          <w:p w14:paraId="20C2D677">
            <w:pPr>
              <w:widowControl/>
              <w:jc w:val="center"/>
              <w:rPr>
                <w:color w:val="auto"/>
                <w:kern w:val="0"/>
                <w:sz w:val="18"/>
                <w:szCs w:val="18"/>
                <w:highlight w:val="none"/>
              </w:rPr>
            </w:pPr>
            <w:r>
              <w:rPr>
                <w:color w:val="auto"/>
                <w:kern w:val="0"/>
                <w:sz w:val="18"/>
                <w:szCs w:val="18"/>
                <w:highlight w:val="none"/>
              </w:rPr>
              <w:t>人</w:t>
            </w:r>
          </w:p>
        </w:tc>
        <w:tc>
          <w:tcPr>
            <w:tcW w:w="1125" w:type="dxa"/>
            <w:vAlign w:val="center"/>
          </w:tcPr>
          <w:p w14:paraId="7C584468">
            <w:pPr>
              <w:widowControl/>
              <w:jc w:val="center"/>
              <w:rPr>
                <w:color w:val="auto"/>
                <w:kern w:val="0"/>
                <w:sz w:val="18"/>
                <w:szCs w:val="18"/>
                <w:highlight w:val="none"/>
              </w:rPr>
            </w:pPr>
            <w:r>
              <w:rPr>
                <w:color w:val="auto"/>
                <w:kern w:val="0"/>
                <w:sz w:val="18"/>
                <w:szCs w:val="18"/>
                <w:highlight w:val="none"/>
              </w:rPr>
              <w:t>X≥200</w:t>
            </w:r>
          </w:p>
        </w:tc>
        <w:tc>
          <w:tcPr>
            <w:tcW w:w="1701" w:type="dxa"/>
            <w:vAlign w:val="center"/>
          </w:tcPr>
          <w:p w14:paraId="34CE62EB">
            <w:pPr>
              <w:widowControl/>
              <w:jc w:val="center"/>
              <w:rPr>
                <w:color w:val="auto"/>
                <w:kern w:val="0"/>
                <w:sz w:val="18"/>
                <w:szCs w:val="18"/>
                <w:highlight w:val="none"/>
              </w:rPr>
            </w:pPr>
            <w:r>
              <w:rPr>
                <w:color w:val="auto"/>
                <w:kern w:val="0"/>
                <w:sz w:val="18"/>
                <w:szCs w:val="18"/>
                <w:highlight w:val="none"/>
              </w:rPr>
              <w:t>20≤X＜200</w:t>
            </w:r>
          </w:p>
        </w:tc>
        <w:tc>
          <w:tcPr>
            <w:tcW w:w="1426" w:type="dxa"/>
            <w:vAlign w:val="center"/>
          </w:tcPr>
          <w:p w14:paraId="21147744">
            <w:pPr>
              <w:widowControl/>
              <w:jc w:val="center"/>
              <w:rPr>
                <w:color w:val="auto"/>
                <w:kern w:val="0"/>
                <w:sz w:val="18"/>
                <w:szCs w:val="18"/>
                <w:highlight w:val="none"/>
              </w:rPr>
            </w:pPr>
            <w:r>
              <w:rPr>
                <w:color w:val="auto"/>
                <w:kern w:val="0"/>
                <w:sz w:val="18"/>
                <w:szCs w:val="18"/>
                <w:highlight w:val="none"/>
              </w:rPr>
              <w:t>5≤X＜20</w:t>
            </w:r>
          </w:p>
        </w:tc>
        <w:tc>
          <w:tcPr>
            <w:tcW w:w="992" w:type="dxa"/>
            <w:vAlign w:val="center"/>
          </w:tcPr>
          <w:p w14:paraId="3F8DBBA6">
            <w:pPr>
              <w:widowControl/>
              <w:jc w:val="center"/>
              <w:rPr>
                <w:color w:val="auto"/>
                <w:kern w:val="0"/>
                <w:sz w:val="18"/>
                <w:szCs w:val="18"/>
                <w:highlight w:val="none"/>
              </w:rPr>
            </w:pPr>
            <w:r>
              <w:rPr>
                <w:color w:val="auto"/>
                <w:kern w:val="0"/>
                <w:sz w:val="18"/>
                <w:szCs w:val="18"/>
                <w:highlight w:val="none"/>
              </w:rPr>
              <w:t>X＜5</w:t>
            </w:r>
          </w:p>
        </w:tc>
      </w:tr>
      <w:tr w14:paraId="5E527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6E54BCF6">
            <w:pPr>
              <w:widowControl/>
              <w:jc w:val="left"/>
              <w:rPr>
                <w:color w:val="auto"/>
                <w:kern w:val="0"/>
                <w:sz w:val="18"/>
                <w:szCs w:val="18"/>
                <w:highlight w:val="none"/>
              </w:rPr>
            </w:pPr>
          </w:p>
        </w:tc>
        <w:tc>
          <w:tcPr>
            <w:tcW w:w="1369" w:type="dxa"/>
            <w:vAlign w:val="center"/>
          </w:tcPr>
          <w:p w14:paraId="1FD4E5EE">
            <w:pPr>
              <w:widowControl/>
              <w:spacing w:line="240" w:lineRule="exact"/>
              <w:jc w:val="center"/>
              <w:rPr>
                <w:color w:val="auto"/>
                <w:kern w:val="0"/>
                <w:sz w:val="18"/>
                <w:szCs w:val="18"/>
                <w:highlight w:val="none"/>
              </w:rPr>
            </w:pPr>
            <w:r>
              <w:rPr>
                <w:color w:val="auto"/>
                <w:kern w:val="0"/>
                <w:sz w:val="18"/>
                <w:szCs w:val="18"/>
                <w:highlight w:val="none"/>
              </w:rPr>
              <w:t>营业收入(Y)</w:t>
            </w:r>
          </w:p>
        </w:tc>
        <w:tc>
          <w:tcPr>
            <w:tcW w:w="709" w:type="dxa"/>
            <w:vAlign w:val="center"/>
          </w:tcPr>
          <w:p w14:paraId="264C642E">
            <w:pPr>
              <w:widowControl/>
              <w:jc w:val="center"/>
              <w:rPr>
                <w:color w:val="auto"/>
                <w:kern w:val="0"/>
                <w:sz w:val="18"/>
                <w:szCs w:val="18"/>
                <w:highlight w:val="none"/>
              </w:rPr>
            </w:pPr>
            <w:r>
              <w:rPr>
                <w:color w:val="auto"/>
                <w:kern w:val="0"/>
                <w:sz w:val="18"/>
                <w:szCs w:val="18"/>
                <w:highlight w:val="none"/>
              </w:rPr>
              <w:t>万元</w:t>
            </w:r>
          </w:p>
        </w:tc>
        <w:tc>
          <w:tcPr>
            <w:tcW w:w="1125" w:type="dxa"/>
            <w:vAlign w:val="center"/>
          </w:tcPr>
          <w:p w14:paraId="56143E85">
            <w:pPr>
              <w:widowControl/>
              <w:jc w:val="center"/>
              <w:rPr>
                <w:color w:val="auto"/>
                <w:kern w:val="0"/>
                <w:sz w:val="18"/>
                <w:szCs w:val="18"/>
                <w:highlight w:val="none"/>
              </w:rPr>
            </w:pPr>
            <w:r>
              <w:rPr>
                <w:color w:val="auto"/>
                <w:kern w:val="0"/>
                <w:sz w:val="18"/>
                <w:szCs w:val="18"/>
                <w:highlight w:val="none"/>
              </w:rPr>
              <w:t>Y≥40000</w:t>
            </w:r>
          </w:p>
        </w:tc>
        <w:tc>
          <w:tcPr>
            <w:tcW w:w="1701" w:type="dxa"/>
            <w:vAlign w:val="center"/>
          </w:tcPr>
          <w:p w14:paraId="45A5103C">
            <w:pPr>
              <w:widowControl/>
              <w:jc w:val="center"/>
              <w:rPr>
                <w:color w:val="auto"/>
                <w:kern w:val="0"/>
                <w:sz w:val="18"/>
                <w:szCs w:val="18"/>
                <w:highlight w:val="none"/>
              </w:rPr>
            </w:pPr>
            <w:r>
              <w:rPr>
                <w:color w:val="auto"/>
                <w:kern w:val="0"/>
                <w:sz w:val="18"/>
                <w:szCs w:val="18"/>
                <w:highlight w:val="none"/>
              </w:rPr>
              <w:t>5000≤Y＜40000</w:t>
            </w:r>
          </w:p>
        </w:tc>
        <w:tc>
          <w:tcPr>
            <w:tcW w:w="1426" w:type="dxa"/>
            <w:vAlign w:val="center"/>
          </w:tcPr>
          <w:p w14:paraId="27D5A838">
            <w:pPr>
              <w:widowControl/>
              <w:ind w:left="-1" w:leftChars="-1" w:hanging="1"/>
              <w:jc w:val="center"/>
              <w:rPr>
                <w:color w:val="auto"/>
                <w:kern w:val="0"/>
                <w:sz w:val="18"/>
                <w:szCs w:val="18"/>
                <w:highlight w:val="none"/>
              </w:rPr>
            </w:pPr>
            <w:r>
              <w:rPr>
                <w:color w:val="auto"/>
                <w:kern w:val="0"/>
                <w:sz w:val="18"/>
                <w:szCs w:val="18"/>
                <w:highlight w:val="none"/>
              </w:rPr>
              <w:t>1000≤Y＜5000</w:t>
            </w:r>
          </w:p>
        </w:tc>
        <w:tc>
          <w:tcPr>
            <w:tcW w:w="992" w:type="dxa"/>
            <w:vAlign w:val="center"/>
          </w:tcPr>
          <w:p w14:paraId="43C07E17">
            <w:pPr>
              <w:widowControl/>
              <w:jc w:val="center"/>
              <w:rPr>
                <w:color w:val="auto"/>
                <w:kern w:val="0"/>
                <w:sz w:val="18"/>
                <w:szCs w:val="18"/>
                <w:highlight w:val="none"/>
              </w:rPr>
            </w:pPr>
            <w:r>
              <w:rPr>
                <w:color w:val="auto"/>
                <w:kern w:val="0"/>
                <w:sz w:val="18"/>
                <w:szCs w:val="18"/>
                <w:highlight w:val="none"/>
              </w:rPr>
              <w:t>Y＜1000</w:t>
            </w:r>
          </w:p>
        </w:tc>
      </w:tr>
      <w:tr w14:paraId="26B23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76214C4E">
            <w:pPr>
              <w:widowControl/>
              <w:spacing w:line="240" w:lineRule="exact"/>
              <w:jc w:val="left"/>
              <w:rPr>
                <w:color w:val="auto"/>
                <w:kern w:val="0"/>
                <w:sz w:val="18"/>
                <w:szCs w:val="18"/>
                <w:highlight w:val="none"/>
              </w:rPr>
            </w:pPr>
            <w:r>
              <w:rPr>
                <w:color w:val="auto"/>
                <w:kern w:val="0"/>
                <w:sz w:val="18"/>
                <w:szCs w:val="18"/>
                <w:highlight w:val="none"/>
              </w:rPr>
              <w:t>零售业</w:t>
            </w:r>
          </w:p>
        </w:tc>
        <w:tc>
          <w:tcPr>
            <w:tcW w:w="1369" w:type="dxa"/>
            <w:vAlign w:val="center"/>
          </w:tcPr>
          <w:p w14:paraId="44FAD31E">
            <w:pPr>
              <w:widowControl/>
              <w:jc w:val="center"/>
              <w:rPr>
                <w:color w:val="auto"/>
                <w:kern w:val="0"/>
                <w:sz w:val="18"/>
                <w:szCs w:val="18"/>
                <w:highlight w:val="none"/>
              </w:rPr>
            </w:pPr>
            <w:r>
              <w:rPr>
                <w:color w:val="auto"/>
                <w:kern w:val="0"/>
                <w:sz w:val="18"/>
                <w:szCs w:val="18"/>
                <w:highlight w:val="none"/>
              </w:rPr>
              <w:t>从业人员(X)</w:t>
            </w:r>
          </w:p>
        </w:tc>
        <w:tc>
          <w:tcPr>
            <w:tcW w:w="709" w:type="dxa"/>
            <w:vAlign w:val="center"/>
          </w:tcPr>
          <w:p w14:paraId="7A110B7A">
            <w:pPr>
              <w:widowControl/>
              <w:jc w:val="center"/>
              <w:rPr>
                <w:color w:val="auto"/>
                <w:kern w:val="0"/>
                <w:sz w:val="18"/>
                <w:szCs w:val="18"/>
                <w:highlight w:val="none"/>
              </w:rPr>
            </w:pPr>
            <w:r>
              <w:rPr>
                <w:color w:val="auto"/>
                <w:kern w:val="0"/>
                <w:sz w:val="18"/>
                <w:szCs w:val="18"/>
                <w:highlight w:val="none"/>
              </w:rPr>
              <w:t>人</w:t>
            </w:r>
          </w:p>
        </w:tc>
        <w:tc>
          <w:tcPr>
            <w:tcW w:w="1125" w:type="dxa"/>
            <w:vAlign w:val="center"/>
          </w:tcPr>
          <w:p w14:paraId="52C1183D">
            <w:pPr>
              <w:widowControl/>
              <w:jc w:val="center"/>
              <w:rPr>
                <w:color w:val="auto"/>
                <w:kern w:val="0"/>
                <w:sz w:val="18"/>
                <w:szCs w:val="18"/>
                <w:highlight w:val="none"/>
              </w:rPr>
            </w:pPr>
            <w:r>
              <w:rPr>
                <w:color w:val="auto"/>
                <w:kern w:val="0"/>
                <w:sz w:val="18"/>
                <w:szCs w:val="18"/>
                <w:highlight w:val="none"/>
              </w:rPr>
              <w:t>X≥300</w:t>
            </w:r>
          </w:p>
        </w:tc>
        <w:tc>
          <w:tcPr>
            <w:tcW w:w="1701" w:type="dxa"/>
            <w:vAlign w:val="center"/>
          </w:tcPr>
          <w:p w14:paraId="7EE21279">
            <w:pPr>
              <w:widowControl/>
              <w:jc w:val="center"/>
              <w:rPr>
                <w:color w:val="auto"/>
                <w:kern w:val="0"/>
                <w:sz w:val="18"/>
                <w:szCs w:val="18"/>
                <w:highlight w:val="none"/>
              </w:rPr>
            </w:pPr>
            <w:r>
              <w:rPr>
                <w:color w:val="auto"/>
                <w:kern w:val="0"/>
                <w:sz w:val="18"/>
                <w:szCs w:val="18"/>
                <w:highlight w:val="none"/>
              </w:rPr>
              <w:t>50≤X＜300</w:t>
            </w:r>
          </w:p>
        </w:tc>
        <w:tc>
          <w:tcPr>
            <w:tcW w:w="1426" w:type="dxa"/>
            <w:vAlign w:val="center"/>
          </w:tcPr>
          <w:p w14:paraId="5AD3D46B">
            <w:pPr>
              <w:widowControl/>
              <w:ind w:left="-1" w:leftChars="-1" w:hanging="1"/>
              <w:jc w:val="center"/>
              <w:rPr>
                <w:color w:val="auto"/>
                <w:kern w:val="0"/>
                <w:sz w:val="18"/>
                <w:szCs w:val="18"/>
                <w:highlight w:val="none"/>
              </w:rPr>
            </w:pPr>
            <w:r>
              <w:rPr>
                <w:color w:val="auto"/>
                <w:kern w:val="0"/>
                <w:sz w:val="18"/>
                <w:szCs w:val="18"/>
                <w:highlight w:val="none"/>
              </w:rPr>
              <w:t xml:space="preserve">10≤X＜50 </w:t>
            </w:r>
          </w:p>
        </w:tc>
        <w:tc>
          <w:tcPr>
            <w:tcW w:w="992" w:type="dxa"/>
            <w:vAlign w:val="center"/>
          </w:tcPr>
          <w:p w14:paraId="37901C0F">
            <w:pPr>
              <w:widowControl/>
              <w:jc w:val="center"/>
              <w:rPr>
                <w:color w:val="auto"/>
                <w:kern w:val="0"/>
                <w:sz w:val="18"/>
                <w:szCs w:val="18"/>
                <w:highlight w:val="none"/>
              </w:rPr>
            </w:pPr>
            <w:r>
              <w:rPr>
                <w:color w:val="auto"/>
                <w:kern w:val="0"/>
                <w:sz w:val="18"/>
                <w:szCs w:val="18"/>
                <w:highlight w:val="none"/>
              </w:rPr>
              <w:t>X＜10</w:t>
            </w:r>
          </w:p>
        </w:tc>
      </w:tr>
      <w:tr w14:paraId="4ABD4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74CF6070">
            <w:pPr>
              <w:widowControl/>
              <w:jc w:val="left"/>
              <w:rPr>
                <w:color w:val="auto"/>
                <w:kern w:val="0"/>
                <w:sz w:val="18"/>
                <w:szCs w:val="18"/>
                <w:highlight w:val="none"/>
              </w:rPr>
            </w:pPr>
          </w:p>
        </w:tc>
        <w:tc>
          <w:tcPr>
            <w:tcW w:w="1369" w:type="dxa"/>
            <w:vAlign w:val="center"/>
          </w:tcPr>
          <w:p w14:paraId="1BB7A03F">
            <w:pPr>
              <w:widowControl/>
              <w:spacing w:line="240" w:lineRule="exact"/>
              <w:jc w:val="center"/>
              <w:rPr>
                <w:color w:val="auto"/>
                <w:kern w:val="0"/>
                <w:sz w:val="18"/>
                <w:szCs w:val="18"/>
                <w:highlight w:val="none"/>
              </w:rPr>
            </w:pPr>
            <w:r>
              <w:rPr>
                <w:color w:val="auto"/>
                <w:kern w:val="0"/>
                <w:sz w:val="18"/>
                <w:szCs w:val="18"/>
                <w:highlight w:val="none"/>
              </w:rPr>
              <w:t>营业收入(Y)</w:t>
            </w:r>
          </w:p>
        </w:tc>
        <w:tc>
          <w:tcPr>
            <w:tcW w:w="709" w:type="dxa"/>
            <w:vAlign w:val="center"/>
          </w:tcPr>
          <w:p w14:paraId="0E5CF43C">
            <w:pPr>
              <w:widowControl/>
              <w:jc w:val="center"/>
              <w:rPr>
                <w:color w:val="auto"/>
                <w:kern w:val="0"/>
                <w:sz w:val="18"/>
                <w:szCs w:val="18"/>
                <w:highlight w:val="none"/>
              </w:rPr>
            </w:pPr>
            <w:r>
              <w:rPr>
                <w:color w:val="auto"/>
                <w:kern w:val="0"/>
                <w:sz w:val="18"/>
                <w:szCs w:val="18"/>
                <w:highlight w:val="none"/>
              </w:rPr>
              <w:t>万元</w:t>
            </w:r>
          </w:p>
        </w:tc>
        <w:tc>
          <w:tcPr>
            <w:tcW w:w="1125" w:type="dxa"/>
            <w:vAlign w:val="center"/>
          </w:tcPr>
          <w:p w14:paraId="12D473B7">
            <w:pPr>
              <w:widowControl/>
              <w:jc w:val="center"/>
              <w:rPr>
                <w:color w:val="auto"/>
                <w:kern w:val="0"/>
                <w:sz w:val="18"/>
                <w:szCs w:val="18"/>
                <w:highlight w:val="none"/>
              </w:rPr>
            </w:pPr>
            <w:r>
              <w:rPr>
                <w:color w:val="auto"/>
                <w:kern w:val="0"/>
                <w:sz w:val="18"/>
                <w:szCs w:val="18"/>
                <w:highlight w:val="none"/>
              </w:rPr>
              <w:t>Y≥20000</w:t>
            </w:r>
          </w:p>
        </w:tc>
        <w:tc>
          <w:tcPr>
            <w:tcW w:w="1701" w:type="dxa"/>
            <w:vAlign w:val="center"/>
          </w:tcPr>
          <w:p w14:paraId="3A2B6ED6">
            <w:pPr>
              <w:widowControl/>
              <w:jc w:val="center"/>
              <w:rPr>
                <w:color w:val="auto"/>
                <w:kern w:val="0"/>
                <w:sz w:val="18"/>
                <w:szCs w:val="18"/>
                <w:highlight w:val="none"/>
              </w:rPr>
            </w:pPr>
            <w:r>
              <w:rPr>
                <w:color w:val="auto"/>
                <w:kern w:val="0"/>
                <w:sz w:val="18"/>
                <w:szCs w:val="18"/>
                <w:highlight w:val="none"/>
              </w:rPr>
              <w:t>500≤Y＜20000</w:t>
            </w:r>
          </w:p>
        </w:tc>
        <w:tc>
          <w:tcPr>
            <w:tcW w:w="1426" w:type="dxa"/>
            <w:vAlign w:val="center"/>
          </w:tcPr>
          <w:p w14:paraId="39D64812">
            <w:pPr>
              <w:widowControl/>
              <w:ind w:left="-1" w:leftChars="-1" w:hanging="1"/>
              <w:jc w:val="center"/>
              <w:rPr>
                <w:color w:val="auto"/>
                <w:kern w:val="0"/>
                <w:sz w:val="18"/>
                <w:szCs w:val="18"/>
                <w:highlight w:val="none"/>
              </w:rPr>
            </w:pPr>
            <w:r>
              <w:rPr>
                <w:color w:val="auto"/>
                <w:kern w:val="0"/>
                <w:sz w:val="18"/>
                <w:szCs w:val="18"/>
                <w:highlight w:val="none"/>
              </w:rPr>
              <w:t>100≤Y＜500</w:t>
            </w:r>
          </w:p>
        </w:tc>
        <w:tc>
          <w:tcPr>
            <w:tcW w:w="992" w:type="dxa"/>
            <w:vAlign w:val="center"/>
          </w:tcPr>
          <w:p w14:paraId="545044F7">
            <w:pPr>
              <w:widowControl/>
              <w:jc w:val="center"/>
              <w:rPr>
                <w:color w:val="auto"/>
                <w:kern w:val="0"/>
                <w:sz w:val="18"/>
                <w:szCs w:val="18"/>
                <w:highlight w:val="none"/>
              </w:rPr>
            </w:pPr>
            <w:r>
              <w:rPr>
                <w:color w:val="auto"/>
                <w:kern w:val="0"/>
                <w:sz w:val="18"/>
                <w:szCs w:val="18"/>
                <w:highlight w:val="none"/>
              </w:rPr>
              <w:t>Y＜100</w:t>
            </w:r>
          </w:p>
        </w:tc>
      </w:tr>
      <w:tr w14:paraId="469DB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3F37514F">
            <w:pPr>
              <w:widowControl/>
              <w:spacing w:line="240" w:lineRule="exact"/>
              <w:jc w:val="left"/>
              <w:rPr>
                <w:color w:val="auto"/>
                <w:kern w:val="0"/>
                <w:sz w:val="18"/>
                <w:szCs w:val="18"/>
                <w:highlight w:val="none"/>
              </w:rPr>
            </w:pPr>
            <w:r>
              <w:rPr>
                <w:color w:val="auto"/>
                <w:kern w:val="0"/>
                <w:sz w:val="18"/>
                <w:szCs w:val="18"/>
                <w:highlight w:val="none"/>
              </w:rPr>
              <w:t>交通运输业 *</w:t>
            </w:r>
          </w:p>
        </w:tc>
        <w:tc>
          <w:tcPr>
            <w:tcW w:w="1369" w:type="dxa"/>
            <w:vAlign w:val="center"/>
          </w:tcPr>
          <w:p w14:paraId="6D180EE1">
            <w:pPr>
              <w:widowControl/>
              <w:jc w:val="center"/>
              <w:rPr>
                <w:color w:val="auto"/>
                <w:kern w:val="0"/>
                <w:sz w:val="18"/>
                <w:szCs w:val="18"/>
                <w:highlight w:val="none"/>
              </w:rPr>
            </w:pPr>
            <w:r>
              <w:rPr>
                <w:color w:val="auto"/>
                <w:kern w:val="0"/>
                <w:sz w:val="18"/>
                <w:szCs w:val="18"/>
                <w:highlight w:val="none"/>
              </w:rPr>
              <w:t>从业人员(X)</w:t>
            </w:r>
          </w:p>
        </w:tc>
        <w:tc>
          <w:tcPr>
            <w:tcW w:w="709" w:type="dxa"/>
            <w:vAlign w:val="center"/>
          </w:tcPr>
          <w:p w14:paraId="5489BB69">
            <w:pPr>
              <w:widowControl/>
              <w:jc w:val="center"/>
              <w:rPr>
                <w:color w:val="auto"/>
                <w:kern w:val="0"/>
                <w:sz w:val="18"/>
                <w:szCs w:val="18"/>
                <w:highlight w:val="none"/>
              </w:rPr>
            </w:pPr>
            <w:r>
              <w:rPr>
                <w:color w:val="auto"/>
                <w:kern w:val="0"/>
                <w:sz w:val="18"/>
                <w:szCs w:val="18"/>
                <w:highlight w:val="none"/>
              </w:rPr>
              <w:t>人</w:t>
            </w:r>
          </w:p>
        </w:tc>
        <w:tc>
          <w:tcPr>
            <w:tcW w:w="1125" w:type="dxa"/>
            <w:vAlign w:val="center"/>
          </w:tcPr>
          <w:p w14:paraId="0B3D3344">
            <w:pPr>
              <w:widowControl/>
              <w:jc w:val="center"/>
              <w:rPr>
                <w:color w:val="auto"/>
                <w:kern w:val="0"/>
                <w:sz w:val="18"/>
                <w:szCs w:val="18"/>
                <w:highlight w:val="none"/>
              </w:rPr>
            </w:pPr>
            <w:r>
              <w:rPr>
                <w:color w:val="auto"/>
                <w:kern w:val="0"/>
                <w:sz w:val="18"/>
                <w:szCs w:val="18"/>
                <w:highlight w:val="none"/>
              </w:rPr>
              <w:t>X≥1000</w:t>
            </w:r>
          </w:p>
        </w:tc>
        <w:tc>
          <w:tcPr>
            <w:tcW w:w="1701" w:type="dxa"/>
            <w:vAlign w:val="center"/>
          </w:tcPr>
          <w:p w14:paraId="149FE451">
            <w:pPr>
              <w:widowControl/>
              <w:jc w:val="center"/>
              <w:rPr>
                <w:color w:val="auto"/>
                <w:kern w:val="0"/>
                <w:sz w:val="18"/>
                <w:szCs w:val="18"/>
                <w:highlight w:val="none"/>
              </w:rPr>
            </w:pPr>
            <w:r>
              <w:rPr>
                <w:color w:val="auto"/>
                <w:kern w:val="0"/>
                <w:sz w:val="18"/>
                <w:szCs w:val="18"/>
                <w:highlight w:val="none"/>
              </w:rPr>
              <w:t>300≤X＜1000</w:t>
            </w:r>
          </w:p>
        </w:tc>
        <w:tc>
          <w:tcPr>
            <w:tcW w:w="1426" w:type="dxa"/>
            <w:vAlign w:val="center"/>
          </w:tcPr>
          <w:p w14:paraId="1FA66F6D">
            <w:pPr>
              <w:widowControl/>
              <w:jc w:val="center"/>
              <w:rPr>
                <w:color w:val="auto"/>
                <w:kern w:val="0"/>
                <w:sz w:val="18"/>
                <w:szCs w:val="18"/>
                <w:highlight w:val="none"/>
              </w:rPr>
            </w:pPr>
            <w:r>
              <w:rPr>
                <w:color w:val="auto"/>
                <w:kern w:val="0"/>
                <w:sz w:val="18"/>
                <w:szCs w:val="18"/>
                <w:highlight w:val="none"/>
              </w:rPr>
              <w:t>20≤X＜300</w:t>
            </w:r>
          </w:p>
        </w:tc>
        <w:tc>
          <w:tcPr>
            <w:tcW w:w="992" w:type="dxa"/>
            <w:vAlign w:val="center"/>
          </w:tcPr>
          <w:p w14:paraId="71C44A02">
            <w:pPr>
              <w:widowControl/>
              <w:jc w:val="center"/>
              <w:rPr>
                <w:color w:val="auto"/>
                <w:kern w:val="0"/>
                <w:sz w:val="18"/>
                <w:szCs w:val="18"/>
                <w:highlight w:val="none"/>
              </w:rPr>
            </w:pPr>
            <w:r>
              <w:rPr>
                <w:color w:val="auto"/>
                <w:kern w:val="0"/>
                <w:sz w:val="18"/>
                <w:szCs w:val="18"/>
                <w:highlight w:val="none"/>
              </w:rPr>
              <w:t>X＜20</w:t>
            </w:r>
          </w:p>
        </w:tc>
      </w:tr>
      <w:tr w14:paraId="6F180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52070C63">
            <w:pPr>
              <w:widowControl/>
              <w:jc w:val="left"/>
              <w:rPr>
                <w:color w:val="auto"/>
                <w:kern w:val="0"/>
                <w:sz w:val="18"/>
                <w:szCs w:val="18"/>
                <w:highlight w:val="none"/>
              </w:rPr>
            </w:pPr>
          </w:p>
        </w:tc>
        <w:tc>
          <w:tcPr>
            <w:tcW w:w="1369" w:type="dxa"/>
            <w:vAlign w:val="center"/>
          </w:tcPr>
          <w:p w14:paraId="5016C26D">
            <w:pPr>
              <w:widowControl/>
              <w:spacing w:line="240" w:lineRule="exact"/>
              <w:jc w:val="center"/>
              <w:rPr>
                <w:color w:val="auto"/>
                <w:kern w:val="0"/>
                <w:sz w:val="18"/>
                <w:szCs w:val="18"/>
                <w:highlight w:val="none"/>
              </w:rPr>
            </w:pPr>
            <w:r>
              <w:rPr>
                <w:color w:val="auto"/>
                <w:kern w:val="0"/>
                <w:sz w:val="18"/>
                <w:szCs w:val="18"/>
                <w:highlight w:val="none"/>
              </w:rPr>
              <w:t>营业收入(Y)</w:t>
            </w:r>
          </w:p>
        </w:tc>
        <w:tc>
          <w:tcPr>
            <w:tcW w:w="709" w:type="dxa"/>
            <w:vAlign w:val="center"/>
          </w:tcPr>
          <w:p w14:paraId="5442248E">
            <w:pPr>
              <w:widowControl/>
              <w:jc w:val="center"/>
              <w:rPr>
                <w:color w:val="auto"/>
                <w:kern w:val="0"/>
                <w:sz w:val="18"/>
                <w:szCs w:val="18"/>
                <w:highlight w:val="none"/>
              </w:rPr>
            </w:pPr>
            <w:r>
              <w:rPr>
                <w:color w:val="auto"/>
                <w:kern w:val="0"/>
                <w:sz w:val="18"/>
                <w:szCs w:val="18"/>
                <w:highlight w:val="none"/>
              </w:rPr>
              <w:t>万元</w:t>
            </w:r>
          </w:p>
        </w:tc>
        <w:tc>
          <w:tcPr>
            <w:tcW w:w="1125" w:type="dxa"/>
            <w:vAlign w:val="center"/>
          </w:tcPr>
          <w:p w14:paraId="59D3CF86">
            <w:pPr>
              <w:widowControl/>
              <w:jc w:val="center"/>
              <w:rPr>
                <w:color w:val="auto"/>
                <w:kern w:val="0"/>
                <w:sz w:val="18"/>
                <w:szCs w:val="18"/>
                <w:highlight w:val="none"/>
              </w:rPr>
            </w:pPr>
            <w:r>
              <w:rPr>
                <w:color w:val="auto"/>
                <w:kern w:val="0"/>
                <w:sz w:val="18"/>
                <w:szCs w:val="18"/>
                <w:highlight w:val="none"/>
              </w:rPr>
              <w:t>Y≥30000</w:t>
            </w:r>
          </w:p>
        </w:tc>
        <w:tc>
          <w:tcPr>
            <w:tcW w:w="1701" w:type="dxa"/>
            <w:vAlign w:val="center"/>
          </w:tcPr>
          <w:p w14:paraId="6CB76624">
            <w:pPr>
              <w:widowControl/>
              <w:jc w:val="center"/>
              <w:rPr>
                <w:color w:val="auto"/>
                <w:kern w:val="0"/>
                <w:sz w:val="18"/>
                <w:szCs w:val="18"/>
                <w:highlight w:val="none"/>
              </w:rPr>
            </w:pPr>
            <w:r>
              <w:rPr>
                <w:color w:val="auto"/>
                <w:kern w:val="0"/>
                <w:sz w:val="18"/>
                <w:szCs w:val="18"/>
                <w:highlight w:val="none"/>
              </w:rPr>
              <w:t>3000≤Y＜30000</w:t>
            </w:r>
          </w:p>
        </w:tc>
        <w:tc>
          <w:tcPr>
            <w:tcW w:w="1426" w:type="dxa"/>
            <w:vAlign w:val="center"/>
          </w:tcPr>
          <w:p w14:paraId="1D8B8F47">
            <w:pPr>
              <w:widowControl/>
              <w:jc w:val="center"/>
              <w:rPr>
                <w:color w:val="auto"/>
                <w:kern w:val="0"/>
                <w:sz w:val="18"/>
                <w:szCs w:val="18"/>
                <w:highlight w:val="none"/>
              </w:rPr>
            </w:pPr>
            <w:r>
              <w:rPr>
                <w:color w:val="auto"/>
                <w:kern w:val="0"/>
                <w:sz w:val="18"/>
                <w:szCs w:val="18"/>
                <w:highlight w:val="none"/>
              </w:rPr>
              <w:t>200≤Y＜3000</w:t>
            </w:r>
          </w:p>
        </w:tc>
        <w:tc>
          <w:tcPr>
            <w:tcW w:w="992" w:type="dxa"/>
            <w:vAlign w:val="center"/>
          </w:tcPr>
          <w:p w14:paraId="0A743E0B">
            <w:pPr>
              <w:widowControl/>
              <w:jc w:val="center"/>
              <w:rPr>
                <w:color w:val="auto"/>
                <w:kern w:val="0"/>
                <w:sz w:val="18"/>
                <w:szCs w:val="18"/>
                <w:highlight w:val="none"/>
              </w:rPr>
            </w:pPr>
            <w:r>
              <w:rPr>
                <w:color w:val="auto"/>
                <w:kern w:val="0"/>
                <w:sz w:val="18"/>
                <w:szCs w:val="18"/>
                <w:highlight w:val="none"/>
              </w:rPr>
              <w:t>Y＜200</w:t>
            </w:r>
          </w:p>
        </w:tc>
      </w:tr>
      <w:tr w14:paraId="4F724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0845B7E9">
            <w:pPr>
              <w:widowControl/>
              <w:spacing w:line="240" w:lineRule="exact"/>
              <w:jc w:val="left"/>
              <w:rPr>
                <w:color w:val="auto"/>
                <w:kern w:val="0"/>
                <w:sz w:val="18"/>
                <w:szCs w:val="18"/>
                <w:highlight w:val="none"/>
              </w:rPr>
            </w:pPr>
            <w:r>
              <w:rPr>
                <w:color w:val="auto"/>
                <w:kern w:val="0"/>
                <w:sz w:val="18"/>
                <w:szCs w:val="18"/>
                <w:highlight w:val="none"/>
              </w:rPr>
              <w:t>仓储业*</w:t>
            </w:r>
          </w:p>
        </w:tc>
        <w:tc>
          <w:tcPr>
            <w:tcW w:w="1369" w:type="dxa"/>
            <w:vAlign w:val="center"/>
          </w:tcPr>
          <w:p w14:paraId="7AC6D798">
            <w:pPr>
              <w:widowControl/>
              <w:jc w:val="center"/>
              <w:rPr>
                <w:color w:val="auto"/>
                <w:kern w:val="0"/>
                <w:sz w:val="18"/>
                <w:szCs w:val="18"/>
                <w:highlight w:val="none"/>
              </w:rPr>
            </w:pPr>
            <w:r>
              <w:rPr>
                <w:color w:val="auto"/>
                <w:kern w:val="0"/>
                <w:sz w:val="18"/>
                <w:szCs w:val="18"/>
                <w:highlight w:val="none"/>
              </w:rPr>
              <w:t>从业人员(X)</w:t>
            </w:r>
          </w:p>
        </w:tc>
        <w:tc>
          <w:tcPr>
            <w:tcW w:w="709" w:type="dxa"/>
            <w:vAlign w:val="center"/>
          </w:tcPr>
          <w:p w14:paraId="56D8AF53">
            <w:pPr>
              <w:widowControl/>
              <w:jc w:val="center"/>
              <w:rPr>
                <w:color w:val="auto"/>
                <w:kern w:val="0"/>
                <w:sz w:val="18"/>
                <w:szCs w:val="18"/>
                <w:highlight w:val="none"/>
              </w:rPr>
            </w:pPr>
            <w:r>
              <w:rPr>
                <w:color w:val="auto"/>
                <w:kern w:val="0"/>
                <w:sz w:val="18"/>
                <w:szCs w:val="18"/>
                <w:highlight w:val="none"/>
              </w:rPr>
              <w:t>人</w:t>
            </w:r>
          </w:p>
        </w:tc>
        <w:tc>
          <w:tcPr>
            <w:tcW w:w="1125" w:type="dxa"/>
            <w:vAlign w:val="center"/>
          </w:tcPr>
          <w:p w14:paraId="4D1D8338">
            <w:pPr>
              <w:widowControl/>
              <w:jc w:val="center"/>
              <w:rPr>
                <w:color w:val="auto"/>
                <w:kern w:val="0"/>
                <w:sz w:val="18"/>
                <w:szCs w:val="18"/>
                <w:highlight w:val="none"/>
              </w:rPr>
            </w:pPr>
            <w:r>
              <w:rPr>
                <w:color w:val="auto"/>
                <w:kern w:val="0"/>
                <w:sz w:val="18"/>
                <w:szCs w:val="18"/>
                <w:highlight w:val="none"/>
              </w:rPr>
              <w:t>X≥200</w:t>
            </w:r>
          </w:p>
        </w:tc>
        <w:tc>
          <w:tcPr>
            <w:tcW w:w="1701" w:type="dxa"/>
            <w:vAlign w:val="center"/>
          </w:tcPr>
          <w:p w14:paraId="37376FEC">
            <w:pPr>
              <w:widowControl/>
              <w:ind w:left="1" w:leftChars="-51" w:hanging="108" w:hangingChars="60"/>
              <w:jc w:val="center"/>
              <w:rPr>
                <w:color w:val="auto"/>
                <w:kern w:val="0"/>
                <w:sz w:val="18"/>
                <w:szCs w:val="18"/>
                <w:highlight w:val="none"/>
              </w:rPr>
            </w:pPr>
            <w:r>
              <w:rPr>
                <w:color w:val="auto"/>
                <w:kern w:val="0"/>
                <w:sz w:val="18"/>
                <w:szCs w:val="18"/>
                <w:highlight w:val="none"/>
              </w:rPr>
              <w:t>100≤X＜200</w:t>
            </w:r>
          </w:p>
        </w:tc>
        <w:tc>
          <w:tcPr>
            <w:tcW w:w="1426" w:type="dxa"/>
            <w:vAlign w:val="center"/>
          </w:tcPr>
          <w:p w14:paraId="03673E7B">
            <w:pPr>
              <w:widowControl/>
              <w:jc w:val="center"/>
              <w:rPr>
                <w:color w:val="auto"/>
                <w:kern w:val="0"/>
                <w:sz w:val="18"/>
                <w:szCs w:val="18"/>
                <w:highlight w:val="none"/>
              </w:rPr>
            </w:pPr>
            <w:r>
              <w:rPr>
                <w:color w:val="auto"/>
                <w:kern w:val="0"/>
                <w:sz w:val="18"/>
                <w:szCs w:val="18"/>
                <w:highlight w:val="none"/>
              </w:rPr>
              <w:t>20≤X＜100</w:t>
            </w:r>
          </w:p>
        </w:tc>
        <w:tc>
          <w:tcPr>
            <w:tcW w:w="992" w:type="dxa"/>
            <w:vAlign w:val="center"/>
          </w:tcPr>
          <w:p w14:paraId="11B2C8CD">
            <w:pPr>
              <w:widowControl/>
              <w:jc w:val="center"/>
              <w:rPr>
                <w:color w:val="auto"/>
                <w:kern w:val="0"/>
                <w:sz w:val="18"/>
                <w:szCs w:val="18"/>
                <w:highlight w:val="none"/>
              </w:rPr>
            </w:pPr>
            <w:r>
              <w:rPr>
                <w:color w:val="auto"/>
                <w:kern w:val="0"/>
                <w:sz w:val="18"/>
                <w:szCs w:val="18"/>
                <w:highlight w:val="none"/>
              </w:rPr>
              <w:t>X＜20</w:t>
            </w:r>
          </w:p>
        </w:tc>
      </w:tr>
      <w:tr w14:paraId="1953A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457488A2">
            <w:pPr>
              <w:widowControl/>
              <w:jc w:val="left"/>
              <w:rPr>
                <w:color w:val="auto"/>
                <w:kern w:val="0"/>
                <w:sz w:val="18"/>
                <w:szCs w:val="18"/>
                <w:highlight w:val="none"/>
              </w:rPr>
            </w:pPr>
          </w:p>
        </w:tc>
        <w:tc>
          <w:tcPr>
            <w:tcW w:w="1369" w:type="dxa"/>
            <w:vAlign w:val="center"/>
          </w:tcPr>
          <w:p w14:paraId="6C1D634E">
            <w:pPr>
              <w:widowControl/>
              <w:spacing w:line="240" w:lineRule="exact"/>
              <w:jc w:val="center"/>
              <w:rPr>
                <w:color w:val="auto"/>
                <w:kern w:val="0"/>
                <w:sz w:val="18"/>
                <w:szCs w:val="18"/>
                <w:highlight w:val="none"/>
              </w:rPr>
            </w:pPr>
            <w:r>
              <w:rPr>
                <w:color w:val="auto"/>
                <w:kern w:val="0"/>
                <w:sz w:val="18"/>
                <w:szCs w:val="18"/>
                <w:highlight w:val="none"/>
              </w:rPr>
              <w:t>营业收入(Y)</w:t>
            </w:r>
          </w:p>
        </w:tc>
        <w:tc>
          <w:tcPr>
            <w:tcW w:w="709" w:type="dxa"/>
            <w:vAlign w:val="center"/>
          </w:tcPr>
          <w:p w14:paraId="71BA2978">
            <w:pPr>
              <w:widowControl/>
              <w:jc w:val="center"/>
              <w:rPr>
                <w:color w:val="auto"/>
                <w:kern w:val="0"/>
                <w:sz w:val="18"/>
                <w:szCs w:val="18"/>
                <w:highlight w:val="none"/>
              </w:rPr>
            </w:pPr>
            <w:r>
              <w:rPr>
                <w:color w:val="auto"/>
                <w:kern w:val="0"/>
                <w:sz w:val="18"/>
                <w:szCs w:val="18"/>
                <w:highlight w:val="none"/>
              </w:rPr>
              <w:t>万元</w:t>
            </w:r>
          </w:p>
        </w:tc>
        <w:tc>
          <w:tcPr>
            <w:tcW w:w="1125" w:type="dxa"/>
            <w:vAlign w:val="center"/>
          </w:tcPr>
          <w:p w14:paraId="52344B6E">
            <w:pPr>
              <w:widowControl/>
              <w:jc w:val="center"/>
              <w:rPr>
                <w:color w:val="auto"/>
                <w:kern w:val="0"/>
                <w:sz w:val="18"/>
                <w:szCs w:val="18"/>
                <w:highlight w:val="none"/>
              </w:rPr>
            </w:pPr>
            <w:r>
              <w:rPr>
                <w:color w:val="auto"/>
                <w:kern w:val="0"/>
                <w:sz w:val="18"/>
                <w:szCs w:val="18"/>
                <w:highlight w:val="none"/>
              </w:rPr>
              <w:t>Y≥30000</w:t>
            </w:r>
          </w:p>
        </w:tc>
        <w:tc>
          <w:tcPr>
            <w:tcW w:w="1701" w:type="dxa"/>
            <w:vAlign w:val="center"/>
          </w:tcPr>
          <w:p w14:paraId="68FA40A9">
            <w:pPr>
              <w:widowControl/>
              <w:jc w:val="center"/>
              <w:rPr>
                <w:color w:val="auto"/>
                <w:kern w:val="0"/>
                <w:sz w:val="18"/>
                <w:szCs w:val="18"/>
                <w:highlight w:val="none"/>
              </w:rPr>
            </w:pPr>
            <w:r>
              <w:rPr>
                <w:color w:val="auto"/>
                <w:kern w:val="0"/>
                <w:sz w:val="18"/>
                <w:szCs w:val="18"/>
                <w:highlight w:val="none"/>
              </w:rPr>
              <w:t>1000≤Y＜30000</w:t>
            </w:r>
          </w:p>
        </w:tc>
        <w:tc>
          <w:tcPr>
            <w:tcW w:w="1426" w:type="dxa"/>
            <w:vAlign w:val="center"/>
          </w:tcPr>
          <w:p w14:paraId="20D2BF22">
            <w:pPr>
              <w:widowControl/>
              <w:jc w:val="center"/>
              <w:rPr>
                <w:color w:val="auto"/>
                <w:kern w:val="0"/>
                <w:sz w:val="18"/>
                <w:szCs w:val="18"/>
                <w:highlight w:val="none"/>
              </w:rPr>
            </w:pPr>
            <w:r>
              <w:rPr>
                <w:color w:val="auto"/>
                <w:kern w:val="0"/>
                <w:sz w:val="18"/>
                <w:szCs w:val="18"/>
                <w:highlight w:val="none"/>
              </w:rPr>
              <w:t>100≤Y＜1000</w:t>
            </w:r>
          </w:p>
        </w:tc>
        <w:tc>
          <w:tcPr>
            <w:tcW w:w="992" w:type="dxa"/>
            <w:vAlign w:val="center"/>
          </w:tcPr>
          <w:p w14:paraId="279DA98D">
            <w:pPr>
              <w:widowControl/>
              <w:jc w:val="center"/>
              <w:rPr>
                <w:color w:val="auto"/>
                <w:kern w:val="0"/>
                <w:sz w:val="18"/>
                <w:szCs w:val="18"/>
                <w:highlight w:val="none"/>
              </w:rPr>
            </w:pPr>
            <w:r>
              <w:rPr>
                <w:color w:val="auto"/>
                <w:kern w:val="0"/>
                <w:sz w:val="18"/>
                <w:szCs w:val="18"/>
                <w:highlight w:val="none"/>
              </w:rPr>
              <w:t>Y＜100</w:t>
            </w:r>
          </w:p>
        </w:tc>
      </w:tr>
      <w:tr w14:paraId="1DA22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596F076A">
            <w:pPr>
              <w:widowControl/>
              <w:spacing w:line="240" w:lineRule="exact"/>
              <w:jc w:val="left"/>
              <w:rPr>
                <w:color w:val="auto"/>
                <w:kern w:val="0"/>
                <w:sz w:val="18"/>
                <w:szCs w:val="18"/>
                <w:highlight w:val="none"/>
              </w:rPr>
            </w:pPr>
            <w:r>
              <w:rPr>
                <w:color w:val="auto"/>
                <w:kern w:val="0"/>
                <w:sz w:val="18"/>
                <w:szCs w:val="18"/>
                <w:highlight w:val="none"/>
              </w:rPr>
              <w:t>邮政业</w:t>
            </w:r>
          </w:p>
        </w:tc>
        <w:tc>
          <w:tcPr>
            <w:tcW w:w="1369" w:type="dxa"/>
            <w:vAlign w:val="center"/>
          </w:tcPr>
          <w:p w14:paraId="3396A7FB">
            <w:pPr>
              <w:widowControl/>
              <w:jc w:val="center"/>
              <w:rPr>
                <w:color w:val="auto"/>
                <w:kern w:val="0"/>
                <w:sz w:val="18"/>
                <w:szCs w:val="18"/>
                <w:highlight w:val="none"/>
              </w:rPr>
            </w:pPr>
            <w:r>
              <w:rPr>
                <w:color w:val="auto"/>
                <w:kern w:val="0"/>
                <w:sz w:val="18"/>
                <w:szCs w:val="18"/>
                <w:highlight w:val="none"/>
              </w:rPr>
              <w:t>从业人员(X)</w:t>
            </w:r>
          </w:p>
        </w:tc>
        <w:tc>
          <w:tcPr>
            <w:tcW w:w="709" w:type="dxa"/>
            <w:vAlign w:val="center"/>
          </w:tcPr>
          <w:p w14:paraId="197016BA">
            <w:pPr>
              <w:widowControl/>
              <w:jc w:val="center"/>
              <w:rPr>
                <w:color w:val="auto"/>
                <w:kern w:val="0"/>
                <w:sz w:val="18"/>
                <w:szCs w:val="18"/>
                <w:highlight w:val="none"/>
              </w:rPr>
            </w:pPr>
            <w:r>
              <w:rPr>
                <w:color w:val="auto"/>
                <w:kern w:val="0"/>
                <w:sz w:val="18"/>
                <w:szCs w:val="18"/>
                <w:highlight w:val="none"/>
              </w:rPr>
              <w:t>人</w:t>
            </w:r>
          </w:p>
        </w:tc>
        <w:tc>
          <w:tcPr>
            <w:tcW w:w="1125" w:type="dxa"/>
            <w:vAlign w:val="center"/>
          </w:tcPr>
          <w:p w14:paraId="0A17E656">
            <w:pPr>
              <w:widowControl/>
              <w:jc w:val="center"/>
              <w:rPr>
                <w:color w:val="auto"/>
                <w:kern w:val="0"/>
                <w:sz w:val="18"/>
                <w:szCs w:val="18"/>
                <w:highlight w:val="none"/>
              </w:rPr>
            </w:pPr>
            <w:r>
              <w:rPr>
                <w:color w:val="auto"/>
                <w:kern w:val="0"/>
                <w:sz w:val="18"/>
                <w:szCs w:val="18"/>
                <w:highlight w:val="none"/>
              </w:rPr>
              <w:t>X≥1000</w:t>
            </w:r>
          </w:p>
        </w:tc>
        <w:tc>
          <w:tcPr>
            <w:tcW w:w="1701" w:type="dxa"/>
            <w:vAlign w:val="center"/>
          </w:tcPr>
          <w:p w14:paraId="127047BF">
            <w:pPr>
              <w:widowControl/>
              <w:jc w:val="center"/>
              <w:rPr>
                <w:color w:val="auto"/>
                <w:kern w:val="0"/>
                <w:sz w:val="18"/>
                <w:szCs w:val="18"/>
                <w:highlight w:val="none"/>
              </w:rPr>
            </w:pPr>
            <w:r>
              <w:rPr>
                <w:color w:val="auto"/>
                <w:kern w:val="0"/>
                <w:sz w:val="18"/>
                <w:szCs w:val="18"/>
                <w:highlight w:val="none"/>
              </w:rPr>
              <w:t>300≤X＜1000</w:t>
            </w:r>
          </w:p>
        </w:tc>
        <w:tc>
          <w:tcPr>
            <w:tcW w:w="1426" w:type="dxa"/>
            <w:vAlign w:val="center"/>
          </w:tcPr>
          <w:p w14:paraId="0828A5C4">
            <w:pPr>
              <w:widowControl/>
              <w:jc w:val="center"/>
              <w:rPr>
                <w:color w:val="auto"/>
                <w:kern w:val="0"/>
                <w:sz w:val="18"/>
                <w:szCs w:val="18"/>
                <w:highlight w:val="none"/>
              </w:rPr>
            </w:pPr>
            <w:r>
              <w:rPr>
                <w:color w:val="auto"/>
                <w:kern w:val="0"/>
                <w:sz w:val="18"/>
                <w:szCs w:val="18"/>
                <w:highlight w:val="none"/>
              </w:rPr>
              <w:t>20≤X＜300</w:t>
            </w:r>
          </w:p>
        </w:tc>
        <w:tc>
          <w:tcPr>
            <w:tcW w:w="992" w:type="dxa"/>
            <w:vAlign w:val="center"/>
          </w:tcPr>
          <w:p w14:paraId="175ABD66">
            <w:pPr>
              <w:widowControl/>
              <w:jc w:val="center"/>
              <w:rPr>
                <w:color w:val="auto"/>
                <w:kern w:val="0"/>
                <w:sz w:val="18"/>
                <w:szCs w:val="18"/>
                <w:highlight w:val="none"/>
              </w:rPr>
            </w:pPr>
            <w:r>
              <w:rPr>
                <w:color w:val="auto"/>
                <w:kern w:val="0"/>
                <w:sz w:val="18"/>
                <w:szCs w:val="18"/>
                <w:highlight w:val="none"/>
              </w:rPr>
              <w:t>X＜20</w:t>
            </w:r>
          </w:p>
        </w:tc>
      </w:tr>
      <w:tr w14:paraId="0B9CC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6204A7CF">
            <w:pPr>
              <w:widowControl/>
              <w:jc w:val="left"/>
              <w:rPr>
                <w:color w:val="auto"/>
                <w:kern w:val="0"/>
                <w:sz w:val="18"/>
                <w:szCs w:val="18"/>
                <w:highlight w:val="none"/>
              </w:rPr>
            </w:pPr>
          </w:p>
        </w:tc>
        <w:tc>
          <w:tcPr>
            <w:tcW w:w="1369" w:type="dxa"/>
            <w:vAlign w:val="center"/>
          </w:tcPr>
          <w:p w14:paraId="29203DBD">
            <w:pPr>
              <w:widowControl/>
              <w:spacing w:line="240" w:lineRule="exact"/>
              <w:jc w:val="center"/>
              <w:rPr>
                <w:color w:val="auto"/>
                <w:kern w:val="0"/>
                <w:sz w:val="18"/>
                <w:szCs w:val="18"/>
                <w:highlight w:val="none"/>
              </w:rPr>
            </w:pPr>
            <w:r>
              <w:rPr>
                <w:color w:val="auto"/>
                <w:kern w:val="0"/>
                <w:sz w:val="18"/>
                <w:szCs w:val="18"/>
                <w:highlight w:val="none"/>
              </w:rPr>
              <w:t>营业收入(Y)</w:t>
            </w:r>
          </w:p>
        </w:tc>
        <w:tc>
          <w:tcPr>
            <w:tcW w:w="709" w:type="dxa"/>
            <w:vAlign w:val="center"/>
          </w:tcPr>
          <w:p w14:paraId="1F61FAC1">
            <w:pPr>
              <w:widowControl/>
              <w:jc w:val="center"/>
              <w:rPr>
                <w:color w:val="auto"/>
                <w:kern w:val="0"/>
                <w:sz w:val="18"/>
                <w:szCs w:val="18"/>
                <w:highlight w:val="none"/>
              </w:rPr>
            </w:pPr>
            <w:r>
              <w:rPr>
                <w:color w:val="auto"/>
                <w:kern w:val="0"/>
                <w:sz w:val="18"/>
                <w:szCs w:val="18"/>
                <w:highlight w:val="none"/>
              </w:rPr>
              <w:t>万元</w:t>
            </w:r>
          </w:p>
        </w:tc>
        <w:tc>
          <w:tcPr>
            <w:tcW w:w="1125" w:type="dxa"/>
            <w:vAlign w:val="center"/>
          </w:tcPr>
          <w:p w14:paraId="53A02F08">
            <w:pPr>
              <w:widowControl/>
              <w:jc w:val="center"/>
              <w:rPr>
                <w:color w:val="auto"/>
                <w:kern w:val="0"/>
                <w:sz w:val="18"/>
                <w:szCs w:val="18"/>
                <w:highlight w:val="none"/>
              </w:rPr>
            </w:pPr>
            <w:r>
              <w:rPr>
                <w:color w:val="auto"/>
                <w:kern w:val="0"/>
                <w:sz w:val="18"/>
                <w:szCs w:val="18"/>
                <w:highlight w:val="none"/>
              </w:rPr>
              <w:t>Y≥30000</w:t>
            </w:r>
          </w:p>
        </w:tc>
        <w:tc>
          <w:tcPr>
            <w:tcW w:w="1701" w:type="dxa"/>
            <w:vAlign w:val="center"/>
          </w:tcPr>
          <w:p w14:paraId="274606D1">
            <w:pPr>
              <w:widowControl/>
              <w:jc w:val="center"/>
              <w:rPr>
                <w:color w:val="auto"/>
                <w:kern w:val="0"/>
                <w:sz w:val="18"/>
                <w:szCs w:val="18"/>
                <w:highlight w:val="none"/>
              </w:rPr>
            </w:pPr>
            <w:r>
              <w:rPr>
                <w:color w:val="auto"/>
                <w:kern w:val="0"/>
                <w:sz w:val="18"/>
                <w:szCs w:val="18"/>
                <w:highlight w:val="none"/>
              </w:rPr>
              <w:t>2000≤Y＜30000</w:t>
            </w:r>
          </w:p>
        </w:tc>
        <w:tc>
          <w:tcPr>
            <w:tcW w:w="1426" w:type="dxa"/>
            <w:vAlign w:val="center"/>
          </w:tcPr>
          <w:p w14:paraId="5A1EE4EA">
            <w:pPr>
              <w:widowControl/>
              <w:jc w:val="center"/>
              <w:rPr>
                <w:color w:val="auto"/>
                <w:kern w:val="0"/>
                <w:sz w:val="18"/>
                <w:szCs w:val="18"/>
                <w:highlight w:val="none"/>
              </w:rPr>
            </w:pPr>
            <w:r>
              <w:rPr>
                <w:color w:val="auto"/>
                <w:kern w:val="0"/>
                <w:sz w:val="18"/>
                <w:szCs w:val="18"/>
                <w:highlight w:val="none"/>
              </w:rPr>
              <w:t>100≤Y＜2000</w:t>
            </w:r>
          </w:p>
        </w:tc>
        <w:tc>
          <w:tcPr>
            <w:tcW w:w="992" w:type="dxa"/>
            <w:vAlign w:val="center"/>
          </w:tcPr>
          <w:p w14:paraId="47E0B41D">
            <w:pPr>
              <w:widowControl/>
              <w:jc w:val="center"/>
              <w:rPr>
                <w:color w:val="auto"/>
                <w:kern w:val="0"/>
                <w:sz w:val="18"/>
                <w:szCs w:val="18"/>
                <w:highlight w:val="none"/>
              </w:rPr>
            </w:pPr>
            <w:r>
              <w:rPr>
                <w:color w:val="auto"/>
                <w:kern w:val="0"/>
                <w:sz w:val="18"/>
                <w:szCs w:val="18"/>
                <w:highlight w:val="none"/>
              </w:rPr>
              <w:t>Y＜100</w:t>
            </w:r>
          </w:p>
        </w:tc>
      </w:tr>
      <w:tr w14:paraId="17DE2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50086804">
            <w:pPr>
              <w:widowControl/>
              <w:spacing w:line="240" w:lineRule="exact"/>
              <w:jc w:val="left"/>
              <w:rPr>
                <w:color w:val="auto"/>
                <w:kern w:val="0"/>
                <w:sz w:val="18"/>
                <w:szCs w:val="18"/>
                <w:highlight w:val="none"/>
              </w:rPr>
            </w:pPr>
            <w:r>
              <w:rPr>
                <w:color w:val="auto"/>
                <w:kern w:val="0"/>
                <w:sz w:val="18"/>
                <w:szCs w:val="18"/>
                <w:highlight w:val="none"/>
              </w:rPr>
              <w:t>住宿业</w:t>
            </w:r>
          </w:p>
        </w:tc>
        <w:tc>
          <w:tcPr>
            <w:tcW w:w="1369" w:type="dxa"/>
            <w:vAlign w:val="center"/>
          </w:tcPr>
          <w:p w14:paraId="2DD30528">
            <w:pPr>
              <w:widowControl/>
              <w:jc w:val="center"/>
              <w:rPr>
                <w:color w:val="auto"/>
                <w:kern w:val="0"/>
                <w:sz w:val="18"/>
                <w:szCs w:val="18"/>
                <w:highlight w:val="none"/>
              </w:rPr>
            </w:pPr>
            <w:r>
              <w:rPr>
                <w:color w:val="auto"/>
                <w:kern w:val="0"/>
                <w:sz w:val="18"/>
                <w:szCs w:val="18"/>
                <w:highlight w:val="none"/>
              </w:rPr>
              <w:t>从业人员(X)</w:t>
            </w:r>
          </w:p>
        </w:tc>
        <w:tc>
          <w:tcPr>
            <w:tcW w:w="709" w:type="dxa"/>
            <w:vAlign w:val="center"/>
          </w:tcPr>
          <w:p w14:paraId="11861DA2">
            <w:pPr>
              <w:widowControl/>
              <w:jc w:val="center"/>
              <w:rPr>
                <w:color w:val="auto"/>
                <w:kern w:val="0"/>
                <w:sz w:val="18"/>
                <w:szCs w:val="18"/>
                <w:highlight w:val="none"/>
              </w:rPr>
            </w:pPr>
            <w:r>
              <w:rPr>
                <w:color w:val="auto"/>
                <w:kern w:val="0"/>
                <w:sz w:val="18"/>
                <w:szCs w:val="18"/>
                <w:highlight w:val="none"/>
              </w:rPr>
              <w:t>人</w:t>
            </w:r>
          </w:p>
        </w:tc>
        <w:tc>
          <w:tcPr>
            <w:tcW w:w="1125" w:type="dxa"/>
            <w:vAlign w:val="center"/>
          </w:tcPr>
          <w:p w14:paraId="0C4B8D2D">
            <w:pPr>
              <w:widowControl/>
              <w:jc w:val="center"/>
              <w:rPr>
                <w:color w:val="auto"/>
                <w:kern w:val="0"/>
                <w:sz w:val="18"/>
                <w:szCs w:val="18"/>
                <w:highlight w:val="none"/>
              </w:rPr>
            </w:pPr>
            <w:r>
              <w:rPr>
                <w:color w:val="auto"/>
                <w:kern w:val="0"/>
                <w:sz w:val="18"/>
                <w:szCs w:val="18"/>
                <w:highlight w:val="none"/>
              </w:rPr>
              <w:t>X≥300</w:t>
            </w:r>
          </w:p>
        </w:tc>
        <w:tc>
          <w:tcPr>
            <w:tcW w:w="1701" w:type="dxa"/>
            <w:vAlign w:val="center"/>
          </w:tcPr>
          <w:p w14:paraId="5DEE14C8">
            <w:pPr>
              <w:widowControl/>
              <w:ind w:left="1" w:leftChars="-51" w:hanging="108" w:hangingChars="60"/>
              <w:jc w:val="center"/>
              <w:rPr>
                <w:color w:val="auto"/>
                <w:kern w:val="0"/>
                <w:sz w:val="18"/>
                <w:szCs w:val="18"/>
                <w:highlight w:val="none"/>
              </w:rPr>
            </w:pPr>
            <w:r>
              <w:rPr>
                <w:color w:val="auto"/>
                <w:kern w:val="0"/>
                <w:sz w:val="18"/>
                <w:szCs w:val="18"/>
                <w:highlight w:val="none"/>
              </w:rPr>
              <w:t>100≤X＜300</w:t>
            </w:r>
          </w:p>
        </w:tc>
        <w:tc>
          <w:tcPr>
            <w:tcW w:w="1426" w:type="dxa"/>
            <w:vAlign w:val="center"/>
          </w:tcPr>
          <w:p w14:paraId="07BCF254">
            <w:pPr>
              <w:widowControl/>
              <w:jc w:val="center"/>
              <w:rPr>
                <w:color w:val="auto"/>
                <w:kern w:val="0"/>
                <w:sz w:val="18"/>
                <w:szCs w:val="18"/>
                <w:highlight w:val="none"/>
              </w:rPr>
            </w:pPr>
            <w:r>
              <w:rPr>
                <w:color w:val="auto"/>
                <w:kern w:val="0"/>
                <w:sz w:val="18"/>
                <w:szCs w:val="18"/>
                <w:highlight w:val="none"/>
              </w:rPr>
              <w:t>10≤X＜100</w:t>
            </w:r>
          </w:p>
        </w:tc>
        <w:tc>
          <w:tcPr>
            <w:tcW w:w="992" w:type="dxa"/>
            <w:vAlign w:val="center"/>
          </w:tcPr>
          <w:p w14:paraId="00027844">
            <w:pPr>
              <w:widowControl/>
              <w:jc w:val="center"/>
              <w:rPr>
                <w:color w:val="auto"/>
                <w:kern w:val="0"/>
                <w:sz w:val="18"/>
                <w:szCs w:val="18"/>
                <w:highlight w:val="none"/>
              </w:rPr>
            </w:pPr>
            <w:r>
              <w:rPr>
                <w:color w:val="auto"/>
                <w:kern w:val="0"/>
                <w:sz w:val="18"/>
                <w:szCs w:val="18"/>
                <w:highlight w:val="none"/>
              </w:rPr>
              <w:t>X＜10</w:t>
            </w:r>
          </w:p>
        </w:tc>
      </w:tr>
      <w:tr w14:paraId="72AA8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6FDBD3FB">
            <w:pPr>
              <w:widowControl/>
              <w:jc w:val="left"/>
              <w:rPr>
                <w:color w:val="auto"/>
                <w:kern w:val="0"/>
                <w:sz w:val="18"/>
                <w:szCs w:val="18"/>
                <w:highlight w:val="none"/>
              </w:rPr>
            </w:pPr>
          </w:p>
        </w:tc>
        <w:tc>
          <w:tcPr>
            <w:tcW w:w="1369" w:type="dxa"/>
            <w:vAlign w:val="center"/>
          </w:tcPr>
          <w:p w14:paraId="31BB1B49">
            <w:pPr>
              <w:widowControl/>
              <w:spacing w:line="240" w:lineRule="exact"/>
              <w:jc w:val="center"/>
              <w:rPr>
                <w:color w:val="auto"/>
                <w:kern w:val="0"/>
                <w:sz w:val="18"/>
                <w:szCs w:val="18"/>
                <w:highlight w:val="none"/>
              </w:rPr>
            </w:pPr>
            <w:r>
              <w:rPr>
                <w:color w:val="auto"/>
                <w:kern w:val="0"/>
                <w:sz w:val="18"/>
                <w:szCs w:val="18"/>
                <w:highlight w:val="none"/>
              </w:rPr>
              <w:t>营业收入(Y)</w:t>
            </w:r>
          </w:p>
        </w:tc>
        <w:tc>
          <w:tcPr>
            <w:tcW w:w="709" w:type="dxa"/>
            <w:vAlign w:val="center"/>
          </w:tcPr>
          <w:p w14:paraId="4633125C">
            <w:pPr>
              <w:widowControl/>
              <w:jc w:val="center"/>
              <w:rPr>
                <w:color w:val="auto"/>
                <w:kern w:val="0"/>
                <w:sz w:val="18"/>
                <w:szCs w:val="18"/>
                <w:highlight w:val="none"/>
              </w:rPr>
            </w:pPr>
            <w:r>
              <w:rPr>
                <w:color w:val="auto"/>
                <w:kern w:val="0"/>
                <w:sz w:val="18"/>
                <w:szCs w:val="18"/>
                <w:highlight w:val="none"/>
              </w:rPr>
              <w:t>万元</w:t>
            </w:r>
          </w:p>
        </w:tc>
        <w:tc>
          <w:tcPr>
            <w:tcW w:w="1125" w:type="dxa"/>
            <w:vAlign w:val="center"/>
          </w:tcPr>
          <w:p w14:paraId="252CB38F">
            <w:pPr>
              <w:widowControl/>
              <w:jc w:val="center"/>
              <w:rPr>
                <w:color w:val="auto"/>
                <w:kern w:val="0"/>
                <w:sz w:val="18"/>
                <w:szCs w:val="18"/>
                <w:highlight w:val="none"/>
              </w:rPr>
            </w:pPr>
            <w:r>
              <w:rPr>
                <w:color w:val="auto"/>
                <w:kern w:val="0"/>
                <w:sz w:val="18"/>
                <w:szCs w:val="18"/>
                <w:highlight w:val="none"/>
              </w:rPr>
              <w:t>Y≥10000</w:t>
            </w:r>
          </w:p>
        </w:tc>
        <w:tc>
          <w:tcPr>
            <w:tcW w:w="1701" w:type="dxa"/>
            <w:vAlign w:val="center"/>
          </w:tcPr>
          <w:p w14:paraId="6859467A">
            <w:pPr>
              <w:widowControl/>
              <w:jc w:val="center"/>
              <w:rPr>
                <w:color w:val="auto"/>
                <w:kern w:val="0"/>
                <w:sz w:val="18"/>
                <w:szCs w:val="18"/>
                <w:highlight w:val="none"/>
              </w:rPr>
            </w:pPr>
            <w:r>
              <w:rPr>
                <w:color w:val="auto"/>
                <w:kern w:val="0"/>
                <w:sz w:val="18"/>
                <w:szCs w:val="18"/>
                <w:highlight w:val="none"/>
              </w:rPr>
              <w:t>2000≤Y＜10000</w:t>
            </w:r>
          </w:p>
        </w:tc>
        <w:tc>
          <w:tcPr>
            <w:tcW w:w="1426" w:type="dxa"/>
            <w:vAlign w:val="center"/>
          </w:tcPr>
          <w:p w14:paraId="37857D75">
            <w:pPr>
              <w:widowControl/>
              <w:jc w:val="center"/>
              <w:rPr>
                <w:color w:val="auto"/>
                <w:kern w:val="0"/>
                <w:sz w:val="18"/>
                <w:szCs w:val="18"/>
                <w:highlight w:val="none"/>
              </w:rPr>
            </w:pPr>
            <w:r>
              <w:rPr>
                <w:color w:val="auto"/>
                <w:kern w:val="0"/>
                <w:sz w:val="18"/>
                <w:szCs w:val="18"/>
                <w:highlight w:val="none"/>
              </w:rPr>
              <w:t>100≤Y＜2000</w:t>
            </w:r>
          </w:p>
        </w:tc>
        <w:tc>
          <w:tcPr>
            <w:tcW w:w="992" w:type="dxa"/>
            <w:vAlign w:val="center"/>
          </w:tcPr>
          <w:p w14:paraId="18EF2CB2">
            <w:pPr>
              <w:widowControl/>
              <w:jc w:val="center"/>
              <w:rPr>
                <w:color w:val="auto"/>
                <w:kern w:val="0"/>
                <w:sz w:val="18"/>
                <w:szCs w:val="18"/>
                <w:highlight w:val="none"/>
              </w:rPr>
            </w:pPr>
            <w:r>
              <w:rPr>
                <w:color w:val="auto"/>
                <w:kern w:val="0"/>
                <w:sz w:val="18"/>
                <w:szCs w:val="18"/>
                <w:highlight w:val="none"/>
              </w:rPr>
              <w:t>Y＜100</w:t>
            </w:r>
          </w:p>
        </w:tc>
      </w:tr>
      <w:tr w14:paraId="699F1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6AF67E7F">
            <w:pPr>
              <w:widowControl/>
              <w:spacing w:line="240" w:lineRule="exact"/>
              <w:jc w:val="left"/>
              <w:rPr>
                <w:color w:val="auto"/>
                <w:kern w:val="0"/>
                <w:sz w:val="18"/>
                <w:szCs w:val="18"/>
                <w:highlight w:val="none"/>
              </w:rPr>
            </w:pPr>
            <w:r>
              <w:rPr>
                <w:color w:val="auto"/>
                <w:kern w:val="0"/>
                <w:sz w:val="18"/>
                <w:szCs w:val="18"/>
                <w:highlight w:val="none"/>
              </w:rPr>
              <w:t>餐饮业</w:t>
            </w:r>
          </w:p>
        </w:tc>
        <w:tc>
          <w:tcPr>
            <w:tcW w:w="1369" w:type="dxa"/>
            <w:vAlign w:val="center"/>
          </w:tcPr>
          <w:p w14:paraId="56E332B9">
            <w:pPr>
              <w:widowControl/>
              <w:jc w:val="center"/>
              <w:rPr>
                <w:color w:val="auto"/>
                <w:kern w:val="0"/>
                <w:sz w:val="18"/>
                <w:szCs w:val="18"/>
                <w:highlight w:val="none"/>
              </w:rPr>
            </w:pPr>
            <w:r>
              <w:rPr>
                <w:color w:val="auto"/>
                <w:kern w:val="0"/>
                <w:sz w:val="18"/>
                <w:szCs w:val="18"/>
                <w:highlight w:val="none"/>
              </w:rPr>
              <w:t>从业人员(X)</w:t>
            </w:r>
          </w:p>
        </w:tc>
        <w:tc>
          <w:tcPr>
            <w:tcW w:w="709" w:type="dxa"/>
            <w:vAlign w:val="center"/>
          </w:tcPr>
          <w:p w14:paraId="2CDD2487">
            <w:pPr>
              <w:widowControl/>
              <w:jc w:val="center"/>
              <w:rPr>
                <w:color w:val="auto"/>
                <w:kern w:val="0"/>
                <w:sz w:val="18"/>
                <w:szCs w:val="18"/>
                <w:highlight w:val="none"/>
              </w:rPr>
            </w:pPr>
            <w:r>
              <w:rPr>
                <w:color w:val="auto"/>
                <w:kern w:val="0"/>
                <w:sz w:val="18"/>
                <w:szCs w:val="18"/>
                <w:highlight w:val="none"/>
              </w:rPr>
              <w:t>人</w:t>
            </w:r>
          </w:p>
        </w:tc>
        <w:tc>
          <w:tcPr>
            <w:tcW w:w="1125" w:type="dxa"/>
            <w:vAlign w:val="center"/>
          </w:tcPr>
          <w:p w14:paraId="600336D8">
            <w:pPr>
              <w:widowControl/>
              <w:jc w:val="center"/>
              <w:rPr>
                <w:color w:val="auto"/>
                <w:kern w:val="0"/>
                <w:sz w:val="18"/>
                <w:szCs w:val="18"/>
                <w:highlight w:val="none"/>
              </w:rPr>
            </w:pPr>
            <w:r>
              <w:rPr>
                <w:color w:val="auto"/>
                <w:kern w:val="0"/>
                <w:sz w:val="18"/>
                <w:szCs w:val="18"/>
                <w:highlight w:val="none"/>
              </w:rPr>
              <w:t>X≥300</w:t>
            </w:r>
          </w:p>
        </w:tc>
        <w:tc>
          <w:tcPr>
            <w:tcW w:w="1701" w:type="dxa"/>
            <w:vAlign w:val="center"/>
          </w:tcPr>
          <w:p w14:paraId="365C7C0F">
            <w:pPr>
              <w:widowControl/>
              <w:ind w:left="1" w:leftChars="-51" w:hanging="108" w:hangingChars="60"/>
              <w:jc w:val="center"/>
              <w:rPr>
                <w:color w:val="auto"/>
                <w:kern w:val="0"/>
                <w:sz w:val="18"/>
                <w:szCs w:val="18"/>
                <w:highlight w:val="none"/>
              </w:rPr>
            </w:pPr>
            <w:r>
              <w:rPr>
                <w:color w:val="auto"/>
                <w:kern w:val="0"/>
                <w:sz w:val="18"/>
                <w:szCs w:val="18"/>
                <w:highlight w:val="none"/>
              </w:rPr>
              <w:t xml:space="preserve">100≤X＜300 </w:t>
            </w:r>
          </w:p>
        </w:tc>
        <w:tc>
          <w:tcPr>
            <w:tcW w:w="1426" w:type="dxa"/>
            <w:vAlign w:val="center"/>
          </w:tcPr>
          <w:p w14:paraId="2C62E393">
            <w:pPr>
              <w:widowControl/>
              <w:jc w:val="center"/>
              <w:rPr>
                <w:color w:val="auto"/>
                <w:kern w:val="0"/>
                <w:sz w:val="18"/>
                <w:szCs w:val="18"/>
                <w:highlight w:val="none"/>
              </w:rPr>
            </w:pPr>
            <w:r>
              <w:rPr>
                <w:color w:val="auto"/>
                <w:kern w:val="0"/>
                <w:sz w:val="18"/>
                <w:szCs w:val="18"/>
                <w:highlight w:val="none"/>
              </w:rPr>
              <w:t>10≤X＜100</w:t>
            </w:r>
          </w:p>
        </w:tc>
        <w:tc>
          <w:tcPr>
            <w:tcW w:w="992" w:type="dxa"/>
            <w:vAlign w:val="center"/>
          </w:tcPr>
          <w:p w14:paraId="68C8748A">
            <w:pPr>
              <w:widowControl/>
              <w:jc w:val="center"/>
              <w:rPr>
                <w:color w:val="auto"/>
                <w:kern w:val="0"/>
                <w:sz w:val="18"/>
                <w:szCs w:val="18"/>
                <w:highlight w:val="none"/>
              </w:rPr>
            </w:pPr>
            <w:r>
              <w:rPr>
                <w:color w:val="auto"/>
                <w:kern w:val="0"/>
                <w:sz w:val="18"/>
                <w:szCs w:val="18"/>
                <w:highlight w:val="none"/>
              </w:rPr>
              <w:t>X＜10</w:t>
            </w:r>
          </w:p>
        </w:tc>
      </w:tr>
      <w:tr w14:paraId="4CE05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2E7CDA9E">
            <w:pPr>
              <w:widowControl/>
              <w:jc w:val="left"/>
              <w:rPr>
                <w:color w:val="auto"/>
                <w:kern w:val="0"/>
                <w:sz w:val="18"/>
                <w:szCs w:val="18"/>
                <w:highlight w:val="none"/>
              </w:rPr>
            </w:pPr>
          </w:p>
        </w:tc>
        <w:tc>
          <w:tcPr>
            <w:tcW w:w="1369" w:type="dxa"/>
            <w:vAlign w:val="center"/>
          </w:tcPr>
          <w:p w14:paraId="5B355B2D">
            <w:pPr>
              <w:widowControl/>
              <w:spacing w:line="240" w:lineRule="exact"/>
              <w:jc w:val="center"/>
              <w:rPr>
                <w:color w:val="auto"/>
                <w:kern w:val="0"/>
                <w:sz w:val="18"/>
                <w:szCs w:val="18"/>
                <w:highlight w:val="none"/>
              </w:rPr>
            </w:pPr>
            <w:r>
              <w:rPr>
                <w:color w:val="auto"/>
                <w:kern w:val="0"/>
                <w:sz w:val="18"/>
                <w:szCs w:val="18"/>
                <w:highlight w:val="none"/>
              </w:rPr>
              <w:t>营业收入(Y)</w:t>
            </w:r>
          </w:p>
        </w:tc>
        <w:tc>
          <w:tcPr>
            <w:tcW w:w="709" w:type="dxa"/>
            <w:vAlign w:val="center"/>
          </w:tcPr>
          <w:p w14:paraId="1BEEE76F">
            <w:pPr>
              <w:widowControl/>
              <w:jc w:val="center"/>
              <w:rPr>
                <w:color w:val="auto"/>
                <w:kern w:val="0"/>
                <w:sz w:val="18"/>
                <w:szCs w:val="18"/>
                <w:highlight w:val="none"/>
              </w:rPr>
            </w:pPr>
            <w:r>
              <w:rPr>
                <w:color w:val="auto"/>
                <w:kern w:val="0"/>
                <w:sz w:val="18"/>
                <w:szCs w:val="18"/>
                <w:highlight w:val="none"/>
              </w:rPr>
              <w:t>万元</w:t>
            </w:r>
          </w:p>
        </w:tc>
        <w:tc>
          <w:tcPr>
            <w:tcW w:w="1125" w:type="dxa"/>
            <w:vAlign w:val="center"/>
          </w:tcPr>
          <w:p w14:paraId="14B1B3E9">
            <w:pPr>
              <w:widowControl/>
              <w:jc w:val="center"/>
              <w:rPr>
                <w:color w:val="auto"/>
                <w:kern w:val="0"/>
                <w:sz w:val="18"/>
                <w:szCs w:val="18"/>
                <w:highlight w:val="none"/>
              </w:rPr>
            </w:pPr>
            <w:r>
              <w:rPr>
                <w:color w:val="auto"/>
                <w:kern w:val="0"/>
                <w:sz w:val="18"/>
                <w:szCs w:val="18"/>
                <w:highlight w:val="none"/>
              </w:rPr>
              <w:t>Y≥10000</w:t>
            </w:r>
          </w:p>
        </w:tc>
        <w:tc>
          <w:tcPr>
            <w:tcW w:w="1701" w:type="dxa"/>
            <w:vAlign w:val="center"/>
          </w:tcPr>
          <w:p w14:paraId="7424BE1D">
            <w:pPr>
              <w:widowControl/>
              <w:jc w:val="center"/>
              <w:rPr>
                <w:color w:val="auto"/>
                <w:kern w:val="0"/>
                <w:sz w:val="18"/>
                <w:szCs w:val="18"/>
                <w:highlight w:val="none"/>
              </w:rPr>
            </w:pPr>
            <w:r>
              <w:rPr>
                <w:color w:val="auto"/>
                <w:kern w:val="0"/>
                <w:sz w:val="18"/>
                <w:szCs w:val="18"/>
                <w:highlight w:val="none"/>
              </w:rPr>
              <w:t>2000≤Y＜10000</w:t>
            </w:r>
          </w:p>
        </w:tc>
        <w:tc>
          <w:tcPr>
            <w:tcW w:w="1426" w:type="dxa"/>
            <w:vAlign w:val="center"/>
          </w:tcPr>
          <w:p w14:paraId="38013889">
            <w:pPr>
              <w:widowControl/>
              <w:jc w:val="center"/>
              <w:rPr>
                <w:color w:val="auto"/>
                <w:kern w:val="0"/>
                <w:sz w:val="18"/>
                <w:szCs w:val="18"/>
                <w:highlight w:val="none"/>
              </w:rPr>
            </w:pPr>
            <w:r>
              <w:rPr>
                <w:color w:val="auto"/>
                <w:kern w:val="0"/>
                <w:sz w:val="18"/>
                <w:szCs w:val="18"/>
                <w:highlight w:val="none"/>
              </w:rPr>
              <w:t>100≤Y＜2000</w:t>
            </w:r>
          </w:p>
        </w:tc>
        <w:tc>
          <w:tcPr>
            <w:tcW w:w="992" w:type="dxa"/>
            <w:vAlign w:val="center"/>
          </w:tcPr>
          <w:p w14:paraId="07C7C377">
            <w:pPr>
              <w:widowControl/>
              <w:jc w:val="center"/>
              <w:rPr>
                <w:color w:val="auto"/>
                <w:kern w:val="0"/>
                <w:sz w:val="18"/>
                <w:szCs w:val="18"/>
                <w:highlight w:val="none"/>
              </w:rPr>
            </w:pPr>
            <w:r>
              <w:rPr>
                <w:color w:val="auto"/>
                <w:kern w:val="0"/>
                <w:sz w:val="18"/>
                <w:szCs w:val="18"/>
                <w:highlight w:val="none"/>
              </w:rPr>
              <w:t>Y＜100</w:t>
            </w:r>
          </w:p>
        </w:tc>
      </w:tr>
      <w:tr w14:paraId="32AF1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389E883E">
            <w:pPr>
              <w:widowControl/>
              <w:spacing w:line="240" w:lineRule="exact"/>
              <w:jc w:val="left"/>
              <w:rPr>
                <w:color w:val="auto"/>
                <w:kern w:val="0"/>
                <w:sz w:val="18"/>
                <w:szCs w:val="18"/>
                <w:highlight w:val="none"/>
              </w:rPr>
            </w:pPr>
            <w:r>
              <w:rPr>
                <w:color w:val="auto"/>
                <w:kern w:val="0"/>
                <w:sz w:val="18"/>
                <w:szCs w:val="18"/>
                <w:highlight w:val="none"/>
              </w:rPr>
              <w:t>信息传输业 *</w:t>
            </w:r>
          </w:p>
        </w:tc>
        <w:tc>
          <w:tcPr>
            <w:tcW w:w="1369" w:type="dxa"/>
            <w:vAlign w:val="center"/>
          </w:tcPr>
          <w:p w14:paraId="24BFA14C">
            <w:pPr>
              <w:widowControl/>
              <w:jc w:val="center"/>
              <w:rPr>
                <w:color w:val="auto"/>
                <w:kern w:val="0"/>
                <w:sz w:val="18"/>
                <w:szCs w:val="18"/>
                <w:highlight w:val="none"/>
              </w:rPr>
            </w:pPr>
            <w:r>
              <w:rPr>
                <w:color w:val="auto"/>
                <w:kern w:val="0"/>
                <w:sz w:val="18"/>
                <w:szCs w:val="18"/>
                <w:highlight w:val="none"/>
              </w:rPr>
              <w:t>从业人员(X)</w:t>
            </w:r>
          </w:p>
        </w:tc>
        <w:tc>
          <w:tcPr>
            <w:tcW w:w="709" w:type="dxa"/>
            <w:vAlign w:val="center"/>
          </w:tcPr>
          <w:p w14:paraId="0D4DA3E7">
            <w:pPr>
              <w:widowControl/>
              <w:jc w:val="center"/>
              <w:rPr>
                <w:color w:val="auto"/>
                <w:kern w:val="0"/>
                <w:sz w:val="18"/>
                <w:szCs w:val="18"/>
                <w:highlight w:val="none"/>
              </w:rPr>
            </w:pPr>
            <w:r>
              <w:rPr>
                <w:color w:val="auto"/>
                <w:kern w:val="0"/>
                <w:sz w:val="18"/>
                <w:szCs w:val="18"/>
                <w:highlight w:val="none"/>
              </w:rPr>
              <w:t>人</w:t>
            </w:r>
          </w:p>
        </w:tc>
        <w:tc>
          <w:tcPr>
            <w:tcW w:w="1125" w:type="dxa"/>
            <w:vAlign w:val="center"/>
          </w:tcPr>
          <w:p w14:paraId="1B1E8E1F">
            <w:pPr>
              <w:widowControl/>
              <w:jc w:val="center"/>
              <w:rPr>
                <w:color w:val="auto"/>
                <w:kern w:val="0"/>
                <w:sz w:val="18"/>
                <w:szCs w:val="18"/>
                <w:highlight w:val="none"/>
              </w:rPr>
            </w:pPr>
            <w:r>
              <w:rPr>
                <w:color w:val="auto"/>
                <w:kern w:val="0"/>
                <w:sz w:val="18"/>
                <w:szCs w:val="18"/>
                <w:highlight w:val="none"/>
              </w:rPr>
              <w:t>X≥2000</w:t>
            </w:r>
          </w:p>
        </w:tc>
        <w:tc>
          <w:tcPr>
            <w:tcW w:w="1701" w:type="dxa"/>
            <w:vAlign w:val="center"/>
          </w:tcPr>
          <w:p w14:paraId="12F1439E">
            <w:pPr>
              <w:widowControl/>
              <w:jc w:val="center"/>
              <w:rPr>
                <w:color w:val="auto"/>
                <w:kern w:val="0"/>
                <w:sz w:val="18"/>
                <w:szCs w:val="18"/>
                <w:highlight w:val="none"/>
              </w:rPr>
            </w:pPr>
            <w:r>
              <w:rPr>
                <w:color w:val="auto"/>
                <w:kern w:val="0"/>
                <w:sz w:val="18"/>
                <w:szCs w:val="18"/>
                <w:highlight w:val="none"/>
              </w:rPr>
              <w:t>100≤X＜2000</w:t>
            </w:r>
          </w:p>
        </w:tc>
        <w:tc>
          <w:tcPr>
            <w:tcW w:w="1426" w:type="dxa"/>
            <w:vAlign w:val="center"/>
          </w:tcPr>
          <w:p w14:paraId="4F6037B0">
            <w:pPr>
              <w:widowControl/>
              <w:jc w:val="center"/>
              <w:rPr>
                <w:color w:val="auto"/>
                <w:kern w:val="0"/>
                <w:sz w:val="18"/>
                <w:szCs w:val="18"/>
                <w:highlight w:val="none"/>
              </w:rPr>
            </w:pPr>
            <w:r>
              <w:rPr>
                <w:color w:val="auto"/>
                <w:kern w:val="0"/>
                <w:sz w:val="18"/>
                <w:szCs w:val="18"/>
                <w:highlight w:val="none"/>
              </w:rPr>
              <w:t>10≤X＜100</w:t>
            </w:r>
          </w:p>
        </w:tc>
        <w:tc>
          <w:tcPr>
            <w:tcW w:w="992" w:type="dxa"/>
            <w:vAlign w:val="center"/>
          </w:tcPr>
          <w:p w14:paraId="38ECC62A">
            <w:pPr>
              <w:widowControl/>
              <w:jc w:val="center"/>
              <w:rPr>
                <w:color w:val="auto"/>
                <w:kern w:val="0"/>
                <w:sz w:val="18"/>
                <w:szCs w:val="18"/>
                <w:highlight w:val="none"/>
              </w:rPr>
            </w:pPr>
            <w:r>
              <w:rPr>
                <w:color w:val="auto"/>
                <w:kern w:val="0"/>
                <w:sz w:val="18"/>
                <w:szCs w:val="18"/>
                <w:highlight w:val="none"/>
              </w:rPr>
              <w:t>X＜10</w:t>
            </w:r>
          </w:p>
        </w:tc>
      </w:tr>
      <w:tr w14:paraId="03BF6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16D86525">
            <w:pPr>
              <w:widowControl/>
              <w:jc w:val="left"/>
              <w:rPr>
                <w:color w:val="auto"/>
                <w:kern w:val="0"/>
                <w:sz w:val="18"/>
                <w:szCs w:val="18"/>
                <w:highlight w:val="none"/>
              </w:rPr>
            </w:pPr>
          </w:p>
        </w:tc>
        <w:tc>
          <w:tcPr>
            <w:tcW w:w="1369" w:type="dxa"/>
            <w:vAlign w:val="center"/>
          </w:tcPr>
          <w:p w14:paraId="169FF09B">
            <w:pPr>
              <w:widowControl/>
              <w:spacing w:line="240" w:lineRule="exact"/>
              <w:jc w:val="center"/>
              <w:rPr>
                <w:color w:val="auto"/>
                <w:kern w:val="0"/>
                <w:sz w:val="18"/>
                <w:szCs w:val="18"/>
                <w:highlight w:val="none"/>
              </w:rPr>
            </w:pPr>
            <w:r>
              <w:rPr>
                <w:color w:val="auto"/>
                <w:kern w:val="0"/>
                <w:sz w:val="18"/>
                <w:szCs w:val="18"/>
                <w:highlight w:val="none"/>
              </w:rPr>
              <w:t>营业收入(Y)</w:t>
            </w:r>
          </w:p>
        </w:tc>
        <w:tc>
          <w:tcPr>
            <w:tcW w:w="709" w:type="dxa"/>
            <w:vAlign w:val="center"/>
          </w:tcPr>
          <w:p w14:paraId="53A88186">
            <w:pPr>
              <w:widowControl/>
              <w:jc w:val="center"/>
              <w:rPr>
                <w:color w:val="auto"/>
                <w:kern w:val="0"/>
                <w:sz w:val="18"/>
                <w:szCs w:val="18"/>
                <w:highlight w:val="none"/>
              </w:rPr>
            </w:pPr>
            <w:r>
              <w:rPr>
                <w:color w:val="auto"/>
                <w:kern w:val="0"/>
                <w:sz w:val="18"/>
                <w:szCs w:val="18"/>
                <w:highlight w:val="none"/>
              </w:rPr>
              <w:t>万元</w:t>
            </w:r>
          </w:p>
        </w:tc>
        <w:tc>
          <w:tcPr>
            <w:tcW w:w="1125" w:type="dxa"/>
            <w:vAlign w:val="center"/>
          </w:tcPr>
          <w:p w14:paraId="1100FD50">
            <w:pPr>
              <w:widowControl/>
              <w:jc w:val="center"/>
              <w:rPr>
                <w:color w:val="auto"/>
                <w:kern w:val="0"/>
                <w:sz w:val="18"/>
                <w:szCs w:val="18"/>
                <w:highlight w:val="none"/>
              </w:rPr>
            </w:pPr>
            <w:r>
              <w:rPr>
                <w:color w:val="auto"/>
                <w:kern w:val="0"/>
                <w:sz w:val="18"/>
                <w:szCs w:val="18"/>
                <w:highlight w:val="none"/>
              </w:rPr>
              <w:t>Y≥100000</w:t>
            </w:r>
          </w:p>
        </w:tc>
        <w:tc>
          <w:tcPr>
            <w:tcW w:w="1701" w:type="dxa"/>
            <w:vAlign w:val="center"/>
          </w:tcPr>
          <w:p w14:paraId="61754B2C">
            <w:pPr>
              <w:widowControl/>
              <w:jc w:val="center"/>
              <w:rPr>
                <w:color w:val="auto"/>
                <w:kern w:val="0"/>
                <w:sz w:val="18"/>
                <w:szCs w:val="18"/>
                <w:highlight w:val="none"/>
              </w:rPr>
            </w:pPr>
            <w:r>
              <w:rPr>
                <w:color w:val="auto"/>
                <w:kern w:val="0"/>
                <w:sz w:val="18"/>
                <w:szCs w:val="18"/>
                <w:highlight w:val="none"/>
              </w:rPr>
              <w:t>1000≤Y＜100000</w:t>
            </w:r>
          </w:p>
        </w:tc>
        <w:tc>
          <w:tcPr>
            <w:tcW w:w="1426" w:type="dxa"/>
            <w:vAlign w:val="center"/>
          </w:tcPr>
          <w:p w14:paraId="004232A9">
            <w:pPr>
              <w:widowControl/>
              <w:jc w:val="center"/>
              <w:rPr>
                <w:color w:val="auto"/>
                <w:kern w:val="0"/>
                <w:sz w:val="18"/>
                <w:szCs w:val="18"/>
                <w:highlight w:val="none"/>
              </w:rPr>
            </w:pPr>
            <w:r>
              <w:rPr>
                <w:color w:val="auto"/>
                <w:kern w:val="0"/>
                <w:sz w:val="18"/>
                <w:szCs w:val="18"/>
                <w:highlight w:val="none"/>
              </w:rPr>
              <w:t>100≤Y＜1000</w:t>
            </w:r>
          </w:p>
        </w:tc>
        <w:tc>
          <w:tcPr>
            <w:tcW w:w="992" w:type="dxa"/>
            <w:vAlign w:val="center"/>
          </w:tcPr>
          <w:p w14:paraId="7DE22394">
            <w:pPr>
              <w:widowControl/>
              <w:jc w:val="center"/>
              <w:rPr>
                <w:color w:val="auto"/>
                <w:kern w:val="0"/>
                <w:sz w:val="18"/>
                <w:szCs w:val="18"/>
                <w:highlight w:val="none"/>
              </w:rPr>
            </w:pPr>
            <w:r>
              <w:rPr>
                <w:color w:val="auto"/>
                <w:kern w:val="0"/>
                <w:sz w:val="18"/>
                <w:szCs w:val="18"/>
                <w:highlight w:val="none"/>
              </w:rPr>
              <w:t>Y＜100</w:t>
            </w:r>
          </w:p>
        </w:tc>
      </w:tr>
      <w:tr w14:paraId="4F246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36EAB4EB">
            <w:pPr>
              <w:widowControl/>
              <w:spacing w:line="240" w:lineRule="exact"/>
              <w:jc w:val="left"/>
              <w:rPr>
                <w:color w:val="auto"/>
                <w:spacing w:val="-12"/>
                <w:kern w:val="0"/>
                <w:sz w:val="18"/>
                <w:szCs w:val="18"/>
                <w:highlight w:val="none"/>
              </w:rPr>
            </w:pPr>
            <w:r>
              <w:rPr>
                <w:color w:val="auto"/>
                <w:spacing w:val="-12"/>
                <w:kern w:val="0"/>
                <w:sz w:val="18"/>
                <w:szCs w:val="18"/>
                <w:highlight w:val="none"/>
              </w:rPr>
              <w:t>软件和信息技术服</w:t>
            </w:r>
            <w:r>
              <w:rPr>
                <w:color w:val="auto"/>
                <w:kern w:val="0"/>
                <w:sz w:val="18"/>
                <w:szCs w:val="18"/>
                <w:highlight w:val="none"/>
              </w:rPr>
              <w:t>务业</w:t>
            </w:r>
          </w:p>
        </w:tc>
        <w:tc>
          <w:tcPr>
            <w:tcW w:w="1369" w:type="dxa"/>
            <w:vAlign w:val="center"/>
          </w:tcPr>
          <w:p w14:paraId="46972DCC">
            <w:pPr>
              <w:widowControl/>
              <w:jc w:val="center"/>
              <w:rPr>
                <w:color w:val="auto"/>
                <w:kern w:val="0"/>
                <w:sz w:val="18"/>
                <w:szCs w:val="18"/>
                <w:highlight w:val="none"/>
              </w:rPr>
            </w:pPr>
            <w:r>
              <w:rPr>
                <w:color w:val="auto"/>
                <w:kern w:val="0"/>
                <w:sz w:val="18"/>
                <w:szCs w:val="18"/>
                <w:highlight w:val="none"/>
              </w:rPr>
              <w:t>从业人员(X)</w:t>
            </w:r>
          </w:p>
        </w:tc>
        <w:tc>
          <w:tcPr>
            <w:tcW w:w="709" w:type="dxa"/>
            <w:vAlign w:val="center"/>
          </w:tcPr>
          <w:p w14:paraId="2EA6E165">
            <w:pPr>
              <w:widowControl/>
              <w:jc w:val="center"/>
              <w:rPr>
                <w:color w:val="auto"/>
                <w:kern w:val="0"/>
                <w:sz w:val="18"/>
                <w:szCs w:val="18"/>
                <w:highlight w:val="none"/>
              </w:rPr>
            </w:pPr>
            <w:r>
              <w:rPr>
                <w:color w:val="auto"/>
                <w:kern w:val="0"/>
                <w:sz w:val="18"/>
                <w:szCs w:val="18"/>
                <w:highlight w:val="none"/>
              </w:rPr>
              <w:t>人</w:t>
            </w:r>
          </w:p>
        </w:tc>
        <w:tc>
          <w:tcPr>
            <w:tcW w:w="1125" w:type="dxa"/>
            <w:vAlign w:val="center"/>
          </w:tcPr>
          <w:p w14:paraId="77C45144">
            <w:pPr>
              <w:widowControl/>
              <w:jc w:val="center"/>
              <w:rPr>
                <w:color w:val="auto"/>
                <w:kern w:val="0"/>
                <w:sz w:val="18"/>
                <w:szCs w:val="18"/>
                <w:highlight w:val="none"/>
              </w:rPr>
            </w:pPr>
            <w:r>
              <w:rPr>
                <w:color w:val="auto"/>
                <w:kern w:val="0"/>
                <w:sz w:val="18"/>
                <w:szCs w:val="18"/>
                <w:highlight w:val="none"/>
              </w:rPr>
              <w:t>X≥300</w:t>
            </w:r>
          </w:p>
        </w:tc>
        <w:tc>
          <w:tcPr>
            <w:tcW w:w="1701" w:type="dxa"/>
            <w:vAlign w:val="center"/>
          </w:tcPr>
          <w:p w14:paraId="7AD460FC">
            <w:pPr>
              <w:widowControl/>
              <w:ind w:left="1" w:leftChars="-51" w:hanging="108" w:hangingChars="60"/>
              <w:jc w:val="center"/>
              <w:rPr>
                <w:color w:val="auto"/>
                <w:kern w:val="0"/>
                <w:sz w:val="18"/>
                <w:szCs w:val="18"/>
                <w:highlight w:val="none"/>
              </w:rPr>
            </w:pPr>
            <w:r>
              <w:rPr>
                <w:color w:val="auto"/>
                <w:kern w:val="0"/>
                <w:sz w:val="18"/>
                <w:szCs w:val="18"/>
                <w:highlight w:val="none"/>
              </w:rPr>
              <w:t xml:space="preserve">100≤X＜300 </w:t>
            </w:r>
          </w:p>
        </w:tc>
        <w:tc>
          <w:tcPr>
            <w:tcW w:w="1426" w:type="dxa"/>
            <w:vAlign w:val="center"/>
          </w:tcPr>
          <w:p w14:paraId="60EC4A13">
            <w:pPr>
              <w:widowControl/>
              <w:jc w:val="center"/>
              <w:rPr>
                <w:color w:val="auto"/>
                <w:kern w:val="0"/>
                <w:sz w:val="18"/>
                <w:szCs w:val="18"/>
                <w:highlight w:val="none"/>
              </w:rPr>
            </w:pPr>
            <w:r>
              <w:rPr>
                <w:color w:val="auto"/>
                <w:kern w:val="0"/>
                <w:sz w:val="18"/>
                <w:szCs w:val="18"/>
                <w:highlight w:val="none"/>
              </w:rPr>
              <w:t>10≤X＜100</w:t>
            </w:r>
          </w:p>
        </w:tc>
        <w:tc>
          <w:tcPr>
            <w:tcW w:w="992" w:type="dxa"/>
            <w:vAlign w:val="center"/>
          </w:tcPr>
          <w:p w14:paraId="2F75AD4E">
            <w:pPr>
              <w:widowControl/>
              <w:jc w:val="center"/>
              <w:rPr>
                <w:color w:val="auto"/>
                <w:kern w:val="0"/>
                <w:sz w:val="18"/>
                <w:szCs w:val="18"/>
                <w:highlight w:val="none"/>
              </w:rPr>
            </w:pPr>
            <w:r>
              <w:rPr>
                <w:color w:val="auto"/>
                <w:kern w:val="0"/>
                <w:sz w:val="18"/>
                <w:szCs w:val="18"/>
                <w:highlight w:val="none"/>
              </w:rPr>
              <w:t>X＜10</w:t>
            </w:r>
          </w:p>
        </w:tc>
      </w:tr>
      <w:tr w14:paraId="374FB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67DF597F">
            <w:pPr>
              <w:widowControl/>
              <w:jc w:val="left"/>
              <w:rPr>
                <w:color w:val="auto"/>
                <w:spacing w:val="-12"/>
                <w:kern w:val="0"/>
                <w:sz w:val="18"/>
                <w:szCs w:val="18"/>
                <w:highlight w:val="none"/>
              </w:rPr>
            </w:pPr>
          </w:p>
        </w:tc>
        <w:tc>
          <w:tcPr>
            <w:tcW w:w="1369" w:type="dxa"/>
            <w:vAlign w:val="center"/>
          </w:tcPr>
          <w:p w14:paraId="2C08D929">
            <w:pPr>
              <w:widowControl/>
              <w:jc w:val="center"/>
              <w:rPr>
                <w:color w:val="auto"/>
                <w:kern w:val="0"/>
                <w:sz w:val="18"/>
                <w:szCs w:val="18"/>
                <w:highlight w:val="none"/>
              </w:rPr>
            </w:pPr>
            <w:r>
              <w:rPr>
                <w:color w:val="auto"/>
                <w:kern w:val="0"/>
                <w:sz w:val="18"/>
                <w:szCs w:val="18"/>
                <w:highlight w:val="none"/>
              </w:rPr>
              <w:t>营业收入(Y)</w:t>
            </w:r>
          </w:p>
        </w:tc>
        <w:tc>
          <w:tcPr>
            <w:tcW w:w="709" w:type="dxa"/>
            <w:vAlign w:val="center"/>
          </w:tcPr>
          <w:p w14:paraId="335F3089">
            <w:pPr>
              <w:widowControl/>
              <w:jc w:val="center"/>
              <w:rPr>
                <w:color w:val="auto"/>
                <w:kern w:val="0"/>
                <w:sz w:val="18"/>
                <w:szCs w:val="18"/>
                <w:highlight w:val="none"/>
              </w:rPr>
            </w:pPr>
            <w:r>
              <w:rPr>
                <w:color w:val="auto"/>
                <w:kern w:val="0"/>
                <w:sz w:val="18"/>
                <w:szCs w:val="18"/>
                <w:highlight w:val="none"/>
              </w:rPr>
              <w:t>万元</w:t>
            </w:r>
          </w:p>
        </w:tc>
        <w:tc>
          <w:tcPr>
            <w:tcW w:w="1125" w:type="dxa"/>
            <w:vAlign w:val="center"/>
          </w:tcPr>
          <w:p w14:paraId="21589126">
            <w:pPr>
              <w:widowControl/>
              <w:jc w:val="center"/>
              <w:rPr>
                <w:color w:val="auto"/>
                <w:kern w:val="0"/>
                <w:sz w:val="18"/>
                <w:szCs w:val="18"/>
                <w:highlight w:val="none"/>
              </w:rPr>
            </w:pPr>
            <w:r>
              <w:rPr>
                <w:color w:val="auto"/>
                <w:kern w:val="0"/>
                <w:sz w:val="18"/>
                <w:szCs w:val="18"/>
                <w:highlight w:val="none"/>
              </w:rPr>
              <w:t>Y≥10000</w:t>
            </w:r>
          </w:p>
        </w:tc>
        <w:tc>
          <w:tcPr>
            <w:tcW w:w="1701" w:type="dxa"/>
            <w:vAlign w:val="center"/>
          </w:tcPr>
          <w:p w14:paraId="4A86E0B6">
            <w:pPr>
              <w:widowControl/>
              <w:jc w:val="center"/>
              <w:rPr>
                <w:color w:val="auto"/>
                <w:kern w:val="0"/>
                <w:sz w:val="18"/>
                <w:szCs w:val="18"/>
                <w:highlight w:val="none"/>
              </w:rPr>
            </w:pPr>
            <w:r>
              <w:rPr>
                <w:color w:val="auto"/>
                <w:kern w:val="0"/>
                <w:sz w:val="18"/>
                <w:szCs w:val="18"/>
                <w:highlight w:val="none"/>
              </w:rPr>
              <w:t>1000≤Y＜10000</w:t>
            </w:r>
          </w:p>
        </w:tc>
        <w:tc>
          <w:tcPr>
            <w:tcW w:w="1426" w:type="dxa"/>
            <w:vAlign w:val="center"/>
          </w:tcPr>
          <w:p w14:paraId="55C2681A">
            <w:pPr>
              <w:widowControl/>
              <w:jc w:val="center"/>
              <w:rPr>
                <w:color w:val="auto"/>
                <w:kern w:val="0"/>
                <w:sz w:val="18"/>
                <w:szCs w:val="18"/>
                <w:highlight w:val="none"/>
              </w:rPr>
            </w:pPr>
            <w:r>
              <w:rPr>
                <w:color w:val="auto"/>
                <w:kern w:val="0"/>
                <w:sz w:val="18"/>
                <w:szCs w:val="18"/>
                <w:highlight w:val="none"/>
              </w:rPr>
              <w:t>50≤Y＜1000</w:t>
            </w:r>
          </w:p>
        </w:tc>
        <w:tc>
          <w:tcPr>
            <w:tcW w:w="992" w:type="dxa"/>
            <w:vAlign w:val="center"/>
          </w:tcPr>
          <w:p w14:paraId="22015A56">
            <w:pPr>
              <w:widowControl/>
              <w:jc w:val="center"/>
              <w:rPr>
                <w:color w:val="auto"/>
                <w:kern w:val="0"/>
                <w:sz w:val="18"/>
                <w:szCs w:val="18"/>
                <w:highlight w:val="none"/>
              </w:rPr>
            </w:pPr>
            <w:r>
              <w:rPr>
                <w:color w:val="auto"/>
                <w:kern w:val="0"/>
                <w:sz w:val="18"/>
                <w:szCs w:val="18"/>
                <w:highlight w:val="none"/>
              </w:rPr>
              <w:t>Y＜50</w:t>
            </w:r>
          </w:p>
        </w:tc>
      </w:tr>
      <w:tr w14:paraId="4E761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1464D4C2">
            <w:pPr>
              <w:widowControl/>
              <w:spacing w:line="240" w:lineRule="exact"/>
              <w:jc w:val="left"/>
              <w:rPr>
                <w:color w:val="auto"/>
                <w:kern w:val="0"/>
                <w:sz w:val="18"/>
                <w:szCs w:val="18"/>
                <w:highlight w:val="none"/>
              </w:rPr>
            </w:pPr>
            <w:r>
              <w:rPr>
                <w:color w:val="auto"/>
                <w:kern w:val="0"/>
                <w:sz w:val="18"/>
                <w:szCs w:val="18"/>
                <w:highlight w:val="none"/>
              </w:rPr>
              <w:t>房地产开发经营</w:t>
            </w:r>
          </w:p>
        </w:tc>
        <w:tc>
          <w:tcPr>
            <w:tcW w:w="1369" w:type="dxa"/>
            <w:vAlign w:val="center"/>
          </w:tcPr>
          <w:p w14:paraId="0706F40D">
            <w:pPr>
              <w:widowControl/>
              <w:jc w:val="center"/>
              <w:rPr>
                <w:color w:val="auto"/>
                <w:kern w:val="0"/>
                <w:sz w:val="18"/>
                <w:szCs w:val="18"/>
                <w:highlight w:val="none"/>
              </w:rPr>
            </w:pPr>
            <w:r>
              <w:rPr>
                <w:color w:val="auto"/>
                <w:kern w:val="0"/>
                <w:sz w:val="18"/>
                <w:szCs w:val="18"/>
                <w:highlight w:val="none"/>
              </w:rPr>
              <w:t>营业收入(Y)</w:t>
            </w:r>
          </w:p>
        </w:tc>
        <w:tc>
          <w:tcPr>
            <w:tcW w:w="709" w:type="dxa"/>
            <w:vAlign w:val="center"/>
          </w:tcPr>
          <w:p w14:paraId="5CE16900">
            <w:pPr>
              <w:widowControl/>
              <w:jc w:val="center"/>
              <w:rPr>
                <w:color w:val="auto"/>
                <w:kern w:val="0"/>
                <w:sz w:val="18"/>
                <w:szCs w:val="18"/>
                <w:highlight w:val="none"/>
              </w:rPr>
            </w:pPr>
            <w:r>
              <w:rPr>
                <w:color w:val="auto"/>
                <w:kern w:val="0"/>
                <w:sz w:val="18"/>
                <w:szCs w:val="18"/>
                <w:highlight w:val="none"/>
              </w:rPr>
              <w:t>万元</w:t>
            </w:r>
          </w:p>
        </w:tc>
        <w:tc>
          <w:tcPr>
            <w:tcW w:w="1125" w:type="dxa"/>
            <w:vAlign w:val="center"/>
          </w:tcPr>
          <w:p w14:paraId="1AFA5E66">
            <w:pPr>
              <w:widowControl/>
              <w:jc w:val="center"/>
              <w:rPr>
                <w:color w:val="auto"/>
                <w:kern w:val="0"/>
                <w:sz w:val="18"/>
                <w:szCs w:val="18"/>
                <w:highlight w:val="none"/>
              </w:rPr>
            </w:pPr>
            <w:r>
              <w:rPr>
                <w:color w:val="auto"/>
                <w:kern w:val="0"/>
                <w:sz w:val="18"/>
                <w:szCs w:val="18"/>
                <w:highlight w:val="none"/>
              </w:rPr>
              <w:t>Y≥200000</w:t>
            </w:r>
          </w:p>
        </w:tc>
        <w:tc>
          <w:tcPr>
            <w:tcW w:w="1701" w:type="dxa"/>
            <w:vAlign w:val="center"/>
          </w:tcPr>
          <w:p w14:paraId="1C861E18">
            <w:pPr>
              <w:widowControl/>
              <w:jc w:val="center"/>
              <w:rPr>
                <w:color w:val="auto"/>
                <w:kern w:val="0"/>
                <w:sz w:val="18"/>
                <w:szCs w:val="18"/>
                <w:highlight w:val="none"/>
              </w:rPr>
            </w:pPr>
            <w:r>
              <w:rPr>
                <w:color w:val="auto"/>
                <w:kern w:val="0"/>
                <w:sz w:val="18"/>
                <w:szCs w:val="18"/>
                <w:highlight w:val="none"/>
              </w:rPr>
              <w:t>1000≤Y＜200000</w:t>
            </w:r>
          </w:p>
        </w:tc>
        <w:tc>
          <w:tcPr>
            <w:tcW w:w="1426" w:type="dxa"/>
            <w:vAlign w:val="center"/>
          </w:tcPr>
          <w:p w14:paraId="43D753D5">
            <w:pPr>
              <w:widowControl/>
              <w:jc w:val="center"/>
              <w:rPr>
                <w:color w:val="auto"/>
                <w:kern w:val="0"/>
                <w:sz w:val="18"/>
                <w:szCs w:val="18"/>
                <w:highlight w:val="none"/>
              </w:rPr>
            </w:pPr>
            <w:r>
              <w:rPr>
                <w:color w:val="auto"/>
                <w:kern w:val="0"/>
                <w:sz w:val="18"/>
                <w:szCs w:val="18"/>
                <w:highlight w:val="none"/>
              </w:rPr>
              <w:t>100≤Y＜1000</w:t>
            </w:r>
          </w:p>
        </w:tc>
        <w:tc>
          <w:tcPr>
            <w:tcW w:w="992" w:type="dxa"/>
            <w:vAlign w:val="center"/>
          </w:tcPr>
          <w:p w14:paraId="488E4415">
            <w:pPr>
              <w:widowControl/>
              <w:jc w:val="center"/>
              <w:rPr>
                <w:color w:val="auto"/>
                <w:kern w:val="0"/>
                <w:sz w:val="18"/>
                <w:szCs w:val="18"/>
                <w:highlight w:val="none"/>
              </w:rPr>
            </w:pPr>
            <w:r>
              <w:rPr>
                <w:color w:val="auto"/>
                <w:kern w:val="0"/>
                <w:sz w:val="18"/>
                <w:szCs w:val="18"/>
                <w:highlight w:val="none"/>
              </w:rPr>
              <w:t>Y＜100</w:t>
            </w:r>
          </w:p>
        </w:tc>
      </w:tr>
      <w:tr w14:paraId="56B78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57B7519D">
            <w:pPr>
              <w:widowControl/>
              <w:jc w:val="left"/>
              <w:rPr>
                <w:color w:val="auto"/>
                <w:kern w:val="0"/>
                <w:sz w:val="18"/>
                <w:szCs w:val="18"/>
                <w:highlight w:val="none"/>
              </w:rPr>
            </w:pPr>
          </w:p>
        </w:tc>
        <w:tc>
          <w:tcPr>
            <w:tcW w:w="1369" w:type="dxa"/>
            <w:vAlign w:val="center"/>
          </w:tcPr>
          <w:p w14:paraId="37EF24F3">
            <w:pPr>
              <w:widowControl/>
              <w:spacing w:line="240" w:lineRule="exact"/>
              <w:jc w:val="center"/>
              <w:rPr>
                <w:color w:val="auto"/>
                <w:kern w:val="0"/>
                <w:sz w:val="18"/>
                <w:szCs w:val="18"/>
                <w:highlight w:val="none"/>
              </w:rPr>
            </w:pPr>
            <w:r>
              <w:rPr>
                <w:color w:val="auto"/>
                <w:kern w:val="0"/>
                <w:sz w:val="18"/>
                <w:szCs w:val="18"/>
                <w:highlight w:val="none"/>
              </w:rPr>
              <w:t>资产总额(Z)</w:t>
            </w:r>
          </w:p>
        </w:tc>
        <w:tc>
          <w:tcPr>
            <w:tcW w:w="709" w:type="dxa"/>
            <w:vAlign w:val="center"/>
          </w:tcPr>
          <w:p w14:paraId="2BEBF47A">
            <w:pPr>
              <w:widowControl/>
              <w:jc w:val="center"/>
              <w:rPr>
                <w:color w:val="auto"/>
                <w:kern w:val="0"/>
                <w:sz w:val="18"/>
                <w:szCs w:val="18"/>
                <w:highlight w:val="none"/>
              </w:rPr>
            </w:pPr>
            <w:r>
              <w:rPr>
                <w:color w:val="auto"/>
                <w:kern w:val="0"/>
                <w:sz w:val="18"/>
                <w:szCs w:val="18"/>
                <w:highlight w:val="none"/>
              </w:rPr>
              <w:t>万元</w:t>
            </w:r>
          </w:p>
        </w:tc>
        <w:tc>
          <w:tcPr>
            <w:tcW w:w="1125" w:type="dxa"/>
            <w:vAlign w:val="center"/>
          </w:tcPr>
          <w:p w14:paraId="6ABD43AC">
            <w:pPr>
              <w:widowControl/>
              <w:jc w:val="center"/>
              <w:rPr>
                <w:color w:val="auto"/>
                <w:kern w:val="0"/>
                <w:sz w:val="18"/>
                <w:szCs w:val="18"/>
                <w:highlight w:val="none"/>
              </w:rPr>
            </w:pPr>
            <w:r>
              <w:rPr>
                <w:color w:val="auto"/>
                <w:kern w:val="0"/>
                <w:sz w:val="18"/>
                <w:szCs w:val="18"/>
                <w:highlight w:val="none"/>
              </w:rPr>
              <w:t>Z≥10000</w:t>
            </w:r>
          </w:p>
        </w:tc>
        <w:tc>
          <w:tcPr>
            <w:tcW w:w="1701" w:type="dxa"/>
            <w:vAlign w:val="center"/>
          </w:tcPr>
          <w:p w14:paraId="292C7DD6">
            <w:pPr>
              <w:widowControl/>
              <w:jc w:val="center"/>
              <w:rPr>
                <w:color w:val="auto"/>
                <w:kern w:val="0"/>
                <w:sz w:val="18"/>
                <w:szCs w:val="18"/>
                <w:highlight w:val="none"/>
              </w:rPr>
            </w:pPr>
            <w:r>
              <w:rPr>
                <w:color w:val="auto"/>
                <w:kern w:val="0"/>
                <w:sz w:val="18"/>
                <w:szCs w:val="18"/>
                <w:highlight w:val="none"/>
              </w:rPr>
              <w:t>5000≤Z＜10000</w:t>
            </w:r>
          </w:p>
        </w:tc>
        <w:tc>
          <w:tcPr>
            <w:tcW w:w="1426" w:type="dxa"/>
            <w:vAlign w:val="center"/>
          </w:tcPr>
          <w:p w14:paraId="6657A34A">
            <w:pPr>
              <w:widowControl/>
              <w:jc w:val="center"/>
              <w:rPr>
                <w:color w:val="auto"/>
                <w:kern w:val="0"/>
                <w:sz w:val="18"/>
                <w:szCs w:val="18"/>
                <w:highlight w:val="none"/>
              </w:rPr>
            </w:pPr>
            <w:r>
              <w:rPr>
                <w:color w:val="auto"/>
                <w:kern w:val="0"/>
                <w:sz w:val="18"/>
                <w:szCs w:val="18"/>
                <w:highlight w:val="none"/>
              </w:rPr>
              <w:t>2000≤Z＜5000</w:t>
            </w:r>
          </w:p>
        </w:tc>
        <w:tc>
          <w:tcPr>
            <w:tcW w:w="992" w:type="dxa"/>
            <w:vAlign w:val="center"/>
          </w:tcPr>
          <w:p w14:paraId="6BD6850B">
            <w:pPr>
              <w:widowControl/>
              <w:jc w:val="center"/>
              <w:rPr>
                <w:color w:val="auto"/>
                <w:kern w:val="0"/>
                <w:sz w:val="18"/>
                <w:szCs w:val="18"/>
                <w:highlight w:val="none"/>
              </w:rPr>
            </w:pPr>
            <w:r>
              <w:rPr>
                <w:color w:val="auto"/>
                <w:kern w:val="0"/>
                <w:sz w:val="18"/>
                <w:szCs w:val="18"/>
                <w:highlight w:val="none"/>
              </w:rPr>
              <w:t>Z＜2000</w:t>
            </w:r>
          </w:p>
        </w:tc>
      </w:tr>
      <w:tr w14:paraId="481B4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45272EB4">
            <w:pPr>
              <w:widowControl/>
              <w:spacing w:line="240" w:lineRule="exact"/>
              <w:jc w:val="left"/>
              <w:rPr>
                <w:color w:val="auto"/>
                <w:kern w:val="0"/>
                <w:sz w:val="18"/>
                <w:szCs w:val="18"/>
                <w:highlight w:val="none"/>
              </w:rPr>
            </w:pPr>
            <w:r>
              <w:rPr>
                <w:color w:val="auto"/>
                <w:kern w:val="0"/>
                <w:sz w:val="18"/>
                <w:szCs w:val="18"/>
                <w:highlight w:val="none"/>
              </w:rPr>
              <w:t>物业管理</w:t>
            </w:r>
          </w:p>
        </w:tc>
        <w:tc>
          <w:tcPr>
            <w:tcW w:w="1369" w:type="dxa"/>
            <w:vAlign w:val="center"/>
          </w:tcPr>
          <w:p w14:paraId="1B3C4783">
            <w:pPr>
              <w:widowControl/>
              <w:jc w:val="center"/>
              <w:rPr>
                <w:color w:val="auto"/>
                <w:kern w:val="0"/>
                <w:sz w:val="18"/>
                <w:szCs w:val="18"/>
                <w:highlight w:val="none"/>
              </w:rPr>
            </w:pPr>
            <w:r>
              <w:rPr>
                <w:color w:val="auto"/>
                <w:kern w:val="0"/>
                <w:sz w:val="18"/>
                <w:szCs w:val="18"/>
                <w:highlight w:val="none"/>
              </w:rPr>
              <w:t>从业人员(X)</w:t>
            </w:r>
          </w:p>
        </w:tc>
        <w:tc>
          <w:tcPr>
            <w:tcW w:w="709" w:type="dxa"/>
            <w:vAlign w:val="center"/>
          </w:tcPr>
          <w:p w14:paraId="7B37C2C3">
            <w:pPr>
              <w:widowControl/>
              <w:jc w:val="center"/>
              <w:rPr>
                <w:color w:val="auto"/>
                <w:kern w:val="0"/>
                <w:sz w:val="18"/>
                <w:szCs w:val="18"/>
                <w:highlight w:val="none"/>
              </w:rPr>
            </w:pPr>
            <w:r>
              <w:rPr>
                <w:color w:val="auto"/>
                <w:kern w:val="0"/>
                <w:sz w:val="18"/>
                <w:szCs w:val="18"/>
                <w:highlight w:val="none"/>
              </w:rPr>
              <w:t>人</w:t>
            </w:r>
          </w:p>
        </w:tc>
        <w:tc>
          <w:tcPr>
            <w:tcW w:w="1125" w:type="dxa"/>
            <w:vAlign w:val="center"/>
          </w:tcPr>
          <w:p w14:paraId="4A63CD7D">
            <w:pPr>
              <w:widowControl/>
              <w:jc w:val="center"/>
              <w:rPr>
                <w:color w:val="auto"/>
                <w:kern w:val="0"/>
                <w:sz w:val="18"/>
                <w:szCs w:val="18"/>
                <w:highlight w:val="none"/>
              </w:rPr>
            </w:pPr>
            <w:r>
              <w:rPr>
                <w:color w:val="auto"/>
                <w:kern w:val="0"/>
                <w:sz w:val="18"/>
                <w:szCs w:val="18"/>
                <w:highlight w:val="none"/>
              </w:rPr>
              <w:t>X≥1000</w:t>
            </w:r>
          </w:p>
        </w:tc>
        <w:tc>
          <w:tcPr>
            <w:tcW w:w="1701" w:type="dxa"/>
            <w:vAlign w:val="center"/>
          </w:tcPr>
          <w:p w14:paraId="3B081584">
            <w:pPr>
              <w:widowControl/>
              <w:jc w:val="center"/>
              <w:rPr>
                <w:color w:val="auto"/>
                <w:kern w:val="0"/>
                <w:sz w:val="18"/>
                <w:szCs w:val="18"/>
                <w:highlight w:val="none"/>
              </w:rPr>
            </w:pPr>
            <w:r>
              <w:rPr>
                <w:color w:val="auto"/>
                <w:kern w:val="0"/>
                <w:sz w:val="18"/>
                <w:szCs w:val="18"/>
                <w:highlight w:val="none"/>
              </w:rPr>
              <w:t>300≤X＜1000</w:t>
            </w:r>
          </w:p>
        </w:tc>
        <w:tc>
          <w:tcPr>
            <w:tcW w:w="1426" w:type="dxa"/>
            <w:vAlign w:val="center"/>
          </w:tcPr>
          <w:p w14:paraId="3ABDF75D">
            <w:pPr>
              <w:widowControl/>
              <w:jc w:val="center"/>
              <w:rPr>
                <w:color w:val="auto"/>
                <w:kern w:val="0"/>
                <w:sz w:val="18"/>
                <w:szCs w:val="18"/>
                <w:highlight w:val="none"/>
              </w:rPr>
            </w:pPr>
            <w:r>
              <w:rPr>
                <w:color w:val="auto"/>
                <w:kern w:val="0"/>
                <w:sz w:val="18"/>
                <w:szCs w:val="18"/>
                <w:highlight w:val="none"/>
              </w:rPr>
              <w:t>100≤X＜300</w:t>
            </w:r>
          </w:p>
        </w:tc>
        <w:tc>
          <w:tcPr>
            <w:tcW w:w="992" w:type="dxa"/>
            <w:vAlign w:val="center"/>
          </w:tcPr>
          <w:p w14:paraId="302C4C83">
            <w:pPr>
              <w:widowControl/>
              <w:jc w:val="center"/>
              <w:rPr>
                <w:color w:val="auto"/>
                <w:kern w:val="0"/>
                <w:sz w:val="18"/>
                <w:szCs w:val="18"/>
                <w:highlight w:val="none"/>
              </w:rPr>
            </w:pPr>
            <w:r>
              <w:rPr>
                <w:color w:val="auto"/>
                <w:kern w:val="0"/>
                <w:sz w:val="18"/>
                <w:szCs w:val="18"/>
                <w:highlight w:val="none"/>
              </w:rPr>
              <w:t>X＜100</w:t>
            </w:r>
          </w:p>
        </w:tc>
      </w:tr>
      <w:tr w14:paraId="77A2A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4C8FBD6A">
            <w:pPr>
              <w:widowControl/>
              <w:jc w:val="left"/>
              <w:rPr>
                <w:color w:val="auto"/>
                <w:kern w:val="0"/>
                <w:sz w:val="18"/>
                <w:szCs w:val="18"/>
                <w:highlight w:val="none"/>
              </w:rPr>
            </w:pPr>
          </w:p>
        </w:tc>
        <w:tc>
          <w:tcPr>
            <w:tcW w:w="1369" w:type="dxa"/>
            <w:vAlign w:val="center"/>
          </w:tcPr>
          <w:p w14:paraId="3A8B3F78">
            <w:pPr>
              <w:widowControl/>
              <w:spacing w:line="240" w:lineRule="exact"/>
              <w:jc w:val="center"/>
              <w:rPr>
                <w:color w:val="auto"/>
                <w:kern w:val="0"/>
                <w:sz w:val="18"/>
                <w:szCs w:val="18"/>
                <w:highlight w:val="none"/>
              </w:rPr>
            </w:pPr>
            <w:r>
              <w:rPr>
                <w:color w:val="auto"/>
                <w:kern w:val="0"/>
                <w:sz w:val="18"/>
                <w:szCs w:val="18"/>
                <w:highlight w:val="none"/>
              </w:rPr>
              <w:t>营业收入(Y)</w:t>
            </w:r>
          </w:p>
        </w:tc>
        <w:tc>
          <w:tcPr>
            <w:tcW w:w="709" w:type="dxa"/>
            <w:vAlign w:val="center"/>
          </w:tcPr>
          <w:p w14:paraId="0A179CAA">
            <w:pPr>
              <w:widowControl/>
              <w:jc w:val="center"/>
              <w:rPr>
                <w:color w:val="auto"/>
                <w:kern w:val="0"/>
                <w:sz w:val="18"/>
                <w:szCs w:val="18"/>
                <w:highlight w:val="none"/>
              </w:rPr>
            </w:pPr>
            <w:r>
              <w:rPr>
                <w:color w:val="auto"/>
                <w:kern w:val="0"/>
                <w:sz w:val="18"/>
                <w:szCs w:val="18"/>
                <w:highlight w:val="none"/>
              </w:rPr>
              <w:t>万元</w:t>
            </w:r>
          </w:p>
        </w:tc>
        <w:tc>
          <w:tcPr>
            <w:tcW w:w="1125" w:type="dxa"/>
            <w:vAlign w:val="center"/>
          </w:tcPr>
          <w:p w14:paraId="1DED42FE">
            <w:pPr>
              <w:widowControl/>
              <w:jc w:val="center"/>
              <w:rPr>
                <w:color w:val="auto"/>
                <w:kern w:val="0"/>
                <w:sz w:val="18"/>
                <w:szCs w:val="18"/>
                <w:highlight w:val="none"/>
              </w:rPr>
            </w:pPr>
            <w:r>
              <w:rPr>
                <w:color w:val="auto"/>
                <w:kern w:val="0"/>
                <w:sz w:val="18"/>
                <w:szCs w:val="18"/>
                <w:highlight w:val="none"/>
              </w:rPr>
              <w:t>Y≥5000</w:t>
            </w:r>
          </w:p>
        </w:tc>
        <w:tc>
          <w:tcPr>
            <w:tcW w:w="1701" w:type="dxa"/>
            <w:vAlign w:val="center"/>
          </w:tcPr>
          <w:p w14:paraId="069AD068">
            <w:pPr>
              <w:widowControl/>
              <w:ind w:left="1" w:leftChars="-51" w:hanging="108" w:hangingChars="60"/>
              <w:jc w:val="center"/>
              <w:rPr>
                <w:color w:val="auto"/>
                <w:kern w:val="0"/>
                <w:sz w:val="18"/>
                <w:szCs w:val="18"/>
                <w:highlight w:val="none"/>
              </w:rPr>
            </w:pPr>
            <w:r>
              <w:rPr>
                <w:color w:val="auto"/>
                <w:kern w:val="0"/>
                <w:sz w:val="18"/>
                <w:szCs w:val="18"/>
                <w:highlight w:val="none"/>
              </w:rPr>
              <w:t>1000≤Y＜5000</w:t>
            </w:r>
          </w:p>
        </w:tc>
        <w:tc>
          <w:tcPr>
            <w:tcW w:w="1426" w:type="dxa"/>
            <w:vAlign w:val="center"/>
          </w:tcPr>
          <w:p w14:paraId="3AF3810E">
            <w:pPr>
              <w:widowControl/>
              <w:jc w:val="center"/>
              <w:rPr>
                <w:color w:val="auto"/>
                <w:kern w:val="0"/>
                <w:sz w:val="18"/>
                <w:szCs w:val="18"/>
                <w:highlight w:val="none"/>
              </w:rPr>
            </w:pPr>
            <w:r>
              <w:rPr>
                <w:color w:val="auto"/>
                <w:kern w:val="0"/>
                <w:sz w:val="18"/>
                <w:szCs w:val="18"/>
                <w:highlight w:val="none"/>
              </w:rPr>
              <w:t>500≤Y＜1000</w:t>
            </w:r>
          </w:p>
        </w:tc>
        <w:tc>
          <w:tcPr>
            <w:tcW w:w="992" w:type="dxa"/>
            <w:vAlign w:val="center"/>
          </w:tcPr>
          <w:p w14:paraId="524E6C79">
            <w:pPr>
              <w:widowControl/>
              <w:jc w:val="center"/>
              <w:rPr>
                <w:color w:val="auto"/>
                <w:kern w:val="0"/>
                <w:sz w:val="18"/>
                <w:szCs w:val="18"/>
                <w:highlight w:val="none"/>
              </w:rPr>
            </w:pPr>
            <w:r>
              <w:rPr>
                <w:color w:val="auto"/>
                <w:kern w:val="0"/>
                <w:sz w:val="18"/>
                <w:szCs w:val="18"/>
                <w:highlight w:val="none"/>
              </w:rPr>
              <w:t>Y＜500</w:t>
            </w:r>
          </w:p>
        </w:tc>
      </w:tr>
      <w:tr w14:paraId="29E39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67839913">
            <w:pPr>
              <w:widowControl/>
              <w:spacing w:line="240" w:lineRule="exact"/>
              <w:jc w:val="left"/>
              <w:rPr>
                <w:color w:val="auto"/>
                <w:kern w:val="0"/>
                <w:sz w:val="18"/>
                <w:szCs w:val="18"/>
                <w:highlight w:val="none"/>
              </w:rPr>
            </w:pPr>
            <w:r>
              <w:rPr>
                <w:color w:val="auto"/>
                <w:kern w:val="0"/>
                <w:sz w:val="18"/>
                <w:szCs w:val="18"/>
                <w:highlight w:val="none"/>
              </w:rPr>
              <w:t>租赁和商务服务业</w:t>
            </w:r>
          </w:p>
        </w:tc>
        <w:tc>
          <w:tcPr>
            <w:tcW w:w="1369" w:type="dxa"/>
            <w:vAlign w:val="center"/>
          </w:tcPr>
          <w:p w14:paraId="6EA7CC86">
            <w:pPr>
              <w:widowControl/>
              <w:jc w:val="center"/>
              <w:rPr>
                <w:color w:val="auto"/>
                <w:kern w:val="0"/>
                <w:sz w:val="18"/>
                <w:szCs w:val="18"/>
                <w:highlight w:val="none"/>
              </w:rPr>
            </w:pPr>
            <w:r>
              <w:rPr>
                <w:color w:val="auto"/>
                <w:kern w:val="0"/>
                <w:sz w:val="18"/>
                <w:szCs w:val="18"/>
                <w:highlight w:val="none"/>
              </w:rPr>
              <w:t>从业人员(X)</w:t>
            </w:r>
          </w:p>
        </w:tc>
        <w:tc>
          <w:tcPr>
            <w:tcW w:w="709" w:type="dxa"/>
            <w:vAlign w:val="center"/>
          </w:tcPr>
          <w:p w14:paraId="1DD985AB">
            <w:pPr>
              <w:widowControl/>
              <w:jc w:val="center"/>
              <w:rPr>
                <w:color w:val="auto"/>
                <w:kern w:val="0"/>
                <w:sz w:val="18"/>
                <w:szCs w:val="18"/>
                <w:highlight w:val="none"/>
              </w:rPr>
            </w:pPr>
            <w:r>
              <w:rPr>
                <w:color w:val="auto"/>
                <w:kern w:val="0"/>
                <w:sz w:val="18"/>
                <w:szCs w:val="18"/>
                <w:highlight w:val="none"/>
              </w:rPr>
              <w:t>人</w:t>
            </w:r>
          </w:p>
        </w:tc>
        <w:tc>
          <w:tcPr>
            <w:tcW w:w="1125" w:type="dxa"/>
            <w:vAlign w:val="center"/>
          </w:tcPr>
          <w:p w14:paraId="15CC2C45">
            <w:pPr>
              <w:widowControl/>
              <w:jc w:val="center"/>
              <w:rPr>
                <w:color w:val="auto"/>
                <w:kern w:val="0"/>
                <w:sz w:val="18"/>
                <w:szCs w:val="18"/>
                <w:highlight w:val="none"/>
              </w:rPr>
            </w:pPr>
            <w:r>
              <w:rPr>
                <w:color w:val="auto"/>
                <w:kern w:val="0"/>
                <w:sz w:val="18"/>
                <w:szCs w:val="18"/>
                <w:highlight w:val="none"/>
              </w:rPr>
              <w:t>X≥300</w:t>
            </w:r>
          </w:p>
        </w:tc>
        <w:tc>
          <w:tcPr>
            <w:tcW w:w="1701" w:type="dxa"/>
            <w:vAlign w:val="center"/>
          </w:tcPr>
          <w:p w14:paraId="1347D1BD">
            <w:pPr>
              <w:widowControl/>
              <w:ind w:left="1" w:leftChars="-51" w:hanging="108" w:hangingChars="60"/>
              <w:jc w:val="center"/>
              <w:rPr>
                <w:color w:val="auto"/>
                <w:kern w:val="0"/>
                <w:sz w:val="18"/>
                <w:szCs w:val="18"/>
                <w:highlight w:val="none"/>
              </w:rPr>
            </w:pPr>
            <w:r>
              <w:rPr>
                <w:color w:val="auto"/>
                <w:kern w:val="0"/>
                <w:sz w:val="18"/>
                <w:szCs w:val="18"/>
                <w:highlight w:val="none"/>
              </w:rPr>
              <w:t>100≤X＜300</w:t>
            </w:r>
          </w:p>
        </w:tc>
        <w:tc>
          <w:tcPr>
            <w:tcW w:w="1426" w:type="dxa"/>
            <w:vAlign w:val="center"/>
          </w:tcPr>
          <w:p w14:paraId="79863276">
            <w:pPr>
              <w:widowControl/>
              <w:jc w:val="center"/>
              <w:rPr>
                <w:color w:val="auto"/>
                <w:kern w:val="0"/>
                <w:sz w:val="18"/>
                <w:szCs w:val="18"/>
                <w:highlight w:val="none"/>
              </w:rPr>
            </w:pPr>
            <w:r>
              <w:rPr>
                <w:color w:val="auto"/>
                <w:kern w:val="0"/>
                <w:sz w:val="18"/>
                <w:szCs w:val="18"/>
                <w:highlight w:val="none"/>
              </w:rPr>
              <w:t>10≤X＜100</w:t>
            </w:r>
          </w:p>
        </w:tc>
        <w:tc>
          <w:tcPr>
            <w:tcW w:w="992" w:type="dxa"/>
            <w:vAlign w:val="center"/>
          </w:tcPr>
          <w:p w14:paraId="398E2698">
            <w:pPr>
              <w:widowControl/>
              <w:jc w:val="center"/>
              <w:rPr>
                <w:color w:val="auto"/>
                <w:kern w:val="0"/>
                <w:sz w:val="18"/>
                <w:szCs w:val="18"/>
                <w:highlight w:val="none"/>
              </w:rPr>
            </w:pPr>
            <w:r>
              <w:rPr>
                <w:color w:val="auto"/>
                <w:kern w:val="0"/>
                <w:sz w:val="18"/>
                <w:szCs w:val="18"/>
                <w:highlight w:val="none"/>
              </w:rPr>
              <w:t>X＜10</w:t>
            </w:r>
          </w:p>
        </w:tc>
      </w:tr>
      <w:tr w14:paraId="32D21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487E9319">
            <w:pPr>
              <w:widowControl/>
              <w:jc w:val="left"/>
              <w:rPr>
                <w:color w:val="auto"/>
                <w:kern w:val="0"/>
                <w:sz w:val="18"/>
                <w:szCs w:val="18"/>
                <w:highlight w:val="none"/>
              </w:rPr>
            </w:pPr>
          </w:p>
        </w:tc>
        <w:tc>
          <w:tcPr>
            <w:tcW w:w="1369" w:type="dxa"/>
            <w:vAlign w:val="center"/>
          </w:tcPr>
          <w:p w14:paraId="7E3E96DC">
            <w:pPr>
              <w:widowControl/>
              <w:spacing w:line="240" w:lineRule="exact"/>
              <w:jc w:val="center"/>
              <w:rPr>
                <w:color w:val="auto"/>
                <w:kern w:val="0"/>
                <w:sz w:val="18"/>
                <w:szCs w:val="18"/>
                <w:highlight w:val="none"/>
              </w:rPr>
            </w:pPr>
            <w:r>
              <w:rPr>
                <w:color w:val="auto"/>
                <w:kern w:val="0"/>
                <w:sz w:val="18"/>
                <w:szCs w:val="18"/>
                <w:highlight w:val="none"/>
              </w:rPr>
              <w:t>资产总额(Z)</w:t>
            </w:r>
          </w:p>
        </w:tc>
        <w:tc>
          <w:tcPr>
            <w:tcW w:w="709" w:type="dxa"/>
            <w:vAlign w:val="center"/>
          </w:tcPr>
          <w:p w14:paraId="3420DBC9">
            <w:pPr>
              <w:widowControl/>
              <w:jc w:val="center"/>
              <w:rPr>
                <w:color w:val="auto"/>
                <w:kern w:val="0"/>
                <w:sz w:val="18"/>
                <w:szCs w:val="18"/>
                <w:highlight w:val="none"/>
              </w:rPr>
            </w:pPr>
            <w:r>
              <w:rPr>
                <w:color w:val="auto"/>
                <w:kern w:val="0"/>
                <w:sz w:val="18"/>
                <w:szCs w:val="18"/>
                <w:highlight w:val="none"/>
              </w:rPr>
              <w:t>万元</w:t>
            </w:r>
          </w:p>
        </w:tc>
        <w:tc>
          <w:tcPr>
            <w:tcW w:w="1125" w:type="dxa"/>
            <w:vAlign w:val="center"/>
          </w:tcPr>
          <w:p w14:paraId="3CD2F793">
            <w:pPr>
              <w:widowControl/>
              <w:jc w:val="center"/>
              <w:rPr>
                <w:color w:val="auto"/>
                <w:kern w:val="0"/>
                <w:sz w:val="18"/>
                <w:szCs w:val="18"/>
                <w:highlight w:val="none"/>
              </w:rPr>
            </w:pPr>
            <w:r>
              <w:rPr>
                <w:color w:val="auto"/>
                <w:kern w:val="0"/>
                <w:sz w:val="18"/>
                <w:szCs w:val="18"/>
                <w:highlight w:val="none"/>
              </w:rPr>
              <w:t>Z≥120000</w:t>
            </w:r>
          </w:p>
        </w:tc>
        <w:tc>
          <w:tcPr>
            <w:tcW w:w="1701" w:type="dxa"/>
            <w:vAlign w:val="center"/>
          </w:tcPr>
          <w:p w14:paraId="5A1851E4">
            <w:pPr>
              <w:widowControl/>
              <w:jc w:val="center"/>
              <w:rPr>
                <w:color w:val="auto"/>
                <w:kern w:val="0"/>
                <w:sz w:val="18"/>
                <w:szCs w:val="18"/>
                <w:highlight w:val="none"/>
              </w:rPr>
            </w:pPr>
            <w:r>
              <w:rPr>
                <w:color w:val="auto"/>
                <w:kern w:val="0"/>
                <w:sz w:val="18"/>
                <w:szCs w:val="18"/>
                <w:highlight w:val="none"/>
              </w:rPr>
              <w:t>8000≤Z＜120000</w:t>
            </w:r>
          </w:p>
        </w:tc>
        <w:tc>
          <w:tcPr>
            <w:tcW w:w="1426" w:type="dxa"/>
            <w:vAlign w:val="center"/>
          </w:tcPr>
          <w:p w14:paraId="212647EC">
            <w:pPr>
              <w:widowControl/>
              <w:jc w:val="center"/>
              <w:rPr>
                <w:color w:val="auto"/>
                <w:kern w:val="0"/>
                <w:sz w:val="18"/>
                <w:szCs w:val="18"/>
                <w:highlight w:val="none"/>
              </w:rPr>
            </w:pPr>
            <w:r>
              <w:rPr>
                <w:color w:val="auto"/>
                <w:kern w:val="0"/>
                <w:sz w:val="18"/>
                <w:szCs w:val="18"/>
                <w:highlight w:val="none"/>
              </w:rPr>
              <w:t>100≤Z＜8000</w:t>
            </w:r>
          </w:p>
        </w:tc>
        <w:tc>
          <w:tcPr>
            <w:tcW w:w="992" w:type="dxa"/>
            <w:vAlign w:val="center"/>
          </w:tcPr>
          <w:p w14:paraId="4915C13C">
            <w:pPr>
              <w:widowControl/>
              <w:jc w:val="center"/>
              <w:rPr>
                <w:color w:val="auto"/>
                <w:kern w:val="0"/>
                <w:sz w:val="18"/>
                <w:szCs w:val="18"/>
                <w:highlight w:val="none"/>
              </w:rPr>
            </w:pPr>
            <w:r>
              <w:rPr>
                <w:color w:val="auto"/>
                <w:kern w:val="0"/>
                <w:sz w:val="18"/>
                <w:szCs w:val="18"/>
                <w:highlight w:val="none"/>
              </w:rPr>
              <w:t>Z＜100</w:t>
            </w:r>
          </w:p>
        </w:tc>
      </w:tr>
      <w:tr w14:paraId="74B2A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14:paraId="4EA731E5">
            <w:pPr>
              <w:widowControl/>
              <w:spacing w:line="240" w:lineRule="exact"/>
              <w:jc w:val="left"/>
              <w:rPr>
                <w:color w:val="auto"/>
                <w:kern w:val="0"/>
                <w:sz w:val="18"/>
                <w:szCs w:val="18"/>
                <w:highlight w:val="none"/>
              </w:rPr>
            </w:pPr>
            <w:r>
              <w:rPr>
                <w:color w:val="auto"/>
                <w:kern w:val="0"/>
                <w:sz w:val="18"/>
                <w:szCs w:val="18"/>
                <w:highlight w:val="none"/>
              </w:rPr>
              <w:t>其他未列明行业 *</w:t>
            </w:r>
          </w:p>
        </w:tc>
        <w:tc>
          <w:tcPr>
            <w:tcW w:w="1369" w:type="dxa"/>
            <w:vAlign w:val="center"/>
          </w:tcPr>
          <w:p w14:paraId="2DC5AB0C">
            <w:pPr>
              <w:widowControl/>
              <w:jc w:val="center"/>
              <w:rPr>
                <w:color w:val="auto"/>
                <w:kern w:val="0"/>
                <w:sz w:val="18"/>
                <w:szCs w:val="18"/>
                <w:highlight w:val="none"/>
              </w:rPr>
            </w:pPr>
            <w:r>
              <w:rPr>
                <w:color w:val="auto"/>
                <w:kern w:val="0"/>
                <w:sz w:val="18"/>
                <w:szCs w:val="18"/>
                <w:highlight w:val="none"/>
              </w:rPr>
              <w:t>从业人员(X)</w:t>
            </w:r>
          </w:p>
        </w:tc>
        <w:tc>
          <w:tcPr>
            <w:tcW w:w="709" w:type="dxa"/>
            <w:vAlign w:val="center"/>
          </w:tcPr>
          <w:p w14:paraId="4AEDDC61">
            <w:pPr>
              <w:widowControl/>
              <w:jc w:val="center"/>
              <w:rPr>
                <w:color w:val="auto"/>
                <w:kern w:val="0"/>
                <w:sz w:val="18"/>
                <w:szCs w:val="18"/>
                <w:highlight w:val="none"/>
              </w:rPr>
            </w:pPr>
            <w:r>
              <w:rPr>
                <w:color w:val="auto"/>
                <w:kern w:val="0"/>
                <w:sz w:val="18"/>
                <w:szCs w:val="18"/>
                <w:highlight w:val="none"/>
              </w:rPr>
              <w:t>人</w:t>
            </w:r>
          </w:p>
        </w:tc>
        <w:tc>
          <w:tcPr>
            <w:tcW w:w="1125" w:type="dxa"/>
            <w:vAlign w:val="center"/>
          </w:tcPr>
          <w:p w14:paraId="4709D546">
            <w:pPr>
              <w:widowControl/>
              <w:jc w:val="center"/>
              <w:rPr>
                <w:color w:val="auto"/>
                <w:kern w:val="0"/>
                <w:sz w:val="18"/>
                <w:szCs w:val="18"/>
                <w:highlight w:val="none"/>
              </w:rPr>
            </w:pPr>
            <w:r>
              <w:rPr>
                <w:color w:val="auto"/>
                <w:kern w:val="0"/>
                <w:sz w:val="18"/>
                <w:szCs w:val="18"/>
                <w:highlight w:val="none"/>
              </w:rPr>
              <w:t>X≥300</w:t>
            </w:r>
          </w:p>
        </w:tc>
        <w:tc>
          <w:tcPr>
            <w:tcW w:w="1701" w:type="dxa"/>
            <w:vAlign w:val="center"/>
          </w:tcPr>
          <w:p w14:paraId="17E1B8A3">
            <w:pPr>
              <w:widowControl/>
              <w:ind w:left="1" w:leftChars="-51" w:hanging="108" w:hangingChars="60"/>
              <w:jc w:val="center"/>
              <w:rPr>
                <w:color w:val="auto"/>
                <w:kern w:val="0"/>
                <w:sz w:val="18"/>
                <w:szCs w:val="18"/>
                <w:highlight w:val="none"/>
              </w:rPr>
            </w:pPr>
            <w:r>
              <w:rPr>
                <w:color w:val="auto"/>
                <w:kern w:val="0"/>
                <w:sz w:val="18"/>
                <w:szCs w:val="18"/>
                <w:highlight w:val="none"/>
              </w:rPr>
              <w:t>100≤X＜300</w:t>
            </w:r>
          </w:p>
        </w:tc>
        <w:tc>
          <w:tcPr>
            <w:tcW w:w="1426" w:type="dxa"/>
            <w:vAlign w:val="center"/>
          </w:tcPr>
          <w:p w14:paraId="3C639035">
            <w:pPr>
              <w:widowControl/>
              <w:jc w:val="center"/>
              <w:rPr>
                <w:color w:val="auto"/>
                <w:kern w:val="0"/>
                <w:sz w:val="18"/>
                <w:szCs w:val="18"/>
                <w:highlight w:val="none"/>
              </w:rPr>
            </w:pPr>
            <w:r>
              <w:rPr>
                <w:color w:val="auto"/>
                <w:kern w:val="0"/>
                <w:sz w:val="18"/>
                <w:szCs w:val="18"/>
                <w:highlight w:val="none"/>
              </w:rPr>
              <w:t>10≤X＜100</w:t>
            </w:r>
          </w:p>
        </w:tc>
        <w:tc>
          <w:tcPr>
            <w:tcW w:w="992" w:type="dxa"/>
            <w:vAlign w:val="center"/>
          </w:tcPr>
          <w:p w14:paraId="54E7B599">
            <w:pPr>
              <w:widowControl/>
              <w:jc w:val="center"/>
              <w:rPr>
                <w:color w:val="auto"/>
                <w:kern w:val="0"/>
                <w:sz w:val="18"/>
                <w:szCs w:val="18"/>
                <w:highlight w:val="none"/>
              </w:rPr>
            </w:pPr>
            <w:r>
              <w:rPr>
                <w:color w:val="auto"/>
                <w:kern w:val="0"/>
                <w:sz w:val="18"/>
                <w:szCs w:val="18"/>
                <w:highlight w:val="none"/>
              </w:rPr>
              <w:t>X＜10</w:t>
            </w:r>
          </w:p>
        </w:tc>
      </w:tr>
    </w:tbl>
    <w:p w14:paraId="40A0DF9E">
      <w:pPr>
        <w:pStyle w:val="15"/>
        <w:spacing w:line="380" w:lineRule="exact"/>
        <w:rPr>
          <w:rFonts w:hint="eastAsia" w:hAnsi="宋体" w:eastAsia="宋体" w:cs="宋体"/>
          <w:color w:val="auto"/>
          <w:spacing w:val="8"/>
          <w:szCs w:val="21"/>
          <w:highlight w:val="none"/>
          <w:lang w:eastAsia="zh-CN"/>
        </w:rPr>
      </w:pPr>
      <w:r>
        <w:rPr>
          <w:rFonts w:hint="eastAsia" w:hAnsi="宋体" w:cs="宋体"/>
          <w:color w:val="auto"/>
          <w:spacing w:val="8"/>
          <w:szCs w:val="21"/>
          <w:highlight w:val="none"/>
          <w:lang w:eastAsia="zh-CN"/>
        </w:rPr>
        <w:t>说明：</w:t>
      </w:r>
    </w:p>
    <w:p w14:paraId="0228E804">
      <w:pPr>
        <w:tabs>
          <w:tab w:val="left" w:pos="1305"/>
        </w:tabs>
        <w:spacing w:line="380" w:lineRule="exact"/>
        <w:ind w:firstLine="420" w:firstLineChars="200"/>
        <w:rPr>
          <w:rFonts w:hint="eastAsia"/>
          <w:color w:val="auto"/>
          <w:highlight w:val="none"/>
        </w:rPr>
      </w:pPr>
      <w:r>
        <w:rPr>
          <w:rFonts w:hint="eastAsia"/>
          <w:color w:val="auto"/>
          <w:highlight w:val="none"/>
        </w:rPr>
        <w:t>1.大型、中型和小型企业须同时满足所列指标的下限，否则下划一档；微型企业只须满足所列指标中的一项即可。</w:t>
      </w:r>
    </w:p>
    <w:p w14:paraId="2E95B7D8">
      <w:pPr>
        <w:tabs>
          <w:tab w:val="left" w:pos="1305"/>
        </w:tabs>
        <w:spacing w:line="380" w:lineRule="exact"/>
        <w:ind w:firstLine="420" w:firstLineChars="200"/>
        <w:rPr>
          <w:rFonts w:hint="eastAsia"/>
          <w:color w:val="auto"/>
          <w:highlight w:val="none"/>
        </w:rPr>
      </w:pPr>
      <w:r>
        <w:rPr>
          <w:rFonts w:hint="eastAsia"/>
          <w:color w:val="auto"/>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3E74D5E5">
      <w:pPr>
        <w:tabs>
          <w:tab w:val="left" w:pos="1305"/>
        </w:tabs>
        <w:spacing w:line="380" w:lineRule="exact"/>
        <w:ind w:firstLine="420" w:firstLineChars="200"/>
        <w:rPr>
          <w:rFonts w:hint="eastAsia" w:hAnsi="宋体" w:cs="宋体"/>
          <w:color w:val="auto"/>
          <w:spacing w:val="8"/>
          <w:szCs w:val="21"/>
          <w:highlight w:val="none"/>
        </w:rPr>
      </w:pPr>
      <w:r>
        <w:rPr>
          <w:rFonts w:hint="eastAsia"/>
          <w:color w:val="auto"/>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7CC005AC">
      <w:pPr>
        <w:pStyle w:val="21"/>
        <w:pBdr>
          <w:top w:val="none" w:color="auto" w:sz="0" w:space="0"/>
          <w:left w:val="none" w:color="auto" w:sz="0" w:space="0"/>
          <w:bottom w:val="none" w:color="auto" w:sz="0" w:space="0"/>
          <w:right w:val="none" w:color="auto" w:sz="0" w:space="0"/>
        </w:pBdr>
        <w:ind w:left="0" w:leftChars="0" w:firstLine="0" w:firstLineChars="0"/>
        <w:rPr>
          <w:rFonts w:ascii="宋体" w:hAnsi="宋体" w:cs="宋体"/>
          <w:b/>
          <w:color w:val="auto"/>
          <w:sz w:val="28"/>
          <w:szCs w:val="28"/>
          <w:highlight w:val="none"/>
        </w:rPr>
      </w:pPr>
    </w:p>
    <w:p w14:paraId="7761ADC6">
      <w:pPr>
        <w:pStyle w:val="21"/>
        <w:pBdr>
          <w:top w:val="none" w:color="auto" w:sz="0" w:space="0"/>
          <w:left w:val="none" w:color="auto" w:sz="0" w:space="0"/>
          <w:bottom w:val="none" w:color="auto" w:sz="0" w:space="0"/>
          <w:right w:val="none" w:color="auto" w:sz="0" w:space="0"/>
        </w:pBdr>
        <w:ind w:left="0" w:leftChars="0" w:firstLine="0" w:firstLineChars="0"/>
        <w:rPr>
          <w:rFonts w:ascii="宋体" w:hAnsi="宋体" w:cs="宋体"/>
          <w:b/>
          <w:color w:val="auto"/>
          <w:sz w:val="28"/>
          <w:szCs w:val="28"/>
          <w:highlight w:val="none"/>
        </w:rPr>
      </w:pPr>
    </w:p>
    <w:p w14:paraId="16AE28A3">
      <w:pPr>
        <w:pStyle w:val="21"/>
        <w:pBdr>
          <w:top w:val="none" w:color="auto" w:sz="0" w:space="0"/>
          <w:left w:val="none" w:color="auto" w:sz="0" w:space="0"/>
          <w:bottom w:val="none" w:color="auto" w:sz="0" w:space="0"/>
          <w:right w:val="none" w:color="auto" w:sz="0" w:space="0"/>
        </w:pBdr>
        <w:ind w:left="0" w:leftChars="0" w:firstLine="0" w:firstLineChars="0"/>
        <w:rPr>
          <w:rFonts w:ascii="宋体" w:hAnsi="宋体" w:cs="宋体"/>
          <w:b/>
          <w:color w:val="auto"/>
          <w:sz w:val="28"/>
          <w:szCs w:val="28"/>
          <w:highlight w:val="none"/>
        </w:rPr>
      </w:pPr>
    </w:p>
    <w:p w14:paraId="6EBC35DD">
      <w:pPr>
        <w:pStyle w:val="21"/>
        <w:pBdr>
          <w:top w:val="none" w:color="auto" w:sz="0" w:space="0"/>
          <w:left w:val="none" w:color="auto" w:sz="0" w:space="0"/>
          <w:bottom w:val="none" w:color="auto" w:sz="0" w:space="0"/>
          <w:right w:val="none" w:color="auto" w:sz="0" w:space="0"/>
        </w:pBdr>
        <w:ind w:left="0" w:leftChars="0" w:firstLine="0" w:firstLineChars="0"/>
        <w:rPr>
          <w:rFonts w:ascii="宋体" w:hAnsi="宋体" w:cs="宋体"/>
          <w:b/>
          <w:color w:val="auto"/>
          <w:sz w:val="28"/>
          <w:szCs w:val="28"/>
          <w:highlight w:val="none"/>
        </w:rPr>
      </w:pPr>
    </w:p>
    <w:p w14:paraId="3703E51A">
      <w:pPr>
        <w:pStyle w:val="21"/>
        <w:pBdr>
          <w:top w:val="none" w:color="auto" w:sz="0" w:space="0"/>
          <w:left w:val="none" w:color="auto" w:sz="0" w:space="0"/>
          <w:bottom w:val="none" w:color="auto" w:sz="0" w:space="0"/>
          <w:right w:val="none" w:color="auto" w:sz="0" w:space="0"/>
        </w:pBdr>
        <w:ind w:left="0" w:leftChars="0" w:firstLine="0" w:firstLineChars="0"/>
        <w:rPr>
          <w:rFonts w:ascii="宋体" w:hAnsi="宋体" w:cs="宋体"/>
          <w:b/>
          <w:color w:val="auto"/>
          <w:sz w:val="28"/>
          <w:szCs w:val="28"/>
          <w:highlight w:val="none"/>
        </w:rPr>
      </w:pPr>
    </w:p>
    <w:p w14:paraId="40B173BE">
      <w:pPr>
        <w:pStyle w:val="21"/>
        <w:pBdr>
          <w:top w:val="none" w:color="auto" w:sz="0" w:space="0"/>
          <w:left w:val="none" w:color="auto" w:sz="0" w:space="0"/>
          <w:bottom w:val="none" w:color="auto" w:sz="0" w:space="0"/>
          <w:right w:val="none" w:color="auto" w:sz="0" w:space="0"/>
        </w:pBdr>
        <w:ind w:left="0" w:leftChars="0" w:firstLine="0" w:firstLineChars="0"/>
        <w:rPr>
          <w:rFonts w:ascii="宋体" w:hAnsi="宋体" w:cs="宋体"/>
          <w:b/>
          <w:color w:val="auto"/>
          <w:sz w:val="28"/>
          <w:szCs w:val="28"/>
          <w:highlight w:val="none"/>
        </w:rPr>
      </w:pPr>
    </w:p>
    <w:p w14:paraId="5DA94F33">
      <w:pPr>
        <w:pStyle w:val="21"/>
        <w:pBdr>
          <w:top w:val="none" w:color="auto" w:sz="0" w:space="0"/>
          <w:left w:val="none" w:color="auto" w:sz="0" w:space="0"/>
          <w:bottom w:val="none" w:color="auto" w:sz="0" w:space="0"/>
          <w:right w:val="none" w:color="auto" w:sz="0" w:space="0"/>
        </w:pBdr>
        <w:ind w:left="0" w:leftChars="0" w:firstLine="0" w:firstLineChars="0"/>
        <w:rPr>
          <w:rFonts w:ascii="宋体" w:hAnsi="宋体" w:cs="宋体"/>
          <w:b/>
          <w:color w:val="auto"/>
          <w:sz w:val="28"/>
          <w:szCs w:val="28"/>
          <w:highlight w:val="none"/>
        </w:rPr>
      </w:pPr>
    </w:p>
    <w:p w14:paraId="24ABD49A">
      <w:pPr>
        <w:pStyle w:val="21"/>
        <w:pBdr>
          <w:top w:val="none" w:color="auto" w:sz="0" w:space="0"/>
          <w:left w:val="none" w:color="auto" w:sz="0" w:space="0"/>
          <w:bottom w:val="none" w:color="auto" w:sz="0" w:space="0"/>
          <w:right w:val="none" w:color="auto" w:sz="0" w:space="0"/>
        </w:pBdr>
        <w:ind w:left="0" w:leftChars="0" w:firstLine="0" w:firstLineChars="0"/>
        <w:rPr>
          <w:rFonts w:ascii="宋体" w:hAnsi="宋体" w:cs="宋体"/>
          <w:b/>
          <w:color w:val="auto"/>
          <w:sz w:val="28"/>
          <w:szCs w:val="28"/>
          <w:highlight w:val="none"/>
        </w:rPr>
      </w:pPr>
    </w:p>
    <w:p w14:paraId="3291EFE1">
      <w:pPr>
        <w:pStyle w:val="21"/>
        <w:pBdr>
          <w:top w:val="none" w:color="auto" w:sz="0" w:space="0"/>
          <w:left w:val="none" w:color="auto" w:sz="0" w:space="0"/>
          <w:bottom w:val="none" w:color="auto" w:sz="0" w:space="0"/>
          <w:right w:val="none" w:color="auto" w:sz="0" w:space="0"/>
        </w:pBdr>
        <w:ind w:left="0" w:leftChars="0" w:firstLine="0" w:firstLineChars="0"/>
        <w:rPr>
          <w:rFonts w:ascii="宋体" w:hAnsi="宋体" w:cs="宋体"/>
          <w:b/>
          <w:color w:val="auto"/>
          <w:sz w:val="28"/>
          <w:szCs w:val="28"/>
          <w:highlight w:val="none"/>
        </w:rPr>
      </w:pPr>
    </w:p>
    <w:p w14:paraId="53F23743">
      <w:pPr>
        <w:pStyle w:val="21"/>
        <w:pBdr>
          <w:top w:val="none" w:color="auto" w:sz="0" w:space="0"/>
          <w:left w:val="none" w:color="auto" w:sz="0" w:space="0"/>
          <w:bottom w:val="none" w:color="auto" w:sz="0" w:space="0"/>
          <w:right w:val="none" w:color="auto" w:sz="0" w:space="0"/>
        </w:pBdr>
        <w:ind w:left="0" w:leftChars="0" w:firstLine="0" w:firstLineChars="0"/>
        <w:rPr>
          <w:rFonts w:ascii="宋体" w:hAnsi="宋体" w:cs="宋体"/>
          <w:b/>
          <w:color w:val="auto"/>
          <w:sz w:val="28"/>
          <w:szCs w:val="28"/>
          <w:highlight w:val="none"/>
        </w:rPr>
      </w:pPr>
    </w:p>
    <w:p w14:paraId="23E68C5D">
      <w:pPr>
        <w:pStyle w:val="21"/>
        <w:pBdr>
          <w:top w:val="none" w:color="auto" w:sz="0" w:space="0"/>
          <w:left w:val="none" w:color="auto" w:sz="0" w:space="0"/>
          <w:bottom w:val="none" w:color="auto" w:sz="0" w:space="0"/>
          <w:right w:val="none" w:color="auto" w:sz="0" w:space="0"/>
        </w:pBdr>
        <w:ind w:left="0" w:leftChars="0" w:firstLine="0" w:firstLineChars="0"/>
        <w:rPr>
          <w:rFonts w:ascii="宋体" w:hAnsi="宋体" w:cs="宋体"/>
          <w:b/>
          <w:color w:val="auto"/>
          <w:sz w:val="28"/>
          <w:szCs w:val="28"/>
          <w:highlight w:val="none"/>
        </w:rPr>
      </w:pPr>
    </w:p>
    <w:p w14:paraId="65BAB5BF">
      <w:pPr>
        <w:pStyle w:val="21"/>
        <w:pBdr>
          <w:top w:val="none" w:color="auto" w:sz="0" w:space="0"/>
          <w:left w:val="none" w:color="auto" w:sz="0" w:space="0"/>
          <w:bottom w:val="none" w:color="auto" w:sz="0" w:space="0"/>
          <w:right w:val="none" w:color="auto" w:sz="0" w:space="0"/>
        </w:pBdr>
        <w:ind w:left="0" w:leftChars="0" w:firstLine="0" w:firstLineChars="0"/>
        <w:rPr>
          <w:rFonts w:ascii="宋体" w:hAnsi="宋体" w:cs="宋体"/>
          <w:b/>
          <w:color w:val="auto"/>
          <w:sz w:val="28"/>
          <w:szCs w:val="28"/>
          <w:highlight w:val="none"/>
        </w:rPr>
      </w:pPr>
    </w:p>
    <w:p w14:paraId="6A653F8C">
      <w:pPr>
        <w:pStyle w:val="21"/>
        <w:pBdr>
          <w:top w:val="none" w:color="auto" w:sz="0" w:space="0"/>
          <w:left w:val="none" w:color="auto" w:sz="0" w:space="0"/>
          <w:bottom w:val="none" w:color="auto" w:sz="0" w:space="0"/>
          <w:right w:val="none" w:color="auto" w:sz="0" w:space="0"/>
        </w:pBdr>
        <w:ind w:left="0" w:leftChars="0" w:firstLine="0" w:firstLineChars="0"/>
        <w:rPr>
          <w:rFonts w:ascii="宋体" w:hAnsi="宋体" w:cs="宋体"/>
          <w:b/>
          <w:color w:val="auto"/>
          <w:sz w:val="28"/>
          <w:szCs w:val="28"/>
          <w:highlight w:val="none"/>
        </w:rPr>
      </w:pPr>
    </w:p>
    <w:p w14:paraId="349404E8">
      <w:pPr>
        <w:pStyle w:val="21"/>
        <w:pBdr>
          <w:top w:val="none" w:color="auto" w:sz="0" w:space="0"/>
          <w:left w:val="none" w:color="auto" w:sz="0" w:space="0"/>
          <w:bottom w:val="none" w:color="auto" w:sz="0" w:space="0"/>
          <w:right w:val="none" w:color="auto" w:sz="0" w:space="0"/>
        </w:pBdr>
        <w:ind w:left="0" w:leftChars="0" w:firstLine="0" w:firstLineChars="0"/>
        <w:rPr>
          <w:rFonts w:ascii="宋体" w:hAnsi="宋体" w:cs="宋体"/>
          <w:b/>
          <w:color w:val="auto"/>
          <w:sz w:val="28"/>
          <w:szCs w:val="28"/>
          <w:highlight w:val="none"/>
        </w:rPr>
      </w:pPr>
    </w:p>
    <w:p w14:paraId="33CDCCCC">
      <w:pPr>
        <w:pStyle w:val="10"/>
        <w:ind w:left="0" w:leftChars="0" w:firstLine="0" w:firstLineChars="0"/>
        <w:jc w:val="both"/>
        <w:rPr>
          <w:rFonts w:hint="eastAsia"/>
          <w:color w:val="auto"/>
          <w:highlight w:val="none"/>
        </w:rPr>
      </w:pPr>
    </w:p>
    <w:p w14:paraId="4FDE48D7">
      <w:pPr>
        <w:spacing w:line="588" w:lineRule="exact"/>
        <w:jc w:val="center"/>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t>残疾人福利性单位声明函</w:t>
      </w:r>
    </w:p>
    <w:p w14:paraId="5FCBF8D6">
      <w:pPr>
        <w:spacing w:line="588" w:lineRule="exact"/>
        <w:rPr>
          <w:rFonts w:hint="eastAsia" w:ascii="宋体" w:hAnsi="宋体" w:eastAsia="宋体" w:cs="宋体"/>
          <w:b/>
          <w:color w:val="auto"/>
          <w:spacing w:val="6"/>
          <w:sz w:val="30"/>
          <w:szCs w:val="30"/>
          <w:highlight w:val="none"/>
        </w:rPr>
      </w:pPr>
    </w:p>
    <w:p w14:paraId="1049B356">
      <w:pPr>
        <w:spacing w:line="588" w:lineRule="exact"/>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本单位郑重声明，根据《财政部 民政部 中国残疾人联合会关于促进残疾人就业政府采购政策的通知》（财库</w:t>
      </w:r>
      <w:r>
        <w:rPr>
          <w:rFonts w:hint="eastAsia" w:ascii="宋体" w:hAnsi="宋体" w:eastAsia="宋体" w:cs="宋体"/>
          <w:color w:val="auto"/>
          <w:sz w:val="24"/>
          <w:szCs w:val="24"/>
          <w:highlight w:val="none"/>
        </w:rPr>
        <w:t>〔2017〕 141</w:t>
      </w:r>
      <w:r>
        <w:rPr>
          <w:rFonts w:hint="eastAsia" w:ascii="宋体" w:hAnsi="宋体" w:eastAsia="宋体" w:cs="宋体"/>
          <w:color w:val="auto"/>
          <w:spacing w:val="6"/>
          <w:sz w:val="24"/>
          <w:szCs w:val="24"/>
          <w:highlight w:val="none"/>
        </w:rPr>
        <w:t>号）的规定，本单位为符合条件的残疾人福利性单位，且本单位参加______单位的______项目采购活动</w:t>
      </w: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6"/>
          <w:sz w:val="24"/>
          <w:szCs w:val="24"/>
          <w:highlight w:val="none"/>
        </w:rPr>
        <w:t>由本单位提供服务。</w:t>
      </w:r>
    </w:p>
    <w:p w14:paraId="48CF39D3">
      <w:pPr>
        <w:spacing w:line="588" w:lineRule="exact"/>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本单位对上述声明的真实性负责。如有虚假，将依法承担相应责任。</w:t>
      </w:r>
    </w:p>
    <w:p w14:paraId="36632D66">
      <w:pPr>
        <w:spacing w:line="588" w:lineRule="exact"/>
        <w:ind w:firstLine="504" w:firstLineChars="200"/>
        <w:rPr>
          <w:rFonts w:hint="eastAsia" w:ascii="宋体" w:hAnsi="宋体" w:eastAsia="宋体" w:cs="宋体"/>
          <w:color w:val="auto"/>
          <w:spacing w:val="6"/>
          <w:sz w:val="24"/>
          <w:szCs w:val="24"/>
          <w:highlight w:val="none"/>
        </w:rPr>
      </w:pPr>
    </w:p>
    <w:p w14:paraId="43B0D87C">
      <w:pPr>
        <w:spacing w:line="588" w:lineRule="exact"/>
        <w:ind w:firstLine="504" w:firstLineChars="200"/>
        <w:rPr>
          <w:rFonts w:hint="eastAsia" w:ascii="宋体" w:hAnsi="宋体" w:eastAsia="宋体" w:cs="宋体"/>
          <w:color w:val="auto"/>
          <w:spacing w:val="6"/>
          <w:sz w:val="24"/>
          <w:szCs w:val="24"/>
          <w:highlight w:val="none"/>
        </w:rPr>
      </w:pPr>
    </w:p>
    <w:p w14:paraId="59A39192">
      <w:pPr>
        <w:snapToGrid w:val="0"/>
        <w:spacing w:before="50" w:line="400" w:lineRule="exact"/>
        <w:ind w:firstLine="5280" w:firstLineChars="2200"/>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企业名称[公章(CA签章)]： </w:t>
      </w:r>
    </w:p>
    <w:p w14:paraId="40EDCC7E">
      <w:pPr>
        <w:snapToGrid w:val="0"/>
        <w:spacing w:before="50" w:line="400" w:lineRule="exact"/>
        <w:ind w:firstLine="5520" w:firstLineChars="2300"/>
        <w:jc w:val="left"/>
        <w:rPr>
          <w:rFonts w:ascii="宋体" w:hAnsi="宋体" w:cs="宋体"/>
          <w:color w:val="auto"/>
          <w:sz w:val="24"/>
          <w:highlight w:val="none"/>
        </w:rPr>
      </w:pPr>
      <w:r>
        <w:rPr>
          <w:rFonts w:hint="eastAsia" w:ascii="宋体" w:hAnsi="宋体" w:cs="宋体"/>
          <w:color w:val="auto"/>
          <w:sz w:val="24"/>
          <w:szCs w:val="24"/>
          <w:highlight w:val="none"/>
        </w:rPr>
        <w:t>日 期：</w:t>
      </w:r>
      <w:r>
        <w:rPr>
          <w:rFonts w:hint="eastAsia" w:ascii="宋体" w:hAnsi="宋体" w:cs="宋体"/>
          <w:color w:val="auto"/>
          <w:sz w:val="24"/>
          <w:highlight w:val="none"/>
        </w:rPr>
        <w:t xml:space="preserve"> </w:t>
      </w:r>
    </w:p>
    <w:p w14:paraId="0E6778C8">
      <w:pPr>
        <w:pStyle w:val="21"/>
        <w:ind w:left="0" w:leftChars="0" w:firstLine="0" w:firstLineChars="0"/>
        <w:rPr>
          <w:rFonts w:hint="eastAsia" w:ascii="宋体" w:hAnsi="宋体" w:eastAsia="宋体" w:cs="宋体"/>
          <w:b/>
          <w:color w:val="auto"/>
          <w:kern w:val="2"/>
          <w:sz w:val="28"/>
          <w:szCs w:val="28"/>
          <w:highlight w:val="none"/>
          <w:lang w:val="en-US" w:eastAsia="zh-CN" w:bidi="ar-SA"/>
        </w:rPr>
      </w:pPr>
    </w:p>
    <w:p w14:paraId="0492E2C5">
      <w:pPr>
        <w:pStyle w:val="21"/>
        <w:ind w:left="0" w:leftChars="0" w:firstLine="0" w:firstLineChars="0"/>
        <w:rPr>
          <w:rFonts w:hint="default" w:ascii="宋体" w:hAnsi="宋体" w:eastAsia="宋体" w:cs="宋体"/>
          <w:b/>
          <w:color w:val="auto"/>
          <w:kern w:val="2"/>
          <w:sz w:val="28"/>
          <w:szCs w:val="28"/>
          <w:highlight w:val="none"/>
          <w:lang w:val="en-US" w:eastAsia="zh-CN" w:bidi="ar-SA"/>
        </w:rPr>
      </w:pPr>
      <w:r>
        <w:rPr>
          <w:rFonts w:hint="eastAsia" w:ascii="宋体" w:hAnsi="宋体" w:cs="宋体"/>
          <w:b/>
          <w:color w:val="auto"/>
          <w:kern w:val="2"/>
          <w:sz w:val="28"/>
          <w:szCs w:val="28"/>
          <w:highlight w:val="none"/>
          <w:lang w:val="en-US" w:eastAsia="zh-CN" w:bidi="ar-SA"/>
        </w:rPr>
        <w:t>11、</w:t>
      </w:r>
      <w:r>
        <w:rPr>
          <w:rFonts w:hint="eastAsia" w:ascii="宋体" w:hAnsi="宋体" w:eastAsia="宋体" w:cs="宋体"/>
          <w:b/>
          <w:color w:val="auto"/>
          <w:kern w:val="2"/>
          <w:sz w:val="28"/>
          <w:szCs w:val="28"/>
          <w:highlight w:val="none"/>
          <w:lang w:val="en-US" w:eastAsia="zh-CN" w:bidi="ar-SA"/>
        </w:rPr>
        <w:t>供应商可结合本项目的评标办法视自身情况自行提交相关证明材料（如有，请提供）</w:t>
      </w:r>
      <w:r>
        <w:rPr>
          <w:rFonts w:hint="eastAsia" w:ascii="宋体" w:hAnsi="宋体" w:cs="宋体"/>
          <w:b/>
          <w:color w:val="auto"/>
          <w:kern w:val="2"/>
          <w:sz w:val="28"/>
          <w:szCs w:val="28"/>
          <w:highlight w:val="none"/>
          <w:lang w:val="en-US" w:eastAsia="zh-CN" w:bidi="ar-SA"/>
        </w:rPr>
        <w:t>。</w:t>
      </w:r>
    </w:p>
    <w:p w14:paraId="4FFE9BDE">
      <w:pPr>
        <w:pStyle w:val="21"/>
        <w:ind w:left="0" w:leftChars="0" w:firstLine="0" w:firstLineChars="0"/>
        <w:rPr>
          <w:rFonts w:hint="eastAsia" w:ascii="宋体" w:hAnsi="宋体" w:eastAsia="宋体" w:cs="宋体"/>
          <w:color w:val="auto"/>
          <w:highlight w:val="none"/>
        </w:rPr>
      </w:pPr>
    </w:p>
    <w:p w14:paraId="58FF131D">
      <w:pPr>
        <w:pStyle w:val="21"/>
        <w:ind w:left="0" w:leftChars="0" w:firstLine="0" w:firstLineChars="0"/>
        <w:rPr>
          <w:rFonts w:hint="eastAsia" w:ascii="宋体" w:hAnsi="宋体" w:eastAsia="宋体" w:cs="宋体"/>
          <w:color w:val="auto"/>
          <w:highlight w:val="none"/>
        </w:rPr>
      </w:pPr>
    </w:p>
    <w:p w14:paraId="343A5BD2">
      <w:pPr>
        <w:pStyle w:val="21"/>
        <w:ind w:left="0" w:leftChars="0" w:firstLine="0" w:firstLineChars="0"/>
        <w:rPr>
          <w:rFonts w:hint="eastAsia" w:ascii="宋体" w:hAnsi="宋体" w:eastAsia="宋体" w:cs="宋体"/>
          <w:color w:val="auto"/>
          <w:highlight w:val="none"/>
        </w:rPr>
      </w:pPr>
    </w:p>
    <w:p w14:paraId="7C1256F7">
      <w:pPr>
        <w:pStyle w:val="21"/>
        <w:ind w:left="0" w:leftChars="0" w:firstLine="0" w:firstLineChars="0"/>
        <w:rPr>
          <w:rFonts w:hint="eastAsia" w:ascii="宋体" w:hAnsi="宋体" w:eastAsia="宋体" w:cs="宋体"/>
          <w:color w:val="auto"/>
          <w:highlight w:val="none"/>
        </w:rPr>
      </w:pPr>
    </w:p>
    <w:p w14:paraId="34E81DE4">
      <w:pPr>
        <w:pStyle w:val="21"/>
        <w:ind w:left="0" w:leftChars="0" w:firstLine="0" w:firstLineChars="0"/>
        <w:rPr>
          <w:rFonts w:hint="eastAsia" w:ascii="宋体" w:hAnsi="宋体" w:eastAsia="宋体" w:cs="宋体"/>
          <w:color w:val="auto"/>
          <w:highlight w:val="none"/>
        </w:rPr>
      </w:pPr>
    </w:p>
    <w:p w14:paraId="4E78DFF8">
      <w:pPr>
        <w:pStyle w:val="21"/>
        <w:ind w:left="0" w:leftChars="0" w:firstLine="0" w:firstLineChars="0"/>
        <w:rPr>
          <w:rFonts w:hint="eastAsia" w:ascii="宋体" w:hAnsi="宋体" w:eastAsia="宋体" w:cs="宋体"/>
          <w:color w:val="auto"/>
          <w:highlight w:val="none"/>
        </w:rPr>
      </w:pPr>
    </w:p>
    <w:p w14:paraId="3B7FFA4F">
      <w:pPr>
        <w:pStyle w:val="21"/>
        <w:ind w:left="0" w:leftChars="0" w:firstLine="0" w:firstLineChars="0"/>
        <w:rPr>
          <w:rFonts w:hint="eastAsia" w:ascii="宋体" w:hAnsi="宋体" w:eastAsia="宋体" w:cs="宋体"/>
          <w:color w:val="auto"/>
          <w:highlight w:val="none"/>
        </w:rPr>
      </w:pPr>
    </w:p>
    <w:p w14:paraId="195414A3">
      <w:pPr>
        <w:pStyle w:val="21"/>
        <w:ind w:left="0" w:leftChars="0" w:firstLine="0" w:firstLineChars="0"/>
        <w:rPr>
          <w:rFonts w:hint="eastAsia" w:ascii="宋体" w:hAnsi="宋体" w:eastAsia="宋体" w:cs="宋体"/>
          <w:color w:val="auto"/>
          <w:highlight w:val="none"/>
        </w:rPr>
      </w:pPr>
    </w:p>
    <w:p w14:paraId="2B78A2F7">
      <w:pPr>
        <w:pStyle w:val="21"/>
        <w:ind w:left="0" w:leftChars="0" w:firstLine="0" w:firstLineChars="0"/>
        <w:rPr>
          <w:rFonts w:hint="eastAsia" w:ascii="宋体" w:hAnsi="宋体" w:eastAsia="宋体" w:cs="宋体"/>
          <w:color w:val="auto"/>
          <w:highlight w:val="none"/>
        </w:rPr>
      </w:pPr>
    </w:p>
    <w:p w14:paraId="27A9C731">
      <w:pPr>
        <w:pStyle w:val="21"/>
        <w:ind w:left="0" w:leftChars="0" w:firstLine="0" w:firstLineChars="0"/>
        <w:rPr>
          <w:rFonts w:hint="eastAsia" w:ascii="宋体" w:hAnsi="宋体" w:eastAsia="宋体" w:cs="宋体"/>
          <w:color w:val="auto"/>
          <w:highlight w:val="none"/>
        </w:rPr>
      </w:pPr>
    </w:p>
    <w:p w14:paraId="7B6C912F">
      <w:pPr>
        <w:pStyle w:val="21"/>
        <w:ind w:left="0" w:leftChars="0" w:firstLine="0" w:firstLineChars="0"/>
        <w:rPr>
          <w:rFonts w:hint="eastAsia" w:ascii="宋体" w:hAnsi="宋体" w:eastAsia="宋体" w:cs="宋体"/>
          <w:color w:val="auto"/>
          <w:highlight w:val="none"/>
        </w:rPr>
      </w:pPr>
    </w:p>
    <w:p w14:paraId="70CE53B3">
      <w:pPr>
        <w:pStyle w:val="21"/>
        <w:ind w:left="0" w:leftChars="0" w:firstLine="0" w:firstLineChars="0"/>
        <w:rPr>
          <w:rFonts w:hint="eastAsia" w:ascii="宋体" w:hAnsi="宋体" w:eastAsia="宋体" w:cs="宋体"/>
          <w:color w:val="auto"/>
          <w:highlight w:val="none"/>
        </w:rPr>
      </w:pPr>
    </w:p>
    <w:p w14:paraId="68EEAF1F">
      <w:pPr>
        <w:pStyle w:val="21"/>
        <w:ind w:left="0" w:leftChars="0" w:firstLine="0" w:firstLineChars="0"/>
        <w:rPr>
          <w:rFonts w:hint="eastAsia" w:ascii="宋体" w:hAnsi="宋体" w:eastAsia="宋体" w:cs="宋体"/>
          <w:color w:val="auto"/>
          <w:highlight w:val="none"/>
        </w:rPr>
      </w:pPr>
    </w:p>
    <w:p w14:paraId="5408BE28">
      <w:pPr>
        <w:pStyle w:val="21"/>
        <w:ind w:left="0" w:leftChars="0" w:firstLine="0" w:firstLineChars="0"/>
        <w:rPr>
          <w:rFonts w:hint="eastAsia" w:ascii="宋体" w:hAnsi="宋体" w:eastAsia="宋体" w:cs="宋体"/>
          <w:color w:val="auto"/>
          <w:highlight w:val="none"/>
        </w:rPr>
      </w:pPr>
    </w:p>
    <w:p w14:paraId="7DB8300C">
      <w:pPr>
        <w:pStyle w:val="21"/>
        <w:ind w:left="0" w:leftChars="0" w:firstLine="0" w:firstLineChars="0"/>
        <w:rPr>
          <w:rFonts w:hint="eastAsia" w:ascii="宋体" w:hAnsi="宋体" w:eastAsia="宋体" w:cs="宋体"/>
          <w:color w:val="auto"/>
          <w:highlight w:val="none"/>
        </w:rPr>
      </w:pPr>
    </w:p>
    <w:p w14:paraId="3328FECE">
      <w:pPr>
        <w:pStyle w:val="21"/>
        <w:ind w:left="0" w:leftChars="0" w:firstLine="0" w:firstLineChars="0"/>
        <w:rPr>
          <w:rFonts w:hint="eastAsia" w:ascii="宋体" w:hAnsi="宋体" w:eastAsia="宋体" w:cs="宋体"/>
          <w:color w:val="auto"/>
          <w:highlight w:val="none"/>
        </w:rPr>
      </w:pPr>
    </w:p>
    <w:p w14:paraId="77010657">
      <w:pPr>
        <w:pStyle w:val="21"/>
        <w:ind w:left="0" w:leftChars="0" w:firstLine="0" w:firstLineChars="0"/>
        <w:rPr>
          <w:rFonts w:hint="eastAsia" w:ascii="宋体" w:hAnsi="宋体" w:eastAsia="宋体" w:cs="宋体"/>
          <w:color w:val="auto"/>
          <w:highlight w:val="none"/>
        </w:rPr>
      </w:pPr>
    </w:p>
    <w:p w14:paraId="3566A942">
      <w:pPr>
        <w:pStyle w:val="21"/>
        <w:ind w:left="0" w:leftChars="0" w:firstLine="0" w:firstLineChars="0"/>
        <w:rPr>
          <w:rFonts w:hint="eastAsia" w:ascii="宋体" w:hAnsi="宋体" w:eastAsia="宋体" w:cs="宋体"/>
          <w:color w:val="auto"/>
          <w:highlight w:val="none"/>
        </w:rPr>
      </w:pPr>
    </w:p>
    <w:p w14:paraId="4F71E65C">
      <w:pPr>
        <w:pStyle w:val="21"/>
        <w:ind w:left="0" w:leftChars="0" w:firstLine="0" w:firstLineChars="0"/>
        <w:rPr>
          <w:rFonts w:hint="eastAsia" w:ascii="宋体" w:hAnsi="宋体" w:eastAsia="宋体" w:cs="宋体"/>
          <w:color w:val="auto"/>
          <w:highlight w:val="none"/>
        </w:rPr>
      </w:pPr>
    </w:p>
    <w:p w14:paraId="0151056D">
      <w:pPr>
        <w:pStyle w:val="21"/>
        <w:ind w:left="0" w:leftChars="0" w:firstLine="0" w:firstLineChars="0"/>
        <w:rPr>
          <w:rFonts w:hint="eastAsia" w:ascii="宋体" w:hAnsi="宋体" w:eastAsia="宋体" w:cs="宋体"/>
          <w:color w:val="auto"/>
          <w:highlight w:val="none"/>
        </w:rPr>
      </w:pPr>
    </w:p>
    <w:p w14:paraId="0DF34FA9">
      <w:pPr>
        <w:pStyle w:val="15"/>
        <w:spacing w:line="400" w:lineRule="exact"/>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eastAsia="zh-CN"/>
        </w:rPr>
        <w:t>二、</w:t>
      </w:r>
      <w:r>
        <w:rPr>
          <w:rFonts w:hint="eastAsia" w:ascii="宋体" w:hAnsi="宋体" w:eastAsia="宋体" w:cs="宋体"/>
          <w:b/>
          <w:color w:val="auto"/>
          <w:sz w:val="28"/>
          <w:szCs w:val="28"/>
          <w:highlight w:val="none"/>
        </w:rPr>
        <w:t>商务、技术</w:t>
      </w:r>
      <w:r>
        <w:rPr>
          <w:rFonts w:hint="eastAsia" w:ascii="宋体" w:hAnsi="宋体" w:eastAsia="宋体" w:cs="宋体"/>
          <w:b/>
          <w:color w:val="auto"/>
          <w:sz w:val="28"/>
          <w:szCs w:val="28"/>
          <w:highlight w:val="none"/>
          <w:lang w:eastAsia="zh-CN"/>
        </w:rPr>
        <w:t>性</w:t>
      </w:r>
      <w:r>
        <w:rPr>
          <w:rFonts w:hint="eastAsia" w:ascii="宋体" w:hAnsi="宋体" w:eastAsia="宋体" w:cs="宋体"/>
          <w:b/>
          <w:color w:val="auto"/>
          <w:sz w:val="28"/>
          <w:szCs w:val="28"/>
          <w:highlight w:val="none"/>
        </w:rPr>
        <w:t>响应</w:t>
      </w:r>
      <w:r>
        <w:rPr>
          <w:rFonts w:hint="eastAsia" w:ascii="宋体" w:hAnsi="宋体" w:eastAsia="宋体" w:cs="宋体"/>
          <w:b/>
          <w:color w:val="auto"/>
          <w:sz w:val="28"/>
          <w:szCs w:val="28"/>
          <w:highlight w:val="none"/>
          <w:lang w:eastAsia="zh-CN"/>
        </w:rPr>
        <w:t>及其他</w:t>
      </w:r>
      <w:r>
        <w:rPr>
          <w:rFonts w:hint="eastAsia" w:ascii="宋体" w:hAnsi="宋体" w:eastAsia="宋体" w:cs="宋体"/>
          <w:b/>
          <w:color w:val="auto"/>
          <w:sz w:val="28"/>
          <w:szCs w:val="28"/>
          <w:highlight w:val="none"/>
        </w:rPr>
        <w:t>证明材料</w:t>
      </w:r>
    </w:p>
    <w:p w14:paraId="709B67B7">
      <w:pPr>
        <w:pStyle w:val="15"/>
        <w:spacing w:line="40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1、响应函（格式见附件</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rPr>
        <w:t>必须提供</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lang w:val="en-US" w:eastAsia="zh-CN"/>
        </w:rPr>
        <w:t>否则作无效响应处理</w:t>
      </w:r>
      <w:r>
        <w:rPr>
          <w:rFonts w:hint="eastAsia" w:ascii="宋体" w:hAnsi="宋体" w:eastAsia="宋体" w:cs="宋体"/>
          <w:b/>
          <w:color w:val="auto"/>
          <w:sz w:val="28"/>
          <w:szCs w:val="28"/>
          <w:highlight w:val="none"/>
        </w:rPr>
        <w:t>）；</w:t>
      </w:r>
    </w:p>
    <w:p w14:paraId="4BE23302">
      <w:pPr>
        <w:spacing w:line="320" w:lineRule="exact"/>
        <w:rPr>
          <w:rFonts w:hint="eastAsia" w:ascii="宋体" w:hAnsi="宋体" w:eastAsia="宋体" w:cs="宋体"/>
          <w:b/>
          <w:color w:val="auto"/>
          <w:sz w:val="24"/>
          <w:highlight w:val="none"/>
        </w:rPr>
      </w:pPr>
    </w:p>
    <w:p w14:paraId="0756A13A">
      <w:pPr>
        <w:spacing w:line="32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w:t>
      </w:r>
    </w:p>
    <w:p w14:paraId="001B153F">
      <w:pPr>
        <w:pStyle w:val="15"/>
        <w:spacing w:line="320" w:lineRule="exact"/>
        <w:ind w:firstLine="803" w:firstLineChars="25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响 应 函 （格 式）</w:t>
      </w:r>
    </w:p>
    <w:p w14:paraId="1DADFA56">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lang w:val="en-US" w:eastAsia="zh-CN"/>
        </w:rPr>
        <w:t>采购人</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 xml:space="preserve"> </w:t>
      </w:r>
    </w:p>
    <w:p w14:paraId="564E44E2">
      <w:pPr>
        <w:pStyle w:val="15"/>
        <w:spacing w:line="40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根据贵方</w:t>
      </w:r>
      <w:r>
        <w:rPr>
          <w:rFonts w:hint="eastAsia" w:ascii="宋体" w:hAnsi="宋体" w:eastAsia="宋体" w:cs="宋体"/>
          <w:color w:val="auto"/>
          <w:highlight w:val="none"/>
          <w:u w:val="single"/>
        </w:rPr>
        <w:t xml:space="preserve"> </w:t>
      </w:r>
      <w:r>
        <w:rPr>
          <w:rFonts w:hint="eastAsia" w:ascii="宋体" w:hAnsi="宋体" w:eastAsia="宋体" w:cs="宋体"/>
          <w:color w:val="auto"/>
          <w:szCs w:val="21"/>
          <w:highlight w:val="none"/>
          <w:u w:val="single"/>
        </w:rPr>
        <w:t xml:space="preserve">         （项目名称）</w:t>
      </w:r>
      <w:r>
        <w:rPr>
          <w:rFonts w:hint="eastAsia" w:hAnsi="宋体" w:cs="宋体"/>
          <w:color w:val="auto"/>
          <w:szCs w:val="21"/>
          <w:highlight w:val="none"/>
          <w:u w:val="single"/>
          <w:lang w:val="en-US" w:eastAsia="zh-CN"/>
        </w:rPr>
        <w:t xml:space="preserve"> </w:t>
      </w:r>
      <w:r>
        <w:rPr>
          <w:rFonts w:hint="eastAsia" w:ascii="宋体" w:hAnsi="宋体" w:eastAsia="宋体" w:cs="宋体"/>
          <w:color w:val="auto"/>
          <w:highlight w:val="none"/>
        </w:rPr>
        <w:t>项目磋商文件，项目编号</w:t>
      </w:r>
      <w:r>
        <w:rPr>
          <w:rFonts w:hint="eastAsia" w:ascii="宋体" w:hAnsi="宋体" w:eastAsia="宋体" w:cs="宋体"/>
          <w:color w:val="auto"/>
          <w:highlight w:val="none"/>
          <w:u w:val="single"/>
        </w:rPr>
        <w:t xml:space="preserve"> </w:t>
      </w:r>
      <w:r>
        <w:rPr>
          <w:rFonts w:hint="eastAsia" w:ascii="宋体" w:hAnsi="宋体" w:eastAsia="宋体" w:cs="宋体"/>
          <w:bCs/>
          <w:color w:val="auto"/>
          <w:szCs w:val="21"/>
          <w:highlight w:val="none"/>
          <w:u w:val="single"/>
        </w:rPr>
        <w:t xml:space="preserve">         </w:t>
      </w:r>
      <w:r>
        <w:rPr>
          <w:rFonts w:hint="eastAsia" w:ascii="宋体" w:hAnsi="宋体" w:eastAsia="宋体" w:cs="宋体"/>
          <w:color w:val="auto"/>
          <w:szCs w:val="21"/>
          <w:highlight w:val="none"/>
        </w:rPr>
        <w:t>，签字代表</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（姓名）经正式授权并代表供应商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磋商单位名称）</w:t>
      </w:r>
      <w:r>
        <w:rPr>
          <w:rFonts w:hint="eastAsia" w:ascii="宋体" w:hAnsi="宋体" w:eastAsia="宋体" w:cs="宋体"/>
          <w:color w:val="auto"/>
          <w:highlight w:val="none"/>
          <w:lang w:eastAsia="zh-CN"/>
        </w:rPr>
        <w:t>，提交电子</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lang w:eastAsia="zh-CN"/>
        </w:rPr>
        <w:t>文件</w:t>
      </w:r>
      <w:r>
        <w:rPr>
          <w:rFonts w:hint="eastAsia" w:ascii="宋体" w:hAnsi="宋体" w:eastAsia="宋体" w:cs="宋体"/>
          <w:color w:val="auto"/>
          <w:highlight w:val="none"/>
        </w:rPr>
        <w:t>。</w:t>
      </w:r>
    </w:p>
    <w:p w14:paraId="7E748BF9">
      <w:pPr>
        <w:pStyle w:val="15"/>
        <w:spacing w:line="40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据此函，签字代表宣布同意如下：</w:t>
      </w:r>
    </w:p>
    <w:p w14:paraId="5E81C379">
      <w:pPr>
        <w:pStyle w:val="15"/>
        <w:numPr>
          <w:ilvl w:val="0"/>
          <w:numId w:val="7"/>
        </w:num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按磋商文件服务采购需求和磋商报价表：</w:t>
      </w:r>
    </w:p>
    <w:p w14:paraId="7778C954">
      <w:pPr>
        <w:pStyle w:val="16"/>
        <w:ind w:firstLine="420" w:firstLineChars="200"/>
        <w:rPr>
          <w:rFonts w:hint="eastAsia"/>
          <w:color w:val="auto"/>
          <w:highlight w:val="none"/>
        </w:rPr>
      </w:pPr>
      <w:r>
        <w:rPr>
          <w:rFonts w:hint="eastAsia"/>
          <w:color w:val="auto"/>
          <w:highlight w:val="none"/>
        </w:rPr>
        <w:t>磋商总报价（大写） ：</w:t>
      </w:r>
      <w:r>
        <w:rPr>
          <w:rFonts w:hint="eastAsia"/>
          <w:color w:val="auto"/>
          <w:highlight w:val="none"/>
          <w:u w:val="single"/>
        </w:rPr>
        <w:t xml:space="preserve">          人民币(￥          )。</w:t>
      </w:r>
    </w:p>
    <w:p w14:paraId="44ED110F">
      <w:pPr>
        <w:pStyle w:val="15"/>
        <w:spacing w:line="400" w:lineRule="exact"/>
        <w:ind w:firstLine="360"/>
        <w:rPr>
          <w:rFonts w:hint="eastAsia" w:ascii="宋体" w:hAnsi="宋体" w:eastAsia="宋体" w:cs="宋体"/>
          <w:color w:val="auto"/>
          <w:highlight w:val="none"/>
        </w:rPr>
      </w:pPr>
      <w:r>
        <w:rPr>
          <w:rFonts w:hint="eastAsia" w:ascii="宋体" w:hAnsi="宋体" w:eastAsia="宋体" w:cs="宋体"/>
          <w:color w:val="auto"/>
          <w:highlight w:val="none"/>
        </w:rPr>
        <w:t>2、我方承诺已具备磋商文件规定的供应商资格条件。</w:t>
      </w:r>
    </w:p>
    <w:p w14:paraId="54FA5A16">
      <w:pPr>
        <w:pStyle w:val="15"/>
        <w:spacing w:line="40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3、我方已详细审核磋商文件，包括修改文件（如有的话）和有关附件，将自行承担因对全部磋商文件理解不正确或误解而产生的相应后果。</w:t>
      </w:r>
    </w:p>
    <w:p w14:paraId="2C399A6B">
      <w:pPr>
        <w:pStyle w:val="15"/>
        <w:spacing w:line="400" w:lineRule="exact"/>
        <w:ind w:firstLine="42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4、我公司在此承诺：</w:t>
      </w:r>
      <w:r>
        <w:rPr>
          <w:rFonts w:hint="eastAsia" w:ascii="宋体" w:hAnsi="宋体" w:eastAsia="宋体" w:cs="宋体"/>
          <w:b/>
          <w:bCs/>
          <w:color w:val="auto"/>
          <w:highlight w:val="none"/>
          <w:lang w:eastAsia="zh-CN"/>
        </w:rPr>
        <w:t>我公司完全响应本项目采购需求中所有内容及要求。</w:t>
      </w:r>
    </w:p>
    <w:p w14:paraId="6557D62F">
      <w:pPr>
        <w:pStyle w:val="15"/>
        <w:spacing w:line="400" w:lineRule="exact"/>
        <w:ind w:firstLine="420"/>
        <w:rPr>
          <w:rFonts w:hint="eastAsia" w:ascii="宋体" w:hAnsi="宋体" w:eastAsia="宋体" w:cs="宋体"/>
          <w:color w:val="auto"/>
          <w:highlight w:val="none"/>
        </w:rPr>
      </w:pPr>
      <w:r>
        <w:rPr>
          <w:rFonts w:hint="eastAsia" w:hAnsi="宋体" w:cs="宋体"/>
          <w:color w:val="auto"/>
          <w:highlight w:val="none"/>
          <w:lang w:val="en-US" w:eastAsia="zh-CN"/>
        </w:rPr>
        <w:t>5</w:t>
      </w:r>
      <w:r>
        <w:rPr>
          <w:rFonts w:hint="eastAsia" w:ascii="宋体" w:hAnsi="宋体" w:eastAsia="宋体" w:cs="宋体"/>
          <w:color w:val="auto"/>
          <w:highlight w:val="none"/>
        </w:rPr>
        <w:t>、如我方成交：</w:t>
      </w:r>
    </w:p>
    <w:p w14:paraId="699A1EA7">
      <w:pPr>
        <w:pStyle w:val="15"/>
        <w:spacing w:line="40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（1）我方承诺在收到成交通知书后，在成交通知书规定的期限内与采购人签订合同。</w:t>
      </w:r>
    </w:p>
    <w:p w14:paraId="251B96B7">
      <w:pPr>
        <w:pStyle w:val="15"/>
        <w:spacing w:line="40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（2）我方承诺按照磋商文件规定递交履约担保。</w:t>
      </w:r>
    </w:p>
    <w:p w14:paraId="6C5103A2">
      <w:pPr>
        <w:pStyle w:val="15"/>
        <w:spacing w:line="40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（3）我方承诺本</w:t>
      </w:r>
      <w:r>
        <w:rPr>
          <w:rFonts w:hint="eastAsia" w:ascii="宋体" w:hAnsi="宋体" w:eastAsia="宋体" w:cs="宋体"/>
          <w:color w:val="auto"/>
          <w:szCs w:val="21"/>
          <w:highlight w:val="none"/>
        </w:rPr>
        <w:t>响应</w:t>
      </w:r>
      <w:r>
        <w:rPr>
          <w:rFonts w:hint="eastAsia" w:ascii="宋体" w:hAnsi="宋体" w:eastAsia="宋体" w:cs="宋体"/>
          <w:color w:val="auto"/>
          <w:highlight w:val="none"/>
        </w:rPr>
        <w:t>文件至本项目合同履行完毕止均保持有效，按磋商文件及政府采购法律、法规的规定履行合同责任和义务。</w:t>
      </w:r>
    </w:p>
    <w:p w14:paraId="6B418866">
      <w:pPr>
        <w:pStyle w:val="15"/>
        <w:spacing w:line="40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与本响应有关的正式通讯地址为：</w:t>
      </w:r>
    </w:p>
    <w:p w14:paraId="746E23FD">
      <w:pPr>
        <w:pStyle w:val="15"/>
        <w:spacing w:line="400" w:lineRule="exact"/>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地址：</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邮编：</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电话、传真：</w:t>
      </w:r>
      <w:r>
        <w:rPr>
          <w:rFonts w:hint="eastAsia" w:ascii="宋体" w:hAnsi="宋体" w:eastAsia="宋体" w:cs="宋体"/>
          <w:color w:val="auto"/>
          <w:highlight w:val="none"/>
          <w:u w:val="single"/>
        </w:rPr>
        <w:t xml:space="preserve">               </w:t>
      </w:r>
    </w:p>
    <w:p w14:paraId="18568EAD">
      <w:pPr>
        <w:pStyle w:val="15"/>
        <w:spacing w:line="40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开户名称：</w:t>
      </w:r>
      <w:r>
        <w:rPr>
          <w:rFonts w:hint="eastAsia" w:ascii="宋体" w:hAnsi="宋体" w:eastAsia="宋体" w:cs="宋体"/>
          <w:color w:val="auto"/>
          <w:highlight w:val="none"/>
          <w:u w:val="single"/>
        </w:rPr>
        <w:t xml:space="preserve">                           </w:t>
      </w:r>
    </w:p>
    <w:p w14:paraId="1B03D028">
      <w:pPr>
        <w:pStyle w:val="15"/>
        <w:spacing w:line="40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开户银行：</w:t>
      </w:r>
      <w:r>
        <w:rPr>
          <w:rFonts w:hint="eastAsia" w:ascii="宋体" w:hAnsi="宋体" w:eastAsia="宋体" w:cs="宋体"/>
          <w:color w:val="auto"/>
          <w:highlight w:val="none"/>
          <w:u w:val="singl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highlight w:val="none"/>
          <w:u w:val="single"/>
        </w:rPr>
        <w:t xml:space="preserve">                           </w:t>
      </w:r>
    </w:p>
    <w:p w14:paraId="43FCC928">
      <w:pPr>
        <w:pStyle w:val="15"/>
        <w:spacing w:line="40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账号：</w:t>
      </w:r>
      <w:r>
        <w:rPr>
          <w:rFonts w:hint="eastAsia" w:ascii="宋体" w:hAnsi="宋体" w:eastAsia="宋体" w:cs="宋体"/>
          <w:color w:val="auto"/>
          <w:highlight w:val="none"/>
          <w:u w:val="singl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highlight w:val="none"/>
          <w:u w:val="single"/>
        </w:rPr>
        <w:t xml:space="preserve">                        </w:t>
      </w:r>
    </w:p>
    <w:p w14:paraId="572EEFA6">
      <w:pPr>
        <w:spacing w:line="3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供应商[公章(CA签章)]：</w:t>
      </w:r>
      <w:r>
        <w:rPr>
          <w:rFonts w:hint="eastAsia" w:hAnsi="宋体"/>
          <w:color w:val="auto"/>
          <w:highlight w:val="none"/>
          <w:u w:val="single"/>
        </w:rPr>
        <w:t xml:space="preserve">                      ； </w:t>
      </w:r>
      <w:r>
        <w:rPr>
          <w:rFonts w:hint="eastAsia" w:ascii="宋体" w:hAnsi="宋体" w:cs="宋体"/>
          <w:color w:val="auto"/>
          <w:szCs w:val="21"/>
          <w:highlight w:val="none"/>
        </w:rPr>
        <w:t xml:space="preserve">                                      </w:t>
      </w:r>
    </w:p>
    <w:p w14:paraId="2FA4C8C5">
      <w:pPr>
        <w:pStyle w:val="15"/>
        <w:spacing w:line="400" w:lineRule="exact"/>
        <w:ind w:firstLine="420"/>
        <w:rPr>
          <w:rFonts w:hint="eastAsia" w:hAnsi="宋体"/>
          <w:color w:val="auto"/>
          <w:highlight w:val="none"/>
          <w:u w:val="single"/>
        </w:rPr>
      </w:pPr>
      <w:r>
        <w:rPr>
          <w:rFonts w:hint="eastAsia" w:ascii="宋体" w:hAnsi="宋体" w:cs="宋体"/>
          <w:color w:val="auto"/>
          <w:szCs w:val="21"/>
          <w:highlight w:val="none"/>
        </w:rPr>
        <w:t>法定代表人、负责人或相应的委托代理人签字[或盖章(个人CA签章)]）：</w:t>
      </w:r>
      <w:r>
        <w:rPr>
          <w:rFonts w:hint="eastAsia" w:hAnsi="宋体"/>
          <w:color w:val="auto"/>
          <w:highlight w:val="none"/>
          <w:u w:val="single"/>
        </w:rPr>
        <w:t xml:space="preserve">            ； </w:t>
      </w:r>
    </w:p>
    <w:p w14:paraId="59FCE5CF">
      <w:pPr>
        <w:pStyle w:val="15"/>
        <w:spacing w:line="400" w:lineRule="exact"/>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xml:space="preserve">                               </w:t>
      </w:r>
    </w:p>
    <w:p w14:paraId="6395315A">
      <w:pPr>
        <w:pStyle w:val="15"/>
        <w:spacing w:line="400" w:lineRule="exact"/>
        <w:rPr>
          <w:rFonts w:hint="eastAsia" w:ascii="宋体" w:hAnsi="宋体" w:eastAsia="宋体" w:cs="宋体"/>
          <w:bCs/>
          <w:color w:val="auto"/>
          <w:szCs w:val="21"/>
          <w:highlight w:val="none"/>
        </w:rPr>
      </w:pPr>
    </w:p>
    <w:p w14:paraId="30A70513">
      <w:pPr>
        <w:rPr>
          <w:rFonts w:hint="eastAsia" w:ascii="宋体" w:hAnsi="宋体" w:eastAsia="宋体" w:cs="宋体"/>
          <w:bCs/>
          <w:color w:val="auto"/>
          <w:szCs w:val="21"/>
          <w:highlight w:val="none"/>
        </w:rPr>
      </w:pPr>
    </w:p>
    <w:p w14:paraId="0F79BA54">
      <w:pPr>
        <w:pStyle w:val="10"/>
        <w:rPr>
          <w:rFonts w:hint="eastAsia" w:ascii="宋体" w:hAnsi="宋体" w:eastAsia="宋体" w:cs="宋体"/>
          <w:bCs/>
          <w:color w:val="auto"/>
          <w:szCs w:val="21"/>
          <w:highlight w:val="none"/>
        </w:rPr>
      </w:pPr>
    </w:p>
    <w:p w14:paraId="2377B545">
      <w:pPr>
        <w:pStyle w:val="24"/>
        <w:ind w:firstLine="344"/>
        <w:rPr>
          <w:rFonts w:hint="eastAsia" w:ascii="宋体" w:hAnsi="宋体" w:eastAsia="宋体" w:cs="宋体"/>
          <w:bCs/>
          <w:color w:val="auto"/>
          <w:szCs w:val="21"/>
          <w:highlight w:val="none"/>
        </w:rPr>
      </w:pPr>
    </w:p>
    <w:p w14:paraId="49AF9170">
      <w:pPr>
        <w:pStyle w:val="15"/>
        <w:spacing w:line="400" w:lineRule="exact"/>
        <w:rPr>
          <w:rFonts w:hint="eastAsia" w:ascii="宋体" w:hAnsi="宋体" w:eastAsia="宋体" w:cs="宋体"/>
          <w:b/>
          <w:color w:val="auto"/>
          <w:sz w:val="28"/>
          <w:szCs w:val="28"/>
          <w:highlight w:val="none"/>
        </w:rPr>
      </w:pPr>
    </w:p>
    <w:p w14:paraId="2629B30B">
      <w:pPr>
        <w:pStyle w:val="16"/>
        <w:rPr>
          <w:rFonts w:hint="eastAsia"/>
          <w:color w:val="auto"/>
          <w:highlight w:val="none"/>
        </w:rPr>
      </w:pPr>
    </w:p>
    <w:p w14:paraId="519CDF6F">
      <w:pPr>
        <w:rPr>
          <w:rFonts w:hint="eastAsia" w:ascii="宋体" w:hAnsi="宋体" w:eastAsia="宋体" w:cs="宋体"/>
          <w:color w:val="auto"/>
          <w:highlight w:val="none"/>
        </w:rPr>
      </w:pPr>
    </w:p>
    <w:p w14:paraId="500584AA">
      <w:pPr>
        <w:pStyle w:val="10"/>
        <w:rPr>
          <w:rFonts w:hint="eastAsia" w:ascii="宋体" w:hAnsi="宋体" w:eastAsia="宋体" w:cs="宋体"/>
          <w:color w:val="auto"/>
          <w:highlight w:val="none"/>
        </w:rPr>
      </w:pPr>
    </w:p>
    <w:p w14:paraId="4739853A">
      <w:pPr>
        <w:pStyle w:val="41"/>
        <w:rPr>
          <w:rFonts w:hint="eastAsia" w:ascii="宋体" w:hAnsi="宋体" w:eastAsia="宋体" w:cs="宋体"/>
          <w:color w:val="auto"/>
          <w:highlight w:val="none"/>
        </w:rPr>
      </w:pPr>
    </w:p>
    <w:p w14:paraId="08D944B2">
      <w:pPr>
        <w:spacing w:line="40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2</w:t>
      </w:r>
      <w:r>
        <w:rPr>
          <w:rFonts w:hint="eastAsia" w:ascii="宋体" w:hAnsi="宋体" w:eastAsia="宋体" w:cs="宋体"/>
          <w:b/>
          <w:color w:val="auto"/>
          <w:sz w:val="28"/>
          <w:szCs w:val="28"/>
          <w:highlight w:val="none"/>
        </w:rPr>
        <w:t>、磋商报价表（格式见附件</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rPr>
        <w:t>必须提供</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lang w:val="en-US" w:eastAsia="zh-CN"/>
        </w:rPr>
        <w:t>否则作无效响应处理</w:t>
      </w:r>
      <w:r>
        <w:rPr>
          <w:rFonts w:hint="eastAsia" w:ascii="宋体" w:hAnsi="宋体" w:eastAsia="宋体" w:cs="宋体"/>
          <w:b/>
          <w:color w:val="auto"/>
          <w:sz w:val="28"/>
          <w:szCs w:val="28"/>
          <w:highlight w:val="none"/>
        </w:rPr>
        <w:t>）；</w:t>
      </w:r>
    </w:p>
    <w:p w14:paraId="694287F2">
      <w:pPr>
        <w:spacing w:line="300" w:lineRule="exact"/>
        <w:ind w:left="420"/>
        <w:jc w:val="left"/>
        <w:rPr>
          <w:rFonts w:hint="eastAsia" w:ascii="宋体" w:hAnsi="宋体" w:eastAsia="宋体" w:cs="宋体"/>
          <w:b/>
          <w:color w:val="auto"/>
          <w:sz w:val="24"/>
          <w:highlight w:val="none"/>
        </w:rPr>
      </w:pPr>
    </w:p>
    <w:p w14:paraId="7887A2BD">
      <w:pPr>
        <w:spacing w:line="300" w:lineRule="exact"/>
        <w:ind w:left="420"/>
        <w:jc w:val="left"/>
        <w:rPr>
          <w:rFonts w:hint="eastAsia" w:ascii="宋体" w:hAnsi="宋体" w:eastAsia="宋体" w:cs="宋体"/>
          <w:b/>
          <w:color w:val="auto"/>
          <w:sz w:val="24"/>
          <w:highlight w:val="none"/>
        </w:rPr>
      </w:pPr>
      <w:r>
        <w:rPr>
          <w:rFonts w:hint="eastAsia" w:ascii="宋体" w:hAnsi="宋体" w:eastAsia="宋体" w:cs="宋体"/>
          <w:b/>
          <w:color w:val="auto"/>
          <w:sz w:val="28"/>
          <w:szCs w:val="28"/>
          <w:highlight w:val="none"/>
        </w:rPr>
        <w:t xml:space="preserve">附件： </w:t>
      </w:r>
      <w:r>
        <w:rPr>
          <w:rFonts w:hint="eastAsia" w:ascii="宋体" w:hAnsi="宋体" w:eastAsia="宋体" w:cs="宋体"/>
          <w:b/>
          <w:color w:val="auto"/>
          <w:sz w:val="24"/>
          <w:highlight w:val="none"/>
        </w:rPr>
        <w:t xml:space="preserve">                                    </w:t>
      </w:r>
    </w:p>
    <w:p w14:paraId="7A3A39F7">
      <w:pPr>
        <w:spacing w:line="320" w:lineRule="exact"/>
        <w:ind w:left="420"/>
        <w:jc w:val="center"/>
        <w:rPr>
          <w:rFonts w:hint="eastAsia" w:ascii="宋体" w:hAnsi="宋体" w:eastAsia="宋体" w:cs="宋体"/>
          <w:b/>
          <w:color w:val="auto"/>
          <w:sz w:val="32"/>
          <w:szCs w:val="20"/>
          <w:highlight w:val="none"/>
        </w:rPr>
      </w:pPr>
      <w:r>
        <w:rPr>
          <w:rFonts w:hint="eastAsia" w:ascii="宋体" w:hAnsi="宋体" w:eastAsia="宋体" w:cs="宋体"/>
          <w:b/>
          <w:color w:val="auto"/>
          <w:sz w:val="32"/>
          <w:szCs w:val="20"/>
          <w:highlight w:val="none"/>
        </w:rPr>
        <w:t>磋商报价表（格式）</w:t>
      </w:r>
    </w:p>
    <w:p w14:paraId="7B49847A">
      <w:pPr>
        <w:pStyle w:val="17"/>
        <w:rPr>
          <w:rFonts w:hint="eastAsia" w:ascii="宋体" w:hAnsi="宋体" w:eastAsia="宋体" w:cs="宋体"/>
          <w:b/>
          <w:color w:val="auto"/>
          <w:sz w:val="32"/>
          <w:szCs w:val="20"/>
          <w:highlight w:val="none"/>
        </w:rPr>
      </w:pPr>
    </w:p>
    <w:p w14:paraId="4CE5E8E0">
      <w:pPr>
        <w:pStyle w:val="17"/>
        <w:rPr>
          <w:rFonts w:hint="eastAsia" w:ascii="宋体" w:hAnsi="宋体" w:eastAsia="宋体" w:cs="宋体"/>
          <w:b/>
          <w:color w:val="auto"/>
          <w:sz w:val="32"/>
          <w:szCs w:val="20"/>
          <w:highlight w:val="none"/>
          <w:u w:val="single"/>
        </w:rPr>
      </w:pPr>
      <w:r>
        <w:rPr>
          <w:rFonts w:hint="eastAsia" w:ascii="宋体" w:hAnsi="宋体" w:eastAsia="宋体" w:cs="宋体"/>
          <w:b/>
          <w:color w:val="auto"/>
          <w:sz w:val="32"/>
          <w:szCs w:val="20"/>
          <w:highlight w:val="none"/>
        </w:rPr>
        <w:t xml:space="preserve"> </w:t>
      </w:r>
    </w:p>
    <w:tbl>
      <w:tblPr>
        <w:tblStyle w:val="25"/>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946"/>
        <w:gridCol w:w="1259"/>
        <w:gridCol w:w="4922"/>
        <w:gridCol w:w="1393"/>
      </w:tblGrid>
      <w:tr w14:paraId="08707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442" w:hRule="atLeast"/>
          <w:jc w:val="center"/>
        </w:trPr>
        <w:tc>
          <w:tcPr>
            <w:tcW w:w="1946" w:type="dxa"/>
            <w:vAlign w:val="center"/>
          </w:tcPr>
          <w:p w14:paraId="584A4C24">
            <w:pPr>
              <w:jc w:val="center"/>
              <w:rPr>
                <w:rFonts w:hint="eastAsia" w:ascii="宋体" w:hAnsi="宋体" w:eastAsia="宋体" w:cs="宋体"/>
                <w:color w:val="auto"/>
                <w:spacing w:val="-20"/>
                <w:szCs w:val="21"/>
                <w:highlight w:val="none"/>
              </w:rPr>
            </w:pPr>
            <w:r>
              <w:rPr>
                <w:rFonts w:hint="eastAsia" w:ascii="宋体" w:hAnsi="宋体" w:eastAsia="宋体" w:cs="宋体"/>
                <w:color w:val="auto"/>
                <w:szCs w:val="21"/>
                <w:highlight w:val="none"/>
              </w:rPr>
              <w:t>项目名称</w:t>
            </w:r>
          </w:p>
        </w:tc>
        <w:tc>
          <w:tcPr>
            <w:tcW w:w="1259" w:type="dxa"/>
            <w:vAlign w:val="center"/>
          </w:tcPr>
          <w:p w14:paraId="70AF5643">
            <w:pPr>
              <w:jc w:val="center"/>
              <w:rPr>
                <w:rFonts w:hint="eastAsia" w:ascii="宋体" w:hAnsi="宋体" w:eastAsia="宋体" w:cs="宋体"/>
                <w:color w:val="auto"/>
                <w:kern w:val="0"/>
                <w:szCs w:val="21"/>
                <w:highlight w:val="none"/>
              </w:rPr>
            </w:pPr>
            <w:r>
              <w:rPr>
                <w:rFonts w:hint="eastAsia" w:ascii="宋体" w:hAnsi="宋体"/>
                <w:bCs/>
                <w:color w:val="auto"/>
                <w:kern w:val="0"/>
                <w:highlight w:val="none"/>
              </w:rPr>
              <w:t>内     容</w:t>
            </w:r>
          </w:p>
        </w:tc>
        <w:tc>
          <w:tcPr>
            <w:tcW w:w="4922" w:type="dxa"/>
            <w:vAlign w:val="center"/>
          </w:tcPr>
          <w:p w14:paraId="2C475088">
            <w:pPr>
              <w:jc w:val="center"/>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磋商总报价</w:t>
            </w:r>
          </w:p>
        </w:tc>
        <w:tc>
          <w:tcPr>
            <w:tcW w:w="1393" w:type="dxa"/>
            <w:vAlign w:val="center"/>
          </w:tcPr>
          <w:p w14:paraId="0E30B4C0">
            <w:pPr>
              <w:ind w:firstLine="420"/>
              <w:jc w:val="both"/>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备注</w:t>
            </w:r>
          </w:p>
        </w:tc>
      </w:tr>
      <w:tr w14:paraId="07513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026" w:hRule="atLeast"/>
          <w:jc w:val="center"/>
        </w:trPr>
        <w:tc>
          <w:tcPr>
            <w:tcW w:w="1946" w:type="dxa"/>
            <w:vAlign w:val="center"/>
          </w:tcPr>
          <w:p w14:paraId="3A2CA704">
            <w:pPr>
              <w:pStyle w:val="39"/>
              <w:spacing w:line="320" w:lineRule="exact"/>
              <w:jc w:val="center"/>
              <w:rPr>
                <w:rFonts w:hint="eastAsia" w:ascii="宋体" w:hAnsi="宋体" w:eastAsia="宋体" w:cs="宋体"/>
                <w:color w:val="auto"/>
                <w:spacing w:val="-20"/>
                <w:szCs w:val="21"/>
                <w:highlight w:val="none"/>
                <w:lang w:eastAsia="zh-CN"/>
              </w:rPr>
            </w:pPr>
            <w:r>
              <w:rPr>
                <w:rFonts w:hint="eastAsia" w:hAnsi="宋体" w:cs="宋体"/>
                <w:color w:val="auto"/>
                <w:kern w:val="0"/>
                <w:sz w:val="21"/>
                <w:szCs w:val="21"/>
                <w:highlight w:val="none"/>
                <w:lang w:val="en-US" w:eastAsia="zh-CN" w:bidi="ar-SA"/>
              </w:rPr>
              <w:t>桂林市矿产资源总体规划（2026-2030年）编制工作</w:t>
            </w:r>
          </w:p>
        </w:tc>
        <w:tc>
          <w:tcPr>
            <w:tcW w:w="1259" w:type="dxa"/>
            <w:vAlign w:val="center"/>
          </w:tcPr>
          <w:p w14:paraId="6F0FF7D8">
            <w:pPr>
              <w:spacing w:line="400" w:lineRule="exact"/>
              <w:jc w:val="center"/>
              <w:rPr>
                <w:rFonts w:hint="eastAsia" w:ascii="宋体" w:hAnsi="宋体" w:eastAsia="宋体" w:cs="宋体"/>
                <w:bCs/>
                <w:color w:val="auto"/>
                <w:szCs w:val="21"/>
                <w:highlight w:val="none"/>
              </w:rPr>
            </w:pPr>
            <w:r>
              <w:rPr>
                <w:rFonts w:hint="eastAsia" w:ascii="宋体" w:hAnsi="宋体" w:cs="宋体"/>
                <w:bCs/>
                <w:color w:val="auto"/>
                <w:kern w:val="0"/>
                <w:highlight w:val="none"/>
              </w:rPr>
              <w:t>采购需求中所有内容</w:t>
            </w:r>
          </w:p>
        </w:tc>
        <w:tc>
          <w:tcPr>
            <w:tcW w:w="4922" w:type="dxa"/>
            <w:vAlign w:val="center"/>
          </w:tcPr>
          <w:p w14:paraId="6641CE05">
            <w:pPr>
              <w:spacing w:line="400" w:lineRule="exact"/>
              <w:jc w:val="both"/>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大写：</w:t>
            </w:r>
            <w:r>
              <w:rPr>
                <w:rFonts w:hint="eastAsia" w:ascii="宋体" w:hAnsi="宋体" w:eastAsia="宋体" w:cs="宋体"/>
                <w:bCs/>
                <w:color w:val="auto"/>
                <w:szCs w:val="21"/>
                <w:highlight w:val="none"/>
                <w:u w:val="single"/>
              </w:rPr>
              <w:t xml:space="preserve">        </w:t>
            </w:r>
            <w:r>
              <w:rPr>
                <w:rFonts w:hint="eastAsia" w:ascii="宋体" w:hAnsi="宋体" w:cs="宋体"/>
                <w:bCs/>
                <w:color w:val="auto"/>
                <w:szCs w:val="21"/>
                <w:highlight w:val="none"/>
                <w:u w:val="single"/>
                <w:lang w:val="en-US" w:eastAsia="zh-CN"/>
              </w:rPr>
              <w:t xml:space="preserve">  </w:t>
            </w:r>
            <w:r>
              <w:rPr>
                <w:rFonts w:hint="eastAsia" w:ascii="宋体" w:hAnsi="宋体" w:eastAsia="宋体" w:cs="宋体"/>
                <w:bCs/>
                <w:color w:val="auto"/>
                <w:szCs w:val="21"/>
                <w:highlight w:val="none"/>
                <w:u w:val="single"/>
              </w:rPr>
              <w:t xml:space="preserve">  </w:t>
            </w:r>
            <w:r>
              <w:rPr>
                <w:rFonts w:hint="eastAsia" w:ascii="宋体" w:hAnsi="宋体" w:cs="宋体"/>
                <w:bCs/>
                <w:color w:val="auto"/>
                <w:szCs w:val="21"/>
                <w:highlight w:val="none"/>
                <w:u w:val="none"/>
                <w:lang w:val="en-US" w:eastAsia="zh-CN"/>
              </w:rPr>
              <w:t xml:space="preserve"> </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人民币(</w:t>
            </w:r>
            <w:r>
              <w:rPr>
                <w:rFonts w:hint="eastAsia" w:ascii="宋体" w:hAnsi="宋体" w:cs="宋体"/>
                <w:bCs/>
                <w:color w:val="auto"/>
                <w:szCs w:val="21"/>
                <w:highlight w:val="none"/>
                <w:lang w:val="en-US" w:eastAsia="zh-CN"/>
              </w:rPr>
              <w:t>¥</w:t>
            </w:r>
            <w:r>
              <w:rPr>
                <w:rFonts w:hint="eastAsia" w:ascii="宋体" w:hAnsi="宋体" w:eastAsia="宋体" w:cs="宋体"/>
                <w:bCs/>
                <w:color w:val="auto"/>
                <w:szCs w:val="21"/>
                <w:highlight w:val="none"/>
              </w:rPr>
              <w:t xml:space="preserve"> </w:t>
            </w:r>
            <w:r>
              <w:rPr>
                <w:rFonts w:hint="eastAsia" w:ascii="宋体" w:hAnsi="宋体" w:eastAsia="宋体" w:cs="宋体"/>
                <w:bCs/>
                <w:color w:val="auto"/>
                <w:szCs w:val="21"/>
                <w:highlight w:val="none"/>
                <w:u w:val="single"/>
              </w:rPr>
              <w:t xml:space="preserve">         </w:t>
            </w:r>
            <w:r>
              <w:rPr>
                <w:rFonts w:hint="eastAsia" w:ascii="宋体" w:hAnsi="宋体" w:cs="宋体"/>
                <w:bCs/>
                <w:color w:val="auto"/>
                <w:szCs w:val="21"/>
                <w:highlight w:val="none"/>
                <w:lang w:val="en-US" w:eastAsia="zh-CN"/>
              </w:rPr>
              <w:t>元</w:t>
            </w:r>
            <w:r>
              <w:rPr>
                <w:rFonts w:hint="eastAsia" w:ascii="宋体" w:hAnsi="宋体" w:eastAsia="宋体" w:cs="宋体"/>
                <w:bCs/>
                <w:color w:val="auto"/>
                <w:szCs w:val="21"/>
                <w:highlight w:val="none"/>
              </w:rPr>
              <w:t>)。</w:t>
            </w:r>
          </w:p>
        </w:tc>
        <w:tc>
          <w:tcPr>
            <w:tcW w:w="1393" w:type="dxa"/>
            <w:vAlign w:val="center"/>
          </w:tcPr>
          <w:p w14:paraId="6AED203E">
            <w:pPr>
              <w:rPr>
                <w:rFonts w:hint="eastAsia" w:ascii="宋体" w:hAnsi="宋体" w:eastAsia="宋体" w:cs="宋体"/>
                <w:color w:val="auto"/>
                <w:szCs w:val="21"/>
                <w:highlight w:val="none"/>
              </w:rPr>
            </w:pPr>
          </w:p>
        </w:tc>
      </w:tr>
      <w:tr w14:paraId="324EF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742" w:hRule="atLeast"/>
          <w:jc w:val="center"/>
        </w:trPr>
        <w:tc>
          <w:tcPr>
            <w:tcW w:w="9520" w:type="dxa"/>
            <w:gridSpan w:val="4"/>
            <w:vAlign w:val="center"/>
          </w:tcPr>
          <w:p w14:paraId="65D306A9">
            <w:pPr>
              <w:widowControl/>
              <w:spacing w:line="340" w:lineRule="atLeast"/>
              <w:jc w:val="left"/>
              <w:rPr>
                <w:rFonts w:hint="eastAsia" w:ascii="宋体" w:hAnsi="宋体" w:eastAsia="宋体" w:cs="宋体"/>
                <w:color w:val="auto"/>
                <w:spacing w:val="-6"/>
                <w:szCs w:val="21"/>
                <w:highlight w:val="none"/>
              </w:rPr>
            </w:pPr>
            <w:r>
              <w:rPr>
                <w:rFonts w:hint="eastAsia" w:ascii="宋体" w:hAnsi="宋体" w:cs="宋体"/>
                <w:color w:val="auto"/>
                <w:kern w:val="0"/>
                <w:szCs w:val="21"/>
                <w:highlight w:val="none"/>
                <w:lang w:val="en-US" w:eastAsia="zh-CN" w:bidi="ar"/>
              </w:rPr>
              <w:t>合同履行</w:t>
            </w:r>
            <w:r>
              <w:rPr>
                <w:rFonts w:hint="eastAsia" w:ascii="宋体" w:hAnsi="宋体" w:eastAsia="宋体" w:cs="宋体"/>
                <w:color w:val="auto"/>
                <w:kern w:val="0"/>
                <w:szCs w:val="21"/>
                <w:highlight w:val="none"/>
                <w:lang w:val="en-US" w:eastAsia="zh-CN" w:bidi="ar"/>
              </w:rPr>
              <w:t>期限</w:t>
            </w:r>
            <w:r>
              <w:rPr>
                <w:rFonts w:hint="eastAsia" w:ascii="宋体" w:hAnsi="宋体" w:eastAsia="宋体" w:cs="宋体"/>
                <w:color w:val="auto"/>
                <w:kern w:val="0"/>
                <w:szCs w:val="21"/>
                <w:highlight w:val="none"/>
              </w:rPr>
              <w:t xml:space="preserve">：     </w:t>
            </w:r>
          </w:p>
        </w:tc>
      </w:tr>
      <w:tr w14:paraId="69659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594" w:hRule="atLeast"/>
          <w:jc w:val="center"/>
        </w:trPr>
        <w:tc>
          <w:tcPr>
            <w:tcW w:w="9520" w:type="dxa"/>
            <w:gridSpan w:val="4"/>
            <w:vAlign w:val="center"/>
          </w:tcPr>
          <w:p w14:paraId="19E997E7">
            <w:pP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说明：</w:t>
            </w:r>
            <w:r>
              <w:rPr>
                <w:rFonts w:hint="eastAsia" w:ascii="宋体" w:hAnsi="宋体" w:cs="宋体"/>
                <w:color w:val="auto"/>
                <w:szCs w:val="21"/>
                <w:highlight w:val="none"/>
                <w:lang w:eastAsia="zh-CN"/>
              </w:rPr>
              <w:t>磋商报价应包括本次采购范围内的服务价款、作业工具、人员工资、管理费用、差旅费用、税金、保险、利润及一切不可预见的成本等所有费用的总和。供应商应综合考虑在报价中，采购人不再另行支付磋商报价之外的任何费用。</w:t>
            </w:r>
          </w:p>
        </w:tc>
      </w:tr>
    </w:tbl>
    <w:p w14:paraId="6BD6159A">
      <w:pPr>
        <w:spacing w:line="340" w:lineRule="exact"/>
        <w:rPr>
          <w:rFonts w:hint="eastAsia" w:ascii="宋体" w:hAnsi="宋体" w:eastAsia="宋体" w:cs="宋体"/>
          <w:color w:val="auto"/>
          <w:szCs w:val="21"/>
          <w:highlight w:val="none"/>
        </w:rPr>
      </w:pPr>
    </w:p>
    <w:p w14:paraId="12B402DE">
      <w:pPr>
        <w:spacing w:line="3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供应商[公章(CA签章)]：</w:t>
      </w:r>
      <w:r>
        <w:rPr>
          <w:rFonts w:hint="eastAsia" w:hAnsi="宋体"/>
          <w:color w:val="auto"/>
          <w:highlight w:val="none"/>
          <w:u w:val="single"/>
        </w:rPr>
        <w:t xml:space="preserve">                      ； </w:t>
      </w:r>
      <w:r>
        <w:rPr>
          <w:rFonts w:hint="eastAsia" w:ascii="宋体" w:hAnsi="宋体" w:cs="宋体"/>
          <w:color w:val="auto"/>
          <w:szCs w:val="21"/>
          <w:highlight w:val="none"/>
        </w:rPr>
        <w:t xml:space="preserve">                                      </w:t>
      </w:r>
    </w:p>
    <w:p w14:paraId="46039EAE">
      <w:pPr>
        <w:spacing w:line="400" w:lineRule="exact"/>
        <w:ind w:firstLine="420" w:firstLineChars="200"/>
        <w:rPr>
          <w:rFonts w:hint="eastAsia" w:hAnsi="宋体"/>
          <w:color w:val="auto"/>
          <w:highlight w:val="none"/>
          <w:u w:val="single"/>
        </w:rPr>
      </w:pPr>
      <w:r>
        <w:rPr>
          <w:rFonts w:hint="eastAsia" w:ascii="宋体" w:hAnsi="宋体" w:cs="宋体"/>
          <w:color w:val="auto"/>
          <w:szCs w:val="21"/>
          <w:highlight w:val="none"/>
        </w:rPr>
        <w:t>法定代表人、负责人或相应的委托代理人签字[或盖章(个人CA签章)]：</w:t>
      </w:r>
      <w:r>
        <w:rPr>
          <w:rFonts w:hint="eastAsia" w:hAnsi="宋体"/>
          <w:color w:val="auto"/>
          <w:highlight w:val="none"/>
          <w:u w:val="single"/>
        </w:rPr>
        <w:t xml:space="preserve">                 ； </w:t>
      </w:r>
    </w:p>
    <w:p w14:paraId="30F85514">
      <w:pPr>
        <w:spacing w:line="400" w:lineRule="exact"/>
        <w:ind w:firstLine="420" w:firstLineChars="200"/>
        <w:rPr>
          <w:rFonts w:hint="eastAsia" w:ascii="宋体" w:hAnsi="宋体" w:eastAsia="宋体" w:cs="宋体"/>
          <w:color w:val="auto"/>
          <w:szCs w:val="20"/>
          <w:highlight w:val="none"/>
          <w:u w:val="single"/>
        </w:rPr>
      </w:pPr>
      <w:r>
        <w:rPr>
          <w:rFonts w:hint="eastAsia" w:ascii="宋体" w:hAnsi="宋体" w:eastAsia="宋体" w:cs="宋体"/>
          <w:color w:val="auto"/>
          <w:szCs w:val="20"/>
          <w:highlight w:val="none"/>
        </w:rPr>
        <w:t>日期：</w:t>
      </w:r>
      <w:r>
        <w:rPr>
          <w:rFonts w:hint="eastAsia" w:ascii="宋体" w:hAnsi="宋体" w:eastAsia="宋体" w:cs="宋体"/>
          <w:color w:val="auto"/>
          <w:szCs w:val="20"/>
          <w:highlight w:val="none"/>
          <w:u w:val="single"/>
        </w:rPr>
        <w:t xml:space="preserve">                               </w:t>
      </w:r>
    </w:p>
    <w:p w14:paraId="527E151C">
      <w:pPr>
        <w:tabs>
          <w:tab w:val="left" w:pos="1305"/>
        </w:tabs>
        <w:spacing w:line="340" w:lineRule="exact"/>
        <w:ind w:firstLine="205" w:firstLineChars="98"/>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注</w:t>
      </w:r>
      <w:r>
        <w:rPr>
          <w:rFonts w:hint="eastAsia" w:ascii="宋体" w:hAnsi="宋体" w:eastAsia="宋体" w:cs="宋体"/>
          <w:b/>
          <w:bCs/>
          <w:color w:val="auto"/>
          <w:szCs w:val="21"/>
          <w:highlight w:val="none"/>
        </w:rPr>
        <w:t>：</w:t>
      </w:r>
      <w:r>
        <w:rPr>
          <w:rFonts w:hint="eastAsia" w:ascii="宋体" w:hAnsi="宋体" w:eastAsia="宋体" w:cs="宋体"/>
          <w:bCs/>
          <w:color w:val="auto"/>
          <w:szCs w:val="21"/>
          <w:highlight w:val="none"/>
        </w:rPr>
        <w:t>1.各供应商</w:t>
      </w:r>
      <w:r>
        <w:rPr>
          <w:rFonts w:hint="eastAsia" w:ascii="宋体" w:hAnsi="宋体" w:eastAsia="宋体" w:cs="宋体"/>
          <w:color w:val="auto"/>
          <w:szCs w:val="21"/>
          <w:highlight w:val="none"/>
        </w:rPr>
        <w:t>必须就“采购需求”中的所有内容作完整唯一报价，否则，其响应文件无效。</w:t>
      </w:r>
    </w:p>
    <w:p w14:paraId="7DB42E54">
      <w:pPr>
        <w:spacing w:line="360" w:lineRule="exact"/>
        <w:ind w:firstLine="630" w:firstLineChars="300"/>
        <w:rPr>
          <w:rFonts w:hint="eastAsia" w:ascii="宋体" w:hAnsi="宋体" w:eastAsia="宋体" w:cs="宋体"/>
          <w:color w:val="auto"/>
          <w:szCs w:val="20"/>
          <w:highlight w:val="none"/>
        </w:rPr>
      </w:pPr>
      <w:r>
        <w:rPr>
          <w:rFonts w:hint="eastAsia" w:ascii="宋体" w:hAnsi="宋体" w:eastAsia="宋体" w:cs="宋体"/>
          <w:color w:val="auto"/>
          <w:szCs w:val="20"/>
          <w:highlight w:val="none"/>
        </w:rPr>
        <w:t>2.</w:t>
      </w:r>
      <w:r>
        <w:rPr>
          <w:rFonts w:hint="eastAsia" w:ascii="宋体" w:hAnsi="宋体" w:eastAsia="宋体" w:cs="宋体"/>
          <w:color w:val="auto"/>
          <w:szCs w:val="21"/>
          <w:highlight w:val="none"/>
        </w:rPr>
        <w:t>供应商</w:t>
      </w:r>
      <w:r>
        <w:rPr>
          <w:rFonts w:hint="eastAsia" w:ascii="宋体" w:hAnsi="宋体" w:eastAsia="宋体" w:cs="宋体"/>
          <w:color w:val="auto"/>
          <w:szCs w:val="20"/>
          <w:highlight w:val="none"/>
        </w:rPr>
        <w:t>应根据所提供的服务如实填写</w:t>
      </w:r>
      <w:r>
        <w:rPr>
          <w:rFonts w:hint="eastAsia" w:ascii="宋体" w:hAnsi="宋体" w:eastAsia="宋体" w:cs="宋体"/>
          <w:color w:val="auto"/>
          <w:szCs w:val="21"/>
          <w:highlight w:val="none"/>
        </w:rPr>
        <w:t>磋商报价</w:t>
      </w:r>
      <w:r>
        <w:rPr>
          <w:rFonts w:hint="eastAsia" w:ascii="宋体" w:hAnsi="宋体" w:eastAsia="宋体" w:cs="宋体"/>
          <w:color w:val="auto"/>
          <w:szCs w:val="20"/>
          <w:highlight w:val="none"/>
        </w:rPr>
        <w:t>表</w:t>
      </w:r>
      <w:r>
        <w:rPr>
          <w:rFonts w:hint="eastAsia" w:ascii="宋体" w:hAnsi="宋体" w:eastAsia="宋体" w:cs="宋体"/>
          <w:bCs/>
          <w:color w:val="auto"/>
          <w:szCs w:val="21"/>
          <w:highlight w:val="none"/>
        </w:rPr>
        <w:t>的各项内容。</w:t>
      </w:r>
    </w:p>
    <w:p w14:paraId="23FC61C5">
      <w:pPr>
        <w:spacing w:line="400" w:lineRule="exact"/>
        <w:ind w:firstLine="632" w:firstLineChars="300"/>
        <w:rPr>
          <w:rFonts w:hint="eastAsia" w:ascii="宋体" w:hAnsi="宋体" w:eastAsia="宋体" w:cs="宋体"/>
          <w:b/>
          <w:bCs/>
          <w:color w:val="auto"/>
          <w:sz w:val="32"/>
          <w:szCs w:val="32"/>
          <w:highlight w:val="none"/>
          <w:lang w:eastAsia="zh-CN"/>
        </w:rPr>
        <w:sectPr>
          <w:headerReference r:id="rId5" w:type="default"/>
          <w:footerReference r:id="rId6" w:type="default"/>
          <w:pgSz w:w="11906" w:h="16838"/>
          <w:pgMar w:top="1440" w:right="1287" w:bottom="1440" w:left="1179" w:header="851" w:footer="992" w:gutter="0"/>
          <w:pgNumType w:fmt="decimal"/>
          <w:cols w:space="0" w:num="1"/>
          <w:docGrid w:type="lines" w:linePitch="312" w:charSpace="0"/>
        </w:sectPr>
      </w:pPr>
      <w:r>
        <w:rPr>
          <w:rFonts w:hint="eastAsia" w:ascii="宋体" w:hAnsi="宋体" w:eastAsia="宋体" w:cs="宋体"/>
          <w:b/>
          <w:bCs w:val="0"/>
          <w:color w:val="auto"/>
          <w:szCs w:val="21"/>
          <w:highlight w:val="none"/>
        </w:rPr>
        <w:t>3.</w:t>
      </w:r>
      <w:r>
        <w:rPr>
          <w:rFonts w:hint="eastAsia" w:ascii="宋体" w:hAnsi="宋体" w:eastAsia="宋体" w:cs="宋体"/>
          <w:b/>
          <w:color w:val="auto"/>
          <w:highlight w:val="none"/>
        </w:rPr>
        <w:t>磋商报价表须由法定代表人</w:t>
      </w:r>
      <w:r>
        <w:rPr>
          <w:rFonts w:hint="eastAsia" w:ascii="宋体" w:hAnsi="宋体" w:eastAsia="宋体" w:cs="宋体"/>
          <w:b/>
          <w:color w:val="auto"/>
          <w:highlight w:val="none"/>
          <w:lang w:eastAsia="zh-CN"/>
        </w:rPr>
        <w:t>、</w:t>
      </w:r>
      <w:r>
        <w:rPr>
          <w:rFonts w:hint="eastAsia" w:ascii="宋体" w:hAnsi="宋体" w:eastAsia="宋体" w:cs="宋体"/>
          <w:b/>
          <w:color w:val="auto"/>
          <w:highlight w:val="none"/>
        </w:rPr>
        <w:t>负责人或相应的委托代理人签字或个人CA签章并加盖磋商供应商CA签章。当本表由多页构成时，需逐页加盖磋商供应商CA签章</w:t>
      </w:r>
      <w:r>
        <w:rPr>
          <w:rFonts w:hint="eastAsia" w:ascii="宋体" w:hAnsi="宋体" w:eastAsia="宋体" w:cs="宋体"/>
          <w:b/>
          <w:color w:val="auto"/>
          <w:highlight w:val="none"/>
          <w:lang w:eastAsia="zh-CN"/>
        </w:rPr>
        <w:t>。</w:t>
      </w:r>
    </w:p>
    <w:p w14:paraId="777E38C0">
      <w:pPr>
        <w:pStyle w:val="3"/>
        <w:jc w:val="left"/>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val="en-US" w:eastAsia="zh-CN"/>
        </w:rPr>
        <w:t>3</w:t>
      </w:r>
      <w:r>
        <w:rPr>
          <w:rFonts w:hint="eastAsia" w:ascii="宋体" w:hAnsi="宋体" w:eastAsia="宋体" w:cs="宋体"/>
          <w:b/>
          <w:bCs/>
          <w:color w:val="auto"/>
          <w:sz w:val="28"/>
          <w:szCs w:val="28"/>
          <w:highlight w:val="none"/>
          <w:lang w:eastAsia="zh-CN"/>
        </w:rPr>
        <w:t>、采购需求响应表（必须提供，</w:t>
      </w:r>
      <w:r>
        <w:rPr>
          <w:rFonts w:hint="eastAsia" w:ascii="宋体" w:hAnsi="宋体" w:eastAsia="宋体" w:cs="宋体"/>
          <w:b/>
          <w:bCs/>
          <w:color w:val="auto"/>
          <w:sz w:val="28"/>
          <w:szCs w:val="28"/>
          <w:highlight w:val="none"/>
          <w:lang w:val="en-US" w:eastAsia="zh-CN"/>
        </w:rPr>
        <w:t>否则作无效响应处理</w:t>
      </w:r>
      <w:r>
        <w:rPr>
          <w:rFonts w:hint="eastAsia" w:ascii="宋体" w:hAnsi="宋体" w:eastAsia="宋体" w:cs="宋体"/>
          <w:b/>
          <w:bCs/>
          <w:color w:val="auto"/>
          <w:sz w:val="28"/>
          <w:szCs w:val="28"/>
          <w:highlight w:val="none"/>
          <w:lang w:eastAsia="zh-CN"/>
        </w:rPr>
        <w:t>）</w:t>
      </w:r>
    </w:p>
    <w:p w14:paraId="37F8B04F">
      <w:pPr>
        <w:pStyle w:val="15"/>
        <w:spacing w:line="360" w:lineRule="auto"/>
        <w:ind w:firstLine="472" w:firstLineChars="147"/>
        <w:rPr>
          <w:rFonts w:hAnsi="宋体"/>
          <w:b/>
          <w:color w:val="auto"/>
          <w:sz w:val="32"/>
          <w:szCs w:val="32"/>
          <w:highlight w:val="none"/>
        </w:rPr>
      </w:pPr>
      <w:r>
        <w:rPr>
          <w:rFonts w:hint="eastAsia" w:hAnsi="宋体"/>
          <w:b/>
          <w:color w:val="auto"/>
          <w:sz w:val="32"/>
          <w:szCs w:val="32"/>
          <w:highlight w:val="none"/>
        </w:rPr>
        <w:t xml:space="preserve">附件： </w:t>
      </w:r>
      <w:r>
        <w:rPr>
          <w:rFonts w:hint="eastAsia" w:hAnsi="宋体"/>
          <w:b/>
          <w:color w:val="auto"/>
          <w:sz w:val="24"/>
          <w:szCs w:val="24"/>
          <w:highlight w:val="none"/>
        </w:rPr>
        <w:t xml:space="preserve">          </w:t>
      </w:r>
      <w:r>
        <w:rPr>
          <w:rFonts w:hint="eastAsia" w:hAnsi="宋体"/>
          <w:b/>
          <w:color w:val="auto"/>
          <w:sz w:val="32"/>
          <w:szCs w:val="32"/>
          <w:highlight w:val="none"/>
        </w:rPr>
        <w:t xml:space="preserve"> </w:t>
      </w:r>
    </w:p>
    <w:p w14:paraId="1326FDEF">
      <w:pPr>
        <w:pStyle w:val="15"/>
        <w:spacing w:line="360" w:lineRule="auto"/>
        <w:ind w:firstLine="472" w:firstLineChars="147"/>
        <w:jc w:val="center"/>
        <w:rPr>
          <w:rFonts w:hAnsi="宋体"/>
          <w:color w:val="auto"/>
          <w:highlight w:val="none"/>
        </w:rPr>
      </w:pPr>
      <w:r>
        <w:rPr>
          <w:rFonts w:hint="eastAsia" w:hAnsi="宋体"/>
          <w:b/>
          <w:bCs/>
          <w:color w:val="auto"/>
          <w:sz w:val="32"/>
          <w:highlight w:val="none"/>
          <w:lang w:eastAsia="zh-CN"/>
        </w:rPr>
        <w:t>采购需求响应表</w:t>
      </w:r>
      <w:r>
        <w:rPr>
          <w:rFonts w:hint="eastAsia" w:hAnsi="宋体"/>
          <w:b/>
          <w:bCs/>
          <w:color w:val="auto"/>
          <w:sz w:val="32"/>
          <w:highlight w:val="none"/>
        </w:rPr>
        <w:t>（格式）</w:t>
      </w:r>
    </w:p>
    <w:tbl>
      <w:tblPr>
        <w:tblStyle w:val="25"/>
        <w:tblW w:w="96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8"/>
        <w:gridCol w:w="3125"/>
        <w:gridCol w:w="2536"/>
        <w:gridCol w:w="1625"/>
      </w:tblGrid>
      <w:tr w14:paraId="199BA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2408" w:type="dxa"/>
            <w:vAlign w:val="center"/>
          </w:tcPr>
          <w:p w14:paraId="20205AD9">
            <w:pPr>
              <w:pStyle w:val="15"/>
              <w:spacing w:line="360" w:lineRule="auto"/>
              <w:jc w:val="center"/>
              <w:rPr>
                <w:rFonts w:hAnsi="宋体"/>
                <w:color w:val="auto"/>
                <w:highlight w:val="none"/>
              </w:rPr>
            </w:pPr>
            <w:r>
              <w:rPr>
                <w:rFonts w:hint="eastAsia" w:hAnsi="宋体"/>
                <w:color w:val="auto"/>
                <w:highlight w:val="none"/>
              </w:rPr>
              <w:t>项号</w:t>
            </w:r>
          </w:p>
        </w:tc>
        <w:tc>
          <w:tcPr>
            <w:tcW w:w="3125" w:type="dxa"/>
            <w:vAlign w:val="center"/>
          </w:tcPr>
          <w:p w14:paraId="064FF269">
            <w:pPr>
              <w:pStyle w:val="15"/>
              <w:spacing w:line="360" w:lineRule="auto"/>
              <w:jc w:val="center"/>
              <w:rPr>
                <w:rFonts w:hAnsi="宋体"/>
                <w:color w:val="auto"/>
                <w:highlight w:val="none"/>
              </w:rPr>
            </w:pPr>
            <w:r>
              <w:rPr>
                <w:rFonts w:hint="eastAsia" w:hAnsi="宋体"/>
                <w:color w:val="auto"/>
                <w:szCs w:val="21"/>
                <w:highlight w:val="none"/>
                <w:lang w:val="en-US" w:eastAsia="zh-CN"/>
              </w:rPr>
              <w:t>采购</w:t>
            </w:r>
            <w:r>
              <w:rPr>
                <w:rFonts w:hint="eastAsia" w:hAnsi="宋体"/>
                <w:color w:val="auto"/>
                <w:szCs w:val="21"/>
                <w:highlight w:val="none"/>
              </w:rPr>
              <w:t>要求</w:t>
            </w:r>
          </w:p>
        </w:tc>
        <w:tc>
          <w:tcPr>
            <w:tcW w:w="2536" w:type="dxa"/>
            <w:vAlign w:val="center"/>
          </w:tcPr>
          <w:p w14:paraId="28CE6DB1">
            <w:pPr>
              <w:pStyle w:val="15"/>
              <w:spacing w:line="360" w:lineRule="auto"/>
              <w:jc w:val="center"/>
              <w:rPr>
                <w:rFonts w:hAnsi="宋体"/>
                <w:color w:val="auto"/>
                <w:szCs w:val="21"/>
                <w:highlight w:val="none"/>
              </w:rPr>
            </w:pPr>
            <w:r>
              <w:rPr>
                <w:rFonts w:hint="eastAsia" w:hAnsi="宋体" w:cs="宋体"/>
                <w:color w:val="auto"/>
                <w:szCs w:val="21"/>
                <w:highlight w:val="none"/>
              </w:rPr>
              <w:t>投标文件的响应情况（是否响应采购需求）</w:t>
            </w:r>
            <w:r>
              <w:rPr>
                <w:rFonts w:hint="eastAsia" w:hAnsi="宋体" w:cs="宋体"/>
                <w:bCs/>
                <w:color w:val="auto"/>
                <w:szCs w:val="21"/>
                <w:highlight w:val="none"/>
              </w:rPr>
              <w:t>（无偏离、正偏离）</w:t>
            </w:r>
          </w:p>
        </w:tc>
        <w:tc>
          <w:tcPr>
            <w:tcW w:w="1625" w:type="dxa"/>
            <w:vAlign w:val="center"/>
          </w:tcPr>
          <w:p w14:paraId="65266406">
            <w:pPr>
              <w:pStyle w:val="15"/>
              <w:spacing w:line="360" w:lineRule="auto"/>
              <w:jc w:val="center"/>
              <w:rPr>
                <w:rFonts w:hAnsi="宋体"/>
                <w:color w:val="auto"/>
                <w:highlight w:val="none"/>
              </w:rPr>
            </w:pPr>
            <w:r>
              <w:rPr>
                <w:rFonts w:hint="eastAsia" w:hAnsi="宋体" w:cs="宋体"/>
                <w:color w:val="auto"/>
                <w:highlight w:val="none"/>
              </w:rPr>
              <w:t>备注</w:t>
            </w:r>
          </w:p>
        </w:tc>
      </w:tr>
      <w:tr w14:paraId="58C9D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8" w:type="dxa"/>
            <w:vAlign w:val="center"/>
          </w:tcPr>
          <w:p w14:paraId="2AA2C612">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一</w:t>
            </w:r>
          </w:p>
        </w:tc>
        <w:tc>
          <w:tcPr>
            <w:tcW w:w="3125" w:type="dxa"/>
            <w:vAlign w:val="center"/>
          </w:tcPr>
          <w:p w14:paraId="28B7D6A5">
            <w:pPr>
              <w:pStyle w:val="15"/>
              <w:spacing w:line="360" w:lineRule="auto"/>
              <w:jc w:val="center"/>
              <w:rPr>
                <w:rFonts w:hAnsi="宋体"/>
                <w:color w:val="auto"/>
                <w:highlight w:val="none"/>
              </w:rPr>
            </w:pPr>
          </w:p>
        </w:tc>
        <w:tc>
          <w:tcPr>
            <w:tcW w:w="2536" w:type="dxa"/>
          </w:tcPr>
          <w:p w14:paraId="3FC47E15">
            <w:pPr>
              <w:pStyle w:val="15"/>
              <w:spacing w:line="360" w:lineRule="auto"/>
              <w:jc w:val="center"/>
              <w:rPr>
                <w:rFonts w:hAnsi="宋体"/>
                <w:color w:val="auto"/>
                <w:highlight w:val="none"/>
              </w:rPr>
            </w:pPr>
            <w:r>
              <w:rPr>
                <w:rFonts w:hint="eastAsia" w:hAnsi="宋体" w:cs="宋体"/>
                <w:color w:val="auto"/>
                <w:highlight w:val="none"/>
              </w:rPr>
              <w:t>例如：完全响应采购需求，无偏离</w:t>
            </w:r>
            <w:r>
              <w:rPr>
                <w:rFonts w:hint="eastAsia" w:hAnsi="宋体" w:cs="宋体"/>
                <w:bCs/>
                <w:color w:val="auto"/>
                <w:szCs w:val="21"/>
                <w:highlight w:val="none"/>
              </w:rPr>
              <w:t>（或正偏离）</w:t>
            </w:r>
          </w:p>
        </w:tc>
        <w:tc>
          <w:tcPr>
            <w:tcW w:w="1625" w:type="dxa"/>
            <w:vAlign w:val="center"/>
          </w:tcPr>
          <w:p w14:paraId="7E8EE795">
            <w:pPr>
              <w:pStyle w:val="15"/>
              <w:spacing w:line="360" w:lineRule="auto"/>
              <w:jc w:val="center"/>
              <w:rPr>
                <w:rFonts w:hAnsi="宋体"/>
                <w:color w:val="auto"/>
                <w:highlight w:val="none"/>
              </w:rPr>
            </w:pPr>
          </w:p>
        </w:tc>
      </w:tr>
      <w:tr w14:paraId="3C69A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8" w:type="dxa"/>
            <w:vAlign w:val="center"/>
          </w:tcPr>
          <w:p w14:paraId="2BA98AE7">
            <w:pPr>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二</w:t>
            </w:r>
          </w:p>
        </w:tc>
        <w:tc>
          <w:tcPr>
            <w:tcW w:w="3125" w:type="dxa"/>
            <w:vAlign w:val="center"/>
          </w:tcPr>
          <w:p w14:paraId="5745E469">
            <w:pPr>
              <w:pStyle w:val="15"/>
              <w:spacing w:line="360" w:lineRule="auto"/>
              <w:jc w:val="center"/>
              <w:rPr>
                <w:rFonts w:hAnsi="宋体"/>
                <w:color w:val="auto"/>
                <w:highlight w:val="none"/>
              </w:rPr>
            </w:pPr>
          </w:p>
        </w:tc>
        <w:tc>
          <w:tcPr>
            <w:tcW w:w="2536" w:type="dxa"/>
          </w:tcPr>
          <w:p w14:paraId="3A4DBF3F">
            <w:pPr>
              <w:pStyle w:val="15"/>
              <w:spacing w:line="360" w:lineRule="auto"/>
              <w:jc w:val="center"/>
              <w:rPr>
                <w:rFonts w:hint="eastAsia" w:hAnsi="宋体" w:cs="宋体"/>
                <w:color w:val="auto"/>
                <w:highlight w:val="none"/>
              </w:rPr>
            </w:pPr>
          </w:p>
        </w:tc>
        <w:tc>
          <w:tcPr>
            <w:tcW w:w="1625" w:type="dxa"/>
            <w:vAlign w:val="center"/>
          </w:tcPr>
          <w:p w14:paraId="7B5547A6">
            <w:pPr>
              <w:pStyle w:val="15"/>
              <w:spacing w:line="360" w:lineRule="auto"/>
              <w:jc w:val="center"/>
              <w:rPr>
                <w:rFonts w:hAnsi="宋体"/>
                <w:color w:val="auto"/>
                <w:highlight w:val="none"/>
              </w:rPr>
            </w:pPr>
          </w:p>
        </w:tc>
      </w:tr>
      <w:tr w14:paraId="13BD7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8" w:type="dxa"/>
            <w:vAlign w:val="center"/>
          </w:tcPr>
          <w:p w14:paraId="754EDE7F">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三</w:t>
            </w:r>
          </w:p>
        </w:tc>
        <w:tc>
          <w:tcPr>
            <w:tcW w:w="3125" w:type="dxa"/>
          </w:tcPr>
          <w:p w14:paraId="14AEAF7A">
            <w:pPr>
              <w:pStyle w:val="15"/>
              <w:spacing w:line="360" w:lineRule="auto"/>
              <w:rPr>
                <w:rFonts w:hAnsi="宋体"/>
                <w:color w:val="auto"/>
                <w:highlight w:val="none"/>
              </w:rPr>
            </w:pPr>
          </w:p>
        </w:tc>
        <w:tc>
          <w:tcPr>
            <w:tcW w:w="2536" w:type="dxa"/>
          </w:tcPr>
          <w:p w14:paraId="58A23B53">
            <w:pPr>
              <w:pStyle w:val="15"/>
              <w:spacing w:line="360" w:lineRule="auto"/>
              <w:rPr>
                <w:rFonts w:hAnsi="宋体"/>
                <w:color w:val="auto"/>
                <w:highlight w:val="none"/>
              </w:rPr>
            </w:pPr>
          </w:p>
        </w:tc>
        <w:tc>
          <w:tcPr>
            <w:tcW w:w="1625" w:type="dxa"/>
          </w:tcPr>
          <w:p w14:paraId="157CC8DA">
            <w:pPr>
              <w:pStyle w:val="15"/>
              <w:spacing w:line="360" w:lineRule="auto"/>
              <w:rPr>
                <w:rFonts w:hAnsi="宋体"/>
                <w:color w:val="auto"/>
                <w:highlight w:val="none"/>
              </w:rPr>
            </w:pPr>
          </w:p>
        </w:tc>
      </w:tr>
      <w:tr w14:paraId="15FC0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8" w:type="dxa"/>
            <w:shd w:val="clear" w:color="auto" w:fill="auto"/>
            <w:vAlign w:val="center"/>
          </w:tcPr>
          <w:p w14:paraId="79A14EAA">
            <w:pPr>
              <w:spacing w:line="360" w:lineRule="auto"/>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四</w:t>
            </w:r>
          </w:p>
        </w:tc>
        <w:tc>
          <w:tcPr>
            <w:tcW w:w="3125" w:type="dxa"/>
          </w:tcPr>
          <w:p w14:paraId="2151491B">
            <w:pPr>
              <w:pStyle w:val="15"/>
              <w:spacing w:line="360" w:lineRule="auto"/>
              <w:rPr>
                <w:rFonts w:hAnsi="宋体"/>
                <w:color w:val="auto"/>
                <w:highlight w:val="none"/>
              </w:rPr>
            </w:pPr>
          </w:p>
        </w:tc>
        <w:tc>
          <w:tcPr>
            <w:tcW w:w="2536" w:type="dxa"/>
          </w:tcPr>
          <w:p w14:paraId="6B0944C3">
            <w:pPr>
              <w:pStyle w:val="15"/>
              <w:spacing w:line="360" w:lineRule="auto"/>
              <w:rPr>
                <w:rFonts w:hAnsi="宋体"/>
                <w:color w:val="auto"/>
                <w:highlight w:val="none"/>
              </w:rPr>
            </w:pPr>
          </w:p>
        </w:tc>
        <w:tc>
          <w:tcPr>
            <w:tcW w:w="1625" w:type="dxa"/>
          </w:tcPr>
          <w:p w14:paraId="373952EA">
            <w:pPr>
              <w:pStyle w:val="15"/>
              <w:spacing w:line="360" w:lineRule="auto"/>
              <w:rPr>
                <w:rFonts w:hAnsi="宋体"/>
                <w:color w:val="auto"/>
                <w:highlight w:val="none"/>
              </w:rPr>
            </w:pPr>
          </w:p>
        </w:tc>
      </w:tr>
      <w:tr w14:paraId="6210D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8" w:type="dxa"/>
            <w:shd w:val="clear" w:color="auto" w:fill="auto"/>
            <w:vAlign w:val="center"/>
          </w:tcPr>
          <w:p w14:paraId="49862335">
            <w:pPr>
              <w:spacing w:line="360" w:lineRule="auto"/>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w:t>
            </w:r>
          </w:p>
        </w:tc>
        <w:tc>
          <w:tcPr>
            <w:tcW w:w="3125" w:type="dxa"/>
          </w:tcPr>
          <w:p w14:paraId="215F3ABC">
            <w:pPr>
              <w:pStyle w:val="15"/>
              <w:spacing w:line="360" w:lineRule="auto"/>
              <w:rPr>
                <w:rFonts w:hAnsi="宋体"/>
                <w:color w:val="auto"/>
                <w:highlight w:val="none"/>
              </w:rPr>
            </w:pPr>
          </w:p>
        </w:tc>
        <w:tc>
          <w:tcPr>
            <w:tcW w:w="2536" w:type="dxa"/>
          </w:tcPr>
          <w:p w14:paraId="337D92C1">
            <w:pPr>
              <w:pStyle w:val="15"/>
              <w:spacing w:line="360" w:lineRule="auto"/>
              <w:rPr>
                <w:rFonts w:hAnsi="宋体"/>
                <w:color w:val="auto"/>
                <w:highlight w:val="none"/>
              </w:rPr>
            </w:pPr>
          </w:p>
        </w:tc>
        <w:tc>
          <w:tcPr>
            <w:tcW w:w="1625" w:type="dxa"/>
          </w:tcPr>
          <w:p w14:paraId="5D553555">
            <w:pPr>
              <w:pStyle w:val="15"/>
              <w:spacing w:line="360" w:lineRule="auto"/>
              <w:rPr>
                <w:rFonts w:hAnsi="宋体"/>
                <w:color w:val="auto"/>
                <w:highlight w:val="none"/>
              </w:rPr>
            </w:pPr>
          </w:p>
        </w:tc>
      </w:tr>
    </w:tbl>
    <w:p w14:paraId="63C6825F">
      <w:pPr>
        <w:rPr>
          <w:rFonts w:hint="default"/>
          <w:color w:val="auto"/>
          <w:highlight w:val="none"/>
          <w:lang w:val="en-US" w:eastAsia="zh-CN"/>
        </w:rPr>
      </w:pPr>
    </w:p>
    <w:p w14:paraId="0A42220B">
      <w:pPr>
        <w:snapToGrid w:val="0"/>
        <w:spacing w:beforeLines="50" w:after="50"/>
        <w:ind w:firstLine="735" w:firstLineChars="35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供应商[公章(CA签章)]：                              </w:t>
      </w:r>
    </w:p>
    <w:p w14:paraId="14666E8D">
      <w:pPr>
        <w:snapToGrid w:val="0"/>
        <w:spacing w:beforeLines="50" w:after="50"/>
        <w:ind w:firstLine="735" w:firstLineChars="35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法定代表人、负责人或相应的委托代理人签字[或盖章(CA签章)]：</w:t>
      </w:r>
    </w:p>
    <w:p w14:paraId="1F132E81">
      <w:pPr>
        <w:pStyle w:val="15"/>
        <w:spacing w:line="360" w:lineRule="auto"/>
        <w:ind w:firstLine="840" w:firstLineChars="400"/>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日          期：    </w:t>
      </w:r>
      <w:r>
        <w:rPr>
          <w:rFonts w:hint="eastAsia" w:ascii="宋体" w:hAnsi="宋体" w:eastAsia="宋体" w:cs="宋体"/>
          <w:color w:val="auto"/>
          <w:highlight w:val="none"/>
          <w:u w:val="single"/>
        </w:rPr>
        <w:t xml:space="preserve">        </w:t>
      </w:r>
    </w:p>
    <w:p w14:paraId="4CAF09F0">
      <w:pPr>
        <w:pStyle w:val="16"/>
        <w:rPr>
          <w:rFonts w:hint="eastAsia"/>
          <w:color w:val="auto"/>
          <w:highlight w:val="none"/>
          <w:lang w:val="en-US" w:eastAsia="zh-CN"/>
        </w:rPr>
      </w:pPr>
    </w:p>
    <w:p w14:paraId="3C82AA71">
      <w:pPr>
        <w:rPr>
          <w:rFonts w:hint="eastAsia"/>
          <w:color w:val="auto"/>
          <w:highlight w:val="none"/>
          <w:lang w:val="en-US" w:eastAsia="zh-CN"/>
        </w:rPr>
      </w:pPr>
    </w:p>
    <w:p w14:paraId="58E6290E">
      <w:pPr>
        <w:rPr>
          <w:rFonts w:hint="eastAsia"/>
          <w:color w:val="auto"/>
          <w:highlight w:val="none"/>
          <w:lang w:val="en-US" w:eastAsia="zh-CN"/>
        </w:rPr>
      </w:pPr>
    </w:p>
    <w:p w14:paraId="5F09507E">
      <w:pPr>
        <w:pStyle w:val="15"/>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bCs/>
          <w:color w:val="auto"/>
          <w:szCs w:val="21"/>
          <w:highlight w:val="none"/>
        </w:rPr>
      </w:pPr>
      <w:r>
        <w:rPr>
          <w:rFonts w:hint="eastAsia" w:hAnsi="宋体"/>
          <w:bCs/>
          <w:color w:val="auto"/>
          <w:szCs w:val="21"/>
          <w:highlight w:val="none"/>
        </w:rPr>
        <w:t>注：</w:t>
      </w:r>
      <w:r>
        <w:rPr>
          <w:rFonts w:hint="eastAsia" w:hAnsi="宋体"/>
          <w:bCs/>
          <w:color w:val="auto"/>
          <w:szCs w:val="21"/>
          <w:highlight w:val="none"/>
          <w:lang w:eastAsia="zh-CN"/>
        </w:rPr>
        <w:t>（</w:t>
      </w:r>
      <w:r>
        <w:rPr>
          <w:rFonts w:hint="eastAsia" w:hAnsi="宋体"/>
          <w:bCs/>
          <w:color w:val="auto"/>
          <w:szCs w:val="21"/>
          <w:highlight w:val="none"/>
          <w:lang w:val="en-US" w:eastAsia="zh-CN"/>
        </w:rPr>
        <w:t>1</w:t>
      </w:r>
      <w:r>
        <w:rPr>
          <w:rFonts w:hint="eastAsia" w:hAnsi="宋体"/>
          <w:bCs/>
          <w:color w:val="auto"/>
          <w:szCs w:val="21"/>
          <w:highlight w:val="none"/>
          <w:lang w:eastAsia="zh-CN"/>
        </w:rPr>
        <w:t>）</w:t>
      </w:r>
      <w:r>
        <w:rPr>
          <w:rFonts w:hint="eastAsia" w:hAnsi="宋体" w:cs="宋体"/>
          <w:color w:val="auto"/>
          <w:sz w:val="21"/>
          <w:szCs w:val="21"/>
          <w:highlight w:val="none"/>
          <w:lang w:val="en-US" w:eastAsia="zh-CN"/>
        </w:rPr>
        <w:t>采购需求中的内容</w:t>
      </w:r>
      <w:r>
        <w:rPr>
          <w:rFonts w:hint="eastAsia" w:ascii="宋体" w:hAnsi="宋体" w:cs="宋体"/>
          <w:bCs/>
          <w:color w:val="auto"/>
          <w:szCs w:val="21"/>
          <w:highlight w:val="none"/>
          <w:lang w:val="en-US" w:eastAsia="zh-CN"/>
        </w:rPr>
        <w:t>标均为实质性要求</w:t>
      </w:r>
      <w:r>
        <w:rPr>
          <w:rFonts w:hint="eastAsia" w:hAnsi="宋体" w:cs="宋体"/>
          <w:bCs/>
          <w:color w:val="auto"/>
          <w:sz w:val="21"/>
          <w:szCs w:val="21"/>
          <w:highlight w:val="none"/>
          <w:lang w:val="en-US" w:eastAsia="zh-CN"/>
        </w:rPr>
        <w:t>，必须满足，否则投标无效。</w:t>
      </w:r>
    </w:p>
    <w:p w14:paraId="46E1164D">
      <w:pPr>
        <w:pStyle w:val="15"/>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Ansi="宋体"/>
          <w:b w:val="0"/>
          <w:bCs/>
          <w:color w:val="auto"/>
          <w:szCs w:val="21"/>
          <w:highlight w:val="none"/>
        </w:rPr>
      </w:pPr>
      <w:r>
        <w:rPr>
          <w:rFonts w:hint="eastAsia" w:hAnsi="宋体"/>
          <w:bCs/>
          <w:color w:val="auto"/>
          <w:szCs w:val="21"/>
          <w:highlight w:val="none"/>
          <w:lang w:val="en-US" w:eastAsia="zh-CN"/>
        </w:rPr>
        <w:t>（2）</w:t>
      </w:r>
      <w:r>
        <w:rPr>
          <w:rFonts w:hint="eastAsia" w:hAnsi="宋体"/>
          <w:bCs/>
          <w:color w:val="auto"/>
          <w:szCs w:val="21"/>
          <w:highlight w:val="none"/>
        </w:rPr>
        <w:t>供应商应对照“采购需求”</w:t>
      </w:r>
      <w:r>
        <w:rPr>
          <w:rFonts w:hint="eastAsia" w:hAnsi="宋体"/>
          <w:bCs/>
          <w:color w:val="auto"/>
          <w:szCs w:val="21"/>
          <w:highlight w:val="none"/>
          <w:lang w:val="en-US" w:eastAsia="zh-CN"/>
        </w:rPr>
        <w:t>内容</w:t>
      </w:r>
      <w:r>
        <w:rPr>
          <w:rFonts w:hint="eastAsia" w:hAnsi="宋体"/>
          <w:bCs/>
          <w:color w:val="auto"/>
          <w:szCs w:val="21"/>
          <w:highlight w:val="none"/>
        </w:rPr>
        <w:t>的响应情况及偏离情况（无偏离、正偏离），当出现“正偏离”情况时应对应填写偏离情况说明及提供相应有效的证明材</w:t>
      </w:r>
      <w:r>
        <w:rPr>
          <w:rFonts w:hint="eastAsia" w:hAnsi="宋体"/>
          <w:b w:val="0"/>
          <w:bCs/>
          <w:color w:val="auto"/>
          <w:szCs w:val="21"/>
          <w:highlight w:val="none"/>
        </w:rPr>
        <w:t>料。</w:t>
      </w:r>
    </w:p>
    <w:p w14:paraId="4424450C">
      <w:pPr>
        <w:pStyle w:val="15"/>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textAlignment w:val="auto"/>
        <w:rPr>
          <w:rFonts w:hint="eastAsia" w:hAnsi="宋体" w:cs="宋体"/>
          <w:b/>
          <w:bCs/>
          <w:color w:val="auto"/>
          <w:sz w:val="28"/>
          <w:szCs w:val="28"/>
          <w:highlight w:val="none"/>
          <w:lang w:val="en-US" w:eastAsia="zh-CN"/>
        </w:rPr>
      </w:pPr>
      <w:r>
        <w:rPr>
          <w:rFonts w:hint="eastAsia" w:hAnsi="宋体"/>
          <w:b w:val="0"/>
          <w:bCs/>
          <w:color w:val="auto"/>
          <w:szCs w:val="21"/>
          <w:highlight w:val="none"/>
          <w:lang w:val="en-US" w:eastAsia="zh-CN"/>
        </w:rPr>
        <w:t>（3）采购需求响应表</w:t>
      </w:r>
      <w:r>
        <w:rPr>
          <w:rFonts w:hint="eastAsia"/>
          <w:b w:val="0"/>
          <w:bCs/>
          <w:color w:val="auto"/>
          <w:highlight w:val="none"/>
        </w:rPr>
        <w:t>须由法定代表人、负责人或相应的委托代理人签字</w:t>
      </w:r>
      <w:r>
        <w:rPr>
          <w:rFonts w:hint="eastAsia" w:ascii="宋体" w:hAnsi="宋体" w:eastAsia="宋体" w:cs="宋体"/>
          <w:b w:val="0"/>
          <w:bCs/>
          <w:color w:val="auto"/>
          <w:szCs w:val="21"/>
          <w:highlight w:val="none"/>
        </w:rPr>
        <w:t>[或盖章(CA签章)</w:t>
      </w:r>
      <w:r>
        <w:rPr>
          <w:rFonts w:hint="eastAsia" w:hAnsi="宋体" w:cs="宋体"/>
          <w:b w:val="0"/>
          <w:bCs/>
          <w:color w:val="auto"/>
          <w:szCs w:val="21"/>
          <w:highlight w:val="none"/>
          <w:lang w:eastAsia="zh-CN"/>
        </w:rPr>
        <w:t>，</w:t>
      </w:r>
      <w:r>
        <w:rPr>
          <w:rFonts w:hint="eastAsia" w:ascii="宋体" w:hAnsi="宋体" w:eastAsia="宋体" w:cs="宋体"/>
          <w:b w:val="0"/>
          <w:bCs/>
          <w:i w:val="0"/>
          <w:iCs w:val="0"/>
          <w:color w:val="auto"/>
          <w:kern w:val="0"/>
          <w:sz w:val="21"/>
          <w:szCs w:val="21"/>
          <w:highlight w:val="none"/>
          <w:u w:val="none"/>
          <w:lang w:val="en-US" w:eastAsia="zh-CN" w:bidi="ar"/>
        </w:rPr>
        <w:t>并加盖供应商</w:t>
      </w:r>
      <w:r>
        <w:rPr>
          <w:rFonts w:hint="eastAsia" w:ascii="宋体" w:hAnsi="宋体" w:eastAsia="宋体" w:cs="宋体"/>
          <w:b w:val="0"/>
          <w:bCs/>
          <w:color w:val="auto"/>
          <w:sz w:val="21"/>
          <w:szCs w:val="21"/>
          <w:highlight w:val="none"/>
        </w:rPr>
        <w:t>[公章(CA签章)]</w:t>
      </w:r>
      <w:r>
        <w:rPr>
          <w:rFonts w:hint="eastAsia"/>
          <w:b w:val="0"/>
          <w:bCs/>
          <w:color w:val="auto"/>
          <w:highlight w:val="none"/>
        </w:rPr>
        <w:t>。当本表由多页构成时，需逐页</w:t>
      </w:r>
      <w:r>
        <w:rPr>
          <w:rFonts w:hint="eastAsia" w:ascii="宋体" w:hAnsi="宋体" w:eastAsia="宋体" w:cs="宋体"/>
          <w:b w:val="0"/>
          <w:bCs/>
          <w:i w:val="0"/>
          <w:iCs w:val="0"/>
          <w:color w:val="auto"/>
          <w:kern w:val="0"/>
          <w:sz w:val="21"/>
          <w:szCs w:val="21"/>
          <w:highlight w:val="none"/>
          <w:u w:val="none"/>
          <w:lang w:val="en-US" w:eastAsia="zh-CN" w:bidi="ar"/>
        </w:rPr>
        <w:t>加盖供应商</w:t>
      </w:r>
      <w:r>
        <w:rPr>
          <w:rFonts w:hint="eastAsia" w:ascii="宋体" w:hAnsi="宋体" w:eastAsia="宋体" w:cs="宋体"/>
          <w:b w:val="0"/>
          <w:bCs/>
          <w:color w:val="auto"/>
          <w:sz w:val="21"/>
          <w:szCs w:val="21"/>
          <w:highlight w:val="none"/>
        </w:rPr>
        <w:t>[公章(CA签章)]</w:t>
      </w:r>
      <w:r>
        <w:rPr>
          <w:rFonts w:hint="eastAsia"/>
          <w:b w:val="0"/>
          <w:bCs/>
          <w:color w:val="auto"/>
          <w:highlight w:val="none"/>
        </w:rPr>
        <w:t>。</w:t>
      </w:r>
    </w:p>
    <w:p w14:paraId="45717112">
      <w:pPr>
        <w:pStyle w:val="3"/>
        <w:jc w:val="left"/>
        <w:rPr>
          <w:rFonts w:hint="eastAsia" w:ascii="宋体" w:hAnsi="宋体" w:eastAsia="宋体" w:cs="宋体"/>
          <w:b/>
          <w:bCs/>
          <w:color w:val="auto"/>
          <w:sz w:val="28"/>
          <w:szCs w:val="28"/>
          <w:highlight w:val="none"/>
          <w:lang w:eastAsia="zh-CN"/>
        </w:rPr>
      </w:pPr>
    </w:p>
    <w:p w14:paraId="587FA885">
      <w:pPr>
        <w:rPr>
          <w:rFonts w:hint="eastAsia" w:ascii="宋体" w:hAnsi="宋体" w:eastAsia="宋体" w:cs="宋体"/>
          <w:b/>
          <w:bCs/>
          <w:color w:val="auto"/>
          <w:sz w:val="28"/>
          <w:szCs w:val="28"/>
          <w:highlight w:val="none"/>
          <w:lang w:eastAsia="zh-CN"/>
        </w:rPr>
      </w:pPr>
    </w:p>
    <w:p w14:paraId="65A3A81D">
      <w:pPr>
        <w:pStyle w:val="3"/>
        <w:rPr>
          <w:rFonts w:hint="eastAsia" w:ascii="宋体" w:hAnsi="宋体" w:eastAsia="宋体" w:cs="宋体"/>
          <w:b/>
          <w:bCs/>
          <w:color w:val="auto"/>
          <w:sz w:val="28"/>
          <w:szCs w:val="28"/>
          <w:highlight w:val="none"/>
          <w:lang w:eastAsia="zh-CN"/>
        </w:rPr>
      </w:pPr>
    </w:p>
    <w:p w14:paraId="5EAD8EF8">
      <w:pPr>
        <w:rPr>
          <w:rFonts w:hint="eastAsia"/>
          <w:color w:val="auto"/>
          <w:highlight w:val="none"/>
          <w:lang w:eastAsia="zh-CN"/>
        </w:rPr>
      </w:pPr>
    </w:p>
    <w:p w14:paraId="38355832">
      <w:pPr>
        <w:pStyle w:val="3"/>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4、项目技术设计书（由供应商根据项目实际情况和采购需求自行编制，格式自拟）（如有，请提供）；</w:t>
      </w:r>
    </w:p>
    <w:p w14:paraId="35B0ABA0">
      <w:pPr>
        <w:pStyle w:val="10"/>
        <w:ind w:left="0" w:leftChars="0" w:firstLine="0" w:firstLineChars="0"/>
        <w:rPr>
          <w:rFonts w:hint="eastAsia" w:ascii="宋体" w:hAnsi="宋体" w:eastAsia="宋体" w:cs="宋体"/>
          <w:b/>
          <w:bCs/>
          <w:color w:val="auto"/>
          <w:sz w:val="28"/>
          <w:szCs w:val="28"/>
          <w:highlight w:val="none"/>
        </w:rPr>
      </w:pPr>
    </w:p>
    <w:p w14:paraId="01705455">
      <w:pPr>
        <w:rPr>
          <w:rFonts w:hint="eastAsia" w:ascii="宋体" w:hAnsi="宋体" w:eastAsia="宋体" w:cs="宋体"/>
          <w:b/>
          <w:bCs/>
          <w:color w:val="auto"/>
          <w:sz w:val="28"/>
          <w:szCs w:val="28"/>
          <w:highlight w:val="none"/>
        </w:rPr>
      </w:pPr>
    </w:p>
    <w:p w14:paraId="5AC2AA57">
      <w:pPr>
        <w:rPr>
          <w:rFonts w:hint="eastAsia"/>
          <w:color w:val="auto"/>
          <w:highlight w:val="none"/>
        </w:rPr>
      </w:pPr>
    </w:p>
    <w:p w14:paraId="71EC678D">
      <w:pPr>
        <w:pStyle w:val="3"/>
        <w:rPr>
          <w:rFonts w:hint="eastAsia"/>
          <w:color w:val="auto"/>
          <w:highlight w:val="none"/>
        </w:rPr>
      </w:pPr>
    </w:p>
    <w:p w14:paraId="1CA0CF0C">
      <w:pPr>
        <w:rPr>
          <w:rFonts w:hint="eastAsia"/>
          <w:color w:val="auto"/>
          <w:highlight w:val="none"/>
        </w:rPr>
      </w:pPr>
    </w:p>
    <w:p w14:paraId="7CEE0632">
      <w:pPr>
        <w:pStyle w:val="3"/>
        <w:jc w:val="left"/>
        <w:rPr>
          <w:rFonts w:hint="eastAsia" w:ascii="宋体" w:hAnsi="宋体" w:eastAsia="宋体" w:cs="宋体"/>
          <w:b w:val="0"/>
          <w:bCs w:val="0"/>
          <w:color w:val="auto"/>
          <w:sz w:val="24"/>
          <w:szCs w:val="24"/>
          <w:highlight w:val="none"/>
        </w:rPr>
      </w:pPr>
      <w:r>
        <w:rPr>
          <w:rFonts w:hint="eastAsia" w:ascii="宋体" w:hAnsi="宋体" w:cs="宋体"/>
          <w:b/>
          <w:bCs/>
          <w:color w:val="auto"/>
          <w:sz w:val="28"/>
          <w:szCs w:val="28"/>
          <w:highlight w:val="none"/>
          <w:lang w:val="en-US" w:eastAsia="zh-CN"/>
        </w:rPr>
        <w:t>5.质量和保密保证措施及承诺（由供应商根据项目实际情况和采购需求自行编制，格式自拟）（如有，请提供）</w:t>
      </w:r>
      <w:r>
        <w:rPr>
          <w:rFonts w:hint="eastAsia" w:ascii="宋体" w:hAnsi="宋体" w:eastAsia="宋体" w:cs="宋体"/>
          <w:b/>
          <w:bCs/>
          <w:color w:val="auto"/>
          <w:sz w:val="28"/>
          <w:szCs w:val="28"/>
          <w:highlight w:val="none"/>
        </w:rPr>
        <w:t>；</w:t>
      </w:r>
    </w:p>
    <w:p w14:paraId="72E4E4CB">
      <w:pPr>
        <w:pStyle w:val="15"/>
        <w:jc w:val="both"/>
        <w:rPr>
          <w:rFonts w:hint="eastAsia" w:ascii="宋体" w:hAnsi="宋体" w:eastAsia="宋体" w:cs="宋体"/>
          <w:color w:val="auto"/>
          <w:sz w:val="24"/>
          <w:szCs w:val="24"/>
          <w:highlight w:val="none"/>
        </w:rPr>
      </w:pPr>
    </w:p>
    <w:p w14:paraId="0AFA6F74">
      <w:pPr>
        <w:pStyle w:val="3"/>
        <w:jc w:val="center"/>
        <w:rPr>
          <w:rFonts w:hint="eastAsia" w:ascii="宋体" w:hAnsi="宋体" w:eastAsia="宋体" w:cs="宋体"/>
          <w:b/>
          <w:bCs/>
          <w:color w:val="auto"/>
          <w:sz w:val="28"/>
          <w:szCs w:val="28"/>
          <w:highlight w:val="none"/>
        </w:rPr>
      </w:pPr>
    </w:p>
    <w:p w14:paraId="05FC1FCA">
      <w:pPr>
        <w:pStyle w:val="3"/>
        <w:jc w:val="center"/>
        <w:rPr>
          <w:rFonts w:hint="eastAsia"/>
          <w:color w:val="auto"/>
          <w:sz w:val="24"/>
          <w:szCs w:val="24"/>
          <w:highlight w:val="none"/>
        </w:rPr>
      </w:pPr>
      <w:r>
        <w:rPr>
          <w:rFonts w:hint="eastAsia" w:ascii="宋体" w:hAnsi="宋体" w:eastAsia="宋体" w:cs="宋体"/>
          <w:b/>
          <w:bCs/>
          <w:color w:val="auto"/>
          <w:sz w:val="24"/>
          <w:szCs w:val="24"/>
          <w:highlight w:val="none"/>
        </w:rPr>
        <w:t>（格式</w:t>
      </w:r>
      <w:r>
        <w:rPr>
          <w:rFonts w:hint="eastAsia" w:ascii="宋体" w:hAnsi="宋体" w:eastAsia="宋体" w:cs="宋体"/>
          <w:b/>
          <w:bCs/>
          <w:color w:val="auto"/>
          <w:sz w:val="24"/>
          <w:szCs w:val="24"/>
          <w:highlight w:val="none"/>
          <w:lang w:val="en-US" w:eastAsia="zh-CN"/>
        </w:rPr>
        <w:t>自拟</w:t>
      </w:r>
      <w:r>
        <w:rPr>
          <w:rFonts w:hint="eastAsia" w:ascii="宋体" w:hAnsi="宋体" w:eastAsia="宋体" w:cs="宋体"/>
          <w:b/>
          <w:bCs/>
          <w:color w:val="auto"/>
          <w:sz w:val="24"/>
          <w:szCs w:val="24"/>
          <w:highlight w:val="none"/>
        </w:rPr>
        <w:t>）</w:t>
      </w:r>
    </w:p>
    <w:p w14:paraId="346A14EB">
      <w:pPr>
        <w:pStyle w:val="10"/>
        <w:rPr>
          <w:rFonts w:hint="eastAsia" w:ascii="宋体" w:hAnsi="宋体" w:cs="宋体"/>
          <w:b/>
          <w:bCs/>
          <w:color w:val="auto"/>
          <w:sz w:val="28"/>
          <w:szCs w:val="28"/>
          <w:highlight w:val="none"/>
          <w:lang w:val="en-US" w:eastAsia="zh-CN"/>
        </w:rPr>
      </w:pPr>
    </w:p>
    <w:p w14:paraId="0D8F5935">
      <w:pPr>
        <w:pStyle w:val="10"/>
        <w:rPr>
          <w:rFonts w:hint="eastAsia" w:ascii="宋体" w:hAnsi="宋体" w:cs="宋体"/>
          <w:b/>
          <w:bCs/>
          <w:color w:val="auto"/>
          <w:sz w:val="28"/>
          <w:szCs w:val="28"/>
          <w:highlight w:val="none"/>
          <w:lang w:val="en-US" w:eastAsia="zh-CN"/>
        </w:rPr>
      </w:pPr>
    </w:p>
    <w:p w14:paraId="05840D2C">
      <w:pPr>
        <w:pStyle w:val="10"/>
        <w:rPr>
          <w:rFonts w:hint="eastAsia" w:ascii="宋体" w:hAnsi="宋体" w:cs="宋体"/>
          <w:b/>
          <w:bCs/>
          <w:color w:val="auto"/>
          <w:sz w:val="28"/>
          <w:szCs w:val="28"/>
          <w:highlight w:val="none"/>
          <w:lang w:val="en-US" w:eastAsia="zh-CN"/>
        </w:rPr>
      </w:pPr>
    </w:p>
    <w:p w14:paraId="53DFDB1C">
      <w:pPr>
        <w:rPr>
          <w:rFonts w:hint="eastAsia"/>
          <w:color w:val="auto"/>
          <w:highlight w:val="none"/>
          <w:lang w:val="en-US" w:eastAsia="zh-CN"/>
        </w:rPr>
      </w:pPr>
    </w:p>
    <w:p w14:paraId="4B826F1F">
      <w:pPr>
        <w:pStyle w:val="3"/>
        <w:jc w:val="left"/>
        <w:rPr>
          <w:rFonts w:hint="eastAsia" w:ascii="宋体" w:hAnsi="宋体" w:eastAsia="宋体" w:cs="宋体"/>
          <w:b w:val="0"/>
          <w:bCs w:val="0"/>
          <w:color w:val="auto"/>
          <w:sz w:val="24"/>
          <w:szCs w:val="24"/>
          <w:highlight w:val="none"/>
        </w:rPr>
      </w:pPr>
      <w:r>
        <w:rPr>
          <w:rFonts w:hint="eastAsia" w:ascii="宋体" w:hAnsi="宋体" w:cs="宋体"/>
          <w:b/>
          <w:bCs/>
          <w:color w:val="auto"/>
          <w:sz w:val="28"/>
          <w:szCs w:val="28"/>
          <w:highlight w:val="none"/>
          <w:lang w:val="en-US" w:eastAsia="zh-CN"/>
        </w:rPr>
        <w:t>6.后续服务和其它优化措施（由供应商根据项目实际情况和采购需求自行编制，格式自拟）（如有，请提供）</w:t>
      </w:r>
      <w:r>
        <w:rPr>
          <w:rFonts w:hint="eastAsia" w:ascii="宋体" w:hAnsi="宋体" w:eastAsia="宋体" w:cs="宋体"/>
          <w:b/>
          <w:bCs/>
          <w:color w:val="auto"/>
          <w:sz w:val="28"/>
          <w:szCs w:val="28"/>
          <w:highlight w:val="none"/>
        </w:rPr>
        <w:t>；</w:t>
      </w:r>
    </w:p>
    <w:p w14:paraId="646378CB">
      <w:pPr>
        <w:pStyle w:val="15"/>
        <w:jc w:val="both"/>
        <w:rPr>
          <w:rFonts w:hint="eastAsia" w:ascii="宋体" w:hAnsi="宋体" w:eastAsia="宋体" w:cs="宋体"/>
          <w:color w:val="auto"/>
          <w:sz w:val="24"/>
          <w:szCs w:val="24"/>
          <w:highlight w:val="none"/>
        </w:rPr>
      </w:pPr>
    </w:p>
    <w:p w14:paraId="5858BB8D">
      <w:pPr>
        <w:pStyle w:val="3"/>
        <w:jc w:val="center"/>
        <w:rPr>
          <w:rFonts w:hint="eastAsia" w:ascii="宋体" w:hAnsi="宋体" w:eastAsia="宋体" w:cs="宋体"/>
          <w:b/>
          <w:bCs/>
          <w:color w:val="auto"/>
          <w:sz w:val="28"/>
          <w:szCs w:val="28"/>
          <w:highlight w:val="none"/>
        </w:rPr>
      </w:pPr>
    </w:p>
    <w:p w14:paraId="48B72DDE">
      <w:pPr>
        <w:pStyle w:val="3"/>
        <w:jc w:val="center"/>
        <w:rPr>
          <w:rFonts w:hint="eastAsia"/>
          <w:color w:val="auto"/>
          <w:sz w:val="24"/>
          <w:szCs w:val="24"/>
          <w:highlight w:val="none"/>
        </w:rPr>
      </w:pPr>
      <w:r>
        <w:rPr>
          <w:rFonts w:hint="eastAsia" w:ascii="宋体" w:hAnsi="宋体" w:eastAsia="宋体" w:cs="宋体"/>
          <w:b/>
          <w:bCs/>
          <w:color w:val="auto"/>
          <w:sz w:val="24"/>
          <w:szCs w:val="24"/>
          <w:highlight w:val="none"/>
        </w:rPr>
        <w:t>（格式</w:t>
      </w:r>
      <w:r>
        <w:rPr>
          <w:rFonts w:hint="eastAsia" w:ascii="宋体" w:hAnsi="宋体" w:eastAsia="宋体" w:cs="宋体"/>
          <w:b/>
          <w:bCs/>
          <w:color w:val="auto"/>
          <w:sz w:val="24"/>
          <w:szCs w:val="24"/>
          <w:highlight w:val="none"/>
          <w:lang w:val="en-US" w:eastAsia="zh-CN"/>
        </w:rPr>
        <w:t>自拟</w:t>
      </w:r>
      <w:r>
        <w:rPr>
          <w:rFonts w:hint="eastAsia" w:ascii="宋体" w:hAnsi="宋体" w:eastAsia="宋体" w:cs="宋体"/>
          <w:b/>
          <w:bCs/>
          <w:color w:val="auto"/>
          <w:sz w:val="24"/>
          <w:szCs w:val="24"/>
          <w:highlight w:val="none"/>
        </w:rPr>
        <w:t>）</w:t>
      </w:r>
    </w:p>
    <w:p w14:paraId="4357B757">
      <w:pPr>
        <w:rPr>
          <w:rFonts w:hint="default" w:ascii="宋体" w:hAnsi="宋体" w:cs="宋体"/>
          <w:b/>
          <w:bCs/>
          <w:color w:val="auto"/>
          <w:sz w:val="28"/>
          <w:szCs w:val="28"/>
          <w:highlight w:val="none"/>
          <w:lang w:val="en-US" w:eastAsia="zh-CN"/>
        </w:rPr>
      </w:pPr>
    </w:p>
    <w:p w14:paraId="725BCBFC">
      <w:pPr>
        <w:rPr>
          <w:rFonts w:hint="eastAsia" w:ascii="宋体" w:hAnsi="宋体" w:cs="宋体"/>
          <w:b/>
          <w:bCs/>
          <w:color w:val="auto"/>
          <w:sz w:val="28"/>
          <w:szCs w:val="28"/>
          <w:highlight w:val="none"/>
          <w:lang w:val="en-US" w:eastAsia="zh-CN"/>
        </w:rPr>
      </w:pPr>
    </w:p>
    <w:p w14:paraId="174BDF7A">
      <w:pPr>
        <w:rPr>
          <w:rFonts w:hint="eastAsia" w:ascii="宋体" w:hAnsi="宋体" w:cs="宋体"/>
          <w:b/>
          <w:bCs/>
          <w:color w:val="auto"/>
          <w:sz w:val="28"/>
          <w:szCs w:val="28"/>
          <w:highlight w:val="none"/>
          <w:lang w:val="en-US" w:eastAsia="zh-CN"/>
        </w:rPr>
      </w:pPr>
    </w:p>
    <w:p w14:paraId="0B9A55A7">
      <w:pPr>
        <w:pStyle w:val="3"/>
        <w:jc w:val="left"/>
        <w:rPr>
          <w:rFonts w:hint="eastAsia" w:ascii="宋体" w:hAnsi="宋体" w:eastAsia="宋体" w:cs="宋体"/>
          <w:b w:val="0"/>
          <w:bCs w:val="0"/>
          <w:color w:val="auto"/>
          <w:sz w:val="24"/>
          <w:szCs w:val="24"/>
          <w:highlight w:val="none"/>
        </w:rPr>
      </w:pPr>
      <w:r>
        <w:rPr>
          <w:rFonts w:hint="eastAsia" w:ascii="宋体" w:hAnsi="宋体" w:cs="宋体"/>
          <w:b/>
          <w:bCs/>
          <w:color w:val="auto"/>
          <w:sz w:val="28"/>
          <w:szCs w:val="28"/>
          <w:highlight w:val="none"/>
          <w:lang w:val="en-US" w:eastAsia="zh-CN"/>
        </w:rPr>
        <w:t>7.项目生产管理方案和工期计划安排（由供应商根据项目实际情况和采购需求自行编制，格式自拟）（如有，请提供）</w:t>
      </w:r>
      <w:r>
        <w:rPr>
          <w:rFonts w:hint="eastAsia" w:ascii="宋体" w:hAnsi="宋体" w:eastAsia="宋体" w:cs="宋体"/>
          <w:b/>
          <w:bCs/>
          <w:color w:val="auto"/>
          <w:sz w:val="28"/>
          <w:szCs w:val="28"/>
          <w:highlight w:val="none"/>
        </w:rPr>
        <w:t>；</w:t>
      </w:r>
    </w:p>
    <w:p w14:paraId="1F6AA054">
      <w:pPr>
        <w:pStyle w:val="15"/>
        <w:jc w:val="both"/>
        <w:rPr>
          <w:rFonts w:hint="eastAsia" w:ascii="宋体" w:hAnsi="宋体" w:eastAsia="宋体" w:cs="宋体"/>
          <w:color w:val="auto"/>
          <w:sz w:val="24"/>
          <w:szCs w:val="24"/>
          <w:highlight w:val="none"/>
        </w:rPr>
      </w:pPr>
    </w:p>
    <w:p w14:paraId="1303953B">
      <w:pPr>
        <w:pStyle w:val="3"/>
        <w:jc w:val="center"/>
        <w:rPr>
          <w:rFonts w:hint="eastAsia" w:ascii="宋体" w:hAnsi="宋体" w:eastAsia="宋体" w:cs="宋体"/>
          <w:b/>
          <w:bCs/>
          <w:color w:val="auto"/>
          <w:sz w:val="28"/>
          <w:szCs w:val="28"/>
          <w:highlight w:val="none"/>
        </w:rPr>
      </w:pPr>
    </w:p>
    <w:p w14:paraId="02428841">
      <w:pPr>
        <w:pStyle w:val="3"/>
        <w:jc w:val="center"/>
        <w:rPr>
          <w:rFonts w:hint="eastAsia"/>
          <w:color w:val="auto"/>
          <w:sz w:val="24"/>
          <w:szCs w:val="24"/>
          <w:highlight w:val="none"/>
        </w:rPr>
      </w:pPr>
      <w:r>
        <w:rPr>
          <w:rFonts w:hint="eastAsia" w:ascii="宋体" w:hAnsi="宋体" w:eastAsia="宋体" w:cs="宋体"/>
          <w:b/>
          <w:bCs/>
          <w:color w:val="auto"/>
          <w:sz w:val="24"/>
          <w:szCs w:val="24"/>
          <w:highlight w:val="none"/>
        </w:rPr>
        <w:t>（格式</w:t>
      </w:r>
      <w:r>
        <w:rPr>
          <w:rFonts w:hint="eastAsia" w:ascii="宋体" w:hAnsi="宋体" w:eastAsia="宋体" w:cs="宋体"/>
          <w:b/>
          <w:bCs/>
          <w:color w:val="auto"/>
          <w:sz w:val="24"/>
          <w:szCs w:val="24"/>
          <w:highlight w:val="none"/>
          <w:lang w:val="en-US" w:eastAsia="zh-CN"/>
        </w:rPr>
        <w:t>自拟</w:t>
      </w:r>
      <w:r>
        <w:rPr>
          <w:rFonts w:hint="eastAsia" w:ascii="宋体" w:hAnsi="宋体" w:eastAsia="宋体" w:cs="宋体"/>
          <w:b/>
          <w:bCs/>
          <w:color w:val="auto"/>
          <w:sz w:val="24"/>
          <w:szCs w:val="24"/>
          <w:highlight w:val="none"/>
        </w:rPr>
        <w:t>）</w:t>
      </w:r>
    </w:p>
    <w:p w14:paraId="33F63B8C">
      <w:pPr>
        <w:rPr>
          <w:rFonts w:hint="default" w:ascii="宋体" w:hAnsi="宋体" w:cs="宋体"/>
          <w:b/>
          <w:bCs/>
          <w:color w:val="auto"/>
          <w:sz w:val="28"/>
          <w:szCs w:val="28"/>
          <w:highlight w:val="none"/>
          <w:lang w:val="en-US" w:eastAsia="zh-CN"/>
        </w:rPr>
      </w:pPr>
    </w:p>
    <w:p w14:paraId="6F05A79B">
      <w:pPr>
        <w:rPr>
          <w:rFonts w:hint="eastAsia" w:ascii="宋体" w:hAnsi="宋体" w:eastAsia="宋体" w:cs="宋体"/>
          <w:b/>
          <w:bCs/>
          <w:color w:val="auto"/>
          <w:sz w:val="28"/>
          <w:szCs w:val="28"/>
          <w:highlight w:val="none"/>
        </w:rPr>
      </w:pPr>
      <w:r>
        <w:rPr>
          <w:rFonts w:hint="eastAsia" w:ascii="宋体" w:hAnsi="宋体" w:cs="宋体"/>
          <w:b/>
          <w:bCs/>
          <w:color w:val="auto"/>
          <w:sz w:val="28"/>
          <w:szCs w:val="28"/>
          <w:highlight w:val="none"/>
          <w:lang w:val="en-US" w:eastAsia="zh-CN"/>
        </w:rPr>
        <w:t>8.投入项目人员（由供应商根据项目实际情况和采购需求自行编制，格式自拟）（如有，请提供）；</w:t>
      </w:r>
    </w:p>
    <w:p w14:paraId="1B080ED1">
      <w:pPr>
        <w:spacing w:line="440" w:lineRule="exact"/>
        <w:ind w:left="420" w:leftChars="200" w:firstLine="420" w:firstLineChars="150"/>
        <w:rPr>
          <w:rFonts w:hint="eastAsia" w:ascii="宋体" w:hAnsi="宋体" w:eastAsia="宋体" w:cs="宋体"/>
          <w:color w:val="auto"/>
          <w:sz w:val="28"/>
          <w:szCs w:val="28"/>
          <w:highlight w:val="none"/>
        </w:rPr>
      </w:pPr>
    </w:p>
    <w:p w14:paraId="10426407">
      <w:pPr>
        <w:spacing w:line="400" w:lineRule="exact"/>
        <w:rPr>
          <w:rFonts w:hint="eastAsia" w:ascii="宋体" w:hAnsi="宋体" w:eastAsia="宋体" w:cs="宋体"/>
          <w:b/>
          <w:bCs/>
          <w:color w:val="auto"/>
          <w:sz w:val="32"/>
          <w:szCs w:val="32"/>
          <w:highlight w:val="none"/>
        </w:rPr>
      </w:pPr>
    </w:p>
    <w:p w14:paraId="6F838413">
      <w:pPr>
        <w:rPr>
          <w:rFonts w:hint="eastAsia"/>
          <w:color w:val="auto"/>
          <w:highlight w:val="none"/>
        </w:rPr>
      </w:pPr>
    </w:p>
    <w:p w14:paraId="7C64F8AF">
      <w:pPr>
        <w:pStyle w:val="10"/>
        <w:ind w:left="0" w:leftChars="0" w:firstLine="0" w:firstLineChars="0"/>
        <w:rPr>
          <w:rFonts w:hint="eastAsia" w:ascii="宋体" w:hAnsi="宋体" w:eastAsia="宋体" w:cs="宋体"/>
          <w:b/>
          <w:bCs/>
          <w:color w:val="auto"/>
          <w:sz w:val="32"/>
          <w:szCs w:val="32"/>
          <w:highlight w:val="none"/>
        </w:rPr>
      </w:pPr>
    </w:p>
    <w:p w14:paraId="4B071D80">
      <w:pPr>
        <w:rPr>
          <w:rFonts w:hint="eastAsia"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9.业绩证明材料（由供应商根据项目实际情况和采购需求自行编制，格式自拟）（如有，请提供）</w:t>
      </w:r>
      <w:r>
        <w:rPr>
          <w:rFonts w:hint="eastAsia" w:ascii="宋体" w:hAnsi="宋体" w:eastAsia="宋体" w:cs="宋体"/>
          <w:b/>
          <w:bCs/>
          <w:color w:val="auto"/>
          <w:sz w:val="28"/>
          <w:szCs w:val="28"/>
          <w:highlight w:val="none"/>
          <w:lang w:val="en-US" w:eastAsia="zh-CN"/>
        </w:rPr>
        <w:t>；</w:t>
      </w:r>
    </w:p>
    <w:p w14:paraId="08463D77">
      <w:pPr>
        <w:rPr>
          <w:rFonts w:hint="eastAsia" w:ascii="宋体" w:hAnsi="宋体" w:eastAsia="宋体" w:cs="宋体"/>
          <w:b/>
          <w:bCs/>
          <w:color w:val="auto"/>
          <w:sz w:val="28"/>
          <w:szCs w:val="28"/>
          <w:highlight w:val="none"/>
          <w:lang w:val="en-US" w:eastAsia="zh-CN"/>
        </w:rPr>
      </w:pPr>
    </w:p>
    <w:p w14:paraId="05DEFE30">
      <w:pPr>
        <w:rPr>
          <w:rFonts w:hint="eastAsia" w:ascii="宋体" w:hAnsi="宋体" w:eastAsia="宋体" w:cs="宋体"/>
          <w:b/>
          <w:bCs/>
          <w:color w:val="auto"/>
          <w:sz w:val="28"/>
          <w:szCs w:val="28"/>
          <w:highlight w:val="none"/>
          <w:lang w:val="en-US" w:eastAsia="zh-CN"/>
        </w:rPr>
      </w:pPr>
    </w:p>
    <w:p w14:paraId="07E4A6DE">
      <w:pPr>
        <w:rPr>
          <w:rFonts w:hint="eastAsia" w:ascii="宋体" w:hAnsi="宋体" w:eastAsia="宋体" w:cs="宋体"/>
          <w:b/>
          <w:bCs/>
          <w:color w:val="auto"/>
          <w:sz w:val="28"/>
          <w:szCs w:val="28"/>
          <w:highlight w:val="none"/>
          <w:lang w:val="en-US" w:eastAsia="zh-CN"/>
        </w:rPr>
      </w:pPr>
    </w:p>
    <w:p w14:paraId="0992AE79">
      <w:pPr>
        <w:rPr>
          <w:rFonts w:hint="eastAsia"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10.供应商可结合本项目的评标办法视自身情况自行提交相关证明材料（如有，请提供）；</w:t>
      </w:r>
    </w:p>
    <w:p w14:paraId="61F6F211">
      <w:pPr>
        <w:rPr>
          <w:rFonts w:hint="default" w:ascii="宋体" w:hAnsi="宋体" w:eastAsia="宋体" w:cs="宋体"/>
          <w:b/>
          <w:bCs/>
          <w:color w:val="auto"/>
          <w:sz w:val="28"/>
          <w:szCs w:val="28"/>
          <w:highlight w:val="none"/>
          <w:lang w:val="en-US" w:eastAsia="zh-CN"/>
        </w:rPr>
      </w:pPr>
    </w:p>
    <w:sectPr>
      <w:pgSz w:w="11906" w:h="16838"/>
      <w:pgMar w:top="1440" w:right="1287" w:bottom="1440" w:left="1179" w:header="851" w:footer="992" w:gutter="0"/>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swiss"/>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decorative"/>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C3774">
    <w:pPr>
      <w:pStyle w:val="17"/>
      <w:ind w:right="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8295FC">
                          <w:pPr>
                            <w:pStyle w:val="17"/>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78295FC">
                    <w:pPr>
                      <w:pStyle w:val="17"/>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3109E">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6BFBDB">
                          <w:pPr>
                            <w:pStyle w:val="17"/>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C6BFBDB">
                    <w:pPr>
                      <w:pStyle w:val="17"/>
                    </w:pPr>
                    <w:r>
                      <w:fldChar w:fldCharType="begin"/>
                    </w:r>
                    <w:r>
                      <w:instrText xml:space="preserve"> PAGE  \* MERGEFORMAT </w:instrText>
                    </w:r>
                    <w:r>
                      <w:fldChar w:fldCharType="separate"/>
                    </w:r>
                    <w:r>
                      <w:t>40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2437D">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A575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53A340"/>
    <w:multiLevelType w:val="singleLevel"/>
    <w:tmpl w:val="8453A340"/>
    <w:lvl w:ilvl="0" w:tentative="0">
      <w:start w:val="1"/>
      <w:numFmt w:val="decimal"/>
      <w:pStyle w:val="7"/>
      <w:lvlText w:val="%1."/>
      <w:lvlJc w:val="left"/>
      <w:pPr>
        <w:tabs>
          <w:tab w:val="left" w:pos="360"/>
        </w:tabs>
        <w:ind w:left="360" w:hanging="360"/>
      </w:pPr>
    </w:lvl>
  </w:abstractNum>
  <w:abstractNum w:abstractNumId="1">
    <w:nsid w:val="AC80BD7B"/>
    <w:multiLevelType w:val="singleLevel"/>
    <w:tmpl w:val="AC80BD7B"/>
    <w:lvl w:ilvl="0" w:tentative="0">
      <w:start w:val="6"/>
      <w:numFmt w:val="decimal"/>
      <w:suff w:val="nothing"/>
      <w:lvlText w:val="%1、"/>
      <w:lvlJc w:val="left"/>
    </w:lvl>
  </w:abstractNum>
  <w:abstractNum w:abstractNumId="2">
    <w:nsid w:val="BE638CBC"/>
    <w:multiLevelType w:val="singleLevel"/>
    <w:tmpl w:val="BE638CBC"/>
    <w:lvl w:ilvl="0" w:tentative="0">
      <w:start w:val="16"/>
      <w:numFmt w:val="decimal"/>
      <w:suff w:val="space"/>
      <w:lvlText w:val="%1."/>
      <w:lvlJc w:val="left"/>
    </w:lvl>
  </w:abstractNum>
  <w:abstractNum w:abstractNumId="3">
    <w:nsid w:val="D8C2F3E9"/>
    <w:multiLevelType w:val="singleLevel"/>
    <w:tmpl w:val="D8C2F3E9"/>
    <w:lvl w:ilvl="0" w:tentative="0">
      <w:start w:val="4"/>
      <w:numFmt w:val="chineseCounting"/>
      <w:suff w:val="nothing"/>
      <w:lvlText w:val="%1、"/>
      <w:lvlJc w:val="left"/>
      <w:rPr>
        <w:rFonts w:hint="eastAsia"/>
      </w:rPr>
    </w:lvl>
  </w:abstractNum>
  <w:abstractNum w:abstractNumId="4">
    <w:nsid w:val="D9A881F0"/>
    <w:multiLevelType w:val="singleLevel"/>
    <w:tmpl w:val="D9A881F0"/>
    <w:lvl w:ilvl="0" w:tentative="0">
      <w:start w:val="1"/>
      <w:numFmt w:val="chineseCounting"/>
      <w:suff w:val="space"/>
      <w:lvlText w:val="第%1章"/>
      <w:lvlJc w:val="left"/>
      <w:rPr>
        <w:rFonts w:hint="eastAsia"/>
      </w:rPr>
    </w:lvl>
  </w:abstractNum>
  <w:abstractNum w:abstractNumId="5">
    <w:nsid w:val="144CBD08"/>
    <w:multiLevelType w:val="singleLevel"/>
    <w:tmpl w:val="144CBD08"/>
    <w:lvl w:ilvl="0" w:tentative="0">
      <w:start w:val="1"/>
      <w:numFmt w:val="decimal"/>
      <w:suff w:val="nothing"/>
      <w:lvlText w:val="%1、"/>
      <w:lvlJc w:val="left"/>
    </w:lvl>
  </w:abstractNum>
  <w:abstractNum w:abstractNumId="6">
    <w:nsid w:val="20F2BBDC"/>
    <w:multiLevelType w:val="singleLevel"/>
    <w:tmpl w:val="20F2BBDC"/>
    <w:lvl w:ilvl="0" w:tentative="0">
      <w:start w:val="2"/>
      <w:numFmt w:val="decimal"/>
      <w:suff w:val="nothing"/>
      <w:lvlText w:val="%1、"/>
      <w:lvlJc w:val="left"/>
    </w:lvl>
  </w:abstractNum>
  <w:num w:numId="1">
    <w:abstractNumId w:val="0"/>
  </w:num>
  <w:num w:numId="2">
    <w:abstractNumId w:val="4"/>
  </w:num>
  <w:num w:numId="3">
    <w:abstractNumId w:val="1"/>
  </w:num>
  <w:num w:numId="4">
    <w:abstractNumId w:val="2"/>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llOTliNzk5MDkzNjljYTVjNzJhMjdjN2RkNTdiNTUifQ=="/>
    <w:docVar w:name="KSO_WPS_MARK_KEY" w:val="dae3fdfb-d40b-4128-8824-9a77eb979ff2"/>
  </w:docVars>
  <w:rsids>
    <w:rsidRoot w:val="00000000"/>
    <w:rsid w:val="000C64AC"/>
    <w:rsid w:val="008B67CB"/>
    <w:rsid w:val="00A04734"/>
    <w:rsid w:val="00DF14BB"/>
    <w:rsid w:val="00DF3269"/>
    <w:rsid w:val="012D2DA0"/>
    <w:rsid w:val="017D5815"/>
    <w:rsid w:val="019454AA"/>
    <w:rsid w:val="019978BC"/>
    <w:rsid w:val="01B666C0"/>
    <w:rsid w:val="01C56224"/>
    <w:rsid w:val="01FE1994"/>
    <w:rsid w:val="02184253"/>
    <w:rsid w:val="0219671C"/>
    <w:rsid w:val="02223D56"/>
    <w:rsid w:val="022606A3"/>
    <w:rsid w:val="025F0B06"/>
    <w:rsid w:val="028B36A9"/>
    <w:rsid w:val="029232D9"/>
    <w:rsid w:val="02D7069C"/>
    <w:rsid w:val="02E828A9"/>
    <w:rsid w:val="02F33C8E"/>
    <w:rsid w:val="03157416"/>
    <w:rsid w:val="032E0A9B"/>
    <w:rsid w:val="034F152E"/>
    <w:rsid w:val="035B0E70"/>
    <w:rsid w:val="035E2B6B"/>
    <w:rsid w:val="041B0A5C"/>
    <w:rsid w:val="044A5963"/>
    <w:rsid w:val="0462437A"/>
    <w:rsid w:val="04802556"/>
    <w:rsid w:val="04FA7A94"/>
    <w:rsid w:val="0507141C"/>
    <w:rsid w:val="050F50B2"/>
    <w:rsid w:val="05155A0B"/>
    <w:rsid w:val="0533072D"/>
    <w:rsid w:val="05504736"/>
    <w:rsid w:val="05524952"/>
    <w:rsid w:val="056A0FA1"/>
    <w:rsid w:val="058F34B0"/>
    <w:rsid w:val="05B178CA"/>
    <w:rsid w:val="05B66C8F"/>
    <w:rsid w:val="05EE467B"/>
    <w:rsid w:val="05FB0B46"/>
    <w:rsid w:val="06071298"/>
    <w:rsid w:val="065D35AE"/>
    <w:rsid w:val="066E1317"/>
    <w:rsid w:val="06DF642C"/>
    <w:rsid w:val="06EB6E0C"/>
    <w:rsid w:val="06F66BC9"/>
    <w:rsid w:val="06F7130D"/>
    <w:rsid w:val="07281C6D"/>
    <w:rsid w:val="075E138C"/>
    <w:rsid w:val="07A9769D"/>
    <w:rsid w:val="07C53419"/>
    <w:rsid w:val="07E13D6B"/>
    <w:rsid w:val="08030185"/>
    <w:rsid w:val="08422A5C"/>
    <w:rsid w:val="08517143"/>
    <w:rsid w:val="08550306"/>
    <w:rsid w:val="088C6599"/>
    <w:rsid w:val="08980FA6"/>
    <w:rsid w:val="089C709B"/>
    <w:rsid w:val="08AD5A2D"/>
    <w:rsid w:val="08B1373D"/>
    <w:rsid w:val="08F4072F"/>
    <w:rsid w:val="093E76C7"/>
    <w:rsid w:val="0966246F"/>
    <w:rsid w:val="097E3F67"/>
    <w:rsid w:val="09807C9E"/>
    <w:rsid w:val="09842C00"/>
    <w:rsid w:val="09931095"/>
    <w:rsid w:val="09954E0D"/>
    <w:rsid w:val="09AB3227"/>
    <w:rsid w:val="09AC5758"/>
    <w:rsid w:val="09C35E1E"/>
    <w:rsid w:val="09CA61D7"/>
    <w:rsid w:val="09FE29B2"/>
    <w:rsid w:val="09FF549C"/>
    <w:rsid w:val="0A2166A1"/>
    <w:rsid w:val="0A431D41"/>
    <w:rsid w:val="0A4D5DFC"/>
    <w:rsid w:val="0A75680A"/>
    <w:rsid w:val="0A8D3D36"/>
    <w:rsid w:val="0AF0679F"/>
    <w:rsid w:val="0B280AEC"/>
    <w:rsid w:val="0B450177"/>
    <w:rsid w:val="0B4E7969"/>
    <w:rsid w:val="0B567E4C"/>
    <w:rsid w:val="0B7844E6"/>
    <w:rsid w:val="0BEA3AEE"/>
    <w:rsid w:val="0BFA7B9C"/>
    <w:rsid w:val="0C126BE9"/>
    <w:rsid w:val="0C152235"/>
    <w:rsid w:val="0C1E4963"/>
    <w:rsid w:val="0C517711"/>
    <w:rsid w:val="0C6A6F6A"/>
    <w:rsid w:val="0C812711"/>
    <w:rsid w:val="0C94013B"/>
    <w:rsid w:val="0CC50E80"/>
    <w:rsid w:val="0CEC743A"/>
    <w:rsid w:val="0D2766C4"/>
    <w:rsid w:val="0D6C0289"/>
    <w:rsid w:val="0DA9532B"/>
    <w:rsid w:val="0DB25F8E"/>
    <w:rsid w:val="0DD20252"/>
    <w:rsid w:val="0DEB76F2"/>
    <w:rsid w:val="0E172295"/>
    <w:rsid w:val="0E7D3003"/>
    <w:rsid w:val="0EBC4BEA"/>
    <w:rsid w:val="0EFF16A6"/>
    <w:rsid w:val="0F225395"/>
    <w:rsid w:val="0F3A26DF"/>
    <w:rsid w:val="0F9B0CA3"/>
    <w:rsid w:val="10030D22"/>
    <w:rsid w:val="100D394F"/>
    <w:rsid w:val="101C2A7A"/>
    <w:rsid w:val="102F37BD"/>
    <w:rsid w:val="105C4FD4"/>
    <w:rsid w:val="10A342B4"/>
    <w:rsid w:val="10C610D9"/>
    <w:rsid w:val="10C81F6C"/>
    <w:rsid w:val="112453F4"/>
    <w:rsid w:val="11D30BC8"/>
    <w:rsid w:val="11E572EB"/>
    <w:rsid w:val="11FA6155"/>
    <w:rsid w:val="12270CC9"/>
    <w:rsid w:val="125F245C"/>
    <w:rsid w:val="126F4D07"/>
    <w:rsid w:val="12B04A66"/>
    <w:rsid w:val="12D4108C"/>
    <w:rsid w:val="13051255"/>
    <w:rsid w:val="13125D93"/>
    <w:rsid w:val="134025BA"/>
    <w:rsid w:val="13415744"/>
    <w:rsid w:val="1347361C"/>
    <w:rsid w:val="135451A6"/>
    <w:rsid w:val="138212AD"/>
    <w:rsid w:val="138571BF"/>
    <w:rsid w:val="13EE1CEA"/>
    <w:rsid w:val="14247998"/>
    <w:rsid w:val="14263231"/>
    <w:rsid w:val="142B1F63"/>
    <w:rsid w:val="14322397"/>
    <w:rsid w:val="14465682"/>
    <w:rsid w:val="14593607"/>
    <w:rsid w:val="1474596D"/>
    <w:rsid w:val="148D505F"/>
    <w:rsid w:val="149A7CAA"/>
    <w:rsid w:val="14A71988"/>
    <w:rsid w:val="14AE3227"/>
    <w:rsid w:val="14DC5FE6"/>
    <w:rsid w:val="14ED768B"/>
    <w:rsid w:val="1507380E"/>
    <w:rsid w:val="153876C0"/>
    <w:rsid w:val="155618F4"/>
    <w:rsid w:val="158A63F2"/>
    <w:rsid w:val="15B11499"/>
    <w:rsid w:val="15DF7B3C"/>
    <w:rsid w:val="15F22707"/>
    <w:rsid w:val="16264174"/>
    <w:rsid w:val="16480123"/>
    <w:rsid w:val="167D7355"/>
    <w:rsid w:val="16E6314C"/>
    <w:rsid w:val="16F23F2E"/>
    <w:rsid w:val="1704241F"/>
    <w:rsid w:val="1758631B"/>
    <w:rsid w:val="177A6B0C"/>
    <w:rsid w:val="17822E75"/>
    <w:rsid w:val="17887D5F"/>
    <w:rsid w:val="178A3AD7"/>
    <w:rsid w:val="179157A3"/>
    <w:rsid w:val="17935082"/>
    <w:rsid w:val="1794758A"/>
    <w:rsid w:val="17A315CA"/>
    <w:rsid w:val="17C003D9"/>
    <w:rsid w:val="17CF1E32"/>
    <w:rsid w:val="17D11706"/>
    <w:rsid w:val="17FF1953"/>
    <w:rsid w:val="180B10BC"/>
    <w:rsid w:val="182061EA"/>
    <w:rsid w:val="18283ED8"/>
    <w:rsid w:val="18316649"/>
    <w:rsid w:val="18787932"/>
    <w:rsid w:val="18910E95"/>
    <w:rsid w:val="18A50E30"/>
    <w:rsid w:val="1981715C"/>
    <w:rsid w:val="198F7ACB"/>
    <w:rsid w:val="1992394E"/>
    <w:rsid w:val="19A00393"/>
    <w:rsid w:val="19A1335A"/>
    <w:rsid w:val="19A76508"/>
    <w:rsid w:val="19B03BF6"/>
    <w:rsid w:val="19DD04FE"/>
    <w:rsid w:val="1A381F10"/>
    <w:rsid w:val="1A5B175B"/>
    <w:rsid w:val="1A646862"/>
    <w:rsid w:val="1A6E148E"/>
    <w:rsid w:val="1A7A42D7"/>
    <w:rsid w:val="1A903AFB"/>
    <w:rsid w:val="1AB31597"/>
    <w:rsid w:val="1AC63078"/>
    <w:rsid w:val="1AF1691E"/>
    <w:rsid w:val="1B11106F"/>
    <w:rsid w:val="1B2615CA"/>
    <w:rsid w:val="1B3A5AEA"/>
    <w:rsid w:val="1B632FBD"/>
    <w:rsid w:val="1BB175A1"/>
    <w:rsid w:val="1BCF41AF"/>
    <w:rsid w:val="1BDD2D6F"/>
    <w:rsid w:val="1BDF4392"/>
    <w:rsid w:val="1C337FE9"/>
    <w:rsid w:val="1C565603"/>
    <w:rsid w:val="1C625023"/>
    <w:rsid w:val="1C8E2EC1"/>
    <w:rsid w:val="1C8F7A67"/>
    <w:rsid w:val="1C915908"/>
    <w:rsid w:val="1CAE2016"/>
    <w:rsid w:val="1CC57360"/>
    <w:rsid w:val="1CFA525B"/>
    <w:rsid w:val="1D0C019C"/>
    <w:rsid w:val="1D0D1432"/>
    <w:rsid w:val="1D310127"/>
    <w:rsid w:val="1D350989"/>
    <w:rsid w:val="1D5B709B"/>
    <w:rsid w:val="1D9825E2"/>
    <w:rsid w:val="1DA7060F"/>
    <w:rsid w:val="1DB63878"/>
    <w:rsid w:val="1DBF2047"/>
    <w:rsid w:val="1DEA48BF"/>
    <w:rsid w:val="1E162BB9"/>
    <w:rsid w:val="1E34479D"/>
    <w:rsid w:val="1E360515"/>
    <w:rsid w:val="1EA731C1"/>
    <w:rsid w:val="1EC04283"/>
    <w:rsid w:val="1F161491"/>
    <w:rsid w:val="1F9F189B"/>
    <w:rsid w:val="1FDE70B6"/>
    <w:rsid w:val="1FE56B1C"/>
    <w:rsid w:val="1FF322BA"/>
    <w:rsid w:val="200B777F"/>
    <w:rsid w:val="208C7916"/>
    <w:rsid w:val="20A53730"/>
    <w:rsid w:val="20B37320"/>
    <w:rsid w:val="20EF0E4F"/>
    <w:rsid w:val="213D1BBA"/>
    <w:rsid w:val="21505D92"/>
    <w:rsid w:val="217C0935"/>
    <w:rsid w:val="21BC67D1"/>
    <w:rsid w:val="21DF54AB"/>
    <w:rsid w:val="2205092A"/>
    <w:rsid w:val="22184581"/>
    <w:rsid w:val="2230740D"/>
    <w:rsid w:val="2270457F"/>
    <w:rsid w:val="22A31EF1"/>
    <w:rsid w:val="22B9196F"/>
    <w:rsid w:val="22CA1B74"/>
    <w:rsid w:val="22E4439F"/>
    <w:rsid w:val="22EE6C3A"/>
    <w:rsid w:val="230431A5"/>
    <w:rsid w:val="230B08BF"/>
    <w:rsid w:val="230F2661"/>
    <w:rsid w:val="231E28E3"/>
    <w:rsid w:val="23386ADD"/>
    <w:rsid w:val="235D6C0A"/>
    <w:rsid w:val="23814D41"/>
    <w:rsid w:val="23A12196"/>
    <w:rsid w:val="23C230A6"/>
    <w:rsid w:val="24047AC5"/>
    <w:rsid w:val="247104F9"/>
    <w:rsid w:val="249B1C11"/>
    <w:rsid w:val="24A81B1F"/>
    <w:rsid w:val="24D12D46"/>
    <w:rsid w:val="24DF0490"/>
    <w:rsid w:val="24F31BDB"/>
    <w:rsid w:val="24F35FAE"/>
    <w:rsid w:val="250E3F9A"/>
    <w:rsid w:val="25257535"/>
    <w:rsid w:val="253B2191"/>
    <w:rsid w:val="2564005E"/>
    <w:rsid w:val="259F4BF2"/>
    <w:rsid w:val="263E08AF"/>
    <w:rsid w:val="264A7253"/>
    <w:rsid w:val="2653660B"/>
    <w:rsid w:val="26BD0AC1"/>
    <w:rsid w:val="26DD6E32"/>
    <w:rsid w:val="26EF7DFB"/>
    <w:rsid w:val="26F74716"/>
    <w:rsid w:val="2702368A"/>
    <w:rsid w:val="271C1698"/>
    <w:rsid w:val="2750298F"/>
    <w:rsid w:val="276A0BA2"/>
    <w:rsid w:val="27DF6914"/>
    <w:rsid w:val="27ED5581"/>
    <w:rsid w:val="281A6597"/>
    <w:rsid w:val="285B4762"/>
    <w:rsid w:val="28603155"/>
    <w:rsid w:val="288268B3"/>
    <w:rsid w:val="288822B5"/>
    <w:rsid w:val="28884B08"/>
    <w:rsid w:val="28AB1AFF"/>
    <w:rsid w:val="28E50C60"/>
    <w:rsid w:val="28EA6ACC"/>
    <w:rsid w:val="290C6A42"/>
    <w:rsid w:val="291458F7"/>
    <w:rsid w:val="29172C79"/>
    <w:rsid w:val="291B0A33"/>
    <w:rsid w:val="29891E41"/>
    <w:rsid w:val="299222D4"/>
    <w:rsid w:val="29AC3D81"/>
    <w:rsid w:val="29CC7380"/>
    <w:rsid w:val="29FD45DD"/>
    <w:rsid w:val="2A0041AD"/>
    <w:rsid w:val="2A037518"/>
    <w:rsid w:val="2A0C2CAB"/>
    <w:rsid w:val="2A497822"/>
    <w:rsid w:val="2A546059"/>
    <w:rsid w:val="2ABC51A5"/>
    <w:rsid w:val="2AF34F9E"/>
    <w:rsid w:val="2AF763F4"/>
    <w:rsid w:val="2B0379D1"/>
    <w:rsid w:val="2B3202B6"/>
    <w:rsid w:val="2B401485"/>
    <w:rsid w:val="2B6254B2"/>
    <w:rsid w:val="2B674A91"/>
    <w:rsid w:val="2BCF2927"/>
    <w:rsid w:val="2BEC69F6"/>
    <w:rsid w:val="2BF81500"/>
    <w:rsid w:val="2C1D0F66"/>
    <w:rsid w:val="2C352ECF"/>
    <w:rsid w:val="2C64152D"/>
    <w:rsid w:val="2C6B2906"/>
    <w:rsid w:val="2C7A3CC3"/>
    <w:rsid w:val="2CA13945"/>
    <w:rsid w:val="2CA33FBC"/>
    <w:rsid w:val="2CFD5684"/>
    <w:rsid w:val="2D013765"/>
    <w:rsid w:val="2D1E6D44"/>
    <w:rsid w:val="2D236DA6"/>
    <w:rsid w:val="2D3607B2"/>
    <w:rsid w:val="2D3D0BDA"/>
    <w:rsid w:val="2D5E40B4"/>
    <w:rsid w:val="2D7D7F0E"/>
    <w:rsid w:val="2D8C12CC"/>
    <w:rsid w:val="2D9E5227"/>
    <w:rsid w:val="2DD1025A"/>
    <w:rsid w:val="2DF6381D"/>
    <w:rsid w:val="2E6471CF"/>
    <w:rsid w:val="2EC209A3"/>
    <w:rsid w:val="2EC8340B"/>
    <w:rsid w:val="2EC94DEF"/>
    <w:rsid w:val="2EDA4EED"/>
    <w:rsid w:val="2F2F5238"/>
    <w:rsid w:val="2F753B87"/>
    <w:rsid w:val="2FD931E9"/>
    <w:rsid w:val="30105C77"/>
    <w:rsid w:val="304C4CB2"/>
    <w:rsid w:val="30CD6188"/>
    <w:rsid w:val="30E3452C"/>
    <w:rsid w:val="31644F41"/>
    <w:rsid w:val="316C0FFD"/>
    <w:rsid w:val="3180074C"/>
    <w:rsid w:val="32790AAE"/>
    <w:rsid w:val="327E5D78"/>
    <w:rsid w:val="32B1065A"/>
    <w:rsid w:val="32CE6B16"/>
    <w:rsid w:val="32D44733"/>
    <w:rsid w:val="33107C61"/>
    <w:rsid w:val="33353039"/>
    <w:rsid w:val="33592AE7"/>
    <w:rsid w:val="337376BE"/>
    <w:rsid w:val="33B96CA1"/>
    <w:rsid w:val="33C30645"/>
    <w:rsid w:val="33DD612A"/>
    <w:rsid w:val="33F24A86"/>
    <w:rsid w:val="33F943FE"/>
    <w:rsid w:val="343B5C9A"/>
    <w:rsid w:val="344E68D8"/>
    <w:rsid w:val="346746F0"/>
    <w:rsid w:val="34A22009"/>
    <w:rsid w:val="34C401D1"/>
    <w:rsid w:val="34C71AEB"/>
    <w:rsid w:val="35270760"/>
    <w:rsid w:val="354122FB"/>
    <w:rsid w:val="355754E9"/>
    <w:rsid w:val="35863F41"/>
    <w:rsid w:val="358E747B"/>
    <w:rsid w:val="35DA5DB0"/>
    <w:rsid w:val="35ED6FF7"/>
    <w:rsid w:val="362F1FC2"/>
    <w:rsid w:val="36341386"/>
    <w:rsid w:val="367E7973"/>
    <w:rsid w:val="3680281D"/>
    <w:rsid w:val="368D0631"/>
    <w:rsid w:val="36AE1698"/>
    <w:rsid w:val="36CE17DB"/>
    <w:rsid w:val="36E0506A"/>
    <w:rsid w:val="36E763F9"/>
    <w:rsid w:val="36F6663C"/>
    <w:rsid w:val="37092813"/>
    <w:rsid w:val="370C2303"/>
    <w:rsid w:val="371A67CE"/>
    <w:rsid w:val="37377380"/>
    <w:rsid w:val="376B527C"/>
    <w:rsid w:val="377A726D"/>
    <w:rsid w:val="378B1C9F"/>
    <w:rsid w:val="379E11AD"/>
    <w:rsid w:val="37B26A07"/>
    <w:rsid w:val="37C92A4B"/>
    <w:rsid w:val="37DE77FC"/>
    <w:rsid w:val="38262F51"/>
    <w:rsid w:val="38481FFE"/>
    <w:rsid w:val="38726196"/>
    <w:rsid w:val="3885236D"/>
    <w:rsid w:val="389B774E"/>
    <w:rsid w:val="389D42F0"/>
    <w:rsid w:val="38A327F3"/>
    <w:rsid w:val="38BB5D8F"/>
    <w:rsid w:val="38D41444"/>
    <w:rsid w:val="39172DA8"/>
    <w:rsid w:val="391D7897"/>
    <w:rsid w:val="393D19AC"/>
    <w:rsid w:val="39D709A6"/>
    <w:rsid w:val="39E732DA"/>
    <w:rsid w:val="3A1A6AE5"/>
    <w:rsid w:val="3A2609A1"/>
    <w:rsid w:val="3A4F5BD2"/>
    <w:rsid w:val="3A7F161B"/>
    <w:rsid w:val="3AAF36D1"/>
    <w:rsid w:val="3AC151B3"/>
    <w:rsid w:val="3AC727C9"/>
    <w:rsid w:val="3AC911F0"/>
    <w:rsid w:val="3AD15949"/>
    <w:rsid w:val="3ADF734B"/>
    <w:rsid w:val="3AE50EA1"/>
    <w:rsid w:val="3B471B5C"/>
    <w:rsid w:val="3BBD01F7"/>
    <w:rsid w:val="3BD01B51"/>
    <w:rsid w:val="3BF13876"/>
    <w:rsid w:val="3BFE532F"/>
    <w:rsid w:val="3C49576C"/>
    <w:rsid w:val="3C8B7AE7"/>
    <w:rsid w:val="3CBB604B"/>
    <w:rsid w:val="3CEC2B6C"/>
    <w:rsid w:val="3CFA561E"/>
    <w:rsid w:val="3D7D3613"/>
    <w:rsid w:val="3D842BF3"/>
    <w:rsid w:val="3D8F1598"/>
    <w:rsid w:val="3D9F2685"/>
    <w:rsid w:val="3DB63476"/>
    <w:rsid w:val="3DE6100E"/>
    <w:rsid w:val="3E0E6961"/>
    <w:rsid w:val="3E180BBC"/>
    <w:rsid w:val="3E7569E0"/>
    <w:rsid w:val="3EA00770"/>
    <w:rsid w:val="3EE007AB"/>
    <w:rsid w:val="3F5900B0"/>
    <w:rsid w:val="3F5D36FC"/>
    <w:rsid w:val="3F67457A"/>
    <w:rsid w:val="3F7A5137"/>
    <w:rsid w:val="3F9F3D14"/>
    <w:rsid w:val="3FF12096"/>
    <w:rsid w:val="40026051"/>
    <w:rsid w:val="402226F1"/>
    <w:rsid w:val="40972368"/>
    <w:rsid w:val="40D32354"/>
    <w:rsid w:val="40F37746"/>
    <w:rsid w:val="41201061"/>
    <w:rsid w:val="41393870"/>
    <w:rsid w:val="41433703"/>
    <w:rsid w:val="414D154E"/>
    <w:rsid w:val="418A4550"/>
    <w:rsid w:val="41AD2E48"/>
    <w:rsid w:val="41B2577E"/>
    <w:rsid w:val="41F30347"/>
    <w:rsid w:val="42072045"/>
    <w:rsid w:val="42106296"/>
    <w:rsid w:val="421156C0"/>
    <w:rsid w:val="4249440B"/>
    <w:rsid w:val="425047B5"/>
    <w:rsid w:val="425C0DE0"/>
    <w:rsid w:val="428B4A24"/>
    <w:rsid w:val="42DA5063"/>
    <w:rsid w:val="42E04750"/>
    <w:rsid w:val="42ED2FE9"/>
    <w:rsid w:val="42F1333E"/>
    <w:rsid w:val="432D1637"/>
    <w:rsid w:val="43455072"/>
    <w:rsid w:val="43741014"/>
    <w:rsid w:val="438D657A"/>
    <w:rsid w:val="43A050CE"/>
    <w:rsid w:val="43D45F57"/>
    <w:rsid w:val="43E3619A"/>
    <w:rsid w:val="442135DE"/>
    <w:rsid w:val="442256DD"/>
    <w:rsid w:val="442F398A"/>
    <w:rsid w:val="443930FD"/>
    <w:rsid w:val="44727C49"/>
    <w:rsid w:val="44823C05"/>
    <w:rsid w:val="448636F5"/>
    <w:rsid w:val="449F014F"/>
    <w:rsid w:val="44CA14A7"/>
    <w:rsid w:val="44D161E9"/>
    <w:rsid w:val="44EB3558"/>
    <w:rsid w:val="45003A70"/>
    <w:rsid w:val="450D25EC"/>
    <w:rsid w:val="45124F88"/>
    <w:rsid w:val="45237196"/>
    <w:rsid w:val="45564C51"/>
    <w:rsid w:val="4574354D"/>
    <w:rsid w:val="45886F5D"/>
    <w:rsid w:val="458F482B"/>
    <w:rsid w:val="459040FF"/>
    <w:rsid w:val="45C344D5"/>
    <w:rsid w:val="462B3621"/>
    <w:rsid w:val="462F09B4"/>
    <w:rsid w:val="46407212"/>
    <w:rsid w:val="467C4DAF"/>
    <w:rsid w:val="46DA3884"/>
    <w:rsid w:val="46DF1D29"/>
    <w:rsid w:val="46E942DD"/>
    <w:rsid w:val="470D5A07"/>
    <w:rsid w:val="474A04B2"/>
    <w:rsid w:val="475E7A8B"/>
    <w:rsid w:val="477E676C"/>
    <w:rsid w:val="47C86CBC"/>
    <w:rsid w:val="48027536"/>
    <w:rsid w:val="48036E0A"/>
    <w:rsid w:val="48153E45"/>
    <w:rsid w:val="4828061F"/>
    <w:rsid w:val="484B0AA3"/>
    <w:rsid w:val="48550E50"/>
    <w:rsid w:val="48733940"/>
    <w:rsid w:val="48AA4E97"/>
    <w:rsid w:val="48BA396D"/>
    <w:rsid w:val="48CC4983"/>
    <w:rsid w:val="48FA645F"/>
    <w:rsid w:val="490374B8"/>
    <w:rsid w:val="495E381B"/>
    <w:rsid w:val="4A1C2405"/>
    <w:rsid w:val="4A5940EF"/>
    <w:rsid w:val="4A9401EE"/>
    <w:rsid w:val="4A940CAE"/>
    <w:rsid w:val="4AB83EDC"/>
    <w:rsid w:val="4ACC22CA"/>
    <w:rsid w:val="4B0E61F2"/>
    <w:rsid w:val="4B137B7E"/>
    <w:rsid w:val="4B241572"/>
    <w:rsid w:val="4B2936BD"/>
    <w:rsid w:val="4B445432"/>
    <w:rsid w:val="4B4765F5"/>
    <w:rsid w:val="4B944126"/>
    <w:rsid w:val="4B9F32EE"/>
    <w:rsid w:val="4BB70638"/>
    <w:rsid w:val="4BBE3774"/>
    <w:rsid w:val="4BC41BFA"/>
    <w:rsid w:val="4BD969DB"/>
    <w:rsid w:val="4BDA0632"/>
    <w:rsid w:val="4BE17463"/>
    <w:rsid w:val="4BEE7FFD"/>
    <w:rsid w:val="4BFB46E6"/>
    <w:rsid w:val="4BFE4AE2"/>
    <w:rsid w:val="4C1930A0"/>
    <w:rsid w:val="4C6A2CB1"/>
    <w:rsid w:val="4C6F4A6E"/>
    <w:rsid w:val="4CAC5CC3"/>
    <w:rsid w:val="4CBA3171"/>
    <w:rsid w:val="4CE41265"/>
    <w:rsid w:val="4D1306B2"/>
    <w:rsid w:val="4D257344"/>
    <w:rsid w:val="4D381304"/>
    <w:rsid w:val="4D832291"/>
    <w:rsid w:val="4DA370C6"/>
    <w:rsid w:val="4DB34E2F"/>
    <w:rsid w:val="4DB641B2"/>
    <w:rsid w:val="4DBC405D"/>
    <w:rsid w:val="4DEA4CF4"/>
    <w:rsid w:val="4E016271"/>
    <w:rsid w:val="4E284592"/>
    <w:rsid w:val="4E4B22B0"/>
    <w:rsid w:val="4EB85A8B"/>
    <w:rsid w:val="4EE003B8"/>
    <w:rsid w:val="4F416B96"/>
    <w:rsid w:val="4F7800DE"/>
    <w:rsid w:val="4F801C3F"/>
    <w:rsid w:val="4F8D3385"/>
    <w:rsid w:val="4FB7215F"/>
    <w:rsid w:val="4FBA4253"/>
    <w:rsid w:val="4FC926E8"/>
    <w:rsid w:val="4FD65903"/>
    <w:rsid w:val="4FDA48F5"/>
    <w:rsid w:val="502A0A6A"/>
    <w:rsid w:val="5035757A"/>
    <w:rsid w:val="507A1C34"/>
    <w:rsid w:val="50947199"/>
    <w:rsid w:val="50A0169A"/>
    <w:rsid w:val="50D270F9"/>
    <w:rsid w:val="50DD5EF7"/>
    <w:rsid w:val="511336A8"/>
    <w:rsid w:val="51692A2A"/>
    <w:rsid w:val="51790C79"/>
    <w:rsid w:val="51864D34"/>
    <w:rsid w:val="51B51175"/>
    <w:rsid w:val="522400A9"/>
    <w:rsid w:val="52606C37"/>
    <w:rsid w:val="5268443A"/>
    <w:rsid w:val="5282187B"/>
    <w:rsid w:val="528E4A2B"/>
    <w:rsid w:val="52AA2CA4"/>
    <w:rsid w:val="52AC0527"/>
    <w:rsid w:val="52B73A1A"/>
    <w:rsid w:val="52CC4866"/>
    <w:rsid w:val="52E50BE0"/>
    <w:rsid w:val="52F6336C"/>
    <w:rsid w:val="532A19A9"/>
    <w:rsid w:val="533267F6"/>
    <w:rsid w:val="534053B7"/>
    <w:rsid w:val="53654E1D"/>
    <w:rsid w:val="53752B2D"/>
    <w:rsid w:val="5389271A"/>
    <w:rsid w:val="53986FA1"/>
    <w:rsid w:val="53BB3BB3"/>
    <w:rsid w:val="53BD15D2"/>
    <w:rsid w:val="53CE4770"/>
    <w:rsid w:val="5440422B"/>
    <w:rsid w:val="544669FD"/>
    <w:rsid w:val="5455279C"/>
    <w:rsid w:val="5474356A"/>
    <w:rsid w:val="547E6AEA"/>
    <w:rsid w:val="548A4B3B"/>
    <w:rsid w:val="54C87033"/>
    <w:rsid w:val="54E832EF"/>
    <w:rsid w:val="55135D8D"/>
    <w:rsid w:val="551C03BA"/>
    <w:rsid w:val="55282BAA"/>
    <w:rsid w:val="55483C01"/>
    <w:rsid w:val="554A6079"/>
    <w:rsid w:val="554B05B2"/>
    <w:rsid w:val="55524F2D"/>
    <w:rsid w:val="557430F6"/>
    <w:rsid w:val="5583158B"/>
    <w:rsid w:val="559209D1"/>
    <w:rsid w:val="55E87DF0"/>
    <w:rsid w:val="560A229C"/>
    <w:rsid w:val="56222B52"/>
    <w:rsid w:val="56450ADC"/>
    <w:rsid w:val="565D1435"/>
    <w:rsid w:val="565F1B92"/>
    <w:rsid w:val="566E223B"/>
    <w:rsid w:val="567A473C"/>
    <w:rsid w:val="56F5740D"/>
    <w:rsid w:val="57084C89"/>
    <w:rsid w:val="572A43B4"/>
    <w:rsid w:val="57454283"/>
    <w:rsid w:val="57821573"/>
    <w:rsid w:val="57D12A81"/>
    <w:rsid w:val="57EA3B43"/>
    <w:rsid w:val="57F617CF"/>
    <w:rsid w:val="57F66044"/>
    <w:rsid w:val="57F87954"/>
    <w:rsid w:val="583848AE"/>
    <w:rsid w:val="586B07E0"/>
    <w:rsid w:val="58A426D0"/>
    <w:rsid w:val="58B77EC9"/>
    <w:rsid w:val="58FB78F7"/>
    <w:rsid w:val="5939268C"/>
    <w:rsid w:val="5940031E"/>
    <w:rsid w:val="59462FFB"/>
    <w:rsid w:val="59D11963"/>
    <w:rsid w:val="59D9748F"/>
    <w:rsid w:val="5A074538"/>
    <w:rsid w:val="5A1F5D26"/>
    <w:rsid w:val="5A6A1D13"/>
    <w:rsid w:val="5A6F20DD"/>
    <w:rsid w:val="5AAA42D2"/>
    <w:rsid w:val="5B4930DF"/>
    <w:rsid w:val="5BD23E86"/>
    <w:rsid w:val="5BD82628"/>
    <w:rsid w:val="5BDF1F8E"/>
    <w:rsid w:val="5BF3038F"/>
    <w:rsid w:val="5BFF298D"/>
    <w:rsid w:val="5C003935"/>
    <w:rsid w:val="5C0213EC"/>
    <w:rsid w:val="5C2C0286"/>
    <w:rsid w:val="5C335AB8"/>
    <w:rsid w:val="5C4A6F76"/>
    <w:rsid w:val="5C8005D2"/>
    <w:rsid w:val="5C9347A9"/>
    <w:rsid w:val="5C967DF5"/>
    <w:rsid w:val="5CA97B29"/>
    <w:rsid w:val="5D476C49"/>
    <w:rsid w:val="5D5757D7"/>
    <w:rsid w:val="5D753EAF"/>
    <w:rsid w:val="5D944135"/>
    <w:rsid w:val="5DA36C6E"/>
    <w:rsid w:val="5DD45079"/>
    <w:rsid w:val="5E863211"/>
    <w:rsid w:val="5EA5014C"/>
    <w:rsid w:val="5EB00D4E"/>
    <w:rsid w:val="5ED24F05"/>
    <w:rsid w:val="5EF14B23"/>
    <w:rsid w:val="5EFD5F0A"/>
    <w:rsid w:val="5F022145"/>
    <w:rsid w:val="5F16521D"/>
    <w:rsid w:val="5F1F6EF6"/>
    <w:rsid w:val="5F3542CF"/>
    <w:rsid w:val="5F3C2ED6"/>
    <w:rsid w:val="5F3E47D0"/>
    <w:rsid w:val="5F507B06"/>
    <w:rsid w:val="5FB412F8"/>
    <w:rsid w:val="5FE41B73"/>
    <w:rsid w:val="5FE93768"/>
    <w:rsid w:val="6037742C"/>
    <w:rsid w:val="60561D75"/>
    <w:rsid w:val="605B3BD5"/>
    <w:rsid w:val="60714E01"/>
    <w:rsid w:val="60A1049F"/>
    <w:rsid w:val="61271964"/>
    <w:rsid w:val="61393311"/>
    <w:rsid w:val="61494636"/>
    <w:rsid w:val="61881C02"/>
    <w:rsid w:val="61F56813"/>
    <w:rsid w:val="62636459"/>
    <w:rsid w:val="62864468"/>
    <w:rsid w:val="6294063D"/>
    <w:rsid w:val="62A27A19"/>
    <w:rsid w:val="62A35984"/>
    <w:rsid w:val="632F5936"/>
    <w:rsid w:val="633E6C82"/>
    <w:rsid w:val="634E31D8"/>
    <w:rsid w:val="635051A2"/>
    <w:rsid w:val="636D4B59"/>
    <w:rsid w:val="63BF4D0D"/>
    <w:rsid w:val="643620AD"/>
    <w:rsid w:val="64622CD4"/>
    <w:rsid w:val="64A62BA0"/>
    <w:rsid w:val="64B40E79"/>
    <w:rsid w:val="64F61D79"/>
    <w:rsid w:val="64F953C5"/>
    <w:rsid w:val="65150451"/>
    <w:rsid w:val="6539750A"/>
    <w:rsid w:val="65702339"/>
    <w:rsid w:val="657E5067"/>
    <w:rsid w:val="65B739DA"/>
    <w:rsid w:val="663366B5"/>
    <w:rsid w:val="66613222"/>
    <w:rsid w:val="669E4476"/>
    <w:rsid w:val="66FC6826"/>
    <w:rsid w:val="6701538B"/>
    <w:rsid w:val="679101C7"/>
    <w:rsid w:val="67F0518E"/>
    <w:rsid w:val="680D6FB9"/>
    <w:rsid w:val="68150768"/>
    <w:rsid w:val="68212D4E"/>
    <w:rsid w:val="684E77D6"/>
    <w:rsid w:val="685F19E3"/>
    <w:rsid w:val="689E250C"/>
    <w:rsid w:val="68BB795E"/>
    <w:rsid w:val="68D128E1"/>
    <w:rsid w:val="692D57BA"/>
    <w:rsid w:val="69461D42"/>
    <w:rsid w:val="69612609"/>
    <w:rsid w:val="698E07D2"/>
    <w:rsid w:val="69B1007A"/>
    <w:rsid w:val="69E23F34"/>
    <w:rsid w:val="69E42B26"/>
    <w:rsid w:val="69E74CF3"/>
    <w:rsid w:val="69E77EE2"/>
    <w:rsid w:val="6A276531"/>
    <w:rsid w:val="6A4705B3"/>
    <w:rsid w:val="6A971908"/>
    <w:rsid w:val="6A975464"/>
    <w:rsid w:val="6ACD70D8"/>
    <w:rsid w:val="6AD466B8"/>
    <w:rsid w:val="6B113703"/>
    <w:rsid w:val="6B2131AC"/>
    <w:rsid w:val="6B9E0765"/>
    <w:rsid w:val="6BB43DF4"/>
    <w:rsid w:val="6BF92A4A"/>
    <w:rsid w:val="6C363DC8"/>
    <w:rsid w:val="6CA65E33"/>
    <w:rsid w:val="6CB9442A"/>
    <w:rsid w:val="6CBA00EA"/>
    <w:rsid w:val="6CE91C2D"/>
    <w:rsid w:val="6CFE64C1"/>
    <w:rsid w:val="6D0462C9"/>
    <w:rsid w:val="6D0854A3"/>
    <w:rsid w:val="6D107750"/>
    <w:rsid w:val="6D162FB8"/>
    <w:rsid w:val="6D256FA1"/>
    <w:rsid w:val="6D3A53F5"/>
    <w:rsid w:val="6D455E49"/>
    <w:rsid w:val="6E337B9A"/>
    <w:rsid w:val="6E4E6782"/>
    <w:rsid w:val="6E804461"/>
    <w:rsid w:val="6EA00262"/>
    <w:rsid w:val="6EF47329"/>
    <w:rsid w:val="6F2B0871"/>
    <w:rsid w:val="6F3F60CB"/>
    <w:rsid w:val="6F490CF7"/>
    <w:rsid w:val="6FA3261F"/>
    <w:rsid w:val="6FBC2A4E"/>
    <w:rsid w:val="6FC57912"/>
    <w:rsid w:val="6FF60E7F"/>
    <w:rsid w:val="70606CAF"/>
    <w:rsid w:val="70BB1D85"/>
    <w:rsid w:val="70BF6250"/>
    <w:rsid w:val="70D56CE6"/>
    <w:rsid w:val="712B196E"/>
    <w:rsid w:val="71610AF0"/>
    <w:rsid w:val="71996AB4"/>
    <w:rsid w:val="71C15291"/>
    <w:rsid w:val="71F50612"/>
    <w:rsid w:val="71F71048"/>
    <w:rsid w:val="72165809"/>
    <w:rsid w:val="721E646B"/>
    <w:rsid w:val="72200E4A"/>
    <w:rsid w:val="722241AD"/>
    <w:rsid w:val="7238752D"/>
    <w:rsid w:val="7258197D"/>
    <w:rsid w:val="72B8241C"/>
    <w:rsid w:val="72C94194"/>
    <w:rsid w:val="72D32065"/>
    <w:rsid w:val="732950C8"/>
    <w:rsid w:val="7355410F"/>
    <w:rsid w:val="73676CFC"/>
    <w:rsid w:val="73777B6B"/>
    <w:rsid w:val="73EE4B92"/>
    <w:rsid w:val="73F12089"/>
    <w:rsid w:val="73F751C6"/>
    <w:rsid w:val="741B1EE7"/>
    <w:rsid w:val="744B5317"/>
    <w:rsid w:val="74626AE3"/>
    <w:rsid w:val="747B5DF7"/>
    <w:rsid w:val="74C23A26"/>
    <w:rsid w:val="74CF64A8"/>
    <w:rsid w:val="74DA0D6F"/>
    <w:rsid w:val="74DB7E0C"/>
    <w:rsid w:val="75310D3C"/>
    <w:rsid w:val="75726E38"/>
    <w:rsid w:val="75E35A02"/>
    <w:rsid w:val="75EF43A6"/>
    <w:rsid w:val="75FD3835"/>
    <w:rsid w:val="76312796"/>
    <w:rsid w:val="7641097A"/>
    <w:rsid w:val="766E26D2"/>
    <w:rsid w:val="767B3E8C"/>
    <w:rsid w:val="76C07AF1"/>
    <w:rsid w:val="76DE441B"/>
    <w:rsid w:val="76F576CA"/>
    <w:rsid w:val="772207AC"/>
    <w:rsid w:val="77240107"/>
    <w:rsid w:val="77291F17"/>
    <w:rsid w:val="77316C41"/>
    <w:rsid w:val="773A5AF5"/>
    <w:rsid w:val="775C74FC"/>
    <w:rsid w:val="776E184B"/>
    <w:rsid w:val="77C74EAF"/>
    <w:rsid w:val="77DC4DFE"/>
    <w:rsid w:val="77E12415"/>
    <w:rsid w:val="77EB3FA9"/>
    <w:rsid w:val="781F6A99"/>
    <w:rsid w:val="782E3B07"/>
    <w:rsid w:val="783D2BF6"/>
    <w:rsid w:val="78CC6C21"/>
    <w:rsid w:val="78DA7590"/>
    <w:rsid w:val="790D704C"/>
    <w:rsid w:val="791B54B2"/>
    <w:rsid w:val="797D2B93"/>
    <w:rsid w:val="798720DB"/>
    <w:rsid w:val="79A27982"/>
    <w:rsid w:val="79B120CF"/>
    <w:rsid w:val="79BF65A8"/>
    <w:rsid w:val="79EF6BA9"/>
    <w:rsid w:val="79FF3E6A"/>
    <w:rsid w:val="7A0F3ECF"/>
    <w:rsid w:val="7A3A405E"/>
    <w:rsid w:val="7A5E3C4E"/>
    <w:rsid w:val="7A8F0C2D"/>
    <w:rsid w:val="7AF375C5"/>
    <w:rsid w:val="7AF91823"/>
    <w:rsid w:val="7B220D7A"/>
    <w:rsid w:val="7B251FE6"/>
    <w:rsid w:val="7B455353"/>
    <w:rsid w:val="7B661E49"/>
    <w:rsid w:val="7C45611F"/>
    <w:rsid w:val="7C773348"/>
    <w:rsid w:val="7CA73C2D"/>
    <w:rsid w:val="7CAB4D9F"/>
    <w:rsid w:val="7CFD384D"/>
    <w:rsid w:val="7CFE1373"/>
    <w:rsid w:val="7D036B44"/>
    <w:rsid w:val="7D050953"/>
    <w:rsid w:val="7D126BCC"/>
    <w:rsid w:val="7D2557AC"/>
    <w:rsid w:val="7D5A1439"/>
    <w:rsid w:val="7DB61C4E"/>
    <w:rsid w:val="7E0230E5"/>
    <w:rsid w:val="7E15079E"/>
    <w:rsid w:val="7E2C7BA2"/>
    <w:rsid w:val="7E394D59"/>
    <w:rsid w:val="7E4A6B83"/>
    <w:rsid w:val="7E81400A"/>
    <w:rsid w:val="7E8458A8"/>
    <w:rsid w:val="7E8B05E3"/>
    <w:rsid w:val="7EAA3560"/>
    <w:rsid w:val="7EBC562D"/>
    <w:rsid w:val="7F371F18"/>
    <w:rsid w:val="7F487EDE"/>
    <w:rsid w:val="7F5221D4"/>
    <w:rsid w:val="7F8A16CD"/>
    <w:rsid w:val="7F996B69"/>
    <w:rsid w:val="7FE72592"/>
    <w:rsid w:val="7FFD707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iPriority="99"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37"/>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qFormat/>
    <w:uiPriority w:val="0"/>
    <w:pPr>
      <w:keepNext/>
      <w:keepLines/>
      <w:spacing w:before="60" w:after="60" w:line="413" w:lineRule="auto"/>
      <w:outlineLvl w:val="1"/>
    </w:pPr>
    <w:rPr>
      <w:rFonts w:ascii="Arial" w:hAnsi="Arial" w:eastAsia="黑体"/>
      <w:b/>
    </w:rPr>
  </w:style>
  <w:style w:type="paragraph" w:styleId="4">
    <w:name w:val="heading 3"/>
    <w:basedOn w:val="1"/>
    <w:next w:val="1"/>
    <w:unhideWhenUsed/>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7">
    <w:name w:val="Default Paragraph Font"/>
    <w:unhideWhenUsed/>
    <w:qFormat/>
    <w:uiPriority w:val="1"/>
  </w:style>
  <w:style w:type="table" w:default="1" w:styleId="25">
    <w:name w:val="Normal Table"/>
    <w:unhideWhenUsed/>
    <w:qFormat/>
    <w:uiPriority w:val="99"/>
    <w:tblPr>
      <w:tblCellMar>
        <w:top w:w="0" w:type="dxa"/>
        <w:left w:w="108" w:type="dxa"/>
        <w:bottom w:w="0" w:type="dxa"/>
        <w:right w:w="108" w:type="dxa"/>
      </w:tblCellMar>
    </w:tblPr>
  </w:style>
  <w:style w:type="paragraph" w:styleId="6">
    <w:name w:val="index 8"/>
    <w:basedOn w:val="1"/>
    <w:next w:val="1"/>
    <w:qFormat/>
    <w:uiPriority w:val="0"/>
    <w:pPr>
      <w:ind w:left="2940"/>
    </w:pPr>
  </w:style>
  <w:style w:type="paragraph" w:styleId="7">
    <w:name w:val="List Number"/>
    <w:basedOn w:val="1"/>
    <w:qFormat/>
    <w:uiPriority w:val="0"/>
    <w:pPr>
      <w:numPr>
        <w:ilvl w:val="0"/>
        <w:numId w:val="1"/>
      </w:numPr>
    </w:pPr>
  </w:style>
  <w:style w:type="paragraph" w:styleId="8">
    <w:name w:val="Normal Indent"/>
    <w:basedOn w:val="1"/>
    <w:next w:val="1"/>
    <w:qFormat/>
    <w:uiPriority w:val="0"/>
    <w:pPr>
      <w:ind w:firstLine="420"/>
    </w:pPr>
    <w:rPr>
      <w:szCs w:val="20"/>
    </w:rPr>
  </w:style>
  <w:style w:type="paragraph" w:styleId="9">
    <w:name w:val="annotation text"/>
    <w:basedOn w:val="1"/>
    <w:qFormat/>
    <w:uiPriority w:val="0"/>
    <w:pPr>
      <w:jc w:val="left"/>
    </w:pPr>
  </w:style>
  <w:style w:type="paragraph" w:styleId="10">
    <w:name w:val="Body Text"/>
    <w:basedOn w:val="1"/>
    <w:next w:val="1"/>
    <w:qFormat/>
    <w:uiPriority w:val="1"/>
    <w:pPr>
      <w:ind w:left="395"/>
    </w:pPr>
    <w:rPr>
      <w:sz w:val="24"/>
    </w:rPr>
  </w:style>
  <w:style w:type="paragraph" w:styleId="11">
    <w:name w:val="Body Text Indent"/>
    <w:basedOn w:val="1"/>
    <w:next w:val="12"/>
    <w:qFormat/>
    <w:uiPriority w:val="99"/>
    <w:pPr>
      <w:spacing w:line="200" w:lineRule="exact"/>
      <w:ind w:firstLine="301"/>
    </w:pPr>
    <w:rPr>
      <w:rFonts w:ascii="宋体" w:hAnsi="Courier New"/>
      <w:spacing w:val="-4"/>
      <w:kern w:val="0"/>
      <w:sz w:val="18"/>
      <w:szCs w:val="18"/>
    </w:rPr>
  </w:style>
  <w:style w:type="paragraph" w:styleId="12">
    <w:name w:val="envelope return"/>
    <w:basedOn w:val="1"/>
    <w:qFormat/>
    <w:uiPriority w:val="0"/>
    <w:pPr>
      <w:snapToGrid w:val="0"/>
    </w:pPr>
    <w:rPr>
      <w:rFonts w:ascii="Arial" w:hAnsi="Arial"/>
    </w:rPr>
  </w:style>
  <w:style w:type="paragraph" w:styleId="13">
    <w:name w:val="List 2"/>
    <w:basedOn w:val="1"/>
    <w:unhideWhenUsed/>
    <w:qFormat/>
    <w:uiPriority w:val="99"/>
    <w:pPr>
      <w:ind w:left="100" w:leftChars="200" w:hanging="200" w:hangingChars="200"/>
      <w:contextualSpacing/>
    </w:pPr>
  </w:style>
  <w:style w:type="paragraph" w:styleId="14">
    <w:name w:val="toc 3"/>
    <w:basedOn w:val="1"/>
    <w:next w:val="1"/>
    <w:qFormat/>
    <w:uiPriority w:val="39"/>
    <w:pPr>
      <w:ind w:left="840" w:leftChars="400"/>
    </w:pPr>
  </w:style>
  <w:style w:type="paragraph" w:styleId="15">
    <w:name w:val="Plain Text"/>
    <w:basedOn w:val="1"/>
    <w:qFormat/>
    <w:uiPriority w:val="0"/>
    <w:rPr>
      <w:rFonts w:ascii="宋体" w:hAnsi="Courier New"/>
      <w:szCs w:val="20"/>
    </w:rPr>
  </w:style>
  <w:style w:type="paragraph" w:styleId="16">
    <w:name w:val="Date"/>
    <w:basedOn w:val="1"/>
    <w:next w:val="1"/>
    <w:qFormat/>
    <w:uiPriority w:val="0"/>
    <w:pPr>
      <w:widowControl w:val="0"/>
      <w:spacing w:after="0"/>
      <w:jc w:val="both"/>
    </w:pPr>
    <w:rPr>
      <w:rFonts w:ascii="Times New Roman" w:hAnsi="Times New Roman" w:eastAsia="宋体" w:cs="Times New Roman"/>
      <w:kern w:val="2"/>
      <w:sz w:val="21"/>
      <w:szCs w:val="20"/>
      <w:lang w:val="en-US" w:eastAsia="zh-CN" w:bidi="ar-SA"/>
    </w:rPr>
  </w:style>
  <w:style w:type="paragraph" w:styleId="17">
    <w:name w:val="footer"/>
    <w:basedOn w:val="1"/>
    <w:qFormat/>
    <w:uiPriority w:val="0"/>
    <w:pPr>
      <w:tabs>
        <w:tab w:val="center" w:pos="4153"/>
        <w:tab w:val="right" w:pos="8306"/>
      </w:tabs>
      <w:snapToGrid w:val="0"/>
      <w:jc w:val="left"/>
    </w:pPr>
    <w:rPr>
      <w:sz w:val="18"/>
      <w:szCs w:val="18"/>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style>
  <w:style w:type="paragraph" w:styleId="20">
    <w:name w:val="toc 2"/>
    <w:basedOn w:val="1"/>
    <w:next w:val="1"/>
    <w:qFormat/>
    <w:uiPriority w:val="39"/>
    <w:pPr>
      <w:ind w:left="420" w:leftChars="200"/>
    </w:pPr>
  </w:style>
  <w:style w:type="paragraph" w:styleId="21">
    <w:name w:val="Message Header"/>
    <w:basedOn w:val="1"/>
    <w:unhideWhenUsed/>
    <w:qFormat/>
    <w:uiPriority w:val="99"/>
    <w:pPr>
      <w:pBdr>
        <w:top w:val="none" w:color="auto" w:sz="0" w:space="1"/>
        <w:left w:val="none" w:color="auto" w:sz="0" w:space="1"/>
        <w:bottom w:val="none" w:color="auto" w:sz="0" w:space="1"/>
        <w:right w:val="none" w:color="auto" w:sz="0" w:space="1"/>
      </w:pBdr>
      <w:ind w:left="1080" w:leftChars="500" w:hanging="1080" w:hangingChars="500"/>
    </w:pPr>
    <w:rPr>
      <w:rFonts w:ascii="Cambria" w:hAnsi="Cambria"/>
    </w:rPr>
  </w:style>
  <w:style w:type="paragraph" w:styleId="22">
    <w:name w:val="Normal (Web)"/>
    <w:basedOn w:val="1"/>
    <w:qFormat/>
    <w:uiPriority w:val="99"/>
    <w:pPr>
      <w:spacing w:line="360" w:lineRule="auto"/>
    </w:pPr>
    <w:rPr>
      <w:rFonts w:eastAsia="仿宋_GB2312"/>
      <w:sz w:val="24"/>
    </w:rPr>
  </w:style>
  <w:style w:type="paragraph" w:styleId="23">
    <w:name w:val="Title"/>
    <w:basedOn w:val="1"/>
    <w:next w:val="1"/>
    <w:link w:val="35"/>
    <w:qFormat/>
    <w:uiPriority w:val="0"/>
    <w:pPr>
      <w:spacing w:before="240" w:after="60"/>
      <w:jc w:val="center"/>
      <w:outlineLvl w:val="0"/>
    </w:pPr>
    <w:rPr>
      <w:rFonts w:ascii="Calibri Light" w:hAnsi="Calibri Light"/>
      <w:b/>
      <w:bCs/>
      <w:sz w:val="32"/>
      <w:szCs w:val="32"/>
    </w:rPr>
  </w:style>
  <w:style w:type="paragraph" w:styleId="24">
    <w:name w:val="Body Text First Indent 2"/>
    <w:basedOn w:val="11"/>
    <w:unhideWhenUsed/>
    <w:qFormat/>
    <w:uiPriority w:val="99"/>
    <w:pPr>
      <w:ind w:firstLine="420" w:firstLineChars="200"/>
    </w:p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22"/>
    <w:rPr>
      <w:b/>
      <w:bCs/>
    </w:rPr>
  </w:style>
  <w:style w:type="character" w:styleId="29">
    <w:name w:val="Hyperlink"/>
    <w:basedOn w:val="27"/>
    <w:unhideWhenUsed/>
    <w:qFormat/>
    <w:uiPriority w:val="99"/>
    <w:rPr>
      <w:color w:val="0563C1" w:themeColor="hyperlink"/>
      <w:u w:val="single"/>
      <w14:textFill>
        <w14:solidFill>
          <w14:schemeClr w14:val="hlink"/>
        </w14:solidFill>
      </w14:textFill>
    </w:rPr>
  </w:style>
  <w:style w:type="character" w:styleId="30">
    <w:name w:val="HTML Sample"/>
    <w:basedOn w:val="27"/>
    <w:unhideWhenUsed/>
    <w:qFormat/>
    <w:uiPriority w:val="99"/>
    <w:rPr>
      <w:rFonts w:ascii="宋体" w:hAnsi="宋体" w:eastAsia="宋体" w:cs="宋体"/>
    </w:rPr>
  </w:style>
  <w:style w:type="paragraph" w:customStyle="1" w:styleId="31">
    <w:name w:val="Default"/>
    <w:basedOn w:val="23"/>
    <w:next w:val="32"/>
    <w:qFormat/>
    <w:uiPriority w:val="0"/>
    <w:pPr>
      <w:widowControl w:val="0"/>
      <w:autoSpaceDE w:val="0"/>
      <w:autoSpaceDN w:val="0"/>
    </w:pPr>
    <w:rPr>
      <w:rFonts w:ascii="Calibri" w:hAnsi="Calibri" w:eastAsia="Calibri" w:cs="Times New Roman"/>
      <w:color w:val="000000"/>
      <w:sz w:val="24"/>
      <w:lang w:val="en-US" w:eastAsia="zh-CN" w:bidi="ar-SA"/>
    </w:rPr>
  </w:style>
  <w:style w:type="paragraph" w:customStyle="1" w:styleId="32">
    <w:name w:val="TOC 71"/>
    <w:next w:val="1"/>
    <w:qFormat/>
    <w:uiPriority w:val="99"/>
    <w:pPr>
      <w:wordWrap w:val="0"/>
      <w:ind w:left="2550"/>
      <w:jc w:val="both"/>
    </w:pPr>
    <w:rPr>
      <w:rFonts w:ascii="Times New Roman" w:hAnsi="Times New Roman" w:eastAsia="宋体" w:cs="Times New Roman"/>
      <w:kern w:val="0"/>
      <w:sz w:val="21"/>
      <w:szCs w:val="22"/>
      <w:lang w:val="en-US" w:eastAsia="zh-CN" w:bidi="ar-SA"/>
    </w:rPr>
  </w:style>
  <w:style w:type="paragraph" w:customStyle="1" w:styleId="33">
    <w:name w:val="_Style 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Table Paragraph"/>
    <w:basedOn w:val="1"/>
    <w:qFormat/>
    <w:uiPriority w:val="1"/>
  </w:style>
  <w:style w:type="character" w:customStyle="1" w:styleId="35">
    <w:name w:val="标题 字符"/>
    <w:link w:val="23"/>
    <w:qFormat/>
    <w:uiPriority w:val="0"/>
    <w:rPr>
      <w:rFonts w:ascii="Calibri Light" w:hAnsi="Calibri Light" w:eastAsia="宋体" w:cs="Times New Roman"/>
      <w:b/>
      <w:bCs/>
      <w:sz w:val="32"/>
      <w:szCs w:val="32"/>
    </w:rPr>
  </w:style>
  <w:style w:type="paragraph" w:customStyle="1" w:styleId="36">
    <w:name w:val="列出段落1"/>
    <w:basedOn w:val="1"/>
    <w:qFormat/>
    <w:uiPriority w:val="99"/>
    <w:pPr>
      <w:ind w:firstLine="420" w:firstLineChars="200"/>
    </w:pPr>
  </w:style>
  <w:style w:type="character" w:customStyle="1" w:styleId="37">
    <w:name w:val="NormalCharacter"/>
    <w:link w:val="1"/>
    <w:semiHidden/>
    <w:qFormat/>
    <w:uiPriority w:val="0"/>
    <w:rPr>
      <w:rFonts w:ascii="Times New Roman" w:hAnsi="Times New Roman" w:eastAsia="宋体" w:cs="Times New Roman"/>
      <w:kern w:val="2"/>
      <w:sz w:val="21"/>
      <w:szCs w:val="24"/>
      <w:lang w:val="en-US" w:eastAsia="zh-CN" w:bidi="ar-SA"/>
    </w:rPr>
  </w:style>
  <w:style w:type="paragraph" w:customStyle="1" w:styleId="38">
    <w:name w:val="HtmlNormal"/>
    <w:basedOn w:val="1"/>
    <w:qFormat/>
    <w:uiPriority w:val="0"/>
    <w:pPr>
      <w:spacing w:before="100" w:beforeAutospacing="1" w:after="100" w:afterAutospacing="1"/>
      <w:jc w:val="left"/>
    </w:pPr>
    <w:rPr>
      <w:rFonts w:ascii="宋体" w:hAnsi="宋体"/>
      <w:kern w:val="0"/>
      <w:sz w:val="24"/>
    </w:rPr>
  </w:style>
  <w:style w:type="paragraph" w:customStyle="1" w:styleId="39">
    <w:name w:val="PlainText"/>
    <w:basedOn w:val="1"/>
    <w:qFormat/>
    <w:uiPriority w:val="0"/>
    <w:rPr>
      <w:rFonts w:ascii="宋体" w:hAnsi="Courier New"/>
      <w:szCs w:val="20"/>
    </w:rPr>
  </w:style>
  <w:style w:type="paragraph" w:customStyle="1" w:styleId="40">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首行缩进"/>
    <w:basedOn w:val="1"/>
    <w:qFormat/>
    <w:uiPriority w:val="0"/>
    <w:pPr>
      <w:ind w:firstLine="480" w:firstLineChars="200"/>
    </w:pPr>
  </w:style>
  <w:style w:type="character" w:customStyle="1" w:styleId="42">
    <w:name w:val="bookmark-item"/>
    <w:basedOn w:val="27"/>
    <w:qFormat/>
    <w:uiPriority w:val="0"/>
  </w:style>
  <w:style w:type="paragraph" w:customStyle="1" w:styleId="43">
    <w:name w:val="List Paragraph"/>
    <w:basedOn w:val="1"/>
    <w:qFormat/>
    <w:uiPriority w:val="99"/>
    <w:pPr>
      <w:ind w:firstLine="420" w:firstLineChars="200"/>
    </w:pPr>
  </w:style>
  <w:style w:type="paragraph" w:customStyle="1" w:styleId="44">
    <w:name w:val="正文文字 6"/>
    <w:next w:val="1"/>
    <w:qFormat/>
    <w:uiPriority w:val="99"/>
    <w:pPr>
      <w:widowControl w:val="0"/>
      <w:ind w:left="240"/>
      <w:jc w:val="both"/>
    </w:pPr>
    <w:rPr>
      <w:rFonts w:ascii="宋体" w:hAnsi="Times New Roman" w:eastAsia="宋体" w:cs="Times New Roman"/>
      <w:b/>
      <w:bCs/>
      <w:kern w:val="2"/>
      <w:sz w:val="32"/>
      <w:szCs w:val="32"/>
      <w:lang w:val="en-US" w:eastAsia="zh-CN" w:bidi="ar-SA"/>
    </w:rPr>
  </w:style>
  <w:style w:type="paragraph" w:customStyle="1" w:styleId="45">
    <w:name w:val="Plain Text"/>
    <w:basedOn w:val="1"/>
    <w:qFormat/>
    <w:uiPriority w:val="0"/>
    <w:rPr>
      <w:rFonts w:ascii="宋体" w:hAnsi="Courier New"/>
      <w:szCs w:val="20"/>
    </w:rPr>
  </w:style>
  <w:style w:type="paragraph" w:customStyle="1" w:styleId="46">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47">
    <w:name w:val="文字主体"/>
    <w:basedOn w:val="1"/>
    <w:qFormat/>
    <w:uiPriority w:val="0"/>
    <w:pPr>
      <w:widowControl w:val="0"/>
      <w:tabs>
        <w:tab w:val="left" w:pos="1200"/>
      </w:tabs>
      <w:ind w:firstLine="620" w:firstLineChars="200"/>
      <w:jc w:val="both"/>
    </w:pPr>
    <w:rPr>
      <w:rFonts w:ascii="Arial" w:hAnsi="宋体" w:eastAsia="宋体" w:cs="Times New Roman"/>
      <w:kern w:val="2"/>
      <w:sz w:val="28"/>
      <w:szCs w:val="28"/>
    </w:rPr>
  </w:style>
  <w:style w:type="paragraph" w:customStyle="1" w:styleId="48">
    <w:name w:val="Table Text"/>
    <w:basedOn w:val="1"/>
    <w:semiHidden/>
    <w:qFormat/>
    <w:uiPriority w:val="0"/>
    <w:rPr>
      <w:rFonts w:ascii="宋体" w:hAnsi="宋体" w:eastAsia="宋体" w:cs="宋体"/>
      <w:sz w:val="24"/>
      <w:szCs w:val="24"/>
      <w:lang w:val="en-US" w:eastAsia="en-US" w:bidi="ar-SA"/>
    </w:rPr>
  </w:style>
  <w:style w:type="table" w:customStyle="1" w:styleId="49">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荔浦县</Company>
  <Pages>58</Pages>
  <Words>19192</Words>
  <Characters>21067</Characters>
  <Lines>249</Lines>
  <Paragraphs>70</Paragraphs>
  <TotalTime>10</TotalTime>
  <ScaleCrop>false</ScaleCrop>
  <LinksUpToDate>false</LinksUpToDate>
  <CharactersWithSpaces>22067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2021-10-28T22:52:00Z</dcterms:created>
  <dc:creator>Administrator</dc:creator>
  <cp:lastModifiedBy>z2Z...</cp:lastModifiedBy>
  <cp:lastPrinted>2025-11-20T01:51:00Z</cp:lastPrinted>
  <dcterms:modified xsi:type="dcterms:W3CDTF">2026-01-26T08:46:53Z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3452BF15732B4802BC66F802C53A5B38_13</vt:lpwstr>
  </property>
  <property fmtid="{D5CDD505-2E9C-101B-9397-08002B2CF9AE}" pid="4" name="KSOTemplateDocerSaveRecord">
    <vt:lpwstr>eyJoZGlkIjoiN2FhZGE4OGI0ZjliMTNhMjEwNjIxYTQ5NWZkYjMyNGUiLCJ1c2VySWQiOiIyNTg2MzIxODQifQ==</vt:lpwstr>
  </property>
</Properties>
</file>